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600" w:lineRule="exact"/>
        <w:jc w:val="center"/>
        <w:rPr>
          <w:rFonts w:hint="eastAsia" w:ascii="宋体" w:hAnsi="宋体"/>
          <w:b/>
          <w:color w:val="000000"/>
          <w:sz w:val="40"/>
          <w:szCs w:val="32"/>
        </w:rPr>
      </w:pPr>
      <w:bookmarkStart w:id="93" w:name="_GoBack"/>
      <w:bookmarkEnd w:id="93"/>
    </w:p>
    <w:p>
      <w:pPr>
        <w:spacing w:after="120" w:line="700" w:lineRule="exact"/>
        <w:jc w:val="center"/>
        <w:rPr>
          <w:rFonts w:hint="eastAsia" w:ascii="宋体" w:hAnsi="宋体"/>
          <w:b/>
          <w:color w:val="000000"/>
          <w:sz w:val="40"/>
          <w:szCs w:val="50"/>
        </w:rPr>
      </w:pPr>
    </w:p>
    <w:p>
      <w:pPr>
        <w:spacing w:after="120" w:line="400" w:lineRule="exact"/>
        <w:jc w:val="center"/>
        <w:rPr>
          <w:rFonts w:hint="eastAsia" w:ascii="宋体" w:hAnsi="宋体"/>
          <w:b/>
          <w:color w:val="000000"/>
          <w:sz w:val="32"/>
          <w:szCs w:val="32"/>
        </w:rPr>
      </w:pPr>
    </w:p>
    <w:p>
      <w:pPr>
        <w:spacing w:after="120" w:line="1600" w:lineRule="exact"/>
        <w:jc w:val="center"/>
        <w:rPr>
          <w:rFonts w:hint="eastAsia" w:ascii="宋体" w:hAnsi="宋体"/>
          <w:b/>
          <w:color w:val="000000"/>
          <w:sz w:val="84"/>
          <w:szCs w:val="84"/>
        </w:rPr>
      </w:pPr>
      <w:r>
        <w:rPr>
          <w:rFonts w:hint="eastAsia" w:ascii="宋体" w:hAnsi="宋体"/>
          <w:b/>
          <w:color w:val="000000"/>
          <w:sz w:val="84"/>
          <w:szCs w:val="84"/>
        </w:rPr>
        <w:t>国内公开招标文件</w:t>
      </w:r>
    </w:p>
    <w:p>
      <w:pPr>
        <w:rPr>
          <w:rFonts w:hint="eastAsia" w:ascii="宋体" w:hAnsi="宋体"/>
          <w:b/>
          <w:color w:val="000000"/>
          <w:sz w:val="36"/>
          <w:szCs w:val="36"/>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600" w:lineRule="exact"/>
        <w:rPr>
          <w:rFonts w:hint="eastAsia" w:ascii="宋体" w:hAnsi="宋体"/>
          <w:b/>
          <w:color w:val="000000"/>
          <w:sz w:val="28"/>
          <w:szCs w:val="28"/>
        </w:rPr>
      </w:pPr>
    </w:p>
    <w:p>
      <w:pPr>
        <w:spacing w:line="800" w:lineRule="exact"/>
        <w:rPr>
          <w:rFonts w:hint="eastAsia" w:ascii="宋体" w:hAnsi="宋体"/>
          <w:b/>
          <w:color w:val="000000"/>
          <w:sz w:val="28"/>
          <w:szCs w:val="28"/>
        </w:rPr>
      </w:pPr>
      <w:r>
        <w:rPr>
          <w:rFonts w:hint="eastAsia" w:ascii="宋体" w:hAnsi="宋体"/>
          <w:b/>
          <w:color w:val="000000"/>
          <w:sz w:val="28"/>
          <w:szCs w:val="28"/>
        </w:rPr>
        <w:t>项目编号：HZWXQ2020-61（NBITC-202010469G）</w:t>
      </w:r>
    </w:p>
    <w:p>
      <w:pPr>
        <w:spacing w:line="800" w:lineRule="exact"/>
        <w:ind w:left="1546" w:right="-735" w:rightChars="-350" w:hanging="1546" w:hangingChars="550"/>
        <w:rPr>
          <w:rFonts w:hint="eastAsia" w:ascii="宋体" w:hAnsi="宋体"/>
          <w:b/>
          <w:color w:val="000000"/>
          <w:sz w:val="28"/>
          <w:szCs w:val="28"/>
        </w:rPr>
      </w:pPr>
      <w:r>
        <w:rPr>
          <w:rFonts w:hint="eastAsia" w:ascii="宋体" w:hAnsi="宋体"/>
          <w:b/>
          <w:color w:val="000000"/>
          <w:sz w:val="28"/>
          <w:szCs w:val="28"/>
        </w:rPr>
        <w:t>项目名称：宁波杭州湾新区校园智能安全防护体系建设项目</w:t>
      </w:r>
    </w:p>
    <w:p>
      <w:pPr>
        <w:spacing w:line="800" w:lineRule="exact"/>
        <w:ind w:left="1405" w:hanging="1405" w:hangingChars="500"/>
        <w:rPr>
          <w:rFonts w:hint="eastAsia" w:ascii="宋体" w:hAnsi="宋体"/>
          <w:b/>
          <w:color w:val="000000"/>
          <w:sz w:val="28"/>
          <w:szCs w:val="28"/>
        </w:rPr>
      </w:pPr>
      <w:r>
        <w:rPr>
          <w:rFonts w:hint="eastAsia" w:ascii="宋体" w:hAnsi="宋体"/>
          <w:b/>
          <w:color w:val="000000"/>
          <w:sz w:val="28"/>
          <w:szCs w:val="28"/>
        </w:rPr>
        <w:t>采 购 人：宁波杭州湾新区教育发展中心（盖章）</w:t>
      </w:r>
    </w:p>
    <w:p>
      <w:pPr>
        <w:spacing w:line="800" w:lineRule="exact"/>
        <w:rPr>
          <w:rFonts w:hint="eastAsia" w:ascii="宋体" w:hAnsi="宋体"/>
          <w:b/>
          <w:color w:val="000000"/>
          <w:sz w:val="28"/>
          <w:szCs w:val="28"/>
        </w:rPr>
      </w:pPr>
      <w:r>
        <w:rPr>
          <w:rFonts w:hint="eastAsia" w:ascii="宋体" w:hAnsi="宋体"/>
          <w:b/>
          <w:color w:val="000000"/>
          <w:sz w:val="28"/>
          <w:szCs w:val="28"/>
        </w:rPr>
        <w:t>代理机构：宁波市国际招标有限公司（盖章）</w:t>
      </w:r>
    </w:p>
    <w:p>
      <w:pPr>
        <w:spacing w:line="800" w:lineRule="exact"/>
        <w:rPr>
          <w:rFonts w:hint="eastAsia" w:ascii="宋体" w:hAnsi="宋体"/>
          <w:b/>
          <w:color w:val="000000"/>
          <w:sz w:val="28"/>
          <w:szCs w:val="28"/>
        </w:rPr>
      </w:pPr>
      <w:r>
        <w:rPr>
          <w:rFonts w:hint="eastAsia" w:ascii="宋体" w:hAnsi="宋体"/>
          <w:b/>
          <w:color w:val="000000"/>
          <w:sz w:val="28"/>
          <w:szCs w:val="28"/>
        </w:rPr>
        <w:t>备案单位：宁波杭州湾新区公共资源交易管理办公室（盖章）</w:t>
      </w:r>
    </w:p>
    <w:p>
      <w:pPr>
        <w:spacing w:line="800" w:lineRule="exact"/>
        <w:rPr>
          <w:rFonts w:hint="eastAsia" w:ascii="宋体" w:hAnsi="宋体"/>
          <w:b/>
          <w:color w:val="000000"/>
          <w:sz w:val="28"/>
          <w:szCs w:val="28"/>
        </w:rPr>
      </w:pPr>
      <w:r>
        <w:rPr>
          <w:rFonts w:hint="eastAsia" w:ascii="宋体" w:hAnsi="宋体"/>
          <w:b/>
          <w:color w:val="000000"/>
          <w:sz w:val="28"/>
          <w:szCs w:val="28"/>
        </w:rPr>
        <w:t>编制日期：2020年</w:t>
      </w:r>
      <w:r>
        <w:rPr>
          <w:rFonts w:ascii="宋体" w:hAnsi="宋体"/>
          <w:b/>
          <w:color w:val="000000"/>
          <w:sz w:val="28"/>
          <w:szCs w:val="28"/>
        </w:rPr>
        <w:t>8</w:t>
      </w:r>
      <w:r>
        <w:rPr>
          <w:rFonts w:hint="eastAsia" w:ascii="宋体" w:hAnsi="宋体"/>
          <w:b/>
          <w:color w:val="000000"/>
          <w:sz w:val="28"/>
          <w:szCs w:val="28"/>
        </w:rPr>
        <w:t>月</w:t>
      </w:r>
    </w:p>
    <w:p>
      <w:pPr>
        <w:spacing w:line="600" w:lineRule="exact"/>
        <w:rPr>
          <w:rFonts w:hint="eastAsia" w:ascii="宋体" w:hAnsi="宋体"/>
          <w:b/>
          <w:color w:val="000000"/>
          <w:sz w:val="28"/>
          <w:szCs w:val="28"/>
        </w:rPr>
      </w:pPr>
    </w:p>
    <w:p>
      <w:pPr>
        <w:spacing w:line="400" w:lineRule="exact"/>
        <w:jc w:val="center"/>
        <w:rPr>
          <w:rFonts w:ascii="宋体" w:hAnsi="宋体"/>
          <w:b/>
          <w:color w:val="000000"/>
          <w:sz w:val="28"/>
          <w:szCs w:val="28"/>
        </w:rPr>
        <w:sectPr>
          <w:headerReference r:id="rId3" w:type="default"/>
          <w:footerReference r:id="rId4" w:type="default"/>
          <w:footerReference r:id="rId5" w:type="even"/>
          <w:type w:val="nextColumn"/>
          <w:pgSz w:w="11907" w:h="16840"/>
          <w:pgMar w:top="1440" w:right="1701" w:bottom="1440" w:left="1701" w:header="720" w:footer="720" w:gutter="0"/>
          <w:pgNumType w:start="1"/>
          <w:cols w:space="720" w:num="1"/>
          <w:docGrid w:type="lines" w:linePitch="285" w:charSpace="0"/>
        </w:sectPr>
      </w:pPr>
    </w:p>
    <w:p>
      <w:pPr>
        <w:tabs>
          <w:tab w:val="center" w:pos="4365"/>
        </w:tabs>
        <w:spacing w:line="480" w:lineRule="auto"/>
        <w:jc w:val="left"/>
        <w:rPr>
          <w:rFonts w:hint="eastAsia" w:ascii="宋体" w:hAnsi="宋体"/>
          <w:b/>
          <w:color w:val="000000"/>
          <w:sz w:val="52"/>
          <w:szCs w:val="52"/>
        </w:rPr>
      </w:pPr>
      <w:r>
        <w:rPr>
          <w:rFonts w:ascii="宋体" w:hAnsi="宋体"/>
          <w:b/>
          <w:color w:val="000000"/>
          <w:sz w:val="52"/>
          <w:szCs w:val="52"/>
        </w:rPr>
        <w:tab/>
      </w:r>
      <w:r>
        <w:rPr>
          <w:rFonts w:hint="eastAsia" w:ascii="宋体" w:hAnsi="宋体"/>
          <w:b/>
          <w:color w:val="000000"/>
          <w:sz w:val="52"/>
          <w:szCs w:val="52"/>
        </w:rPr>
        <w:t>目    录</w:t>
      </w:r>
    </w:p>
    <w:p>
      <w:pPr>
        <w:pStyle w:val="28"/>
        <w:rPr>
          <w:sz w:val="21"/>
          <w:szCs w:val="24"/>
          <w:lang w:val="en-US" w:eastAsia="zh-CN"/>
        </w:rPr>
      </w:pPr>
      <w:r>
        <w:rPr>
          <w:rFonts w:hint="eastAsia"/>
        </w:rPr>
        <w:fldChar w:fldCharType="begin"/>
      </w:r>
      <w:r>
        <w:rPr>
          <w:rFonts w:hint="eastAsia"/>
        </w:rPr>
        <w:instrText xml:space="preserve"> TOC \o "1-3" \h \z \u </w:instrText>
      </w:r>
      <w:r>
        <w:rPr>
          <w:rFonts w:hint="eastAsia"/>
        </w:rPr>
        <w:fldChar w:fldCharType="separate"/>
      </w:r>
      <w:r>
        <w:fldChar w:fldCharType="begin"/>
      </w:r>
      <w:r>
        <w:rPr>
          <w:rStyle w:val="51"/>
          <w:color w:val="000000"/>
        </w:rPr>
        <w:instrText xml:space="preserve"> </w:instrText>
      </w:r>
      <w:r>
        <w:instrText xml:space="preserve">HYPERLINK \l "_Toc529355802"</w:instrText>
      </w:r>
      <w:r>
        <w:rPr>
          <w:rStyle w:val="51"/>
          <w:color w:val="000000"/>
        </w:rPr>
        <w:instrText xml:space="preserve"> </w:instrText>
      </w:r>
      <w:r>
        <w:fldChar w:fldCharType="separate"/>
      </w:r>
      <w:r>
        <w:rPr>
          <w:rStyle w:val="51"/>
          <w:rFonts w:hint="eastAsia"/>
          <w:b/>
          <w:color w:val="000000"/>
        </w:rPr>
        <w:t>第一章</w:t>
      </w:r>
      <w:r>
        <w:rPr>
          <w:rStyle w:val="51"/>
          <w:b/>
          <w:color w:val="000000"/>
        </w:rPr>
        <w:t xml:space="preserve">  </w:t>
      </w:r>
      <w:r>
        <w:rPr>
          <w:rStyle w:val="51"/>
          <w:rFonts w:hint="eastAsia"/>
          <w:b/>
          <w:color w:val="000000"/>
          <w:lang w:eastAsia="zh-CN"/>
        </w:rPr>
        <w:t>招标公告</w:t>
      </w:r>
      <w:r>
        <w:tab/>
      </w:r>
      <w:r>
        <w:fldChar w:fldCharType="begin"/>
      </w:r>
      <w:r>
        <w:instrText xml:space="preserve"> PAGEREF _Toc529355802 \h </w:instrText>
      </w:r>
      <w:r>
        <w:fldChar w:fldCharType="separate"/>
      </w:r>
      <w:r>
        <w:rPr>
          <w:lang/>
        </w:rPr>
        <w:t>1</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"_Toc529355803"</w:instrText>
      </w:r>
      <w:r>
        <w:rPr>
          <w:rStyle w:val="51"/>
          <w:color w:val="000000"/>
        </w:rPr>
        <w:instrText xml:space="preserve"> </w:instrText>
      </w:r>
      <w:r>
        <w:fldChar w:fldCharType="separate"/>
      </w:r>
      <w:r>
        <w:rPr>
          <w:rStyle w:val="51"/>
          <w:rFonts w:hint="eastAsia"/>
          <w:b/>
          <w:color w:val="000000"/>
        </w:rPr>
        <w:t>第二章</w:t>
      </w:r>
      <w:r>
        <w:rPr>
          <w:rStyle w:val="51"/>
          <w:b/>
          <w:color w:val="000000"/>
        </w:rPr>
        <w:t xml:space="preserve">  </w:t>
      </w:r>
      <w:r>
        <w:rPr>
          <w:rStyle w:val="51"/>
          <w:rFonts w:hint="eastAsia"/>
          <w:b/>
          <w:color w:val="000000"/>
        </w:rPr>
        <w:t>投标</w:t>
      </w:r>
      <w:bookmarkStart w:id="0" w:name="_Hlt2261664"/>
      <w:r>
        <w:rPr>
          <w:rStyle w:val="51"/>
          <w:rFonts w:hint="eastAsia"/>
          <w:b/>
          <w:color w:val="000000"/>
        </w:rPr>
        <w:t>须</w:t>
      </w:r>
      <w:bookmarkEnd w:id="0"/>
      <w:r>
        <w:rPr>
          <w:rStyle w:val="51"/>
          <w:rFonts w:hint="eastAsia"/>
          <w:b/>
          <w:color w:val="000000"/>
        </w:rPr>
        <w:t>知</w:t>
      </w:r>
      <w:r>
        <w:tab/>
      </w:r>
      <w:r>
        <w:fldChar w:fldCharType="begin"/>
      </w:r>
      <w:r>
        <w:instrText xml:space="preserve"> PAGEREF _Toc529355803 \h </w:instrText>
      </w:r>
      <w:r>
        <w:fldChar w:fldCharType="separate"/>
      </w:r>
      <w:r>
        <w:rPr>
          <w:lang/>
        </w:rPr>
        <w:t>4</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"_Toc529355816"</w:instrText>
      </w:r>
      <w:r>
        <w:rPr>
          <w:rStyle w:val="51"/>
          <w:color w:val="000000"/>
        </w:rPr>
        <w:instrText xml:space="preserve"> </w:instrText>
      </w:r>
      <w:r>
        <w:fldChar w:fldCharType="separate"/>
      </w:r>
      <w:r>
        <w:rPr>
          <w:rStyle w:val="51"/>
          <w:rFonts w:hint="eastAsia"/>
          <w:b/>
          <w:color w:val="000000"/>
        </w:rPr>
        <w:t>第三章</w:t>
      </w:r>
      <w:r>
        <w:rPr>
          <w:rStyle w:val="51"/>
          <w:b/>
          <w:color w:val="000000"/>
        </w:rPr>
        <w:t xml:space="preserve">  </w:t>
      </w:r>
      <w:r>
        <w:rPr>
          <w:rStyle w:val="51"/>
          <w:rFonts w:hint="eastAsia"/>
          <w:b/>
          <w:color w:val="000000"/>
        </w:rPr>
        <w:t>评标办</w:t>
      </w:r>
      <w:bookmarkStart w:id="1" w:name="_Hlt2348817"/>
      <w:r>
        <w:rPr>
          <w:rStyle w:val="51"/>
          <w:rFonts w:hint="eastAsia"/>
          <w:b/>
          <w:color w:val="000000"/>
        </w:rPr>
        <w:t>法</w:t>
      </w:r>
      <w:bookmarkEnd w:id="1"/>
      <w:r>
        <w:rPr>
          <w:rStyle w:val="51"/>
          <w:rFonts w:hint="eastAsia"/>
          <w:b/>
          <w:color w:val="000000"/>
        </w:rPr>
        <w:t>及标准</w:t>
      </w:r>
      <w:r>
        <w:tab/>
      </w:r>
      <w:r>
        <w:fldChar w:fldCharType="begin"/>
      </w:r>
      <w:r>
        <w:instrText xml:space="preserve"> PAGEREF _Toc529355816 \h </w:instrText>
      </w:r>
      <w:r>
        <w:fldChar w:fldCharType="separate"/>
      </w:r>
      <w:r>
        <w:rPr>
          <w:lang/>
        </w:rPr>
        <w:t>10</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"_Toc529355817"</w:instrText>
      </w:r>
      <w:r>
        <w:rPr>
          <w:rStyle w:val="51"/>
          <w:color w:val="000000"/>
        </w:rPr>
        <w:instrText xml:space="preserve"> </w:instrText>
      </w:r>
      <w:r>
        <w:fldChar w:fldCharType="separate"/>
      </w:r>
      <w:r>
        <w:rPr>
          <w:rStyle w:val="51"/>
          <w:rFonts w:hint="eastAsia"/>
          <w:b/>
          <w:color w:val="000000"/>
        </w:rPr>
        <w:t>第四章</w:t>
      </w:r>
      <w:r>
        <w:rPr>
          <w:rStyle w:val="51"/>
          <w:b/>
          <w:color w:val="000000"/>
        </w:rPr>
        <w:t xml:space="preserve">  </w:t>
      </w:r>
      <w:r>
        <w:rPr>
          <w:rStyle w:val="51"/>
          <w:rFonts w:hint="eastAsia"/>
          <w:b/>
          <w:color w:val="000000"/>
        </w:rPr>
        <w:t>合同样</w:t>
      </w:r>
      <w:bookmarkStart w:id="2" w:name="_Hlt19718008"/>
      <w:r>
        <w:rPr>
          <w:rStyle w:val="51"/>
          <w:rFonts w:hint="eastAsia"/>
          <w:b/>
          <w:color w:val="000000"/>
        </w:rPr>
        <w:t>本</w:t>
      </w:r>
      <w:bookmarkEnd w:id="2"/>
      <w:bookmarkStart w:id="3" w:name="_Hlt42008293"/>
      <w:r>
        <w:tab/>
      </w:r>
      <w:bookmarkEnd w:id="3"/>
      <w:r>
        <w:fldChar w:fldCharType="begin"/>
      </w:r>
      <w:r>
        <w:instrText xml:space="preserve"> PAGEREF _Toc529355817 \h </w:instrText>
      </w:r>
      <w:r>
        <w:fldChar w:fldCharType="separate"/>
      </w:r>
      <w:r>
        <w:rPr>
          <w:lang/>
        </w:rPr>
        <w:t>16</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"_Toc529355818"</w:instrText>
      </w:r>
      <w:r>
        <w:rPr>
          <w:rStyle w:val="51"/>
          <w:color w:val="000000"/>
        </w:rPr>
        <w:instrText xml:space="preserve"> </w:instrText>
      </w:r>
      <w:r>
        <w:fldChar w:fldCharType="separate"/>
      </w:r>
      <w:r>
        <w:rPr>
          <w:rStyle w:val="51"/>
          <w:rFonts w:hint="eastAsia"/>
          <w:b/>
          <w:color w:val="000000"/>
        </w:rPr>
        <w:t>第五章</w:t>
      </w:r>
      <w:r>
        <w:rPr>
          <w:rStyle w:val="51"/>
          <w:b/>
          <w:color w:val="000000"/>
        </w:rPr>
        <w:t xml:space="preserve">  </w:t>
      </w:r>
      <w:r>
        <w:rPr>
          <w:rStyle w:val="51"/>
          <w:rFonts w:hint="eastAsia"/>
          <w:b/>
          <w:color w:val="000000"/>
        </w:rPr>
        <w:t>招</w:t>
      </w:r>
      <w:bookmarkStart w:id="4" w:name="_Hlt34234104"/>
      <w:r>
        <w:rPr>
          <w:rStyle w:val="51"/>
          <w:rFonts w:hint="eastAsia"/>
          <w:b/>
          <w:color w:val="000000"/>
        </w:rPr>
        <w:t>标</w:t>
      </w:r>
      <w:bookmarkEnd w:id="4"/>
      <w:bookmarkStart w:id="5" w:name="_Hlt3976603"/>
      <w:r>
        <w:rPr>
          <w:rStyle w:val="51"/>
          <w:rFonts w:hint="eastAsia"/>
          <w:b/>
          <w:color w:val="000000"/>
        </w:rPr>
        <w:t>内</w:t>
      </w:r>
      <w:bookmarkEnd w:id="5"/>
      <w:bookmarkStart w:id="6" w:name="_Hlt529400889"/>
      <w:bookmarkStart w:id="7" w:name="_Hlt529400888"/>
      <w:r>
        <w:rPr>
          <w:rStyle w:val="51"/>
          <w:rFonts w:hint="eastAsia"/>
          <w:b/>
          <w:color w:val="000000"/>
        </w:rPr>
        <w:t>容</w:t>
      </w:r>
      <w:bookmarkEnd w:id="6"/>
      <w:bookmarkEnd w:id="7"/>
      <w:r>
        <w:rPr>
          <w:rStyle w:val="51"/>
          <w:rFonts w:hint="eastAsia"/>
          <w:b/>
          <w:color w:val="000000"/>
        </w:rPr>
        <w:t>与技术需求</w:t>
      </w:r>
      <w:r>
        <w:tab/>
      </w:r>
      <w:r>
        <w:fldChar w:fldCharType="begin"/>
      </w:r>
      <w:r>
        <w:instrText xml:space="preserve"> PAGEREF _Toc529355818 \h </w:instrText>
      </w:r>
      <w:r>
        <w:fldChar w:fldCharType="separate"/>
      </w:r>
      <w:r>
        <w:rPr>
          <w:lang/>
        </w:rPr>
        <w:t>21</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"_Toc529355819"</w:instrText>
      </w:r>
      <w:r>
        <w:rPr>
          <w:rStyle w:val="51"/>
          <w:color w:val="000000"/>
        </w:rPr>
        <w:instrText xml:space="preserve"> </w:instrText>
      </w:r>
      <w:r>
        <w:fldChar w:fldCharType="separate"/>
      </w:r>
      <w:r>
        <w:rPr>
          <w:rStyle w:val="51"/>
          <w:rFonts w:hint="eastAsia"/>
          <w:b/>
          <w:color w:val="000000"/>
        </w:rPr>
        <w:t>第六章</w:t>
      </w:r>
      <w:r>
        <w:rPr>
          <w:rStyle w:val="51"/>
          <w:b/>
          <w:color w:val="000000"/>
        </w:rPr>
        <w:t xml:space="preserve">  </w:t>
      </w:r>
      <w:r>
        <w:rPr>
          <w:rStyle w:val="51"/>
          <w:rFonts w:hint="eastAsia"/>
          <w:b/>
          <w:color w:val="000000"/>
        </w:rPr>
        <w:t>商务</w:t>
      </w:r>
      <w:bookmarkStart w:id="8" w:name="_Hlt4590555"/>
      <w:r>
        <w:rPr>
          <w:rStyle w:val="51"/>
          <w:rFonts w:hint="eastAsia"/>
          <w:b/>
          <w:color w:val="000000"/>
        </w:rPr>
        <w:t>条</w:t>
      </w:r>
      <w:bookmarkEnd w:id="8"/>
      <w:r>
        <w:rPr>
          <w:rStyle w:val="51"/>
          <w:rFonts w:hint="eastAsia"/>
          <w:b/>
          <w:color w:val="000000"/>
        </w:rPr>
        <w:t>款</w:t>
      </w:r>
      <w:r>
        <w:tab/>
      </w:r>
      <w:r>
        <w:fldChar w:fldCharType="begin"/>
      </w:r>
      <w:r>
        <w:instrText xml:space="preserve"> PAGEREF _Toc529355819 \h </w:instrText>
      </w:r>
      <w:r>
        <w:fldChar w:fldCharType="separate"/>
      </w:r>
      <w:r>
        <w:rPr>
          <w:lang/>
        </w:rPr>
        <w:t>21</w:t>
      </w:r>
      <w:r>
        <w:fldChar w:fldCharType="end"/>
      </w:r>
      <w:r>
        <w:fldChar w:fldCharType="end"/>
      </w:r>
    </w:p>
    <w:p>
      <w:pPr>
        <w:pStyle w:val="28"/>
        <w:rPr>
          <w:sz w:val="21"/>
          <w:szCs w:val="24"/>
          <w:lang w:val="en-US" w:eastAsia="zh-CN"/>
        </w:rPr>
      </w:pPr>
      <w:r>
        <w:fldChar w:fldCharType="begin"/>
      </w:r>
      <w:r>
        <w:rPr>
          <w:rStyle w:val="51"/>
          <w:color w:val="000000"/>
        </w:rPr>
        <w:instrText xml:space="preserve"> </w:instrText>
      </w:r>
      <w:r>
        <w:instrText xml:space="preserve">HYPERLINK \l "_Toc529355820"</w:instrText>
      </w:r>
      <w:r>
        <w:rPr>
          <w:rStyle w:val="51"/>
          <w:color w:val="000000"/>
        </w:rPr>
        <w:instrText xml:space="preserve"> </w:instrText>
      </w:r>
      <w:r>
        <w:fldChar w:fldCharType="separate"/>
      </w:r>
      <w:r>
        <w:rPr>
          <w:rStyle w:val="51"/>
          <w:rFonts w:hint="eastAsia"/>
          <w:b/>
          <w:color w:val="000000"/>
        </w:rPr>
        <w:t>第七章</w:t>
      </w:r>
      <w:r>
        <w:rPr>
          <w:rStyle w:val="51"/>
          <w:b/>
          <w:color w:val="000000"/>
        </w:rPr>
        <w:t xml:space="preserve">  </w:t>
      </w:r>
      <w:r>
        <w:rPr>
          <w:rStyle w:val="51"/>
          <w:rFonts w:hint="eastAsia"/>
          <w:b/>
          <w:color w:val="000000"/>
        </w:rPr>
        <w:t>附</w:t>
      </w:r>
      <w:bookmarkStart w:id="9" w:name="_Hlt46066496"/>
      <w:r>
        <w:rPr>
          <w:rStyle w:val="51"/>
          <w:rFonts w:hint="eastAsia"/>
          <w:b/>
          <w:color w:val="000000"/>
        </w:rPr>
        <w:t>件</w:t>
      </w:r>
      <w:bookmarkEnd w:id="9"/>
      <w:r>
        <w:tab/>
      </w:r>
      <w:r>
        <w:fldChar w:fldCharType="begin"/>
      </w:r>
      <w:r>
        <w:instrText xml:space="preserve"> PAGEREF _Toc529355820 \h </w:instrText>
      </w:r>
      <w:r>
        <w:fldChar w:fldCharType="separate"/>
      </w:r>
      <w:r>
        <w:rPr>
          <w:lang/>
        </w:rPr>
        <w:t>50</w:t>
      </w:r>
      <w:r>
        <w:fldChar w:fldCharType="end"/>
      </w:r>
      <w:r>
        <w:fldChar w:fldCharType="end"/>
      </w:r>
    </w:p>
    <w:p>
      <w:pPr>
        <w:spacing w:line="1000" w:lineRule="exact"/>
        <w:jc w:val="center"/>
        <w:rPr>
          <w:rFonts w:hint="eastAsia" w:ascii="宋体" w:hAnsi="宋体"/>
          <w:color w:val="000000"/>
          <w:sz w:val="32"/>
          <w:szCs w:val="32"/>
        </w:rPr>
      </w:pPr>
      <w:r>
        <w:rPr>
          <w:rFonts w:hint="eastAsia" w:ascii="宋体" w:hAnsi="宋体"/>
          <w:color w:val="000000"/>
          <w:sz w:val="32"/>
          <w:szCs w:val="32"/>
        </w:rPr>
        <w:fldChar w:fldCharType="end"/>
      </w:r>
    </w:p>
    <w:p>
      <w:pPr>
        <w:spacing w:line="1200" w:lineRule="exact"/>
        <w:jc w:val="center"/>
        <w:rPr>
          <w:rFonts w:hint="eastAsia" w:ascii="宋体" w:hAnsi="宋体"/>
          <w:color w:val="000000"/>
          <w:sz w:val="32"/>
          <w:szCs w:val="32"/>
        </w:rPr>
      </w:pPr>
      <w:r>
        <w:rPr>
          <w:rFonts w:ascii="宋体" w:hAnsi="宋体"/>
          <w:color w:val="000000"/>
          <w:sz w:val="32"/>
          <w:szCs w:val="32"/>
        </w:rPr>
        <w:br w:type="page"/>
      </w:r>
    </w:p>
    <w:p>
      <w:pPr>
        <w:spacing w:line="1200" w:lineRule="exact"/>
        <w:jc w:val="center"/>
        <w:rPr>
          <w:rFonts w:hint="eastAsia" w:ascii="宋体" w:hAnsi="宋体"/>
          <w:color w:val="000000"/>
          <w:sz w:val="32"/>
          <w:szCs w:val="32"/>
        </w:rPr>
      </w:pPr>
    </w:p>
    <w:p>
      <w:pPr>
        <w:spacing w:line="1200" w:lineRule="exact"/>
        <w:jc w:val="center"/>
        <w:rPr>
          <w:rFonts w:hint="eastAsia" w:ascii="宋体" w:hAnsi="宋体"/>
          <w:color w:val="000000"/>
          <w:sz w:val="32"/>
          <w:szCs w:val="32"/>
        </w:rPr>
      </w:pPr>
    </w:p>
    <w:p>
      <w:pPr>
        <w:spacing w:line="1200" w:lineRule="exact"/>
        <w:jc w:val="center"/>
        <w:rPr>
          <w:rFonts w:ascii="宋体" w:hAnsi="宋体"/>
          <w:b/>
          <w:color w:val="000000"/>
          <w:sz w:val="72"/>
          <w:szCs w:val="72"/>
        </w:rPr>
      </w:pPr>
      <w:r>
        <w:rPr>
          <w:rFonts w:hint="eastAsia" w:ascii="宋体" w:hAnsi="宋体"/>
          <w:b/>
          <w:color w:val="000000"/>
          <w:sz w:val="72"/>
          <w:szCs w:val="72"/>
        </w:rPr>
        <w:t>温馨提醒</w:t>
      </w:r>
    </w:p>
    <w:p>
      <w:pPr>
        <w:spacing w:line="1000" w:lineRule="exact"/>
        <w:jc w:val="left"/>
        <w:rPr>
          <w:rFonts w:hint="eastAsia" w:ascii="宋体" w:hAnsi="宋体"/>
          <w:b/>
          <w:color w:val="000000"/>
          <w:sz w:val="30"/>
          <w:szCs w:val="30"/>
        </w:rPr>
      </w:pPr>
      <w:r>
        <w:rPr>
          <w:rFonts w:hint="eastAsia" w:ascii="宋体" w:hAnsi="宋体"/>
          <w:b/>
          <w:color w:val="000000"/>
          <w:sz w:val="30"/>
          <w:szCs w:val="30"/>
        </w:rPr>
        <w:t>采购人可以对已发出的招标文件进行必要的澄清或者修改，将以“澄清公告”的形式发布在政采云平台，供应商应及时登录政采云平台，进行浏览并下载，未及时浏览下载的责任自负。</w:t>
      </w:r>
    </w:p>
    <w:p>
      <w:pPr>
        <w:spacing w:line="1000" w:lineRule="exact"/>
        <w:jc w:val="center"/>
        <w:rPr>
          <w:rFonts w:hint="eastAsia" w:ascii="宋体" w:hAnsi="宋体"/>
          <w:b/>
          <w:color w:val="000000"/>
          <w:sz w:val="32"/>
        </w:rPr>
      </w:pPr>
    </w:p>
    <w:p>
      <w:pPr>
        <w:spacing w:line="400" w:lineRule="exact"/>
        <w:jc w:val="center"/>
        <w:rPr>
          <w:rFonts w:ascii="宋体" w:hAnsi="宋体"/>
          <w:b/>
          <w:color w:val="000000"/>
          <w:sz w:val="32"/>
        </w:rPr>
        <w:sectPr>
          <w:headerReference r:id="rId6" w:type="default"/>
          <w:type w:val="nextColumn"/>
          <w:pgSz w:w="11907" w:h="16840"/>
          <w:pgMar w:top="854" w:right="1588" w:bottom="854" w:left="1588" w:header="569" w:footer="700" w:gutter="0"/>
          <w:cols w:space="720" w:num="1"/>
          <w:docGrid w:linePitch="285" w:charSpace="0"/>
        </w:sectPr>
      </w:pPr>
    </w:p>
    <w:p>
      <w:pPr>
        <w:spacing w:line="400" w:lineRule="exact"/>
        <w:jc w:val="center"/>
        <w:outlineLvl w:val="0"/>
        <w:rPr>
          <w:rFonts w:hint="eastAsia" w:ascii="宋体" w:hAnsi="宋体"/>
          <w:b/>
          <w:color w:val="000000"/>
          <w:sz w:val="32"/>
        </w:rPr>
      </w:pPr>
      <w:bookmarkStart w:id="10" w:name="_Toc529355802"/>
      <w:r>
        <w:rPr>
          <w:rFonts w:hint="eastAsia" w:ascii="宋体" w:hAnsi="宋体"/>
          <w:b/>
          <w:color w:val="000000"/>
          <w:sz w:val="32"/>
        </w:rPr>
        <w:t xml:space="preserve">第一章  </w:t>
      </w:r>
      <w:bookmarkEnd w:id="10"/>
      <w:r>
        <w:rPr>
          <w:rFonts w:hint="eastAsia" w:ascii="宋体" w:hAnsi="宋体"/>
          <w:b/>
          <w:color w:val="000000"/>
          <w:sz w:val="32"/>
        </w:rPr>
        <w:t>招标公告</w:t>
      </w:r>
    </w:p>
    <w:p>
      <w:pPr>
        <w:spacing w:line="400" w:lineRule="exact"/>
        <w:rPr>
          <w:rFonts w:hint="eastAsia" w:ascii="宋体" w:hAnsi="宋体"/>
          <w:b/>
          <w:color w:val="000000"/>
          <w:szCs w:val="21"/>
        </w:rPr>
      </w:pPr>
      <w:r>
        <w:rPr>
          <w:rFonts w:hint="eastAsia" w:ascii="宋体" w:hAnsi="宋体"/>
          <w:b/>
          <w:color w:val="000000"/>
          <w:szCs w:val="21"/>
        </w:rPr>
        <w:t>项目概况</w:t>
      </w:r>
    </w:p>
    <w:p>
      <w:pPr>
        <w:spacing w:line="400" w:lineRule="exact"/>
        <w:ind w:firstLine="420" w:firstLineChars="200"/>
        <w:rPr>
          <w:rFonts w:hint="eastAsia" w:ascii="宋体" w:hAnsi="宋体"/>
          <w:color w:val="000000"/>
          <w:szCs w:val="21"/>
        </w:rPr>
      </w:pPr>
      <w:r>
        <w:rPr>
          <w:rFonts w:hint="eastAsia" w:ascii="宋体" w:hAnsi="宋体"/>
          <w:color w:val="000000"/>
          <w:szCs w:val="21"/>
        </w:rPr>
        <w:t>宁波杭州湾新区校园智能安全防护体系建设项目招标项目的潜在投标人应在政采云平台（www.zcygov.cn）获取（下载）招标文件，并于 2020年09月16日09:30（北京时间）前递交（上传）投标文件。</w:t>
      </w:r>
    </w:p>
    <w:p>
      <w:pPr>
        <w:spacing w:line="400" w:lineRule="exact"/>
        <w:rPr>
          <w:rFonts w:ascii="宋体" w:hAnsi="宋体"/>
          <w:b/>
          <w:color w:val="000000"/>
          <w:szCs w:val="21"/>
        </w:rPr>
      </w:pPr>
      <w:r>
        <w:rPr>
          <w:rFonts w:hint="eastAsia" w:ascii="宋体" w:hAnsi="宋体"/>
          <w:b/>
          <w:color w:val="000000"/>
          <w:szCs w:val="21"/>
        </w:rPr>
        <w:t>一、项目基本情况</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项目编号：HZWXQ2020-61（NBITC-202010469G）</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项目名称：宁波杭州湾新区校园智能安全防护体系建设项目</w:t>
      </w:r>
    </w:p>
    <w:p>
      <w:pPr>
        <w:spacing w:line="400" w:lineRule="exact"/>
        <w:ind w:firstLine="420" w:firstLineChars="200"/>
        <w:rPr>
          <w:rFonts w:hint="eastAsia" w:ascii="宋体" w:hAnsi="宋体"/>
          <w:color w:val="000000"/>
          <w:szCs w:val="21"/>
        </w:rPr>
      </w:pPr>
      <w:r>
        <w:rPr>
          <w:rFonts w:hint="eastAsia" w:ascii="宋体" w:hAnsi="宋体"/>
          <w:color w:val="000000"/>
          <w:szCs w:val="21"/>
        </w:rPr>
        <w:t>预算金额（元）：</w:t>
      </w:r>
      <w:r>
        <w:rPr>
          <w:rFonts w:ascii="宋体" w:hAnsi="宋体"/>
          <w:color w:val="000000"/>
          <w:szCs w:val="21"/>
        </w:rPr>
        <w:t>5053800.00</w:t>
      </w:r>
    </w:p>
    <w:p>
      <w:pPr>
        <w:spacing w:line="400" w:lineRule="exact"/>
        <w:ind w:firstLine="420" w:firstLineChars="200"/>
        <w:rPr>
          <w:rFonts w:hint="eastAsia" w:ascii="宋体" w:hAnsi="宋体"/>
          <w:color w:val="000000"/>
          <w:szCs w:val="21"/>
        </w:rPr>
      </w:pPr>
      <w:r>
        <w:rPr>
          <w:rFonts w:hint="eastAsia" w:ascii="宋体" w:hAnsi="宋体"/>
          <w:color w:val="000000"/>
          <w:szCs w:val="21"/>
        </w:rPr>
        <w:t>最高限价（元）：4</w:t>
      </w:r>
      <w:r>
        <w:rPr>
          <w:rFonts w:ascii="宋体" w:hAnsi="宋体"/>
          <w:color w:val="000000"/>
          <w:szCs w:val="21"/>
        </w:rPr>
        <w:t>936256.00</w:t>
      </w:r>
    </w:p>
    <w:p>
      <w:pPr>
        <w:spacing w:line="400" w:lineRule="exact"/>
        <w:ind w:firstLine="420" w:firstLineChars="200"/>
        <w:rPr>
          <w:rFonts w:hint="eastAsia" w:ascii="宋体" w:hAnsi="宋体"/>
          <w:color w:val="000000"/>
          <w:szCs w:val="21"/>
        </w:rPr>
      </w:pPr>
      <w:r>
        <w:rPr>
          <w:rFonts w:hint="eastAsia" w:ascii="宋体" w:hAnsi="宋体"/>
          <w:color w:val="000000"/>
          <w:szCs w:val="21"/>
        </w:rPr>
        <w:t>采购需求：</w:t>
      </w:r>
    </w:p>
    <w:p>
      <w:pPr>
        <w:spacing w:line="400" w:lineRule="exact"/>
        <w:ind w:firstLine="420" w:firstLineChars="200"/>
        <w:rPr>
          <w:rFonts w:ascii="宋体" w:hAnsi="宋体"/>
          <w:color w:val="000000"/>
          <w:szCs w:val="21"/>
        </w:rPr>
      </w:pPr>
      <w:r>
        <w:rPr>
          <w:rFonts w:hint="eastAsia" w:ascii="宋体" w:hAnsi="宋体"/>
          <w:color w:val="000000"/>
          <w:szCs w:val="21"/>
        </w:rPr>
        <w:t>标项一:</w:t>
      </w:r>
    </w:p>
    <w:p>
      <w:pPr>
        <w:spacing w:line="400" w:lineRule="exact"/>
        <w:ind w:firstLine="420" w:firstLineChars="200"/>
        <w:rPr>
          <w:rFonts w:ascii="宋体" w:hAnsi="宋体"/>
          <w:color w:val="000000"/>
          <w:szCs w:val="21"/>
        </w:rPr>
      </w:pPr>
      <w:r>
        <w:rPr>
          <w:rFonts w:hint="eastAsia" w:ascii="宋体" w:hAnsi="宋体"/>
          <w:color w:val="000000"/>
          <w:szCs w:val="21"/>
        </w:rPr>
        <w:t>标项名称:校园智能安全防护体系建设</w:t>
      </w:r>
    </w:p>
    <w:p>
      <w:pPr>
        <w:spacing w:line="400" w:lineRule="exact"/>
        <w:ind w:firstLine="420" w:firstLineChars="200"/>
        <w:rPr>
          <w:rFonts w:ascii="宋体" w:hAnsi="宋体"/>
          <w:color w:val="000000"/>
          <w:szCs w:val="21"/>
        </w:rPr>
      </w:pPr>
      <w:r>
        <w:rPr>
          <w:rFonts w:hint="eastAsia" w:ascii="宋体" w:hAnsi="宋体"/>
          <w:color w:val="000000"/>
          <w:szCs w:val="21"/>
        </w:rPr>
        <w:t>数量:1</w:t>
      </w:r>
    </w:p>
    <w:p>
      <w:pPr>
        <w:spacing w:line="400" w:lineRule="exact"/>
        <w:ind w:firstLine="420" w:firstLineChars="200"/>
        <w:rPr>
          <w:rFonts w:ascii="宋体" w:hAnsi="宋体"/>
          <w:color w:val="000000"/>
          <w:szCs w:val="21"/>
        </w:rPr>
      </w:pPr>
      <w:r>
        <w:rPr>
          <w:rFonts w:hint="eastAsia" w:ascii="宋体" w:hAnsi="宋体"/>
          <w:color w:val="000000"/>
          <w:szCs w:val="21"/>
        </w:rPr>
        <w:t>预算金额（元）:</w:t>
      </w:r>
      <w:r>
        <w:rPr>
          <w:color w:val="000000"/>
        </w:rPr>
        <w:t xml:space="preserve"> </w:t>
      </w:r>
      <w:r>
        <w:rPr>
          <w:rFonts w:ascii="宋体" w:hAnsi="宋体"/>
          <w:color w:val="000000"/>
          <w:szCs w:val="21"/>
        </w:rPr>
        <w:t>5053800.00</w:t>
      </w:r>
    </w:p>
    <w:p>
      <w:pPr>
        <w:spacing w:line="400" w:lineRule="exact"/>
        <w:ind w:firstLine="420" w:firstLineChars="200"/>
        <w:rPr>
          <w:rFonts w:ascii="宋体" w:hAnsi="宋体"/>
          <w:color w:val="000000"/>
          <w:szCs w:val="21"/>
        </w:rPr>
      </w:pPr>
      <w:r>
        <w:rPr>
          <w:rFonts w:hint="eastAsia" w:ascii="宋体" w:hAnsi="宋体"/>
          <w:color w:val="000000"/>
          <w:szCs w:val="21"/>
        </w:rPr>
        <w:t>单位：批</w:t>
      </w:r>
    </w:p>
    <w:p>
      <w:pPr>
        <w:spacing w:line="400" w:lineRule="exact"/>
        <w:ind w:firstLine="420" w:firstLineChars="200"/>
        <w:rPr>
          <w:rFonts w:ascii="宋体" w:hAnsi="宋体"/>
          <w:color w:val="000000"/>
          <w:szCs w:val="21"/>
        </w:rPr>
      </w:pPr>
      <w:r>
        <w:rPr>
          <w:rFonts w:hint="eastAsia" w:ascii="宋体" w:hAnsi="宋体"/>
          <w:color w:val="000000"/>
          <w:szCs w:val="21"/>
        </w:rPr>
        <w:t>简要规格描述或项目基本概况介绍、用途：主要包括学校安防监控改造和平安校园平台建设两部分</w:t>
      </w:r>
    </w:p>
    <w:p>
      <w:pPr>
        <w:spacing w:line="400" w:lineRule="exact"/>
        <w:ind w:firstLine="420" w:firstLineChars="200"/>
        <w:rPr>
          <w:rFonts w:hint="eastAsia" w:ascii="宋体" w:hAnsi="宋体"/>
          <w:color w:val="000000"/>
          <w:szCs w:val="21"/>
        </w:rPr>
      </w:pPr>
      <w:r>
        <w:rPr>
          <w:rFonts w:hint="eastAsia" w:ascii="宋体" w:hAnsi="宋体"/>
          <w:color w:val="000000"/>
          <w:szCs w:val="21"/>
        </w:rPr>
        <w:t>备注：详细采购需求见招标文件第五章。</w:t>
      </w:r>
    </w:p>
    <w:p>
      <w:pPr>
        <w:spacing w:line="400" w:lineRule="exact"/>
        <w:ind w:firstLine="420" w:firstLineChars="200"/>
        <w:rPr>
          <w:rFonts w:hint="eastAsia" w:ascii="宋体" w:hAnsi="宋体"/>
          <w:color w:val="000000"/>
          <w:szCs w:val="21"/>
        </w:rPr>
      </w:pPr>
      <w:r>
        <w:rPr>
          <w:rFonts w:hint="eastAsia" w:ascii="宋体" w:hAnsi="宋体"/>
          <w:color w:val="000000"/>
          <w:szCs w:val="21"/>
        </w:rPr>
        <w:t>合同履约期限：接采购人通知后60天内。</w:t>
      </w:r>
    </w:p>
    <w:p>
      <w:pPr>
        <w:spacing w:line="400" w:lineRule="exact"/>
        <w:ind w:firstLine="420" w:firstLineChars="200"/>
        <w:rPr>
          <w:rFonts w:hint="eastAsia" w:ascii="宋体" w:hAnsi="宋体"/>
          <w:color w:val="000000"/>
          <w:szCs w:val="21"/>
        </w:rPr>
      </w:pPr>
      <w:r>
        <w:rPr>
          <w:rFonts w:hint="eastAsia" w:ascii="宋体" w:hAnsi="宋体"/>
          <w:color w:val="000000"/>
          <w:szCs w:val="21"/>
        </w:rPr>
        <w:t>本项目（否）接受联合体投标。</w:t>
      </w:r>
    </w:p>
    <w:p>
      <w:pPr>
        <w:spacing w:line="400" w:lineRule="exact"/>
        <w:rPr>
          <w:rFonts w:hint="eastAsia" w:ascii="宋体" w:hAnsi="宋体"/>
          <w:b/>
          <w:color w:val="000000"/>
          <w:szCs w:val="21"/>
        </w:rPr>
      </w:pPr>
      <w:r>
        <w:rPr>
          <w:rFonts w:hint="eastAsia" w:ascii="宋体" w:hAnsi="宋体"/>
          <w:b/>
          <w:color w:val="000000"/>
          <w:szCs w:val="21"/>
        </w:rPr>
        <w:t>二、申请人的资格要求：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20" w:firstLineChars="200"/>
        <w:rPr>
          <w:rFonts w:hint="eastAsia" w:ascii="宋体" w:hAnsi="宋体"/>
          <w:color w:val="000000"/>
          <w:szCs w:val="21"/>
        </w:rPr>
      </w:pPr>
      <w:r>
        <w:rPr>
          <w:rFonts w:hint="eastAsia" w:ascii="宋体" w:hAnsi="宋体"/>
          <w:color w:val="000000"/>
          <w:szCs w:val="21"/>
        </w:rPr>
        <w:t>2.落实政府采购政策需满足的资格要求：无</w:t>
      </w:r>
    </w:p>
    <w:p>
      <w:pPr>
        <w:spacing w:line="400" w:lineRule="exact"/>
        <w:ind w:firstLine="420" w:firstLineChars="200"/>
        <w:rPr>
          <w:rFonts w:hint="eastAsia" w:ascii="宋体" w:hAnsi="宋体"/>
          <w:color w:val="000000"/>
          <w:szCs w:val="21"/>
        </w:rPr>
      </w:pPr>
      <w:r>
        <w:rPr>
          <w:rFonts w:hint="eastAsia" w:ascii="宋体" w:hAnsi="宋体"/>
          <w:color w:val="000000"/>
          <w:szCs w:val="21"/>
        </w:rPr>
        <w:t>3.本项目的特定资格要求：具有运营光纤网络资源的企事业单位或其分支机构。</w:t>
      </w:r>
    </w:p>
    <w:p>
      <w:pPr>
        <w:spacing w:line="400" w:lineRule="exact"/>
        <w:rPr>
          <w:rFonts w:hint="eastAsia" w:ascii="宋体" w:hAnsi="宋体"/>
          <w:b/>
          <w:color w:val="000000"/>
          <w:szCs w:val="21"/>
        </w:rPr>
      </w:pPr>
      <w:r>
        <w:rPr>
          <w:rFonts w:hint="eastAsia" w:ascii="宋体" w:hAnsi="宋体"/>
          <w:b/>
          <w:color w:val="000000"/>
          <w:szCs w:val="21"/>
        </w:rPr>
        <w:t>三、获取招标文件</w:t>
      </w:r>
    </w:p>
    <w:p>
      <w:pPr>
        <w:spacing w:line="400" w:lineRule="exact"/>
        <w:ind w:firstLine="420" w:firstLineChars="200"/>
        <w:rPr>
          <w:rFonts w:hint="eastAsia" w:ascii="宋体" w:hAnsi="宋体"/>
          <w:color w:val="000000"/>
          <w:szCs w:val="21"/>
        </w:rPr>
      </w:pPr>
      <w:r>
        <w:rPr>
          <w:rFonts w:hint="eastAsia" w:ascii="宋体" w:hAnsi="宋体"/>
          <w:color w:val="000000"/>
          <w:szCs w:val="21"/>
        </w:rPr>
        <w:t>时间：2020年08月</w:t>
      </w:r>
      <w:r>
        <w:rPr>
          <w:rFonts w:ascii="宋体" w:hAnsi="宋体"/>
          <w:color w:val="000000"/>
          <w:szCs w:val="21"/>
        </w:rPr>
        <w:t>24</w:t>
      </w:r>
      <w:r>
        <w:rPr>
          <w:rFonts w:hint="eastAsia" w:ascii="宋体" w:hAnsi="宋体"/>
          <w:color w:val="000000"/>
          <w:szCs w:val="21"/>
        </w:rPr>
        <w:t>日至2020年08月</w:t>
      </w:r>
      <w:r>
        <w:rPr>
          <w:rFonts w:ascii="宋体" w:hAnsi="宋体"/>
          <w:color w:val="000000"/>
          <w:szCs w:val="21"/>
        </w:rPr>
        <w:t>31</w:t>
      </w:r>
      <w:r>
        <w:rPr>
          <w:rFonts w:hint="eastAsia" w:ascii="宋体" w:hAnsi="宋体"/>
          <w:color w:val="000000"/>
          <w:szCs w:val="21"/>
        </w:rPr>
        <w:t>日，每天上午00:00至12:00，下午12:00至23:59（北京时间，线上获取法定节假日均可，线下获取文件法定节假日除外）</w:t>
      </w:r>
    </w:p>
    <w:p>
      <w:pPr>
        <w:spacing w:line="400" w:lineRule="exact"/>
        <w:ind w:firstLine="420" w:firstLineChars="200"/>
        <w:rPr>
          <w:rFonts w:hint="eastAsia" w:ascii="宋体" w:hAnsi="宋体"/>
          <w:color w:val="000000"/>
          <w:szCs w:val="21"/>
        </w:rPr>
      </w:pPr>
      <w:r>
        <w:rPr>
          <w:rFonts w:hint="eastAsia" w:ascii="宋体" w:hAnsi="宋体"/>
          <w:color w:val="000000"/>
          <w:szCs w:val="21"/>
        </w:rPr>
        <w:t>地点（网址）：政采云平台（www.zcygov.cn）</w:t>
      </w:r>
    </w:p>
    <w:p>
      <w:pPr>
        <w:spacing w:line="400" w:lineRule="exact"/>
        <w:ind w:firstLine="420" w:firstLineChars="200"/>
        <w:rPr>
          <w:rFonts w:hint="eastAsia" w:ascii="宋体" w:hAnsi="宋体"/>
          <w:color w:val="000000"/>
          <w:szCs w:val="21"/>
        </w:rPr>
      </w:pPr>
      <w:r>
        <w:rPr>
          <w:rFonts w:hint="eastAsia" w:ascii="宋体" w:hAnsi="宋体"/>
          <w:color w:val="000000"/>
          <w:szCs w:val="21"/>
        </w:rPr>
        <w:t>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spacing w:line="400" w:lineRule="exact"/>
        <w:ind w:firstLine="420" w:firstLineChars="200"/>
        <w:rPr>
          <w:rFonts w:hint="eastAsia" w:ascii="宋体" w:hAnsi="宋体"/>
          <w:color w:val="000000"/>
          <w:szCs w:val="21"/>
        </w:rPr>
      </w:pPr>
      <w:r>
        <w:rPr>
          <w:rFonts w:hint="eastAsia" w:ascii="宋体" w:hAnsi="宋体"/>
          <w:color w:val="000000"/>
          <w:szCs w:val="21"/>
        </w:rPr>
        <w:t>售价（元）：0</w:t>
      </w:r>
    </w:p>
    <w:p>
      <w:pPr>
        <w:spacing w:line="400" w:lineRule="exact"/>
        <w:rPr>
          <w:rFonts w:hint="eastAsia" w:ascii="宋体" w:hAnsi="宋体"/>
          <w:b/>
          <w:color w:val="000000"/>
          <w:szCs w:val="21"/>
        </w:rPr>
      </w:pPr>
      <w:r>
        <w:rPr>
          <w:rFonts w:hint="eastAsia" w:ascii="宋体" w:hAnsi="宋体"/>
          <w:b/>
          <w:color w:val="000000"/>
          <w:szCs w:val="21"/>
        </w:rPr>
        <w:t>四、提交投标文件截止时间、开标时间和地点</w:t>
      </w:r>
    </w:p>
    <w:p>
      <w:pPr>
        <w:spacing w:line="400" w:lineRule="exact"/>
        <w:ind w:firstLine="420" w:firstLineChars="200"/>
        <w:rPr>
          <w:rFonts w:hint="eastAsia" w:ascii="宋体" w:hAnsi="宋体"/>
          <w:color w:val="000000"/>
          <w:szCs w:val="21"/>
        </w:rPr>
      </w:pPr>
      <w:r>
        <w:rPr>
          <w:rFonts w:hint="eastAsia" w:ascii="宋体" w:hAnsi="宋体"/>
          <w:color w:val="000000"/>
          <w:szCs w:val="21"/>
        </w:rPr>
        <w:t>提交投标文件截止时间：2020年09月</w:t>
      </w:r>
      <w:r>
        <w:rPr>
          <w:rFonts w:ascii="宋体" w:hAnsi="宋体"/>
          <w:color w:val="000000"/>
          <w:szCs w:val="21"/>
        </w:rPr>
        <w:t>16</w:t>
      </w:r>
      <w:r>
        <w:rPr>
          <w:rFonts w:hint="eastAsia" w:ascii="宋体" w:hAnsi="宋体"/>
          <w:color w:val="000000"/>
          <w:szCs w:val="21"/>
        </w:rPr>
        <w:t>日09:30（北京时间）</w:t>
      </w:r>
    </w:p>
    <w:p>
      <w:pPr>
        <w:spacing w:line="400" w:lineRule="exact"/>
        <w:ind w:firstLine="420" w:firstLineChars="200"/>
        <w:rPr>
          <w:rFonts w:hint="eastAsia" w:ascii="宋体" w:hAnsi="宋体"/>
          <w:color w:val="000000"/>
          <w:szCs w:val="21"/>
        </w:rPr>
      </w:pPr>
      <w:r>
        <w:rPr>
          <w:rFonts w:hint="eastAsia" w:ascii="宋体" w:hAnsi="宋体"/>
          <w:color w:val="000000"/>
          <w:szCs w:val="21"/>
        </w:rPr>
        <w:t>投标地点（网址）：宁波杭州湾公共资源交易中心（宁波杭州湾新区兴慈一路296号新区行政服务中心三楼328室）</w:t>
      </w:r>
    </w:p>
    <w:p>
      <w:pPr>
        <w:spacing w:line="400" w:lineRule="exact"/>
        <w:ind w:firstLine="420" w:firstLineChars="200"/>
        <w:rPr>
          <w:rFonts w:hint="eastAsia" w:ascii="宋体" w:hAnsi="宋体"/>
          <w:color w:val="000000"/>
          <w:szCs w:val="21"/>
        </w:rPr>
      </w:pPr>
      <w:r>
        <w:rPr>
          <w:rFonts w:hint="eastAsia" w:ascii="宋体" w:hAnsi="宋体"/>
          <w:color w:val="000000"/>
          <w:szCs w:val="21"/>
        </w:rPr>
        <w:t>开标时间：2020年09月</w:t>
      </w:r>
      <w:r>
        <w:rPr>
          <w:rFonts w:ascii="宋体" w:hAnsi="宋体"/>
          <w:color w:val="000000"/>
          <w:szCs w:val="21"/>
        </w:rPr>
        <w:t>16</w:t>
      </w:r>
      <w:r>
        <w:rPr>
          <w:rFonts w:hint="eastAsia" w:ascii="宋体" w:hAnsi="宋体"/>
          <w:color w:val="000000"/>
          <w:szCs w:val="21"/>
        </w:rPr>
        <w:t>日09:30</w:t>
      </w:r>
    </w:p>
    <w:p>
      <w:pPr>
        <w:spacing w:line="400" w:lineRule="exact"/>
        <w:ind w:firstLine="420" w:firstLineChars="200"/>
        <w:rPr>
          <w:rFonts w:hint="eastAsia" w:ascii="宋体" w:hAnsi="宋体"/>
          <w:color w:val="000000"/>
          <w:szCs w:val="21"/>
        </w:rPr>
      </w:pPr>
      <w:r>
        <w:rPr>
          <w:rFonts w:hint="eastAsia" w:ascii="宋体" w:hAnsi="宋体"/>
          <w:color w:val="000000"/>
          <w:szCs w:val="21"/>
        </w:rPr>
        <w:t>开标地点（网址）：宁波杭州湾公共资源交易中心（宁波杭州湾新区兴慈一路296号新区行政服务中心三楼328室）</w:t>
      </w:r>
    </w:p>
    <w:p>
      <w:pPr>
        <w:spacing w:line="400" w:lineRule="exact"/>
        <w:rPr>
          <w:rFonts w:hint="eastAsia" w:ascii="宋体" w:hAnsi="宋体"/>
          <w:b/>
          <w:color w:val="000000"/>
          <w:szCs w:val="21"/>
        </w:rPr>
      </w:pPr>
      <w:r>
        <w:rPr>
          <w:rFonts w:hint="eastAsia" w:ascii="宋体" w:hAnsi="宋体"/>
          <w:b/>
          <w:color w:val="000000"/>
          <w:szCs w:val="21"/>
        </w:rPr>
        <w:t>五、公告期限</w:t>
      </w:r>
    </w:p>
    <w:p>
      <w:pPr>
        <w:spacing w:line="400" w:lineRule="exact"/>
        <w:ind w:firstLine="420" w:firstLineChars="200"/>
        <w:rPr>
          <w:rFonts w:hint="eastAsia" w:ascii="宋体" w:hAnsi="宋体"/>
          <w:color w:val="000000"/>
          <w:szCs w:val="21"/>
        </w:rPr>
      </w:pPr>
      <w:r>
        <w:rPr>
          <w:rFonts w:hint="eastAsia" w:ascii="宋体" w:hAnsi="宋体"/>
          <w:color w:val="000000"/>
          <w:szCs w:val="21"/>
        </w:rPr>
        <w:t>自本公告发布之日起5个工作日。</w:t>
      </w:r>
    </w:p>
    <w:p>
      <w:pPr>
        <w:spacing w:line="400" w:lineRule="exact"/>
        <w:rPr>
          <w:rFonts w:ascii="宋体" w:hAnsi="宋体"/>
          <w:b/>
          <w:color w:val="000000"/>
          <w:szCs w:val="21"/>
        </w:rPr>
      </w:pPr>
      <w:r>
        <w:rPr>
          <w:rFonts w:hint="eastAsia" w:ascii="宋体" w:hAnsi="宋体"/>
          <w:b/>
          <w:color w:val="000000"/>
          <w:szCs w:val="21"/>
        </w:rPr>
        <w:t>六、其他补充事宜</w:t>
      </w:r>
    </w:p>
    <w:p>
      <w:pPr>
        <w:spacing w:line="400" w:lineRule="exact"/>
        <w:ind w:firstLine="420" w:firstLineChars="200"/>
        <w:rPr>
          <w:rFonts w:ascii="宋体" w:hAnsi="宋体"/>
          <w:color w:val="000000"/>
          <w:szCs w:val="21"/>
        </w:rPr>
      </w:pPr>
      <w:r>
        <w:rPr>
          <w:rFonts w:hint="eastAsia" w:ascii="宋体" w:hAnsi="宋体"/>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hint="eastAsia" w:ascii="宋体" w:hAnsi="宋体"/>
          <w:color w:val="000000"/>
          <w:szCs w:val="21"/>
        </w:rPr>
      </w:pPr>
      <w:r>
        <w:rPr>
          <w:rFonts w:hint="eastAsia" w:ascii="宋体" w:hAnsi="宋体"/>
          <w:color w:val="000000"/>
          <w:szCs w:val="21"/>
        </w:rPr>
        <w:t>2.其他事项：（1）参加投标的投标人应于投标前到“浙江政府采购网（http://zfcg.czt.zj.gov.cn/）”上进行投标人注册申请，并通过财政部门的终审后登记加入到“浙江省政府采购投标人库”。中标或成交投标人必须注册并登记加入“浙江省政府采购投标人库”。具体要求及注册申请流程详见《浙江省政府采购投标人注册及诚信管理暂行办法》（浙财采监字{2009}28号）和浙江政府采购网“网上办事指南”的“投标人注册申请”。（2）单位负责人为同一人或者存在直接控股、管理关系的不同投标人，不得参加同一子包号的投标。（3）为本项目提供整体设计、规范编制或者项目管理、监理、检测等服务的投标人，不得再参加本项目的投标。（4）落实的政策：《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5）因目前尚处于新冠肺炎疫情防控期，各投标人应严格遵守杭州湾新区公共资源交易中心各项防疫规定。</w:t>
      </w:r>
    </w:p>
    <w:p>
      <w:pPr>
        <w:spacing w:line="400" w:lineRule="exact"/>
        <w:rPr>
          <w:rFonts w:ascii="宋体" w:hAnsi="宋体"/>
          <w:b/>
          <w:color w:val="000000"/>
          <w:szCs w:val="21"/>
        </w:rPr>
      </w:pPr>
      <w:r>
        <w:rPr>
          <w:rFonts w:hint="eastAsia" w:ascii="宋体" w:hAnsi="宋体"/>
          <w:b/>
          <w:color w:val="000000"/>
          <w:szCs w:val="21"/>
        </w:rPr>
        <w:t>七、对本次采购提出询问、质疑、投诉，请按以下方式联系</w:t>
      </w:r>
    </w:p>
    <w:p>
      <w:pPr>
        <w:spacing w:line="400" w:lineRule="exact"/>
        <w:rPr>
          <w:rFonts w:hint="eastAsia" w:ascii="宋体" w:hAnsi="宋体"/>
          <w:color w:val="000000"/>
          <w:szCs w:val="21"/>
        </w:rPr>
      </w:pPr>
      <w:r>
        <w:rPr>
          <w:rFonts w:hint="eastAsia" w:ascii="宋体" w:hAnsi="宋体"/>
          <w:color w:val="000000"/>
          <w:szCs w:val="21"/>
        </w:rPr>
        <w:t>1.采购人信息</w:t>
      </w:r>
    </w:p>
    <w:p>
      <w:pPr>
        <w:spacing w:line="400" w:lineRule="exact"/>
        <w:ind w:firstLine="420" w:firstLineChars="200"/>
        <w:rPr>
          <w:rFonts w:hint="eastAsia" w:ascii="宋体" w:hAnsi="宋体"/>
          <w:color w:val="000000"/>
          <w:szCs w:val="21"/>
        </w:rPr>
      </w:pPr>
      <w:r>
        <w:rPr>
          <w:rFonts w:hint="eastAsia" w:ascii="宋体" w:hAnsi="宋体"/>
          <w:color w:val="000000"/>
          <w:szCs w:val="21"/>
        </w:rPr>
        <w:t>名称：宁波杭州湾新区教育发展中心</w:t>
      </w:r>
    </w:p>
    <w:p>
      <w:pPr>
        <w:spacing w:line="400" w:lineRule="exact"/>
        <w:ind w:firstLine="420" w:firstLineChars="200"/>
        <w:rPr>
          <w:rFonts w:hint="eastAsia" w:ascii="宋体" w:hAnsi="宋体"/>
          <w:color w:val="000000"/>
          <w:szCs w:val="21"/>
        </w:rPr>
      </w:pPr>
      <w:r>
        <w:rPr>
          <w:rFonts w:hint="eastAsia" w:ascii="宋体" w:hAnsi="宋体"/>
          <w:color w:val="000000"/>
          <w:szCs w:val="21"/>
        </w:rPr>
        <w:t>地址：宁波市杭州湾新区兴慈一路1号</w:t>
      </w:r>
    </w:p>
    <w:p>
      <w:pPr>
        <w:spacing w:line="400" w:lineRule="exact"/>
        <w:ind w:firstLine="420" w:firstLineChars="200"/>
        <w:rPr>
          <w:rFonts w:hint="eastAsia" w:ascii="宋体" w:hAnsi="宋体"/>
          <w:color w:val="000000"/>
          <w:szCs w:val="21"/>
        </w:rPr>
      </w:pPr>
      <w:r>
        <w:rPr>
          <w:rFonts w:hint="eastAsia" w:ascii="宋体" w:hAnsi="宋体"/>
          <w:color w:val="000000"/>
          <w:szCs w:val="21"/>
        </w:rPr>
        <w:t>传真：/</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项目联系人（询问）：陈庭</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项目联系方式（询问）：0574-89280312</w:t>
      </w:r>
    </w:p>
    <w:p>
      <w:pPr>
        <w:spacing w:line="400" w:lineRule="exact"/>
        <w:ind w:firstLine="420" w:firstLineChars="200"/>
        <w:rPr>
          <w:rFonts w:hint="eastAsia" w:ascii="宋体" w:hAnsi="宋体"/>
          <w:color w:val="000000"/>
          <w:szCs w:val="21"/>
        </w:rPr>
      </w:pPr>
      <w:r>
        <w:rPr>
          <w:rFonts w:hint="eastAsia" w:ascii="宋体" w:hAnsi="宋体"/>
          <w:color w:val="000000"/>
          <w:szCs w:val="21"/>
        </w:rPr>
        <w:t>质疑联系人：330295008011fp</w:t>
      </w:r>
    </w:p>
    <w:p>
      <w:pPr>
        <w:spacing w:line="400" w:lineRule="exact"/>
        <w:ind w:firstLine="420" w:firstLineChars="200"/>
        <w:rPr>
          <w:rFonts w:hint="eastAsia" w:ascii="宋体" w:hAnsi="宋体"/>
          <w:color w:val="000000"/>
          <w:szCs w:val="21"/>
        </w:rPr>
      </w:pPr>
      <w:r>
        <w:rPr>
          <w:rFonts w:hint="eastAsia" w:ascii="宋体" w:hAnsi="宋体"/>
          <w:color w:val="000000"/>
          <w:szCs w:val="21"/>
        </w:rPr>
        <w:t>质疑联系方式：0574-89280312</w:t>
      </w:r>
    </w:p>
    <w:p>
      <w:pPr>
        <w:spacing w:line="400" w:lineRule="exact"/>
        <w:ind w:firstLine="420" w:firstLineChars="200"/>
        <w:rPr>
          <w:rFonts w:hint="eastAsia" w:ascii="宋体" w:hAnsi="宋体"/>
          <w:color w:val="000000"/>
          <w:szCs w:val="21"/>
        </w:rPr>
      </w:pPr>
      <w:r>
        <w:rPr>
          <w:rFonts w:hint="eastAsia" w:ascii="宋体" w:hAnsi="宋体"/>
          <w:color w:val="000000"/>
          <w:szCs w:val="21"/>
        </w:rPr>
        <w:br w:type="textWrapping"/>
      </w:r>
      <w:r>
        <w:rPr>
          <w:rFonts w:hint="eastAsia" w:ascii="宋体" w:hAnsi="宋体"/>
          <w:color w:val="000000"/>
          <w:szCs w:val="21"/>
        </w:rPr>
        <w:t>2.采购代理机构信息</w:t>
      </w:r>
    </w:p>
    <w:p>
      <w:pPr>
        <w:spacing w:line="400" w:lineRule="exact"/>
        <w:ind w:firstLine="420" w:firstLineChars="200"/>
        <w:rPr>
          <w:rFonts w:hint="eastAsia" w:ascii="宋体" w:hAnsi="宋体"/>
          <w:color w:val="000000"/>
          <w:szCs w:val="21"/>
        </w:rPr>
      </w:pPr>
      <w:r>
        <w:rPr>
          <w:rFonts w:hint="eastAsia" w:ascii="宋体" w:hAnsi="宋体"/>
          <w:color w:val="000000"/>
          <w:szCs w:val="21"/>
        </w:rPr>
        <w:t>名称：宁波市国际招标有限公司</w:t>
      </w:r>
    </w:p>
    <w:p>
      <w:pPr>
        <w:spacing w:line="400" w:lineRule="exact"/>
        <w:ind w:firstLine="420" w:firstLineChars="200"/>
        <w:rPr>
          <w:rFonts w:hint="eastAsia" w:ascii="宋体" w:hAnsi="宋体"/>
          <w:color w:val="000000"/>
          <w:szCs w:val="21"/>
        </w:rPr>
      </w:pPr>
      <w:r>
        <w:rPr>
          <w:rFonts w:hint="eastAsia" w:ascii="宋体" w:hAnsi="宋体"/>
          <w:color w:val="000000"/>
          <w:szCs w:val="21"/>
        </w:rPr>
        <w:t>地址：宁波市江北区环城北路西段207弄19号世茂茂悦商业中心1号楼七、八楼</w:t>
      </w:r>
    </w:p>
    <w:p>
      <w:pPr>
        <w:spacing w:line="400" w:lineRule="exact"/>
        <w:ind w:firstLine="420" w:firstLineChars="200"/>
        <w:rPr>
          <w:rFonts w:hint="eastAsia" w:ascii="宋体" w:hAnsi="宋体"/>
          <w:color w:val="000000"/>
          <w:szCs w:val="21"/>
        </w:rPr>
      </w:pPr>
      <w:r>
        <w:rPr>
          <w:rFonts w:hint="eastAsia" w:ascii="宋体" w:hAnsi="宋体"/>
          <w:color w:val="000000"/>
          <w:szCs w:val="21"/>
        </w:rPr>
        <w:t>传真：0574-87198579</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项目联系人（询问）：曹雪阳</w:t>
      </w:r>
    </w:p>
    <w:p>
      <w:pPr>
        <w:spacing w:line="400" w:lineRule="exact"/>
        <w:ind w:firstLine="420" w:firstLineChars="200"/>
        <w:rPr>
          <w:rFonts w:hint="eastAsia" w:ascii="宋体" w:hAnsi="宋体"/>
          <w:color w:val="000000"/>
          <w:szCs w:val="21"/>
        </w:rPr>
      </w:pPr>
      <w:r>
        <w:rPr>
          <w:rFonts w:hint="eastAsia" w:ascii="宋体" w:hAnsi="宋体"/>
          <w:color w:val="000000"/>
          <w:szCs w:val="21"/>
        </w:rPr>
        <w:t>项目联系方式（询问）：0574-87307605</w:t>
      </w:r>
    </w:p>
    <w:p>
      <w:pPr>
        <w:spacing w:line="400" w:lineRule="exact"/>
        <w:ind w:firstLine="420" w:firstLineChars="200"/>
        <w:rPr>
          <w:rFonts w:hint="eastAsia" w:ascii="宋体" w:hAnsi="宋体"/>
          <w:color w:val="000000"/>
          <w:szCs w:val="21"/>
        </w:rPr>
      </w:pPr>
      <w:r>
        <w:rPr>
          <w:rFonts w:hint="eastAsia" w:ascii="宋体" w:hAnsi="宋体"/>
          <w:color w:val="000000"/>
          <w:szCs w:val="21"/>
        </w:rPr>
        <w:t>质疑联系人：徐徕</w:t>
      </w:r>
    </w:p>
    <w:p>
      <w:pPr>
        <w:spacing w:line="400" w:lineRule="exact"/>
        <w:ind w:firstLine="420" w:firstLineChars="200"/>
        <w:rPr>
          <w:rFonts w:ascii="宋体" w:hAnsi="宋体"/>
          <w:color w:val="000000"/>
          <w:szCs w:val="21"/>
        </w:rPr>
      </w:pPr>
      <w:r>
        <w:rPr>
          <w:rFonts w:hint="eastAsia" w:ascii="宋体" w:hAnsi="宋体"/>
          <w:color w:val="000000"/>
          <w:szCs w:val="21"/>
        </w:rPr>
        <w:t>质疑联系方式：0574-87224347</w:t>
      </w:r>
    </w:p>
    <w:p>
      <w:pPr>
        <w:spacing w:line="400" w:lineRule="exact"/>
        <w:ind w:firstLine="420" w:firstLineChars="200"/>
        <w:rPr>
          <w:rFonts w:hint="eastAsia" w:ascii="宋体" w:hAnsi="宋体"/>
          <w:color w:val="000000"/>
          <w:szCs w:val="21"/>
        </w:rPr>
      </w:pPr>
      <w:r>
        <w:rPr>
          <w:rFonts w:hint="eastAsia" w:ascii="宋体" w:hAnsi="宋体"/>
          <w:color w:val="000000"/>
          <w:szCs w:val="21"/>
        </w:rPr>
        <w:t>3.同级政府采购监督管理部门</w:t>
      </w:r>
    </w:p>
    <w:p>
      <w:pPr>
        <w:spacing w:line="400" w:lineRule="exact"/>
        <w:ind w:firstLine="420" w:firstLineChars="200"/>
        <w:rPr>
          <w:rFonts w:hint="eastAsia" w:ascii="宋体" w:hAnsi="宋体"/>
          <w:color w:val="000000"/>
          <w:szCs w:val="21"/>
        </w:rPr>
      </w:pPr>
      <w:r>
        <w:rPr>
          <w:rFonts w:hint="eastAsia" w:ascii="宋体" w:hAnsi="宋体"/>
          <w:color w:val="000000"/>
          <w:szCs w:val="21"/>
        </w:rPr>
        <w:t>名称：宁波杭州湾新区公共资源交易管理办公室</w:t>
      </w:r>
    </w:p>
    <w:p>
      <w:pPr>
        <w:spacing w:line="400" w:lineRule="exact"/>
        <w:ind w:firstLine="420" w:firstLineChars="200"/>
        <w:rPr>
          <w:rFonts w:hint="eastAsia" w:ascii="宋体" w:hAnsi="宋体"/>
          <w:color w:val="000000"/>
          <w:szCs w:val="21"/>
        </w:rPr>
      </w:pPr>
      <w:r>
        <w:rPr>
          <w:rFonts w:hint="eastAsia" w:ascii="宋体" w:hAnsi="宋体"/>
          <w:color w:val="000000"/>
          <w:szCs w:val="21"/>
        </w:rPr>
        <w:t>地址：宁波杭州湾新区兴慈一路296号新区行政服务中心</w:t>
      </w:r>
    </w:p>
    <w:p>
      <w:pPr>
        <w:spacing w:line="400" w:lineRule="exact"/>
        <w:ind w:firstLine="420" w:firstLineChars="200"/>
        <w:rPr>
          <w:rFonts w:hint="eastAsia" w:ascii="宋体" w:hAnsi="宋体"/>
          <w:color w:val="000000"/>
          <w:szCs w:val="21"/>
        </w:rPr>
      </w:pPr>
      <w:r>
        <w:rPr>
          <w:rFonts w:hint="eastAsia" w:ascii="宋体" w:hAnsi="宋体"/>
          <w:color w:val="000000"/>
          <w:szCs w:val="21"/>
        </w:rPr>
        <w:t>传真：/</w:t>
      </w:r>
    </w:p>
    <w:p>
      <w:pPr>
        <w:spacing w:line="400" w:lineRule="exact"/>
        <w:ind w:firstLine="420" w:firstLineChars="200"/>
        <w:rPr>
          <w:rFonts w:hint="eastAsia" w:ascii="宋体" w:hAnsi="宋体"/>
          <w:color w:val="000000"/>
          <w:szCs w:val="21"/>
        </w:rPr>
      </w:pPr>
      <w:r>
        <w:rPr>
          <w:rFonts w:hint="eastAsia" w:ascii="宋体" w:hAnsi="宋体"/>
          <w:color w:val="000000"/>
          <w:szCs w:val="21"/>
        </w:rPr>
        <w:t>联系人：许老师</w:t>
      </w:r>
    </w:p>
    <w:p>
      <w:pPr>
        <w:spacing w:line="400" w:lineRule="exact"/>
        <w:ind w:firstLine="420" w:firstLineChars="200"/>
        <w:rPr>
          <w:rFonts w:hint="eastAsia" w:ascii="宋体" w:hAnsi="宋体"/>
          <w:color w:val="000000"/>
          <w:szCs w:val="21"/>
        </w:rPr>
      </w:pPr>
      <w:r>
        <w:rPr>
          <w:rFonts w:hint="eastAsia" w:ascii="宋体" w:hAnsi="宋体"/>
          <w:color w:val="000000"/>
          <w:szCs w:val="21"/>
        </w:rPr>
        <w:t>监督投诉电话：0574-89388875</w:t>
      </w:r>
      <w:r>
        <w:rPr>
          <w:rFonts w:hint="eastAsia" w:ascii="宋体" w:hAnsi="宋体"/>
          <w:color w:val="000000"/>
          <w:szCs w:val="21"/>
        </w:rPr>
        <w:br w:type="textWrapping"/>
      </w:r>
    </w:p>
    <w:p>
      <w:pPr>
        <w:spacing w:line="400" w:lineRule="exact"/>
        <w:ind w:firstLine="420" w:firstLineChars="200"/>
        <w:rPr>
          <w:rFonts w:ascii="宋体" w:hAnsi="宋体"/>
          <w:color w:val="000000"/>
          <w:szCs w:val="21"/>
        </w:rPr>
      </w:pPr>
      <w:r>
        <w:rPr>
          <w:rFonts w:hint="eastAsia" w:ascii="宋体" w:hAnsi="宋体"/>
          <w:color w:val="000000"/>
          <w:szCs w:val="21"/>
        </w:rPr>
        <w:t>若对项目采购电子交易系统操作有疑问，可登录政采云（https://www.zcygov.cn/），点击右侧咨询小采，获取采小蜜智能服务管家帮助，或拨打政采云服务热线400-881-7190获取热线服务帮助。</w:t>
      </w:r>
    </w:p>
    <w:p>
      <w:pPr>
        <w:spacing w:line="400" w:lineRule="exact"/>
        <w:ind w:firstLine="420" w:firstLineChars="200"/>
        <w:rPr>
          <w:rFonts w:hint="eastAsia" w:ascii="宋体" w:hAnsi="宋体"/>
          <w:color w:val="000000"/>
          <w:szCs w:val="21"/>
        </w:rPr>
      </w:pPr>
      <w:r>
        <w:rPr>
          <w:rFonts w:hint="eastAsia" w:ascii="宋体" w:hAnsi="宋体"/>
          <w:color w:val="000000"/>
          <w:szCs w:val="21"/>
        </w:rPr>
        <w:t>CA问题联系电话（人工）：汇信CA400-888-4636；天谷CA400-087-8198。</w:t>
      </w:r>
    </w:p>
    <w:p>
      <w:pPr>
        <w:spacing w:line="400" w:lineRule="exact"/>
        <w:ind w:firstLine="420" w:firstLineChars="200"/>
        <w:rPr>
          <w:rFonts w:hint="eastAsia" w:ascii="宋体" w:hAnsi="宋体"/>
          <w:color w:val="000000"/>
          <w:szCs w:val="21"/>
        </w:rPr>
      </w:pPr>
    </w:p>
    <w:p>
      <w:pPr>
        <w:widowControl/>
        <w:spacing w:line="400" w:lineRule="exact"/>
        <w:ind w:firstLine="480"/>
        <w:jc w:val="right"/>
        <w:rPr>
          <w:rFonts w:ascii="宋体" w:hAnsi="宋体"/>
          <w:color w:val="000000"/>
          <w:sz w:val="24"/>
        </w:rPr>
        <w:sectPr>
          <w:footerReference r:id="rId7" w:type="default"/>
          <w:pgSz w:w="11907" w:h="16840"/>
          <w:pgMar w:top="1139" w:right="1417" w:bottom="1134" w:left="1418" w:header="285" w:footer="701" w:gutter="0"/>
          <w:pgNumType w:start="1"/>
          <w:cols w:space="720" w:num="1"/>
          <w:docGrid w:linePitch="285" w:charSpace="0"/>
        </w:sectPr>
      </w:pPr>
    </w:p>
    <w:p>
      <w:pPr>
        <w:spacing w:line="400" w:lineRule="exact"/>
        <w:jc w:val="center"/>
        <w:outlineLvl w:val="0"/>
        <w:rPr>
          <w:rFonts w:hint="eastAsia" w:ascii="宋体" w:hAnsi="宋体"/>
          <w:b/>
          <w:color w:val="000000"/>
          <w:sz w:val="32"/>
        </w:rPr>
      </w:pPr>
      <w:bookmarkStart w:id="11" w:name="_Toc529355803"/>
      <w:r>
        <w:rPr>
          <w:rFonts w:hint="eastAsia" w:ascii="宋体" w:hAnsi="宋体"/>
          <w:b/>
          <w:color w:val="000000"/>
          <w:sz w:val="32"/>
        </w:rPr>
        <w:t>第二章  投标须知</w:t>
      </w:r>
      <w:bookmarkEnd w:id="11"/>
    </w:p>
    <w:p>
      <w:pPr>
        <w:spacing w:line="400" w:lineRule="exact"/>
        <w:ind w:firstLine="422" w:firstLineChars="200"/>
        <w:rPr>
          <w:rFonts w:hint="eastAsia" w:ascii="宋体" w:hAnsi="宋体"/>
          <w:b/>
          <w:color w:val="000000"/>
          <w:szCs w:val="21"/>
        </w:rPr>
      </w:pPr>
      <w:r>
        <w:rPr>
          <w:rFonts w:hint="eastAsia" w:ascii="宋体" w:hAnsi="宋体"/>
          <w:b/>
          <w:color w:val="000000"/>
          <w:szCs w:val="21"/>
        </w:rPr>
        <w:t>一、适用范围</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二、定义</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1、“采购人”系指宁波杭州湾新区教育发展中心。</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2、“代理机构”系指宁波市国际招标有限公司。</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3、“供应商”系指提交投标文件的供应商。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4、“货物”系指供方按招标文件规定，须向采购人提供的一切设备、系统、保险、税金、备品备件、工具、手册及其它有关技术资料和材料。</w:t>
      </w:r>
    </w:p>
    <w:p>
      <w:pPr>
        <w:spacing w:line="400" w:lineRule="exact"/>
        <w:ind w:firstLine="420" w:firstLineChars="200"/>
        <w:jc w:val="left"/>
        <w:rPr>
          <w:rFonts w:ascii="宋体" w:hAnsi="宋体"/>
          <w:color w:val="000000"/>
          <w:szCs w:val="21"/>
        </w:rPr>
      </w:pPr>
      <w:r>
        <w:rPr>
          <w:rFonts w:hint="eastAsia" w:ascii="宋体" w:hAnsi="宋体"/>
          <w:color w:val="000000"/>
          <w:szCs w:val="21"/>
        </w:rPr>
        <w:t>5、“服务”系指招标文件规定供应商</w:t>
      </w:r>
      <w:r>
        <w:rPr>
          <w:rFonts w:hint="eastAsia" w:ascii="宋体" w:hAnsi="宋体" w:cs="Arial"/>
          <w:color w:val="000000"/>
        </w:rPr>
        <w:t>须承担的</w:t>
      </w:r>
      <w:r>
        <w:rPr>
          <w:rFonts w:hint="eastAsia" w:ascii="宋体" w:hAnsi="宋体"/>
          <w:color w:val="000000"/>
          <w:szCs w:val="21"/>
        </w:rPr>
        <w:t>技术协助、</w:t>
      </w:r>
      <w:r>
        <w:rPr>
          <w:rFonts w:hint="eastAsia" w:ascii="宋体" w:hAnsi="宋体" w:cs="Arial"/>
          <w:color w:val="000000"/>
        </w:rPr>
        <w:t>安装、调试、校准、培训以及其他类似的义务。</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6、“▲”系指实质性响应条款。</w:t>
      </w:r>
    </w:p>
    <w:p>
      <w:pPr>
        <w:spacing w:line="400" w:lineRule="exact"/>
        <w:ind w:firstLine="420" w:firstLineChars="200"/>
        <w:jc w:val="lef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三、供应商的资格要求</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详见招标公告。</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四、投标费用</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无论投标过程和结果如何，供应商自行承担与投标有关的全部费用。</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五、投标报价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报价以人民币为结算货币，包括但不限于货物及各类配件的生产及购置、运输、装卸、现场安装、检测、保险、验收等交付使用前发生的所有工作，以及软件平台的开发、安装、调试，各类技术服务（包括相关技术资料、图纸、资料的提供）、质保期内售后服务等相关费用（包括材料、货物物价上涨因素）</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2、供应商应按招标文件要求认真填写“开标一览表”和“分项报价表”。</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六、投标有效期</w:t>
      </w:r>
    </w:p>
    <w:p>
      <w:pPr>
        <w:spacing w:line="400" w:lineRule="exact"/>
        <w:ind w:firstLine="210" w:firstLineChars="100"/>
        <w:jc w:val="left"/>
        <w:rPr>
          <w:rFonts w:hint="eastAsia" w:ascii="宋体" w:hAnsi="宋体"/>
          <w:b/>
          <w:color w:val="000000"/>
          <w:szCs w:val="21"/>
        </w:rPr>
      </w:pPr>
      <w:r>
        <w:rPr>
          <w:rFonts w:hint="eastAsia" w:ascii="宋体" w:hAnsi="宋体"/>
          <w:color w:val="000000"/>
          <w:szCs w:val="21"/>
        </w:rPr>
        <w:t>▲1、投标文件从开标之日起，投标有效期为90个日历日。有效期自开标日起计算，不能小于招标文件的要求。</w:t>
      </w:r>
    </w:p>
    <w:p>
      <w:pPr>
        <w:spacing w:line="400" w:lineRule="exact"/>
        <w:ind w:firstLine="420" w:firstLineChars="200"/>
        <w:jc w:val="left"/>
        <w:rPr>
          <w:rFonts w:hint="eastAsia" w:ascii="宋体" w:hAnsi="宋体"/>
          <w:b/>
          <w:color w:val="000000"/>
          <w:szCs w:val="21"/>
        </w:rPr>
      </w:pPr>
      <w:r>
        <w:rPr>
          <w:rFonts w:hint="eastAsia" w:ascii="宋体" w:hAnsi="宋体"/>
          <w:color w:val="000000"/>
          <w:szCs w:val="21"/>
        </w:rPr>
        <w:t>2、特殊情况下，采购人可与供应商协商延缓投标文件的有效期，这种要求和答复均以书面形式进行。</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3、供应商可拒绝接受延期要求。同意延长有效期的供应商不能修改投标文件。</w:t>
      </w:r>
    </w:p>
    <w:p>
      <w:pPr>
        <w:spacing w:line="400" w:lineRule="exact"/>
        <w:ind w:firstLine="422" w:firstLineChars="200"/>
        <w:jc w:val="left"/>
        <w:rPr>
          <w:rFonts w:hint="eastAsia" w:ascii="宋体" w:hAnsi="宋体"/>
          <w:b/>
          <w:color w:val="000000"/>
          <w:szCs w:val="21"/>
        </w:rPr>
      </w:pPr>
      <w:bookmarkStart w:id="12" w:name="_Hlk45545382"/>
      <w:r>
        <w:rPr>
          <w:rFonts w:hint="eastAsia" w:ascii="宋体" w:hAnsi="宋体"/>
          <w:b/>
          <w:color w:val="000000"/>
          <w:szCs w:val="21"/>
        </w:rPr>
        <w:t>七、投标文件的组成</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1、投标书（附件一）；</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2、开标一览表（附件二）；</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3、分项报价表（附件三）；</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法定代表人身份证明</w:t>
      </w:r>
      <w:r>
        <w:rPr>
          <w:rFonts w:hint="eastAsia" w:ascii="宋体" w:hAnsi="宋体"/>
          <w:color w:val="000000"/>
          <w:szCs w:val="21"/>
        </w:rPr>
        <w:t>（附件四）；</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5、法定代表人授权书（投标文件由授权代表签字的）（附件五）；</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6、资格证明文件：</w:t>
      </w:r>
    </w:p>
    <w:p>
      <w:pPr>
        <w:spacing w:line="400" w:lineRule="exact"/>
        <w:ind w:left="420"/>
        <w:jc w:val="left"/>
        <w:rPr>
          <w:rFonts w:ascii="宋体" w:hAnsi="宋体"/>
          <w:color w:val="000000"/>
          <w:szCs w:val="21"/>
        </w:rPr>
      </w:pPr>
      <w:r>
        <w:rPr>
          <w:rFonts w:hint="eastAsia" w:ascii="宋体" w:hAnsi="宋体"/>
          <w:color w:val="000000"/>
          <w:szCs w:val="21"/>
        </w:rPr>
        <w:t>6-1.关于资格的声明函（附件六）；</w:t>
      </w:r>
    </w:p>
    <w:p>
      <w:pPr>
        <w:spacing w:line="400" w:lineRule="exact"/>
        <w:ind w:firstLine="420" w:firstLineChars="200"/>
        <w:jc w:val="left"/>
        <w:rPr>
          <w:rFonts w:ascii="宋体" w:hAnsi="宋体"/>
          <w:color w:val="000000"/>
          <w:szCs w:val="21"/>
        </w:rPr>
      </w:pPr>
      <w:r>
        <w:rPr>
          <w:rFonts w:hint="eastAsia" w:ascii="宋体" w:hAnsi="宋体"/>
          <w:color w:val="000000"/>
          <w:szCs w:val="21"/>
        </w:rPr>
        <w:t>6-2.营业执照副本复印件加盖供应商公章；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6-3.税务登记证副本复印件加盖供应商公章；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6-4.组织机构代码证副本复印件加盖供应商公章；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6-5.社会保险登记证副本复印件加盖供应商公章；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6-6.2019年度财务会计报表复印件加盖供应商公章；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6-7.2019年度缴纳税收的证明资料复印件加盖供应商公章；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6-8.2019年度缴纳社保的证明资料复印件加盖供应商公章；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6-9.无重大违法记录声明函（附件七）；</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6-10.供应商一般情况（附件八）；</w:t>
      </w:r>
    </w:p>
    <w:p>
      <w:pPr>
        <w:spacing w:line="380" w:lineRule="exact"/>
        <w:ind w:firstLine="420" w:firstLineChars="200"/>
        <w:rPr>
          <w:rFonts w:ascii="宋体" w:hAnsi="宋体"/>
          <w:color w:val="000000"/>
        </w:rPr>
      </w:pPr>
      <w:r>
        <w:rPr>
          <w:rFonts w:hint="eastAsia" w:ascii="宋体" w:hAnsi="宋体"/>
          <w:color w:val="000000"/>
          <w:szCs w:val="21"/>
        </w:rPr>
        <w:t>注：</w:t>
      </w:r>
      <w:r>
        <w:rPr>
          <w:rFonts w:hint="eastAsia" w:ascii="宋体" w:hAnsi="宋体"/>
          <w:color w:val="000000"/>
        </w:rPr>
        <w:t>a</w:t>
      </w:r>
      <w:r>
        <w:rPr>
          <w:rFonts w:ascii="宋体" w:hAnsi="宋体"/>
          <w:color w:val="000000"/>
        </w:rPr>
        <w:t>、已办理多证合一的供应商无须提供税务登记证副本、组织机构代码证副本、社会保险登记证副本复印件加盖供应商公章。</w:t>
      </w:r>
    </w:p>
    <w:p>
      <w:pPr>
        <w:spacing w:line="380" w:lineRule="exact"/>
        <w:ind w:firstLine="420" w:firstLineChars="200"/>
        <w:rPr>
          <w:rFonts w:ascii="宋体" w:hAnsi="宋体"/>
          <w:color w:val="000000"/>
          <w:szCs w:val="21"/>
        </w:rPr>
      </w:pPr>
      <w:r>
        <w:rPr>
          <w:rFonts w:hint="eastAsia" w:ascii="宋体" w:hAnsi="宋体"/>
          <w:color w:val="000000"/>
          <w:szCs w:val="21"/>
        </w:rPr>
        <w:t>b</w:t>
      </w:r>
      <w:r>
        <w:rPr>
          <w:rFonts w:ascii="宋体" w:hAnsi="宋体"/>
          <w:color w:val="000000"/>
          <w:szCs w:val="21"/>
        </w:rPr>
        <w:t>、供应商注册成立不足一年的，应提供供应商单位成立至20</w:t>
      </w:r>
      <w:r>
        <w:rPr>
          <w:rFonts w:hint="eastAsia" w:ascii="宋体" w:hAnsi="宋体"/>
          <w:color w:val="000000"/>
          <w:szCs w:val="21"/>
        </w:rPr>
        <w:t>20</w:t>
      </w:r>
      <w:r>
        <w:rPr>
          <w:rFonts w:ascii="宋体" w:hAnsi="宋体"/>
          <w:color w:val="000000"/>
          <w:szCs w:val="21"/>
        </w:rPr>
        <w:t>年6月份的财务会计报表</w:t>
      </w:r>
      <w:r>
        <w:rPr>
          <w:rFonts w:hint="eastAsia" w:ascii="宋体" w:hAnsi="宋体"/>
          <w:color w:val="000000"/>
          <w:szCs w:val="21"/>
        </w:rPr>
        <w:t>、缴纳税收的证明资料、缴纳社保的证明资料</w:t>
      </w:r>
      <w:r>
        <w:rPr>
          <w:rFonts w:ascii="宋体" w:hAnsi="宋体"/>
          <w:color w:val="000000"/>
          <w:szCs w:val="21"/>
        </w:rPr>
        <w:t>复印件加盖供应商公章。</w:t>
      </w:r>
    </w:p>
    <w:p>
      <w:pPr>
        <w:spacing w:line="400" w:lineRule="exact"/>
        <w:ind w:firstLine="420" w:firstLineChars="200"/>
        <w:jc w:val="left"/>
        <w:rPr>
          <w:rFonts w:ascii="宋体" w:hAnsi="宋体"/>
          <w:color w:val="000000"/>
          <w:szCs w:val="21"/>
        </w:rPr>
      </w:pPr>
      <w:r>
        <w:rPr>
          <w:rFonts w:hint="eastAsia" w:ascii="宋体" w:hAnsi="宋体"/>
          <w:color w:val="000000"/>
          <w:szCs w:val="21"/>
        </w:rPr>
        <w:t>c、依法免税或不需要缴纳社保的供应商，应提供相应文件证明其依法免税或不需要缴纳社保。</w:t>
      </w:r>
    </w:p>
    <w:p>
      <w:pPr>
        <w:spacing w:line="400" w:lineRule="exact"/>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11</w:t>
      </w:r>
      <w:r>
        <w:rPr>
          <w:rFonts w:hint="eastAsia" w:ascii="宋体" w:hAnsi="宋体"/>
          <w:color w:val="000000"/>
          <w:szCs w:val="21"/>
        </w:rPr>
        <w:t>.提供供应商的光纤网络资源情况说明加盖供应商公章；分支机构投标的，还须提供总公司（总机构）授权书原件加盖供应商公章或房产权证复印件加盖供应商公章或其他有效财产证明材料复印件加盖供应商公章。</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7、商务条款响应表（附件九）；</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8、技术条款响应表（附件十）；</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9、项目整体设计方案；</w:t>
      </w:r>
    </w:p>
    <w:p>
      <w:pPr>
        <w:spacing w:line="400" w:lineRule="exact"/>
        <w:ind w:firstLine="424" w:firstLineChars="202"/>
        <w:jc w:val="left"/>
        <w:rPr>
          <w:rFonts w:hint="eastAsia" w:ascii="宋体" w:hAnsi="宋体"/>
          <w:color w:val="000000"/>
          <w:szCs w:val="21"/>
        </w:rPr>
      </w:pPr>
      <w:r>
        <w:rPr>
          <w:rFonts w:ascii="宋体" w:hAnsi="宋体"/>
          <w:color w:val="000000"/>
          <w:szCs w:val="21"/>
        </w:rPr>
        <w:t>10</w:t>
      </w:r>
      <w:r>
        <w:rPr>
          <w:rFonts w:hint="eastAsia" w:ascii="宋体" w:hAnsi="宋体"/>
          <w:color w:val="000000"/>
          <w:szCs w:val="21"/>
        </w:rPr>
        <w:t>、项目建设方案；</w:t>
      </w:r>
    </w:p>
    <w:p>
      <w:pPr>
        <w:spacing w:line="400" w:lineRule="exact"/>
        <w:ind w:firstLine="424" w:firstLineChars="202"/>
        <w:jc w:val="left"/>
        <w:rPr>
          <w:rFonts w:hint="eastAsia" w:ascii="宋体" w:hAnsi="宋体"/>
          <w:color w:val="000000"/>
          <w:szCs w:val="21"/>
        </w:rPr>
      </w:pPr>
      <w:r>
        <w:rPr>
          <w:rFonts w:ascii="宋体" w:hAnsi="宋体"/>
          <w:color w:val="000000"/>
          <w:szCs w:val="21"/>
        </w:rPr>
        <w:t>11</w:t>
      </w:r>
      <w:r>
        <w:rPr>
          <w:rFonts w:hint="eastAsia" w:ascii="宋体" w:hAnsi="宋体"/>
          <w:color w:val="000000"/>
          <w:szCs w:val="21"/>
        </w:rPr>
        <w:t>、项目施工组织方案；</w:t>
      </w:r>
    </w:p>
    <w:p>
      <w:pPr>
        <w:spacing w:line="400" w:lineRule="exact"/>
        <w:ind w:firstLine="424" w:firstLineChars="202"/>
        <w:jc w:val="left"/>
        <w:rPr>
          <w:rFonts w:hint="eastAsia" w:ascii="宋体" w:hAnsi="宋体"/>
          <w:color w:val="000000"/>
          <w:szCs w:val="21"/>
        </w:rPr>
      </w:pPr>
      <w:r>
        <w:rPr>
          <w:rFonts w:ascii="宋体" w:hAnsi="宋体"/>
          <w:color w:val="000000"/>
          <w:szCs w:val="21"/>
        </w:rPr>
        <w:t>12</w:t>
      </w:r>
      <w:r>
        <w:rPr>
          <w:rFonts w:hint="eastAsia" w:ascii="宋体" w:hAnsi="宋体"/>
          <w:color w:val="000000"/>
          <w:szCs w:val="21"/>
        </w:rPr>
        <w:t>、服务团队情况（附件十一）；</w:t>
      </w:r>
    </w:p>
    <w:p>
      <w:pPr>
        <w:spacing w:line="400" w:lineRule="exact"/>
        <w:ind w:firstLine="424" w:firstLineChars="202"/>
        <w:jc w:val="left"/>
        <w:rPr>
          <w:rFonts w:hint="eastAsia" w:ascii="宋体" w:hAnsi="宋体"/>
          <w:color w:val="000000"/>
          <w:szCs w:val="21"/>
        </w:rPr>
      </w:pPr>
      <w:r>
        <w:rPr>
          <w:rFonts w:ascii="宋体" w:hAnsi="宋体"/>
          <w:color w:val="000000"/>
          <w:szCs w:val="21"/>
        </w:rPr>
        <w:t>13</w:t>
      </w:r>
      <w:r>
        <w:rPr>
          <w:rFonts w:hint="eastAsia" w:ascii="宋体" w:hAnsi="宋体"/>
          <w:color w:val="000000"/>
          <w:szCs w:val="21"/>
        </w:rPr>
        <w:t>、售后服务；</w:t>
      </w:r>
    </w:p>
    <w:p>
      <w:pPr>
        <w:spacing w:line="400" w:lineRule="exact"/>
        <w:ind w:firstLine="424" w:firstLineChars="202"/>
        <w:jc w:val="left"/>
        <w:rPr>
          <w:rFonts w:ascii="宋体" w:hAnsi="宋体"/>
          <w:color w:val="000000"/>
          <w:szCs w:val="21"/>
        </w:rPr>
      </w:pPr>
      <w:r>
        <w:rPr>
          <w:rFonts w:ascii="宋体" w:hAnsi="宋体"/>
          <w:color w:val="000000"/>
          <w:szCs w:val="21"/>
        </w:rPr>
        <w:t>14</w:t>
      </w:r>
      <w:r>
        <w:rPr>
          <w:rFonts w:hint="eastAsia" w:ascii="宋体" w:hAnsi="宋体"/>
          <w:color w:val="000000"/>
          <w:szCs w:val="21"/>
        </w:rPr>
        <w:t>、合理化建议及其他优惠措施；</w:t>
      </w:r>
    </w:p>
    <w:p>
      <w:pPr>
        <w:spacing w:line="400" w:lineRule="exact"/>
        <w:ind w:firstLine="424" w:firstLineChars="202"/>
        <w:jc w:val="left"/>
        <w:rPr>
          <w:rFonts w:hint="eastAsia" w:ascii="宋体" w:hAnsi="宋体"/>
          <w:color w:val="000000"/>
          <w:szCs w:val="21"/>
        </w:rPr>
      </w:pPr>
      <w:r>
        <w:rPr>
          <w:rFonts w:ascii="宋体" w:hAnsi="宋体"/>
          <w:color w:val="000000"/>
          <w:szCs w:val="21"/>
        </w:rPr>
        <w:t>15</w:t>
      </w:r>
      <w:r>
        <w:rPr>
          <w:rFonts w:hint="eastAsia" w:ascii="宋体" w:hAnsi="宋体"/>
          <w:color w:val="000000"/>
          <w:szCs w:val="21"/>
        </w:rPr>
        <w:t>、第三章“评标办法及标准”中“评分标准（兼评委打分表）”要求提供的资料（如有需提供）；</w:t>
      </w:r>
    </w:p>
    <w:p>
      <w:pPr>
        <w:spacing w:line="400" w:lineRule="exact"/>
        <w:ind w:firstLine="424" w:firstLineChars="202"/>
        <w:jc w:val="left"/>
        <w:rPr>
          <w:rFonts w:hint="eastAsia" w:ascii="宋体" w:hAnsi="宋体"/>
          <w:color w:val="000000"/>
          <w:szCs w:val="21"/>
        </w:rPr>
      </w:pPr>
      <w:r>
        <w:rPr>
          <w:rFonts w:ascii="宋体" w:hAnsi="宋体"/>
          <w:color w:val="000000"/>
          <w:szCs w:val="21"/>
        </w:rPr>
        <w:t>16</w:t>
      </w:r>
      <w:r>
        <w:rPr>
          <w:rFonts w:hint="eastAsia" w:ascii="宋体" w:hAnsi="宋体"/>
          <w:color w:val="000000"/>
          <w:szCs w:val="21"/>
        </w:rPr>
        <w:t>、投标单位</w:t>
      </w:r>
      <w:r>
        <w:rPr>
          <w:rFonts w:ascii="宋体" w:hAnsi="宋体"/>
          <w:color w:val="000000"/>
          <w:szCs w:val="21"/>
        </w:rPr>
        <w:t>声明函</w:t>
      </w:r>
      <w:r>
        <w:rPr>
          <w:rFonts w:hint="eastAsia" w:ascii="宋体" w:hAnsi="宋体"/>
          <w:color w:val="000000"/>
          <w:szCs w:val="21"/>
        </w:rPr>
        <w:t>（附件十二）；</w:t>
      </w:r>
    </w:p>
    <w:p>
      <w:pPr>
        <w:spacing w:line="400" w:lineRule="exact"/>
        <w:ind w:firstLine="424" w:firstLineChars="202"/>
        <w:jc w:val="left"/>
        <w:rPr>
          <w:rFonts w:hint="eastAsia" w:ascii="宋体" w:hAnsi="宋体"/>
          <w:color w:val="000000"/>
          <w:szCs w:val="21"/>
        </w:rPr>
      </w:pPr>
      <w:r>
        <w:rPr>
          <w:rFonts w:ascii="宋体" w:hAnsi="宋体"/>
          <w:color w:val="000000"/>
          <w:szCs w:val="21"/>
        </w:rPr>
        <w:t>17</w:t>
      </w:r>
      <w:r>
        <w:rPr>
          <w:rFonts w:hint="eastAsia" w:ascii="宋体" w:hAnsi="宋体"/>
          <w:color w:val="000000"/>
          <w:szCs w:val="21"/>
        </w:rPr>
        <w:t>、中小企业声明函（附件十三）；</w:t>
      </w:r>
    </w:p>
    <w:p>
      <w:pPr>
        <w:spacing w:line="400" w:lineRule="exact"/>
        <w:ind w:firstLine="424" w:firstLineChars="202"/>
        <w:jc w:val="left"/>
        <w:rPr>
          <w:rFonts w:hint="eastAsia" w:ascii="宋体" w:hAnsi="宋体"/>
          <w:color w:val="000000"/>
          <w:szCs w:val="21"/>
        </w:rPr>
      </w:pPr>
      <w:r>
        <w:rPr>
          <w:rFonts w:ascii="宋体" w:hAnsi="宋体"/>
          <w:color w:val="000000"/>
          <w:szCs w:val="21"/>
        </w:rPr>
        <w:t>18</w:t>
      </w:r>
      <w:r>
        <w:rPr>
          <w:rFonts w:hint="eastAsia" w:ascii="宋体" w:hAnsi="宋体"/>
          <w:color w:val="000000"/>
          <w:szCs w:val="21"/>
        </w:rPr>
        <w:t>、残疾人福利性单位声明函（如有需提供）（附件十四）；</w:t>
      </w:r>
    </w:p>
    <w:p>
      <w:pPr>
        <w:spacing w:line="400" w:lineRule="exact"/>
        <w:ind w:firstLine="424" w:firstLineChars="202"/>
        <w:jc w:val="left"/>
        <w:rPr>
          <w:rFonts w:hint="eastAsia" w:ascii="宋体" w:hAnsi="宋体"/>
          <w:color w:val="000000"/>
          <w:szCs w:val="21"/>
        </w:rPr>
      </w:pPr>
      <w:r>
        <w:rPr>
          <w:rFonts w:ascii="宋体" w:hAnsi="宋体"/>
          <w:color w:val="000000"/>
          <w:szCs w:val="21"/>
        </w:rPr>
        <w:t>19</w:t>
      </w:r>
      <w:r>
        <w:rPr>
          <w:rFonts w:hint="eastAsia" w:ascii="宋体" w:hAnsi="宋体"/>
          <w:color w:val="000000"/>
          <w:szCs w:val="21"/>
        </w:rPr>
        <w:t>、供应商认为需要的其他资料；</w:t>
      </w:r>
    </w:p>
    <w:bookmarkEnd w:id="12"/>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八、投标文件的编制、密封和标记</w:t>
      </w:r>
    </w:p>
    <w:p>
      <w:pPr>
        <w:tabs>
          <w:tab w:val="left" w:pos="900"/>
        </w:tabs>
        <w:spacing w:line="400" w:lineRule="exact"/>
        <w:ind w:firstLine="420" w:firstLineChars="200"/>
        <w:jc w:val="left"/>
        <w:rPr>
          <w:rFonts w:hint="eastAsia" w:ascii="宋体" w:hAnsi="宋体"/>
          <w:color w:val="000000"/>
          <w:szCs w:val="21"/>
        </w:rPr>
      </w:pPr>
      <w:r>
        <w:rPr>
          <w:rFonts w:ascii="宋体" w:hAnsi="宋体"/>
          <w:color w:val="000000"/>
          <w:szCs w:val="21"/>
        </w:rPr>
        <w:t>▲</w:t>
      </w:r>
      <w:r>
        <w:rPr>
          <w:rFonts w:hint="eastAsia" w:ascii="宋体" w:hAnsi="宋体"/>
          <w:color w:val="000000"/>
          <w:szCs w:val="21"/>
        </w:rPr>
        <w:t>1、投标文件需打印或用不褪色的墨水填写，招标文件第七章“附件”中标明加盖公章或签字的，须加盖供应商公章或其法定代表人（或授权代表）签字。授权代表签字的，投标文件应附法定代表人签署的法定代表人授权书。投标文件应尽量避免涂改、行间插字或删除。如果出现上述情况，改动之处应加盖供应商公章或由其法定代表人（或授权代表）签字确认。</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2、投标文件正本和副本应分别装订成册。正本和副本的封面上应清楚地标记“正本”或“副本”的字样。当副本和正本不一致时，以正本为准。</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3、</w:t>
      </w:r>
      <w:r>
        <w:rPr>
          <w:rFonts w:hint="eastAsia" w:ascii="宋体" w:hAnsi="宋体"/>
          <w:b/>
          <w:color w:val="000000"/>
          <w:szCs w:val="21"/>
        </w:rPr>
        <w:t>投标文件正本1份，副本4份，须用封袋密封，在封袋上分别注明：</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（1）注明：</w:t>
      </w:r>
      <w:r>
        <w:rPr>
          <w:rFonts w:hint="eastAsia" w:ascii="宋体" w:hAnsi="宋体"/>
          <w:color w:val="000000"/>
          <w:szCs w:val="21"/>
          <w:u w:val="single"/>
        </w:rPr>
        <w:t xml:space="preserve">              “投标文件”                  </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（2）项目编号：</w:t>
      </w:r>
      <w:r>
        <w:rPr>
          <w:rFonts w:hint="eastAsia" w:ascii="宋体" w:hAnsi="宋体"/>
          <w:color w:val="000000"/>
          <w:szCs w:val="21"/>
          <w:u w:val="single"/>
        </w:rPr>
        <w:t>HZWXQ2020-61（NBITC-202010469G）</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（3）项目名称：</w:t>
      </w:r>
      <w:r>
        <w:rPr>
          <w:rFonts w:hint="eastAsia" w:ascii="宋体" w:hAnsi="宋体"/>
          <w:color w:val="000000"/>
          <w:szCs w:val="21"/>
          <w:u w:val="single"/>
        </w:rPr>
        <w:t>宁波杭州湾新区校园智能安全防护体系建设项目</w:t>
      </w:r>
      <w:r>
        <w:rPr>
          <w:rFonts w:hint="eastAsia" w:ascii="宋体" w:hAnsi="宋体"/>
          <w:color w:val="000000"/>
          <w:szCs w:val="21"/>
        </w:rPr>
        <w:t>；</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（4）在</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rPr>
        <w:t>（规定的开标日期和时间）前不准启封；</w:t>
      </w:r>
    </w:p>
    <w:p>
      <w:pPr>
        <w:tabs>
          <w:tab w:val="left" w:pos="900"/>
        </w:tabs>
        <w:spacing w:line="400" w:lineRule="exact"/>
        <w:ind w:firstLine="420" w:firstLineChars="200"/>
        <w:jc w:val="left"/>
        <w:rPr>
          <w:rFonts w:hint="eastAsia" w:ascii="宋体" w:hAnsi="宋体"/>
          <w:color w:val="000000"/>
          <w:szCs w:val="21"/>
        </w:rPr>
      </w:pPr>
      <w:r>
        <w:rPr>
          <w:rFonts w:hint="eastAsia" w:ascii="宋体" w:hAnsi="宋体"/>
          <w:color w:val="000000"/>
          <w:szCs w:val="21"/>
        </w:rPr>
        <w:t>（5）供应商的名称：</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4、供应商必须在包封上加盖供应商公章或由其法定代表人（或授权代表）签字。</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九、投标文件的递交</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1、供应商应在投标截止时间前于开标地点递交投标文件。</w:t>
      </w:r>
      <w:r>
        <w:rPr>
          <w:rFonts w:ascii="宋体" w:hAnsi="宋体"/>
          <w:color w:val="000000"/>
          <w:szCs w:val="21"/>
        </w:rPr>
        <w:t>逾期送达的或者未送达指定地点的投标文件，</w:t>
      </w:r>
      <w:r>
        <w:rPr>
          <w:rFonts w:hint="eastAsia" w:ascii="宋体" w:hAnsi="宋体"/>
          <w:color w:val="000000"/>
          <w:szCs w:val="21"/>
        </w:rPr>
        <w:t>代理机构</w:t>
      </w:r>
      <w:r>
        <w:rPr>
          <w:rFonts w:ascii="宋体" w:hAnsi="宋体"/>
          <w:color w:val="000000"/>
          <w:szCs w:val="21"/>
        </w:rPr>
        <w:t>不予受理。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2、代理机构在投标截止时间前半小时内于开标地点接受投标文件。</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3、供应商未按上述要求密封的投标文件，代理机构不予受理。</w:t>
      </w:r>
    </w:p>
    <w:p>
      <w:pPr>
        <w:spacing w:line="400" w:lineRule="exact"/>
        <w:ind w:firstLine="420" w:firstLineChars="200"/>
        <w:jc w:val="left"/>
        <w:rPr>
          <w:rFonts w:hint="eastAsia" w:ascii="宋体" w:hAnsi="宋体"/>
          <w:color w:val="000000"/>
          <w:szCs w:val="21"/>
        </w:rPr>
      </w:pPr>
      <w:r>
        <w:rPr>
          <w:rFonts w:ascii="宋体" w:hAnsi="宋体"/>
          <w:color w:val="000000"/>
          <w:szCs w:val="21"/>
        </w:rPr>
        <w:t>▲</w:t>
      </w:r>
      <w:r>
        <w:rPr>
          <w:rFonts w:hint="eastAsia" w:ascii="宋体" w:hAnsi="宋体"/>
          <w:color w:val="000000"/>
          <w:szCs w:val="21"/>
        </w:rPr>
        <w:t>4、投标文件的补充和修改</w:t>
      </w:r>
    </w:p>
    <w:p>
      <w:pPr>
        <w:pStyle w:val="17"/>
        <w:spacing w:line="400" w:lineRule="exact"/>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投标截止时间前，供应商可以书面向采购人已递交的投标文件提出补充和修改，相应部分以最后的补充和修改为准。补充或修改材料应密封，由供应商法定代表人（或授权代表）签字并加盖供应商公章。</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5、投标文件填写字迹必须清楚、工整，对不同文字文本投标文件的解释发生异议的，以中文文本为准。</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十、开标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2、开标由采购人（或代理机构）代表组织并主持。</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3、投标文件启封前，供应商推荐的代表检查投标文件的密封情况。采购人（或代理机构）代表按照投标文件送达顺序进行开标。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4、唱标人应如实按投标文件当众宣读供应商全称、投标报价及其它主要内容。供应商代表应对唱标内容及记录结果当即进行校核确认。如发现唱标内容或记录结果与投标文件不一致时，应在签字确认前当场提出，并经采购人（或代理机构）代表、唱标人和记录人核实后，当即予以纠正。</w:t>
      </w:r>
    </w:p>
    <w:p>
      <w:pPr>
        <w:spacing w:line="400" w:lineRule="exact"/>
        <w:ind w:firstLine="420" w:firstLineChars="200"/>
        <w:rPr>
          <w:rFonts w:hint="eastAsia" w:ascii="宋体" w:hAnsi="宋体"/>
          <w:color w:val="000000"/>
          <w:szCs w:val="21"/>
        </w:rPr>
      </w:pPr>
      <w:r>
        <w:rPr>
          <w:rFonts w:hint="eastAsia" w:ascii="宋体" w:hAnsi="宋体"/>
          <w:color w:val="000000"/>
          <w:szCs w:val="21"/>
        </w:rPr>
        <w:t>5、唱标结束后，供应商代表应在开标记录上签字确认。供应商对开标有异议的，应当在开标现场提出。供应商代表未在开标记录上签字的，均视为对开标结果予以默认。</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6、开标结束后，如发现开标结果与投标文件不一致者，除评标委员会认定的特殊情况应另行处理外，其开标结果不予纠正。</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十一、评标</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1、采购人依据相关规定</w:t>
      </w:r>
      <w:r>
        <w:rPr>
          <w:rFonts w:ascii="宋体" w:hAnsi="宋体"/>
          <w:color w:val="000000"/>
          <w:szCs w:val="21"/>
        </w:rPr>
        <w:t>组建评标委员会，负责本项目的评标工作。</w:t>
      </w:r>
    </w:p>
    <w:p>
      <w:pPr>
        <w:spacing w:line="400" w:lineRule="exact"/>
        <w:ind w:firstLine="420" w:firstLine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评标活动遵循</w:t>
      </w:r>
      <w:r>
        <w:rPr>
          <w:rFonts w:hint="eastAsia" w:ascii="宋体" w:hAnsi="宋体"/>
          <w:color w:val="000000"/>
          <w:szCs w:val="21"/>
        </w:rPr>
        <w:t>公开、</w:t>
      </w:r>
      <w:r>
        <w:rPr>
          <w:rFonts w:ascii="宋体" w:hAnsi="宋体"/>
          <w:color w:val="000000"/>
          <w:szCs w:val="21"/>
        </w:rPr>
        <w:t>公平、公正、科学和择优的原则。</w:t>
      </w:r>
    </w:p>
    <w:p>
      <w:pPr>
        <w:spacing w:line="400" w:lineRule="exact"/>
        <w:ind w:firstLine="420" w:firstLineChars="200"/>
        <w:jc w:val="left"/>
        <w:rPr>
          <w:rFonts w:ascii="宋体" w:hAnsi="宋体"/>
          <w:color w:val="000000"/>
          <w:szCs w:val="21"/>
        </w:rPr>
      </w:pPr>
      <w:r>
        <w:rPr>
          <w:rFonts w:hint="eastAsia" w:ascii="宋体" w:hAnsi="宋体"/>
          <w:color w:val="000000"/>
          <w:szCs w:val="21"/>
        </w:rPr>
        <w:t>3、</w:t>
      </w:r>
      <w:r>
        <w:rPr>
          <w:rFonts w:ascii="宋体" w:hAnsi="宋体"/>
          <w:color w:val="000000"/>
          <w:szCs w:val="21"/>
        </w:rPr>
        <w:t>评标委员会按照</w:t>
      </w:r>
      <w:r>
        <w:rPr>
          <w:rFonts w:hint="eastAsia" w:ascii="宋体" w:hAnsi="宋体"/>
          <w:color w:val="000000"/>
          <w:szCs w:val="21"/>
        </w:rPr>
        <w:t>第三章“</w:t>
      </w:r>
      <w:r>
        <w:rPr>
          <w:rFonts w:ascii="宋体" w:hAnsi="宋体"/>
          <w:color w:val="000000"/>
          <w:szCs w:val="21"/>
        </w:rPr>
        <w:t>评标办法及标准</w:t>
      </w:r>
      <w:r>
        <w:rPr>
          <w:rFonts w:hint="eastAsia" w:ascii="宋体" w:hAnsi="宋体"/>
          <w:color w:val="000000"/>
          <w:szCs w:val="21"/>
        </w:rPr>
        <w:t>”</w:t>
      </w:r>
      <w:r>
        <w:rPr>
          <w:rFonts w:ascii="宋体" w:hAnsi="宋体"/>
          <w:color w:val="000000"/>
          <w:szCs w:val="21"/>
        </w:rPr>
        <w:t>对投标文件进行评审。</w:t>
      </w:r>
      <w:r>
        <w:rPr>
          <w:rFonts w:hint="eastAsia" w:ascii="宋体" w:hAnsi="宋体"/>
          <w:color w:val="000000"/>
          <w:szCs w:val="21"/>
        </w:rPr>
        <w:t>第三章“</w:t>
      </w:r>
      <w:r>
        <w:rPr>
          <w:rFonts w:ascii="宋体" w:hAnsi="宋体"/>
          <w:color w:val="000000"/>
          <w:szCs w:val="21"/>
        </w:rPr>
        <w:t>评标办法及标准</w:t>
      </w:r>
      <w:r>
        <w:rPr>
          <w:rFonts w:hint="eastAsia" w:ascii="宋体" w:hAnsi="宋体"/>
          <w:color w:val="000000"/>
          <w:szCs w:val="21"/>
        </w:rPr>
        <w:t>”</w:t>
      </w:r>
      <w:r>
        <w:rPr>
          <w:rFonts w:ascii="宋体" w:hAnsi="宋体"/>
          <w:color w:val="000000"/>
          <w:szCs w:val="21"/>
        </w:rPr>
        <w:t>没有规定的方法、评审因素和标准，不作为评标依据。</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十二、招标文件的澄清和修改</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1、如对本次招标文件存在疑问，应在</w:t>
      </w:r>
      <w:r>
        <w:rPr>
          <w:rFonts w:ascii="宋体" w:hAnsi="宋体"/>
          <w:color w:val="000000"/>
          <w:szCs w:val="21"/>
        </w:rPr>
        <w:t>2020年9</w:t>
      </w:r>
      <w:r>
        <w:rPr>
          <w:rFonts w:hint="eastAsia" w:ascii="宋体" w:hAnsi="宋体"/>
          <w:color w:val="000000"/>
          <w:szCs w:val="21"/>
        </w:rPr>
        <w:t>月</w:t>
      </w:r>
      <w:r>
        <w:rPr>
          <w:rFonts w:ascii="宋体" w:hAnsi="宋体"/>
          <w:color w:val="000000"/>
          <w:szCs w:val="21"/>
        </w:rPr>
        <w:t>4</w:t>
      </w:r>
      <w:r>
        <w:rPr>
          <w:rFonts w:hint="eastAsia" w:ascii="宋体" w:hAnsi="宋体"/>
          <w:color w:val="000000"/>
          <w:szCs w:val="21"/>
        </w:rPr>
        <w:t>日</w:t>
      </w:r>
      <w:r>
        <w:rPr>
          <w:rFonts w:ascii="宋体" w:hAnsi="宋体"/>
          <w:color w:val="000000"/>
          <w:szCs w:val="21"/>
        </w:rPr>
        <w:t>11</w:t>
      </w:r>
      <w:r>
        <w:rPr>
          <w:rFonts w:hint="eastAsia" w:ascii="宋体" w:hAnsi="宋体"/>
          <w:color w:val="000000"/>
          <w:szCs w:val="21"/>
        </w:rPr>
        <w:t>：</w:t>
      </w:r>
      <w:r>
        <w:rPr>
          <w:rFonts w:ascii="宋体" w:hAnsi="宋体"/>
          <w:color w:val="000000"/>
          <w:szCs w:val="21"/>
        </w:rPr>
        <w:t>00</w:t>
      </w:r>
      <w:r>
        <w:rPr>
          <w:rFonts w:hint="eastAsia" w:ascii="宋体" w:hAnsi="宋体"/>
          <w:color w:val="000000"/>
          <w:szCs w:val="21"/>
        </w:rPr>
        <w:t>之前以书面形式一次性向采购人（或代理机构）提出，逾期不予受理，视为各供应商同意招标文件各条款。</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w:t>
      </w:r>
      <w:r>
        <w:rPr>
          <w:rFonts w:hint="eastAsia" w:ascii="宋体" w:hAnsi="宋体"/>
          <w:b/>
          <w:color w:val="000000"/>
          <w:szCs w:val="21"/>
        </w:rPr>
        <w:t>采购人可以对已发出的招标文件进行必要的澄清或者修改，将以“澄清公告”的形式发布在政采云平台，供应商应及时登录政采云平台，进行浏览并下载，未及时浏览下载的责任自负。</w:t>
      </w:r>
      <w:r>
        <w:rPr>
          <w:rFonts w:hint="eastAsia" w:ascii="宋体" w:hAnsi="宋体"/>
          <w:color w:val="000000"/>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3、潜在供应商收到代理机构发出的招标文件澄清或修改通知，或顺延提交投标文件截止时间通知后，应在通知单回执上明示收悉意见、加盖供应商公章，以书面形式回复代理机构。</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十三、质疑</w:t>
      </w:r>
    </w:p>
    <w:p>
      <w:pPr>
        <w:topLinePunct/>
        <w:spacing w:line="400" w:lineRule="exact"/>
        <w:ind w:firstLine="420" w:firstLineChars="200"/>
        <w:rPr>
          <w:rFonts w:ascii="宋体" w:hAnsi="宋体"/>
          <w:color w:val="000000"/>
          <w:szCs w:val="21"/>
        </w:rPr>
      </w:pPr>
      <w:r>
        <w:rPr>
          <w:rFonts w:hint="eastAsia" w:ascii="宋体" w:hAnsi="宋体"/>
          <w:color w:val="000000"/>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招标公告、采购文件、开标评标、采购结果等同一采购程序环节的质疑，第二次提出的质疑视为质疑无效，采购人、采购代理机构将不予受理（对于采购人、采购代理机构作出的澄清或者修改的内容提出质疑的除外）。</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3、供应商提出质疑应当提交质疑函和必要的证明材料，质疑函应当以书面形式提出，质疑函格式和内容须符合财政部《质疑函范本》要求，供应商可到中国政府采购网自行下载财政部《质疑函范本》。</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5、采购人、采购代理机构接收质疑函的方式：只接收供应商以当面递交、邮寄、传真或电子邮件方式提出的质疑函，以其他方式提出的质疑不予接收。</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采取邮寄方式的，提出质疑的时间为质疑函原件交邮的时间（以邮戳时间或快递收件时间为准）。</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采取传真、电子邮件方式的，供应商应当在传真、电子邮件发出后将质疑函原件邮寄给被质疑人，提出质疑的时间为质疑函原件交邮的时间（以邮戳时间或快递收件时间为准）。</w:t>
      </w:r>
    </w:p>
    <w:p>
      <w:pPr>
        <w:topLinePunct/>
        <w:spacing w:line="400" w:lineRule="exact"/>
        <w:ind w:firstLine="420" w:firstLineChars="200"/>
        <w:rPr>
          <w:rFonts w:hint="eastAsia" w:ascii="宋体" w:hAnsi="宋体"/>
          <w:color w:val="000000"/>
          <w:szCs w:val="21"/>
        </w:rPr>
      </w:pPr>
      <w:r>
        <w:rPr>
          <w:rFonts w:hint="eastAsia" w:ascii="宋体" w:hAnsi="宋体"/>
          <w:color w:val="000000"/>
          <w:szCs w:val="21"/>
        </w:rPr>
        <w:t>6、采购人、采购代理机构以实际收到质疑函原件之日作为收到质疑函的日期，将在收到质疑函后7个工作日内作出答复。</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7、采购人、采购代理机构接收质疑函的联系人、联系电话和通讯地址等信息详见招标公告。</w:t>
      </w:r>
    </w:p>
    <w:p>
      <w:pPr>
        <w:spacing w:line="400" w:lineRule="exact"/>
        <w:ind w:firstLine="422" w:firstLineChars="200"/>
        <w:jc w:val="left"/>
        <w:rPr>
          <w:rFonts w:hint="eastAsia" w:ascii="宋体" w:hAnsi="宋体"/>
          <w:color w:val="000000"/>
          <w:szCs w:val="21"/>
        </w:rPr>
      </w:pPr>
      <w:r>
        <w:rPr>
          <w:rFonts w:ascii="宋体" w:hAnsi="宋体"/>
          <w:b/>
          <w:color w:val="000000"/>
          <w:szCs w:val="21"/>
        </w:rPr>
        <w:t>▲</w:t>
      </w:r>
      <w:r>
        <w:rPr>
          <w:rFonts w:hint="eastAsia" w:ascii="宋体" w:hAnsi="宋体"/>
          <w:b/>
          <w:color w:val="000000"/>
          <w:szCs w:val="21"/>
        </w:rPr>
        <w:t>十四、最高限价</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本次公开招标设有最高限价</w:t>
      </w:r>
      <w:r>
        <w:rPr>
          <w:rFonts w:ascii="宋体" w:hAnsi="宋体"/>
          <w:color w:val="000000"/>
          <w:szCs w:val="21"/>
        </w:rPr>
        <w:t>493.6256</w:t>
      </w:r>
      <w:r>
        <w:rPr>
          <w:rFonts w:hint="eastAsia" w:ascii="宋体" w:hAnsi="宋体"/>
          <w:color w:val="000000"/>
          <w:szCs w:val="21"/>
        </w:rPr>
        <w:t>万元。投标报价超出最高限价的投标无效。</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十五、招标代理服务费</w:t>
      </w:r>
    </w:p>
    <w:p>
      <w:pPr>
        <w:spacing w:line="400" w:lineRule="exact"/>
        <w:ind w:firstLine="420" w:firstLineChars="200"/>
        <w:jc w:val="left"/>
        <w:rPr>
          <w:rFonts w:hint="eastAsia" w:ascii="宋体" w:hAnsi="宋体"/>
          <w:color w:val="000000"/>
        </w:rPr>
      </w:pPr>
      <w:r>
        <w:rPr>
          <w:rFonts w:hint="eastAsia" w:ascii="宋体" w:hAnsi="宋体"/>
          <w:color w:val="000000"/>
        </w:rPr>
        <w:t>1、本项目采购代理机构向中标供应商收取代理服务费：伍万玖仟肆佰元整。</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2、中标供应商应在代理机构发出中标通知书5个工作日内向本代理机构支付招标代理服务费。</w:t>
      </w:r>
    </w:p>
    <w:p>
      <w:pPr>
        <w:spacing w:line="400" w:lineRule="exact"/>
        <w:ind w:firstLine="420" w:firstLineChars="200"/>
        <w:jc w:val="left"/>
        <w:rPr>
          <w:rFonts w:ascii="宋体" w:hAnsi="宋体"/>
          <w:color w:val="000000"/>
          <w:szCs w:val="21"/>
        </w:rPr>
      </w:pPr>
      <w:r>
        <w:rPr>
          <w:rFonts w:hint="eastAsia" w:ascii="宋体" w:hAnsi="宋体"/>
          <w:color w:val="000000"/>
          <w:szCs w:val="21"/>
        </w:rPr>
        <w:t>3、招标代理服务费只收现金、银行票汇款、电汇款。</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账户名称：宁波市国际招标有限公司</w:t>
      </w:r>
    </w:p>
    <w:p>
      <w:pPr>
        <w:spacing w:line="400" w:lineRule="exact"/>
        <w:ind w:firstLine="420" w:firstLineChars="200"/>
        <w:jc w:val="left"/>
        <w:rPr>
          <w:rFonts w:ascii="宋体" w:hAnsi="宋体"/>
          <w:color w:val="000000"/>
          <w:szCs w:val="21"/>
        </w:rPr>
      </w:pPr>
      <w:r>
        <w:rPr>
          <w:rFonts w:hint="eastAsia" w:ascii="宋体" w:hAnsi="宋体"/>
          <w:color w:val="000000"/>
          <w:szCs w:val="21"/>
        </w:rPr>
        <w:t>开户银行：上海浦东发展银行宁波分行江北支行</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银行账号：94090154800000191</w:t>
      </w:r>
    </w:p>
    <w:p>
      <w:pPr>
        <w:spacing w:line="400" w:lineRule="exact"/>
        <w:ind w:firstLine="422" w:firstLineChars="200"/>
        <w:jc w:val="left"/>
        <w:rPr>
          <w:rFonts w:hint="eastAsia" w:ascii="宋体" w:hAnsi="宋体"/>
          <w:b/>
          <w:color w:val="000000"/>
          <w:szCs w:val="21"/>
        </w:rPr>
      </w:pPr>
      <w:r>
        <w:rPr>
          <w:rFonts w:hint="eastAsia" w:ascii="宋体" w:hAnsi="宋体"/>
          <w:b/>
          <w:color w:val="000000"/>
          <w:szCs w:val="21"/>
        </w:rPr>
        <w:t>十六、特别说明</w:t>
      </w:r>
    </w:p>
    <w:p>
      <w:pPr>
        <w:spacing w:line="400" w:lineRule="exact"/>
        <w:ind w:firstLine="420" w:firstLineChars="200"/>
        <w:outlineLvl w:val="0"/>
        <w:rPr>
          <w:rFonts w:hint="eastAsia" w:ascii="宋体" w:hAnsi="宋体"/>
          <w:color w:val="000000"/>
          <w:szCs w:val="21"/>
        </w:rPr>
      </w:pPr>
      <w:bookmarkStart w:id="13" w:name="_Toc419729150"/>
      <w:bookmarkStart w:id="14" w:name="_Toc436408700"/>
      <w:bookmarkStart w:id="15" w:name="_Toc441316546"/>
      <w:bookmarkStart w:id="16" w:name="_Toc529355804"/>
      <w:r>
        <w:rPr>
          <w:rFonts w:hint="eastAsia" w:ascii="宋体" w:hAnsi="宋体"/>
          <w:color w:val="000000"/>
          <w:szCs w:val="21"/>
        </w:rPr>
        <w:t>1、政府采购活动中有关中小企业的相关规定（采购进口产品的项目不适用）：</w:t>
      </w:r>
      <w:bookmarkEnd w:id="13"/>
      <w:bookmarkEnd w:id="14"/>
      <w:bookmarkEnd w:id="15"/>
      <w:bookmarkEnd w:id="16"/>
    </w:p>
    <w:p>
      <w:pPr>
        <w:spacing w:line="400" w:lineRule="exact"/>
        <w:ind w:firstLine="420" w:firstLineChars="200"/>
        <w:outlineLvl w:val="0"/>
        <w:rPr>
          <w:rFonts w:hint="eastAsia" w:ascii="宋体" w:hAnsi="宋体"/>
          <w:color w:val="000000"/>
          <w:szCs w:val="21"/>
        </w:rPr>
      </w:pPr>
      <w:bookmarkStart w:id="17" w:name="_Toc529355805"/>
      <w:bookmarkStart w:id="18" w:name="_Toc436408701"/>
      <w:bookmarkStart w:id="19" w:name="_Toc419729151"/>
      <w:bookmarkStart w:id="20" w:name="_Toc441316547"/>
      <w:r>
        <w:rPr>
          <w:rFonts w:hint="eastAsia" w:ascii="宋体" w:hAnsi="宋体"/>
          <w:color w:val="000000"/>
          <w:szCs w:val="21"/>
        </w:rPr>
        <w:t>（1）参加政府采购活动的中小企业（含中型、小型、微型企业，其他地方同）应当同时符合以下条件：</w:t>
      </w:r>
      <w:bookmarkEnd w:id="17"/>
      <w:bookmarkEnd w:id="18"/>
      <w:bookmarkEnd w:id="19"/>
      <w:bookmarkEnd w:id="20"/>
    </w:p>
    <w:p>
      <w:pPr>
        <w:spacing w:line="400" w:lineRule="exact"/>
        <w:ind w:firstLine="420" w:firstLineChars="200"/>
        <w:outlineLvl w:val="0"/>
        <w:rPr>
          <w:rFonts w:hint="eastAsia" w:ascii="宋体" w:hAnsi="宋体"/>
          <w:color w:val="000000"/>
          <w:szCs w:val="21"/>
        </w:rPr>
      </w:pPr>
      <w:bookmarkStart w:id="21" w:name="_Toc419729152"/>
      <w:bookmarkStart w:id="22" w:name="_Toc441316548"/>
      <w:bookmarkStart w:id="23" w:name="_Toc436408702"/>
      <w:bookmarkStart w:id="24" w:name="_Toc529355806"/>
      <w:r>
        <w:rPr>
          <w:rFonts w:hint="eastAsia" w:ascii="宋体" w:hAnsi="宋体"/>
          <w:color w:val="000000"/>
          <w:szCs w:val="21"/>
        </w:rPr>
        <w:t>①符合中小企业划分标准（具体见工信部联企业[2011]300号）；</w:t>
      </w:r>
      <w:bookmarkEnd w:id="21"/>
      <w:bookmarkEnd w:id="22"/>
      <w:bookmarkEnd w:id="23"/>
      <w:bookmarkEnd w:id="24"/>
    </w:p>
    <w:p>
      <w:pPr>
        <w:spacing w:line="400" w:lineRule="exact"/>
        <w:ind w:firstLine="420" w:firstLineChars="200"/>
        <w:outlineLvl w:val="0"/>
        <w:rPr>
          <w:rFonts w:hint="eastAsia" w:ascii="宋体" w:hAnsi="宋体"/>
          <w:color w:val="000000"/>
          <w:szCs w:val="21"/>
        </w:rPr>
      </w:pPr>
      <w:bookmarkStart w:id="25" w:name="_Toc419729153"/>
      <w:bookmarkStart w:id="26" w:name="_Toc436408703"/>
      <w:bookmarkStart w:id="27" w:name="_Toc441316549"/>
      <w:bookmarkStart w:id="28" w:name="_Toc529355807"/>
      <w:r>
        <w:rPr>
          <w:rFonts w:hint="eastAsia" w:ascii="宋体" w:hAnsi="宋体"/>
          <w:color w:val="000000"/>
          <w:szCs w:val="21"/>
        </w:rPr>
        <w:t>②</w:t>
      </w:r>
      <w:r>
        <w:rPr>
          <w:rFonts w:ascii="宋体" w:hAnsi="宋体"/>
          <w:color w:val="000000"/>
          <w:szCs w:val="21"/>
        </w:rPr>
        <w:t>提供本企业制造的货物</w:t>
      </w:r>
      <w:r>
        <w:rPr>
          <w:rFonts w:hint="eastAsia" w:ascii="宋体" w:hAnsi="宋体"/>
          <w:color w:val="000000"/>
          <w:szCs w:val="21"/>
        </w:rPr>
        <w:t>、</w:t>
      </w:r>
      <w:r>
        <w:rPr>
          <w:rFonts w:ascii="宋体" w:hAnsi="宋体"/>
          <w:color w:val="000000"/>
          <w:szCs w:val="21"/>
        </w:rPr>
        <w:t>承担</w:t>
      </w:r>
      <w:r>
        <w:rPr>
          <w:rFonts w:hint="eastAsia" w:ascii="宋体" w:hAnsi="宋体"/>
          <w:color w:val="000000"/>
          <w:szCs w:val="21"/>
        </w:rPr>
        <w:t>的</w:t>
      </w:r>
      <w:r>
        <w:rPr>
          <w:rFonts w:ascii="宋体" w:hAnsi="宋体"/>
          <w:color w:val="000000"/>
          <w:szCs w:val="21"/>
        </w:rPr>
        <w:t>工程</w:t>
      </w:r>
      <w:r>
        <w:rPr>
          <w:rFonts w:hint="eastAsia" w:ascii="宋体" w:hAnsi="宋体"/>
          <w:color w:val="000000"/>
          <w:szCs w:val="21"/>
        </w:rPr>
        <w:t>或者</w:t>
      </w:r>
      <w:r>
        <w:rPr>
          <w:rFonts w:ascii="宋体" w:hAnsi="宋体"/>
          <w:color w:val="000000"/>
          <w:szCs w:val="21"/>
        </w:rPr>
        <w:t>服务</w:t>
      </w:r>
      <w:r>
        <w:rPr>
          <w:rFonts w:hint="eastAsia" w:ascii="宋体" w:hAnsi="宋体"/>
          <w:color w:val="000000"/>
          <w:szCs w:val="21"/>
        </w:rPr>
        <w:t>，</w:t>
      </w:r>
      <w:r>
        <w:rPr>
          <w:rFonts w:ascii="宋体" w:hAnsi="宋体"/>
          <w:color w:val="000000"/>
          <w:szCs w:val="21"/>
        </w:rPr>
        <w:t>或者提供其他中小企业制造的货物。本项所称货物不包括使用大型企业注册商标的货物</w:t>
      </w:r>
      <w:r>
        <w:rPr>
          <w:rFonts w:hint="eastAsia" w:ascii="宋体" w:hAnsi="宋体"/>
          <w:color w:val="000000"/>
          <w:szCs w:val="21"/>
        </w:rPr>
        <w:t>。小型、微型企业提供中型企业制造的货物的，视同为中型企业。</w:t>
      </w:r>
      <w:bookmarkEnd w:id="25"/>
      <w:bookmarkEnd w:id="26"/>
      <w:bookmarkEnd w:id="27"/>
      <w:bookmarkEnd w:id="28"/>
    </w:p>
    <w:p>
      <w:pPr>
        <w:spacing w:line="400" w:lineRule="exact"/>
        <w:ind w:firstLine="420" w:firstLineChars="200"/>
        <w:outlineLvl w:val="0"/>
        <w:rPr>
          <w:rFonts w:hint="eastAsia" w:ascii="宋体" w:hAnsi="宋体"/>
          <w:color w:val="000000"/>
          <w:szCs w:val="21"/>
        </w:rPr>
      </w:pPr>
      <w:bookmarkStart w:id="29" w:name="_Toc419729154"/>
      <w:bookmarkStart w:id="30" w:name="_Toc441316550"/>
      <w:bookmarkStart w:id="31" w:name="_Toc529355808"/>
      <w:bookmarkStart w:id="32" w:name="_Toc436408704"/>
      <w:r>
        <w:rPr>
          <w:rFonts w:hint="eastAsia" w:ascii="宋体" w:hAnsi="宋体"/>
          <w:color w:val="000000"/>
          <w:szCs w:val="21"/>
        </w:rPr>
        <w:t>（2）参加政府采购活动的中小企业应当提供《中小企业声明函》（格式见第七章）。</w:t>
      </w:r>
      <w:bookmarkEnd w:id="29"/>
      <w:bookmarkEnd w:id="30"/>
      <w:bookmarkEnd w:id="31"/>
      <w:bookmarkEnd w:id="32"/>
    </w:p>
    <w:p>
      <w:pPr>
        <w:spacing w:line="400" w:lineRule="exact"/>
        <w:ind w:firstLine="420" w:firstLineChars="200"/>
        <w:outlineLvl w:val="0"/>
        <w:rPr>
          <w:rFonts w:hint="eastAsia" w:ascii="宋体" w:hAnsi="宋体"/>
          <w:color w:val="000000"/>
          <w:szCs w:val="21"/>
        </w:rPr>
      </w:pPr>
      <w:bookmarkStart w:id="33" w:name="_Toc436408705"/>
      <w:bookmarkStart w:id="34" w:name="_Toc441316551"/>
      <w:bookmarkStart w:id="35" w:name="_Toc529355809"/>
      <w:bookmarkStart w:id="36" w:name="_Toc419729155"/>
      <w:r>
        <w:rPr>
          <w:rFonts w:hint="eastAsia" w:ascii="宋体" w:hAnsi="宋体"/>
          <w:color w:val="000000"/>
          <w:szCs w:val="21"/>
        </w:rPr>
        <w:t>（3）对于非专门面向中小企业的项目</w:t>
      </w:r>
      <w:r>
        <w:rPr>
          <w:rFonts w:ascii="宋体" w:hAnsi="宋体"/>
          <w:color w:val="000000"/>
          <w:szCs w:val="21"/>
        </w:rPr>
        <w:t>，对小微企业的价格</w:t>
      </w:r>
      <w:r>
        <w:rPr>
          <w:rFonts w:hint="eastAsia" w:ascii="宋体" w:hAnsi="宋体"/>
          <w:color w:val="000000"/>
          <w:szCs w:val="21"/>
        </w:rPr>
        <w:t>应</w:t>
      </w:r>
      <w:r>
        <w:rPr>
          <w:rFonts w:ascii="宋体" w:hAnsi="宋体"/>
          <w:color w:val="000000"/>
          <w:szCs w:val="21"/>
        </w:rPr>
        <w:t>给予6%-10%的扣除，用扣除后的价格参与评审</w:t>
      </w:r>
      <w:r>
        <w:rPr>
          <w:rFonts w:hint="eastAsia" w:ascii="宋体" w:hAnsi="宋体"/>
          <w:color w:val="000000"/>
          <w:szCs w:val="21"/>
        </w:rPr>
        <w:t>。具体扣除比例见第三章。</w:t>
      </w:r>
      <w:bookmarkEnd w:id="33"/>
      <w:bookmarkEnd w:id="34"/>
      <w:bookmarkEnd w:id="35"/>
      <w:bookmarkEnd w:id="36"/>
    </w:p>
    <w:p>
      <w:pPr>
        <w:spacing w:line="400" w:lineRule="exact"/>
        <w:ind w:firstLine="420" w:firstLineChars="200"/>
        <w:outlineLvl w:val="0"/>
        <w:rPr>
          <w:rFonts w:hint="eastAsia" w:ascii="宋体" w:hAnsi="宋体"/>
          <w:color w:val="000000"/>
          <w:szCs w:val="21"/>
        </w:rPr>
      </w:pPr>
      <w:bookmarkStart w:id="37" w:name="_Toc529355810"/>
      <w:bookmarkStart w:id="38" w:name="_Toc419729156"/>
      <w:bookmarkStart w:id="39" w:name="_Toc436408706"/>
      <w:bookmarkStart w:id="40" w:name="_Toc441316552"/>
      <w:r>
        <w:rPr>
          <w:rFonts w:hint="eastAsia" w:ascii="宋体" w:hAnsi="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37"/>
      <w:bookmarkEnd w:id="38"/>
      <w:bookmarkEnd w:id="39"/>
      <w:bookmarkEnd w:id="40"/>
    </w:p>
    <w:p>
      <w:pPr>
        <w:spacing w:line="400" w:lineRule="exact"/>
        <w:ind w:firstLine="420" w:firstLineChars="200"/>
        <w:outlineLvl w:val="0"/>
        <w:rPr>
          <w:rFonts w:hint="eastAsia" w:ascii="宋体" w:hAnsi="宋体"/>
          <w:color w:val="000000"/>
          <w:szCs w:val="21"/>
        </w:rPr>
      </w:pPr>
      <w:bookmarkStart w:id="41" w:name="_Toc419729157"/>
      <w:bookmarkStart w:id="42" w:name="_Toc529355811"/>
      <w:bookmarkStart w:id="43" w:name="_Toc441316553"/>
      <w:bookmarkStart w:id="44" w:name="_Toc436408707"/>
      <w:r>
        <w:rPr>
          <w:rFonts w:hint="eastAsia" w:ascii="宋体" w:hAnsi="宋体"/>
          <w:color w:val="000000"/>
          <w:szCs w:val="21"/>
        </w:rPr>
        <w:t>（5）《中小企业声明函》由供应商提交，如供应商为代理商的，须自行采集制造商的中小企业划分类型信息填入相应栏目并对其真实性负责。</w:t>
      </w:r>
      <w:bookmarkEnd w:id="41"/>
      <w:bookmarkEnd w:id="42"/>
      <w:bookmarkEnd w:id="43"/>
      <w:bookmarkEnd w:id="44"/>
    </w:p>
    <w:p>
      <w:pPr>
        <w:spacing w:line="400" w:lineRule="exact"/>
        <w:ind w:firstLine="420" w:firstLineChars="200"/>
        <w:outlineLvl w:val="0"/>
        <w:rPr>
          <w:rFonts w:hint="eastAsia" w:ascii="宋体" w:hAnsi="宋体"/>
          <w:color w:val="000000"/>
          <w:szCs w:val="21"/>
        </w:rPr>
      </w:pPr>
      <w:bookmarkStart w:id="45" w:name="_Toc495244277"/>
      <w:bookmarkStart w:id="46" w:name="_Toc529355812"/>
      <w:bookmarkStart w:id="47" w:name="_Toc419729158"/>
      <w:bookmarkStart w:id="48" w:name="_Toc436408708"/>
      <w:bookmarkStart w:id="49" w:name="_Toc441316554"/>
      <w:r>
        <w:rPr>
          <w:rFonts w:hint="eastAsia" w:ascii="宋体" w:hAnsi="宋体"/>
          <w:color w:val="000000"/>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5"/>
      <w:bookmarkEnd w:id="46"/>
    </w:p>
    <w:p>
      <w:pPr>
        <w:spacing w:line="400" w:lineRule="exact"/>
        <w:ind w:firstLine="420" w:firstLineChars="200"/>
        <w:outlineLvl w:val="0"/>
        <w:rPr>
          <w:rFonts w:hint="eastAsia" w:ascii="宋体" w:hAnsi="宋体"/>
          <w:color w:val="000000"/>
          <w:szCs w:val="21"/>
        </w:rPr>
      </w:pPr>
      <w:bookmarkStart w:id="50" w:name="_Toc529355813"/>
      <w:r>
        <w:rPr>
          <w:rFonts w:hint="eastAsia" w:ascii="宋体" w:hAnsi="宋体"/>
          <w:color w:val="000000"/>
          <w:szCs w:val="21"/>
        </w:rPr>
        <w:t>3、</w:t>
      </w:r>
      <w:r>
        <w:rPr>
          <w:rFonts w:ascii="宋体" w:hAnsi="宋体"/>
          <w:color w:val="000000"/>
          <w:szCs w:val="21"/>
        </w:rPr>
        <w:t>执行《三部门联合发布关于促进残疾人就业政府采购政策的通知》</w:t>
      </w:r>
      <w:r>
        <w:rPr>
          <w:rFonts w:hint="eastAsia" w:ascii="宋体" w:hAnsi="宋体"/>
          <w:color w:val="000000"/>
          <w:szCs w:val="21"/>
        </w:rPr>
        <w:t>，</w:t>
      </w:r>
      <w:r>
        <w:rPr>
          <w:rFonts w:ascii="宋体" w:hAnsi="宋体"/>
          <w:color w:val="000000"/>
          <w:szCs w:val="21"/>
        </w:rPr>
        <w:t>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ascii="宋体" w:hAnsi="宋体"/>
          <w:color w:val="000000"/>
          <w:szCs w:val="21"/>
        </w:rPr>
        <w:t>（格式见第七章附件），</w:t>
      </w:r>
      <w:r>
        <w:rPr>
          <w:rFonts w:ascii="宋体" w:hAnsi="宋体"/>
          <w:color w:val="000000"/>
          <w:szCs w:val="21"/>
        </w:rPr>
        <w:t>并对声明的真实性负责，未能提供的不予认可。</w:t>
      </w:r>
      <w:bookmarkEnd w:id="50"/>
    </w:p>
    <w:p>
      <w:pPr>
        <w:spacing w:line="400" w:lineRule="exact"/>
        <w:ind w:firstLine="420" w:firstLineChars="200"/>
        <w:outlineLvl w:val="0"/>
        <w:rPr>
          <w:rFonts w:hint="eastAsia" w:ascii="宋体" w:hAnsi="宋体"/>
          <w:color w:val="000000"/>
          <w:szCs w:val="21"/>
        </w:rPr>
      </w:pPr>
      <w:bookmarkStart w:id="51" w:name="_Toc529355814"/>
      <w:r>
        <w:rPr>
          <w:rFonts w:hint="eastAsia" w:ascii="宋体" w:hAnsi="宋体"/>
          <w:color w:val="000000"/>
          <w:szCs w:val="21"/>
        </w:rPr>
        <w:t>4、本项目不组织潜在供应商现场考察或者召开开标前答疑。</w:t>
      </w:r>
      <w:bookmarkEnd w:id="51"/>
    </w:p>
    <w:p>
      <w:pPr>
        <w:spacing w:line="400" w:lineRule="exact"/>
        <w:ind w:firstLine="420" w:firstLineChars="200"/>
        <w:outlineLvl w:val="0"/>
        <w:rPr>
          <w:rFonts w:hint="eastAsia" w:ascii="宋体" w:hAnsi="宋体"/>
          <w:color w:val="000000"/>
          <w:szCs w:val="21"/>
        </w:rPr>
      </w:pPr>
      <w:bookmarkStart w:id="52" w:name="_Toc529355815"/>
      <w:r>
        <w:rPr>
          <w:rFonts w:hint="eastAsia" w:ascii="宋体" w:hAnsi="宋体"/>
          <w:color w:val="000000"/>
          <w:szCs w:val="21"/>
        </w:rPr>
        <w:t>5、本文件未及事项，在签订合同时双方友好商定。</w:t>
      </w:r>
      <w:bookmarkEnd w:id="47"/>
      <w:bookmarkEnd w:id="48"/>
      <w:bookmarkEnd w:id="49"/>
      <w:bookmarkEnd w:id="52"/>
    </w:p>
    <w:p>
      <w:pPr>
        <w:spacing w:line="400" w:lineRule="exact"/>
        <w:ind w:firstLine="420" w:firstLineChars="200"/>
        <w:rPr>
          <w:rFonts w:hint="eastAsia" w:ascii="宋体" w:hAnsi="宋体"/>
          <w:b/>
          <w:color w:val="000000"/>
          <w:szCs w:val="21"/>
        </w:rPr>
      </w:pPr>
      <w:bookmarkStart w:id="53" w:name="_Toc419729159"/>
      <w:r>
        <w:rPr>
          <w:rFonts w:hint="eastAsia" w:ascii="宋体" w:hAnsi="宋体"/>
          <w:color w:val="000000"/>
          <w:szCs w:val="21"/>
        </w:rPr>
        <w:t>6、本招标文件解释权归采购人。</w:t>
      </w:r>
      <w:bookmarkEnd w:id="53"/>
    </w:p>
    <w:p>
      <w:pPr>
        <w:spacing w:line="400" w:lineRule="exact"/>
        <w:ind w:firstLine="422" w:firstLineChars="200"/>
        <w:rPr>
          <w:rFonts w:hint="eastAsia" w:ascii="宋体" w:hAnsi="宋体"/>
          <w:b/>
          <w:color w:val="000000"/>
          <w:szCs w:val="21"/>
        </w:rPr>
        <w:sectPr>
          <w:footerReference r:id="rId8" w:type="default"/>
          <w:pgSz w:w="11907" w:h="16840"/>
          <w:pgMar w:top="1139" w:right="1701" w:bottom="1423" w:left="1843" w:header="285" w:footer="701" w:gutter="0"/>
          <w:cols w:space="720" w:num="1"/>
          <w:docGrid w:linePitch="285" w:charSpace="0"/>
        </w:sectPr>
      </w:pPr>
    </w:p>
    <w:p>
      <w:pPr>
        <w:spacing w:line="400" w:lineRule="exact"/>
        <w:jc w:val="center"/>
        <w:outlineLvl w:val="0"/>
        <w:rPr>
          <w:rFonts w:hint="eastAsia" w:ascii="宋体" w:hAnsi="宋体"/>
          <w:b/>
          <w:color w:val="000000"/>
          <w:sz w:val="32"/>
        </w:rPr>
      </w:pPr>
      <w:bookmarkStart w:id="54" w:name="_Toc529355816"/>
      <w:r>
        <w:rPr>
          <w:rFonts w:hint="eastAsia" w:ascii="宋体" w:hAnsi="宋体"/>
          <w:b/>
          <w:color w:val="000000"/>
          <w:sz w:val="32"/>
        </w:rPr>
        <w:t xml:space="preserve">第三章  </w:t>
      </w:r>
      <w:r>
        <w:rPr>
          <w:rFonts w:ascii="宋体" w:hAnsi="宋体"/>
          <w:b/>
          <w:color w:val="000000"/>
          <w:sz w:val="32"/>
        </w:rPr>
        <w:t>评标办法及标准</w:t>
      </w:r>
      <w:bookmarkEnd w:id="54"/>
    </w:p>
    <w:p>
      <w:pPr>
        <w:spacing w:line="400" w:lineRule="exact"/>
        <w:rPr>
          <w:rFonts w:ascii="宋体" w:hAnsi="宋体"/>
          <w:b/>
          <w:color w:val="000000"/>
          <w:szCs w:val="21"/>
        </w:rPr>
      </w:pPr>
      <w:r>
        <w:rPr>
          <w:rFonts w:hint="eastAsia" w:ascii="宋体" w:hAnsi="宋体"/>
          <w:b/>
          <w:color w:val="000000"/>
          <w:szCs w:val="21"/>
        </w:rPr>
        <w:t>一、评标办法</w:t>
      </w:r>
    </w:p>
    <w:p>
      <w:pPr>
        <w:spacing w:line="400" w:lineRule="exact"/>
        <w:ind w:left="-2" w:leftChars="-1" w:firstLine="420" w:firstLineChars="200"/>
        <w:rPr>
          <w:rFonts w:hint="eastAsia" w:ascii="宋体" w:hAnsi="宋体"/>
          <w:color w:val="000000"/>
          <w:szCs w:val="21"/>
        </w:rPr>
      </w:pPr>
      <w:r>
        <w:rPr>
          <w:rFonts w:hint="eastAsia" w:ascii="宋体" w:hAnsi="宋体"/>
          <w:color w:val="000000"/>
          <w:szCs w:val="21"/>
        </w:rPr>
        <w:t>1.1本项目评标采用综合评分法。</w:t>
      </w:r>
    </w:p>
    <w:p>
      <w:pPr>
        <w:spacing w:line="400" w:lineRule="exact"/>
        <w:ind w:left="-2" w:leftChars="-1" w:firstLine="420" w:firstLineChars="200"/>
        <w:rPr>
          <w:rFonts w:hint="eastAsia" w:ascii="宋体" w:hAnsi="宋体"/>
          <w:color w:val="000000"/>
          <w:szCs w:val="21"/>
        </w:rPr>
      </w:pPr>
      <w:r>
        <w:rPr>
          <w:rFonts w:hint="eastAsia" w:ascii="宋体" w:hAnsi="宋体"/>
          <w:color w:val="000000"/>
          <w:szCs w:val="21"/>
        </w:rPr>
        <w:t>1.2综合评分法：采用百分制，总分100分。评标委员会成员按照评分标准（兼评委打分表）规定的内容和分值设置</w:t>
      </w:r>
      <w:r>
        <w:rPr>
          <w:rFonts w:ascii="宋体" w:hAnsi="宋体"/>
          <w:color w:val="000000"/>
          <w:szCs w:val="21"/>
        </w:rPr>
        <w:t>以记名方式独立评定打分</w:t>
      </w:r>
      <w:r>
        <w:rPr>
          <w:rFonts w:hint="eastAsia" w:ascii="宋体" w:hAnsi="宋体"/>
          <w:color w:val="000000"/>
          <w:szCs w:val="21"/>
        </w:rPr>
        <w:t>，</w:t>
      </w:r>
      <w:r>
        <w:rPr>
          <w:rFonts w:ascii="宋体" w:hAnsi="宋体"/>
          <w:color w:val="000000"/>
          <w:szCs w:val="21"/>
        </w:rPr>
        <w:t>汇总各评委</w:t>
      </w:r>
      <w:r>
        <w:rPr>
          <w:rFonts w:hint="eastAsia" w:ascii="宋体" w:hAnsi="宋体"/>
          <w:color w:val="000000"/>
          <w:szCs w:val="21"/>
        </w:rPr>
        <w:t>对各供应商的评分，取算术平均值（小数点后保留二位数）即为各供应商的综合得分，按照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pPr>
        <w:spacing w:line="400" w:lineRule="exact"/>
        <w:ind w:left="-2" w:leftChars="-1" w:firstLine="420" w:firstLineChars="200"/>
        <w:rPr>
          <w:rFonts w:hint="eastAsia" w:ascii="宋体" w:hAnsi="宋体"/>
          <w:color w:val="000000"/>
          <w:szCs w:val="21"/>
        </w:rPr>
      </w:pPr>
      <w:r>
        <w:rPr>
          <w:rFonts w:hint="eastAsia" w:ascii="宋体" w:hAnsi="宋体"/>
          <w:color w:val="000000"/>
          <w:szCs w:val="21"/>
        </w:rPr>
        <w:t>1.3</w:t>
      </w:r>
      <w:r>
        <w:rPr>
          <w:rFonts w:hint="eastAsia" w:ascii="宋体" w:hAnsi="宋体" w:cs="宋体"/>
          <w:color w:val="000000"/>
        </w:rPr>
        <w:t>本项目需要落实的政府采购政策：促进中小企业发展等。</w:t>
      </w:r>
    </w:p>
    <w:p>
      <w:pPr>
        <w:spacing w:line="400" w:lineRule="exact"/>
        <w:ind w:left="-2" w:leftChars="-1" w:firstLine="420" w:firstLineChars="200"/>
        <w:rPr>
          <w:rFonts w:hint="eastAsia" w:ascii="宋体" w:hAnsi="宋体"/>
          <w:color w:val="000000"/>
          <w:szCs w:val="21"/>
        </w:rPr>
      </w:pPr>
      <w:r>
        <w:rPr>
          <w:rFonts w:hint="eastAsia" w:ascii="宋体" w:hAnsi="宋体"/>
          <w:color w:val="000000"/>
          <w:szCs w:val="21"/>
        </w:rPr>
        <w:t>1.4本次采购为非专门面向中小企业，本次评标将对符合第二章第十六条第1、2、3款的小微企业的价格给予6%的扣除，用扣除后的价格参与评审。价格扣除只用于评审过程，如中标，中标价格仍按照其投标价格进行公示。</w:t>
      </w:r>
    </w:p>
    <w:p>
      <w:pPr>
        <w:spacing w:line="400" w:lineRule="exact"/>
        <w:ind w:left="-2" w:leftChars="-1" w:firstLine="420" w:firstLineChars="200"/>
        <w:rPr>
          <w:rFonts w:hint="eastAsia" w:ascii="宋体" w:hAnsi="宋体"/>
          <w:color w:val="000000"/>
          <w:szCs w:val="21"/>
        </w:rPr>
      </w:pPr>
      <w:r>
        <w:rPr>
          <w:rFonts w:hint="eastAsia" w:ascii="宋体" w:hAnsi="宋体"/>
          <w:color w:val="000000"/>
          <w:szCs w:val="21"/>
        </w:rPr>
        <w:t>1.5本项目将对节能产品、环境标志产品给予政策性因素技术加分，投标产品如属于节能产品、环境标志产品的，投标人须提供由国家确定的认证机构出具的、处于有效期之内的节能产品、环境标志产品认证证书，未按要求提供认证证书或认证证书与中国政府采购网(</w:t>
      </w:r>
      <w:r>
        <w:rPr>
          <w:rFonts w:hint="eastAsia" w:ascii="宋体" w:hAnsi="宋体"/>
          <w:color w:val="000000"/>
          <w:szCs w:val="21"/>
        </w:rPr>
        <w:fldChar w:fldCharType="begin"/>
      </w:r>
      <w:r>
        <w:rPr>
          <w:rFonts w:hint="eastAsia" w:ascii="宋体" w:hAnsi="宋体"/>
          <w:color w:val="000000"/>
          <w:szCs w:val="21"/>
        </w:rPr>
        <w:instrText xml:space="preserve"> HYPERLINK "http://www.ccgp.gov.cn/" </w:instrText>
      </w:r>
      <w:r>
        <w:rPr>
          <w:rFonts w:hint="eastAsia" w:ascii="宋体" w:hAnsi="宋体"/>
          <w:color w:val="000000"/>
          <w:szCs w:val="21"/>
        </w:rPr>
        <w:fldChar w:fldCharType="separate"/>
      </w:r>
      <w:r>
        <w:rPr>
          <w:rFonts w:hint="eastAsia" w:ascii="宋体" w:hAnsi="宋体"/>
          <w:color w:val="000000"/>
          <w:szCs w:val="21"/>
        </w:rPr>
        <w:t>www.ccgp.gov.cn</w:t>
      </w:r>
      <w:r>
        <w:rPr>
          <w:rFonts w:hint="eastAsia" w:ascii="宋体" w:hAnsi="宋体"/>
          <w:color w:val="000000"/>
          <w:szCs w:val="21"/>
        </w:rPr>
        <w:fldChar w:fldCharType="end"/>
      </w:r>
      <w:r>
        <w:rPr>
          <w:rFonts w:hint="eastAsia" w:ascii="宋体" w:hAnsi="宋体"/>
          <w:color w:val="000000"/>
          <w:szCs w:val="21"/>
        </w:rPr>
        <w:t>) 节能产品、环境标志产品查询结果不相符的评标委员会将不予认可，不得享受技术加分。由多个产品集成的项目（子包），必须所有产品符合上述要求才能享受技术加分。</w:t>
      </w:r>
    </w:p>
    <w:p>
      <w:pPr>
        <w:spacing w:line="400" w:lineRule="exact"/>
        <w:ind w:left="-2" w:leftChars="-1"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6评标委员会成员对需要共同认定的事项存在争议的，应当按照少数服从多数的原则作出结论。</w:t>
      </w:r>
    </w:p>
    <w:p>
      <w:pPr>
        <w:spacing w:line="400" w:lineRule="exact"/>
        <w:rPr>
          <w:rFonts w:ascii="宋体" w:hAnsi="宋体"/>
          <w:b/>
          <w:color w:val="000000"/>
          <w:szCs w:val="21"/>
        </w:rPr>
      </w:pPr>
      <w:r>
        <w:rPr>
          <w:rFonts w:hint="eastAsia" w:ascii="宋体" w:hAnsi="宋体"/>
          <w:b/>
          <w:color w:val="000000"/>
          <w:szCs w:val="21"/>
        </w:rPr>
        <w:t>二、评标委员会</w:t>
      </w:r>
    </w:p>
    <w:p>
      <w:pPr>
        <w:spacing w:line="400" w:lineRule="exact"/>
        <w:ind w:firstLine="420" w:firstLineChars="200"/>
        <w:rPr>
          <w:rFonts w:ascii="宋体" w:hAnsi="宋体"/>
          <w:color w:val="000000"/>
          <w:szCs w:val="21"/>
        </w:rPr>
      </w:pPr>
      <w:r>
        <w:rPr>
          <w:rFonts w:hint="eastAsia" w:ascii="宋体" w:hAnsi="宋体"/>
          <w:color w:val="000000"/>
          <w:szCs w:val="21"/>
        </w:rPr>
        <w:t>2.1采购人依据相关规定</w:t>
      </w:r>
      <w:r>
        <w:rPr>
          <w:rFonts w:ascii="宋体" w:hAnsi="宋体"/>
          <w:color w:val="000000"/>
          <w:szCs w:val="21"/>
        </w:rPr>
        <w:t>组建评标委员会，负责本项目的评标工作</w:t>
      </w:r>
      <w:r>
        <w:rPr>
          <w:rFonts w:hint="eastAsia" w:ascii="宋体" w:hAnsi="宋体"/>
          <w:color w:val="000000"/>
          <w:szCs w:val="21"/>
        </w:rPr>
        <w:t>。评标委员会成员名单在招标结果确定之前依法保密。</w:t>
      </w:r>
    </w:p>
    <w:p>
      <w:pPr>
        <w:spacing w:line="400" w:lineRule="exact"/>
        <w:ind w:firstLine="420" w:firstLineChars="200"/>
        <w:rPr>
          <w:rFonts w:ascii="宋体" w:hAnsi="宋体"/>
          <w:color w:val="000000"/>
          <w:szCs w:val="21"/>
        </w:rPr>
      </w:pPr>
      <w:r>
        <w:rPr>
          <w:rFonts w:hint="eastAsia" w:ascii="宋体" w:hAnsi="宋体"/>
          <w:color w:val="000000"/>
          <w:szCs w:val="21"/>
        </w:rPr>
        <w:t>2.2评标委员会将按照招标文件要求，只对初步确定为实质上响应本招标文件要求的投标进行评标和比较。并且只依据投标文件内容本身的响应情况进行评审，不考虑开标后的任何补充声明、修正的方案。</w:t>
      </w:r>
    </w:p>
    <w:p>
      <w:pPr>
        <w:spacing w:line="400" w:lineRule="exact"/>
        <w:rPr>
          <w:rFonts w:hint="eastAsia" w:ascii="宋体" w:hAnsi="宋体"/>
          <w:b/>
          <w:color w:val="000000"/>
          <w:szCs w:val="21"/>
        </w:rPr>
      </w:pPr>
      <w:r>
        <w:rPr>
          <w:rFonts w:hint="eastAsia" w:ascii="宋体" w:hAnsi="宋体"/>
          <w:b/>
          <w:color w:val="000000"/>
          <w:szCs w:val="21"/>
        </w:rPr>
        <w:t>三、评标程序</w:t>
      </w:r>
    </w:p>
    <w:p>
      <w:pPr>
        <w:spacing w:line="400" w:lineRule="exact"/>
        <w:ind w:firstLine="420" w:firstLineChars="200"/>
        <w:rPr>
          <w:rFonts w:hint="eastAsia" w:ascii="宋体" w:hAnsi="宋体"/>
          <w:color w:val="000000"/>
          <w:szCs w:val="21"/>
        </w:rPr>
      </w:pPr>
      <w:r>
        <w:rPr>
          <w:rFonts w:hint="eastAsia" w:ascii="宋体" w:hAnsi="宋体"/>
          <w:color w:val="000000"/>
          <w:szCs w:val="21"/>
        </w:rPr>
        <w:t>3.1初步审查：包含资格性审查和符合性审查。资格性审查是指采购人或代理机构根据“附表1资格审查表”的要求对投标文件逐一进行评审。符合性审查是指评标委员会根据“附表2符合性审查表”的要求对投标文件逐一进行评审。</w:t>
      </w:r>
      <w:r>
        <w:rPr>
          <w:rFonts w:hint="eastAsia" w:ascii="宋体" w:hAnsi="宋体"/>
          <w:b/>
          <w:color w:val="000000"/>
          <w:szCs w:val="21"/>
        </w:rPr>
        <w:t>资格性审查和符合性审查中，有任意一项审查结论不合格的，作无效标处理。</w:t>
      </w:r>
    </w:p>
    <w:p>
      <w:pPr>
        <w:spacing w:line="400" w:lineRule="exact"/>
        <w:ind w:firstLine="420" w:firstLineChars="200"/>
        <w:jc w:val="left"/>
        <w:rPr>
          <w:rFonts w:hint="eastAsia" w:ascii="宋体" w:hAnsi="宋体"/>
          <w:color w:val="000000"/>
          <w:szCs w:val="21"/>
          <w:lang w:val="zh-CN"/>
        </w:rPr>
      </w:pPr>
      <w:r>
        <w:rPr>
          <w:rFonts w:hint="eastAsia" w:ascii="宋体" w:hAnsi="宋体"/>
          <w:color w:val="000000"/>
          <w:szCs w:val="21"/>
        </w:rPr>
        <w:t>3.2</w:t>
      </w:r>
      <w:r>
        <w:rPr>
          <w:rFonts w:hint="eastAsia" w:ascii="宋体" w:hAnsi="宋体"/>
          <w:color w:val="000000"/>
          <w:szCs w:val="21"/>
          <w:lang w:val="zh-CN"/>
        </w:rPr>
        <w:t>比较与评价：</w:t>
      </w:r>
      <w:r>
        <w:rPr>
          <w:rFonts w:hint="eastAsia" w:ascii="宋体" w:hAnsi="宋体"/>
          <w:color w:val="000000"/>
          <w:szCs w:val="21"/>
        </w:rPr>
        <w:t>评标委员会根据“附表3评分标准（兼评委打分表）”的要求，</w:t>
      </w:r>
      <w:r>
        <w:rPr>
          <w:rFonts w:hint="eastAsia" w:ascii="宋体" w:hAnsi="宋体"/>
          <w:color w:val="000000"/>
          <w:szCs w:val="21"/>
          <w:lang w:val="zh-CN"/>
        </w:rPr>
        <w:t>对照投标文件的应答进行比较，判定其偏差性质和程度，</w:t>
      </w:r>
      <w:r>
        <w:rPr>
          <w:rFonts w:hint="eastAsia" w:ascii="宋体" w:hAnsi="宋体"/>
          <w:color w:val="000000"/>
          <w:szCs w:val="21"/>
        </w:rPr>
        <w:t>由评标委员会成员在分值范围内自行评分</w:t>
      </w:r>
      <w:r>
        <w:rPr>
          <w:rFonts w:hint="eastAsia" w:ascii="宋体" w:hAnsi="宋体"/>
          <w:color w:val="000000"/>
          <w:szCs w:val="21"/>
          <w:lang w:val="zh-CN"/>
        </w:rPr>
        <w:t>。</w:t>
      </w:r>
    </w:p>
    <w:p>
      <w:pPr>
        <w:spacing w:line="400" w:lineRule="exact"/>
        <w:ind w:firstLine="420" w:firstLineChars="200"/>
        <w:rPr>
          <w:rFonts w:ascii="宋体" w:hAnsi="宋体"/>
          <w:color w:val="000000"/>
          <w:szCs w:val="21"/>
        </w:rPr>
      </w:pPr>
      <w:r>
        <w:rPr>
          <w:rFonts w:hint="eastAsia" w:ascii="宋体" w:hAnsi="宋体"/>
          <w:color w:val="000000"/>
          <w:szCs w:val="21"/>
        </w:rPr>
        <w:t>3.3在评标过程中，发现的价格计算错误按下述原则修正：</w:t>
      </w:r>
    </w:p>
    <w:p>
      <w:pPr>
        <w:spacing w:line="400" w:lineRule="exact"/>
        <w:ind w:firstLine="420" w:firstLineChars="200"/>
        <w:jc w:val="left"/>
        <w:rPr>
          <w:rFonts w:hint="eastAsia" w:ascii="宋体" w:hAnsi="宋体"/>
          <w:color w:val="000000"/>
          <w:szCs w:val="21"/>
        </w:rPr>
      </w:pPr>
      <w:r>
        <w:rPr>
          <w:rFonts w:ascii="宋体" w:hAnsi="宋体"/>
          <w:color w:val="000000"/>
          <w:szCs w:val="21"/>
        </w:rPr>
        <w:t>（1）投标文件中开标一览表内容与投标文件中分项报价表内容不一致的，以开标一览表为准；</w:t>
      </w:r>
    </w:p>
    <w:p>
      <w:pPr>
        <w:spacing w:line="400" w:lineRule="exact"/>
        <w:ind w:firstLine="420" w:firstLineChars="200"/>
        <w:jc w:val="left"/>
        <w:rPr>
          <w:rFonts w:hint="eastAsia" w:ascii="宋体" w:hAnsi="宋体"/>
          <w:color w:val="000000"/>
          <w:szCs w:val="21"/>
        </w:rPr>
      </w:pPr>
      <w:r>
        <w:rPr>
          <w:rFonts w:ascii="宋体" w:hAnsi="宋体"/>
          <w:color w:val="000000"/>
          <w:szCs w:val="21"/>
        </w:rPr>
        <w:t>（2）投标文件的大写金额和小写金额不一致的，以大写金额为准；</w:t>
      </w:r>
    </w:p>
    <w:p>
      <w:pPr>
        <w:spacing w:line="400" w:lineRule="exact"/>
        <w:ind w:firstLine="420" w:firstLineChars="200"/>
        <w:jc w:val="left"/>
        <w:rPr>
          <w:rFonts w:hint="eastAsia" w:ascii="宋体" w:hAnsi="宋体"/>
          <w:color w:val="000000"/>
          <w:szCs w:val="21"/>
        </w:rPr>
      </w:pPr>
      <w:r>
        <w:rPr>
          <w:rFonts w:ascii="宋体" w:hAnsi="宋体"/>
          <w:color w:val="000000"/>
          <w:szCs w:val="21"/>
        </w:rPr>
        <w:t>（3）单价金额小数点有明显错位的，应以总价为准，并修改单价；</w:t>
      </w:r>
    </w:p>
    <w:p>
      <w:pPr>
        <w:spacing w:line="400" w:lineRule="exact"/>
        <w:ind w:firstLine="420" w:firstLineChars="200"/>
        <w:jc w:val="left"/>
        <w:rPr>
          <w:rFonts w:hint="eastAsia" w:ascii="宋体" w:hAnsi="宋体"/>
          <w:color w:val="000000"/>
          <w:szCs w:val="21"/>
        </w:rPr>
      </w:pPr>
      <w:r>
        <w:rPr>
          <w:rFonts w:ascii="宋体" w:hAnsi="宋体"/>
          <w:color w:val="000000"/>
          <w:szCs w:val="21"/>
        </w:rPr>
        <w:t>（4）总价金额与按单价汇总金额不一致的，以单价金额计算结果为准。</w:t>
      </w:r>
    </w:p>
    <w:p>
      <w:pPr>
        <w:spacing w:line="400" w:lineRule="exact"/>
        <w:ind w:firstLine="420" w:firstLineChars="200"/>
        <w:rPr>
          <w:rFonts w:hint="eastAsia" w:ascii="宋体" w:hAnsi="宋体"/>
          <w:color w:val="000000"/>
        </w:rPr>
      </w:pPr>
      <w:r>
        <w:rPr>
          <w:rFonts w:ascii="宋体" w:hAnsi="宋体"/>
          <w:color w:val="000000"/>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hint="eastAsia" w:ascii="宋体" w:hAnsi="宋体"/>
          <w:color w:val="000000"/>
        </w:rPr>
      </w:pPr>
      <w:r>
        <w:rPr>
          <w:rFonts w:hint="eastAsia" w:ascii="宋体" w:hAnsi="宋体"/>
          <w:color w:val="000000"/>
          <w:szCs w:val="21"/>
        </w:rPr>
        <w:t>3.4</w:t>
      </w:r>
      <w:r>
        <w:rPr>
          <w:rFonts w:hint="eastAsia" w:ascii="宋体" w:hAnsi="宋体"/>
          <w:color w:val="000000"/>
        </w:rPr>
        <w:t>提供相同品牌产品且通过资格性审查、符合性审查的不同供应商参加同一子包投标的，按一家供应商计算，评审后综合得分最高的同品牌供应商获得中标</w:t>
      </w:r>
      <w:r>
        <w:rPr>
          <w:rFonts w:hint="eastAsia" w:ascii="宋体" w:hAnsi="宋体"/>
          <w:color w:val="000000"/>
          <w:szCs w:val="21"/>
        </w:rPr>
        <w:t>候选</w:t>
      </w:r>
      <w:r>
        <w:rPr>
          <w:rFonts w:hint="eastAsia" w:ascii="宋体" w:hAnsi="宋体"/>
          <w:color w:val="000000"/>
        </w:rPr>
        <w:t>人推荐资格；综合得分相同的，由评标委员会采取随机抽取方式确定，其他同品牌供应商不作为中标候选人。</w:t>
      </w:r>
    </w:p>
    <w:p>
      <w:pPr>
        <w:spacing w:line="400" w:lineRule="exact"/>
        <w:ind w:firstLine="420" w:firstLineChars="200"/>
        <w:rPr>
          <w:rFonts w:hint="eastAsia" w:ascii="宋体" w:hAnsi="宋体"/>
          <w:color w:val="000000"/>
          <w:szCs w:val="21"/>
        </w:rPr>
      </w:pPr>
      <w:r>
        <w:rPr>
          <w:rFonts w:hint="eastAsia" w:ascii="宋体" w:hAnsi="宋体"/>
          <w:color w:val="000000"/>
        </w:rPr>
        <w:t>非单一产品采购项目，多家供应商提供的核心产品品牌相同的，按上述规定处理。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3.5综合评估：经过初步审查、比较，评标委员会成员按照评分标准（兼评委打分表）规定的内容和分值设置</w:t>
      </w:r>
      <w:r>
        <w:rPr>
          <w:rFonts w:ascii="宋体" w:hAnsi="宋体"/>
          <w:color w:val="000000"/>
          <w:szCs w:val="21"/>
        </w:rPr>
        <w:t>以记名方式独立评定打分</w:t>
      </w:r>
      <w:r>
        <w:rPr>
          <w:rFonts w:hint="eastAsia" w:ascii="宋体" w:hAnsi="宋体"/>
          <w:color w:val="000000"/>
          <w:szCs w:val="21"/>
        </w:rPr>
        <w:t>，</w:t>
      </w:r>
      <w:r>
        <w:rPr>
          <w:rFonts w:ascii="宋体" w:hAnsi="宋体"/>
          <w:color w:val="000000"/>
          <w:szCs w:val="21"/>
        </w:rPr>
        <w:t>汇总各评委</w:t>
      </w:r>
      <w:r>
        <w:rPr>
          <w:rFonts w:hint="eastAsia" w:ascii="宋体" w:hAnsi="宋体"/>
          <w:color w:val="000000"/>
          <w:szCs w:val="21"/>
        </w:rPr>
        <w:t>对各供应商的评分，取算术平均值（小数点后保留二位数）即为各供应商的综合得分。</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3.6推荐中标候选人</w:t>
      </w:r>
    </w:p>
    <w:p>
      <w:pPr>
        <w:spacing w:line="400" w:lineRule="exact"/>
        <w:ind w:firstLine="420" w:firstLineChars="200"/>
        <w:jc w:val="left"/>
        <w:rPr>
          <w:rFonts w:ascii="宋体" w:hAnsi="宋体"/>
          <w:color w:val="000000"/>
          <w:szCs w:val="21"/>
        </w:rPr>
      </w:pPr>
      <w:r>
        <w:rPr>
          <w:rFonts w:hint="eastAsia" w:ascii="宋体" w:hAnsi="宋体"/>
          <w:color w:val="000000"/>
          <w:szCs w:val="21"/>
        </w:rPr>
        <w:t>根据供应商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pPr>
        <w:spacing w:line="400" w:lineRule="exact"/>
        <w:ind w:firstLine="420" w:firstLineChars="200"/>
        <w:jc w:val="left"/>
        <w:rPr>
          <w:rFonts w:ascii="宋体" w:hAnsi="宋体"/>
          <w:color w:val="000000"/>
          <w:szCs w:val="21"/>
        </w:rPr>
      </w:pPr>
      <w:r>
        <w:rPr>
          <w:rFonts w:hint="eastAsia" w:ascii="宋体" w:hAnsi="宋体"/>
          <w:color w:val="000000"/>
          <w:szCs w:val="21"/>
        </w:rPr>
        <w:t>3.7确定中标供应商</w:t>
      </w:r>
    </w:p>
    <w:p>
      <w:pPr>
        <w:spacing w:line="400" w:lineRule="exact"/>
        <w:ind w:firstLine="420" w:firstLineChars="200"/>
        <w:rPr>
          <w:rFonts w:hint="eastAsia" w:ascii="宋体" w:hAnsi="宋体"/>
          <w:color w:val="000000"/>
          <w:szCs w:val="21"/>
        </w:rPr>
      </w:pPr>
      <w:r>
        <w:rPr>
          <w:rFonts w:hint="eastAsia" w:ascii="宋体" w:hAnsi="宋体"/>
          <w:color w:val="000000"/>
          <w:szCs w:val="21"/>
        </w:rPr>
        <w:t>评标委员会按综合得分由高到低排序，向采购人推荐排序第一的供应商为中标候选人。代理机构</w:t>
      </w:r>
      <w:r>
        <w:rPr>
          <w:rFonts w:ascii="宋体" w:hAnsi="宋体"/>
          <w:color w:val="000000"/>
          <w:szCs w:val="21"/>
        </w:rPr>
        <w:t>应当自评审结束之日起2个工作日内将评审报告送交采购人。采购人应当自收到评审报告之日起5个工作日内在评审报告推荐的中标候选人中按顺序确定中标供应商。</w:t>
      </w:r>
      <w:r>
        <w:rPr>
          <w:rFonts w:hint="eastAsia" w:ascii="宋体" w:hAnsi="宋体"/>
          <w:color w:val="000000"/>
          <w:szCs w:val="21"/>
        </w:rPr>
        <w:t>中标供应商因不可抗力或者自身原因不能履行政府采购合同的，采购人将重新招标。</w:t>
      </w:r>
    </w:p>
    <w:p>
      <w:pPr>
        <w:spacing w:line="400" w:lineRule="exact"/>
        <w:rPr>
          <w:rFonts w:ascii="宋体" w:hAnsi="宋体"/>
          <w:b/>
          <w:color w:val="000000"/>
          <w:szCs w:val="21"/>
        </w:rPr>
      </w:pPr>
      <w:r>
        <w:rPr>
          <w:rFonts w:hint="eastAsia" w:ascii="宋体" w:hAnsi="宋体"/>
          <w:b/>
          <w:color w:val="000000"/>
          <w:szCs w:val="21"/>
        </w:rPr>
        <w:t>四、投标的澄清</w:t>
      </w:r>
    </w:p>
    <w:p>
      <w:pPr>
        <w:spacing w:line="400" w:lineRule="exact"/>
        <w:ind w:firstLine="420" w:firstLineChars="200"/>
        <w:rPr>
          <w:rFonts w:hint="eastAsia" w:ascii="宋体" w:hAnsi="宋体"/>
          <w:color w:val="000000"/>
          <w:szCs w:val="21"/>
        </w:rPr>
      </w:pPr>
      <w:r>
        <w:rPr>
          <w:rFonts w:hint="eastAsia" w:ascii="宋体" w:hAnsi="宋体"/>
          <w:color w:val="000000"/>
          <w:szCs w:val="21"/>
        </w:rPr>
        <w:t>4.1对投标文件审查中发现的投标文件表达含义不明确、同类问题表述不一致或者有明显文字和计算错误的内容，评标委员会应当书面形式要求供应商作出必要的澄清、说明或者补正。</w:t>
      </w:r>
    </w:p>
    <w:p>
      <w:pPr>
        <w:spacing w:line="400" w:lineRule="exact"/>
        <w:ind w:firstLine="420" w:firstLineChars="200"/>
        <w:rPr>
          <w:rFonts w:ascii="宋体" w:hAnsi="宋体"/>
          <w:color w:val="000000"/>
          <w:szCs w:val="21"/>
        </w:rPr>
      </w:pPr>
      <w:r>
        <w:rPr>
          <w:rFonts w:hint="eastAsia" w:ascii="宋体" w:hAnsi="宋体"/>
          <w:color w:val="000000"/>
          <w:szCs w:val="21"/>
        </w:rPr>
        <w:t>4.2供应商的澄清、说明或者补正应当采用书面形式，并加盖公章，或者由</w:t>
      </w:r>
      <w:r>
        <w:rPr>
          <w:rFonts w:ascii="宋体" w:hAnsi="宋体"/>
          <w:color w:val="000000"/>
          <w:szCs w:val="21"/>
        </w:rPr>
        <w:t>法定代表人或其委托代理人</w:t>
      </w:r>
      <w:r>
        <w:rPr>
          <w:rFonts w:hint="eastAsia" w:ascii="宋体" w:hAnsi="宋体"/>
          <w:color w:val="000000"/>
          <w:szCs w:val="21"/>
        </w:rPr>
        <w:t>的签字。供应商的澄清、说明或者补正不得超出投标文件的范围或者改变投标文件的实质性内容。</w:t>
      </w:r>
    </w:p>
    <w:p>
      <w:pPr>
        <w:spacing w:line="400" w:lineRule="exact"/>
        <w:ind w:firstLine="420" w:firstLineChars="200"/>
        <w:rPr>
          <w:rFonts w:hint="eastAsia" w:ascii="宋体" w:hAnsi="宋体"/>
          <w:color w:val="000000"/>
          <w:szCs w:val="21"/>
        </w:rPr>
      </w:pPr>
      <w:r>
        <w:rPr>
          <w:rFonts w:hint="eastAsia" w:ascii="宋体" w:hAnsi="宋体"/>
          <w:color w:val="000000"/>
          <w:szCs w:val="21"/>
        </w:rPr>
        <w:t>4.3若供应商未响应澄清安排的通知到场进行答疑和澄清，将被视作自动放弃。</w:t>
      </w:r>
    </w:p>
    <w:p>
      <w:pPr>
        <w:widowControl/>
        <w:spacing w:line="400" w:lineRule="exact"/>
        <w:jc w:val="left"/>
        <w:rPr>
          <w:rFonts w:hint="eastAsia" w:ascii="宋体" w:hAnsi="宋体"/>
          <w:b/>
          <w:color w:val="000000"/>
          <w:szCs w:val="21"/>
        </w:rPr>
      </w:pPr>
      <w:r>
        <w:rPr>
          <w:rFonts w:hint="eastAsia" w:ascii="宋体" w:hAnsi="宋体"/>
          <w:b/>
          <w:color w:val="000000"/>
          <w:szCs w:val="21"/>
        </w:rPr>
        <w:t>五、特别声明：价格是评标的重要因素之一，但最低价不是中标的唯一依据。</w:t>
      </w:r>
    </w:p>
    <w:p>
      <w:pPr>
        <w:spacing w:line="400" w:lineRule="exact"/>
        <w:jc w:val="left"/>
        <w:rPr>
          <w:rFonts w:hint="eastAsia" w:ascii="宋体" w:hAnsi="宋体"/>
          <w:b/>
          <w:color w:val="000000"/>
          <w:szCs w:val="21"/>
        </w:rPr>
      </w:pPr>
      <w:r>
        <w:rPr>
          <w:rFonts w:hint="eastAsia" w:ascii="宋体" w:hAnsi="宋体"/>
          <w:b/>
          <w:color w:val="000000"/>
          <w:szCs w:val="21"/>
        </w:rPr>
        <w:t>六、重新招标</w:t>
      </w:r>
    </w:p>
    <w:p>
      <w:pPr>
        <w:spacing w:line="400" w:lineRule="exact"/>
        <w:ind w:firstLine="420" w:firstLineChars="200"/>
        <w:rPr>
          <w:rFonts w:hint="eastAsia" w:ascii="宋体" w:hAnsi="宋体"/>
          <w:color w:val="000000"/>
          <w:szCs w:val="21"/>
        </w:rPr>
      </w:pPr>
      <w:r>
        <w:rPr>
          <w:rFonts w:hint="eastAsia" w:ascii="宋体" w:hAnsi="宋体"/>
          <w:color w:val="000000"/>
          <w:szCs w:val="21"/>
        </w:rPr>
        <w:t>有下列情形之一的，采购人将重新招标：</w:t>
      </w:r>
    </w:p>
    <w:p>
      <w:pPr>
        <w:spacing w:line="400" w:lineRule="exact"/>
        <w:ind w:firstLine="420" w:firstLineChars="200"/>
        <w:rPr>
          <w:rFonts w:hint="eastAsia" w:ascii="宋体" w:hAnsi="宋体"/>
          <w:color w:val="000000"/>
          <w:szCs w:val="21"/>
        </w:rPr>
      </w:pPr>
      <w:r>
        <w:rPr>
          <w:rFonts w:hint="eastAsia" w:ascii="宋体" w:hAnsi="宋体"/>
          <w:color w:val="000000"/>
          <w:szCs w:val="21"/>
        </w:rPr>
        <w:t>6.1投标截止时间止，供应商少于3个的；</w:t>
      </w:r>
    </w:p>
    <w:p>
      <w:pPr>
        <w:spacing w:line="400" w:lineRule="exact"/>
        <w:ind w:firstLine="420" w:firstLineChars="200"/>
        <w:rPr>
          <w:rFonts w:hint="eastAsia" w:ascii="宋体" w:hAnsi="宋体"/>
          <w:color w:val="000000"/>
          <w:szCs w:val="21"/>
        </w:rPr>
      </w:pPr>
      <w:r>
        <w:rPr>
          <w:rFonts w:hint="eastAsia" w:ascii="宋体" w:hAnsi="宋体"/>
          <w:color w:val="000000"/>
          <w:szCs w:val="21"/>
        </w:rPr>
        <w:t>6.2评标委员会评标过程中，有效供应商少于3个的；</w:t>
      </w:r>
    </w:p>
    <w:p>
      <w:pPr>
        <w:spacing w:line="400" w:lineRule="exact"/>
        <w:ind w:firstLine="420" w:firstLineChars="200"/>
        <w:rPr>
          <w:rFonts w:ascii="宋体" w:hAnsi="宋体"/>
          <w:color w:val="000000"/>
          <w:szCs w:val="21"/>
        </w:rPr>
      </w:pPr>
      <w:r>
        <w:rPr>
          <w:rFonts w:hint="eastAsia" w:ascii="宋体" w:hAnsi="宋体"/>
          <w:color w:val="000000"/>
          <w:szCs w:val="21"/>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pPr>
        <w:widowControl/>
        <w:spacing w:line="400" w:lineRule="exact"/>
        <w:jc w:val="left"/>
        <w:rPr>
          <w:rFonts w:ascii="宋体" w:hAnsi="宋体"/>
          <w:color w:val="000000"/>
          <w:szCs w:val="21"/>
        </w:rPr>
      </w:pPr>
    </w:p>
    <w:p>
      <w:pPr>
        <w:spacing w:line="400" w:lineRule="exact"/>
        <w:rPr>
          <w:rFonts w:hint="eastAsia" w:ascii="宋体" w:hAnsi="宋体"/>
          <w:color w:val="000000"/>
          <w:szCs w:val="21"/>
        </w:rPr>
      </w:pPr>
      <w:r>
        <w:rPr>
          <w:rFonts w:ascii="宋体" w:hAnsi="宋体"/>
          <w:color w:val="000000"/>
          <w:sz w:val="24"/>
          <w:szCs w:val="24"/>
        </w:rPr>
        <w:br w:type="page"/>
      </w:r>
      <w:r>
        <w:rPr>
          <w:rFonts w:hint="eastAsia" w:ascii="宋体" w:hAnsi="宋体"/>
          <w:color w:val="000000"/>
          <w:szCs w:val="21"/>
        </w:rPr>
        <w:t>附表1：</w:t>
      </w:r>
    </w:p>
    <w:p>
      <w:pPr>
        <w:widowControl/>
        <w:snapToGrid w:val="0"/>
        <w:spacing w:line="350" w:lineRule="exact"/>
        <w:jc w:val="center"/>
        <w:rPr>
          <w:rFonts w:hint="eastAsia" w:ascii="宋体" w:hAnsi="宋体"/>
          <w:b/>
          <w:color w:val="000000"/>
          <w:szCs w:val="21"/>
        </w:rPr>
      </w:pPr>
      <w:r>
        <w:rPr>
          <w:rFonts w:hint="eastAsia" w:ascii="宋体" w:hAnsi="宋体"/>
          <w:b/>
          <w:color w:val="000000"/>
          <w:szCs w:val="21"/>
        </w:rPr>
        <w:t>资格审查表</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977"/>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350" w:lineRule="exact"/>
              <w:jc w:val="center"/>
              <w:rPr>
                <w:rFonts w:hint="eastAsia" w:ascii="宋体" w:hAnsi="宋体"/>
                <w:b/>
                <w:color w:val="000000"/>
                <w:szCs w:val="21"/>
              </w:rPr>
            </w:pPr>
            <w:r>
              <w:rPr>
                <w:rFonts w:hint="eastAsia" w:ascii="宋体" w:hAnsi="宋体"/>
                <w:b/>
                <w:color w:val="000000"/>
                <w:szCs w:val="21"/>
              </w:rPr>
              <w:t>序号</w:t>
            </w:r>
          </w:p>
        </w:tc>
        <w:tc>
          <w:tcPr>
            <w:tcW w:w="4977" w:type="dxa"/>
            <w:noWrap w:val="0"/>
            <w:vAlign w:val="top"/>
          </w:tcPr>
          <w:p>
            <w:pPr>
              <w:spacing w:line="350" w:lineRule="exact"/>
              <w:jc w:val="center"/>
              <w:rPr>
                <w:rFonts w:hint="eastAsia" w:ascii="宋体" w:hAnsi="宋体"/>
                <w:b/>
                <w:color w:val="000000"/>
                <w:szCs w:val="21"/>
              </w:rPr>
            </w:pPr>
            <w:r>
              <w:rPr>
                <w:rFonts w:hint="eastAsia" w:ascii="宋体" w:hAnsi="宋体"/>
                <w:b/>
                <w:color w:val="000000"/>
                <w:szCs w:val="21"/>
              </w:rPr>
              <w:t>审查项目</w:t>
            </w:r>
          </w:p>
        </w:tc>
        <w:tc>
          <w:tcPr>
            <w:tcW w:w="3718" w:type="dxa"/>
            <w:noWrap w:val="0"/>
            <w:vAlign w:val="top"/>
          </w:tcPr>
          <w:p>
            <w:pPr>
              <w:spacing w:line="350" w:lineRule="exact"/>
              <w:jc w:val="center"/>
              <w:rPr>
                <w:rFonts w:hint="eastAsia" w:ascii="宋体" w:hAnsi="宋体"/>
                <w:b/>
                <w:color w:val="000000"/>
                <w:szCs w:val="21"/>
              </w:rPr>
            </w:pPr>
            <w:r>
              <w:rPr>
                <w:rFonts w:hint="eastAsia" w:ascii="宋体" w:hAnsi="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350" w:lineRule="exact"/>
              <w:jc w:val="center"/>
              <w:rPr>
                <w:rFonts w:hint="eastAsia" w:ascii="宋体" w:hAnsi="宋体"/>
                <w:color w:val="000000"/>
                <w:szCs w:val="21"/>
              </w:rPr>
            </w:pPr>
            <w:r>
              <w:rPr>
                <w:rFonts w:hint="eastAsia" w:ascii="宋体" w:hAnsi="宋体"/>
                <w:color w:val="000000"/>
                <w:szCs w:val="21"/>
              </w:rPr>
              <w:t>1</w:t>
            </w:r>
          </w:p>
        </w:tc>
        <w:tc>
          <w:tcPr>
            <w:tcW w:w="4977" w:type="dxa"/>
            <w:noWrap w:val="0"/>
            <w:vAlign w:val="center"/>
          </w:tcPr>
          <w:p>
            <w:pPr>
              <w:spacing w:line="350" w:lineRule="exact"/>
              <w:rPr>
                <w:rFonts w:ascii="宋体" w:hAnsi="宋体"/>
                <w:color w:val="000000"/>
                <w:szCs w:val="21"/>
              </w:rPr>
            </w:pPr>
            <w:r>
              <w:rPr>
                <w:rFonts w:hint="eastAsia" w:ascii="宋体" w:hAnsi="宋体"/>
                <w:color w:val="000000"/>
                <w:szCs w:val="21"/>
              </w:rPr>
              <w:t>（1）关于资格的声明函；</w:t>
            </w:r>
          </w:p>
          <w:p>
            <w:pPr>
              <w:spacing w:line="350" w:lineRule="exact"/>
              <w:rPr>
                <w:rFonts w:ascii="宋体" w:hAnsi="宋体"/>
                <w:color w:val="000000"/>
                <w:szCs w:val="21"/>
              </w:rPr>
            </w:pPr>
            <w:r>
              <w:rPr>
                <w:rFonts w:hint="eastAsia" w:ascii="宋体" w:hAnsi="宋体"/>
                <w:color w:val="000000"/>
                <w:szCs w:val="21"/>
              </w:rPr>
              <w:t>（2）营业执照副本复印件加盖供应商公章；</w:t>
            </w:r>
          </w:p>
          <w:p>
            <w:pPr>
              <w:spacing w:line="350" w:lineRule="exact"/>
              <w:rPr>
                <w:rFonts w:ascii="宋体" w:hAnsi="宋体"/>
                <w:color w:val="000000"/>
                <w:szCs w:val="21"/>
              </w:rPr>
            </w:pPr>
            <w:r>
              <w:rPr>
                <w:rFonts w:hint="eastAsia" w:ascii="宋体" w:hAnsi="宋体"/>
                <w:color w:val="000000"/>
                <w:szCs w:val="21"/>
              </w:rPr>
              <w:t>（3）税务登记证副本复印件加盖供应商公章；</w:t>
            </w:r>
          </w:p>
          <w:p>
            <w:pPr>
              <w:spacing w:line="350" w:lineRule="exact"/>
              <w:rPr>
                <w:rFonts w:ascii="宋体" w:hAnsi="宋体"/>
                <w:color w:val="000000"/>
                <w:szCs w:val="21"/>
              </w:rPr>
            </w:pPr>
            <w:r>
              <w:rPr>
                <w:rFonts w:hint="eastAsia" w:ascii="宋体" w:hAnsi="宋体"/>
                <w:color w:val="000000"/>
                <w:szCs w:val="21"/>
              </w:rPr>
              <w:t>（4）组织机构代码证副本复印件加盖供应商公章；</w:t>
            </w:r>
          </w:p>
          <w:p>
            <w:pPr>
              <w:spacing w:line="350" w:lineRule="exact"/>
              <w:rPr>
                <w:rFonts w:ascii="宋体" w:hAnsi="宋体"/>
                <w:color w:val="000000"/>
                <w:szCs w:val="21"/>
              </w:rPr>
            </w:pPr>
            <w:r>
              <w:rPr>
                <w:rFonts w:hint="eastAsia" w:ascii="宋体" w:hAnsi="宋体"/>
                <w:color w:val="000000"/>
                <w:szCs w:val="21"/>
              </w:rPr>
              <w:t>（5）社会保险登记证副本复印件加盖供应商公章；</w:t>
            </w:r>
          </w:p>
          <w:p>
            <w:pPr>
              <w:spacing w:line="350" w:lineRule="exact"/>
              <w:rPr>
                <w:rFonts w:ascii="宋体" w:hAnsi="宋体"/>
                <w:color w:val="000000"/>
                <w:szCs w:val="21"/>
              </w:rPr>
            </w:pPr>
            <w:r>
              <w:rPr>
                <w:rFonts w:hint="eastAsia" w:ascii="宋体" w:hAnsi="宋体"/>
                <w:color w:val="000000"/>
                <w:szCs w:val="21"/>
              </w:rPr>
              <w:t>（6）2019年度财务会计报表复印件加盖供应商公章；</w:t>
            </w:r>
          </w:p>
          <w:p>
            <w:pPr>
              <w:spacing w:line="350" w:lineRule="exact"/>
              <w:rPr>
                <w:rFonts w:ascii="宋体" w:hAnsi="宋体"/>
                <w:color w:val="000000"/>
                <w:szCs w:val="21"/>
              </w:rPr>
            </w:pPr>
            <w:r>
              <w:rPr>
                <w:rFonts w:hint="eastAsia" w:ascii="宋体" w:hAnsi="宋体"/>
                <w:color w:val="000000"/>
                <w:szCs w:val="21"/>
              </w:rPr>
              <w:t>（7）2019年度缴纳税收的证明资料复印件加盖供应商公章；</w:t>
            </w:r>
          </w:p>
          <w:p>
            <w:pPr>
              <w:spacing w:line="350" w:lineRule="exact"/>
              <w:rPr>
                <w:rFonts w:ascii="宋体" w:hAnsi="宋体"/>
                <w:color w:val="000000"/>
                <w:szCs w:val="21"/>
              </w:rPr>
            </w:pPr>
            <w:r>
              <w:rPr>
                <w:rFonts w:hint="eastAsia" w:ascii="宋体" w:hAnsi="宋体"/>
                <w:color w:val="000000"/>
                <w:szCs w:val="21"/>
              </w:rPr>
              <w:t>（8）2019年度缴纳社保的证明资料复印件加盖供应商公章；</w:t>
            </w:r>
          </w:p>
          <w:p>
            <w:pPr>
              <w:spacing w:line="350" w:lineRule="exact"/>
              <w:rPr>
                <w:rFonts w:ascii="宋体" w:hAnsi="宋体"/>
                <w:color w:val="000000"/>
                <w:szCs w:val="21"/>
              </w:rPr>
            </w:pPr>
            <w:r>
              <w:rPr>
                <w:rFonts w:hint="eastAsia" w:ascii="宋体" w:hAnsi="宋体"/>
                <w:color w:val="000000"/>
                <w:szCs w:val="21"/>
              </w:rPr>
              <w:t>（9）无重大违法记录声明函；</w:t>
            </w:r>
          </w:p>
          <w:p>
            <w:pPr>
              <w:spacing w:line="350" w:lineRule="exact"/>
              <w:rPr>
                <w:rFonts w:hint="eastAsia" w:ascii="宋体" w:hAnsi="宋体"/>
                <w:color w:val="000000"/>
                <w:szCs w:val="21"/>
              </w:rPr>
            </w:pPr>
            <w:r>
              <w:rPr>
                <w:rFonts w:hint="eastAsia" w:ascii="宋体" w:hAnsi="宋体"/>
                <w:color w:val="000000"/>
                <w:szCs w:val="21"/>
              </w:rPr>
              <w:t>（10）供应商一般情况。</w:t>
            </w:r>
          </w:p>
        </w:tc>
        <w:tc>
          <w:tcPr>
            <w:tcW w:w="3718" w:type="dxa"/>
            <w:noWrap w:val="0"/>
            <w:vAlign w:val="center"/>
          </w:tcPr>
          <w:p>
            <w:pPr>
              <w:spacing w:line="350" w:lineRule="exact"/>
              <w:rPr>
                <w:rFonts w:hint="eastAsia" w:ascii="宋体" w:hAnsi="宋体"/>
                <w:color w:val="000000"/>
                <w:szCs w:val="21"/>
              </w:rPr>
            </w:pPr>
            <w:r>
              <w:rPr>
                <w:rFonts w:hint="eastAsia" w:ascii="宋体" w:hAnsi="宋体"/>
                <w:color w:val="000000"/>
                <w:szCs w:val="21"/>
              </w:rPr>
              <w:t>符合《中华人民共和国政府采购法》第</w:t>
            </w:r>
            <w:r>
              <w:rPr>
                <w:rFonts w:ascii="宋体" w:hAnsi="宋体"/>
                <w:color w:val="000000"/>
                <w:szCs w:val="21"/>
              </w:rPr>
              <w:t>22</w:t>
            </w:r>
            <w:r>
              <w:rPr>
                <w:rFonts w:hint="eastAsia" w:ascii="宋体" w:hAnsi="宋体"/>
                <w:color w:val="000000"/>
                <w:szCs w:val="21"/>
              </w:rPr>
              <w:t>条的一般资格条件的规定：</w:t>
            </w:r>
          </w:p>
          <w:p>
            <w:pPr>
              <w:spacing w:line="350" w:lineRule="exact"/>
              <w:rPr>
                <w:rFonts w:ascii="宋体" w:hAnsi="宋体"/>
                <w:color w:val="000000"/>
                <w:szCs w:val="21"/>
              </w:rPr>
            </w:pPr>
            <w:r>
              <w:rPr>
                <w:rFonts w:hint="eastAsia" w:ascii="宋体" w:hAnsi="宋体"/>
                <w:color w:val="000000"/>
                <w:szCs w:val="21"/>
              </w:rPr>
              <w:t>1.1具有独立承担民事责任的能力；</w:t>
            </w:r>
          </w:p>
          <w:p>
            <w:pPr>
              <w:spacing w:line="350" w:lineRule="exact"/>
              <w:rPr>
                <w:rFonts w:ascii="宋体" w:hAnsi="宋体"/>
                <w:color w:val="000000"/>
                <w:szCs w:val="21"/>
              </w:rPr>
            </w:pPr>
            <w:r>
              <w:rPr>
                <w:rFonts w:hint="eastAsia" w:ascii="宋体" w:hAnsi="宋体"/>
                <w:color w:val="000000"/>
                <w:szCs w:val="21"/>
              </w:rPr>
              <w:t>1.2具有良好的商业信誉和健全的财务会计制度；</w:t>
            </w:r>
          </w:p>
          <w:p>
            <w:pPr>
              <w:spacing w:line="350" w:lineRule="exact"/>
              <w:rPr>
                <w:rFonts w:ascii="宋体" w:hAnsi="宋体"/>
                <w:color w:val="000000"/>
                <w:szCs w:val="21"/>
              </w:rPr>
            </w:pPr>
            <w:r>
              <w:rPr>
                <w:rFonts w:hint="eastAsia" w:ascii="宋体" w:hAnsi="宋体"/>
                <w:color w:val="000000"/>
                <w:szCs w:val="21"/>
              </w:rPr>
              <w:t>1.3具有履行合同所必需的设备和专业技术能力；</w:t>
            </w:r>
          </w:p>
          <w:p>
            <w:pPr>
              <w:spacing w:line="350" w:lineRule="exact"/>
              <w:rPr>
                <w:rFonts w:ascii="宋体" w:hAnsi="宋体"/>
                <w:color w:val="000000"/>
                <w:szCs w:val="21"/>
              </w:rPr>
            </w:pPr>
            <w:r>
              <w:rPr>
                <w:rFonts w:hint="eastAsia" w:ascii="宋体" w:hAnsi="宋体"/>
                <w:color w:val="000000"/>
                <w:szCs w:val="21"/>
              </w:rPr>
              <w:t>1.4有依法缴纳税收和社会保障资金的良好记录；</w:t>
            </w:r>
          </w:p>
          <w:p>
            <w:pPr>
              <w:spacing w:line="350" w:lineRule="exact"/>
              <w:rPr>
                <w:rFonts w:ascii="宋体" w:hAnsi="宋体"/>
                <w:color w:val="000000"/>
                <w:szCs w:val="21"/>
              </w:rPr>
            </w:pPr>
            <w:r>
              <w:rPr>
                <w:rFonts w:hint="eastAsia" w:ascii="宋体" w:hAnsi="宋体"/>
                <w:color w:val="000000"/>
                <w:szCs w:val="21"/>
              </w:rPr>
              <w:t>1.5参加政府采购活动前三年内，在经营活动中没有重大违法记录；</w:t>
            </w:r>
          </w:p>
          <w:p>
            <w:pPr>
              <w:spacing w:line="350" w:lineRule="exact"/>
              <w:rPr>
                <w:rFonts w:hint="eastAsia" w:ascii="宋体" w:hAnsi="宋体"/>
                <w:color w:val="000000"/>
                <w:szCs w:val="21"/>
              </w:rPr>
            </w:pPr>
            <w:r>
              <w:rPr>
                <w:rFonts w:hint="eastAsia" w:ascii="宋体" w:hAnsi="宋体"/>
                <w:color w:val="000000"/>
                <w:szCs w:val="21"/>
              </w:rPr>
              <w:t>1.6法律、行政法规规定的其他条件。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350" w:lineRule="exact"/>
              <w:jc w:val="center"/>
              <w:rPr>
                <w:rFonts w:hint="eastAsia" w:ascii="宋体" w:hAnsi="宋体"/>
                <w:color w:val="000000"/>
                <w:szCs w:val="21"/>
              </w:rPr>
            </w:pPr>
            <w:r>
              <w:rPr>
                <w:rFonts w:hint="eastAsia" w:ascii="宋体" w:hAnsi="宋体"/>
                <w:color w:val="000000"/>
                <w:szCs w:val="21"/>
              </w:rPr>
              <w:t>2</w:t>
            </w:r>
          </w:p>
        </w:tc>
        <w:tc>
          <w:tcPr>
            <w:tcW w:w="4977" w:type="dxa"/>
            <w:noWrap w:val="0"/>
            <w:vAlign w:val="center"/>
          </w:tcPr>
          <w:p>
            <w:pPr>
              <w:spacing w:line="350" w:lineRule="exact"/>
              <w:rPr>
                <w:rFonts w:hint="eastAsia" w:ascii="宋体" w:hAnsi="宋体"/>
                <w:color w:val="000000"/>
                <w:szCs w:val="21"/>
              </w:rPr>
            </w:pPr>
            <w:r>
              <w:rPr>
                <w:rFonts w:hint="eastAsia" w:ascii="宋体" w:hAnsi="宋体"/>
                <w:color w:val="000000"/>
                <w:szCs w:val="21"/>
              </w:rPr>
              <w:t>采购人、采购代理机构将于开标当天通过“信用中国”网站查询供应商失信被执行人、重大税收违法案件当事人信用记录，通过中国政府采购网查询供应商政府采购严重违法失信行为信用记录。</w:t>
            </w:r>
            <w:r>
              <w:rPr>
                <w:rFonts w:ascii="宋体" w:hAnsi="宋体"/>
                <w:color w:val="000000"/>
                <w:szCs w:val="21"/>
              </w:rPr>
              <w:t>若</w:t>
            </w:r>
            <w:r>
              <w:rPr>
                <w:rFonts w:hint="eastAsia" w:ascii="宋体" w:hAnsi="宋体"/>
                <w:color w:val="000000"/>
                <w:szCs w:val="21"/>
              </w:rPr>
              <w:t>供应商被列入失信被执行人、重大税收违法案件当事人名单、政府采购严重违法失信行为记录名单，其资格审查为不合格，其投标将被认定为无效投标。</w:t>
            </w:r>
          </w:p>
          <w:p>
            <w:pPr>
              <w:spacing w:line="350" w:lineRule="exact"/>
              <w:rPr>
                <w:rFonts w:hint="eastAsia" w:ascii="宋体" w:hAnsi="宋体"/>
                <w:color w:val="000000"/>
                <w:szCs w:val="21"/>
              </w:rPr>
            </w:pPr>
            <w:r>
              <w:rPr>
                <w:rFonts w:ascii="宋体" w:hAnsi="宋体"/>
                <w:color w:val="000000"/>
                <w:szCs w:val="21"/>
              </w:rPr>
              <w:t>若在开标当天因不可抗力事件导致无法查询且一时无法恢复查询的，可在中标公示期间对中标候选人进行事后查询</w:t>
            </w:r>
            <w:r>
              <w:rPr>
                <w:rFonts w:hint="eastAsia" w:ascii="宋体" w:hAnsi="宋体"/>
                <w:color w:val="000000"/>
                <w:szCs w:val="21"/>
              </w:rPr>
              <w:t>。</w:t>
            </w:r>
            <w:r>
              <w:rPr>
                <w:rFonts w:ascii="宋体" w:hAnsi="宋体"/>
                <w:color w:val="000000"/>
                <w:szCs w:val="21"/>
              </w:rPr>
              <w:t>中标候选人</w:t>
            </w:r>
            <w:r>
              <w:rPr>
                <w:rFonts w:hint="eastAsia" w:ascii="宋体" w:hAnsi="宋体"/>
                <w:color w:val="000000"/>
                <w:szCs w:val="21"/>
              </w:rPr>
              <w:t>被列入失信被执行人、重大税收违法案件当事人名单、政府采购严重违法失信行为记录名单的</w:t>
            </w:r>
            <w:r>
              <w:rPr>
                <w:rFonts w:ascii="宋体" w:hAnsi="宋体"/>
                <w:color w:val="000000"/>
                <w:szCs w:val="21"/>
              </w:rPr>
              <w:t>，采购人将依法取消其中标资格。</w:t>
            </w:r>
          </w:p>
        </w:tc>
        <w:tc>
          <w:tcPr>
            <w:tcW w:w="3718" w:type="dxa"/>
            <w:noWrap w:val="0"/>
            <w:vAlign w:val="center"/>
          </w:tcPr>
          <w:p>
            <w:pPr>
              <w:spacing w:line="350" w:lineRule="exact"/>
              <w:rPr>
                <w:rFonts w:hint="eastAsia" w:ascii="宋体" w:hAnsi="宋体"/>
                <w:color w:val="000000"/>
                <w:szCs w:val="21"/>
              </w:rPr>
            </w:pPr>
            <w:r>
              <w:rPr>
                <w:rFonts w:hint="eastAsia" w:ascii="宋体" w:hAnsi="宋体"/>
                <w:color w:val="000000"/>
                <w:szCs w:val="21"/>
              </w:rPr>
              <w:t>未被信用中国网站（</w:t>
            </w:r>
            <w:r>
              <w:rPr>
                <w:rFonts w:ascii="宋体" w:hAnsi="宋体"/>
                <w:color w:val="000000"/>
                <w:szCs w:val="21"/>
              </w:rPr>
              <w:fldChar w:fldCharType="begin"/>
            </w:r>
            <w:r>
              <w:rPr>
                <w:rFonts w:ascii="宋体" w:hAnsi="宋体"/>
                <w:color w:val="000000"/>
                <w:szCs w:val="21"/>
              </w:rPr>
              <w:instrText xml:space="preserve"> HYPERLINK "http://</w:instrText>
            </w:r>
            <w:r>
              <w:rPr>
                <w:rFonts w:hint="eastAsia" w:ascii="宋体" w:hAnsi="宋体"/>
                <w:color w:val="000000"/>
                <w:szCs w:val="21"/>
              </w:rPr>
              <w:instrText xml:space="preserve">www.creditchina.gov.cn</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www.creditchina.gov.cn</w:t>
            </w:r>
            <w:r>
              <w:rPr>
                <w:rFonts w:ascii="宋体" w:hAnsi="宋体"/>
                <w:color w:val="000000"/>
                <w:szCs w:val="21"/>
              </w:rPr>
              <w:fldChar w:fldCharType="end"/>
            </w:r>
            <w:r>
              <w:rPr>
                <w:rFonts w:hint="eastAsia" w:ascii="宋体" w:hAnsi="宋体"/>
                <w:color w:val="000000"/>
                <w:szCs w:val="21"/>
              </w:rPr>
              <w:t>）列入失信被执行人、重大税收违法案件当事人名单，未被中国政府采购网（www.ccgp.gov.cn）列入政府采购严重违法失信行为记录名单。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350" w:lineRule="exact"/>
              <w:jc w:val="center"/>
              <w:rPr>
                <w:rFonts w:hint="eastAsia" w:ascii="宋体" w:hAnsi="宋体"/>
                <w:color w:val="000000"/>
                <w:szCs w:val="21"/>
              </w:rPr>
            </w:pPr>
            <w:r>
              <w:rPr>
                <w:rFonts w:ascii="宋体" w:hAnsi="宋体"/>
                <w:color w:val="000000"/>
                <w:szCs w:val="21"/>
              </w:rPr>
              <w:t>3</w:t>
            </w:r>
          </w:p>
        </w:tc>
        <w:tc>
          <w:tcPr>
            <w:tcW w:w="4977" w:type="dxa"/>
            <w:noWrap w:val="0"/>
            <w:vAlign w:val="center"/>
          </w:tcPr>
          <w:p>
            <w:pPr>
              <w:spacing w:line="350" w:lineRule="exact"/>
              <w:rPr>
                <w:rFonts w:hint="eastAsia" w:ascii="宋体" w:hAnsi="宋体"/>
                <w:color w:val="000000"/>
                <w:szCs w:val="21"/>
              </w:rPr>
            </w:pPr>
            <w:r>
              <w:rPr>
                <w:rFonts w:hint="eastAsia" w:ascii="宋体" w:hAnsi="宋体"/>
                <w:color w:val="000000"/>
                <w:szCs w:val="21"/>
              </w:rPr>
              <w:t>本项目的特定资格要求：具有运营光纤网络资源的企事业单位或其分支机构。</w:t>
            </w:r>
          </w:p>
        </w:tc>
        <w:tc>
          <w:tcPr>
            <w:tcW w:w="3718" w:type="dxa"/>
            <w:noWrap w:val="0"/>
            <w:vAlign w:val="center"/>
          </w:tcPr>
          <w:p>
            <w:pPr>
              <w:spacing w:line="350" w:lineRule="exact"/>
              <w:rPr>
                <w:rFonts w:hint="eastAsia" w:ascii="宋体" w:hAnsi="宋体"/>
                <w:color w:val="000000"/>
                <w:szCs w:val="21"/>
              </w:rPr>
            </w:pPr>
            <w:r>
              <w:rPr>
                <w:rFonts w:hint="eastAsia" w:ascii="宋体" w:hAnsi="宋体"/>
                <w:color w:val="000000"/>
                <w:szCs w:val="21"/>
              </w:rPr>
              <w:t>提供供应商的光纤网络资源情况说明加盖供应商公章；分支机构投标的，还须提供总公司（总机构）授权书原件加盖供应商公章或房产权证复印件加盖供应商公章或其他有效财产证明材料复印件加盖供应商公章。</w:t>
            </w:r>
          </w:p>
        </w:tc>
      </w:tr>
    </w:tbl>
    <w:p>
      <w:pPr>
        <w:spacing w:line="350" w:lineRule="exact"/>
        <w:rPr>
          <w:rFonts w:ascii="宋体" w:hAnsi="宋体"/>
          <w:b/>
          <w:color w:val="000000"/>
        </w:rPr>
      </w:pPr>
      <w:r>
        <w:rPr>
          <w:rFonts w:hint="eastAsia" w:ascii="宋体" w:hAnsi="宋体"/>
          <w:b/>
          <w:color w:val="000000"/>
        </w:rPr>
        <w:t>注：1、上述资格证明文件未按招标文件要求附入投标文件中的，资格性审查不合格。</w:t>
      </w:r>
    </w:p>
    <w:p>
      <w:pPr>
        <w:spacing w:line="350" w:lineRule="exact"/>
        <w:ind w:firstLine="422" w:firstLineChars="200"/>
        <w:rPr>
          <w:rFonts w:ascii="宋体" w:hAnsi="宋体"/>
          <w:b/>
          <w:color w:val="000000"/>
        </w:rPr>
      </w:pPr>
      <w:r>
        <w:rPr>
          <w:rFonts w:hint="eastAsia" w:ascii="宋体" w:hAnsi="宋体"/>
          <w:b/>
          <w:color w:val="000000"/>
        </w:rPr>
        <w:t>2、上述审查项目中，任意一项不符合的，资格性审查不合格。</w:t>
      </w:r>
    </w:p>
    <w:p>
      <w:pPr>
        <w:spacing w:line="350" w:lineRule="exact"/>
        <w:ind w:firstLine="422" w:firstLineChars="200"/>
        <w:rPr>
          <w:rFonts w:ascii="宋体" w:hAnsi="宋体"/>
          <w:b/>
          <w:color w:val="000000"/>
        </w:rPr>
      </w:pPr>
      <w:r>
        <w:rPr>
          <w:rFonts w:hint="eastAsia" w:ascii="宋体" w:hAnsi="宋体"/>
          <w:b/>
          <w:color w:val="000000"/>
        </w:rPr>
        <w:t>3、</w:t>
      </w:r>
      <w:r>
        <w:rPr>
          <w:rFonts w:ascii="宋体" w:hAnsi="宋体"/>
          <w:b/>
          <w:color w:val="000000"/>
        </w:rPr>
        <w:t>已办理多证合一的供应商无须提供税务登记证副本、组织机构代码证副本、社会保险登记证副本复印件加盖供应商公章。</w:t>
      </w:r>
    </w:p>
    <w:p>
      <w:pPr>
        <w:spacing w:line="350" w:lineRule="exact"/>
        <w:ind w:firstLine="422" w:firstLineChars="200"/>
        <w:rPr>
          <w:rFonts w:ascii="宋体" w:hAnsi="宋体"/>
          <w:b/>
          <w:color w:val="000000"/>
        </w:rPr>
      </w:pPr>
      <w:r>
        <w:rPr>
          <w:rFonts w:hint="eastAsia" w:ascii="宋体" w:hAnsi="宋体"/>
          <w:b/>
          <w:color w:val="000000"/>
        </w:rPr>
        <w:t>4</w:t>
      </w:r>
      <w:r>
        <w:rPr>
          <w:rFonts w:ascii="宋体" w:hAnsi="宋体"/>
          <w:b/>
          <w:color w:val="000000"/>
        </w:rPr>
        <w:t>、供应商注册成立不足一年的，应提供供应商单位成立至20</w:t>
      </w:r>
      <w:r>
        <w:rPr>
          <w:rFonts w:hint="eastAsia" w:ascii="宋体" w:hAnsi="宋体"/>
          <w:b/>
          <w:color w:val="000000"/>
        </w:rPr>
        <w:t>20</w:t>
      </w:r>
      <w:r>
        <w:rPr>
          <w:rFonts w:ascii="宋体" w:hAnsi="宋体"/>
          <w:b/>
          <w:color w:val="000000"/>
        </w:rPr>
        <w:t>年6月份的财务会计报表</w:t>
      </w:r>
      <w:r>
        <w:rPr>
          <w:rFonts w:hint="eastAsia" w:ascii="宋体" w:hAnsi="宋体"/>
          <w:b/>
          <w:color w:val="000000"/>
        </w:rPr>
        <w:t>、缴纳税收的证明资料、缴纳社保的证明资料</w:t>
      </w:r>
      <w:r>
        <w:rPr>
          <w:rFonts w:ascii="宋体" w:hAnsi="宋体"/>
          <w:b/>
          <w:color w:val="000000"/>
        </w:rPr>
        <w:t>复印件加盖供应商公章。</w:t>
      </w:r>
    </w:p>
    <w:p>
      <w:pPr>
        <w:spacing w:line="350" w:lineRule="exact"/>
        <w:ind w:firstLine="422" w:firstLineChars="200"/>
        <w:rPr>
          <w:rFonts w:hint="eastAsia" w:ascii="宋体" w:hAnsi="宋体"/>
          <w:b/>
          <w:color w:val="000000"/>
        </w:rPr>
      </w:pPr>
      <w:r>
        <w:rPr>
          <w:rFonts w:hint="eastAsia" w:ascii="宋体" w:hAnsi="宋体"/>
          <w:b/>
          <w:color w:val="000000"/>
        </w:rPr>
        <w:t>5、依法免税或不需要缴纳社保的供应商，应提供相应文件证明其依法免税或不需要缴纳社保。</w:t>
      </w:r>
    </w:p>
    <w:p>
      <w:pPr>
        <w:spacing w:line="400" w:lineRule="exac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附表2：</w:t>
      </w:r>
    </w:p>
    <w:p>
      <w:pPr>
        <w:widowControl/>
        <w:snapToGrid w:val="0"/>
        <w:spacing w:line="560" w:lineRule="exact"/>
        <w:jc w:val="center"/>
        <w:rPr>
          <w:rFonts w:hint="eastAsia" w:ascii="宋体" w:hAnsi="宋体"/>
          <w:b/>
          <w:color w:val="000000"/>
          <w:szCs w:val="21"/>
        </w:rPr>
      </w:pPr>
      <w:r>
        <w:rPr>
          <w:rFonts w:hint="eastAsia" w:ascii="宋体" w:hAnsi="宋体"/>
          <w:b/>
          <w:color w:val="000000"/>
          <w:szCs w:val="21"/>
        </w:rPr>
        <w:t>符合性审查表</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hint="eastAsia" w:ascii="宋体" w:hAnsi="宋体"/>
                <w:b/>
                <w:color w:val="000000"/>
                <w:szCs w:val="21"/>
              </w:rPr>
            </w:pPr>
            <w:r>
              <w:rPr>
                <w:rFonts w:hint="eastAsia" w:ascii="宋体" w:hAnsi="宋体"/>
                <w:b/>
                <w:color w:val="000000"/>
                <w:szCs w:val="21"/>
              </w:rPr>
              <w:t>序号</w:t>
            </w:r>
          </w:p>
        </w:tc>
        <w:tc>
          <w:tcPr>
            <w:tcW w:w="2174" w:type="dxa"/>
            <w:noWrap w:val="0"/>
            <w:vAlign w:val="top"/>
          </w:tcPr>
          <w:p>
            <w:pPr>
              <w:spacing w:line="400" w:lineRule="exact"/>
              <w:jc w:val="center"/>
              <w:rPr>
                <w:rFonts w:hint="eastAsia" w:ascii="宋体" w:hAnsi="宋体"/>
                <w:b/>
                <w:color w:val="000000"/>
                <w:szCs w:val="21"/>
              </w:rPr>
            </w:pPr>
            <w:r>
              <w:rPr>
                <w:rFonts w:hint="eastAsia" w:ascii="宋体" w:hAnsi="宋体"/>
                <w:b/>
                <w:color w:val="000000"/>
                <w:szCs w:val="21"/>
              </w:rPr>
              <w:t>审查项目</w:t>
            </w:r>
          </w:p>
        </w:tc>
        <w:tc>
          <w:tcPr>
            <w:tcW w:w="6521" w:type="dxa"/>
            <w:noWrap w:val="0"/>
            <w:vAlign w:val="top"/>
          </w:tcPr>
          <w:p>
            <w:pPr>
              <w:spacing w:line="400" w:lineRule="exact"/>
              <w:jc w:val="center"/>
              <w:rPr>
                <w:rFonts w:hint="eastAsia" w:ascii="宋体" w:hAnsi="宋体"/>
                <w:b/>
                <w:color w:val="000000"/>
                <w:szCs w:val="21"/>
              </w:rPr>
            </w:pPr>
            <w:r>
              <w:rPr>
                <w:rFonts w:hint="eastAsia" w:ascii="宋体" w:hAnsi="宋体"/>
                <w:b/>
                <w:color w:val="00000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w:t>
            </w:r>
          </w:p>
        </w:tc>
        <w:tc>
          <w:tcPr>
            <w:tcW w:w="2174" w:type="dxa"/>
            <w:noWrap w:val="0"/>
            <w:vAlign w:val="center"/>
          </w:tcPr>
          <w:p>
            <w:pPr>
              <w:spacing w:line="400" w:lineRule="exact"/>
              <w:rPr>
                <w:rFonts w:hint="eastAsia" w:ascii="宋体" w:hAnsi="宋体"/>
                <w:color w:val="000000"/>
                <w:szCs w:val="21"/>
              </w:rPr>
            </w:pPr>
            <w:r>
              <w:rPr>
                <w:rFonts w:hint="eastAsia" w:ascii="宋体" w:hAnsi="宋体"/>
                <w:color w:val="000000"/>
                <w:szCs w:val="21"/>
              </w:rPr>
              <w:t>供应商名称</w:t>
            </w:r>
          </w:p>
        </w:tc>
        <w:tc>
          <w:tcPr>
            <w:tcW w:w="6521" w:type="dxa"/>
            <w:noWrap w:val="0"/>
            <w:vAlign w:val="top"/>
          </w:tcPr>
          <w:p>
            <w:pPr>
              <w:spacing w:line="400" w:lineRule="exact"/>
              <w:rPr>
                <w:rFonts w:hint="eastAsia" w:ascii="宋体" w:hAnsi="宋体"/>
                <w:color w:val="000000"/>
                <w:szCs w:val="21"/>
              </w:rPr>
            </w:pPr>
            <w:r>
              <w:rPr>
                <w:rFonts w:hint="eastAsia" w:ascii="宋体" w:hAnsi="宋体"/>
                <w:color w:val="000000"/>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2</w:t>
            </w:r>
          </w:p>
        </w:tc>
        <w:tc>
          <w:tcPr>
            <w:tcW w:w="2174" w:type="dxa"/>
            <w:noWrap w:val="0"/>
            <w:vAlign w:val="center"/>
          </w:tcPr>
          <w:p>
            <w:pPr>
              <w:spacing w:line="400" w:lineRule="exact"/>
              <w:rPr>
                <w:rFonts w:hint="eastAsia" w:ascii="宋体" w:hAnsi="宋体"/>
                <w:color w:val="000000"/>
                <w:szCs w:val="21"/>
              </w:rPr>
            </w:pPr>
            <w:r>
              <w:rPr>
                <w:rFonts w:hint="eastAsia" w:ascii="宋体" w:hAnsi="宋体"/>
                <w:color w:val="000000"/>
                <w:szCs w:val="21"/>
              </w:rPr>
              <w:t>投标有效期</w:t>
            </w: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符合第二章“投标须知”第六、1条的要求。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3</w:t>
            </w:r>
          </w:p>
        </w:tc>
        <w:tc>
          <w:tcPr>
            <w:tcW w:w="2174" w:type="dxa"/>
            <w:noWrap w:val="0"/>
            <w:vAlign w:val="center"/>
          </w:tcPr>
          <w:p>
            <w:pPr>
              <w:spacing w:line="400" w:lineRule="exact"/>
              <w:rPr>
                <w:rFonts w:hint="eastAsia" w:ascii="宋体" w:hAnsi="宋体"/>
                <w:color w:val="000000"/>
                <w:szCs w:val="21"/>
              </w:rPr>
            </w:pPr>
            <w:r>
              <w:rPr>
                <w:rFonts w:hint="eastAsia" w:ascii="宋体" w:hAnsi="宋体"/>
                <w:color w:val="000000"/>
                <w:szCs w:val="21"/>
              </w:rPr>
              <w:t>法定代表人身份证明和法定代表人授权书</w:t>
            </w: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投标文件由法定代表人签字的，提供“法定代表人身份证明”；</w:t>
            </w:r>
          </w:p>
          <w:p>
            <w:pPr>
              <w:spacing w:line="400" w:lineRule="exact"/>
              <w:rPr>
                <w:rFonts w:hint="eastAsia" w:ascii="宋体" w:hAnsi="宋体"/>
                <w:color w:val="000000"/>
                <w:szCs w:val="21"/>
              </w:rPr>
            </w:pPr>
            <w:r>
              <w:rPr>
                <w:rFonts w:hint="eastAsia" w:ascii="宋体" w:hAnsi="宋体"/>
                <w:color w:val="000000"/>
                <w:szCs w:val="21"/>
              </w:rPr>
              <w:t>投标文件由授权代表签字的，提供“法定代表人身份证明”和“法定代表人授权书”。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p>
        </w:tc>
        <w:tc>
          <w:tcPr>
            <w:tcW w:w="2174" w:type="dxa"/>
            <w:noWrap w:val="0"/>
            <w:vAlign w:val="center"/>
          </w:tcPr>
          <w:p>
            <w:pPr>
              <w:spacing w:line="400" w:lineRule="exact"/>
              <w:rPr>
                <w:rFonts w:hint="eastAsia" w:ascii="宋体" w:hAnsi="宋体"/>
                <w:color w:val="000000"/>
                <w:szCs w:val="21"/>
              </w:rPr>
            </w:pPr>
            <w:r>
              <w:rPr>
                <w:rFonts w:hint="eastAsia" w:ascii="宋体" w:hAnsi="宋体"/>
                <w:color w:val="000000"/>
                <w:szCs w:val="21"/>
              </w:rPr>
              <w:t>投标文件的签署盖章</w:t>
            </w: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符合第二章“投标须知”第八、1条的要求。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5</w:t>
            </w:r>
          </w:p>
        </w:tc>
        <w:tc>
          <w:tcPr>
            <w:tcW w:w="2174" w:type="dxa"/>
            <w:vMerge w:val="restart"/>
            <w:noWrap w:val="0"/>
            <w:vAlign w:val="center"/>
          </w:tcPr>
          <w:p>
            <w:pPr>
              <w:spacing w:line="400" w:lineRule="exact"/>
              <w:rPr>
                <w:rFonts w:hint="eastAsia" w:ascii="宋体" w:hAnsi="宋体"/>
                <w:color w:val="000000"/>
                <w:szCs w:val="21"/>
              </w:rPr>
            </w:pPr>
            <w:r>
              <w:rPr>
                <w:rFonts w:hint="eastAsia" w:ascii="宋体" w:hAnsi="宋体"/>
                <w:color w:val="000000"/>
                <w:szCs w:val="21"/>
              </w:rPr>
              <w:t>投标报价</w:t>
            </w:r>
          </w:p>
        </w:tc>
        <w:tc>
          <w:tcPr>
            <w:tcW w:w="6521" w:type="dxa"/>
            <w:noWrap w:val="0"/>
            <w:vAlign w:val="top"/>
          </w:tcPr>
          <w:p>
            <w:pPr>
              <w:spacing w:line="400" w:lineRule="exact"/>
              <w:rPr>
                <w:rFonts w:hint="eastAsia" w:ascii="宋体" w:hAnsi="宋体"/>
                <w:color w:val="000000"/>
                <w:szCs w:val="21"/>
              </w:rPr>
            </w:pPr>
            <w:r>
              <w:rPr>
                <w:rFonts w:hint="eastAsia" w:ascii="宋体" w:hAnsi="宋体"/>
                <w:color w:val="000000"/>
                <w:szCs w:val="21"/>
              </w:rPr>
              <w:t>本次公开招标设有最高限价：</w:t>
            </w:r>
            <w:r>
              <w:rPr>
                <w:rFonts w:ascii="宋体" w:hAnsi="宋体"/>
                <w:color w:val="000000"/>
                <w:szCs w:val="21"/>
              </w:rPr>
              <w:t>493.6256</w:t>
            </w:r>
            <w:r>
              <w:rPr>
                <w:rFonts w:hint="eastAsia" w:ascii="宋体" w:hAnsi="宋体"/>
                <w:color w:val="000000"/>
                <w:szCs w:val="21"/>
              </w:rPr>
              <w:t>万元。投标报价超出最高限价的投标无效。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6</w:t>
            </w:r>
          </w:p>
        </w:tc>
        <w:tc>
          <w:tcPr>
            <w:tcW w:w="2174" w:type="dxa"/>
            <w:vMerge w:val="continue"/>
            <w:noWrap w:val="0"/>
            <w:vAlign w:val="center"/>
          </w:tcPr>
          <w:p>
            <w:pPr>
              <w:spacing w:line="400" w:lineRule="exact"/>
              <w:rPr>
                <w:rFonts w:hint="eastAsia" w:ascii="宋体" w:hAnsi="宋体"/>
                <w:color w:val="000000"/>
                <w:szCs w:val="21"/>
              </w:rPr>
            </w:pPr>
          </w:p>
        </w:tc>
        <w:tc>
          <w:tcPr>
            <w:tcW w:w="6521" w:type="dxa"/>
            <w:noWrap w:val="0"/>
            <w:vAlign w:val="top"/>
          </w:tcPr>
          <w:p>
            <w:pPr>
              <w:spacing w:line="400" w:lineRule="exact"/>
              <w:rPr>
                <w:rFonts w:hint="eastAsia" w:ascii="宋体" w:hAnsi="宋体"/>
                <w:color w:val="000000"/>
                <w:szCs w:val="21"/>
              </w:rPr>
            </w:pPr>
            <w:r>
              <w:rPr>
                <w:rFonts w:hint="eastAsia" w:ascii="宋体" w:hAnsi="宋体"/>
                <w:color w:val="000000"/>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7</w:t>
            </w:r>
          </w:p>
        </w:tc>
        <w:tc>
          <w:tcPr>
            <w:tcW w:w="2174" w:type="dxa"/>
            <w:vMerge w:val="restart"/>
            <w:noWrap w:val="0"/>
            <w:vAlign w:val="center"/>
          </w:tcPr>
          <w:p>
            <w:pPr>
              <w:spacing w:line="400" w:lineRule="exact"/>
              <w:rPr>
                <w:rFonts w:hint="eastAsia" w:ascii="宋体" w:hAnsi="宋体"/>
                <w:color w:val="000000"/>
                <w:szCs w:val="21"/>
              </w:rPr>
            </w:pPr>
            <w:r>
              <w:rPr>
                <w:rFonts w:hint="eastAsia" w:ascii="宋体" w:hAnsi="宋体"/>
                <w:color w:val="000000"/>
                <w:szCs w:val="21"/>
              </w:rPr>
              <w:t>其他</w:t>
            </w: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对同个子包不允许提供两个投标方案。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8</w:t>
            </w:r>
          </w:p>
        </w:tc>
        <w:tc>
          <w:tcPr>
            <w:tcW w:w="2174" w:type="dxa"/>
            <w:vMerge w:val="continue"/>
            <w:noWrap w:val="0"/>
            <w:vAlign w:val="center"/>
          </w:tcPr>
          <w:p>
            <w:pPr>
              <w:spacing w:line="400" w:lineRule="exact"/>
              <w:rPr>
                <w:rFonts w:hint="eastAsia" w:ascii="宋体" w:hAnsi="宋体"/>
                <w:color w:val="000000"/>
                <w:szCs w:val="21"/>
              </w:rPr>
            </w:pP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不允许出现与招标文件有重大偏离的投标文件。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9</w:t>
            </w:r>
          </w:p>
        </w:tc>
        <w:tc>
          <w:tcPr>
            <w:tcW w:w="2174" w:type="dxa"/>
            <w:vMerge w:val="continue"/>
            <w:noWrap w:val="0"/>
            <w:vAlign w:val="center"/>
          </w:tcPr>
          <w:p>
            <w:pPr>
              <w:spacing w:line="400" w:lineRule="exact"/>
              <w:rPr>
                <w:rFonts w:hint="eastAsia" w:ascii="宋体" w:hAnsi="宋体"/>
                <w:color w:val="000000"/>
                <w:szCs w:val="21"/>
              </w:rPr>
            </w:pPr>
          </w:p>
        </w:tc>
        <w:tc>
          <w:tcPr>
            <w:tcW w:w="6521" w:type="dxa"/>
            <w:noWrap w:val="0"/>
            <w:vAlign w:val="center"/>
          </w:tcPr>
          <w:p>
            <w:pPr>
              <w:spacing w:line="400" w:lineRule="exact"/>
              <w:rPr>
                <w:rFonts w:hint="eastAsia" w:ascii="宋体" w:hAnsi="宋体"/>
                <w:color w:val="000000"/>
                <w:szCs w:val="21"/>
              </w:rPr>
            </w:pPr>
            <w:r>
              <w:rPr>
                <w:rFonts w:ascii="宋体" w:hAnsi="宋体"/>
                <w:color w:val="000000"/>
                <w:szCs w:val="21"/>
              </w:rPr>
              <w:t>供应商</w:t>
            </w:r>
            <w:r>
              <w:rPr>
                <w:rFonts w:hint="eastAsia" w:ascii="宋体" w:hAnsi="宋体"/>
                <w:color w:val="000000"/>
                <w:szCs w:val="21"/>
              </w:rPr>
              <w:t>不得</w:t>
            </w:r>
            <w:r>
              <w:rPr>
                <w:rFonts w:ascii="宋体" w:hAnsi="宋体"/>
                <w:color w:val="000000"/>
                <w:szCs w:val="21"/>
              </w:rPr>
              <w:t>在投标活动中提供任何虚假材料或从事其他违法活动的</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10</w:t>
            </w:r>
          </w:p>
        </w:tc>
        <w:tc>
          <w:tcPr>
            <w:tcW w:w="2174" w:type="dxa"/>
            <w:vMerge w:val="continue"/>
            <w:noWrap w:val="0"/>
            <w:vAlign w:val="center"/>
          </w:tcPr>
          <w:p>
            <w:pPr>
              <w:spacing w:line="400" w:lineRule="exact"/>
              <w:rPr>
                <w:rFonts w:hint="eastAsia" w:ascii="宋体" w:hAnsi="宋体"/>
                <w:color w:val="000000"/>
                <w:szCs w:val="21"/>
              </w:rPr>
            </w:pP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评标委员会经过审查，认定供应商虚假应标、串通投标的</w:t>
            </w:r>
          </w:p>
          <w:p>
            <w:pPr>
              <w:widowControl/>
              <w:spacing w:line="400" w:lineRule="exact"/>
              <w:jc w:val="left"/>
              <w:rPr>
                <w:rFonts w:hint="eastAsia" w:ascii="宋体" w:hAnsi="宋体"/>
                <w:color w:val="000000"/>
                <w:szCs w:val="21"/>
              </w:rPr>
            </w:pPr>
            <w:r>
              <w:rPr>
                <w:rFonts w:hint="eastAsia" w:ascii="宋体" w:hAnsi="宋体"/>
                <w:color w:val="000000"/>
                <w:szCs w:val="21"/>
              </w:rPr>
              <w:t>有下列情形之一的，视为供应商串通投标：</w:t>
            </w:r>
          </w:p>
          <w:p>
            <w:pPr>
              <w:widowControl/>
              <w:spacing w:line="400" w:lineRule="exact"/>
              <w:jc w:val="left"/>
              <w:rPr>
                <w:rFonts w:hint="eastAsia" w:ascii="宋体" w:hAnsi="宋体"/>
                <w:color w:val="000000"/>
                <w:szCs w:val="21"/>
              </w:rPr>
            </w:pPr>
            <w:r>
              <w:rPr>
                <w:rFonts w:hint="eastAsia" w:ascii="宋体" w:hAnsi="宋体"/>
                <w:color w:val="000000"/>
                <w:szCs w:val="21"/>
              </w:rPr>
              <w:t>（1）不同供应商的投标文件由同一单位或者个人编制；</w:t>
            </w:r>
          </w:p>
          <w:p>
            <w:pPr>
              <w:widowControl/>
              <w:spacing w:line="400" w:lineRule="exact"/>
              <w:jc w:val="left"/>
              <w:rPr>
                <w:rFonts w:hint="eastAsia" w:ascii="宋体" w:hAnsi="宋体"/>
                <w:color w:val="000000"/>
                <w:szCs w:val="21"/>
              </w:rPr>
            </w:pPr>
            <w:r>
              <w:rPr>
                <w:rFonts w:hint="eastAsia" w:ascii="宋体" w:hAnsi="宋体"/>
                <w:color w:val="000000"/>
                <w:szCs w:val="21"/>
              </w:rPr>
              <w:t>（2）不同供应商委托同一单位或者个人办理投标事宜；</w:t>
            </w:r>
          </w:p>
          <w:p>
            <w:pPr>
              <w:widowControl/>
              <w:spacing w:line="400" w:lineRule="exact"/>
              <w:jc w:val="left"/>
              <w:rPr>
                <w:rFonts w:hint="eastAsia" w:ascii="宋体" w:hAnsi="宋体"/>
                <w:color w:val="000000"/>
                <w:szCs w:val="21"/>
              </w:rPr>
            </w:pPr>
            <w:r>
              <w:rPr>
                <w:rFonts w:hint="eastAsia" w:ascii="宋体" w:hAnsi="宋体"/>
                <w:color w:val="000000"/>
                <w:szCs w:val="21"/>
              </w:rPr>
              <w:t>（3）不同供应商的投标文件载明的项目管理成员或者联系人员为同一人；</w:t>
            </w:r>
          </w:p>
          <w:p>
            <w:pPr>
              <w:widowControl/>
              <w:spacing w:line="400" w:lineRule="exact"/>
              <w:jc w:val="left"/>
              <w:rPr>
                <w:rFonts w:hint="eastAsia" w:ascii="宋体" w:hAnsi="宋体"/>
                <w:color w:val="000000"/>
                <w:szCs w:val="21"/>
              </w:rPr>
            </w:pPr>
            <w:r>
              <w:rPr>
                <w:rFonts w:hint="eastAsia" w:ascii="宋体" w:hAnsi="宋体"/>
                <w:color w:val="000000"/>
                <w:szCs w:val="21"/>
              </w:rPr>
              <w:t>（4）不同供应商的投标文件异常一致或者投标报价呈规律性差异；</w:t>
            </w:r>
          </w:p>
          <w:p>
            <w:pPr>
              <w:spacing w:line="400" w:lineRule="exact"/>
              <w:rPr>
                <w:rFonts w:ascii="宋体" w:hAnsi="宋体"/>
                <w:color w:val="000000"/>
                <w:szCs w:val="21"/>
              </w:rPr>
            </w:pPr>
            <w:r>
              <w:rPr>
                <w:rFonts w:hint="eastAsia" w:ascii="宋体" w:hAnsi="宋体"/>
                <w:color w:val="000000"/>
                <w:szCs w:val="21"/>
              </w:rPr>
              <w:t>（5）不同供应商的投标文件相互混装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11</w:t>
            </w:r>
          </w:p>
        </w:tc>
        <w:tc>
          <w:tcPr>
            <w:tcW w:w="2174" w:type="dxa"/>
            <w:vMerge w:val="continue"/>
            <w:noWrap w:val="0"/>
            <w:vAlign w:val="center"/>
          </w:tcPr>
          <w:p>
            <w:pPr>
              <w:spacing w:line="400" w:lineRule="exact"/>
              <w:rPr>
                <w:rFonts w:hint="eastAsia" w:ascii="宋体" w:hAnsi="宋体"/>
                <w:color w:val="000000"/>
                <w:szCs w:val="21"/>
              </w:rPr>
            </w:pPr>
          </w:p>
        </w:tc>
        <w:tc>
          <w:tcPr>
            <w:tcW w:w="6521" w:type="dxa"/>
            <w:noWrap w:val="0"/>
            <w:vAlign w:val="center"/>
          </w:tcPr>
          <w:p>
            <w:pPr>
              <w:spacing w:line="400" w:lineRule="exact"/>
              <w:rPr>
                <w:rFonts w:hint="eastAsia" w:ascii="宋体" w:hAnsi="宋体"/>
                <w:color w:val="000000"/>
                <w:szCs w:val="21"/>
              </w:rPr>
            </w:pPr>
            <w:r>
              <w:rPr>
                <w:rFonts w:hint="eastAsia" w:ascii="宋体" w:hAnsi="宋体"/>
                <w:color w:val="000000"/>
                <w:szCs w:val="21"/>
              </w:rPr>
              <w:t>符合法律、法规和招标文件中规定的其他实质性要求（实质性要求招标文件中“</w:t>
            </w:r>
            <w:r>
              <w:rPr>
                <w:rFonts w:ascii="宋体" w:hAnsi="宋体"/>
                <w:color w:val="000000"/>
                <w:szCs w:val="21"/>
              </w:rPr>
              <w:t>▲</w:t>
            </w:r>
            <w:r>
              <w:rPr>
                <w:rFonts w:hint="eastAsia" w:ascii="宋体" w:hAnsi="宋体"/>
                <w:color w:val="000000"/>
                <w:szCs w:val="21"/>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2174" w:type="dxa"/>
            <w:noWrap w:val="0"/>
            <w:vAlign w:val="center"/>
          </w:tcPr>
          <w:p>
            <w:pPr>
              <w:spacing w:line="350" w:lineRule="exact"/>
              <w:rPr>
                <w:rFonts w:hint="eastAsia" w:ascii="宋体" w:hAnsi="宋体"/>
                <w:color w:val="000000"/>
                <w:szCs w:val="21"/>
              </w:rPr>
            </w:pPr>
            <w:r>
              <w:rPr>
                <w:rFonts w:hint="eastAsia" w:ascii="宋体" w:hAnsi="宋体"/>
                <w:color w:val="000000"/>
                <w:szCs w:val="21"/>
              </w:rPr>
              <w:t>供应商是否为联合体</w:t>
            </w:r>
          </w:p>
        </w:tc>
        <w:tc>
          <w:tcPr>
            <w:tcW w:w="6521" w:type="dxa"/>
            <w:noWrap w:val="0"/>
            <w:vAlign w:val="center"/>
          </w:tcPr>
          <w:p>
            <w:pPr>
              <w:spacing w:line="350" w:lineRule="exact"/>
              <w:rPr>
                <w:rFonts w:hint="eastAsia"/>
                <w:color w:val="000000"/>
              </w:rPr>
            </w:pPr>
            <w:r>
              <w:rPr>
                <w:rFonts w:hint="eastAsia"/>
                <w:color w:val="000000"/>
              </w:rPr>
              <w:t>本项目不接受联合体投标</w:t>
            </w:r>
          </w:p>
        </w:tc>
      </w:tr>
    </w:tbl>
    <w:p>
      <w:pPr>
        <w:spacing w:line="400" w:lineRule="exact"/>
        <w:ind w:firstLine="413" w:firstLineChars="196"/>
        <w:rPr>
          <w:rFonts w:ascii="宋体" w:hAnsi="宋体"/>
          <w:color w:val="000000"/>
          <w:szCs w:val="21"/>
        </w:rPr>
      </w:pPr>
      <w:r>
        <w:rPr>
          <w:rFonts w:hint="eastAsia" w:ascii="宋体" w:hAnsi="宋体"/>
          <w:b/>
          <w:color w:val="000000"/>
        </w:rPr>
        <w:t>注：1、上述审查项目中，任意一项不符合的，符合性审查不合格。</w:t>
      </w:r>
    </w:p>
    <w:p>
      <w:pPr>
        <w:spacing w:line="400" w:lineRule="exac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附表3：</w:t>
      </w:r>
    </w:p>
    <w:p>
      <w:pPr>
        <w:jc w:val="center"/>
        <w:rPr>
          <w:rFonts w:hint="eastAsia" w:ascii="宋体" w:hAnsi="宋体"/>
          <w:b/>
          <w:color w:val="000000"/>
          <w:sz w:val="24"/>
        </w:rPr>
      </w:pPr>
      <w:bookmarkStart w:id="55" w:name="OLE_LINK1"/>
      <w:r>
        <w:rPr>
          <w:rFonts w:hint="eastAsia" w:ascii="宋体" w:hAnsi="宋体"/>
          <w:b/>
          <w:color w:val="000000"/>
          <w:sz w:val="24"/>
        </w:rPr>
        <w:t>评分标准（兼评委打分表）</w:t>
      </w:r>
    </w:p>
    <w:p>
      <w:pPr>
        <w:spacing w:line="600" w:lineRule="exact"/>
        <w:ind w:firstLine="312" w:firstLineChars="148"/>
        <w:rPr>
          <w:rFonts w:hint="eastAsia" w:ascii="宋体" w:hAnsi="宋体"/>
          <w:b/>
          <w:color w:val="000000"/>
          <w:szCs w:val="21"/>
        </w:rPr>
      </w:pPr>
      <w:r>
        <w:rPr>
          <w:rFonts w:hint="eastAsia" w:ascii="宋体" w:hAnsi="宋体"/>
          <w:b/>
          <w:color w:val="000000"/>
          <w:szCs w:val="21"/>
        </w:rPr>
        <w:t>项目编号：HZWXQ2020-61（NBITC-202010469G）</w:t>
      </w:r>
    </w:p>
    <w:tbl>
      <w:tblPr>
        <w:tblStyle w:val="44"/>
        <w:tblW w:w="9498"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53"/>
        <w:gridCol w:w="935"/>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626" w:hRule="atLeast"/>
          <w:tblHeader/>
          <w:jc w:val="center"/>
        </w:trPr>
        <w:tc>
          <w:tcPr>
            <w:tcW w:w="8563" w:type="dxa"/>
            <w:gridSpan w:val="2"/>
            <w:noWrap w:val="0"/>
            <w:vAlign w:val="center"/>
          </w:tcPr>
          <w:p>
            <w:pPr>
              <w:spacing w:line="400" w:lineRule="exact"/>
              <w:jc w:val="center"/>
              <w:rPr>
                <w:rFonts w:hint="eastAsia" w:ascii="宋体" w:hAnsi="宋体"/>
                <w:b/>
                <w:bCs/>
                <w:color w:val="000000"/>
                <w:szCs w:val="21"/>
              </w:rPr>
            </w:pPr>
            <w:bookmarkStart w:id="56" w:name="_Hlk45542260"/>
            <w:r>
              <w:rPr>
                <w:rFonts w:hint="eastAsia" w:ascii="宋体" w:hAnsi="宋体"/>
                <w:b/>
                <w:bCs/>
                <w:color w:val="000000"/>
                <w:szCs w:val="21"/>
              </w:rPr>
              <w:t>评审内容</w:t>
            </w:r>
          </w:p>
        </w:tc>
        <w:tc>
          <w:tcPr>
            <w:tcW w:w="935" w:type="dxa"/>
            <w:noWrap w:val="0"/>
            <w:vAlign w:val="center"/>
          </w:tcPr>
          <w:p>
            <w:pPr>
              <w:spacing w:line="400" w:lineRule="exact"/>
              <w:jc w:val="center"/>
              <w:rPr>
                <w:rFonts w:ascii="宋体" w:hAnsi="宋体"/>
                <w:color w:val="000000"/>
                <w:szCs w:val="21"/>
              </w:rPr>
            </w:pPr>
            <w:r>
              <w:rPr>
                <w:rFonts w:hint="eastAsia" w:ascii="宋体" w:hAnsi="宋体"/>
                <w:color w:val="000000"/>
                <w:szCs w:val="21"/>
              </w:rPr>
              <w:t>分值</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96" w:hRule="atLeast"/>
          <w:jc w:val="center"/>
        </w:trPr>
        <w:tc>
          <w:tcPr>
            <w:tcW w:w="710" w:type="dxa"/>
            <w:vMerge w:val="restart"/>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技术商务</w:t>
            </w:r>
          </w:p>
          <w:p>
            <w:pPr>
              <w:spacing w:line="400" w:lineRule="exact"/>
              <w:jc w:val="center"/>
              <w:rPr>
                <w:rFonts w:ascii="宋体" w:hAnsi="宋体"/>
                <w:b/>
                <w:bCs/>
                <w:color w:val="000000"/>
                <w:szCs w:val="21"/>
              </w:rPr>
            </w:pPr>
            <w:r>
              <w:rPr>
                <w:rFonts w:hint="eastAsia" w:ascii="宋体" w:hAnsi="宋体"/>
                <w:b/>
                <w:bCs/>
                <w:color w:val="000000"/>
                <w:szCs w:val="21"/>
              </w:rPr>
              <w:t>分70分</w:t>
            </w:r>
          </w:p>
        </w:tc>
        <w:tc>
          <w:tcPr>
            <w:tcW w:w="7853" w:type="dxa"/>
            <w:noWrap w:val="0"/>
            <w:vAlign w:val="center"/>
          </w:tcPr>
          <w:p>
            <w:pPr>
              <w:spacing w:line="400" w:lineRule="exact"/>
              <w:rPr>
                <w:rFonts w:ascii="宋体" w:hAnsi="宋体"/>
                <w:b/>
                <w:bCs/>
                <w:color w:val="000000"/>
                <w:szCs w:val="21"/>
              </w:rPr>
            </w:pPr>
            <w:r>
              <w:rPr>
                <w:rFonts w:hint="eastAsia" w:ascii="宋体" w:hAnsi="宋体"/>
                <w:b/>
                <w:bCs/>
                <w:color w:val="000000"/>
                <w:szCs w:val="21"/>
              </w:rPr>
              <w:t>1、招标内容与技术需求”响应性：（30分）</w:t>
            </w:r>
          </w:p>
          <w:p>
            <w:pPr>
              <w:spacing w:line="400" w:lineRule="exact"/>
              <w:rPr>
                <w:rFonts w:ascii="宋体" w:hAnsi="宋体"/>
                <w:color w:val="000000"/>
                <w:szCs w:val="21"/>
              </w:rPr>
            </w:pPr>
            <w:r>
              <w:rPr>
                <w:rFonts w:hint="eastAsia" w:ascii="宋体" w:hAnsi="宋体"/>
                <w:color w:val="000000"/>
                <w:szCs w:val="21"/>
              </w:rPr>
              <w:t>根据“第五章  招标内容与技术需求”中的“</w:t>
            </w:r>
            <w:r>
              <w:rPr>
                <w:rFonts w:hint="eastAsia" w:ascii="宋体" w:hAnsi="宋体"/>
                <w:b/>
                <w:color w:val="000000"/>
                <w:szCs w:val="21"/>
              </w:rPr>
              <w:t>三、硬件参数</w:t>
            </w:r>
            <w:r>
              <w:rPr>
                <w:rFonts w:hint="eastAsia" w:ascii="宋体" w:hAnsi="宋体"/>
                <w:color w:val="000000"/>
                <w:szCs w:val="21"/>
              </w:rPr>
              <w:t>”和</w:t>
            </w:r>
            <w:r>
              <w:rPr>
                <w:rFonts w:hint="eastAsia" w:ascii="宋体" w:hAnsi="宋体"/>
                <w:b/>
                <w:bCs/>
                <w:color w:val="000000"/>
                <w:szCs w:val="21"/>
              </w:rPr>
              <w:t>“四、软件平台参数”</w:t>
            </w:r>
            <w:r>
              <w:rPr>
                <w:rFonts w:hint="eastAsia" w:ascii="宋体" w:hAnsi="宋体"/>
                <w:color w:val="000000"/>
                <w:szCs w:val="21"/>
              </w:rPr>
              <w:t>，对投标产品的技术参数响应情况进行评议，完全响应的得30分。未标有“★”的技术参数每负偏离1条扣1分，标有“★”的技术参数每负偏离1条扣2分，扣完为止。</w:t>
            </w:r>
          </w:p>
        </w:tc>
        <w:tc>
          <w:tcPr>
            <w:tcW w:w="935"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710" w:type="dxa"/>
            <w:vMerge w:val="continue"/>
            <w:noWrap w:val="0"/>
            <w:vAlign w:val="center"/>
          </w:tcPr>
          <w:p>
            <w:pPr>
              <w:spacing w:line="400" w:lineRule="exact"/>
              <w:jc w:val="center"/>
              <w:rPr>
                <w:rFonts w:ascii="宋体" w:hAnsi="宋体"/>
                <w:b/>
                <w:bCs/>
                <w:color w:val="000000"/>
                <w:szCs w:val="21"/>
              </w:rPr>
            </w:pPr>
          </w:p>
        </w:tc>
        <w:tc>
          <w:tcPr>
            <w:tcW w:w="7853" w:type="dxa"/>
            <w:noWrap w:val="0"/>
            <w:vAlign w:val="center"/>
          </w:tcPr>
          <w:p>
            <w:pPr>
              <w:spacing w:line="400" w:lineRule="exact"/>
              <w:rPr>
                <w:rFonts w:ascii="宋体" w:hAnsi="宋体" w:cs="宋体"/>
                <w:b/>
                <w:bCs/>
                <w:color w:val="000000"/>
                <w:szCs w:val="21"/>
              </w:rPr>
            </w:pPr>
            <w:r>
              <w:rPr>
                <w:rFonts w:ascii="宋体" w:hAnsi="宋体" w:cs="宋体"/>
                <w:b/>
                <w:bCs/>
                <w:color w:val="000000"/>
                <w:szCs w:val="21"/>
              </w:rPr>
              <w:t>2</w:t>
            </w:r>
            <w:r>
              <w:rPr>
                <w:rFonts w:hint="eastAsia" w:ascii="宋体" w:hAnsi="宋体" w:cs="宋体"/>
                <w:b/>
                <w:bCs/>
                <w:color w:val="000000"/>
                <w:szCs w:val="21"/>
              </w:rPr>
              <w:t>、</w:t>
            </w:r>
            <w:bookmarkStart w:id="57" w:name="_Hlk45545174"/>
            <w:r>
              <w:rPr>
                <w:rFonts w:hint="eastAsia" w:ascii="宋体" w:hAnsi="宋体" w:cs="宋体"/>
                <w:b/>
                <w:bCs/>
                <w:color w:val="000000"/>
                <w:szCs w:val="21"/>
              </w:rPr>
              <w:t>项目整体设计方案：</w:t>
            </w:r>
            <w:bookmarkEnd w:id="57"/>
            <w:r>
              <w:rPr>
                <w:rFonts w:hint="eastAsia" w:ascii="宋体" w:hAnsi="宋体" w:cs="宋体"/>
                <w:b/>
                <w:bCs/>
                <w:color w:val="000000"/>
                <w:szCs w:val="21"/>
              </w:rPr>
              <w:t>（9分）</w:t>
            </w:r>
          </w:p>
          <w:p>
            <w:pPr>
              <w:spacing w:line="400" w:lineRule="exact"/>
              <w:rPr>
                <w:rFonts w:ascii="宋体" w:hAnsi="宋体" w:cs="宋体"/>
                <w:color w:val="000000"/>
                <w:szCs w:val="21"/>
              </w:rPr>
            </w:pPr>
            <w:r>
              <w:rPr>
                <w:rFonts w:hint="eastAsia" w:ascii="宋体" w:hAnsi="宋体" w:cs="宋体"/>
                <w:color w:val="000000"/>
                <w:szCs w:val="21"/>
              </w:rPr>
              <w:t>根据供应商提供的项目整体设计方案，从科学性、合理性等方面进行打分。</w:t>
            </w:r>
          </w:p>
          <w:p>
            <w:pPr>
              <w:spacing w:line="400" w:lineRule="exact"/>
              <w:rPr>
                <w:rFonts w:ascii="宋体" w:hAnsi="宋体" w:cs="宋体"/>
                <w:color w:val="000000"/>
                <w:szCs w:val="21"/>
              </w:rPr>
            </w:pPr>
            <w:r>
              <w:rPr>
                <w:rFonts w:hint="eastAsia" w:ascii="宋体" w:hAnsi="宋体" w:cs="宋体"/>
                <w:color w:val="000000"/>
                <w:szCs w:val="21"/>
              </w:rPr>
              <w:t>方案科学、合理，符合采购人需求的得9-6分；</w:t>
            </w:r>
          </w:p>
          <w:p>
            <w:pPr>
              <w:spacing w:line="400" w:lineRule="exact"/>
              <w:rPr>
                <w:rFonts w:ascii="宋体" w:hAnsi="宋体" w:cs="宋体"/>
                <w:color w:val="000000"/>
                <w:szCs w:val="21"/>
              </w:rPr>
            </w:pPr>
            <w:r>
              <w:rPr>
                <w:rFonts w:hint="eastAsia" w:ascii="宋体" w:hAnsi="宋体" w:cs="宋体"/>
                <w:color w:val="000000"/>
                <w:szCs w:val="21"/>
              </w:rPr>
              <w:t>方案基本合理，符合采购人需求的得6-3分；</w:t>
            </w:r>
          </w:p>
          <w:p>
            <w:pPr>
              <w:spacing w:line="400" w:lineRule="exact"/>
              <w:rPr>
                <w:rFonts w:ascii="宋体" w:hAnsi="宋体"/>
                <w:b/>
                <w:color w:val="000000"/>
                <w:szCs w:val="21"/>
              </w:rPr>
            </w:pPr>
            <w:r>
              <w:rPr>
                <w:rFonts w:hint="eastAsia" w:ascii="宋体" w:hAnsi="宋体" w:cs="宋体"/>
                <w:color w:val="000000"/>
                <w:szCs w:val="21"/>
              </w:rPr>
              <w:t>方案存在问题，或偏离采购人需求的得3-0分。</w:t>
            </w:r>
          </w:p>
        </w:tc>
        <w:tc>
          <w:tcPr>
            <w:tcW w:w="935" w:type="dxa"/>
            <w:noWrap w:val="0"/>
            <w:vAlign w:val="center"/>
          </w:tcPr>
          <w:p>
            <w:pPr>
              <w:spacing w:line="400" w:lineRule="exact"/>
              <w:jc w:val="center"/>
              <w:rPr>
                <w:rFonts w:ascii="宋体" w:hAnsi="宋体"/>
                <w:color w:val="000000"/>
                <w:szCs w:val="21"/>
              </w:rPr>
            </w:pPr>
            <w:r>
              <w:rPr>
                <w:rFonts w:hint="eastAsia" w:ascii="宋体" w:hAnsi="宋体"/>
                <w:color w:val="000000"/>
                <w:szCs w:val="21"/>
              </w:rPr>
              <w:t>9</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710" w:type="dxa"/>
            <w:vMerge w:val="continue"/>
            <w:noWrap w:val="0"/>
            <w:vAlign w:val="center"/>
          </w:tcPr>
          <w:p>
            <w:pPr>
              <w:spacing w:line="400" w:lineRule="exact"/>
              <w:jc w:val="center"/>
              <w:rPr>
                <w:rFonts w:ascii="宋体" w:hAnsi="宋体"/>
                <w:b/>
                <w:bCs/>
                <w:color w:val="000000"/>
                <w:szCs w:val="21"/>
              </w:rPr>
            </w:pPr>
          </w:p>
        </w:tc>
        <w:tc>
          <w:tcPr>
            <w:tcW w:w="7853" w:type="dxa"/>
            <w:noWrap w:val="0"/>
            <w:vAlign w:val="center"/>
          </w:tcPr>
          <w:p>
            <w:pPr>
              <w:spacing w:line="400" w:lineRule="exact"/>
              <w:rPr>
                <w:rFonts w:ascii="宋体" w:hAnsi="宋体" w:cs="宋体"/>
                <w:b/>
                <w:bCs/>
                <w:color w:val="000000"/>
                <w:szCs w:val="21"/>
              </w:rPr>
            </w:pPr>
            <w:r>
              <w:rPr>
                <w:rFonts w:ascii="宋体" w:hAnsi="宋体" w:cs="宋体"/>
                <w:b/>
                <w:bCs/>
                <w:color w:val="000000"/>
                <w:szCs w:val="21"/>
              </w:rPr>
              <w:t>3</w:t>
            </w:r>
            <w:r>
              <w:rPr>
                <w:rFonts w:hint="eastAsia" w:ascii="宋体" w:hAnsi="宋体" w:cs="宋体"/>
                <w:b/>
                <w:bCs/>
                <w:color w:val="000000"/>
                <w:szCs w:val="21"/>
              </w:rPr>
              <w:t>、</w:t>
            </w:r>
            <w:bookmarkStart w:id="58" w:name="_Hlk45545180"/>
            <w:r>
              <w:rPr>
                <w:rFonts w:hint="eastAsia" w:ascii="宋体" w:hAnsi="宋体" w:cs="宋体"/>
                <w:b/>
                <w:bCs/>
                <w:color w:val="000000"/>
                <w:szCs w:val="21"/>
              </w:rPr>
              <w:t>项目建设方案：</w:t>
            </w:r>
            <w:bookmarkEnd w:id="58"/>
            <w:r>
              <w:rPr>
                <w:rFonts w:hint="eastAsia" w:ascii="宋体" w:hAnsi="宋体" w:cs="宋体"/>
                <w:b/>
                <w:bCs/>
                <w:color w:val="000000"/>
                <w:szCs w:val="21"/>
              </w:rPr>
              <w:t>（6分）</w:t>
            </w:r>
          </w:p>
          <w:p>
            <w:pPr>
              <w:spacing w:line="400" w:lineRule="exact"/>
              <w:rPr>
                <w:rFonts w:ascii="宋体" w:hAnsi="宋体" w:cs="宋体"/>
                <w:color w:val="000000"/>
                <w:szCs w:val="21"/>
              </w:rPr>
            </w:pPr>
            <w:r>
              <w:rPr>
                <w:rFonts w:hint="eastAsia" w:ascii="宋体" w:hAnsi="宋体" w:cs="宋体"/>
                <w:color w:val="000000"/>
                <w:szCs w:val="21"/>
              </w:rPr>
              <w:t>根据供应商提供的平台及设备建设方案，从科学性、合理性等方面进行打分。</w:t>
            </w:r>
          </w:p>
          <w:p>
            <w:pPr>
              <w:spacing w:line="400" w:lineRule="exact"/>
              <w:rPr>
                <w:rFonts w:hint="eastAsia" w:ascii="宋体" w:hAnsi="宋体" w:cs="宋体"/>
                <w:color w:val="000000"/>
                <w:szCs w:val="21"/>
              </w:rPr>
            </w:pPr>
            <w:r>
              <w:rPr>
                <w:rFonts w:hint="eastAsia" w:ascii="宋体" w:hAnsi="宋体" w:cs="宋体"/>
                <w:color w:val="000000"/>
                <w:szCs w:val="21"/>
              </w:rPr>
              <w:t>方案科学、合理，符合采购人需求的得</w:t>
            </w:r>
            <w:r>
              <w:rPr>
                <w:rFonts w:ascii="宋体" w:hAnsi="宋体" w:cs="宋体"/>
                <w:color w:val="000000"/>
                <w:szCs w:val="21"/>
              </w:rPr>
              <w:t>6-4</w:t>
            </w:r>
            <w:r>
              <w:rPr>
                <w:rFonts w:hint="eastAsia" w:ascii="宋体" w:hAnsi="宋体" w:cs="宋体"/>
                <w:color w:val="000000"/>
                <w:szCs w:val="21"/>
              </w:rPr>
              <w:t>分；</w:t>
            </w:r>
          </w:p>
          <w:p>
            <w:pPr>
              <w:spacing w:line="400" w:lineRule="exact"/>
              <w:rPr>
                <w:rFonts w:hint="eastAsia" w:ascii="宋体" w:hAnsi="宋体" w:cs="宋体"/>
                <w:color w:val="000000"/>
                <w:szCs w:val="21"/>
              </w:rPr>
            </w:pPr>
            <w:r>
              <w:rPr>
                <w:rFonts w:hint="eastAsia" w:ascii="宋体" w:hAnsi="宋体" w:cs="宋体"/>
                <w:color w:val="000000"/>
                <w:szCs w:val="21"/>
              </w:rPr>
              <w:t>方案基本合理，符合采购人需求的得</w:t>
            </w:r>
            <w:r>
              <w:rPr>
                <w:rFonts w:ascii="宋体" w:hAnsi="宋体" w:cs="宋体"/>
                <w:color w:val="000000"/>
                <w:szCs w:val="21"/>
              </w:rPr>
              <w:t>4-2</w:t>
            </w:r>
            <w:r>
              <w:rPr>
                <w:rFonts w:hint="eastAsia" w:ascii="宋体" w:hAnsi="宋体" w:cs="宋体"/>
                <w:color w:val="000000"/>
                <w:szCs w:val="21"/>
              </w:rPr>
              <w:t>分；</w:t>
            </w:r>
          </w:p>
          <w:p>
            <w:pPr>
              <w:spacing w:line="400" w:lineRule="exact"/>
              <w:rPr>
                <w:rFonts w:hint="eastAsia" w:ascii="宋体" w:hAnsi="宋体"/>
                <w:color w:val="000000"/>
                <w:szCs w:val="21"/>
              </w:rPr>
            </w:pPr>
            <w:r>
              <w:rPr>
                <w:rFonts w:hint="eastAsia" w:ascii="宋体" w:hAnsi="宋体" w:cs="宋体"/>
                <w:color w:val="000000"/>
                <w:szCs w:val="21"/>
              </w:rPr>
              <w:t>方案存在问题，或偏离采购人需求的得</w:t>
            </w:r>
            <w:r>
              <w:rPr>
                <w:rFonts w:ascii="宋体" w:hAnsi="宋体" w:cs="宋体"/>
                <w:color w:val="000000"/>
                <w:szCs w:val="21"/>
              </w:rPr>
              <w:t>2-0</w:t>
            </w:r>
            <w:r>
              <w:rPr>
                <w:rFonts w:hint="eastAsia" w:ascii="宋体" w:hAnsi="宋体" w:cs="宋体"/>
                <w:color w:val="000000"/>
                <w:szCs w:val="21"/>
              </w:rPr>
              <w:t>分。</w:t>
            </w:r>
          </w:p>
        </w:tc>
        <w:tc>
          <w:tcPr>
            <w:tcW w:w="935"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spacing w:line="400" w:lineRule="exact"/>
              <w:jc w:val="center"/>
              <w:rPr>
                <w:rFonts w:ascii="宋体" w:hAnsi="宋体"/>
                <w:b/>
                <w:bCs/>
                <w:color w:val="000000"/>
                <w:szCs w:val="21"/>
              </w:rPr>
            </w:pPr>
          </w:p>
        </w:tc>
        <w:tc>
          <w:tcPr>
            <w:tcW w:w="7853" w:type="dxa"/>
            <w:noWrap w:val="0"/>
            <w:vAlign w:val="center"/>
          </w:tcPr>
          <w:p>
            <w:pPr>
              <w:spacing w:line="400" w:lineRule="exact"/>
              <w:rPr>
                <w:rFonts w:ascii="宋体" w:hAnsi="宋体" w:cs="宋体"/>
                <w:b/>
                <w:bCs/>
                <w:color w:val="000000"/>
                <w:szCs w:val="21"/>
              </w:rPr>
            </w:pPr>
            <w:r>
              <w:rPr>
                <w:rFonts w:hint="eastAsia" w:ascii="宋体" w:hAnsi="宋体" w:cs="宋体"/>
                <w:b/>
                <w:bCs/>
                <w:color w:val="000000"/>
                <w:szCs w:val="21"/>
              </w:rPr>
              <w:t>4、</w:t>
            </w:r>
            <w:bookmarkStart w:id="59" w:name="_Hlk45545186"/>
            <w:r>
              <w:rPr>
                <w:rFonts w:hint="eastAsia" w:ascii="宋体" w:hAnsi="宋体" w:cs="宋体"/>
                <w:b/>
                <w:bCs/>
                <w:color w:val="000000"/>
                <w:szCs w:val="21"/>
              </w:rPr>
              <w:t>项目施工组织方案：</w:t>
            </w:r>
            <w:bookmarkEnd w:id="59"/>
            <w:r>
              <w:rPr>
                <w:rFonts w:hint="eastAsia" w:ascii="宋体" w:hAnsi="宋体" w:cs="宋体"/>
                <w:b/>
                <w:bCs/>
                <w:color w:val="000000"/>
                <w:szCs w:val="21"/>
              </w:rPr>
              <w:t>（</w:t>
            </w:r>
            <w:r>
              <w:rPr>
                <w:rFonts w:ascii="宋体" w:hAnsi="宋体" w:cs="宋体"/>
                <w:b/>
                <w:bCs/>
                <w:color w:val="000000"/>
                <w:szCs w:val="21"/>
              </w:rPr>
              <w:t>8</w:t>
            </w:r>
            <w:r>
              <w:rPr>
                <w:rFonts w:hint="eastAsia" w:ascii="宋体" w:hAnsi="宋体" w:cs="宋体"/>
                <w:b/>
                <w:bCs/>
                <w:color w:val="000000"/>
                <w:szCs w:val="21"/>
              </w:rPr>
              <w:t>分）</w:t>
            </w:r>
          </w:p>
          <w:p>
            <w:pPr>
              <w:spacing w:line="400" w:lineRule="exact"/>
              <w:rPr>
                <w:rFonts w:ascii="宋体" w:hAnsi="宋体" w:cs="宋体"/>
                <w:color w:val="000000"/>
                <w:szCs w:val="21"/>
              </w:rPr>
            </w:pPr>
            <w:r>
              <w:rPr>
                <w:rFonts w:hint="eastAsia" w:ascii="宋体" w:hAnsi="宋体" w:cs="宋体"/>
                <w:color w:val="000000"/>
                <w:szCs w:val="21"/>
              </w:rPr>
              <w:t>根据供应商提供的项目施工组织方案，从总体部署的完整性、合理性、可行性以及是否能确保安全文明施工等方面进行打分。</w:t>
            </w:r>
          </w:p>
          <w:p>
            <w:pPr>
              <w:spacing w:line="400" w:lineRule="exact"/>
              <w:rPr>
                <w:rFonts w:hint="eastAsia" w:ascii="宋体" w:hAnsi="宋体" w:cs="宋体"/>
                <w:color w:val="000000"/>
                <w:szCs w:val="21"/>
              </w:rPr>
            </w:pPr>
            <w:r>
              <w:rPr>
                <w:rFonts w:hint="eastAsia" w:ascii="宋体" w:hAnsi="宋体" w:cs="宋体"/>
                <w:color w:val="000000"/>
                <w:szCs w:val="21"/>
              </w:rPr>
              <w:t>方案合理、可行，完全能够确保安全文明施工的得</w:t>
            </w:r>
            <w:r>
              <w:rPr>
                <w:rFonts w:ascii="宋体" w:hAnsi="宋体" w:cs="宋体"/>
                <w:color w:val="000000"/>
                <w:szCs w:val="21"/>
              </w:rPr>
              <w:t>8-5</w:t>
            </w:r>
            <w:r>
              <w:rPr>
                <w:rFonts w:hint="eastAsia" w:ascii="宋体" w:hAnsi="宋体" w:cs="宋体"/>
                <w:color w:val="000000"/>
                <w:szCs w:val="21"/>
              </w:rPr>
              <w:t>分；</w:t>
            </w:r>
          </w:p>
          <w:p>
            <w:pPr>
              <w:spacing w:line="400" w:lineRule="exact"/>
              <w:rPr>
                <w:rFonts w:hint="eastAsia" w:ascii="宋体" w:hAnsi="宋体" w:cs="宋体"/>
                <w:color w:val="000000"/>
                <w:szCs w:val="21"/>
              </w:rPr>
            </w:pPr>
            <w:r>
              <w:rPr>
                <w:rFonts w:hint="eastAsia" w:ascii="宋体" w:hAnsi="宋体" w:cs="宋体"/>
                <w:color w:val="000000"/>
                <w:szCs w:val="21"/>
              </w:rPr>
              <w:t>方案基本合理，能够确保安全文明施工的得</w:t>
            </w:r>
            <w:r>
              <w:rPr>
                <w:rFonts w:ascii="宋体" w:hAnsi="宋体" w:cs="宋体"/>
                <w:color w:val="000000"/>
                <w:szCs w:val="21"/>
              </w:rPr>
              <w:t>5-2</w:t>
            </w:r>
            <w:r>
              <w:rPr>
                <w:rFonts w:hint="eastAsia" w:ascii="宋体" w:hAnsi="宋体" w:cs="宋体"/>
                <w:color w:val="000000"/>
                <w:szCs w:val="21"/>
              </w:rPr>
              <w:t>分；</w:t>
            </w:r>
          </w:p>
          <w:p>
            <w:pPr>
              <w:spacing w:line="400" w:lineRule="exact"/>
              <w:rPr>
                <w:rFonts w:ascii="宋体" w:hAnsi="宋体"/>
                <w:color w:val="000000"/>
                <w:szCs w:val="21"/>
              </w:rPr>
            </w:pPr>
            <w:r>
              <w:rPr>
                <w:rFonts w:hint="eastAsia" w:ascii="宋体" w:hAnsi="宋体" w:cs="宋体"/>
                <w:color w:val="000000"/>
                <w:szCs w:val="21"/>
              </w:rPr>
              <w:t>方案存在问题，或不能确保安全文明施工的得</w:t>
            </w:r>
            <w:r>
              <w:rPr>
                <w:rFonts w:ascii="宋体" w:hAnsi="宋体" w:cs="宋体"/>
                <w:color w:val="000000"/>
                <w:szCs w:val="21"/>
              </w:rPr>
              <w:t>2-0</w:t>
            </w:r>
            <w:r>
              <w:rPr>
                <w:rFonts w:hint="eastAsia" w:ascii="宋体" w:hAnsi="宋体" w:cs="宋体"/>
                <w:color w:val="000000"/>
                <w:szCs w:val="21"/>
              </w:rPr>
              <w:t>分。</w:t>
            </w:r>
          </w:p>
        </w:tc>
        <w:tc>
          <w:tcPr>
            <w:tcW w:w="935" w:type="dxa"/>
            <w:noWrap w:val="0"/>
            <w:vAlign w:val="center"/>
          </w:tcPr>
          <w:p>
            <w:pPr>
              <w:spacing w:line="400" w:lineRule="exact"/>
              <w:jc w:val="center"/>
              <w:rPr>
                <w:rFonts w:hint="eastAsia" w:ascii="宋体" w:hAnsi="宋体"/>
                <w:color w:val="000000"/>
                <w:szCs w:val="21"/>
              </w:rPr>
            </w:pPr>
            <w:r>
              <w:rPr>
                <w:rFonts w:ascii="宋体" w:hAnsi="宋体"/>
                <w:color w:val="000000"/>
                <w:szCs w:val="21"/>
              </w:rPr>
              <w:t>8</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spacing w:line="400" w:lineRule="exact"/>
              <w:jc w:val="center"/>
              <w:rPr>
                <w:rFonts w:ascii="宋体" w:hAnsi="宋体"/>
                <w:b/>
                <w:bCs/>
                <w:color w:val="000000"/>
                <w:szCs w:val="21"/>
              </w:rPr>
            </w:pPr>
          </w:p>
        </w:tc>
        <w:tc>
          <w:tcPr>
            <w:tcW w:w="7853" w:type="dxa"/>
            <w:noWrap w:val="0"/>
            <w:vAlign w:val="center"/>
          </w:tcPr>
          <w:p>
            <w:pPr>
              <w:spacing w:line="400" w:lineRule="exact"/>
              <w:rPr>
                <w:rFonts w:ascii="宋体" w:hAnsi="宋体"/>
                <w:b/>
                <w:color w:val="000000"/>
                <w:szCs w:val="21"/>
              </w:rPr>
            </w:pPr>
            <w:r>
              <w:rPr>
                <w:rFonts w:hint="eastAsia" w:ascii="宋体" w:hAnsi="宋体"/>
                <w:b/>
                <w:color w:val="000000"/>
                <w:szCs w:val="21"/>
              </w:rPr>
              <w:t>5、供应商投入的</w:t>
            </w:r>
            <w:bookmarkStart w:id="60" w:name="_Hlk45545196"/>
            <w:r>
              <w:rPr>
                <w:rFonts w:hint="eastAsia" w:ascii="宋体" w:hAnsi="宋体"/>
                <w:b/>
                <w:color w:val="000000"/>
                <w:szCs w:val="21"/>
              </w:rPr>
              <w:t>服务团队情况</w:t>
            </w:r>
            <w:bookmarkEnd w:id="60"/>
            <w:r>
              <w:rPr>
                <w:rFonts w:hint="eastAsia" w:ascii="宋体" w:hAnsi="宋体"/>
                <w:b/>
                <w:color w:val="000000"/>
                <w:szCs w:val="21"/>
              </w:rPr>
              <w:t>：（</w:t>
            </w:r>
            <w:r>
              <w:rPr>
                <w:rFonts w:ascii="宋体" w:hAnsi="宋体"/>
                <w:b/>
                <w:color w:val="000000"/>
                <w:szCs w:val="21"/>
              </w:rPr>
              <w:t>6</w:t>
            </w:r>
            <w:r>
              <w:rPr>
                <w:rFonts w:hint="eastAsia" w:ascii="宋体" w:hAnsi="宋体"/>
                <w:b/>
                <w:color w:val="000000"/>
                <w:szCs w:val="21"/>
              </w:rPr>
              <w:t>分）</w:t>
            </w:r>
          </w:p>
          <w:p>
            <w:pPr>
              <w:spacing w:line="400" w:lineRule="exact"/>
              <w:rPr>
                <w:rFonts w:ascii="宋体" w:hAnsi="宋体"/>
                <w:color w:val="000000"/>
                <w:szCs w:val="21"/>
              </w:rPr>
            </w:pPr>
            <w:r>
              <w:rPr>
                <w:rFonts w:hint="eastAsia" w:ascii="宋体" w:hAnsi="宋体"/>
                <w:color w:val="000000"/>
                <w:szCs w:val="21"/>
              </w:rPr>
              <w:t>服务团队须为供应商单位在职人员，提供社保部门出具的2020年</w:t>
            </w:r>
            <w:r>
              <w:rPr>
                <w:rFonts w:ascii="宋体" w:hAnsi="宋体"/>
                <w:color w:val="000000"/>
                <w:szCs w:val="21"/>
              </w:rPr>
              <w:t>3</w:t>
            </w:r>
            <w:r>
              <w:rPr>
                <w:rFonts w:hint="eastAsia" w:ascii="宋体" w:hAnsi="宋体"/>
                <w:color w:val="000000"/>
                <w:szCs w:val="21"/>
              </w:rPr>
              <w:t>月-</w:t>
            </w:r>
            <w:r>
              <w:rPr>
                <w:rFonts w:ascii="宋体" w:hAnsi="宋体"/>
                <w:color w:val="000000"/>
                <w:szCs w:val="21"/>
              </w:rPr>
              <w:t>6</w:t>
            </w:r>
            <w:r>
              <w:rPr>
                <w:rFonts w:hint="eastAsia" w:ascii="宋体" w:hAnsi="宋体"/>
                <w:color w:val="000000"/>
                <w:szCs w:val="21"/>
              </w:rPr>
              <w:t>月供应商单位为服务团队缴纳社保的证明资料复印件加盖供应商公章，否则本项不得分。</w:t>
            </w:r>
          </w:p>
          <w:p>
            <w:pPr>
              <w:pStyle w:val="2"/>
              <w:spacing w:line="400" w:lineRule="exact"/>
              <w:rPr>
                <w:rFonts w:ascii="宋体" w:hAnsi="宋体"/>
                <w:i w:val="0"/>
                <w:color w:val="000000"/>
                <w:sz w:val="21"/>
                <w:szCs w:val="21"/>
              </w:rPr>
            </w:pPr>
            <w:r>
              <w:rPr>
                <w:rFonts w:hint="eastAsia" w:ascii="宋体" w:hAnsi="宋体"/>
                <w:i w:val="0"/>
                <w:color w:val="000000"/>
                <w:sz w:val="21"/>
                <w:szCs w:val="21"/>
              </w:rPr>
              <w:t>服务团队中，项目负责人具有有效期内的思科认证互联网专家（CCIE）、注册信息安全专业人员（CISP）证书的，每具有1份证书得1分，最高得</w:t>
            </w:r>
            <w:r>
              <w:rPr>
                <w:rFonts w:ascii="宋体" w:hAnsi="宋体"/>
                <w:i w:val="0"/>
                <w:color w:val="000000"/>
                <w:sz w:val="21"/>
                <w:szCs w:val="21"/>
              </w:rPr>
              <w:t>2</w:t>
            </w:r>
            <w:r>
              <w:rPr>
                <w:rFonts w:hint="eastAsia" w:ascii="宋体" w:hAnsi="宋体"/>
                <w:i w:val="0"/>
                <w:color w:val="000000"/>
                <w:sz w:val="21"/>
                <w:szCs w:val="21"/>
              </w:rPr>
              <w:t>分；</w:t>
            </w:r>
          </w:p>
          <w:p>
            <w:pPr>
              <w:pStyle w:val="2"/>
              <w:spacing w:line="400" w:lineRule="exact"/>
              <w:rPr>
                <w:rFonts w:ascii="宋体" w:hAnsi="宋体"/>
                <w:i w:val="0"/>
                <w:color w:val="000000"/>
                <w:sz w:val="21"/>
                <w:szCs w:val="21"/>
              </w:rPr>
            </w:pPr>
            <w:r>
              <w:rPr>
                <w:rFonts w:hint="eastAsia" w:ascii="宋体" w:hAnsi="宋体"/>
                <w:i w:val="0"/>
                <w:color w:val="000000"/>
                <w:sz w:val="21"/>
                <w:szCs w:val="21"/>
              </w:rPr>
              <w:t>服务团队成员中，具有有效期内的数据分析师（CPDA）、注册信息安全专业人员（CISP）、中级以上通信工程师职称证书的，每具有1份证书得</w:t>
            </w:r>
            <w:r>
              <w:rPr>
                <w:rFonts w:ascii="宋体" w:hAnsi="宋体"/>
                <w:i w:val="0"/>
                <w:color w:val="000000"/>
                <w:sz w:val="21"/>
                <w:szCs w:val="21"/>
              </w:rPr>
              <w:t>1</w:t>
            </w:r>
            <w:r>
              <w:rPr>
                <w:rFonts w:hint="eastAsia" w:ascii="宋体" w:hAnsi="宋体"/>
                <w:i w:val="0"/>
                <w:color w:val="000000"/>
                <w:sz w:val="21"/>
                <w:szCs w:val="21"/>
              </w:rPr>
              <w:t>分，最高得</w:t>
            </w:r>
            <w:r>
              <w:rPr>
                <w:rFonts w:ascii="宋体" w:hAnsi="宋体"/>
                <w:i w:val="0"/>
                <w:color w:val="000000"/>
                <w:sz w:val="21"/>
                <w:szCs w:val="21"/>
              </w:rPr>
              <w:t>4</w:t>
            </w:r>
            <w:r>
              <w:rPr>
                <w:rFonts w:hint="eastAsia" w:ascii="宋体" w:hAnsi="宋体"/>
                <w:i w:val="0"/>
                <w:color w:val="000000"/>
                <w:sz w:val="21"/>
                <w:szCs w:val="21"/>
              </w:rPr>
              <w:t>分；</w:t>
            </w:r>
          </w:p>
          <w:p>
            <w:pPr>
              <w:spacing w:line="400" w:lineRule="exact"/>
              <w:rPr>
                <w:rFonts w:hint="eastAsia" w:ascii="宋体" w:hAnsi="宋体"/>
                <w:color w:val="000000"/>
                <w:szCs w:val="21"/>
              </w:rPr>
            </w:pPr>
            <w:r>
              <w:rPr>
                <w:rFonts w:hint="eastAsia" w:ascii="宋体" w:hAnsi="宋体"/>
                <w:b/>
                <w:bCs/>
                <w:color w:val="000000"/>
                <w:szCs w:val="21"/>
              </w:rPr>
              <w:t>提供团队人员情况表，相关证书复印件并加盖供应商公章。</w:t>
            </w:r>
          </w:p>
        </w:tc>
        <w:tc>
          <w:tcPr>
            <w:tcW w:w="935" w:type="dxa"/>
            <w:noWrap w:val="0"/>
            <w:vAlign w:val="center"/>
          </w:tcPr>
          <w:p>
            <w:pPr>
              <w:spacing w:line="400" w:lineRule="exact"/>
              <w:jc w:val="center"/>
              <w:rPr>
                <w:rFonts w:ascii="宋体" w:hAnsi="宋体"/>
                <w:color w:val="000000"/>
                <w:szCs w:val="21"/>
              </w:rPr>
            </w:pPr>
            <w:r>
              <w:rPr>
                <w:rFonts w:ascii="宋体" w:hAnsi="宋体"/>
                <w:color w:val="000000"/>
                <w:szCs w:val="21"/>
              </w:rPr>
              <w:t>6</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spacing w:line="400" w:lineRule="exact"/>
              <w:jc w:val="center"/>
              <w:rPr>
                <w:rFonts w:ascii="宋体" w:hAnsi="宋体"/>
                <w:b/>
                <w:bCs/>
                <w:color w:val="000000"/>
                <w:szCs w:val="21"/>
              </w:rPr>
            </w:pPr>
          </w:p>
        </w:tc>
        <w:tc>
          <w:tcPr>
            <w:tcW w:w="7853" w:type="dxa"/>
            <w:noWrap w:val="0"/>
            <w:vAlign w:val="center"/>
          </w:tcPr>
          <w:p>
            <w:pPr>
              <w:spacing w:line="400" w:lineRule="exact"/>
              <w:rPr>
                <w:rFonts w:ascii="宋体" w:hAnsi="宋体"/>
                <w:color w:val="000000"/>
                <w:kern w:val="0"/>
                <w:szCs w:val="21"/>
              </w:rPr>
            </w:pPr>
            <w:r>
              <w:rPr>
                <w:rFonts w:hint="eastAsia" w:ascii="宋体" w:hAnsi="宋体" w:cs="宋体"/>
                <w:b/>
                <w:bCs/>
                <w:color w:val="000000"/>
                <w:szCs w:val="21"/>
              </w:rPr>
              <w:t>6、</w:t>
            </w:r>
            <w:bookmarkStart w:id="61" w:name="_Hlk45545203"/>
            <w:r>
              <w:rPr>
                <w:rFonts w:hint="eastAsia" w:ascii="宋体" w:hAnsi="宋体" w:cs="宋体"/>
                <w:b/>
                <w:bCs/>
                <w:color w:val="000000"/>
                <w:szCs w:val="21"/>
              </w:rPr>
              <w:t>售后服务：</w:t>
            </w:r>
            <w:bookmarkEnd w:id="61"/>
            <w:r>
              <w:rPr>
                <w:rFonts w:hint="eastAsia" w:ascii="宋体" w:hAnsi="宋体" w:cs="宋体"/>
                <w:b/>
                <w:bCs/>
                <w:color w:val="000000"/>
                <w:szCs w:val="21"/>
              </w:rPr>
              <w:t>（3分）</w:t>
            </w:r>
          </w:p>
          <w:p>
            <w:pPr>
              <w:spacing w:line="400" w:lineRule="exact"/>
              <w:rPr>
                <w:rFonts w:ascii="宋体" w:hAnsi="宋体"/>
                <w:color w:val="000000"/>
                <w:kern w:val="0"/>
                <w:szCs w:val="21"/>
              </w:rPr>
            </w:pPr>
            <w:r>
              <w:rPr>
                <w:rFonts w:hint="eastAsia" w:ascii="宋体" w:hAnsi="宋体"/>
                <w:color w:val="000000"/>
                <w:kern w:val="0"/>
                <w:szCs w:val="21"/>
              </w:rPr>
              <w:t>根据供应商对本项目的后续保障措施、售后服务机构情况、故障响应时间及处理、定期巡检、技术培训等方面进行打分。</w:t>
            </w:r>
          </w:p>
          <w:p>
            <w:pPr>
              <w:pStyle w:val="2"/>
              <w:spacing w:line="400" w:lineRule="exact"/>
              <w:rPr>
                <w:rFonts w:ascii="宋体" w:hAnsi="宋体"/>
                <w:i w:val="0"/>
                <w:color w:val="000000"/>
                <w:kern w:val="0"/>
                <w:sz w:val="21"/>
                <w:szCs w:val="21"/>
              </w:rPr>
            </w:pPr>
            <w:r>
              <w:rPr>
                <w:rFonts w:hint="eastAsia" w:ascii="宋体" w:hAnsi="宋体"/>
                <w:i w:val="0"/>
                <w:color w:val="000000"/>
                <w:kern w:val="0"/>
                <w:sz w:val="21"/>
                <w:szCs w:val="21"/>
              </w:rPr>
              <w:t>保障措施完善，响应及时，技术培训服务周到的得3-2分；</w:t>
            </w:r>
          </w:p>
          <w:p>
            <w:pPr>
              <w:pStyle w:val="2"/>
              <w:spacing w:line="400" w:lineRule="exact"/>
              <w:rPr>
                <w:rFonts w:ascii="宋体" w:hAnsi="宋体"/>
                <w:i w:val="0"/>
                <w:color w:val="000000"/>
                <w:kern w:val="0"/>
                <w:sz w:val="21"/>
                <w:szCs w:val="21"/>
              </w:rPr>
            </w:pPr>
            <w:r>
              <w:rPr>
                <w:rFonts w:hint="eastAsia" w:ascii="宋体" w:hAnsi="宋体"/>
                <w:i w:val="0"/>
                <w:color w:val="000000"/>
                <w:kern w:val="0"/>
                <w:sz w:val="21"/>
                <w:szCs w:val="21"/>
              </w:rPr>
              <w:t>保障措施较为完善，响应及时，技术培训服务较好的得2</w:t>
            </w:r>
            <w:r>
              <w:rPr>
                <w:rFonts w:ascii="宋体" w:hAnsi="宋体"/>
                <w:i w:val="0"/>
                <w:color w:val="000000"/>
                <w:kern w:val="0"/>
                <w:sz w:val="21"/>
                <w:szCs w:val="21"/>
              </w:rPr>
              <w:t>-1</w:t>
            </w:r>
            <w:r>
              <w:rPr>
                <w:rFonts w:hint="eastAsia" w:ascii="宋体" w:hAnsi="宋体"/>
                <w:i w:val="0"/>
                <w:color w:val="000000"/>
                <w:kern w:val="0"/>
                <w:sz w:val="21"/>
                <w:szCs w:val="21"/>
              </w:rPr>
              <w:t>分；</w:t>
            </w:r>
          </w:p>
          <w:p>
            <w:pPr>
              <w:pStyle w:val="2"/>
              <w:spacing w:line="400" w:lineRule="exact"/>
              <w:rPr>
                <w:rFonts w:ascii="宋体" w:hAnsi="宋体"/>
                <w:color w:val="000000"/>
                <w:sz w:val="21"/>
                <w:szCs w:val="21"/>
              </w:rPr>
            </w:pPr>
            <w:r>
              <w:rPr>
                <w:rFonts w:hint="eastAsia" w:ascii="宋体" w:hAnsi="宋体"/>
                <w:i w:val="0"/>
                <w:color w:val="000000"/>
                <w:kern w:val="0"/>
                <w:sz w:val="21"/>
                <w:szCs w:val="21"/>
              </w:rPr>
              <w:t>保障措施不完善，响应不及时，没有技术培训服务的得</w:t>
            </w:r>
            <w:r>
              <w:rPr>
                <w:rFonts w:ascii="宋体" w:hAnsi="宋体"/>
                <w:i w:val="0"/>
                <w:color w:val="000000"/>
                <w:kern w:val="0"/>
                <w:sz w:val="21"/>
                <w:szCs w:val="21"/>
              </w:rPr>
              <w:t>1-0</w:t>
            </w:r>
            <w:r>
              <w:rPr>
                <w:rFonts w:hint="eastAsia" w:ascii="宋体" w:hAnsi="宋体"/>
                <w:i w:val="0"/>
                <w:color w:val="000000"/>
                <w:kern w:val="0"/>
                <w:sz w:val="21"/>
                <w:szCs w:val="21"/>
              </w:rPr>
              <w:t>分。</w:t>
            </w:r>
          </w:p>
        </w:tc>
        <w:tc>
          <w:tcPr>
            <w:tcW w:w="935"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widowControl/>
              <w:spacing w:line="400" w:lineRule="exact"/>
              <w:jc w:val="left"/>
              <w:rPr>
                <w:rFonts w:ascii="宋体" w:hAnsi="宋体"/>
                <w:b/>
                <w:bCs/>
                <w:color w:val="000000"/>
                <w:szCs w:val="21"/>
              </w:rPr>
            </w:pPr>
          </w:p>
        </w:tc>
        <w:tc>
          <w:tcPr>
            <w:tcW w:w="7853" w:type="dxa"/>
            <w:noWrap w:val="0"/>
            <w:vAlign w:val="center"/>
          </w:tcPr>
          <w:p>
            <w:pPr>
              <w:spacing w:line="400" w:lineRule="exact"/>
              <w:rPr>
                <w:rFonts w:hint="eastAsia" w:ascii="宋体" w:hAnsi="宋体"/>
                <w:b/>
                <w:color w:val="000000"/>
                <w:szCs w:val="21"/>
              </w:rPr>
            </w:pPr>
            <w:r>
              <w:rPr>
                <w:rFonts w:hint="eastAsia" w:ascii="宋体" w:hAnsi="宋体"/>
                <w:b/>
                <w:color w:val="000000"/>
                <w:szCs w:val="21"/>
              </w:rPr>
              <w:t>7、评标委员会对供应商的</w:t>
            </w:r>
            <w:bookmarkStart w:id="62" w:name="_Hlk45545217"/>
            <w:r>
              <w:rPr>
                <w:rFonts w:hint="eastAsia" w:ascii="宋体" w:hAnsi="宋体"/>
                <w:b/>
                <w:color w:val="000000"/>
                <w:szCs w:val="21"/>
              </w:rPr>
              <w:t>合理化建议及其他优惠措施</w:t>
            </w:r>
            <w:bookmarkEnd w:id="62"/>
            <w:r>
              <w:rPr>
                <w:rFonts w:hint="eastAsia" w:ascii="宋体" w:hAnsi="宋体"/>
                <w:b/>
                <w:color w:val="000000"/>
                <w:szCs w:val="21"/>
              </w:rPr>
              <w:t>进行评议（</w:t>
            </w:r>
            <w:r>
              <w:rPr>
                <w:rFonts w:ascii="宋体" w:hAnsi="宋体"/>
                <w:b/>
                <w:color w:val="000000"/>
                <w:szCs w:val="21"/>
              </w:rPr>
              <w:t>3</w:t>
            </w:r>
            <w:r>
              <w:rPr>
                <w:rFonts w:hint="eastAsia" w:ascii="宋体" w:hAnsi="宋体"/>
                <w:b/>
                <w:color w:val="000000"/>
                <w:szCs w:val="21"/>
              </w:rPr>
              <w:t>分）：</w:t>
            </w:r>
          </w:p>
          <w:p>
            <w:pPr>
              <w:spacing w:line="400" w:lineRule="exact"/>
              <w:rPr>
                <w:rFonts w:ascii="宋体" w:hAnsi="宋体"/>
                <w:color w:val="000000"/>
                <w:szCs w:val="21"/>
              </w:rPr>
            </w:pPr>
            <w:r>
              <w:rPr>
                <w:rFonts w:hint="eastAsia" w:ascii="宋体" w:hAnsi="宋体"/>
                <w:color w:val="000000"/>
                <w:szCs w:val="21"/>
              </w:rPr>
              <w:t>合理化建议可行性大，优惠措施力度大的得</w:t>
            </w:r>
            <w:r>
              <w:rPr>
                <w:rFonts w:ascii="宋体" w:hAnsi="宋体"/>
                <w:color w:val="000000"/>
                <w:szCs w:val="21"/>
              </w:rPr>
              <w:t>3-2</w:t>
            </w:r>
            <w:r>
              <w:rPr>
                <w:rFonts w:hint="eastAsia" w:ascii="宋体" w:hAnsi="宋体"/>
                <w:color w:val="000000"/>
                <w:szCs w:val="21"/>
              </w:rPr>
              <w:t>分；</w:t>
            </w:r>
          </w:p>
          <w:p>
            <w:pPr>
              <w:spacing w:line="400" w:lineRule="exact"/>
              <w:rPr>
                <w:rFonts w:ascii="宋体" w:hAnsi="宋体"/>
                <w:color w:val="000000"/>
                <w:szCs w:val="21"/>
              </w:rPr>
            </w:pPr>
            <w:r>
              <w:rPr>
                <w:rFonts w:hint="eastAsia" w:ascii="宋体" w:hAnsi="宋体"/>
                <w:color w:val="000000"/>
                <w:szCs w:val="21"/>
              </w:rPr>
              <w:t>合理化建议基本可行，优惠措施力度不强的得2</w:t>
            </w:r>
            <w:r>
              <w:rPr>
                <w:rFonts w:ascii="宋体" w:hAnsi="宋体"/>
                <w:color w:val="000000"/>
                <w:szCs w:val="21"/>
              </w:rPr>
              <w:t>-1</w:t>
            </w:r>
            <w:r>
              <w:rPr>
                <w:rFonts w:hint="eastAsia" w:ascii="宋体" w:hAnsi="宋体"/>
                <w:color w:val="000000"/>
                <w:szCs w:val="21"/>
              </w:rPr>
              <w:t>分；</w:t>
            </w:r>
          </w:p>
          <w:p>
            <w:pPr>
              <w:spacing w:line="400" w:lineRule="exact"/>
              <w:rPr>
                <w:rFonts w:ascii="宋体" w:hAnsi="宋体"/>
                <w:color w:val="000000"/>
                <w:szCs w:val="21"/>
              </w:rPr>
            </w:pPr>
            <w:r>
              <w:rPr>
                <w:rFonts w:hint="eastAsia" w:ascii="宋体" w:hAnsi="宋体"/>
                <w:color w:val="000000"/>
                <w:szCs w:val="21"/>
              </w:rPr>
              <w:t>合理化建议存在缺陷，可行性小，优惠措施力度弱的得1</w:t>
            </w:r>
            <w:r>
              <w:rPr>
                <w:rFonts w:ascii="宋体" w:hAnsi="宋体"/>
                <w:color w:val="000000"/>
                <w:szCs w:val="21"/>
              </w:rPr>
              <w:t>-0</w:t>
            </w:r>
            <w:r>
              <w:rPr>
                <w:rFonts w:hint="eastAsia" w:ascii="宋体" w:hAnsi="宋体"/>
                <w:color w:val="000000"/>
                <w:szCs w:val="21"/>
              </w:rPr>
              <w:t>分。</w:t>
            </w:r>
          </w:p>
        </w:tc>
        <w:tc>
          <w:tcPr>
            <w:tcW w:w="935"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3</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widowControl/>
              <w:spacing w:line="400" w:lineRule="exact"/>
              <w:jc w:val="left"/>
              <w:rPr>
                <w:rFonts w:ascii="宋体" w:hAnsi="宋体"/>
                <w:b/>
                <w:bCs/>
                <w:color w:val="000000"/>
                <w:szCs w:val="21"/>
              </w:rPr>
            </w:pPr>
          </w:p>
        </w:tc>
        <w:tc>
          <w:tcPr>
            <w:tcW w:w="7853" w:type="dxa"/>
            <w:noWrap w:val="0"/>
            <w:vAlign w:val="center"/>
          </w:tcPr>
          <w:p>
            <w:pPr>
              <w:spacing w:line="400" w:lineRule="exact"/>
              <w:rPr>
                <w:rFonts w:ascii="宋体" w:hAnsi="宋体" w:cs="宋体"/>
                <w:b/>
                <w:bCs/>
                <w:color w:val="000000"/>
                <w:szCs w:val="21"/>
              </w:rPr>
            </w:pPr>
            <w:r>
              <w:rPr>
                <w:rFonts w:hint="eastAsia" w:ascii="宋体" w:hAnsi="宋体" w:cs="宋体"/>
                <w:b/>
                <w:bCs/>
                <w:color w:val="000000"/>
                <w:szCs w:val="21"/>
              </w:rPr>
              <w:t>8、证书要求：（</w:t>
            </w:r>
            <w:r>
              <w:rPr>
                <w:rFonts w:ascii="宋体" w:hAnsi="宋体" w:cs="宋体"/>
                <w:b/>
                <w:bCs/>
                <w:color w:val="000000"/>
                <w:szCs w:val="21"/>
              </w:rPr>
              <w:t>4</w:t>
            </w:r>
            <w:r>
              <w:rPr>
                <w:rFonts w:hint="eastAsia" w:ascii="宋体" w:hAnsi="宋体" w:cs="宋体"/>
                <w:b/>
                <w:bCs/>
                <w:color w:val="000000"/>
                <w:szCs w:val="21"/>
              </w:rPr>
              <w:t>分）</w:t>
            </w:r>
          </w:p>
          <w:p>
            <w:pPr>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）具有ISO9001质量管理体系认证证书的，得1分，否则不得分。</w:t>
            </w:r>
          </w:p>
          <w:p>
            <w:pPr>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）具有</w:t>
            </w:r>
            <w:r>
              <w:rPr>
                <w:rFonts w:ascii="宋体" w:hAnsi="宋体" w:cs="宋体"/>
                <w:color w:val="000000"/>
                <w:szCs w:val="21"/>
              </w:rPr>
              <w:t>ISO14001</w:t>
            </w:r>
            <w:r>
              <w:rPr>
                <w:rFonts w:hint="eastAsia" w:ascii="宋体" w:hAnsi="宋体" w:cs="宋体"/>
                <w:color w:val="000000"/>
                <w:szCs w:val="21"/>
              </w:rPr>
              <w:t>环境管理体系认证证书的，得1分，否则不得分。</w:t>
            </w:r>
          </w:p>
          <w:p>
            <w:pPr>
              <w:spacing w:line="40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）具有</w:t>
            </w:r>
            <w:r>
              <w:rPr>
                <w:rFonts w:ascii="宋体" w:hAnsi="宋体" w:cs="宋体"/>
                <w:color w:val="000000"/>
                <w:szCs w:val="21"/>
              </w:rPr>
              <w:t>ISO45001</w:t>
            </w:r>
            <w:r>
              <w:rPr>
                <w:rFonts w:hint="eastAsia" w:ascii="宋体" w:hAnsi="宋体" w:cs="宋体"/>
                <w:color w:val="000000"/>
                <w:szCs w:val="21"/>
              </w:rPr>
              <w:t>职业健康安全管理体系认证证书的，得1分，否则不得分。</w:t>
            </w:r>
          </w:p>
          <w:p>
            <w:pPr>
              <w:spacing w:line="400" w:lineRule="exact"/>
              <w:rPr>
                <w:rFonts w:hint="eastAsia" w:ascii="宋体" w:hAnsi="宋体" w:cs="宋体"/>
                <w:color w:val="000000"/>
                <w:szCs w:val="21"/>
              </w:rPr>
            </w:pPr>
            <w:r>
              <w:rPr>
                <w:rFonts w:hint="eastAsia" w:ascii="宋体" w:hAnsi="宋体" w:cs="宋体"/>
                <w:color w:val="000000"/>
                <w:szCs w:val="21"/>
              </w:rPr>
              <w:t>（4）具有信息技术服务运行维护标准符合性证书（ITSS）的，得1分，否则不得分。</w:t>
            </w:r>
          </w:p>
          <w:p>
            <w:pPr>
              <w:spacing w:line="400" w:lineRule="exact"/>
              <w:rPr>
                <w:rFonts w:hint="eastAsia" w:ascii="宋体" w:hAnsi="宋体"/>
                <w:b/>
                <w:bCs/>
                <w:color w:val="000000"/>
                <w:szCs w:val="21"/>
              </w:rPr>
            </w:pPr>
            <w:r>
              <w:rPr>
                <w:rFonts w:hint="eastAsia" w:ascii="宋体" w:hAnsi="宋体" w:cs="宋体"/>
                <w:b/>
                <w:bCs/>
                <w:color w:val="000000"/>
                <w:szCs w:val="21"/>
              </w:rPr>
              <w:t>（供应商需提供有效的证书复印件并加盖供应商公章）</w:t>
            </w:r>
          </w:p>
        </w:tc>
        <w:tc>
          <w:tcPr>
            <w:tcW w:w="935" w:type="dxa"/>
            <w:noWrap w:val="0"/>
            <w:vAlign w:val="center"/>
          </w:tcPr>
          <w:p>
            <w:pPr>
              <w:spacing w:line="400" w:lineRule="exact"/>
              <w:jc w:val="center"/>
              <w:rPr>
                <w:rFonts w:hint="eastAsia" w:ascii="宋体" w:hAnsi="宋体"/>
                <w:color w:val="000000"/>
                <w:szCs w:val="21"/>
              </w:rPr>
            </w:pPr>
            <w:r>
              <w:rPr>
                <w:rFonts w:ascii="宋体" w:hAnsi="宋体"/>
                <w:color w:val="000000"/>
                <w:szCs w:val="21"/>
              </w:rPr>
              <w:t>4</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3" w:hRule="atLeast"/>
          <w:jc w:val="center"/>
        </w:trPr>
        <w:tc>
          <w:tcPr>
            <w:tcW w:w="710" w:type="dxa"/>
            <w:vMerge w:val="continue"/>
            <w:noWrap w:val="0"/>
            <w:vAlign w:val="center"/>
          </w:tcPr>
          <w:p>
            <w:pPr>
              <w:widowControl/>
              <w:spacing w:line="400" w:lineRule="exact"/>
              <w:jc w:val="left"/>
              <w:rPr>
                <w:rFonts w:ascii="宋体" w:hAnsi="宋体"/>
                <w:b/>
                <w:bCs/>
                <w:color w:val="000000"/>
                <w:szCs w:val="21"/>
              </w:rPr>
            </w:pPr>
          </w:p>
        </w:tc>
        <w:tc>
          <w:tcPr>
            <w:tcW w:w="7853" w:type="dxa"/>
            <w:noWrap w:val="0"/>
            <w:vAlign w:val="center"/>
          </w:tcPr>
          <w:p>
            <w:pPr>
              <w:spacing w:line="400" w:lineRule="exact"/>
              <w:rPr>
                <w:rFonts w:hint="eastAsia" w:ascii="宋体" w:hAnsi="宋体"/>
                <w:b/>
                <w:color w:val="000000"/>
                <w:szCs w:val="21"/>
              </w:rPr>
            </w:pPr>
            <w:r>
              <w:rPr>
                <w:rFonts w:hint="eastAsia" w:ascii="宋体" w:hAnsi="宋体"/>
                <w:b/>
                <w:color w:val="000000"/>
                <w:szCs w:val="21"/>
              </w:rPr>
              <w:t>9、政策性因素加分（1分）：</w:t>
            </w:r>
          </w:p>
          <w:p>
            <w:pPr>
              <w:spacing w:line="400" w:lineRule="exact"/>
              <w:rPr>
                <w:rFonts w:hint="eastAsia" w:ascii="宋体" w:hAnsi="宋体"/>
                <w:color w:val="000000"/>
                <w:szCs w:val="21"/>
              </w:rPr>
            </w:pPr>
            <w:r>
              <w:rPr>
                <w:rFonts w:hint="eastAsia" w:ascii="宋体" w:hAnsi="宋体"/>
                <w:color w:val="000000"/>
                <w:szCs w:val="21"/>
              </w:rPr>
              <w:t>（1）投标产品为节能产品，提供有效期内节能产品认证证书的加0.5分；</w:t>
            </w:r>
          </w:p>
          <w:p>
            <w:pPr>
              <w:spacing w:line="400" w:lineRule="exact"/>
              <w:rPr>
                <w:rFonts w:ascii="宋体" w:hAnsi="宋体"/>
                <w:color w:val="000000"/>
                <w:szCs w:val="21"/>
              </w:rPr>
            </w:pPr>
            <w:r>
              <w:rPr>
                <w:rFonts w:hint="eastAsia" w:ascii="宋体" w:hAnsi="宋体"/>
                <w:color w:val="000000"/>
                <w:szCs w:val="21"/>
              </w:rPr>
              <w:t>（2）投标产品为环境标志产品，提供有效期内环境标志产品认证证书的加0.5分。</w:t>
            </w:r>
          </w:p>
          <w:p>
            <w:pPr>
              <w:spacing w:line="400" w:lineRule="exact"/>
              <w:rPr>
                <w:rFonts w:ascii="宋体" w:hAnsi="宋体"/>
                <w:b/>
                <w:bCs/>
                <w:color w:val="000000"/>
                <w:szCs w:val="21"/>
              </w:rPr>
            </w:pPr>
            <w:r>
              <w:rPr>
                <w:rFonts w:hint="eastAsia" w:ascii="宋体" w:hAnsi="宋体" w:cs="宋体"/>
                <w:b/>
                <w:bCs/>
                <w:color w:val="000000"/>
                <w:szCs w:val="21"/>
              </w:rPr>
              <w:t>（供应商需提供有效的证书复印件并加盖供应商公章）</w:t>
            </w:r>
          </w:p>
        </w:tc>
        <w:tc>
          <w:tcPr>
            <w:tcW w:w="935"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21" w:hRule="atLeast"/>
          <w:jc w:val="center"/>
        </w:trPr>
        <w:tc>
          <w:tcPr>
            <w:tcW w:w="710"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价格分30分</w:t>
            </w:r>
          </w:p>
        </w:tc>
        <w:tc>
          <w:tcPr>
            <w:tcW w:w="7853" w:type="dxa"/>
            <w:noWrap w:val="0"/>
            <w:vAlign w:val="center"/>
          </w:tcPr>
          <w:p>
            <w:pPr>
              <w:spacing w:line="400" w:lineRule="exact"/>
              <w:rPr>
                <w:rFonts w:ascii="宋体" w:hAnsi="宋体"/>
                <w:color w:val="000000"/>
                <w:szCs w:val="21"/>
              </w:rPr>
            </w:pPr>
            <w:r>
              <w:rPr>
                <w:rFonts w:hint="eastAsia" w:ascii="宋体" w:hAnsi="宋体"/>
                <w:color w:val="000000"/>
                <w:szCs w:val="21"/>
              </w:rPr>
              <w:t>参与评审的价格=评标价-小微企业价格扣除优惠值（6%）</w:t>
            </w:r>
          </w:p>
          <w:p>
            <w:pPr>
              <w:spacing w:line="400" w:lineRule="exact"/>
              <w:rPr>
                <w:rFonts w:hint="eastAsia" w:ascii="宋体" w:hAnsi="宋体"/>
                <w:color w:val="000000"/>
                <w:szCs w:val="21"/>
              </w:rPr>
            </w:pPr>
            <w:r>
              <w:rPr>
                <w:rFonts w:hint="eastAsia" w:ascii="宋体" w:hAnsi="宋体"/>
                <w:color w:val="000000"/>
                <w:szCs w:val="21"/>
              </w:rPr>
              <w:t>评标基准价=满足招标文件要求且“参与评审的价格”中最低的价格</w:t>
            </w:r>
          </w:p>
          <w:p>
            <w:pPr>
              <w:spacing w:line="400" w:lineRule="exact"/>
              <w:rPr>
                <w:rFonts w:hint="eastAsia" w:ascii="宋体" w:hAnsi="宋体"/>
                <w:color w:val="000000"/>
                <w:szCs w:val="21"/>
              </w:rPr>
            </w:pPr>
            <w:r>
              <w:rPr>
                <w:rFonts w:hint="eastAsia" w:ascii="宋体" w:hAnsi="宋体"/>
                <w:color w:val="000000"/>
                <w:szCs w:val="21"/>
              </w:rPr>
              <w:t>基准价得分为满分30分，其他投标报价得分计算公式如下：</w:t>
            </w:r>
          </w:p>
          <w:p>
            <w:pPr>
              <w:spacing w:line="400" w:lineRule="exact"/>
              <w:rPr>
                <w:rFonts w:ascii="宋体" w:hAnsi="宋体"/>
                <w:color w:val="000000"/>
                <w:szCs w:val="21"/>
              </w:rPr>
            </w:pPr>
            <w:r>
              <w:rPr>
                <w:rFonts w:hint="eastAsia" w:ascii="宋体" w:hAnsi="宋体"/>
                <w:color w:val="000000"/>
                <w:szCs w:val="21"/>
              </w:rPr>
              <w:t>投标报价得分=（评标基准价/参与评审的价格）×30%×100</w:t>
            </w:r>
          </w:p>
        </w:tc>
        <w:tc>
          <w:tcPr>
            <w:tcW w:w="935" w:type="dxa"/>
            <w:noWrap w:val="0"/>
            <w:vAlign w:val="center"/>
          </w:tcPr>
          <w:p>
            <w:pPr>
              <w:spacing w:line="400" w:lineRule="exact"/>
              <w:jc w:val="center"/>
              <w:rPr>
                <w:rFonts w:ascii="宋体" w:hAnsi="宋体"/>
                <w:color w:val="000000"/>
                <w:szCs w:val="21"/>
              </w:rPr>
            </w:pPr>
            <w:r>
              <w:rPr>
                <w:rFonts w:hint="eastAsia" w:ascii="宋体" w:hAnsi="宋体"/>
                <w:color w:val="000000"/>
                <w:szCs w:val="21"/>
              </w:rPr>
              <w:t>30</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563" w:type="dxa"/>
            <w:gridSpan w:val="2"/>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总分</w:t>
            </w:r>
          </w:p>
        </w:tc>
        <w:tc>
          <w:tcPr>
            <w:tcW w:w="935" w:type="dxa"/>
            <w:noWrap w:val="0"/>
            <w:vAlign w:val="center"/>
          </w:tcPr>
          <w:p>
            <w:pPr>
              <w:spacing w:line="400" w:lineRule="exact"/>
              <w:jc w:val="center"/>
              <w:rPr>
                <w:rFonts w:ascii="宋体" w:hAnsi="宋体"/>
                <w:color w:val="000000"/>
                <w:szCs w:val="21"/>
              </w:rPr>
            </w:pPr>
            <w:r>
              <w:rPr>
                <w:rFonts w:hint="eastAsia" w:ascii="宋体" w:hAnsi="宋体"/>
                <w:color w:val="000000"/>
                <w:szCs w:val="21"/>
              </w:rPr>
              <w:t>100</w:t>
            </w:r>
          </w:p>
        </w:tc>
      </w:tr>
      <w:bookmarkEnd w:id="56"/>
    </w:tbl>
    <w:p>
      <w:pPr>
        <w:spacing w:line="400" w:lineRule="exact"/>
        <w:rPr>
          <w:rFonts w:ascii="宋体" w:hAnsi="宋体"/>
          <w:b/>
          <w:color w:val="000000"/>
          <w:szCs w:val="21"/>
        </w:rPr>
      </w:pPr>
      <w:r>
        <w:rPr>
          <w:rFonts w:hint="eastAsia" w:ascii="宋体" w:hAnsi="宋体"/>
          <w:b/>
          <w:color w:val="000000"/>
          <w:szCs w:val="21"/>
        </w:rPr>
        <w:t>注：1、各评委成员自行按以上参考分值评分，小数点后保留一位数。</w:t>
      </w:r>
    </w:p>
    <w:p>
      <w:pPr>
        <w:spacing w:line="400" w:lineRule="exact"/>
        <w:rPr>
          <w:rFonts w:hint="eastAsia" w:ascii="宋体" w:hAnsi="宋体"/>
          <w:b/>
          <w:color w:val="000000"/>
          <w:szCs w:val="21"/>
        </w:rPr>
      </w:pPr>
      <w:r>
        <w:rPr>
          <w:rFonts w:hint="eastAsia" w:ascii="宋体" w:hAnsi="宋体"/>
          <w:b/>
          <w:color w:val="000000"/>
          <w:szCs w:val="21"/>
        </w:rPr>
        <w:t>2、以上分值重复的地方，下限不含，上限含。</w:t>
      </w:r>
    </w:p>
    <w:p>
      <w:pPr>
        <w:spacing w:line="320" w:lineRule="exact"/>
        <w:rPr>
          <w:rFonts w:hint="eastAsia" w:ascii="宋体" w:hAnsi="宋体"/>
          <w:color w:val="000000"/>
          <w:sz w:val="24"/>
        </w:rPr>
      </w:pPr>
    </w:p>
    <w:p>
      <w:pPr>
        <w:spacing w:line="320" w:lineRule="exact"/>
        <w:rPr>
          <w:rFonts w:hint="eastAsia" w:ascii="宋体" w:hAnsi="宋体"/>
          <w:color w:val="000000"/>
          <w:sz w:val="28"/>
          <w:szCs w:val="28"/>
        </w:rPr>
      </w:pPr>
      <w:r>
        <w:rPr>
          <w:rFonts w:hint="eastAsia" w:ascii="宋体" w:hAnsi="宋体"/>
          <w:color w:val="000000"/>
          <w:sz w:val="24"/>
        </w:rPr>
        <w:t>评委签名：                                              年  月   日</w:t>
      </w:r>
      <w:bookmarkEnd w:id="55"/>
      <w:r>
        <w:rPr>
          <w:rFonts w:hint="eastAsia" w:ascii="宋体" w:hAnsi="宋体"/>
          <w:color w:val="000000"/>
          <w:szCs w:val="21"/>
        </w:rPr>
        <w:t xml:space="preserve"> </w:t>
      </w:r>
    </w:p>
    <w:p>
      <w:pPr>
        <w:ind w:right="-1226" w:rightChars="-584"/>
        <w:jc w:val="center"/>
        <w:rPr>
          <w:rFonts w:ascii="宋体" w:hAnsi="宋体"/>
          <w:color w:val="000000"/>
          <w:sz w:val="28"/>
          <w:szCs w:val="28"/>
        </w:rPr>
        <w:sectPr>
          <w:headerReference r:id="rId9" w:type="default"/>
          <w:footerReference r:id="rId10" w:type="default"/>
          <w:type w:val="nextColumn"/>
          <w:pgSz w:w="11907" w:h="16840"/>
          <w:pgMar w:top="854" w:right="1588" w:bottom="1135" w:left="1588" w:header="285" w:footer="616" w:gutter="0"/>
          <w:cols w:space="720" w:num="1"/>
          <w:docGrid w:linePitch="285" w:charSpace="0"/>
        </w:sectPr>
      </w:pPr>
    </w:p>
    <w:p>
      <w:pPr>
        <w:spacing w:line="400" w:lineRule="exact"/>
        <w:jc w:val="center"/>
        <w:outlineLvl w:val="0"/>
        <w:rPr>
          <w:rFonts w:hint="eastAsia" w:ascii="宋体" w:hAnsi="宋体"/>
          <w:b/>
          <w:color w:val="000000"/>
          <w:sz w:val="32"/>
        </w:rPr>
      </w:pPr>
      <w:bookmarkStart w:id="63" w:name="_Toc529355817"/>
      <w:r>
        <w:rPr>
          <w:rFonts w:hint="eastAsia" w:ascii="宋体" w:hAnsi="宋体"/>
          <w:b/>
          <w:color w:val="000000"/>
          <w:sz w:val="32"/>
        </w:rPr>
        <w:t>第四章  合同样本</w:t>
      </w:r>
      <w:bookmarkEnd w:id="63"/>
    </w:p>
    <w:p>
      <w:pPr>
        <w:pStyle w:val="21"/>
        <w:snapToGrid w:val="0"/>
        <w:spacing w:line="400" w:lineRule="exact"/>
        <w:jc w:val="center"/>
        <w:rPr>
          <w:rFonts w:hint="eastAsia"/>
          <w:b/>
          <w:sz w:val="21"/>
          <w:szCs w:val="21"/>
        </w:rPr>
      </w:pPr>
      <w:r>
        <w:rPr>
          <w:rFonts w:hint="eastAsia"/>
          <w:b/>
          <w:sz w:val="21"/>
          <w:szCs w:val="21"/>
        </w:rPr>
        <w:t>（本合同为合同样稿，最终稿由甲乙双方协商后确定）</w:t>
      </w:r>
    </w:p>
    <w:p>
      <w:pPr>
        <w:pStyle w:val="21"/>
        <w:snapToGrid w:val="0"/>
        <w:spacing w:line="400" w:lineRule="exact"/>
        <w:jc w:val="center"/>
        <w:rPr>
          <w:rFonts w:hint="eastAsia"/>
          <w:b/>
          <w:sz w:val="21"/>
          <w:szCs w:val="21"/>
        </w:rPr>
      </w:pPr>
      <w:r>
        <w:rPr>
          <w:rFonts w:hint="eastAsia"/>
          <w:sz w:val="21"/>
          <w:szCs w:val="21"/>
        </w:rPr>
        <w:t xml:space="preserve">                                      编号：</w:t>
      </w:r>
    </w:p>
    <w:p>
      <w:pPr>
        <w:widowControl/>
        <w:overflowPunct w:val="0"/>
        <w:autoSpaceDE w:val="0"/>
        <w:autoSpaceDN w:val="0"/>
        <w:adjustRightInd w:val="0"/>
        <w:snapToGrid w:val="0"/>
        <w:spacing w:line="400" w:lineRule="exact"/>
        <w:ind w:left="-171"/>
        <w:jc w:val="left"/>
        <w:textAlignment w:val="baseline"/>
        <w:rPr>
          <w:rFonts w:ascii="宋体" w:hAnsi="宋体" w:cs="仿宋_GB2312"/>
          <w:color w:val="000000"/>
          <w:kern w:val="0"/>
          <w:szCs w:val="21"/>
        </w:rPr>
      </w:pPr>
      <w:r>
        <w:rPr>
          <w:rFonts w:hint="eastAsia" w:ascii="宋体" w:hAnsi="宋体" w:cs="仿宋_GB2312"/>
          <w:color w:val="000000"/>
          <w:kern w:val="0"/>
          <w:szCs w:val="21"/>
        </w:rPr>
        <w:t>甲方（采购人）：</w:t>
      </w:r>
    </w:p>
    <w:p>
      <w:pPr>
        <w:widowControl/>
        <w:overflowPunct w:val="0"/>
        <w:autoSpaceDE w:val="0"/>
        <w:autoSpaceDN w:val="0"/>
        <w:adjustRightInd w:val="0"/>
        <w:snapToGrid w:val="0"/>
        <w:spacing w:line="400" w:lineRule="exact"/>
        <w:ind w:left="-171"/>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乙方（中标供应商）：</w:t>
      </w:r>
    </w:p>
    <w:p>
      <w:pPr>
        <w:widowControl/>
        <w:overflowPunct w:val="0"/>
        <w:autoSpaceDE w:val="0"/>
        <w:autoSpaceDN w:val="0"/>
        <w:adjustRightInd w:val="0"/>
        <w:snapToGrid w:val="0"/>
        <w:spacing w:line="400" w:lineRule="exact"/>
        <w:ind w:left="-170" w:leftChars="-81" w:firstLine="420" w:firstLineChars="200"/>
        <w:jc w:val="left"/>
        <w:textAlignment w:val="baseline"/>
        <w:rPr>
          <w:rFonts w:hint="eastAsia" w:ascii="宋体" w:hAnsi="宋体" w:cs="仿宋_GB2312"/>
          <w:color w:val="000000"/>
          <w:kern w:val="0"/>
          <w:szCs w:val="21"/>
        </w:rPr>
      </w:pPr>
      <w:r>
        <w:rPr>
          <w:rFonts w:hint="eastAsia" w:ascii="宋体" w:hAnsi="宋体"/>
          <w:color w:val="000000"/>
          <w:kern w:val="0"/>
          <w:szCs w:val="21"/>
        </w:rPr>
        <w:t>根据</w:t>
      </w:r>
      <w:r>
        <w:rPr>
          <w:rFonts w:hint="eastAsia" w:ascii="宋体" w:hAnsi="宋体"/>
          <w:color w:val="000000"/>
          <w:kern w:val="0"/>
          <w:szCs w:val="21"/>
          <w:u w:val="single"/>
        </w:rPr>
        <w:t xml:space="preserve">    （项目名称）   </w:t>
      </w:r>
      <w:r>
        <w:rPr>
          <w:rFonts w:hint="eastAsia" w:ascii="宋体" w:hAnsi="宋体"/>
          <w:color w:val="000000"/>
          <w:kern w:val="0"/>
          <w:szCs w:val="21"/>
        </w:rPr>
        <w:t>公开招标采购结果（项目编号：</w:t>
      </w:r>
      <w:r>
        <w:rPr>
          <w:rFonts w:hint="eastAsia" w:ascii="宋体" w:hAnsi="宋体"/>
          <w:color w:val="000000"/>
          <w:kern w:val="0"/>
          <w:szCs w:val="21"/>
          <w:u w:val="single"/>
        </w:rPr>
        <w:t xml:space="preserve">        </w:t>
      </w:r>
      <w:r>
        <w:rPr>
          <w:rFonts w:hint="eastAsia" w:ascii="宋体" w:hAnsi="宋体"/>
          <w:color w:val="000000"/>
          <w:kern w:val="0"/>
          <w:szCs w:val="21"/>
        </w:rPr>
        <w:t>），确定</w:t>
      </w:r>
      <w:r>
        <w:rPr>
          <w:rFonts w:hint="eastAsia" w:ascii="宋体" w:hAnsi="宋体"/>
          <w:color w:val="000000"/>
          <w:kern w:val="0"/>
          <w:szCs w:val="21"/>
          <w:u w:val="single"/>
        </w:rPr>
        <w:t xml:space="preserve">         </w:t>
      </w:r>
      <w:r>
        <w:rPr>
          <w:rFonts w:hint="eastAsia" w:ascii="宋体" w:hAnsi="宋体"/>
          <w:color w:val="000000"/>
          <w:kern w:val="0"/>
          <w:szCs w:val="21"/>
        </w:rPr>
        <w:t>为中标单位，甲、乙双方经协商，达成以下条款：</w:t>
      </w:r>
    </w:p>
    <w:p>
      <w:pPr>
        <w:spacing w:line="400" w:lineRule="exact"/>
        <w:ind w:firstLine="420"/>
        <w:rPr>
          <w:rFonts w:hint="eastAsia" w:ascii="宋体" w:hAnsi="宋体"/>
          <w:color w:val="000000"/>
          <w:szCs w:val="21"/>
        </w:rPr>
      </w:pPr>
      <w:r>
        <w:rPr>
          <w:rFonts w:hint="eastAsia" w:ascii="宋体" w:hAnsi="宋体"/>
          <w:color w:val="000000"/>
          <w:szCs w:val="21"/>
        </w:rPr>
        <w:t>甲方的《招标文件》、乙方的《投标文件》及其澄清文件、中标通知书均为本合同不可分割部分。</w:t>
      </w:r>
    </w:p>
    <w:p>
      <w:pPr>
        <w:spacing w:after="120" w:afterLines="50" w:line="400" w:lineRule="exact"/>
        <w:rPr>
          <w:rFonts w:hint="eastAsia" w:ascii="宋体" w:hAnsi="宋体"/>
          <w:b/>
          <w:color w:val="000000"/>
          <w:szCs w:val="21"/>
        </w:rPr>
      </w:pPr>
      <w:r>
        <w:rPr>
          <w:rFonts w:hint="eastAsia" w:ascii="宋体" w:hAnsi="宋体"/>
          <w:b/>
          <w:color w:val="000000"/>
          <w:szCs w:val="21"/>
        </w:rPr>
        <w:t>第一条   货物名称、规格、数量及金额：</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84"/>
        <w:gridCol w:w="1369"/>
        <w:gridCol w:w="855"/>
        <w:gridCol w:w="851"/>
        <w:gridCol w:w="1545"/>
        <w:gridCol w:w="855"/>
        <w:gridCol w:w="855"/>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货物名称</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规格型号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计量</w:t>
            </w:r>
          </w:p>
          <w:p>
            <w:pPr>
              <w:spacing w:line="400" w:lineRule="exact"/>
              <w:jc w:val="center"/>
              <w:rPr>
                <w:rFonts w:ascii="宋体" w:hAnsi="宋体"/>
                <w:color w:val="000000"/>
                <w:szCs w:val="21"/>
              </w:rPr>
            </w:pPr>
            <w:r>
              <w:rPr>
                <w:rFonts w:hint="eastAsia" w:ascii="宋体" w:hAnsi="宋体"/>
                <w:color w:val="000000"/>
                <w:szCs w:val="21"/>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数量</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交货及安装期</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单价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小计</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Cs w:val="21"/>
              </w:rPr>
            </w:pPr>
            <w:r>
              <w:rPr>
                <w:rFonts w:hint="eastAsia" w:ascii="宋体" w:hAnsi="宋体"/>
                <w:color w:val="000000"/>
                <w:szCs w:val="21"/>
              </w:rPr>
              <w:t>合            计</w:t>
            </w:r>
          </w:p>
        </w:tc>
        <w:tc>
          <w:tcPr>
            <w:tcW w:w="5994"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9297" w:type="dxa"/>
            <w:gridSpan w:val="9"/>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color w:val="000000"/>
                <w:szCs w:val="21"/>
              </w:rPr>
            </w:pPr>
            <w:r>
              <w:rPr>
                <w:rFonts w:hint="eastAsia" w:ascii="宋体" w:hAnsi="宋体"/>
                <w:color w:val="000000"/>
                <w:szCs w:val="21"/>
              </w:rPr>
              <w:t>合计人民币金额（大写）：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297" w:type="dxa"/>
            <w:gridSpan w:val="9"/>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0" w:firstLineChars="200"/>
              <w:rPr>
                <w:rFonts w:ascii="宋体" w:hAnsi="宋体"/>
                <w:color w:val="000000"/>
                <w:szCs w:val="21"/>
              </w:rPr>
            </w:pPr>
            <w:r>
              <w:rPr>
                <w:rFonts w:hint="eastAsia" w:ascii="宋体" w:hAnsi="宋体"/>
                <w:color w:val="000000"/>
                <w:szCs w:val="21"/>
              </w:rPr>
              <w:t>合同总价包括但不限于货物及各类配件的生产及购置、运输、装卸、现场安装、检测、保险、验收等交付使用前发生的所有工作，以及技术服务（包括相关技术资料、图纸、资料的提供）、质保期内售后服务等相关费用（包括材料、货物物价上涨因素）。</w:t>
            </w:r>
          </w:p>
        </w:tc>
      </w:tr>
    </w:tbl>
    <w:p>
      <w:pPr>
        <w:tabs>
          <w:tab w:val="left" w:pos="540"/>
          <w:tab w:val="left" w:pos="2880"/>
        </w:tabs>
        <w:spacing w:line="400" w:lineRule="exact"/>
        <w:rPr>
          <w:rFonts w:hint="eastAsia" w:ascii="宋体" w:hAnsi="宋体"/>
          <w:b/>
          <w:color w:val="000000"/>
          <w:szCs w:val="21"/>
        </w:rPr>
      </w:pPr>
      <w:r>
        <w:rPr>
          <w:rFonts w:hint="eastAsia" w:ascii="宋体" w:hAnsi="宋体"/>
          <w:b/>
          <w:color w:val="000000"/>
          <w:szCs w:val="21"/>
        </w:rPr>
        <w:t xml:space="preserve">第二条   交货期：                                     </w:t>
      </w:r>
    </w:p>
    <w:p>
      <w:pPr>
        <w:spacing w:line="400" w:lineRule="exact"/>
        <w:ind w:firstLine="420" w:firstLineChars="200"/>
        <w:rPr>
          <w:rFonts w:hint="eastAsia" w:ascii="宋体" w:hAnsi="宋体"/>
          <w:color w:val="000000"/>
          <w:szCs w:val="21"/>
        </w:rPr>
      </w:pPr>
      <w:r>
        <w:rPr>
          <w:rFonts w:hint="eastAsia" w:ascii="宋体" w:hAnsi="宋体" w:cs="宋体"/>
          <w:color w:val="000000"/>
          <w:szCs w:val="21"/>
        </w:rPr>
        <w:t>在合同签订后</w:t>
      </w:r>
      <w:r>
        <w:rPr>
          <w:rFonts w:ascii="宋体" w:hAnsi="宋体"/>
          <w:color w:val="000000"/>
          <w:szCs w:val="21"/>
        </w:rPr>
        <w:t>60</w:t>
      </w:r>
      <w:r>
        <w:rPr>
          <w:rFonts w:hint="eastAsia" w:ascii="宋体" w:hAnsi="宋体" w:cs="宋体"/>
          <w:color w:val="000000"/>
          <w:szCs w:val="21"/>
        </w:rPr>
        <w:t>个日历天</w:t>
      </w:r>
      <w:r>
        <w:rPr>
          <w:rFonts w:hint="eastAsia" w:ascii="宋体" w:hAnsi="宋体"/>
          <w:color w:val="000000"/>
          <w:szCs w:val="21"/>
        </w:rPr>
        <w:t>内完成交货及相关的现场施工安装、调试等工作，并验收合格。</w:t>
      </w:r>
    </w:p>
    <w:p>
      <w:pPr>
        <w:spacing w:line="400" w:lineRule="exact"/>
        <w:rPr>
          <w:rFonts w:hint="eastAsia" w:ascii="宋体" w:hAnsi="宋体"/>
          <w:b/>
          <w:color w:val="000000"/>
          <w:szCs w:val="21"/>
        </w:rPr>
      </w:pPr>
      <w:r>
        <w:rPr>
          <w:rFonts w:hint="eastAsia" w:ascii="宋体" w:hAnsi="宋体"/>
          <w:b/>
          <w:color w:val="000000"/>
          <w:szCs w:val="21"/>
        </w:rPr>
        <w:t>第三条   交货地点</w:t>
      </w:r>
    </w:p>
    <w:p>
      <w:pPr>
        <w:spacing w:line="400" w:lineRule="exact"/>
        <w:ind w:firstLine="420" w:firstLineChars="200"/>
        <w:rPr>
          <w:rFonts w:hint="eastAsia" w:ascii="宋体" w:hAnsi="宋体"/>
          <w:color w:val="000000"/>
          <w:szCs w:val="21"/>
        </w:rPr>
      </w:pPr>
      <w:r>
        <w:rPr>
          <w:rFonts w:hint="eastAsia" w:ascii="宋体" w:hAnsi="宋体"/>
          <w:color w:val="000000"/>
          <w:szCs w:val="21"/>
        </w:rPr>
        <w:t>采购人指定地点。</w:t>
      </w:r>
    </w:p>
    <w:p>
      <w:pPr>
        <w:spacing w:line="400" w:lineRule="exact"/>
        <w:rPr>
          <w:rFonts w:hint="eastAsia" w:ascii="宋体" w:hAnsi="宋体"/>
          <w:b/>
          <w:color w:val="000000"/>
          <w:szCs w:val="21"/>
        </w:rPr>
      </w:pPr>
      <w:r>
        <w:rPr>
          <w:rFonts w:hint="eastAsia" w:ascii="宋体" w:hAnsi="宋体"/>
          <w:b/>
          <w:color w:val="000000"/>
          <w:szCs w:val="21"/>
        </w:rPr>
        <w:t>第四条   质量要求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质量要求：一次性验收合格。</w:t>
      </w:r>
    </w:p>
    <w:p>
      <w:pPr>
        <w:spacing w:line="400" w:lineRule="exact"/>
        <w:rPr>
          <w:rFonts w:hint="eastAsia" w:ascii="宋体" w:hAnsi="宋体"/>
          <w:b/>
          <w:color w:val="000000"/>
          <w:szCs w:val="21"/>
        </w:rPr>
      </w:pPr>
      <w:r>
        <w:rPr>
          <w:rFonts w:hint="eastAsia" w:ascii="宋体" w:hAnsi="宋体"/>
          <w:b/>
          <w:color w:val="000000"/>
          <w:szCs w:val="21"/>
        </w:rPr>
        <w:t>第五条   履约保证金</w:t>
      </w:r>
    </w:p>
    <w:p>
      <w:pPr>
        <w:spacing w:line="400" w:lineRule="exact"/>
        <w:ind w:firstLine="420" w:firstLineChars="200"/>
        <w:rPr>
          <w:rFonts w:hint="eastAsia" w:ascii="宋体" w:hAnsi="宋体"/>
          <w:color w:val="000000"/>
          <w:szCs w:val="21"/>
        </w:rPr>
      </w:pPr>
      <w:r>
        <w:rPr>
          <w:rFonts w:hint="eastAsia" w:ascii="宋体" w:hAnsi="宋体"/>
          <w:color w:val="000000"/>
          <w:szCs w:val="21"/>
        </w:rPr>
        <w:t>1、履约保证金金额：合同金额的5%，即_________元，由乙方在签订合同前支付给甲方，所有货物交货完毕并通过有关部门验收合格且经甲方确认后30天内无息退还。</w:t>
      </w:r>
    </w:p>
    <w:p>
      <w:pPr>
        <w:spacing w:line="400" w:lineRule="exact"/>
        <w:ind w:firstLine="420" w:firstLineChars="200"/>
        <w:rPr>
          <w:rFonts w:hint="eastAsia" w:ascii="宋体" w:hAnsi="宋体"/>
          <w:color w:val="000000"/>
          <w:szCs w:val="21"/>
        </w:rPr>
      </w:pPr>
      <w:r>
        <w:rPr>
          <w:rFonts w:hint="eastAsia" w:ascii="宋体" w:hAnsi="宋体"/>
          <w:color w:val="000000"/>
          <w:szCs w:val="21"/>
        </w:rPr>
        <w:t>2、履约保证金形式：可选择：银行汇票（电汇）、现金、支票（仅限于使用宁波大市区范围内的银行开具的支票）、履约保函。</w:t>
      </w:r>
    </w:p>
    <w:p>
      <w:pPr>
        <w:spacing w:line="400" w:lineRule="exact"/>
        <w:rPr>
          <w:rFonts w:hint="eastAsia" w:ascii="宋体" w:hAnsi="宋体"/>
          <w:b/>
          <w:color w:val="000000"/>
          <w:szCs w:val="21"/>
        </w:rPr>
      </w:pPr>
      <w:r>
        <w:rPr>
          <w:rFonts w:hint="eastAsia" w:ascii="宋体" w:hAnsi="宋体"/>
          <w:b/>
          <w:color w:val="000000"/>
          <w:szCs w:val="21"/>
        </w:rPr>
        <w:t>第六条   付款方式</w:t>
      </w:r>
    </w:p>
    <w:p>
      <w:pPr>
        <w:spacing w:line="400" w:lineRule="exact"/>
        <w:ind w:firstLine="420" w:firstLineChars="200"/>
        <w:rPr>
          <w:rFonts w:hint="eastAsia" w:ascii="宋体" w:hAnsi="宋体"/>
          <w:color w:val="000000"/>
          <w:szCs w:val="21"/>
        </w:rPr>
      </w:pPr>
      <w:r>
        <w:rPr>
          <w:rFonts w:hint="eastAsia" w:ascii="宋体" w:hAnsi="宋体"/>
          <w:color w:val="000000"/>
          <w:szCs w:val="21"/>
          <w:lang w:val="zh-CN"/>
        </w:rPr>
        <w:t>合同签订后7个工作日内，甲方向乙方支付合同金额的30%；所有货物</w:t>
      </w:r>
      <w:r>
        <w:rPr>
          <w:rFonts w:hint="eastAsia" w:ascii="宋体" w:hAnsi="宋体"/>
          <w:color w:val="000000"/>
          <w:szCs w:val="21"/>
        </w:rPr>
        <w:t>交货安装完毕并通过有关部门验收合格且经采购人确认后30天内，支付至合同总价的95%，并退还履约保证金（不计息）；5%余款在质量保证期满经采购人确认无质量问题且扣除供应商应承担的违约金等费用后15个工作日内付清（不计息）。</w:t>
      </w:r>
    </w:p>
    <w:p>
      <w:pPr>
        <w:spacing w:line="400" w:lineRule="exact"/>
        <w:rPr>
          <w:rFonts w:hint="eastAsia" w:ascii="宋体" w:hAnsi="宋体"/>
          <w:b/>
          <w:color w:val="000000"/>
          <w:szCs w:val="21"/>
        </w:rPr>
      </w:pPr>
      <w:r>
        <w:rPr>
          <w:rFonts w:hint="eastAsia" w:ascii="宋体" w:hAnsi="宋体"/>
          <w:b/>
          <w:color w:val="000000"/>
          <w:szCs w:val="21"/>
        </w:rPr>
        <w:t>第七条   税费及保险</w:t>
      </w:r>
    </w:p>
    <w:p>
      <w:pPr>
        <w:spacing w:line="400" w:lineRule="exact"/>
        <w:ind w:firstLine="420" w:firstLineChars="200"/>
        <w:rPr>
          <w:rFonts w:hint="eastAsia" w:ascii="宋体" w:hAnsi="宋体"/>
          <w:color w:val="000000"/>
          <w:szCs w:val="21"/>
        </w:rPr>
      </w:pPr>
      <w:r>
        <w:rPr>
          <w:rFonts w:hint="eastAsia" w:ascii="宋体" w:hAnsi="宋体"/>
          <w:color w:val="000000"/>
          <w:szCs w:val="21"/>
        </w:rPr>
        <w:t>1、中国政府根据现行税法所征收的销售商品产生的一切税费由乙方支付。</w:t>
      </w:r>
    </w:p>
    <w:p>
      <w:pPr>
        <w:spacing w:line="400" w:lineRule="exact"/>
        <w:ind w:firstLine="420" w:firstLineChars="200"/>
        <w:rPr>
          <w:rFonts w:hint="eastAsia" w:ascii="宋体" w:hAnsi="宋体"/>
          <w:color w:val="000000"/>
          <w:szCs w:val="21"/>
        </w:rPr>
      </w:pPr>
      <w:r>
        <w:rPr>
          <w:rFonts w:hint="eastAsia" w:ascii="宋体" w:hAnsi="宋体"/>
          <w:color w:val="000000"/>
          <w:szCs w:val="21"/>
        </w:rPr>
        <w:t>2、中国政府根据现行税法向乙方征收的与履行本合同有关的一切税费由乙方支付。</w:t>
      </w:r>
    </w:p>
    <w:p>
      <w:pPr>
        <w:spacing w:line="400" w:lineRule="exact"/>
        <w:ind w:firstLine="420" w:firstLineChars="200"/>
        <w:rPr>
          <w:rFonts w:hint="eastAsia" w:ascii="宋体" w:hAnsi="宋体"/>
          <w:color w:val="000000"/>
          <w:szCs w:val="21"/>
        </w:rPr>
      </w:pPr>
      <w:r>
        <w:rPr>
          <w:rFonts w:hint="eastAsia" w:ascii="宋体" w:hAnsi="宋体"/>
          <w:color w:val="000000"/>
          <w:szCs w:val="21"/>
        </w:rPr>
        <w:t>3、货物装运后乙方办理保险，其费用及运输风险由乙方承担。</w:t>
      </w:r>
    </w:p>
    <w:p>
      <w:pPr>
        <w:spacing w:line="400" w:lineRule="exact"/>
        <w:rPr>
          <w:rFonts w:hint="eastAsia" w:ascii="宋体" w:hAnsi="宋体"/>
          <w:b/>
          <w:color w:val="000000"/>
          <w:szCs w:val="21"/>
        </w:rPr>
      </w:pPr>
      <w:r>
        <w:rPr>
          <w:rFonts w:hint="eastAsia" w:ascii="宋体" w:hAnsi="宋体"/>
          <w:b/>
          <w:color w:val="000000"/>
          <w:szCs w:val="21"/>
        </w:rPr>
        <w:t>第八条   质量保证</w:t>
      </w:r>
    </w:p>
    <w:p>
      <w:pPr>
        <w:spacing w:line="400" w:lineRule="exact"/>
        <w:ind w:firstLine="420" w:firstLineChars="200"/>
        <w:rPr>
          <w:rFonts w:hint="eastAsia" w:ascii="宋体" w:hAnsi="宋体"/>
          <w:color w:val="000000"/>
          <w:szCs w:val="21"/>
        </w:rPr>
      </w:pPr>
      <w:r>
        <w:rPr>
          <w:rFonts w:hint="eastAsia" w:ascii="宋体" w:hAnsi="宋体"/>
          <w:color w:val="000000"/>
          <w:szCs w:val="21"/>
        </w:rPr>
        <w:t>1、乙方保证所供的产品是全新的、未使用过的且符合国家技术规格、质量标准和环保标准的出厂原装合格产品；如发生所供产品与技术要求不符，甲方或使用单位有权拒收或退货，由此产生的一切责任和后果由乙方承担。</w:t>
      </w:r>
    </w:p>
    <w:p>
      <w:pPr>
        <w:spacing w:line="400" w:lineRule="exact"/>
        <w:ind w:firstLine="420" w:firstLineChars="200"/>
        <w:rPr>
          <w:rFonts w:hint="eastAsia" w:ascii="宋体" w:hAnsi="宋体"/>
          <w:color w:val="000000"/>
          <w:szCs w:val="21"/>
        </w:rPr>
      </w:pPr>
      <w:r>
        <w:rPr>
          <w:rFonts w:hint="eastAsia" w:ascii="宋体" w:hAnsi="宋体"/>
          <w:color w:val="000000"/>
          <w:szCs w:val="21"/>
        </w:rPr>
        <w:t>2、乙方保证采用先进的技术、优质的材料和零部件、一流的工艺、严格的质量管理为甲方提供技术先进、质量上乘、外表美观并完全符合合同规定的质量、规格、性能要求的产品。</w:t>
      </w:r>
    </w:p>
    <w:p>
      <w:pPr>
        <w:spacing w:line="400" w:lineRule="exact"/>
        <w:ind w:firstLine="420" w:firstLineChars="200"/>
        <w:rPr>
          <w:rFonts w:hint="eastAsia" w:ascii="宋体" w:hAnsi="宋体"/>
          <w:color w:val="000000"/>
          <w:szCs w:val="21"/>
        </w:rPr>
      </w:pPr>
      <w:r>
        <w:rPr>
          <w:rFonts w:hint="eastAsia" w:ascii="宋体" w:hAnsi="宋体"/>
          <w:color w:val="000000"/>
          <w:szCs w:val="21"/>
        </w:rPr>
        <w:t>3、乙方保证对所供货物的设计、采购、制造、检验、涂装、包装、安装、调试等各个环节进行严格的质量管理和质量控制。</w:t>
      </w:r>
    </w:p>
    <w:p>
      <w:pPr>
        <w:spacing w:line="400" w:lineRule="exact"/>
        <w:ind w:firstLine="420" w:firstLineChars="200"/>
        <w:rPr>
          <w:rFonts w:hint="eastAsia" w:ascii="宋体" w:hAnsi="宋体"/>
          <w:color w:val="000000"/>
          <w:szCs w:val="21"/>
        </w:rPr>
      </w:pPr>
      <w:r>
        <w:rPr>
          <w:rFonts w:hint="eastAsia" w:ascii="宋体" w:hAnsi="宋体"/>
          <w:color w:val="000000"/>
          <w:szCs w:val="21"/>
        </w:rPr>
        <w:t>4、乙方保证所提供的产品在正确安装、正常使用和维护保养的情况下，具有使甲方满意的使用性能和使用寿命。</w:t>
      </w:r>
    </w:p>
    <w:p>
      <w:pPr>
        <w:spacing w:line="400" w:lineRule="exact"/>
        <w:ind w:firstLine="420" w:firstLineChars="200"/>
        <w:rPr>
          <w:rFonts w:hint="eastAsia" w:ascii="宋体" w:hAnsi="宋体"/>
          <w:color w:val="000000"/>
          <w:szCs w:val="21"/>
        </w:rPr>
      </w:pPr>
      <w:r>
        <w:rPr>
          <w:rFonts w:hint="eastAsia" w:ascii="宋体" w:hAnsi="宋体"/>
          <w:color w:val="000000"/>
          <w:szCs w:val="21"/>
        </w:rPr>
        <w:t>5、本合同项下产品的质量保证（简称“质保”）期为验收合格交付使用起二年，质保期内若出现质量问题，乙方免费维修或更换。质保期满后提供货物终身维修（所发生费用的只收取材料成本费，不再收取其它费用）。</w:t>
      </w:r>
    </w:p>
    <w:p>
      <w:pPr>
        <w:spacing w:line="400" w:lineRule="exact"/>
        <w:rPr>
          <w:rFonts w:hint="eastAsia" w:ascii="宋体" w:hAnsi="宋体"/>
          <w:b/>
          <w:color w:val="000000"/>
          <w:szCs w:val="21"/>
        </w:rPr>
      </w:pPr>
      <w:r>
        <w:rPr>
          <w:rFonts w:hint="eastAsia" w:ascii="宋体" w:hAnsi="宋体"/>
          <w:b/>
          <w:color w:val="000000"/>
          <w:szCs w:val="21"/>
        </w:rPr>
        <w:t>第九条   检验</w:t>
      </w:r>
    </w:p>
    <w:p>
      <w:pPr>
        <w:spacing w:line="400" w:lineRule="exact"/>
        <w:ind w:firstLine="405"/>
        <w:rPr>
          <w:rFonts w:hint="eastAsia" w:ascii="宋体" w:hAnsi="宋体"/>
          <w:color w:val="000000"/>
          <w:szCs w:val="21"/>
        </w:rPr>
      </w:pPr>
      <w:r>
        <w:rPr>
          <w:rFonts w:hint="eastAsia" w:ascii="宋体" w:hAnsi="宋体"/>
          <w:color w:val="000000"/>
          <w:szCs w:val="21"/>
        </w:rPr>
        <w:t>1、在生产期间，甲方有权派人员到生产现场跟踪检查，乙方不得以任何理由拒绝，并需提供配合。对于生产过程中发现的质量缺陷，需及时处理，否则因此造成对甲方产生一切损失，由乙方承担。</w:t>
      </w:r>
    </w:p>
    <w:p>
      <w:pPr>
        <w:spacing w:line="400" w:lineRule="exact"/>
        <w:ind w:firstLine="420"/>
        <w:rPr>
          <w:rFonts w:hint="eastAsia" w:ascii="宋体" w:hAnsi="宋体"/>
          <w:color w:val="000000"/>
          <w:szCs w:val="21"/>
        </w:rPr>
      </w:pPr>
      <w:r>
        <w:rPr>
          <w:rFonts w:hint="eastAsia" w:ascii="宋体" w:hAnsi="宋体"/>
          <w:color w:val="000000"/>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pPr>
        <w:spacing w:line="400" w:lineRule="exact"/>
        <w:rPr>
          <w:rFonts w:hint="eastAsia" w:ascii="宋体" w:hAnsi="宋体"/>
          <w:b/>
          <w:color w:val="000000"/>
          <w:szCs w:val="21"/>
        </w:rPr>
      </w:pPr>
      <w:r>
        <w:rPr>
          <w:rFonts w:hint="eastAsia" w:ascii="宋体" w:hAnsi="宋体"/>
          <w:b/>
          <w:color w:val="000000"/>
          <w:szCs w:val="21"/>
        </w:rPr>
        <w:t>第十条   合同双方的责任及义务</w:t>
      </w:r>
    </w:p>
    <w:p>
      <w:pPr>
        <w:spacing w:line="400" w:lineRule="exact"/>
        <w:ind w:firstLine="420" w:firstLineChars="200"/>
        <w:rPr>
          <w:rFonts w:hint="eastAsia" w:ascii="宋体" w:hAnsi="宋体"/>
          <w:color w:val="000000"/>
          <w:szCs w:val="21"/>
        </w:rPr>
      </w:pPr>
      <w:bookmarkStart w:id="64" w:name="_Toc215887379"/>
      <w:bookmarkStart w:id="65" w:name="_Toc81103164"/>
      <w:bookmarkStart w:id="66" w:name="_Toc253043115"/>
      <w:r>
        <w:rPr>
          <w:rFonts w:hint="eastAsia" w:ascii="宋体" w:hAnsi="宋体"/>
          <w:color w:val="000000"/>
          <w:szCs w:val="21"/>
        </w:rPr>
        <w:t>1、甲方的责任和义务</w:t>
      </w:r>
      <w:bookmarkEnd w:id="64"/>
      <w:bookmarkEnd w:id="65"/>
      <w:bookmarkEnd w:id="66"/>
      <w:r>
        <w:rPr>
          <w:rFonts w:hint="eastAsia" w:ascii="宋体" w:hAnsi="宋体"/>
          <w:color w:val="000000"/>
          <w:szCs w:val="21"/>
        </w:rPr>
        <w:t>：</w:t>
      </w:r>
    </w:p>
    <w:p>
      <w:pPr>
        <w:spacing w:line="400" w:lineRule="exact"/>
        <w:ind w:firstLine="420" w:firstLineChars="200"/>
        <w:rPr>
          <w:rFonts w:hint="eastAsia" w:ascii="宋体" w:hAnsi="宋体"/>
          <w:color w:val="000000"/>
          <w:szCs w:val="21"/>
        </w:rPr>
      </w:pPr>
      <w:r>
        <w:rPr>
          <w:rFonts w:hint="eastAsia" w:ascii="宋体" w:hAnsi="宋体"/>
          <w:color w:val="000000"/>
          <w:szCs w:val="21"/>
        </w:rPr>
        <w:t>1.1 严格履行合同，检查落实合同履约情况，并及时处理合同履行中存在或发现的问题。</w:t>
      </w:r>
    </w:p>
    <w:p>
      <w:pPr>
        <w:spacing w:line="400" w:lineRule="exact"/>
        <w:ind w:firstLine="420"/>
        <w:rPr>
          <w:rFonts w:hint="eastAsia" w:ascii="宋体" w:hAnsi="宋体"/>
          <w:color w:val="000000"/>
          <w:szCs w:val="21"/>
        </w:rPr>
      </w:pPr>
      <w:r>
        <w:rPr>
          <w:rFonts w:hint="eastAsia" w:ascii="宋体" w:hAnsi="宋体"/>
          <w:color w:val="000000"/>
          <w:szCs w:val="21"/>
        </w:rPr>
        <w:t>1.2 甲方应及时按合同约定的时间与乙方结算并支付货款。</w:t>
      </w:r>
    </w:p>
    <w:p>
      <w:pPr>
        <w:spacing w:line="400" w:lineRule="exact"/>
        <w:ind w:firstLine="420" w:firstLineChars="200"/>
        <w:rPr>
          <w:rFonts w:hint="eastAsia" w:ascii="宋体" w:hAnsi="宋体"/>
          <w:color w:val="000000"/>
          <w:szCs w:val="21"/>
        </w:rPr>
      </w:pPr>
      <w:r>
        <w:rPr>
          <w:rFonts w:hint="eastAsia" w:ascii="宋体" w:hAnsi="宋体"/>
          <w:color w:val="000000"/>
          <w:szCs w:val="21"/>
        </w:rPr>
        <w:t>1.3 甲方有以下权利：</w:t>
      </w:r>
    </w:p>
    <w:p>
      <w:pPr>
        <w:spacing w:line="400" w:lineRule="exact"/>
        <w:rPr>
          <w:rFonts w:hint="eastAsia" w:ascii="宋体" w:hAnsi="宋体"/>
          <w:color w:val="000000"/>
          <w:szCs w:val="21"/>
        </w:rPr>
      </w:pPr>
      <w:r>
        <w:rPr>
          <w:rFonts w:hint="eastAsia" w:ascii="宋体" w:hAnsi="宋体"/>
          <w:color w:val="000000"/>
          <w:szCs w:val="21"/>
        </w:rPr>
        <w:t xml:space="preserve">    （1）对货物的制造、运输、装卸、安装、调试、检测、验收等合同履约有关的交货期、质量检验和验收、合同结算等签字认可或不认可或发出其它有关指令；</w:t>
      </w:r>
    </w:p>
    <w:p>
      <w:pPr>
        <w:spacing w:line="400" w:lineRule="exact"/>
        <w:rPr>
          <w:rFonts w:hint="eastAsia" w:ascii="宋体" w:hAnsi="宋体"/>
          <w:color w:val="000000"/>
          <w:szCs w:val="21"/>
        </w:rPr>
      </w:pPr>
      <w:r>
        <w:rPr>
          <w:rFonts w:hint="eastAsia" w:ascii="宋体" w:hAnsi="宋体"/>
          <w:color w:val="000000"/>
          <w:szCs w:val="21"/>
        </w:rPr>
        <w:t xml:space="preserve">    （2）审查、接收乙方提交的资料；</w:t>
      </w:r>
    </w:p>
    <w:p>
      <w:pPr>
        <w:spacing w:line="400" w:lineRule="exact"/>
        <w:rPr>
          <w:rFonts w:hint="eastAsia" w:ascii="宋体" w:hAnsi="宋体"/>
          <w:color w:val="000000"/>
          <w:szCs w:val="21"/>
        </w:rPr>
      </w:pPr>
      <w:r>
        <w:rPr>
          <w:rFonts w:hint="eastAsia" w:ascii="宋体" w:hAnsi="宋体"/>
          <w:color w:val="000000"/>
          <w:szCs w:val="21"/>
        </w:rPr>
        <w:t xml:space="preserve">    （3）变更的审核、确认。</w:t>
      </w:r>
    </w:p>
    <w:p>
      <w:pPr>
        <w:spacing w:line="400" w:lineRule="exact"/>
        <w:ind w:firstLine="420" w:firstLineChars="200"/>
        <w:rPr>
          <w:rFonts w:hint="eastAsia" w:ascii="宋体" w:hAnsi="宋体"/>
          <w:color w:val="000000"/>
          <w:szCs w:val="21"/>
        </w:rPr>
      </w:pPr>
      <w:bookmarkStart w:id="67" w:name="_Toc215887380"/>
      <w:bookmarkStart w:id="68" w:name="_Toc81103165"/>
      <w:bookmarkStart w:id="69" w:name="_Toc253043116"/>
      <w:r>
        <w:rPr>
          <w:rFonts w:hint="eastAsia" w:ascii="宋体" w:hAnsi="宋体"/>
          <w:color w:val="000000"/>
          <w:szCs w:val="21"/>
        </w:rPr>
        <w:t>2、乙方的责任和义务</w:t>
      </w:r>
      <w:bookmarkEnd w:id="67"/>
      <w:bookmarkEnd w:id="68"/>
      <w:bookmarkEnd w:id="69"/>
      <w:r>
        <w:rPr>
          <w:rFonts w:hint="eastAsia" w:ascii="宋体" w:hAnsi="宋体"/>
          <w:color w:val="000000"/>
          <w:szCs w:val="21"/>
        </w:rPr>
        <w:t>：</w:t>
      </w:r>
    </w:p>
    <w:p>
      <w:pPr>
        <w:spacing w:line="400" w:lineRule="exact"/>
        <w:rPr>
          <w:rFonts w:hint="eastAsia" w:ascii="宋体" w:hAnsi="宋体"/>
          <w:color w:val="000000"/>
          <w:szCs w:val="21"/>
        </w:rPr>
      </w:pPr>
      <w:r>
        <w:rPr>
          <w:rFonts w:hint="eastAsia" w:ascii="宋体" w:hAnsi="宋体"/>
          <w:color w:val="000000"/>
          <w:szCs w:val="21"/>
        </w:rPr>
        <w:t xml:space="preserve">    2.1 乙方应根据合同的规定，完成货物的制造、运输、装卸、安装、调试、保险、检测、验收等交付使用前发生的所有工作。</w:t>
      </w:r>
    </w:p>
    <w:p>
      <w:pPr>
        <w:spacing w:line="400" w:lineRule="exact"/>
        <w:ind w:firstLine="420" w:firstLineChars="200"/>
        <w:rPr>
          <w:rFonts w:hint="eastAsia" w:ascii="宋体" w:hAnsi="宋体"/>
          <w:color w:val="000000"/>
          <w:szCs w:val="21"/>
        </w:rPr>
      </w:pPr>
      <w:r>
        <w:rPr>
          <w:rFonts w:hint="eastAsia" w:ascii="宋体" w:hAnsi="宋体"/>
          <w:color w:val="000000"/>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pPr>
        <w:spacing w:line="400" w:lineRule="exact"/>
        <w:ind w:firstLine="420" w:firstLineChars="200"/>
        <w:rPr>
          <w:rFonts w:hint="eastAsia" w:ascii="宋体" w:hAnsi="宋体"/>
          <w:color w:val="000000"/>
          <w:szCs w:val="21"/>
        </w:rPr>
      </w:pPr>
      <w:r>
        <w:rPr>
          <w:rFonts w:hint="eastAsia" w:ascii="宋体" w:hAnsi="宋体"/>
          <w:color w:val="000000"/>
          <w:szCs w:val="21"/>
        </w:rPr>
        <w:t>2.3 严格执行甲方根据合同规定发出的，涉及货物供货及服务的各项指令（无论这些事项在合同中写明与否）。</w:t>
      </w:r>
    </w:p>
    <w:p>
      <w:pPr>
        <w:spacing w:line="400" w:lineRule="exact"/>
        <w:ind w:firstLine="420" w:firstLineChars="200"/>
        <w:rPr>
          <w:rFonts w:hint="eastAsia" w:ascii="宋体" w:hAnsi="宋体"/>
          <w:color w:val="000000"/>
          <w:szCs w:val="21"/>
        </w:rPr>
      </w:pPr>
      <w:r>
        <w:rPr>
          <w:rFonts w:hint="eastAsia" w:ascii="宋体" w:hAnsi="宋体"/>
          <w:color w:val="000000"/>
          <w:szCs w:val="21"/>
        </w:rPr>
        <w:t xml:space="preserve">2.4 乙方应对甲方提供的书面资料进行技术性评估，并将评估结果反馈甲方； </w:t>
      </w:r>
    </w:p>
    <w:p>
      <w:pPr>
        <w:spacing w:line="400" w:lineRule="exact"/>
        <w:ind w:firstLine="420" w:firstLineChars="200"/>
        <w:rPr>
          <w:rFonts w:hint="eastAsia" w:ascii="宋体" w:hAnsi="宋体"/>
          <w:color w:val="000000"/>
          <w:szCs w:val="21"/>
        </w:rPr>
      </w:pPr>
      <w:r>
        <w:rPr>
          <w:rFonts w:hint="eastAsia" w:ascii="宋体" w:hAnsi="宋体"/>
          <w:color w:val="000000"/>
          <w:szCs w:val="21"/>
        </w:rPr>
        <w:t>2.5 保证按本合同有关规定和所附《售后服务承诺书》要求完成货物的供货、运输、安装、维保等工作。</w:t>
      </w:r>
    </w:p>
    <w:p>
      <w:pPr>
        <w:spacing w:line="400" w:lineRule="exact"/>
        <w:ind w:firstLine="420"/>
        <w:rPr>
          <w:rFonts w:hint="eastAsia" w:ascii="宋体" w:hAnsi="宋体"/>
          <w:color w:val="000000"/>
          <w:szCs w:val="21"/>
        </w:rPr>
      </w:pPr>
      <w:r>
        <w:rPr>
          <w:rFonts w:hint="eastAsia" w:ascii="宋体" w:hAnsi="宋体"/>
          <w:color w:val="000000"/>
          <w:szCs w:val="21"/>
        </w:rPr>
        <w:t>2.6 如非甲方原因，乙方人员在建筑受到伤害或伤害到甲方或第三方人员；乙方在建筑财物遭到损坏/灭失，遭受到其他经济损失或者对甲方或第三方造成经济损失；乙方应承担全部责任。</w:t>
      </w:r>
      <w:bookmarkStart w:id="70" w:name="_Toc81103166"/>
      <w:bookmarkStart w:id="71" w:name="_Toc215887381"/>
      <w:bookmarkStart w:id="72" w:name="_Toc253043117"/>
    </w:p>
    <w:bookmarkEnd w:id="70"/>
    <w:bookmarkEnd w:id="71"/>
    <w:bookmarkEnd w:id="72"/>
    <w:p>
      <w:pPr>
        <w:spacing w:line="400" w:lineRule="exact"/>
        <w:rPr>
          <w:rFonts w:hint="eastAsia" w:ascii="宋体" w:hAnsi="宋体"/>
          <w:b/>
          <w:color w:val="000000"/>
          <w:szCs w:val="21"/>
        </w:rPr>
      </w:pPr>
      <w:bookmarkStart w:id="73" w:name="_Toc215887382"/>
      <w:bookmarkStart w:id="74" w:name="_Toc253043118"/>
      <w:bookmarkStart w:id="75" w:name="_Toc81103167"/>
      <w:r>
        <w:rPr>
          <w:rFonts w:hint="eastAsia" w:ascii="宋体" w:hAnsi="宋体"/>
          <w:b/>
          <w:color w:val="000000"/>
          <w:szCs w:val="21"/>
        </w:rPr>
        <w:t>第十一条   包装</w:t>
      </w:r>
      <w:bookmarkEnd w:id="73"/>
      <w:bookmarkEnd w:id="74"/>
      <w:bookmarkEnd w:id="75"/>
    </w:p>
    <w:p>
      <w:pPr>
        <w:spacing w:line="400" w:lineRule="exact"/>
        <w:rPr>
          <w:rFonts w:hint="eastAsia" w:ascii="宋体" w:hAnsi="宋体"/>
          <w:color w:val="000000"/>
          <w:szCs w:val="21"/>
        </w:rPr>
      </w:pPr>
      <w:r>
        <w:rPr>
          <w:rFonts w:hint="eastAsia" w:ascii="宋体" w:hAnsi="宋体"/>
          <w:color w:val="000000"/>
          <w:szCs w:val="21"/>
        </w:rPr>
        <w:t xml:space="preserve">    1、乙方提供货物运至合同规定的最终目的地所需要的包装，并确保货物完好不受损坏。包装箱的尺寸及重量应考虑货物最终目的地的装卸设施的情况。</w:t>
      </w:r>
    </w:p>
    <w:p>
      <w:pPr>
        <w:spacing w:line="400" w:lineRule="exact"/>
        <w:rPr>
          <w:rFonts w:hint="eastAsia" w:ascii="宋体" w:hAnsi="宋体"/>
          <w:b/>
          <w:color w:val="000000"/>
          <w:szCs w:val="21"/>
        </w:rPr>
      </w:pPr>
      <w:bookmarkStart w:id="76" w:name="_Toc215887383"/>
      <w:bookmarkStart w:id="77" w:name="_Toc253043119"/>
      <w:bookmarkStart w:id="78" w:name="_Toc81103168"/>
      <w:r>
        <w:rPr>
          <w:rFonts w:hint="eastAsia" w:ascii="宋体" w:hAnsi="宋体"/>
          <w:b/>
          <w:color w:val="000000"/>
          <w:szCs w:val="21"/>
        </w:rPr>
        <w:t>第十二条   运输</w:t>
      </w:r>
      <w:bookmarkEnd w:id="76"/>
      <w:bookmarkEnd w:id="77"/>
      <w:r>
        <w:rPr>
          <w:rFonts w:hint="eastAsia" w:ascii="宋体" w:hAnsi="宋体"/>
          <w:b/>
          <w:color w:val="000000"/>
          <w:szCs w:val="21"/>
        </w:rPr>
        <w:t>及装卸保险</w:t>
      </w:r>
    </w:p>
    <w:p>
      <w:pPr>
        <w:spacing w:line="400" w:lineRule="exact"/>
        <w:rPr>
          <w:rFonts w:hint="eastAsia" w:ascii="宋体" w:hAnsi="宋体"/>
          <w:color w:val="000000"/>
          <w:szCs w:val="21"/>
        </w:rPr>
      </w:pPr>
      <w:r>
        <w:rPr>
          <w:rFonts w:hint="eastAsia" w:ascii="宋体" w:hAnsi="宋体"/>
          <w:color w:val="000000"/>
          <w:szCs w:val="21"/>
        </w:rPr>
        <w:t xml:space="preserve">    1、乙方应选择有资质和良好信誉的保险公司对本合同项下的货物制作、运输、装卸、存放及交货过程进行投保，并用人民币提供保险金。</w:t>
      </w:r>
    </w:p>
    <w:p>
      <w:pPr>
        <w:spacing w:line="400" w:lineRule="exact"/>
        <w:ind w:firstLine="435"/>
        <w:rPr>
          <w:rFonts w:hint="eastAsia" w:ascii="宋体" w:hAnsi="宋体"/>
          <w:color w:val="000000"/>
          <w:szCs w:val="21"/>
        </w:rPr>
      </w:pPr>
      <w:r>
        <w:rPr>
          <w:rFonts w:hint="eastAsia" w:ascii="宋体" w:hAnsi="宋体"/>
          <w:color w:val="000000"/>
          <w:szCs w:val="21"/>
        </w:rPr>
        <w:t>2、乙方保证在确认货物因装卸、运输中发生损坏或短缺后，尽快给予调换、修复和补齐缺件，不管其造成的原因如何，也不以办理索赔为由而拖延。</w:t>
      </w:r>
      <w:bookmarkEnd w:id="78"/>
    </w:p>
    <w:p>
      <w:pPr>
        <w:spacing w:line="400" w:lineRule="exact"/>
        <w:rPr>
          <w:rFonts w:hint="eastAsia" w:ascii="宋体" w:hAnsi="宋体"/>
          <w:b/>
          <w:color w:val="000000"/>
          <w:szCs w:val="21"/>
        </w:rPr>
      </w:pPr>
      <w:r>
        <w:rPr>
          <w:rFonts w:hint="eastAsia" w:ascii="宋体" w:hAnsi="宋体"/>
          <w:b/>
          <w:color w:val="000000"/>
          <w:szCs w:val="21"/>
        </w:rPr>
        <w:t>第十三条   安装</w:t>
      </w:r>
    </w:p>
    <w:p>
      <w:pPr>
        <w:spacing w:line="400" w:lineRule="exact"/>
        <w:ind w:firstLine="420"/>
        <w:rPr>
          <w:rFonts w:hint="eastAsia" w:ascii="宋体" w:hAnsi="宋体"/>
          <w:color w:val="000000"/>
          <w:szCs w:val="21"/>
        </w:rPr>
      </w:pPr>
      <w:r>
        <w:rPr>
          <w:rFonts w:hint="eastAsia" w:ascii="宋体" w:hAnsi="宋体"/>
          <w:color w:val="000000"/>
          <w:szCs w:val="21"/>
        </w:rPr>
        <w:t>1、合同所订的货物到达甲方指定地点后，乙方应派技术人员进行安装，安装期间所产生的费用由乙方自行承担。</w:t>
      </w:r>
    </w:p>
    <w:p>
      <w:pPr>
        <w:spacing w:line="400" w:lineRule="exact"/>
        <w:ind w:firstLine="420"/>
        <w:rPr>
          <w:rFonts w:hint="eastAsia" w:ascii="宋体" w:hAnsi="宋体"/>
          <w:color w:val="000000"/>
          <w:szCs w:val="21"/>
        </w:rPr>
      </w:pPr>
      <w:r>
        <w:rPr>
          <w:rFonts w:hint="eastAsia" w:ascii="宋体" w:hAnsi="宋体"/>
          <w:color w:val="000000"/>
          <w:szCs w:val="21"/>
        </w:rPr>
        <w:t>2、乙方人员应在合同规定的安装期内完成该项工作。如因乙方责任而造成的延期，所有因安装延期而产生的费用由乙方负担。</w:t>
      </w:r>
    </w:p>
    <w:p>
      <w:pPr>
        <w:spacing w:line="400" w:lineRule="exact"/>
        <w:ind w:firstLine="420"/>
        <w:rPr>
          <w:rFonts w:hint="eastAsia" w:ascii="宋体" w:hAnsi="宋体"/>
          <w:color w:val="000000"/>
          <w:szCs w:val="21"/>
        </w:rPr>
      </w:pPr>
      <w:r>
        <w:rPr>
          <w:rFonts w:hint="eastAsia" w:ascii="宋体" w:hAnsi="宋体"/>
          <w:color w:val="000000"/>
          <w:szCs w:val="21"/>
        </w:rPr>
        <w:t>3、货物到达现场后，在验收交接前，乙方负责保管（甲方提供必要的协助），并对保管期间损坏、丢失等现象负责。</w:t>
      </w:r>
    </w:p>
    <w:p>
      <w:pPr>
        <w:spacing w:line="400" w:lineRule="exact"/>
        <w:ind w:firstLine="420"/>
        <w:rPr>
          <w:rFonts w:hint="eastAsia" w:ascii="宋体" w:hAnsi="宋体"/>
          <w:color w:val="000000"/>
          <w:szCs w:val="21"/>
        </w:rPr>
      </w:pPr>
      <w:r>
        <w:rPr>
          <w:rFonts w:hint="eastAsia" w:ascii="宋体" w:hAnsi="宋体"/>
          <w:color w:val="000000"/>
          <w:szCs w:val="21"/>
        </w:rPr>
        <w:t>4、乙方人员在安装过程中对房间墙地面及门窗等相关设施所造成的撞坏予以补偿或修复，若不及时进行修复的，甲方有权视损坏程度按2000-5000元/处向乙方收取补偿费用；若实际损坏发生的损失金额大于上述金额，则按实际发生的损失金额进行补偿。补偿金均从合同款中扣除。</w:t>
      </w:r>
    </w:p>
    <w:p>
      <w:pPr>
        <w:spacing w:line="400" w:lineRule="exact"/>
        <w:ind w:firstLine="420"/>
        <w:rPr>
          <w:rFonts w:hint="eastAsia" w:ascii="宋体" w:hAnsi="宋体"/>
          <w:color w:val="000000"/>
          <w:szCs w:val="21"/>
        </w:rPr>
      </w:pPr>
      <w:r>
        <w:rPr>
          <w:rFonts w:hint="eastAsia" w:ascii="宋体" w:hAnsi="宋体"/>
          <w:color w:val="000000"/>
          <w:szCs w:val="21"/>
        </w:rPr>
        <w:t>5、乙方负责安装完成以后的现场清理工作，产生的费用由乙方负担；若乙方不予清理，则甲方代为清理，产生的相关费用由乙方负担，甲方从乙方的合同款中直接扣除。</w:t>
      </w:r>
    </w:p>
    <w:p>
      <w:pPr>
        <w:spacing w:line="400" w:lineRule="exact"/>
        <w:rPr>
          <w:rFonts w:hint="eastAsia" w:ascii="宋体" w:hAnsi="宋体"/>
          <w:b/>
          <w:color w:val="000000"/>
          <w:szCs w:val="21"/>
        </w:rPr>
      </w:pPr>
      <w:r>
        <w:rPr>
          <w:rFonts w:hint="eastAsia" w:ascii="宋体" w:hAnsi="宋体"/>
          <w:b/>
          <w:color w:val="000000"/>
          <w:szCs w:val="21"/>
        </w:rPr>
        <w:t>第十四条   验收及交付</w:t>
      </w:r>
    </w:p>
    <w:p>
      <w:pPr>
        <w:spacing w:line="400" w:lineRule="exact"/>
        <w:ind w:firstLine="420" w:firstLineChars="200"/>
        <w:rPr>
          <w:rFonts w:hint="eastAsia" w:ascii="宋体" w:hAnsi="宋体"/>
          <w:color w:val="000000"/>
          <w:szCs w:val="21"/>
        </w:rPr>
      </w:pPr>
      <w:r>
        <w:rPr>
          <w:rFonts w:hint="eastAsia" w:ascii="宋体" w:hAnsi="宋体"/>
          <w:color w:val="000000"/>
          <w:szCs w:val="21"/>
        </w:rPr>
        <w:t>1、货物到达现场并安装完成后，乙方应及时提供供货清单、合格证、材质报告、验收报告（包括产品的外观、数量、型号规格、技术性能等）等资料，报请甲方验收。甲乙双方按共同确认的内容对货物的质量、规格和数量等进行检查。如检验不合格则乙方应无条件退货，并由乙方承担由此产生的一切费用。如果不合格情况严重，甲方有权解除合同，并向乙方索赔因此造成的其他诸如工期、返工等损失。</w:t>
      </w:r>
    </w:p>
    <w:p>
      <w:pPr>
        <w:spacing w:line="400" w:lineRule="exact"/>
        <w:ind w:firstLine="420" w:firstLineChars="200"/>
        <w:rPr>
          <w:rFonts w:hint="eastAsia" w:ascii="宋体" w:hAnsi="宋体"/>
          <w:color w:val="000000"/>
          <w:szCs w:val="21"/>
        </w:rPr>
      </w:pPr>
      <w:r>
        <w:rPr>
          <w:rFonts w:hint="eastAsia" w:ascii="宋体" w:hAnsi="宋体"/>
          <w:color w:val="000000"/>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pPr>
        <w:spacing w:line="400" w:lineRule="exact"/>
        <w:ind w:firstLine="420" w:firstLineChars="200"/>
        <w:rPr>
          <w:rFonts w:hint="eastAsia" w:ascii="宋体" w:hAnsi="宋体"/>
          <w:color w:val="000000"/>
          <w:szCs w:val="21"/>
        </w:rPr>
      </w:pPr>
      <w:r>
        <w:rPr>
          <w:rFonts w:hint="eastAsia" w:ascii="宋体" w:hAnsi="宋体"/>
          <w:color w:val="000000"/>
          <w:szCs w:val="21"/>
        </w:rPr>
        <w:t>3、如乙方未指派有关人员在收货地点清点，关于产品的数量及不合格品数量的确定以甲方的验货记录为准进行结算，如甲方收到的数量少于乙方送货单中标明的数量时，乙方承担缺少货物的相应费用及运输费用责任。</w:t>
      </w:r>
    </w:p>
    <w:p>
      <w:pPr>
        <w:spacing w:line="400" w:lineRule="exact"/>
        <w:ind w:firstLine="420"/>
        <w:rPr>
          <w:rFonts w:hint="eastAsia" w:ascii="宋体" w:hAnsi="宋体"/>
          <w:color w:val="000000"/>
          <w:szCs w:val="21"/>
        </w:rPr>
      </w:pPr>
      <w:r>
        <w:rPr>
          <w:rFonts w:hint="eastAsia" w:ascii="宋体" w:hAnsi="宋体"/>
          <w:color w:val="000000"/>
          <w:szCs w:val="21"/>
        </w:rPr>
        <w:t>4、在验收过程中，如发现货物的质量或规格与本合同规定不符，或证明货物有缺陷，包括潜在的缺陷或使用不合适的原材料等，甲方可申请质量技术监督局检验，并有权根据质检证书及质量保证条款向乙方提出索赔。</w:t>
      </w:r>
    </w:p>
    <w:p>
      <w:pPr>
        <w:spacing w:line="400" w:lineRule="exact"/>
        <w:ind w:firstLine="420"/>
        <w:rPr>
          <w:rFonts w:hint="eastAsia" w:ascii="宋体" w:hAnsi="宋体"/>
          <w:color w:val="000000"/>
          <w:szCs w:val="21"/>
        </w:rPr>
      </w:pPr>
      <w:r>
        <w:rPr>
          <w:rFonts w:hint="eastAsia" w:ascii="宋体" w:hAnsi="宋体"/>
          <w:color w:val="000000"/>
          <w:szCs w:val="21"/>
        </w:rPr>
        <w:t>5、若在使用过程中发现品质缺陷，则立即通知乙方，乙方接甲方通知后48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pPr>
        <w:spacing w:line="400" w:lineRule="exact"/>
        <w:ind w:firstLine="420"/>
        <w:rPr>
          <w:rFonts w:hint="eastAsia" w:ascii="宋体" w:hAnsi="宋体"/>
          <w:color w:val="000000"/>
          <w:szCs w:val="21"/>
        </w:rPr>
      </w:pPr>
      <w:r>
        <w:rPr>
          <w:rFonts w:hint="eastAsia" w:ascii="宋体" w:hAnsi="宋体"/>
          <w:color w:val="000000"/>
          <w:szCs w:val="21"/>
        </w:rPr>
        <w:t>6、乙方须向甲方提供下列文件资料及服务：</w:t>
      </w:r>
    </w:p>
    <w:p>
      <w:pPr>
        <w:spacing w:line="400" w:lineRule="exact"/>
        <w:ind w:firstLine="420"/>
        <w:rPr>
          <w:rFonts w:hint="eastAsia" w:ascii="宋体" w:hAnsi="宋体"/>
          <w:color w:val="000000"/>
          <w:szCs w:val="21"/>
        </w:rPr>
      </w:pPr>
      <w:r>
        <w:rPr>
          <w:rFonts w:hint="eastAsia" w:ascii="宋体" w:hAnsi="宋体"/>
          <w:color w:val="000000"/>
          <w:szCs w:val="21"/>
        </w:rPr>
        <w:t>（1）货物清单、货物技术性能和参数、货物说明书、合格证、图纸；</w:t>
      </w:r>
    </w:p>
    <w:p>
      <w:pPr>
        <w:spacing w:line="400" w:lineRule="exact"/>
        <w:ind w:firstLine="420"/>
        <w:rPr>
          <w:rFonts w:hint="eastAsia" w:ascii="宋体" w:hAnsi="宋体"/>
          <w:color w:val="000000"/>
          <w:szCs w:val="21"/>
        </w:rPr>
      </w:pPr>
      <w:r>
        <w:rPr>
          <w:rFonts w:hint="eastAsia" w:ascii="宋体" w:hAnsi="宋体"/>
          <w:color w:val="000000"/>
          <w:szCs w:val="21"/>
        </w:rPr>
        <w:t>（2）货物安装、保修、质量保证等服务；</w:t>
      </w:r>
    </w:p>
    <w:p>
      <w:pPr>
        <w:spacing w:line="400" w:lineRule="exact"/>
        <w:ind w:firstLine="420"/>
        <w:rPr>
          <w:rFonts w:hint="eastAsia" w:ascii="宋体" w:hAnsi="宋体"/>
          <w:color w:val="000000"/>
          <w:szCs w:val="21"/>
        </w:rPr>
      </w:pPr>
      <w:r>
        <w:rPr>
          <w:rFonts w:hint="eastAsia" w:ascii="宋体" w:hAnsi="宋体"/>
          <w:color w:val="000000"/>
          <w:szCs w:val="21"/>
        </w:rPr>
        <w:t>（3）货物详细的使用和维护手册和维修专用工具和零星配件；</w:t>
      </w:r>
    </w:p>
    <w:p>
      <w:pPr>
        <w:spacing w:line="400" w:lineRule="exact"/>
        <w:ind w:firstLine="420"/>
        <w:rPr>
          <w:rFonts w:hint="eastAsia" w:ascii="宋体" w:hAnsi="宋体"/>
          <w:color w:val="000000"/>
          <w:szCs w:val="21"/>
        </w:rPr>
      </w:pPr>
      <w:r>
        <w:rPr>
          <w:rFonts w:hint="eastAsia" w:ascii="宋体" w:hAnsi="宋体"/>
          <w:color w:val="000000"/>
          <w:szCs w:val="21"/>
        </w:rPr>
        <w:t>（4）在甲方项目所在地，就货物的使用、维护等培训甲方的人员，确保甲方人员掌握货物的使用、维护相关内容。</w:t>
      </w:r>
    </w:p>
    <w:p>
      <w:pPr>
        <w:spacing w:line="400" w:lineRule="exact"/>
        <w:ind w:firstLine="405"/>
        <w:rPr>
          <w:rFonts w:hint="eastAsia" w:ascii="宋体" w:hAnsi="宋体"/>
          <w:color w:val="000000"/>
          <w:szCs w:val="21"/>
        </w:rPr>
      </w:pPr>
      <w:r>
        <w:rPr>
          <w:rFonts w:hint="eastAsia" w:ascii="宋体" w:hAnsi="宋体"/>
          <w:color w:val="000000"/>
          <w:szCs w:val="21"/>
        </w:rPr>
        <w:t>7、因乙方提供的产品无法满足甲方的要求，甲方有权另行采购，并按正常市场价格将该部分自行采购费用在合同价款中扣除。</w:t>
      </w:r>
    </w:p>
    <w:p>
      <w:pPr>
        <w:spacing w:line="400" w:lineRule="exact"/>
        <w:ind w:firstLine="405"/>
        <w:rPr>
          <w:rFonts w:hint="eastAsia" w:ascii="宋体" w:hAnsi="宋体"/>
          <w:color w:val="000000"/>
          <w:szCs w:val="21"/>
        </w:rPr>
      </w:pPr>
      <w:r>
        <w:rPr>
          <w:rFonts w:hint="eastAsia" w:ascii="宋体" w:hAnsi="宋体"/>
          <w:color w:val="000000"/>
          <w:szCs w:val="21"/>
        </w:rPr>
        <w:t>8、合同实施过程中甲方需对材料规格进行调整，乙方应配合。</w:t>
      </w:r>
    </w:p>
    <w:p>
      <w:pPr>
        <w:spacing w:line="400" w:lineRule="exact"/>
        <w:rPr>
          <w:rFonts w:hint="eastAsia" w:ascii="宋体" w:hAnsi="宋体"/>
          <w:b/>
          <w:color w:val="000000"/>
          <w:szCs w:val="21"/>
        </w:rPr>
      </w:pPr>
      <w:r>
        <w:rPr>
          <w:rFonts w:hint="eastAsia" w:ascii="宋体" w:hAnsi="宋体"/>
          <w:b/>
          <w:color w:val="000000"/>
          <w:szCs w:val="21"/>
        </w:rPr>
        <w:t>第十五条   安全</w:t>
      </w:r>
    </w:p>
    <w:p>
      <w:pPr>
        <w:spacing w:line="400" w:lineRule="exact"/>
        <w:ind w:firstLine="420"/>
        <w:rPr>
          <w:rFonts w:hint="eastAsia" w:ascii="宋体" w:hAnsi="宋体"/>
          <w:color w:val="000000"/>
          <w:szCs w:val="21"/>
        </w:rPr>
      </w:pPr>
      <w:r>
        <w:rPr>
          <w:rFonts w:hint="eastAsia" w:ascii="宋体" w:hAnsi="宋体"/>
          <w:color w:val="000000"/>
          <w:szCs w:val="21"/>
        </w:rPr>
        <w:t>乙方必须无条件满足甲方的安全生产管理要求，如乙方原因引起的任何安全事故，与甲方无涉。</w:t>
      </w:r>
    </w:p>
    <w:p>
      <w:pPr>
        <w:spacing w:line="400" w:lineRule="exact"/>
        <w:rPr>
          <w:rFonts w:hint="eastAsia" w:ascii="宋体" w:hAnsi="宋体"/>
          <w:b/>
          <w:color w:val="000000"/>
          <w:szCs w:val="21"/>
        </w:rPr>
      </w:pPr>
      <w:r>
        <w:rPr>
          <w:rFonts w:hint="eastAsia" w:ascii="宋体" w:hAnsi="宋体"/>
          <w:b/>
          <w:color w:val="000000"/>
          <w:szCs w:val="21"/>
        </w:rPr>
        <w:t>第十六条   不可抗力</w:t>
      </w:r>
    </w:p>
    <w:p>
      <w:pPr>
        <w:spacing w:line="400" w:lineRule="exact"/>
        <w:ind w:firstLine="420"/>
        <w:rPr>
          <w:rFonts w:hint="eastAsia" w:ascii="宋体" w:hAnsi="宋体"/>
          <w:color w:val="000000"/>
          <w:szCs w:val="21"/>
        </w:rPr>
      </w:pPr>
      <w:r>
        <w:rPr>
          <w:rFonts w:hint="eastAsia" w:ascii="宋体" w:hAnsi="宋体"/>
          <w:color w:val="000000"/>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pPr>
        <w:spacing w:line="400" w:lineRule="exact"/>
        <w:ind w:firstLine="420"/>
        <w:rPr>
          <w:rFonts w:hint="eastAsia" w:ascii="宋体" w:hAnsi="宋体"/>
          <w:color w:val="000000"/>
          <w:szCs w:val="21"/>
        </w:rPr>
      </w:pPr>
      <w:r>
        <w:rPr>
          <w:rFonts w:hint="eastAsia" w:ascii="宋体" w:hAnsi="宋体"/>
          <w:color w:val="000000"/>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pPr>
        <w:spacing w:line="400" w:lineRule="exact"/>
        <w:rPr>
          <w:rFonts w:hint="eastAsia" w:ascii="宋体" w:hAnsi="宋体"/>
          <w:b/>
          <w:color w:val="000000"/>
          <w:szCs w:val="21"/>
        </w:rPr>
      </w:pPr>
      <w:r>
        <w:rPr>
          <w:rFonts w:hint="eastAsia" w:ascii="宋体" w:hAnsi="宋体"/>
          <w:b/>
          <w:color w:val="000000"/>
          <w:szCs w:val="21"/>
        </w:rPr>
        <w:t>第十七条   违约责任及索赔</w:t>
      </w:r>
    </w:p>
    <w:p>
      <w:pPr>
        <w:spacing w:line="400" w:lineRule="exact"/>
        <w:ind w:firstLine="420" w:firstLineChars="200"/>
        <w:rPr>
          <w:rFonts w:hint="eastAsia" w:ascii="宋体" w:hAnsi="宋体"/>
          <w:color w:val="000000"/>
          <w:szCs w:val="21"/>
        </w:rPr>
      </w:pPr>
      <w:r>
        <w:rPr>
          <w:rFonts w:hint="eastAsia" w:ascii="宋体" w:hAnsi="宋体"/>
          <w:color w:val="000000"/>
          <w:szCs w:val="21"/>
        </w:rPr>
        <w:t>1、延期交货与误期赔偿：</w:t>
      </w:r>
    </w:p>
    <w:p>
      <w:pPr>
        <w:spacing w:line="400" w:lineRule="exact"/>
        <w:ind w:firstLine="420" w:firstLineChars="200"/>
        <w:rPr>
          <w:rFonts w:hint="eastAsia" w:ascii="宋体" w:hAnsi="宋体"/>
          <w:color w:val="000000"/>
          <w:szCs w:val="21"/>
        </w:rPr>
      </w:pPr>
      <w:r>
        <w:rPr>
          <w:rFonts w:hint="eastAsia" w:ascii="宋体" w:hAnsi="宋体"/>
          <w:color w:val="000000"/>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pPr>
        <w:spacing w:line="400" w:lineRule="exact"/>
        <w:ind w:firstLine="420" w:firstLineChars="200"/>
        <w:rPr>
          <w:rFonts w:hint="eastAsia" w:ascii="宋体" w:hAnsi="宋体"/>
          <w:color w:val="000000"/>
          <w:szCs w:val="21"/>
        </w:rPr>
      </w:pPr>
      <w:r>
        <w:rPr>
          <w:rFonts w:hint="eastAsia" w:ascii="宋体" w:hAnsi="宋体"/>
          <w:color w:val="000000"/>
          <w:szCs w:val="21"/>
        </w:rPr>
        <w:t>2、索赔：</w:t>
      </w:r>
    </w:p>
    <w:p>
      <w:pPr>
        <w:spacing w:line="400" w:lineRule="exact"/>
        <w:ind w:firstLine="420" w:firstLineChars="200"/>
        <w:rPr>
          <w:rFonts w:hint="eastAsia" w:ascii="宋体" w:hAnsi="宋体"/>
          <w:color w:val="000000"/>
          <w:szCs w:val="21"/>
        </w:rPr>
      </w:pPr>
      <w:r>
        <w:rPr>
          <w:rFonts w:hint="eastAsia" w:ascii="宋体" w:hAnsi="宋体"/>
          <w:color w:val="000000"/>
          <w:szCs w:val="21"/>
        </w:rPr>
        <w:t>（1）乙方对所供货物与合同要求不符负有责任，如果甲方已于规定的检验、验收测试期限内和质量保证期内提出索赔，乙方应按甲方同意的下述一种或多种方法解决索赔事宜。</w:t>
      </w:r>
    </w:p>
    <w:p>
      <w:pPr>
        <w:spacing w:line="400" w:lineRule="exact"/>
        <w:ind w:firstLine="560"/>
        <w:rPr>
          <w:rFonts w:hint="eastAsia" w:ascii="宋体" w:hAnsi="宋体"/>
          <w:color w:val="000000"/>
          <w:szCs w:val="21"/>
        </w:rPr>
      </w:pPr>
      <w:r>
        <w:rPr>
          <w:rFonts w:hint="eastAsia" w:ascii="宋体" w:hAnsi="宋体"/>
          <w:color w:val="000000"/>
          <w:szCs w:val="21"/>
        </w:rPr>
        <w:t>A.乙方同意甲方拒收货物并由乙方承担由此发生的一切损失和费用；</w:t>
      </w:r>
    </w:p>
    <w:p>
      <w:pPr>
        <w:spacing w:line="400" w:lineRule="exact"/>
        <w:ind w:firstLine="560"/>
        <w:rPr>
          <w:rFonts w:hint="eastAsia" w:ascii="宋体" w:hAnsi="宋体"/>
          <w:color w:val="000000"/>
          <w:szCs w:val="21"/>
        </w:rPr>
      </w:pPr>
      <w:r>
        <w:rPr>
          <w:rFonts w:hint="eastAsia" w:ascii="宋体" w:hAnsi="宋体"/>
          <w:color w:val="000000"/>
          <w:szCs w:val="21"/>
        </w:rPr>
        <w:t>B.根据货物的疵劣和受损程度以及甲方遭受损失的金额，经双方协商降低货物价格；</w:t>
      </w:r>
    </w:p>
    <w:p>
      <w:pPr>
        <w:spacing w:line="400" w:lineRule="exact"/>
        <w:ind w:firstLine="560"/>
        <w:rPr>
          <w:rFonts w:hint="eastAsia" w:ascii="宋体" w:hAnsi="宋体"/>
          <w:color w:val="000000"/>
          <w:szCs w:val="21"/>
        </w:rPr>
      </w:pPr>
      <w:r>
        <w:rPr>
          <w:rFonts w:hint="eastAsia" w:ascii="宋体" w:hAnsi="宋体"/>
          <w:color w:val="000000"/>
          <w:szCs w:val="21"/>
        </w:rPr>
        <w:t>C.更换不合格的货物，以达到合同规定的规格、数量、质量和性能要求，乙方承担一切费用和风险并负担甲方遭受的一切直接费用。</w:t>
      </w:r>
    </w:p>
    <w:p>
      <w:pPr>
        <w:spacing w:line="400" w:lineRule="exact"/>
        <w:ind w:firstLine="420"/>
        <w:rPr>
          <w:rFonts w:hint="eastAsia" w:ascii="宋体" w:hAnsi="宋体"/>
          <w:color w:val="000000"/>
          <w:szCs w:val="21"/>
        </w:rPr>
      </w:pPr>
      <w:r>
        <w:rPr>
          <w:rFonts w:hint="eastAsia" w:ascii="宋体" w:hAnsi="宋体"/>
          <w:color w:val="000000"/>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pPr>
        <w:spacing w:line="400" w:lineRule="exact"/>
        <w:ind w:firstLine="420"/>
        <w:rPr>
          <w:rFonts w:hint="eastAsia" w:ascii="宋体" w:hAnsi="宋体"/>
          <w:color w:val="000000"/>
          <w:szCs w:val="21"/>
        </w:rPr>
      </w:pPr>
      <w:r>
        <w:rPr>
          <w:rFonts w:hint="eastAsia" w:ascii="宋体" w:hAnsi="宋体"/>
          <w:color w:val="000000"/>
          <w:szCs w:val="21"/>
        </w:rPr>
        <w:t>3、乙方提供的货物在验货时不合格或不符合甲方的规格要求，乙方首先应无条件更换，直至符合甲方要求，如乙方在规定时间内不能或无法提供符合要求的产品，甲方有权终止合同，并由乙方承担后续供应商增加的费用。如造成甲方损失，则应赔偿甲方损失，该损失从应付款中扣除。</w:t>
      </w:r>
    </w:p>
    <w:p>
      <w:pPr>
        <w:spacing w:line="400" w:lineRule="exact"/>
        <w:ind w:firstLine="420"/>
        <w:rPr>
          <w:rFonts w:hint="eastAsia" w:ascii="宋体" w:hAnsi="宋体"/>
          <w:color w:val="000000"/>
          <w:szCs w:val="21"/>
        </w:rPr>
      </w:pPr>
      <w:r>
        <w:rPr>
          <w:rFonts w:hint="eastAsia" w:ascii="宋体" w:hAnsi="宋体"/>
          <w:color w:val="000000"/>
          <w:szCs w:val="21"/>
        </w:rPr>
        <w:t>4、整体货物安装完毕后，不符合验收要求，乙方应无条件返工安装，直至符合甲方验收要求，由此引起的工期延误，按1000元/日处罚，不满1日按1日计算。</w:t>
      </w:r>
    </w:p>
    <w:p>
      <w:pPr>
        <w:spacing w:line="400" w:lineRule="exact"/>
        <w:rPr>
          <w:rFonts w:hint="eastAsia" w:ascii="宋体" w:hAnsi="宋体"/>
          <w:b/>
          <w:color w:val="000000"/>
          <w:szCs w:val="21"/>
        </w:rPr>
      </w:pPr>
      <w:r>
        <w:rPr>
          <w:rFonts w:hint="eastAsia" w:ascii="宋体" w:hAnsi="宋体"/>
          <w:b/>
          <w:color w:val="000000"/>
          <w:szCs w:val="21"/>
        </w:rPr>
        <w:t xml:space="preserve">第十八条   </w:t>
      </w:r>
      <w:r>
        <w:rPr>
          <w:rFonts w:hint="eastAsia" w:ascii="宋体" w:hAnsi="宋体" w:cs="仿宋_GB2312"/>
          <w:b/>
          <w:bCs/>
          <w:color w:val="000000"/>
          <w:kern w:val="0"/>
          <w:szCs w:val="21"/>
        </w:rPr>
        <w:t>争议的解决</w:t>
      </w:r>
    </w:p>
    <w:p>
      <w:pPr>
        <w:spacing w:line="400" w:lineRule="exact"/>
        <w:ind w:firstLine="420" w:firstLineChars="200"/>
        <w:rPr>
          <w:rFonts w:hint="eastAsia" w:ascii="宋体" w:hAnsi="宋体"/>
          <w:color w:val="000000"/>
          <w:szCs w:val="21"/>
        </w:rPr>
      </w:pPr>
      <w:r>
        <w:rPr>
          <w:rFonts w:hint="eastAsia" w:ascii="宋体" w:hAnsi="宋体" w:cs="仿宋_GB2312"/>
          <w:color w:val="000000"/>
          <w:kern w:val="0"/>
          <w:szCs w:val="21"/>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pPr>
        <w:widowControl/>
        <w:overflowPunct w:val="0"/>
        <w:autoSpaceDE w:val="0"/>
        <w:autoSpaceDN w:val="0"/>
        <w:adjustRightInd w:val="0"/>
        <w:snapToGrid w:val="0"/>
        <w:spacing w:line="400" w:lineRule="exact"/>
        <w:jc w:val="left"/>
        <w:textAlignment w:val="baseline"/>
        <w:rPr>
          <w:rFonts w:hint="eastAsia" w:ascii="宋体" w:hAnsi="宋体" w:cs="仿宋_GB2312"/>
          <w:b/>
          <w:bCs/>
          <w:color w:val="000000"/>
          <w:kern w:val="0"/>
          <w:szCs w:val="21"/>
        </w:rPr>
      </w:pPr>
      <w:r>
        <w:rPr>
          <w:rFonts w:hint="eastAsia" w:ascii="宋体" w:hAnsi="宋体" w:cs="仿宋_GB2312"/>
          <w:b/>
          <w:bCs/>
          <w:color w:val="000000"/>
          <w:kern w:val="0"/>
          <w:szCs w:val="21"/>
        </w:rPr>
        <w:t>第十九条   合同的生效</w:t>
      </w:r>
    </w:p>
    <w:p>
      <w:pPr>
        <w:widowControl/>
        <w:overflowPunct w:val="0"/>
        <w:autoSpaceDE w:val="0"/>
        <w:autoSpaceDN w:val="0"/>
        <w:adjustRightInd w:val="0"/>
        <w:snapToGrid w:val="0"/>
        <w:spacing w:line="400" w:lineRule="exact"/>
        <w:ind w:left="-171" w:firstLine="420" w:firstLineChars="200"/>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本合同在乙方支付履约保证金且甲方、乙方双方法定代表人或其委托人签字并加盖双方公章后生效。</w:t>
      </w:r>
    </w:p>
    <w:p>
      <w:pPr>
        <w:widowControl/>
        <w:overflowPunct w:val="0"/>
        <w:autoSpaceDE w:val="0"/>
        <w:autoSpaceDN w:val="0"/>
        <w:adjustRightInd w:val="0"/>
        <w:snapToGrid w:val="0"/>
        <w:spacing w:line="400" w:lineRule="exact"/>
        <w:ind w:left="-171" w:firstLine="420" w:firstLineChars="200"/>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本合同一式三份，甲乙双方各执一份，一份送宁波市杭州湾新区交管办备案。</w:t>
      </w:r>
    </w:p>
    <w:p>
      <w:pPr>
        <w:widowControl/>
        <w:overflowPunct w:val="0"/>
        <w:autoSpaceDE w:val="0"/>
        <w:autoSpaceDN w:val="0"/>
        <w:adjustRightInd w:val="0"/>
        <w:snapToGrid w:val="0"/>
        <w:spacing w:line="400" w:lineRule="exact"/>
        <w:ind w:left="-171" w:firstLine="420" w:firstLineChars="200"/>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与本合同有关的招标文件、投标文件同本合同具有同等法律效果。</w:t>
      </w:r>
    </w:p>
    <w:p>
      <w:pPr>
        <w:widowControl/>
        <w:overflowPunct w:val="0"/>
        <w:autoSpaceDE w:val="0"/>
        <w:autoSpaceDN w:val="0"/>
        <w:adjustRightInd w:val="0"/>
        <w:snapToGrid w:val="0"/>
        <w:spacing w:line="400" w:lineRule="exact"/>
        <w:ind w:left="-171" w:firstLine="453" w:firstLineChars="215"/>
        <w:jc w:val="left"/>
        <w:textAlignment w:val="baseline"/>
        <w:rPr>
          <w:rFonts w:ascii="宋体" w:hAnsi="宋体" w:cs="仿宋_GB2312"/>
          <w:b/>
          <w:bCs/>
          <w:color w:val="000000"/>
          <w:kern w:val="0"/>
          <w:szCs w:val="21"/>
        </w:rPr>
      </w:pPr>
    </w:p>
    <w:p>
      <w:pPr>
        <w:widowControl/>
        <w:overflowPunct w:val="0"/>
        <w:autoSpaceDE w:val="0"/>
        <w:autoSpaceDN w:val="0"/>
        <w:adjustRightInd w:val="0"/>
        <w:snapToGrid w:val="0"/>
        <w:spacing w:line="400" w:lineRule="exact"/>
        <w:ind w:left="-171" w:firstLine="453" w:firstLineChars="215"/>
        <w:jc w:val="left"/>
        <w:textAlignment w:val="baseline"/>
        <w:rPr>
          <w:rFonts w:ascii="宋体" w:hAnsi="宋体" w:cs="仿宋_GB2312"/>
          <w:b/>
          <w:bCs/>
          <w:color w:val="000000"/>
          <w:kern w:val="0"/>
          <w:szCs w:val="21"/>
        </w:rPr>
      </w:pPr>
    </w:p>
    <w:p>
      <w:pPr>
        <w:widowControl/>
        <w:overflowPunct w:val="0"/>
        <w:autoSpaceDE w:val="0"/>
        <w:autoSpaceDN w:val="0"/>
        <w:adjustRightInd w:val="0"/>
        <w:snapToGrid w:val="0"/>
        <w:spacing w:line="400" w:lineRule="exact"/>
        <w:ind w:left="-171" w:firstLine="453" w:firstLineChars="215"/>
        <w:jc w:val="left"/>
        <w:textAlignment w:val="baseline"/>
        <w:rPr>
          <w:rFonts w:ascii="宋体" w:hAnsi="宋体" w:cs="仿宋_GB2312"/>
          <w:b/>
          <w:bCs/>
          <w:color w:val="000000"/>
          <w:kern w:val="0"/>
          <w:szCs w:val="21"/>
        </w:rPr>
      </w:pPr>
    </w:p>
    <w:p>
      <w:pPr>
        <w:widowControl/>
        <w:overflowPunct w:val="0"/>
        <w:autoSpaceDE w:val="0"/>
        <w:autoSpaceDN w:val="0"/>
        <w:adjustRightInd w:val="0"/>
        <w:snapToGrid w:val="0"/>
        <w:spacing w:line="400" w:lineRule="exact"/>
        <w:ind w:left="-171" w:firstLine="453" w:firstLineChars="215"/>
        <w:jc w:val="left"/>
        <w:textAlignment w:val="baseline"/>
        <w:rPr>
          <w:rFonts w:hint="eastAsia" w:ascii="宋体" w:hAnsi="宋体" w:cs="仿宋_GB2312"/>
          <w:b/>
          <w:bCs/>
          <w:color w:val="000000"/>
          <w:kern w:val="0"/>
          <w:szCs w:val="21"/>
        </w:rPr>
      </w:pPr>
      <w:r>
        <w:rPr>
          <w:rFonts w:hint="eastAsia" w:ascii="宋体" w:hAnsi="宋体" w:cs="仿宋_GB2312"/>
          <w:b/>
          <w:bCs/>
          <w:color w:val="000000"/>
          <w:kern w:val="0"/>
          <w:szCs w:val="21"/>
        </w:rPr>
        <w:t xml:space="preserve">甲方（公章）：                    </w:t>
      </w:r>
      <w:r>
        <w:rPr>
          <w:rFonts w:ascii="宋体" w:hAnsi="宋体" w:cs="仿宋_GB2312"/>
          <w:b/>
          <w:bCs/>
          <w:color w:val="000000"/>
          <w:kern w:val="0"/>
          <w:szCs w:val="21"/>
        </w:rPr>
        <w:t xml:space="preserve">           </w:t>
      </w:r>
      <w:r>
        <w:rPr>
          <w:rFonts w:hint="eastAsia" w:ascii="宋体" w:hAnsi="宋体" w:cs="仿宋_GB2312"/>
          <w:b/>
          <w:bCs/>
          <w:color w:val="000000"/>
          <w:kern w:val="0"/>
          <w:szCs w:val="21"/>
        </w:rPr>
        <w:t xml:space="preserve">   乙方（公章）：</w:t>
      </w:r>
    </w:p>
    <w:p>
      <w:pPr>
        <w:widowControl/>
        <w:overflowPunct w:val="0"/>
        <w:autoSpaceDE w:val="0"/>
        <w:autoSpaceDN w:val="0"/>
        <w:adjustRightInd w:val="0"/>
        <w:snapToGrid w:val="0"/>
        <w:spacing w:line="400" w:lineRule="exact"/>
        <w:ind w:left="-171" w:firstLine="451" w:firstLineChars="215"/>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 xml:space="preserve">法定代表人或受委托人（签字）        </w:t>
      </w:r>
      <w:r>
        <w:rPr>
          <w:rFonts w:ascii="宋体" w:hAnsi="宋体" w:cs="仿宋_GB2312"/>
          <w:color w:val="000000"/>
          <w:kern w:val="0"/>
          <w:szCs w:val="21"/>
        </w:rPr>
        <w:t xml:space="preserve">           </w:t>
      </w:r>
      <w:r>
        <w:rPr>
          <w:rFonts w:hint="eastAsia" w:ascii="宋体" w:hAnsi="宋体" w:cs="仿宋_GB2312"/>
          <w:color w:val="000000"/>
          <w:kern w:val="0"/>
          <w:szCs w:val="21"/>
        </w:rPr>
        <w:t xml:space="preserve"> 法定代表人或受委托人（签字）</w:t>
      </w:r>
    </w:p>
    <w:p>
      <w:pPr>
        <w:widowControl/>
        <w:overflowPunct w:val="0"/>
        <w:autoSpaceDE w:val="0"/>
        <w:autoSpaceDN w:val="0"/>
        <w:adjustRightInd w:val="0"/>
        <w:snapToGrid w:val="0"/>
        <w:spacing w:line="400" w:lineRule="exact"/>
        <w:ind w:left="-171" w:firstLine="451" w:firstLineChars="215"/>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 xml:space="preserve">地址：                              </w:t>
      </w:r>
      <w:r>
        <w:rPr>
          <w:rFonts w:ascii="宋体" w:hAnsi="宋体" w:cs="仿宋_GB2312"/>
          <w:color w:val="000000"/>
          <w:kern w:val="0"/>
          <w:szCs w:val="21"/>
        </w:rPr>
        <w:t xml:space="preserve">           </w:t>
      </w:r>
      <w:r>
        <w:rPr>
          <w:rFonts w:hint="eastAsia" w:ascii="宋体" w:hAnsi="宋体" w:cs="仿宋_GB2312"/>
          <w:color w:val="000000"/>
          <w:kern w:val="0"/>
          <w:szCs w:val="21"/>
        </w:rPr>
        <w:t xml:space="preserve"> 地址：</w:t>
      </w:r>
    </w:p>
    <w:p>
      <w:pPr>
        <w:widowControl/>
        <w:overflowPunct w:val="0"/>
        <w:autoSpaceDE w:val="0"/>
        <w:autoSpaceDN w:val="0"/>
        <w:adjustRightInd w:val="0"/>
        <w:snapToGrid w:val="0"/>
        <w:spacing w:line="400" w:lineRule="exact"/>
        <w:ind w:left="-171" w:firstLine="451" w:firstLineChars="215"/>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 xml:space="preserve">邮编：                               </w:t>
      </w:r>
      <w:r>
        <w:rPr>
          <w:rFonts w:ascii="宋体" w:hAnsi="宋体" w:cs="仿宋_GB2312"/>
          <w:color w:val="000000"/>
          <w:kern w:val="0"/>
          <w:szCs w:val="21"/>
        </w:rPr>
        <w:t xml:space="preserve">           </w:t>
      </w:r>
      <w:r>
        <w:rPr>
          <w:rFonts w:hint="eastAsia" w:ascii="宋体" w:hAnsi="宋体" w:cs="仿宋_GB2312"/>
          <w:color w:val="000000"/>
          <w:kern w:val="0"/>
          <w:szCs w:val="21"/>
        </w:rPr>
        <w:t>邮编：</w:t>
      </w:r>
    </w:p>
    <w:p>
      <w:pPr>
        <w:widowControl/>
        <w:overflowPunct w:val="0"/>
        <w:autoSpaceDE w:val="0"/>
        <w:autoSpaceDN w:val="0"/>
        <w:adjustRightInd w:val="0"/>
        <w:snapToGrid w:val="0"/>
        <w:spacing w:line="400" w:lineRule="exact"/>
        <w:ind w:left="-171" w:firstLine="451" w:firstLineChars="215"/>
        <w:jc w:val="left"/>
        <w:textAlignment w:val="baseline"/>
        <w:rPr>
          <w:rFonts w:hint="eastAsia" w:ascii="宋体" w:hAnsi="宋体" w:cs="仿宋_GB2312"/>
          <w:color w:val="000000"/>
          <w:kern w:val="0"/>
          <w:szCs w:val="21"/>
        </w:rPr>
      </w:pPr>
      <w:r>
        <w:rPr>
          <w:rFonts w:hint="eastAsia" w:ascii="宋体" w:hAnsi="宋体" w:cs="仿宋_GB2312"/>
          <w:color w:val="000000"/>
          <w:kern w:val="0"/>
          <w:szCs w:val="21"/>
        </w:rPr>
        <w:t xml:space="preserve">电话：                               </w:t>
      </w:r>
      <w:r>
        <w:rPr>
          <w:rFonts w:ascii="宋体" w:hAnsi="宋体" w:cs="仿宋_GB2312"/>
          <w:color w:val="000000"/>
          <w:kern w:val="0"/>
          <w:szCs w:val="21"/>
        </w:rPr>
        <w:t xml:space="preserve">           </w:t>
      </w:r>
      <w:r>
        <w:rPr>
          <w:rFonts w:hint="eastAsia" w:ascii="宋体" w:hAnsi="宋体" w:cs="仿宋_GB2312"/>
          <w:color w:val="000000"/>
          <w:kern w:val="0"/>
          <w:szCs w:val="21"/>
        </w:rPr>
        <w:t>电话：</w:t>
      </w:r>
    </w:p>
    <w:p>
      <w:pPr>
        <w:widowControl/>
        <w:overflowPunct w:val="0"/>
        <w:autoSpaceDE w:val="0"/>
        <w:autoSpaceDN w:val="0"/>
        <w:adjustRightInd w:val="0"/>
        <w:snapToGrid w:val="0"/>
        <w:spacing w:line="400" w:lineRule="exact"/>
        <w:ind w:left="-171" w:firstLine="451" w:firstLineChars="215"/>
        <w:jc w:val="left"/>
        <w:textAlignment w:val="baseline"/>
        <w:rPr>
          <w:rFonts w:hint="eastAsia" w:ascii="宋体" w:hAnsi="宋体" w:cs="仿宋_GB2312"/>
          <w:b/>
          <w:bCs/>
          <w:color w:val="000000"/>
          <w:kern w:val="0"/>
          <w:szCs w:val="21"/>
        </w:rPr>
      </w:pPr>
      <w:r>
        <w:rPr>
          <w:rFonts w:hint="eastAsia" w:ascii="宋体" w:hAnsi="宋体" w:cs="仿宋_GB2312"/>
          <w:color w:val="000000"/>
          <w:kern w:val="0"/>
          <w:szCs w:val="21"/>
        </w:rPr>
        <w:t>签约时间：    年    月    日</w:t>
      </w:r>
    </w:p>
    <w:p>
      <w:pPr>
        <w:widowControl/>
        <w:overflowPunct w:val="0"/>
        <w:autoSpaceDE w:val="0"/>
        <w:autoSpaceDN w:val="0"/>
        <w:adjustRightInd w:val="0"/>
        <w:snapToGrid w:val="0"/>
        <w:spacing w:line="400" w:lineRule="exact"/>
        <w:ind w:left="-178" w:leftChars="-85" w:firstLine="451" w:firstLineChars="215"/>
        <w:jc w:val="left"/>
        <w:textAlignment w:val="baseline"/>
        <w:rPr>
          <w:rFonts w:ascii="宋体" w:hAnsi="宋体" w:cs="仿宋_GB2312"/>
          <w:color w:val="000000"/>
          <w:kern w:val="0"/>
          <w:szCs w:val="21"/>
        </w:rPr>
      </w:pPr>
      <w:r>
        <w:rPr>
          <w:rFonts w:hint="eastAsia" w:ascii="宋体" w:hAnsi="宋体" w:cs="仿宋_GB2312"/>
          <w:color w:val="000000"/>
          <w:kern w:val="0"/>
          <w:szCs w:val="21"/>
        </w:rPr>
        <w:t>签约地点：</w:t>
      </w:r>
    </w:p>
    <w:p>
      <w:pPr>
        <w:pStyle w:val="2"/>
        <w:rPr>
          <w:rFonts w:hint="eastAsia"/>
          <w:color w:val="000000"/>
        </w:rPr>
      </w:pPr>
    </w:p>
    <w:p>
      <w:pPr>
        <w:spacing w:line="400" w:lineRule="exact"/>
        <w:jc w:val="center"/>
        <w:outlineLvl w:val="0"/>
        <w:rPr>
          <w:rFonts w:ascii="宋体" w:hAnsi="宋体"/>
          <w:b/>
          <w:color w:val="000000"/>
          <w:sz w:val="32"/>
        </w:rPr>
        <w:sectPr>
          <w:headerReference r:id="rId11" w:type="default"/>
          <w:pgSz w:w="11907" w:h="16840"/>
          <w:pgMar w:top="851" w:right="851" w:bottom="851" w:left="992" w:header="284" w:footer="420" w:gutter="0"/>
          <w:cols w:space="720" w:num="1"/>
          <w:docGrid w:linePitch="286" w:charSpace="0"/>
        </w:sectPr>
      </w:pPr>
      <w:bookmarkStart w:id="79" w:name="_Toc529355818"/>
      <w:bookmarkStart w:id="80" w:name="_Toc216662965"/>
    </w:p>
    <w:p>
      <w:pPr>
        <w:spacing w:line="400" w:lineRule="exact"/>
        <w:jc w:val="center"/>
        <w:outlineLvl w:val="0"/>
        <w:rPr>
          <w:rFonts w:hint="eastAsia" w:ascii="宋体" w:hAnsi="宋体"/>
          <w:b/>
          <w:color w:val="000000"/>
          <w:sz w:val="32"/>
        </w:rPr>
      </w:pPr>
      <w:r>
        <w:rPr>
          <w:rFonts w:hint="eastAsia" w:ascii="宋体" w:hAnsi="宋体"/>
          <w:b/>
          <w:color w:val="000000"/>
          <w:sz w:val="32"/>
        </w:rPr>
        <w:t>第五章  招标内容与技术需求</w:t>
      </w:r>
      <w:bookmarkEnd w:id="79"/>
    </w:p>
    <w:p>
      <w:pPr>
        <w:spacing w:line="400" w:lineRule="exact"/>
        <w:ind w:firstLine="422" w:firstLineChars="200"/>
        <w:rPr>
          <w:rFonts w:hint="eastAsia" w:ascii="宋体" w:hAnsi="宋体" w:cs="宋体"/>
          <w:b/>
          <w:bCs/>
          <w:color w:val="000000"/>
        </w:rPr>
      </w:pPr>
      <w:bookmarkStart w:id="81" w:name="_Hlk45542330"/>
      <w:bookmarkStart w:id="82" w:name="_Toc529355819"/>
      <w:r>
        <w:rPr>
          <w:rFonts w:hint="eastAsia" w:ascii="宋体" w:hAnsi="宋体" w:cs="宋体"/>
          <w:b/>
          <w:bCs/>
          <w:color w:val="000000"/>
        </w:rPr>
        <w:t>一、项目概况</w:t>
      </w:r>
    </w:p>
    <w:p>
      <w:pPr>
        <w:spacing w:line="400" w:lineRule="exact"/>
        <w:ind w:firstLine="422" w:firstLineChars="200"/>
        <w:rPr>
          <w:rFonts w:hint="eastAsia" w:ascii="宋体" w:hAnsi="宋体" w:cs="宋体"/>
          <w:b/>
          <w:bCs/>
          <w:color w:val="000000"/>
        </w:rPr>
      </w:pPr>
      <w:r>
        <w:rPr>
          <w:rFonts w:hint="eastAsia" w:ascii="宋体" w:hAnsi="宋体" w:cs="宋体"/>
          <w:b/>
          <w:bCs/>
          <w:color w:val="000000"/>
        </w:rPr>
        <w:t>1.1建设背景</w:t>
      </w:r>
    </w:p>
    <w:p>
      <w:pPr>
        <w:spacing w:line="400" w:lineRule="exact"/>
        <w:ind w:firstLine="420" w:firstLineChars="200"/>
        <w:rPr>
          <w:rFonts w:hint="eastAsia" w:ascii="宋体" w:hAnsi="宋体" w:cs="宋体"/>
          <w:color w:val="000000"/>
        </w:rPr>
      </w:pPr>
      <w:r>
        <w:rPr>
          <w:rFonts w:hint="eastAsia" w:ascii="宋体" w:hAnsi="宋体" w:cs="宋体"/>
          <w:color w:val="000000"/>
        </w:rPr>
        <w:t>中小学、幼儿园安全工作是促进学生健康成长、全面发展的基本保障，是关系广大师生人身安全的大事；学校安全风险防控工作是社会发展的重要指标和社会治安综合治理的重要内容。</w:t>
      </w:r>
    </w:p>
    <w:p>
      <w:pPr>
        <w:spacing w:line="400" w:lineRule="exact"/>
        <w:ind w:firstLine="420" w:firstLineChars="200"/>
        <w:rPr>
          <w:rFonts w:hint="eastAsia" w:ascii="宋体" w:hAnsi="宋体" w:cs="宋体"/>
          <w:color w:val="000000"/>
        </w:rPr>
      </w:pPr>
      <w:r>
        <w:rPr>
          <w:rFonts w:hint="eastAsia" w:ascii="宋体" w:hAnsi="宋体" w:cs="宋体"/>
          <w:color w:val="000000"/>
        </w:rPr>
        <w:t>习近平同志在党的十九大报告中指出:“树立安全发展理念，弘扬生命至上、安全第一的思想，健全公共安全体系”。</w:t>
      </w:r>
    </w:p>
    <w:p>
      <w:pPr>
        <w:spacing w:line="400" w:lineRule="exact"/>
        <w:ind w:firstLine="420" w:firstLineChars="200"/>
        <w:rPr>
          <w:rFonts w:hint="eastAsia" w:ascii="宋体" w:hAnsi="宋体" w:cs="宋体"/>
          <w:color w:val="000000"/>
        </w:rPr>
      </w:pPr>
      <w:r>
        <w:rPr>
          <w:rFonts w:hint="eastAsia" w:ascii="宋体" w:hAnsi="宋体" w:cs="宋体"/>
          <w:color w:val="000000"/>
        </w:rPr>
        <w:t>国务院办公厅2017年发布了《国务院办公厅关于加强中小学幼儿园安全风险防控体系建设的意见（国办发〔2017〕35号）》</w:t>
      </w:r>
    </w:p>
    <w:p>
      <w:pPr>
        <w:spacing w:line="400" w:lineRule="exact"/>
        <w:ind w:firstLine="420" w:firstLineChars="200"/>
        <w:rPr>
          <w:rFonts w:hint="eastAsia" w:ascii="宋体" w:hAnsi="宋体" w:cs="宋体"/>
          <w:color w:val="000000"/>
        </w:rPr>
      </w:pPr>
      <w:r>
        <w:rPr>
          <w:rFonts w:hint="eastAsia" w:ascii="宋体" w:hAnsi="宋体" w:cs="宋体"/>
          <w:color w:val="000000"/>
        </w:rPr>
        <w:t>浙江省人民政府办公厅在2018年11月23日下发的《浙江省人民政府办公厅关于加强中小学幼儿园安全风险防控体系建设的实施意见》（浙政办发〔2018〕110号 ）指出：“探索实施校园智慧安防建设。把“智慧安防”作为智慧校园的重要组成部分，构建现代化的校园安全技术防范管理体系。 推进信息技术在校园日常安全检查和隐患排查整治工作中的应用，实现安全隐患发现、整治、验收的全流程、可溯源闭环管理。利用大数据对学校的安全事故进行分析研判，找出规律，及时预警，最大限度避免或减少师生伤亡。”</w:t>
      </w:r>
    </w:p>
    <w:p>
      <w:pPr>
        <w:spacing w:line="400" w:lineRule="exact"/>
        <w:ind w:firstLine="420" w:firstLineChars="200"/>
        <w:rPr>
          <w:rFonts w:hint="eastAsia" w:ascii="宋体" w:hAnsi="宋体" w:cs="宋体"/>
          <w:color w:val="000000"/>
        </w:rPr>
      </w:pPr>
      <w:r>
        <w:rPr>
          <w:rFonts w:hint="eastAsia" w:ascii="宋体" w:hAnsi="宋体" w:cs="宋体"/>
          <w:color w:val="000000"/>
        </w:rPr>
        <w:t>同时，根据宁波市教育局、宁波市政法委、宁波市公安局“关于加强全市校园智能安全防控建设工作的通知”（甬教安体〔2019〕242号）要求严格通知文件的建设目标，加快推进升级改造智能化信息系统、统一购置技防物防设施、设备，全面加强学校安全风险防控体系建设，结合“雪亮工程”建设（根据“十三五”规划，到2020年，我国将基本实现“全域覆盖、全网共享、全时可用、全程可控”的公共安全视频监控建设联网应用），将校园内重点部位或人员通行频繁区域的视频监控系统、紧急报警装置接入公安机关、教育部门平台，并与公共安全视频监控共享平台联网对接，建立校园安全网上巡查机制，及时掌握、快速处理学校相关安全问题。</w:t>
      </w:r>
    </w:p>
    <w:p>
      <w:pPr>
        <w:spacing w:line="400" w:lineRule="exact"/>
        <w:ind w:firstLine="420" w:firstLineChars="200"/>
        <w:rPr>
          <w:rFonts w:hint="eastAsia" w:ascii="宋体" w:hAnsi="宋体" w:cs="宋体"/>
          <w:color w:val="000000"/>
        </w:rPr>
      </w:pPr>
      <w:r>
        <w:rPr>
          <w:rFonts w:hint="eastAsia" w:ascii="宋体" w:hAnsi="宋体" w:cs="宋体"/>
          <w:color w:val="000000"/>
        </w:rPr>
        <w:t>我区校园安全风险防控的总体状况不容乐观，各中小学校，幼儿园基本上都处在一个以人防和物防为主的状况中，技防仍然处在起步阶段。许多学校在人防和物防方面不断增加投入，如增加学校保安人员，由师生组织护校队，加高围墙，在学生宿舍的窗户上安装钢筋护栏等。但是，各系统都是相对独立的，资源不能共享，功能不能互补，系统的重复建设但都不能达到最佳的效果。因此整合人防、物联、技防结合的防控体系，才能更好地增强安全系数，也能减少投入，从而把安全事故控制在最低限度内。</w:t>
      </w:r>
    </w:p>
    <w:p>
      <w:pPr>
        <w:spacing w:line="400" w:lineRule="exact"/>
        <w:ind w:firstLine="422" w:firstLineChars="200"/>
        <w:rPr>
          <w:rFonts w:hint="eastAsia" w:ascii="宋体" w:hAnsi="宋体" w:cs="宋体"/>
          <w:b/>
          <w:bCs/>
          <w:color w:val="000000"/>
        </w:rPr>
      </w:pPr>
      <w:r>
        <w:rPr>
          <w:rFonts w:hint="eastAsia" w:ascii="宋体" w:hAnsi="宋体" w:cs="宋体"/>
          <w:b/>
          <w:bCs/>
          <w:color w:val="000000"/>
        </w:rPr>
        <w:t>1.2建设目的</w:t>
      </w:r>
    </w:p>
    <w:p>
      <w:pPr>
        <w:spacing w:line="400" w:lineRule="exact"/>
        <w:ind w:firstLine="420" w:firstLineChars="200"/>
        <w:rPr>
          <w:rFonts w:hint="eastAsia" w:ascii="宋体" w:hAnsi="宋体" w:cs="宋体"/>
          <w:color w:val="000000"/>
        </w:rPr>
      </w:pPr>
      <w:r>
        <w:rPr>
          <w:rFonts w:hint="eastAsia" w:ascii="宋体" w:hAnsi="宋体" w:cs="宋体"/>
          <w:color w:val="000000"/>
        </w:rPr>
        <w:t>根据《关于加强中小学幼儿园安全风险防控体系建设的意见》和《关于加强全市校园智能安全防控体系建设工作的通知》要求，遵循《GB/T36342-2018智慧校园总体框架》的指导，扎实做好杭州湾学校安防升级改造和平安校园平台建设项目的建设工作。通过本项目的建设，将有效的对校园环境进行监控，减少安全隐患，根据预警信息采用适当措施把事态控制在萌芽状态，保障校园安全。各学校配备访客登记系统，将访客数据上传至公安机关及教科网，根据比对结果，实行访客管理；将学校的重点区域监控资源上传到智慧教育平台上，实现资源统一管理、统一开放，为公安机关等其它相关部门预留相应的接口；配置校园大门车辆通行控制系统，能抓拍、识别车牌，看清驾驶室人员，联动车辆进出管理。人行通道安装安检设施，对外来人员进入校园实施安全检查，对本校园人员实施智能识别通行，地处交通繁忙路段的校园，在主要出入口安装升降桩或布设隔离石墩、拒马等防冲撞设施。通过本项目建设，形成杭州湾新区校园防控云平台，并与杭州湾新区综治平台联网，能够及时掌握每个重点区域的人员活动情况，充分保障学校安全正常秩序，快速、准确处理学校各类突发事件。</w:t>
      </w:r>
    </w:p>
    <w:p>
      <w:pPr>
        <w:spacing w:line="400" w:lineRule="exact"/>
        <w:ind w:firstLine="422" w:firstLineChars="200"/>
        <w:rPr>
          <w:rFonts w:hint="eastAsia" w:ascii="宋体" w:hAnsi="宋体" w:cs="宋体"/>
          <w:b/>
          <w:bCs/>
          <w:color w:val="000000"/>
        </w:rPr>
      </w:pPr>
      <w:r>
        <w:rPr>
          <w:rFonts w:hint="eastAsia" w:ascii="宋体" w:hAnsi="宋体" w:cs="宋体"/>
          <w:b/>
          <w:bCs/>
          <w:color w:val="000000"/>
        </w:rPr>
        <w:t>1.3建设内容：</w:t>
      </w:r>
    </w:p>
    <w:p>
      <w:pPr>
        <w:spacing w:line="400" w:lineRule="exact"/>
        <w:ind w:firstLine="420" w:firstLineChars="200"/>
        <w:rPr>
          <w:rFonts w:hint="eastAsia" w:ascii="宋体" w:hAnsi="宋体" w:cs="宋体"/>
          <w:color w:val="000000"/>
        </w:rPr>
      </w:pPr>
      <w:r>
        <w:rPr>
          <w:rFonts w:hint="eastAsia" w:ascii="宋体" w:hAnsi="宋体" w:cs="宋体"/>
          <w:color w:val="000000"/>
        </w:rPr>
        <w:t>本项目建设内容主要包括学校安防监控改造和平安校园平台建设两部分内容。</w:t>
      </w:r>
    </w:p>
    <w:p>
      <w:pPr>
        <w:spacing w:line="400" w:lineRule="exact"/>
        <w:ind w:firstLine="420" w:firstLineChars="200"/>
        <w:rPr>
          <w:rFonts w:hint="eastAsia" w:ascii="宋体" w:hAnsi="宋体" w:cs="宋体"/>
          <w:color w:val="000000"/>
        </w:rPr>
      </w:pPr>
      <w:r>
        <w:rPr>
          <w:rFonts w:hint="eastAsia" w:ascii="宋体" w:hAnsi="宋体" w:cs="宋体"/>
          <w:color w:val="000000"/>
        </w:rPr>
        <w:t>（一）在全区36所中小学、幼儿园及教学点的**联络室配置具有证件扫描、人脸识别、访单打印、短信提示、回单注销及登记显示等功能的智能触摸访客机，并接入杭州湾新区公安分局专网平台，实现实时录入、实时比对、实时报警等功能。</w:t>
      </w:r>
    </w:p>
    <w:p>
      <w:pPr>
        <w:spacing w:line="400" w:lineRule="exact"/>
        <w:ind w:firstLine="420" w:firstLineChars="200"/>
        <w:rPr>
          <w:rFonts w:hint="eastAsia" w:ascii="宋体" w:hAnsi="宋体" w:cs="宋体"/>
          <w:color w:val="000000"/>
        </w:rPr>
      </w:pPr>
      <w:r>
        <w:rPr>
          <w:rFonts w:hint="eastAsia" w:ascii="宋体" w:hAnsi="宋体" w:cs="宋体"/>
          <w:color w:val="000000"/>
        </w:rPr>
        <w:t>（二）建设校园出入口智能抓拍报警系统，在校园正门口外侧及外两侧100米左右路段，各安装1台具有智能抓拍功能的全局摄像机，有效摄录识别校园出入口附近相关情况，并接入杭州湾新区公安分局专网平台和教育专网平台，实现对可疑人员实时监控，实时报警等功能。</w:t>
      </w:r>
    </w:p>
    <w:p>
      <w:pPr>
        <w:spacing w:line="400" w:lineRule="exact"/>
        <w:ind w:firstLine="420" w:firstLineChars="200"/>
        <w:rPr>
          <w:rFonts w:hint="eastAsia" w:ascii="宋体" w:hAnsi="宋体" w:cs="宋体"/>
          <w:color w:val="000000"/>
        </w:rPr>
      </w:pPr>
      <w:r>
        <w:rPr>
          <w:rFonts w:hint="eastAsia" w:ascii="宋体" w:hAnsi="宋体" w:cs="宋体"/>
          <w:color w:val="000000"/>
        </w:rPr>
        <w:t>（三）实施校园内重点部位（大门、监控室、配电房、水泵房、食堂出入口、主副食仓库、水电气热等部位）的视频监控接入公安专网平台和教育专网平台，建立校园安全网上巡查机制，及时掌握、快速处理学校安全问题。</w:t>
      </w:r>
    </w:p>
    <w:p>
      <w:pPr>
        <w:spacing w:line="400" w:lineRule="exact"/>
        <w:ind w:firstLine="420" w:firstLineChars="200"/>
        <w:rPr>
          <w:rFonts w:hint="eastAsia" w:ascii="宋体" w:hAnsi="宋体" w:cs="宋体"/>
          <w:color w:val="000000"/>
        </w:rPr>
      </w:pPr>
      <w:r>
        <w:rPr>
          <w:rFonts w:hint="eastAsia" w:ascii="宋体" w:hAnsi="宋体" w:cs="宋体"/>
          <w:color w:val="000000"/>
        </w:rPr>
        <w:t>（四）在校园主要出入口安装具有车牌识别（抬杆）的车辆出入口系统，对车辆出入实施智能控制，对地处交通繁忙路段的校园，在主要出入口安装拒马以防冲撞。</w:t>
      </w:r>
    </w:p>
    <w:p>
      <w:pPr>
        <w:spacing w:line="400" w:lineRule="exact"/>
        <w:ind w:firstLine="420" w:firstLineChars="200"/>
        <w:rPr>
          <w:rFonts w:ascii="宋体" w:hAnsi="宋体" w:cs="宋体"/>
          <w:color w:val="000000"/>
        </w:rPr>
      </w:pPr>
      <w:r>
        <w:rPr>
          <w:rFonts w:hint="eastAsia" w:ascii="宋体" w:hAnsi="宋体" w:cs="宋体"/>
          <w:color w:val="000000"/>
        </w:rPr>
        <w:t>（五）平安校园平台建设包括：安全基础管理系统、安全业务管理系统（含Web端）、安全业务管理系统（移动端）、安全信息分析系统、接口对接、校园防控大数据建设（含服务）等内容。</w:t>
      </w:r>
    </w:p>
    <w:p>
      <w:pPr>
        <w:spacing w:line="400" w:lineRule="exact"/>
        <w:ind w:firstLine="420" w:firstLineChars="200"/>
        <w:rPr>
          <w:rFonts w:hint="eastAsia" w:ascii="宋体" w:hAnsi="宋体" w:cs="宋体"/>
          <w:color w:val="000000"/>
        </w:rPr>
      </w:pPr>
      <w:r>
        <w:rPr>
          <w:rFonts w:hint="eastAsia" w:ascii="宋体" w:hAnsi="宋体" w:cs="宋体"/>
          <w:color w:val="000000"/>
        </w:rPr>
        <w:t>（六）平安校园平台与公安专网平台采用专用网络打通，实施重点数据业务传送功能。</w:t>
      </w:r>
    </w:p>
    <w:p>
      <w:pPr>
        <w:spacing w:line="400" w:lineRule="exact"/>
        <w:ind w:firstLine="420" w:firstLineChars="200"/>
        <w:rPr>
          <w:rFonts w:hint="eastAsia" w:ascii="宋体" w:hAnsi="宋体" w:cs="宋体"/>
          <w:color w:val="000000"/>
        </w:rPr>
      </w:pPr>
      <w:r>
        <w:rPr>
          <w:rFonts w:hint="eastAsia" w:ascii="宋体" w:hAnsi="宋体" w:cs="宋体"/>
          <w:color w:val="000000"/>
        </w:rPr>
        <w:t>（七）完成学校**联络室与原有监控机房网络建设，并确保本次建设内容可以通过专网传送到平台服务器。</w:t>
      </w:r>
    </w:p>
    <w:p>
      <w:pPr>
        <w:spacing w:line="400" w:lineRule="exact"/>
        <w:rPr>
          <w:rFonts w:ascii="宋体" w:hAnsi="宋体"/>
          <w:b/>
          <w:bCs/>
          <w:color w:val="000000"/>
          <w:kern w:val="0"/>
        </w:rPr>
      </w:pPr>
      <w:r>
        <w:rPr>
          <w:rFonts w:hint="eastAsia" w:ascii="宋体" w:hAnsi="宋体"/>
          <w:b/>
          <w:bCs/>
          <w:color w:val="000000"/>
          <w:kern w:val="0"/>
        </w:rPr>
        <w:t>二、采购清单</w:t>
      </w:r>
    </w:p>
    <w:p>
      <w:pPr>
        <w:spacing w:line="380" w:lineRule="exact"/>
        <w:jc w:val="left"/>
        <w:rPr>
          <w:rFonts w:ascii="宋体" w:hAnsi="宋体"/>
          <w:b/>
          <w:bCs/>
          <w:color w:val="000000"/>
          <w:kern w:val="0"/>
        </w:rPr>
      </w:pPr>
      <w:r>
        <w:rPr>
          <w:rFonts w:hint="eastAsia" w:ascii="宋体" w:hAnsi="宋体"/>
          <w:b/>
          <w:bCs/>
          <w:color w:val="000000"/>
          <w:kern w:val="0"/>
        </w:rPr>
        <w:t xml:space="preserve">2.1学校智慧安防建设清单                                                </w:t>
      </w:r>
      <w:r>
        <w:rPr>
          <w:rFonts w:ascii="宋体" w:hAnsi="宋体"/>
          <w:b/>
          <w:bCs/>
          <w:color w:val="000000"/>
          <w:kern w:val="0"/>
        </w:rPr>
        <w:t xml:space="preserve">       </w:t>
      </w:r>
      <w:r>
        <w:rPr>
          <w:rFonts w:hint="eastAsia" w:ascii="宋体" w:hAnsi="宋体"/>
          <w:b/>
          <w:bCs/>
          <w:color w:val="000000"/>
          <w:kern w:val="0"/>
        </w:rPr>
        <w:t xml:space="preserve">    单位：套</w:t>
      </w:r>
    </w:p>
    <w:tbl>
      <w:tblPr>
        <w:tblStyle w:val="44"/>
        <w:tblW w:w="9785" w:type="dxa"/>
        <w:jc w:val="center"/>
        <w:tblLayout w:type="fixed"/>
        <w:tblCellMar>
          <w:top w:w="0" w:type="dxa"/>
          <w:left w:w="108" w:type="dxa"/>
          <w:bottom w:w="0" w:type="dxa"/>
          <w:right w:w="108" w:type="dxa"/>
        </w:tblCellMar>
      </w:tblPr>
      <w:tblGrid>
        <w:gridCol w:w="883"/>
        <w:gridCol w:w="657"/>
        <w:gridCol w:w="3669"/>
        <w:gridCol w:w="1058"/>
        <w:gridCol w:w="683"/>
        <w:gridCol w:w="708"/>
        <w:gridCol w:w="709"/>
        <w:gridCol w:w="709"/>
        <w:gridCol w:w="709"/>
      </w:tblGrid>
      <w:tr>
        <w:tblPrEx>
          <w:tblCellMar>
            <w:top w:w="0" w:type="dxa"/>
            <w:left w:w="108" w:type="dxa"/>
            <w:bottom w:w="0" w:type="dxa"/>
            <w:right w:w="108" w:type="dxa"/>
          </w:tblCellMar>
        </w:tblPrEx>
        <w:trPr>
          <w:trHeight w:val="720" w:hRule="atLeast"/>
          <w:tblHeader/>
          <w:jc w:val="center"/>
        </w:trPr>
        <w:tc>
          <w:tcPr>
            <w:tcW w:w="8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类别</w:t>
            </w:r>
          </w:p>
        </w:tc>
        <w:tc>
          <w:tcPr>
            <w:tcW w:w="65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66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校名</w:t>
            </w:r>
          </w:p>
        </w:tc>
        <w:tc>
          <w:tcPr>
            <w:tcW w:w="105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人证访客、人脸识别抓拍系统</w:t>
            </w:r>
          </w:p>
        </w:tc>
        <w:tc>
          <w:tcPr>
            <w:tcW w:w="683"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车辆出入系统</w:t>
            </w:r>
          </w:p>
        </w:tc>
        <w:tc>
          <w:tcPr>
            <w:tcW w:w="708"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防冲撞系统</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隔离防护设施</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人脸识别通道系统</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光纤链路</w:t>
            </w:r>
          </w:p>
        </w:tc>
      </w:tr>
      <w:tr>
        <w:tblPrEx>
          <w:tblCellMar>
            <w:top w:w="0" w:type="dxa"/>
            <w:left w:w="108" w:type="dxa"/>
            <w:bottom w:w="0" w:type="dxa"/>
            <w:right w:w="108" w:type="dxa"/>
          </w:tblCellMar>
        </w:tblPrEx>
        <w:trPr>
          <w:trHeight w:val="276" w:hRule="atLeast"/>
          <w:jc w:val="center"/>
        </w:trPr>
        <w:tc>
          <w:tcPr>
            <w:tcW w:w="88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初高中</w:t>
            </w: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宁波科学中学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杭州湾新区初级中学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庵东初级中学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宁波杭州湾新区望海学校</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小学</w:t>
            </w: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慈溪市庵东实验学校</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慈溪市庵东镇中心小学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宁波杭州湾新区滨海小学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慈溪市庵东镇东一小学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慈溪市庵东镇东二小学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慈溪市庵东镇东三小学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慈溪市庵东镇西一小学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12</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慈溪市庵东镇西二小学</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528"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13</w:t>
            </w:r>
          </w:p>
        </w:tc>
        <w:tc>
          <w:tcPr>
            <w:tcW w:w="3669"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宁波杭州湾新区世纪城实验小学（南、北校区）</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w:t>
            </w:r>
          </w:p>
        </w:tc>
      </w:tr>
      <w:tr>
        <w:tblPrEx>
          <w:tblCellMar>
            <w:top w:w="0" w:type="dxa"/>
            <w:left w:w="108" w:type="dxa"/>
            <w:bottom w:w="0" w:type="dxa"/>
            <w:right w:w="108" w:type="dxa"/>
          </w:tblCellMar>
        </w:tblPrEx>
        <w:trPr>
          <w:trHeight w:val="276" w:hRule="atLeast"/>
          <w:jc w:val="center"/>
        </w:trPr>
        <w:tc>
          <w:tcPr>
            <w:tcW w:w="883"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幼儿园</w:t>
            </w: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14</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慈溪市庵东镇雏鹰幼儿园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慈溪市庵东镇东一幼儿园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16</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慈溪市庵东镇芳芳幼儿园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17</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慈溪市庵东镇西二幼儿园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18</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慈溪市庵东镇西三幼儿园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19</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慈溪市庵东镇西一幼儿园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20</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慈溪市庵东镇小博士幼儿园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21</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慈溪市庵东镇艺术幼儿园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22</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慈溪市庵东镇中心幼儿园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23</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杭州湾新区世纪城白鹭园幼儿园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24</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宁波杭州湾新区汇佳幼儿园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25</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宁波杭州湾新区青苗荟翠湖苑幼儿园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26</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宁波杭州湾新区青苗荟江岚苑幼儿园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27</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宁波杭州湾新区青苗荟金澜园幼儿园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28</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宁波杭州湾新区青苗荟幼儿园聚江园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29</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宁波杭州湾新区青苗荟幼儿园赏江园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宁波杭州湾新区青苗荟御海苑幼儿园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31</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宁波杭州湾新区实验幼儿园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32</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宁波杭州湾新区新丝路幼儿园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33</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阳光幼儿园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76"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34</w:t>
            </w:r>
          </w:p>
        </w:tc>
        <w:tc>
          <w:tcPr>
            <w:tcW w:w="366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圆圆实验幼儿园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88"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35</w:t>
            </w:r>
          </w:p>
        </w:tc>
        <w:tc>
          <w:tcPr>
            <w:tcW w:w="3669"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宁波杭州湾新区科瑞思曼幼儿园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88" w:hRule="atLeast"/>
          <w:jc w:val="center"/>
        </w:trPr>
        <w:tc>
          <w:tcPr>
            <w:tcW w:w="88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宋体" w:hAnsi="宋体" w:cs="宋体"/>
                <w:color w:val="000000"/>
                <w:kern w:val="0"/>
                <w:szCs w:val="21"/>
              </w:rPr>
            </w:pP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36</w:t>
            </w:r>
          </w:p>
        </w:tc>
        <w:tc>
          <w:tcPr>
            <w:tcW w:w="3669"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慈溪市庵东镇镇北幼儿园</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288" w:hRule="atLeast"/>
          <w:jc w:val="center"/>
        </w:trPr>
        <w:tc>
          <w:tcPr>
            <w:tcW w:w="88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其他</w:t>
            </w:r>
          </w:p>
        </w:tc>
        <w:tc>
          <w:tcPr>
            <w:tcW w:w="657"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7</w:t>
            </w:r>
          </w:p>
        </w:tc>
        <w:tc>
          <w:tcPr>
            <w:tcW w:w="3669"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后端系统</w:t>
            </w:r>
          </w:p>
        </w:tc>
        <w:tc>
          <w:tcPr>
            <w:tcW w:w="105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hint="eastAsia" w:ascii="宋体" w:hAnsi="宋体" w:cs="宋体"/>
                <w:color w:val="000000"/>
                <w:kern w:val="0"/>
                <w:szCs w:val="21"/>
              </w:rPr>
            </w:pPr>
          </w:p>
        </w:tc>
        <w:tc>
          <w:tcPr>
            <w:tcW w:w="683"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8"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hint="eastAsia"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400" w:lineRule="exact"/>
              <w:jc w:val="center"/>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000000" w:fill="FFFFFF"/>
            <w:noWrap w:val="0"/>
            <w:vAlign w:val="top"/>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1</w:t>
            </w:r>
          </w:p>
        </w:tc>
      </w:tr>
      <w:tr>
        <w:tblPrEx>
          <w:tblCellMar>
            <w:top w:w="0" w:type="dxa"/>
            <w:left w:w="108" w:type="dxa"/>
            <w:bottom w:w="0" w:type="dxa"/>
            <w:right w:w="108" w:type="dxa"/>
          </w:tblCellMar>
        </w:tblPrEx>
        <w:trPr>
          <w:trHeight w:val="378" w:hRule="atLeast"/>
          <w:jc w:val="center"/>
        </w:trPr>
        <w:tc>
          <w:tcPr>
            <w:tcW w:w="5209" w:type="dxa"/>
            <w:gridSpan w:val="3"/>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宋体"/>
                <w:b/>
                <w:bCs/>
                <w:color w:val="000000"/>
                <w:kern w:val="0"/>
                <w:szCs w:val="21"/>
              </w:rPr>
            </w:pPr>
            <w:r>
              <w:rPr>
                <w:rFonts w:hint="eastAsia" w:ascii="宋体" w:hAnsi="宋体" w:cs="宋体"/>
                <w:b/>
                <w:bCs/>
                <w:color w:val="000000"/>
                <w:kern w:val="0"/>
                <w:szCs w:val="21"/>
              </w:rPr>
              <w:t>合  计</w:t>
            </w:r>
          </w:p>
        </w:tc>
        <w:tc>
          <w:tcPr>
            <w:tcW w:w="105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37</w:t>
            </w:r>
          </w:p>
        </w:tc>
        <w:tc>
          <w:tcPr>
            <w:tcW w:w="683"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708"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709"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709" w:type="dxa"/>
            <w:tcBorders>
              <w:top w:val="nil"/>
              <w:left w:val="nil"/>
              <w:bottom w:val="single" w:color="auto" w:sz="4" w:space="0"/>
              <w:right w:val="single" w:color="auto" w:sz="4" w:space="0"/>
            </w:tcBorders>
            <w:noWrap/>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709" w:type="dxa"/>
            <w:tcBorders>
              <w:top w:val="nil"/>
              <w:left w:val="nil"/>
              <w:bottom w:val="single" w:color="auto" w:sz="4" w:space="0"/>
              <w:right w:val="single" w:color="auto" w:sz="4" w:space="0"/>
            </w:tcBorders>
            <w:noWrap w:val="0"/>
            <w:vAlign w:val="top"/>
          </w:tcPr>
          <w:p>
            <w:pPr>
              <w:widowControl/>
              <w:spacing w:line="400" w:lineRule="exact"/>
              <w:jc w:val="center"/>
              <w:rPr>
                <w:rFonts w:ascii="宋体" w:hAnsi="宋体" w:cs="宋体"/>
                <w:color w:val="000000"/>
                <w:kern w:val="0"/>
                <w:szCs w:val="21"/>
              </w:rPr>
            </w:pPr>
            <w:r>
              <w:rPr>
                <w:rFonts w:ascii="宋体" w:hAnsi="宋体" w:cs="宋体"/>
                <w:color w:val="000000"/>
                <w:kern w:val="0"/>
                <w:szCs w:val="21"/>
              </w:rPr>
              <w:t>38</w:t>
            </w:r>
          </w:p>
        </w:tc>
      </w:tr>
    </w:tbl>
    <w:p>
      <w:pPr>
        <w:rPr>
          <w:rFonts w:ascii="宋体" w:hAnsi="宋体"/>
          <w:b/>
          <w:bCs/>
          <w:color w:val="000000"/>
          <w:kern w:val="0"/>
        </w:rPr>
      </w:pPr>
      <w:r>
        <w:rPr>
          <w:rFonts w:hint="eastAsia" w:ascii="宋体" w:hAnsi="宋体"/>
          <w:b/>
          <w:bCs/>
          <w:color w:val="000000"/>
          <w:kern w:val="0"/>
        </w:rPr>
        <w:t>2.2后端设备及平台清单                                               单位：套</w:t>
      </w:r>
    </w:p>
    <w:tbl>
      <w:tblPr>
        <w:tblStyle w:val="44"/>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5841"/>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b/>
                <w:bCs/>
                <w:color w:val="000000"/>
                <w:kern w:val="0"/>
              </w:rPr>
            </w:pPr>
            <w:r>
              <w:rPr>
                <w:rFonts w:hint="eastAsia" w:ascii="宋体" w:hAnsi="宋体"/>
                <w:b/>
                <w:bCs/>
                <w:color w:val="000000"/>
                <w:kern w:val="0"/>
              </w:rPr>
              <w:t>序号</w:t>
            </w:r>
          </w:p>
        </w:tc>
        <w:tc>
          <w:tcPr>
            <w:tcW w:w="2986"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ascii="宋体" w:hAnsi="宋体"/>
                <w:b/>
                <w:bCs/>
                <w:color w:val="000000"/>
                <w:kern w:val="0"/>
              </w:rPr>
            </w:pPr>
            <w:r>
              <w:rPr>
                <w:rFonts w:hint="eastAsia" w:ascii="宋体" w:hAnsi="宋体"/>
                <w:b/>
                <w:bCs/>
                <w:color w:val="000000"/>
                <w:kern w:val="0"/>
              </w:rPr>
              <w:t>设备名称</w:t>
            </w:r>
          </w:p>
        </w:tc>
        <w:tc>
          <w:tcPr>
            <w:tcW w:w="127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ascii="宋体" w:hAnsi="宋体"/>
                <w:b/>
                <w:bCs/>
                <w:color w:val="000000"/>
                <w:kern w:val="0"/>
              </w:rPr>
            </w:pPr>
            <w:r>
              <w:rPr>
                <w:rFonts w:hint="eastAsia" w:ascii="宋体" w:hAnsi="宋体"/>
                <w:b/>
                <w:bCs/>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kern w:val="0"/>
              </w:rPr>
            </w:pPr>
            <w:r>
              <w:rPr>
                <w:rFonts w:hint="eastAsia" w:ascii="宋体" w:hAnsi="宋体"/>
                <w:color w:val="000000"/>
                <w:kern w:val="0"/>
              </w:rPr>
              <w:t>1</w:t>
            </w:r>
          </w:p>
        </w:tc>
        <w:tc>
          <w:tcPr>
            <w:tcW w:w="2986"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szCs w:val="22"/>
              </w:rPr>
            </w:pPr>
            <w:r>
              <w:rPr>
                <w:rFonts w:hint="eastAsia" w:ascii="宋体" w:hAnsi="宋体"/>
                <w:color w:val="000000"/>
                <w:kern w:val="0"/>
                <w:szCs w:val="22"/>
              </w:rPr>
              <w:t>智慧安防软件平台</w:t>
            </w:r>
          </w:p>
        </w:tc>
        <w:tc>
          <w:tcPr>
            <w:tcW w:w="127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rPr>
            </w:pPr>
            <w:r>
              <w:rPr>
                <w:rFonts w:hint="eastAsia" w:ascii="宋体" w:hAnsi="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kern w:val="0"/>
              </w:rPr>
            </w:pPr>
            <w:r>
              <w:rPr>
                <w:rFonts w:hint="eastAsia" w:ascii="宋体" w:hAnsi="宋体"/>
                <w:color w:val="000000"/>
                <w:kern w:val="0"/>
              </w:rPr>
              <w:t>2</w:t>
            </w:r>
          </w:p>
        </w:tc>
        <w:tc>
          <w:tcPr>
            <w:tcW w:w="2986"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szCs w:val="22"/>
              </w:rPr>
            </w:pPr>
            <w:r>
              <w:rPr>
                <w:rFonts w:hint="eastAsia" w:ascii="宋体" w:hAnsi="宋体"/>
                <w:color w:val="000000"/>
                <w:kern w:val="0"/>
                <w:szCs w:val="22"/>
              </w:rPr>
              <w:t>显示设备</w:t>
            </w:r>
          </w:p>
        </w:tc>
        <w:tc>
          <w:tcPr>
            <w:tcW w:w="127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rPr>
            </w:pPr>
            <w:r>
              <w:rPr>
                <w:rFonts w:hint="eastAsia" w:ascii="宋体" w:hAnsi="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kern w:val="0"/>
              </w:rPr>
            </w:pPr>
            <w:r>
              <w:rPr>
                <w:rFonts w:hint="eastAsia" w:ascii="宋体" w:hAnsi="宋体"/>
                <w:color w:val="000000"/>
                <w:kern w:val="0"/>
              </w:rPr>
              <w:t>3</w:t>
            </w:r>
          </w:p>
        </w:tc>
        <w:tc>
          <w:tcPr>
            <w:tcW w:w="2986"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szCs w:val="22"/>
              </w:rPr>
            </w:pPr>
            <w:r>
              <w:rPr>
                <w:rFonts w:hint="eastAsia" w:ascii="宋体" w:hAnsi="宋体"/>
                <w:color w:val="000000"/>
                <w:kern w:val="0"/>
                <w:szCs w:val="22"/>
              </w:rPr>
              <w:t>存储设备</w:t>
            </w:r>
          </w:p>
        </w:tc>
        <w:tc>
          <w:tcPr>
            <w:tcW w:w="127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rPr>
            </w:pPr>
            <w:r>
              <w:rPr>
                <w:rFonts w:hint="eastAsia" w:ascii="宋体" w:hAnsi="宋体"/>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000000"/>
                <w:kern w:val="0"/>
              </w:rPr>
            </w:pPr>
            <w:r>
              <w:rPr>
                <w:rFonts w:hint="eastAsia" w:ascii="宋体" w:hAnsi="宋体"/>
                <w:color w:val="000000"/>
                <w:kern w:val="0"/>
              </w:rPr>
              <w:t>4</w:t>
            </w:r>
          </w:p>
        </w:tc>
        <w:tc>
          <w:tcPr>
            <w:tcW w:w="2986"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szCs w:val="22"/>
              </w:rPr>
            </w:pPr>
            <w:r>
              <w:rPr>
                <w:rFonts w:hint="eastAsia" w:ascii="宋体" w:hAnsi="宋体"/>
                <w:color w:val="000000"/>
                <w:kern w:val="0"/>
                <w:szCs w:val="22"/>
              </w:rPr>
              <w:t>服务器设备</w:t>
            </w:r>
          </w:p>
        </w:tc>
        <w:tc>
          <w:tcPr>
            <w:tcW w:w="1271" w:type="pct"/>
            <w:tcBorders>
              <w:top w:val="single" w:color="auto" w:sz="4" w:space="0"/>
              <w:left w:val="nil"/>
              <w:bottom w:val="single" w:color="auto" w:sz="4" w:space="0"/>
              <w:right w:val="single" w:color="auto" w:sz="4" w:space="0"/>
            </w:tcBorders>
            <w:noWrap w:val="0"/>
            <w:vAlign w:val="center"/>
          </w:tcPr>
          <w:p>
            <w:pPr>
              <w:spacing w:line="380" w:lineRule="exact"/>
              <w:jc w:val="center"/>
              <w:rPr>
                <w:rFonts w:hint="eastAsia" w:ascii="宋体" w:hAnsi="宋体"/>
                <w:color w:val="000000"/>
                <w:kern w:val="0"/>
              </w:rPr>
            </w:pPr>
            <w:r>
              <w:rPr>
                <w:rFonts w:hint="eastAsia" w:ascii="宋体" w:hAnsi="宋体"/>
                <w:color w:val="000000"/>
                <w:kern w:val="0"/>
              </w:rPr>
              <w:t>1</w:t>
            </w:r>
          </w:p>
        </w:tc>
      </w:tr>
    </w:tbl>
    <w:p>
      <w:pPr>
        <w:pStyle w:val="2"/>
        <w:ind w:firstLine="140" w:firstLineChars="78"/>
        <w:rPr>
          <w:rFonts w:ascii="宋体" w:hAnsi="宋体"/>
          <w:b/>
          <w:bCs/>
          <w:i w:val="0"/>
          <w:color w:val="000000"/>
          <w:kern w:val="0"/>
          <w:sz w:val="21"/>
        </w:rPr>
      </w:pPr>
      <w:r>
        <w:rPr>
          <w:color w:val="000000"/>
        </w:rPr>
        <w:br w:type="page"/>
      </w:r>
      <w:r>
        <w:rPr>
          <w:rFonts w:hint="eastAsia" w:ascii="宋体" w:hAnsi="宋体"/>
          <w:b/>
          <w:bCs/>
          <w:i w:val="0"/>
          <w:color w:val="000000"/>
          <w:kern w:val="0"/>
          <w:sz w:val="21"/>
        </w:rPr>
        <w:t>2.3主要设备分类清单</w:t>
      </w:r>
    </w:p>
    <w:tbl>
      <w:tblPr>
        <w:tblStyle w:val="44"/>
        <w:tblW w:w="9727" w:type="dxa"/>
        <w:jc w:val="center"/>
        <w:tblLayout w:type="autofit"/>
        <w:tblCellMar>
          <w:top w:w="0" w:type="dxa"/>
          <w:left w:w="108" w:type="dxa"/>
          <w:bottom w:w="0" w:type="dxa"/>
          <w:right w:w="108" w:type="dxa"/>
        </w:tblCellMar>
      </w:tblPr>
      <w:tblGrid>
        <w:gridCol w:w="854"/>
        <w:gridCol w:w="2620"/>
        <w:gridCol w:w="4312"/>
        <w:gridCol w:w="1281"/>
        <w:gridCol w:w="660"/>
      </w:tblGrid>
      <w:tr>
        <w:tblPrEx>
          <w:tblCellMar>
            <w:top w:w="0" w:type="dxa"/>
            <w:left w:w="108" w:type="dxa"/>
            <w:bottom w:w="0" w:type="dxa"/>
            <w:right w:w="108" w:type="dxa"/>
          </w:tblCellMar>
        </w:tblPrEx>
        <w:trPr>
          <w:trHeight w:val="285" w:hRule="atLeast"/>
          <w:tblHeader/>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序号</w:t>
            </w:r>
          </w:p>
        </w:tc>
        <w:tc>
          <w:tcPr>
            <w:tcW w:w="262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产品类别</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设备名称</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单位</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数量</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人证比对、人脸识别系统</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全局动态摄像机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人脸抓拍机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视频一体机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6T硬盘</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人证访客一体机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访客系统推送接入模块</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24口交换机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监控杆、机箱、辅材</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9</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车辆出入口系统</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车辆道闸</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10</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出入口视频单元</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11</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出入口终端</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12</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12</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车检器</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13</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地感线圈</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48</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14</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防撞雷达</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15</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校园防冲撞柱系统</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升降柱</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65</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16</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升降柱控制盒</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17</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拒马桩</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80</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18</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出入口人脸识别通道进出系统</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人脸识别终端</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19</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左边通道闸</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20</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中间通道闸</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25</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21</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右边通道闸</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22</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人脸采集终端</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23</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后端显示设备</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LCD显示屏</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LCD屏支架</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25</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LCD屏底座</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26</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视频综合平台</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27</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输入编码板</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28</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输出编码板</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29</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控制键盘</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30</w:t>
            </w:r>
          </w:p>
        </w:tc>
        <w:tc>
          <w:tcPr>
            <w:tcW w:w="2620" w:type="dxa"/>
            <w:vMerge w:val="restart"/>
            <w:tcBorders>
              <w:top w:val="single" w:color="auto" w:sz="8" w:space="0"/>
              <w:left w:val="nil"/>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后端存储设备</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视频接入管理软件</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中心管理服务器</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数据库服务器</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w:t>
            </w:r>
          </w:p>
        </w:tc>
        <w:tc>
          <w:tcPr>
            <w:tcW w:w="2620" w:type="dxa"/>
            <w:vMerge w:val="continue"/>
            <w:tcBorders>
              <w:left w:val="nil"/>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流媒体服务器</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34</w:t>
            </w:r>
          </w:p>
        </w:tc>
        <w:tc>
          <w:tcPr>
            <w:tcW w:w="2620" w:type="dxa"/>
            <w:vMerge w:val="continue"/>
            <w:tcBorders>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交换机</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w:t>
            </w:r>
          </w:p>
        </w:tc>
        <w:tc>
          <w:tcPr>
            <w:tcW w:w="262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管理平台</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校园安防管理平台</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r>
      <w:tr>
        <w:tblPrEx>
          <w:tblCellMar>
            <w:top w:w="0" w:type="dxa"/>
            <w:left w:w="108" w:type="dxa"/>
            <w:bottom w:w="0" w:type="dxa"/>
            <w:right w:w="108" w:type="dxa"/>
          </w:tblCellMar>
        </w:tblPrEx>
        <w:trPr>
          <w:trHeight w:val="285" w:hRule="atLeast"/>
          <w:jc w:val="center"/>
        </w:trPr>
        <w:tc>
          <w:tcPr>
            <w:tcW w:w="854"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262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光纤链路</w:t>
            </w:r>
          </w:p>
        </w:tc>
        <w:tc>
          <w:tcPr>
            <w:tcW w:w="431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专网光纤链路</w:t>
            </w:r>
          </w:p>
        </w:tc>
        <w:tc>
          <w:tcPr>
            <w:tcW w:w="12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条</w:t>
            </w:r>
          </w:p>
        </w:tc>
        <w:tc>
          <w:tcPr>
            <w:tcW w:w="66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r>
    </w:tbl>
    <w:p>
      <w:pPr>
        <w:pStyle w:val="2"/>
        <w:spacing w:line="400" w:lineRule="exact"/>
        <w:ind w:firstLine="141" w:firstLineChars="67"/>
        <w:rPr>
          <w:rFonts w:ascii="宋体" w:hAnsi="宋体"/>
          <w:b/>
          <w:bCs/>
          <w:i w:val="0"/>
          <w:color w:val="000000"/>
          <w:kern w:val="0"/>
          <w:sz w:val="21"/>
          <w:szCs w:val="21"/>
        </w:rPr>
      </w:pPr>
      <w:r>
        <w:rPr>
          <w:rFonts w:hint="eastAsia" w:ascii="宋体" w:hAnsi="宋体"/>
          <w:b/>
          <w:bCs/>
          <w:i w:val="0"/>
          <w:color w:val="000000"/>
          <w:kern w:val="0"/>
          <w:sz w:val="21"/>
          <w:szCs w:val="21"/>
        </w:rPr>
        <w:t>注：清单数量根据实际配置情况有增减调整情况存在，按最终实际数量为准。</w:t>
      </w:r>
    </w:p>
    <w:p>
      <w:pPr>
        <w:pStyle w:val="2"/>
        <w:spacing w:line="400" w:lineRule="exact"/>
        <w:rPr>
          <w:rFonts w:ascii="宋体" w:hAnsi="宋体"/>
          <w:b/>
          <w:bCs/>
          <w:i w:val="0"/>
          <w:color w:val="000000"/>
          <w:kern w:val="0"/>
          <w:sz w:val="21"/>
          <w:szCs w:val="21"/>
        </w:rPr>
      </w:pPr>
      <w:r>
        <w:rPr>
          <w:rFonts w:ascii="宋体" w:hAnsi="宋体"/>
          <w:i w:val="0"/>
          <w:color w:val="000000"/>
          <w:sz w:val="21"/>
          <w:szCs w:val="21"/>
        </w:rPr>
        <w:br w:type="page"/>
      </w:r>
      <w:r>
        <w:rPr>
          <w:rFonts w:hint="eastAsia" w:ascii="宋体" w:hAnsi="宋体"/>
          <w:b/>
          <w:bCs/>
          <w:i w:val="0"/>
          <w:color w:val="000000"/>
          <w:kern w:val="0"/>
          <w:sz w:val="21"/>
          <w:szCs w:val="21"/>
        </w:rPr>
        <w:t>三、硬件参数</w:t>
      </w:r>
    </w:p>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3.1全局动态摄像机</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全景细节都采用400万像素，摄像机靶面尺寸均为1/1.8英寸；</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3.1.2</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内置GPU芯片，最低照度：全景和细节摄像机：彩色：0.0002Lx；黑白：0.0001Lx；</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设备具备全景、细节两个摄像机云台，且都可通过IE浏览器设置云台转动位置，全景水平旋转范围：水平角度0～360°，垂直旋转范围：垂直角度0°～30°；细节水平旋转范围：水平角度0～250°，垂直旋转范围：垂直角度-10°～150°</w:t>
            </w:r>
          </w:p>
          <w:p>
            <w:pPr>
              <w:spacing w:line="400" w:lineRule="exac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镜头焦距：全景相机：6mm，细节相机：10mm~50mm；细节相机支持5倍光学变倍，16倍数字变倍；</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在IE浏览器下，设备可在同一个界面上同时显示全景摄像机视频图像、细节摄像机自动跟踪视频图像,并抓拍图片；</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3.1.6</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在IE浏览器下，可通过1个RJ45网络接口同时访问全景摄像机和细节摄像机的视频图像；</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shd w:val="clear" w:color="auto" w:fill="FFFFFF"/>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w:t>
            </w:r>
          </w:p>
        </w:tc>
        <w:tc>
          <w:tcPr>
            <w:tcW w:w="8014" w:type="dxa"/>
            <w:shd w:val="clear" w:color="auto" w:fill="FFFFFF"/>
            <w:noWrap w:val="0"/>
            <w:vAlign w:val="center"/>
          </w:tcPr>
          <w:p>
            <w:pPr>
              <w:spacing w:line="400" w:lineRule="exact"/>
              <w:rPr>
                <w:rFonts w:ascii="宋体" w:hAnsi="宋体" w:cs="宋体"/>
                <w:color w:val="000000"/>
                <w:szCs w:val="21"/>
              </w:rPr>
            </w:pPr>
            <w:r>
              <w:rPr>
                <w:rFonts w:hint="eastAsia" w:ascii="宋体" w:hAnsi="宋体" w:cs="宋体"/>
                <w:color w:val="000000"/>
                <w:szCs w:val="21"/>
              </w:rPr>
              <w:t>为保证夜晚的监控及抓拍目标的效果，全景摄像机光圈需要F1.0±10 %，细节摄像机需要F1.2±10%</w:t>
            </w:r>
          </w:p>
          <w:p>
            <w:pPr>
              <w:spacing w:line="400" w:lineRule="exac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设备可对全景摄像机监视画面中出现的行人和车辆进行检测，在监视画面实时显示行人、车辆的属性并可联动聚焦、目标跟踪、报警上传；</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w:t>
            </w:r>
            <w:r>
              <w:rPr>
                <w:rFonts w:ascii="宋体" w:hAnsi="宋体" w:cs="宋体"/>
                <w:color w:val="000000"/>
                <w:szCs w:val="21"/>
              </w:rPr>
              <w:t>9</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可对多通道多场景的机动车、非机动车、行人进行巡航检测。能同时对画面中的100个目标进行框选锁定并进行抓图和属性分析</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3.1.10</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可将人体抓拍图片分别存储为场景图和人体图，人脸图、场景图和人体图，人脸图可关联存储，并可通过lE浏览器或客户端查看和检索存储的图片。</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3.1.11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可将视频图像存储至SD卡或客户端，支持SD卡热插拔，最大支持512GB SD卡；</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3.1.12</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为确保设备便于安装，设备重量不得重于9kg。</w:t>
            </w:r>
          </w:p>
        </w:tc>
        <w:tc>
          <w:tcPr>
            <w:tcW w:w="1187" w:type="dxa"/>
            <w:noWrap w:val="0"/>
            <w:vAlign w:val="top"/>
          </w:tcPr>
          <w:p>
            <w:pPr>
              <w:spacing w:line="400" w:lineRule="exact"/>
              <w:rPr>
                <w:rFonts w:ascii="宋体" w:hAnsi="宋体" w:cs="宋体"/>
                <w:color w:val="000000"/>
                <w:szCs w:val="21"/>
              </w:rPr>
            </w:pPr>
          </w:p>
        </w:tc>
      </w:tr>
    </w:tbl>
    <w:p>
      <w:pPr>
        <w:spacing w:line="400" w:lineRule="exact"/>
        <w:rPr>
          <w:rFonts w:ascii="宋体" w:hAnsi="宋体"/>
          <w:b/>
          <w:bCs/>
          <w:color w:val="000000"/>
          <w:kern w:val="0"/>
          <w:szCs w:val="21"/>
        </w:rPr>
      </w:pPr>
      <w:r>
        <w:rPr>
          <w:rFonts w:hint="eastAsia" w:ascii="宋体" w:hAnsi="宋体"/>
          <w:b/>
          <w:bCs/>
          <w:color w:val="000000"/>
          <w:kern w:val="0"/>
          <w:szCs w:val="21"/>
        </w:rPr>
        <w:br w:type="page"/>
      </w:r>
      <w:r>
        <w:rPr>
          <w:rFonts w:hint="eastAsia" w:ascii="宋体" w:hAnsi="宋体"/>
          <w:b/>
          <w:bCs/>
          <w:color w:val="000000"/>
          <w:kern w:val="0"/>
          <w:szCs w:val="21"/>
        </w:rPr>
        <w:t>3.2人脸抓拍机</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400万人脸抓拍筒型摄像机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图像传感器:1/2.7" 400万像素逐行扫描CMOS；</w:t>
            </w:r>
          </w:p>
          <w:p>
            <w:pPr>
              <w:spacing w:line="400" w:lineRule="exact"/>
              <w:rPr>
                <w:rFonts w:ascii="宋体" w:hAnsi="宋体" w:cs="宋体"/>
                <w:color w:val="000000"/>
                <w:szCs w:val="21"/>
              </w:rPr>
            </w:pPr>
            <w:r>
              <w:rPr>
                <w:rFonts w:hint="eastAsia" w:ascii="宋体" w:hAnsi="宋体" w:cs="宋体"/>
                <w:color w:val="000000"/>
                <w:szCs w:val="21"/>
              </w:rPr>
              <w:t>最大分辨率:2560×1440；</w:t>
            </w:r>
          </w:p>
          <w:p>
            <w:pPr>
              <w:spacing w:line="400" w:lineRule="exact"/>
              <w:rPr>
                <w:rFonts w:ascii="宋体" w:hAnsi="宋体" w:cs="宋体"/>
                <w:color w:val="000000"/>
                <w:szCs w:val="21"/>
              </w:rPr>
            </w:pPr>
            <w:r>
              <w:rPr>
                <w:rFonts w:hint="eastAsia" w:ascii="宋体" w:hAnsi="宋体" w:cs="宋体"/>
                <w:color w:val="000000"/>
                <w:szCs w:val="21"/>
              </w:rPr>
              <w:t>最低照度:彩色：0.015Lux ，黑白：0.0075Lux；</w:t>
            </w:r>
          </w:p>
          <w:p>
            <w:pPr>
              <w:spacing w:line="400" w:lineRule="exact"/>
              <w:rPr>
                <w:rFonts w:ascii="宋体" w:hAnsi="宋体" w:cs="宋体"/>
                <w:color w:val="000000"/>
                <w:szCs w:val="21"/>
              </w:rPr>
            </w:pPr>
            <w:r>
              <w:rPr>
                <w:rFonts w:hint="eastAsia" w:ascii="宋体" w:hAnsi="宋体" w:cs="宋体"/>
                <w:color w:val="000000"/>
                <w:szCs w:val="21"/>
              </w:rPr>
              <w:t>焦距:6mm；补光:10m；</w:t>
            </w:r>
          </w:p>
          <w:p>
            <w:pPr>
              <w:spacing w:line="400" w:lineRule="exact"/>
              <w:rPr>
                <w:rFonts w:ascii="宋体" w:hAnsi="宋体" w:cs="宋体"/>
                <w:color w:val="000000"/>
                <w:szCs w:val="21"/>
              </w:rPr>
            </w:pPr>
            <w:r>
              <w:rPr>
                <w:rFonts w:hint="eastAsia" w:ascii="宋体" w:hAnsi="宋体" w:cs="宋体"/>
                <w:color w:val="000000"/>
                <w:szCs w:val="21"/>
              </w:rPr>
              <w:t>压缩编码:H.265/H.264/MJPEG；</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行为分析：快速移动检测，遗留检测，移走检测，越线检测，入侵检测，区域进入/离开区域检测，徘徊检测；</w:t>
            </w:r>
          </w:p>
          <w:p>
            <w:pPr>
              <w:spacing w:line="400" w:lineRule="exact"/>
              <w:rPr>
                <w:rFonts w:ascii="宋体" w:hAnsi="宋体" w:cs="宋体"/>
                <w:color w:val="000000"/>
                <w:szCs w:val="21"/>
              </w:rPr>
            </w:pPr>
            <w:r>
              <w:rPr>
                <w:rFonts w:hint="eastAsia" w:ascii="宋体" w:hAnsi="宋体" w:cs="宋体"/>
                <w:color w:val="000000"/>
                <w:szCs w:val="21"/>
              </w:rPr>
              <w:t>异常侦测：图像质量诊断，虚焦检测，场景变更检测，热度图，人员聚集</w:t>
            </w:r>
          </w:p>
          <w:p>
            <w:pPr>
              <w:spacing w:line="400" w:lineRule="exact"/>
              <w:rPr>
                <w:rFonts w:ascii="宋体" w:hAnsi="宋体" w:cs="宋体"/>
                <w:color w:val="000000"/>
                <w:szCs w:val="21"/>
              </w:rPr>
            </w:pPr>
            <w:r>
              <w:rPr>
                <w:rFonts w:hint="eastAsia" w:ascii="宋体" w:hAnsi="宋体" w:cs="宋体"/>
                <w:color w:val="000000"/>
                <w:szCs w:val="21"/>
              </w:rPr>
              <w:t>人脸&amp;人体： 人脸检测，人脸属性，人体检测；</w:t>
            </w:r>
          </w:p>
          <w:p>
            <w:pPr>
              <w:spacing w:line="400" w:lineRule="exact"/>
              <w:rPr>
                <w:rFonts w:ascii="宋体" w:hAnsi="宋体" w:cs="宋体"/>
                <w:color w:val="000000"/>
                <w:szCs w:val="21"/>
              </w:rPr>
            </w:pPr>
            <w:r>
              <w:rPr>
                <w:rFonts w:hint="eastAsia" w:ascii="宋体" w:hAnsi="宋体" w:cs="宋体"/>
                <w:color w:val="000000"/>
                <w:szCs w:val="21"/>
              </w:rPr>
              <w:t>人群态势分析： 人流量统计</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3.2.4</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电源:DC12V；工作温度: -30℃~60℃；防护/防暴/防雷:IP66，4KV；</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p>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3.3视频一体机</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名单库比对报警（4路人脸分析比对（图片流），1路人脸抓拍（视频流））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3.3.2</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16个人脸名单库，总库容1万张</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3.3.3</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支持陌生人报警</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3.3.4</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支持人脸签到和考勤</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3.3.5</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支持人脸1V1比对</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3.3.6</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支持以脸搜脸、按姓名检索、按属性检索</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3.3.7</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支持人脸属性识别</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3.3.8</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支持人脸评分功能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3.3.9</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支持接入混合抓拍事件</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3.3.10</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支持大分辨率前端相机接入（1600万-2400万支持1路）</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支持热成像接入、存储、报警。</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3.3.12</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支持区域关注度相机：支持区域关注度联动方式：区域人数检测、停留时长检测报警</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3.3.13</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支持接入多个客流相机，合并统计客流数据</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3.3.14</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硬件规格：1.5U标准机架式，1个HDMI，1个VGA，</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3.3.15</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2个千兆网口、2个USB2.0接口、1个USB3.0接口、1个eSATA接口</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3.3.16</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报警IO：16进4出（选配16进8出）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3.3.17</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软件性能：输入带宽：80M，8路H.264、H.265混合接入，最大支持8×1080P解码，支持H.265、H.264解码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3.3.18</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Smart 2.0/ANR/智能检索/智能回放/车牌检索/人脸检索/热度图/客流量统计/分时段回放/超高倍速回放/双系统备份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w:t>
            </w:r>
            <w:r>
              <w:rPr>
                <w:rFonts w:ascii="宋体" w:hAnsi="宋体" w:cs="宋体"/>
                <w:color w:val="000000"/>
                <w:szCs w:val="21"/>
              </w:rPr>
              <w:t>19</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支持人脸以图搜图功能，可从外部、人脸库、人脸检索结果、导入5张人脸样本照片，并设置相似度（0-100），检索出符合相似度的人脸图片，可查看人脸背景图片、回放关联录像并导出人脸图片；支持按通道、时间检索人脸抓拍图片，支持将检索结果中的人脸图片添加到人脸库；支持检索人脸比对报警、陌生人报警图片，可查看到人脸抓拍图片、人脸库图片，以及姓名、性别、联系方式、证件类型、证件号、生日、省份、城市、年龄段、戴眼镜、表情、戴口罩、自定义标签等人员信息</w:t>
            </w:r>
          </w:p>
          <w:p>
            <w:pPr>
              <w:spacing w:line="400" w:lineRule="exac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3.4 6T硬盘</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3.4.1</w:t>
            </w:r>
          </w:p>
        </w:tc>
        <w:tc>
          <w:tcPr>
            <w:tcW w:w="8014" w:type="dxa"/>
            <w:noWrap w:val="0"/>
            <w:vAlign w:val="center"/>
          </w:tcPr>
          <w:p>
            <w:pPr>
              <w:spacing w:line="400" w:lineRule="exact"/>
              <w:rPr>
                <w:rFonts w:ascii="宋体" w:hAnsi="宋体" w:cs="宋体"/>
                <w:color w:val="000000"/>
                <w:szCs w:val="21"/>
              </w:rPr>
            </w:pPr>
            <w:r>
              <w:rPr>
                <w:rFonts w:hint="eastAsia" w:ascii="宋体" w:hAnsi="宋体" w:cs="宋体"/>
                <w:color w:val="000000"/>
                <w:szCs w:val="21"/>
              </w:rPr>
              <w:t>3.5英寸 6TB IntelliPower 64M SATA3</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3.5 人证访客一体机</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3.5.1</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高清双屏显示，带有15.6寸电容触摸显示屏和11.6寸液晶显示屏；</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3.5.2</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内置200万高清摄像头、居民身份证阅读器，支持1：1人证比对功能；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3.5.3</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双网口设计，支持TCP/IP有线网络通讯；</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3.5.4</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内置二维码扫描仪，可识别访客单的二维码；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3.5.5</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高速热敏打印机、纸宽58mm、纸卷直径≤45mm；</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3.5.6</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输入电压：AC220V；工作功率：≤59W；</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★3.5.7</w:t>
            </w:r>
          </w:p>
        </w:tc>
        <w:tc>
          <w:tcPr>
            <w:tcW w:w="8014" w:type="dxa"/>
            <w:noWrap w:val="0"/>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设备支持访客黑名单管理功能</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3.5.8</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设备具有双网口设计。</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9</w:t>
            </w:r>
          </w:p>
        </w:tc>
        <w:tc>
          <w:tcPr>
            <w:tcW w:w="8014" w:type="dxa"/>
            <w:noWrap w:val="0"/>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设备具有人证比对功能：对来访者进行现场人脸抓拍，与来访者的身份证芯片内的照片进行实时比对，确保实名实证；人证合一后，设备才能进行访客登记操作；认证比对时间：≤1.5s</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3.6 访客系统推送接入模块</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3.6.1</w:t>
            </w:r>
          </w:p>
        </w:tc>
        <w:tc>
          <w:tcPr>
            <w:tcW w:w="8014" w:type="dxa"/>
            <w:noWrap w:val="0"/>
            <w:vAlign w:val="top"/>
          </w:tcPr>
          <w:p>
            <w:pPr>
              <w:spacing w:line="400" w:lineRule="exact"/>
              <w:jc w:val="left"/>
              <w:rPr>
                <w:rFonts w:ascii="宋体" w:hAnsi="宋体" w:cs="宋体"/>
                <w:color w:val="000000"/>
                <w:szCs w:val="21"/>
              </w:rPr>
            </w:pPr>
            <w:r>
              <w:rPr>
                <w:rFonts w:hint="eastAsia" w:ascii="宋体" w:hAnsi="宋体" w:cs="宋体"/>
                <w:color w:val="000000"/>
                <w:szCs w:val="21"/>
              </w:rPr>
              <w:t>访客管理应用，包括来访记录查询、访客权限管理；</w:t>
            </w:r>
          </w:p>
          <w:p>
            <w:pPr>
              <w:spacing w:line="400" w:lineRule="exact"/>
              <w:jc w:val="left"/>
              <w:rPr>
                <w:rFonts w:ascii="宋体" w:hAnsi="宋体" w:cs="宋体"/>
                <w:color w:val="000000"/>
                <w:szCs w:val="21"/>
              </w:rPr>
            </w:pPr>
            <w:r>
              <w:rPr>
                <w:rFonts w:hint="eastAsia" w:ascii="宋体" w:hAnsi="宋体" w:cs="宋体"/>
                <w:color w:val="000000"/>
                <w:szCs w:val="21"/>
              </w:rPr>
              <w:t>同时能够对访客相关参数进行配置。</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 xml:space="preserve">3.7 </w:t>
      </w:r>
      <w:r>
        <w:rPr>
          <w:rFonts w:ascii="宋体" w:hAnsi="宋体"/>
          <w:b/>
          <w:bCs/>
          <w:color w:val="000000"/>
          <w:kern w:val="0"/>
          <w:szCs w:val="21"/>
        </w:rPr>
        <w:t>24</w:t>
      </w:r>
      <w:r>
        <w:rPr>
          <w:rFonts w:hint="eastAsia" w:ascii="宋体" w:hAnsi="宋体"/>
          <w:b/>
          <w:bCs/>
          <w:color w:val="000000"/>
          <w:kern w:val="0"/>
          <w:szCs w:val="21"/>
        </w:rPr>
        <w:t>口交换机、监控杆、机箱、辅材</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3.7.1</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24口百兆全网管二层交换机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3.7.2</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机架式</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3.7.3</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24个百兆电口、2个千兆电口、2个复用的千兆光口</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3.7.4</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支持通过console口管理。交换容量64Gbps</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3.7.5</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包转发率6.6Mpps</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3.7.6</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1U高度、19英寸宽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3.7.7</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工作温度：0℃～40℃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3.7.8</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支持220v交流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3.7.9</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满负荷功耗12瓦；支持VLAN、流量控制，</w:t>
            </w:r>
            <w:r>
              <w:rPr>
                <w:rFonts w:hint="eastAsia" w:ascii="宋体" w:hAnsi="宋体" w:cs="宋体"/>
                <w:color w:val="000000"/>
                <w:kern w:val="0"/>
                <w:szCs w:val="21"/>
              </w:rPr>
              <w:t>支持ACL、QOS</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3.7.10</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支持SNMP V1/V2c/V3网管。</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3.7.11</w:t>
            </w:r>
          </w:p>
        </w:tc>
        <w:tc>
          <w:tcPr>
            <w:tcW w:w="8014" w:type="dxa"/>
            <w:noWrap w:val="0"/>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具有电信设备进网许可证、入网检测报告证明以及CCC认证证书</w:t>
            </w:r>
          </w:p>
          <w:p>
            <w:pPr>
              <w:pStyle w:val="2"/>
              <w:spacing w:line="400" w:lineRule="exact"/>
              <w:rPr>
                <w:rFonts w:hint="eastAsia" w:ascii="宋体" w:hAnsi="宋体"/>
                <w:i w:val="0"/>
                <w:color w:val="000000"/>
                <w:sz w:val="21"/>
                <w:szCs w:val="21"/>
              </w:rPr>
            </w:pPr>
            <w:r>
              <w:rPr>
                <w:rFonts w:hint="eastAsia" w:ascii="宋体" w:hAnsi="宋体"/>
                <w:i w:val="0"/>
                <w:color w:val="000000"/>
                <w:sz w:val="21"/>
                <w:szCs w:val="21"/>
              </w:rPr>
              <w:t>提供相关材料复印件并加盖供应商公章</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3.7.12</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配置：可用百兆电口数量≥16，可用千兆电口数量≥8，可用千兆光口数量≥4</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ascii="宋体" w:hAnsi="宋体" w:cs="宋体"/>
                <w:color w:val="000000"/>
                <w:szCs w:val="21"/>
              </w:rPr>
              <w:t>3.7.13</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监控杆：高度3.5米，立杆壁厚2mm，材料采用热轧钢板（Q235），表面热镀锌喷塑；配套地笼，螺丝及垫片，法兰底板等</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ascii="宋体" w:hAnsi="宋体" w:cs="宋体"/>
                <w:color w:val="000000"/>
                <w:szCs w:val="21"/>
              </w:rPr>
              <w:t>3.7.14</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机箱：规格300*400*200（可根据实际情况调整规格），不锈钢材质，壁厚1.2mm，包含电器开关、隔板、安装配件等；采用棕胶密条与箱体门紧合，防雨水进入；箱体防护等级为IP54</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ascii="宋体" w:hAnsi="宋体" w:cs="宋体"/>
                <w:color w:val="000000"/>
                <w:szCs w:val="21"/>
              </w:rPr>
              <w:t>3.7.15</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辅材：国产配套</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3.8 车辆道闸</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包含：2个遥控器</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道闸类型：直杆</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道闸方向：右向</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道闸杆长：3米</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3.8.5</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运行速度：1.6~2秒</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3.8.6</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机箱材质：冷轧钢</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3.8.7</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机箱颜色：橙色</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3.8.8</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遥控距离：≥30m</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3.8.9</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输入电压：220VAC+10%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3.8.10</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电机驱动：交流电机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电机功率：90W</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功能特性：支持外接红绿灯警示、外接红外保护、外接地感功能，支持强冷天气</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kern w:val="0"/>
                <w:szCs w:val="21"/>
              </w:rPr>
              <w:t>具有遇阻返回功能：当闸杆下落时，遇到物体阻挡，将立即开闸；</w:t>
            </w:r>
            <w:r>
              <w:rPr>
                <w:rFonts w:ascii="宋体" w:hAnsi="宋体" w:cs="宋体"/>
                <w:color w:val="000000"/>
                <w:szCs w:val="21"/>
              </w:rPr>
              <w:t xml:space="preserve"> </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★3.8.14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应有自动限位功能，档杆开关到位后，将自动停机限位</w:t>
            </w:r>
          </w:p>
          <w:p>
            <w:pPr>
              <w:spacing w:line="400" w:lineRule="exact"/>
              <w:jc w:val="lef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3.9 出入口视频单元</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包含：防护罩、镜头、摄像机、2个LED补光灯等</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分辨率：200万，1920*1200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帧率：25fps(1920*1080)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传感器类型：1/3"  Progressive Scan CMOS</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3.9.5</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最小照度：彩色0.002Lux@(F1.2,AGC ON)，黑白0.0002Lux @(F1.2,AGC ON)</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3.9.6</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镜头：3.1-9mm电动变焦镜头，支持软件自动调焦</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3.9.7</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补光灯：内置2颗LED补光灯，2颗灯珠颜色保持一致，红外/白光可配置切换</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3.9.8</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自动光圈：DC驱动</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3.9.9</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ICR切换：支持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3.9.10</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视频压缩标准：H.264/H.265/MJPEG</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图像设置：饱和度,亮度,对比度,白平衡,增益,3D降噪通过软件可调</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存储功能：内置TF卡槽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智能识别：车牌识别、车型识别、车标识别、车身颜色识别</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补光灯控制：补光灯自动光控、时控可选</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3.9.15</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接口：1 个RJ45 10M/100M/1000M 自适应以太网口，1个 RS-485 接口，1个RS-232接口，1路音频输入，1路音频输出，3路触发输入，2路继电器输出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3.9.16</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功能特性：外接道闸，布防状态下可根据存储黑白名单自动控制外接道闸开/关；车辆抓拍：支持车牌、车型、车标、车身颜色识别，电动变焦、自动光圈，内置LED补光灯，同步补光，同步录像，黑白名单控制，视频触发</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w:t>
            </w:r>
            <w:r>
              <w:rPr>
                <w:rFonts w:ascii="宋体" w:hAnsi="宋体" w:cs="宋体"/>
                <w:color w:val="000000"/>
                <w:szCs w:val="21"/>
              </w:rPr>
              <w:t>7</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 xml:space="preserve">支持智能帧对车牌实时跟踪、识别及回放功能 </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★3.9.1</w:t>
            </w:r>
            <w:r>
              <w:rPr>
                <w:rFonts w:ascii="宋体" w:hAnsi="宋体" w:cs="宋体"/>
                <w:color w:val="000000"/>
                <w:szCs w:val="21"/>
              </w:rPr>
              <w:t>8</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 xml:space="preserve">支持通过IE浏览器添加网关的MAC地址，在使用前的网关MAC地址时，可被其他网关的客户端访问，当使用错误网关MAC地址时，只能被同段的客户端访问 </w:t>
            </w:r>
          </w:p>
          <w:p>
            <w:pPr>
              <w:spacing w:line="400" w:lineRule="exact"/>
              <w:jc w:val="lef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3.10 出入口终端</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92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92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CPU：Apollo Lake J3455平台处理器；</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3.10.2</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内存：4GB；</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3.10.3</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标配128G SSD，可选配一块3.5寸机械硬盘；</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3.10.4</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其他接口：6个1000Mbps自适应网口（G2~G6为交换机，G1为独立网口，支持双网隔离）、2个RS232、2个RS485、4个USB3.0；4个开关量输入，4个继电器开关量输出、1个VGA输出接口，1路内置预留SATA接口、1路音频输入/输出接口、1个HDMI输出接口</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3.10.5</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操作系统：无，需用户自行安装</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3.10.6</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支持接入的牌识设备数量：4路高清出入口视频单元；</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3.10.7</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存储功能：支持对车辆出入记录的本地存储：≥80万辆通行车辆信息 或 ≥30万辆的违法车辆信息；</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3.10.8</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平台功能：支持上传至海康智能停车场管理系统；支持上传至其他中心管理系统（需定制）；</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3.10.9</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远程管理：支持远程进行权限设置或维护管理；</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3.10.10</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工作电压:主机12VDC，外接220VAC电源适配器；</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3.10.11</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功耗:平均25w，最高50w；</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3.10.12</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工作环境温度:-20 ℃～70 ℃；</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3.10.13</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工作环境湿度:10%~90%@40℃，无凝结；</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3.10.14</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功能特性：无风扇设计，集成交换机、485接口、报警2进4出、麦克风输入、视频HDMI及VGA接口；</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3.10.15</w:t>
            </w:r>
          </w:p>
        </w:tc>
        <w:tc>
          <w:tcPr>
            <w:tcW w:w="7927" w:type="dxa"/>
            <w:noWrap w:val="0"/>
            <w:vAlign w:val="center"/>
          </w:tcPr>
          <w:p>
            <w:pPr>
              <w:spacing w:line="400" w:lineRule="exact"/>
              <w:jc w:val="left"/>
              <w:rPr>
                <w:rFonts w:ascii="宋体" w:hAnsi="宋体" w:cs="宋体"/>
                <w:color w:val="000000"/>
                <w:szCs w:val="21"/>
              </w:rPr>
            </w:pPr>
            <w:r>
              <w:rPr>
                <w:rFonts w:hint="eastAsia" w:ascii="宋体" w:hAnsi="宋体" w:cs="宋体"/>
                <w:color w:val="000000"/>
                <w:kern w:val="0"/>
                <w:szCs w:val="21"/>
              </w:rPr>
              <w:t>交换机功能：具有多口交换机功能，能够使用5个10M/100M/1000M自适应RJ45接口进行网络交换功能；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kern w:val="0"/>
                <w:szCs w:val="21"/>
              </w:rPr>
              <w:t>★3</w:t>
            </w:r>
            <w:r>
              <w:rPr>
                <w:rFonts w:hint="eastAsia" w:ascii="宋体" w:hAnsi="宋体" w:cs="宋体"/>
                <w:color w:val="000000"/>
                <w:szCs w:val="21"/>
              </w:rPr>
              <w:t>.10.16</w:t>
            </w:r>
          </w:p>
        </w:tc>
        <w:tc>
          <w:tcPr>
            <w:tcW w:w="7927" w:type="dxa"/>
            <w:noWrap w:val="0"/>
            <w:vAlign w:val="center"/>
          </w:tcPr>
          <w:p>
            <w:pPr>
              <w:spacing w:line="400" w:lineRule="exact"/>
              <w:jc w:val="left"/>
              <w:rPr>
                <w:rFonts w:ascii="宋体" w:hAnsi="宋体" w:cs="宋体"/>
                <w:color w:val="000000"/>
                <w:kern w:val="0"/>
                <w:szCs w:val="21"/>
              </w:rPr>
            </w:pPr>
            <w:r>
              <w:rPr>
                <w:rFonts w:hint="eastAsia" w:ascii="宋体" w:hAnsi="宋体" w:cs="宋体"/>
                <w:color w:val="000000"/>
                <w:kern w:val="0"/>
                <w:szCs w:val="21"/>
              </w:rPr>
              <w:t>双IP地址检查：可设置两个独立的IP地址</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3.11 车检器</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3.11.1</w:t>
            </w:r>
          </w:p>
        </w:tc>
        <w:tc>
          <w:tcPr>
            <w:tcW w:w="8014" w:type="dxa"/>
            <w:noWrap w:val="0"/>
            <w:vAlign w:val="top"/>
          </w:tcPr>
          <w:p>
            <w:pPr>
              <w:spacing w:line="400" w:lineRule="exact"/>
              <w:jc w:val="left"/>
              <w:rPr>
                <w:rFonts w:ascii="宋体" w:hAnsi="宋体" w:cs="宋体"/>
                <w:color w:val="000000"/>
                <w:szCs w:val="21"/>
              </w:rPr>
            </w:pPr>
            <w:r>
              <w:rPr>
                <w:rFonts w:hint="eastAsia" w:ascii="宋体" w:hAnsi="宋体" w:cs="宋体"/>
                <w:color w:val="000000"/>
                <w:szCs w:val="21"/>
              </w:rPr>
              <w:t>独立式,支持接入的最大线圈数2,继电器输出</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3.12 地感线圈</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3.12.1</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0.75mm²，绞合导体，镀锡铜，绝缘蓝色PVC外被，1捆线圈50米。</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3.13 防撞雷达</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采用79GHz MMIC技术，分辨率更高，检测更稳定；</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雷达检测距离可调，检测宽度可调，操作方便，通用性强；</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无需学习背景，适应更多复杂现场环境；</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采用先进的信号处理技术，可稳定检测到行人和车辆，有效防止“砸车、砸人”事故的发生。</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3.13.5</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采用LED灯指示雷达工作状态，状态更直观。</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3.13.6</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自动记录雷达的配置参数，断电重启后可恢复至之前的工作状态；</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3.13.7</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环境适应性强，检测性能不受电磁干扰、光照、灰尘、雨雪等外界环境影响。</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3.14 升降柱</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3.14.1</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柱体材料：304不锈钢；</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3.14.2</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柱体壁厚：6mm，柱体直径：220±3mm；</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3.14.3</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升/降时间：3S；</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3.14.4</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防护等级：IP68；</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3.14.5</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警示方式：3M反光带，LED指示灯；</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3.14.6</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控制方式：遥控器或按键；</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3.14.7</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驱动方式：独立一体式液压系统</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3.14.8</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工作电压：220VAC±10%，功率：370W</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3.14.9</w:t>
            </w:r>
          </w:p>
        </w:tc>
        <w:tc>
          <w:tcPr>
            <w:tcW w:w="8014"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工作温度：-40℃~+70℃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kern w:val="0"/>
                <w:szCs w:val="21"/>
              </w:rPr>
              <w:t>★</w:t>
            </w:r>
            <w:r>
              <w:rPr>
                <w:rFonts w:hint="eastAsia" w:ascii="宋体" w:hAnsi="宋体" w:cs="宋体"/>
                <w:color w:val="000000"/>
                <w:szCs w:val="21"/>
              </w:rPr>
              <w:t>3.14.10</w:t>
            </w:r>
          </w:p>
        </w:tc>
        <w:tc>
          <w:tcPr>
            <w:tcW w:w="8014" w:type="dxa"/>
            <w:noWrap w:val="0"/>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柱身顶端安装LED超高亮警示顶灯，柱身顶部四周装有反光膜。升降柱在上升、下降运行过程中及处于立柱升起状态时，顶灯有闪烁发光信号提示功能，应能够被过往车辆的驾驶员明显识别</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3.15 升降柱控制盒</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3.15.1</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工作电源：AC220V</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3.15.2</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工作温度：-20℃~+50℃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3.15.3</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遥控频率：433.92Mhz</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3.15.4</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应急方式：后备电源控制电磁阀释放</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3.15.5</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控制方式：手动、遥控</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3.15.6</w:t>
            </w:r>
          </w:p>
        </w:tc>
        <w:tc>
          <w:tcPr>
            <w:tcW w:w="8014" w:type="dxa"/>
            <w:noWrap w:val="0"/>
            <w:vAlign w:val="top"/>
          </w:tcPr>
          <w:p>
            <w:pPr>
              <w:widowControl/>
              <w:spacing w:line="400" w:lineRule="exact"/>
              <w:jc w:val="left"/>
              <w:textAlignment w:val="center"/>
              <w:rPr>
                <w:rFonts w:ascii="宋体" w:hAnsi="宋体" w:cs="宋体"/>
                <w:color w:val="000000"/>
                <w:szCs w:val="21"/>
              </w:rPr>
            </w:pPr>
            <w:r>
              <w:rPr>
                <w:rFonts w:hint="eastAsia" w:ascii="宋体" w:hAnsi="宋体" w:cs="宋体"/>
                <w:color w:val="000000"/>
                <w:kern w:val="0"/>
                <w:szCs w:val="21"/>
              </w:rPr>
              <w:t>控制数量：最多能控制6台中速升降柱</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3.16 拒马桩</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3.16.1</w:t>
            </w:r>
          </w:p>
        </w:tc>
        <w:tc>
          <w:tcPr>
            <w:tcW w:w="8014" w:type="dxa"/>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宽3米，高1.2米，宽0.8米，4个万向轮带刹车片，镀锌钢管，外管直径89mm，内管直径50mm</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3.17 人脸识别终端</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93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933"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7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3.17.1</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设备外观：采用7英寸LCD触摸显示屏；200万像素双目宽动态摄像头，采用星光级图像传感器，可适应夜间低照度环境；人脸识别距离可大于2m，支持照片视频防假；</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3.17.2</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设备容量：支持50000张人脸白名单，1：N人脸比对时间≤0.2s/人；支持100000笔事件记录存储；</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3.17.3</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认证方式：支持人脸；支持通过RS485或韦根外接读卡器，实现刷卡开闸；支持访客二维码识别（需选择2.8mm焦距镜头型号设备，与门口机可识别二维码类型保持一致）；基线支持标准韦根34/26；</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3.17.4</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通讯方式：上行通讯为TCP/IP；支持Wifi；</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3.17.5</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视频对讲：支持视频语音对讲功能；可接NVR，支持视频预览；</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3.17.6</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设备接口： LAN*1；RS485*1；韦根*1；USB *1；门磁*1、开门按钮*1、报警输入*2；电锁*1、报警输出*1；</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3.17.7</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工作电压：DC 12V/3A，需独立供电；</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3.17.8</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使用环境：室内外（防护等级IP65），室外场景使用时需加装遮阳罩；</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3.17.9</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安装方式：通道安装；</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3.17.10</w:t>
            </w:r>
          </w:p>
        </w:tc>
        <w:tc>
          <w:tcPr>
            <w:tcW w:w="7933"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工作温度：-30~60℃。</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3.17.11</w:t>
            </w:r>
          </w:p>
        </w:tc>
        <w:tc>
          <w:tcPr>
            <w:tcW w:w="7933" w:type="dxa"/>
            <w:noWrap w:val="0"/>
            <w:vAlign w:val="top"/>
          </w:tcPr>
          <w:p>
            <w:pPr>
              <w:spacing w:line="400" w:lineRule="exact"/>
              <w:jc w:val="left"/>
              <w:rPr>
                <w:rFonts w:ascii="宋体" w:hAnsi="宋体" w:cs="宋体"/>
                <w:color w:val="000000"/>
                <w:szCs w:val="21"/>
              </w:rPr>
            </w:pPr>
            <w:r>
              <w:rPr>
                <w:rFonts w:hint="eastAsia" w:ascii="宋体" w:hAnsi="宋体" w:cs="宋体"/>
                <w:color w:val="000000"/>
                <w:kern w:val="0"/>
                <w:szCs w:val="21"/>
              </w:rPr>
              <w:t>设备采用嵌入式Linux系统，7英寸LCD触摸显示屏，屏幕分辨率不小于1024*600，屏幕防冲击防护等级IK04，除后壳盖板外的外壳防冲击防护等级IK07，支持IP65防水等级。</w:t>
            </w:r>
          </w:p>
        </w:tc>
        <w:tc>
          <w:tcPr>
            <w:tcW w:w="117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★3.17.12</w:t>
            </w:r>
          </w:p>
        </w:tc>
        <w:tc>
          <w:tcPr>
            <w:tcW w:w="7933" w:type="dxa"/>
            <w:noWrap w:val="0"/>
            <w:vAlign w:val="top"/>
          </w:tcPr>
          <w:p>
            <w:pPr>
              <w:spacing w:line="400" w:lineRule="exact"/>
              <w:jc w:val="left"/>
              <w:rPr>
                <w:rFonts w:ascii="宋体" w:hAnsi="宋体" w:cs="宋体"/>
                <w:color w:val="000000"/>
                <w:kern w:val="0"/>
                <w:szCs w:val="21"/>
              </w:rPr>
            </w:pPr>
            <w:r>
              <w:rPr>
                <w:rFonts w:hint="eastAsia" w:ascii="宋体" w:hAnsi="宋体" w:cs="宋体"/>
                <w:color w:val="000000"/>
                <w:kern w:val="0"/>
                <w:szCs w:val="21"/>
              </w:rPr>
              <w:t>设备支持黑名单功能，本地50000个人脸黑名单比对，支持本地黑名单事件信息上传平台，有授权人员和未授权陌生人刷脸时，设备支持抓拍图片并实时上传平台</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1175"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3.18 左边通道闸</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93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932"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76"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1500mm*200mm*960mm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20-60 人/分钟</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实际通行速率受人员情况和通行模式影响</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3.18.4</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通道宽度900mm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3.18.5</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12对红外检测</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3.18.6</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门翼亚克力</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3.18.7</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室内外</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3.18.8</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工作电压220V</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3.18.9</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工作温度范围-25℃~70℃</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3.18.10</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翻越报警</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分时段管控，最多支持8个时段常开、常闭模式设定</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反潜回功能，单通道反潜回，多通道跨主机反潜回</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3.18.14</w:t>
            </w:r>
          </w:p>
        </w:tc>
        <w:tc>
          <w:tcPr>
            <w:tcW w:w="7932" w:type="dxa"/>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满足无故障运行次数≥1200万次</w:t>
            </w:r>
          </w:p>
        </w:tc>
        <w:tc>
          <w:tcPr>
            <w:tcW w:w="1176"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p>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3.19 中间通道闸</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93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932"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76"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1500mm*200mm*960mm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20-60 人/分钟</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实际通行速率受人员情况和通行模式影响</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3.19.4</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通道宽度900mm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3.19.5</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12对红外检测</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3.19.6</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门翼亚克力</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3.19.7</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室内外</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3.19.8</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工作电压220V</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3.19.9</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工作温度范围-25℃~70℃</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3.19.10</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翻越报警</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3.19.11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分时段管控，最多支持8个时段常开、常闭模式设定</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3.19.12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反潜回功能，单通道反潜回，多通道跨主机反潜回</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3.19.13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19.14</w:t>
            </w:r>
          </w:p>
        </w:tc>
        <w:tc>
          <w:tcPr>
            <w:tcW w:w="7932" w:type="dxa"/>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满足无故障运行次数≥1200万次</w:t>
            </w:r>
          </w:p>
        </w:tc>
        <w:tc>
          <w:tcPr>
            <w:tcW w:w="1176"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3.20 右边通道闸</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793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7932"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76"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1500mm*200mm*960mm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20-60 人/分钟</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实际通行速率受人员情况和通行模式影响</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3.20.4</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通道宽度900mm</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3.20.5</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12对红外检测</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3.20.6</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门翼亚克力</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3.20.7</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室内外</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3.20.8</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工作电压220V</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3.20.9</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工作温度范围-25℃~70℃</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3.20.10</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翻越报警</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3.20.11</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分时段管控，最多支持8个时段常开、常闭模式设定</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3.20.12</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反潜回功能，单通道反潜回，多通道跨主机反潜回</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3.20.13</w:t>
            </w:r>
          </w:p>
        </w:tc>
        <w:tc>
          <w:tcPr>
            <w:tcW w:w="7932"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闸机通道物理接口应满足同时可接入RS485 和wiegand 接口的读卡器，同时具备TCP/IP接口不少于1个，单独232接口不少于3个，RS485/RS232可切换通讯接口不少于5个，开门按钮接口不少于2个，报警输入接口不少于4个，报警输出接口不少于4个，电锁输出接口不少于2个，CAN接口不少于2个</w:t>
            </w:r>
          </w:p>
        </w:tc>
        <w:tc>
          <w:tcPr>
            <w:tcW w:w="1176"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20</w:t>
            </w:r>
            <w:r>
              <w:rPr>
                <w:rFonts w:hint="eastAsia" w:ascii="宋体" w:hAnsi="宋体" w:cs="宋体"/>
                <w:color w:val="000000"/>
                <w:szCs w:val="21"/>
              </w:rPr>
              <w:t>.14</w:t>
            </w:r>
          </w:p>
        </w:tc>
        <w:tc>
          <w:tcPr>
            <w:tcW w:w="7932" w:type="dxa"/>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满足无故障运行次数≥1200万次</w:t>
            </w:r>
          </w:p>
        </w:tc>
        <w:tc>
          <w:tcPr>
            <w:tcW w:w="1176"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3.21 人脸采集终端</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8014"/>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8014"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87"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3.21.1</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3.97英寸触摸显示屏，屏幕分辨率800*480；</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3.21.2</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采用200万双目摄像头，有照片视频防假功能；</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3.21.3</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支持人脸、卡片（ID/Mifare/CPU/二三代身份证序列号）；</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3.21.4</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支持有线网络和无线WiFi传输；</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3.21.5</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支持客户端在线采集和设备端离线采集方式：</w:t>
            </w:r>
          </w:p>
          <w:p>
            <w:pPr>
              <w:spacing w:line="400" w:lineRule="exact"/>
              <w:rPr>
                <w:rFonts w:ascii="宋体" w:hAnsi="宋体" w:cs="宋体"/>
                <w:color w:val="000000"/>
                <w:szCs w:val="21"/>
              </w:rPr>
            </w:pPr>
            <w:r>
              <w:rPr>
                <w:rFonts w:hint="eastAsia" w:ascii="宋体" w:hAnsi="宋体" w:cs="宋体"/>
                <w:color w:val="000000"/>
                <w:szCs w:val="21"/>
              </w:rPr>
              <w:t>1）客端端在线采集方式：设备通过网络SDK对接到客户端，客户端进行在线采集，采集信息实时上传；</w:t>
            </w:r>
          </w:p>
          <w:p>
            <w:pPr>
              <w:spacing w:line="400" w:lineRule="exact"/>
              <w:rPr>
                <w:rFonts w:ascii="宋体" w:hAnsi="宋体"/>
                <w:color w:val="000000"/>
                <w:szCs w:val="21"/>
              </w:rPr>
            </w:pPr>
            <w:r>
              <w:rPr>
                <w:rFonts w:hint="eastAsia" w:ascii="宋体" w:hAnsi="宋体" w:cs="宋体"/>
                <w:color w:val="000000"/>
                <w:szCs w:val="21"/>
              </w:rPr>
              <w:t>2）设备端离线采集方式：设备端本地进行采集并存储，采集的数据可远程获取到客户端，也可U盘导出，导出数据已加密；</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3.21.6</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支持2000人员数据存储，含2000 注册人脸图片、20000 张注册卡片信息；</w:t>
            </w:r>
          </w:p>
        </w:tc>
        <w:tc>
          <w:tcPr>
            <w:tcW w:w="1187"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3.21.7</w:t>
            </w:r>
          </w:p>
        </w:tc>
        <w:tc>
          <w:tcPr>
            <w:tcW w:w="8014"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工作电压：DC12V/1.5A (自带电源适配器）；</w:t>
            </w:r>
          </w:p>
        </w:tc>
        <w:tc>
          <w:tcPr>
            <w:tcW w:w="1187"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3.22 后端显示设备</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055"/>
        <w:gridCol w:w="670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105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分类</w:t>
            </w:r>
          </w:p>
        </w:tc>
        <w:tc>
          <w:tcPr>
            <w:tcW w:w="670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3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w:t>
            </w:r>
          </w:p>
        </w:tc>
        <w:tc>
          <w:tcPr>
            <w:tcW w:w="1055" w:type="dxa"/>
            <w:vMerge w:val="restart"/>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LCD显示屏</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LCD液晶显示单元；</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3.22.1.2</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LG面板</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3.22.1.3</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尺寸：55英寸；</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3.22.1.4</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分辨率：1920x1080；</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3.22.1.5</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视角：178°(水平)/ 178°(垂直)；</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3.22.1.6</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响应时间：8ms(G to G)；</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3.22.1.7</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对比度：1400:1；</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3.22.1.8</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亮度：500cd/㎡；</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3.22.1.9</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物理拼缝：1.8mm；</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3.22.1.10</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输入接口：HDMI × 1, DVI × 1, VGA × 1, YPbPr × 1, CVBS × 1, USB × 1</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3.22.1.11</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输出接口：DVI × 1, VGA × 1, CVBS × 2</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3.22.1.12</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控制接口：RS232 IN × 1, RS232 OUT × 2</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3.22.1.13</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可选配接口：3G SDI(输入×1、输出×1)、DP、HDbaseT、TVI(输入×1、输出×1)、网络源</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3.22.1.14</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功耗：≤192W</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3.22.1.15</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电源要求：AC 100-240V～, 50/60Hz</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3.22.1.16</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寿命：≥60000 小时</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3.22.1.17</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工作温度和湿度：0℃～40℃，10%～90% RH（无冷凝水）</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★3.22.1.18</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风扇具备良好的散热效果，风扇散热性能≥40%</w:t>
            </w:r>
          </w:p>
          <w:p>
            <w:pPr>
              <w:spacing w:line="400" w:lineRule="exact"/>
              <w:jc w:val="left"/>
              <w:rPr>
                <w:rFonts w:ascii="宋体" w:hAnsi="宋体" w:cs="宋体"/>
                <w:color w:val="00000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3.22.1.19</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具有帧宽度调节技术，通过调节画面宽度，解决输入信号四周黑边问题</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3.22.2</w:t>
            </w:r>
          </w:p>
        </w:tc>
        <w:tc>
          <w:tcPr>
            <w:tcW w:w="1055"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LCD屏支架</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定制支架</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3.22.3</w:t>
            </w:r>
          </w:p>
        </w:tc>
        <w:tc>
          <w:tcPr>
            <w:tcW w:w="1055"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LCD屏底座</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定制底座</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3.22.4.1</w:t>
            </w:r>
          </w:p>
        </w:tc>
        <w:tc>
          <w:tcPr>
            <w:tcW w:w="1055" w:type="dxa"/>
            <w:vMerge w:val="restart"/>
            <w:noWrap w:val="0"/>
            <w:vAlign w:val="center"/>
          </w:tcPr>
          <w:p>
            <w:pPr>
              <w:widowControl/>
              <w:spacing w:line="400" w:lineRule="exact"/>
              <w:jc w:val="left"/>
              <w:textAlignment w:val="center"/>
              <w:rPr>
                <w:rFonts w:ascii="宋体" w:hAnsi="宋体" w:cs="宋体"/>
                <w:color w:val="000000"/>
                <w:szCs w:val="21"/>
              </w:rPr>
            </w:pPr>
            <w:r>
              <w:rPr>
                <w:rFonts w:hint="eastAsia" w:ascii="宋体" w:hAnsi="宋体" w:cs="宋体"/>
                <w:color w:val="000000"/>
                <w:szCs w:val="21"/>
              </w:rPr>
              <w:t>视频综合平台</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5U机箱（10个业务槽位）+交换板+双主控板+触控面板+双电源；</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3.22.4.2</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投标产品为框架式结构，采用无源背板，机箱不小于13个板卡插槽，系统稳定可靠；</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★3.22.4.3</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支持虚拟云台控制功能，具备虚拟云台控制按键，可调整球机和云台的运行速度和方向，并且支持多用户云台抢占、云台控制锁定功能</w:t>
            </w:r>
          </w:p>
          <w:p>
            <w:pPr>
              <w:pStyle w:val="2"/>
              <w:spacing w:line="400" w:lineRule="exact"/>
              <w:rPr>
                <w:rFonts w:hint="eastAsia" w:ascii="宋体" w:hAnsi="宋体"/>
                <w:i w:val="0"/>
                <w:color w:val="000000"/>
                <w:sz w:val="21"/>
                <w:szCs w:val="21"/>
              </w:rPr>
            </w:pPr>
            <w:r>
              <w:rPr>
                <w:rFonts w:hint="eastAsia" w:ascii="宋体" w:hAnsi="宋体" w:cs="宋体"/>
                <w:i w:val="0"/>
                <w:color w:val="000000"/>
                <w:sz w:val="21"/>
                <w:szCs w:val="21"/>
              </w:rPr>
              <w:t>（提供公安部检测报告复印件加盖供应商公章，原件于投标截止时间前提交，未提供原件或原件与复印件不一致，本项视作负偏离。）</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3.22.5</w:t>
            </w:r>
          </w:p>
        </w:tc>
        <w:tc>
          <w:tcPr>
            <w:tcW w:w="1055"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输入编码板</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DVI编码输入板，支持4路DVI信号接入；支持H264编码，支持Smart264编码；支持用转接头进行VGA、HDMI输入转DVI输入；支持复合音频输入</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3.22.6</w:t>
            </w:r>
          </w:p>
        </w:tc>
        <w:tc>
          <w:tcPr>
            <w:tcW w:w="1055"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输出编码板</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HDMI接口输出265解码板（不支持MPEG-2）持4路HDMI信号输出，支持解码2路2400W@25fps、或4路1200W@25fps、或8路800W@25fps、或16路400W@25fps、或 32路200W@25fps，或64路720P@25fps及以下分辨率（例如4CIF），奇数口支持3840x2160@30Hz及以下标准分辨率输出，偶数口支持1080p及以下标准分辨率输出</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w:t>
            </w:r>
          </w:p>
        </w:tc>
        <w:tc>
          <w:tcPr>
            <w:tcW w:w="1055" w:type="dxa"/>
            <w:vMerge w:val="restart"/>
            <w:noWrap w:val="0"/>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szCs w:val="21"/>
              </w:rPr>
              <w:t>控制键盘</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屏幕区和摇杆区采用分体设计</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3.22.7.2</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支持网络方式接入本司全系列DVR、DVS、NVR、网络摄像机、球机等设备</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3.22.7.3</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支持在触控屏上预览图像或通过HDMI/DVI将图像投到外接显示屏上</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3.22.7.4</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支持控制视频综合平台、解码器、多屏控制器或NVR&amp;解码上墙一体机，直观展示电视墙布局</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3.22.7.5</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支持云台控制，支持预置点、巡航和轨迹的设置与调用</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3.22.7.6</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支持回放硬盘录像机上的录像文件，支持控制解码器回放</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3.22.7.7</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支持抓图、录像功能，文件保存至U盘或上传至FTP服务器</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3.22.7.8</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支持最多添加8000台设备，支持以ONVIF协议接入设备</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3.22.7.9</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支持通过excel批量添加监控点位，借助U盘导入</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3.22.7.10</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两级用户权限，支持32个用户 ，1个admin管理员用户和31个操作员用户</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3.22.7.11</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支持接入HikCentral(海外)</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3.22.7.12</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支持接入iSecure（海豚）平台（国内）</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3.22.7.13</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支持U盘升级及导入/导出配置文件</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3.22.7.14</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支持接入综合安防平台</w:t>
            </w:r>
          </w:p>
        </w:tc>
        <w:tc>
          <w:tcPr>
            <w:tcW w:w="0" w:type="auto"/>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3.22.7.15</w:t>
            </w:r>
          </w:p>
        </w:tc>
        <w:tc>
          <w:tcPr>
            <w:tcW w:w="1055" w:type="dxa"/>
            <w:vMerge w:val="continue"/>
            <w:noWrap w:val="0"/>
            <w:vAlign w:val="center"/>
          </w:tcPr>
          <w:p>
            <w:pPr>
              <w:widowControl/>
              <w:spacing w:line="400" w:lineRule="exac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支持语音识别，通过指定的语音指令实现快捷切换操作。(仅限国内)</w:t>
            </w:r>
          </w:p>
        </w:tc>
        <w:tc>
          <w:tcPr>
            <w:tcW w:w="0" w:type="auto"/>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r>
        <w:rPr>
          <w:rFonts w:hint="eastAsia" w:ascii="宋体" w:hAnsi="宋体"/>
          <w:b/>
          <w:bCs/>
          <w:color w:val="000000"/>
          <w:kern w:val="0"/>
          <w:szCs w:val="21"/>
        </w:rPr>
        <w:t>3.23 后端存储设备</w:t>
      </w:r>
    </w:p>
    <w:tbl>
      <w:tblPr>
        <w:tblStyle w:val="4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024"/>
        <w:gridCol w:w="657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105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分类</w:t>
            </w:r>
          </w:p>
        </w:tc>
        <w:tc>
          <w:tcPr>
            <w:tcW w:w="6708"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技术参数</w:t>
            </w:r>
          </w:p>
        </w:tc>
        <w:tc>
          <w:tcPr>
            <w:tcW w:w="1135" w:type="dxa"/>
            <w:noWrap w:val="0"/>
            <w:vAlign w:val="top"/>
          </w:tcPr>
          <w:p>
            <w:pPr>
              <w:spacing w:line="400" w:lineRule="exact"/>
              <w:jc w:val="center"/>
              <w:rPr>
                <w:rFonts w:ascii="宋体" w:hAnsi="宋体" w:cs="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3.23.1.1</w:t>
            </w:r>
          </w:p>
        </w:tc>
        <w:tc>
          <w:tcPr>
            <w:tcW w:w="1055" w:type="dxa"/>
            <w:vMerge w:val="restar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视频接入管理软件</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提供系统内的组织、人员、车辆、用户、角色、认证、区域等的配置和管理。已包含：图上监控、事件联动、视频网管。</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3.23.1.2</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对前端编码设备进行集中管理，并提供视频预览、云台控制、录像回放、图片查看等应用。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3.23.1.3</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依赖人脸监控、门禁、停车场、园区卡口的数据，请选配对应的业务组件。</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3.23.1.4</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对车辆分组管理和充值管理；配置不同的放行规则，收费规则和优惠规则；相关信息记录的查询和数据的统计分析；同时能够配置停车场车道相关参数信息。</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3.23.1.5</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包含基于人脸识别技术的智能应用，同时能够进行对应配置。</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3.23.1.6</w:t>
            </w:r>
          </w:p>
        </w:tc>
        <w:tc>
          <w:tcPr>
            <w:tcW w:w="1055" w:type="dxa"/>
            <w:vMerge w:val="continue"/>
            <w:noWrap w:val="0"/>
            <w:vAlign w:val="center"/>
          </w:tcPr>
          <w:p>
            <w:pPr>
              <w:widowControl/>
              <w:spacing w:line="400" w:lineRule="exact"/>
              <w:jc w:val="left"/>
              <w:textAlignment w:val="center"/>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访客管理应用，包括访客预约、来访记录查询、访客权限管理；同时能够对访客相关参数进行配置。</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3.23.2.1</w:t>
            </w:r>
          </w:p>
        </w:tc>
        <w:tc>
          <w:tcPr>
            <w:tcW w:w="1055" w:type="dxa"/>
            <w:vMerge w:val="restar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中心管理服务器</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4114(10核2.2GHz)×2/64GB DDR4/600G 10K SAS×2（RAID 1）/SAS_HBA/1GbE×2+10GbE×2/550W(1+1)/2U/16DIMM</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2U双路标准机架式服务器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CPU：2颗Xeon® Silver 4114（10核，2.2GHz）</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3.23.2.4</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内存：16G*4 DDR4，16根内存插槽，最大支持扩展至2TB内存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3.23.2.5</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硬盘：2块600G 10K 2.5寸 SAS硬盘，最高可支持12块3.5寸（兼容2.5寸）热插拔SAS/SATA硬盘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3.23.2.6</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阵列卡：SAS_HBA卡，支持RAID 0/1/10</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3.23.2.7</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PCIE扩展：最大可支持6个PCIE扩展插槽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3.23.2.8</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网口：2个千兆电口,2个万兆光口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3.23.2.9</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其他接口：1个RJ45管理接口，4个USB 3.0接口，1个VGA接口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3.23.2.10</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电源：标配550W（1+1）高效铂金CRPS冗余电源</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3.23.2.11</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机箱规格：87.8mm(高)x 448mm(宽)x729.8mm(深)</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3.23.2.12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设备重量：约26KG（含导轨）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3.23.2.13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操作系统：HIK OS</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3.23.3.1</w:t>
            </w:r>
          </w:p>
        </w:tc>
        <w:tc>
          <w:tcPr>
            <w:tcW w:w="1055" w:type="dxa"/>
            <w:vMerge w:val="restar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数据库服务器</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4114(10核2.2GHz)×2/64GB DDR4/600G 10K SAS×2（RAID 1）/SAS_HBA/1GbE×2+10GbE×2/550W(1+1)/2U/16DIMM</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2U双路标准机架式服务器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CPU：2颗Xeon® Silver 4114（10核，2.2GHz）</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3.23.3.4</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内存：16G*4 DDR4，16根内存插槽，最大支持扩展至2TB内存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3.23.3.5</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硬盘：2块600G 10K 2.5寸 SAS硬盘，最高可支持12块3.5寸（兼容2.5寸）热插拔SAS/SATA硬盘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3.23.3.6</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阵列卡：SAS_HBA卡，支持RAID 0/1/10</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3.23.3.7</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PCIE扩展：最大可支持6个PCIE扩展插槽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3.23.3.8</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网口：2个千兆电口,2个万兆光口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3.23.3.9</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其他接口：1个RJ45管理接口，4个USB 3.0接口，1个VGA接口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3.23.3.10</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电源：标配550W（1+1）高效铂金CRPS冗余电源</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3.23.3.11</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机箱规格：87.8mm(高)x 448mm(宽)x729.8mm(深)</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3.23.3.12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设备重量：约26KG（含导轨）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3.23.3.13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操作系统：HIK OS</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w:t>
            </w:r>
          </w:p>
        </w:tc>
        <w:tc>
          <w:tcPr>
            <w:tcW w:w="1055" w:type="dxa"/>
            <w:vMerge w:val="restar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流媒体服务器</w:t>
            </w: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HG7163(16核2.4GHz)×1/32GB DDR4/600GB SAS*2（RAID 1）/SAS_HBA/1GbE*2/550W(1+1)/2U/16DIMM</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2U单路标准机架式服务器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CPU：1颗 HG7163(16核，2.4GHz)</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3.23.4.4</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内存2*16G DDR4，16根内存插槽，最大支持扩展至2TB内存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3.23.4.5</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硬盘：2块600G 10K 2.5英寸SAS盘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3.23.4.6</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可选支持12块前置3.5寸(兼容2.5寸)热插拔SAS/SATA硬盘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3.23.4.7</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可选支持2块后置2.5寸热插拔SAS/SATA硬盘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3.23.4.8</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可选支持4块NVME U.2热插拔硬盘</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3.23.4.9</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支持1个M.2插槽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3.23.4.10</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支持1个TF插槽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3.23.4.11</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阵列卡：标配SAS_HBA卡，支持RAID0/1/10</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可选RAID_2G卡，支持0/1/5/6/10/50/60，可选支持断电保护</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PCIE扩展：最大可支持6个PCIe扩展插槽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3.23.4.14</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网口：2个千兆电口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3.23.4.15</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其他接口：1个千兆RJ-45管理接口，4个USB 3.0接口，2个位于机箱后部，2个位于机箱前部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3.23.4.16</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1个VGA口，位于机箱后部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3.23.4.17</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电源：标配550W（1+1）白金冗余电源</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3.23.4.18</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支持200-240V 50/60Hz AC/HVDC</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3.23.4.19</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机箱规格：87.8mm(高)x 448mm(宽)x730mm(深)</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3.23.4.20</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设备重量：约25KG（不含导轨）</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3.23.4.21</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操作系统：HIK OS</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3.23.5.1</w:t>
            </w:r>
          </w:p>
        </w:tc>
        <w:tc>
          <w:tcPr>
            <w:tcW w:w="1055" w:type="dxa"/>
            <w:vMerge w:val="restar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交换机</w:t>
            </w:r>
          </w:p>
        </w:tc>
        <w:tc>
          <w:tcPr>
            <w:tcW w:w="6708"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全网管三层交换机，机架式，48个千兆光口，4个万兆SFP+光口；</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2</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1个业务扩展槽，2个电源模块槽位，2个风扇模块槽位，</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3</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交换容量598Gbps，包转发率252Mpps</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4</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1U高度，19英寸宽，</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5</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工作温度：0℃～45℃，支持交直流供电，满负荷功耗130W（单交流电源情况下）；</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6</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支持RIP/OSPF/BGP/IS-IS/VRRP，IPv6，VLAN，流量控制，ACL，QoS，端口镜像，环网RRPP/ERPS、支持SNMP V1/V2c/V3网管。</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7</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配置：可用千兆光接口数量≥48，非复用万兆光接口数量≥4，支持一个端口扩展槽位</w:t>
            </w:r>
          </w:p>
        </w:tc>
        <w:tc>
          <w:tcPr>
            <w:tcW w:w="1135" w:type="dxa"/>
            <w:noWrap w:val="0"/>
            <w:vAlign w:val="top"/>
          </w:tcPr>
          <w:p>
            <w:pPr>
              <w:spacing w:line="40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3.23.5.</w:t>
            </w:r>
            <w:r>
              <w:rPr>
                <w:rFonts w:ascii="宋体" w:hAnsi="宋体" w:cs="宋体"/>
                <w:color w:val="000000"/>
                <w:szCs w:val="21"/>
              </w:rPr>
              <w:t>8</w:t>
            </w:r>
          </w:p>
        </w:tc>
        <w:tc>
          <w:tcPr>
            <w:tcW w:w="1055" w:type="dxa"/>
            <w:vMerge w:val="continue"/>
            <w:noWrap w:val="0"/>
            <w:vAlign w:val="center"/>
          </w:tcPr>
          <w:p>
            <w:pPr>
              <w:spacing w:line="400" w:lineRule="exact"/>
              <w:jc w:val="left"/>
              <w:rPr>
                <w:rFonts w:ascii="宋体" w:hAnsi="宋体" w:cs="宋体"/>
                <w:color w:val="000000"/>
                <w:szCs w:val="21"/>
              </w:rPr>
            </w:pPr>
          </w:p>
        </w:tc>
        <w:tc>
          <w:tcPr>
            <w:tcW w:w="6708" w:type="dxa"/>
            <w:noWrap w:val="0"/>
            <w:vAlign w:val="center"/>
          </w:tcPr>
          <w:p>
            <w:pPr>
              <w:widowControl/>
              <w:spacing w:line="40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具有电信设备进网许可证、入网检测报告证明以及CCC认证证书且产品符合CQC31-452422-2019认证规则要求</w:t>
            </w:r>
          </w:p>
        </w:tc>
        <w:tc>
          <w:tcPr>
            <w:tcW w:w="1135" w:type="dxa"/>
            <w:noWrap w:val="0"/>
            <w:vAlign w:val="top"/>
          </w:tcPr>
          <w:p>
            <w:pPr>
              <w:spacing w:line="400" w:lineRule="exact"/>
              <w:rPr>
                <w:rFonts w:ascii="宋体" w:hAnsi="宋体" w:cs="宋体"/>
                <w:color w:val="000000"/>
                <w:szCs w:val="21"/>
              </w:rPr>
            </w:pPr>
          </w:p>
        </w:tc>
      </w:tr>
    </w:tbl>
    <w:p>
      <w:pPr>
        <w:spacing w:before="240" w:beforeLines="100" w:line="400" w:lineRule="exact"/>
        <w:rPr>
          <w:rFonts w:ascii="宋体" w:hAnsi="宋体"/>
          <w:b/>
          <w:bCs/>
          <w:color w:val="000000"/>
          <w:kern w:val="0"/>
          <w:szCs w:val="21"/>
        </w:rPr>
      </w:pPr>
      <w:bookmarkStart w:id="83" w:name="_Hlk45273550"/>
      <w:r>
        <w:rPr>
          <w:rFonts w:hint="eastAsia" w:ascii="宋体" w:hAnsi="宋体"/>
          <w:b/>
          <w:bCs/>
          <w:color w:val="000000"/>
          <w:kern w:val="0"/>
          <w:szCs w:val="21"/>
        </w:rPr>
        <w:t>四、软件平台参数</w:t>
      </w:r>
    </w:p>
    <w:p>
      <w:pPr>
        <w:pStyle w:val="31"/>
        <w:spacing w:line="400" w:lineRule="exact"/>
        <w:ind w:left="422" w:hanging="422"/>
        <w:outlineLvl w:val="1"/>
        <w:rPr>
          <w:rFonts w:ascii="宋体" w:hAnsi="宋体"/>
          <w:b/>
          <w:color w:val="000000"/>
          <w:sz w:val="21"/>
          <w:szCs w:val="21"/>
        </w:rPr>
      </w:pPr>
      <w:r>
        <w:rPr>
          <w:rFonts w:ascii="宋体" w:hAnsi="宋体"/>
          <w:b/>
          <w:color w:val="000000"/>
          <w:sz w:val="21"/>
          <w:szCs w:val="21"/>
        </w:rPr>
        <w:t>4</w:t>
      </w:r>
      <w:r>
        <w:rPr>
          <w:rFonts w:hint="eastAsia" w:ascii="宋体" w:hAnsi="宋体"/>
          <w:b/>
          <w:color w:val="000000"/>
          <w:sz w:val="21"/>
          <w:szCs w:val="21"/>
        </w:rPr>
        <w:t xml:space="preserve">.1 安全基础管理系统要求 </w:t>
      </w:r>
      <w:bookmarkEnd w:id="83"/>
    </w:p>
    <w:tbl>
      <w:tblPr>
        <w:tblStyle w:val="44"/>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43"/>
        <w:gridCol w:w="705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3" w:type="pct"/>
            <w:noWrap w:val="0"/>
            <w:vAlign w:val="top"/>
          </w:tcPr>
          <w:p>
            <w:pPr>
              <w:spacing w:line="400" w:lineRule="exact"/>
              <w:jc w:val="center"/>
              <w:rPr>
                <w:rFonts w:ascii="宋体" w:hAnsi="宋体"/>
                <w:b/>
                <w:bCs/>
                <w:color w:val="000000"/>
                <w:szCs w:val="21"/>
              </w:rPr>
            </w:pPr>
            <w:r>
              <w:rPr>
                <w:rFonts w:hint="eastAsia" w:ascii="宋体" w:hAnsi="宋体"/>
                <w:b/>
                <w:bCs/>
                <w:color w:val="000000"/>
                <w:szCs w:val="21"/>
              </w:rPr>
              <w:t>序号</w:t>
            </w:r>
          </w:p>
        </w:tc>
        <w:tc>
          <w:tcPr>
            <w:tcW w:w="608" w:type="pct"/>
            <w:noWrap w:val="0"/>
            <w:vAlign w:val="top"/>
          </w:tcPr>
          <w:p>
            <w:pPr>
              <w:spacing w:line="400" w:lineRule="exact"/>
              <w:jc w:val="center"/>
              <w:rPr>
                <w:rFonts w:ascii="宋体" w:hAnsi="宋体"/>
                <w:b/>
                <w:bCs/>
                <w:color w:val="000000"/>
                <w:szCs w:val="21"/>
              </w:rPr>
            </w:pPr>
            <w:r>
              <w:rPr>
                <w:rFonts w:hint="eastAsia" w:ascii="宋体" w:hAnsi="宋体"/>
                <w:b/>
                <w:bCs/>
                <w:color w:val="000000"/>
                <w:szCs w:val="21"/>
              </w:rPr>
              <w:t>模块</w:t>
            </w:r>
          </w:p>
        </w:tc>
        <w:tc>
          <w:tcPr>
            <w:tcW w:w="3453" w:type="pct"/>
            <w:noWrap w:val="0"/>
            <w:vAlign w:val="top"/>
          </w:tcPr>
          <w:p>
            <w:pPr>
              <w:spacing w:line="400" w:lineRule="exact"/>
              <w:jc w:val="center"/>
              <w:rPr>
                <w:rFonts w:ascii="宋体" w:hAnsi="宋体"/>
                <w:b/>
                <w:bCs/>
                <w:color w:val="000000"/>
                <w:szCs w:val="21"/>
              </w:rPr>
            </w:pPr>
            <w:r>
              <w:rPr>
                <w:rFonts w:hint="eastAsia" w:ascii="宋体" w:hAnsi="宋体"/>
                <w:b/>
                <w:bCs/>
                <w:color w:val="000000"/>
                <w:szCs w:val="21"/>
              </w:rPr>
              <w:t>主要功能要求</w:t>
            </w:r>
          </w:p>
        </w:tc>
        <w:tc>
          <w:tcPr>
            <w:tcW w:w="576" w:type="pct"/>
            <w:noWrap w:val="0"/>
            <w:vAlign w:val="top"/>
          </w:tcPr>
          <w:p>
            <w:pPr>
              <w:spacing w:line="400" w:lineRule="exact"/>
              <w:jc w:val="center"/>
              <w:rPr>
                <w:rFonts w:hint="eastAsia" w:ascii="宋体" w:hAnsi="宋体"/>
                <w:b/>
                <w:bCs/>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spacing w:line="400" w:lineRule="exact"/>
              <w:jc w:val="center"/>
              <w:rPr>
                <w:rFonts w:ascii="宋体" w:hAnsi="宋体"/>
                <w:color w:val="000000"/>
                <w:szCs w:val="21"/>
              </w:rPr>
            </w:pPr>
            <w:r>
              <w:rPr>
                <w:rFonts w:ascii="宋体" w:hAnsi="宋体"/>
                <w:color w:val="000000"/>
                <w:szCs w:val="21"/>
              </w:rPr>
              <w:t>4.1.1</w:t>
            </w:r>
          </w:p>
        </w:tc>
        <w:tc>
          <w:tcPr>
            <w:tcW w:w="608" w:type="pct"/>
            <w:vMerge w:val="restart"/>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后台配置管理</w:t>
            </w:r>
          </w:p>
        </w:tc>
        <w:tc>
          <w:tcPr>
            <w:tcW w:w="3453"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权限配置</w:t>
            </w:r>
          </w:p>
          <w:p>
            <w:pPr>
              <w:spacing w:line="400" w:lineRule="exact"/>
              <w:jc w:val="left"/>
              <w:rPr>
                <w:rFonts w:hint="eastAsia" w:ascii="宋体" w:hAnsi="宋体"/>
                <w:color w:val="000000"/>
                <w:szCs w:val="21"/>
              </w:rPr>
            </w:pPr>
            <w:r>
              <w:rPr>
                <w:rFonts w:hint="eastAsia" w:ascii="宋体" w:hAnsi="宋体"/>
                <w:color w:val="000000"/>
                <w:szCs w:val="21"/>
              </w:rPr>
              <w:t>按照学校、局端分别配置系统各个管理角色及业务角色等不同角色人员的各类权限</w:t>
            </w:r>
          </w:p>
        </w:tc>
        <w:tc>
          <w:tcPr>
            <w:tcW w:w="576"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.1.2</w:t>
            </w:r>
          </w:p>
        </w:tc>
        <w:tc>
          <w:tcPr>
            <w:tcW w:w="608" w:type="pct"/>
            <w:vMerge w:val="continue"/>
            <w:noWrap w:val="0"/>
            <w:vAlign w:val="center"/>
          </w:tcPr>
          <w:p>
            <w:pPr>
              <w:spacing w:line="400" w:lineRule="exact"/>
              <w:jc w:val="center"/>
              <w:rPr>
                <w:rFonts w:hint="eastAsia" w:ascii="宋体" w:hAnsi="宋体" w:cs="宋体"/>
                <w:bCs/>
                <w:color w:val="000000"/>
                <w:szCs w:val="21"/>
              </w:rPr>
            </w:pPr>
          </w:p>
        </w:tc>
        <w:tc>
          <w:tcPr>
            <w:tcW w:w="3453"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角色配置</w:t>
            </w:r>
          </w:p>
          <w:p>
            <w:pPr>
              <w:spacing w:line="400" w:lineRule="exact"/>
              <w:jc w:val="left"/>
              <w:rPr>
                <w:rFonts w:hint="eastAsia" w:ascii="宋体" w:hAnsi="宋体"/>
                <w:color w:val="000000"/>
                <w:szCs w:val="21"/>
              </w:rPr>
            </w:pPr>
            <w:r>
              <w:rPr>
                <w:rFonts w:hint="eastAsia" w:ascii="宋体" w:hAnsi="宋体" w:cs="宋体"/>
                <w:bCs/>
                <w:color w:val="000000"/>
                <w:szCs w:val="21"/>
              </w:rPr>
              <w:t>局端、校端</w:t>
            </w:r>
            <w:r>
              <w:rPr>
                <w:rFonts w:hint="eastAsia" w:ascii="宋体" w:hAnsi="宋体"/>
                <w:color w:val="000000"/>
                <w:szCs w:val="21"/>
              </w:rPr>
              <w:t>管理员可自定义配置相应的各角色身份的人员角色，并结合权限配置进行相应人员的角色权限分配。</w:t>
            </w:r>
          </w:p>
        </w:tc>
        <w:tc>
          <w:tcPr>
            <w:tcW w:w="576"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.1.3</w:t>
            </w:r>
          </w:p>
        </w:tc>
        <w:tc>
          <w:tcPr>
            <w:tcW w:w="608" w:type="pct"/>
            <w:vMerge w:val="continue"/>
            <w:noWrap w:val="0"/>
            <w:vAlign w:val="center"/>
          </w:tcPr>
          <w:p>
            <w:pPr>
              <w:spacing w:line="400" w:lineRule="exact"/>
              <w:jc w:val="center"/>
              <w:rPr>
                <w:rFonts w:hint="eastAsia" w:ascii="宋体" w:hAnsi="宋体" w:cs="宋体"/>
                <w:bCs/>
                <w:color w:val="000000"/>
                <w:szCs w:val="21"/>
              </w:rPr>
            </w:pPr>
          </w:p>
        </w:tc>
        <w:tc>
          <w:tcPr>
            <w:tcW w:w="3453"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业务基础配置</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对于系统各业务所需的基础项能够实现自定义的配置；对于系统管理的业务规则、时限、时间周期等时限配置化管理。</w:t>
            </w:r>
          </w:p>
        </w:tc>
        <w:tc>
          <w:tcPr>
            <w:tcW w:w="576"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.1.4</w:t>
            </w:r>
          </w:p>
        </w:tc>
        <w:tc>
          <w:tcPr>
            <w:tcW w:w="608" w:type="pct"/>
            <w:vMerge w:val="continue"/>
            <w:noWrap w:val="0"/>
            <w:vAlign w:val="center"/>
          </w:tcPr>
          <w:p>
            <w:pPr>
              <w:spacing w:line="400" w:lineRule="exact"/>
              <w:jc w:val="center"/>
              <w:rPr>
                <w:rFonts w:hint="eastAsia" w:ascii="宋体" w:hAnsi="宋体" w:cs="宋体"/>
                <w:bCs/>
                <w:color w:val="000000"/>
                <w:szCs w:val="21"/>
              </w:rPr>
            </w:pPr>
          </w:p>
        </w:tc>
        <w:tc>
          <w:tcPr>
            <w:tcW w:w="3453"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权限规则</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用户可同时拥有多个角色，可以同时拥有多个角色的相应权限。</w:t>
            </w:r>
          </w:p>
        </w:tc>
        <w:tc>
          <w:tcPr>
            <w:tcW w:w="576" w:type="pct"/>
            <w:noWrap w:val="0"/>
            <w:vAlign w:val="top"/>
          </w:tcPr>
          <w:p>
            <w:pPr>
              <w:spacing w:line="400" w:lineRule="exact"/>
              <w:jc w:val="left"/>
              <w:rPr>
                <w:rFonts w:hint="eastAsia" w:ascii="宋体" w:hAnsi="宋体" w:cs="宋体"/>
                <w:bCs/>
                <w:color w:val="000000"/>
                <w:szCs w:val="21"/>
              </w:rPr>
            </w:pPr>
          </w:p>
        </w:tc>
      </w:tr>
    </w:tbl>
    <w:p>
      <w:pPr>
        <w:spacing w:line="400" w:lineRule="exact"/>
        <w:outlineLvl w:val="2"/>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2</w:t>
      </w:r>
      <w:r>
        <w:rPr>
          <w:rFonts w:hint="eastAsia" w:ascii="宋体" w:hAnsi="宋体"/>
          <w:b/>
          <w:bCs/>
          <w:color w:val="000000"/>
          <w:szCs w:val="21"/>
        </w:rPr>
        <w:t>数据信息采集要求</w:t>
      </w:r>
    </w:p>
    <w:tbl>
      <w:tblPr>
        <w:tblStyle w:val="44"/>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116"/>
        <w:gridCol w:w="711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6" w:type="pct"/>
            <w:noWrap w:val="0"/>
            <w:vAlign w:val="top"/>
          </w:tcPr>
          <w:p>
            <w:pPr>
              <w:spacing w:line="400" w:lineRule="exact"/>
              <w:jc w:val="center"/>
              <w:rPr>
                <w:rFonts w:ascii="宋体" w:hAnsi="宋体"/>
                <w:color w:val="000000"/>
                <w:szCs w:val="21"/>
              </w:rPr>
            </w:pPr>
            <w:r>
              <w:rPr>
                <w:rFonts w:hint="eastAsia" w:ascii="宋体" w:hAnsi="宋体"/>
                <w:b/>
                <w:bCs/>
                <w:color w:val="000000"/>
                <w:szCs w:val="21"/>
              </w:rPr>
              <w:t>序号</w:t>
            </w:r>
          </w:p>
        </w:tc>
        <w:tc>
          <w:tcPr>
            <w:tcW w:w="547" w:type="pct"/>
            <w:noWrap w:val="0"/>
            <w:vAlign w:val="top"/>
          </w:tcPr>
          <w:p>
            <w:pPr>
              <w:spacing w:line="400" w:lineRule="exact"/>
              <w:jc w:val="center"/>
              <w:rPr>
                <w:rFonts w:hint="eastAsia" w:ascii="宋体" w:hAnsi="宋体" w:cs="宋体"/>
                <w:bCs/>
                <w:color w:val="000000"/>
                <w:szCs w:val="21"/>
              </w:rPr>
            </w:pPr>
            <w:r>
              <w:rPr>
                <w:rFonts w:hint="eastAsia" w:ascii="宋体" w:hAnsi="宋体"/>
                <w:b/>
                <w:bCs/>
                <w:color w:val="000000"/>
                <w:szCs w:val="21"/>
              </w:rPr>
              <w:t>模块</w:t>
            </w:r>
          </w:p>
        </w:tc>
        <w:tc>
          <w:tcPr>
            <w:tcW w:w="3487" w:type="pct"/>
            <w:noWrap w:val="0"/>
            <w:vAlign w:val="top"/>
          </w:tcPr>
          <w:p>
            <w:pPr>
              <w:spacing w:line="400" w:lineRule="exact"/>
              <w:jc w:val="center"/>
              <w:rPr>
                <w:rFonts w:hint="eastAsia" w:ascii="宋体" w:hAnsi="宋体" w:cs="宋体"/>
                <w:color w:val="000000"/>
                <w:szCs w:val="21"/>
              </w:rPr>
            </w:pPr>
            <w:r>
              <w:rPr>
                <w:rFonts w:hint="eastAsia" w:ascii="宋体" w:hAnsi="宋体"/>
                <w:b/>
                <w:bCs/>
                <w:color w:val="000000"/>
                <w:szCs w:val="21"/>
              </w:rPr>
              <w:t>主要功能要求</w:t>
            </w:r>
          </w:p>
        </w:tc>
        <w:tc>
          <w:tcPr>
            <w:tcW w:w="550" w:type="pct"/>
            <w:noWrap w:val="0"/>
            <w:vAlign w:val="top"/>
          </w:tcPr>
          <w:p>
            <w:pPr>
              <w:spacing w:line="400" w:lineRule="exact"/>
              <w:jc w:val="center"/>
              <w:rPr>
                <w:rFonts w:hint="eastAsia" w:ascii="宋体" w:hAnsi="宋体" w:cs="宋体"/>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ascii="宋体" w:hAnsi="宋体"/>
                <w:color w:val="000000"/>
                <w:szCs w:val="21"/>
              </w:rPr>
            </w:pPr>
            <w:r>
              <w:rPr>
                <w:rFonts w:ascii="宋体" w:hAnsi="宋体"/>
                <w:color w:val="000000"/>
                <w:szCs w:val="21"/>
              </w:rPr>
              <w:t>4.2.1</w:t>
            </w:r>
          </w:p>
        </w:tc>
        <w:tc>
          <w:tcPr>
            <w:tcW w:w="547" w:type="pct"/>
            <w:vMerge w:val="restart"/>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数据信息采集</w:t>
            </w:r>
          </w:p>
        </w:tc>
        <w:tc>
          <w:tcPr>
            <w:tcW w:w="3487" w:type="pc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安保干部</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记录并更新安保干部的基础信息并配属巡查员的人员安排</w:t>
            </w:r>
          </w:p>
        </w:tc>
        <w:tc>
          <w:tcPr>
            <w:tcW w:w="550" w:type="pct"/>
            <w:noWrap w:val="0"/>
            <w:vAlign w:val="top"/>
          </w:tcPr>
          <w:p>
            <w:pPr>
              <w:spacing w:line="400" w:lineRule="exact"/>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.2.2</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三防管理</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1）人防</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记录并更新保安人员的基础信息，系统支持对保安人员的各类信息、各类证件进行验证和期限审核功能，支持信息预警与提示。</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可对保安人员进行人员新增、解聘管理，有历史保安人员的信息，并可查询。</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2）物防</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根据学校安全技术防范系统建设技术标准，对于物防装备配置的各项装备情况进行管理，并按照国家中小学幼儿园安全防范标准对上述装备配备情况进行进行统计和标准比对。</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3）技防</w:t>
            </w:r>
          </w:p>
          <w:p>
            <w:pPr>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技防装备配置管理：按照国家中小学幼儿园安全防范标准对技防装备的基础配置标准进行统计和标准比对。</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.2.3</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消防设施</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1）灭火器</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对于校方设施灭火器的基础信息进行采集与统计；</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对于灭火器进行网格化配置、相关责任人管理；</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根据消防法相关规定可对灭火器进行使用、停用、报废、更新罐装等管理，并对设备有效使用进行预警与提示。</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2）灭火毯</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对于校方设施灭火毯的基础信息进行采集与统计；</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对于灭火毯进行网格化配置、相关责任人管理；</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根据消防法相关规定可对灭火毯进行使用、停用、报废等管理，并对设备有效使用进行预警与提示。</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3）消火栓</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对于校方设施消火栓的基础信息进行采集与统计；</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 xml:space="preserve">   对于消火栓进行网格化配置、相关责任人管理；</w:t>
            </w:r>
          </w:p>
          <w:p>
            <w:pPr>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 xml:space="preserve">   根据消防法相关规定可对消火栓及配件进行使用、停用、报废及匹配性等管理。</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.2.4</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rPr>
                <w:rFonts w:ascii="宋体" w:hAnsi="宋体"/>
                <w:color w:val="000000"/>
                <w:szCs w:val="21"/>
              </w:rPr>
            </w:pPr>
            <w:r>
              <w:rPr>
                <w:rFonts w:hint="eastAsia" w:ascii="宋体" w:hAnsi="宋体"/>
                <w:color w:val="000000"/>
                <w:szCs w:val="21"/>
              </w:rPr>
              <w:t>食堂管理</w:t>
            </w:r>
          </w:p>
          <w:p>
            <w:pPr>
              <w:spacing w:line="400" w:lineRule="exact"/>
              <w:ind w:firstLine="420" w:firstLineChars="200"/>
              <w:rPr>
                <w:rFonts w:ascii="宋体" w:hAnsi="宋体"/>
                <w:color w:val="000000"/>
                <w:szCs w:val="21"/>
              </w:rPr>
            </w:pPr>
            <w:r>
              <w:rPr>
                <w:rFonts w:hint="eastAsia" w:ascii="宋体" w:hAnsi="宋体"/>
                <w:color w:val="000000"/>
                <w:szCs w:val="21"/>
              </w:rPr>
              <w:t xml:space="preserve"> 1）食堂信息</w:t>
            </w:r>
          </w:p>
          <w:p>
            <w:pPr>
              <w:spacing w:line="400" w:lineRule="exact"/>
              <w:ind w:firstLine="420" w:firstLineChars="200"/>
              <w:rPr>
                <w:rFonts w:ascii="宋体" w:hAnsi="宋体"/>
                <w:color w:val="000000"/>
                <w:szCs w:val="21"/>
              </w:rPr>
            </w:pPr>
            <w:r>
              <w:rPr>
                <w:rFonts w:hint="eastAsia" w:ascii="宋体" w:hAnsi="宋体"/>
                <w:color w:val="000000"/>
                <w:szCs w:val="21"/>
              </w:rPr>
              <w:t>对于食堂的食堂食品安全等级、阳光厨房、食品添加剂进行管理；</w:t>
            </w:r>
          </w:p>
          <w:p>
            <w:pPr>
              <w:spacing w:line="400" w:lineRule="exact"/>
              <w:ind w:firstLine="420" w:firstLineChars="200"/>
              <w:rPr>
                <w:rFonts w:ascii="宋体" w:hAnsi="宋体"/>
                <w:color w:val="000000"/>
                <w:szCs w:val="21"/>
              </w:rPr>
            </w:pPr>
            <w:r>
              <w:rPr>
                <w:rFonts w:hint="eastAsia" w:ascii="宋体" w:hAnsi="宋体"/>
                <w:color w:val="000000"/>
                <w:szCs w:val="21"/>
              </w:rPr>
              <w:t>对于食堂消防安全相关烟道清洗进行重点管理，管理情况可实现历史追溯。</w:t>
            </w:r>
          </w:p>
          <w:p>
            <w:pPr>
              <w:spacing w:line="400" w:lineRule="exact"/>
              <w:ind w:firstLine="420" w:firstLineChars="200"/>
              <w:rPr>
                <w:rFonts w:ascii="宋体" w:hAnsi="宋体"/>
                <w:color w:val="000000"/>
                <w:szCs w:val="21"/>
              </w:rPr>
            </w:pPr>
            <w:r>
              <w:rPr>
                <w:rFonts w:hint="eastAsia" w:ascii="宋体" w:hAnsi="宋体"/>
                <w:color w:val="000000"/>
                <w:szCs w:val="21"/>
              </w:rPr>
              <w:t>2）食堂从业人员管理</w:t>
            </w:r>
          </w:p>
          <w:p>
            <w:pPr>
              <w:spacing w:line="400" w:lineRule="exact"/>
              <w:ind w:firstLine="420" w:firstLineChars="200"/>
              <w:rPr>
                <w:rFonts w:ascii="宋体" w:hAnsi="宋体"/>
                <w:color w:val="000000"/>
                <w:szCs w:val="21"/>
              </w:rPr>
            </w:pPr>
            <w:r>
              <w:rPr>
                <w:rFonts w:hint="eastAsia" w:ascii="宋体" w:hAnsi="宋体"/>
                <w:color w:val="000000"/>
                <w:szCs w:val="21"/>
              </w:rPr>
              <w:t>对食堂从业人员进行管理，系统支持对人员的各类信息、各类证件进行验证和期限审核功能，支持信息预警与提示。</w:t>
            </w:r>
          </w:p>
          <w:p>
            <w:pPr>
              <w:spacing w:line="400" w:lineRule="exact"/>
              <w:ind w:firstLine="420" w:firstLineChars="200"/>
              <w:rPr>
                <w:rFonts w:ascii="宋体" w:hAnsi="宋体"/>
                <w:color w:val="000000"/>
                <w:szCs w:val="21"/>
              </w:rPr>
            </w:pPr>
            <w:r>
              <w:rPr>
                <w:rFonts w:hint="eastAsia" w:ascii="宋体" w:hAnsi="宋体"/>
                <w:color w:val="000000"/>
                <w:szCs w:val="21"/>
              </w:rPr>
              <w:t>3）监管管理</w:t>
            </w:r>
          </w:p>
          <w:p>
            <w:pPr>
              <w:spacing w:line="400" w:lineRule="exact"/>
              <w:ind w:firstLine="420" w:firstLineChars="200"/>
              <w:rPr>
                <w:rFonts w:hint="eastAsia" w:ascii="宋体" w:hAnsi="宋体"/>
                <w:color w:val="000000"/>
                <w:szCs w:val="21"/>
              </w:rPr>
            </w:pPr>
            <w:r>
              <w:rPr>
                <w:rFonts w:hint="eastAsia" w:ascii="宋体" w:hAnsi="宋体"/>
                <w:color w:val="000000"/>
                <w:szCs w:val="21"/>
              </w:rPr>
              <w:t>食堂安全管理中的索证索票、食品留样、储藏间管理、防尘防鼠防虫害、食品添加剂管理、许可证管理、健康证管理等等各项要素需要网格化划分，并专人负责常规性监管。</w:t>
            </w:r>
          </w:p>
        </w:tc>
        <w:tc>
          <w:tcPr>
            <w:tcW w:w="550" w:type="pct"/>
            <w:noWrap w:val="0"/>
            <w:vAlign w:val="top"/>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.2.5</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配电房</w:t>
            </w:r>
          </w:p>
          <w:p>
            <w:pPr>
              <w:spacing w:line="400" w:lineRule="exact"/>
              <w:jc w:val="left"/>
              <w:rPr>
                <w:rFonts w:ascii="宋体" w:hAnsi="宋体" w:cs="宋体"/>
                <w:bCs/>
                <w:color w:val="000000"/>
                <w:szCs w:val="21"/>
              </w:rPr>
            </w:pPr>
            <w:r>
              <w:rPr>
                <w:rFonts w:hint="eastAsia" w:ascii="宋体" w:hAnsi="宋体" w:cs="宋体"/>
                <w:bCs/>
                <w:color w:val="000000"/>
                <w:szCs w:val="21"/>
              </w:rPr>
              <w:t xml:space="preserve">   对于配电房的安全防范工作进行管理需要符合《浙江省中小学幼儿园安全防范工作实时细则》中相应要求，对于配电房所需配备的各项安全措施予以管理，并上述安全措施情况进行进行统计和标准比对。</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 xml:space="preserve">   各项防范措施局端可进行查验和审核，不符合规范要求配置的系统需要予以提示。</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.2.6</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特种设备</w:t>
            </w:r>
          </w:p>
          <w:p>
            <w:pPr>
              <w:spacing w:line="400" w:lineRule="exact"/>
              <w:jc w:val="left"/>
              <w:rPr>
                <w:rFonts w:ascii="宋体" w:hAnsi="宋体" w:cs="宋体"/>
                <w:bCs/>
                <w:color w:val="000000"/>
                <w:szCs w:val="21"/>
              </w:rPr>
            </w:pPr>
            <w:r>
              <w:rPr>
                <w:rFonts w:hint="eastAsia" w:ascii="宋体" w:hAnsi="宋体" w:cs="宋体"/>
                <w:bCs/>
                <w:color w:val="000000"/>
                <w:szCs w:val="21"/>
              </w:rPr>
              <w:t xml:space="preserve">  1）对于特种设备的安全防范工作进行管理需要符合《浙江省中小学幼儿园安全防范工作实时细则》中相应要求电梯、锅炉房、煤气房、管道煤气等各项特种设备进行管理。</w:t>
            </w:r>
          </w:p>
          <w:p>
            <w:pPr>
              <w:spacing w:line="400" w:lineRule="exact"/>
              <w:jc w:val="left"/>
              <w:rPr>
                <w:rFonts w:ascii="宋体" w:hAnsi="宋体" w:cs="宋体"/>
                <w:bCs/>
                <w:color w:val="000000"/>
                <w:szCs w:val="21"/>
              </w:rPr>
            </w:pPr>
            <w:r>
              <w:rPr>
                <w:rFonts w:hint="eastAsia" w:ascii="宋体" w:hAnsi="宋体" w:cs="宋体"/>
                <w:bCs/>
                <w:color w:val="000000"/>
                <w:szCs w:val="21"/>
              </w:rPr>
              <w:t xml:space="preserve">  2）对于特种设备相关规范要求的各项安全措施予以管理，各项防范措施局端可进行查验和审核，不符合规范要求配置的系统需要予以预警提示。</w:t>
            </w:r>
          </w:p>
          <w:p>
            <w:pPr>
              <w:spacing w:line="400" w:lineRule="exact"/>
              <w:ind w:firstLine="210"/>
              <w:jc w:val="left"/>
              <w:rPr>
                <w:rFonts w:ascii="宋体" w:hAnsi="宋体" w:cs="宋体"/>
                <w:bCs/>
                <w:color w:val="000000"/>
                <w:szCs w:val="21"/>
              </w:rPr>
            </w:pPr>
            <w:r>
              <w:rPr>
                <w:rFonts w:hint="eastAsia" w:ascii="宋体" w:hAnsi="宋体" w:cs="宋体"/>
                <w:bCs/>
                <w:color w:val="000000"/>
                <w:szCs w:val="21"/>
              </w:rPr>
              <w:t>3）对特种设备操作员进行管理。系统支持对特种设备操作员的各类信息、各类证件进行验证和期限审核功能，支持信息预警与提示。</w:t>
            </w:r>
          </w:p>
          <w:p>
            <w:pPr>
              <w:spacing w:line="400" w:lineRule="exact"/>
              <w:ind w:firstLine="420"/>
              <w:jc w:val="left"/>
              <w:rPr>
                <w:rFonts w:ascii="宋体" w:hAnsi="宋体" w:cs="宋体"/>
                <w:bCs/>
                <w:color w:val="000000"/>
                <w:szCs w:val="21"/>
              </w:rPr>
            </w:pPr>
            <w:r>
              <w:rPr>
                <w:rFonts w:hint="eastAsia" w:ascii="宋体" w:hAnsi="宋体" w:cs="宋体"/>
                <w:bCs/>
                <w:color w:val="000000"/>
                <w:szCs w:val="21"/>
              </w:rPr>
              <w:t>各项防范措施局端可进行查验和审核，不符合规范要求的系统需要予以实时预警提示。</w:t>
            </w:r>
          </w:p>
          <w:p>
            <w:pPr>
              <w:spacing w:line="400" w:lineRule="exact"/>
              <w:ind w:firstLine="210"/>
              <w:jc w:val="left"/>
              <w:rPr>
                <w:rFonts w:hint="eastAsia" w:ascii="宋体" w:hAnsi="宋体" w:cs="宋体"/>
                <w:bCs/>
                <w:color w:val="000000"/>
                <w:szCs w:val="21"/>
              </w:rPr>
            </w:pPr>
            <w:r>
              <w:rPr>
                <w:rFonts w:hint="eastAsia" w:ascii="宋体" w:hAnsi="宋体" w:cs="宋体"/>
                <w:bCs/>
                <w:color w:val="000000"/>
                <w:szCs w:val="21"/>
              </w:rPr>
              <w:t>4）特种设备安全管理中的各类相应监管需要相应专业技术人员进行监管，对各类特种设备需要网格化划分，并专人负责常规性监管。</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.2.7</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直饮水设备</w:t>
            </w:r>
          </w:p>
          <w:p>
            <w:pPr>
              <w:spacing w:line="400" w:lineRule="exact"/>
              <w:ind w:firstLine="420"/>
              <w:jc w:val="left"/>
              <w:rPr>
                <w:rFonts w:ascii="宋体" w:hAnsi="宋体" w:cs="宋体"/>
                <w:bCs/>
                <w:color w:val="000000"/>
                <w:szCs w:val="21"/>
              </w:rPr>
            </w:pPr>
            <w:r>
              <w:rPr>
                <w:rFonts w:hint="eastAsia" w:ascii="宋体" w:hAnsi="宋体" w:cs="宋体"/>
                <w:bCs/>
                <w:color w:val="000000"/>
                <w:szCs w:val="21"/>
              </w:rPr>
              <w:t>1）对于直饮水设备、直饮水设备所涵盖的滤芯、消毒、水质检查及责任人进行管理，对于及基本信息、操作记录、相应措施等进行留痕管理，可追溯全部历史记录。</w:t>
            </w:r>
          </w:p>
          <w:p>
            <w:pPr>
              <w:spacing w:line="400" w:lineRule="exact"/>
              <w:ind w:firstLine="405"/>
              <w:jc w:val="left"/>
              <w:rPr>
                <w:rFonts w:hint="eastAsia" w:ascii="宋体" w:hAnsi="宋体" w:cs="宋体"/>
                <w:bCs/>
                <w:color w:val="000000"/>
                <w:szCs w:val="21"/>
              </w:rPr>
            </w:pPr>
            <w:r>
              <w:rPr>
                <w:rFonts w:hint="eastAsia" w:ascii="宋体" w:hAnsi="宋体" w:cs="宋体"/>
                <w:bCs/>
                <w:color w:val="000000"/>
                <w:szCs w:val="21"/>
              </w:rPr>
              <w:t>2）鉴于直饮水设备在校园的分布特性，对于其监管需要跨越多个网格化区域，系统能够在不同网格化区域中由对应日常监管人员实现对应人员的监管。</w:t>
            </w:r>
            <w:r>
              <w:rPr>
                <w:rFonts w:ascii="宋体" w:hAnsi="宋体" w:cs="宋体"/>
                <w:bCs/>
                <w:color w:val="000000"/>
                <w:szCs w:val="21"/>
              </w:rPr>
              <w:t xml:space="preserve"> </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.2.8</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住宿管理</w:t>
            </w:r>
          </w:p>
          <w:p>
            <w:pPr>
              <w:spacing w:line="400" w:lineRule="exact"/>
              <w:ind w:firstLine="210"/>
              <w:jc w:val="left"/>
              <w:rPr>
                <w:rFonts w:hint="eastAsia" w:ascii="宋体" w:hAnsi="宋体" w:cs="宋体"/>
                <w:bCs/>
                <w:color w:val="000000"/>
                <w:szCs w:val="21"/>
              </w:rPr>
            </w:pPr>
            <w:r>
              <w:rPr>
                <w:rFonts w:hint="eastAsia" w:ascii="宋体" w:hAnsi="宋体" w:cs="宋体"/>
                <w:bCs/>
                <w:color w:val="000000"/>
                <w:szCs w:val="21"/>
              </w:rPr>
              <w:t>对宿舍、住宿生、宿管员进行管理。按照国家中小学幼儿园安全防范标准对宿舍安全防范措施落实情况予以监管，支持信息预警与提示</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.2.9</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校车管理</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 xml:space="preserve">   校车车辆、照管人员、校车运行线路、校车运行方案进行管理及资格查验监管，能够实现多种业务情况下的自定义绑定和配置。</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.2.10</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应急物资</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 xml:space="preserve">   对于应急物资的各存放点进行信息化管理，并统计汇总分析。</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.2.11</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危化品室</w:t>
            </w:r>
          </w:p>
          <w:p>
            <w:pPr>
              <w:spacing w:line="400" w:lineRule="exact"/>
              <w:jc w:val="left"/>
              <w:rPr>
                <w:rFonts w:ascii="宋体" w:hAnsi="宋体" w:cs="宋体"/>
                <w:bCs/>
                <w:color w:val="000000"/>
                <w:szCs w:val="21"/>
              </w:rPr>
            </w:pPr>
            <w:r>
              <w:rPr>
                <w:rFonts w:hint="eastAsia" w:ascii="宋体" w:hAnsi="宋体" w:cs="宋体"/>
                <w:bCs/>
                <w:color w:val="000000"/>
                <w:szCs w:val="21"/>
              </w:rPr>
              <w:t>对于配电房的安全防范工作进行管理需要符合《浙江省中小学幼儿园安全防范工作实时细则》中相应要求，对于危化品室所需配备的各项安全措施予以管理，并上述安全措施情况进行进行统计和标准比对。</w:t>
            </w:r>
          </w:p>
          <w:p>
            <w:pPr>
              <w:spacing w:line="400" w:lineRule="exact"/>
              <w:jc w:val="left"/>
              <w:rPr>
                <w:rFonts w:hint="eastAsia" w:ascii="宋体" w:hAnsi="宋体" w:cs="宋体"/>
                <w:bCs/>
                <w:color w:val="000000"/>
                <w:szCs w:val="21"/>
              </w:rPr>
            </w:pPr>
            <w:r>
              <w:rPr>
                <w:rFonts w:hint="eastAsia" w:ascii="宋体" w:hAnsi="宋体" w:cs="宋体"/>
                <w:bCs/>
                <w:color w:val="000000"/>
                <w:szCs w:val="21"/>
              </w:rPr>
              <w:t xml:space="preserve">   各项防范措施局端可进行查验和审核，不符合规范要求配置的系统需要予以提示。</w:t>
            </w:r>
          </w:p>
        </w:tc>
        <w:tc>
          <w:tcPr>
            <w:tcW w:w="550"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.2.12</w:t>
            </w:r>
          </w:p>
        </w:tc>
        <w:tc>
          <w:tcPr>
            <w:tcW w:w="547" w:type="pct"/>
            <w:vMerge w:val="continue"/>
            <w:noWrap w:val="0"/>
            <w:vAlign w:val="center"/>
          </w:tcPr>
          <w:p>
            <w:pPr>
              <w:spacing w:line="400" w:lineRule="exact"/>
              <w:jc w:val="center"/>
              <w:rPr>
                <w:rFonts w:hint="eastAsia" w:ascii="宋体" w:hAnsi="宋体" w:cs="宋体"/>
                <w:bCs/>
                <w:color w:val="000000"/>
                <w:szCs w:val="21"/>
              </w:rPr>
            </w:pPr>
          </w:p>
        </w:tc>
        <w:tc>
          <w:tcPr>
            <w:tcW w:w="3487"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临时数据上报任务</w:t>
            </w:r>
          </w:p>
          <w:p>
            <w:pPr>
              <w:spacing w:line="400" w:lineRule="exact"/>
              <w:ind w:firstLine="420"/>
              <w:jc w:val="left"/>
              <w:rPr>
                <w:rFonts w:ascii="宋体" w:hAnsi="宋体" w:cs="宋体"/>
                <w:bCs/>
                <w:color w:val="000000"/>
                <w:szCs w:val="21"/>
              </w:rPr>
            </w:pPr>
            <w:r>
              <w:rPr>
                <w:rFonts w:hint="eastAsia" w:ascii="宋体" w:hAnsi="宋体" w:cs="宋体"/>
                <w:bCs/>
                <w:color w:val="000000"/>
                <w:szCs w:val="21"/>
              </w:rPr>
              <w:t>任务模板实现自定义化定制，能够自由拖曳式管理模板，定义数据类型及格式等；</w:t>
            </w:r>
          </w:p>
          <w:p>
            <w:pPr>
              <w:spacing w:line="400" w:lineRule="exact"/>
              <w:rPr>
                <w:rFonts w:hint="eastAsia" w:ascii="宋体" w:hAnsi="宋体"/>
                <w:color w:val="000000"/>
                <w:szCs w:val="21"/>
              </w:rPr>
            </w:pPr>
            <w:r>
              <w:rPr>
                <w:rFonts w:hint="eastAsia" w:ascii="宋体" w:hAnsi="宋体" w:cs="宋体"/>
                <w:bCs/>
                <w:color w:val="000000"/>
                <w:szCs w:val="21"/>
              </w:rPr>
              <w:t>任务下发实现学校群组化管理，并支持自由选择学校下发任务，并支持附件上传；对于下发的任务能够统计上报完成学校和未上报学校，并以数据列表查看上报信息；对上报的信息实现统计及数据导出。</w:t>
            </w:r>
          </w:p>
        </w:tc>
        <w:tc>
          <w:tcPr>
            <w:tcW w:w="550" w:type="pct"/>
            <w:noWrap w:val="0"/>
            <w:vAlign w:val="top"/>
          </w:tcPr>
          <w:p>
            <w:pPr>
              <w:spacing w:line="400" w:lineRule="exact"/>
              <w:jc w:val="left"/>
              <w:rPr>
                <w:rFonts w:hint="eastAsia" w:ascii="宋体" w:hAnsi="宋体" w:cs="宋体"/>
                <w:bCs/>
                <w:color w:val="000000"/>
                <w:szCs w:val="21"/>
              </w:rPr>
            </w:pPr>
          </w:p>
        </w:tc>
      </w:tr>
    </w:tbl>
    <w:p>
      <w:pPr>
        <w:pStyle w:val="124"/>
        <w:spacing w:line="400" w:lineRule="exact"/>
        <w:outlineLvl w:val="2"/>
        <w:rPr>
          <w:rFonts w:ascii="宋体" w:hAnsi="宋体"/>
          <w:b/>
          <w:bCs/>
          <w:color w:val="000000"/>
          <w:szCs w:val="21"/>
        </w:rPr>
      </w:pPr>
    </w:p>
    <w:p>
      <w:pPr>
        <w:pStyle w:val="124"/>
        <w:spacing w:line="400" w:lineRule="exact"/>
        <w:outlineLvl w:val="2"/>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3安全管理系统要求</w:t>
      </w:r>
    </w:p>
    <w:tbl>
      <w:tblPr>
        <w:tblStyle w:val="44"/>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157"/>
        <w:gridCol w:w="706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6"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序号</w:t>
            </w:r>
          </w:p>
        </w:tc>
        <w:tc>
          <w:tcPr>
            <w:tcW w:w="567"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模块</w:t>
            </w:r>
          </w:p>
        </w:tc>
        <w:tc>
          <w:tcPr>
            <w:tcW w:w="3462"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主要功能要求</w:t>
            </w:r>
          </w:p>
        </w:tc>
        <w:tc>
          <w:tcPr>
            <w:tcW w:w="555" w:type="pct"/>
            <w:shd w:val="clear" w:color="auto" w:fill="FFFFFF"/>
            <w:noWrap w:val="0"/>
            <w:vAlign w:val="top"/>
          </w:tcPr>
          <w:p>
            <w:pPr>
              <w:spacing w:line="400" w:lineRule="exact"/>
              <w:jc w:val="center"/>
              <w:rPr>
                <w:rFonts w:hint="eastAsia" w:ascii="宋体" w:hAnsi="宋体"/>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ascii="宋体" w:hAnsi="宋体"/>
                <w:color w:val="000000"/>
                <w:szCs w:val="21"/>
              </w:rPr>
            </w:pPr>
            <w:r>
              <w:rPr>
                <w:rFonts w:hint="eastAsia" w:ascii="宋体" w:hAnsi="宋体"/>
                <w:color w:val="000000"/>
                <w:szCs w:val="21"/>
              </w:rPr>
              <w:t>4</w:t>
            </w:r>
            <w:r>
              <w:rPr>
                <w:rFonts w:ascii="宋体" w:hAnsi="宋体"/>
                <w:color w:val="000000"/>
                <w:szCs w:val="21"/>
              </w:rPr>
              <w:t>.3.1</w:t>
            </w:r>
          </w:p>
        </w:tc>
        <w:tc>
          <w:tcPr>
            <w:tcW w:w="567" w:type="pct"/>
            <w:vMerge w:val="restart"/>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安全工作管理</w:t>
            </w: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color w:val="000000"/>
                <w:szCs w:val="21"/>
              </w:rPr>
              <w:t>领导小组</w:t>
            </w:r>
          </w:p>
          <w:p>
            <w:pPr>
              <w:spacing w:line="400" w:lineRule="exact"/>
              <w:ind w:firstLine="420"/>
              <w:jc w:val="left"/>
              <w:rPr>
                <w:rFonts w:hint="eastAsia" w:ascii="宋体" w:hAnsi="宋体" w:cs="宋体"/>
                <w:bCs/>
                <w:color w:val="000000"/>
                <w:szCs w:val="21"/>
              </w:rPr>
            </w:pPr>
            <w:r>
              <w:rPr>
                <w:rFonts w:hint="eastAsia" w:ascii="宋体" w:hAnsi="宋体" w:cs="宋体"/>
                <w:bCs/>
                <w:color w:val="000000"/>
                <w:szCs w:val="21"/>
              </w:rPr>
              <w:t>对学校各类安全领导小组进行管理，提供管理更新等功能，并能追溯历史纪录。</w:t>
            </w:r>
          </w:p>
        </w:tc>
        <w:tc>
          <w:tcPr>
            <w:tcW w:w="555" w:type="pct"/>
            <w:noWrap w:val="0"/>
            <w:vAlign w:val="top"/>
          </w:tcPr>
          <w:p>
            <w:pPr>
              <w:spacing w:line="400" w:lineRule="exact"/>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.3.2</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color w:val="000000"/>
                <w:szCs w:val="21"/>
              </w:rPr>
            </w:pPr>
            <w:r>
              <w:rPr>
                <w:rFonts w:hint="eastAsia" w:ascii="宋体" w:hAnsi="宋体" w:cs="宋体"/>
                <w:color w:val="000000"/>
                <w:szCs w:val="21"/>
              </w:rPr>
              <w:t>岗位职责</w:t>
            </w:r>
          </w:p>
          <w:p>
            <w:pPr>
              <w:spacing w:line="400" w:lineRule="exact"/>
              <w:ind w:firstLine="420" w:firstLineChars="200"/>
              <w:jc w:val="left"/>
              <w:rPr>
                <w:rFonts w:ascii="宋体" w:hAnsi="宋体" w:cs="宋体"/>
                <w:bCs/>
                <w:color w:val="000000"/>
                <w:szCs w:val="21"/>
              </w:rPr>
            </w:pPr>
            <w:r>
              <w:rPr>
                <w:rFonts w:hint="eastAsia" w:ascii="宋体" w:hAnsi="宋体" w:cs="宋体"/>
                <w:bCs/>
                <w:color w:val="000000"/>
                <w:szCs w:val="21"/>
              </w:rPr>
              <w:t>采集各学校校长、副校长、安保主任、安保干事等各岗位的职责情况，并提供编辑、删除功能；</w:t>
            </w:r>
          </w:p>
          <w:p>
            <w:pPr>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采集学校各岗位的每日一日常规内容，并提供编辑、删除功能。</w:t>
            </w:r>
          </w:p>
        </w:tc>
        <w:tc>
          <w:tcPr>
            <w:tcW w:w="555" w:type="pct"/>
            <w:noWrap w:val="0"/>
            <w:vAlign w:val="top"/>
          </w:tcPr>
          <w:p>
            <w:pPr>
              <w:spacing w:line="400" w:lineRule="exact"/>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.3.3</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安全制度</w:t>
            </w:r>
          </w:p>
          <w:p>
            <w:pPr>
              <w:spacing w:line="400" w:lineRule="exact"/>
              <w:ind w:firstLine="420"/>
              <w:jc w:val="left"/>
              <w:rPr>
                <w:rFonts w:hint="eastAsia" w:ascii="宋体" w:hAnsi="宋体" w:cs="宋体"/>
                <w:bCs/>
                <w:color w:val="000000"/>
                <w:szCs w:val="21"/>
              </w:rPr>
            </w:pPr>
            <w:r>
              <w:rPr>
                <w:rFonts w:hint="eastAsia" w:ascii="宋体" w:hAnsi="宋体" w:cs="宋体"/>
                <w:bCs/>
                <w:color w:val="000000"/>
                <w:szCs w:val="21"/>
              </w:rPr>
              <w:t>对学校各项安全制度进行管理，提供管理更新等功能，并能追溯历史纪录。</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.3.4</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应急预案</w:t>
            </w:r>
          </w:p>
          <w:p>
            <w:pPr>
              <w:spacing w:line="400" w:lineRule="exact"/>
              <w:ind w:firstLine="420"/>
              <w:jc w:val="left"/>
              <w:rPr>
                <w:rFonts w:hint="eastAsia" w:ascii="宋体" w:hAnsi="宋体" w:cs="宋体"/>
                <w:bCs/>
                <w:color w:val="000000"/>
                <w:szCs w:val="21"/>
              </w:rPr>
            </w:pPr>
            <w:r>
              <w:rPr>
                <w:rFonts w:hint="eastAsia" w:ascii="宋体" w:hAnsi="宋体" w:cs="宋体"/>
                <w:bCs/>
                <w:color w:val="000000"/>
                <w:szCs w:val="21"/>
              </w:rPr>
              <w:t>对学校各项应急预案进行管理，提供管理更新等功能，并能追溯历史纪录。</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.3.5</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通知公告</w:t>
            </w:r>
          </w:p>
          <w:p>
            <w:pPr>
              <w:spacing w:line="400" w:lineRule="exact"/>
              <w:ind w:firstLine="420"/>
              <w:jc w:val="left"/>
              <w:rPr>
                <w:rFonts w:hint="eastAsia" w:ascii="宋体" w:hAnsi="宋体" w:cs="宋体"/>
                <w:bCs/>
                <w:color w:val="000000"/>
                <w:szCs w:val="21"/>
              </w:rPr>
            </w:pPr>
            <w:r>
              <w:rPr>
                <w:rFonts w:hint="eastAsia" w:ascii="宋体" w:hAnsi="宋体" w:cs="宋体"/>
                <w:bCs/>
                <w:color w:val="000000"/>
                <w:szCs w:val="21"/>
              </w:rPr>
              <w:t>对教育安全的通知公告行管理，支持在线编辑，分角色、人员进行各类通知公告发送。</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.3.6</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安全通报</w:t>
            </w:r>
          </w:p>
          <w:p>
            <w:pPr>
              <w:spacing w:line="400" w:lineRule="exact"/>
              <w:ind w:firstLine="420"/>
              <w:jc w:val="left"/>
              <w:rPr>
                <w:rFonts w:hint="eastAsia" w:ascii="宋体" w:hAnsi="宋体" w:cs="宋体"/>
                <w:bCs/>
                <w:color w:val="000000"/>
                <w:szCs w:val="21"/>
              </w:rPr>
            </w:pPr>
            <w:r>
              <w:rPr>
                <w:rFonts w:hint="eastAsia" w:ascii="宋体" w:hAnsi="宋体" w:cs="宋体"/>
                <w:bCs/>
                <w:color w:val="000000"/>
                <w:szCs w:val="21"/>
              </w:rPr>
              <w:t>对上级单位及政府部门发布的安全通报进行管理并可分类流转，对通报的相应要素支持自定义查询功能。</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.3.7</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安全预警</w:t>
            </w:r>
          </w:p>
          <w:p>
            <w:pPr>
              <w:spacing w:line="400" w:lineRule="exact"/>
              <w:ind w:firstLine="420"/>
              <w:jc w:val="left"/>
              <w:rPr>
                <w:rFonts w:ascii="宋体" w:hAnsi="宋体" w:cs="宋体"/>
                <w:bCs/>
                <w:color w:val="000000"/>
                <w:szCs w:val="21"/>
              </w:rPr>
            </w:pPr>
            <w:r>
              <w:rPr>
                <w:rFonts w:hint="eastAsia" w:ascii="宋体" w:hAnsi="宋体" w:cs="宋体"/>
                <w:bCs/>
                <w:color w:val="000000"/>
                <w:szCs w:val="21"/>
              </w:rPr>
              <w:t>用户发布的安全预警可按学校类型、人员角色分类进行定向发送，预警信息可自动提示相关接收人员。</w:t>
            </w:r>
          </w:p>
          <w:p>
            <w:pPr>
              <w:spacing w:line="400" w:lineRule="exact"/>
              <w:ind w:firstLine="420" w:firstLineChars="200"/>
              <w:jc w:val="left"/>
              <w:rPr>
                <w:rFonts w:hint="eastAsia" w:ascii="宋体" w:hAnsi="宋体" w:cs="宋体"/>
                <w:bCs/>
                <w:color w:val="000000"/>
                <w:szCs w:val="21"/>
              </w:rPr>
            </w:pPr>
            <w:r>
              <w:rPr>
                <w:rFonts w:hint="eastAsia" w:ascii="宋体" w:hAnsi="宋体"/>
                <w:color w:val="000000"/>
                <w:szCs w:val="21"/>
              </w:rPr>
              <w:t>对敏感安全预警信息，需有设置阅读权限功能，分级推送。</w:t>
            </w:r>
            <w:r>
              <w:rPr>
                <w:rFonts w:ascii="宋体" w:hAnsi="宋体" w:cs="宋体"/>
                <w:bCs/>
                <w:color w:val="000000"/>
                <w:szCs w:val="21"/>
              </w:rPr>
              <w:t xml:space="preserve"> </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.3.8</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安全事件</w:t>
            </w:r>
          </w:p>
          <w:p>
            <w:pPr>
              <w:spacing w:line="400" w:lineRule="exact"/>
              <w:jc w:val="left"/>
              <w:rPr>
                <w:rFonts w:ascii="宋体" w:hAnsi="宋体"/>
                <w:color w:val="000000"/>
                <w:szCs w:val="21"/>
              </w:rPr>
            </w:pPr>
            <w:r>
              <w:rPr>
                <w:rFonts w:hint="eastAsia" w:ascii="宋体" w:hAnsi="宋体"/>
                <w:color w:val="000000"/>
                <w:szCs w:val="21"/>
              </w:rPr>
              <w:t>1）事故上报</w:t>
            </w:r>
          </w:p>
          <w:p>
            <w:pPr>
              <w:spacing w:line="400" w:lineRule="exact"/>
              <w:ind w:firstLine="420"/>
              <w:jc w:val="left"/>
              <w:rPr>
                <w:rFonts w:ascii="宋体" w:hAnsi="宋体"/>
                <w:color w:val="000000"/>
                <w:szCs w:val="21"/>
              </w:rPr>
            </w:pPr>
            <w:r>
              <w:rPr>
                <w:rFonts w:hint="eastAsia" w:ascii="宋体" w:hAnsi="宋体"/>
                <w:color w:val="000000"/>
                <w:szCs w:val="21"/>
              </w:rPr>
              <w:t>根据校园安全事件上报的相关规定，在事件发生两个小时内安全事件可实现紧急报送，支持移动端及WEB端；</w:t>
            </w:r>
          </w:p>
          <w:p>
            <w:pPr>
              <w:spacing w:line="400" w:lineRule="exact"/>
              <w:jc w:val="left"/>
              <w:rPr>
                <w:rFonts w:ascii="宋体" w:hAnsi="宋体" w:cs="Arial"/>
                <w:color w:val="000000"/>
                <w:szCs w:val="21"/>
                <w:shd w:val="clear" w:color="auto" w:fill="FFFFFF"/>
              </w:rPr>
            </w:pPr>
            <w:r>
              <w:rPr>
                <w:rFonts w:hint="eastAsia" w:ascii="宋体" w:hAnsi="宋体"/>
                <w:color w:val="000000"/>
                <w:szCs w:val="21"/>
              </w:rPr>
              <w:t>2）对于安全事件最新动态不断发展的情况，支持校园安全事件动态多次更新续报、同个事件的首报和续报记录要进行关联汇总。</w:t>
            </w:r>
          </w:p>
          <w:p>
            <w:pPr>
              <w:spacing w:line="400" w:lineRule="exact"/>
              <w:jc w:val="left"/>
              <w:rPr>
                <w:rFonts w:hint="eastAsia" w:ascii="宋体" w:hAnsi="宋体"/>
                <w:color w:val="000000"/>
                <w:szCs w:val="21"/>
              </w:rPr>
            </w:pPr>
            <w:r>
              <w:rPr>
                <w:rFonts w:hint="eastAsia" w:ascii="宋体" w:hAnsi="宋体"/>
                <w:color w:val="000000"/>
                <w:szCs w:val="21"/>
              </w:rPr>
              <w:t>3）支持局端管理人员可对整个安全事件的关注与管理功能。</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.3.9</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学生外出报备</w:t>
            </w:r>
          </w:p>
          <w:p>
            <w:pPr>
              <w:spacing w:line="400" w:lineRule="exact"/>
              <w:jc w:val="left"/>
              <w:rPr>
                <w:rFonts w:ascii="宋体" w:hAnsi="宋体"/>
                <w:color w:val="000000"/>
                <w:szCs w:val="21"/>
              </w:rPr>
            </w:pPr>
            <w:r>
              <w:rPr>
                <w:rFonts w:hint="eastAsia" w:ascii="宋体" w:hAnsi="宋体"/>
                <w:color w:val="000000"/>
                <w:szCs w:val="21"/>
              </w:rPr>
              <w:t>1）学生外出报备</w:t>
            </w:r>
          </w:p>
          <w:p>
            <w:pPr>
              <w:spacing w:line="400" w:lineRule="exact"/>
              <w:ind w:firstLine="420"/>
              <w:jc w:val="left"/>
              <w:rPr>
                <w:rFonts w:ascii="宋体" w:hAnsi="宋体"/>
                <w:color w:val="000000"/>
                <w:szCs w:val="21"/>
              </w:rPr>
            </w:pPr>
            <w:r>
              <w:rPr>
                <w:rFonts w:hint="eastAsia" w:ascii="宋体" w:hAnsi="宋体"/>
                <w:color w:val="000000"/>
                <w:szCs w:val="21"/>
              </w:rPr>
              <w:t>按照《关于进一步规范中小学校集体外出活动报备工作的通知》详细要求，对外出计划、车辆、人员进行审验管理，并对活动相关活动方案、应急预案、协议责任书、告家长书等措施进行在线管理、审验。</w:t>
            </w:r>
          </w:p>
          <w:p>
            <w:pPr>
              <w:spacing w:line="400" w:lineRule="exact"/>
              <w:jc w:val="left"/>
              <w:rPr>
                <w:rFonts w:ascii="宋体" w:hAnsi="宋体"/>
                <w:color w:val="000000"/>
                <w:szCs w:val="21"/>
              </w:rPr>
            </w:pPr>
            <w:r>
              <w:rPr>
                <w:rFonts w:hint="eastAsia" w:ascii="宋体" w:hAnsi="宋体"/>
                <w:color w:val="000000"/>
                <w:szCs w:val="21"/>
              </w:rPr>
              <w:t>2）外出审核</w:t>
            </w:r>
          </w:p>
          <w:p>
            <w:pPr>
              <w:spacing w:line="400" w:lineRule="exact"/>
              <w:ind w:firstLine="420" w:firstLineChars="200"/>
              <w:jc w:val="left"/>
              <w:rPr>
                <w:rFonts w:ascii="宋体" w:hAnsi="宋体"/>
                <w:color w:val="000000"/>
                <w:szCs w:val="21"/>
              </w:rPr>
            </w:pPr>
            <w:r>
              <w:rPr>
                <w:rFonts w:hint="eastAsia" w:ascii="宋体" w:hAnsi="宋体"/>
                <w:color w:val="000000"/>
                <w:szCs w:val="21"/>
              </w:rPr>
              <w:t>局端对学校报备的外出活动进行多级审批，在局内进行流转审批，根据业务分类和实际情况，流转不同领导对外出报备进行批准；</w:t>
            </w:r>
          </w:p>
          <w:p>
            <w:pPr>
              <w:spacing w:line="400" w:lineRule="exact"/>
              <w:jc w:val="left"/>
              <w:rPr>
                <w:rFonts w:ascii="宋体" w:hAnsi="宋体"/>
                <w:color w:val="000000"/>
                <w:szCs w:val="21"/>
              </w:rPr>
            </w:pPr>
            <w:r>
              <w:rPr>
                <w:rFonts w:hint="eastAsia" w:ascii="宋体" w:hAnsi="宋体"/>
                <w:color w:val="000000"/>
                <w:szCs w:val="21"/>
              </w:rPr>
              <w:t>在相关各审批人员通过后，生成相应文档，进行存档、报销，并可在线套设打印。</w:t>
            </w:r>
          </w:p>
          <w:p>
            <w:pPr>
              <w:spacing w:line="400" w:lineRule="exact"/>
              <w:jc w:val="left"/>
              <w:rPr>
                <w:rFonts w:ascii="宋体" w:hAnsi="宋体"/>
                <w:color w:val="000000"/>
                <w:szCs w:val="21"/>
              </w:rPr>
            </w:pPr>
            <w:r>
              <w:rPr>
                <w:rFonts w:hint="eastAsia" w:ascii="宋体" w:hAnsi="宋体"/>
                <w:color w:val="000000"/>
                <w:szCs w:val="21"/>
              </w:rPr>
              <w:t>3）租赁车辆管理</w:t>
            </w:r>
          </w:p>
          <w:p>
            <w:pPr>
              <w:spacing w:line="400" w:lineRule="exact"/>
              <w:ind w:firstLine="420"/>
              <w:jc w:val="left"/>
              <w:rPr>
                <w:rFonts w:hint="eastAsia" w:ascii="宋体" w:hAnsi="宋体"/>
                <w:color w:val="000000"/>
                <w:szCs w:val="21"/>
              </w:rPr>
            </w:pPr>
            <w:r>
              <w:rPr>
                <w:rFonts w:hint="eastAsia" w:ascii="宋体" w:hAnsi="宋体"/>
                <w:color w:val="000000"/>
                <w:szCs w:val="21"/>
              </w:rPr>
              <w:t>对区域内有从事学生运营资质的运输企业车辆进行登记管理，建立学校租赁运营车辆管理库。</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.3.10</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s="宋体"/>
                <w:bCs/>
                <w:color w:val="000000"/>
                <w:szCs w:val="21"/>
              </w:rPr>
            </w:pPr>
            <w:r>
              <w:rPr>
                <w:rFonts w:hint="eastAsia" w:ascii="宋体" w:hAnsi="宋体" w:cs="宋体"/>
                <w:bCs/>
                <w:color w:val="000000"/>
                <w:szCs w:val="21"/>
              </w:rPr>
              <w:t>安全应急值守</w:t>
            </w:r>
            <w:r>
              <w:rPr>
                <w:rFonts w:ascii="宋体" w:hAnsi="宋体"/>
                <w:color w:val="000000"/>
                <w:szCs w:val="21"/>
              </w:rPr>
              <w:t xml:space="preserve"> </w:t>
            </w:r>
          </w:p>
          <w:p>
            <w:pPr>
              <w:spacing w:line="400" w:lineRule="exact"/>
              <w:ind w:firstLine="420"/>
              <w:jc w:val="left"/>
              <w:rPr>
                <w:rFonts w:hint="eastAsia" w:ascii="宋体" w:hAnsi="宋体"/>
                <w:color w:val="000000"/>
                <w:szCs w:val="21"/>
              </w:rPr>
            </w:pPr>
            <w:r>
              <w:rPr>
                <w:rFonts w:hint="eastAsia" w:ascii="宋体" w:hAnsi="宋体"/>
                <w:color w:val="000000"/>
                <w:szCs w:val="21"/>
              </w:rPr>
              <w:t>对学校应急值守分主题分类进行管理，并支持学校、时期和主题下分类汇总。支持安全应急值守信息的分类查询</w:t>
            </w:r>
          </w:p>
        </w:tc>
        <w:tc>
          <w:tcPr>
            <w:tcW w:w="555" w:type="pct"/>
            <w:noWrap w:val="0"/>
            <w:vAlign w:val="top"/>
          </w:tcPr>
          <w:p>
            <w:pPr>
              <w:spacing w:line="400" w:lineRule="exact"/>
              <w:jc w:val="left"/>
              <w:rPr>
                <w:rFonts w:hint="eastAsia"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r>
              <w:rPr>
                <w:rFonts w:ascii="宋体" w:hAnsi="宋体"/>
                <w:color w:val="000000"/>
                <w:szCs w:val="21"/>
              </w:rPr>
              <w:t>.3.11</w:t>
            </w:r>
          </w:p>
        </w:tc>
        <w:tc>
          <w:tcPr>
            <w:tcW w:w="567" w:type="pct"/>
            <w:vMerge w:val="continue"/>
            <w:noWrap w:val="0"/>
            <w:vAlign w:val="center"/>
          </w:tcPr>
          <w:p>
            <w:pPr>
              <w:spacing w:line="400" w:lineRule="exact"/>
              <w:jc w:val="center"/>
              <w:rPr>
                <w:rFonts w:hint="eastAsia" w:ascii="宋体" w:hAnsi="宋体" w:cs="宋体"/>
                <w:bCs/>
                <w:color w:val="000000"/>
                <w:szCs w:val="21"/>
              </w:rPr>
            </w:pPr>
          </w:p>
        </w:tc>
        <w:tc>
          <w:tcPr>
            <w:tcW w:w="3462" w:type="pct"/>
            <w:noWrap w:val="0"/>
            <w:vAlign w:val="center"/>
          </w:tcPr>
          <w:p>
            <w:pPr>
              <w:spacing w:line="400" w:lineRule="exact"/>
              <w:jc w:val="left"/>
              <w:rPr>
                <w:rFonts w:ascii="宋体" w:hAnsi="宋体"/>
                <w:color w:val="000000"/>
                <w:szCs w:val="21"/>
              </w:rPr>
            </w:pPr>
            <w:r>
              <w:rPr>
                <w:rFonts w:hint="eastAsia" w:ascii="宋体" w:hAnsi="宋体"/>
                <w:color w:val="000000"/>
                <w:szCs w:val="21"/>
              </w:rPr>
              <w:t>保安积分管理</w:t>
            </w:r>
          </w:p>
          <w:p>
            <w:pPr>
              <w:spacing w:line="400" w:lineRule="exact"/>
              <w:jc w:val="left"/>
              <w:rPr>
                <w:rFonts w:ascii="宋体" w:hAnsi="宋体" w:cs="宋体"/>
                <w:bCs/>
                <w:color w:val="000000"/>
                <w:szCs w:val="21"/>
              </w:rPr>
            </w:pPr>
            <w:r>
              <w:rPr>
                <w:rFonts w:hint="eastAsia" w:ascii="宋体" w:hAnsi="宋体" w:cs="宋体"/>
                <w:bCs/>
                <w:color w:val="000000"/>
                <w:szCs w:val="21"/>
              </w:rPr>
              <w:t>1）局方和校方都可根据通报、举报、巡查、轮巡、临检等情况，对保安人员实行行为考核；对保安的学习、获奖、通报表扬等情况进行绩优考核。整个考核过程可全程留痕并追溯管理。</w:t>
            </w:r>
          </w:p>
          <w:p>
            <w:pPr>
              <w:spacing w:line="400" w:lineRule="exact"/>
              <w:jc w:val="left"/>
              <w:rPr>
                <w:rFonts w:hint="eastAsia" w:ascii="宋体" w:hAnsi="宋体"/>
                <w:color w:val="000000"/>
                <w:szCs w:val="21"/>
              </w:rPr>
            </w:pPr>
            <w:r>
              <w:rPr>
                <w:rFonts w:hint="eastAsia" w:ascii="宋体" w:hAnsi="宋体" w:cs="宋体"/>
                <w:bCs/>
                <w:color w:val="000000"/>
                <w:szCs w:val="21"/>
              </w:rPr>
              <w:t>2）保安黑名单库管理，保安一旦进入黑名单库后，进入执行全区禁聘程序，局端审核及监督管理。</w:t>
            </w:r>
          </w:p>
        </w:tc>
        <w:tc>
          <w:tcPr>
            <w:tcW w:w="555" w:type="pct"/>
            <w:noWrap w:val="0"/>
            <w:vAlign w:val="top"/>
          </w:tcPr>
          <w:p>
            <w:pPr>
              <w:spacing w:line="400" w:lineRule="exact"/>
              <w:jc w:val="left"/>
              <w:rPr>
                <w:rFonts w:hint="eastAsia" w:ascii="宋体" w:hAnsi="宋体"/>
                <w:color w:val="000000"/>
                <w:szCs w:val="21"/>
              </w:rPr>
            </w:pPr>
          </w:p>
        </w:tc>
      </w:tr>
    </w:tbl>
    <w:p>
      <w:pPr>
        <w:pStyle w:val="124"/>
        <w:spacing w:line="400" w:lineRule="exact"/>
        <w:outlineLvl w:val="2"/>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4</w:t>
      </w:r>
      <w:r>
        <w:rPr>
          <w:rFonts w:hint="eastAsia" w:ascii="宋体" w:hAnsi="宋体"/>
          <w:b/>
          <w:bCs/>
          <w:color w:val="000000"/>
          <w:szCs w:val="21"/>
        </w:rPr>
        <w:t>综合数据分析分析</w:t>
      </w:r>
      <w:r>
        <w:rPr>
          <w:rFonts w:ascii="宋体" w:hAnsi="宋体"/>
          <w:b/>
          <w:bCs/>
          <w:color w:val="000000"/>
          <w:szCs w:val="21"/>
        </w:rPr>
        <w:t>系统要求</w:t>
      </w:r>
    </w:p>
    <w:tbl>
      <w:tblPr>
        <w:tblStyle w:val="44"/>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127"/>
        <w:gridCol w:w="709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序号</w:t>
            </w:r>
          </w:p>
        </w:tc>
        <w:tc>
          <w:tcPr>
            <w:tcW w:w="547"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模块</w:t>
            </w:r>
          </w:p>
        </w:tc>
        <w:tc>
          <w:tcPr>
            <w:tcW w:w="3442" w:type="pct"/>
            <w:shd w:val="clear" w:color="auto" w:fill="FFFFFF"/>
            <w:noWrap w:val="0"/>
            <w:vAlign w:val="top"/>
          </w:tcPr>
          <w:p>
            <w:pPr>
              <w:spacing w:line="400" w:lineRule="exact"/>
              <w:jc w:val="center"/>
              <w:rPr>
                <w:rFonts w:ascii="宋体" w:hAnsi="宋体"/>
                <w:color w:val="000000"/>
                <w:szCs w:val="21"/>
              </w:rPr>
            </w:pPr>
            <w:r>
              <w:rPr>
                <w:rFonts w:hint="eastAsia" w:ascii="宋体" w:hAnsi="宋体"/>
                <w:b/>
                <w:bCs/>
                <w:color w:val="000000"/>
                <w:szCs w:val="21"/>
              </w:rPr>
              <w:t>主要功能要求</w:t>
            </w:r>
          </w:p>
        </w:tc>
        <w:tc>
          <w:tcPr>
            <w:tcW w:w="564" w:type="pct"/>
            <w:shd w:val="clear" w:color="auto" w:fill="FFFFFF"/>
            <w:noWrap w:val="0"/>
            <w:vAlign w:val="top"/>
          </w:tcPr>
          <w:p>
            <w:pPr>
              <w:spacing w:line="400" w:lineRule="exact"/>
              <w:jc w:val="center"/>
              <w:rPr>
                <w:rFonts w:hint="eastAsia" w:ascii="宋体" w:hAnsi="宋体"/>
                <w:color w:val="000000"/>
                <w:szCs w:val="21"/>
              </w:rPr>
            </w:pPr>
            <w:r>
              <w:rPr>
                <w:rFonts w:hint="eastAsia" w:ascii="宋体" w:hAnsi="宋体" w:cs="宋体"/>
                <w:b/>
                <w:bCs/>
                <w:color w:val="00000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noWrap w:val="0"/>
            <w:vAlign w:val="center"/>
          </w:tcPr>
          <w:p>
            <w:pPr>
              <w:spacing w:line="400" w:lineRule="exact"/>
              <w:jc w:val="center"/>
              <w:rPr>
                <w:rFonts w:ascii="宋体" w:hAnsi="宋体"/>
                <w:color w:val="000000"/>
                <w:szCs w:val="21"/>
              </w:rPr>
            </w:pPr>
            <w:r>
              <w:rPr>
                <w:rFonts w:hint="eastAsia" w:ascii="宋体" w:hAnsi="宋体"/>
                <w:color w:val="000000"/>
                <w:szCs w:val="21"/>
              </w:rPr>
              <w:t>4</w:t>
            </w:r>
            <w:r>
              <w:rPr>
                <w:rFonts w:ascii="宋体" w:hAnsi="宋体"/>
                <w:color w:val="000000"/>
                <w:szCs w:val="21"/>
              </w:rPr>
              <w:t>.4.1</w:t>
            </w:r>
          </w:p>
        </w:tc>
        <w:tc>
          <w:tcPr>
            <w:tcW w:w="547" w:type="pct"/>
            <w:noWrap w:val="0"/>
            <w:vAlign w:val="center"/>
          </w:tcPr>
          <w:p>
            <w:pPr>
              <w:spacing w:line="400" w:lineRule="exact"/>
              <w:jc w:val="left"/>
              <w:rPr>
                <w:rFonts w:ascii="宋体" w:hAnsi="宋体" w:cs="宋体"/>
                <w:bCs/>
                <w:color w:val="000000"/>
                <w:szCs w:val="21"/>
              </w:rPr>
            </w:pPr>
            <w:r>
              <w:rPr>
                <w:rFonts w:hint="eastAsia" w:ascii="宋体" w:hAnsi="宋体"/>
                <w:color w:val="000000"/>
                <w:szCs w:val="21"/>
              </w:rPr>
              <w:t>安全档案</w:t>
            </w:r>
          </w:p>
        </w:tc>
        <w:tc>
          <w:tcPr>
            <w:tcW w:w="3442" w:type="pct"/>
            <w:noWrap w:val="0"/>
            <w:vAlign w:val="top"/>
          </w:tcPr>
          <w:p>
            <w:pPr>
              <w:spacing w:line="400" w:lineRule="exact"/>
              <w:rPr>
                <w:rFonts w:ascii="宋体" w:hAnsi="宋体"/>
                <w:color w:val="000000"/>
                <w:szCs w:val="21"/>
              </w:rPr>
            </w:pPr>
            <w:r>
              <w:rPr>
                <w:rFonts w:hint="eastAsia" w:ascii="宋体" w:hAnsi="宋体"/>
                <w:color w:val="000000"/>
                <w:szCs w:val="21"/>
              </w:rPr>
              <w:t>安全档案</w:t>
            </w:r>
          </w:p>
          <w:p>
            <w:pPr>
              <w:spacing w:line="400" w:lineRule="exact"/>
              <w:rPr>
                <w:rFonts w:ascii="宋体" w:hAnsi="宋体"/>
                <w:color w:val="000000"/>
                <w:szCs w:val="21"/>
              </w:rPr>
            </w:pPr>
            <w:r>
              <w:rPr>
                <w:rFonts w:hint="eastAsia" w:ascii="宋体" w:hAnsi="宋体"/>
                <w:color w:val="000000"/>
                <w:szCs w:val="21"/>
              </w:rPr>
              <w:t>1）分别按人员类：安保干部、保安员、巡查员、特种设备操作员、校车司机、照管员、宿管员、食堂从业人员等；设备类：灭火器、灭火毯、消火栓、电梯、锅炉、煤气房、管道煤气、危化品室、配电房、食堂、监控点位、物防十件套、校车、校车运行线路；</w:t>
            </w:r>
          </w:p>
          <w:p>
            <w:pPr>
              <w:spacing w:line="400" w:lineRule="exact"/>
              <w:rPr>
                <w:rFonts w:ascii="宋体" w:hAnsi="宋体"/>
                <w:color w:val="000000"/>
                <w:szCs w:val="21"/>
              </w:rPr>
            </w:pPr>
            <w:r>
              <w:rPr>
                <w:rFonts w:ascii="宋体" w:hAnsi="宋体"/>
                <w:color w:val="000000"/>
                <w:szCs w:val="21"/>
              </w:rPr>
              <w:t>2</w:t>
            </w:r>
            <w:r>
              <w:rPr>
                <w:rFonts w:hint="eastAsia" w:ascii="宋体" w:hAnsi="宋体"/>
                <w:color w:val="000000"/>
                <w:szCs w:val="21"/>
              </w:rPr>
              <w:t>）展示整体安全情况；</w:t>
            </w:r>
            <w:r>
              <w:rPr>
                <w:rFonts w:ascii="宋体" w:hAnsi="宋体"/>
                <w:color w:val="000000"/>
                <w:szCs w:val="21"/>
              </w:rPr>
              <w:t xml:space="preserve"> </w:t>
            </w:r>
            <w:r>
              <w:rPr>
                <w:rFonts w:hint="eastAsia" w:ascii="宋体" w:hAnsi="宋体"/>
                <w:color w:val="000000"/>
                <w:szCs w:val="21"/>
              </w:rPr>
              <w:t>等级平安校园汇总各等级学校；汇总学校考核排名情况；</w:t>
            </w:r>
          </w:p>
        </w:tc>
        <w:tc>
          <w:tcPr>
            <w:tcW w:w="564" w:type="pct"/>
            <w:noWrap w:val="0"/>
            <w:vAlign w:val="top"/>
          </w:tcPr>
          <w:p>
            <w:pPr>
              <w:spacing w:line="400" w:lineRule="exact"/>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noWrap w:val="0"/>
            <w:vAlign w:val="center"/>
          </w:tcPr>
          <w:p>
            <w:pPr>
              <w:spacing w:line="400" w:lineRule="exact"/>
              <w:jc w:val="center"/>
              <w:rPr>
                <w:rFonts w:ascii="宋体" w:hAnsi="宋体"/>
                <w:color w:val="000000"/>
                <w:szCs w:val="21"/>
              </w:rPr>
            </w:pPr>
            <w:r>
              <w:rPr>
                <w:rFonts w:hint="eastAsia" w:ascii="宋体" w:hAnsi="宋体"/>
                <w:color w:val="000000"/>
                <w:szCs w:val="21"/>
              </w:rPr>
              <w:t>4</w:t>
            </w:r>
            <w:r>
              <w:rPr>
                <w:rFonts w:ascii="宋体" w:hAnsi="宋体"/>
                <w:color w:val="000000"/>
                <w:szCs w:val="21"/>
              </w:rPr>
              <w:t>.4.2</w:t>
            </w:r>
          </w:p>
        </w:tc>
        <w:tc>
          <w:tcPr>
            <w:tcW w:w="547" w:type="pct"/>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安全体检报告</w:t>
            </w:r>
          </w:p>
        </w:tc>
        <w:tc>
          <w:tcPr>
            <w:tcW w:w="3442" w:type="pct"/>
            <w:noWrap w:val="0"/>
            <w:vAlign w:val="top"/>
          </w:tcPr>
          <w:p>
            <w:pPr>
              <w:spacing w:line="400" w:lineRule="exact"/>
              <w:rPr>
                <w:rFonts w:ascii="宋体" w:hAnsi="宋体"/>
                <w:color w:val="000000"/>
                <w:szCs w:val="21"/>
              </w:rPr>
            </w:pPr>
            <w:r>
              <w:rPr>
                <w:rFonts w:hint="eastAsia" w:ascii="宋体" w:hAnsi="宋体"/>
                <w:color w:val="000000"/>
                <w:szCs w:val="21"/>
              </w:rPr>
              <w:t>1）学校、局端分别按月生成安全体检报告；相应体检报告可按时间进行追溯；</w:t>
            </w:r>
          </w:p>
          <w:p>
            <w:pPr>
              <w:spacing w:line="400" w:lineRule="exact"/>
              <w:ind w:firstLine="420"/>
              <w:rPr>
                <w:rFonts w:ascii="宋体" w:hAnsi="宋体"/>
                <w:color w:val="000000"/>
                <w:szCs w:val="21"/>
              </w:rPr>
            </w:pPr>
            <w:r>
              <w:rPr>
                <w:rFonts w:hint="eastAsia" w:ascii="宋体" w:hAnsi="宋体"/>
                <w:color w:val="000000"/>
                <w:szCs w:val="21"/>
              </w:rPr>
              <w:t>体检报告应当包括校园安全信息特征数据、各类教育安全任务、未来计划、预警情况、汇总情况、分析图表等内容。</w:t>
            </w:r>
          </w:p>
          <w:p>
            <w:pPr>
              <w:spacing w:line="400" w:lineRule="exact"/>
              <w:rPr>
                <w:rFonts w:ascii="宋体" w:hAnsi="宋体"/>
                <w:color w:val="000000"/>
                <w:szCs w:val="21"/>
              </w:rPr>
            </w:pPr>
            <w:r>
              <w:rPr>
                <w:rFonts w:ascii="宋体" w:hAnsi="宋体"/>
                <w:color w:val="000000"/>
                <w:szCs w:val="21"/>
              </w:rPr>
              <w:t>2</w:t>
            </w:r>
            <w:r>
              <w:rPr>
                <w:rFonts w:hint="eastAsia" w:ascii="宋体" w:hAnsi="宋体"/>
                <w:color w:val="000000"/>
                <w:szCs w:val="21"/>
              </w:rPr>
              <w:t>）当月体检报告的数据应当与历史数据进行比对，对比数据差异在报告中需要做特征标记。</w:t>
            </w:r>
          </w:p>
        </w:tc>
        <w:tc>
          <w:tcPr>
            <w:tcW w:w="564" w:type="pct"/>
            <w:noWrap w:val="0"/>
            <w:vAlign w:val="top"/>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noWrap w:val="0"/>
            <w:vAlign w:val="center"/>
          </w:tcPr>
          <w:p>
            <w:pPr>
              <w:spacing w:line="400" w:lineRule="exact"/>
              <w:jc w:val="center"/>
              <w:rPr>
                <w:rFonts w:ascii="宋体" w:hAnsi="宋体"/>
                <w:color w:val="000000"/>
                <w:szCs w:val="21"/>
              </w:rPr>
            </w:pPr>
            <w:r>
              <w:rPr>
                <w:rFonts w:hint="eastAsia" w:ascii="宋体" w:hAnsi="宋体"/>
                <w:color w:val="000000"/>
                <w:szCs w:val="21"/>
              </w:rPr>
              <w:t>4</w:t>
            </w:r>
            <w:r>
              <w:rPr>
                <w:rFonts w:ascii="宋体" w:hAnsi="宋体"/>
                <w:color w:val="000000"/>
                <w:szCs w:val="21"/>
              </w:rPr>
              <w:t>.4.3</w:t>
            </w:r>
          </w:p>
        </w:tc>
        <w:tc>
          <w:tcPr>
            <w:tcW w:w="547" w:type="pct"/>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综合统计</w:t>
            </w:r>
          </w:p>
        </w:tc>
        <w:tc>
          <w:tcPr>
            <w:tcW w:w="3442" w:type="pct"/>
            <w:noWrap w:val="0"/>
            <w:vAlign w:val="top"/>
          </w:tcPr>
          <w:p>
            <w:pPr>
              <w:spacing w:line="400" w:lineRule="exact"/>
              <w:ind w:firstLine="420"/>
              <w:rPr>
                <w:rFonts w:ascii="宋体" w:hAnsi="宋体"/>
                <w:color w:val="000000"/>
                <w:szCs w:val="21"/>
              </w:rPr>
            </w:pPr>
            <w:r>
              <w:rPr>
                <w:rFonts w:hint="eastAsia" w:ascii="宋体" w:hAnsi="宋体"/>
                <w:color w:val="000000"/>
                <w:szCs w:val="21"/>
              </w:rPr>
              <w:t>动态展示辖区内所有学校安全大数据，包括隐患统计的实时动态数据，安全巡查工作开展的实时数据，并在地图上以不同颜色划分，方便上级领导查看区域内学校安全情况。</w:t>
            </w:r>
          </w:p>
          <w:p>
            <w:pPr>
              <w:spacing w:line="400" w:lineRule="exact"/>
              <w:ind w:firstLine="420"/>
              <w:rPr>
                <w:rFonts w:ascii="宋体" w:hAnsi="宋体"/>
                <w:color w:val="000000"/>
                <w:szCs w:val="21"/>
              </w:rPr>
            </w:pPr>
            <w:r>
              <w:rPr>
                <w:rFonts w:hint="eastAsia" w:ascii="宋体" w:hAnsi="宋体"/>
                <w:color w:val="000000"/>
                <w:szCs w:val="21"/>
              </w:rPr>
              <w:t>数据视图：以图文视图形式展示辖区总体安全状况，点击辖区区域显示使用学校、教师、学生和隐患总数。</w:t>
            </w:r>
          </w:p>
          <w:p>
            <w:pPr>
              <w:spacing w:line="400" w:lineRule="exact"/>
              <w:ind w:firstLine="420"/>
              <w:rPr>
                <w:rFonts w:ascii="宋体" w:hAnsi="宋体"/>
                <w:color w:val="000000"/>
                <w:szCs w:val="21"/>
              </w:rPr>
            </w:pPr>
            <w:r>
              <w:rPr>
                <w:rFonts w:hint="eastAsia" w:ascii="宋体" w:hAnsi="宋体"/>
                <w:color w:val="000000"/>
                <w:szCs w:val="21"/>
              </w:rPr>
              <w:t>区域评分：平台以安全管理、安全基础建设、安全任务落实、人证设备超时超限等各项指标为标准。</w:t>
            </w:r>
          </w:p>
          <w:p>
            <w:pPr>
              <w:spacing w:line="400" w:lineRule="exact"/>
              <w:ind w:firstLine="420"/>
              <w:rPr>
                <w:rFonts w:ascii="宋体" w:hAnsi="宋体"/>
                <w:color w:val="000000"/>
                <w:szCs w:val="21"/>
              </w:rPr>
            </w:pPr>
            <w:r>
              <w:rPr>
                <w:rFonts w:hint="eastAsia" w:ascii="宋体" w:hAnsi="宋体"/>
                <w:color w:val="000000"/>
                <w:szCs w:val="21"/>
              </w:rPr>
              <w:t>安全基础建设：对学校的总体安全基础建设情况进行分类汇总统计，并分析人员、设备、功能用房、住宿等相关数据，并支持按照区域及学校单独分析。</w:t>
            </w:r>
          </w:p>
          <w:p>
            <w:pPr>
              <w:spacing w:line="400" w:lineRule="exact"/>
              <w:ind w:firstLine="420"/>
              <w:rPr>
                <w:rFonts w:ascii="宋体" w:hAnsi="宋体"/>
                <w:color w:val="000000"/>
                <w:szCs w:val="21"/>
              </w:rPr>
            </w:pPr>
            <w:r>
              <w:rPr>
                <w:rFonts w:hint="eastAsia" w:ascii="宋体" w:hAnsi="宋体"/>
                <w:color w:val="000000"/>
                <w:szCs w:val="21"/>
              </w:rPr>
              <w:t>隐患实时动态：每当管辖区域内有新的隐患上报时，会立即上传到大数据平台，将隐患动态实时展示。</w:t>
            </w:r>
          </w:p>
          <w:p>
            <w:pPr>
              <w:spacing w:line="400" w:lineRule="exact"/>
              <w:ind w:firstLine="420"/>
              <w:rPr>
                <w:rFonts w:ascii="宋体" w:hAnsi="宋体"/>
                <w:color w:val="000000"/>
                <w:szCs w:val="21"/>
              </w:rPr>
            </w:pPr>
            <w:r>
              <w:rPr>
                <w:rFonts w:hint="eastAsia" w:ascii="宋体" w:hAnsi="宋体"/>
                <w:color w:val="000000"/>
                <w:szCs w:val="21"/>
              </w:rPr>
              <w:t>隐患数量统计：可以看到每月的隐患整改、增长趋势，直观的做出分析。</w:t>
            </w:r>
          </w:p>
          <w:p>
            <w:pPr>
              <w:spacing w:line="400" w:lineRule="exact"/>
              <w:ind w:firstLine="420"/>
              <w:rPr>
                <w:rFonts w:ascii="宋体" w:hAnsi="宋体"/>
                <w:color w:val="000000"/>
                <w:szCs w:val="21"/>
              </w:rPr>
            </w:pPr>
            <w:r>
              <w:rPr>
                <w:rFonts w:hint="eastAsia" w:ascii="宋体" w:hAnsi="宋体"/>
                <w:color w:val="000000"/>
                <w:szCs w:val="21"/>
              </w:rPr>
              <w:t>日常巡查统计：大数据平台可以统计到下属所有学校进行的巡查工作汇总，已巡查与未巡查分类统计汇总，并生成趋势波段图展示。</w:t>
            </w:r>
          </w:p>
          <w:p>
            <w:pPr>
              <w:spacing w:line="400" w:lineRule="exact"/>
              <w:ind w:firstLine="420"/>
              <w:rPr>
                <w:rFonts w:ascii="宋体" w:hAnsi="宋体"/>
                <w:color w:val="000000"/>
                <w:szCs w:val="21"/>
              </w:rPr>
            </w:pPr>
            <w:r>
              <w:rPr>
                <w:rFonts w:hint="eastAsia" w:ascii="宋体" w:hAnsi="宋体"/>
                <w:color w:val="000000"/>
                <w:szCs w:val="21"/>
              </w:rPr>
              <w:t>隐患分类分析：大数据平台汇总所有隐患并进行分类，分析出发生隐患的分类占比。</w:t>
            </w:r>
          </w:p>
          <w:p>
            <w:pPr>
              <w:spacing w:line="400" w:lineRule="exact"/>
              <w:ind w:firstLine="420"/>
              <w:rPr>
                <w:rFonts w:ascii="宋体" w:hAnsi="宋体"/>
                <w:color w:val="000000"/>
                <w:szCs w:val="21"/>
              </w:rPr>
            </w:pPr>
            <w:r>
              <w:rPr>
                <w:rFonts w:hint="eastAsia" w:ascii="宋体" w:hAnsi="宋体"/>
                <w:color w:val="000000"/>
                <w:szCs w:val="21"/>
              </w:rPr>
              <w:t>安全态势感知：对于安全平台的全部安全相关数据建立仪表盘监管进行动态感知，有数据波动的安全数据需要进行提醒展示，有异常的安全数据需要进行提示展示并发送提示消息。</w:t>
            </w:r>
          </w:p>
        </w:tc>
        <w:tc>
          <w:tcPr>
            <w:tcW w:w="564" w:type="pct"/>
            <w:noWrap w:val="0"/>
            <w:vAlign w:val="top"/>
          </w:tcPr>
          <w:p>
            <w:pPr>
              <w:spacing w:line="400" w:lineRule="exact"/>
              <w:ind w:firstLine="42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4</w:t>
            </w:r>
            <w:r>
              <w:rPr>
                <w:rFonts w:ascii="宋体" w:hAnsi="宋体"/>
                <w:color w:val="000000"/>
                <w:szCs w:val="21"/>
              </w:rPr>
              <w:t>.4.4</w:t>
            </w:r>
          </w:p>
        </w:tc>
        <w:tc>
          <w:tcPr>
            <w:tcW w:w="54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提示提醒</w:t>
            </w:r>
          </w:p>
        </w:tc>
        <w:tc>
          <w:tcPr>
            <w:tcW w:w="3442"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ascii="宋体" w:hAnsi="宋体"/>
                <w:color w:val="000000"/>
                <w:szCs w:val="21"/>
              </w:rPr>
            </w:pPr>
            <w:r>
              <w:rPr>
                <w:rFonts w:hint="eastAsia" w:ascii="宋体" w:hAnsi="宋体"/>
                <w:color w:val="000000"/>
                <w:szCs w:val="21"/>
              </w:rPr>
              <w:t>提示提醒</w:t>
            </w:r>
          </w:p>
          <w:p>
            <w:pPr>
              <w:spacing w:line="400" w:lineRule="exact"/>
              <w:ind w:firstLine="420"/>
              <w:rPr>
                <w:rFonts w:ascii="宋体" w:hAnsi="宋体"/>
                <w:color w:val="000000"/>
                <w:szCs w:val="21"/>
              </w:rPr>
            </w:pPr>
            <w:r>
              <w:rPr>
                <w:rFonts w:hint="eastAsia" w:ascii="宋体" w:hAnsi="宋体"/>
                <w:color w:val="000000"/>
                <w:szCs w:val="21"/>
              </w:rPr>
              <w:t>针对人员、设备、证件等按照规定将期限的进行提示</w:t>
            </w:r>
          </w:p>
        </w:tc>
        <w:tc>
          <w:tcPr>
            <w:tcW w:w="564" w:type="pct"/>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宋体" w:hAnsi="宋体"/>
                <w:color w:val="000000"/>
                <w:szCs w:val="21"/>
              </w:rPr>
            </w:pPr>
          </w:p>
        </w:tc>
      </w:tr>
      <w:bookmarkEnd w:id="81"/>
    </w:tbl>
    <w:p>
      <w:pPr>
        <w:rPr>
          <w:rFonts w:hint="eastAsia"/>
          <w:color w:val="000000"/>
          <w:kern w:val="0"/>
          <w:sz w:val="20"/>
        </w:rPr>
        <w:sectPr>
          <w:headerReference r:id="rId12" w:type="default"/>
          <w:footerReference r:id="rId13" w:type="default"/>
          <w:pgSz w:w="11907" w:h="16840"/>
          <w:pgMar w:top="1138" w:right="1108" w:bottom="782" w:left="919" w:header="285" w:footer="550" w:gutter="0"/>
          <w:cols w:space="720" w:num="1"/>
          <w:docGrid w:linePitch="285" w:charSpace="0"/>
        </w:sectPr>
      </w:pPr>
    </w:p>
    <w:p>
      <w:pPr>
        <w:pStyle w:val="4"/>
        <w:spacing w:before="120" w:after="120" w:line="400" w:lineRule="exact"/>
        <w:rPr>
          <w:rFonts w:hint="eastAsia" w:eastAsia="宋体"/>
          <w:color w:val="000000"/>
        </w:rPr>
      </w:pPr>
      <w:r>
        <w:rPr>
          <w:rFonts w:hint="eastAsia"/>
          <w:color w:val="000000"/>
        </w:rPr>
        <w:t>五、重点摘要</w:t>
      </w:r>
    </w:p>
    <w:p>
      <w:pPr>
        <w:spacing w:line="400" w:lineRule="exact"/>
        <w:rPr>
          <w:rFonts w:ascii="宋体" w:hAnsi="宋体"/>
          <w:b/>
          <w:bCs/>
          <w:color w:val="000000"/>
          <w:kern w:val="0"/>
          <w:szCs w:val="21"/>
        </w:rPr>
      </w:pPr>
      <w:r>
        <w:rPr>
          <w:rFonts w:hint="eastAsia" w:ascii="宋体" w:hAnsi="宋体"/>
          <w:b/>
          <w:bCs/>
          <w:color w:val="000000"/>
          <w:kern w:val="0"/>
          <w:szCs w:val="21"/>
        </w:rPr>
        <w:t>“硬件参数</w:t>
      </w:r>
      <w:r>
        <w:rPr>
          <w:rFonts w:ascii="宋体" w:hAnsi="宋体"/>
          <w:b/>
          <w:bCs/>
          <w:color w:val="000000"/>
          <w:kern w:val="0"/>
          <w:szCs w:val="21"/>
        </w:rPr>
        <w:t>”</w:t>
      </w:r>
      <w:r>
        <w:rPr>
          <w:rFonts w:hint="eastAsia" w:ascii="宋体" w:hAnsi="宋体"/>
          <w:b/>
          <w:bCs/>
          <w:color w:val="000000"/>
          <w:kern w:val="0"/>
          <w:szCs w:val="21"/>
        </w:rPr>
        <w:t>中要求提供的佐证材料的各项技术参数，供应商应当提供佐证材料，否则对应的技术参数视为负偏离。涉及的技术参数具体如下：</w:t>
      </w:r>
    </w:p>
    <w:tbl>
      <w:tblPr>
        <w:tblStyle w:val="44"/>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71"/>
        <w:gridCol w:w="1926"/>
        <w:gridCol w:w="6138"/>
        <w:gridCol w:w="315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条目号</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设备名称</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技术要求</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佐证材料</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b/>
                <w:bCs/>
                <w:color w:val="000000"/>
                <w:kern w:val="0"/>
                <w:szCs w:val="21"/>
              </w:rPr>
            </w:pPr>
            <w:r>
              <w:rPr>
                <w:rFonts w:hint="eastAsia" w:ascii="宋体" w:hAnsi="宋体" w:cs="宋体"/>
                <w:b/>
                <w:bCs/>
                <w:color w:val="000000"/>
                <w:kern w:val="0"/>
                <w:szCs w:val="21"/>
              </w:rPr>
              <w:t>是否为★参数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.1.3</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全局动态摄像机</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设备具备全景、细节两个摄像机云台，且都可通过IE浏览器设置云台转动位置，全景水平旋转范围：水平角度0～360°，垂直旋转范围：垂直角度0°～30°；细节水平旋转范围：水平角度0～250°，垂直旋转范围：垂直角度-10°～150°</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.1.7</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全局动态摄像机</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为保证夜晚的监控及抓拍目标的效果，全景摄像机光圈需要F1.0±10 %，细节摄像机需要F1.2±10%</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.3.19</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视频一体机</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szCs w:val="21"/>
              </w:rPr>
            </w:pPr>
            <w:r>
              <w:rPr>
                <w:rFonts w:hint="eastAsia" w:ascii="宋体" w:hAnsi="宋体" w:cs="宋体"/>
                <w:color w:val="000000"/>
                <w:szCs w:val="21"/>
              </w:rPr>
              <w:t>支持人脸以图搜图功能，可从外部、人脸库、人脸检索结果、导入5张人脸样本照片，并设置相似度（0-100），检索出符合相似度的人脸图片，可查看人脸背景图片、回放关联录像并导出人脸图片；支持按通道、时间检索人脸抓拍图片，支持将检索结果中的人脸图片添加到人脸库；支持检索人脸比对报警、陌生人报警图片，可查看到人脸抓拍图片、人脸库图片，以及姓名、性别、联系方式、证件类型、证件号、生日、省份、城市、年龄段、戴眼镜、表情、戴口罩、自定义标签等人员信息</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.5.7</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人证访客一体机</w:t>
            </w:r>
          </w:p>
        </w:tc>
        <w:tc>
          <w:tcPr>
            <w:tcW w:w="2141" w:type="pct"/>
            <w:tcBorders>
              <w:top w:val="single" w:color="auto" w:sz="4" w:space="0"/>
              <w:left w:val="nil"/>
              <w:bottom w:val="single" w:color="auto" w:sz="4" w:space="0"/>
              <w:right w:val="single" w:color="auto" w:sz="4" w:space="0"/>
            </w:tcBorders>
            <w:noWrap w:val="0"/>
            <w:vAlign w:val="center"/>
          </w:tcPr>
          <w:p>
            <w:pPr>
              <w:widowControl/>
              <w:spacing w:line="40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设备支持访客黑名单管理功能</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.5.9</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人证访客一体机</w:t>
            </w:r>
          </w:p>
        </w:tc>
        <w:tc>
          <w:tcPr>
            <w:tcW w:w="2141" w:type="pct"/>
            <w:tcBorders>
              <w:top w:val="single" w:color="auto" w:sz="4" w:space="0"/>
              <w:left w:val="nil"/>
              <w:bottom w:val="single" w:color="auto" w:sz="4" w:space="0"/>
              <w:right w:val="single" w:color="auto" w:sz="4" w:space="0"/>
            </w:tcBorders>
            <w:noWrap w:val="0"/>
            <w:vAlign w:val="center"/>
          </w:tcPr>
          <w:p>
            <w:pPr>
              <w:widowControl/>
              <w:spacing w:line="40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设备具有人证比对功能：对来访者进行现场人脸抓拍，与来访者的身份证芯片内的照片进行实时比对，确保实名实证；人证合一后，设备才能进行访客登记操作；认证比对时间：≤1.5s</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.7.11</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交换机</w:t>
            </w:r>
          </w:p>
        </w:tc>
        <w:tc>
          <w:tcPr>
            <w:tcW w:w="2141" w:type="pct"/>
            <w:tcBorders>
              <w:top w:val="single" w:color="auto" w:sz="4" w:space="0"/>
              <w:left w:val="nil"/>
              <w:bottom w:val="single" w:color="auto" w:sz="4" w:space="0"/>
              <w:right w:val="single" w:color="auto" w:sz="4" w:space="0"/>
            </w:tcBorders>
            <w:noWrap w:val="0"/>
            <w:vAlign w:val="center"/>
          </w:tcPr>
          <w:p>
            <w:pPr>
              <w:widowControl/>
              <w:spacing w:line="40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具有电信设备进网许可证、入网检测报告证明以及CCC认证证书</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olor w:val="000000"/>
                <w:szCs w:val="21"/>
              </w:rPr>
              <w:t>提供相关材料复印件并加盖供应商公章</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.8.14</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车辆道闸</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应有自动限位功能，档杆开关到位后，将自动停机限位</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.9.18</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出入口视频单元</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 xml:space="preserve">支持通过IE浏览器添加网关的MAC地址，在使用前的网关MAC地址时，可被其他网关的客户端访问，当使用错误网关MAC地址时，只能被同段的客户端访问 </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9</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.10.16</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出入口终端</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双IP地址检查：可设置两个独立的IP地址</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10</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.14.10</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升降柱</w:t>
            </w:r>
          </w:p>
        </w:tc>
        <w:tc>
          <w:tcPr>
            <w:tcW w:w="2141" w:type="pct"/>
            <w:tcBorders>
              <w:top w:val="single" w:color="auto" w:sz="4" w:space="0"/>
              <w:left w:val="nil"/>
              <w:bottom w:val="single" w:color="auto" w:sz="4" w:space="0"/>
              <w:right w:val="single" w:color="auto" w:sz="4" w:space="0"/>
            </w:tcBorders>
            <w:noWrap w:val="0"/>
            <w:vAlign w:val="center"/>
          </w:tcPr>
          <w:p>
            <w:pPr>
              <w:widowControl/>
              <w:spacing w:line="400" w:lineRule="exact"/>
              <w:jc w:val="left"/>
              <w:textAlignment w:val="center"/>
              <w:rPr>
                <w:rFonts w:hint="eastAsia" w:ascii="宋体" w:hAnsi="宋体" w:cs="宋体"/>
                <w:color w:val="000000"/>
                <w:kern w:val="0"/>
                <w:szCs w:val="21"/>
              </w:rPr>
            </w:pPr>
            <w:r>
              <w:rPr>
                <w:rFonts w:hint="eastAsia" w:ascii="宋体" w:hAnsi="宋体" w:cs="宋体"/>
                <w:color w:val="000000"/>
                <w:kern w:val="0"/>
                <w:szCs w:val="21"/>
              </w:rPr>
              <w:t>柱身顶端安装LED超高亮警示顶灯，柱身顶部四周装有反光膜。升降柱在上升、下降运行过程中及处于立柱升起状态时，顶灯有闪烁发光信号提示功能，应能够被过往车辆的驾驶员明显识别</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11</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.17.12</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人脸识别终端</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kern w:val="0"/>
                <w:szCs w:val="21"/>
              </w:rPr>
            </w:pPr>
            <w:r>
              <w:rPr>
                <w:rFonts w:hint="eastAsia" w:ascii="宋体" w:hAnsi="宋体" w:cs="宋体"/>
                <w:color w:val="000000"/>
                <w:kern w:val="0"/>
                <w:szCs w:val="21"/>
              </w:rPr>
              <w:t>设备支持黑名单功能，本地50000个人脸黑名单比对，支持本地黑名单事件信息上传平台，有授权人员和未授权陌生人刷脸时，设备支持抓拍图片并实时上传平台</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12</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.22.1.18</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后端显示设备</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风扇具备良好的散热效果，风扇散热性能≥40%</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13</w:t>
            </w:r>
          </w:p>
        </w:tc>
        <w:tc>
          <w:tcPr>
            <w:tcW w:w="47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.22.4.3</w:t>
            </w:r>
          </w:p>
        </w:tc>
        <w:tc>
          <w:tcPr>
            <w:tcW w:w="672"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olor w:val="000000"/>
                <w:kern w:val="0"/>
                <w:szCs w:val="21"/>
              </w:rPr>
              <w:t>后端显示设备</w:t>
            </w:r>
          </w:p>
        </w:tc>
        <w:tc>
          <w:tcPr>
            <w:tcW w:w="2141" w:type="pct"/>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支持虚拟云台控制功能，具备虚拟云台控制按键，可调整球机和云台的运行速度和方向，并且支持多用户云台抢占、云台控制锁定功能</w:t>
            </w:r>
          </w:p>
        </w:tc>
        <w:tc>
          <w:tcPr>
            <w:tcW w:w="1101" w:type="pct"/>
            <w:tcBorders>
              <w:top w:val="single" w:color="auto" w:sz="4" w:space="0"/>
              <w:left w:val="nil"/>
              <w:bottom w:val="single" w:color="auto" w:sz="4" w:space="0"/>
              <w:right w:val="single" w:color="auto" w:sz="4" w:space="0"/>
            </w:tcBorders>
            <w:noWrap w:val="0"/>
            <w:vAlign w:val="center"/>
          </w:tcPr>
          <w:p>
            <w:pPr>
              <w:spacing w:line="400" w:lineRule="exact"/>
              <w:rPr>
                <w:rFonts w:hint="eastAsia" w:ascii="宋体" w:hAnsi="宋体" w:cs="宋体"/>
                <w:color w:val="000000"/>
                <w:kern w:val="0"/>
                <w:szCs w:val="21"/>
              </w:rPr>
            </w:pPr>
            <w:r>
              <w:rPr>
                <w:rFonts w:hint="eastAsia" w:ascii="宋体" w:hAnsi="宋体" w:cs="宋体"/>
                <w:color w:val="000000"/>
                <w:szCs w:val="21"/>
              </w:rPr>
              <w:t>提供公安部检测报告复印件加盖供应商公章，原件于投标截止时间前提交，未提供原件或原件与复印件不一致，本项视作负偏离。</w:t>
            </w:r>
          </w:p>
        </w:tc>
        <w:tc>
          <w:tcPr>
            <w:tcW w:w="320" w:type="pct"/>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是</w:t>
            </w:r>
          </w:p>
        </w:tc>
      </w:tr>
    </w:tbl>
    <w:p>
      <w:pPr>
        <w:spacing w:line="400" w:lineRule="exact"/>
        <w:rPr>
          <w:rFonts w:ascii="宋体" w:hAnsi="宋体"/>
          <w:color w:val="000000"/>
          <w:szCs w:val="21"/>
        </w:rPr>
      </w:pPr>
    </w:p>
    <w:p>
      <w:pPr>
        <w:pStyle w:val="2"/>
        <w:rPr>
          <w:color w:val="000000"/>
          <w:kern w:val="0"/>
          <w:sz w:val="20"/>
          <w:lang w:eastAsia="en-US"/>
        </w:rPr>
        <w:sectPr>
          <w:pgSz w:w="16840" w:h="11907" w:orient="landscape"/>
          <w:pgMar w:top="1339" w:right="1138" w:bottom="1588" w:left="1135" w:header="285" w:footer="990" w:gutter="0"/>
          <w:cols w:space="720" w:num="1"/>
          <w:docGrid w:linePitch="286" w:charSpace="0"/>
        </w:sectPr>
      </w:pPr>
    </w:p>
    <w:p>
      <w:pPr>
        <w:rPr>
          <w:color w:val="000000"/>
        </w:rPr>
      </w:pPr>
    </w:p>
    <w:p>
      <w:pPr>
        <w:spacing w:line="600" w:lineRule="exact"/>
        <w:jc w:val="center"/>
        <w:outlineLvl w:val="0"/>
        <w:rPr>
          <w:rFonts w:hint="eastAsia" w:ascii="宋体" w:hAnsi="宋体"/>
          <w:b/>
          <w:color w:val="000000"/>
          <w:sz w:val="32"/>
        </w:rPr>
      </w:pPr>
      <w:r>
        <w:rPr>
          <w:rFonts w:hint="eastAsia" w:ascii="宋体" w:hAnsi="宋体"/>
          <w:b/>
          <w:color w:val="000000"/>
          <w:sz w:val="32"/>
        </w:rPr>
        <w:t>第六章  商务条款</w:t>
      </w:r>
      <w:bookmarkEnd w:id="82"/>
    </w:p>
    <w:tbl>
      <w:tblPr>
        <w:tblStyle w:val="44"/>
        <w:tblW w:w="0" w:type="auto"/>
        <w:tblInd w:w="108" w:type="dxa"/>
        <w:tblLayout w:type="fixed"/>
        <w:tblCellMar>
          <w:top w:w="0" w:type="dxa"/>
          <w:left w:w="108" w:type="dxa"/>
          <w:bottom w:w="0" w:type="dxa"/>
          <w:right w:w="108" w:type="dxa"/>
        </w:tblCellMar>
      </w:tblPr>
      <w:tblGrid>
        <w:gridCol w:w="851"/>
        <w:gridCol w:w="8221"/>
      </w:tblGrid>
      <w:tr>
        <w:tblPrEx>
          <w:tblCellMar>
            <w:top w:w="0" w:type="dxa"/>
            <w:left w:w="108" w:type="dxa"/>
            <w:bottom w:w="0" w:type="dxa"/>
            <w:right w:w="108" w:type="dxa"/>
          </w:tblCellMar>
        </w:tblPrEx>
        <w:trPr>
          <w:wBefore w:w="0" w:type="dxa"/>
          <w:wAfter w:w="0" w:type="dxa"/>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b/>
                <w:bCs/>
                <w:color w:val="000000"/>
                <w:szCs w:val="21"/>
              </w:rPr>
            </w:pPr>
            <w:r>
              <w:rPr>
                <w:rFonts w:hint="eastAsia" w:ascii="宋体" w:hAnsi="宋体"/>
                <w:b/>
                <w:bCs/>
                <w:color w:val="000000"/>
                <w:szCs w:val="21"/>
              </w:rPr>
              <w:t>序号</w:t>
            </w:r>
          </w:p>
        </w:tc>
        <w:tc>
          <w:tcPr>
            <w:tcW w:w="8221" w:type="dxa"/>
            <w:tcBorders>
              <w:top w:val="single" w:color="auto" w:sz="4" w:space="0"/>
              <w:left w:val="nil"/>
              <w:bottom w:val="single" w:color="000000" w:sz="6" w:space="0"/>
              <w:right w:val="single" w:color="auto" w:sz="4" w:space="0"/>
            </w:tcBorders>
            <w:noWrap w:val="0"/>
            <w:vAlign w:val="center"/>
          </w:tcPr>
          <w:p>
            <w:pPr>
              <w:autoSpaceDE w:val="0"/>
              <w:autoSpaceDN w:val="0"/>
              <w:adjustRightInd w:val="0"/>
              <w:spacing w:line="400" w:lineRule="exact"/>
              <w:jc w:val="center"/>
              <w:rPr>
                <w:rFonts w:ascii="宋体" w:hAnsi="宋体"/>
                <w:b/>
                <w:bCs/>
                <w:color w:val="000000"/>
                <w:szCs w:val="21"/>
              </w:rPr>
            </w:pPr>
            <w:r>
              <w:rPr>
                <w:rFonts w:hint="eastAsia" w:ascii="宋体" w:hAnsi="宋体"/>
                <w:b/>
                <w:bCs/>
                <w:color w:val="000000"/>
                <w:szCs w:val="21"/>
              </w:rPr>
              <w:t>内      容</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1</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color w:val="000000"/>
              </w:rPr>
            </w:pPr>
            <w:r>
              <w:rPr>
                <w:rFonts w:hint="eastAsia" w:ascii="宋体" w:hAnsi="宋体" w:cs="宋体"/>
                <w:color w:val="000000"/>
              </w:rPr>
              <w:t>交货地点：采购人指定地点。</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2</w:t>
            </w:r>
          </w:p>
        </w:tc>
        <w:tc>
          <w:tcPr>
            <w:tcW w:w="8221"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color w:val="000000"/>
              </w:rPr>
            </w:pPr>
            <w:r>
              <w:rPr>
                <w:rFonts w:hint="eastAsia" w:ascii="宋体" w:hAnsi="宋体" w:cs="宋体"/>
                <w:color w:val="000000"/>
              </w:rPr>
              <w:t>交货期：</w:t>
            </w:r>
            <w:r>
              <w:rPr>
                <w:rFonts w:hint="eastAsia" w:ascii="宋体" w:hAnsi="宋体" w:cs="宋体"/>
                <w:color w:val="000000"/>
                <w:szCs w:val="21"/>
              </w:rPr>
              <w:t>合同签订后</w:t>
            </w:r>
            <w:r>
              <w:rPr>
                <w:rFonts w:ascii="宋体" w:hAnsi="宋体"/>
                <w:color w:val="000000"/>
                <w:szCs w:val="21"/>
              </w:rPr>
              <w:t>60</w:t>
            </w:r>
            <w:r>
              <w:rPr>
                <w:rFonts w:hint="eastAsia" w:ascii="宋体" w:hAnsi="宋体" w:cs="宋体"/>
                <w:color w:val="000000"/>
                <w:szCs w:val="21"/>
              </w:rPr>
              <w:t>个日历天</w:t>
            </w:r>
            <w:r>
              <w:rPr>
                <w:rFonts w:hint="eastAsia" w:ascii="宋体" w:hAnsi="宋体"/>
                <w:color w:val="000000"/>
                <w:szCs w:val="21"/>
              </w:rPr>
              <w:t>内完成交货及相关的现场施工安装、调试等工作，并验收合格。</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3</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付款方法和条件：合同签订后7个工作日内，甲方向乙方支付合同金额的30%；所有货物</w:t>
            </w:r>
            <w:r>
              <w:rPr>
                <w:rFonts w:hint="eastAsia" w:ascii="宋体" w:hAnsi="宋体"/>
                <w:color w:val="000000"/>
                <w:szCs w:val="21"/>
              </w:rPr>
              <w:t>交货安装完毕并通过有关部门验收合格且经采购人确认后30天内，支付至合同总价的95%，并退还履约保证金（不计息）；5%余款在质量保证期满经采购人确认无质量问题且扣除供应商应承担的违约金等费用后15个工作日内付清（不计息）。</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4</w:t>
            </w:r>
          </w:p>
        </w:tc>
        <w:tc>
          <w:tcPr>
            <w:tcW w:w="8221" w:type="dxa"/>
            <w:tcBorders>
              <w:top w:val="single" w:color="000000" w:sz="6" w:space="0"/>
              <w:left w:val="nil"/>
              <w:bottom w:val="single" w:color="auto" w:sz="4" w:space="0"/>
              <w:right w:val="single" w:color="auto" w:sz="4" w:space="0"/>
            </w:tcBorders>
            <w:noWrap w:val="0"/>
            <w:vAlign w:val="center"/>
          </w:tcPr>
          <w:p>
            <w:pPr>
              <w:spacing w:line="400" w:lineRule="exact"/>
              <w:rPr>
                <w:rFonts w:hint="eastAsia" w:ascii="宋体" w:hAnsi="宋体"/>
                <w:color w:val="000000"/>
              </w:rPr>
            </w:pPr>
            <w:r>
              <w:rPr>
                <w:rFonts w:hint="eastAsia" w:ascii="宋体" w:hAnsi="宋体" w:cs="宋体"/>
                <w:color w:val="000000"/>
              </w:rPr>
              <w:t>质量保证期：</w:t>
            </w:r>
            <w:r>
              <w:rPr>
                <w:rFonts w:hint="eastAsia" w:ascii="宋体" w:hAnsi="宋体"/>
                <w:color w:val="000000"/>
                <w:szCs w:val="21"/>
              </w:rPr>
              <w:t>验收合格交付使用起三年</w:t>
            </w:r>
            <w:r>
              <w:rPr>
                <w:rFonts w:hint="eastAsia" w:ascii="宋体" w:hAnsi="宋体" w:cs="宋体"/>
                <w:color w:val="000000"/>
              </w:rPr>
              <w:t>。</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color w:val="000000"/>
                <w:szCs w:val="21"/>
              </w:rPr>
            </w:pPr>
            <w:r>
              <w:rPr>
                <w:rFonts w:hint="eastAsia" w:ascii="宋体" w:hAnsi="宋体"/>
                <w:color w:val="000000"/>
                <w:szCs w:val="21"/>
              </w:rPr>
              <w:t>5</w:t>
            </w:r>
          </w:p>
        </w:tc>
        <w:tc>
          <w:tcPr>
            <w:tcW w:w="8221" w:type="dxa"/>
            <w:tcBorders>
              <w:top w:val="single" w:color="auto" w:sz="4" w:space="0"/>
              <w:left w:val="nil"/>
              <w:bottom w:val="single" w:color="000000" w:sz="6" w:space="0"/>
              <w:right w:val="single" w:color="auto" w:sz="4" w:space="0"/>
            </w:tcBorders>
            <w:noWrap w:val="0"/>
            <w:vAlign w:val="center"/>
          </w:tcPr>
          <w:p>
            <w:pPr>
              <w:spacing w:line="400" w:lineRule="exact"/>
              <w:rPr>
                <w:rFonts w:hint="eastAsia" w:ascii="宋体" w:hAnsi="宋体" w:cs="宋体"/>
                <w:color w:val="000000"/>
              </w:rPr>
            </w:pPr>
            <w:r>
              <w:rPr>
                <w:rFonts w:hint="eastAsia" w:ascii="宋体" w:hAnsi="宋体" w:cs="宋体"/>
                <w:color w:val="000000"/>
              </w:rPr>
              <w:t>售后服务：</w:t>
            </w:r>
          </w:p>
          <w:p>
            <w:pPr>
              <w:spacing w:line="400" w:lineRule="exact"/>
              <w:rPr>
                <w:rFonts w:hint="eastAsia" w:ascii="宋体" w:hAnsi="宋体" w:cs="宋体"/>
                <w:color w:val="000000"/>
              </w:rPr>
            </w:pPr>
            <w:r>
              <w:rPr>
                <w:rFonts w:hint="eastAsia" w:ascii="宋体" w:hAnsi="宋体" w:cs="宋体"/>
                <w:color w:val="000000"/>
              </w:rPr>
              <w:t>（1）对系统的运维服务包括对构成系统的所有前端设施、硬件、网络、应用软件等的维护、维修、更换故障设备和产品升级等。</w:t>
            </w:r>
          </w:p>
          <w:p>
            <w:pPr>
              <w:spacing w:line="400" w:lineRule="exact"/>
              <w:rPr>
                <w:rFonts w:ascii="宋体" w:hAnsi="宋体" w:cs="宋体"/>
                <w:color w:val="000000"/>
              </w:rPr>
            </w:pPr>
            <w:r>
              <w:rPr>
                <w:rFonts w:hint="eastAsia" w:ascii="宋体" w:hAnsi="宋体" w:cs="宋体"/>
                <w:color w:val="000000"/>
              </w:rPr>
              <w:t>（2）与设备厂商签订运维服务保障协议，保证提供充足的备品备件资源。</w:t>
            </w:r>
          </w:p>
          <w:p>
            <w:pPr>
              <w:spacing w:line="400" w:lineRule="exact"/>
              <w:rPr>
                <w:rFonts w:hint="eastAsia" w:ascii="宋体" w:hAnsi="宋体" w:cs="宋体"/>
                <w:color w:val="000000"/>
              </w:rPr>
            </w:pPr>
            <w:r>
              <w:rPr>
                <w:rFonts w:hint="eastAsia" w:ascii="宋体" w:hAnsi="宋体"/>
                <w:color w:val="000000"/>
              </w:rPr>
              <w:t>（3）</w:t>
            </w:r>
            <w:r>
              <w:rPr>
                <w:rFonts w:hint="eastAsia" w:ascii="宋体" w:hAnsi="宋体" w:cs="宋体"/>
                <w:color w:val="000000"/>
              </w:rPr>
              <w:t>建立运维服务部门，并设立专门的技术及维护服务队伍。服务部门提供免费的服务热线电话，在热线电话发生故障情况下，应提供其他备份的方便和迅速的联系方式。运维服务部门应在服务期内全天候（7×24小时）运行。</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▲6</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履约保证金金额：中标供应商提供的履约保证金为合同价款的5％。在签订合同前支付给采购人，所有货物</w:t>
            </w:r>
            <w:r>
              <w:rPr>
                <w:rFonts w:hint="eastAsia" w:ascii="宋体" w:hAnsi="宋体"/>
                <w:color w:val="000000"/>
                <w:szCs w:val="21"/>
              </w:rPr>
              <w:t>交货完毕并通过有关部门验收合格且经采购人确认后30天</w:t>
            </w:r>
            <w:r>
              <w:rPr>
                <w:rFonts w:hint="eastAsia" w:ascii="宋体" w:hAnsi="宋体"/>
                <w:color w:val="000000"/>
                <w:szCs w:val="21"/>
                <w:lang w:val="zh-CN"/>
              </w:rPr>
              <w:t>内无息退还。</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7</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履约保证金形式：</w:t>
            </w:r>
          </w:p>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可选择：银行汇票（电汇）、现金、支票（仅限于使用宁波大市区范围内的银行开具的支票）、履约保函。</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8</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ascii="宋体" w:hAnsi="宋体"/>
                <w:color w:val="000000"/>
                <w:szCs w:val="21"/>
                <w:lang w:val="zh-CN"/>
              </w:rPr>
            </w:pPr>
            <w:r>
              <w:rPr>
                <w:rFonts w:hint="eastAsia" w:ascii="宋体" w:hAnsi="宋体"/>
                <w:color w:val="000000"/>
                <w:szCs w:val="21"/>
                <w:lang w:val="zh-CN"/>
              </w:rPr>
              <w:t>授予合同：按照招标文件的规定、中标供应商的投标响应及中标通知书确定的金额签订合同。</w:t>
            </w:r>
          </w:p>
        </w:tc>
      </w:tr>
      <w:tr>
        <w:tblPrEx>
          <w:tblCellMar>
            <w:top w:w="0" w:type="dxa"/>
            <w:left w:w="108" w:type="dxa"/>
            <w:bottom w:w="0" w:type="dxa"/>
            <w:right w:w="108" w:type="dxa"/>
          </w:tblCellMar>
        </w:tblPrEx>
        <w:trPr>
          <w:wBefore w:w="0" w:type="dxa"/>
          <w:wAfter w:w="0" w:type="dxa"/>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000000"/>
                <w:szCs w:val="21"/>
              </w:rPr>
            </w:pPr>
            <w:r>
              <w:rPr>
                <w:rFonts w:hint="eastAsia" w:ascii="宋体" w:hAnsi="宋体"/>
                <w:color w:val="000000"/>
                <w:szCs w:val="21"/>
              </w:rPr>
              <w:t>9</w:t>
            </w:r>
          </w:p>
        </w:tc>
        <w:tc>
          <w:tcPr>
            <w:tcW w:w="8221"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000000"/>
                <w:szCs w:val="21"/>
                <w:lang w:val="zh-CN"/>
              </w:rPr>
            </w:pPr>
            <w:r>
              <w:rPr>
                <w:rFonts w:hint="eastAsia" w:ascii="宋体" w:hAnsi="宋体"/>
                <w:color w:val="000000"/>
                <w:szCs w:val="21"/>
                <w:lang w:val="zh-CN"/>
              </w:rPr>
              <w:t>合同签订时间：中标通知书发出之日起30天内。</w:t>
            </w:r>
          </w:p>
        </w:tc>
      </w:tr>
    </w:tbl>
    <w:p>
      <w:pPr>
        <w:spacing w:line="400" w:lineRule="exact"/>
        <w:jc w:val="center"/>
        <w:outlineLvl w:val="0"/>
        <w:rPr>
          <w:rFonts w:hint="eastAsia" w:ascii="宋体" w:hAnsi="宋体"/>
          <w:b/>
          <w:color w:val="000000"/>
          <w:sz w:val="32"/>
        </w:rPr>
      </w:pPr>
    </w:p>
    <w:p>
      <w:pPr>
        <w:spacing w:line="400" w:lineRule="exact"/>
        <w:outlineLvl w:val="0"/>
        <w:rPr>
          <w:rFonts w:hint="eastAsia" w:ascii="宋体" w:hAnsi="宋体"/>
          <w:bCs/>
          <w:color w:val="000000"/>
          <w:sz w:val="24"/>
        </w:rPr>
      </w:pPr>
    </w:p>
    <w:p>
      <w:pPr>
        <w:spacing w:line="400" w:lineRule="exact"/>
        <w:jc w:val="center"/>
        <w:rPr>
          <w:rFonts w:ascii="宋体" w:hAnsi="宋体"/>
          <w:b/>
          <w:color w:val="000000"/>
          <w:sz w:val="32"/>
        </w:rPr>
        <w:sectPr>
          <w:pgSz w:w="11907" w:h="16840"/>
          <w:pgMar w:top="851" w:right="1588" w:bottom="851" w:left="1545" w:header="285" w:footer="418" w:gutter="0"/>
          <w:cols w:space="720" w:num="1"/>
          <w:docGrid w:linePitch="285" w:charSpace="0"/>
        </w:sectPr>
      </w:pPr>
    </w:p>
    <w:bookmarkEnd w:id="80"/>
    <w:p>
      <w:pPr>
        <w:spacing w:line="400" w:lineRule="exact"/>
        <w:jc w:val="center"/>
        <w:outlineLvl w:val="0"/>
        <w:rPr>
          <w:rFonts w:hint="eastAsia" w:ascii="宋体" w:hAnsi="宋体"/>
          <w:b/>
          <w:color w:val="000000"/>
          <w:sz w:val="32"/>
        </w:rPr>
      </w:pPr>
      <w:bookmarkStart w:id="84" w:name="_Toc529355820"/>
      <w:r>
        <w:rPr>
          <w:rFonts w:hint="eastAsia" w:ascii="宋体" w:hAnsi="宋体"/>
          <w:b/>
          <w:color w:val="000000"/>
          <w:sz w:val="32"/>
        </w:rPr>
        <w:t>第七章  附件</w:t>
      </w:r>
      <w:bookmarkEnd w:id="84"/>
    </w:p>
    <w:p>
      <w:pPr>
        <w:spacing w:line="360" w:lineRule="auto"/>
        <w:rPr>
          <w:rStyle w:val="90"/>
          <w:rFonts w:hint="eastAsia" w:ascii="宋体" w:hAnsi="宋体"/>
          <w:color w:val="000000"/>
          <w:sz w:val="21"/>
          <w:szCs w:val="21"/>
        </w:rPr>
      </w:pPr>
    </w:p>
    <w:p>
      <w:pPr>
        <w:spacing w:line="400" w:lineRule="exact"/>
        <w:rPr>
          <w:rStyle w:val="90"/>
          <w:rFonts w:hint="eastAsia" w:ascii="宋体" w:hAnsi="宋体"/>
          <w:b w:val="0"/>
          <w:color w:val="000000"/>
          <w:spacing w:val="0"/>
          <w:sz w:val="21"/>
          <w:szCs w:val="21"/>
        </w:rPr>
      </w:pPr>
      <w:r>
        <w:rPr>
          <w:rStyle w:val="90"/>
          <w:rFonts w:hint="eastAsia" w:ascii="宋体" w:hAnsi="宋体"/>
          <w:color w:val="000000"/>
          <w:sz w:val="21"/>
          <w:szCs w:val="21"/>
        </w:rPr>
        <w:t>封面</w:t>
      </w:r>
    </w:p>
    <w:p>
      <w:pPr>
        <w:spacing w:line="360" w:lineRule="auto"/>
        <w:ind w:firstLine="1189" w:firstLineChars="400"/>
        <w:rPr>
          <w:rFonts w:hint="eastAsia" w:ascii="宋体" w:hAnsi="宋体"/>
          <w:b/>
          <w:color w:val="000000"/>
          <w:sz w:val="32"/>
          <w:szCs w:val="32"/>
        </w:rPr>
      </w:pPr>
      <w:r>
        <w:rPr>
          <w:rStyle w:val="90"/>
          <w:rFonts w:hint="eastAsia" w:ascii="宋体" w:hAnsi="宋体"/>
          <w:color w:val="000000"/>
          <w:sz w:val="30"/>
          <w:szCs w:val="30"/>
        </w:rPr>
        <w:t xml:space="preserve">   </w:t>
      </w:r>
      <w:r>
        <w:rPr>
          <w:rFonts w:hint="eastAsia" w:ascii="宋体" w:hAnsi="宋体"/>
          <w:color w:val="000000"/>
          <w:sz w:val="28"/>
        </w:rPr>
        <w:t xml:space="preserve">                                         </w:t>
      </w:r>
      <w:r>
        <w:rPr>
          <w:rFonts w:hint="eastAsia" w:ascii="宋体" w:hAnsi="宋体"/>
          <w:b/>
          <w:color w:val="000000"/>
          <w:sz w:val="32"/>
          <w:szCs w:val="32"/>
        </w:rPr>
        <w:t>正（副）本</w:t>
      </w:r>
    </w:p>
    <w:p>
      <w:pPr>
        <w:spacing w:line="360" w:lineRule="auto"/>
        <w:rPr>
          <w:rFonts w:hint="eastAsia" w:ascii="宋体" w:hAnsi="宋体"/>
          <w:color w:val="000000"/>
          <w:sz w:val="28"/>
          <w:szCs w:val="28"/>
        </w:rPr>
      </w:pPr>
    </w:p>
    <w:p>
      <w:pPr>
        <w:spacing w:line="360" w:lineRule="auto"/>
        <w:jc w:val="center"/>
        <w:rPr>
          <w:rFonts w:hint="eastAsia" w:ascii="宋体" w:hAnsi="宋体"/>
          <w:b/>
          <w:color w:val="000000"/>
          <w:sz w:val="46"/>
          <w:szCs w:val="52"/>
        </w:rPr>
      </w:pPr>
      <w:r>
        <w:rPr>
          <w:rFonts w:hint="eastAsia" w:ascii="宋体" w:hAnsi="宋体"/>
          <w:b/>
          <w:color w:val="000000"/>
          <w:sz w:val="46"/>
          <w:szCs w:val="52"/>
        </w:rPr>
        <w:t>宁波杭州湾新区校园智能安全防护体系建设项目</w:t>
      </w:r>
    </w:p>
    <w:p>
      <w:pPr>
        <w:spacing w:line="360" w:lineRule="auto"/>
        <w:jc w:val="center"/>
        <w:rPr>
          <w:rFonts w:hint="eastAsia"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HZWXQ2020-61（NBITC-202010469G）</w:t>
      </w:r>
    </w:p>
    <w:p>
      <w:pP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p>
    <w:p>
      <w:pPr>
        <w:spacing w:line="360" w:lineRule="auto"/>
        <w:jc w:val="center"/>
        <w:rPr>
          <w:rFonts w:ascii="宋体" w:hAnsi="宋体"/>
          <w:b/>
          <w:color w:val="000000"/>
          <w:sz w:val="72"/>
          <w:szCs w:val="72"/>
        </w:rPr>
      </w:pPr>
      <w:r>
        <w:rPr>
          <w:rFonts w:hint="eastAsia" w:ascii="宋体" w:hAnsi="宋体"/>
          <w:b/>
          <w:color w:val="000000"/>
          <w:sz w:val="72"/>
          <w:szCs w:val="72"/>
        </w:rPr>
        <w:t>投</w:t>
      </w:r>
    </w:p>
    <w:p>
      <w:pPr>
        <w:spacing w:line="360" w:lineRule="auto"/>
        <w:jc w:val="center"/>
        <w:rPr>
          <w:rFonts w:ascii="宋体" w:hAnsi="宋体"/>
          <w:b/>
          <w:color w:val="000000"/>
          <w:sz w:val="72"/>
          <w:szCs w:val="72"/>
        </w:rPr>
      </w:pPr>
      <w:r>
        <w:rPr>
          <w:rFonts w:hint="eastAsia" w:ascii="宋体" w:hAnsi="宋体"/>
          <w:b/>
          <w:color w:val="000000"/>
          <w:sz w:val="72"/>
          <w:szCs w:val="72"/>
        </w:rPr>
        <w:t>标</w:t>
      </w:r>
    </w:p>
    <w:p>
      <w:pPr>
        <w:spacing w:line="360" w:lineRule="auto"/>
        <w:jc w:val="center"/>
        <w:rPr>
          <w:rFonts w:ascii="宋体" w:hAnsi="宋体"/>
          <w:b/>
          <w:color w:val="000000"/>
          <w:sz w:val="72"/>
          <w:szCs w:val="72"/>
        </w:rPr>
      </w:pPr>
      <w:r>
        <w:rPr>
          <w:rFonts w:hint="eastAsia" w:ascii="宋体" w:hAnsi="宋体"/>
          <w:b/>
          <w:color w:val="000000"/>
          <w:sz w:val="72"/>
          <w:szCs w:val="72"/>
        </w:rPr>
        <w:t>文</w:t>
      </w:r>
    </w:p>
    <w:p>
      <w:pPr>
        <w:spacing w:line="360" w:lineRule="auto"/>
        <w:jc w:val="center"/>
        <w:rPr>
          <w:rFonts w:hint="eastAsia" w:ascii="宋体" w:hAnsi="宋体"/>
          <w:b/>
          <w:color w:val="000000"/>
          <w:sz w:val="72"/>
          <w:szCs w:val="72"/>
        </w:rPr>
      </w:pPr>
      <w:r>
        <w:rPr>
          <w:rFonts w:hint="eastAsia" w:ascii="宋体" w:hAnsi="宋体"/>
          <w:b/>
          <w:color w:val="000000"/>
          <w:sz w:val="72"/>
          <w:szCs w:val="72"/>
        </w:rPr>
        <w:t>件</w:t>
      </w:r>
    </w:p>
    <w:p>
      <w:pPr>
        <w:spacing w:line="360" w:lineRule="auto"/>
        <w:jc w:val="center"/>
        <w:rPr>
          <w:rFonts w:hint="eastAsia" w:ascii="宋体" w:hAnsi="宋体"/>
          <w:color w:val="000000"/>
          <w:sz w:val="36"/>
          <w:szCs w:val="36"/>
          <w:u w:val="single"/>
        </w:rPr>
      </w:pPr>
      <w:r>
        <w:rPr>
          <w:rFonts w:hint="eastAsia" w:ascii="宋体" w:hAnsi="宋体"/>
          <w:color w:val="000000"/>
          <w:sz w:val="36"/>
          <w:szCs w:val="36"/>
        </w:rPr>
        <w:t>供应商全称：</w:t>
      </w:r>
      <w:r>
        <w:rPr>
          <w:rFonts w:hint="eastAsia" w:ascii="宋体" w:hAnsi="宋体"/>
          <w:color w:val="000000"/>
          <w:sz w:val="36"/>
          <w:szCs w:val="36"/>
          <w:u w:val="single"/>
        </w:rPr>
        <w:t>（加盖单位公章）</w:t>
      </w:r>
    </w:p>
    <w:p>
      <w:pPr>
        <w:pStyle w:val="23"/>
        <w:ind w:left="101" w:leftChars="48" w:firstLine="1920" w:firstLineChars="800"/>
        <w:jc w:val="left"/>
        <w:rPr>
          <w:rFonts w:hint="eastAsia" w:hAnsi="宋体"/>
          <w:color w:val="000000"/>
          <w:szCs w:val="28"/>
          <w:u w:val="single"/>
        </w:rPr>
      </w:pPr>
    </w:p>
    <w:p>
      <w:pPr>
        <w:spacing w:line="360" w:lineRule="auto"/>
        <w:jc w:val="center"/>
        <w:rPr>
          <w:rFonts w:hint="eastAsia" w:ascii="宋体" w:hAnsi="宋体"/>
          <w:color w:val="000000"/>
          <w:sz w:val="36"/>
          <w:szCs w:val="36"/>
        </w:rPr>
      </w:pPr>
      <w:r>
        <w:rPr>
          <w:rFonts w:hint="eastAsia" w:ascii="宋体" w:hAnsi="宋体"/>
          <w:color w:val="000000"/>
          <w:sz w:val="36"/>
          <w:szCs w:val="36"/>
        </w:rPr>
        <w:t>年   月   日</w:t>
      </w:r>
    </w:p>
    <w:p>
      <w:pPr>
        <w:spacing w:line="400" w:lineRule="exact"/>
        <w:jc w:val="left"/>
        <w:rPr>
          <w:rFonts w:hint="eastAsia" w:ascii="宋体" w:hAnsi="宋体"/>
          <w:b/>
          <w:color w:val="000000"/>
          <w:szCs w:val="21"/>
        </w:rPr>
      </w:pPr>
      <w:r>
        <w:rPr>
          <w:rFonts w:ascii="宋体" w:hAnsi="宋体"/>
          <w:color w:val="000000"/>
          <w:sz w:val="36"/>
          <w:szCs w:val="36"/>
        </w:rPr>
        <w:br w:type="page"/>
      </w:r>
      <w:r>
        <w:rPr>
          <w:rFonts w:hint="eastAsia" w:ascii="宋体" w:hAnsi="宋体"/>
          <w:b/>
          <w:color w:val="000000"/>
          <w:szCs w:val="21"/>
        </w:rPr>
        <w:t>附件一</w:t>
      </w:r>
    </w:p>
    <w:p>
      <w:pPr>
        <w:spacing w:line="400" w:lineRule="exact"/>
        <w:jc w:val="center"/>
        <w:rPr>
          <w:rFonts w:hint="eastAsia" w:ascii="宋体" w:hAnsi="宋体"/>
          <w:b/>
          <w:color w:val="000000"/>
          <w:szCs w:val="21"/>
        </w:rPr>
      </w:pPr>
      <w:r>
        <w:rPr>
          <w:rFonts w:hint="eastAsia" w:ascii="宋体" w:hAnsi="宋体"/>
          <w:b/>
          <w:color w:val="000000"/>
          <w:szCs w:val="21"/>
        </w:rPr>
        <w:t>投标书</w:t>
      </w:r>
    </w:p>
    <w:p>
      <w:pPr>
        <w:spacing w:line="400" w:lineRule="exact"/>
        <w:rPr>
          <w:rFonts w:hint="eastAsia" w:ascii="宋体" w:hAnsi="宋体"/>
          <w:color w:val="000000"/>
          <w:szCs w:val="21"/>
        </w:rPr>
      </w:pPr>
      <w:r>
        <w:rPr>
          <w:rFonts w:hint="eastAsia" w:ascii="宋体" w:hAnsi="宋体"/>
          <w:color w:val="000000"/>
          <w:szCs w:val="21"/>
        </w:rPr>
        <w:t>致：采购人</w:t>
      </w:r>
    </w:p>
    <w:p>
      <w:pPr>
        <w:spacing w:line="400" w:lineRule="exact"/>
        <w:ind w:firstLine="420" w:firstLineChars="200"/>
        <w:rPr>
          <w:rFonts w:hint="eastAsia" w:ascii="宋体" w:hAnsi="宋体"/>
          <w:color w:val="000000"/>
          <w:szCs w:val="21"/>
        </w:rPr>
      </w:pPr>
      <w:r>
        <w:rPr>
          <w:rFonts w:hint="eastAsia" w:ascii="宋体" w:hAnsi="宋体"/>
          <w:color w:val="000000"/>
          <w:szCs w:val="21"/>
          <w:u w:val="single"/>
        </w:rPr>
        <w:t>(供应商全称)　</w:t>
      </w:r>
      <w:r>
        <w:rPr>
          <w:rFonts w:hint="eastAsia" w:ascii="宋体" w:hAnsi="宋体"/>
          <w:color w:val="000000"/>
          <w:szCs w:val="21"/>
        </w:rPr>
        <w:t>授权</w:t>
      </w:r>
      <w:r>
        <w:rPr>
          <w:rFonts w:hint="eastAsia" w:ascii="宋体" w:hAnsi="宋体"/>
          <w:color w:val="000000"/>
          <w:szCs w:val="21"/>
          <w:u w:val="single"/>
        </w:rPr>
        <w:t xml:space="preserve">  （全名、职务）  </w:t>
      </w:r>
      <w:r>
        <w:rPr>
          <w:rFonts w:hint="eastAsia" w:ascii="宋体" w:hAnsi="宋体"/>
          <w:color w:val="000000"/>
          <w:szCs w:val="21"/>
        </w:rPr>
        <w:t>为全权代表，参加贵方组织的</w:t>
      </w:r>
      <w:r>
        <w:rPr>
          <w:rFonts w:hint="eastAsia" w:ascii="宋体" w:hAnsi="宋体"/>
          <w:color w:val="000000"/>
          <w:szCs w:val="21"/>
          <w:u w:val="single"/>
        </w:rPr>
        <w:t>宁波杭州湾新区校园智能安全防护体系建设项目</w:t>
      </w:r>
      <w:r>
        <w:rPr>
          <w:rFonts w:hint="eastAsia" w:ascii="宋体" w:hAnsi="宋体"/>
          <w:color w:val="000000"/>
          <w:szCs w:val="21"/>
        </w:rPr>
        <w:t>（项目编号：</w:t>
      </w:r>
      <w:r>
        <w:rPr>
          <w:rFonts w:hint="eastAsia" w:ascii="宋体" w:hAnsi="宋体"/>
          <w:color w:val="000000"/>
          <w:szCs w:val="21"/>
          <w:u w:val="single"/>
        </w:rPr>
        <w:t>HZWXQ2020-61（NBITC-202010469G）</w:t>
      </w:r>
      <w:r>
        <w:rPr>
          <w:rFonts w:hint="eastAsia" w:ascii="宋体" w:hAnsi="宋体"/>
          <w:color w:val="000000"/>
          <w:szCs w:val="21"/>
        </w:rPr>
        <w:t>）招标活动并投标，为便于贵方公正、择优地确定中标供应商及其服务，我方就本次投标有关事项郑重声明如下：</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1、我方向贵方提交的所有投标文件、资料都是准确的和真实的。如有虚假或隐瞒，我方愿意承担一切后果，并不再寻求任何旨在减轻或免除法律责任的辩解。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2、我方不是为本项目提供整体设计、规范编制或者项目管理、监理、检测等服务的供应商。</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hint="eastAsia" w:ascii="宋体" w:hAnsi="宋体"/>
          <w:color w:val="000000"/>
        </w:rPr>
        <w:t>保证遵守招标文件有关条款规定。</w:t>
      </w:r>
    </w:p>
    <w:p>
      <w:pPr>
        <w:snapToGrid w:val="0"/>
        <w:spacing w:line="400" w:lineRule="exact"/>
        <w:ind w:firstLine="420" w:firstLineChars="200"/>
        <w:rPr>
          <w:rFonts w:hint="eastAsia" w:ascii="宋体" w:hAnsi="宋体"/>
          <w:color w:val="000000"/>
          <w:szCs w:val="21"/>
        </w:rPr>
      </w:pPr>
      <w:r>
        <w:rPr>
          <w:rFonts w:ascii="宋体" w:hAnsi="宋体"/>
          <w:color w:val="000000"/>
          <w:szCs w:val="21"/>
        </w:rPr>
        <w:t>5</w:t>
      </w:r>
      <w:r>
        <w:rPr>
          <w:rFonts w:hint="eastAsia" w:ascii="宋体" w:hAnsi="宋体"/>
          <w:color w:val="000000"/>
          <w:szCs w:val="21"/>
        </w:rPr>
        <w:t>、本项目的投标报价详见“开标一览表”。</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6、投标文件有效期为自开标之日起</w:t>
      </w:r>
      <w:r>
        <w:rPr>
          <w:rFonts w:hint="eastAsia" w:ascii="宋体" w:hAnsi="宋体"/>
          <w:color w:val="000000"/>
          <w:szCs w:val="21"/>
          <w:u w:val="single"/>
        </w:rPr>
        <w:t xml:space="preserve"> 90 </w:t>
      </w:r>
      <w:r>
        <w:rPr>
          <w:rFonts w:hint="eastAsia" w:ascii="宋体" w:hAnsi="宋体"/>
          <w:color w:val="000000"/>
          <w:szCs w:val="21"/>
        </w:rPr>
        <w:t>个日历日。</w:t>
      </w:r>
    </w:p>
    <w:p>
      <w:pPr>
        <w:spacing w:line="400" w:lineRule="exact"/>
        <w:ind w:firstLine="420" w:firstLineChars="200"/>
        <w:jc w:val="left"/>
        <w:rPr>
          <w:rFonts w:ascii="宋体" w:hAnsi="宋体"/>
          <w:color w:val="000000"/>
        </w:rPr>
      </w:pPr>
      <w:r>
        <w:rPr>
          <w:rFonts w:ascii="宋体" w:hAnsi="宋体"/>
          <w:color w:val="000000"/>
          <w:szCs w:val="21"/>
        </w:rPr>
        <w:t>7</w:t>
      </w:r>
      <w:r>
        <w:rPr>
          <w:rFonts w:hint="eastAsia" w:ascii="宋体" w:hAnsi="宋体"/>
          <w:color w:val="000000"/>
          <w:szCs w:val="21"/>
        </w:rPr>
        <w:t>、</w:t>
      </w:r>
      <w:r>
        <w:rPr>
          <w:rFonts w:hint="eastAsia" w:ascii="宋体" w:hAnsi="宋体"/>
          <w:color w:val="000000"/>
        </w:rPr>
        <w:t>保证在中标后忠实地执行与采购人所签署的合同，并承担合同规定的责任义务。</w:t>
      </w:r>
    </w:p>
    <w:p>
      <w:pPr>
        <w:spacing w:line="400" w:lineRule="exact"/>
        <w:ind w:firstLine="420" w:firstLineChars="200"/>
        <w:jc w:val="left"/>
        <w:rPr>
          <w:rFonts w:hint="eastAsia" w:ascii="宋体" w:hAnsi="宋体"/>
          <w:color w:val="000000"/>
        </w:rPr>
      </w:pPr>
      <w:r>
        <w:rPr>
          <w:rFonts w:hint="eastAsia" w:ascii="宋体" w:hAnsi="宋体"/>
          <w:color w:val="000000"/>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9、与本投标有关的一切正式来往通讯请寄：</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邮编：</w:t>
      </w:r>
      <w:r>
        <w:rPr>
          <w:rFonts w:hint="eastAsia" w:ascii="宋体" w:hAnsi="宋体"/>
          <w:color w:val="000000"/>
          <w:szCs w:val="21"/>
          <w:u w:val="single"/>
        </w:rPr>
        <w:t xml:space="preserve">                 </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ind w:left="540" w:firstLine="30"/>
        <w:jc w:val="left"/>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hint="eastAsia" w:ascii="宋体" w:hAnsi="宋体"/>
          <w:color w:val="000000"/>
          <w:szCs w:val="21"/>
          <w:u w:val="single"/>
        </w:rPr>
      </w:pPr>
    </w:p>
    <w:p>
      <w:pPr>
        <w:spacing w:line="400" w:lineRule="exact"/>
        <w:rPr>
          <w:rFonts w:hint="eastAsia" w:ascii="宋体" w:hAnsi="宋体"/>
          <w:color w:val="000000"/>
          <w:szCs w:val="21"/>
          <w:u w:val="single"/>
        </w:rPr>
      </w:pPr>
    </w:p>
    <w:p>
      <w:pPr>
        <w:spacing w:line="400" w:lineRule="exact"/>
        <w:rPr>
          <w:rFonts w:hint="eastAsia" w:ascii="宋体" w:hAnsi="宋体"/>
          <w:color w:val="000000"/>
          <w:szCs w:val="21"/>
          <w:u w:val="single"/>
        </w:rPr>
      </w:pPr>
    </w:p>
    <w:p>
      <w:pPr>
        <w:spacing w:line="400" w:lineRule="exact"/>
        <w:jc w:val="left"/>
        <w:rPr>
          <w:rFonts w:hint="eastAsia" w:ascii="宋体" w:hAnsi="宋体"/>
          <w:b/>
          <w:color w:val="000000"/>
          <w:szCs w:val="21"/>
        </w:rPr>
      </w:pPr>
      <w:r>
        <w:rPr>
          <w:rStyle w:val="90"/>
          <w:rFonts w:ascii="宋体" w:hAnsi="宋体"/>
          <w:color w:val="000000"/>
          <w:sz w:val="21"/>
          <w:szCs w:val="21"/>
        </w:rPr>
        <w:br w:type="page"/>
      </w:r>
      <w:r>
        <w:rPr>
          <w:rFonts w:hint="eastAsia" w:ascii="宋体" w:hAnsi="宋体"/>
          <w:b/>
          <w:color w:val="000000"/>
          <w:szCs w:val="21"/>
        </w:rPr>
        <w:t>附件二</w:t>
      </w:r>
    </w:p>
    <w:p>
      <w:pPr>
        <w:spacing w:line="400" w:lineRule="exact"/>
        <w:jc w:val="center"/>
        <w:rPr>
          <w:rFonts w:hint="eastAsia" w:ascii="宋体" w:hAnsi="宋体"/>
          <w:b/>
          <w:color w:val="000000"/>
          <w:szCs w:val="21"/>
        </w:rPr>
      </w:pPr>
      <w:r>
        <w:rPr>
          <w:rFonts w:hint="eastAsia" w:ascii="宋体" w:hAnsi="宋体"/>
          <w:b/>
          <w:color w:val="000000"/>
          <w:szCs w:val="21"/>
        </w:rPr>
        <w:t>开标一览表</w:t>
      </w:r>
    </w:p>
    <w:p>
      <w:pPr>
        <w:pStyle w:val="17"/>
        <w:spacing w:line="400" w:lineRule="exact"/>
        <w:ind w:firstLine="0"/>
        <w:rPr>
          <w:rFonts w:hint="eastAsia" w:ascii="宋体" w:hAnsi="宋体" w:eastAsia="宋体"/>
          <w:color w:val="000000"/>
          <w:sz w:val="21"/>
          <w:szCs w:val="21"/>
        </w:rPr>
      </w:pPr>
    </w:p>
    <w:p>
      <w:pPr>
        <w:pStyle w:val="17"/>
        <w:spacing w:line="400" w:lineRule="exact"/>
        <w:ind w:firstLine="0"/>
        <w:rPr>
          <w:rFonts w:hint="eastAsia" w:ascii="宋体" w:hAnsi="宋体" w:eastAsia="宋体"/>
          <w:color w:val="000000"/>
          <w:sz w:val="21"/>
          <w:szCs w:val="21"/>
        </w:rPr>
      </w:pPr>
      <w:r>
        <w:rPr>
          <w:rFonts w:hint="eastAsia" w:ascii="宋体" w:hAnsi="宋体" w:eastAsia="宋体"/>
          <w:color w:val="000000"/>
          <w:sz w:val="21"/>
          <w:szCs w:val="21"/>
        </w:rPr>
        <w:t>项目名称：</w:t>
      </w:r>
      <w:r>
        <w:rPr>
          <w:rFonts w:hint="eastAsia" w:ascii="宋体" w:hAnsi="宋体" w:eastAsia="宋体"/>
          <w:color w:val="000000"/>
          <w:sz w:val="21"/>
          <w:szCs w:val="21"/>
          <w:u w:val="single"/>
        </w:rPr>
        <w:t>宁波杭州湾新区校园智能安全防护体系建设项目</w:t>
      </w:r>
      <w:r>
        <w:rPr>
          <w:rFonts w:hint="eastAsia" w:ascii="宋体" w:hAnsi="宋体" w:eastAsia="宋体"/>
          <w:color w:val="000000"/>
          <w:sz w:val="21"/>
          <w:szCs w:val="21"/>
        </w:rPr>
        <w:t xml:space="preserve">              </w:t>
      </w:r>
    </w:p>
    <w:p>
      <w:pPr>
        <w:pStyle w:val="17"/>
        <w:spacing w:line="400" w:lineRule="exact"/>
        <w:ind w:firstLine="0"/>
        <w:rPr>
          <w:rFonts w:hint="eastAsia" w:ascii="宋体" w:hAnsi="宋体" w:eastAsia="宋体"/>
          <w:color w:val="000000"/>
          <w:sz w:val="21"/>
          <w:szCs w:val="21"/>
          <w:u w:val="single"/>
        </w:rPr>
      </w:pPr>
      <w:r>
        <w:rPr>
          <w:rFonts w:hint="eastAsia" w:ascii="宋体" w:hAnsi="宋体" w:eastAsia="宋体"/>
          <w:color w:val="000000"/>
          <w:sz w:val="21"/>
          <w:szCs w:val="21"/>
        </w:rPr>
        <w:t>项目编号：</w:t>
      </w:r>
      <w:r>
        <w:rPr>
          <w:rFonts w:hint="eastAsia" w:ascii="宋体" w:hAnsi="宋体" w:eastAsia="宋体"/>
          <w:color w:val="000000"/>
          <w:sz w:val="21"/>
          <w:szCs w:val="21"/>
          <w:u w:val="single"/>
        </w:rPr>
        <w:t>HZWXQ2020-61（NBITC-202010469G）</w:t>
      </w:r>
    </w:p>
    <w:p>
      <w:pPr>
        <w:pStyle w:val="21"/>
        <w:snapToGrid w:val="0"/>
        <w:spacing w:line="400" w:lineRule="exact"/>
        <w:ind w:firstLine="4515" w:firstLineChars="2150"/>
        <w:rPr>
          <w:rFonts w:hint="eastAsia"/>
          <w:sz w:val="21"/>
          <w:szCs w:val="21"/>
        </w:rPr>
      </w:pPr>
      <w:r>
        <w:rPr>
          <w:rFonts w:hint="eastAsia"/>
          <w:sz w:val="21"/>
          <w:szCs w:val="21"/>
        </w:rPr>
        <w:t xml:space="preserve">                      货币单位：人民币（元）</w:t>
      </w:r>
    </w:p>
    <w:tbl>
      <w:tblPr>
        <w:tblStyle w:val="4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457"/>
        <w:gridCol w:w="1275"/>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子包号</w:t>
            </w:r>
          </w:p>
        </w:tc>
        <w:tc>
          <w:tcPr>
            <w:tcW w:w="34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标的名称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数量</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pStyle w:val="17"/>
              <w:spacing w:line="400" w:lineRule="exact"/>
              <w:ind w:firstLine="0"/>
              <w:jc w:val="center"/>
              <w:rPr>
                <w:rFonts w:ascii="宋体" w:hAnsi="宋体" w:eastAsia="宋体"/>
                <w:color w:val="000000"/>
                <w:sz w:val="21"/>
                <w:szCs w:val="21"/>
              </w:rPr>
            </w:pPr>
            <w:r>
              <w:rPr>
                <w:rFonts w:hint="eastAsia" w:ascii="宋体" w:hAnsi="宋体" w:eastAsia="宋体"/>
                <w:color w:val="000000"/>
                <w:sz w:val="21"/>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w:t>
            </w:r>
          </w:p>
        </w:tc>
        <w:tc>
          <w:tcPr>
            <w:tcW w:w="3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校园智能安全防护体系建设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1批</w:t>
            </w:r>
          </w:p>
        </w:tc>
        <w:tc>
          <w:tcPr>
            <w:tcW w:w="34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p>
        </w:tc>
      </w:tr>
    </w:tbl>
    <w:p>
      <w:pPr>
        <w:snapToGrid w:val="0"/>
        <w:spacing w:line="400" w:lineRule="exact"/>
        <w:rPr>
          <w:rFonts w:hint="eastAsia" w:ascii="宋体" w:hAnsi="宋体"/>
          <w:color w:val="000000"/>
          <w:szCs w:val="21"/>
          <w:u w:val="single"/>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pStyle w:val="21"/>
        <w:snapToGrid w:val="0"/>
        <w:spacing w:line="400" w:lineRule="exact"/>
        <w:rPr>
          <w:b/>
          <w:sz w:val="21"/>
          <w:szCs w:val="21"/>
        </w:rPr>
        <w:sectPr>
          <w:headerReference r:id="rId14" w:type="default"/>
          <w:footerReference r:id="rId15" w:type="default"/>
          <w:pgSz w:w="11907" w:h="16840"/>
          <w:pgMar w:top="1138" w:right="1588" w:bottom="1135" w:left="1339" w:header="285" w:footer="990" w:gutter="0"/>
          <w:cols w:space="720" w:num="1"/>
          <w:docGrid w:linePitch="285" w:charSpace="0"/>
        </w:sectPr>
      </w:pPr>
    </w:p>
    <w:p>
      <w:pPr>
        <w:pStyle w:val="21"/>
        <w:snapToGrid w:val="0"/>
        <w:spacing w:line="400" w:lineRule="exact"/>
        <w:rPr>
          <w:rFonts w:hint="eastAsia"/>
          <w:b/>
          <w:sz w:val="21"/>
          <w:szCs w:val="21"/>
        </w:rPr>
      </w:pPr>
      <w:r>
        <w:rPr>
          <w:rFonts w:hint="eastAsia"/>
          <w:b/>
          <w:sz w:val="21"/>
          <w:szCs w:val="21"/>
        </w:rPr>
        <w:t>附件三</w:t>
      </w:r>
    </w:p>
    <w:p>
      <w:pPr>
        <w:pStyle w:val="21"/>
        <w:snapToGrid w:val="0"/>
        <w:spacing w:line="400" w:lineRule="exact"/>
        <w:jc w:val="center"/>
        <w:rPr>
          <w:rFonts w:hint="eastAsia" w:cs="Times New Roman"/>
          <w:b/>
          <w:kern w:val="2"/>
          <w:sz w:val="21"/>
          <w:szCs w:val="21"/>
        </w:rPr>
      </w:pPr>
      <w:r>
        <w:rPr>
          <w:rFonts w:hint="eastAsia" w:cs="Times New Roman"/>
          <w:b/>
          <w:kern w:val="2"/>
          <w:sz w:val="21"/>
          <w:szCs w:val="21"/>
        </w:rPr>
        <w:t>分项报价表</w:t>
      </w:r>
    </w:p>
    <w:p>
      <w:pPr>
        <w:pStyle w:val="17"/>
        <w:spacing w:line="400" w:lineRule="exact"/>
        <w:ind w:firstLine="420" w:firstLineChars="200"/>
        <w:rPr>
          <w:rFonts w:hint="eastAsia" w:ascii="宋体" w:hAnsi="宋体" w:eastAsia="宋体"/>
          <w:color w:val="000000"/>
          <w:sz w:val="21"/>
          <w:szCs w:val="21"/>
        </w:rPr>
      </w:pPr>
      <w:r>
        <w:rPr>
          <w:rFonts w:hint="eastAsia" w:ascii="宋体" w:hAnsi="宋体" w:eastAsia="宋体"/>
          <w:color w:val="000000"/>
          <w:sz w:val="21"/>
          <w:szCs w:val="21"/>
        </w:rPr>
        <w:t>项目名称：</w:t>
      </w:r>
      <w:r>
        <w:rPr>
          <w:rFonts w:hint="eastAsia" w:ascii="宋体" w:hAnsi="宋体" w:eastAsia="宋体"/>
          <w:color w:val="000000"/>
          <w:sz w:val="21"/>
          <w:szCs w:val="21"/>
          <w:u w:val="single"/>
        </w:rPr>
        <w:t>宁波杭州湾新区校园智能安全防护体系建设项目</w:t>
      </w:r>
      <w:r>
        <w:rPr>
          <w:rFonts w:hint="eastAsia" w:ascii="宋体" w:hAnsi="宋体" w:eastAsia="宋体"/>
          <w:color w:val="000000"/>
          <w:sz w:val="21"/>
          <w:szCs w:val="21"/>
        </w:rPr>
        <w:t xml:space="preserve">              </w:t>
      </w:r>
    </w:p>
    <w:p>
      <w:pPr>
        <w:pStyle w:val="17"/>
        <w:spacing w:line="400" w:lineRule="exact"/>
        <w:ind w:firstLine="420" w:firstLineChars="200"/>
        <w:rPr>
          <w:rFonts w:hint="eastAsia" w:ascii="宋体" w:hAnsi="宋体" w:eastAsia="宋体"/>
          <w:color w:val="000000"/>
          <w:sz w:val="21"/>
          <w:szCs w:val="21"/>
          <w:u w:val="single"/>
        </w:rPr>
      </w:pPr>
      <w:r>
        <w:rPr>
          <w:rFonts w:hint="eastAsia" w:ascii="宋体" w:hAnsi="宋体" w:eastAsia="宋体"/>
          <w:color w:val="000000"/>
          <w:sz w:val="21"/>
          <w:szCs w:val="21"/>
        </w:rPr>
        <w:t>项目编号：</w:t>
      </w:r>
      <w:r>
        <w:rPr>
          <w:rFonts w:hint="eastAsia" w:ascii="宋体" w:hAnsi="宋体" w:eastAsia="宋体"/>
          <w:color w:val="000000"/>
          <w:sz w:val="21"/>
          <w:szCs w:val="21"/>
          <w:u w:val="single"/>
        </w:rPr>
        <w:t>HZWXQ2020-61（NBITC-202010469G）</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货币单位：人民币元</w:t>
      </w:r>
    </w:p>
    <w:tbl>
      <w:tblPr>
        <w:tblStyle w:val="44"/>
        <w:tblW w:w="100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5"/>
        <w:gridCol w:w="2346"/>
        <w:gridCol w:w="2547"/>
        <w:gridCol w:w="875"/>
        <w:gridCol w:w="875"/>
        <w:gridCol w:w="876"/>
        <w:gridCol w:w="875"/>
        <w:gridCol w:w="8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jc w:val="center"/>
        </w:trPr>
        <w:tc>
          <w:tcPr>
            <w:tcW w:w="795"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序号</w:t>
            </w:r>
          </w:p>
        </w:tc>
        <w:tc>
          <w:tcPr>
            <w:tcW w:w="2346"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产品类别</w:t>
            </w:r>
          </w:p>
        </w:tc>
        <w:tc>
          <w:tcPr>
            <w:tcW w:w="2547"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设备名称</w:t>
            </w:r>
          </w:p>
        </w:tc>
        <w:tc>
          <w:tcPr>
            <w:tcW w:w="875"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单位</w:t>
            </w:r>
          </w:p>
        </w:tc>
        <w:tc>
          <w:tcPr>
            <w:tcW w:w="875"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数量</w:t>
            </w:r>
          </w:p>
        </w:tc>
        <w:tc>
          <w:tcPr>
            <w:tcW w:w="876"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产地品牌/规格型号</w:t>
            </w:r>
          </w:p>
        </w:tc>
        <w:tc>
          <w:tcPr>
            <w:tcW w:w="875" w:type="dxa"/>
            <w:noWrap w:val="0"/>
            <w:vAlign w:val="center"/>
          </w:tcPr>
          <w:p>
            <w:pPr>
              <w:spacing w:line="400" w:lineRule="exact"/>
              <w:jc w:val="center"/>
              <w:rPr>
                <w:rFonts w:ascii="宋体" w:hAnsi="宋体"/>
                <w:b/>
                <w:bCs/>
                <w:color w:val="000000"/>
                <w:szCs w:val="21"/>
              </w:rPr>
            </w:pPr>
            <w:r>
              <w:rPr>
                <w:rFonts w:hint="eastAsia" w:ascii="宋体" w:hAnsi="宋体"/>
                <w:b/>
                <w:bCs/>
                <w:color w:val="000000"/>
                <w:szCs w:val="21"/>
              </w:rPr>
              <w:t>综合</w:t>
            </w:r>
          </w:p>
          <w:p>
            <w:pPr>
              <w:spacing w:line="400" w:lineRule="exact"/>
              <w:jc w:val="center"/>
              <w:rPr>
                <w:rFonts w:hint="eastAsia" w:ascii="宋体" w:hAnsi="宋体"/>
                <w:b/>
                <w:bCs/>
                <w:color w:val="000000"/>
                <w:szCs w:val="21"/>
              </w:rPr>
            </w:pPr>
            <w:r>
              <w:rPr>
                <w:rFonts w:hint="eastAsia" w:ascii="宋体" w:hAnsi="宋体"/>
                <w:b/>
                <w:bCs/>
                <w:color w:val="000000"/>
                <w:szCs w:val="21"/>
              </w:rPr>
              <w:t>单价</w:t>
            </w:r>
          </w:p>
        </w:tc>
        <w:tc>
          <w:tcPr>
            <w:tcW w:w="876"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小计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人证比对、人脸识别系统</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全局动态摄像机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人脸抓拍机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视频一体机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6T硬盘</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人证访客一体机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访客系统推送接入模块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24口交换机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监控杆、机箱、辅材</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9</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车辆出入口系统</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车辆道闸</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10</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出入口视频单元</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11</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出入口终端</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12</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12</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车检器</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13</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地感线圈</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48</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14</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防撞雷达</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15</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校园防冲撞柱系统</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升降柱</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65</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16</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升降柱控制盒</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17</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拒马桩</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根</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80</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18</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出入口人脸识别通道进出系统</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人脸识别终端</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19</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左边通道闸</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20</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中间通道闸</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25</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21</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右边通道闸</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22</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人脸采集终端</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23</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后端显示设备</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LCD显示屏</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24</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LCD屏支架</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25</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LCD屏底座</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26</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视频综合平台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27</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输入编码板</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28</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输出编码板</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29</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控制键盘</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30</w:t>
            </w:r>
          </w:p>
        </w:tc>
        <w:tc>
          <w:tcPr>
            <w:tcW w:w="2346" w:type="dxa"/>
            <w:vMerge w:val="restart"/>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后端存储设备</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视频接入管理软件</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31</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中心管理服务器</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32</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数据库服务器</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33</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流媒体服务器</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34</w:t>
            </w:r>
          </w:p>
        </w:tc>
        <w:tc>
          <w:tcPr>
            <w:tcW w:w="2346" w:type="dxa"/>
            <w:vMerge w:val="continue"/>
            <w:noWrap w:val="0"/>
            <w:vAlign w:val="center"/>
          </w:tcPr>
          <w:p>
            <w:pPr>
              <w:spacing w:line="400" w:lineRule="exact"/>
              <w:jc w:val="center"/>
              <w:rPr>
                <w:rFonts w:ascii="宋体" w:hAnsi="宋体" w:cs="宋体"/>
                <w:color w:val="000000"/>
                <w:szCs w:val="21"/>
              </w:rPr>
            </w:pP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交换机</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35</w:t>
            </w:r>
          </w:p>
        </w:tc>
        <w:tc>
          <w:tcPr>
            <w:tcW w:w="2346"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管理平台</w:t>
            </w:r>
          </w:p>
        </w:tc>
        <w:tc>
          <w:tcPr>
            <w:tcW w:w="2547"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校园安防管理平台</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套</w:t>
            </w:r>
          </w:p>
        </w:tc>
        <w:tc>
          <w:tcPr>
            <w:tcW w:w="875" w:type="dxa"/>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79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2346"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光纤链路</w:t>
            </w:r>
          </w:p>
        </w:tc>
        <w:tc>
          <w:tcPr>
            <w:tcW w:w="2547"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专网光纤链路</w:t>
            </w:r>
          </w:p>
        </w:tc>
        <w:tc>
          <w:tcPr>
            <w:tcW w:w="87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条</w:t>
            </w:r>
          </w:p>
        </w:tc>
        <w:tc>
          <w:tcPr>
            <w:tcW w:w="875" w:type="dxa"/>
            <w:noWrap w:val="0"/>
            <w:vAlign w:val="center"/>
          </w:tcPr>
          <w:p>
            <w:pPr>
              <w:spacing w:line="400" w:lineRule="exact"/>
              <w:jc w:val="center"/>
              <w:rPr>
                <w:rFonts w:hint="eastAsia"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876" w:type="dxa"/>
            <w:noWrap w:val="0"/>
            <w:vAlign w:val="top"/>
          </w:tcPr>
          <w:p>
            <w:pPr>
              <w:spacing w:line="400" w:lineRule="exact"/>
              <w:jc w:val="center"/>
              <w:rPr>
                <w:rFonts w:hint="eastAsia" w:ascii="宋体" w:hAnsi="宋体" w:cs="宋体"/>
                <w:color w:val="000000"/>
                <w:szCs w:val="21"/>
              </w:rPr>
            </w:pPr>
          </w:p>
        </w:tc>
        <w:tc>
          <w:tcPr>
            <w:tcW w:w="875" w:type="dxa"/>
            <w:noWrap w:val="0"/>
            <w:vAlign w:val="top"/>
          </w:tcPr>
          <w:p>
            <w:pPr>
              <w:spacing w:line="400" w:lineRule="exact"/>
              <w:jc w:val="center"/>
              <w:rPr>
                <w:rFonts w:hint="eastAsia" w:ascii="宋体" w:hAnsi="宋体" w:cs="宋体"/>
                <w:color w:val="000000"/>
                <w:szCs w:val="21"/>
              </w:rPr>
            </w:pPr>
          </w:p>
        </w:tc>
        <w:tc>
          <w:tcPr>
            <w:tcW w:w="876" w:type="dxa"/>
            <w:noWrap w:val="0"/>
            <w:vAlign w:val="top"/>
          </w:tcPr>
          <w:p>
            <w:pPr>
              <w:spacing w:line="400" w:lineRule="exact"/>
              <w:jc w:val="center"/>
              <w:rPr>
                <w:rFonts w:hint="eastAsia"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5688" w:type="dxa"/>
            <w:gridSpan w:val="3"/>
            <w:noWrap w:val="0"/>
            <w:vAlign w:val="center"/>
          </w:tcPr>
          <w:p>
            <w:pPr>
              <w:spacing w:line="400" w:lineRule="exact"/>
              <w:jc w:val="center"/>
              <w:rPr>
                <w:rFonts w:hint="eastAsia" w:ascii="宋体" w:hAnsi="宋体" w:cs="宋体"/>
                <w:b/>
                <w:bCs/>
                <w:color w:val="000000"/>
                <w:szCs w:val="21"/>
              </w:rPr>
            </w:pPr>
            <w:r>
              <w:rPr>
                <w:rFonts w:hint="eastAsia" w:ascii="宋体" w:hAnsi="宋体"/>
                <w:b/>
                <w:bCs/>
                <w:color w:val="000000"/>
                <w:szCs w:val="21"/>
              </w:rPr>
              <w:t>合计（投标报价）</w:t>
            </w:r>
          </w:p>
        </w:tc>
        <w:tc>
          <w:tcPr>
            <w:tcW w:w="4377" w:type="dxa"/>
            <w:gridSpan w:val="5"/>
            <w:noWrap w:val="0"/>
            <w:vAlign w:val="top"/>
          </w:tcPr>
          <w:p>
            <w:pPr>
              <w:spacing w:line="400" w:lineRule="exact"/>
              <w:jc w:val="center"/>
              <w:rPr>
                <w:rFonts w:hint="eastAsia" w:ascii="宋体" w:hAnsi="宋体" w:cs="宋体"/>
                <w:color w:val="000000"/>
                <w:szCs w:val="21"/>
              </w:rPr>
            </w:pPr>
          </w:p>
        </w:tc>
      </w:tr>
    </w:tbl>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注：1、“分项报价表”中的“合计”应当与“开标一览表”中的投标报价一致</w:t>
      </w:r>
      <w:r>
        <w:rPr>
          <w:rFonts w:ascii="宋体" w:hAnsi="宋体" w:eastAsia="宋体"/>
          <w:color w:val="000000"/>
          <w:sz w:val="21"/>
          <w:szCs w:val="21"/>
        </w:rPr>
        <w:t>；</w:t>
      </w: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pStyle w:val="21"/>
        <w:widowControl w:val="0"/>
        <w:snapToGrid w:val="0"/>
        <w:spacing w:after="0" w:line="280" w:lineRule="exact"/>
        <w:rPr>
          <w:b/>
          <w:sz w:val="21"/>
          <w:szCs w:val="21"/>
        </w:rPr>
      </w:pPr>
    </w:p>
    <w:p>
      <w:pPr>
        <w:pStyle w:val="21"/>
        <w:widowControl w:val="0"/>
        <w:snapToGrid w:val="0"/>
        <w:spacing w:after="0" w:line="280" w:lineRule="exact"/>
        <w:rPr>
          <w:rFonts w:hint="eastAsia"/>
          <w:b/>
          <w:sz w:val="21"/>
          <w:szCs w:val="21"/>
        </w:rPr>
        <w:sectPr>
          <w:pgSz w:w="11907" w:h="16840"/>
          <w:pgMar w:top="1140" w:right="1588" w:bottom="1134" w:left="1338" w:header="284" w:footer="992" w:gutter="0"/>
          <w:cols w:space="720" w:num="1"/>
          <w:docGrid w:linePitch="285" w:charSpace="0"/>
        </w:sectPr>
      </w:pPr>
    </w:p>
    <w:p>
      <w:pPr>
        <w:pStyle w:val="21"/>
        <w:snapToGrid w:val="0"/>
        <w:spacing w:line="400" w:lineRule="exact"/>
        <w:rPr>
          <w:rFonts w:hint="eastAsia"/>
          <w:b/>
          <w:sz w:val="21"/>
          <w:szCs w:val="21"/>
        </w:rPr>
      </w:pPr>
      <w:bookmarkStart w:id="85" w:name="_Toc470632932"/>
      <w:r>
        <w:rPr>
          <w:rFonts w:hint="eastAsia"/>
          <w:b/>
          <w:sz w:val="21"/>
          <w:szCs w:val="21"/>
        </w:rPr>
        <w:t>附件四</w:t>
      </w:r>
    </w:p>
    <w:p>
      <w:pPr>
        <w:spacing w:line="400" w:lineRule="exact"/>
        <w:jc w:val="center"/>
        <w:outlineLvl w:val="0"/>
        <w:rPr>
          <w:rFonts w:hint="eastAsia" w:ascii="宋体" w:hAnsi="宋体"/>
          <w:b/>
          <w:color w:val="000000"/>
          <w:szCs w:val="21"/>
        </w:rPr>
      </w:pPr>
      <w:bookmarkStart w:id="86" w:name="_Toc529355821"/>
      <w:r>
        <w:rPr>
          <w:rFonts w:ascii="宋体" w:hAnsi="宋体"/>
          <w:b/>
          <w:color w:val="000000"/>
          <w:szCs w:val="21"/>
        </w:rPr>
        <w:t>法定代表人身份证明</w:t>
      </w:r>
      <w:bookmarkEnd w:id="85"/>
      <w:bookmarkEnd w:id="86"/>
    </w:p>
    <w:p>
      <w:pPr>
        <w:spacing w:line="400" w:lineRule="exact"/>
        <w:jc w:val="center"/>
        <w:outlineLvl w:val="0"/>
        <w:rPr>
          <w:rFonts w:ascii="宋体" w:hAnsi="宋体"/>
          <w:b/>
          <w:color w:val="000000"/>
          <w:szCs w:val="21"/>
        </w:rPr>
      </w:pPr>
    </w:p>
    <w:p>
      <w:pPr>
        <w:spacing w:after="120" w:afterLines="50" w:line="400" w:lineRule="exact"/>
        <w:rPr>
          <w:rFonts w:ascii="宋体" w:hAnsi="宋体"/>
          <w:color w:val="000000"/>
          <w:szCs w:val="21"/>
          <w:u w:val="single"/>
        </w:rPr>
      </w:pPr>
      <w:r>
        <w:rPr>
          <w:rFonts w:ascii="宋体" w:hAnsi="宋体"/>
          <w:color w:val="000000"/>
          <w:szCs w:val="21"/>
        </w:rPr>
        <w:t>供应商名称：</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单位性质：</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地址：</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成立时间：</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after="120" w:afterLines="50" w:line="400" w:lineRule="exact"/>
        <w:rPr>
          <w:rFonts w:ascii="宋体" w:hAnsi="宋体"/>
          <w:color w:val="000000"/>
          <w:szCs w:val="21"/>
          <w:u w:val="single"/>
        </w:rPr>
      </w:pPr>
      <w:r>
        <w:rPr>
          <w:rFonts w:ascii="宋体" w:hAnsi="宋体"/>
          <w:color w:val="000000"/>
          <w:szCs w:val="21"/>
        </w:rPr>
        <w:t>经营期限：</w:t>
      </w:r>
      <w:r>
        <w:rPr>
          <w:rFonts w:ascii="宋体" w:hAnsi="宋体"/>
          <w:color w:val="000000"/>
          <w:szCs w:val="21"/>
          <w:u w:val="single"/>
        </w:rPr>
        <w:t xml:space="preserve">                                     </w:t>
      </w:r>
    </w:p>
    <w:p>
      <w:pPr>
        <w:spacing w:after="120" w:afterLines="50" w:line="400" w:lineRule="exact"/>
        <w:rPr>
          <w:rFonts w:ascii="宋体" w:hAnsi="宋体"/>
          <w:color w:val="000000"/>
          <w:szCs w:val="21"/>
          <w:u w:val="single"/>
        </w:rPr>
      </w:pPr>
      <w:r>
        <w:rPr>
          <w:rFonts w:ascii="宋体" w:hAnsi="宋体"/>
          <w:color w:val="000000"/>
          <w:szCs w:val="21"/>
        </w:rPr>
        <w:t>姓名：</w:t>
      </w:r>
      <w:r>
        <w:rPr>
          <w:rFonts w:ascii="宋体" w:hAnsi="宋体"/>
          <w:color w:val="000000"/>
          <w:szCs w:val="21"/>
          <w:u w:val="single"/>
        </w:rPr>
        <w:t xml:space="preserve">         </w:t>
      </w:r>
      <w:r>
        <w:rPr>
          <w:rFonts w:ascii="宋体" w:hAnsi="宋体"/>
          <w:color w:val="000000"/>
          <w:szCs w:val="21"/>
        </w:rPr>
        <w:t xml:space="preserve">  性别：</w:t>
      </w:r>
      <w:r>
        <w:rPr>
          <w:rFonts w:ascii="宋体" w:hAnsi="宋体"/>
          <w:color w:val="000000"/>
          <w:szCs w:val="21"/>
          <w:u w:val="single"/>
        </w:rPr>
        <w:t xml:space="preserve">         </w:t>
      </w:r>
      <w:r>
        <w:rPr>
          <w:rFonts w:ascii="宋体" w:hAnsi="宋体"/>
          <w:color w:val="000000"/>
          <w:szCs w:val="21"/>
        </w:rPr>
        <w:t xml:space="preserve">  年龄：</w:t>
      </w:r>
      <w:r>
        <w:rPr>
          <w:rFonts w:ascii="宋体" w:hAnsi="宋体"/>
          <w:color w:val="000000"/>
          <w:szCs w:val="21"/>
          <w:u w:val="single"/>
        </w:rPr>
        <w:t xml:space="preserve">         </w:t>
      </w:r>
      <w:r>
        <w:rPr>
          <w:rFonts w:ascii="宋体" w:hAnsi="宋体"/>
          <w:color w:val="000000"/>
          <w:szCs w:val="21"/>
        </w:rPr>
        <w:t xml:space="preserve">  职务：</w:t>
      </w:r>
      <w:r>
        <w:rPr>
          <w:rFonts w:ascii="宋体" w:hAnsi="宋体"/>
          <w:color w:val="000000"/>
          <w:szCs w:val="21"/>
          <w:u w:val="single"/>
        </w:rPr>
        <w:t xml:space="preserve">         </w:t>
      </w:r>
      <w:r>
        <w:rPr>
          <w:rFonts w:ascii="宋体" w:hAnsi="宋体"/>
          <w:color w:val="000000"/>
          <w:szCs w:val="21"/>
        </w:rPr>
        <w:t xml:space="preserve">  </w:t>
      </w:r>
    </w:p>
    <w:p>
      <w:pPr>
        <w:spacing w:after="120" w:afterLines="50" w:line="400" w:lineRule="exact"/>
        <w:rPr>
          <w:rFonts w:ascii="宋体" w:hAnsi="宋体"/>
          <w:color w:val="000000"/>
          <w:szCs w:val="21"/>
          <w:u w:val="single"/>
        </w:rPr>
      </w:pPr>
      <w:r>
        <w:rPr>
          <w:rFonts w:ascii="宋体" w:hAnsi="宋体"/>
          <w:color w:val="000000"/>
          <w:szCs w:val="21"/>
        </w:rPr>
        <w:t>身份证号码：</w:t>
      </w:r>
      <w:r>
        <w:rPr>
          <w:rFonts w:ascii="宋体" w:hAnsi="宋体"/>
          <w:color w:val="000000"/>
          <w:szCs w:val="21"/>
          <w:u w:val="single"/>
        </w:rPr>
        <w:t xml:space="preserve">                           </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 xml:space="preserve">    系</w:t>
      </w:r>
      <w:r>
        <w:rPr>
          <w:rFonts w:ascii="宋体" w:hAnsi="宋体"/>
          <w:color w:val="000000"/>
          <w:szCs w:val="21"/>
          <w:u w:val="single"/>
        </w:rPr>
        <w:t xml:space="preserve">                          </w:t>
      </w:r>
      <w:r>
        <w:rPr>
          <w:rFonts w:ascii="宋体" w:hAnsi="宋体"/>
          <w:color w:val="000000"/>
          <w:szCs w:val="21"/>
        </w:rPr>
        <w:t>（供应商名称）的法定代表人。</w:t>
      </w:r>
    </w:p>
    <w:p>
      <w:pPr>
        <w:spacing w:line="400" w:lineRule="exact"/>
        <w:ind w:firstLine="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特此证明。</w:t>
      </w:r>
    </w:p>
    <w:p>
      <w:pPr>
        <w:spacing w:line="400" w:lineRule="exact"/>
        <w:rPr>
          <w:rFonts w:hint="eastAsia" w:ascii="宋体" w:hAnsi="宋体"/>
          <w:color w:val="000000"/>
          <w:szCs w:val="21"/>
        </w:rPr>
      </w:pPr>
    </w:p>
    <w:p>
      <w:pPr>
        <w:spacing w:line="400" w:lineRule="exact"/>
        <w:rPr>
          <w:rFonts w:ascii="宋体" w:hAnsi="宋体"/>
          <w:color w:val="000000"/>
          <w:szCs w:val="21"/>
        </w:rPr>
      </w:pPr>
      <w:r>
        <w:rPr>
          <w:rFonts w:hint="eastAsia" w:ascii="宋体" w:hAnsi="宋体"/>
          <w:color w:val="000000"/>
          <w:szCs w:val="21"/>
        </w:rPr>
        <w:t>供应商（盖章）：</w:t>
      </w:r>
    </w:p>
    <w:p>
      <w:pPr>
        <w:spacing w:line="400" w:lineRule="exact"/>
        <w:ind w:right="560"/>
        <w:rPr>
          <w:rFonts w:hint="eastAsia" w:ascii="宋体" w:hAnsi="宋体"/>
          <w:color w:val="000000"/>
          <w:szCs w:val="21"/>
        </w:rPr>
      </w:pPr>
      <w:r>
        <w:rPr>
          <w:rFonts w:ascii="宋体" w:hAnsi="宋体"/>
          <w:color w:val="000000"/>
          <w:szCs w:val="21"/>
        </w:rPr>
        <w:t>日期：   年    月    日</w:t>
      </w:r>
    </w:p>
    <w:p>
      <w:pPr>
        <w:spacing w:line="400" w:lineRule="exact"/>
        <w:ind w:right="560"/>
        <w:rPr>
          <w:rFonts w:hint="eastAsia"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1277620</wp:posOffset>
                </wp:positionV>
                <wp:extent cx="5372100" cy="2179320"/>
                <wp:effectExtent l="5080" t="4445" r="13970" b="6985"/>
                <wp:wrapSquare wrapText="bothSides"/>
                <wp:docPr id="1" name="文本框 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wps:txbx>
                      <wps:bodyPr wrap="square" upright="1"/>
                    </wps:wsp>
                  </a:graphicData>
                </a:graphic>
              </wp:anchor>
            </w:drawing>
          </mc:Choice>
          <mc:Fallback>
            <w:pict>
              <v:shape id="文本框 3" o:spid="_x0000_s1026" o:spt="202" type="#_x0000_t202" style="position:absolute;left:0pt;margin-left:0pt;margin-top:100.6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nBoAUNgAAAAI AQAADwAAAGRycy9kb3ducmV2LnhtbE2PwU7DMBBE70j8g7VIXBC1E0wIIZsekEBwK6UqVzd2k4h4 HWw3LX+POcFxdlYzb+rlyY5sNj4MjhCyhQBmqHV6oA5h8/50XQILUZFWoyOD8G0CLJvzs1pV2h3p zczr2LEUQqFSCH2MU8V5aHtjVVi4yVDy9s5bFZP0HddeHVO4HXkuRMGtGig19Goyj71pP9cHi1DK l/kjvN6stm2xH+/j1d38/OURLy8y8QAsmlP8e4Zf/IQOTWLauQPpwEaENCQi5CLLgSW7lEW67BBu pZTAm5r/H9D8AFBLAwQUAAAACACHTuJAayGJRhYCAABFBAAADgAAAGRycy9lMm9Eb2MueG1srVNN rtMwEN4jcQfLe5o0VXm8qOmToJQNAqQHB5jaTmLJf9huk14AbsCKDXvO1XO8sVv6fmDRBVk4Y8/4 m/m+GS9uRq3ITvggrWnodFJSIgyzXJquoV8+r1+8oiREMByUNaKhexHozfL5s8XgalHZ3iouPEEQ E+rBNbSP0dVFEVgvNISJdcKgs7VeQ8St7wruYUB0rYqqLF8Wg/XcectECHi6OjrpCdFfAmjbVjKx smyrhYlHVC8URKQUeukCXeZq21aw+LFtg4hENRSZxrxiErQ3aS2WC6g7D66X7FQCXFLCE04apMGk Z6gVRCBbL/+C0pJ5G2wbJ8zq4kgkK4IspuUTbW57cCJzQamDO4se/h8s+7D75InkOAmUGNDY8MOP 74efvw+/vpFZkmdwocaoW4dxcXxtxxR6Og94mFiPrdfpj3wI+lHc/VlcMUbC8HA+u6qmJboY+qrp 1fWsyvIX99edD/GdsJoko6Eeu5dFhd37EDElhv4JSdmCVZKvpVJ547vNG+XJDrDT6/ylKvHKozBl yNDQ63k1x0IAx7fFsUFTO5QgmC7ne3QjPAQu8/cv4FTYCkJ/LCAjpDCotYzCZ6sXwN8aTuLeocwG XxdNxWjBKVECH2OycmQEqS6JRHbKIMnUo2MvkhXHzYgwydxYvse+DTjgSO/rFjzm3Dovux4Fzn3M l3G6slanl5DG9+E+p7h//cs7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nBoAUNgAAAAIAQAADwAA AAAAAAABACAAAAAiAAAAZHJzL2Rvd25yZXYueG1sUEsBAhQAFAAAAAgAh07iQGshiUYWAgAARQQA AA4AAAAAAAAAAQAgAAAAJwEAAGRycy9lMm9Eb2MueG1sUEsFBgAAAAAGAAYAWQEAAK8FAAAAAA== ">
                <v:fill on="t" focussize="0,0"/>
                <v:stroke color="#000000" joinstyle="miter"/>
                <v:imagedata o:title=""/>
                <o:lock v:ext="edit" aspectratio="f"/>
                <v:textbox>
                  <w:txbxContent>
                    <w:p>
                      <w:pPr>
                        <w:jc w:val="center"/>
                        <w:rPr>
                          <w:rFonts w:hint="eastAsia"/>
                          <w:sz w:val="30"/>
                          <w:szCs w:val="30"/>
                        </w:rPr>
                      </w:pPr>
                    </w:p>
                    <w:p>
                      <w:pPr>
                        <w:spacing w:line="360" w:lineRule="auto"/>
                        <w:rPr>
                          <w:rFonts w:hint="eastAsia"/>
                          <w:sz w:val="28"/>
                          <w:szCs w:val="28"/>
                        </w:rPr>
                      </w:pPr>
                    </w:p>
                    <w:p>
                      <w:pPr>
                        <w:spacing w:line="360" w:lineRule="auto"/>
                        <w:jc w:val="center"/>
                        <w:rPr>
                          <w:rFonts w:hint="eastAsia"/>
                          <w:szCs w:val="21"/>
                        </w:rPr>
                      </w:pPr>
                      <w:r>
                        <w:rPr>
                          <w:rFonts w:ascii="宋体" w:hAnsi="宋体"/>
                          <w:szCs w:val="21"/>
                        </w:rPr>
                        <w:t>法定代表人</w:t>
                      </w:r>
                      <w:r>
                        <w:rPr>
                          <w:rFonts w:hint="eastAsia"/>
                          <w:szCs w:val="21"/>
                        </w:rPr>
                        <w:t>身份证复印件粘贴处（正、反面）</w:t>
                      </w:r>
                    </w:p>
                    <w:p>
                      <w:pPr>
                        <w:jc w:val="center"/>
                        <w:rPr>
                          <w:rFonts w:hint="eastAsia"/>
                          <w:sz w:val="28"/>
                          <w:szCs w:val="28"/>
                        </w:rPr>
                      </w:pPr>
                    </w:p>
                  </w:txbxContent>
                </v:textbox>
                <w10:wrap type="square"/>
              </v:shape>
            </w:pict>
          </mc:Fallback>
        </mc:AlternateContent>
      </w:r>
    </w:p>
    <w:p>
      <w:pPr>
        <w:spacing w:line="400" w:lineRule="exact"/>
        <w:ind w:right="560"/>
        <w:rPr>
          <w:rFonts w:ascii="宋体" w:hAnsi="宋体"/>
          <w:color w:val="000000"/>
          <w:szCs w:val="21"/>
        </w:rPr>
      </w:pPr>
    </w:p>
    <w:p>
      <w:pPr>
        <w:spacing w:line="400" w:lineRule="exact"/>
        <w:rPr>
          <w:rFonts w:ascii="宋体" w:hAnsi="宋体"/>
          <w:color w:val="000000"/>
          <w:szCs w:val="21"/>
        </w:rPr>
      </w:pPr>
      <w:r>
        <w:rPr>
          <w:rFonts w:ascii="宋体" w:hAnsi="宋体"/>
          <w:color w:val="000000"/>
          <w:szCs w:val="21"/>
        </w:rPr>
        <w:t>附：法定代表人身份证复印件</w:t>
      </w:r>
    </w:p>
    <w:p>
      <w:pPr>
        <w:spacing w:line="400" w:lineRule="exact"/>
        <w:jc w:val="left"/>
        <w:rPr>
          <w:rStyle w:val="90"/>
          <w:rFonts w:hint="eastAsia" w:ascii="宋体" w:hAnsi="宋体"/>
          <w:color w:val="000000"/>
          <w:sz w:val="21"/>
          <w:szCs w:val="21"/>
        </w:rPr>
      </w:pPr>
    </w:p>
    <w:p>
      <w:pPr>
        <w:spacing w:line="400" w:lineRule="exact"/>
        <w:jc w:val="left"/>
        <w:rPr>
          <w:rStyle w:val="90"/>
          <w:rFonts w:hint="eastAsia" w:ascii="宋体" w:hAnsi="宋体"/>
          <w:color w:val="000000"/>
          <w:sz w:val="21"/>
          <w:szCs w:val="21"/>
        </w:rPr>
      </w:pPr>
    </w:p>
    <w:p>
      <w:pPr>
        <w:spacing w:line="400" w:lineRule="exact"/>
        <w:jc w:val="left"/>
        <w:rPr>
          <w:rStyle w:val="90"/>
          <w:rFonts w:hint="eastAsia" w:ascii="宋体" w:hAnsi="宋体"/>
          <w:color w:val="000000"/>
          <w:sz w:val="21"/>
          <w:szCs w:val="21"/>
        </w:rPr>
      </w:pPr>
    </w:p>
    <w:p>
      <w:pPr>
        <w:spacing w:line="400" w:lineRule="exact"/>
        <w:jc w:val="left"/>
        <w:rPr>
          <w:rStyle w:val="90"/>
          <w:rFonts w:hint="eastAsia" w:ascii="宋体" w:hAnsi="宋体"/>
          <w:color w:val="000000"/>
          <w:sz w:val="21"/>
          <w:szCs w:val="21"/>
        </w:rPr>
      </w:pPr>
    </w:p>
    <w:p>
      <w:pPr>
        <w:spacing w:line="400" w:lineRule="exact"/>
        <w:jc w:val="left"/>
        <w:rPr>
          <w:rFonts w:hint="eastAsia" w:ascii="宋体" w:hAnsi="宋体"/>
          <w:b/>
          <w:color w:val="000000"/>
          <w:szCs w:val="21"/>
        </w:rPr>
      </w:pPr>
      <w:r>
        <w:rPr>
          <w:rFonts w:hint="eastAsia" w:ascii="宋体" w:hAnsi="宋体"/>
          <w:b/>
          <w:color w:val="000000"/>
          <w:szCs w:val="21"/>
        </w:rPr>
        <w:t>附件五</w:t>
      </w:r>
    </w:p>
    <w:p>
      <w:pPr>
        <w:spacing w:line="400" w:lineRule="exact"/>
        <w:jc w:val="center"/>
        <w:rPr>
          <w:rFonts w:hint="eastAsia" w:ascii="宋体" w:hAnsi="宋体"/>
          <w:b/>
          <w:color w:val="000000"/>
          <w:szCs w:val="21"/>
        </w:rPr>
      </w:pPr>
      <w:r>
        <w:rPr>
          <w:rFonts w:hint="eastAsia" w:ascii="宋体" w:hAnsi="宋体"/>
          <w:b/>
          <w:color w:val="000000"/>
          <w:szCs w:val="21"/>
        </w:rPr>
        <w:t>法定代表人授权书</w:t>
      </w:r>
    </w:p>
    <w:p>
      <w:pPr>
        <w:spacing w:line="400" w:lineRule="exact"/>
        <w:jc w:val="center"/>
        <w:rPr>
          <w:rFonts w:hint="eastAsia" w:ascii="宋体" w:hAnsi="宋体"/>
          <w:b/>
          <w:color w:val="000000"/>
          <w:szCs w:val="21"/>
        </w:rPr>
      </w:pPr>
      <w:r>
        <w:rPr>
          <w:rFonts w:hint="eastAsia" w:ascii="宋体" w:hAnsi="宋体"/>
          <w:color w:val="000000"/>
          <w:szCs w:val="21"/>
        </w:rPr>
        <w:t>（投标文件由授权代表签字的）</w:t>
      </w:r>
    </w:p>
    <w:p>
      <w:pPr>
        <w:spacing w:line="400" w:lineRule="exact"/>
        <w:rPr>
          <w:rFonts w:hint="eastAsia" w:ascii="宋体" w:hAnsi="宋体"/>
          <w:color w:val="000000"/>
          <w:szCs w:val="21"/>
        </w:rPr>
      </w:pPr>
      <w:r>
        <w:rPr>
          <w:rFonts w:hint="eastAsia" w:ascii="宋体" w:hAnsi="宋体"/>
          <w:color w:val="000000"/>
          <w:szCs w:val="21"/>
        </w:rPr>
        <w:t>致：采购人</w:t>
      </w:r>
    </w:p>
    <w:p>
      <w:pPr>
        <w:spacing w:line="40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（供应商全称）</w:t>
      </w:r>
      <w:r>
        <w:rPr>
          <w:rFonts w:hint="eastAsia" w:ascii="宋体" w:hAnsi="宋体"/>
          <w:color w:val="000000"/>
          <w:szCs w:val="21"/>
        </w:rPr>
        <w:t>法定代表人</w:t>
      </w:r>
      <w:r>
        <w:rPr>
          <w:rFonts w:hint="eastAsia" w:ascii="宋体" w:hAnsi="宋体"/>
          <w:color w:val="000000"/>
          <w:szCs w:val="21"/>
          <w:u w:val="single"/>
        </w:rPr>
        <w:t>（法定代表人姓名）</w:t>
      </w:r>
      <w:r>
        <w:rPr>
          <w:rFonts w:hint="eastAsia" w:ascii="宋体" w:hAnsi="宋体"/>
          <w:color w:val="000000"/>
          <w:szCs w:val="21"/>
        </w:rPr>
        <w:t>授权</w:t>
      </w:r>
      <w:r>
        <w:rPr>
          <w:rFonts w:hint="eastAsia" w:ascii="宋体" w:hAnsi="宋体"/>
          <w:color w:val="000000"/>
          <w:szCs w:val="21"/>
          <w:u w:val="single"/>
        </w:rPr>
        <w:t xml:space="preserve"> （授权代表姓名）</w:t>
      </w:r>
      <w:r>
        <w:rPr>
          <w:rFonts w:hint="eastAsia" w:ascii="宋体" w:hAnsi="宋体"/>
          <w:color w:val="000000"/>
          <w:szCs w:val="21"/>
        </w:rPr>
        <w:t>为授权代表，参加</w:t>
      </w:r>
      <w:r>
        <w:rPr>
          <w:rFonts w:hint="eastAsia" w:ascii="宋体" w:hAnsi="宋体"/>
          <w:color w:val="000000"/>
          <w:szCs w:val="21"/>
          <w:u w:val="single"/>
        </w:rPr>
        <w:t>宁波杭州湾新区校园智能安全防护体系建设项目</w:t>
      </w:r>
      <w:r>
        <w:rPr>
          <w:rFonts w:hint="eastAsia" w:ascii="宋体" w:hAnsi="宋体"/>
          <w:color w:val="000000"/>
          <w:szCs w:val="21"/>
        </w:rPr>
        <w:t>，项目编号为</w:t>
      </w:r>
      <w:r>
        <w:rPr>
          <w:rFonts w:hint="eastAsia" w:ascii="宋体" w:hAnsi="宋体"/>
          <w:color w:val="000000"/>
          <w:szCs w:val="21"/>
          <w:u w:val="single"/>
        </w:rPr>
        <w:t>HZWXQ2020-61（NBITC-202010469G）</w:t>
      </w:r>
      <w:r>
        <w:rPr>
          <w:rFonts w:hint="eastAsia" w:ascii="宋体" w:hAnsi="宋体"/>
          <w:color w:val="000000"/>
          <w:szCs w:val="21"/>
        </w:rPr>
        <w:t>，其在招投标活动中的一切活动本公司均予承认。</w:t>
      </w: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rPr>
          <w:rFonts w:hint="eastAsia" w:ascii="宋体" w:hAnsi="宋体"/>
          <w:color w:val="000000"/>
          <w:szCs w:val="21"/>
        </w:rPr>
      </w:pPr>
    </w:p>
    <w:p>
      <w:pPr>
        <w:spacing w:line="400" w:lineRule="exact"/>
        <w:rPr>
          <w:rFonts w:hint="eastAsia" w:ascii="宋体" w:hAnsi="宋体"/>
          <w:color w:val="000000"/>
          <w:szCs w:val="21"/>
        </w:rPr>
      </w:pPr>
    </w:p>
    <w:p>
      <w:pPr>
        <w:spacing w:line="400" w:lineRule="exact"/>
        <w:rPr>
          <w:rFonts w:hint="eastAsia" w:ascii="宋体" w:hAnsi="宋体"/>
          <w:color w:val="000000"/>
          <w:szCs w:val="21"/>
        </w:rPr>
      </w:pPr>
      <w:r>
        <w:rPr>
          <w:rFonts w:hint="eastAsia" w:ascii="宋体" w:hAnsi="宋体"/>
          <w:color w:val="000000"/>
          <w:szCs w:val="21"/>
        </w:rPr>
        <w:t>附：</w:t>
      </w:r>
    </w:p>
    <w:p>
      <w:pPr>
        <w:spacing w:line="400" w:lineRule="exact"/>
        <w:ind w:firstLine="555"/>
        <w:rPr>
          <w:rFonts w:hint="eastAsia" w:ascii="宋体" w:hAnsi="宋体"/>
          <w:color w:val="000000"/>
          <w:szCs w:val="21"/>
          <w:u w:val="single"/>
        </w:rPr>
      </w:pPr>
      <w:r>
        <w:rPr>
          <w:rFonts w:hint="eastAsia" w:ascii="宋体" w:hAnsi="宋体"/>
          <w:color w:val="000000"/>
          <w:szCs w:val="21"/>
        </w:rPr>
        <w:t>授权代表姓名：</w:t>
      </w:r>
      <w:r>
        <w:rPr>
          <w:rFonts w:hint="eastAsia" w:ascii="宋体" w:hAnsi="宋体"/>
          <w:color w:val="000000"/>
          <w:szCs w:val="21"/>
          <w:u w:val="single"/>
        </w:rPr>
        <w:t xml:space="preserve">                 </w:t>
      </w:r>
    </w:p>
    <w:p>
      <w:pPr>
        <w:spacing w:line="400" w:lineRule="exact"/>
        <w:ind w:firstLine="555"/>
        <w:rPr>
          <w:rFonts w:hint="eastAsia" w:ascii="宋体" w:hAnsi="宋体"/>
          <w:color w:val="000000"/>
          <w:szCs w:val="21"/>
          <w:u w:val="single"/>
        </w:rPr>
      </w:pPr>
      <w:r>
        <w:rPr>
          <w:rFonts w:hint="eastAsia" w:ascii="宋体" w:hAnsi="宋体"/>
          <w:color w:val="000000"/>
          <w:szCs w:val="21"/>
        </w:rPr>
        <w:t>授权代表身份证号码：</w:t>
      </w:r>
      <w:r>
        <w:rPr>
          <w:rFonts w:hint="eastAsia"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 xml:space="preserve">     职务：</w:t>
      </w:r>
      <w:r>
        <w:rPr>
          <w:rFonts w:hint="eastAsia"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 xml:space="preserve">     详细通讯地址：</w:t>
      </w:r>
      <w:r>
        <w:rPr>
          <w:rFonts w:hint="eastAsia" w:ascii="宋体" w:hAnsi="宋体"/>
          <w:color w:val="000000"/>
          <w:szCs w:val="21"/>
          <w:u w:val="single"/>
        </w:rPr>
        <w:t xml:space="preserve">                                  </w:t>
      </w:r>
    </w:p>
    <w:p>
      <w:pPr>
        <w:spacing w:line="400" w:lineRule="exact"/>
        <w:ind w:firstLine="525" w:firstLineChars="250"/>
        <w:rPr>
          <w:rFonts w:hint="eastAsia" w:ascii="宋体" w:hAnsi="宋体"/>
          <w:color w:val="000000"/>
          <w:szCs w:val="21"/>
          <w:u w:val="single"/>
        </w:rPr>
      </w:pPr>
      <w:r>
        <w:rPr>
          <w:rFonts w:hint="eastAsia" w:ascii="宋体" w:hAnsi="宋体"/>
          <w:color w:val="000000"/>
          <w:szCs w:val="21"/>
        </w:rPr>
        <w:t>传真：</w:t>
      </w:r>
      <w:r>
        <w:rPr>
          <w:rFonts w:hint="eastAsia" w:ascii="宋体" w:hAnsi="宋体"/>
          <w:color w:val="000000"/>
          <w:szCs w:val="21"/>
          <w:u w:val="single"/>
        </w:rPr>
        <w:t xml:space="preserve">         </w:t>
      </w:r>
      <w:r>
        <w:rPr>
          <w:rFonts w:hint="eastAsia" w:ascii="宋体" w:hAnsi="宋体"/>
          <w:color w:val="000000"/>
          <w:szCs w:val="21"/>
        </w:rPr>
        <w:t xml:space="preserve"> 电话：</w:t>
      </w:r>
      <w:r>
        <w:rPr>
          <w:rFonts w:hint="eastAsia" w:ascii="宋体" w:hAnsi="宋体"/>
          <w:color w:val="000000"/>
          <w:szCs w:val="21"/>
          <w:u w:val="single"/>
        </w:rPr>
        <w:t xml:space="preserve">         </w:t>
      </w:r>
      <w:r>
        <w:rPr>
          <w:rFonts w:hint="eastAsia" w:ascii="宋体" w:hAnsi="宋体"/>
          <w:color w:val="000000"/>
          <w:szCs w:val="21"/>
        </w:rPr>
        <w:t xml:space="preserve"> 邮编：</w:t>
      </w:r>
      <w:r>
        <w:rPr>
          <w:rFonts w:hint="eastAsia" w:ascii="宋体" w:hAnsi="宋体"/>
          <w:color w:val="000000"/>
          <w:szCs w:val="21"/>
          <w:u w:val="single"/>
        </w:rPr>
        <w:t xml:space="preserve">          </w:t>
      </w:r>
    </w:p>
    <w:p>
      <w:pPr>
        <w:spacing w:line="400" w:lineRule="exact"/>
        <w:ind w:firstLine="517" w:firstLineChars="250"/>
        <w:jc w:val="center"/>
        <w:rPr>
          <w:rStyle w:val="90"/>
          <w:rFonts w:hint="eastAsia" w:ascii="宋体" w:hAnsi="宋体"/>
          <w:color w:val="000000"/>
          <w:sz w:val="21"/>
          <w:szCs w:val="21"/>
        </w:rPr>
      </w:pPr>
    </w:p>
    <w:p>
      <w:pPr>
        <w:spacing w:line="400" w:lineRule="exact"/>
        <w:ind w:firstLine="517" w:firstLineChars="250"/>
        <w:jc w:val="center"/>
        <w:rPr>
          <w:rStyle w:val="90"/>
          <w:rFonts w:hint="eastAsia" w:ascii="宋体" w:hAnsi="宋体"/>
          <w:color w:val="000000"/>
          <w:sz w:val="21"/>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后附：授权代表身份证复印件加盖供应商公章</w:t>
      </w:r>
    </w:p>
    <w:p>
      <w:pPr>
        <w:spacing w:line="400" w:lineRule="exact"/>
        <w:jc w:val="left"/>
        <w:rPr>
          <w:rFonts w:hint="eastAsia" w:ascii="宋体" w:hAnsi="宋体"/>
          <w:b/>
          <w:color w:val="000000"/>
          <w:szCs w:val="21"/>
        </w:rPr>
      </w:pPr>
      <w:r>
        <w:rPr>
          <w:rStyle w:val="90"/>
          <w:rFonts w:ascii="宋体" w:hAnsi="宋体"/>
          <w:color w:val="000000"/>
          <w:sz w:val="21"/>
          <w:szCs w:val="21"/>
        </w:rPr>
        <w:br w:type="page"/>
      </w:r>
      <w:r>
        <w:rPr>
          <w:rStyle w:val="90"/>
          <w:rFonts w:hint="eastAsia" w:ascii="宋体" w:hAnsi="宋体"/>
          <w:color w:val="000000"/>
          <w:sz w:val="21"/>
          <w:szCs w:val="21"/>
        </w:rPr>
        <w:t>附件六</w:t>
      </w:r>
    </w:p>
    <w:p>
      <w:pPr>
        <w:spacing w:line="400" w:lineRule="exact"/>
        <w:jc w:val="left"/>
        <w:rPr>
          <w:rFonts w:hint="eastAsia" w:ascii="宋体" w:hAnsi="宋体"/>
          <w:b/>
          <w:bCs/>
          <w:color w:val="000000"/>
          <w:szCs w:val="21"/>
        </w:rPr>
      </w:pPr>
    </w:p>
    <w:p>
      <w:pPr>
        <w:spacing w:line="400" w:lineRule="exact"/>
        <w:jc w:val="center"/>
        <w:rPr>
          <w:rFonts w:hint="eastAsia" w:ascii="宋体" w:hAnsi="宋体"/>
          <w:b/>
          <w:color w:val="000000"/>
          <w:szCs w:val="21"/>
        </w:rPr>
      </w:pPr>
      <w:r>
        <w:rPr>
          <w:rFonts w:hint="eastAsia" w:ascii="宋体" w:hAnsi="宋体"/>
          <w:b/>
          <w:color w:val="000000"/>
          <w:szCs w:val="21"/>
        </w:rPr>
        <w:t>关于资格的声明函</w:t>
      </w:r>
    </w:p>
    <w:p>
      <w:pPr>
        <w:spacing w:line="400" w:lineRule="exact"/>
        <w:ind w:left="540" w:firstLine="30"/>
        <w:jc w:val="center"/>
        <w:rPr>
          <w:rFonts w:ascii="宋体" w:hAnsi="宋体"/>
          <w:b/>
          <w:color w:val="000000"/>
          <w:szCs w:val="21"/>
        </w:rPr>
      </w:pPr>
    </w:p>
    <w:p>
      <w:pPr>
        <w:spacing w:line="400" w:lineRule="exact"/>
        <w:rPr>
          <w:rFonts w:hint="eastAsia" w:ascii="宋体" w:hAnsi="宋体"/>
          <w:color w:val="000000"/>
          <w:szCs w:val="21"/>
        </w:rPr>
      </w:pPr>
      <w:r>
        <w:rPr>
          <w:rFonts w:hint="eastAsia" w:ascii="宋体" w:hAnsi="宋体"/>
          <w:color w:val="000000"/>
          <w:szCs w:val="21"/>
        </w:rPr>
        <w:t>致：采购人</w:t>
      </w:r>
    </w:p>
    <w:p>
      <w:pPr>
        <w:spacing w:line="400" w:lineRule="exact"/>
        <w:ind w:firstLine="420" w:firstLineChars="200"/>
        <w:rPr>
          <w:rFonts w:hint="eastAsia" w:ascii="宋体" w:hAnsi="宋体"/>
          <w:color w:val="000000"/>
          <w:szCs w:val="21"/>
        </w:rPr>
      </w:pPr>
      <w:r>
        <w:rPr>
          <w:rFonts w:hint="eastAsia" w:ascii="宋体" w:hAnsi="宋体"/>
          <w:color w:val="000000"/>
          <w:szCs w:val="21"/>
        </w:rPr>
        <w:t>关于贵方对项目编号为</w:t>
      </w:r>
      <w:r>
        <w:rPr>
          <w:rFonts w:hint="eastAsia" w:ascii="宋体" w:hAnsi="宋体"/>
          <w:color w:val="000000"/>
          <w:szCs w:val="21"/>
          <w:u w:val="single"/>
        </w:rPr>
        <w:t>HZWXQ2020-61（NBITC-202010469G）</w:t>
      </w:r>
      <w:r>
        <w:rPr>
          <w:rFonts w:hint="eastAsia" w:ascii="宋体" w:hAnsi="宋体"/>
          <w:color w:val="000000"/>
          <w:szCs w:val="21"/>
        </w:rPr>
        <w:t>的</w:t>
      </w:r>
      <w:r>
        <w:rPr>
          <w:rFonts w:hint="eastAsia" w:ascii="宋体" w:hAnsi="宋体"/>
          <w:color w:val="000000"/>
          <w:szCs w:val="21"/>
          <w:u w:val="single"/>
        </w:rPr>
        <w:t>宁波杭州湾新区校园智能安全防护体系建设项目</w:t>
      </w:r>
      <w:r>
        <w:rPr>
          <w:rFonts w:hint="eastAsia" w:ascii="宋体" w:hAnsi="宋体"/>
          <w:color w:val="000000"/>
          <w:szCs w:val="21"/>
        </w:rPr>
        <w:t xml:space="preserve">发出的投标邀请，本单位申明如下： </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我单位符合《中华人民共和国政府采购法》第</w:t>
      </w:r>
      <w:r>
        <w:rPr>
          <w:rFonts w:ascii="宋体" w:hAnsi="宋体"/>
          <w:color w:val="000000"/>
          <w:szCs w:val="21"/>
        </w:rPr>
        <w:t>22</w:t>
      </w:r>
      <w:r>
        <w:rPr>
          <w:rFonts w:hint="eastAsia" w:ascii="宋体" w:hAnsi="宋体"/>
          <w:color w:val="000000"/>
          <w:szCs w:val="21"/>
        </w:rPr>
        <w:t>条的一般资格条件的规定：</w:t>
      </w:r>
    </w:p>
    <w:p>
      <w:pPr>
        <w:spacing w:line="400" w:lineRule="exact"/>
        <w:ind w:firstLine="420" w:firstLineChars="200"/>
        <w:rPr>
          <w:rFonts w:ascii="宋体" w:hAnsi="宋体"/>
          <w:color w:val="000000"/>
          <w:szCs w:val="21"/>
        </w:rPr>
      </w:pPr>
      <w:r>
        <w:rPr>
          <w:rFonts w:hint="eastAsia" w:ascii="宋体" w:hAnsi="宋体"/>
          <w:color w:val="000000"/>
          <w:szCs w:val="21"/>
        </w:rPr>
        <w:t>1、具有独立承担民事责任的能力；</w:t>
      </w:r>
    </w:p>
    <w:p>
      <w:pPr>
        <w:spacing w:line="400" w:lineRule="exact"/>
        <w:ind w:firstLine="420" w:firstLineChars="200"/>
        <w:rPr>
          <w:rFonts w:ascii="宋体" w:hAnsi="宋体"/>
          <w:color w:val="000000"/>
          <w:szCs w:val="21"/>
        </w:rPr>
      </w:pPr>
      <w:r>
        <w:rPr>
          <w:rFonts w:hint="eastAsia" w:ascii="宋体" w:hAnsi="宋体"/>
          <w:color w:val="000000"/>
          <w:szCs w:val="21"/>
        </w:rPr>
        <w:t>2、具有良好的商业信誉和健全的财务会计制度；</w:t>
      </w:r>
    </w:p>
    <w:p>
      <w:pPr>
        <w:spacing w:line="400" w:lineRule="exact"/>
        <w:ind w:firstLine="420" w:firstLineChars="200"/>
        <w:rPr>
          <w:rFonts w:ascii="宋体" w:hAnsi="宋体"/>
          <w:color w:val="000000"/>
          <w:szCs w:val="21"/>
        </w:rPr>
      </w:pPr>
      <w:r>
        <w:rPr>
          <w:rFonts w:hint="eastAsia" w:ascii="宋体" w:hAnsi="宋体"/>
          <w:color w:val="000000"/>
          <w:szCs w:val="21"/>
        </w:rPr>
        <w:t>3、具有履行合同所必需的设备和专业技术能力；</w:t>
      </w:r>
    </w:p>
    <w:p>
      <w:pPr>
        <w:spacing w:line="400" w:lineRule="exact"/>
        <w:ind w:firstLine="420" w:firstLineChars="200"/>
        <w:rPr>
          <w:rFonts w:ascii="宋体" w:hAnsi="宋体"/>
          <w:color w:val="000000"/>
          <w:szCs w:val="21"/>
        </w:rPr>
      </w:pPr>
      <w:r>
        <w:rPr>
          <w:rFonts w:hint="eastAsia" w:ascii="宋体" w:hAnsi="宋体"/>
          <w:color w:val="000000"/>
          <w:szCs w:val="21"/>
        </w:rPr>
        <w:t>4、有依法缴纳税收和社会保障资金的良好记录；</w:t>
      </w:r>
    </w:p>
    <w:p>
      <w:pPr>
        <w:spacing w:line="400" w:lineRule="exact"/>
        <w:ind w:firstLine="420" w:firstLineChars="200"/>
        <w:rPr>
          <w:rFonts w:ascii="宋体" w:hAnsi="宋体"/>
          <w:color w:val="000000"/>
          <w:szCs w:val="21"/>
        </w:rPr>
      </w:pPr>
      <w:r>
        <w:rPr>
          <w:rFonts w:hint="eastAsia" w:ascii="宋体" w:hAnsi="宋体"/>
          <w:color w:val="000000"/>
          <w:szCs w:val="21"/>
        </w:rPr>
        <w:t>5、参加政府采购活动前三年内，在经营活动中没有重大违法记录；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6、法律、行政法规规定的其他条件。</w:t>
      </w: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p>
    <w:p>
      <w:pPr>
        <w:spacing w:line="400" w:lineRule="atLeas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atLeas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atLeas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ind w:firstLine="517" w:firstLineChars="250"/>
        <w:jc w:val="center"/>
        <w:rPr>
          <w:rStyle w:val="90"/>
          <w:rFonts w:hint="eastAsia" w:ascii="宋体" w:hAnsi="宋体"/>
          <w:color w:val="000000"/>
          <w:sz w:val="21"/>
          <w:szCs w:val="21"/>
        </w:rPr>
      </w:pPr>
    </w:p>
    <w:p>
      <w:pPr>
        <w:spacing w:line="400" w:lineRule="exact"/>
        <w:jc w:val="left"/>
        <w:rPr>
          <w:rFonts w:hint="eastAsia" w:ascii="宋体" w:hAnsi="宋体"/>
          <w:b/>
          <w:color w:val="000000"/>
          <w:szCs w:val="21"/>
        </w:rPr>
      </w:pPr>
      <w:r>
        <w:rPr>
          <w:rStyle w:val="90"/>
          <w:rFonts w:ascii="宋体" w:hAnsi="宋体"/>
          <w:color w:val="000000"/>
          <w:sz w:val="21"/>
          <w:szCs w:val="21"/>
        </w:rPr>
        <w:br w:type="page"/>
      </w:r>
      <w:r>
        <w:rPr>
          <w:rStyle w:val="90"/>
          <w:rFonts w:hint="eastAsia" w:ascii="宋体" w:hAnsi="宋体"/>
          <w:color w:val="000000"/>
          <w:sz w:val="21"/>
          <w:szCs w:val="21"/>
        </w:rPr>
        <w:t>附件七</w:t>
      </w:r>
    </w:p>
    <w:p>
      <w:pPr>
        <w:spacing w:line="400" w:lineRule="exact"/>
        <w:jc w:val="center"/>
        <w:rPr>
          <w:rFonts w:hint="eastAsia" w:ascii="宋体" w:hAnsi="宋体"/>
          <w:b/>
          <w:color w:val="000000"/>
          <w:szCs w:val="21"/>
        </w:rPr>
      </w:pPr>
      <w:r>
        <w:rPr>
          <w:rFonts w:hint="eastAsia" w:ascii="宋体" w:hAnsi="宋体"/>
          <w:b/>
          <w:color w:val="000000"/>
          <w:szCs w:val="21"/>
        </w:rPr>
        <w:t>无重大违法记录声明函</w:t>
      </w:r>
    </w:p>
    <w:p>
      <w:pPr>
        <w:spacing w:line="400" w:lineRule="exact"/>
        <w:rPr>
          <w:rFonts w:hint="eastAsia" w:ascii="宋体" w:hAnsi="宋体"/>
          <w:color w:val="000000"/>
          <w:szCs w:val="21"/>
        </w:rPr>
      </w:pPr>
    </w:p>
    <w:p>
      <w:pPr>
        <w:spacing w:line="400" w:lineRule="exact"/>
        <w:rPr>
          <w:rFonts w:ascii="宋体" w:hAnsi="宋体"/>
          <w:b/>
          <w:color w:val="000000"/>
          <w:szCs w:val="21"/>
        </w:rPr>
      </w:pPr>
      <w:r>
        <w:rPr>
          <w:rFonts w:hint="eastAsia" w:ascii="宋体" w:hAnsi="宋体"/>
          <w:color w:val="000000"/>
          <w:szCs w:val="21"/>
        </w:rPr>
        <w:t>致：采购人</w:t>
      </w:r>
    </w:p>
    <w:p>
      <w:pPr>
        <w:spacing w:line="400" w:lineRule="exact"/>
        <w:ind w:firstLine="420" w:firstLineChars="200"/>
        <w:rPr>
          <w:rFonts w:hint="eastAsia" w:ascii="宋体" w:hAnsi="宋体"/>
          <w:color w:val="000000"/>
          <w:szCs w:val="21"/>
        </w:rPr>
      </w:pPr>
      <w:r>
        <w:rPr>
          <w:rFonts w:hint="eastAsia" w:ascii="宋体" w:hAnsi="宋体"/>
          <w:bCs/>
          <w:color w:val="000000"/>
          <w:szCs w:val="21"/>
        </w:rPr>
        <w:t>我单位承诺：</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我单位参与本次采购活动前三年内，在经营活动中没有重大违法记录。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我单位对上述声明的真实性负责。如有虚假，将依法承担相应法律责任。</w:t>
      </w:r>
    </w:p>
    <w:p>
      <w:pPr>
        <w:spacing w:line="400" w:lineRule="exact"/>
        <w:ind w:firstLine="420" w:firstLineChars="200"/>
        <w:rPr>
          <w:rFonts w:hint="eastAsia" w:ascii="宋体" w:hAnsi="宋体"/>
          <w:color w:val="000000"/>
          <w:szCs w:val="21"/>
        </w:rPr>
      </w:pPr>
      <w:r>
        <w:rPr>
          <w:rFonts w:hint="eastAsia" w:ascii="宋体" w:hAnsi="宋体"/>
          <w:color w:val="000000"/>
          <w:szCs w:val="21"/>
        </w:rPr>
        <w:t>特此承诺。</w:t>
      </w:r>
    </w:p>
    <w:p>
      <w:pPr>
        <w:pStyle w:val="39"/>
        <w:spacing w:before="0" w:beforeAutospacing="0" w:after="0" w:afterAutospacing="0" w:line="400" w:lineRule="exact"/>
        <w:ind w:right="159" w:firstLine="660"/>
        <w:jc w:val="both"/>
        <w:rPr>
          <w:rFonts w:hint="eastAsia"/>
          <w:bCs/>
          <w:color w:val="000000"/>
          <w:sz w:val="21"/>
          <w:szCs w:val="21"/>
        </w:rPr>
      </w:pPr>
    </w:p>
    <w:p>
      <w:pPr>
        <w:pStyle w:val="39"/>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color w:val="000000"/>
          <w:kern w:val="0"/>
          <w:szCs w:val="21"/>
        </w:rPr>
      </w:pPr>
    </w:p>
    <w:p>
      <w:pPr>
        <w:spacing w:line="400" w:lineRule="exact"/>
        <w:rPr>
          <w:rFonts w:hint="eastAsia" w:ascii="宋体" w:hAnsi="宋体"/>
          <w:color w:val="000000"/>
          <w:kern w:val="0"/>
          <w:szCs w:val="21"/>
        </w:rPr>
      </w:pPr>
    </w:p>
    <w:p>
      <w:pPr>
        <w:spacing w:line="400" w:lineRule="exact"/>
        <w:rPr>
          <w:rFonts w:hint="eastAsia" w:ascii="宋体" w:hAnsi="宋体"/>
          <w:color w:val="000000"/>
          <w:kern w:val="0"/>
          <w:szCs w:val="21"/>
        </w:rPr>
      </w:pPr>
    </w:p>
    <w:p>
      <w:pPr>
        <w:spacing w:line="400" w:lineRule="atLeas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atLeas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atLeas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pStyle w:val="39"/>
        <w:spacing w:before="0" w:beforeAutospacing="0" w:after="0" w:afterAutospacing="0" w:line="400" w:lineRule="exact"/>
        <w:ind w:right="159" w:firstLine="660"/>
        <w:jc w:val="both"/>
        <w:rPr>
          <w:rFonts w:hint="eastAsia"/>
          <w:bCs/>
          <w:color w:val="000000"/>
          <w:sz w:val="21"/>
          <w:szCs w:val="21"/>
        </w:rPr>
      </w:pPr>
    </w:p>
    <w:p>
      <w:pPr>
        <w:pStyle w:val="39"/>
        <w:spacing w:before="0" w:beforeAutospacing="0" w:after="0" w:afterAutospacing="0" w:line="400" w:lineRule="exact"/>
        <w:ind w:right="159" w:firstLine="660"/>
        <w:jc w:val="both"/>
        <w:rPr>
          <w:rFonts w:hint="eastAsia"/>
          <w:bCs/>
          <w:color w:val="000000"/>
          <w:sz w:val="21"/>
          <w:szCs w:val="21"/>
        </w:rPr>
      </w:pPr>
    </w:p>
    <w:p>
      <w:pPr>
        <w:spacing w:line="400" w:lineRule="exact"/>
        <w:rPr>
          <w:rFonts w:hint="eastAsia" w:ascii="宋体" w:hAnsi="宋体"/>
          <w:bCs/>
          <w:color w:val="000000"/>
          <w:szCs w:val="21"/>
        </w:rPr>
      </w:pPr>
      <w:r>
        <w:rPr>
          <w:rFonts w:hint="eastAsia" w:ascii="宋体" w:hAnsi="宋体"/>
          <w:bCs/>
          <w:color w:val="000000"/>
          <w:szCs w:val="21"/>
        </w:rPr>
        <w:t>注：1、供应商注册成立不足三年的，应就供应商单位成立至参加政府采购活动时段进行承诺。</w:t>
      </w:r>
    </w:p>
    <w:p>
      <w:pPr>
        <w:pStyle w:val="39"/>
        <w:spacing w:before="0" w:beforeAutospacing="0" w:after="0" w:afterAutospacing="0" w:line="400" w:lineRule="exact"/>
        <w:ind w:right="159" w:firstLine="420" w:firstLineChars="200"/>
        <w:jc w:val="both"/>
        <w:rPr>
          <w:rFonts w:hint="eastAsia"/>
          <w:bCs/>
          <w:color w:val="000000"/>
          <w:sz w:val="21"/>
          <w:szCs w:val="21"/>
        </w:rPr>
      </w:pPr>
      <w:r>
        <w:rPr>
          <w:rFonts w:hint="eastAsia"/>
          <w:bCs/>
          <w:color w:val="000000"/>
          <w:sz w:val="21"/>
          <w:szCs w:val="21"/>
        </w:rPr>
        <w:t>2、政府采购法所称重大违法记录：是指供应商因违法经营受到刑事处罚或者责令停产停业、吊销许可证或者执照、较大数额罚款等行政处罚。</w:t>
      </w:r>
    </w:p>
    <w:p>
      <w:pPr>
        <w:spacing w:line="440" w:lineRule="exact"/>
        <w:jc w:val="center"/>
        <w:rPr>
          <w:rStyle w:val="90"/>
          <w:rFonts w:hint="eastAsia" w:ascii="宋体" w:hAnsi="宋体"/>
          <w:color w:val="000000"/>
          <w:sz w:val="21"/>
          <w:szCs w:val="21"/>
        </w:rPr>
      </w:pPr>
    </w:p>
    <w:p>
      <w:pPr>
        <w:spacing w:line="400" w:lineRule="exact"/>
        <w:jc w:val="left"/>
        <w:rPr>
          <w:rFonts w:hint="eastAsia" w:ascii="宋体" w:hAnsi="宋体"/>
          <w:b/>
          <w:color w:val="000000"/>
          <w:szCs w:val="21"/>
        </w:rPr>
      </w:pPr>
      <w:r>
        <w:rPr>
          <w:rStyle w:val="90"/>
          <w:rFonts w:ascii="宋体" w:hAnsi="宋体"/>
          <w:color w:val="000000"/>
          <w:sz w:val="21"/>
          <w:szCs w:val="21"/>
        </w:rPr>
        <w:br w:type="page"/>
      </w:r>
      <w:r>
        <w:rPr>
          <w:rStyle w:val="90"/>
          <w:rFonts w:hint="eastAsia" w:ascii="宋体" w:hAnsi="宋体"/>
          <w:color w:val="000000"/>
          <w:sz w:val="21"/>
          <w:szCs w:val="21"/>
        </w:rPr>
        <w:t>附件八</w:t>
      </w:r>
    </w:p>
    <w:p>
      <w:pPr>
        <w:spacing w:line="400" w:lineRule="exact"/>
        <w:ind w:firstLine="527" w:firstLineChars="250"/>
        <w:jc w:val="center"/>
        <w:rPr>
          <w:rFonts w:hint="eastAsia" w:ascii="宋体" w:hAnsi="宋体"/>
          <w:b/>
          <w:color w:val="000000"/>
          <w:szCs w:val="21"/>
        </w:rPr>
      </w:pPr>
      <w:r>
        <w:rPr>
          <w:rFonts w:hint="eastAsia" w:ascii="宋体" w:hAnsi="宋体"/>
          <w:b/>
          <w:color w:val="000000"/>
          <w:szCs w:val="21"/>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1</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电  话：</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传  真：</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注册地：</w:t>
            </w:r>
          </w:p>
        </w:tc>
        <w:tc>
          <w:tcPr>
            <w:tcW w:w="384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7</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8</w:t>
            </w:r>
          </w:p>
        </w:tc>
        <w:tc>
          <w:tcPr>
            <w:tcW w:w="8147"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公司（是否通过，何种）体系认证（请附上有关证书的复印件）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从业人员数量</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营业收入</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color w:val="000000"/>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p>
        </w:tc>
      </w:tr>
    </w:tbl>
    <w:p>
      <w:pPr>
        <w:spacing w:line="400" w:lineRule="exact"/>
        <w:jc w:val="center"/>
        <w:rPr>
          <w:rFonts w:hint="eastAsia" w:ascii="宋体" w:hAnsi="宋体"/>
          <w:color w:val="000000"/>
          <w:szCs w:val="21"/>
        </w:rPr>
      </w:pPr>
    </w:p>
    <w:p>
      <w:pPr>
        <w:spacing w:line="400" w:lineRule="exact"/>
        <w:jc w:val="left"/>
        <w:rPr>
          <w:rFonts w:hint="eastAsia" w:ascii="宋体" w:hAnsi="宋体"/>
          <w:color w:val="00000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b/>
          <w:color w:val="000000"/>
          <w:szCs w:val="21"/>
        </w:rPr>
      </w:pPr>
      <w:r>
        <w:rPr>
          <w:rStyle w:val="90"/>
          <w:rFonts w:ascii="宋体" w:hAnsi="宋体"/>
          <w:color w:val="000000"/>
          <w:sz w:val="21"/>
          <w:szCs w:val="21"/>
        </w:rPr>
        <w:br w:type="page"/>
      </w:r>
      <w:r>
        <w:rPr>
          <w:rStyle w:val="90"/>
          <w:rFonts w:hint="eastAsia" w:ascii="宋体" w:hAnsi="宋体"/>
          <w:color w:val="000000"/>
          <w:sz w:val="21"/>
          <w:szCs w:val="21"/>
        </w:rPr>
        <w:t>附件九</w:t>
      </w:r>
    </w:p>
    <w:p>
      <w:pPr>
        <w:spacing w:line="400" w:lineRule="exact"/>
        <w:jc w:val="left"/>
        <w:rPr>
          <w:rStyle w:val="90"/>
          <w:rFonts w:hint="eastAsia" w:ascii="宋体" w:hAnsi="宋体"/>
          <w:color w:val="000000"/>
          <w:sz w:val="21"/>
          <w:szCs w:val="21"/>
        </w:rPr>
      </w:pPr>
    </w:p>
    <w:p>
      <w:pPr>
        <w:spacing w:line="400" w:lineRule="exact"/>
        <w:jc w:val="center"/>
        <w:rPr>
          <w:rFonts w:hint="eastAsia" w:ascii="宋体" w:hAnsi="宋体"/>
          <w:b/>
          <w:color w:val="000000"/>
          <w:spacing w:val="20"/>
          <w:szCs w:val="21"/>
        </w:rPr>
      </w:pPr>
      <w:r>
        <w:rPr>
          <w:rFonts w:hint="eastAsia" w:ascii="宋体" w:hAnsi="宋体"/>
          <w:b/>
          <w:color w:val="000000"/>
          <w:szCs w:val="21"/>
        </w:rPr>
        <w:t>商务条款响应表</w:t>
      </w:r>
    </w:p>
    <w:p>
      <w:pPr>
        <w:spacing w:line="400" w:lineRule="exact"/>
        <w:ind w:left="540"/>
        <w:jc w:val="center"/>
        <w:rPr>
          <w:rFonts w:hint="eastAsia" w:ascii="宋体" w:hAnsi="宋体"/>
          <w:b/>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宁波杭州湾新区校园智能安全防护体系建设项目</w:t>
      </w:r>
      <w:r>
        <w:rPr>
          <w:rFonts w:hint="eastAsia" w:ascii="宋体" w:hAnsi="宋体"/>
          <w:color w:val="000000"/>
          <w:szCs w:val="21"/>
        </w:rPr>
        <w:t xml:space="preserve">            </w:t>
      </w:r>
    </w:p>
    <w:p>
      <w:pPr>
        <w:adjustRightInd w:val="0"/>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HZWXQ2020-61（NBITC-202010469G）</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序号</w:t>
            </w:r>
          </w:p>
        </w:tc>
        <w:tc>
          <w:tcPr>
            <w:tcW w:w="2824"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招标要求</w:t>
            </w:r>
          </w:p>
        </w:tc>
        <w:tc>
          <w:tcPr>
            <w:tcW w:w="2835"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投标响应</w:t>
            </w:r>
          </w:p>
        </w:tc>
        <w:tc>
          <w:tcPr>
            <w:tcW w:w="2369"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bl>
    <w:p>
      <w:pPr>
        <w:adjustRightInd w:val="0"/>
        <w:snapToGrid w:val="0"/>
        <w:spacing w:line="400" w:lineRule="exact"/>
        <w:ind w:left="319" w:leftChars="152" w:firstLine="250" w:firstLineChars="100"/>
        <w:rPr>
          <w:rFonts w:hint="eastAsia" w:ascii="宋体" w:hAnsi="宋体"/>
          <w:color w:val="000000"/>
          <w:spacing w:val="20"/>
          <w:szCs w:val="21"/>
        </w:rPr>
      </w:pPr>
      <w:r>
        <w:rPr>
          <w:rFonts w:hint="eastAsia" w:ascii="宋体" w:hAnsi="宋体"/>
          <w:color w:val="000000"/>
          <w:spacing w:val="20"/>
          <w:szCs w:val="21"/>
        </w:rPr>
        <w:t>注：</w:t>
      </w:r>
      <w:r>
        <w:rPr>
          <w:rFonts w:hint="eastAsia" w:ascii="宋体" w:hAnsi="宋体"/>
          <w:color w:val="000000"/>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olor w:val="000000"/>
          <w:spacing w:val="20"/>
          <w:szCs w:val="21"/>
        </w:rPr>
      </w:pPr>
    </w:p>
    <w:p>
      <w:pPr>
        <w:adjustRightInd w:val="0"/>
        <w:snapToGrid w:val="0"/>
        <w:spacing w:line="400" w:lineRule="exact"/>
        <w:rPr>
          <w:rFonts w:hint="eastAsia" w:ascii="宋体" w:hAnsi="宋体"/>
          <w:color w:val="000000"/>
          <w:spacing w:val="20"/>
          <w:szCs w:val="21"/>
        </w:rPr>
      </w:pPr>
    </w:p>
    <w:p>
      <w:pPr>
        <w:spacing w:line="400" w:lineRule="exact"/>
        <w:jc w:val="left"/>
        <w:rPr>
          <w:rFonts w:hint="eastAsia" w:ascii="宋体" w:hAnsi="宋体"/>
          <w:color w:val="000000"/>
          <w:szCs w:val="21"/>
        </w:rPr>
      </w:pPr>
      <w:bookmarkStart w:id="87" w:name="_Toc436408720"/>
      <w:bookmarkStart w:id="88" w:name="_Toc441316563"/>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color w:val="000000"/>
          <w:szCs w:val="21"/>
          <w:u w:val="single"/>
        </w:rPr>
      </w:pPr>
    </w:p>
    <w:p>
      <w:pPr>
        <w:spacing w:line="400" w:lineRule="exact"/>
        <w:jc w:val="left"/>
        <w:rPr>
          <w:rFonts w:hint="eastAsia" w:ascii="宋体" w:hAnsi="宋体"/>
          <w:b/>
          <w:color w:val="000000"/>
          <w:szCs w:val="21"/>
        </w:rPr>
      </w:pPr>
      <w:r>
        <w:rPr>
          <w:rStyle w:val="90"/>
          <w:rFonts w:ascii="宋体" w:hAnsi="宋体"/>
          <w:color w:val="000000"/>
          <w:sz w:val="21"/>
          <w:szCs w:val="21"/>
        </w:rPr>
        <w:br w:type="page"/>
      </w:r>
      <w:bookmarkEnd w:id="87"/>
      <w:bookmarkStart w:id="89" w:name="_Toc441316564"/>
      <w:r>
        <w:rPr>
          <w:rStyle w:val="90"/>
          <w:rFonts w:hint="eastAsia" w:ascii="宋体" w:hAnsi="宋体"/>
          <w:color w:val="000000"/>
          <w:sz w:val="21"/>
          <w:szCs w:val="21"/>
        </w:rPr>
        <w:t>附件十</w:t>
      </w:r>
    </w:p>
    <w:p>
      <w:pPr>
        <w:spacing w:line="400" w:lineRule="exact"/>
        <w:jc w:val="left"/>
        <w:rPr>
          <w:rStyle w:val="90"/>
          <w:rFonts w:hint="eastAsia" w:ascii="宋体" w:hAnsi="宋体"/>
          <w:color w:val="000000"/>
          <w:sz w:val="21"/>
          <w:szCs w:val="21"/>
        </w:rPr>
      </w:pPr>
    </w:p>
    <w:p>
      <w:pPr>
        <w:spacing w:line="400" w:lineRule="exact"/>
        <w:jc w:val="center"/>
        <w:rPr>
          <w:rFonts w:hint="eastAsia" w:ascii="宋体" w:hAnsi="宋体"/>
          <w:b/>
          <w:color w:val="000000"/>
          <w:spacing w:val="20"/>
          <w:szCs w:val="21"/>
        </w:rPr>
      </w:pPr>
      <w:r>
        <w:rPr>
          <w:rFonts w:hint="eastAsia" w:ascii="宋体" w:hAnsi="宋体"/>
          <w:b/>
          <w:color w:val="000000"/>
          <w:szCs w:val="21"/>
        </w:rPr>
        <w:t>技术条款响应表</w:t>
      </w:r>
    </w:p>
    <w:p>
      <w:pPr>
        <w:spacing w:line="400" w:lineRule="exact"/>
        <w:ind w:left="540"/>
        <w:jc w:val="center"/>
        <w:rPr>
          <w:rFonts w:hint="eastAsia" w:ascii="宋体" w:hAnsi="宋体"/>
          <w:b/>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宁波杭州湾新区校园智能安全防护体系建设项目</w:t>
      </w:r>
      <w:r>
        <w:rPr>
          <w:rFonts w:hint="eastAsia" w:ascii="宋体" w:hAnsi="宋体"/>
          <w:color w:val="000000"/>
          <w:szCs w:val="21"/>
        </w:rPr>
        <w:t xml:space="preserve">            </w:t>
      </w:r>
    </w:p>
    <w:p>
      <w:pPr>
        <w:adjustRightInd w:val="0"/>
        <w:snapToGrid w:val="0"/>
        <w:spacing w:line="400" w:lineRule="exact"/>
        <w:rPr>
          <w:rFonts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HZWXQ2020-61（NBITC-202010469G）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序号</w:t>
            </w:r>
          </w:p>
        </w:tc>
        <w:tc>
          <w:tcPr>
            <w:tcW w:w="2824"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招标要求</w:t>
            </w:r>
          </w:p>
        </w:tc>
        <w:tc>
          <w:tcPr>
            <w:tcW w:w="2835"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投标响应</w:t>
            </w:r>
          </w:p>
        </w:tc>
        <w:tc>
          <w:tcPr>
            <w:tcW w:w="2369" w:type="dxa"/>
            <w:noWrap w:val="0"/>
            <w:vAlign w:val="center"/>
          </w:tcPr>
          <w:p>
            <w:pPr>
              <w:adjustRightInd w:val="0"/>
              <w:snapToGrid w:val="0"/>
              <w:spacing w:line="400" w:lineRule="exact"/>
              <w:jc w:val="center"/>
              <w:rPr>
                <w:rFonts w:hint="eastAsia"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18" w:type="dxa"/>
            <w:noWrap w:val="0"/>
            <w:vAlign w:val="center"/>
          </w:tcPr>
          <w:p>
            <w:pPr>
              <w:adjustRightInd w:val="0"/>
              <w:snapToGrid w:val="0"/>
              <w:spacing w:line="400" w:lineRule="exact"/>
              <w:jc w:val="center"/>
              <w:rPr>
                <w:rFonts w:hint="eastAsia" w:ascii="宋体" w:hAnsi="宋体"/>
                <w:color w:val="000000"/>
                <w:szCs w:val="21"/>
              </w:rPr>
            </w:pPr>
          </w:p>
        </w:tc>
        <w:tc>
          <w:tcPr>
            <w:tcW w:w="2824" w:type="dxa"/>
            <w:noWrap w:val="0"/>
            <w:vAlign w:val="center"/>
          </w:tcPr>
          <w:p>
            <w:pPr>
              <w:adjustRightInd w:val="0"/>
              <w:snapToGrid w:val="0"/>
              <w:spacing w:line="400" w:lineRule="exact"/>
              <w:jc w:val="center"/>
              <w:rPr>
                <w:rFonts w:hint="eastAsia" w:ascii="宋体" w:hAnsi="宋体"/>
                <w:color w:val="000000"/>
                <w:szCs w:val="21"/>
              </w:rPr>
            </w:pPr>
          </w:p>
        </w:tc>
        <w:tc>
          <w:tcPr>
            <w:tcW w:w="2835" w:type="dxa"/>
            <w:noWrap w:val="0"/>
            <w:vAlign w:val="center"/>
          </w:tcPr>
          <w:p>
            <w:pPr>
              <w:adjustRightInd w:val="0"/>
              <w:snapToGrid w:val="0"/>
              <w:spacing w:line="400" w:lineRule="exact"/>
              <w:jc w:val="center"/>
              <w:rPr>
                <w:rFonts w:hint="eastAsia" w:ascii="宋体" w:hAnsi="宋体"/>
                <w:color w:val="000000"/>
                <w:szCs w:val="21"/>
              </w:rPr>
            </w:pPr>
          </w:p>
        </w:tc>
        <w:tc>
          <w:tcPr>
            <w:tcW w:w="2369" w:type="dxa"/>
            <w:noWrap w:val="0"/>
            <w:vAlign w:val="center"/>
          </w:tcPr>
          <w:p>
            <w:pPr>
              <w:adjustRightInd w:val="0"/>
              <w:snapToGrid w:val="0"/>
              <w:spacing w:line="400" w:lineRule="exact"/>
              <w:jc w:val="center"/>
              <w:rPr>
                <w:rFonts w:hint="eastAsia" w:ascii="宋体" w:hAnsi="宋体"/>
                <w:color w:val="000000"/>
                <w:szCs w:val="21"/>
              </w:rPr>
            </w:pPr>
          </w:p>
        </w:tc>
      </w:tr>
    </w:tbl>
    <w:p>
      <w:pPr>
        <w:spacing w:line="400" w:lineRule="exact"/>
        <w:rPr>
          <w:rFonts w:hint="eastAsia" w:ascii="宋体" w:hAnsi="宋体"/>
          <w:b/>
          <w:color w:val="000000"/>
          <w:szCs w:val="21"/>
        </w:rPr>
      </w:pPr>
      <w:r>
        <w:rPr>
          <w:rFonts w:hint="eastAsia" w:ascii="宋体" w:hAnsi="宋体"/>
          <w:color w:val="000000"/>
          <w:szCs w:val="21"/>
        </w:rPr>
        <w:t>注：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hint="eastAsia" w:ascii="宋体" w:hAnsi="宋体"/>
          <w:color w:val="000000"/>
          <w:spacing w:val="20"/>
          <w:szCs w:val="21"/>
        </w:rPr>
      </w:pPr>
    </w:p>
    <w:p>
      <w:pPr>
        <w:adjustRightInd w:val="0"/>
        <w:snapToGrid w:val="0"/>
        <w:spacing w:line="400" w:lineRule="exact"/>
        <w:rPr>
          <w:rFonts w:hint="eastAsia" w:ascii="宋体" w:hAnsi="宋体"/>
          <w:color w:val="000000"/>
          <w:spacing w:val="2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b/>
          <w:color w:val="000000"/>
          <w:szCs w:val="21"/>
        </w:rPr>
      </w:pPr>
      <w:r>
        <w:rPr>
          <w:rFonts w:ascii="宋体" w:hAnsi="宋体"/>
          <w:color w:val="000000"/>
          <w:szCs w:val="21"/>
          <w:u w:val="single"/>
        </w:rPr>
        <w:br w:type="page"/>
      </w:r>
      <w:bookmarkEnd w:id="88"/>
      <w:bookmarkEnd w:id="89"/>
      <w:r>
        <w:rPr>
          <w:rStyle w:val="90"/>
          <w:rFonts w:hint="eastAsia" w:ascii="宋体" w:hAnsi="宋体"/>
          <w:color w:val="000000"/>
          <w:sz w:val="21"/>
          <w:szCs w:val="21"/>
        </w:rPr>
        <w:t>附件十一</w:t>
      </w:r>
    </w:p>
    <w:p>
      <w:pPr>
        <w:spacing w:line="400" w:lineRule="exact"/>
        <w:jc w:val="left"/>
        <w:rPr>
          <w:rStyle w:val="90"/>
          <w:rFonts w:hint="eastAsia" w:ascii="宋体" w:hAnsi="宋体"/>
          <w:color w:val="000000"/>
          <w:sz w:val="21"/>
          <w:szCs w:val="21"/>
        </w:rPr>
      </w:pPr>
    </w:p>
    <w:p>
      <w:pPr>
        <w:spacing w:line="400" w:lineRule="exact"/>
        <w:jc w:val="center"/>
        <w:rPr>
          <w:rFonts w:hint="eastAsia" w:ascii="宋体" w:hAnsi="宋体"/>
          <w:b/>
          <w:color w:val="000000"/>
          <w:spacing w:val="20"/>
          <w:szCs w:val="21"/>
        </w:rPr>
      </w:pPr>
      <w:r>
        <w:rPr>
          <w:rFonts w:hint="eastAsia" w:ascii="宋体" w:hAnsi="宋体"/>
          <w:b/>
          <w:color w:val="000000"/>
          <w:szCs w:val="21"/>
        </w:rPr>
        <w:t>服务团队情况表</w:t>
      </w:r>
    </w:p>
    <w:p>
      <w:pPr>
        <w:spacing w:line="400" w:lineRule="exact"/>
        <w:ind w:left="540"/>
        <w:jc w:val="center"/>
        <w:rPr>
          <w:rFonts w:hint="eastAsia" w:ascii="宋体" w:hAnsi="宋体"/>
          <w:b/>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u w:val="single"/>
        </w:rPr>
        <w:t>宁波杭州湾新区校园智能安全防护体系建设项目</w:t>
      </w:r>
      <w:r>
        <w:rPr>
          <w:rFonts w:hint="eastAsia" w:ascii="宋体" w:hAnsi="宋体"/>
          <w:color w:val="000000"/>
          <w:szCs w:val="21"/>
        </w:rPr>
        <w:t xml:space="preserve">            </w:t>
      </w:r>
    </w:p>
    <w:p>
      <w:pPr>
        <w:adjustRightInd w:val="0"/>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hint="eastAsia" w:ascii="宋体" w:hAnsi="宋体"/>
          <w:color w:val="000000"/>
          <w:szCs w:val="21"/>
          <w:u w:val="single"/>
        </w:rPr>
        <w:t>HZWXQ2020-61（NBITC-202010469G）</w:t>
      </w:r>
    </w:p>
    <w:tbl>
      <w:tblPr>
        <w:tblStyle w:val="4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181"/>
        <w:gridCol w:w="1181"/>
        <w:gridCol w:w="1182"/>
        <w:gridCol w:w="1181"/>
        <w:gridCol w:w="11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序号</w:t>
            </w:r>
          </w:p>
        </w:tc>
        <w:tc>
          <w:tcPr>
            <w:tcW w:w="1559"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岗位</w:t>
            </w:r>
          </w:p>
        </w:tc>
        <w:tc>
          <w:tcPr>
            <w:tcW w:w="1181"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姓名</w:t>
            </w:r>
          </w:p>
        </w:tc>
        <w:tc>
          <w:tcPr>
            <w:tcW w:w="1181"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年龄</w:t>
            </w:r>
          </w:p>
        </w:tc>
        <w:tc>
          <w:tcPr>
            <w:tcW w:w="1182"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职称</w:t>
            </w:r>
          </w:p>
        </w:tc>
        <w:tc>
          <w:tcPr>
            <w:tcW w:w="1181"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工作年限</w:t>
            </w:r>
          </w:p>
        </w:tc>
        <w:tc>
          <w:tcPr>
            <w:tcW w:w="1181"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相关证书</w:t>
            </w:r>
          </w:p>
        </w:tc>
        <w:tc>
          <w:tcPr>
            <w:tcW w:w="1182"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一</w:t>
            </w:r>
          </w:p>
        </w:tc>
        <w:tc>
          <w:tcPr>
            <w:tcW w:w="1559" w:type="dxa"/>
            <w:noWrap w:val="0"/>
            <w:vAlign w:val="center"/>
          </w:tcPr>
          <w:p>
            <w:pPr>
              <w:spacing w:line="400" w:lineRule="exact"/>
              <w:rPr>
                <w:rFonts w:hint="eastAsia" w:ascii="宋体" w:hAnsi="宋体"/>
                <w:b/>
                <w:bCs/>
                <w:color w:val="000000"/>
                <w:szCs w:val="21"/>
              </w:rPr>
            </w:pPr>
            <w:r>
              <w:rPr>
                <w:rFonts w:hint="eastAsia" w:ascii="宋体" w:hAnsi="宋体"/>
                <w:b/>
                <w:bCs/>
                <w:color w:val="000000"/>
                <w:szCs w:val="21"/>
              </w:rPr>
              <w:t>项目负责人</w:t>
            </w:r>
          </w:p>
        </w:tc>
        <w:tc>
          <w:tcPr>
            <w:tcW w:w="1181" w:type="dxa"/>
            <w:noWrap w:val="0"/>
            <w:vAlign w:val="center"/>
          </w:tcPr>
          <w:p>
            <w:pPr>
              <w:spacing w:line="400" w:lineRule="exact"/>
              <w:jc w:val="center"/>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2" w:type="dxa"/>
            <w:noWrap w:val="0"/>
            <w:vAlign w:val="center"/>
          </w:tcPr>
          <w:p>
            <w:pPr>
              <w:spacing w:line="400" w:lineRule="exact"/>
              <w:jc w:val="center"/>
              <w:rPr>
                <w:rFonts w:hint="eastAsia" w:ascii="宋体" w:hAnsi="宋体"/>
                <w:bCs/>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2" w:type="dxa"/>
            <w:noWrap w:val="0"/>
            <w:vAlign w:val="top"/>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
                <w:bCs/>
                <w:color w:val="000000"/>
                <w:szCs w:val="21"/>
              </w:rPr>
            </w:pPr>
          </w:p>
        </w:tc>
        <w:tc>
          <w:tcPr>
            <w:tcW w:w="1559" w:type="dxa"/>
            <w:noWrap w:val="0"/>
            <w:vAlign w:val="center"/>
          </w:tcPr>
          <w:p>
            <w:pPr>
              <w:spacing w:line="400" w:lineRule="exact"/>
              <w:rPr>
                <w:rFonts w:hint="eastAsia" w:ascii="宋体" w:hAnsi="宋体"/>
                <w:b/>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2" w:type="dxa"/>
            <w:noWrap w:val="0"/>
            <w:vAlign w:val="center"/>
          </w:tcPr>
          <w:p>
            <w:pPr>
              <w:spacing w:line="400" w:lineRule="exact"/>
              <w:jc w:val="center"/>
              <w:rPr>
                <w:rFonts w:hint="eastAsia" w:ascii="宋体" w:hAnsi="宋体"/>
                <w:bCs/>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2" w:type="dxa"/>
            <w:noWrap w:val="0"/>
            <w:vAlign w:val="top"/>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
                <w:bCs/>
                <w:color w:val="000000"/>
                <w:szCs w:val="21"/>
              </w:rPr>
            </w:pPr>
            <w:r>
              <w:rPr>
                <w:rFonts w:hint="eastAsia" w:ascii="宋体" w:hAnsi="宋体"/>
                <w:b/>
                <w:bCs/>
                <w:color w:val="000000"/>
                <w:szCs w:val="21"/>
              </w:rPr>
              <w:t>二</w:t>
            </w:r>
          </w:p>
        </w:tc>
        <w:tc>
          <w:tcPr>
            <w:tcW w:w="1559" w:type="dxa"/>
            <w:noWrap w:val="0"/>
            <w:vAlign w:val="center"/>
          </w:tcPr>
          <w:p>
            <w:pPr>
              <w:spacing w:line="400" w:lineRule="exact"/>
              <w:rPr>
                <w:rFonts w:hint="eastAsia" w:ascii="宋体" w:hAnsi="宋体"/>
                <w:bCs/>
                <w:color w:val="000000"/>
                <w:szCs w:val="21"/>
              </w:rPr>
            </w:pPr>
            <w:r>
              <w:rPr>
                <w:rFonts w:hint="eastAsia" w:ascii="宋体" w:hAnsi="宋体"/>
                <w:b/>
                <w:color w:val="000000"/>
                <w:szCs w:val="21"/>
              </w:rPr>
              <w:t>其他团队人员</w:t>
            </w:r>
          </w:p>
        </w:tc>
        <w:tc>
          <w:tcPr>
            <w:tcW w:w="1181" w:type="dxa"/>
            <w:noWrap w:val="0"/>
            <w:vAlign w:val="center"/>
          </w:tcPr>
          <w:p>
            <w:pPr>
              <w:spacing w:line="400" w:lineRule="exact"/>
              <w:jc w:val="center"/>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2" w:type="dxa"/>
            <w:noWrap w:val="0"/>
            <w:vAlign w:val="center"/>
          </w:tcPr>
          <w:p>
            <w:pPr>
              <w:spacing w:line="400" w:lineRule="exact"/>
              <w:jc w:val="center"/>
              <w:rPr>
                <w:rFonts w:hint="eastAsia" w:ascii="宋体" w:hAnsi="宋体"/>
                <w:bCs/>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2" w:type="dxa"/>
            <w:noWrap w:val="0"/>
            <w:vAlign w:val="top"/>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Cs/>
                <w:color w:val="000000"/>
                <w:szCs w:val="21"/>
              </w:rPr>
            </w:pPr>
          </w:p>
        </w:tc>
        <w:tc>
          <w:tcPr>
            <w:tcW w:w="1559" w:type="dxa"/>
            <w:noWrap w:val="0"/>
            <w:vAlign w:val="center"/>
          </w:tcPr>
          <w:p>
            <w:pPr>
              <w:spacing w:line="400" w:lineRule="exact"/>
              <w:rPr>
                <w:rFonts w:hint="eastAsia" w:ascii="宋体" w:hAnsi="宋体"/>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2" w:type="dxa"/>
            <w:noWrap w:val="0"/>
            <w:vAlign w:val="center"/>
          </w:tcPr>
          <w:p>
            <w:pPr>
              <w:spacing w:line="400" w:lineRule="exact"/>
              <w:jc w:val="center"/>
              <w:rPr>
                <w:rFonts w:hint="eastAsia" w:ascii="宋体" w:hAnsi="宋体"/>
                <w:bCs/>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2" w:type="dxa"/>
            <w:noWrap w:val="0"/>
            <w:vAlign w:val="top"/>
          </w:tcPr>
          <w:p>
            <w:pPr>
              <w:spacing w:line="4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jc w:val="center"/>
        </w:trPr>
        <w:tc>
          <w:tcPr>
            <w:tcW w:w="817" w:type="dxa"/>
            <w:noWrap w:val="0"/>
            <w:vAlign w:val="center"/>
          </w:tcPr>
          <w:p>
            <w:pPr>
              <w:spacing w:line="400" w:lineRule="exact"/>
              <w:jc w:val="center"/>
              <w:rPr>
                <w:rFonts w:hint="eastAsia" w:ascii="宋体" w:hAnsi="宋体"/>
                <w:bCs/>
                <w:color w:val="000000"/>
                <w:szCs w:val="21"/>
              </w:rPr>
            </w:pPr>
          </w:p>
        </w:tc>
        <w:tc>
          <w:tcPr>
            <w:tcW w:w="1559" w:type="dxa"/>
            <w:noWrap w:val="0"/>
            <w:vAlign w:val="center"/>
          </w:tcPr>
          <w:p>
            <w:pPr>
              <w:spacing w:line="400" w:lineRule="exact"/>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1" w:type="dxa"/>
            <w:noWrap w:val="0"/>
            <w:vAlign w:val="center"/>
          </w:tcPr>
          <w:p>
            <w:pPr>
              <w:spacing w:line="400" w:lineRule="exact"/>
              <w:jc w:val="center"/>
              <w:rPr>
                <w:rFonts w:hint="eastAsia" w:ascii="宋体" w:hAnsi="宋体"/>
                <w:bCs/>
                <w:color w:val="000000"/>
                <w:szCs w:val="21"/>
              </w:rPr>
            </w:pPr>
          </w:p>
        </w:tc>
        <w:tc>
          <w:tcPr>
            <w:tcW w:w="1182" w:type="dxa"/>
            <w:noWrap w:val="0"/>
            <w:vAlign w:val="center"/>
          </w:tcPr>
          <w:p>
            <w:pPr>
              <w:spacing w:line="400" w:lineRule="exact"/>
              <w:jc w:val="center"/>
              <w:rPr>
                <w:rFonts w:hint="eastAsia" w:ascii="宋体" w:hAnsi="宋体"/>
                <w:bCs/>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1" w:type="dxa"/>
            <w:noWrap w:val="0"/>
            <w:vAlign w:val="top"/>
          </w:tcPr>
          <w:p>
            <w:pPr>
              <w:spacing w:line="400" w:lineRule="exact"/>
              <w:jc w:val="center"/>
              <w:rPr>
                <w:rFonts w:hint="eastAsia" w:ascii="宋体" w:hAnsi="宋体"/>
                <w:color w:val="000000"/>
                <w:szCs w:val="21"/>
              </w:rPr>
            </w:pPr>
          </w:p>
        </w:tc>
        <w:tc>
          <w:tcPr>
            <w:tcW w:w="1182" w:type="dxa"/>
            <w:noWrap w:val="0"/>
            <w:vAlign w:val="top"/>
          </w:tcPr>
          <w:p>
            <w:pPr>
              <w:spacing w:line="400" w:lineRule="exact"/>
              <w:jc w:val="center"/>
              <w:rPr>
                <w:rFonts w:hint="eastAsia" w:ascii="宋体" w:hAnsi="宋体"/>
                <w:color w:val="000000"/>
                <w:szCs w:val="21"/>
              </w:rPr>
            </w:pPr>
          </w:p>
        </w:tc>
      </w:tr>
    </w:tbl>
    <w:p>
      <w:pPr>
        <w:adjustRightInd w:val="0"/>
        <w:snapToGrid w:val="0"/>
        <w:spacing w:line="400" w:lineRule="exact"/>
        <w:ind w:right="-233" w:rightChars="-111"/>
        <w:rPr>
          <w:rFonts w:hint="eastAsia" w:ascii="宋体" w:hAnsi="宋体"/>
          <w:b/>
          <w:color w:val="000000"/>
          <w:spacing w:val="20"/>
          <w:szCs w:val="21"/>
        </w:rPr>
      </w:pPr>
      <w:r>
        <w:rPr>
          <w:rFonts w:hint="eastAsia" w:ascii="宋体" w:hAnsi="宋体"/>
          <w:b/>
          <w:color w:val="000000"/>
          <w:szCs w:val="21"/>
        </w:rPr>
        <w:t>以上人员一经确认，不得随意更换，如需更换，必须征得采购人同意。擅自更换或不到位属违约行为。</w:t>
      </w:r>
    </w:p>
    <w:p>
      <w:pPr>
        <w:adjustRightInd w:val="0"/>
        <w:snapToGrid w:val="0"/>
        <w:spacing w:line="400" w:lineRule="exact"/>
        <w:rPr>
          <w:rFonts w:ascii="宋体" w:hAnsi="宋体"/>
          <w:color w:val="000000"/>
          <w:szCs w:val="21"/>
        </w:rPr>
      </w:pPr>
    </w:p>
    <w:p>
      <w:pPr>
        <w:adjustRightInd w:val="0"/>
        <w:snapToGrid w:val="0"/>
        <w:spacing w:line="400" w:lineRule="exact"/>
        <w:rPr>
          <w:rFonts w:hint="eastAsia" w:ascii="宋体" w:hAnsi="宋体"/>
          <w:color w:val="000000"/>
          <w:szCs w:val="21"/>
        </w:rPr>
      </w:pPr>
      <w:r>
        <w:rPr>
          <w:rFonts w:hint="eastAsia" w:ascii="宋体" w:hAnsi="宋体"/>
          <w:color w:val="000000"/>
          <w:szCs w:val="21"/>
        </w:rPr>
        <w:t>后附：1、社保部门出具的2020年3月-6月供应商单位为服务团队缴纳社保的证明资料复印件加盖供应商公章。</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2、相关证书复印件加盖供应商公章。</w:t>
      </w:r>
    </w:p>
    <w:p>
      <w:pPr>
        <w:adjustRightInd w:val="0"/>
        <w:snapToGrid w:val="0"/>
        <w:spacing w:line="400" w:lineRule="exact"/>
        <w:rPr>
          <w:rFonts w:hint="eastAsia" w:ascii="宋体" w:hAnsi="宋体"/>
          <w:color w:val="000000"/>
          <w:spacing w:val="20"/>
          <w:szCs w:val="21"/>
        </w:rPr>
      </w:pPr>
    </w:p>
    <w:p>
      <w:pPr>
        <w:adjustRightInd w:val="0"/>
        <w:snapToGrid w:val="0"/>
        <w:spacing w:line="400" w:lineRule="exact"/>
        <w:rPr>
          <w:rFonts w:hint="eastAsia" w:ascii="宋体" w:hAnsi="宋体"/>
          <w:color w:val="000000"/>
          <w:spacing w:val="20"/>
          <w:szCs w:val="21"/>
        </w:rPr>
      </w:pPr>
    </w:p>
    <w:p>
      <w:pPr>
        <w:spacing w:line="400" w:lineRule="exact"/>
        <w:jc w:val="left"/>
        <w:rPr>
          <w:rFonts w:hint="eastAsia" w:ascii="宋体" w:hAnsi="宋体"/>
          <w:color w:val="000000"/>
          <w:szCs w:val="21"/>
        </w:rPr>
      </w:pPr>
      <w:r>
        <w:rPr>
          <w:rFonts w:hint="eastAsia" w:ascii="宋体" w:hAnsi="宋体"/>
          <w:color w:val="000000"/>
          <w:szCs w:val="21"/>
        </w:rPr>
        <w:t>供应商（盖章）：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00" w:lineRule="exact"/>
        <w:jc w:val="left"/>
        <w:rPr>
          <w:rFonts w:ascii="宋体" w:hAnsi="宋体"/>
          <w:color w:val="000000"/>
          <w:szCs w:val="21"/>
        </w:rPr>
      </w:pPr>
      <w:r>
        <w:rPr>
          <w:rFonts w:hint="eastAsia" w:ascii="宋体" w:hAnsi="宋体"/>
          <w:color w:val="000000"/>
          <w:szCs w:val="21"/>
        </w:rPr>
        <w:t>法定代表人或授权代表（签字）：</w:t>
      </w:r>
      <w:r>
        <w:rPr>
          <w:rFonts w:ascii="宋体" w:hAnsi="宋体"/>
          <w:color w:val="000000"/>
          <w:szCs w:val="21"/>
          <w:u w:val="single"/>
        </w:rPr>
        <w:t xml:space="preserve">                  </w:t>
      </w:r>
    </w:p>
    <w:p>
      <w:pPr>
        <w:spacing w:line="400" w:lineRule="exact"/>
        <w:rPr>
          <w:rFonts w:hint="eastAsia" w:ascii="宋体" w:hAnsi="宋体"/>
          <w:color w:val="000000"/>
          <w:szCs w:val="21"/>
          <w:u w:val="single"/>
        </w:rPr>
      </w:pPr>
      <w:r>
        <w:rPr>
          <w:rFonts w:hint="eastAsia" w:ascii="宋体" w:hAnsi="宋体"/>
          <w:color w:val="000000"/>
          <w:szCs w:val="21"/>
        </w:rPr>
        <w:t>日            期：</w:t>
      </w:r>
      <w:r>
        <w:rPr>
          <w:rFonts w:ascii="宋体" w:hAnsi="宋体"/>
          <w:color w:val="000000"/>
          <w:szCs w:val="21"/>
          <w:u w:val="single"/>
        </w:rPr>
        <w:t xml:space="preserve">                  </w:t>
      </w:r>
      <w:r>
        <w:rPr>
          <w:rFonts w:hint="eastAsia" w:ascii="宋体" w:hAnsi="宋体"/>
          <w:color w:val="000000"/>
          <w:szCs w:val="21"/>
          <w:u w:val="single"/>
        </w:rPr>
        <w:t xml:space="preserve">           </w:t>
      </w:r>
    </w:p>
    <w:p>
      <w:pPr>
        <w:spacing w:line="400" w:lineRule="exact"/>
        <w:jc w:val="left"/>
        <w:rPr>
          <w:rFonts w:hint="eastAsia" w:ascii="宋体" w:hAnsi="宋体"/>
          <w:b/>
          <w:color w:val="000000"/>
          <w:szCs w:val="21"/>
        </w:rPr>
      </w:pPr>
      <w:r>
        <w:rPr>
          <w:rFonts w:ascii="宋体" w:hAnsi="宋体"/>
          <w:b/>
          <w:color w:val="000000"/>
          <w:szCs w:val="21"/>
        </w:rPr>
        <w:br w:type="page"/>
      </w:r>
      <w:r>
        <w:rPr>
          <w:rFonts w:hint="eastAsia" w:ascii="宋体" w:hAnsi="宋体"/>
          <w:b/>
          <w:color w:val="000000"/>
          <w:szCs w:val="21"/>
        </w:rPr>
        <w:t>附件十二</w:t>
      </w:r>
    </w:p>
    <w:p>
      <w:pPr>
        <w:adjustRightInd w:val="0"/>
        <w:snapToGrid w:val="0"/>
        <w:spacing w:line="400" w:lineRule="exact"/>
        <w:jc w:val="center"/>
        <w:rPr>
          <w:rFonts w:ascii="宋体" w:hAnsi="宋体"/>
          <w:b/>
          <w:bCs/>
          <w:color w:val="000000"/>
          <w:szCs w:val="21"/>
        </w:rPr>
      </w:pPr>
      <w:r>
        <w:rPr>
          <w:rFonts w:hint="eastAsia" w:ascii="宋体" w:hAnsi="宋体"/>
          <w:b/>
          <w:bCs/>
          <w:color w:val="000000"/>
          <w:szCs w:val="21"/>
        </w:rPr>
        <w:t>投标单位声明函</w:t>
      </w:r>
    </w:p>
    <w:p>
      <w:pPr>
        <w:spacing w:line="400" w:lineRule="exact"/>
        <w:ind w:firstLine="420" w:firstLineChars="200"/>
        <w:rPr>
          <w:rFonts w:hint="eastAsia" w:ascii="宋体" w:hAnsi="宋体"/>
          <w:color w:val="000000"/>
          <w:szCs w:val="21"/>
        </w:rPr>
      </w:pPr>
    </w:p>
    <w:p>
      <w:pPr>
        <w:spacing w:line="400" w:lineRule="exact"/>
        <w:ind w:firstLine="420" w:firstLineChars="200"/>
        <w:rPr>
          <w:rFonts w:hint="eastAsia" w:ascii="宋体" w:hAnsi="宋体"/>
          <w:color w:val="000000"/>
          <w:szCs w:val="21"/>
        </w:rPr>
      </w:pPr>
      <w:r>
        <w:rPr>
          <w:rFonts w:hint="eastAsia" w:ascii="宋体" w:hAnsi="宋体"/>
          <w:color w:val="000000"/>
          <w:szCs w:val="21"/>
        </w:rPr>
        <w:t>根据财政部《政府采购促进中小企业发展暂行办法》（财库[2011]181号）和宁波市财政局《关于政府采购促进中小企业发展若干问题的通知》（甬采购办[2012]1427号）的规定，本单位郑重声明：</w:t>
      </w:r>
    </w:p>
    <w:p>
      <w:pPr>
        <w:spacing w:line="400" w:lineRule="exact"/>
        <w:ind w:firstLine="420" w:firstLineChars="200"/>
        <w:rPr>
          <w:rFonts w:hint="eastAsia" w:ascii="宋体" w:hAnsi="宋体"/>
          <w:color w:val="000000"/>
          <w:szCs w:val="21"/>
        </w:rPr>
      </w:pPr>
      <w:r>
        <w:rPr>
          <w:rFonts w:hint="eastAsia" w:ascii="宋体" w:hAnsi="宋体"/>
          <w:color w:val="000000"/>
          <w:szCs w:val="21"/>
        </w:rPr>
        <w:t>1.依据工业和信息化部、国家统计局、国家发展和改革委员会、财政部《关于印发中小企业划型标准规定的通知》（工信部联企业[2011]300号）规定的划分标准，本单位为______（大型、中型、小型、微型、不划型）企业，其中所属行业为________________、上年末从业人员____人、上年营业收入____万元、上年资产总额____万元。</w:t>
      </w:r>
    </w:p>
    <w:p>
      <w:pPr>
        <w:spacing w:line="400" w:lineRule="exact"/>
        <w:ind w:firstLine="420" w:firstLineChars="200"/>
        <w:rPr>
          <w:rFonts w:hint="eastAsia" w:ascii="宋体" w:hAnsi="宋体"/>
          <w:color w:val="000000"/>
          <w:szCs w:val="21"/>
        </w:rPr>
      </w:pPr>
      <w:r>
        <w:rPr>
          <w:rFonts w:hint="eastAsia" w:ascii="宋体" w:hAnsi="宋体"/>
          <w:color w:val="000000"/>
          <w:szCs w:val="21"/>
        </w:rPr>
        <w:t>2.本单位参加______项目（项目编号______标段/包______）采购活动，项目的市场价格为______万元，本次投标价格为______万元，其中由本单位承担工程金额为______万元，由本单位提供服务金额为______万元，提供本单位制造的货物金额为______万元，或者提供其他大型企业制造的货物金额为______元、其他中型企业制造的货物金额为______万元、其他小型企业制造的货物金额为______万元、其他微型企业制造的货物金额为______万元。原产地为中国境内货物金额为______万元、原产地为宁波货物金额为______万元，列入国家节能产品清单货物金额为______万元，列入国家环境标志产品清单货物金额为______万元。</w:t>
      </w:r>
    </w:p>
    <w:p>
      <w:pPr>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本单位对上述声明的真实性负责。如有虚假，将依法承担相应责任。</w:t>
      </w:r>
    </w:p>
    <w:p>
      <w:pPr>
        <w:widowControl/>
        <w:spacing w:before="100" w:beforeAutospacing="1" w:after="100" w:afterAutospacing="1" w:line="400" w:lineRule="exact"/>
        <w:jc w:val="left"/>
        <w:rPr>
          <w:rFonts w:hint="eastAsia" w:ascii="宋体" w:hAnsi="宋体" w:cs="宋体"/>
          <w:color w:val="000000"/>
          <w:kern w:val="0"/>
          <w:szCs w:val="21"/>
        </w:rPr>
      </w:pPr>
    </w:p>
    <w:p>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olor w:val="000000"/>
          <w:szCs w:val="21"/>
        </w:rPr>
        <w:t>供应商全称（盖章）</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p>
    <w:p>
      <w:pPr>
        <w:pStyle w:val="17"/>
        <w:spacing w:line="400" w:lineRule="exact"/>
        <w:ind w:firstLine="420"/>
        <w:rPr>
          <w:rFonts w:hint="eastAsia" w:ascii="宋体" w:hAnsi="宋体" w:eastAsia="宋体"/>
          <w:color w:val="000000"/>
          <w:sz w:val="21"/>
          <w:szCs w:val="21"/>
        </w:rPr>
      </w:pPr>
    </w:p>
    <w:p>
      <w:pPr>
        <w:pStyle w:val="17"/>
        <w:spacing w:line="400" w:lineRule="exact"/>
        <w:ind w:firstLine="420"/>
        <w:rPr>
          <w:rFonts w:hint="eastAsia" w:ascii="宋体" w:hAnsi="宋体" w:eastAsia="宋体"/>
          <w:color w:val="000000"/>
          <w:sz w:val="21"/>
          <w:szCs w:val="21"/>
        </w:rPr>
      </w:pPr>
    </w:p>
    <w:p>
      <w:pPr>
        <w:pStyle w:val="17"/>
        <w:spacing w:line="400" w:lineRule="exact"/>
        <w:rPr>
          <w:rFonts w:ascii="宋体" w:hAnsi="宋体" w:eastAsia="宋体"/>
          <w:color w:val="000000"/>
          <w:sz w:val="21"/>
          <w:szCs w:val="21"/>
        </w:rPr>
      </w:pPr>
      <w:r>
        <w:rPr>
          <w:rFonts w:hint="eastAsia" w:ascii="宋体" w:hAnsi="宋体" w:eastAsia="宋体"/>
          <w:color w:val="000000"/>
          <w:szCs w:val="21"/>
        </w:rPr>
        <w:br w:type="page"/>
      </w:r>
      <w:r>
        <w:rPr>
          <w:rFonts w:hint="eastAsia" w:ascii="宋体" w:hAnsi="宋体" w:eastAsia="宋体"/>
          <w:color w:val="000000"/>
          <w:sz w:val="21"/>
          <w:szCs w:val="21"/>
        </w:rPr>
        <w:t>填写说明：</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2、第1条宁波政府采购网（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3、第2条有多个标包的，须按每个标包分别填写，无此分类货物金额的应填“零”。</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4、联合体投标的，由联合体主办方提供本表。</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5、资格入围式项目（一个标包由多家中标入围）：采购人公布项目预算的，第2条有关金额按市场预估总价、投标预估总价除以入围数量填写；未公布预算的或入围数量的，供应商无需填写。</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6、投标价格为费率的项目、中标价格按单价执行的项目：采购人公布项目预算的，第2条有关金额按市场预估总价、投标预估总价填写；未公布预算的，供应商无需填写。</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7、列入国家节能产品清单、环保产品清单的产品以中国政府采购网（www.ccgp.gov.cn）上财政部发布的文件为准。</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8、本《投标单位声明函》为政府采购信息统计使用，请供应商按照要求提供。</w:t>
      </w:r>
    </w:p>
    <w:p>
      <w:pPr>
        <w:pStyle w:val="17"/>
        <w:spacing w:line="400" w:lineRule="exact"/>
        <w:ind w:firstLine="420"/>
        <w:rPr>
          <w:rFonts w:hint="eastAsia" w:ascii="宋体" w:hAnsi="宋体" w:eastAsia="宋体"/>
          <w:color w:val="000000"/>
          <w:sz w:val="21"/>
          <w:szCs w:val="21"/>
        </w:rPr>
      </w:pPr>
      <w:r>
        <w:rPr>
          <w:rFonts w:hint="eastAsia" w:ascii="宋体" w:hAnsi="宋体" w:eastAsia="宋体"/>
          <w:color w:val="000000"/>
          <w:sz w:val="21"/>
          <w:szCs w:val="21"/>
        </w:rPr>
        <w:t>9、本表中信息须与“中小企业声明函”信息一致。</w:t>
      </w:r>
    </w:p>
    <w:p>
      <w:pPr>
        <w:spacing w:line="400" w:lineRule="exact"/>
        <w:rPr>
          <w:rFonts w:hint="eastAsia" w:ascii="宋体" w:hAnsi="宋体"/>
          <w:b/>
          <w:color w:val="000000"/>
          <w:szCs w:val="21"/>
        </w:rPr>
      </w:pPr>
      <w:r>
        <w:rPr>
          <w:rFonts w:hint="eastAsia" w:ascii="宋体" w:hAnsi="宋体"/>
          <w:color w:val="000000"/>
          <w:szCs w:val="21"/>
        </w:rPr>
        <w:br w:type="page"/>
      </w:r>
      <w:r>
        <w:rPr>
          <w:rFonts w:hint="eastAsia" w:ascii="宋体" w:hAnsi="宋体"/>
          <w:b/>
          <w:color w:val="000000"/>
          <w:szCs w:val="21"/>
        </w:rPr>
        <w:t>附件十三</w:t>
      </w:r>
    </w:p>
    <w:p>
      <w:pPr>
        <w:spacing w:line="400" w:lineRule="exact"/>
        <w:jc w:val="center"/>
        <w:rPr>
          <w:rFonts w:ascii="宋体" w:hAnsi="宋体"/>
          <w:b/>
          <w:color w:val="000000"/>
          <w:szCs w:val="21"/>
        </w:rPr>
      </w:pPr>
      <w:r>
        <w:rPr>
          <w:rFonts w:hint="eastAsia" w:ascii="宋体" w:hAnsi="宋体"/>
          <w:b/>
          <w:color w:val="000000"/>
          <w:szCs w:val="21"/>
        </w:rPr>
        <w:t>中小企业声明函</w:t>
      </w:r>
    </w:p>
    <w:p>
      <w:pPr>
        <w:spacing w:line="400" w:lineRule="exact"/>
        <w:rPr>
          <w:rFonts w:hint="eastAsia" w:ascii="宋体" w:hAnsi="宋体"/>
          <w:b/>
          <w:color w:val="000000"/>
          <w:spacing w:val="6"/>
          <w:szCs w:val="21"/>
        </w:rPr>
      </w:pPr>
    </w:p>
    <w:p>
      <w:pPr>
        <w:spacing w:line="400" w:lineRule="exact"/>
        <w:ind w:firstLine="420" w:firstLineChars="200"/>
        <w:rPr>
          <w:rFonts w:hint="eastAsia" w:ascii="宋体" w:hAnsi="宋体"/>
          <w:color w:val="000000"/>
          <w:szCs w:val="21"/>
        </w:rPr>
      </w:pPr>
      <w:r>
        <w:rPr>
          <w:rFonts w:hint="eastAsia" w:ascii="宋体" w:hAnsi="宋体"/>
          <w:color w:val="000000"/>
          <w:szCs w:val="21"/>
        </w:rPr>
        <w:t>本公司郑重声明，根据《政府采购促进中小企业发展暂行办法》（财库[2011]181号）的规定，本公司为______（请填写：中型、小型、微型）企业。即，本公司同时满足以下条件：</w:t>
      </w:r>
    </w:p>
    <w:p>
      <w:pPr>
        <w:spacing w:line="400" w:lineRule="exact"/>
        <w:ind w:firstLine="420" w:firstLineChars="200"/>
        <w:rPr>
          <w:rFonts w:hint="eastAsia" w:ascii="宋体" w:hAnsi="宋体"/>
          <w:color w:val="000000"/>
          <w:szCs w:val="21"/>
        </w:rPr>
      </w:pPr>
      <w:r>
        <w:rPr>
          <w:rFonts w:hint="eastAsia" w:ascii="宋体" w:hAnsi="宋体"/>
          <w:color w:val="000000"/>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400" w:lineRule="exact"/>
        <w:ind w:firstLine="420" w:firstLineChars="200"/>
        <w:rPr>
          <w:rFonts w:hint="eastAsia" w:ascii="宋体" w:hAnsi="宋体"/>
          <w:color w:val="000000"/>
          <w:szCs w:val="21"/>
        </w:rPr>
      </w:pPr>
      <w:r>
        <w:rPr>
          <w:rFonts w:hint="eastAsia" w:ascii="宋体" w:hAnsi="宋体"/>
          <w:color w:val="000000"/>
          <w:szCs w:val="21"/>
        </w:rPr>
        <w:t>2.本公司参加______单位的______项目采购活动提供本企业制造的货物（</w:t>
      </w:r>
      <w:r>
        <w:rPr>
          <w:rFonts w:hint="eastAsia" w:ascii="宋体" w:hAnsi="宋体"/>
          <w:color w:val="000000"/>
          <w:szCs w:val="21"/>
          <w:u w:val="single"/>
        </w:rPr>
        <w:t xml:space="preserve">    </w:t>
      </w:r>
      <w:r>
        <w:rPr>
          <w:rFonts w:hint="eastAsia" w:ascii="宋体" w:hAnsi="宋体"/>
          <w:color w:val="000000"/>
          <w:szCs w:val="21"/>
        </w:rPr>
        <w:t>），由本企业承担工程（</w:t>
      </w:r>
      <w:r>
        <w:rPr>
          <w:rFonts w:hint="eastAsia" w:ascii="宋体" w:hAnsi="宋体"/>
          <w:color w:val="000000"/>
          <w:szCs w:val="21"/>
          <w:u w:val="single"/>
        </w:rPr>
        <w:t xml:space="preserve">    </w:t>
      </w:r>
      <w:r>
        <w:rPr>
          <w:rFonts w:hint="eastAsia" w:ascii="宋体" w:hAnsi="宋体"/>
          <w:color w:val="000000"/>
          <w:szCs w:val="21"/>
        </w:rPr>
        <w:t>）、提供服务（</w:t>
      </w:r>
      <w:r>
        <w:rPr>
          <w:rFonts w:hint="eastAsia" w:ascii="宋体" w:hAnsi="宋体"/>
          <w:color w:val="000000"/>
          <w:szCs w:val="21"/>
          <w:u w:val="single"/>
        </w:rPr>
        <w:t xml:space="preserve">    </w:t>
      </w:r>
      <w:r>
        <w:rPr>
          <w:rFonts w:hint="eastAsia" w:ascii="宋体" w:hAnsi="宋体"/>
          <w:color w:val="000000"/>
          <w:szCs w:val="21"/>
        </w:rPr>
        <w:t>），或者提供其他______（请填写：中型、小型、微型）企业制造的货物。本条所称货物不包括使用大型企业注册商标的货物。</w:t>
      </w:r>
    </w:p>
    <w:p>
      <w:pPr>
        <w:spacing w:line="400" w:lineRule="exact"/>
        <w:ind w:firstLine="420" w:firstLineChars="200"/>
        <w:rPr>
          <w:rFonts w:hint="eastAsia" w:ascii="宋体" w:hAnsi="宋体"/>
          <w:color w:val="000000"/>
          <w:szCs w:val="21"/>
        </w:rPr>
      </w:pPr>
      <w:r>
        <w:rPr>
          <w:rFonts w:hint="eastAsia" w:ascii="宋体" w:hAnsi="宋体"/>
          <w:color w:val="000000"/>
          <w:szCs w:val="21"/>
        </w:rPr>
        <w:t>本公司对上述声明的真实性负责。如有虚假，将依法承担相应责任。</w:t>
      </w:r>
    </w:p>
    <w:p>
      <w:pPr>
        <w:spacing w:line="400" w:lineRule="exact"/>
        <w:ind w:firstLine="420" w:firstLineChars="200"/>
        <w:rPr>
          <w:rFonts w:hint="eastAsia" w:ascii="宋体" w:hAnsi="宋体"/>
          <w:color w:val="000000"/>
          <w:szCs w:val="21"/>
        </w:rPr>
      </w:pPr>
    </w:p>
    <w:p>
      <w:pPr>
        <w:tabs>
          <w:tab w:val="left" w:pos="4860"/>
        </w:tabs>
        <w:spacing w:line="400" w:lineRule="exact"/>
        <w:ind w:right="1560" w:firstLine="420" w:firstLineChars="200"/>
        <w:jc w:val="center"/>
        <w:rPr>
          <w:rFonts w:hint="eastAsia" w:ascii="宋体" w:hAnsi="宋体"/>
          <w:color w:val="000000"/>
          <w:szCs w:val="21"/>
        </w:rPr>
      </w:pPr>
      <w:r>
        <w:rPr>
          <w:rFonts w:hint="eastAsia" w:ascii="宋体" w:hAnsi="宋体"/>
          <w:color w:val="000000"/>
          <w:szCs w:val="21"/>
        </w:rPr>
        <w:t xml:space="preserve">                  供应商全称（盖章）：</w:t>
      </w:r>
    </w:p>
    <w:p>
      <w:pPr>
        <w:pStyle w:val="17"/>
        <w:spacing w:line="400" w:lineRule="exact"/>
        <w:ind w:firstLine="3780" w:firstLineChars="1800"/>
        <w:rPr>
          <w:rFonts w:hint="eastAsia" w:ascii="宋体" w:hAnsi="宋体" w:eastAsia="宋体"/>
          <w:color w:val="000000"/>
          <w:sz w:val="21"/>
          <w:szCs w:val="21"/>
        </w:rPr>
      </w:pPr>
      <w:r>
        <w:rPr>
          <w:rFonts w:hint="eastAsia" w:ascii="宋体" w:hAnsi="宋体" w:eastAsia="宋体"/>
          <w:color w:val="000000"/>
          <w:sz w:val="21"/>
          <w:szCs w:val="21"/>
        </w:rPr>
        <w:t xml:space="preserve">日  期：                </w:t>
      </w:r>
    </w:p>
    <w:p>
      <w:pPr>
        <w:spacing w:line="400" w:lineRule="exact"/>
        <w:jc w:val="center"/>
        <w:rPr>
          <w:rFonts w:hint="eastAsia" w:ascii="宋体" w:hAnsi="宋体"/>
          <w:b/>
          <w:color w:val="000000"/>
          <w:szCs w:val="21"/>
        </w:rPr>
      </w:pPr>
    </w:p>
    <w:p>
      <w:pPr>
        <w:spacing w:line="400" w:lineRule="exact"/>
        <w:jc w:val="center"/>
        <w:rPr>
          <w:rFonts w:hint="eastAsia" w:ascii="宋体" w:hAnsi="宋体"/>
          <w:b/>
          <w:color w:val="000000"/>
          <w:szCs w:val="21"/>
        </w:rPr>
      </w:pPr>
    </w:p>
    <w:p>
      <w:pPr>
        <w:spacing w:line="400" w:lineRule="exact"/>
        <w:jc w:val="center"/>
        <w:rPr>
          <w:rFonts w:hint="eastAsia" w:ascii="宋体" w:hAnsi="宋体"/>
          <w:b/>
          <w:color w:val="000000"/>
          <w:szCs w:val="21"/>
        </w:rPr>
      </w:pPr>
    </w:p>
    <w:p>
      <w:pPr>
        <w:spacing w:line="400" w:lineRule="exact"/>
        <w:jc w:val="center"/>
        <w:rPr>
          <w:rFonts w:hint="eastAsia" w:ascii="宋体" w:hAnsi="宋体"/>
          <w:b/>
          <w:color w:val="000000"/>
          <w:szCs w:val="21"/>
        </w:rPr>
      </w:pPr>
    </w:p>
    <w:p>
      <w:pPr>
        <w:spacing w:line="400" w:lineRule="exact"/>
        <w:jc w:val="center"/>
        <w:rPr>
          <w:rFonts w:hint="eastAsia" w:ascii="宋体" w:hAnsi="宋体"/>
          <w:b/>
          <w:color w:val="000000"/>
          <w:szCs w:val="21"/>
        </w:rPr>
      </w:pPr>
    </w:p>
    <w:p>
      <w:pPr>
        <w:spacing w:line="400" w:lineRule="exact"/>
        <w:jc w:val="center"/>
        <w:rPr>
          <w:rFonts w:hint="eastAsia" w:ascii="宋体" w:hAnsi="宋体"/>
          <w:b/>
          <w:color w:val="000000"/>
          <w:szCs w:val="21"/>
        </w:rPr>
      </w:pPr>
    </w:p>
    <w:p>
      <w:pPr>
        <w:spacing w:line="400" w:lineRule="exact"/>
        <w:rPr>
          <w:rFonts w:hint="eastAsia" w:ascii="宋体" w:hAnsi="宋体"/>
          <w:color w:val="000000"/>
          <w:szCs w:val="21"/>
        </w:rPr>
      </w:pPr>
      <w:r>
        <w:rPr>
          <w:rFonts w:hint="eastAsia" w:ascii="宋体" w:hAnsi="宋体"/>
          <w:color w:val="000000"/>
          <w:szCs w:val="21"/>
        </w:rPr>
        <w:t>填写说明：</w:t>
      </w:r>
    </w:p>
    <w:p>
      <w:pPr>
        <w:spacing w:line="400" w:lineRule="exact"/>
        <w:ind w:firstLine="420" w:firstLineChars="200"/>
        <w:rPr>
          <w:rFonts w:hint="eastAsia" w:ascii="宋体" w:hAnsi="宋体"/>
          <w:color w:val="000000"/>
          <w:szCs w:val="21"/>
        </w:rPr>
      </w:pPr>
      <w:r>
        <w:rPr>
          <w:rFonts w:hint="eastAsia" w:ascii="宋体" w:hAnsi="宋体"/>
          <w:color w:val="000000"/>
          <w:szCs w:val="21"/>
        </w:rPr>
        <w:t>1、本声明函为财库[2011]181号文附件的标准格式，必须按该格式填写；本声明函由供应商填写，请认真阅读相关政策文件；</w:t>
      </w:r>
    </w:p>
    <w:p>
      <w:pPr>
        <w:spacing w:line="400" w:lineRule="exact"/>
        <w:ind w:firstLine="420" w:firstLineChars="200"/>
        <w:rPr>
          <w:rFonts w:hint="eastAsia" w:ascii="宋体" w:hAnsi="宋体"/>
          <w:color w:val="000000"/>
          <w:szCs w:val="21"/>
        </w:rPr>
      </w:pPr>
      <w:r>
        <w:rPr>
          <w:rFonts w:hint="eastAsia" w:ascii="宋体" w:hAnsi="宋体"/>
          <w:color w:val="000000"/>
          <w:szCs w:val="21"/>
        </w:rPr>
        <w:t>2、如供应商提供本企业制造的货物或者由本企业承担工程、提供服务的，请在相应文字处后面打钩，如“提供本企业制造的货物（√）”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spacing w:line="400" w:lineRule="exact"/>
        <w:ind w:firstLine="420" w:firstLineChars="200"/>
        <w:rPr>
          <w:rFonts w:hint="eastAsia" w:ascii="宋体" w:hAnsi="宋体"/>
          <w:color w:val="000000"/>
          <w:szCs w:val="21"/>
        </w:rPr>
      </w:pPr>
      <w:r>
        <w:rPr>
          <w:rFonts w:hint="eastAsia" w:ascii="宋体" w:hAnsi="宋体"/>
          <w:color w:val="000000"/>
          <w:szCs w:val="21"/>
        </w:rPr>
        <w:t>3、小型、微型企业提供中型企业制造的货物时视同中型企业，因此，只有小微企业提供自己的货物或者小微企业提供其他小微企业的货物时，供应商才算小微企业，才能享受评标标准里的价格扣除优惠。</w:t>
      </w:r>
    </w:p>
    <w:p>
      <w:pPr>
        <w:spacing w:line="400" w:lineRule="exact"/>
        <w:ind w:firstLine="420" w:firstLineChars="200"/>
        <w:rPr>
          <w:rFonts w:ascii="宋体" w:hAnsi="宋体"/>
          <w:color w:val="000000"/>
          <w:szCs w:val="21"/>
        </w:rPr>
      </w:pPr>
      <w:r>
        <w:rPr>
          <w:rFonts w:hint="eastAsia" w:ascii="宋体" w:hAnsi="宋体"/>
          <w:color w:val="000000"/>
          <w:szCs w:val="21"/>
        </w:rPr>
        <w:t>4、本表中信息须与“投标单位声明函”信息一致。</w:t>
      </w:r>
    </w:p>
    <w:p>
      <w:pPr>
        <w:snapToGrid w:val="0"/>
        <w:spacing w:line="400" w:lineRule="exact"/>
        <w:rPr>
          <w:rFonts w:hint="eastAsia" w:ascii="宋体" w:hAnsi="宋体"/>
          <w:b/>
          <w:color w:val="000000"/>
          <w:szCs w:val="21"/>
        </w:rPr>
      </w:pPr>
      <w:r>
        <w:rPr>
          <w:rFonts w:ascii="宋体" w:hAnsi="宋体"/>
          <w:color w:val="000000"/>
          <w:szCs w:val="21"/>
        </w:rPr>
        <w:br w:type="page"/>
      </w:r>
      <w:bookmarkStart w:id="90" w:name="OLE_LINK14"/>
      <w:bookmarkStart w:id="91" w:name="OLE_LINK13"/>
      <w:r>
        <w:rPr>
          <w:rFonts w:hint="eastAsia" w:ascii="宋体" w:hAnsi="宋体"/>
          <w:b/>
          <w:color w:val="000000"/>
          <w:szCs w:val="21"/>
        </w:rPr>
        <w:t>附件十四</w:t>
      </w:r>
    </w:p>
    <w:p>
      <w:pPr>
        <w:spacing w:line="588" w:lineRule="exact"/>
        <w:jc w:val="center"/>
        <w:rPr>
          <w:rFonts w:ascii="宋体" w:hAnsi="宋体"/>
          <w:b/>
          <w:color w:val="000000"/>
          <w:szCs w:val="21"/>
        </w:rPr>
      </w:pPr>
      <w:r>
        <w:rPr>
          <w:rFonts w:hint="eastAsia" w:ascii="宋体" w:hAnsi="宋体"/>
          <w:b/>
          <w:color w:val="000000"/>
          <w:szCs w:val="21"/>
        </w:rPr>
        <w:t>残疾人福利性单位声明函（如有需提供）</w:t>
      </w:r>
    </w:p>
    <w:bookmarkEnd w:id="90"/>
    <w:bookmarkEnd w:id="91"/>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w:t>
      </w:r>
      <w:bookmarkStart w:id="92" w:name="_GoBack"/>
      <w:bookmarkEnd w:id="92"/>
      <w:r>
        <w:rPr>
          <w:rFonts w:hint="eastAsia" w:ascii="宋体" w:hAnsi="宋体"/>
          <w:color w:val="00000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单位名称（盖章）：</w:t>
      </w:r>
    </w:p>
    <w:p>
      <w:pPr>
        <w:tabs>
          <w:tab w:val="left" w:pos="4860"/>
        </w:tabs>
        <w:spacing w:line="588" w:lineRule="exact"/>
        <w:ind w:right="1560" w:firstLine="420" w:firstLineChars="200"/>
        <w:jc w:val="center"/>
        <w:rPr>
          <w:rFonts w:hint="eastAsia" w:ascii="宋体" w:hAnsi="宋体"/>
          <w:color w:val="000000"/>
          <w:szCs w:val="21"/>
        </w:rPr>
      </w:pPr>
      <w:r>
        <w:rPr>
          <w:rFonts w:hint="eastAsia" w:ascii="宋体" w:hAnsi="宋体"/>
          <w:color w:val="000000"/>
          <w:szCs w:val="21"/>
        </w:rPr>
        <w:t xml:space="preserve">       日  期：</w:t>
      </w:r>
    </w:p>
    <w:p>
      <w:pPr>
        <w:spacing w:line="400" w:lineRule="exact"/>
        <w:ind w:firstLine="420" w:firstLineChars="200"/>
        <w:rPr>
          <w:rFonts w:ascii="宋体" w:hAnsi="宋体"/>
          <w:color w:val="000000"/>
          <w:szCs w:val="21"/>
        </w:rPr>
      </w:pPr>
      <w:r>
        <w:rPr>
          <w:rFonts w:hint="eastAsia" w:ascii="宋体" w:hAnsi="宋体"/>
          <w:color w:val="000000"/>
          <w:szCs w:val="21"/>
        </w:rPr>
        <w:t>注：</w:t>
      </w:r>
    </w:p>
    <w:p>
      <w:pPr>
        <w:spacing w:line="400" w:lineRule="exact"/>
        <w:ind w:firstLine="420" w:firstLineChars="200"/>
        <w:rPr>
          <w:rFonts w:ascii="宋体" w:hAnsi="宋体"/>
          <w:color w:val="000000"/>
          <w:szCs w:val="21"/>
        </w:rPr>
      </w:pPr>
      <w:r>
        <w:rPr>
          <w:rFonts w:hint="eastAsia" w:ascii="宋体" w:hAnsi="宋体"/>
          <w:color w:val="000000"/>
          <w:szCs w:val="21"/>
        </w:rPr>
        <w:t>享受政府采购支持政策的残疾人福利性单位应当同时满足以下条件：</w:t>
      </w:r>
    </w:p>
    <w:p>
      <w:pPr>
        <w:spacing w:line="400" w:lineRule="exact"/>
        <w:ind w:firstLine="420" w:firstLineChars="200"/>
        <w:rPr>
          <w:rFonts w:ascii="宋体" w:hAnsi="宋体"/>
          <w:color w:val="000000"/>
          <w:szCs w:val="21"/>
        </w:rPr>
      </w:pPr>
      <w:r>
        <w:rPr>
          <w:rFonts w:hint="eastAsia" w:ascii="宋体" w:hAnsi="宋体"/>
          <w:color w:val="000000"/>
          <w:szCs w:val="21"/>
        </w:rPr>
        <w:t>（一）安置的残疾人占本单位在职职工人数的比例不低于</w:t>
      </w:r>
      <w:r>
        <w:rPr>
          <w:rFonts w:ascii="宋体" w:hAnsi="宋体"/>
          <w:color w:val="000000"/>
          <w:szCs w:val="21"/>
        </w:rPr>
        <w:t>25%</w:t>
      </w:r>
      <w:r>
        <w:rPr>
          <w:rFonts w:hint="eastAsia" w:ascii="宋体" w:hAnsi="宋体"/>
          <w:color w:val="000000"/>
          <w:szCs w:val="21"/>
        </w:rPr>
        <w:t>（含</w:t>
      </w:r>
      <w:r>
        <w:rPr>
          <w:rFonts w:ascii="宋体" w:hAnsi="宋体"/>
          <w:color w:val="000000"/>
          <w:szCs w:val="21"/>
        </w:rPr>
        <w:t>25%</w:t>
      </w:r>
      <w:r>
        <w:rPr>
          <w:rFonts w:hint="eastAsia" w:ascii="宋体" w:hAnsi="宋体"/>
          <w:color w:val="000000"/>
          <w:szCs w:val="21"/>
        </w:rPr>
        <w:t>），并且安置的残疾人人数不少于</w:t>
      </w:r>
      <w:r>
        <w:rPr>
          <w:rFonts w:ascii="宋体" w:hAnsi="宋体"/>
          <w:color w:val="000000"/>
          <w:szCs w:val="21"/>
        </w:rPr>
        <w:t>10</w:t>
      </w:r>
      <w:r>
        <w:rPr>
          <w:rFonts w:hint="eastAsia" w:ascii="宋体" w:hAnsi="宋体"/>
          <w:color w:val="000000"/>
          <w:szCs w:val="21"/>
        </w:rPr>
        <w:t>人（含</w:t>
      </w:r>
      <w:r>
        <w:rPr>
          <w:rFonts w:ascii="宋体" w:hAnsi="宋体"/>
          <w:color w:val="000000"/>
          <w:szCs w:val="21"/>
        </w:rPr>
        <w:t>10</w:t>
      </w:r>
      <w:r>
        <w:rPr>
          <w:rFonts w:hint="eastAsia" w:ascii="宋体" w:hAnsi="宋体"/>
          <w:color w:val="000000"/>
          <w:szCs w:val="21"/>
        </w:rPr>
        <w:t>人）；</w:t>
      </w:r>
    </w:p>
    <w:p>
      <w:pPr>
        <w:spacing w:line="400" w:lineRule="exact"/>
        <w:ind w:firstLine="420" w:firstLineChars="200"/>
        <w:rPr>
          <w:rFonts w:ascii="宋体" w:hAnsi="宋体"/>
          <w:color w:val="000000"/>
          <w:szCs w:val="21"/>
        </w:rPr>
      </w:pPr>
      <w:r>
        <w:rPr>
          <w:rFonts w:hint="eastAsia" w:ascii="宋体" w:hAnsi="宋体"/>
          <w:color w:val="000000"/>
          <w:szCs w:val="21"/>
        </w:rPr>
        <w:t>（二）依法与安置的每位残疾人签订了一年以上（含一年）的劳动合同或服务协议；</w:t>
      </w:r>
    </w:p>
    <w:p>
      <w:pPr>
        <w:spacing w:line="400" w:lineRule="exact"/>
        <w:ind w:firstLine="420" w:firstLineChars="200"/>
        <w:rPr>
          <w:rFonts w:ascii="宋体" w:hAnsi="宋体"/>
          <w:color w:val="000000"/>
          <w:szCs w:val="21"/>
        </w:rPr>
      </w:pPr>
      <w:r>
        <w:rPr>
          <w:rFonts w:hint="eastAsia" w:ascii="宋体" w:hAnsi="宋体"/>
          <w:color w:val="000000"/>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szCs w:val="21"/>
        </w:rPr>
      </w:pPr>
      <w:r>
        <w:rPr>
          <w:rFonts w:hint="eastAsia" w:ascii="宋体" w:hAnsi="宋体"/>
          <w:color w:val="000000"/>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szCs w:val="21"/>
        </w:rPr>
      </w:pPr>
      <w:r>
        <w:rPr>
          <w:rFonts w:hint="eastAsia" w:ascii="宋体" w:hAnsi="宋体"/>
          <w:color w:val="000000"/>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szCs w:val="21"/>
        </w:rPr>
      </w:pPr>
      <w:r>
        <w:rPr>
          <w:rFonts w:hint="eastAsia" w:ascii="宋体" w:hAnsi="宋体"/>
          <w:color w:val="000000"/>
          <w:szCs w:val="21"/>
        </w:rPr>
        <w:t>前款所称残疾人是指法定劳动年龄内，持有《中华人民共和国残疾人证》或者《中华人民共和国残疾军人证（</w:t>
      </w:r>
      <w:r>
        <w:rPr>
          <w:rFonts w:ascii="宋体" w:hAnsi="宋体"/>
          <w:color w:val="000000"/>
          <w:szCs w:val="21"/>
        </w:rPr>
        <w:t>1</w:t>
      </w:r>
      <w:r>
        <w:rPr>
          <w:rFonts w:hint="eastAsia" w:ascii="宋体" w:hAnsi="宋体"/>
          <w:color w:val="000000"/>
          <w:szCs w:val="21"/>
        </w:rPr>
        <w:t>至</w:t>
      </w:r>
      <w:r>
        <w:rPr>
          <w:rFonts w:ascii="宋体" w:hAnsi="宋体"/>
          <w:color w:val="000000"/>
          <w:szCs w:val="21"/>
        </w:rPr>
        <w:t>8</w:t>
      </w:r>
      <w:r>
        <w:rPr>
          <w:rFonts w:hint="eastAsia" w:ascii="宋体" w:hAnsi="宋体"/>
          <w:color w:val="000000"/>
          <w:szCs w:val="21"/>
        </w:rPr>
        <w:t>级）》的自然人，包括具有劳动条件和劳动意愿的精神残疾人。在职职工人数是指与残疾人福利性单位建立劳动关系并依法签订劳动合同或者服务协议的雇员人数。</w:t>
      </w:r>
    </w:p>
    <w:p>
      <w:pPr>
        <w:spacing w:line="400" w:lineRule="exact"/>
        <w:ind w:firstLine="420" w:firstLineChars="200"/>
        <w:rPr>
          <w:rFonts w:ascii="宋体" w:hAnsi="宋体"/>
          <w:color w:val="000000"/>
          <w:szCs w:val="21"/>
        </w:rPr>
        <w:sectPr>
          <w:pgSz w:w="11907" w:h="16840"/>
          <w:pgMar w:top="1138" w:right="1588" w:bottom="1135" w:left="1339" w:header="285" w:footer="990" w:gutter="0"/>
          <w:cols w:space="720" w:num="1"/>
          <w:docGrid w:linePitch="285" w:charSpace="0"/>
        </w:sectPr>
      </w:pPr>
      <w:r>
        <w:rPr>
          <w:rFonts w:ascii="宋体" w:hAnsi="宋体"/>
          <w:color w:val="000000"/>
          <w:szCs w:val="21"/>
        </w:rPr>
        <w:t xml:space="preserve"> </w:t>
      </w:r>
    </w:p>
    <w:tbl>
      <w:tblPr>
        <w:tblStyle w:val="44"/>
        <w:tblW w:w="0" w:type="auto"/>
        <w:tblInd w:w="-176" w:type="dxa"/>
        <w:tblLayout w:type="fixed"/>
        <w:tblCellMar>
          <w:top w:w="0" w:type="dxa"/>
          <w:left w:w="108" w:type="dxa"/>
          <w:bottom w:w="0" w:type="dxa"/>
          <w:right w:w="108" w:type="dxa"/>
        </w:tblCellMar>
      </w:tblPr>
      <w:tblGrid>
        <w:gridCol w:w="1985"/>
        <w:gridCol w:w="1498"/>
        <w:gridCol w:w="1763"/>
        <w:gridCol w:w="1660"/>
        <w:gridCol w:w="1458"/>
        <w:gridCol w:w="1480"/>
        <w:gridCol w:w="1520"/>
        <w:gridCol w:w="1285"/>
        <w:gridCol w:w="1275"/>
        <w:gridCol w:w="1221"/>
      </w:tblGrid>
      <w:tr>
        <w:tblPrEx>
          <w:tblCellMar>
            <w:top w:w="0" w:type="dxa"/>
            <w:left w:w="108" w:type="dxa"/>
            <w:bottom w:w="0" w:type="dxa"/>
            <w:right w:w="108" w:type="dxa"/>
          </w:tblCellMar>
        </w:tblPrEx>
        <w:trPr>
          <w:wBefore w:w="0" w:type="dxa"/>
          <w:wAfter w:w="0" w:type="dxa"/>
          <w:trHeight w:val="420" w:hRule="atLeast"/>
        </w:trPr>
        <w:tc>
          <w:tcPr>
            <w:tcW w:w="15145" w:type="dxa"/>
            <w:gridSpan w:val="10"/>
            <w:tcBorders>
              <w:top w:val="nil"/>
              <w:left w:val="nil"/>
              <w:bottom w:val="nil"/>
              <w:right w:val="nil"/>
            </w:tcBorders>
            <w:noWrap w:val="0"/>
            <w:vAlign w:val="bottom"/>
          </w:tcPr>
          <w:p>
            <w:pPr>
              <w:widowControl/>
              <w:jc w:val="center"/>
              <w:rPr>
                <w:rFonts w:ascii="宋体" w:hAnsi="宋体" w:cs="宋体"/>
                <w:b/>
                <w:bCs/>
                <w:color w:val="000000"/>
                <w:kern w:val="0"/>
                <w:sz w:val="32"/>
                <w:szCs w:val="32"/>
              </w:rPr>
            </w:pPr>
            <w:r>
              <w:rPr>
                <w:rFonts w:hint="eastAsia" w:ascii="宋体" w:hAnsi="宋体" w:cs="宋体"/>
                <w:b/>
                <w:bCs/>
                <w:color w:val="000000"/>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中型企业</w:t>
            </w:r>
          </w:p>
        </w:tc>
        <w:tc>
          <w:tcPr>
            <w:tcW w:w="445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000000"/>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营业收入Y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资产总额Z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45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480"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营业收入Y</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color w:val="000000"/>
                <w:kern w:val="0"/>
                <w:sz w:val="20"/>
              </w:rPr>
            </w:pPr>
            <w:r>
              <w:rPr>
                <w:rFonts w:hint="eastAsia" w:ascii="宋体" w:hAnsi="宋体" w:cs="宋体"/>
                <w:color w:val="000000"/>
                <w:kern w:val="0"/>
                <w:sz w:val="20"/>
              </w:rPr>
              <w:t>资产总额Z</w:t>
            </w:r>
          </w:p>
          <w:p>
            <w:pPr>
              <w:widowControl/>
              <w:jc w:val="center"/>
              <w:rPr>
                <w:rFonts w:ascii="宋体" w:hAnsi="宋体" w:cs="宋体"/>
                <w:color w:val="000000"/>
                <w:kern w:val="0"/>
                <w:sz w:val="20"/>
              </w:rPr>
            </w:pPr>
            <w:r>
              <w:rPr>
                <w:rFonts w:hint="eastAsia" w:ascii="宋体" w:hAnsi="宋体" w:cs="宋体"/>
                <w:color w:val="000000"/>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000000"/>
                <w:kern w:val="0"/>
                <w:sz w:val="20"/>
              </w:rPr>
            </w:pPr>
            <w:r>
              <w:rPr>
                <w:rFonts w:hint="eastAsia" w:ascii="宋体" w:hAnsi="宋体" w:cs="宋体"/>
                <w:color w:val="000000"/>
                <w:kern w:val="0"/>
                <w:sz w:val="20"/>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5000≤Z＜80000</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5≤X＜20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10≤X＜50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5000≤Z＜10000</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8000≤Z＜120000</w:t>
            </w:r>
          </w:p>
        </w:tc>
        <w:tc>
          <w:tcPr>
            <w:tcW w:w="1458"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58"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10≤X＜100</w:t>
            </w:r>
          </w:p>
        </w:tc>
        <w:tc>
          <w:tcPr>
            <w:tcW w:w="1480"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wBefore w:w="0" w:type="dxa"/>
          <w:wAfter w:w="0" w:type="dxa"/>
          <w:trHeight w:val="285" w:hRule="atLeast"/>
        </w:trPr>
        <w:tc>
          <w:tcPr>
            <w:tcW w:w="15145" w:type="dxa"/>
            <w:gridSpan w:val="10"/>
            <w:tcBorders>
              <w:top w:val="nil"/>
              <w:left w:val="nil"/>
              <w:bottom w:val="nil"/>
              <w:right w:val="nil"/>
            </w:tcBorders>
            <w:noWrap w:val="0"/>
            <w:vAlign w:val="bottom"/>
          </w:tcPr>
          <w:p>
            <w:pPr>
              <w:widowControl/>
              <w:jc w:val="left"/>
              <w:rPr>
                <w:rFonts w:hint="eastAsia" w:ascii="宋体" w:hAnsi="宋体" w:cs="宋体"/>
                <w:color w:val="000000"/>
                <w:kern w:val="0"/>
                <w:sz w:val="20"/>
              </w:rPr>
            </w:pPr>
            <w:r>
              <w:rPr>
                <w:rFonts w:hint="eastAsia" w:ascii="宋体" w:hAnsi="宋体" w:cs="宋体"/>
                <w:color w:val="000000"/>
                <w:kern w:val="0"/>
                <w:sz w:val="20"/>
              </w:rPr>
              <w:t>说明　1、企业类型的划分以统计部门的统计数据为依据。</w:t>
            </w:r>
          </w:p>
          <w:p>
            <w:pPr>
              <w:widowControl/>
              <w:ind w:firstLine="600" w:firstLineChars="300"/>
              <w:jc w:val="left"/>
              <w:rPr>
                <w:rFonts w:hint="eastAsia" w:ascii="宋体" w:hAnsi="宋体" w:cs="宋体"/>
                <w:color w:val="000000"/>
                <w:kern w:val="0"/>
                <w:sz w:val="20"/>
              </w:rPr>
            </w:pPr>
            <w:r>
              <w:rPr>
                <w:rFonts w:hint="eastAsia" w:ascii="宋体" w:hAnsi="宋体" w:cs="宋体"/>
                <w:color w:val="000000"/>
                <w:kern w:val="0"/>
                <w:sz w:val="20"/>
              </w:rPr>
              <w:t>2、个体工商户和本规定以外的行业，参照本规定进行划型。</w:t>
            </w:r>
          </w:p>
          <w:p>
            <w:pPr>
              <w:widowControl/>
              <w:ind w:firstLine="600" w:firstLineChars="300"/>
              <w:jc w:val="left"/>
              <w:rPr>
                <w:rFonts w:ascii="宋体" w:hAnsi="宋体" w:cs="宋体"/>
                <w:color w:val="000000"/>
                <w:kern w:val="0"/>
                <w:sz w:val="20"/>
              </w:rPr>
            </w:pPr>
            <w:r>
              <w:rPr>
                <w:rFonts w:hint="eastAsia" w:ascii="宋体" w:hAnsi="宋体" w:cs="宋体"/>
                <w:color w:val="000000"/>
                <w:kern w:val="0"/>
                <w:sz w:val="20"/>
              </w:rPr>
              <w:t>3、本规定的中型企业标准上限即为大型企业标准的下限。</w:t>
            </w:r>
          </w:p>
        </w:tc>
      </w:tr>
    </w:tbl>
    <w:p>
      <w:pPr>
        <w:spacing w:line="400" w:lineRule="exact"/>
        <w:ind w:firstLine="420" w:firstLineChars="200"/>
        <w:rPr>
          <w:rFonts w:ascii="宋体" w:hAnsi="宋体"/>
          <w:color w:val="000000"/>
        </w:rPr>
      </w:pPr>
    </w:p>
    <w:sectPr>
      <w:headerReference r:id="rId16" w:type="default"/>
      <w:footerReference r:id="rId17" w:type="default"/>
      <w:pgSz w:w="16840" w:h="11907" w:orient="landscape"/>
      <w:pgMar w:top="1338" w:right="1140" w:bottom="1138" w:left="1134" w:header="284"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2010601030101010101"/>
    <w:charset w:val="86"/>
    <w:family w:val="auto"/>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3" w:usb1="00000000" w:usb2="00000000" w:usb3="00000000" w:csb0="00000001" w:csb1="0000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lang/>
      </w:rPr>
      <w:t>1</w:t>
    </w:r>
    <w:r>
      <w:fldChar w:fldCharType="end"/>
    </w:r>
  </w:p>
  <w:p>
    <w:pPr>
      <w:pStyle w:val="26"/>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lang/>
      </w:rPr>
      <w:t>8</w:t>
    </w:r>
    <w:r>
      <w:fldChar w:fldCharType="end"/>
    </w:r>
  </w:p>
  <w:p>
    <w:pPr>
      <w:pStyle w:val="2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lang/>
      </w:rPr>
      <w:t>14</w:t>
    </w:r>
    <w:r>
      <w:fldChar w:fldCharType="end"/>
    </w:r>
  </w:p>
  <w:p>
    <w:pPr>
      <w:pStyle w:val="26"/>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Fonts w:hint="eastAsia"/>
      </w:rPr>
    </w:pPr>
    <w:r>
      <w:fldChar w:fldCharType="begin"/>
    </w:r>
    <w:r>
      <w:rPr>
        <w:rStyle w:val="48"/>
      </w:rPr>
      <w:instrText xml:space="preserve">PAGE  </w:instrText>
    </w:r>
    <w:r>
      <w:fldChar w:fldCharType="separate"/>
    </w:r>
    <w:r>
      <w:rPr>
        <w:rStyle w:val="48"/>
      </w:rPr>
      <w:t>23</w:t>
    </w:r>
    <w:r>
      <w:fldChar w:fldCharType="end"/>
    </w:r>
  </w:p>
  <w:p>
    <w:pPr>
      <w:pStyle w:val="26"/>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Fonts w:hint="eastAsia"/>
      </w:rPr>
    </w:pPr>
    <w:r>
      <w:fldChar w:fldCharType="begin"/>
    </w:r>
    <w:r>
      <w:rPr>
        <w:rStyle w:val="48"/>
      </w:rPr>
      <w:instrText xml:space="preserve">PAGE  </w:instrText>
    </w:r>
    <w:r>
      <w:fldChar w:fldCharType="separate"/>
    </w:r>
    <w:r>
      <w:rPr>
        <w:rStyle w:val="48"/>
        <w:lang/>
      </w:rPr>
      <w:t>38</w:t>
    </w:r>
    <w:r>
      <w:fldChar w:fldCharType="end"/>
    </w:r>
  </w:p>
  <w:p>
    <w:pPr>
      <w:pStyle w:val="26"/>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jc w:val="center"/>
      <w:rPr>
        <w:rStyle w:val="48"/>
        <w:rFonts w:hint="eastAsia"/>
      </w:rPr>
    </w:pPr>
    <w:r>
      <w:fldChar w:fldCharType="begin"/>
    </w:r>
    <w:r>
      <w:rPr>
        <w:rStyle w:val="48"/>
      </w:rPr>
      <w:instrText xml:space="preserve">PAGE  </w:instrText>
    </w:r>
    <w:r>
      <w:fldChar w:fldCharType="separate"/>
    </w:r>
    <w:r>
      <w:rPr>
        <w:rStyle w:val="48"/>
        <w:lang/>
      </w:rPr>
      <w:t>39</w:t>
    </w:r>
    <w:r>
      <w:fldChar w:fldCharType="end"/>
    </w:r>
  </w:p>
  <w:p>
    <w:pPr>
      <w:pStyle w:val="2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0399"/>
    <w:rsid w:val="00000F6F"/>
    <w:rsid w:val="00000FD8"/>
    <w:rsid w:val="00001A82"/>
    <w:rsid w:val="00002288"/>
    <w:rsid w:val="00002B25"/>
    <w:rsid w:val="00003757"/>
    <w:rsid w:val="0000377D"/>
    <w:rsid w:val="0000380B"/>
    <w:rsid w:val="00003965"/>
    <w:rsid w:val="00003E11"/>
    <w:rsid w:val="00003F93"/>
    <w:rsid w:val="00005A5E"/>
    <w:rsid w:val="00005AD2"/>
    <w:rsid w:val="000060C9"/>
    <w:rsid w:val="00006265"/>
    <w:rsid w:val="0000693E"/>
    <w:rsid w:val="00007AFA"/>
    <w:rsid w:val="00007FB4"/>
    <w:rsid w:val="00010002"/>
    <w:rsid w:val="0001031A"/>
    <w:rsid w:val="00011313"/>
    <w:rsid w:val="00012022"/>
    <w:rsid w:val="00012585"/>
    <w:rsid w:val="00012728"/>
    <w:rsid w:val="0001286E"/>
    <w:rsid w:val="000129F0"/>
    <w:rsid w:val="00014763"/>
    <w:rsid w:val="000147A6"/>
    <w:rsid w:val="000147E2"/>
    <w:rsid w:val="000156FF"/>
    <w:rsid w:val="0001664F"/>
    <w:rsid w:val="00016E4F"/>
    <w:rsid w:val="000171FF"/>
    <w:rsid w:val="000179D3"/>
    <w:rsid w:val="00017DC3"/>
    <w:rsid w:val="000212AE"/>
    <w:rsid w:val="000217E4"/>
    <w:rsid w:val="000222E6"/>
    <w:rsid w:val="00022DC6"/>
    <w:rsid w:val="000235AF"/>
    <w:rsid w:val="00024548"/>
    <w:rsid w:val="00024F13"/>
    <w:rsid w:val="0002570D"/>
    <w:rsid w:val="00026061"/>
    <w:rsid w:val="000270C0"/>
    <w:rsid w:val="00027906"/>
    <w:rsid w:val="0002795F"/>
    <w:rsid w:val="00027A5D"/>
    <w:rsid w:val="00030242"/>
    <w:rsid w:val="000308B3"/>
    <w:rsid w:val="00030919"/>
    <w:rsid w:val="00030B2F"/>
    <w:rsid w:val="000322B7"/>
    <w:rsid w:val="000328FE"/>
    <w:rsid w:val="00032B67"/>
    <w:rsid w:val="0003301F"/>
    <w:rsid w:val="0003306F"/>
    <w:rsid w:val="00033877"/>
    <w:rsid w:val="00034019"/>
    <w:rsid w:val="000344B9"/>
    <w:rsid w:val="00036D1A"/>
    <w:rsid w:val="000378FE"/>
    <w:rsid w:val="00037CD2"/>
    <w:rsid w:val="00037CE4"/>
    <w:rsid w:val="000414C4"/>
    <w:rsid w:val="00041A39"/>
    <w:rsid w:val="00042CA9"/>
    <w:rsid w:val="00043490"/>
    <w:rsid w:val="00043530"/>
    <w:rsid w:val="0004386C"/>
    <w:rsid w:val="00045CE3"/>
    <w:rsid w:val="0004615F"/>
    <w:rsid w:val="000467BF"/>
    <w:rsid w:val="00046F89"/>
    <w:rsid w:val="00050357"/>
    <w:rsid w:val="00051226"/>
    <w:rsid w:val="0005145F"/>
    <w:rsid w:val="00052035"/>
    <w:rsid w:val="00052187"/>
    <w:rsid w:val="0005273A"/>
    <w:rsid w:val="00052B1F"/>
    <w:rsid w:val="00054925"/>
    <w:rsid w:val="00054AD8"/>
    <w:rsid w:val="00054CDC"/>
    <w:rsid w:val="00054D7E"/>
    <w:rsid w:val="00055134"/>
    <w:rsid w:val="00055A3D"/>
    <w:rsid w:val="00055A61"/>
    <w:rsid w:val="00055A6F"/>
    <w:rsid w:val="000564BB"/>
    <w:rsid w:val="00056B02"/>
    <w:rsid w:val="00056DC8"/>
    <w:rsid w:val="00056F94"/>
    <w:rsid w:val="00057B58"/>
    <w:rsid w:val="00057D5B"/>
    <w:rsid w:val="00060FB1"/>
    <w:rsid w:val="000613FD"/>
    <w:rsid w:val="000617D3"/>
    <w:rsid w:val="00061A87"/>
    <w:rsid w:val="00062322"/>
    <w:rsid w:val="000627EB"/>
    <w:rsid w:val="00063327"/>
    <w:rsid w:val="00063E9D"/>
    <w:rsid w:val="00064C04"/>
    <w:rsid w:val="00065328"/>
    <w:rsid w:val="000675B4"/>
    <w:rsid w:val="0007040C"/>
    <w:rsid w:val="0007088F"/>
    <w:rsid w:val="00070AC0"/>
    <w:rsid w:val="00071AB2"/>
    <w:rsid w:val="0007223B"/>
    <w:rsid w:val="00072FA2"/>
    <w:rsid w:val="00074517"/>
    <w:rsid w:val="00074C0F"/>
    <w:rsid w:val="00074FCC"/>
    <w:rsid w:val="00075876"/>
    <w:rsid w:val="00076EAC"/>
    <w:rsid w:val="000770AD"/>
    <w:rsid w:val="0007754D"/>
    <w:rsid w:val="00077720"/>
    <w:rsid w:val="00077864"/>
    <w:rsid w:val="00077ED8"/>
    <w:rsid w:val="00077F66"/>
    <w:rsid w:val="00080227"/>
    <w:rsid w:val="00080BBB"/>
    <w:rsid w:val="000816EB"/>
    <w:rsid w:val="000817BD"/>
    <w:rsid w:val="00081DAC"/>
    <w:rsid w:val="00081E32"/>
    <w:rsid w:val="00082367"/>
    <w:rsid w:val="0008275C"/>
    <w:rsid w:val="00083375"/>
    <w:rsid w:val="000839A6"/>
    <w:rsid w:val="00083CA0"/>
    <w:rsid w:val="000846B2"/>
    <w:rsid w:val="0008644B"/>
    <w:rsid w:val="0008654F"/>
    <w:rsid w:val="00087365"/>
    <w:rsid w:val="00090836"/>
    <w:rsid w:val="00090E11"/>
    <w:rsid w:val="0009114B"/>
    <w:rsid w:val="00091A35"/>
    <w:rsid w:val="00092307"/>
    <w:rsid w:val="00092D61"/>
    <w:rsid w:val="000931F0"/>
    <w:rsid w:val="000938B8"/>
    <w:rsid w:val="000945F2"/>
    <w:rsid w:val="0009506C"/>
    <w:rsid w:val="00096587"/>
    <w:rsid w:val="00096C6C"/>
    <w:rsid w:val="00097CB6"/>
    <w:rsid w:val="00097E9F"/>
    <w:rsid w:val="000A01C4"/>
    <w:rsid w:val="000A0479"/>
    <w:rsid w:val="000A0641"/>
    <w:rsid w:val="000A0A04"/>
    <w:rsid w:val="000A0EE3"/>
    <w:rsid w:val="000A2220"/>
    <w:rsid w:val="000A2586"/>
    <w:rsid w:val="000A387A"/>
    <w:rsid w:val="000A3B0C"/>
    <w:rsid w:val="000A3CD8"/>
    <w:rsid w:val="000A4188"/>
    <w:rsid w:val="000A57F0"/>
    <w:rsid w:val="000A5C01"/>
    <w:rsid w:val="000A79AE"/>
    <w:rsid w:val="000B03F1"/>
    <w:rsid w:val="000B107C"/>
    <w:rsid w:val="000B1B5F"/>
    <w:rsid w:val="000B2117"/>
    <w:rsid w:val="000B24B3"/>
    <w:rsid w:val="000B44B1"/>
    <w:rsid w:val="000B494B"/>
    <w:rsid w:val="000B5D68"/>
    <w:rsid w:val="000B5FA9"/>
    <w:rsid w:val="000B779E"/>
    <w:rsid w:val="000C001F"/>
    <w:rsid w:val="000C00C1"/>
    <w:rsid w:val="000C083F"/>
    <w:rsid w:val="000C1494"/>
    <w:rsid w:val="000C162E"/>
    <w:rsid w:val="000C1EB3"/>
    <w:rsid w:val="000C27D4"/>
    <w:rsid w:val="000C28B3"/>
    <w:rsid w:val="000C29B6"/>
    <w:rsid w:val="000C30FE"/>
    <w:rsid w:val="000C3334"/>
    <w:rsid w:val="000C3E16"/>
    <w:rsid w:val="000C59C2"/>
    <w:rsid w:val="000C5B6F"/>
    <w:rsid w:val="000C608D"/>
    <w:rsid w:val="000C6114"/>
    <w:rsid w:val="000C6820"/>
    <w:rsid w:val="000C71FA"/>
    <w:rsid w:val="000D06B7"/>
    <w:rsid w:val="000D0ECF"/>
    <w:rsid w:val="000D15A4"/>
    <w:rsid w:val="000D24F3"/>
    <w:rsid w:val="000D2D36"/>
    <w:rsid w:val="000D429B"/>
    <w:rsid w:val="000D4688"/>
    <w:rsid w:val="000D5205"/>
    <w:rsid w:val="000D5379"/>
    <w:rsid w:val="000D5612"/>
    <w:rsid w:val="000D5F1A"/>
    <w:rsid w:val="000D766C"/>
    <w:rsid w:val="000E07CB"/>
    <w:rsid w:val="000E0C9E"/>
    <w:rsid w:val="000E1D05"/>
    <w:rsid w:val="000E1F13"/>
    <w:rsid w:val="000E2627"/>
    <w:rsid w:val="000E2E11"/>
    <w:rsid w:val="000E2E16"/>
    <w:rsid w:val="000E2FFC"/>
    <w:rsid w:val="000E3656"/>
    <w:rsid w:val="000E3906"/>
    <w:rsid w:val="000E5124"/>
    <w:rsid w:val="000E5258"/>
    <w:rsid w:val="000E5D43"/>
    <w:rsid w:val="000E728B"/>
    <w:rsid w:val="000E7F53"/>
    <w:rsid w:val="000F1FC1"/>
    <w:rsid w:val="000F22BF"/>
    <w:rsid w:val="000F25BC"/>
    <w:rsid w:val="000F29BC"/>
    <w:rsid w:val="000F2C17"/>
    <w:rsid w:val="000F33E3"/>
    <w:rsid w:val="000F3E38"/>
    <w:rsid w:val="000F4D92"/>
    <w:rsid w:val="000F52F1"/>
    <w:rsid w:val="000F76B2"/>
    <w:rsid w:val="00100F0C"/>
    <w:rsid w:val="00101002"/>
    <w:rsid w:val="00101345"/>
    <w:rsid w:val="00101556"/>
    <w:rsid w:val="00102534"/>
    <w:rsid w:val="00102A0A"/>
    <w:rsid w:val="001035C7"/>
    <w:rsid w:val="00106100"/>
    <w:rsid w:val="001062FF"/>
    <w:rsid w:val="00106308"/>
    <w:rsid w:val="00106EC8"/>
    <w:rsid w:val="00107792"/>
    <w:rsid w:val="00110BBC"/>
    <w:rsid w:val="00112949"/>
    <w:rsid w:val="00112E6F"/>
    <w:rsid w:val="00113033"/>
    <w:rsid w:val="0011397C"/>
    <w:rsid w:val="00114855"/>
    <w:rsid w:val="00114C3A"/>
    <w:rsid w:val="0011637E"/>
    <w:rsid w:val="00117106"/>
    <w:rsid w:val="00117790"/>
    <w:rsid w:val="001178EF"/>
    <w:rsid w:val="00117C5C"/>
    <w:rsid w:val="001212F8"/>
    <w:rsid w:val="00121861"/>
    <w:rsid w:val="00121966"/>
    <w:rsid w:val="00123CC5"/>
    <w:rsid w:val="0012424E"/>
    <w:rsid w:val="00124275"/>
    <w:rsid w:val="0012428B"/>
    <w:rsid w:val="0012455A"/>
    <w:rsid w:val="00124F2B"/>
    <w:rsid w:val="00125836"/>
    <w:rsid w:val="00125C6D"/>
    <w:rsid w:val="00125DA2"/>
    <w:rsid w:val="001269AD"/>
    <w:rsid w:val="00127CD2"/>
    <w:rsid w:val="001310CF"/>
    <w:rsid w:val="0013128B"/>
    <w:rsid w:val="00131991"/>
    <w:rsid w:val="00131EF0"/>
    <w:rsid w:val="00132372"/>
    <w:rsid w:val="00133304"/>
    <w:rsid w:val="00133AAC"/>
    <w:rsid w:val="00133F6B"/>
    <w:rsid w:val="0013482F"/>
    <w:rsid w:val="00136D4A"/>
    <w:rsid w:val="00136F9A"/>
    <w:rsid w:val="00137704"/>
    <w:rsid w:val="00137933"/>
    <w:rsid w:val="00141496"/>
    <w:rsid w:val="001415AD"/>
    <w:rsid w:val="00141A3D"/>
    <w:rsid w:val="00141E30"/>
    <w:rsid w:val="00142FFA"/>
    <w:rsid w:val="001436B1"/>
    <w:rsid w:val="00143987"/>
    <w:rsid w:val="0014457B"/>
    <w:rsid w:val="0014506D"/>
    <w:rsid w:val="001451DC"/>
    <w:rsid w:val="0014627F"/>
    <w:rsid w:val="0014637C"/>
    <w:rsid w:val="0014680E"/>
    <w:rsid w:val="001468E2"/>
    <w:rsid w:val="0014709C"/>
    <w:rsid w:val="001474EC"/>
    <w:rsid w:val="00147F26"/>
    <w:rsid w:val="00150074"/>
    <w:rsid w:val="0015014F"/>
    <w:rsid w:val="0015027B"/>
    <w:rsid w:val="001511A8"/>
    <w:rsid w:val="0015242E"/>
    <w:rsid w:val="00152888"/>
    <w:rsid w:val="00152D09"/>
    <w:rsid w:val="0015301C"/>
    <w:rsid w:val="0015323D"/>
    <w:rsid w:val="00153474"/>
    <w:rsid w:val="00155DD1"/>
    <w:rsid w:val="00156540"/>
    <w:rsid w:val="001576C6"/>
    <w:rsid w:val="00157814"/>
    <w:rsid w:val="0016019B"/>
    <w:rsid w:val="0016029D"/>
    <w:rsid w:val="00160AEE"/>
    <w:rsid w:val="0016197A"/>
    <w:rsid w:val="001622EC"/>
    <w:rsid w:val="00162340"/>
    <w:rsid w:val="001627F0"/>
    <w:rsid w:val="001633C4"/>
    <w:rsid w:val="001635BE"/>
    <w:rsid w:val="00163A31"/>
    <w:rsid w:val="00164368"/>
    <w:rsid w:val="0016437F"/>
    <w:rsid w:val="00164BD5"/>
    <w:rsid w:val="001657E4"/>
    <w:rsid w:val="00165F65"/>
    <w:rsid w:val="001674DB"/>
    <w:rsid w:val="001702D9"/>
    <w:rsid w:val="001703BA"/>
    <w:rsid w:val="001709FC"/>
    <w:rsid w:val="00170C4D"/>
    <w:rsid w:val="0017144A"/>
    <w:rsid w:val="0017189E"/>
    <w:rsid w:val="00172247"/>
    <w:rsid w:val="00172D38"/>
    <w:rsid w:val="00173931"/>
    <w:rsid w:val="00173E29"/>
    <w:rsid w:val="00174277"/>
    <w:rsid w:val="00174EFC"/>
    <w:rsid w:val="0017524D"/>
    <w:rsid w:val="00175A54"/>
    <w:rsid w:val="00175F46"/>
    <w:rsid w:val="00176341"/>
    <w:rsid w:val="001775BD"/>
    <w:rsid w:val="001775F1"/>
    <w:rsid w:val="0017763A"/>
    <w:rsid w:val="001779C1"/>
    <w:rsid w:val="001801EC"/>
    <w:rsid w:val="00181450"/>
    <w:rsid w:val="00181697"/>
    <w:rsid w:val="00181974"/>
    <w:rsid w:val="00182B02"/>
    <w:rsid w:val="00182BB0"/>
    <w:rsid w:val="00183054"/>
    <w:rsid w:val="0018342B"/>
    <w:rsid w:val="001837F7"/>
    <w:rsid w:val="001843A4"/>
    <w:rsid w:val="00184CCA"/>
    <w:rsid w:val="0018503F"/>
    <w:rsid w:val="001854F3"/>
    <w:rsid w:val="0018565C"/>
    <w:rsid w:val="00185801"/>
    <w:rsid w:val="0018608B"/>
    <w:rsid w:val="0018614A"/>
    <w:rsid w:val="001865FE"/>
    <w:rsid w:val="00186A73"/>
    <w:rsid w:val="00186DA3"/>
    <w:rsid w:val="00187302"/>
    <w:rsid w:val="00187636"/>
    <w:rsid w:val="00187B3F"/>
    <w:rsid w:val="00190BFC"/>
    <w:rsid w:val="0019118D"/>
    <w:rsid w:val="00192116"/>
    <w:rsid w:val="001949B8"/>
    <w:rsid w:val="00194FA2"/>
    <w:rsid w:val="001967E0"/>
    <w:rsid w:val="00196C38"/>
    <w:rsid w:val="00196ED6"/>
    <w:rsid w:val="0019790F"/>
    <w:rsid w:val="00197EBB"/>
    <w:rsid w:val="001A2482"/>
    <w:rsid w:val="001A263B"/>
    <w:rsid w:val="001A2952"/>
    <w:rsid w:val="001A2DEC"/>
    <w:rsid w:val="001A34EA"/>
    <w:rsid w:val="001A3807"/>
    <w:rsid w:val="001A3BF8"/>
    <w:rsid w:val="001A4B78"/>
    <w:rsid w:val="001A5B02"/>
    <w:rsid w:val="001A6DE5"/>
    <w:rsid w:val="001B0193"/>
    <w:rsid w:val="001B0EDA"/>
    <w:rsid w:val="001B21C0"/>
    <w:rsid w:val="001B24B3"/>
    <w:rsid w:val="001B2D59"/>
    <w:rsid w:val="001B4088"/>
    <w:rsid w:val="001B4173"/>
    <w:rsid w:val="001B4465"/>
    <w:rsid w:val="001B6EE2"/>
    <w:rsid w:val="001B78A1"/>
    <w:rsid w:val="001B7B54"/>
    <w:rsid w:val="001C0372"/>
    <w:rsid w:val="001C0919"/>
    <w:rsid w:val="001C0D00"/>
    <w:rsid w:val="001C1322"/>
    <w:rsid w:val="001C174F"/>
    <w:rsid w:val="001C2294"/>
    <w:rsid w:val="001C22C2"/>
    <w:rsid w:val="001C22E7"/>
    <w:rsid w:val="001C27EC"/>
    <w:rsid w:val="001C2F31"/>
    <w:rsid w:val="001C2FC9"/>
    <w:rsid w:val="001C4585"/>
    <w:rsid w:val="001C4FDF"/>
    <w:rsid w:val="001C5694"/>
    <w:rsid w:val="001C5777"/>
    <w:rsid w:val="001C6080"/>
    <w:rsid w:val="001C66C4"/>
    <w:rsid w:val="001C6C5A"/>
    <w:rsid w:val="001C711E"/>
    <w:rsid w:val="001C7BA9"/>
    <w:rsid w:val="001D0098"/>
    <w:rsid w:val="001D00EE"/>
    <w:rsid w:val="001D0795"/>
    <w:rsid w:val="001D094C"/>
    <w:rsid w:val="001D1073"/>
    <w:rsid w:val="001D13DD"/>
    <w:rsid w:val="001D17B4"/>
    <w:rsid w:val="001D26E1"/>
    <w:rsid w:val="001D281A"/>
    <w:rsid w:val="001D2AD6"/>
    <w:rsid w:val="001D33B2"/>
    <w:rsid w:val="001D3A0E"/>
    <w:rsid w:val="001D3A5A"/>
    <w:rsid w:val="001D4289"/>
    <w:rsid w:val="001D50A0"/>
    <w:rsid w:val="001D6DA4"/>
    <w:rsid w:val="001D7120"/>
    <w:rsid w:val="001D799D"/>
    <w:rsid w:val="001D79FA"/>
    <w:rsid w:val="001E0AE2"/>
    <w:rsid w:val="001E1C51"/>
    <w:rsid w:val="001E2582"/>
    <w:rsid w:val="001E47D7"/>
    <w:rsid w:val="001E4B3F"/>
    <w:rsid w:val="001E5B5D"/>
    <w:rsid w:val="001E6DA3"/>
    <w:rsid w:val="001E6E32"/>
    <w:rsid w:val="001E7BBF"/>
    <w:rsid w:val="001F12E8"/>
    <w:rsid w:val="001F1483"/>
    <w:rsid w:val="001F17B7"/>
    <w:rsid w:val="001F183C"/>
    <w:rsid w:val="001F216C"/>
    <w:rsid w:val="001F261C"/>
    <w:rsid w:val="001F2E1E"/>
    <w:rsid w:val="001F368A"/>
    <w:rsid w:val="001F3C7A"/>
    <w:rsid w:val="001F643F"/>
    <w:rsid w:val="001F6635"/>
    <w:rsid w:val="001F6ECB"/>
    <w:rsid w:val="001F708B"/>
    <w:rsid w:val="002011FA"/>
    <w:rsid w:val="00201C82"/>
    <w:rsid w:val="00201E8C"/>
    <w:rsid w:val="002032BD"/>
    <w:rsid w:val="0020554A"/>
    <w:rsid w:val="00205CA2"/>
    <w:rsid w:val="002069A1"/>
    <w:rsid w:val="00206BD2"/>
    <w:rsid w:val="002072D8"/>
    <w:rsid w:val="002076EA"/>
    <w:rsid w:val="00207AD7"/>
    <w:rsid w:val="00207DA1"/>
    <w:rsid w:val="002111A4"/>
    <w:rsid w:val="002113AD"/>
    <w:rsid w:val="00211D45"/>
    <w:rsid w:val="00212479"/>
    <w:rsid w:val="00212BE6"/>
    <w:rsid w:val="0021517E"/>
    <w:rsid w:val="00215494"/>
    <w:rsid w:val="00215742"/>
    <w:rsid w:val="00215858"/>
    <w:rsid w:val="00215FA5"/>
    <w:rsid w:val="00216684"/>
    <w:rsid w:val="00216ACC"/>
    <w:rsid w:val="00217322"/>
    <w:rsid w:val="002212F0"/>
    <w:rsid w:val="00221B65"/>
    <w:rsid w:val="00221F5E"/>
    <w:rsid w:val="00222E3E"/>
    <w:rsid w:val="00222F93"/>
    <w:rsid w:val="002234A0"/>
    <w:rsid w:val="00224273"/>
    <w:rsid w:val="00224483"/>
    <w:rsid w:val="00224993"/>
    <w:rsid w:val="00224D5D"/>
    <w:rsid w:val="00225714"/>
    <w:rsid w:val="0022589F"/>
    <w:rsid w:val="00225A0F"/>
    <w:rsid w:val="00225A19"/>
    <w:rsid w:val="00227126"/>
    <w:rsid w:val="0022733D"/>
    <w:rsid w:val="00227828"/>
    <w:rsid w:val="002301F6"/>
    <w:rsid w:val="002305B8"/>
    <w:rsid w:val="002305FF"/>
    <w:rsid w:val="0023088F"/>
    <w:rsid w:val="00230A9F"/>
    <w:rsid w:val="00230E81"/>
    <w:rsid w:val="00230F5B"/>
    <w:rsid w:val="00231710"/>
    <w:rsid w:val="002323CD"/>
    <w:rsid w:val="002327D0"/>
    <w:rsid w:val="002329AA"/>
    <w:rsid w:val="00232A15"/>
    <w:rsid w:val="00233995"/>
    <w:rsid w:val="002347FB"/>
    <w:rsid w:val="00235EBA"/>
    <w:rsid w:val="00235F4C"/>
    <w:rsid w:val="002361D9"/>
    <w:rsid w:val="00236949"/>
    <w:rsid w:val="00237F21"/>
    <w:rsid w:val="00237FA3"/>
    <w:rsid w:val="00240193"/>
    <w:rsid w:val="0024036D"/>
    <w:rsid w:val="002416BD"/>
    <w:rsid w:val="00241A97"/>
    <w:rsid w:val="002430F9"/>
    <w:rsid w:val="0024530B"/>
    <w:rsid w:val="0024539B"/>
    <w:rsid w:val="002457A6"/>
    <w:rsid w:val="00245B36"/>
    <w:rsid w:val="002466D0"/>
    <w:rsid w:val="00246A3E"/>
    <w:rsid w:val="00246E6A"/>
    <w:rsid w:val="002473E7"/>
    <w:rsid w:val="00247521"/>
    <w:rsid w:val="00247835"/>
    <w:rsid w:val="00250DB5"/>
    <w:rsid w:val="0025122B"/>
    <w:rsid w:val="002521E4"/>
    <w:rsid w:val="002529CD"/>
    <w:rsid w:val="00252A15"/>
    <w:rsid w:val="002534DC"/>
    <w:rsid w:val="002535FF"/>
    <w:rsid w:val="00253AF0"/>
    <w:rsid w:val="00253BB7"/>
    <w:rsid w:val="0025473D"/>
    <w:rsid w:val="00254784"/>
    <w:rsid w:val="00254C67"/>
    <w:rsid w:val="00257B77"/>
    <w:rsid w:val="00257DA9"/>
    <w:rsid w:val="00260F75"/>
    <w:rsid w:val="0026256B"/>
    <w:rsid w:val="00262A5C"/>
    <w:rsid w:val="00263008"/>
    <w:rsid w:val="0026311C"/>
    <w:rsid w:val="002633C1"/>
    <w:rsid w:val="00265A13"/>
    <w:rsid w:val="00265F60"/>
    <w:rsid w:val="00266705"/>
    <w:rsid w:val="00267A1C"/>
    <w:rsid w:val="0027171F"/>
    <w:rsid w:val="00271E58"/>
    <w:rsid w:val="00272DD0"/>
    <w:rsid w:val="002761E0"/>
    <w:rsid w:val="0027663C"/>
    <w:rsid w:val="002779BA"/>
    <w:rsid w:val="00277C3C"/>
    <w:rsid w:val="002803A6"/>
    <w:rsid w:val="002804F4"/>
    <w:rsid w:val="002807FE"/>
    <w:rsid w:val="00280D28"/>
    <w:rsid w:val="00281496"/>
    <w:rsid w:val="00281F2F"/>
    <w:rsid w:val="002823A4"/>
    <w:rsid w:val="00282E77"/>
    <w:rsid w:val="002837B8"/>
    <w:rsid w:val="002839A0"/>
    <w:rsid w:val="00283AB3"/>
    <w:rsid w:val="002845A7"/>
    <w:rsid w:val="00284C1F"/>
    <w:rsid w:val="002850CA"/>
    <w:rsid w:val="00285374"/>
    <w:rsid w:val="002854F4"/>
    <w:rsid w:val="002858EA"/>
    <w:rsid w:val="00286910"/>
    <w:rsid w:val="002878A8"/>
    <w:rsid w:val="00287D44"/>
    <w:rsid w:val="002909BC"/>
    <w:rsid w:val="002909F9"/>
    <w:rsid w:val="00291C06"/>
    <w:rsid w:val="00292750"/>
    <w:rsid w:val="00292F54"/>
    <w:rsid w:val="00293373"/>
    <w:rsid w:val="00293ACD"/>
    <w:rsid w:val="00294724"/>
    <w:rsid w:val="002951E1"/>
    <w:rsid w:val="0029533D"/>
    <w:rsid w:val="00295AFE"/>
    <w:rsid w:val="002963A6"/>
    <w:rsid w:val="002975D0"/>
    <w:rsid w:val="00297A1C"/>
    <w:rsid w:val="00297B92"/>
    <w:rsid w:val="002A0FC3"/>
    <w:rsid w:val="002A189E"/>
    <w:rsid w:val="002A1D3C"/>
    <w:rsid w:val="002A205B"/>
    <w:rsid w:val="002A2265"/>
    <w:rsid w:val="002A4F86"/>
    <w:rsid w:val="002A5301"/>
    <w:rsid w:val="002A65DA"/>
    <w:rsid w:val="002A6C23"/>
    <w:rsid w:val="002B01E1"/>
    <w:rsid w:val="002B0267"/>
    <w:rsid w:val="002B0D51"/>
    <w:rsid w:val="002B281C"/>
    <w:rsid w:val="002B37E3"/>
    <w:rsid w:val="002B3BE5"/>
    <w:rsid w:val="002B3F9B"/>
    <w:rsid w:val="002B4C9E"/>
    <w:rsid w:val="002B4DA2"/>
    <w:rsid w:val="002B65D6"/>
    <w:rsid w:val="002B6FE4"/>
    <w:rsid w:val="002B7A93"/>
    <w:rsid w:val="002C00F0"/>
    <w:rsid w:val="002C0E8E"/>
    <w:rsid w:val="002C12FE"/>
    <w:rsid w:val="002C2A7F"/>
    <w:rsid w:val="002C2B1E"/>
    <w:rsid w:val="002C31FB"/>
    <w:rsid w:val="002C3A5C"/>
    <w:rsid w:val="002C4055"/>
    <w:rsid w:val="002C4656"/>
    <w:rsid w:val="002C4F35"/>
    <w:rsid w:val="002C5956"/>
    <w:rsid w:val="002C5B03"/>
    <w:rsid w:val="002C6C35"/>
    <w:rsid w:val="002D0262"/>
    <w:rsid w:val="002D0B7A"/>
    <w:rsid w:val="002D0C5C"/>
    <w:rsid w:val="002D34B2"/>
    <w:rsid w:val="002D4657"/>
    <w:rsid w:val="002D4757"/>
    <w:rsid w:val="002D4BA2"/>
    <w:rsid w:val="002D4D0A"/>
    <w:rsid w:val="002D601D"/>
    <w:rsid w:val="002D65B6"/>
    <w:rsid w:val="002D7D14"/>
    <w:rsid w:val="002D7E2F"/>
    <w:rsid w:val="002E003F"/>
    <w:rsid w:val="002E0C8C"/>
    <w:rsid w:val="002E0F28"/>
    <w:rsid w:val="002E0F62"/>
    <w:rsid w:val="002E1645"/>
    <w:rsid w:val="002E1747"/>
    <w:rsid w:val="002E174E"/>
    <w:rsid w:val="002E1BC9"/>
    <w:rsid w:val="002E1CC2"/>
    <w:rsid w:val="002E3CA2"/>
    <w:rsid w:val="002E6A87"/>
    <w:rsid w:val="002E7DD7"/>
    <w:rsid w:val="002F0A9A"/>
    <w:rsid w:val="002F0C9C"/>
    <w:rsid w:val="002F0CA8"/>
    <w:rsid w:val="002F125E"/>
    <w:rsid w:val="002F1B20"/>
    <w:rsid w:val="002F1CCB"/>
    <w:rsid w:val="002F37D5"/>
    <w:rsid w:val="002F4187"/>
    <w:rsid w:val="002F4337"/>
    <w:rsid w:val="002F45F7"/>
    <w:rsid w:val="002F46C6"/>
    <w:rsid w:val="002F4964"/>
    <w:rsid w:val="002F5F0F"/>
    <w:rsid w:val="002F6104"/>
    <w:rsid w:val="002F6C95"/>
    <w:rsid w:val="002F780F"/>
    <w:rsid w:val="002F7D1B"/>
    <w:rsid w:val="00300E6D"/>
    <w:rsid w:val="0030106A"/>
    <w:rsid w:val="00302055"/>
    <w:rsid w:val="00302955"/>
    <w:rsid w:val="00302C4D"/>
    <w:rsid w:val="0030319E"/>
    <w:rsid w:val="003036FD"/>
    <w:rsid w:val="003039BE"/>
    <w:rsid w:val="00303C59"/>
    <w:rsid w:val="00304CC5"/>
    <w:rsid w:val="003073BF"/>
    <w:rsid w:val="003074F4"/>
    <w:rsid w:val="003109E6"/>
    <w:rsid w:val="0031116B"/>
    <w:rsid w:val="00311A25"/>
    <w:rsid w:val="00312165"/>
    <w:rsid w:val="003128CE"/>
    <w:rsid w:val="00312D44"/>
    <w:rsid w:val="00312DC9"/>
    <w:rsid w:val="00312FCD"/>
    <w:rsid w:val="0031325A"/>
    <w:rsid w:val="00313831"/>
    <w:rsid w:val="00313D22"/>
    <w:rsid w:val="003148A4"/>
    <w:rsid w:val="00314FD2"/>
    <w:rsid w:val="00315053"/>
    <w:rsid w:val="003159B1"/>
    <w:rsid w:val="00315F34"/>
    <w:rsid w:val="00316339"/>
    <w:rsid w:val="0031720C"/>
    <w:rsid w:val="00317789"/>
    <w:rsid w:val="00317CF4"/>
    <w:rsid w:val="00317D21"/>
    <w:rsid w:val="003214B7"/>
    <w:rsid w:val="00322215"/>
    <w:rsid w:val="00324461"/>
    <w:rsid w:val="003245D7"/>
    <w:rsid w:val="00326922"/>
    <w:rsid w:val="00327F40"/>
    <w:rsid w:val="00330528"/>
    <w:rsid w:val="00330A59"/>
    <w:rsid w:val="0033120E"/>
    <w:rsid w:val="00331721"/>
    <w:rsid w:val="00333166"/>
    <w:rsid w:val="0033339D"/>
    <w:rsid w:val="00334479"/>
    <w:rsid w:val="0033480B"/>
    <w:rsid w:val="00335092"/>
    <w:rsid w:val="003356FB"/>
    <w:rsid w:val="00336150"/>
    <w:rsid w:val="003361E3"/>
    <w:rsid w:val="00337FBC"/>
    <w:rsid w:val="00340418"/>
    <w:rsid w:val="00340B82"/>
    <w:rsid w:val="00340B84"/>
    <w:rsid w:val="00340E0C"/>
    <w:rsid w:val="003411B4"/>
    <w:rsid w:val="00342203"/>
    <w:rsid w:val="00342220"/>
    <w:rsid w:val="003431C2"/>
    <w:rsid w:val="003432EF"/>
    <w:rsid w:val="00343815"/>
    <w:rsid w:val="00343C82"/>
    <w:rsid w:val="003447EC"/>
    <w:rsid w:val="00344CC5"/>
    <w:rsid w:val="003453F1"/>
    <w:rsid w:val="0034586D"/>
    <w:rsid w:val="00345964"/>
    <w:rsid w:val="00346EE7"/>
    <w:rsid w:val="0034764C"/>
    <w:rsid w:val="00347BAF"/>
    <w:rsid w:val="00352707"/>
    <w:rsid w:val="00352D19"/>
    <w:rsid w:val="00355752"/>
    <w:rsid w:val="00355BC5"/>
    <w:rsid w:val="00355DAE"/>
    <w:rsid w:val="003563F4"/>
    <w:rsid w:val="003569B8"/>
    <w:rsid w:val="00357508"/>
    <w:rsid w:val="003605F2"/>
    <w:rsid w:val="003619BD"/>
    <w:rsid w:val="003619CE"/>
    <w:rsid w:val="0036202A"/>
    <w:rsid w:val="0036223C"/>
    <w:rsid w:val="00362E4E"/>
    <w:rsid w:val="00363343"/>
    <w:rsid w:val="003634BD"/>
    <w:rsid w:val="00364836"/>
    <w:rsid w:val="003648B6"/>
    <w:rsid w:val="00365023"/>
    <w:rsid w:val="00366A1A"/>
    <w:rsid w:val="003678BE"/>
    <w:rsid w:val="00370043"/>
    <w:rsid w:val="0037007E"/>
    <w:rsid w:val="00370D3F"/>
    <w:rsid w:val="00370D87"/>
    <w:rsid w:val="00370E83"/>
    <w:rsid w:val="0037186E"/>
    <w:rsid w:val="0037255D"/>
    <w:rsid w:val="00372AB3"/>
    <w:rsid w:val="00372DB9"/>
    <w:rsid w:val="00373C35"/>
    <w:rsid w:val="00374082"/>
    <w:rsid w:val="00374F02"/>
    <w:rsid w:val="00376786"/>
    <w:rsid w:val="00376B09"/>
    <w:rsid w:val="003777DC"/>
    <w:rsid w:val="003779B8"/>
    <w:rsid w:val="00377C39"/>
    <w:rsid w:val="00380387"/>
    <w:rsid w:val="003806D3"/>
    <w:rsid w:val="00381439"/>
    <w:rsid w:val="00381E97"/>
    <w:rsid w:val="00381ED9"/>
    <w:rsid w:val="00382401"/>
    <w:rsid w:val="003829D0"/>
    <w:rsid w:val="00383037"/>
    <w:rsid w:val="00384555"/>
    <w:rsid w:val="00384AE3"/>
    <w:rsid w:val="003852D9"/>
    <w:rsid w:val="00386529"/>
    <w:rsid w:val="00386D82"/>
    <w:rsid w:val="00387033"/>
    <w:rsid w:val="00387D7D"/>
    <w:rsid w:val="003914CA"/>
    <w:rsid w:val="003927F9"/>
    <w:rsid w:val="00392FA6"/>
    <w:rsid w:val="00393614"/>
    <w:rsid w:val="003945F9"/>
    <w:rsid w:val="003946C0"/>
    <w:rsid w:val="003951A4"/>
    <w:rsid w:val="00395DF9"/>
    <w:rsid w:val="003966C7"/>
    <w:rsid w:val="00396874"/>
    <w:rsid w:val="00396C65"/>
    <w:rsid w:val="00397222"/>
    <w:rsid w:val="003976CE"/>
    <w:rsid w:val="00397B84"/>
    <w:rsid w:val="003A0A88"/>
    <w:rsid w:val="003A238A"/>
    <w:rsid w:val="003A2468"/>
    <w:rsid w:val="003A2B31"/>
    <w:rsid w:val="003A2CB3"/>
    <w:rsid w:val="003A3FB4"/>
    <w:rsid w:val="003A435E"/>
    <w:rsid w:val="003A64A9"/>
    <w:rsid w:val="003A728C"/>
    <w:rsid w:val="003A7FC2"/>
    <w:rsid w:val="003B0E33"/>
    <w:rsid w:val="003B10C4"/>
    <w:rsid w:val="003B1E93"/>
    <w:rsid w:val="003B26FD"/>
    <w:rsid w:val="003B2C9E"/>
    <w:rsid w:val="003B3E34"/>
    <w:rsid w:val="003B58C2"/>
    <w:rsid w:val="003B5C8A"/>
    <w:rsid w:val="003B7012"/>
    <w:rsid w:val="003C0B7D"/>
    <w:rsid w:val="003C109F"/>
    <w:rsid w:val="003C1235"/>
    <w:rsid w:val="003C160A"/>
    <w:rsid w:val="003C1BE5"/>
    <w:rsid w:val="003C1F05"/>
    <w:rsid w:val="003C22E8"/>
    <w:rsid w:val="003C23B0"/>
    <w:rsid w:val="003C43FF"/>
    <w:rsid w:val="003D0811"/>
    <w:rsid w:val="003D1B33"/>
    <w:rsid w:val="003D2BB6"/>
    <w:rsid w:val="003D3A68"/>
    <w:rsid w:val="003D3E7F"/>
    <w:rsid w:val="003D4367"/>
    <w:rsid w:val="003D52A8"/>
    <w:rsid w:val="003D5CA9"/>
    <w:rsid w:val="003D6FCE"/>
    <w:rsid w:val="003D7D66"/>
    <w:rsid w:val="003E1D1E"/>
    <w:rsid w:val="003E1E8E"/>
    <w:rsid w:val="003E2427"/>
    <w:rsid w:val="003E2786"/>
    <w:rsid w:val="003E2CA0"/>
    <w:rsid w:val="003E3731"/>
    <w:rsid w:val="003E5407"/>
    <w:rsid w:val="003E5461"/>
    <w:rsid w:val="003E5F37"/>
    <w:rsid w:val="003E6A82"/>
    <w:rsid w:val="003E6EF5"/>
    <w:rsid w:val="003F0AEF"/>
    <w:rsid w:val="003F0EC4"/>
    <w:rsid w:val="003F12F5"/>
    <w:rsid w:val="003F146B"/>
    <w:rsid w:val="003F157C"/>
    <w:rsid w:val="003F2594"/>
    <w:rsid w:val="003F25DC"/>
    <w:rsid w:val="003F2D13"/>
    <w:rsid w:val="003F2EB2"/>
    <w:rsid w:val="003F2FB9"/>
    <w:rsid w:val="003F3316"/>
    <w:rsid w:val="003F3D6B"/>
    <w:rsid w:val="003F6C5B"/>
    <w:rsid w:val="003F6EDF"/>
    <w:rsid w:val="003F74B4"/>
    <w:rsid w:val="003F79C5"/>
    <w:rsid w:val="00400448"/>
    <w:rsid w:val="004004DD"/>
    <w:rsid w:val="004007F6"/>
    <w:rsid w:val="00400EA0"/>
    <w:rsid w:val="00401E38"/>
    <w:rsid w:val="00403024"/>
    <w:rsid w:val="004033B2"/>
    <w:rsid w:val="00403C7A"/>
    <w:rsid w:val="00404B91"/>
    <w:rsid w:val="00406C01"/>
    <w:rsid w:val="0040787F"/>
    <w:rsid w:val="0041070C"/>
    <w:rsid w:val="00410EF1"/>
    <w:rsid w:val="0041188A"/>
    <w:rsid w:val="00412901"/>
    <w:rsid w:val="00412BBE"/>
    <w:rsid w:val="00412F00"/>
    <w:rsid w:val="00413C17"/>
    <w:rsid w:val="00413F74"/>
    <w:rsid w:val="00414C23"/>
    <w:rsid w:val="00414E3D"/>
    <w:rsid w:val="00415189"/>
    <w:rsid w:val="0041524D"/>
    <w:rsid w:val="00415957"/>
    <w:rsid w:val="00416D47"/>
    <w:rsid w:val="00416F43"/>
    <w:rsid w:val="004171E9"/>
    <w:rsid w:val="00417439"/>
    <w:rsid w:val="00420537"/>
    <w:rsid w:val="00420F3A"/>
    <w:rsid w:val="00422121"/>
    <w:rsid w:val="0042278D"/>
    <w:rsid w:val="00422CE2"/>
    <w:rsid w:val="00423B90"/>
    <w:rsid w:val="0042476A"/>
    <w:rsid w:val="0042564D"/>
    <w:rsid w:val="00425CB8"/>
    <w:rsid w:val="0042622A"/>
    <w:rsid w:val="00426536"/>
    <w:rsid w:val="00426964"/>
    <w:rsid w:val="00427636"/>
    <w:rsid w:val="00427F4F"/>
    <w:rsid w:val="00431331"/>
    <w:rsid w:val="00431C21"/>
    <w:rsid w:val="004339E5"/>
    <w:rsid w:val="004341F7"/>
    <w:rsid w:val="00435442"/>
    <w:rsid w:val="00435719"/>
    <w:rsid w:val="004364F1"/>
    <w:rsid w:val="004368B3"/>
    <w:rsid w:val="004375B0"/>
    <w:rsid w:val="004375BD"/>
    <w:rsid w:val="00440847"/>
    <w:rsid w:val="004410E9"/>
    <w:rsid w:val="00441703"/>
    <w:rsid w:val="00441FBA"/>
    <w:rsid w:val="00442820"/>
    <w:rsid w:val="00442E01"/>
    <w:rsid w:val="00443C86"/>
    <w:rsid w:val="00445448"/>
    <w:rsid w:val="00445545"/>
    <w:rsid w:val="00446870"/>
    <w:rsid w:val="00446CCD"/>
    <w:rsid w:val="00446E71"/>
    <w:rsid w:val="004479E7"/>
    <w:rsid w:val="00450C96"/>
    <w:rsid w:val="00450E30"/>
    <w:rsid w:val="00451850"/>
    <w:rsid w:val="00452858"/>
    <w:rsid w:val="00453774"/>
    <w:rsid w:val="00453AB9"/>
    <w:rsid w:val="00454807"/>
    <w:rsid w:val="00454E46"/>
    <w:rsid w:val="00455B1B"/>
    <w:rsid w:val="00457366"/>
    <w:rsid w:val="00457A32"/>
    <w:rsid w:val="0046002D"/>
    <w:rsid w:val="00460ADA"/>
    <w:rsid w:val="00461101"/>
    <w:rsid w:val="004644D4"/>
    <w:rsid w:val="00464DC3"/>
    <w:rsid w:val="00465874"/>
    <w:rsid w:val="004660A6"/>
    <w:rsid w:val="0047014A"/>
    <w:rsid w:val="00470D85"/>
    <w:rsid w:val="00470EA2"/>
    <w:rsid w:val="00472B0D"/>
    <w:rsid w:val="00472DBD"/>
    <w:rsid w:val="00472E0F"/>
    <w:rsid w:val="00473AB1"/>
    <w:rsid w:val="00473C0E"/>
    <w:rsid w:val="004748E8"/>
    <w:rsid w:val="004749B0"/>
    <w:rsid w:val="004764C1"/>
    <w:rsid w:val="0048049B"/>
    <w:rsid w:val="00481546"/>
    <w:rsid w:val="004819E2"/>
    <w:rsid w:val="00481D96"/>
    <w:rsid w:val="00481ED1"/>
    <w:rsid w:val="00482425"/>
    <w:rsid w:val="00482D44"/>
    <w:rsid w:val="00483016"/>
    <w:rsid w:val="00484475"/>
    <w:rsid w:val="00484E4A"/>
    <w:rsid w:val="00485283"/>
    <w:rsid w:val="00485467"/>
    <w:rsid w:val="004874D1"/>
    <w:rsid w:val="004875D0"/>
    <w:rsid w:val="004900BF"/>
    <w:rsid w:val="004901FE"/>
    <w:rsid w:val="00490F5A"/>
    <w:rsid w:val="0049124E"/>
    <w:rsid w:val="004916A6"/>
    <w:rsid w:val="00491D51"/>
    <w:rsid w:val="00491DA3"/>
    <w:rsid w:val="004923D5"/>
    <w:rsid w:val="00492C5A"/>
    <w:rsid w:val="00494293"/>
    <w:rsid w:val="00494355"/>
    <w:rsid w:val="00495053"/>
    <w:rsid w:val="00495121"/>
    <w:rsid w:val="0049604B"/>
    <w:rsid w:val="004960B7"/>
    <w:rsid w:val="004966B6"/>
    <w:rsid w:val="0049673F"/>
    <w:rsid w:val="004A2126"/>
    <w:rsid w:val="004A2FF5"/>
    <w:rsid w:val="004A35EE"/>
    <w:rsid w:val="004A3856"/>
    <w:rsid w:val="004A4F4C"/>
    <w:rsid w:val="004A509D"/>
    <w:rsid w:val="004A51E1"/>
    <w:rsid w:val="004A5AF5"/>
    <w:rsid w:val="004A5D2C"/>
    <w:rsid w:val="004A652B"/>
    <w:rsid w:val="004A67FF"/>
    <w:rsid w:val="004A7938"/>
    <w:rsid w:val="004A7C61"/>
    <w:rsid w:val="004B0A99"/>
    <w:rsid w:val="004B0CED"/>
    <w:rsid w:val="004B13D7"/>
    <w:rsid w:val="004B3D1A"/>
    <w:rsid w:val="004B56DC"/>
    <w:rsid w:val="004B5E73"/>
    <w:rsid w:val="004B5F30"/>
    <w:rsid w:val="004B70E0"/>
    <w:rsid w:val="004B73C7"/>
    <w:rsid w:val="004C05B2"/>
    <w:rsid w:val="004C1B89"/>
    <w:rsid w:val="004C1ED2"/>
    <w:rsid w:val="004C2BE9"/>
    <w:rsid w:val="004C40D6"/>
    <w:rsid w:val="004C427B"/>
    <w:rsid w:val="004C42BB"/>
    <w:rsid w:val="004C4840"/>
    <w:rsid w:val="004C4E9C"/>
    <w:rsid w:val="004C524F"/>
    <w:rsid w:val="004C676A"/>
    <w:rsid w:val="004C6878"/>
    <w:rsid w:val="004C6A78"/>
    <w:rsid w:val="004C7EC6"/>
    <w:rsid w:val="004D0179"/>
    <w:rsid w:val="004D04C8"/>
    <w:rsid w:val="004D0EF2"/>
    <w:rsid w:val="004D0FD2"/>
    <w:rsid w:val="004D1AD2"/>
    <w:rsid w:val="004D31BB"/>
    <w:rsid w:val="004D3210"/>
    <w:rsid w:val="004D3217"/>
    <w:rsid w:val="004D3248"/>
    <w:rsid w:val="004D362D"/>
    <w:rsid w:val="004D39DF"/>
    <w:rsid w:val="004D3A30"/>
    <w:rsid w:val="004D4CFE"/>
    <w:rsid w:val="004D5876"/>
    <w:rsid w:val="004D5EEF"/>
    <w:rsid w:val="004D67B3"/>
    <w:rsid w:val="004D7E7C"/>
    <w:rsid w:val="004E083A"/>
    <w:rsid w:val="004E0C8E"/>
    <w:rsid w:val="004E2CBB"/>
    <w:rsid w:val="004E3671"/>
    <w:rsid w:val="004E375C"/>
    <w:rsid w:val="004E66A2"/>
    <w:rsid w:val="004E75A9"/>
    <w:rsid w:val="004F0BA4"/>
    <w:rsid w:val="004F1A98"/>
    <w:rsid w:val="004F40DF"/>
    <w:rsid w:val="004F5EE7"/>
    <w:rsid w:val="004F607A"/>
    <w:rsid w:val="004F64AE"/>
    <w:rsid w:val="004F6701"/>
    <w:rsid w:val="004F7423"/>
    <w:rsid w:val="00500A26"/>
    <w:rsid w:val="00500B26"/>
    <w:rsid w:val="00501195"/>
    <w:rsid w:val="00501367"/>
    <w:rsid w:val="00502379"/>
    <w:rsid w:val="00502577"/>
    <w:rsid w:val="005033CB"/>
    <w:rsid w:val="00503823"/>
    <w:rsid w:val="00503E36"/>
    <w:rsid w:val="00505207"/>
    <w:rsid w:val="00505FA4"/>
    <w:rsid w:val="00506A2B"/>
    <w:rsid w:val="00507701"/>
    <w:rsid w:val="00507B42"/>
    <w:rsid w:val="005109EE"/>
    <w:rsid w:val="00510D96"/>
    <w:rsid w:val="0051108B"/>
    <w:rsid w:val="00511A26"/>
    <w:rsid w:val="005131E8"/>
    <w:rsid w:val="0051498A"/>
    <w:rsid w:val="00515023"/>
    <w:rsid w:val="00515341"/>
    <w:rsid w:val="005153A5"/>
    <w:rsid w:val="00515B04"/>
    <w:rsid w:val="00517EAD"/>
    <w:rsid w:val="00517F6D"/>
    <w:rsid w:val="00517FF6"/>
    <w:rsid w:val="00521F1C"/>
    <w:rsid w:val="00524BE9"/>
    <w:rsid w:val="00525023"/>
    <w:rsid w:val="0052531D"/>
    <w:rsid w:val="00525965"/>
    <w:rsid w:val="005265A5"/>
    <w:rsid w:val="005266D9"/>
    <w:rsid w:val="0052699B"/>
    <w:rsid w:val="005272DA"/>
    <w:rsid w:val="0052745D"/>
    <w:rsid w:val="00530505"/>
    <w:rsid w:val="00530800"/>
    <w:rsid w:val="00530850"/>
    <w:rsid w:val="00530F97"/>
    <w:rsid w:val="005310D8"/>
    <w:rsid w:val="0053118A"/>
    <w:rsid w:val="00531D8A"/>
    <w:rsid w:val="00532ADD"/>
    <w:rsid w:val="00532B9A"/>
    <w:rsid w:val="0053387B"/>
    <w:rsid w:val="00533E41"/>
    <w:rsid w:val="005342AD"/>
    <w:rsid w:val="0053645A"/>
    <w:rsid w:val="0053657D"/>
    <w:rsid w:val="00537229"/>
    <w:rsid w:val="00537D6E"/>
    <w:rsid w:val="00537DC6"/>
    <w:rsid w:val="0054038E"/>
    <w:rsid w:val="00540B79"/>
    <w:rsid w:val="00540C21"/>
    <w:rsid w:val="00540E70"/>
    <w:rsid w:val="005412F8"/>
    <w:rsid w:val="00541562"/>
    <w:rsid w:val="00541F2F"/>
    <w:rsid w:val="0054245A"/>
    <w:rsid w:val="00542A3D"/>
    <w:rsid w:val="00542D58"/>
    <w:rsid w:val="00543788"/>
    <w:rsid w:val="00543DDF"/>
    <w:rsid w:val="00544E80"/>
    <w:rsid w:val="00544F4B"/>
    <w:rsid w:val="00545217"/>
    <w:rsid w:val="0054569D"/>
    <w:rsid w:val="0054598D"/>
    <w:rsid w:val="00546434"/>
    <w:rsid w:val="00546FE3"/>
    <w:rsid w:val="00547036"/>
    <w:rsid w:val="005473FE"/>
    <w:rsid w:val="00547430"/>
    <w:rsid w:val="00547DA6"/>
    <w:rsid w:val="00551357"/>
    <w:rsid w:val="00551EB9"/>
    <w:rsid w:val="0055223F"/>
    <w:rsid w:val="00552AA8"/>
    <w:rsid w:val="005534C2"/>
    <w:rsid w:val="00553C61"/>
    <w:rsid w:val="00553D1A"/>
    <w:rsid w:val="00553ECC"/>
    <w:rsid w:val="005541A5"/>
    <w:rsid w:val="00556401"/>
    <w:rsid w:val="005575FC"/>
    <w:rsid w:val="00557752"/>
    <w:rsid w:val="0056056A"/>
    <w:rsid w:val="00561257"/>
    <w:rsid w:val="00561865"/>
    <w:rsid w:val="00562CEC"/>
    <w:rsid w:val="00563026"/>
    <w:rsid w:val="00563A9C"/>
    <w:rsid w:val="00563F9F"/>
    <w:rsid w:val="005649A9"/>
    <w:rsid w:val="00564C74"/>
    <w:rsid w:val="00564E8F"/>
    <w:rsid w:val="005653CC"/>
    <w:rsid w:val="00565536"/>
    <w:rsid w:val="005660BA"/>
    <w:rsid w:val="005672FE"/>
    <w:rsid w:val="00570AEA"/>
    <w:rsid w:val="00570E77"/>
    <w:rsid w:val="005715C2"/>
    <w:rsid w:val="00571F04"/>
    <w:rsid w:val="00572A8D"/>
    <w:rsid w:val="00573E77"/>
    <w:rsid w:val="00574BC7"/>
    <w:rsid w:val="005762D9"/>
    <w:rsid w:val="0058066E"/>
    <w:rsid w:val="00580676"/>
    <w:rsid w:val="00580FE1"/>
    <w:rsid w:val="00581806"/>
    <w:rsid w:val="005825E3"/>
    <w:rsid w:val="00582D0B"/>
    <w:rsid w:val="00582FC3"/>
    <w:rsid w:val="00583263"/>
    <w:rsid w:val="00583267"/>
    <w:rsid w:val="005832EC"/>
    <w:rsid w:val="00583416"/>
    <w:rsid w:val="00583756"/>
    <w:rsid w:val="005847B0"/>
    <w:rsid w:val="00584ABA"/>
    <w:rsid w:val="00584E22"/>
    <w:rsid w:val="00586232"/>
    <w:rsid w:val="00586600"/>
    <w:rsid w:val="005871D0"/>
    <w:rsid w:val="00587E8D"/>
    <w:rsid w:val="00590051"/>
    <w:rsid w:val="005902EF"/>
    <w:rsid w:val="00590B28"/>
    <w:rsid w:val="00593A1A"/>
    <w:rsid w:val="00593A49"/>
    <w:rsid w:val="00593CD4"/>
    <w:rsid w:val="005944EE"/>
    <w:rsid w:val="00595320"/>
    <w:rsid w:val="00596110"/>
    <w:rsid w:val="005961E8"/>
    <w:rsid w:val="0059630A"/>
    <w:rsid w:val="00596693"/>
    <w:rsid w:val="00596C25"/>
    <w:rsid w:val="00596EFC"/>
    <w:rsid w:val="00597AE7"/>
    <w:rsid w:val="00597D4B"/>
    <w:rsid w:val="005A0186"/>
    <w:rsid w:val="005A0260"/>
    <w:rsid w:val="005A10BE"/>
    <w:rsid w:val="005A1291"/>
    <w:rsid w:val="005A2304"/>
    <w:rsid w:val="005A2F39"/>
    <w:rsid w:val="005A320C"/>
    <w:rsid w:val="005A335A"/>
    <w:rsid w:val="005A3BD8"/>
    <w:rsid w:val="005A3D19"/>
    <w:rsid w:val="005A3E1C"/>
    <w:rsid w:val="005A3EBB"/>
    <w:rsid w:val="005A44BC"/>
    <w:rsid w:val="005A46CA"/>
    <w:rsid w:val="005A4F40"/>
    <w:rsid w:val="005A5AEA"/>
    <w:rsid w:val="005A63AC"/>
    <w:rsid w:val="005A655B"/>
    <w:rsid w:val="005A662B"/>
    <w:rsid w:val="005A7F6C"/>
    <w:rsid w:val="005B0CFC"/>
    <w:rsid w:val="005B0FDF"/>
    <w:rsid w:val="005B1AE2"/>
    <w:rsid w:val="005B1DA6"/>
    <w:rsid w:val="005B1E34"/>
    <w:rsid w:val="005B28C3"/>
    <w:rsid w:val="005B35B4"/>
    <w:rsid w:val="005B3E94"/>
    <w:rsid w:val="005B56B6"/>
    <w:rsid w:val="005B5FBF"/>
    <w:rsid w:val="005B62CE"/>
    <w:rsid w:val="005B6322"/>
    <w:rsid w:val="005B766E"/>
    <w:rsid w:val="005C18E6"/>
    <w:rsid w:val="005C1FA2"/>
    <w:rsid w:val="005C2424"/>
    <w:rsid w:val="005C2572"/>
    <w:rsid w:val="005C28A8"/>
    <w:rsid w:val="005C3A1E"/>
    <w:rsid w:val="005C3A5F"/>
    <w:rsid w:val="005C4087"/>
    <w:rsid w:val="005C42F4"/>
    <w:rsid w:val="005C4D82"/>
    <w:rsid w:val="005C51ED"/>
    <w:rsid w:val="005C543A"/>
    <w:rsid w:val="005C5F9B"/>
    <w:rsid w:val="005C6A0B"/>
    <w:rsid w:val="005C6F72"/>
    <w:rsid w:val="005C78CA"/>
    <w:rsid w:val="005D0112"/>
    <w:rsid w:val="005D04FA"/>
    <w:rsid w:val="005D0D2A"/>
    <w:rsid w:val="005D15DA"/>
    <w:rsid w:val="005D1A91"/>
    <w:rsid w:val="005D1AA4"/>
    <w:rsid w:val="005D1AE8"/>
    <w:rsid w:val="005D1CED"/>
    <w:rsid w:val="005D36DA"/>
    <w:rsid w:val="005D579D"/>
    <w:rsid w:val="005D5C81"/>
    <w:rsid w:val="005D6408"/>
    <w:rsid w:val="005D6CF3"/>
    <w:rsid w:val="005E095A"/>
    <w:rsid w:val="005E1214"/>
    <w:rsid w:val="005E2397"/>
    <w:rsid w:val="005E2594"/>
    <w:rsid w:val="005E2CC6"/>
    <w:rsid w:val="005E3906"/>
    <w:rsid w:val="005E3D61"/>
    <w:rsid w:val="005E467A"/>
    <w:rsid w:val="005E4745"/>
    <w:rsid w:val="005E4FA4"/>
    <w:rsid w:val="005E7A65"/>
    <w:rsid w:val="005E7AFC"/>
    <w:rsid w:val="005F0928"/>
    <w:rsid w:val="005F27F0"/>
    <w:rsid w:val="005F3867"/>
    <w:rsid w:val="005F3A92"/>
    <w:rsid w:val="005F6C32"/>
    <w:rsid w:val="005F7B58"/>
    <w:rsid w:val="005F7C9A"/>
    <w:rsid w:val="00600E96"/>
    <w:rsid w:val="00600F2D"/>
    <w:rsid w:val="00601DB3"/>
    <w:rsid w:val="00601ECF"/>
    <w:rsid w:val="00601F02"/>
    <w:rsid w:val="00602549"/>
    <w:rsid w:val="0060285F"/>
    <w:rsid w:val="006038CB"/>
    <w:rsid w:val="00604092"/>
    <w:rsid w:val="00605097"/>
    <w:rsid w:val="006053C8"/>
    <w:rsid w:val="00605749"/>
    <w:rsid w:val="006070D6"/>
    <w:rsid w:val="00610018"/>
    <w:rsid w:val="006100F7"/>
    <w:rsid w:val="006105B6"/>
    <w:rsid w:val="006107EB"/>
    <w:rsid w:val="00610B93"/>
    <w:rsid w:val="00610C19"/>
    <w:rsid w:val="006125AA"/>
    <w:rsid w:val="006130DB"/>
    <w:rsid w:val="006132B8"/>
    <w:rsid w:val="0061392A"/>
    <w:rsid w:val="0061654E"/>
    <w:rsid w:val="0061694E"/>
    <w:rsid w:val="00620C62"/>
    <w:rsid w:val="00623469"/>
    <w:rsid w:val="00623970"/>
    <w:rsid w:val="006240B6"/>
    <w:rsid w:val="006244D7"/>
    <w:rsid w:val="0062586C"/>
    <w:rsid w:val="00625B8A"/>
    <w:rsid w:val="00626815"/>
    <w:rsid w:val="00626F68"/>
    <w:rsid w:val="00627365"/>
    <w:rsid w:val="00627C66"/>
    <w:rsid w:val="006309D3"/>
    <w:rsid w:val="0063190B"/>
    <w:rsid w:val="00631E4D"/>
    <w:rsid w:val="006324E3"/>
    <w:rsid w:val="0063286B"/>
    <w:rsid w:val="00632AB3"/>
    <w:rsid w:val="00632BD2"/>
    <w:rsid w:val="006334E3"/>
    <w:rsid w:val="00636535"/>
    <w:rsid w:val="0063775E"/>
    <w:rsid w:val="00640052"/>
    <w:rsid w:val="00640068"/>
    <w:rsid w:val="006455B4"/>
    <w:rsid w:val="00645718"/>
    <w:rsid w:val="00645A6A"/>
    <w:rsid w:val="00645DDE"/>
    <w:rsid w:val="0064650B"/>
    <w:rsid w:val="006472EB"/>
    <w:rsid w:val="00647B4C"/>
    <w:rsid w:val="00647BA9"/>
    <w:rsid w:val="00647DC0"/>
    <w:rsid w:val="006513B5"/>
    <w:rsid w:val="00651463"/>
    <w:rsid w:val="0065146D"/>
    <w:rsid w:val="00651595"/>
    <w:rsid w:val="00651EE5"/>
    <w:rsid w:val="006521E3"/>
    <w:rsid w:val="006529A4"/>
    <w:rsid w:val="00652C88"/>
    <w:rsid w:val="006537DD"/>
    <w:rsid w:val="00653C4A"/>
    <w:rsid w:val="00654D85"/>
    <w:rsid w:val="00655031"/>
    <w:rsid w:val="00655E52"/>
    <w:rsid w:val="0065669D"/>
    <w:rsid w:val="0065682E"/>
    <w:rsid w:val="00656D8A"/>
    <w:rsid w:val="00656F96"/>
    <w:rsid w:val="006578BC"/>
    <w:rsid w:val="00657D80"/>
    <w:rsid w:val="006602B1"/>
    <w:rsid w:val="0066117E"/>
    <w:rsid w:val="006613F6"/>
    <w:rsid w:val="006620BB"/>
    <w:rsid w:val="00662470"/>
    <w:rsid w:val="00663190"/>
    <w:rsid w:val="00666122"/>
    <w:rsid w:val="00666806"/>
    <w:rsid w:val="006678BA"/>
    <w:rsid w:val="00667D79"/>
    <w:rsid w:val="00670113"/>
    <w:rsid w:val="0067041A"/>
    <w:rsid w:val="00670D32"/>
    <w:rsid w:val="00672610"/>
    <w:rsid w:val="0067314B"/>
    <w:rsid w:val="006738CA"/>
    <w:rsid w:val="00673F9D"/>
    <w:rsid w:val="006743E0"/>
    <w:rsid w:val="00674C12"/>
    <w:rsid w:val="006752C6"/>
    <w:rsid w:val="00675A98"/>
    <w:rsid w:val="00675B31"/>
    <w:rsid w:val="0067710C"/>
    <w:rsid w:val="00677EE7"/>
    <w:rsid w:val="00677F71"/>
    <w:rsid w:val="006800EB"/>
    <w:rsid w:val="00680569"/>
    <w:rsid w:val="00680A8F"/>
    <w:rsid w:val="00680FAC"/>
    <w:rsid w:val="00681019"/>
    <w:rsid w:val="0068217A"/>
    <w:rsid w:val="0068246A"/>
    <w:rsid w:val="006828C1"/>
    <w:rsid w:val="00682929"/>
    <w:rsid w:val="0068306B"/>
    <w:rsid w:val="00684B8C"/>
    <w:rsid w:val="00685211"/>
    <w:rsid w:val="00685BDC"/>
    <w:rsid w:val="006864DE"/>
    <w:rsid w:val="006903F3"/>
    <w:rsid w:val="00690A97"/>
    <w:rsid w:val="00691430"/>
    <w:rsid w:val="00692386"/>
    <w:rsid w:val="00692E98"/>
    <w:rsid w:val="00692FA7"/>
    <w:rsid w:val="00693CCD"/>
    <w:rsid w:val="00693EEF"/>
    <w:rsid w:val="00694B73"/>
    <w:rsid w:val="0069514E"/>
    <w:rsid w:val="00695BE0"/>
    <w:rsid w:val="00695F1C"/>
    <w:rsid w:val="006966C0"/>
    <w:rsid w:val="00697F0C"/>
    <w:rsid w:val="006A00BB"/>
    <w:rsid w:val="006A0671"/>
    <w:rsid w:val="006A1366"/>
    <w:rsid w:val="006A1808"/>
    <w:rsid w:val="006A1DD0"/>
    <w:rsid w:val="006A3C5E"/>
    <w:rsid w:val="006A42EE"/>
    <w:rsid w:val="006A490A"/>
    <w:rsid w:val="006A4DD8"/>
    <w:rsid w:val="006A4FD8"/>
    <w:rsid w:val="006A52F1"/>
    <w:rsid w:val="006A564D"/>
    <w:rsid w:val="006A5B07"/>
    <w:rsid w:val="006A5DBD"/>
    <w:rsid w:val="006A5DC0"/>
    <w:rsid w:val="006A5E01"/>
    <w:rsid w:val="006A641F"/>
    <w:rsid w:val="006A6E3A"/>
    <w:rsid w:val="006A72D8"/>
    <w:rsid w:val="006A797B"/>
    <w:rsid w:val="006B113C"/>
    <w:rsid w:val="006B269D"/>
    <w:rsid w:val="006B2D05"/>
    <w:rsid w:val="006B3261"/>
    <w:rsid w:val="006B3600"/>
    <w:rsid w:val="006B3D8D"/>
    <w:rsid w:val="006B3D9C"/>
    <w:rsid w:val="006B45E9"/>
    <w:rsid w:val="006B4AD5"/>
    <w:rsid w:val="006B4AF5"/>
    <w:rsid w:val="006B5561"/>
    <w:rsid w:val="006B682C"/>
    <w:rsid w:val="006B738C"/>
    <w:rsid w:val="006C080F"/>
    <w:rsid w:val="006C1812"/>
    <w:rsid w:val="006C1A28"/>
    <w:rsid w:val="006C1F76"/>
    <w:rsid w:val="006C2140"/>
    <w:rsid w:val="006C25D1"/>
    <w:rsid w:val="006C270A"/>
    <w:rsid w:val="006C3528"/>
    <w:rsid w:val="006C3826"/>
    <w:rsid w:val="006C4654"/>
    <w:rsid w:val="006C4AA8"/>
    <w:rsid w:val="006C5400"/>
    <w:rsid w:val="006C7061"/>
    <w:rsid w:val="006D0738"/>
    <w:rsid w:val="006D0AD4"/>
    <w:rsid w:val="006D0E5B"/>
    <w:rsid w:val="006D1179"/>
    <w:rsid w:val="006D1930"/>
    <w:rsid w:val="006D1A6F"/>
    <w:rsid w:val="006D1BD1"/>
    <w:rsid w:val="006D2E3E"/>
    <w:rsid w:val="006D3408"/>
    <w:rsid w:val="006D4107"/>
    <w:rsid w:val="006D4609"/>
    <w:rsid w:val="006D527E"/>
    <w:rsid w:val="006D6CE8"/>
    <w:rsid w:val="006D7986"/>
    <w:rsid w:val="006D7FF5"/>
    <w:rsid w:val="006E0E47"/>
    <w:rsid w:val="006E31E2"/>
    <w:rsid w:val="006E38ED"/>
    <w:rsid w:val="006E4BC0"/>
    <w:rsid w:val="006E6354"/>
    <w:rsid w:val="006E64AE"/>
    <w:rsid w:val="006E6D9F"/>
    <w:rsid w:val="006E7432"/>
    <w:rsid w:val="006E7629"/>
    <w:rsid w:val="006E767E"/>
    <w:rsid w:val="006E7C7F"/>
    <w:rsid w:val="006E7DE3"/>
    <w:rsid w:val="006E7EF7"/>
    <w:rsid w:val="006F00F0"/>
    <w:rsid w:val="006F11E3"/>
    <w:rsid w:val="006F1A31"/>
    <w:rsid w:val="006F1BE0"/>
    <w:rsid w:val="006F1DB5"/>
    <w:rsid w:val="006F2504"/>
    <w:rsid w:val="006F29D5"/>
    <w:rsid w:val="006F2D48"/>
    <w:rsid w:val="006F2EE2"/>
    <w:rsid w:val="006F310E"/>
    <w:rsid w:val="006F356E"/>
    <w:rsid w:val="006F36E2"/>
    <w:rsid w:val="006F3ABE"/>
    <w:rsid w:val="006F4E58"/>
    <w:rsid w:val="006F4E97"/>
    <w:rsid w:val="006F533B"/>
    <w:rsid w:val="006F56E8"/>
    <w:rsid w:val="006F696E"/>
    <w:rsid w:val="006F6B67"/>
    <w:rsid w:val="006F6BDE"/>
    <w:rsid w:val="006F7EA9"/>
    <w:rsid w:val="00700590"/>
    <w:rsid w:val="00700A9D"/>
    <w:rsid w:val="00700F04"/>
    <w:rsid w:val="007013B3"/>
    <w:rsid w:val="00701944"/>
    <w:rsid w:val="00701C06"/>
    <w:rsid w:val="0070288F"/>
    <w:rsid w:val="00702936"/>
    <w:rsid w:val="00702B71"/>
    <w:rsid w:val="00703084"/>
    <w:rsid w:val="007030A3"/>
    <w:rsid w:val="00704BA0"/>
    <w:rsid w:val="007055A2"/>
    <w:rsid w:val="00705858"/>
    <w:rsid w:val="00706457"/>
    <w:rsid w:val="00706554"/>
    <w:rsid w:val="00706C57"/>
    <w:rsid w:val="00706D1F"/>
    <w:rsid w:val="00710B6E"/>
    <w:rsid w:val="00710FB8"/>
    <w:rsid w:val="007110AC"/>
    <w:rsid w:val="0071148D"/>
    <w:rsid w:val="007114DB"/>
    <w:rsid w:val="00711E6A"/>
    <w:rsid w:val="00711EFD"/>
    <w:rsid w:val="00712245"/>
    <w:rsid w:val="0071230F"/>
    <w:rsid w:val="00712672"/>
    <w:rsid w:val="007141FB"/>
    <w:rsid w:val="00714AE1"/>
    <w:rsid w:val="007163B4"/>
    <w:rsid w:val="0071675A"/>
    <w:rsid w:val="00716AB7"/>
    <w:rsid w:val="0072099E"/>
    <w:rsid w:val="007212CC"/>
    <w:rsid w:val="00721E76"/>
    <w:rsid w:val="00721EC4"/>
    <w:rsid w:val="00721F96"/>
    <w:rsid w:val="00722206"/>
    <w:rsid w:val="00722C0C"/>
    <w:rsid w:val="00723528"/>
    <w:rsid w:val="00724A29"/>
    <w:rsid w:val="00725501"/>
    <w:rsid w:val="00725E18"/>
    <w:rsid w:val="00725E67"/>
    <w:rsid w:val="0073050E"/>
    <w:rsid w:val="0073056D"/>
    <w:rsid w:val="00730BA5"/>
    <w:rsid w:val="007316BE"/>
    <w:rsid w:val="0073171C"/>
    <w:rsid w:val="00731AC0"/>
    <w:rsid w:val="00734CC7"/>
    <w:rsid w:val="007359E9"/>
    <w:rsid w:val="0073621A"/>
    <w:rsid w:val="00736605"/>
    <w:rsid w:val="0073674A"/>
    <w:rsid w:val="00737738"/>
    <w:rsid w:val="00740CE2"/>
    <w:rsid w:val="00740DDE"/>
    <w:rsid w:val="00740F23"/>
    <w:rsid w:val="007427A4"/>
    <w:rsid w:val="007428AC"/>
    <w:rsid w:val="00743A4C"/>
    <w:rsid w:val="00744211"/>
    <w:rsid w:val="00744607"/>
    <w:rsid w:val="00744CD1"/>
    <w:rsid w:val="007459EE"/>
    <w:rsid w:val="00746286"/>
    <w:rsid w:val="00746CBC"/>
    <w:rsid w:val="0074764D"/>
    <w:rsid w:val="00747791"/>
    <w:rsid w:val="007507C4"/>
    <w:rsid w:val="00751416"/>
    <w:rsid w:val="00753639"/>
    <w:rsid w:val="00754F76"/>
    <w:rsid w:val="00755762"/>
    <w:rsid w:val="00756A2A"/>
    <w:rsid w:val="00757270"/>
    <w:rsid w:val="00760437"/>
    <w:rsid w:val="00760ADF"/>
    <w:rsid w:val="00760FEF"/>
    <w:rsid w:val="00761AC8"/>
    <w:rsid w:val="007639C2"/>
    <w:rsid w:val="007644AC"/>
    <w:rsid w:val="007646D3"/>
    <w:rsid w:val="00764784"/>
    <w:rsid w:val="00766C80"/>
    <w:rsid w:val="00766E68"/>
    <w:rsid w:val="00767C85"/>
    <w:rsid w:val="00770DC0"/>
    <w:rsid w:val="00771DC1"/>
    <w:rsid w:val="0077223E"/>
    <w:rsid w:val="00772DA5"/>
    <w:rsid w:val="00772E74"/>
    <w:rsid w:val="00773562"/>
    <w:rsid w:val="0077545B"/>
    <w:rsid w:val="00775E38"/>
    <w:rsid w:val="007760F9"/>
    <w:rsid w:val="007762CC"/>
    <w:rsid w:val="007768B8"/>
    <w:rsid w:val="00780F32"/>
    <w:rsid w:val="00782855"/>
    <w:rsid w:val="00782E09"/>
    <w:rsid w:val="00782E1F"/>
    <w:rsid w:val="00785ED8"/>
    <w:rsid w:val="007872A6"/>
    <w:rsid w:val="00787487"/>
    <w:rsid w:val="00790052"/>
    <w:rsid w:val="00790108"/>
    <w:rsid w:val="0079479E"/>
    <w:rsid w:val="0079496D"/>
    <w:rsid w:val="00794A98"/>
    <w:rsid w:val="00794F7C"/>
    <w:rsid w:val="00795175"/>
    <w:rsid w:val="0079520A"/>
    <w:rsid w:val="00795C2F"/>
    <w:rsid w:val="00796BA8"/>
    <w:rsid w:val="00797FC1"/>
    <w:rsid w:val="007A015F"/>
    <w:rsid w:val="007A0524"/>
    <w:rsid w:val="007A1277"/>
    <w:rsid w:val="007A1C87"/>
    <w:rsid w:val="007A1E5B"/>
    <w:rsid w:val="007A23E1"/>
    <w:rsid w:val="007A2ABE"/>
    <w:rsid w:val="007A2C9E"/>
    <w:rsid w:val="007A2E52"/>
    <w:rsid w:val="007A3089"/>
    <w:rsid w:val="007A31CF"/>
    <w:rsid w:val="007A322F"/>
    <w:rsid w:val="007A3BEB"/>
    <w:rsid w:val="007A3C3B"/>
    <w:rsid w:val="007A3E28"/>
    <w:rsid w:val="007A4041"/>
    <w:rsid w:val="007A4641"/>
    <w:rsid w:val="007A4F13"/>
    <w:rsid w:val="007A5ACD"/>
    <w:rsid w:val="007A5B21"/>
    <w:rsid w:val="007A5EBB"/>
    <w:rsid w:val="007A603B"/>
    <w:rsid w:val="007A6258"/>
    <w:rsid w:val="007A6CE5"/>
    <w:rsid w:val="007A714D"/>
    <w:rsid w:val="007A77F7"/>
    <w:rsid w:val="007B055B"/>
    <w:rsid w:val="007B089B"/>
    <w:rsid w:val="007B13CD"/>
    <w:rsid w:val="007B3915"/>
    <w:rsid w:val="007B4703"/>
    <w:rsid w:val="007B5033"/>
    <w:rsid w:val="007B548B"/>
    <w:rsid w:val="007B629A"/>
    <w:rsid w:val="007B7897"/>
    <w:rsid w:val="007B7903"/>
    <w:rsid w:val="007C0A4E"/>
    <w:rsid w:val="007C1536"/>
    <w:rsid w:val="007C158D"/>
    <w:rsid w:val="007C268C"/>
    <w:rsid w:val="007C3EA8"/>
    <w:rsid w:val="007C3F08"/>
    <w:rsid w:val="007C58C1"/>
    <w:rsid w:val="007C5CFB"/>
    <w:rsid w:val="007C638E"/>
    <w:rsid w:val="007C77B6"/>
    <w:rsid w:val="007C7C36"/>
    <w:rsid w:val="007C7DCB"/>
    <w:rsid w:val="007D0E7B"/>
    <w:rsid w:val="007D1D31"/>
    <w:rsid w:val="007D3845"/>
    <w:rsid w:val="007D5993"/>
    <w:rsid w:val="007D5A1E"/>
    <w:rsid w:val="007D5ADD"/>
    <w:rsid w:val="007D5CA7"/>
    <w:rsid w:val="007D66F6"/>
    <w:rsid w:val="007D67BA"/>
    <w:rsid w:val="007D7A57"/>
    <w:rsid w:val="007E0DB0"/>
    <w:rsid w:val="007E12DD"/>
    <w:rsid w:val="007E1DAD"/>
    <w:rsid w:val="007E1EE6"/>
    <w:rsid w:val="007E2350"/>
    <w:rsid w:val="007E2903"/>
    <w:rsid w:val="007E29C2"/>
    <w:rsid w:val="007E3BA2"/>
    <w:rsid w:val="007E43AF"/>
    <w:rsid w:val="007E58B0"/>
    <w:rsid w:val="007E5DAF"/>
    <w:rsid w:val="007E666B"/>
    <w:rsid w:val="007F0658"/>
    <w:rsid w:val="007F216A"/>
    <w:rsid w:val="007F2CA6"/>
    <w:rsid w:val="007F2DF2"/>
    <w:rsid w:val="007F37F6"/>
    <w:rsid w:val="007F3DD9"/>
    <w:rsid w:val="007F4783"/>
    <w:rsid w:val="007F4D37"/>
    <w:rsid w:val="007F571F"/>
    <w:rsid w:val="007F57AB"/>
    <w:rsid w:val="007F6949"/>
    <w:rsid w:val="007F7770"/>
    <w:rsid w:val="007F7BA5"/>
    <w:rsid w:val="0080015F"/>
    <w:rsid w:val="0080162A"/>
    <w:rsid w:val="0080188C"/>
    <w:rsid w:val="008030F3"/>
    <w:rsid w:val="00803F8D"/>
    <w:rsid w:val="00803FAA"/>
    <w:rsid w:val="00805517"/>
    <w:rsid w:val="0080563B"/>
    <w:rsid w:val="00805E85"/>
    <w:rsid w:val="0080695C"/>
    <w:rsid w:val="00810492"/>
    <w:rsid w:val="008114AA"/>
    <w:rsid w:val="008143DC"/>
    <w:rsid w:val="008145BB"/>
    <w:rsid w:val="00814F1E"/>
    <w:rsid w:val="0081566C"/>
    <w:rsid w:val="00816F61"/>
    <w:rsid w:val="008173DD"/>
    <w:rsid w:val="008174A0"/>
    <w:rsid w:val="00817A9B"/>
    <w:rsid w:val="008205DF"/>
    <w:rsid w:val="008219F9"/>
    <w:rsid w:val="00821A71"/>
    <w:rsid w:val="00821EED"/>
    <w:rsid w:val="008222DB"/>
    <w:rsid w:val="00822327"/>
    <w:rsid w:val="00822A96"/>
    <w:rsid w:val="00822B95"/>
    <w:rsid w:val="00824900"/>
    <w:rsid w:val="00825CF0"/>
    <w:rsid w:val="00825DD2"/>
    <w:rsid w:val="00831181"/>
    <w:rsid w:val="00831183"/>
    <w:rsid w:val="00831647"/>
    <w:rsid w:val="00831817"/>
    <w:rsid w:val="008319B5"/>
    <w:rsid w:val="00831C27"/>
    <w:rsid w:val="00832092"/>
    <w:rsid w:val="00832304"/>
    <w:rsid w:val="008324BE"/>
    <w:rsid w:val="008342CE"/>
    <w:rsid w:val="0083431C"/>
    <w:rsid w:val="00834CCF"/>
    <w:rsid w:val="0083500F"/>
    <w:rsid w:val="0083532A"/>
    <w:rsid w:val="00835ED7"/>
    <w:rsid w:val="008361A5"/>
    <w:rsid w:val="00837A21"/>
    <w:rsid w:val="00840F2D"/>
    <w:rsid w:val="008412F8"/>
    <w:rsid w:val="00842467"/>
    <w:rsid w:val="008440C2"/>
    <w:rsid w:val="008443CE"/>
    <w:rsid w:val="008447BC"/>
    <w:rsid w:val="0084510B"/>
    <w:rsid w:val="00845E89"/>
    <w:rsid w:val="00846712"/>
    <w:rsid w:val="00846731"/>
    <w:rsid w:val="008468CD"/>
    <w:rsid w:val="008469C3"/>
    <w:rsid w:val="00846F65"/>
    <w:rsid w:val="00847262"/>
    <w:rsid w:val="00847EEB"/>
    <w:rsid w:val="00850147"/>
    <w:rsid w:val="008501EF"/>
    <w:rsid w:val="00850269"/>
    <w:rsid w:val="0085060F"/>
    <w:rsid w:val="0085112B"/>
    <w:rsid w:val="0085168A"/>
    <w:rsid w:val="00851C40"/>
    <w:rsid w:val="00852677"/>
    <w:rsid w:val="00852DC8"/>
    <w:rsid w:val="0085357A"/>
    <w:rsid w:val="008537AA"/>
    <w:rsid w:val="008539CA"/>
    <w:rsid w:val="008543C9"/>
    <w:rsid w:val="00854BB7"/>
    <w:rsid w:val="00854C8D"/>
    <w:rsid w:val="00854DD2"/>
    <w:rsid w:val="00855429"/>
    <w:rsid w:val="008561E9"/>
    <w:rsid w:val="0085682F"/>
    <w:rsid w:val="008570C8"/>
    <w:rsid w:val="008575C5"/>
    <w:rsid w:val="008576F8"/>
    <w:rsid w:val="008578FB"/>
    <w:rsid w:val="00857957"/>
    <w:rsid w:val="00860E6D"/>
    <w:rsid w:val="00860EA0"/>
    <w:rsid w:val="0086464F"/>
    <w:rsid w:val="00864F1E"/>
    <w:rsid w:val="00867143"/>
    <w:rsid w:val="00867ABF"/>
    <w:rsid w:val="00870528"/>
    <w:rsid w:val="00870792"/>
    <w:rsid w:val="008710DC"/>
    <w:rsid w:val="00871473"/>
    <w:rsid w:val="00871CC7"/>
    <w:rsid w:val="00871DC9"/>
    <w:rsid w:val="00871E25"/>
    <w:rsid w:val="0087371F"/>
    <w:rsid w:val="00873A7D"/>
    <w:rsid w:val="00873DCA"/>
    <w:rsid w:val="00874641"/>
    <w:rsid w:val="00874C16"/>
    <w:rsid w:val="00874E30"/>
    <w:rsid w:val="00875B04"/>
    <w:rsid w:val="00876952"/>
    <w:rsid w:val="00876F59"/>
    <w:rsid w:val="0087780A"/>
    <w:rsid w:val="00877E0C"/>
    <w:rsid w:val="00880D51"/>
    <w:rsid w:val="00880F8A"/>
    <w:rsid w:val="00881AA1"/>
    <w:rsid w:val="00881CDA"/>
    <w:rsid w:val="00882112"/>
    <w:rsid w:val="00883375"/>
    <w:rsid w:val="0088350C"/>
    <w:rsid w:val="00883879"/>
    <w:rsid w:val="00883ACE"/>
    <w:rsid w:val="0088428B"/>
    <w:rsid w:val="00884644"/>
    <w:rsid w:val="00884C8C"/>
    <w:rsid w:val="00885189"/>
    <w:rsid w:val="008861AF"/>
    <w:rsid w:val="00886A48"/>
    <w:rsid w:val="00886C1C"/>
    <w:rsid w:val="00886F7F"/>
    <w:rsid w:val="00887737"/>
    <w:rsid w:val="00887A9A"/>
    <w:rsid w:val="00887D35"/>
    <w:rsid w:val="008908D5"/>
    <w:rsid w:val="0089160B"/>
    <w:rsid w:val="00891AC1"/>
    <w:rsid w:val="00891E1D"/>
    <w:rsid w:val="00891EED"/>
    <w:rsid w:val="00891F7F"/>
    <w:rsid w:val="008924ED"/>
    <w:rsid w:val="00893892"/>
    <w:rsid w:val="00893D31"/>
    <w:rsid w:val="00893EFE"/>
    <w:rsid w:val="00894B25"/>
    <w:rsid w:val="00895D7E"/>
    <w:rsid w:val="0089616C"/>
    <w:rsid w:val="0089683D"/>
    <w:rsid w:val="00897DD4"/>
    <w:rsid w:val="008A040A"/>
    <w:rsid w:val="008A087D"/>
    <w:rsid w:val="008A137C"/>
    <w:rsid w:val="008A14BA"/>
    <w:rsid w:val="008A2240"/>
    <w:rsid w:val="008A26B3"/>
    <w:rsid w:val="008A3023"/>
    <w:rsid w:val="008A33B1"/>
    <w:rsid w:val="008A56BA"/>
    <w:rsid w:val="008A5C74"/>
    <w:rsid w:val="008A6DA8"/>
    <w:rsid w:val="008B06CF"/>
    <w:rsid w:val="008B0D8B"/>
    <w:rsid w:val="008B0F3C"/>
    <w:rsid w:val="008B178D"/>
    <w:rsid w:val="008B1F3A"/>
    <w:rsid w:val="008B28B0"/>
    <w:rsid w:val="008B2BC7"/>
    <w:rsid w:val="008B2D61"/>
    <w:rsid w:val="008B3740"/>
    <w:rsid w:val="008B3DC0"/>
    <w:rsid w:val="008B51A9"/>
    <w:rsid w:val="008B5D27"/>
    <w:rsid w:val="008B6C87"/>
    <w:rsid w:val="008B7180"/>
    <w:rsid w:val="008B78C7"/>
    <w:rsid w:val="008C01F9"/>
    <w:rsid w:val="008C0C2A"/>
    <w:rsid w:val="008C0F6E"/>
    <w:rsid w:val="008C11D0"/>
    <w:rsid w:val="008C17D2"/>
    <w:rsid w:val="008C1FDA"/>
    <w:rsid w:val="008C271C"/>
    <w:rsid w:val="008C381D"/>
    <w:rsid w:val="008C4081"/>
    <w:rsid w:val="008C4593"/>
    <w:rsid w:val="008C60C5"/>
    <w:rsid w:val="008C64A6"/>
    <w:rsid w:val="008C6E1D"/>
    <w:rsid w:val="008C7E5F"/>
    <w:rsid w:val="008D125E"/>
    <w:rsid w:val="008D1552"/>
    <w:rsid w:val="008D1EB3"/>
    <w:rsid w:val="008D2624"/>
    <w:rsid w:val="008D26A6"/>
    <w:rsid w:val="008D2A79"/>
    <w:rsid w:val="008D2E02"/>
    <w:rsid w:val="008D372D"/>
    <w:rsid w:val="008D3C32"/>
    <w:rsid w:val="008D4B01"/>
    <w:rsid w:val="008D54E3"/>
    <w:rsid w:val="008D57A0"/>
    <w:rsid w:val="008D5A4A"/>
    <w:rsid w:val="008D72F1"/>
    <w:rsid w:val="008E0342"/>
    <w:rsid w:val="008E1667"/>
    <w:rsid w:val="008E1991"/>
    <w:rsid w:val="008E1A52"/>
    <w:rsid w:val="008E3589"/>
    <w:rsid w:val="008E6070"/>
    <w:rsid w:val="008E6134"/>
    <w:rsid w:val="008E6197"/>
    <w:rsid w:val="008E7940"/>
    <w:rsid w:val="008F0293"/>
    <w:rsid w:val="008F1414"/>
    <w:rsid w:val="008F174F"/>
    <w:rsid w:val="008F256B"/>
    <w:rsid w:val="008F2684"/>
    <w:rsid w:val="008F361D"/>
    <w:rsid w:val="008F392D"/>
    <w:rsid w:val="008F441E"/>
    <w:rsid w:val="008F4866"/>
    <w:rsid w:val="008F4912"/>
    <w:rsid w:val="008F538B"/>
    <w:rsid w:val="008F5BEC"/>
    <w:rsid w:val="008F5F32"/>
    <w:rsid w:val="008F709B"/>
    <w:rsid w:val="009005BB"/>
    <w:rsid w:val="00902640"/>
    <w:rsid w:val="00902FB2"/>
    <w:rsid w:val="00903E4D"/>
    <w:rsid w:val="00904BB5"/>
    <w:rsid w:val="00905A1B"/>
    <w:rsid w:val="00905D77"/>
    <w:rsid w:val="00906157"/>
    <w:rsid w:val="0090666D"/>
    <w:rsid w:val="00906B4D"/>
    <w:rsid w:val="009072BC"/>
    <w:rsid w:val="00910BBC"/>
    <w:rsid w:val="00910BCF"/>
    <w:rsid w:val="00910EAC"/>
    <w:rsid w:val="00913FA1"/>
    <w:rsid w:val="00914847"/>
    <w:rsid w:val="0091499B"/>
    <w:rsid w:val="00914B0D"/>
    <w:rsid w:val="00915149"/>
    <w:rsid w:val="0091517B"/>
    <w:rsid w:val="00916D63"/>
    <w:rsid w:val="00917022"/>
    <w:rsid w:val="00917821"/>
    <w:rsid w:val="0092083E"/>
    <w:rsid w:val="00920B36"/>
    <w:rsid w:val="00921AE3"/>
    <w:rsid w:val="0092283F"/>
    <w:rsid w:val="00923256"/>
    <w:rsid w:val="009232C0"/>
    <w:rsid w:val="00923638"/>
    <w:rsid w:val="00924234"/>
    <w:rsid w:val="00924DF4"/>
    <w:rsid w:val="00925095"/>
    <w:rsid w:val="009278A1"/>
    <w:rsid w:val="00930C28"/>
    <w:rsid w:val="009321C8"/>
    <w:rsid w:val="009323F2"/>
    <w:rsid w:val="00932FB6"/>
    <w:rsid w:val="00934766"/>
    <w:rsid w:val="0093497C"/>
    <w:rsid w:val="00934EB8"/>
    <w:rsid w:val="00936631"/>
    <w:rsid w:val="00936963"/>
    <w:rsid w:val="00936C0A"/>
    <w:rsid w:val="00936CB6"/>
    <w:rsid w:val="00936E68"/>
    <w:rsid w:val="009377A9"/>
    <w:rsid w:val="00941224"/>
    <w:rsid w:val="00941234"/>
    <w:rsid w:val="00941DB6"/>
    <w:rsid w:val="00941EB7"/>
    <w:rsid w:val="009426B6"/>
    <w:rsid w:val="00942B10"/>
    <w:rsid w:val="00943A78"/>
    <w:rsid w:val="00943E32"/>
    <w:rsid w:val="00944240"/>
    <w:rsid w:val="00944306"/>
    <w:rsid w:val="00944695"/>
    <w:rsid w:val="009448BB"/>
    <w:rsid w:val="00944E28"/>
    <w:rsid w:val="009465FC"/>
    <w:rsid w:val="00946A4A"/>
    <w:rsid w:val="00946D24"/>
    <w:rsid w:val="00950609"/>
    <w:rsid w:val="00950839"/>
    <w:rsid w:val="00950CB2"/>
    <w:rsid w:val="009513DD"/>
    <w:rsid w:val="0095209D"/>
    <w:rsid w:val="009535E3"/>
    <w:rsid w:val="00953602"/>
    <w:rsid w:val="00954056"/>
    <w:rsid w:val="009545A3"/>
    <w:rsid w:val="009551F2"/>
    <w:rsid w:val="00955245"/>
    <w:rsid w:val="00955846"/>
    <w:rsid w:val="00956968"/>
    <w:rsid w:val="00957370"/>
    <w:rsid w:val="009573CA"/>
    <w:rsid w:val="00957F30"/>
    <w:rsid w:val="00960063"/>
    <w:rsid w:val="0096045D"/>
    <w:rsid w:val="00960C07"/>
    <w:rsid w:val="00960C10"/>
    <w:rsid w:val="009610B6"/>
    <w:rsid w:val="00961661"/>
    <w:rsid w:val="00963072"/>
    <w:rsid w:val="00963D08"/>
    <w:rsid w:val="00964ADF"/>
    <w:rsid w:val="0096510E"/>
    <w:rsid w:val="009653F0"/>
    <w:rsid w:val="00965681"/>
    <w:rsid w:val="009656BD"/>
    <w:rsid w:val="009659EC"/>
    <w:rsid w:val="009661BD"/>
    <w:rsid w:val="00967279"/>
    <w:rsid w:val="00967580"/>
    <w:rsid w:val="0096791A"/>
    <w:rsid w:val="00970BAB"/>
    <w:rsid w:val="00971845"/>
    <w:rsid w:val="00972738"/>
    <w:rsid w:val="00973172"/>
    <w:rsid w:val="00973D91"/>
    <w:rsid w:val="00973FA3"/>
    <w:rsid w:val="00974361"/>
    <w:rsid w:val="009749EF"/>
    <w:rsid w:val="0097618F"/>
    <w:rsid w:val="009770B5"/>
    <w:rsid w:val="0097722D"/>
    <w:rsid w:val="0097797D"/>
    <w:rsid w:val="00981487"/>
    <w:rsid w:val="009816B2"/>
    <w:rsid w:val="0098170D"/>
    <w:rsid w:val="00981AD5"/>
    <w:rsid w:val="00981BEB"/>
    <w:rsid w:val="009825A6"/>
    <w:rsid w:val="009826DC"/>
    <w:rsid w:val="00982911"/>
    <w:rsid w:val="00982FAC"/>
    <w:rsid w:val="0098382C"/>
    <w:rsid w:val="00983E39"/>
    <w:rsid w:val="009858CF"/>
    <w:rsid w:val="0098593E"/>
    <w:rsid w:val="00985D19"/>
    <w:rsid w:val="00987320"/>
    <w:rsid w:val="00987DBF"/>
    <w:rsid w:val="00992DBB"/>
    <w:rsid w:val="00993251"/>
    <w:rsid w:val="00993838"/>
    <w:rsid w:val="009939AF"/>
    <w:rsid w:val="0099463F"/>
    <w:rsid w:val="00996399"/>
    <w:rsid w:val="00996411"/>
    <w:rsid w:val="00997FC5"/>
    <w:rsid w:val="009A01F5"/>
    <w:rsid w:val="009A035D"/>
    <w:rsid w:val="009A06E4"/>
    <w:rsid w:val="009A0A46"/>
    <w:rsid w:val="009A0B64"/>
    <w:rsid w:val="009A0DE5"/>
    <w:rsid w:val="009A0E94"/>
    <w:rsid w:val="009A0EA2"/>
    <w:rsid w:val="009A0F46"/>
    <w:rsid w:val="009A179A"/>
    <w:rsid w:val="009A1B5D"/>
    <w:rsid w:val="009A21DA"/>
    <w:rsid w:val="009A2740"/>
    <w:rsid w:val="009A2840"/>
    <w:rsid w:val="009A289D"/>
    <w:rsid w:val="009A2B6B"/>
    <w:rsid w:val="009A41DF"/>
    <w:rsid w:val="009A4249"/>
    <w:rsid w:val="009A45B1"/>
    <w:rsid w:val="009A511B"/>
    <w:rsid w:val="009A5339"/>
    <w:rsid w:val="009A5CC1"/>
    <w:rsid w:val="009A6307"/>
    <w:rsid w:val="009A6AA5"/>
    <w:rsid w:val="009A7892"/>
    <w:rsid w:val="009A79AA"/>
    <w:rsid w:val="009B2858"/>
    <w:rsid w:val="009B48E8"/>
    <w:rsid w:val="009B694A"/>
    <w:rsid w:val="009B6C65"/>
    <w:rsid w:val="009B79E5"/>
    <w:rsid w:val="009C0661"/>
    <w:rsid w:val="009C0968"/>
    <w:rsid w:val="009C0CFC"/>
    <w:rsid w:val="009C1E8C"/>
    <w:rsid w:val="009C2D54"/>
    <w:rsid w:val="009C3292"/>
    <w:rsid w:val="009C36B6"/>
    <w:rsid w:val="009C3E5F"/>
    <w:rsid w:val="009C3EAB"/>
    <w:rsid w:val="009C4E42"/>
    <w:rsid w:val="009C52E2"/>
    <w:rsid w:val="009C5BBA"/>
    <w:rsid w:val="009C6400"/>
    <w:rsid w:val="009C6662"/>
    <w:rsid w:val="009C6B5E"/>
    <w:rsid w:val="009D0365"/>
    <w:rsid w:val="009D043A"/>
    <w:rsid w:val="009D0A06"/>
    <w:rsid w:val="009D0B1E"/>
    <w:rsid w:val="009D153F"/>
    <w:rsid w:val="009D2239"/>
    <w:rsid w:val="009D3735"/>
    <w:rsid w:val="009D5217"/>
    <w:rsid w:val="009D5242"/>
    <w:rsid w:val="009D609B"/>
    <w:rsid w:val="009D641C"/>
    <w:rsid w:val="009D662B"/>
    <w:rsid w:val="009D738D"/>
    <w:rsid w:val="009D73C4"/>
    <w:rsid w:val="009E01DA"/>
    <w:rsid w:val="009E0A53"/>
    <w:rsid w:val="009E0D85"/>
    <w:rsid w:val="009E10CA"/>
    <w:rsid w:val="009E5195"/>
    <w:rsid w:val="009E5A32"/>
    <w:rsid w:val="009E6FFE"/>
    <w:rsid w:val="009E7509"/>
    <w:rsid w:val="009E7BF4"/>
    <w:rsid w:val="009F0646"/>
    <w:rsid w:val="009F1AB5"/>
    <w:rsid w:val="009F2548"/>
    <w:rsid w:val="009F2623"/>
    <w:rsid w:val="009F27D9"/>
    <w:rsid w:val="009F32E3"/>
    <w:rsid w:val="009F3529"/>
    <w:rsid w:val="009F3A7D"/>
    <w:rsid w:val="009F4D04"/>
    <w:rsid w:val="009F4D97"/>
    <w:rsid w:val="009F56F4"/>
    <w:rsid w:val="009F61DA"/>
    <w:rsid w:val="009F649C"/>
    <w:rsid w:val="009F709D"/>
    <w:rsid w:val="009F77BB"/>
    <w:rsid w:val="00A00DA5"/>
    <w:rsid w:val="00A00E28"/>
    <w:rsid w:val="00A02130"/>
    <w:rsid w:val="00A025A0"/>
    <w:rsid w:val="00A03175"/>
    <w:rsid w:val="00A03995"/>
    <w:rsid w:val="00A0470C"/>
    <w:rsid w:val="00A0493F"/>
    <w:rsid w:val="00A051A8"/>
    <w:rsid w:val="00A05868"/>
    <w:rsid w:val="00A069F2"/>
    <w:rsid w:val="00A06FC1"/>
    <w:rsid w:val="00A075BF"/>
    <w:rsid w:val="00A10033"/>
    <w:rsid w:val="00A101F7"/>
    <w:rsid w:val="00A1043B"/>
    <w:rsid w:val="00A11B6F"/>
    <w:rsid w:val="00A12735"/>
    <w:rsid w:val="00A12932"/>
    <w:rsid w:val="00A132F2"/>
    <w:rsid w:val="00A135BC"/>
    <w:rsid w:val="00A14342"/>
    <w:rsid w:val="00A149BB"/>
    <w:rsid w:val="00A152AD"/>
    <w:rsid w:val="00A15DFA"/>
    <w:rsid w:val="00A15F79"/>
    <w:rsid w:val="00A161DD"/>
    <w:rsid w:val="00A17868"/>
    <w:rsid w:val="00A17C12"/>
    <w:rsid w:val="00A2057F"/>
    <w:rsid w:val="00A215D5"/>
    <w:rsid w:val="00A21658"/>
    <w:rsid w:val="00A21879"/>
    <w:rsid w:val="00A22ED2"/>
    <w:rsid w:val="00A23209"/>
    <w:rsid w:val="00A23979"/>
    <w:rsid w:val="00A24DA0"/>
    <w:rsid w:val="00A250AB"/>
    <w:rsid w:val="00A27303"/>
    <w:rsid w:val="00A275FE"/>
    <w:rsid w:val="00A27C26"/>
    <w:rsid w:val="00A30524"/>
    <w:rsid w:val="00A313FA"/>
    <w:rsid w:val="00A31B3C"/>
    <w:rsid w:val="00A33BFD"/>
    <w:rsid w:val="00A34746"/>
    <w:rsid w:val="00A3510D"/>
    <w:rsid w:val="00A36E32"/>
    <w:rsid w:val="00A36F3F"/>
    <w:rsid w:val="00A37E36"/>
    <w:rsid w:val="00A40B64"/>
    <w:rsid w:val="00A41181"/>
    <w:rsid w:val="00A42CF3"/>
    <w:rsid w:val="00A42D4D"/>
    <w:rsid w:val="00A43789"/>
    <w:rsid w:val="00A43BB2"/>
    <w:rsid w:val="00A44207"/>
    <w:rsid w:val="00A4426B"/>
    <w:rsid w:val="00A44AB0"/>
    <w:rsid w:val="00A44D43"/>
    <w:rsid w:val="00A44DD2"/>
    <w:rsid w:val="00A45017"/>
    <w:rsid w:val="00A45429"/>
    <w:rsid w:val="00A4581E"/>
    <w:rsid w:val="00A46875"/>
    <w:rsid w:val="00A47C7E"/>
    <w:rsid w:val="00A503EA"/>
    <w:rsid w:val="00A50623"/>
    <w:rsid w:val="00A50B1B"/>
    <w:rsid w:val="00A50BCF"/>
    <w:rsid w:val="00A50E95"/>
    <w:rsid w:val="00A51108"/>
    <w:rsid w:val="00A51398"/>
    <w:rsid w:val="00A526C6"/>
    <w:rsid w:val="00A52AA3"/>
    <w:rsid w:val="00A53B4D"/>
    <w:rsid w:val="00A5475B"/>
    <w:rsid w:val="00A54A27"/>
    <w:rsid w:val="00A550D5"/>
    <w:rsid w:val="00A55169"/>
    <w:rsid w:val="00A55ACC"/>
    <w:rsid w:val="00A56399"/>
    <w:rsid w:val="00A5672F"/>
    <w:rsid w:val="00A567D4"/>
    <w:rsid w:val="00A56BBE"/>
    <w:rsid w:val="00A57DFA"/>
    <w:rsid w:val="00A60F0B"/>
    <w:rsid w:val="00A61BB0"/>
    <w:rsid w:val="00A62B18"/>
    <w:rsid w:val="00A640C6"/>
    <w:rsid w:val="00A648AC"/>
    <w:rsid w:val="00A65590"/>
    <w:rsid w:val="00A66F40"/>
    <w:rsid w:val="00A675CA"/>
    <w:rsid w:val="00A67789"/>
    <w:rsid w:val="00A6791D"/>
    <w:rsid w:val="00A7027F"/>
    <w:rsid w:val="00A713BB"/>
    <w:rsid w:val="00A71881"/>
    <w:rsid w:val="00A7249D"/>
    <w:rsid w:val="00A72AB3"/>
    <w:rsid w:val="00A72D05"/>
    <w:rsid w:val="00A73A12"/>
    <w:rsid w:val="00A746DE"/>
    <w:rsid w:val="00A751EA"/>
    <w:rsid w:val="00A75A93"/>
    <w:rsid w:val="00A76CCE"/>
    <w:rsid w:val="00A806F1"/>
    <w:rsid w:val="00A80BB5"/>
    <w:rsid w:val="00A839FA"/>
    <w:rsid w:val="00A83CD9"/>
    <w:rsid w:val="00A83FAD"/>
    <w:rsid w:val="00A847E6"/>
    <w:rsid w:val="00A84E98"/>
    <w:rsid w:val="00A9042C"/>
    <w:rsid w:val="00A91456"/>
    <w:rsid w:val="00A91BDA"/>
    <w:rsid w:val="00A92265"/>
    <w:rsid w:val="00A92B1A"/>
    <w:rsid w:val="00A93EE2"/>
    <w:rsid w:val="00A946B4"/>
    <w:rsid w:val="00A95799"/>
    <w:rsid w:val="00A96296"/>
    <w:rsid w:val="00A9721D"/>
    <w:rsid w:val="00A9725A"/>
    <w:rsid w:val="00AA0A26"/>
    <w:rsid w:val="00AA18A2"/>
    <w:rsid w:val="00AA2097"/>
    <w:rsid w:val="00AA2599"/>
    <w:rsid w:val="00AA2964"/>
    <w:rsid w:val="00AA3CEF"/>
    <w:rsid w:val="00AA6E43"/>
    <w:rsid w:val="00AA7834"/>
    <w:rsid w:val="00AA79E3"/>
    <w:rsid w:val="00AB0938"/>
    <w:rsid w:val="00AB0C5D"/>
    <w:rsid w:val="00AB2333"/>
    <w:rsid w:val="00AB2CFF"/>
    <w:rsid w:val="00AB32DA"/>
    <w:rsid w:val="00AB33DB"/>
    <w:rsid w:val="00AB3437"/>
    <w:rsid w:val="00AB384A"/>
    <w:rsid w:val="00AB3A3B"/>
    <w:rsid w:val="00AB3B1B"/>
    <w:rsid w:val="00AB4076"/>
    <w:rsid w:val="00AB44E0"/>
    <w:rsid w:val="00AB465D"/>
    <w:rsid w:val="00AB5216"/>
    <w:rsid w:val="00AB5520"/>
    <w:rsid w:val="00AB58AE"/>
    <w:rsid w:val="00AB590A"/>
    <w:rsid w:val="00AB5931"/>
    <w:rsid w:val="00AB5FD7"/>
    <w:rsid w:val="00AB6F20"/>
    <w:rsid w:val="00AB74B3"/>
    <w:rsid w:val="00AB7539"/>
    <w:rsid w:val="00AC07E0"/>
    <w:rsid w:val="00AC0E7F"/>
    <w:rsid w:val="00AC3537"/>
    <w:rsid w:val="00AC37FA"/>
    <w:rsid w:val="00AC4072"/>
    <w:rsid w:val="00AC64B2"/>
    <w:rsid w:val="00AC666D"/>
    <w:rsid w:val="00AC7193"/>
    <w:rsid w:val="00AC71F1"/>
    <w:rsid w:val="00AC7A65"/>
    <w:rsid w:val="00AC7F97"/>
    <w:rsid w:val="00AD01C4"/>
    <w:rsid w:val="00AD0EC4"/>
    <w:rsid w:val="00AD2572"/>
    <w:rsid w:val="00AD2776"/>
    <w:rsid w:val="00AD2A4A"/>
    <w:rsid w:val="00AD39CE"/>
    <w:rsid w:val="00AD3A44"/>
    <w:rsid w:val="00AD3A72"/>
    <w:rsid w:val="00AD3E7A"/>
    <w:rsid w:val="00AD4D8A"/>
    <w:rsid w:val="00AD4F47"/>
    <w:rsid w:val="00AD5288"/>
    <w:rsid w:val="00AD69F5"/>
    <w:rsid w:val="00AE0235"/>
    <w:rsid w:val="00AE0389"/>
    <w:rsid w:val="00AE0BB2"/>
    <w:rsid w:val="00AE0BF3"/>
    <w:rsid w:val="00AE0E4D"/>
    <w:rsid w:val="00AE10F5"/>
    <w:rsid w:val="00AE11DC"/>
    <w:rsid w:val="00AE14B2"/>
    <w:rsid w:val="00AE268E"/>
    <w:rsid w:val="00AE2E9A"/>
    <w:rsid w:val="00AE37D9"/>
    <w:rsid w:val="00AE4A58"/>
    <w:rsid w:val="00AE5B50"/>
    <w:rsid w:val="00AE5B8E"/>
    <w:rsid w:val="00AE6D5F"/>
    <w:rsid w:val="00AE778D"/>
    <w:rsid w:val="00AE7C3D"/>
    <w:rsid w:val="00AE7FF1"/>
    <w:rsid w:val="00AF03C1"/>
    <w:rsid w:val="00AF041C"/>
    <w:rsid w:val="00AF0674"/>
    <w:rsid w:val="00AF0E15"/>
    <w:rsid w:val="00AF1A7F"/>
    <w:rsid w:val="00AF28BB"/>
    <w:rsid w:val="00AF2AE2"/>
    <w:rsid w:val="00AF38AA"/>
    <w:rsid w:val="00AF3F55"/>
    <w:rsid w:val="00AF4074"/>
    <w:rsid w:val="00AF6545"/>
    <w:rsid w:val="00AF790A"/>
    <w:rsid w:val="00B000C2"/>
    <w:rsid w:val="00B000EB"/>
    <w:rsid w:val="00B00105"/>
    <w:rsid w:val="00B001A8"/>
    <w:rsid w:val="00B00707"/>
    <w:rsid w:val="00B030E7"/>
    <w:rsid w:val="00B0399B"/>
    <w:rsid w:val="00B0437F"/>
    <w:rsid w:val="00B048D3"/>
    <w:rsid w:val="00B04DDE"/>
    <w:rsid w:val="00B055AD"/>
    <w:rsid w:val="00B0607B"/>
    <w:rsid w:val="00B067E6"/>
    <w:rsid w:val="00B11B75"/>
    <w:rsid w:val="00B1208D"/>
    <w:rsid w:val="00B12355"/>
    <w:rsid w:val="00B1262D"/>
    <w:rsid w:val="00B133B6"/>
    <w:rsid w:val="00B15653"/>
    <w:rsid w:val="00B1588A"/>
    <w:rsid w:val="00B15950"/>
    <w:rsid w:val="00B16DE4"/>
    <w:rsid w:val="00B1737E"/>
    <w:rsid w:val="00B175FE"/>
    <w:rsid w:val="00B21B44"/>
    <w:rsid w:val="00B236E8"/>
    <w:rsid w:val="00B239A9"/>
    <w:rsid w:val="00B23ED5"/>
    <w:rsid w:val="00B24B34"/>
    <w:rsid w:val="00B256A7"/>
    <w:rsid w:val="00B2596E"/>
    <w:rsid w:val="00B262B4"/>
    <w:rsid w:val="00B263D3"/>
    <w:rsid w:val="00B2682E"/>
    <w:rsid w:val="00B272D5"/>
    <w:rsid w:val="00B27668"/>
    <w:rsid w:val="00B2792F"/>
    <w:rsid w:val="00B3043E"/>
    <w:rsid w:val="00B31722"/>
    <w:rsid w:val="00B319AA"/>
    <w:rsid w:val="00B32B06"/>
    <w:rsid w:val="00B33693"/>
    <w:rsid w:val="00B33A13"/>
    <w:rsid w:val="00B34F1B"/>
    <w:rsid w:val="00B3654C"/>
    <w:rsid w:val="00B3656A"/>
    <w:rsid w:val="00B375E2"/>
    <w:rsid w:val="00B3764A"/>
    <w:rsid w:val="00B37A99"/>
    <w:rsid w:val="00B404DD"/>
    <w:rsid w:val="00B40E1B"/>
    <w:rsid w:val="00B4119E"/>
    <w:rsid w:val="00B427BD"/>
    <w:rsid w:val="00B42D82"/>
    <w:rsid w:val="00B433CD"/>
    <w:rsid w:val="00B4387D"/>
    <w:rsid w:val="00B439AE"/>
    <w:rsid w:val="00B43BFA"/>
    <w:rsid w:val="00B43D3F"/>
    <w:rsid w:val="00B44566"/>
    <w:rsid w:val="00B44666"/>
    <w:rsid w:val="00B455BE"/>
    <w:rsid w:val="00B466F9"/>
    <w:rsid w:val="00B46CD3"/>
    <w:rsid w:val="00B46D34"/>
    <w:rsid w:val="00B47E52"/>
    <w:rsid w:val="00B50263"/>
    <w:rsid w:val="00B50AFD"/>
    <w:rsid w:val="00B50D50"/>
    <w:rsid w:val="00B51763"/>
    <w:rsid w:val="00B52127"/>
    <w:rsid w:val="00B535B9"/>
    <w:rsid w:val="00B54A08"/>
    <w:rsid w:val="00B56D2C"/>
    <w:rsid w:val="00B57B4C"/>
    <w:rsid w:val="00B57E30"/>
    <w:rsid w:val="00B60368"/>
    <w:rsid w:val="00B60B07"/>
    <w:rsid w:val="00B60F76"/>
    <w:rsid w:val="00B61722"/>
    <w:rsid w:val="00B626EA"/>
    <w:rsid w:val="00B62720"/>
    <w:rsid w:val="00B62C90"/>
    <w:rsid w:val="00B62F42"/>
    <w:rsid w:val="00B62FB9"/>
    <w:rsid w:val="00B63128"/>
    <w:rsid w:val="00B63863"/>
    <w:rsid w:val="00B63A75"/>
    <w:rsid w:val="00B646A5"/>
    <w:rsid w:val="00B64E7C"/>
    <w:rsid w:val="00B65A48"/>
    <w:rsid w:val="00B665B8"/>
    <w:rsid w:val="00B66CE2"/>
    <w:rsid w:val="00B704F5"/>
    <w:rsid w:val="00B7050F"/>
    <w:rsid w:val="00B70C16"/>
    <w:rsid w:val="00B715BF"/>
    <w:rsid w:val="00B71EA4"/>
    <w:rsid w:val="00B71FFF"/>
    <w:rsid w:val="00B72817"/>
    <w:rsid w:val="00B72A52"/>
    <w:rsid w:val="00B72B68"/>
    <w:rsid w:val="00B730B2"/>
    <w:rsid w:val="00B730F4"/>
    <w:rsid w:val="00B7541E"/>
    <w:rsid w:val="00B7615C"/>
    <w:rsid w:val="00B767E9"/>
    <w:rsid w:val="00B767F5"/>
    <w:rsid w:val="00B7680F"/>
    <w:rsid w:val="00B7749E"/>
    <w:rsid w:val="00B776E9"/>
    <w:rsid w:val="00B77C89"/>
    <w:rsid w:val="00B8047F"/>
    <w:rsid w:val="00B816FB"/>
    <w:rsid w:val="00B819B9"/>
    <w:rsid w:val="00B82860"/>
    <w:rsid w:val="00B828A5"/>
    <w:rsid w:val="00B82FDC"/>
    <w:rsid w:val="00B83E21"/>
    <w:rsid w:val="00B8411E"/>
    <w:rsid w:val="00B85702"/>
    <w:rsid w:val="00B857E5"/>
    <w:rsid w:val="00B85BE3"/>
    <w:rsid w:val="00B86086"/>
    <w:rsid w:val="00B86626"/>
    <w:rsid w:val="00B86EB3"/>
    <w:rsid w:val="00B87564"/>
    <w:rsid w:val="00B87E8B"/>
    <w:rsid w:val="00B90BA4"/>
    <w:rsid w:val="00B91BF1"/>
    <w:rsid w:val="00B921E7"/>
    <w:rsid w:val="00B92943"/>
    <w:rsid w:val="00B92E2F"/>
    <w:rsid w:val="00B92F96"/>
    <w:rsid w:val="00B9354F"/>
    <w:rsid w:val="00B94979"/>
    <w:rsid w:val="00B949E7"/>
    <w:rsid w:val="00B94AAA"/>
    <w:rsid w:val="00B956B5"/>
    <w:rsid w:val="00B9656E"/>
    <w:rsid w:val="00B966B5"/>
    <w:rsid w:val="00B96DA7"/>
    <w:rsid w:val="00B97C2F"/>
    <w:rsid w:val="00BA0818"/>
    <w:rsid w:val="00BA147B"/>
    <w:rsid w:val="00BA1C2C"/>
    <w:rsid w:val="00BA246D"/>
    <w:rsid w:val="00BA35C9"/>
    <w:rsid w:val="00BA4BEA"/>
    <w:rsid w:val="00BA4CDF"/>
    <w:rsid w:val="00BA4E0A"/>
    <w:rsid w:val="00BA5938"/>
    <w:rsid w:val="00BA63CB"/>
    <w:rsid w:val="00BA7652"/>
    <w:rsid w:val="00BA766B"/>
    <w:rsid w:val="00BA7D7B"/>
    <w:rsid w:val="00BB090D"/>
    <w:rsid w:val="00BB0ED5"/>
    <w:rsid w:val="00BB0FAE"/>
    <w:rsid w:val="00BB1914"/>
    <w:rsid w:val="00BB1A59"/>
    <w:rsid w:val="00BB2294"/>
    <w:rsid w:val="00BB22B2"/>
    <w:rsid w:val="00BB309D"/>
    <w:rsid w:val="00BB30B2"/>
    <w:rsid w:val="00BB35CC"/>
    <w:rsid w:val="00BB3C2D"/>
    <w:rsid w:val="00BB3F35"/>
    <w:rsid w:val="00BB608F"/>
    <w:rsid w:val="00BC290F"/>
    <w:rsid w:val="00BC299B"/>
    <w:rsid w:val="00BC2CD0"/>
    <w:rsid w:val="00BC365C"/>
    <w:rsid w:val="00BC4037"/>
    <w:rsid w:val="00BC43B4"/>
    <w:rsid w:val="00BC4C4D"/>
    <w:rsid w:val="00BC5005"/>
    <w:rsid w:val="00BC6022"/>
    <w:rsid w:val="00BC6751"/>
    <w:rsid w:val="00BC75D5"/>
    <w:rsid w:val="00BD000A"/>
    <w:rsid w:val="00BD216D"/>
    <w:rsid w:val="00BD2239"/>
    <w:rsid w:val="00BD2704"/>
    <w:rsid w:val="00BD29BE"/>
    <w:rsid w:val="00BD366C"/>
    <w:rsid w:val="00BD3887"/>
    <w:rsid w:val="00BD3EFB"/>
    <w:rsid w:val="00BD488C"/>
    <w:rsid w:val="00BD4E3B"/>
    <w:rsid w:val="00BD4F2F"/>
    <w:rsid w:val="00BD5A56"/>
    <w:rsid w:val="00BD5FAB"/>
    <w:rsid w:val="00BD6071"/>
    <w:rsid w:val="00BD6678"/>
    <w:rsid w:val="00BD6A32"/>
    <w:rsid w:val="00BD6AA1"/>
    <w:rsid w:val="00BD7593"/>
    <w:rsid w:val="00BD7FAE"/>
    <w:rsid w:val="00BE0967"/>
    <w:rsid w:val="00BE09C8"/>
    <w:rsid w:val="00BE0A92"/>
    <w:rsid w:val="00BE283A"/>
    <w:rsid w:val="00BE2C25"/>
    <w:rsid w:val="00BE2E37"/>
    <w:rsid w:val="00BE3060"/>
    <w:rsid w:val="00BE336E"/>
    <w:rsid w:val="00BE342F"/>
    <w:rsid w:val="00BE3984"/>
    <w:rsid w:val="00BE3B2A"/>
    <w:rsid w:val="00BE4C28"/>
    <w:rsid w:val="00BE51D8"/>
    <w:rsid w:val="00BE52C0"/>
    <w:rsid w:val="00BE570F"/>
    <w:rsid w:val="00BE66CF"/>
    <w:rsid w:val="00BE74FE"/>
    <w:rsid w:val="00BF000C"/>
    <w:rsid w:val="00BF10B3"/>
    <w:rsid w:val="00BF120F"/>
    <w:rsid w:val="00BF1635"/>
    <w:rsid w:val="00BF17FA"/>
    <w:rsid w:val="00BF253B"/>
    <w:rsid w:val="00BF2B9A"/>
    <w:rsid w:val="00BF2C07"/>
    <w:rsid w:val="00BF3785"/>
    <w:rsid w:val="00BF3E1B"/>
    <w:rsid w:val="00BF52D6"/>
    <w:rsid w:val="00BF7044"/>
    <w:rsid w:val="00BF7202"/>
    <w:rsid w:val="00BF74E5"/>
    <w:rsid w:val="00C00312"/>
    <w:rsid w:val="00C00384"/>
    <w:rsid w:val="00C00DD2"/>
    <w:rsid w:val="00C02164"/>
    <w:rsid w:val="00C02B6B"/>
    <w:rsid w:val="00C034FE"/>
    <w:rsid w:val="00C04942"/>
    <w:rsid w:val="00C04F94"/>
    <w:rsid w:val="00C051E2"/>
    <w:rsid w:val="00C069B4"/>
    <w:rsid w:val="00C06A43"/>
    <w:rsid w:val="00C076D1"/>
    <w:rsid w:val="00C10387"/>
    <w:rsid w:val="00C11103"/>
    <w:rsid w:val="00C1130F"/>
    <w:rsid w:val="00C116F5"/>
    <w:rsid w:val="00C117C5"/>
    <w:rsid w:val="00C118AD"/>
    <w:rsid w:val="00C119AD"/>
    <w:rsid w:val="00C11EE2"/>
    <w:rsid w:val="00C12C03"/>
    <w:rsid w:val="00C1348F"/>
    <w:rsid w:val="00C13749"/>
    <w:rsid w:val="00C13F6C"/>
    <w:rsid w:val="00C13FBF"/>
    <w:rsid w:val="00C14CF8"/>
    <w:rsid w:val="00C15C55"/>
    <w:rsid w:val="00C15ED1"/>
    <w:rsid w:val="00C161B7"/>
    <w:rsid w:val="00C1728E"/>
    <w:rsid w:val="00C176AE"/>
    <w:rsid w:val="00C179E5"/>
    <w:rsid w:val="00C17BB0"/>
    <w:rsid w:val="00C17D29"/>
    <w:rsid w:val="00C2011C"/>
    <w:rsid w:val="00C205D4"/>
    <w:rsid w:val="00C21AF0"/>
    <w:rsid w:val="00C23151"/>
    <w:rsid w:val="00C23B5B"/>
    <w:rsid w:val="00C244DE"/>
    <w:rsid w:val="00C2587B"/>
    <w:rsid w:val="00C25DF8"/>
    <w:rsid w:val="00C26DB9"/>
    <w:rsid w:val="00C27C89"/>
    <w:rsid w:val="00C30531"/>
    <w:rsid w:val="00C30B5E"/>
    <w:rsid w:val="00C3155F"/>
    <w:rsid w:val="00C31E6E"/>
    <w:rsid w:val="00C32477"/>
    <w:rsid w:val="00C332B3"/>
    <w:rsid w:val="00C344AF"/>
    <w:rsid w:val="00C36090"/>
    <w:rsid w:val="00C36D89"/>
    <w:rsid w:val="00C37103"/>
    <w:rsid w:val="00C373E0"/>
    <w:rsid w:val="00C402AC"/>
    <w:rsid w:val="00C407E5"/>
    <w:rsid w:val="00C41070"/>
    <w:rsid w:val="00C412D6"/>
    <w:rsid w:val="00C41546"/>
    <w:rsid w:val="00C41A04"/>
    <w:rsid w:val="00C4231D"/>
    <w:rsid w:val="00C4300D"/>
    <w:rsid w:val="00C43CCF"/>
    <w:rsid w:val="00C43D06"/>
    <w:rsid w:val="00C444EB"/>
    <w:rsid w:val="00C44CAE"/>
    <w:rsid w:val="00C44D29"/>
    <w:rsid w:val="00C45711"/>
    <w:rsid w:val="00C462EE"/>
    <w:rsid w:val="00C46508"/>
    <w:rsid w:val="00C4689D"/>
    <w:rsid w:val="00C46954"/>
    <w:rsid w:val="00C46D6B"/>
    <w:rsid w:val="00C47C92"/>
    <w:rsid w:val="00C507CD"/>
    <w:rsid w:val="00C50C71"/>
    <w:rsid w:val="00C50DF8"/>
    <w:rsid w:val="00C536BD"/>
    <w:rsid w:val="00C5450B"/>
    <w:rsid w:val="00C551C4"/>
    <w:rsid w:val="00C55341"/>
    <w:rsid w:val="00C554BC"/>
    <w:rsid w:val="00C56915"/>
    <w:rsid w:val="00C56A0F"/>
    <w:rsid w:val="00C56CED"/>
    <w:rsid w:val="00C56DC4"/>
    <w:rsid w:val="00C57896"/>
    <w:rsid w:val="00C6142B"/>
    <w:rsid w:val="00C62193"/>
    <w:rsid w:val="00C62A10"/>
    <w:rsid w:val="00C63185"/>
    <w:rsid w:val="00C6464A"/>
    <w:rsid w:val="00C65134"/>
    <w:rsid w:val="00C65432"/>
    <w:rsid w:val="00C6543B"/>
    <w:rsid w:val="00C65C48"/>
    <w:rsid w:val="00C65C72"/>
    <w:rsid w:val="00C6632D"/>
    <w:rsid w:val="00C67C76"/>
    <w:rsid w:val="00C703F6"/>
    <w:rsid w:val="00C71036"/>
    <w:rsid w:val="00C71DCC"/>
    <w:rsid w:val="00C729A3"/>
    <w:rsid w:val="00C72A0C"/>
    <w:rsid w:val="00C72ABC"/>
    <w:rsid w:val="00C73CEE"/>
    <w:rsid w:val="00C751FB"/>
    <w:rsid w:val="00C75694"/>
    <w:rsid w:val="00C759CF"/>
    <w:rsid w:val="00C75D46"/>
    <w:rsid w:val="00C7651C"/>
    <w:rsid w:val="00C77136"/>
    <w:rsid w:val="00C77EFF"/>
    <w:rsid w:val="00C805B6"/>
    <w:rsid w:val="00C82540"/>
    <w:rsid w:val="00C825A9"/>
    <w:rsid w:val="00C8279B"/>
    <w:rsid w:val="00C82C9C"/>
    <w:rsid w:val="00C83210"/>
    <w:rsid w:val="00C833C8"/>
    <w:rsid w:val="00C84422"/>
    <w:rsid w:val="00C84EE8"/>
    <w:rsid w:val="00C9022C"/>
    <w:rsid w:val="00C903A8"/>
    <w:rsid w:val="00C90847"/>
    <w:rsid w:val="00C90E29"/>
    <w:rsid w:val="00C913D4"/>
    <w:rsid w:val="00C9183A"/>
    <w:rsid w:val="00C921AA"/>
    <w:rsid w:val="00C92CF0"/>
    <w:rsid w:val="00C936F8"/>
    <w:rsid w:val="00C9436F"/>
    <w:rsid w:val="00C94CE5"/>
    <w:rsid w:val="00C95AE9"/>
    <w:rsid w:val="00C95F8E"/>
    <w:rsid w:val="00C96213"/>
    <w:rsid w:val="00C97FCB"/>
    <w:rsid w:val="00CA0173"/>
    <w:rsid w:val="00CA0B22"/>
    <w:rsid w:val="00CA0CA1"/>
    <w:rsid w:val="00CA105A"/>
    <w:rsid w:val="00CA3732"/>
    <w:rsid w:val="00CA37B4"/>
    <w:rsid w:val="00CA37C4"/>
    <w:rsid w:val="00CA406F"/>
    <w:rsid w:val="00CA44B3"/>
    <w:rsid w:val="00CA5032"/>
    <w:rsid w:val="00CB06BD"/>
    <w:rsid w:val="00CB07E7"/>
    <w:rsid w:val="00CB2479"/>
    <w:rsid w:val="00CB26EA"/>
    <w:rsid w:val="00CB27A6"/>
    <w:rsid w:val="00CB2F00"/>
    <w:rsid w:val="00CB3D8F"/>
    <w:rsid w:val="00CB41D6"/>
    <w:rsid w:val="00CB4672"/>
    <w:rsid w:val="00CB4CD5"/>
    <w:rsid w:val="00CB502E"/>
    <w:rsid w:val="00CB5192"/>
    <w:rsid w:val="00CB56B8"/>
    <w:rsid w:val="00CB691B"/>
    <w:rsid w:val="00CB6C30"/>
    <w:rsid w:val="00CB7545"/>
    <w:rsid w:val="00CC0677"/>
    <w:rsid w:val="00CC161C"/>
    <w:rsid w:val="00CC1E7D"/>
    <w:rsid w:val="00CC28BF"/>
    <w:rsid w:val="00CC307C"/>
    <w:rsid w:val="00CC4D39"/>
    <w:rsid w:val="00CC4E37"/>
    <w:rsid w:val="00CC5328"/>
    <w:rsid w:val="00CC7C3D"/>
    <w:rsid w:val="00CD0475"/>
    <w:rsid w:val="00CD15D6"/>
    <w:rsid w:val="00CD1B53"/>
    <w:rsid w:val="00CD2A7F"/>
    <w:rsid w:val="00CD32A6"/>
    <w:rsid w:val="00CD3479"/>
    <w:rsid w:val="00CD4159"/>
    <w:rsid w:val="00CD4774"/>
    <w:rsid w:val="00CD5159"/>
    <w:rsid w:val="00CD5435"/>
    <w:rsid w:val="00CD5F3F"/>
    <w:rsid w:val="00CD67C4"/>
    <w:rsid w:val="00CD77D2"/>
    <w:rsid w:val="00CE0DE1"/>
    <w:rsid w:val="00CE0F3D"/>
    <w:rsid w:val="00CE13A6"/>
    <w:rsid w:val="00CE3F47"/>
    <w:rsid w:val="00CE5585"/>
    <w:rsid w:val="00CE592F"/>
    <w:rsid w:val="00CE72FD"/>
    <w:rsid w:val="00CE741A"/>
    <w:rsid w:val="00CE792A"/>
    <w:rsid w:val="00CE7C23"/>
    <w:rsid w:val="00CE7E99"/>
    <w:rsid w:val="00CF06E5"/>
    <w:rsid w:val="00CF07F5"/>
    <w:rsid w:val="00CF0D08"/>
    <w:rsid w:val="00CF0DA8"/>
    <w:rsid w:val="00CF1D86"/>
    <w:rsid w:val="00CF1DE9"/>
    <w:rsid w:val="00CF22CC"/>
    <w:rsid w:val="00CF3779"/>
    <w:rsid w:val="00CF563B"/>
    <w:rsid w:val="00CF5ACA"/>
    <w:rsid w:val="00CF6B6F"/>
    <w:rsid w:val="00CF7733"/>
    <w:rsid w:val="00CF7800"/>
    <w:rsid w:val="00D00744"/>
    <w:rsid w:val="00D00776"/>
    <w:rsid w:val="00D01F26"/>
    <w:rsid w:val="00D02389"/>
    <w:rsid w:val="00D0247C"/>
    <w:rsid w:val="00D03918"/>
    <w:rsid w:val="00D040F6"/>
    <w:rsid w:val="00D0437C"/>
    <w:rsid w:val="00D047C9"/>
    <w:rsid w:val="00D0523F"/>
    <w:rsid w:val="00D05A66"/>
    <w:rsid w:val="00D06017"/>
    <w:rsid w:val="00D06217"/>
    <w:rsid w:val="00D06EE9"/>
    <w:rsid w:val="00D06FA1"/>
    <w:rsid w:val="00D070FE"/>
    <w:rsid w:val="00D07660"/>
    <w:rsid w:val="00D07D9A"/>
    <w:rsid w:val="00D07DFA"/>
    <w:rsid w:val="00D10773"/>
    <w:rsid w:val="00D12916"/>
    <w:rsid w:val="00D12C34"/>
    <w:rsid w:val="00D143B8"/>
    <w:rsid w:val="00D155A0"/>
    <w:rsid w:val="00D15DAB"/>
    <w:rsid w:val="00D16581"/>
    <w:rsid w:val="00D1738F"/>
    <w:rsid w:val="00D21527"/>
    <w:rsid w:val="00D21FAF"/>
    <w:rsid w:val="00D22123"/>
    <w:rsid w:val="00D234FF"/>
    <w:rsid w:val="00D23E5C"/>
    <w:rsid w:val="00D25077"/>
    <w:rsid w:val="00D25896"/>
    <w:rsid w:val="00D264D7"/>
    <w:rsid w:val="00D26741"/>
    <w:rsid w:val="00D268A6"/>
    <w:rsid w:val="00D26901"/>
    <w:rsid w:val="00D26E9E"/>
    <w:rsid w:val="00D27604"/>
    <w:rsid w:val="00D27990"/>
    <w:rsid w:val="00D31141"/>
    <w:rsid w:val="00D31AC7"/>
    <w:rsid w:val="00D31AD1"/>
    <w:rsid w:val="00D31F94"/>
    <w:rsid w:val="00D3206E"/>
    <w:rsid w:val="00D324AF"/>
    <w:rsid w:val="00D324CF"/>
    <w:rsid w:val="00D32E89"/>
    <w:rsid w:val="00D339C5"/>
    <w:rsid w:val="00D3412B"/>
    <w:rsid w:val="00D34D8E"/>
    <w:rsid w:val="00D35497"/>
    <w:rsid w:val="00D3583F"/>
    <w:rsid w:val="00D36F13"/>
    <w:rsid w:val="00D37703"/>
    <w:rsid w:val="00D37DED"/>
    <w:rsid w:val="00D40CDF"/>
    <w:rsid w:val="00D40ECF"/>
    <w:rsid w:val="00D42DA3"/>
    <w:rsid w:val="00D43B94"/>
    <w:rsid w:val="00D43C04"/>
    <w:rsid w:val="00D43E03"/>
    <w:rsid w:val="00D44B89"/>
    <w:rsid w:val="00D45A85"/>
    <w:rsid w:val="00D45D31"/>
    <w:rsid w:val="00D46F90"/>
    <w:rsid w:val="00D4708C"/>
    <w:rsid w:val="00D5009B"/>
    <w:rsid w:val="00D504A5"/>
    <w:rsid w:val="00D50F41"/>
    <w:rsid w:val="00D50FA7"/>
    <w:rsid w:val="00D5156D"/>
    <w:rsid w:val="00D5184C"/>
    <w:rsid w:val="00D52358"/>
    <w:rsid w:val="00D52916"/>
    <w:rsid w:val="00D52A67"/>
    <w:rsid w:val="00D52AEA"/>
    <w:rsid w:val="00D52E01"/>
    <w:rsid w:val="00D52E72"/>
    <w:rsid w:val="00D534ED"/>
    <w:rsid w:val="00D5362F"/>
    <w:rsid w:val="00D53FFD"/>
    <w:rsid w:val="00D5423C"/>
    <w:rsid w:val="00D544F8"/>
    <w:rsid w:val="00D547CA"/>
    <w:rsid w:val="00D556D2"/>
    <w:rsid w:val="00D56473"/>
    <w:rsid w:val="00D57D17"/>
    <w:rsid w:val="00D603D0"/>
    <w:rsid w:val="00D61679"/>
    <w:rsid w:val="00D6308A"/>
    <w:rsid w:val="00D630DD"/>
    <w:rsid w:val="00D6313F"/>
    <w:rsid w:val="00D632EB"/>
    <w:rsid w:val="00D63344"/>
    <w:rsid w:val="00D64005"/>
    <w:rsid w:val="00D647A9"/>
    <w:rsid w:val="00D64CBA"/>
    <w:rsid w:val="00D654D0"/>
    <w:rsid w:val="00D665CB"/>
    <w:rsid w:val="00D66B84"/>
    <w:rsid w:val="00D67C44"/>
    <w:rsid w:val="00D7066C"/>
    <w:rsid w:val="00D7197D"/>
    <w:rsid w:val="00D719E6"/>
    <w:rsid w:val="00D721F5"/>
    <w:rsid w:val="00D72381"/>
    <w:rsid w:val="00D7357C"/>
    <w:rsid w:val="00D74B7F"/>
    <w:rsid w:val="00D763E5"/>
    <w:rsid w:val="00D76C89"/>
    <w:rsid w:val="00D76D26"/>
    <w:rsid w:val="00D76EC5"/>
    <w:rsid w:val="00D80BE9"/>
    <w:rsid w:val="00D80FFD"/>
    <w:rsid w:val="00D813C3"/>
    <w:rsid w:val="00D81937"/>
    <w:rsid w:val="00D8214A"/>
    <w:rsid w:val="00D82BF9"/>
    <w:rsid w:val="00D84F7E"/>
    <w:rsid w:val="00D851EE"/>
    <w:rsid w:val="00D85A35"/>
    <w:rsid w:val="00D85B9B"/>
    <w:rsid w:val="00D85DAF"/>
    <w:rsid w:val="00D85DEE"/>
    <w:rsid w:val="00D8630F"/>
    <w:rsid w:val="00D87024"/>
    <w:rsid w:val="00D90D8E"/>
    <w:rsid w:val="00D90E03"/>
    <w:rsid w:val="00D9161E"/>
    <w:rsid w:val="00D91A4D"/>
    <w:rsid w:val="00D91D71"/>
    <w:rsid w:val="00D922FE"/>
    <w:rsid w:val="00D93F32"/>
    <w:rsid w:val="00D93FE1"/>
    <w:rsid w:val="00D94A62"/>
    <w:rsid w:val="00D9535B"/>
    <w:rsid w:val="00D95B34"/>
    <w:rsid w:val="00D95C91"/>
    <w:rsid w:val="00D95CD9"/>
    <w:rsid w:val="00D96968"/>
    <w:rsid w:val="00D96B5A"/>
    <w:rsid w:val="00D977BC"/>
    <w:rsid w:val="00D979E2"/>
    <w:rsid w:val="00DA0D3A"/>
    <w:rsid w:val="00DA149C"/>
    <w:rsid w:val="00DA2858"/>
    <w:rsid w:val="00DA2939"/>
    <w:rsid w:val="00DA2CCF"/>
    <w:rsid w:val="00DA2E20"/>
    <w:rsid w:val="00DA2F0E"/>
    <w:rsid w:val="00DA37FD"/>
    <w:rsid w:val="00DA3D4F"/>
    <w:rsid w:val="00DA3E7E"/>
    <w:rsid w:val="00DA592A"/>
    <w:rsid w:val="00DA5AA6"/>
    <w:rsid w:val="00DA5C4C"/>
    <w:rsid w:val="00DA6141"/>
    <w:rsid w:val="00DA66D7"/>
    <w:rsid w:val="00DA68E4"/>
    <w:rsid w:val="00DA6B33"/>
    <w:rsid w:val="00DA6B8E"/>
    <w:rsid w:val="00DA76F0"/>
    <w:rsid w:val="00DB0067"/>
    <w:rsid w:val="00DB0321"/>
    <w:rsid w:val="00DB0E06"/>
    <w:rsid w:val="00DB10CA"/>
    <w:rsid w:val="00DB1F53"/>
    <w:rsid w:val="00DB30DD"/>
    <w:rsid w:val="00DB31C3"/>
    <w:rsid w:val="00DB368A"/>
    <w:rsid w:val="00DB44B3"/>
    <w:rsid w:val="00DB5610"/>
    <w:rsid w:val="00DB5644"/>
    <w:rsid w:val="00DB5D7B"/>
    <w:rsid w:val="00DB6B43"/>
    <w:rsid w:val="00DB7A0C"/>
    <w:rsid w:val="00DC0464"/>
    <w:rsid w:val="00DC0AE0"/>
    <w:rsid w:val="00DC0FF9"/>
    <w:rsid w:val="00DC1B67"/>
    <w:rsid w:val="00DC2B8A"/>
    <w:rsid w:val="00DC2CB5"/>
    <w:rsid w:val="00DC35A7"/>
    <w:rsid w:val="00DC37C2"/>
    <w:rsid w:val="00DC3C11"/>
    <w:rsid w:val="00DC3D2E"/>
    <w:rsid w:val="00DC3E43"/>
    <w:rsid w:val="00DC4C0B"/>
    <w:rsid w:val="00DC7B1C"/>
    <w:rsid w:val="00DD01A5"/>
    <w:rsid w:val="00DD1346"/>
    <w:rsid w:val="00DD1B8B"/>
    <w:rsid w:val="00DD2095"/>
    <w:rsid w:val="00DD2BDE"/>
    <w:rsid w:val="00DD35C9"/>
    <w:rsid w:val="00DD36FA"/>
    <w:rsid w:val="00DD418A"/>
    <w:rsid w:val="00DD460A"/>
    <w:rsid w:val="00DD4AE0"/>
    <w:rsid w:val="00DD52F9"/>
    <w:rsid w:val="00DD56F6"/>
    <w:rsid w:val="00DD60B7"/>
    <w:rsid w:val="00DD73AA"/>
    <w:rsid w:val="00DD7CC3"/>
    <w:rsid w:val="00DE0919"/>
    <w:rsid w:val="00DE0DE3"/>
    <w:rsid w:val="00DE11DC"/>
    <w:rsid w:val="00DE2EFB"/>
    <w:rsid w:val="00DE417C"/>
    <w:rsid w:val="00DE5B1F"/>
    <w:rsid w:val="00DF00D6"/>
    <w:rsid w:val="00DF04EF"/>
    <w:rsid w:val="00DF0577"/>
    <w:rsid w:val="00DF0709"/>
    <w:rsid w:val="00DF0C06"/>
    <w:rsid w:val="00DF14B0"/>
    <w:rsid w:val="00DF1D64"/>
    <w:rsid w:val="00DF1D68"/>
    <w:rsid w:val="00DF2BC7"/>
    <w:rsid w:val="00DF2E49"/>
    <w:rsid w:val="00DF4277"/>
    <w:rsid w:val="00DF46AB"/>
    <w:rsid w:val="00DF5F4F"/>
    <w:rsid w:val="00DF63D6"/>
    <w:rsid w:val="00DF65B6"/>
    <w:rsid w:val="00DF6E51"/>
    <w:rsid w:val="00DF7350"/>
    <w:rsid w:val="00DF7DDB"/>
    <w:rsid w:val="00E00815"/>
    <w:rsid w:val="00E0102C"/>
    <w:rsid w:val="00E019CD"/>
    <w:rsid w:val="00E01F03"/>
    <w:rsid w:val="00E02A85"/>
    <w:rsid w:val="00E02D9D"/>
    <w:rsid w:val="00E036D4"/>
    <w:rsid w:val="00E03E74"/>
    <w:rsid w:val="00E042B1"/>
    <w:rsid w:val="00E04AD1"/>
    <w:rsid w:val="00E0597B"/>
    <w:rsid w:val="00E06391"/>
    <w:rsid w:val="00E06551"/>
    <w:rsid w:val="00E06D4E"/>
    <w:rsid w:val="00E06F8C"/>
    <w:rsid w:val="00E06FA8"/>
    <w:rsid w:val="00E07E49"/>
    <w:rsid w:val="00E10896"/>
    <w:rsid w:val="00E11E8F"/>
    <w:rsid w:val="00E12A72"/>
    <w:rsid w:val="00E1312F"/>
    <w:rsid w:val="00E13A3B"/>
    <w:rsid w:val="00E149D9"/>
    <w:rsid w:val="00E14C73"/>
    <w:rsid w:val="00E15088"/>
    <w:rsid w:val="00E15B6A"/>
    <w:rsid w:val="00E15E54"/>
    <w:rsid w:val="00E1655D"/>
    <w:rsid w:val="00E167C8"/>
    <w:rsid w:val="00E169A3"/>
    <w:rsid w:val="00E16CC5"/>
    <w:rsid w:val="00E16F91"/>
    <w:rsid w:val="00E20157"/>
    <w:rsid w:val="00E205B1"/>
    <w:rsid w:val="00E21939"/>
    <w:rsid w:val="00E22686"/>
    <w:rsid w:val="00E2294B"/>
    <w:rsid w:val="00E24F96"/>
    <w:rsid w:val="00E251E2"/>
    <w:rsid w:val="00E27AA5"/>
    <w:rsid w:val="00E27AAA"/>
    <w:rsid w:val="00E30B86"/>
    <w:rsid w:val="00E30D22"/>
    <w:rsid w:val="00E313AE"/>
    <w:rsid w:val="00E3149B"/>
    <w:rsid w:val="00E315A9"/>
    <w:rsid w:val="00E325EC"/>
    <w:rsid w:val="00E340C8"/>
    <w:rsid w:val="00E342CB"/>
    <w:rsid w:val="00E34B7D"/>
    <w:rsid w:val="00E34EF8"/>
    <w:rsid w:val="00E35799"/>
    <w:rsid w:val="00E35D2F"/>
    <w:rsid w:val="00E37096"/>
    <w:rsid w:val="00E375D4"/>
    <w:rsid w:val="00E3782D"/>
    <w:rsid w:val="00E403DC"/>
    <w:rsid w:val="00E40DF4"/>
    <w:rsid w:val="00E40E58"/>
    <w:rsid w:val="00E40F43"/>
    <w:rsid w:val="00E41637"/>
    <w:rsid w:val="00E43C60"/>
    <w:rsid w:val="00E446C4"/>
    <w:rsid w:val="00E44F52"/>
    <w:rsid w:val="00E4566B"/>
    <w:rsid w:val="00E4621D"/>
    <w:rsid w:val="00E4697C"/>
    <w:rsid w:val="00E46FE7"/>
    <w:rsid w:val="00E471C4"/>
    <w:rsid w:val="00E47E71"/>
    <w:rsid w:val="00E50008"/>
    <w:rsid w:val="00E50B9D"/>
    <w:rsid w:val="00E51775"/>
    <w:rsid w:val="00E53AC7"/>
    <w:rsid w:val="00E53F28"/>
    <w:rsid w:val="00E54634"/>
    <w:rsid w:val="00E546D5"/>
    <w:rsid w:val="00E55A28"/>
    <w:rsid w:val="00E560A5"/>
    <w:rsid w:val="00E56A42"/>
    <w:rsid w:val="00E60B95"/>
    <w:rsid w:val="00E60C48"/>
    <w:rsid w:val="00E61689"/>
    <w:rsid w:val="00E61F16"/>
    <w:rsid w:val="00E632FE"/>
    <w:rsid w:val="00E63B5A"/>
    <w:rsid w:val="00E64ED5"/>
    <w:rsid w:val="00E6603B"/>
    <w:rsid w:val="00E66314"/>
    <w:rsid w:val="00E66714"/>
    <w:rsid w:val="00E67FA3"/>
    <w:rsid w:val="00E7025F"/>
    <w:rsid w:val="00E703C8"/>
    <w:rsid w:val="00E704DC"/>
    <w:rsid w:val="00E70CE9"/>
    <w:rsid w:val="00E712DF"/>
    <w:rsid w:val="00E71EC2"/>
    <w:rsid w:val="00E720BB"/>
    <w:rsid w:val="00E7221F"/>
    <w:rsid w:val="00E72EE9"/>
    <w:rsid w:val="00E735A8"/>
    <w:rsid w:val="00E751CD"/>
    <w:rsid w:val="00E754B9"/>
    <w:rsid w:val="00E76031"/>
    <w:rsid w:val="00E761E0"/>
    <w:rsid w:val="00E76A2A"/>
    <w:rsid w:val="00E80696"/>
    <w:rsid w:val="00E80BEB"/>
    <w:rsid w:val="00E81C0A"/>
    <w:rsid w:val="00E8201A"/>
    <w:rsid w:val="00E822CA"/>
    <w:rsid w:val="00E8265D"/>
    <w:rsid w:val="00E82AC7"/>
    <w:rsid w:val="00E82B99"/>
    <w:rsid w:val="00E82C8A"/>
    <w:rsid w:val="00E83CF7"/>
    <w:rsid w:val="00E8451B"/>
    <w:rsid w:val="00E84917"/>
    <w:rsid w:val="00E84E0F"/>
    <w:rsid w:val="00E879C0"/>
    <w:rsid w:val="00E87AD3"/>
    <w:rsid w:val="00E87D8F"/>
    <w:rsid w:val="00E87EC6"/>
    <w:rsid w:val="00E90A0F"/>
    <w:rsid w:val="00E90AE6"/>
    <w:rsid w:val="00E9422F"/>
    <w:rsid w:val="00E94255"/>
    <w:rsid w:val="00E94EAE"/>
    <w:rsid w:val="00E95C3D"/>
    <w:rsid w:val="00E97202"/>
    <w:rsid w:val="00EA0352"/>
    <w:rsid w:val="00EA08B9"/>
    <w:rsid w:val="00EA0C88"/>
    <w:rsid w:val="00EA0F74"/>
    <w:rsid w:val="00EA12C5"/>
    <w:rsid w:val="00EA14BA"/>
    <w:rsid w:val="00EA1E06"/>
    <w:rsid w:val="00EA28BE"/>
    <w:rsid w:val="00EA2A03"/>
    <w:rsid w:val="00EA2E51"/>
    <w:rsid w:val="00EA2E76"/>
    <w:rsid w:val="00EA3DB0"/>
    <w:rsid w:val="00EA404E"/>
    <w:rsid w:val="00EA4463"/>
    <w:rsid w:val="00EA4526"/>
    <w:rsid w:val="00EA46F2"/>
    <w:rsid w:val="00EA4EB6"/>
    <w:rsid w:val="00EA54F0"/>
    <w:rsid w:val="00EA69C5"/>
    <w:rsid w:val="00EA73D6"/>
    <w:rsid w:val="00EA7AA6"/>
    <w:rsid w:val="00EB20B5"/>
    <w:rsid w:val="00EB2280"/>
    <w:rsid w:val="00EB2321"/>
    <w:rsid w:val="00EB24B9"/>
    <w:rsid w:val="00EB2BC2"/>
    <w:rsid w:val="00EB30A1"/>
    <w:rsid w:val="00EB398A"/>
    <w:rsid w:val="00EB5484"/>
    <w:rsid w:val="00EB551B"/>
    <w:rsid w:val="00EB61F9"/>
    <w:rsid w:val="00EB63B2"/>
    <w:rsid w:val="00EB6D22"/>
    <w:rsid w:val="00EC13B2"/>
    <w:rsid w:val="00EC13BA"/>
    <w:rsid w:val="00EC18BA"/>
    <w:rsid w:val="00EC2878"/>
    <w:rsid w:val="00EC3D60"/>
    <w:rsid w:val="00EC3DA1"/>
    <w:rsid w:val="00EC47C3"/>
    <w:rsid w:val="00EC483F"/>
    <w:rsid w:val="00EC498E"/>
    <w:rsid w:val="00EC4D6A"/>
    <w:rsid w:val="00EC51A7"/>
    <w:rsid w:val="00EC5CEE"/>
    <w:rsid w:val="00EC72DD"/>
    <w:rsid w:val="00ED033D"/>
    <w:rsid w:val="00ED0F33"/>
    <w:rsid w:val="00ED139A"/>
    <w:rsid w:val="00ED20A9"/>
    <w:rsid w:val="00ED290A"/>
    <w:rsid w:val="00ED3776"/>
    <w:rsid w:val="00ED467D"/>
    <w:rsid w:val="00ED4CD8"/>
    <w:rsid w:val="00ED4F06"/>
    <w:rsid w:val="00ED4F49"/>
    <w:rsid w:val="00ED501D"/>
    <w:rsid w:val="00ED58E8"/>
    <w:rsid w:val="00ED5C30"/>
    <w:rsid w:val="00ED6485"/>
    <w:rsid w:val="00ED6BEC"/>
    <w:rsid w:val="00ED71B4"/>
    <w:rsid w:val="00ED7887"/>
    <w:rsid w:val="00ED797B"/>
    <w:rsid w:val="00ED7D81"/>
    <w:rsid w:val="00EE012F"/>
    <w:rsid w:val="00EE0494"/>
    <w:rsid w:val="00EE0B6A"/>
    <w:rsid w:val="00EE21B5"/>
    <w:rsid w:val="00EE49F1"/>
    <w:rsid w:val="00EE4F8D"/>
    <w:rsid w:val="00EE59B1"/>
    <w:rsid w:val="00EE618F"/>
    <w:rsid w:val="00EE6A1B"/>
    <w:rsid w:val="00EF11F7"/>
    <w:rsid w:val="00EF2C6C"/>
    <w:rsid w:val="00EF317F"/>
    <w:rsid w:val="00EF3775"/>
    <w:rsid w:val="00EF3CD1"/>
    <w:rsid w:val="00EF4015"/>
    <w:rsid w:val="00EF4458"/>
    <w:rsid w:val="00EF4906"/>
    <w:rsid w:val="00EF491F"/>
    <w:rsid w:val="00EF4D01"/>
    <w:rsid w:val="00EF706D"/>
    <w:rsid w:val="00EF746F"/>
    <w:rsid w:val="00EF7B69"/>
    <w:rsid w:val="00F0038C"/>
    <w:rsid w:val="00F006FA"/>
    <w:rsid w:val="00F00AE8"/>
    <w:rsid w:val="00F0122C"/>
    <w:rsid w:val="00F01299"/>
    <w:rsid w:val="00F01D89"/>
    <w:rsid w:val="00F021F3"/>
    <w:rsid w:val="00F03AA9"/>
    <w:rsid w:val="00F03C02"/>
    <w:rsid w:val="00F03F80"/>
    <w:rsid w:val="00F043BC"/>
    <w:rsid w:val="00F04476"/>
    <w:rsid w:val="00F05F5E"/>
    <w:rsid w:val="00F061BD"/>
    <w:rsid w:val="00F06668"/>
    <w:rsid w:val="00F066FD"/>
    <w:rsid w:val="00F06908"/>
    <w:rsid w:val="00F06AA6"/>
    <w:rsid w:val="00F070BC"/>
    <w:rsid w:val="00F0716D"/>
    <w:rsid w:val="00F073A9"/>
    <w:rsid w:val="00F10691"/>
    <w:rsid w:val="00F110A0"/>
    <w:rsid w:val="00F110DF"/>
    <w:rsid w:val="00F11B93"/>
    <w:rsid w:val="00F12010"/>
    <w:rsid w:val="00F12D6C"/>
    <w:rsid w:val="00F132DC"/>
    <w:rsid w:val="00F14553"/>
    <w:rsid w:val="00F1475C"/>
    <w:rsid w:val="00F147AF"/>
    <w:rsid w:val="00F154A2"/>
    <w:rsid w:val="00F15D5E"/>
    <w:rsid w:val="00F16C0F"/>
    <w:rsid w:val="00F1732B"/>
    <w:rsid w:val="00F173CE"/>
    <w:rsid w:val="00F177AC"/>
    <w:rsid w:val="00F177E2"/>
    <w:rsid w:val="00F21214"/>
    <w:rsid w:val="00F21DAF"/>
    <w:rsid w:val="00F21DC1"/>
    <w:rsid w:val="00F222AE"/>
    <w:rsid w:val="00F22599"/>
    <w:rsid w:val="00F22727"/>
    <w:rsid w:val="00F2354F"/>
    <w:rsid w:val="00F239B9"/>
    <w:rsid w:val="00F23F47"/>
    <w:rsid w:val="00F24560"/>
    <w:rsid w:val="00F24D16"/>
    <w:rsid w:val="00F24EB7"/>
    <w:rsid w:val="00F25324"/>
    <w:rsid w:val="00F255FF"/>
    <w:rsid w:val="00F263CD"/>
    <w:rsid w:val="00F26D7B"/>
    <w:rsid w:val="00F30435"/>
    <w:rsid w:val="00F30DAA"/>
    <w:rsid w:val="00F31931"/>
    <w:rsid w:val="00F32088"/>
    <w:rsid w:val="00F32AE6"/>
    <w:rsid w:val="00F32AFA"/>
    <w:rsid w:val="00F334B9"/>
    <w:rsid w:val="00F33594"/>
    <w:rsid w:val="00F33B4D"/>
    <w:rsid w:val="00F344ED"/>
    <w:rsid w:val="00F346FE"/>
    <w:rsid w:val="00F34911"/>
    <w:rsid w:val="00F34AB8"/>
    <w:rsid w:val="00F34E0A"/>
    <w:rsid w:val="00F35432"/>
    <w:rsid w:val="00F3556A"/>
    <w:rsid w:val="00F35FAE"/>
    <w:rsid w:val="00F364F2"/>
    <w:rsid w:val="00F36BBD"/>
    <w:rsid w:val="00F379EB"/>
    <w:rsid w:val="00F41552"/>
    <w:rsid w:val="00F41693"/>
    <w:rsid w:val="00F41A9B"/>
    <w:rsid w:val="00F41F44"/>
    <w:rsid w:val="00F42792"/>
    <w:rsid w:val="00F42E10"/>
    <w:rsid w:val="00F43303"/>
    <w:rsid w:val="00F434E0"/>
    <w:rsid w:val="00F43DFF"/>
    <w:rsid w:val="00F44676"/>
    <w:rsid w:val="00F45394"/>
    <w:rsid w:val="00F453B8"/>
    <w:rsid w:val="00F45BFA"/>
    <w:rsid w:val="00F4659B"/>
    <w:rsid w:val="00F46C08"/>
    <w:rsid w:val="00F4706D"/>
    <w:rsid w:val="00F5012B"/>
    <w:rsid w:val="00F504A0"/>
    <w:rsid w:val="00F50ABB"/>
    <w:rsid w:val="00F50E5A"/>
    <w:rsid w:val="00F53425"/>
    <w:rsid w:val="00F53736"/>
    <w:rsid w:val="00F537AF"/>
    <w:rsid w:val="00F55045"/>
    <w:rsid w:val="00F5515F"/>
    <w:rsid w:val="00F55EAE"/>
    <w:rsid w:val="00F56552"/>
    <w:rsid w:val="00F5665A"/>
    <w:rsid w:val="00F56AA0"/>
    <w:rsid w:val="00F56FAC"/>
    <w:rsid w:val="00F601C6"/>
    <w:rsid w:val="00F60C13"/>
    <w:rsid w:val="00F6111E"/>
    <w:rsid w:val="00F6114A"/>
    <w:rsid w:val="00F61301"/>
    <w:rsid w:val="00F613FD"/>
    <w:rsid w:val="00F61424"/>
    <w:rsid w:val="00F61BE3"/>
    <w:rsid w:val="00F61C12"/>
    <w:rsid w:val="00F62036"/>
    <w:rsid w:val="00F6204D"/>
    <w:rsid w:val="00F62287"/>
    <w:rsid w:val="00F6238B"/>
    <w:rsid w:val="00F62C2F"/>
    <w:rsid w:val="00F63086"/>
    <w:rsid w:val="00F651BE"/>
    <w:rsid w:val="00F653B5"/>
    <w:rsid w:val="00F65BF0"/>
    <w:rsid w:val="00F66E32"/>
    <w:rsid w:val="00F7022F"/>
    <w:rsid w:val="00F70279"/>
    <w:rsid w:val="00F7087E"/>
    <w:rsid w:val="00F728A6"/>
    <w:rsid w:val="00F72B3D"/>
    <w:rsid w:val="00F72DAE"/>
    <w:rsid w:val="00F73A88"/>
    <w:rsid w:val="00F73D21"/>
    <w:rsid w:val="00F74EE3"/>
    <w:rsid w:val="00F752B1"/>
    <w:rsid w:val="00F757B6"/>
    <w:rsid w:val="00F75E3C"/>
    <w:rsid w:val="00F75F93"/>
    <w:rsid w:val="00F76496"/>
    <w:rsid w:val="00F7656E"/>
    <w:rsid w:val="00F76874"/>
    <w:rsid w:val="00F8073F"/>
    <w:rsid w:val="00F81B08"/>
    <w:rsid w:val="00F8292E"/>
    <w:rsid w:val="00F82D07"/>
    <w:rsid w:val="00F835E7"/>
    <w:rsid w:val="00F84D12"/>
    <w:rsid w:val="00F8686C"/>
    <w:rsid w:val="00F87963"/>
    <w:rsid w:val="00F900FD"/>
    <w:rsid w:val="00F91E8D"/>
    <w:rsid w:val="00F92FE6"/>
    <w:rsid w:val="00F933DF"/>
    <w:rsid w:val="00F93464"/>
    <w:rsid w:val="00F95997"/>
    <w:rsid w:val="00FA0FA1"/>
    <w:rsid w:val="00FA0FDB"/>
    <w:rsid w:val="00FA1188"/>
    <w:rsid w:val="00FA151F"/>
    <w:rsid w:val="00FA15BE"/>
    <w:rsid w:val="00FA2D45"/>
    <w:rsid w:val="00FA3757"/>
    <w:rsid w:val="00FA375F"/>
    <w:rsid w:val="00FA38C7"/>
    <w:rsid w:val="00FA3A5A"/>
    <w:rsid w:val="00FA3E6D"/>
    <w:rsid w:val="00FA44A5"/>
    <w:rsid w:val="00FA4880"/>
    <w:rsid w:val="00FA4BF0"/>
    <w:rsid w:val="00FA55B2"/>
    <w:rsid w:val="00FA64DB"/>
    <w:rsid w:val="00FA6AEA"/>
    <w:rsid w:val="00FA7FE4"/>
    <w:rsid w:val="00FB03DA"/>
    <w:rsid w:val="00FB0A1E"/>
    <w:rsid w:val="00FB0B3B"/>
    <w:rsid w:val="00FB1051"/>
    <w:rsid w:val="00FB230B"/>
    <w:rsid w:val="00FB4CD4"/>
    <w:rsid w:val="00FB51CA"/>
    <w:rsid w:val="00FB63F8"/>
    <w:rsid w:val="00FC151F"/>
    <w:rsid w:val="00FC2F4B"/>
    <w:rsid w:val="00FC3B03"/>
    <w:rsid w:val="00FC40F4"/>
    <w:rsid w:val="00FC4194"/>
    <w:rsid w:val="00FC45D3"/>
    <w:rsid w:val="00FC5F19"/>
    <w:rsid w:val="00FC652A"/>
    <w:rsid w:val="00FD3941"/>
    <w:rsid w:val="00FD3AF2"/>
    <w:rsid w:val="00FD42C7"/>
    <w:rsid w:val="00FD455B"/>
    <w:rsid w:val="00FD4650"/>
    <w:rsid w:val="00FD708B"/>
    <w:rsid w:val="00FD7271"/>
    <w:rsid w:val="00FD7B05"/>
    <w:rsid w:val="00FE0B2E"/>
    <w:rsid w:val="00FE1D7A"/>
    <w:rsid w:val="00FE1E2C"/>
    <w:rsid w:val="00FE2419"/>
    <w:rsid w:val="00FE4039"/>
    <w:rsid w:val="00FE4CDC"/>
    <w:rsid w:val="00FE66AC"/>
    <w:rsid w:val="00FE7442"/>
    <w:rsid w:val="00FE7647"/>
    <w:rsid w:val="00FF111B"/>
    <w:rsid w:val="00FF1421"/>
    <w:rsid w:val="00FF2E79"/>
    <w:rsid w:val="00FF364C"/>
    <w:rsid w:val="00FF4072"/>
    <w:rsid w:val="00FF4202"/>
    <w:rsid w:val="00FF42DF"/>
    <w:rsid w:val="00FF4A3E"/>
    <w:rsid w:val="00FF4B29"/>
    <w:rsid w:val="00FF555C"/>
    <w:rsid w:val="00FF6473"/>
    <w:rsid w:val="00FF67DE"/>
    <w:rsid w:val="02D0381A"/>
    <w:rsid w:val="02FF7A7B"/>
    <w:rsid w:val="03970EF3"/>
    <w:rsid w:val="03FE61E6"/>
    <w:rsid w:val="04664A43"/>
    <w:rsid w:val="065906F6"/>
    <w:rsid w:val="075C4711"/>
    <w:rsid w:val="08EF7436"/>
    <w:rsid w:val="0A275C9B"/>
    <w:rsid w:val="0B0E7430"/>
    <w:rsid w:val="0BE56EA6"/>
    <w:rsid w:val="0D5364A5"/>
    <w:rsid w:val="0F980C7B"/>
    <w:rsid w:val="11771DA4"/>
    <w:rsid w:val="12160F3D"/>
    <w:rsid w:val="12383670"/>
    <w:rsid w:val="12E54A8E"/>
    <w:rsid w:val="12EF29D9"/>
    <w:rsid w:val="15633BC1"/>
    <w:rsid w:val="17DC4231"/>
    <w:rsid w:val="18482FF3"/>
    <w:rsid w:val="18715680"/>
    <w:rsid w:val="189512DD"/>
    <w:rsid w:val="1A6640F0"/>
    <w:rsid w:val="1CFD009B"/>
    <w:rsid w:val="1D770C0A"/>
    <w:rsid w:val="1F1C0096"/>
    <w:rsid w:val="214F03B6"/>
    <w:rsid w:val="25AA584B"/>
    <w:rsid w:val="262827A7"/>
    <w:rsid w:val="2A4370E4"/>
    <w:rsid w:val="2ACF254B"/>
    <w:rsid w:val="2AE1060A"/>
    <w:rsid w:val="2B524FB1"/>
    <w:rsid w:val="2BCB5153"/>
    <w:rsid w:val="2C1106C8"/>
    <w:rsid w:val="2F0D2540"/>
    <w:rsid w:val="313708CB"/>
    <w:rsid w:val="32744B8F"/>
    <w:rsid w:val="3424001A"/>
    <w:rsid w:val="356024E1"/>
    <w:rsid w:val="356928AF"/>
    <w:rsid w:val="35782485"/>
    <w:rsid w:val="36760D22"/>
    <w:rsid w:val="36FB77C2"/>
    <w:rsid w:val="375972E4"/>
    <w:rsid w:val="377B4E57"/>
    <w:rsid w:val="39255B4E"/>
    <w:rsid w:val="3BE86680"/>
    <w:rsid w:val="3EAF254C"/>
    <w:rsid w:val="3FED2FEE"/>
    <w:rsid w:val="4084365C"/>
    <w:rsid w:val="40D01062"/>
    <w:rsid w:val="41FB4C9F"/>
    <w:rsid w:val="442707E9"/>
    <w:rsid w:val="45365B70"/>
    <w:rsid w:val="45FC0CDF"/>
    <w:rsid w:val="494E0432"/>
    <w:rsid w:val="49A3785C"/>
    <w:rsid w:val="49F8439E"/>
    <w:rsid w:val="4A245310"/>
    <w:rsid w:val="4F45079D"/>
    <w:rsid w:val="506327F3"/>
    <w:rsid w:val="52715451"/>
    <w:rsid w:val="544B7567"/>
    <w:rsid w:val="5604752C"/>
    <w:rsid w:val="59C26464"/>
    <w:rsid w:val="59C819C6"/>
    <w:rsid w:val="5C60789B"/>
    <w:rsid w:val="5D215280"/>
    <w:rsid w:val="5DA17F0E"/>
    <w:rsid w:val="5ED91D62"/>
    <w:rsid w:val="5FC324AB"/>
    <w:rsid w:val="5FF067F2"/>
    <w:rsid w:val="60FE69AF"/>
    <w:rsid w:val="6513475D"/>
    <w:rsid w:val="65B8668C"/>
    <w:rsid w:val="6649368C"/>
    <w:rsid w:val="69382A2C"/>
    <w:rsid w:val="69434640"/>
    <w:rsid w:val="6A035479"/>
    <w:rsid w:val="6B970DF3"/>
    <w:rsid w:val="6DEF7AF4"/>
    <w:rsid w:val="6DF87AF7"/>
    <w:rsid w:val="71191D5B"/>
    <w:rsid w:val="74A6184D"/>
    <w:rsid w:val="766E211A"/>
    <w:rsid w:val="77E36DBE"/>
    <w:rsid w:val="79B73810"/>
    <w:rsid w:val="7AD0650C"/>
    <w:rsid w:val="7B28499C"/>
    <w:rsid w:val="7C300138"/>
    <w:rsid w:val="7C4C347A"/>
    <w:rsid w:val="7D7D15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114"/>
    <w:qFormat/>
    <w:uiPriority w:val="0"/>
    <w:pPr>
      <w:keepNext/>
      <w:spacing w:line="380" w:lineRule="exact"/>
      <w:jc w:val="center"/>
      <w:outlineLvl w:val="0"/>
    </w:pPr>
    <w:rPr>
      <w:rFonts w:ascii="宋体"/>
      <w:b/>
      <w:bCs/>
      <w:sz w:val="28"/>
    </w:rPr>
  </w:style>
  <w:style w:type="paragraph" w:styleId="4">
    <w:name w:val="heading 2"/>
    <w:basedOn w:val="1"/>
    <w:next w:val="1"/>
    <w:link w:val="100"/>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5">
    <w:name w:val="heading 3"/>
    <w:basedOn w:val="1"/>
    <w:next w:val="1"/>
    <w:link w:val="112"/>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6">
    <w:name w:val="heading 4"/>
    <w:basedOn w:val="1"/>
    <w:next w:val="1"/>
    <w:link w:val="113"/>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104"/>
    <w:qFormat/>
    <w:uiPriority w:val="0"/>
    <w:pPr>
      <w:keepNext/>
      <w:keepLines/>
      <w:tabs>
        <w:tab w:val="left" w:pos="1548"/>
      </w:tabs>
      <w:spacing w:before="280" w:after="290" w:line="376" w:lineRule="auto"/>
      <w:ind w:left="1548" w:hanging="1548"/>
      <w:outlineLvl w:val="4"/>
    </w:pPr>
    <w:rPr>
      <w:b/>
      <w:bCs/>
      <w:sz w:val="28"/>
      <w:szCs w:val="28"/>
    </w:rPr>
  </w:style>
  <w:style w:type="paragraph" w:styleId="8">
    <w:name w:val="heading 6"/>
    <w:basedOn w:val="1"/>
    <w:next w:val="1"/>
    <w:link w:val="72"/>
    <w:qFormat/>
    <w:uiPriority w:val="0"/>
    <w:pPr>
      <w:keepNext/>
      <w:keepLines/>
      <w:spacing w:before="240" w:after="64" w:line="320" w:lineRule="auto"/>
      <w:outlineLvl w:val="5"/>
    </w:pPr>
    <w:rPr>
      <w:rFonts w:ascii="Cambria" w:hAnsi="Cambria"/>
      <w:b/>
      <w:bCs/>
      <w:sz w:val="24"/>
      <w:szCs w:val="24"/>
    </w:rPr>
  </w:style>
  <w:style w:type="paragraph" w:styleId="9">
    <w:name w:val="heading 7"/>
    <w:basedOn w:val="1"/>
    <w:next w:val="1"/>
    <w:link w:val="70"/>
    <w:qFormat/>
    <w:uiPriority w:val="0"/>
    <w:pPr>
      <w:keepNext/>
      <w:keepLines/>
      <w:tabs>
        <w:tab w:val="left" w:pos="1296"/>
      </w:tabs>
      <w:spacing w:before="240" w:after="64" w:line="317" w:lineRule="auto"/>
      <w:ind w:left="2940" w:hanging="420"/>
      <w:outlineLvl w:val="6"/>
    </w:pPr>
    <w:rPr>
      <w:b/>
      <w:bCs/>
      <w:sz w:val="24"/>
      <w:szCs w:val="24"/>
    </w:rPr>
  </w:style>
  <w:style w:type="paragraph" w:styleId="10">
    <w:name w:val="heading 8"/>
    <w:basedOn w:val="1"/>
    <w:next w:val="1"/>
    <w:link w:val="115"/>
    <w:qFormat/>
    <w:uiPriority w:val="0"/>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1">
    <w:name w:val="heading 9"/>
    <w:basedOn w:val="1"/>
    <w:next w:val="1"/>
    <w:link w:val="127"/>
    <w:qFormat/>
    <w:uiPriority w:val="0"/>
    <w:pPr>
      <w:keepNext/>
      <w:keepLines/>
      <w:tabs>
        <w:tab w:val="left" w:pos="1584"/>
      </w:tabs>
      <w:spacing w:before="240" w:after="64" w:line="317" w:lineRule="auto"/>
      <w:ind w:left="3780" w:hanging="420"/>
      <w:outlineLvl w:val="8"/>
    </w:pPr>
    <w:rPr>
      <w:rFonts w:ascii="Arial" w:hAnsi="Arial" w:eastAsia="黑体"/>
      <w:szCs w:val="21"/>
    </w:rPr>
  </w:style>
  <w:style w:type="character" w:default="1" w:styleId="46">
    <w:name w:val="Default Paragraph Font"/>
    <w:semiHidden/>
    <w:uiPriority w:val="0"/>
  </w:style>
  <w:style w:type="table" w:default="1" w:styleId="44">
    <w:name w:val="Normal Table"/>
    <w:semiHidden/>
    <w:uiPriority w:val="0"/>
    <w:tblPr>
      <w:tblStyle w:val="44"/>
      <w:tblCellMar>
        <w:top w:w="0" w:type="dxa"/>
        <w:left w:w="108" w:type="dxa"/>
        <w:bottom w:w="0" w:type="dxa"/>
        <w:right w:w="108" w:type="dxa"/>
      </w:tblCellMar>
    </w:tblPr>
  </w:style>
  <w:style w:type="paragraph" w:styleId="2">
    <w:name w:val="Body Text"/>
    <w:basedOn w:val="1"/>
    <w:link w:val="98"/>
    <w:uiPriority w:val="99"/>
    <w:rPr>
      <w:i/>
      <w:sz w:val="18"/>
    </w:rPr>
  </w:style>
  <w:style w:type="paragraph" w:styleId="12">
    <w:name w:val="toc 7"/>
    <w:basedOn w:val="1"/>
    <w:next w:val="1"/>
    <w:uiPriority w:val="0"/>
    <w:pPr>
      <w:ind w:left="1260"/>
      <w:jc w:val="left"/>
    </w:pPr>
    <w:rPr>
      <w:sz w:val="18"/>
      <w:szCs w:val="18"/>
    </w:rPr>
  </w:style>
  <w:style w:type="paragraph" w:styleId="13">
    <w:name w:val="Normal Indent"/>
    <w:basedOn w:val="1"/>
    <w:link w:val="81"/>
    <w:uiPriority w:val="0"/>
    <w:pPr>
      <w:ind w:firstLine="420" w:firstLineChars="200"/>
    </w:pPr>
    <w:rPr>
      <w:szCs w:val="24"/>
    </w:rPr>
  </w:style>
  <w:style w:type="paragraph" w:styleId="14">
    <w:name w:val="Document Map"/>
    <w:basedOn w:val="1"/>
    <w:link w:val="92"/>
    <w:semiHidden/>
    <w:uiPriority w:val="0"/>
    <w:pPr>
      <w:shd w:val="clear" w:color="auto" w:fill="000080"/>
    </w:pPr>
  </w:style>
  <w:style w:type="paragraph" w:styleId="15">
    <w:name w:val="annotation text"/>
    <w:basedOn w:val="1"/>
    <w:link w:val="71"/>
    <w:semiHidden/>
    <w:uiPriority w:val="0"/>
    <w:pPr>
      <w:jc w:val="left"/>
    </w:pPr>
  </w:style>
  <w:style w:type="paragraph" w:styleId="16">
    <w:name w:val="Body Text 3"/>
    <w:basedOn w:val="1"/>
    <w:link w:val="122"/>
    <w:uiPriority w:val="0"/>
    <w:pPr>
      <w:spacing w:after="120" w:line="360" w:lineRule="auto"/>
    </w:pPr>
    <w:rPr>
      <w:kern w:val="0"/>
      <w:sz w:val="16"/>
      <w:szCs w:val="16"/>
      <w:lang/>
    </w:rPr>
  </w:style>
  <w:style w:type="paragraph" w:styleId="17">
    <w:name w:val="Body Text Indent"/>
    <w:basedOn w:val="1"/>
    <w:link w:val="130"/>
    <w:uiPriority w:val="0"/>
    <w:pPr>
      <w:spacing w:line="380" w:lineRule="exact"/>
      <w:ind w:firstLine="480"/>
    </w:pPr>
    <w:rPr>
      <w:rFonts w:eastAsia="方正书宋简体"/>
      <w:sz w:val="24"/>
    </w:rPr>
  </w:style>
  <w:style w:type="paragraph" w:styleId="18">
    <w:name w:val="List Number 3"/>
    <w:basedOn w:val="1"/>
    <w:uiPriority w:val="0"/>
    <w:pPr>
      <w:widowControl/>
      <w:tabs>
        <w:tab w:val="left" w:pos="482"/>
      </w:tabs>
      <w:spacing w:after="50" w:afterLines="50"/>
      <w:ind w:left="482" w:hanging="340"/>
      <w:jc w:val="left"/>
    </w:pPr>
    <w:rPr>
      <w:kern w:val="0"/>
      <w:sz w:val="24"/>
    </w:rPr>
  </w:style>
  <w:style w:type="paragraph" w:styleId="19">
    <w:name w:val="toc 5"/>
    <w:basedOn w:val="1"/>
    <w:next w:val="1"/>
    <w:uiPriority w:val="0"/>
    <w:pPr>
      <w:ind w:left="840"/>
      <w:jc w:val="left"/>
    </w:pPr>
    <w:rPr>
      <w:sz w:val="18"/>
      <w:szCs w:val="18"/>
    </w:rPr>
  </w:style>
  <w:style w:type="paragraph" w:styleId="20">
    <w:name w:val="toc 3"/>
    <w:basedOn w:val="1"/>
    <w:uiPriority w:val="0"/>
    <w:pPr>
      <w:ind w:left="420"/>
      <w:jc w:val="left"/>
    </w:pPr>
    <w:rPr>
      <w:i/>
      <w:iCs/>
      <w:sz w:val="20"/>
    </w:rPr>
  </w:style>
  <w:style w:type="paragraph" w:styleId="21">
    <w:name w:val="Plain Text"/>
    <w:basedOn w:val="1"/>
    <w:link w:val="78"/>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oc 8"/>
    <w:basedOn w:val="1"/>
    <w:next w:val="1"/>
    <w:uiPriority w:val="0"/>
    <w:pPr>
      <w:ind w:left="1470"/>
      <w:jc w:val="left"/>
    </w:pPr>
    <w:rPr>
      <w:sz w:val="18"/>
      <w:szCs w:val="18"/>
    </w:rPr>
  </w:style>
  <w:style w:type="paragraph" w:styleId="23">
    <w:name w:val="Date"/>
    <w:basedOn w:val="1"/>
    <w:next w:val="1"/>
    <w:uiPriority w:val="0"/>
    <w:pPr>
      <w:adjustRightInd w:val="0"/>
      <w:spacing w:line="312" w:lineRule="atLeast"/>
      <w:jc w:val="right"/>
      <w:textAlignment w:val="baseline"/>
    </w:pPr>
    <w:rPr>
      <w:rFonts w:ascii="宋体"/>
      <w:kern w:val="0"/>
      <w:sz w:val="24"/>
    </w:rPr>
  </w:style>
  <w:style w:type="paragraph" w:styleId="24">
    <w:name w:val="Body Text Indent 2"/>
    <w:basedOn w:val="1"/>
    <w:link w:val="131"/>
    <w:uiPriority w:val="0"/>
    <w:pPr>
      <w:spacing w:line="380" w:lineRule="exact"/>
      <w:ind w:left="840" w:hanging="45"/>
    </w:pPr>
    <w:rPr>
      <w:rFonts w:ascii="宋体"/>
      <w:sz w:val="24"/>
    </w:rPr>
  </w:style>
  <w:style w:type="paragraph" w:styleId="25">
    <w:name w:val="Balloon Text"/>
    <w:basedOn w:val="1"/>
    <w:link w:val="63"/>
    <w:uiPriority w:val="0"/>
    <w:rPr>
      <w:sz w:val="18"/>
      <w:szCs w:val="18"/>
    </w:rPr>
  </w:style>
  <w:style w:type="paragraph" w:styleId="26">
    <w:name w:val="footer"/>
    <w:basedOn w:val="1"/>
    <w:link w:val="139"/>
    <w:qFormat/>
    <w:uiPriority w:val="99"/>
    <w:pPr>
      <w:tabs>
        <w:tab w:val="center" w:pos="4153"/>
        <w:tab w:val="right" w:pos="8306"/>
      </w:tabs>
      <w:snapToGrid w:val="0"/>
      <w:jc w:val="left"/>
    </w:pPr>
    <w:rPr>
      <w:sz w:val="18"/>
    </w:rPr>
  </w:style>
  <w:style w:type="paragraph" w:styleId="27">
    <w:name w:val="header"/>
    <w:basedOn w:val="1"/>
    <w:link w:val="88"/>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semiHidden/>
    <w:uiPriority w:val="0"/>
    <w:pPr>
      <w:tabs>
        <w:tab w:val="right" w:leader="dot" w:pos="8721"/>
      </w:tabs>
      <w:spacing w:line="480" w:lineRule="auto"/>
    </w:pPr>
    <w:rPr>
      <w:rFonts w:ascii="宋体" w:hAnsi="宋体"/>
      <w:color w:val="000000"/>
      <w:sz w:val="32"/>
      <w:szCs w:val="32"/>
      <w:lang/>
    </w:rPr>
  </w:style>
  <w:style w:type="paragraph" w:styleId="29">
    <w:name w:val="toc 4"/>
    <w:basedOn w:val="1"/>
    <w:next w:val="1"/>
    <w:uiPriority w:val="0"/>
    <w:pPr>
      <w:ind w:left="630"/>
      <w:jc w:val="left"/>
    </w:pPr>
    <w:rPr>
      <w:sz w:val="18"/>
      <w:szCs w:val="18"/>
    </w:rPr>
  </w:style>
  <w:style w:type="paragraph" w:styleId="30">
    <w:name w:val="List Number 5"/>
    <w:basedOn w:val="1"/>
    <w:uiPriority w:val="0"/>
    <w:pPr>
      <w:tabs>
        <w:tab w:val="left" w:pos="2608"/>
      </w:tabs>
      <w:spacing w:line="360" w:lineRule="auto"/>
      <w:ind w:left="840" w:hanging="360"/>
    </w:pPr>
    <w:rPr>
      <w:sz w:val="24"/>
      <w:szCs w:val="24"/>
    </w:rPr>
  </w:style>
  <w:style w:type="paragraph" w:styleId="31">
    <w:name w:val="List"/>
    <w:basedOn w:val="1"/>
    <w:link w:val="58"/>
    <w:uiPriority w:val="0"/>
    <w:pPr>
      <w:ind w:left="200" w:hanging="200" w:hangingChars="200"/>
    </w:pPr>
    <w:rPr>
      <w:sz w:val="28"/>
      <w:szCs w:val="24"/>
    </w:rPr>
  </w:style>
  <w:style w:type="paragraph" w:styleId="32">
    <w:name w:val="toc 6"/>
    <w:basedOn w:val="1"/>
    <w:next w:val="1"/>
    <w:uiPriority w:val="0"/>
    <w:pPr>
      <w:ind w:left="1050"/>
      <w:jc w:val="left"/>
    </w:pPr>
    <w:rPr>
      <w:sz w:val="18"/>
      <w:szCs w:val="18"/>
    </w:rPr>
  </w:style>
  <w:style w:type="paragraph" w:styleId="33">
    <w:name w:val="Body Text Indent 3"/>
    <w:basedOn w:val="1"/>
    <w:link w:val="80"/>
    <w:uiPriority w:val="0"/>
    <w:pPr>
      <w:spacing w:line="380" w:lineRule="exact"/>
      <w:ind w:left="525"/>
    </w:pPr>
    <w:rPr>
      <w:rFonts w:ascii="宋体"/>
      <w:sz w:val="24"/>
    </w:rPr>
  </w:style>
  <w:style w:type="paragraph" w:styleId="34">
    <w:name w:val="table of figures"/>
    <w:basedOn w:val="1"/>
    <w:next w:val="1"/>
    <w:uiPriority w:val="0"/>
    <w:pPr>
      <w:ind w:left="420" w:hanging="420"/>
      <w:jc w:val="left"/>
    </w:pPr>
    <w:rPr>
      <w:smallCaps/>
      <w:sz w:val="20"/>
    </w:rPr>
  </w:style>
  <w:style w:type="paragraph" w:styleId="35">
    <w:name w:val="toc 2"/>
    <w:basedOn w:val="1"/>
    <w:uiPriority w:val="0"/>
    <w:pPr>
      <w:ind w:left="210"/>
      <w:jc w:val="left"/>
    </w:pPr>
    <w:rPr>
      <w:smallCaps/>
      <w:sz w:val="20"/>
    </w:rPr>
  </w:style>
  <w:style w:type="paragraph" w:styleId="36">
    <w:name w:val="toc 9"/>
    <w:basedOn w:val="1"/>
    <w:next w:val="1"/>
    <w:uiPriority w:val="0"/>
    <w:pPr>
      <w:ind w:left="1680"/>
      <w:jc w:val="left"/>
    </w:pPr>
    <w:rPr>
      <w:sz w:val="18"/>
      <w:szCs w:val="18"/>
    </w:rPr>
  </w:style>
  <w:style w:type="paragraph" w:styleId="37">
    <w:name w:val="Body Text 2"/>
    <w:basedOn w:val="1"/>
    <w:link w:val="60"/>
    <w:uiPriority w:val="0"/>
    <w:pPr>
      <w:spacing w:after="120" w:line="480" w:lineRule="auto"/>
    </w:pPr>
    <w:rPr>
      <w:kern w:val="0"/>
      <w:sz w:val="24"/>
      <w:szCs w:val="24"/>
      <w:lang/>
    </w:rPr>
  </w:style>
  <w:style w:type="paragraph" w:styleId="38">
    <w:name w:val="HTML Preformatted"/>
    <w:basedOn w:val="1"/>
    <w:uiPriority w:val="0"/>
    <w:rPr>
      <w:rFonts w:ascii="Courier New" w:hAnsi="Courier New" w:cs="Courier New"/>
      <w:sz w:val="20"/>
    </w:rPr>
  </w:style>
  <w:style w:type="paragraph" w:styleId="39">
    <w:name w:val="Normal (Web)"/>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uiPriority w:val="0"/>
  </w:style>
  <w:style w:type="paragraph" w:styleId="41">
    <w:name w:val="Title"/>
    <w:basedOn w:val="1"/>
    <w:link w:val="53"/>
    <w:qFormat/>
    <w:uiPriority w:val="0"/>
    <w:pPr>
      <w:spacing w:before="240" w:after="60"/>
      <w:jc w:val="center"/>
      <w:outlineLvl w:val="0"/>
    </w:pPr>
    <w:rPr>
      <w:rFonts w:ascii="Arial" w:hAnsi="Arial" w:cs="Arial"/>
      <w:b/>
      <w:bCs/>
      <w:sz w:val="32"/>
      <w:szCs w:val="32"/>
    </w:rPr>
  </w:style>
  <w:style w:type="paragraph" w:styleId="42">
    <w:name w:val="annotation subject"/>
    <w:basedOn w:val="15"/>
    <w:next w:val="15"/>
    <w:semiHidden/>
    <w:uiPriority w:val="0"/>
    <w:rPr>
      <w:b/>
      <w:bCs/>
    </w:rPr>
  </w:style>
  <w:style w:type="paragraph" w:styleId="43">
    <w:name w:val="Body Text First Indent"/>
    <w:basedOn w:val="2"/>
    <w:link w:val="99"/>
    <w:uiPriority w:val="0"/>
    <w:pPr>
      <w:spacing w:after="120"/>
      <w:ind w:firstLine="420" w:firstLineChars="100"/>
    </w:pPr>
    <w:rPr>
      <w:i w:val="0"/>
      <w:sz w:val="21"/>
      <w:szCs w:val="24"/>
    </w:rPr>
  </w:style>
  <w:style w:type="table" w:styleId="45">
    <w:name w:val="Table Grid"/>
    <w:basedOn w:val="44"/>
    <w:uiPriority w:val="0"/>
    <w:pPr>
      <w:widowControl w:val="0"/>
      <w:jc w:val="both"/>
    </w:pPr>
    <w:tblPr>
      <w:tblStyle w:val="4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uiPriority w:val="99"/>
    <w:rPr>
      <w:color w:val="800080"/>
      <w:u w:val="single"/>
    </w:rPr>
  </w:style>
  <w:style w:type="character" w:styleId="50">
    <w:name w:val="HTML Typewriter"/>
    <w:uiPriority w:val="0"/>
    <w:rPr>
      <w:rFonts w:ascii="Courier New" w:hAnsi="Courier New" w:cs="Courier New"/>
      <w:sz w:val="20"/>
      <w:szCs w:val="20"/>
    </w:rPr>
  </w:style>
  <w:style w:type="character" w:styleId="51">
    <w:name w:val="Hyperlink"/>
    <w:uiPriority w:val="99"/>
    <w:rPr>
      <w:color w:val="0000FF"/>
      <w:u w:val="single"/>
    </w:rPr>
  </w:style>
  <w:style w:type="character" w:styleId="52">
    <w:name w:val="annotation reference"/>
    <w:semiHidden/>
    <w:uiPriority w:val="0"/>
    <w:rPr>
      <w:sz w:val="21"/>
      <w:szCs w:val="21"/>
    </w:rPr>
  </w:style>
  <w:style w:type="character" w:customStyle="1" w:styleId="53">
    <w:name w:val="标题 字符"/>
    <w:link w:val="41"/>
    <w:uiPriority w:val="0"/>
    <w:rPr>
      <w:rFonts w:ascii="Arial" w:hAnsi="Arial" w:eastAsia="宋体" w:cs="Arial"/>
      <w:b/>
      <w:bCs/>
      <w:kern w:val="2"/>
      <w:sz w:val="32"/>
      <w:szCs w:val="32"/>
      <w:lang w:val="en-US" w:eastAsia="zh-CN" w:bidi="ar-SA"/>
    </w:rPr>
  </w:style>
  <w:style w:type="character" w:customStyle="1" w:styleId="54">
    <w:name w:val="Char Char10"/>
    <w:locked/>
    <w:uiPriority w:val="0"/>
    <w:rPr>
      <w:rFonts w:ascii="宋体" w:hAnsi="宋体" w:eastAsia="宋体"/>
      <w:sz w:val="24"/>
      <w:szCs w:val="24"/>
      <w:lang w:bidi="ar-SA"/>
    </w:rPr>
  </w:style>
  <w:style w:type="character" w:customStyle="1" w:styleId="55">
    <w:name w:val=" Char Char3"/>
    <w:uiPriority w:val="0"/>
    <w:rPr>
      <w:rFonts w:ascii="宋体" w:hAnsi="Courier New" w:eastAsia="宋体"/>
      <w:color w:val="000000"/>
      <w:kern w:val="2"/>
      <w:sz w:val="21"/>
      <w:lang w:val="en-US" w:eastAsia="zh-CN" w:bidi="ar-SA"/>
    </w:rPr>
  </w:style>
  <w:style w:type="character" w:customStyle="1" w:styleId="56">
    <w:name w:val="Char Char4"/>
    <w:locked/>
    <w:uiPriority w:val="0"/>
    <w:rPr>
      <w:rFonts w:ascii="宋体" w:hAnsi="宋体" w:eastAsia="宋体"/>
      <w:kern w:val="2"/>
      <w:sz w:val="24"/>
      <w:lang w:val="en-US" w:eastAsia="zh-CN" w:bidi="ar-SA"/>
    </w:rPr>
  </w:style>
  <w:style w:type="character" w:customStyle="1" w:styleId="57">
    <w:name w:val=" Char Char33"/>
    <w:uiPriority w:val="0"/>
    <w:rPr>
      <w:rFonts w:eastAsia="宋体"/>
      <w:i/>
      <w:kern w:val="2"/>
      <w:sz w:val="21"/>
      <w:szCs w:val="24"/>
      <w:lang w:val="en-US" w:eastAsia="zh-CN" w:bidi="ar-SA"/>
    </w:rPr>
  </w:style>
  <w:style w:type="character" w:customStyle="1" w:styleId="58">
    <w:name w:val="列表 字符"/>
    <w:link w:val="31"/>
    <w:qFormat/>
    <w:uiPriority w:val="0"/>
    <w:rPr>
      <w:kern w:val="2"/>
      <w:sz w:val="28"/>
      <w:szCs w:val="24"/>
    </w:rPr>
  </w:style>
  <w:style w:type="character" w:customStyle="1" w:styleId="59">
    <w:name w:val="Char Char14"/>
    <w:locked/>
    <w:uiPriority w:val="0"/>
    <w:rPr>
      <w:rFonts w:ascii="Arial" w:hAnsi="Arial" w:eastAsia="黑体"/>
      <w:kern w:val="2"/>
      <w:sz w:val="21"/>
      <w:szCs w:val="21"/>
      <w:lang w:val="en-US" w:eastAsia="zh-CN" w:bidi="ar-SA"/>
    </w:rPr>
  </w:style>
  <w:style w:type="character" w:customStyle="1" w:styleId="60">
    <w:name w:val="正文文本 2 字符"/>
    <w:link w:val="37"/>
    <w:uiPriority w:val="0"/>
    <w:rPr>
      <w:rFonts w:eastAsia="宋体"/>
      <w:sz w:val="24"/>
      <w:szCs w:val="24"/>
      <w:lang w:bidi="ar-SA"/>
    </w:rPr>
  </w:style>
  <w:style w:type="character" w:customStyle="1" w:styleId="61">
    <w:name w:val="Char Char7"/>
    <w:locked/>
    <w:uiPriority w:val="0"/>
    <w:rPr>
      <w:rFonts w:ascii="宋体" w:hAnsi="宋体" w:eastAsia="宋体" w:cs="宋体"/>
      <w:color w:val="000000"/>
      <w:sz w:val="24"/>
      <w:szCs w:val="24"/>
      <w:lang w:val="en-US" w:eastAsia="zh-CN" w:bidi="ar-SA"/>
    </w:rPr>
  </w:style>
  <w:style w:type="character" w:customStyle="1" w:styleId="62">
    <w:name w:val="Char Char20"/>
    <w:locked/>
    <w:uiPriority w:val="0"/>
    <w:rPr>
      <w:rFonts w:ascii="Arial" w:hAnsi="Arial" w:eastAsia="黑体" w:cs="Arial"/>
      <w:b/>
      <w:bCs/>
      <w:kern w:val="2"/>
      <w:sz w:val="30"/>
      <w:szCs w:val="32"/>
      <w:lang w:val="en-US" w:eastAsia="zh-CN" w:bidi="ar-SA"/>
    </w:rPr>
  </w:style>
  <w:style w:type="character" w:customStyle="1" w:styleId="63">
    <w:name w:val="批注框文本 字符"/>
    <w:link w:val="25"/>
    <w:locked/>
    <w:uiPriority w:val="0"/>
    <w:rPr>
      <w:rFonts w:eastAsia="宋体"/>
      <w:kern w:val="2"/>
      <w:sz w:val="18"/>
      <w:szCs w:val="18"/>
      <w:lang w:val="en-US" w:eastAsia="zh-CN" w:bidi="ar-SA"/>
    </w:rPr>
  </w:style>
  <w:style w:type="character" w:customStyle="1" w:styleId="64">
    <w:name w:val="Char Char18"/>
    <w:locked/>
    <w:uiPriority w:val="0"/>
    <w:rPr>
      <w:rFonts w:eastAsia="宋体"/>
      <w:b/>
      <w:bCs/>
      <w:kern w:val="2"/>
      <w:sz w:val="28"/>
      <w:szCs w:val="28"/>
      <w:lang w:val="en-US" w:eastAsia="zh-CN" w:bidi="ar-SA"/>
    </w:rPr>
  </w:style>
  <w:style w:type="character" w:customStyle="1" w:styleId="65">
    <w:name w:val="方案－正文 Char"/>
    <w:link w:val="66"/>
    <w:uiPriority w:val="0"/>
    <w:rPr>
      <w:rFonts w:ascii="仿宋_GB2312" w:hAnsi="宋体"/>
      <w:sz w:val="24"/>
      <w:lang w:bidi="ar-SA"/>
    </w:rPr>
  </w:style>
  <w:style w:type="paragraph" w:customStyle="1" w:styleId="66">
    <w:name w:val="方案－正文"/>
    <w:basedOn w:val="1"/>
    <w:link w:val="65"/>
    <w:uiPriority w:val="0"/>
    <w:pPr>
      <w:spacing w:line="360" w:lineRule="auto"/>
      <w:ind w:firstLine="480" w:firstLineChars="200"/>
    </w:pPr>
    <w:rPr>
      <w:rFonts w:ascii="仿宋_GB2312" w:hAnsi="宋体" w:eastAsia="Times New Roman"/>
      <w:kern w:val="0"/>
      <w:sz w:val="24"/>
      <w:lang/>
    </w:rPr>
  </w:style>
  <w:style w:type="character" w:customStyle="1" w:styleId="67">
    <w:name w:val="Char Char3"/>
    <w:uiPriority w:val="0"/>
    <w:rPr>
      <w:rFonts w:hint="eastAsia" w:ascii="宋体" w:hAnsi="Courier New" w:eastAsia="宋体"/>
      <w:color w:val="000000"/>
      <w:kern w:val="2"/>
      <w:sz w:val="21"/>
      <w:lang w:val="en-US" w:eastAsia="zh-CN" w:bidi="ar-SA"/>
    </w:rPr>
  </w:style>
  <w:style w:type="character" w:customStyle="1" w:styleId="68">
    <w:name w:val="哈哈正文 Char"/>
    <w:link w:val="69"/>
    <w:uiPriority w:val="0"/>
    <w:rPr>
      <w:rFonts w:ascii="宋体" w:hAnsi="宋体" w:eastAsia="宋体" w:cs="宋体"/>
      <w:kern w:val="2"/>
      <w:sz w:val="24"/>
      <w:lang w:val="en-US" w:eastAsia="zh-CN" w:bidi="ar-SA"/>
    </w:rPr>
  </w:style>
  <w:style w:type="paragraph" w:customStyle="1" w:styleId="69">
    <w:name w:val="哈哈正文"/>
    <w:basedOn w:val="1"/>
    <w:link w:val="68"/>
    <w:uiPriority w:val="0"/>
    <w:pPr>
      <w:spacing w:line="360" w:lineRule="auto"/>
      <w:ind w:firstLine="200" w:firstLineChars="200"/>
    </w:pPr>
    <w:rPr>
      <w:rFonts w:ascii="宋体" w:hAnsi="宋体" w:cs="宋体"/>
      <w:sz w:val="24"/>
    </w:rPr>
  </w:style>
  <w:style w:type="character" w:customStyle="1" w:styleId="70">
    <w:name w:val="标题 7 字符"/>
    <w:link w:val="9"/>
    <w:uiPriority w:val="0"/>
    <w:rPr>
      <w:rFonts w:eastAsia="宋体"/>
      <w:b/>
      <w:bCs/>
      <w:kern w:val="2"/>
      <w:sz w:val="24"/>
      <w:szCs w:val="24"/>
      <w:lang w:val="en-US" w:eastAsia="zh-CN" w:bidi="ar-SA"/>
    </w:rPr>
  </w:style>
  <w:style w:type="character" w:customStyle="1" w:styleId="71">
    <w:name w:val="批注文字 字符"/>
    <w:link w:val="15"/>
    <w:semiHidden/>
    <w:uiPriority w:val="0"/>
    <w:rPr>
      <w:rFonts w:eastAsia="宋体"/>
      <w:kern w:val="2"/>
      <w:sz w:val="21"/>
      <w:lang w:val="en-US" w:eastAsia="zh-CN" w:bidi="ar-SA"/>
    </w:rPr>
  </w:style>
  <w:style w:type="character" w:customStyle="1" w:styleId="72">
    <w:name w:val="标题 6 字符"/>
    <w:link w:val="8"/>
    <w:semiHidden/>
    <w:uiPriority w:val="0"/>
    <w:rPr>
      <w:rFonts w:ascii="Cambria" w:hAnsi="Cambria" w:eastAsia="宋体"/>
      <w:b/>
      <w:bCs/>
      <w:kern w:val="2"/>
      <w:sz w:val="24"/>
      <w:szCs w:val="24"/>
      <w:lang w:val="en-US" w:eastAsia="zh-CN" w:bidi="ar-SA"/>
    </w:rPr>
  </w:style>
  <w:style w:type="character" w:customStyle="1" w:styleId="73">
    <w:name w:val="Char Char5"/>
    <w:locked/>
    <w:uiPriority w:val="0"/>
    <w:rPr>
      <w:rFonts w:ascii="宋体" w:hAnsi="宋体" w:eastAsia="宋体"/>
      <w:kern w:val="2"/>
      <w:sz w:val="24"/>
      <w:lang w:val="en-US" w:eastAsia="zh-CN" w:bidi="ar-SA"/>
    </w:rPr>
  </w:style>
  <w:style w:type="character" w:customStyle="1" w:styleId="74">
    <w:name w:val="Char Char15"/>
    <w:locked/>
    <w:uiPriority w:val="0"/>
    <w:rPr>
      <w:rFonts w:ascii="Arial" w:hAnsi="Arial" w:eastAsia="黑体"/>
      <w:kern w:val="2"/>
      <w:sz w:val="24"/>
      <w:szCs w:val="24"/>
      <w:lang w:val="en-US" w:eastAsia="zh-CN" w:bidi="ar-SA"/>
    </w:rPr>
  </w:style>
  <w:style w:type="character" w:customStyle="1" w:styleId="75">
    <w:name w:val="List Paragraph Char"/>
    <w:link w:val="76"/>
    <w:locked/>
    <w:uiPriority w:val="0"/>
    <w:rPr>
      <w:rFonts w:ascii="Calibri" w:hAnsi="Calibri" w:eastAsia="宋体"/>
      <w:kern w:val="2"/>
      <w:sz w:val="21"/>
      <w:szCs w:val="22"/>
      <w:lang w:val="en-US" w:eastAsia="zh-CN" w:bidi="ar-SA"/>
    </w:rPr>
  </w:style>
  <w:style w:type="paragraph" w:customStyle="1" w:styleId="76">
    <w:name w:val="List Paragraph"/>
    <w:basedOn w:val="1"/>
    <w:link w:val="75"/>
    <w:uiPriority w:val="0"/>
    <w:pPr>
      <w:ind w:firstLine="420" w:firstLineChars="200"/>
    </w:pPr>
    <w:rPr>
      <w:rFonts w:ascii="Calibri" w:hAnsi="Calibri"/>
      <w:szCs w:val="22"/>
    </w:rPr>
  </w:style>
  <w:style w:type="character" w:customStyle="1" w:styleId="77">
    <w:name w:val="font51"/>
    <w:uiPriority w:val="0"/>
    <w:rPr>
      <w:rFonts w:hint="eastAsia" w:ascii="宋体" w:hAnsi="宋体" w:eastAsia="宋体" w:cs="宋体"/>
      <w:color w:val="auto"/>
      <w:sz w:val="22"/>
      <w:szCs w:val="22"/>
      <w:u w:val="none"/>
    </w:rPr>
  </w:style>
  <w:style w:type="character" w:customStyle="1" w:styleId="78">
    <w:name w:val="纯文本 字符"/>
    <w:link w:val="21"/>
    <w:uiPriority w:val="0"/>
    <w:rPr>
      <w:rFonts w:ascii="宋体" w:hAnsi="宋体" w:eastAsia="宋体" w:cs="宋体"/>
      <w:color w:val="000000"/>
      <w:sz w:val="24"/>
      <w:szCs w:val="24"/>
      <w:lang w:val="en-US" w:eastAsia="zh-CN" w:bidi="ar-SA"/>
    </w:rPr>
  </w:style>
  <w:style w:type="character" w:customStyle="1" w:styleId="79">
    <w:name w:val="Char Char9"/>
    <w:locked/>
    <w:uiPriority w:val="0"/>
    <w:rPr>
      <w:rFonts w:ascii="宋体" w:hAnsi="宋体" w:eastAsia="宋体"/>
      <w:sz w:val="16"/>
      <w:szCs w:val="16"/>
      <w:lang w:bidi="ar-SA"/>
    </w:rPr>
  </w:style>
  <w:style w:type="character" w:customStyle="1" w:styleId="80">
    <w:name w:val="正文文本缩进 3 字符"/>
    <w:link w:val="33"/>
    <w:uiPriority w:val="0"/>
    <w:rPr>
      <w:rFonts w:ascii="宋体" w:eastAsia="宋体"/>
      <w:kern w:val="2"/>
      <w:sz w:val="24"/>
      <w:lang w:val="en-US" w:eastAsia="zh-CN" w:bidi="ar-SA"/>
    </w:rPr>
  </w:style>
  <w:style w:type="character" w:customStyle="1" w:styleId="81">
    <w:name w:val="正文缩进 字符"/>
    <w:link w:val="13"/>
    <w:uiPriority w:val="0"/>
    <w:rPr>
      <w:rFonts w:eastAsia="宋体"/>
      <w:kern w:val="2"/>
      <w:sz w:val="21"/>
      <w:szCs w:val="24"/>
      <w:lang w:val="en-US" w:eastAsia="zh-CN" w:bidi="ar-SA"/>
    </w:rPr>
  </w:style>
  <w:style w:type="character" w:customStyle="1" w:styleId="82">
    <w:name w:val="页眉 字符"/>
    <w:uiPriority w:val="0"/>
    <w:rPr>
      <w:kern w:val="2"/>
      <w:sz w:val="18"/>
      <w:szCs w:val="18"/>
    </w:rPr>
  </w:style>
  <w:style w:type="character" w:customStyle="1" w:styleId="83">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84">
    <w:name w:val="font31"/>
    <w:uiPriority w:val="0"/>
    <w:rPr>
      <w:rFonts w:hint="eastAsia" w:ascii="宋体" w:hAnsi="宋体" w:eastAsia="宋体"/>
      <w:color w:val="000000"/>
      <w:sz w:val="20"/>
      <w:szCs w:val="20"/>
      <w:u w:val="none"/>
    </w:rPr>
  </w:style>
  <w:style w:type="character" w:customStyle="1" w:styleId="85">
    <w:name w:val="font01"/>
    <w:uiPriority w:val="0"/>
    <w:rPr>
      <w:rFonts w:hint="eastAsia" w:ascii="宋体" w:hAnsi="宋体" w:eastAsia="宋体"/>
      <w:color w:val="000000"/>
      <w:sz w:val="24"/>
      <w:szCs w:val="24"/>
      <w:u w:val="none"/>
    </w:rPr>
  </w:style>
  <w:style w:type="character" w:customStyle="1" w:styleId="86">
    <w:name w:val="font81"/>
    <w:uiPriority w:val="0"/>
    <w:rPr>
      <w:rFonts w:hint="eastAsia" w:ascii="宋体" w:hAnsi="宋体" w:eastAsia="宋体"/>
      <w:color w:val="FF0000"/>
      <w:sz w:val="20"/>
      <w:szCs w:val="20"/>
      <w:u w:val="none"/>
    </w:rPr>
  </w:style>
  <w:style w:type="character" w:customStyle="1" w:styleId="87">
    <w:name w:val="Char Char12"/>
    <w:locked/>
    <w:uiPriority w:val="0"/>
    <w:rPr>
      <w:rFonts w:ascii="宋体" w:hAnsi="宋体" w:eastAsia="宋体"/>
      <w:kern w:val="2"/>
      <w:sz w:val="21"/>
      <w:szCs w:val="24"/>
      <w:lang w:val="en-US" w:eastAsia="zh-CN" w:bidi="ar-SA"/>
    </w:rPr>
  </w:style>
  <w:style w:type="character" w:customStyle="1" w:styleId="88">
    <w:name w:val="页眉 字符1"/>
    <w:link w:val="27"/>
    <w:uiPriority w:val="0"/>
    <w:rPr>
      <w:rFonts w:eastAsia="宋体"/>
      <w:kern w:val="2"/>
      <w:sz w:val="18"/>
      <w:lang w:val="en-US" w:eastAsia="zh-CN" w:bidi="ar-SA"/>
    </w:rPr>
  </w:style>
  <w:style w:type="character" w:customStyle="1" w:styleId="89">
    <w:name w:val="Char Char8"/>
    <w:locked/>
    <w:uiPriority w:val="0"/>
    <w:rPr>
      <w:rFonts w:ascii="Arial" w:hAnsi="Arial" w:eastAsia="宋体" w:cs="Arial"/>
      <w:b/>
      <w:bCs/>
      <w:kern w:val="2"/>
      <w:sz w:val="32"/>
      <w:szCs w:val="32"/>
      <w:lang w:val="en-US" w:eastAsia="zh-CN" w:bidi="ar-SA"/>
    </w:rPr>
  </w:style>
  <w:style w:type="character" w:customStyle="1" w:styleId="90">
    <w:name w:val="标题 1 Char Char"/>
    <w:uiPriority w:val="0"/>
    <w:rPr>
      <w:rFonts w:eastAsia="宋体"/>
      <w:b/>
      <w:spacing w:val="-2"/>
      <w:sz w:val="24"/>
      <w:lang w:val="en-US" w:eastAsia="zh-CN" w:bidi="ar-SA"/>
    </w:rPr>
  </w:style>
  <w:style w:type="character" w:customStyle="1" w:styleId="91">
    <w:name w:val="apple-converted-space"/>
    <w:basedOn w:val="46"/>
    <w:uiPriority w:val="0"/>
  </w:style>
  <w:style w:type="character" w:customStyle="1" w:styleId="92">
    <w:name w:val="文档结构图 字符"/>
    <w:link w:val="14"/>
    <w:uiPriority w:val="0"/>
    <w:rPr>
      <w:rFonts w:eastAsia="宋体"/>
      <w:kern w:val="2"/>
      <w:sz w:val="21"/>
      <w:lang w:val="en-US" w:eastAsia="zh-CN" w:bidi="ar-SA"/>
    </w:rPr>
  </w:style>
  <w:style w:type="character" w:customStyle="1" w:styleId="93">
    <w:name w:val="列出段落 Char"/>
    <w:link w:val="94"/>
    <w:locked/>
    <w:uiPriority w:val="0"/>
    <w:rPr>
      <w:rFonts w:eastAsia="宋体"/>
      <w:kern w:val="2"/>
      <w:sz w:val="24"/>
      <w:szCs w:val="24"/>
      <w:lang w:val="en-US" w:eastAsia="zh-CN" w:bidi="ar-SA"/>
    </w:rPr>
  </w:style>
  <w:style w:type="paragraph" w:customStyle="1" w:styleId="94">
    <w:name w:val="列出段落"/>
    <w:basedOn w:val="1"/>
    <w:link w:val="93"/>
    <w:qFormat/>
    <w:uiPriority w:val="34"/>
    <w:pPr>
      <w:spacing w:line="360" w:lineRule="auto"/>
      <w:ind w:firstLine="420" w:firstLineChars="200"/>
    </w:pPr>
    <w:rPr>
      <w:sz w:val="24"/>
      <w:szCs w:val="24"/>
    </w:rPr>
  </w:style>
  <w:style w:type="character" w:customStyle="1" w:styleId="95">
    <w:name w:val="font71"/>
    <w:uiPriority w:val="0"/>
    <w:rPr>
      <w:rFonts w:hint="eastAsia" w:ascii="宋体" w:hAnsi="宋体" w:eastAsia="宋体" w:cs="宋体"/>
      <w:color w:val="auto"/>
      <w:sz w:val="22"/>
      <w:szCs w:val="22"/>
      <w:u w:val="none"/>
    </w:rPr>
  </w:style>
  <w:style w:type="character" w:customStyle="1" w:styleId="96">
    <w:name w:val="样式4 Char"/>
    <w:link w:val="97"/>
    <w:uiPriority w:val="0"/>
    <w:rPr>
      <w:rFonts w:ascii="黑体" w:hAnsi="黑体" w:eastAsia="黑体"/>
      <w:bCs/>
      <w:kern w:val="44"/>
      <w:sz w:val="44"/>
      <w:szCs w:val="44"/>
      <w:lang w:val="en-US" w:eastAsia="zh-CN" w:bidi="ar-SA"/>
    </w:rPr>
  </w:style>
  <w:style w:type="paragraph" w:customStyle="1" w:styleId="97">
    <w:name w:val="样式4"/>
    <w:basedOn w:val="3"/>
    <w:link w:val="96"/>
    <w:qFormat/>
    <w:uiPriority w:val="0"/>
    <w:pPr>
      <w:keepLines/>
      <w:spacing w:line="360" w:lineRule="auto"/>
    </w:pPr>
    <w:rPr>
      <w:rFonts w:ascii="黑体" w:hAnsi="黑体" w:eastAsia="黑体"/>
      <w:b w:val="0"/>
      <w:kern w:val="44"/>
      <w:sz w:val="44"/>
      <w:szCs w:val="44"/>
    </w:rPr>
  </w:style>
  <w:style w:type="character" w:customStyle="1" w:styleId="98">
    <w:name w:val="正文文本 字符"/>
    <w:link w:val="2"/>
    <w:uiPriority w:val="99"/>
    <w:rPr>
      <w:rFonts w:eastAsia="宋体"/>
      <w:i/>
      <w:kern w:val="2"/>
      <w:sz w:val="18"/>
      <w:lang w:val="en-US" w:eastAsia="zh-CN" w:bidi="ar-SA"/>
    </w:rPr>
  </w:style>
  <w:style w:type="character" w:customStyle="1" w:styleId="99">
    <w:name w:val="正文文本首行缩进 字符"/>
    <w:link w:val="43"/>
    <w:uiPriority w:val="0"/>
    <w:rPr>
      <w:rFonts w:eastAsia="宋体"/>
      <w:i/>
      <w:kern w:val="2"/>
      <w:sz w:val="21"/>
      <w:szCs w:val="24"/>
      <w:lang w:val="en-US" w:eastAsia="zh-CN" w:bidi="ar-SA"/>
    </w:rPr>
  </w:style>
  <w:style w:type="character" w:customStyle="1" w:styleId="100">
    <w:name w:val="标题 2 字符"/>
    <w:link w:val="4"/>
    <w:uiPriority w:val="0"/>
    <w:rPr>
      <w:rFonts w:ascii="Arial" w:hAnsi="Arial" w:eastAsia="黑体"/>
      <w:b/>
      <w:bCs/>
      <w:kern w:val="2"/>
      <w:sz w:val="32"/>
      <w:szCs w:val="32"/>
      <w:lang w:val="en-US" w:eastAsia="zh-CN" w:bidi="ar-SA"/>
    </w:rPr>
  </w:style>
  <w:style w:type="character" w:customStyle="1" w:styleId="101">
    <w:name w:val="Char Char19"/>
    <w:locked/>
    <w:uiPriority w:val="0"/>
    <w:rPr>
      <w:rFonts w:ascii="Arial" w:hAnsi="Arial" w:eastAsia="黑体"/>
      <w:b/>
      <w:bCs/>
      <w:kern w:val="2"/>
      <w:sz w:val="28"/>
      <w:szCs w:val="28"/>
      <w:lang w:val="en-US" w:eastAsia="zh-CN" w:bidi="ar-SA"/>
    </w:rPr>
  </w:style>
  <w:style w:type="character" w:customStyle="1" w:styleId="102">
    <w:name w:val="Char Char21"/>
    <w:locked/>
    <w:uiPriority w:val="0"/>
    <w:rPr>
      <w:rFonts w:ascii="Arial" w:hAnsi="Arial" w:eastAsia="黑体"/>
      <w:b/>
      <w:bCs/>
      <w:kern w:val="2"/>
      <w:sz w:val="32"/>
      <w:szCs w:val="32"/>
      <w:lang w:val="en-US" w:eastAsia="zh-CN" w:bidi="ar-SA"/>
    </w:rPr>
  </w:style>
  <w:style w:type="character" w:customStyle="1" w:styleId="103">
    <w:name w:val="Char Char"/>
    <w:locked/>
    <w:uiPriority w:val="0"/>
    <w:rPr>
      <w:rFonts w:ascii="Arial" w:hAnsi="Arial" w:eastAsia="宋体" w:cs="Arial"/>
      <w:b/>
      <w:bCs/>
      <w:kern w:val="2"/>
      <w:sz w:val="32"/>
      <w:szCs w:val="32"/>
      <w:lang w:val="en-US" w:eastAsia="zh-CN" w:bidi="ar-SA"/>
    </w:rPr>
  </w:style>
  <w:style w:type="character" w:customStyle="1" w:styleId="104">
    <w:name w:val="标题 5 字符"/>
    <w:link w:val="7"/>
    <w:uiPriority w:val="0"/>
    <w:rPr>
      <w:rFonts w:eastAsia="宋体"/>
      <w:b/>
      <w:bCs/>
      <w:kern w:val="2"/>
      <w:sz w:val="28"/>
      <w:szCs w:val="28"/>
      <w:lang w:val="en-US" w:eastAsia="zh-CN" w:bidi="ar-SA"/>
    </w:rPr>
  </w:style>
  <w:style w:type="character" w:customStyle="1" w:styleId="105">
    <w:name w:val="Char Char11"/>
    <w:locked/>
    <w:uiPriority w:val="0"/>
    <w:rPr>
      <w:rFonts w:ascii="宋体" w:hAnsi="宋体" w:eastAsia="宋体"/>
      <w:kern w:val="2"/>
      <w:sz w:val="18"/>
      <w:lang w:val="en-US" w:eastAsia="zh-CN" w:bidi="ar-SA"/>
    </w:rPr>
  </w:style>
  <w:style w:type="character" w:customStyle="1" w:styleId="106">
    <w:name w:val="Char Char13"/>
    <w:locked/>
    <w:uiPriority w:val="0"/>
    <w:rPr>
      <w:rFonts w:ascii="宋体" w:hAnsi="宋体" w:eastAsia="宋体"/>
      <w:kern w:val="2"/>
      <w:sz w:val="21"/>
      <w:lang w:val="en-US" w:eastAsia="zh-CN" w:bidi="ar-SA"/>
    </w:rPr>
  </w:style>
  <w:style w:type="character" w:customStyle="1" w:styleId="107">
    <w:name w:val="Char Char6"/>
    <w:locked/>
    <w:uiPriority w:val="0"/>
    <w:rPr>
      <w:rFonts w:ascii="宋体" w:hAnsi="宋体" w:eastAsia="宋体"/>
      <w:kern w:val="2"/>
      <w:sz w:val="18"/>
      <w:lang w:val="en-US" w:eastAsia="zh-CN" w:bidi="ar-SA"/>
    </w:rPr>
  </w:style>
  <w:style w:type="character" w:customStyle="1" w:styleId="108">
    <w:name w:val="font121"/>
    <w:uiPriority w:val="0"/>
    <w:rPr>
      <w:rFonts w:hint="eastAsia" w:ascii="宋体" w:hAnsi="宋体" w:eastAsia="宋体" w:cs="宋体"/>
      <w:b/>
      <w:color w:val="FF0000"/>
      <w:sz w:val="22"/>
      <w:szCs w:val="22"/>
      <w:u w:val="none"/>
    </w:rPr>
  </w:style>
  <w:style w:type="character" w:customStyle="1" w:styleId="109">
    <w:name w:val="15"/>
    <w:uiPriority w:val="0"/>
    <w:rPr>
      <w:rFonts w:hint="eastAsia" w:ascii="宋体" w:hAnsi="宋体" w:eastAsia="宋体"/>
      <w:b/>
      <w:bCs/>
      <w:color w:val="000000"/>
      <w:sz w:val="18"/>
      <w:szCs w:val="18"/>
    </w:rPr>
  </w:style>
  <w:style w:type="character" w:customStyle="1" w:styleId="110">
    <w:name w:val="样式5 Char"/>
    <w:link w:val="111"/>
    <w:uiPriority w:val="0"/>
    <w:rPr>
      <w:rFonts w:eastAsia="宋体"/>
      <w:b/>
      <w:bCs/>
      <w:kern w:val="2"/>
      <w:sz w:val="28"/>
      <w:szCs w:val="28"/>
      <w:lang w:val="en-US" w:eastAsia="zh-CN" w:bidi="ar-SA"/>
    </w:rPr>
  </w:style>
  <w:style w:type="paragraph" w:customStyle="1" w:styleId="111">
    <w:name w:val="样式5"/>
    <w:basedOn w:val="1"/>
    <w:link w:val="110"/>
    <w:qFormat/>
    <w:uiPriority w:val="0"/>
    <w:pPr>
      <w:keepNext/>
      <w:keepLines/>
      <w:spacing w:before="280" w:after="290" w:line="376" w:lineRule="auto"/>
      <w:ind w:left="210" w:leftChars="100" w:right="210" w:rightChars="100"/>
      <w:outlineLvl w:val="4"/>
    </w:pPr>
    <w:rPr>
      <w:b/>
      <w:bCs/>
      <w:sz w:val="28"/>
      <w:szCs w:val="28"/>
    </w:rPr>
  </w:style>
  <w:style w:type="character" w:customStyle="1" w:styleId="112">
    <w:name w:val="标题 3 字符"/>
    <w:link w:val="5"/>
    <w:uiPriority w:val="0"/>
    <w:rPr>
      <w:rFonts w:ascii="Arial" w:hAnsi="Arial" w:eastAsia="黑体" w:cs="Arial"/>
      <w:b/>
      <w:bCs/>
      <w:kern w:val="2"/>
      <w:sz w:val="30"/>
      <w:szCs w:val="32"/>
      <w:lang w:val="en-US" w:eastAsia="zh-CN" w:bidi="ar-SA"/>
    </w:rPr>
  </w:style>
  <w:style w:type="character" w:customStyle="1" w:styleId="113">
    <w:name w:val="标题 4 字符"/>
    <w:link w:val="6"/>
    <w:uiPriority w:val="0"/>
    <w:rPr>
      <w:rFonts w:ascii="Arial" w:hAnsi="Arial" w:eastAsia="黑体"/>
      <w:b/>
      <w:bCs/>
      <w:kern w:val="2"/>
      <w:sz w:val="28"/>
      <w:szCs w:val="28"/>
      <w:lang w:val="en-US" w:eastAsia="zh-CN" w:bidi="ar-SA"/>
    </w:rPr>
  </w:style>
  <w:style w:type="character" w:customStyle="1" w:styleId="114">
    <w:name w:val="标题 1 字符"/>
    <w:link w:val="3"/>
    <w:uiPriority w:val="0"/>
    <w:rPr>
      <w:rFonts w:ascii="宋体" w:eastAsia="宋体"/>
      <w:b/>
      <w:bCs/>
      <w:kern w:val="2"/>
      <w:sz w:val="28"/>
      <w:lang w:val="en-US" w:eastAsia="zh-CN" w:bidi="ar-SA"/>
    </w:rPr>
  </w:style>
  <w:style w:type="character" w:customStyle="1" w:styleId="115">
    <w:name w:val="标题 8 字符"/>
    <w:link w:val="10"/>
    <w:uiPriority w:val="0"/>
    <w:rPr>
      <w:rFonts w:ascii="Arial" w:hAnsi="Arial" w:eastAsia="黑体"/>
      <w:kern w:val="2"/>
      <w:sz w:val="24"/>
      <w:szCs w:val="24"/>
      <w:lang w:val="en-US" w:eastAsia="zh-CN" w:bidi="ar-SA"/>
    </w:rPr>
  </w:style>
  <w:style w:type="character" w:customStyle="1" w:styleId="116">
    <w:name w:val="Char Char16"/>
    <w:locked/>
    <w:uiPriority w:val="0"/>
    <w:rPr>
      <w:rFonts w:eastAsia="宋体"/>
      <w:b/>
      <w:bCs/>
      <w:kern w:val="2"/>
      <w:sz w:val="24"/>
      <w:szCs w:val="24"/>
      <w:lang w:val="en-US" w:eastAsia="zh-CN" w:bidi="ar-SA"/>
    </w:rPr>
  </w:style>
  <w:style w:type="character" w:customStyle="1" w:styleId="117">
    <w:name w:val="hui3"/>
    <w:uiPriority w:val="0"/>
    <w:rPr>
      <w:color w:val="333333"/>
    </w:rPr>
  </w:style>
  <w:style w:type="character" w:customStyle="1" w:styleId="118">
    <w:name w:val="Char Char1"/>
    <w:locked/>
    <w:uiPriority w:val="0"/>
    <w:rPr>
      <w:rFonts w:ascii="方正书宋简体" w:eastAsia="方正书宋简体"/>
      <w:kern w:val="2"/>
      <w:sz w:val="24"/>
      <w:lang w:val="en-US" w:eastAsia="zh-CN" w:bidi="ar-SA"/>
    </w:rPr>
  </w:style>
  <w:style w:type="character" w:customStyle="1" w:styleId="119">
    <w:name w:val="Char Char17"/>
    <w:semiHidden/>
    <w:locked/>
    <w:uiPriority w:val="0"/>
    <w:rPr>
      <w:rFonts w:ascii="Cambria" w:hAnsi="Cambria" w:eastAsia="宋体"/>
      <w:b/>
      <w:bCs/>
      <w:kern w:val="2"/>
      <w:sz w:val="24"/>
      <w:szCs w:val="24"/>
      <w:lang w:val="en-US" w:eastAsia="zh-CN" w:bidi="ar-SA"/>
    </w:rPr>
  </w:style>
  <w:style w:type="character" w:customStyle="1" w:styleId="120">
    <w:name w:val="font61"/>
    <w:uiPriority w:val="0"/>
    <w:rPr>
      <w:rFonts w:hint="eastAsia" w:ascii="宋体" w:hAnsi="宋体" w:eastAsia="宋体" w:cs="宋体"/>
      <w:b/>
      <w:color w:val="auto"/>
      <w:sz w:val="22"/>
      <w:szCs w:val="22"/>
      <w:u w:val="none"/>
    </w:rPr>
  </w:style>
  <w:style w:type="character" w:customStyle="1" w:styleId="121">
    <w:name w:val="font11"/>
    <w:uiPriority w:val="0"/>
    <w:rPr>
      <w:rFonts w:hint="default" w:ascii="Times New Roman" w:hAnsi="Times New Roman" w:cs="Times New Roman"/>
      <w:color w:val="000000"/>
      <w:sz w:val="24"/>
      <w:szCs w:val="24"/>
      <w:u w:val="none"/>
    </w:rPr>
  </w:style>
  <w:style w:type="character" w:customStyle="1" w:styleId="122">
    <w:name w:val="正文文本 3 字符"/>
    <w:link w:val="16"/>
    <w:uiPriority w:val="0"/>
    <w:rPr>
      <w:rFonts w:eastAsia="宋体"/>
      <w:sz w:val="16"/>
      <w:szCs w:val="16"/>
      <w:lang w:bidi="ar-SA"/>
    </w:rPr>
  </w:style>
  <w:style w:type="character" w:customStyle="1" w:styleId="123">
    <w:name w:val="列表段落 字符"/>
    <w:link w:val="124"/>
    <w:qFormat/>
    <w:uiPriority w:val="34"/>
    <w:rPr>
      <w:kern w:val="2"/>
      <w:sz w:val="21"/>
      <w:szCs w:val="22"/>
      <w:lang w:bidi="ar-SA"/>
    </w:rPr>
  </w:style>
  <w:style w:type="paragraph" w:styleId="124">
    <w:name w:val="List Paragraph"/>
    <w:basedOn w:val="1"/>
    <w:link w:val="123"/>
    <w:qFormat/>
    <w:uiPriority w:val="34"/>
    <w:pPr>
      <w:tabs>
        <w:tab w:val="left" w:pos="360"/>
      </w:tabs>
    </w:pPr>
    <w:rPr>
      <w:szCs w:val="22"/>
    </w:rPr>
  </w:style>
  <w:style w:type="character" w:customStyle="1" w:styleId="125">
    <w:name w:val="样式1 Char"/>
    <w:link w:val="126"/>
    <w:uiPriority w:val="0"/>
    <w:rPr>
      <w:rFonts w:ascii="黑体" w:hAnsi="黑体" w:eastAsia="黑体"/>
      <w:b/>
      <w:bCs/>
      <w:kern w:val="2"/>
      <w:sz w:val="32"/>
      <w:szCs w:val="32"/>
      <w:lang w:bidi="ar-SA"/>
    </w:rPr>
  </w:style>
  <w:style w:type="paragraph" w:customStyle="1" w:styleId="126">
    <w:name w:val="样式1"/>
    <w:basedOn w:val="4"/>
    <w:link w:val="125"/>
    <w:uiPriority w:val="0"/>
    <w:pPr>
      <w:tabs>
        <w:tab w:val="clear" w:pos="578"/>
      </w:tabs>
      <w:spacing w:before="0" w:beforeLines="0" w:after="0" w:afterLines="0"/>
      <w:ind w:left="0" w:firstLine="0"/>
    </w:pPr>
    <w:rPr>
      <w:rFonts w:ascii="黑体" w:hAnsi="黑体"/>
      <w:lang/>
    </w:rPr>
  </w:style>
  <w:style w:type="character" w:customStyle="1" w:styleId="127">
    <w:name w:val="标题 9 字符"/>
    <w:link w:val="11"/>
    <w:uiPriority w:val="0"/>
    <w:rPr>
      <w:rFonts w:ascii="Arial" w:hAnsi="Arial" w:eastAsia="黑体"/>
      <w:kern w:val="2"/>
      <w:sz w:val="21"/>
      <w:szCs w:val="21"/>
      <w:lang w:val="en-US" w:eastAsia="zh-CN" w:bidi="ar-SA"/>
    </w:rPr>
  </w:style>
  <w:style w:type="character" w:customStyle="1" w:styleId="128">
    <w:name w:val="标题2正文 Char Char"/>
    <w:link w:val="129"/>
    <w:uiPriority w:val="0"/>
    <w:rPr>
      <w:rFonts w:eastAsia="宋体"/>
      <w:sz w:val="24"/>
      <w:szCs w:val="24"/>
      <w:lang w:bidi="ar-SA"/>
    </w:rPr>
  </w:style>
  <w:style w:type="paragraph" w:customStyle="1" w:styleId="129">
    <w:name w:val="标题2正文 Char"/>
    <w:basedOn w:val="1"/>
    <w:link w:val="128"/>
    <w:uiPriority w:val="0"/>
    <w:pPr>
      <w:spacing w:before="156" w:beforeLines="50" w:after="156" w:afterLines="50"/>
      <w:ind w:right="38" w:rightChars="18" w:firstLine="420"/>
    </w:pPr>
    <w:rPr>
      <w:kern w:val="0"/>
      <w:sz w:val="24"/>
      <w:szCs w:val="24"/>
      <w:lang/>
    </w:rPr>
  </w:style>
  <w:style w:type="character" w:customStyle="1" w:styleId="130">
    <w:name w:val="正文文本缩进 字符"/>
    <w:link w:val="17"/>
    <w:uiPriority w:val="0"/>
    <w:rPr>
      <w:rFonts w:eastAsia="方正书宋简体"/>
      <w:kern w:val="2"/>
      <w:sz w:val="24"/>
      <w:lang w:val="en-US" w:eastAsia="zh-CN" w:bidi="ar-SA"/>
    </w:rPr>
  </w:style>
  <w:style w:type="character" w:customStyle="1" w:styleId="131">
    <w:name w:val="正文文本缩进 2 字符"/>
    <w:link w:val="24"/>
    <w:uiPriority w:val="0"/>
    <w:rPr>
      <w:rFonts w:ascii="宋体" w:eastAsia="宋体"/>
      <w:kern w:val="2"/>
      <w:sz w:val="24"/>
      <w:lang w:val="en-US" w:eastAsia="zh-CN" w:bidi="ar-SA"/>
    </w:rPr>
  </w:style>
  <w:style w:type="character" w:customStyle="1" w:styleId="132">
    <w:name w:val="页脚 字符"/>
    <w:uiPriority w:val="0"/>
    <w:rPr>
      <w:kern w:val="2"/>
      <w:sz w:val="18"/>
      <w:szCs w:val="18"/>
    </w:rPr>
  </w:style>
  <w:style w:type="character" w:customStyle="1" w:styleId="133">
    <w:name w:val="Char Char2"/>
    <w:locked/>
    <w:uiPriority w:val="0"/>
    <w:rPr>
      <w:rFonts w:ascii="宋体" w:hAnsi="宋体" w:eastAsia="宋体" w:cs="Arial"/>
      <w:b/>
      <w:bCs/>
      <w:i/>
      <w:kern w:val="2"/>
      <w:sz w:val="21"/>
      <w:szCs w:val="24"/>
      <w:lang w:val="en-US" w:eastAsia="zh-CN" w:bidi="ar-SA"/>
    </w:rPr>
  </w:style>
  <w:style w:type="character" w:customStyle="1" w:styleId="134">
    <w:name w:val="Char Char22"/>
    <w:locked/>
    <w:uiPriority w:val="0"/>
    <w:rPr>
      <w:rFonts w:ascii="宋体" w:eastAsia="宋体"/>
      <w:b/>
      <w:bCs/>
      <w:kern w:val="2"/>
      <w:sz w:val="28"/>
      <w:lang w:val="en-US" w:eastAsia="zh-CN" w:bidi="ar-SA"/>
    </w:rPr>
  </w:style>
  <w:style w:type="character" w:customStyle="1" w:styleId="135">
    <w:name w:val="样式2 Char"/>
    <w:link w:val="136"/>
    <w:uiPriority w:val="0"/>
    <w:rPr>
      <w:rFonts w:ascii="黑体" w:hAnsi="黑体" w:eastAsia="黑体"/>
      <w:bCs/>
      <w:color w:val="FF0000"/>
      <w:kern w:val="2"/>
      <w:sz w:val="28"/>
      <w:szCs w:val="32"/>
      <w:lang w:val="en-US" w:eastAsia="zh-CN" w:bidi="ar-SA"/>
    </w:rPr>
  </w:style>
  <w:style w:type="paragraph" w:customStyle="1" w:styleId="136">
    <w:name w:val="样式2"/>
    <w:basedOn w:val="5"/>
    <w:link w:val="135"/>
    <w:qFormat/>
    <w:uiPriority w:val="0"/>
    <w:pPr>
      <w:numPr>
        <w:ilvl w:val="0"/>
        <w:numId w:val="0"/>
      </w:numPr>
      <w:adjustRightInd w:val="0"/>
      <w:spacing w:before="0" w:beforeLines="0" w:after="0" w:afterLines="0"/>
      <w:textAlignment w:val="baseline"/>
    </w:pPr>
    <w:rPr>
      <w:rFonts w:ascii="黑体" w:hAnsi="黑体" w:cs="Times New Roman"/>
      <w:b w:val="0"/>
      <w:color w:val="FF0000"/>
      <w:sz w:val="28"/>
    </w:rPr>
  </w:style>
  <w:style w:type="character" w:customStyle="1" w:styleId="137">
    <w:name w:val="font21"/>
    <w:uiPriority w:val="0"/>
    <w:rPr>
      <w:rFonts w:hint="eastAsia" w:ascii="宋体" w:hAnsi="宋体" w:eastAsia="宋体"/>
      <w:b/>
      <w:bCs/>
      <w:color w:val="000000"/>
      <w:sz w:val="20"/>
      <w:szCs w:val="20"/>
      <w:u w:val="none"/>
    </w:rPr>
  </w:style>
  <w:style w:type="character" w:customStyle="1" w:styleId="138">
    <w:name w:val="apple-style-span"/>
    <w:basedOn w:val="46"/>
    <w:uiPriority w:val="0"/>
  </w:style>
  <w:style w:type="character" w:customStyle="1" w:styleId="139">
    <w:name w:val="页脚 字符1"/>
    <w:link w:val="26"/>
    <w:uiPriority w:val="99"/>
    <w:rPr>
      <w:rFonts w:eastAsia="宋体"/>
      <w:kern w:val="2"/>
      <w:sz w:val="18"/>
      <w:lang w:val="en-US" w:eastAsia="zh-CN" w:bidi="ar-SA"/>
    </w:rPr>
  </w:style>
  <w:style w:type="paragraph" w:customStyle="1" w:styleId="140">
    <w:name w:val="tabletext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正文编码"/>
    <w:basedOn w:val="43"/>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142">
    <w:name w:val="正文 居中"/>
    <w:basedOn w:val="1"/>
    <w:uiPriority w:val="0"/>
    <w:pPr>
      <w:spacing w:line="360" w:lineRule="auto"/>
      <w:jc w:val="center"/>
    </w:pPr>
    <w:rPr>
      <w:rFonts w:cs="宋体"/>
      <w:sz w:val="24"/>
    </w:rPr>
  </w:style>
  <w:style w:type="paragraph" w:customStyle="1" w:styleId="143">
    <w:name w:val="Proposals body"/>
    <w:basedOn w:val="1"/>
    <w:next w:val="1"/>
    <w:uiPriority w:val="0"/>
    <w:pPr>
      <w:widowControl/>
      <w:spacing w:line="360" w:lineRule="auto"/>
      <w:jc w:val="left"/>
    </w:pPr>
    <w:rPr>
      <w:rFonts w:ascii="宋体"/>
      <w:snapToGrid w:val="0"/>
      <w:color w:val="000000"/>
      <w:kern w:val="0"/>
      <w:sz w:val="24"/>
    </w:rPr>
  </w:style>
  <w:style w:type="paragraph" w:customStyle="1" w:styleId="144">
    <w:name w:val="正文2"/>
    <w:basedOn w:val="1"/>
    <w:uiPriority w:val="0"/>
    <w:pPr>
      <w:spacing w:before="156" w:beforeLines="50" w:after="156" w:afterLines="50" w:line="360" w:lineRule="auto"/>
      <w:ind w:firstLine="480" w:firstLineChars="200"/>
    </w:pPr>
    <w:rPr>
      <w:rFonts w:ascii="宋体" w:hAnsi="宋体"/>
      <w:sz w:val="24"/>
      <w:szCs w:val="24"/>
    </w:rPr>
  </w:style>
  <w:style w:type="paragraph" w:customStyle="1" w:styleId="145">
    <w:name w:val="样式3"/>
    <w:basedOn w:val="21"/>
    <w:qFormat/>
    <w:uiPriority w:val="0"/>
    <w:pPr>
      <w:spacing w:line="0" w:lineRule="atLeast"/>
      <w:outlineLvl w:val="0"/>
    </w:pPr>
    <w:rPr>
      <w:sz w:val="28"/>
    </w:rPr>
  </w:style>
  <w:style w:type="paragraph" w:customStyle="1" w:styleId="146">
    <w:name w:val="Plain Text"/>
    <w:basedOn w:val="1"/>
    <w:uiPriority w:val="0"/>
    <w:rPr>
      <w:rFonts w:ascii="宋体" w:hAnsi="Courier New"/>
    </w:rPr>
  </w:style>
  <w:style w:type="paragraph" w:customStyle="1" w:styleId="147">
    <w:name w:val="itemlistintab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 Char1"/>
    <w:basedOn w:val="1"/>
    <w:uiPriority w:val="0"/>
    <w:rPr>
      <w:rFonts w:ascii="仿宋_GB2312" w:eastAsia="仿宋_GB2312"/>
      <w:b/>
      <w:sz w:val="32"/>
      <w:szCs w:val="32"/>
    </w:rPr>
  </w:style>
  <w:style w:type="paragraph" w:customStyle="1" w:styleId="149">
    <w:name w:val="Char1"/>
    <w:basedOn w:val="1"/>
    <w:uiPriority w:val="0"/>
    <w:rPr>
      <w:szCs w:val="24"/>
    </w:rPr>
  </w:style>
  <w:style w:type="paragraph" w:customStyle="1" w:styleId="150">
    <w:name w:val="正文段"/>
    <w:basedOn w:val="1"/>
    <w:uiPriority w:val="0"/>
    <w:pPr>
      <w:widowControl/>
      <w:snapToGrid w:val="0"/>
      <w:spacing w:after="50" w:afterLines="50"/>
      <w:ind w:firstLine="200" w:firstLineChars="200"/>
    </w:pPr>
    <w:rPr>
      <w:kern w:val="0"/>
      <w:sz w:val="24"/>
    </w:rPr>
  </w:style>
  <w:style w:type="paragraph" w:customStyle="1" w:styleId="151">
    <w:name w:val="表内文字"/>
    <w:basedOn w:val="1"/>
    <w:uiPriority w:val="0"/>
    <w:pPr>
      <w:tabs>
        <w:tab w:val="left" w:pos="1418"/>
      </w:tabs>
      <w:spacing w:line="360" w:lineRule="auto"/>
      <w:jc w:val="center"/>
    </w:pPr>
    <w:rPr>
      <w:rFonts w:ascii="仿宋_GB2312" w:eastAsia="仿宋_GB2312"/>
      <w:spacing w:val="-20"/>
      <w:kern w:val="0"/>
      <w:sz w:val="24"/>
      <w:szCs w:val="24"/>
    </w:rPr>
  </w:style>
  <w:style w:type="paragraph" w:customStyle="1" w:styleId="152">
    <w:name w:val="首行缩进"/>
    <w:basedOn w:val="1"/>
    <w:uiPriority w:val="0"/>
    <w:rPr>
      <w:rFonts w:ascii="等线" w:hAnsi="等线" w:eastAsia="等线"/>
      <w:szCs w:val="22"/>
      <w:lang w:val="zh-CN"/>
    </w:rPr>
  </w:style>
  <w:style w:type="paragraph" w:customStyle="1" w:styleId="153">
    <w:name w:val="Char Char Char Char Char Char Char"/>
    <w:basedOn w:val="1"/>
    <w:uiPriority w:val="0"/>
    <w:pPr>
      <w:tabs>
        <w:tab w:val="left" w:pos="432"/>
      </w:tabs>
      <w:ind w:left="432" w:hanging="432"/>
    </w:pPr>
    <w:rPr>
      <w:rFonts w:ascii="Tahoma" w:hAnsi="Tahoma"/>
      <w:sz w:val="24"/>
    </w:rPr>
  </w:style>
  <w:style w:type="paragraph" w:customStyle="1" w:styleId="154">
    <w:name w:val="Char Char1 Char Char Char Char"/>
    <w:basedOn w:val="1"/>
    <w:uiPriority w:val="0"/>
    <w:rPr>
      <w:rFonts w:ascii="Tahoma" w:hAnsi="Tahoma"/>
      <w:sz w:val="24"/>
    </w:rPr>
  </w:style>
  <w:style w:type="paragraph" w:customStyle="1" w:styleId="155">
    <w:name w:val=" Char Char Char Char"/>
    <w:basedOn w:val="1"/>
    <w:uiPriority w:val="0"/>
    <w:pPr>
      <w:widowControl/>
      <w:spacing w:line="400" w:lineRule="exact"/>
      <w:jc w:val="center"/>
    </w:pPr>
    <w:rPr>
      <w:rFonts w:ascii="Verdana" w:hAnsi="Verdana"/>
      <w:kern w:val="0"/>
      <w:lang w:eastAsia="en-US"/>
    </w:rPr>
  </w:style>
  <w:style w:type="paragraph" w:customStyle="1" w:styleId="156">
    <w:name w:val="_Style 3"/>
    <w:uiPriority w:val="0"/>
    <w:rPr>
      <w:sz w:val="22"/>
      <w:szCs w:val="22"/>
      <w:lang w:val="en-US" w:eastAsia="zh-CN" w:bidi="ar-SA"/>
    </w:rPr>
  </w:style>
  <w:style w:type="paragraph" w:customStyle="1" w:styleId="157">
    <w:name w:val="*正文"/>
    <w:basedOn w:val="1"/>
    <w:uiPriority w:val="0"/>
    <w:pPr>
      <w:widowControl/>
      <w:ind w:firstLine="200" w:firstLineChars="200"/>
    </w:pPr>
    <w:rPr>
      <w:rFonts w:ascii="仿宋_GB2312" w:hAnsi="等线" w:eastAsia="仿宋_GB2312"/>
      <w:sz w:val="24"/>
      <w:szCs w:val="28"/>
    </w:rPr>
  </w:style>
  <w:style w:type="paragraph" w:customStyle="1" w:styleId="158">
    <w:name w:val="标题1"/>
    <w:basedOn w:val="3"/>
    <w:uiPriority w:val="0"/>
    <w:pPr>
      <w:keepLines/>
      <w:tabs>
        <w:tab w:val="left" w:pos="397"/>
      </w:tabs>
      <w:spacing w:before="120" w:after="120" w:line="300" w:lineRule="auto"/>
      <w:ind w:firstLine="340"/>
    </w:pPr>
    <w:rPr>
      <w:rFonts w:ascii="黑体" w:hAnsi="宋体" w:eastAsia="黑体"/>
      <w:b w:val="0"/>
      <w:bCs w:val="0"/>
      <w:spacing w:val="6"/>
      <w:kern w:val="44"/>
      <w:sz w:val="36"/>
    </w:rPr>
  </w:style>
  <w:style w:type="paragraph" w:customStyle="1" w:styleId="159">
    <w:name w:val="符号 1"/>
    <w:basedOn w:val="17"/>
    <w:uiPriority w:val="0"/>
    <w:pPr>
      <w:tabs>
        <w:tab w:val="left" w:pos="900"/>
      </w:tabs>
      <w:spacing w:line="360" w:lineRule="auto"/>
      <w:ind w:left="1200" w:hanging="720"/>
    </w:pPr>
    <w:rPr>
      <w:rFonts w:eastAsia="宋体"/>
      <w:kern w:val="28"/>
      <w:szCs w:val="24"/>
    </w:rPr>
  </w:style>
  <w:style w:type="paragraph" w:customStyle="1" w:styleId="160">
    <w:name w:val=" Char Char Char Char Char Char Char"/>
    <w:basedOn w:val="1"/>
    <w:uiPriority w:val="0"/>
    <w:pPr>
      <w:tabs>
        <w:tab w:val="left" w:pos="432"/>
      </w:tabs>
      <w:ind w:left="432" w:hanging="432"/>
    </w:pPr>
    <w:rPr>
      <w:rFonts w:ascii="Tahoma" w:hAnsi="Tahoma"/>
      <w:sz w:val="24"/>
    </w:rPr>
  </w:style>
  <w:style w:type="paragraph" w:customStyle="1" w:styleId="161">
    <w:name w:val="Normal 2"/>
    <w:basedOn w:val="1"/>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62">
    <w:name w:val="tabletextcharch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63">
    <w:name w:val="默认段落字体 Para Char Char Char Char Char Char Char Char Char1 Char Char Char Char"/>
    <w:basedOn w:val="1"/>
    <w:uiPriority w:val="0"/>
    <w:rPr>
      <w:rFonts w:ascii="Tahoma" w:hAnsi="Tahoma"/>
      <w:sz w:val="24"/>
    </w:rPr>
  </w:style>
  <w:style w:type="paragraph" w:customStyle="1" w:styleId="164">
    <w:name w:val="正文文本缩进 + 四号"/>
    <w:basedOn w:val="17"/>
    <w:uiPriority w:val="0"/>
    <w:pPr>
      <w:spacing w:line="360" w:lineRule="auto"/>
      <w:ind w:firstLine="560" w:firstLineChars="200"/>
    </w:pPr>
    <w:rPr>
      <w:rFonts w:ascii="仿宋_GB2312" w:eastAsia="仿宋_GB2312"/>
      <w:color w:val="000000"/>
      <w:sz w:val="28"/>
      <w:szCs w:val="28"/>
    </w:rPr>
  </w:style>
  <w:style w:type="paragraph" w:customStyle="1" w:styleId="165">
    <w:name w:val="符号 2"/>
    <w:basedOn w:val="159"/>
    <w:uiPriority w:val="0"/>
    <w:pPr>
      <w:tabs>
        <w:tab w:val="left" w:pos="1320"/>
        <w:tab w:val="clear" w:pos="900"/>
      </w:tabs>
      <w:ind w:left="1320" w:hanging="420"/>
    </w:pPr>
  </w:style>
  <w:style w:type="paragraph" w:customStyle="1" w:styleId="166">
    <w:name w:val="Char Char Char Char"/>
    <w:basedOn w:val="1"/>
    <w:uiPriority w:val="0"/>
    <w:pPr>
      <w:widowControl/>
      <w:spacing w:line="400" w:lineRule="exact"/>
      <w:jc w:val="center"/>
    </w:pPr>
    <w:rPr>
      <w:rFonts w:ascii="Verdana" w:hAnsi="Verdana"/>
      <w:kern w:val="0"/>
      <w:lang w:eastAsia="en-US"/>
    </w:rPr>
  </w:style>
  <w:style w:type="paragraph" w:customStyle="1" w:styleId="167">
    <w:name w:val="默认段落字体 Para Char Char Char Char Char Char Char Char Char Char"/>
    <w:basedOn w:val="1"/>
    <w:uiPriority w:val="0"/>
    <w:rPr>
      <w:rFonts w:ascii="Tahoma" w:hAnsi="Tahoma"/>
      <w:sz w:val="24"/>
    </w:rPr>
  </w:style>
  <w:style w:type="paragraph" w:customStyle="1" w:styleId="168">
    <w:name w:val="段"/>
    <w:uiPriority w:val="0"/>
    <w:pPr>
      <w:autoSpaceDE w:val="0"/>
      <w:autoSpaceDN w:val="0"/>
      <w:ind w:firstLine="200" w:firstLineChars="200"/>
      <w:jc w:val="both"/>
    </w:pPr>
    <w:rPr>
      <w:rFonts w:ascii="宋体"/>
      <w:sz w:val="21"/>
      <w:lang w:val="en-US" w:eastAsia="zh-CN" w:bidi="ar-SA"/>
    </w:rPr>
  </w:style>
  <w:style w:type="paragraph" w:customStyle="1" w:styleId="169">
    <w:name w:val="Normal"/>
    <w:uiPriority w:val="0"/>
    <w:pPr>
      <w:widowControl w:val="0"/>
      <w:jc w:val="both"/>
    </w:pPr>
    <w:rPr>
      <w:rFonts w:hint="eastAsia"/>
      <w:kern w:val="2"/>
      <w:sz w:val="21"/>
      <w:lang w:val="en-US" w:eastAsia="zh-CN" w:bidi="ar-SA"/>
    </w:rPr>
  </w:style>
  <w:style w:type="paragraph" w:customStyle="1" w:styleId="170">
    <w:name w:val="标题3"/>
    <w:basedOn w:val="5"/>
    <w:uiPriority w:val="0"/>
    <w:pPr>
      <w:tabs>
        <w:tab w:val="left" w:pos="113"/>
        <w:tab w:val="left" w:pos="84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71">
    <w:name w:val="中等深浅网格 22"/>
    <w:qFormat/>
    <w:uiPriority w:val="0"/>
    <w:pPr>
      <w:widowControl w:val="0"/>
      <w:jc w:val="both"/>
    </w:pPr>
    <w:rPr>
      <w:kern w:val="2"/>
      <w:sz w:val="21"/>
      <w:szCs w:val="24"/>
      <w:lang w:val="en-US" w:eastAsia="zh-CN" w:bidi="ar-SA"/>
    </w:rPr>
  </w:style>
  <w:style w:type="paragraph" w:customStyle="1" w:styleId="172">
    <w:name w:val="xl25"/>
    <w:basedOn w:val="1"/>
    <w:uiPriority w:val="0"/>
    <w:pPr>
      <w:widowControl/>
      <w:spacing w:before="100" w:beforeAutospacing="1" w:after="100" w:afterAutospacing="1"/>
      <w:jc w:val="center"/>
      <w:textAlignment w:val="center"/>
    </w:pPr>
    <w:rPr>
      <w:rFonts w:ascii="宋体" w:hAnsi="宋体"/>
      <w:kern w:val="0"/>
      <w:sz w:val="20"/>
    </w:rPr>
  </w:style>
  <w:style w:type="paragraph" w:customStyle="1" w:styleId="173">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4">
    <w:name w:val=" Char"/>
    <w:basedOn w:val="1"/>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75">
    <w:name w:val="正文 New New New New"/>
    <w:uiPriority w:val="0"/>
    <w:pPr>
      <w:widowControl w:val="0"/>
      <w:jc w:val="both"/>
    </w:pPr>
    <w:rPr>
      <w:sz w:val="21"/>
      <w:szCs w:val="24"/>
      <w:lang w:val="en-US" w:eastAsia="zh-CN" w:bidi="ar-SA"/>
    </w:rPr>
  </w:style>
  <w:style w:type="paragraph" w:customStyle="1" w:styleId="176">
    <w:name w:val="p0"/>
    <w:basedOn w:val="1"/>
    <w:uiPriority w:val="0"/>
    <w:pPr>
      <w:widowControl/>
    </w:pPr>
    <w:rPr>
      <w:kern w:val="0"/>
      <w:szCs w:val="21"/>
    </w:rPr>
  </w:style>
  <w:style w:type="paragraph" w:customStyle="1" w:styleId="177">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标准正文"/>
    <w:basedOn w:val="1"/>
    <w:uiPriority w:val="0"/>
    <w:pPr>
      <w:adjustRightInd w:val="0"/>
      <w:spacing w:line="360" w:lineRule="auto"/>
      <w:ind w:firstLine="480" w:firstLineChars="200"/>
    </w:pPr>
    <w:rPr>
      <w:kern w:val="0"/>
      <w:sz w:val="24"/>
    </w:rPr>
  </w:style>
  <w:style w:type="paragraph" w:customStyle="1" w:styleId="179">
    <w:name w:val="中等深浅网格 21"/>
    <w:qFormat/>
    <w:uiPriority w:val="0"/>
    <w:pPr>
      <w:widowControl w:val="0"/>
      <w:jc w:val="both"/>
    </w:pPr>
    <w:rPr>
      <w:kern w:val="2"/>
      <w:sz w:val="21"/>
      <w:szCs w:val="24"/>
      <w:lang w:val="en-US" w:eastAsia="zh-CN" w:bidi="ar-SA"/>
    </w:rPr>
  </w:style>
  <w:style w:type="paragraph" w:customStyle="1" w:styleId="180">
    <w:name w:val="标准小四"/>
    <w:basedOn w:val="1"/>
    <w:uiPriority w:val="0"/>
    <w:pPr>
      <w:spacing w:line="360" w:lineRule="auto"/>
      <w:ind w:firstLine="480" w:firstLineChars="200"/>
    </w:pPr>
    <w:rPr>
      <w:rFonts w:ascii="Arial" w:hAnsi="Arial"/>
      <w:sz w:val="24"/>
      <w:szCs w:val="21"/>
    </w:rPr>
  </w:style>
  <w:style w:type="paragraph" w:customStyle="1" w:styleId="181">
    <w:name w:val=" Char Char1 Char Char Char Char"/>
    <w:basedOn w:val="1"/>
    <w:uiPriority w:val="0"/>
    <w:rPr>
      <w:rFonts w:ascii="Tahoma" w:hAnsi="Tahoma"/>
      <w:sz w:val="24"/>
    </w:rPr>
  </w:style>
  <w:style w:type="paragraph" w:customStyle="1" w:styleId="182">
    <w:name w:val="大标题"/>
    <w:basedOn w:val="1"/>
    <w:uiPriority w:val="0"/>
    <w:pPr>
      <w:autoSpaceDE w:val="0"/>
      <w:autoSpaceDN w:val="0"/>
      <w:adjustRightInd w:val="0"/>
      <w:spacing w:after="560"/>
      <w:jc w:val="center"/>
    </w:pPr>
    <w:rPr>
      <w:rFonts w:ascii="Arial Black" w:hAnsi="Arial Black"/>
      <w:b/>
      <w:kern w:val="0"/>
      <w:sz w:val="56"/>
    </w:rPr>
  </w:style>
  <w:style w:type="paragraph" w:customStyle="1" w:styleId="183">
    <w:name w:val="Char Char Char"/>
    <w:basedOn w:val="1"/>
    <w:uiPriority w:val="0"/>
    <w:pPr>
      <w:spacing w:before="120" w:after="120" w:line="360" w:lineRule="auto"/>
      <w:ind w:firstLine="200" w:firstLineChars="200"/>
    </w:pPr>
    <w:rPr>
      <w:rFonts w:ascii="Tahoma" w:hAnsi="Tahoma"/>
      <w:sz w:val="24"/>
    </w:rPr>
  </w:style>
  <w:style w:type="paragraph" w:customStyle="1" w:styleId="184">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85">
    <w:name w:val="列出段落1"/>
    <w:basedOn w:val="1"/>
    <w:qFormat/>
    <w:uiPriority w:val="99"/>
    <w:pPr>
      <w:ind w:firstLine="420" w:firstLineChars="200"/>
    </w:pPr>
    <w:rPr>
      <w:szCs w:val="24"/>
    </w:rPr>
  </w:style>
  <w:style w:type="paragraph" w:customStyle="1" w:styleId="186">
    <w:name w:val="正文无缩进"/>
    <w:basedOn w:val="1"/>
    <w:uiPriority w:val="0"/>
    <w:pPr>
      <w:widowControl/>
      <w:autoSpaceDE w:val="0"/>
      <w:autoSpaceDN w:val="0"/>
      <w:spacing w:line="300" w:lineRule="auto"/>
      <w:textAlignment w:val="bottom"/>
    </w:pPr>
    <w:rPr>
      <w:rFonts w:eastAsia="楷体_GB2312"/>
    </w:rPr>
  </w:style>
  <w:style w:type="paragraph" w:customStyle="1" w:styleId="187">
    <w:name w:val="Char"/>
    <w:basedOn w:val="1"/>
    <w:uiPriority w:val="0"/>
    <w:pPr>
      <w:tabs>
        <w:tab w:val="left" w:pos="1200"/>
      </w:tabs>
      <w:ind w:left="1200" w:hanging="720"/>
    </w:pPr>
    <w:rPr>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footer8.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Unknown Organization</Company>
  <Pages>70</Pages>
  <Words>8231</Words>
  <Characters>46922</Characters>
  <Lines>391</Lines>
  <Paragraphs>110</Paragraphs>
  <TotalTime>0</TotalTime>
  <ScaleCrop>false</ScaleCrop>
  <LinksUpToDate>false</LinksUpToDate>
  <CharactersWithSpaces>55043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2020-08-24T02:22:00Z</dcterms:created>
  <dc:creator>Administrator</dc:creator>
  <cp:lastModifiedBy>WPS_1701756769</cp:lastModifiedBy>
  <cp:lastPrinted>2020-07-19T07:37:00Z</cp:lastPrinted>
  <dcterms:modified xsi:type="dcterms:W3CDTF">2024-02-22T03:14:53Z</dcterms:modified>
  <cp:revision>4</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FFBB37DA04F24C448B282EDA17F263C9_13</vt:lpwstr>
  </property>
</Properties>
</file>