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宋体" w:hAnsi="宋体" w:eastAsia="宋体"/>
          <w:b/>
          <w:sz w:val="44"/>
          <w:szCs w:val="20"/>
          <w:lang w:eastAsia="zh-CN"/>
        </w:rPr>
      </w:pPr>
      <w:r>
        <w:rPr>
          <w:rFonts w:hint="eastAsia" w:ascii="宋体" w:hAnsi="宋体" w:eastAsia="宋体"/>
          <w:b/>
          <w:sz w:val="44"/>
          <w:szCs w:val="20"/>
          <w:lang w:eastAsia="zh-CN"/>
        </w:rPr>
        <w:drawing>
          <wp:inline distT="0" distB="0" distL="114300" distR="114300">
            <wp:extent cx="7547610" cy="10673715"/>
            <wp:effectExtent l="0" t="0" r="15240" b="13335"/>
            <wp:docPr id="1" name="图片 1" descr="S36BW-8200309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36BW-820030902110"/>
                    <pic:cNvPicPr>
                      <a:picLocks noChangeAspect="1"/>
                    </pic:cNvPicPr>
                  </pic:nvPicPr>
                  <pic:blipFill>
                    <a:blip r:embed="rId7"/>
                    <a:stretch>
                      <a:fillRect/>
                    </a:stretch>
                  </pic:blipFill>
                  <pic:spPr>
                    <a:xfrm>
                      <a:off x="0" y="0"/>
                      <a:ext cx="7547610" cy="10673715"/>
                    </a:xfrm>
                    <a:prstGeom prst="rect">
                      <a:avLst/>
                    </a:prstGeom>
                  </pic:spPr>
                </pic:pic>
              </a:graphicData>
            </a:graphic>
          </wp:inline>
        </w:drawing>
      </w:r>
    </w:p>
    <w:p>
      <w:pPr>
        <w:spacing w:line="500" w:lineRule="exact"/>
        <w:jc w:val="left"/>
        <w:rPr>
          <w:rFonts w:ascii="宋体" w:hAnsi="宋体"/>
          <w:b/>
          <w:sz w:val="44"/>
          <w:szCs w:val="20"/>
        </w:rPr>
        <w:sectPr>
          <w:footerReference r:id="rId3" w:type="even"/>
          <w:pgSz w:w="11906" w:h="16838"/>
          <w:pgMar w:top="0" w:right="0" w:bottom="0" w:left="0" w:header="851" w:footer="850" w:gutter="0"/>
          <w:cols w:space="0" w:num="1"/>
          <w:rtlGutter w:val="0"/>
          <w:docGrid w:type="lines" w:linePitch="312" w:charSpace="0"/>
        </w:sectPr>
      </w:pPr>
    </w:p>
    <w:p>
      <w:pPr>
        <w:spacing w:line="500" w:lineRule="exact"/>
        <w:jc w:val="left"/>
        <w:rPr>
          <w:rFonts w:ascii="宋体" w:hAnsi="宋体"/>
          <w:b/>
          <w:sz w:val="44"/>
          <w:szCs w:val="20"/>
        </w:rPr>
      </w:pPr>
    </w:p>
    <w:p>
      <w:pPr>
        <w:tabs>
          <w:tab w:val="left" w:pos="6480"/>
        </w:tabs>
        <w:jc w:val="center"/>
        <w:rPr>
          <w:rFonts w:ascii="宋体" w:hAnsi="宋体"/>
          <w:b/>
          <w:sz w:val="32"/>
        </w:rPr>
      </w:pPr>
      <w:r>
        <w:rPr>
          <w:rFonts w:hint="eastAsia" w:ascii="宋体" w:hAnsi="宋体"/>
          <w:b/>
          <w:sz w:val="32"/>
        </w:rPr>
        <w:t>目  录</w:t>
      </w:r>
    </w:p>
    <w:p>
      <w:pPr>
        <w:spacing w:line="700" w:lineRule="exact"/>
        <w:jc w:val="left"/>
        <w:rPr>
          <w:rFonts w:ascii="宋体" w:hAnsi="宋体"/>
          <w:b/>
          <w:sz w:val="44"/>
          <w:szCs w:val="20"/>
        </w:rPr>
      </w:pPr>
    </w:p>
    <w:p>
      <w:pPr>
        <w:spacing w:line="700" w:lineRule="exact"/>
        <w:ind w:firstLine="960" w:firstLineChars="400"/>
        <w:rPr>
          <w:rFonts w:ascii="宋体" w:hAnsi="宋体"/>
          <w:sz w:val="24"/>
        </w:rPr>
      </w:pPr>
      <w:r>
        <w:rPr>
          <w:rFonts w:hint="eastAsia" w:ascii="宋体" w:hAnsi="宋体"/>
          <w:sz w:val="24"/>
        </w:rPr>
        <w:t>第一部分  采购公告</w:t>
      </w:r>
    </w:p>
    <w:p>
      <w:pPr>
        <w:spacing w:line="700" w:lineRule="exact"/>
        <w:ind w:firstLine="960" w:firstLineChars="400"/>
        <w:rPr>
          <w:rFonts w:ascii="宋体" w:hAnsi="宋体"/>
          <w:sz w:val="24"/>
        </w:rPr>
      </w:pPr>
      <w:r>
        <w:rPr>
          <w:rFonts w:hint="eastAsia" w:ascii="宋体" w:hAnsi="宋体"/>
          <w:sz w:val="24"/>
        </w:rPr>
        <w:t>第二部分  采购需求</w:t>
      </w:r>
    </w:p>
    <w:p>
      <w:pPr>
        <w:spacing w:line="700" w:lineRule="exact"/>
        <w:ind w:firstLine="960" w:firstLineChars="400"/>
        <w:rPr>
          <w:rFonts w:ascii="宋体" w:hAnsi="宋体"/>
          <w:sz w:val="24"/>
        </w:rPr>
      </w:pPr>
      <w:r>
        <w:rPr>
          <w:rFonts w:hint="eastAsia" w:ascii="宋体" w:hAnsi="宋体"/>
          <w:sz w:val="24"/>
        </w:rPr>
        <w:t>第三部分  投标人须知</w:t>
      </w:r>
    </w:p>
    <w:p>
      <w:pPr>
        <w:spacing w:line="700" w:lineRule="exact"/>
        <w:ind w:firstLine="960" w:firstLineChars="400"/>
        <w:rPr>
          <w:rFonts w:ascii="宋体" w:hAnsi="宋体"/>
          <w:sz w:val="24"/>
        </w:rPr>
      </w:pPr>
      <w:bookmarkStart w:id="0" w:name="_Hlk527549434"/>
      <w:r>
        <w:rPr>
          <w:rFonts w:hint="eastAsia" w:ascii="宋体" w:hAnsi="宋体"/>
          <w:sz w:val="24"/>
        </w:rPr>
        <w:t>第四部分  评标办法及评分标准</w:t>
      </w:r>
    </w:p>
    <w:bookmarkEnd w:id="0"/>
    <w:p>
      <w:pPr>
        <w:spacing w:line="700" w:lineRule="exact"/>
        <w:ind w:firstLine="960" w:firstLineChars="400"/>
        <w:rPr>
          <w:rFonts w:ascii="宋体" w:hAnsi="宋体"/>
          <w:sz w:val="24"/>
        </w:rPr>
      </w:pPr>
      <w:r>
        <w:rPr>
          <w:rFonts w:hint="eastAsia" w:ascii="宋体" w:hAnsi="宋体"/>
          <w:sz w:val="24"/>
        </w:rPr>
        <w:t>第五部分  投标文件格式</w:t>
      </w:r>
    </w:p>
    <w:p>
      <w:pPr>
        <w:spacing w:line="700" w:lineRule="exact"/>
        <w:ind w:firstLine="960" w:firstLineChars="400"/>
        <w:rPr>
          <w:rFonts w:ascii="宋体" w:hAnsi="宋体"/>
          <w:sz w:val="24"/>
        </w:rPr>
      </w:pPr>
      <w:r>
        <w:rPr>
          <w:rFonts w:hint="eastAsia" w:ascii="宋体" w:hAnsi="宋体"/>
          <w:sz w:val="24"/>
        </w:rPr>
        <w:t>第六部分  合同条款</w:t>
      </w:r>
    </w:p>
    <w:p>
      <w:pPr>
        <w:pStyle w:val="20"/>
        <w:spacing w:beforeLines="50" w:after="0" w:line="240" w:lineRule="auto"/>
        <w:sectPr>
          <w:pgSz w:w="11906" w:h="16838"/>
          <w:pgMar w:top="1320" w:right="1247" w:bottom="1134" w:left="1247" w:header="851" w:footer="851" w:gutter="0"/>
          <w:cols w:space="720" w:num="1"/>
          <w:docGrid w:type="lines" w:linePitch="312" w:charSpace="0"/>
        </w:sectPr>
      </w:pPr>
    </w:p>
    <w:p>
      <w:pPr>
        <w:pStyle w:val="20"/>
        <w:spacing w:beforeLines="50" w:after="0" w:line="240" w:lineRule="auto"/>
        <w:rPr>
          <w:rFonts w:ascii="宋体" w:hAnsi="宋体"/>
          <w:sz w:val="24"/>
        </w:rPr>
      </w:pPr>
      <w:r>
        <w:rPr>
          <w:rFonts w:hint="eastAsia"/>
        </w:rPr>
        <w:t>第一部分  采购公告</w:t>
      </w:r>
    </w:p>
    <w:p>
      <w:pPr>
        <w:widowControl/>
        <w:adjustRightInd w:val="0"/>
        <w:snapToGrid w:val="0"/>
        <w:spacing w:line="312" w:lineRule="auto"/>
        <w:ind w:firstLine="420" w:firstLineChars="200"/>
        <w:jc w:val="left"/>
        <w:rPr>
          <w:rFonts w:ascii="宋体" w:hAnsi="宋体" w:cs="Arial"/>
          <w:bCs/>
          <w:color w:val="000000"/>
          <w:kern w:val="0"/>
          <w:szCs w:val="21"/>
        </w:rPr>
      </w:pPr>
      <w:r>
        <w:rPr>
          <w:rFonts w:hint="eastAsia" w:ascii="宋体" w:hAnsi="宋体" w:cs="宋体"/>
        </w:rPr>
        <w:t>交易登记号：FSCG2020019</w:t>
      </w:r>
    </w:p>
    <w:p>
      <w:pPr>
        <w:widowControl/>
        <w:adjustRightInd w:val="0"/>
        <w:snapToGrid w:val="0"/>
        <w:spacing w:line="312" w:lineRule="auto"/>
        <w:ind w:firstLine="420" w:firstLineChars="200"/>
        <w:jc w:val="left"/>
        <w:rPr>
          <w:rFonts w:ascii="宋体" w:hAnsi="宋体" w:cs="Arial"/>
          <w:bCs/>
          <w:color w:val="000000"/>
          <w:kern w:val="0"/>
          <w:szCs w:val="21"/>
        </w:rPr>
      </w:pPr>
      <w:r>
        <w:rPr>
          <w:rFonts w:hint="eastAsia" w:ascii="宋体" w:hAnsi="宋体" w:cs="Arial"/>
          <w:bCs/>
          <w:color w:val="000000"/>
          <w:kern w:val="0"/>
          <w:szCs w:val="21"/>
        </w:rPr>
        <w:t>根据《中华人民共和国政府采购法》、《中华人民共和国政府采购法实施条例》、《政府采购货物和服务招标投标管理办法》等规定，经江北区采购办批准，现就宁波市江北区发展和改革局2020年度项目协审服务−1进行公开招标采购，欢迎符合资格要求的供应商前来投标，本项目资格后审。</w:t>
      </w:r>
    </w:p>
    <w:p>
      <w:pPr>
        <w:widowControl/>
        <w:adjustRightInd w:val="0"/>
        <w:snapToGrid w:val="0"/>
        <w:spacing w:line="312" w:lineRule="auto"/>
        <w:ind w:firstLine="420" w:firstLineChars="200"/>
        <w:jc w:val="left"/>
        <w:rPr>
          <w:rFonts w:hint="default" w:ascii="宋体" w:hAnsi="宋体" w:eastAsia="宋体" w:cs="Arial"/>
          <w:color w:val="000000"/>
          <w:kern w:val="0"/>
          <w:szCs w:val="21"/>
          <w:lang w:val="en-US" w:eastAsia="zh-CN"/>
        </w:rPr>
      </w:pPr>
      <w:r>
        <w:rPr>
          <w:rFonts w:hint="eastAsia" w:ascii="宋体" w:hAnsi="宋体" w:cs="Arial"/>
          <w:bCs/>
          <w:color w:val="000000"/>
          <w:kern w:val="0"/>
          <w:szCs w:val="21"/>
        </w:rPr>
        <w:t>一、项目编号：</w:t>
      </w:r>
      <w:r>
        <w:rPr>
          <w:rFonts w:hint="eastAsia" w:ascii="宋体" w:hAnsi="宋体" w:cs="Arial"/>
          <w:color w:val="000000"/>
          <w:kern w:val="0"/>
          <w:szCs w:val="21"/>
        </w:rPr>
        <w:t>XDZB-2020-</w:t>
      </w:r>
      <w:r>
        <w:rPr>
          <w:rFonts w:hint="eastAsia" w:ascii="宋体" w:hAnsi="宋体" w:cs="Arial"/>
          <w:color w:val="000000"/>
          <w:kern w:val="0"/>
          <w:szCs w:val="21"/>
          <w:lang w:val="en-US" w:eastAsia="zh-CN"/>
        </w:rPr>
        <w:t>019</w:t>
      </w:r>
    </w:p>
    <w:p>
      <w:pPr>
        <w:widowControl/>
        <w:adjustRightInd w:val="0"/>
        <w:snapToGrid w:val="0"/>
        <w:spacing w:line="312" w:lineRule="auto"/>
        <w:ind w:firstLine="420" w:firstLineChars="200"/>
        <w:jc w:val="left"/>
        <w:rPr>
          <w:rFonts w:ascii="宋体" w:hAnsi="宋体" w:cs="Arial"/>
          <w:color w:val="000000"/>
          <w:kern w:val="0"/>
          <w:szCs w:val="21"/>
        </w:rPr>
      </w:pPr>
      <w:r>
        <w:rPr>
          <w:rFonts w:hint="eastAsia" w:ascii="宋体" w:hAnsi="宋体" w:cs="Arial"/>
          <w:bCs/>
          <w:color w:val="000000"/>
          <w:kern w:val="0"/>
          <w:szCs w:val="21"/>
        </w:rPr>
        <w:t>二、项目概况：</w:t>
      </w:r>
    </w:p>
    <w:tbl>
      <w:tblPr>
        <w:tblStyle w:val="25"/>
        <w:tblW w:w="10038"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499"/>
        <w:gridCol w:w="3738"/>
        <w:gridCol w:w="263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3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cs="Arial"/>
                <w:color w:val="000000"/>
                <w:kern w:val="0"/>
                <w:szCs w:val="21"/>
              </w:rPr>
              <w:t>标段</w:t>
            </w:r>
          </w:p>
        </w:tc>
        <w:tc>
          <w:tcPr>
            <w:tcW w:w="14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cs="Arial"/>
                <w:color w:val="000000"/>
                <w:kern w:val="0"/>
                <w:szCs w:val="21"/>
              </w:rPr>
              <w:t>标段名称</w:t>
            </w:r>
          </w:p>
        </w:tc>
        <w:tc>
          <w:tcPr>
            <w:tcW w:w="373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cs="Arial"/>
                <w:color w:val="000000"/>
                <w:kern w:val="0"/>
                <w:szCs w:val="21"/>
              </w:rPr>
              <w:t>项目内容</w:t>
            </w:r>
          </w:p>
        </w:tc>
        <w:tc>
          <w:tcPr>
            <w:tcW w:w="263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cs="Arial"/>
                <w:color w:val="000000"/>
                <w:kern w:val="0"/>
                <w:szCs w:val="21"/>
              </w:rPr>
              <w:t>服务内容</w:t>
            </w:r>
          </w:p>
        </w:tc>
        <w:tc>
          <w:tcPr>
            <w:tcW w:w="103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cs="Arial"/>
                <w:color w:val="000000"/>
                <w:kern w:val="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113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cs="Arial"/>
                <w:color w:val="000000"/>
                <w:kern w:val="0"/>
                <w:szCs w:val="21"/>
              </w:rPr>
              <w:t>一</w:t>
            </w:r>
          </w:p>
        </w:tc>
        <w:tc>
          <w:tcPr>
            <w:tcW w:w="14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szCs w:val="21"/>
              </w:rPr>
              <w:t>宁波文创港核心区滨江水岸项目协审服务</w:t>
            </w:r>
          </w:p>
        </w:tc>
        <w:tc>
          <w:tcPr>
            <w:tcW w:w="373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left"/>
              <w:rPr>
                <w:rFonts w:ascii="宋体" w:hAnsi="宋体" w:cs="Arial"/>
                <w:color w:val="000000"/>
                <w:kern w:val="0"/>
                <w:szCs w:val="21"/>
              </w:rPr>
            </w:pPr>
            <w:r>
              <w:rPr>
                <w:rFonts w:hint="eastAsia" w:ascii="宋体" w:hAnsi="宋体" w:cs="Arial"/>
                <w:color w:val="000000"/>
                <w:kern w:val="0"/>
                <w:szCs w:val="21"/>
              </w:rPr>
              <w:t>本项目位于江北区文创港核心区块内，西至庆丰桥，东至江北大河，总用地面积约310000平方米，总建筑面积约37000平方米，地上建筑10000平方米，地下建筑27000平方米，估算总投资约335000万元。</w:t>
            </w:r>
          </w:p>
        </w:tc>
        <w:tc>
          <w:tcPr>
            <w:tcW w:w="263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spacing w:line="312" w:lineRule="auto"/>
              <w:rPr>
                <w:rFonts w:ascii="宋体" w:hAnsi="宋体" w:cs="仿宋_GB2312"/>
                <w:szCs w:val="21"/>
              </w:rPr>
            </w:pPr>
            <w:r>
              <w:rPr>
                <w:rFonts w:hint="eastAsia" w:ascii="宋体" w:hAnsi="宋体" w:cs="仿宋_GB2312"/>
                <w:szCs w:val="21"/>
              </w:rPr>
              <w:t>对</w:t>
            </w:r>
            <w:r>
              <w:rPr>
                <w:rFonts w:hint="eastAsia" w:ascii="宋体" w:hAnsi="宋体"/>
                <w:szCs w:val="21"/>
              </w:rPr>
              <w:t>宁波文创港核心区滨江水岸项目（2020年实施部分）</w:t>
            </w:r>
            <w:r>
              <w:rPr>
                <w:rFonts w:hint="eastAsia" w:ascii="宋体" w:hAnsi="宋体" w:cs="仿宋_GB2312"/>
                <w:szCs w:val="21"/>
              </w:rPr>
              <w:t>的估算、概算、招标控制价审核工作和设计方案、初步设计、施工图优化工作。</w:t>
            </w:r>
          </w:p>
        </w:tc>
        <w:tc>
          <w:tcPr>
            <w:tcW w:w="103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spacing w:line="312" w:lineRule="auto"/>
              <w:jc w:val="center"/>
              <w:rPr>
                <w:rFonts w:ascii="宋体" w:hAnsi="宋体" w:cs="Arial"/>
                <w:color w:val="000000"/>
                <w:kern w:val="0"/>
                <w:szCs w:val="21"/>
              </w:rPr>
            </w:pPr>
            <w:r>
              <w:rPr>
                <w:rFonts w:hint="eastAsia" w:ascii="宋体" w:hAnsi="宋体" w:cs="Arial"/>
                <w:color w:val="000000"/>
                <w:kern w:val="0"/>
                <w:szCs w:val="21"/>
              </w:rPr>
              <w:t>合同签订之日起至项目开工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130"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cs="Arial"/>
                <w:color w:val="000000"/>
                <w:kern w:val="0"/>
                <w:szCs w:val="21"/>
              </w:rPr>
            </w:pPr>
            <w:r>
              <w:rPr>
                <w:rFonts w:hint="eastAsia" w:ascii="宋体" w:hAnsi="宋体" w:cs="Arial"/>
                <w:color w:val="000000"/>
                <w:kern w:val="0"/>
                <w:szCs w:val="21"/>
              </w:rPr>
              <w:t>二</w:t>
            </w:r>
          </w:p>
        </w:tc>
        <w:tc>
          <w:tcPr>
            <w:tcW w:w="149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center"/>
              <w:rPr>
                <w:rFonts w:ascii="宋体" w:hAnsi="宋体"/>
                <w:szCs w:val="21"/>
              </w:rPr>
            </w:pPr>
            <w:r>
              <w:rPr>
                <w:rFonts w:hint="eastAsia" w:ascii="宋体" w:hAnsi="宋体"/>
                <w:szCs w:val="21"/>
              </w:rPr>
              <w:t>庄桥街道西侧地块项目协审服务</w:t>
            </w:r>
          </w:p>
        </w:tc>
        <w:tc>
          <w:tcPr>
            <w:tcW w:w="373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adjustRightInd w:val="0"/>
              <w:snapToGrid w:val="0"/>
              <w:spacing w:line="312" w:lineRule="auto"/>
              <w:jc w:val="left"/>
              <w:rPr>
                <w:rFonts w:ascii="宋体" w:hAnsi="宋体" w:cs="Arial"/>
                <w:color w:val="000000"/>
                <w:kern w:val="0"/>
                <w:szCs w:val="21"/>
              </w:rPr>
            </w:pPr>
            <w:r>
              <w:rPr>
                <w:rFonts w:hint="eastAsia" w:ascii="宋体" w:hAnsi="宋体" w:cs="Arial"/>
                <w:color w:val="000000"/>
                <w:kern w:val="0"/>
                <w:szCs w:val="21"/>
              </w:rPr>
              <w:t>本项目位于江北区庄桥街道西侧，占地面积约为14000平方米，总建筑面积约为41000平方米，其中地上建筑面积约为30000平方米，地下建筑面积约为11000平方米，项目估算总投资约45621万元。</w:t>
            </w:r>
          </w:p>
        </w:tc>
        <w:tc>
          <w:tcPr>
            <w:tcW w:w="2635"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spacing w:line="312" w:lineRule="auto"/>
              <w:rPr>
                <w:rFonts w:ascii="宋体" w:hAnsi="宋体" w:cs="仿宋_GB2312"/>
                <w:szCs w:val="21"/>
              </w:rPr>
            </w:pPr>
            <w:r>
              <w:rPr>
                <w:rFonts w:hint="eastAsia" w:ascii="宋体" w:hAnsi="宋体" w:cs="仿宋_GB2312"/>
                <w:szCs w:val="21"/>
              </w:rPr>
              <w:t>对</w:t>
            </w:r>
            <w:r>
              <w:rPr>
                <w:rFonts w:hint="eastAsia" w:ascii="宋体" w:hAnsi="宋体"/>
                <w:szCs w:val="21"/>
              </w:rPr>
              <w:t>庄桥街道西侧地块项目</w:t>
            </w:r>
            <w:r>
              <w:rPr>
                <w:rFonts w:hint="eastAsia" w:ascii="宋体" w:hAnsi="宋体" w:cs="仿宋_GB2312"/>
                <w:szCs w:val="21"/>
              </w:rPr>
              <w:t>的估算、概算、招标控制价审核工作和设计方案、初步设计、施工图优化工作。</w:t>
            </w:r>
          </w:p>
        </w:tc>
        <w:tc>
          <w:tcPr>
            <w:tcW w:w="1036"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spacing w:line="312" w:lineRule="auto"/>
              <w:jc w:val="center"/>
              <w:rPr>
                <w:rFonts w:ascii="宋体" w:hAnsi="宋体" w:cs="Arial"/>
                <w:color w:val="000000"/>
                <w:kern w:val="0"/>
                <w:szCs w:val="21"/>
              </w:rPr>
            </w:pPr>
            <w:r>
              <w:rPr>
                <w:rFonts w:hint="eastAsia" w:ascii="宋体" w:hAnsi="宋体" w:cs="Arial"/>
                <w:color w:val="000000"/>
                <w:kern w:val="0"/>
                <w:szCs w:val="21"/>
              </w:rPr>
              <w:t>合同签订之日起至项目开工</w:t>
            </w:r>
          </w:p>
        </w:tc>
      </w:tr>
    </w:tbl>
    <w:p>
      <w:pPr>
        <w:widowControl/>
        <w:adjustRightInd w:val="0"/>
        <w:snapToGrid w:val="0"/>
        <w:spacing w:beforeLines="50" w:line="312" w:lineRule="auto"/>
        <w:ind w:firstLine="422" w:firstLineChars="200"/>
        <w:jc w:val="left"/>
        <w:rPr>
          <w:rFonts w:ascii="宋体" w:hAnsi="宋体" w:cs="Arial"/>
          <w:b/>
          <w:color w:val="000000"/>
          <w:kern w:val="0"/>
          <w:szCs w:val="21"/>
        </w:rPr>
      </w:pPr>
      <w:r>
        <w:rPr>
          <w:rFonts w:hint="eastAsia" w:ascii="宋体" w:hAnsi="宋体" w:cs="Arial"/>
          <w:b/>
          <w:color w:val="000000"/>
          <w:kern w:val="0"/>
          <w:szCs w:val="21"/>
        </w:rPr>
        <w:t>注：各投标人均可就上述 2个标段进行投标，但最多只能中 1 个标段，定标顺序为从标段一至标段二依次顺序，选择参加2 个标段投标的，投标文件应按标段分别编制、装订和包封。</w:t>
      </w:r>
    </w:p>
    <w:p>
      <w:pPr>
        <w:widowControl/>
        <w:adjustRightInd w:val="0"/>
        <w:snapToGrid w:val="0"/>
        <w:spacing w:beforeLines="50" w:line="312" w:lineRule="auto"/>
        <w:ind w:firstLine="420" w:firstLineChars="200"/>
        <w:jc w:val="left"/>
        <w:rPr>
          <w:rFonts w:ascii="宋体" w:hAnsi="宋体" w:cs="Arial"/>
          <w:bCs/>
          <w:color w:val="000000"/>
          <w:kern w:val="0"/>
          <w:szCs w:val="21"/>
        </w:rPr>
      </w:pPr>
      <w:r>
        <w:rPr>
          <w:rFonts w:hint="eastAsia" w:ascii="宋体" w:hAnsi="宋体" w:cs="Arial"/>
          <w:bCs/>
          <w:color w:val="000000"/>
          <w:kern w:val="0"/>
          <w:szCs w:val="21"/>
        </w:rPr>
        <w:t>三、投标供应商资格要求（适用于各</w:t>
      </w:r>
      <w:r>
        <w:rPr>
          <w:rFonts w:hint="eastAsia" w:ascii="宋体" w:hAnsi="宋体" w:cs="Arial"/>
          <w:color w:val="000000"/>
          <w:kern w:val="0"/>
          <w:szCs w:val="21"/>
        </w:rPr>
        <w:t>标段</w:t>
      </w:r>
      <w:r>
        <w:rPr>
          <w:rFonts w:hint="eastAsia" w:ascii="宋体" w:hAnsi="宋体" w:cs="Arial"/>
          <w:bCs/>
          <w:color w:val="000000"/>
          <w:kern w:val="0"/>
          <w:szCs w:val="21"/>
        </w:rPr>
        <w:t>）：</w:t>
      </w:r>
    </w:p>
    <w:p>
      <w:pPr>
        <w:widowControl/>
        <w:adjustRightInd w:val="0"/>
        <w:snapToGrid w:val="0"/>
        <w:spacing w:line="312" w:lineRule="auto"/>
        <w:ind w:firstLine="420" w:firstLineChars="200"/>
        <w:jc w:val="left"/>
        <w:rPr>
          <w:rFonts w:ascii="宋体" w:hAnsi="宋体" w:cs="Arial"/>
          <w:bCs/>
          <w:color w:val="000000"/>
          <w:kern w:val="0"/>
          <w:szCs w:val="21"/>
        </w:rPr>
      </w:pPr>
      <w:r>
        <w:rPr>
          <w:rFonts w:hint="eastAsia" w:ascii="宋体" w:hAnsi="宋体" w:cs="Arial"/>
          <w:bCs/>
          <w:color w:val="000000"/>
          <w:kern w:val="0"/>
          <w:szCs w:val="21"/>
        </w:rPr>
        <w:t>1、符合《中华人民共和国政府采购法》第二十二条的资格条件的规定,且必须为未被列入信用中国网站(www.creditchina.gov.cn)、中国政府采购网(www.ccgp.gov.cn)渠道信用记录失信被执行人、重大税收违法案件当事人名单、政府采购严重违法失信行为记录名单的投标人。</w:t>
      </w:r>
    </w:p>
    <w:p>
      <w:pPr>
        <w:widowControl/>
        <w:adjustRightInd w:val="0"/>
        <w:snapToGrid w:val="0"/>
        <w:spacing w:line="312" w:lineRule="auto"/>
        <w:ind w:firstLine="420" w:firstLineChars="200"/>
        <w:jc w:val="left"/>
        <w:rPr>
          <w:rFonts w:ascii="宋体" w:hAnsi="宋体" w:cs="Arial"/>
          <w:bCs/>
          <w:color w:val="000000"/>
          <w:kern w:val="0"/>
          <w:szCs w:val="21"/>
        </w:rPr>
      </w:pPr>
      <w:r>
        <w:rPr>
          <w:rFonts w:hint="eastAsia" w:ascii="宋体" w:hAnsi="宋体" w:cs="Arial"/>
          <w:bCs/>
          <w:color w:val="000000"/>
          <w:kern w:val="0"/>
          <w:szCs w:val="21"/>
        </w:rPr>
        <w:t>2、本项目特定资格条件为：（1）</w:t>
      </w:r>
      <w:r>
        <w:rPr>
          <w:rFonts w:hint="eastAsia" w:ascii="宋体"/>
          <w:szCs w:val="21"/>
        </w:rPr>
        <w:t>具有建设行政主管部门颁发的工程造价咨询甲级资质</w:t>
      </w:r>
      <w:r>
        <w:rPr>
          <w:rFonts w:hint="eastAsia" w:ascii="宋体" w:hAnsi="宋体" w:cs="Arial"/>
          <w:bCs/>
          <w:color w:val="000000"/>
          <w:kern w:val="0"/>
          <w:szCs w:val="21"/>
        </w:rPr>
        <w:t>；（2）经浙江省造价管理部门2018年度工程造价咨询企业定期检查合格；（3）不接受联合体投标；（4）投标人拟派项目负责人须具有国家注册造价工程师执业资格；（5）本项目开标时间之前，潜在投标人已经确认承接了某个标段的招标代理、招标控制价编制或审核、施工图设计等工作的应自动回避该标段的投标。</w:t>
      </w:r>
    </w:p>
    <w:p>
      <w:pPr>
        <w:pStyle w:val="15"/>
        <w:spacing w:line="312" w:lineRule="auto"/>
        <w:ind w:firstLine="473"/>
        <w:rPr>
          <w:rFonts w:hint="eastAsia"/>
          <w:color w:val="auto"/>
          <w:sz w:val="21"/>
          <w:szCs w:val="21"/>
          <w:lang w:eastAsia="zh-CN"/>
        </w:rPr>
      </w:pPr>
      <w:r>
        <w:rPr>
          <w:rFonts w:hint="eastAsia"/>
          <w:color w:val="auto"/>
          <w:sz w:val="21"/>
          <w:szCs w:val="21"/>
        </w:rPr>
        <w:t>四、采购文件</w:t>
      </w:r>
      <w:r>
        <w:rPr>
          <w:rFonts w:hint="eastAsia"/>
          <w:color w:val="auto"/>
          <w:sz w:val="21"/>
          <w:szCs w:val="21"/>
          <w:lang w:eastAsia="zh-CN"/>
        </w:rPr>
        <w:t>获取方式：</w:t>
      </w:r>
    </w:p>
    <w:p>
      <w:pPr>
        <w:pStyle w:val="15"/>
        <w:spacing w:line="312" w:lineRule="auto"/>
        <w:ind w:firstLine="473"/>
        <w:rPr>
          <w:rFonts w:hint="eastAsia"/>
          <w:color w:val="auto"/>
          <w:sz w:val="21"/>
          <w:szCs w:val="21"/>
          <w:lang w:eastAsia="zh-CN"/>
        </w:rPr>
      </w:pPr>
      <w:r>
        <w:rPr>
          <w:rFonts w:hint="eastAsia"/>
          <w:color w:val="auto"/>
          <w:sz w:val="21"/>
          <w:szCs w:val="21"/>
          <w:lang w:eastAsia="zh-CN"/>
        </w:rPr>
        <w:t>1、采购文件获取时间：2020年3月11日至2020年</w:t>
      </w:r>
      <w:r>
        <w:rPr>
          <w:rFonts w:hint="eastAsia"/>
          <w:color w:val="auto"/>
          <w:sz w:val="21"/>
          <w:szCs w:val="21"/>
          <w:lang w:val="en-US" w:eastAsia="zh-CN"/>
        </w:rPr>
        <w:t>4</w:t>
      </w:r>
      <w:r>
        <w:rPr>
          <w:rFonts w:hint="eastAsia"/>
          <w:color w:val="auto"/>
          <w:sz w:val="21"/>
          <w:szCs w:val="21"/>
          <w:lang w:eastAsia="zh-CN"/>
        </w:rPr>
        <w:t>月</w:t>
      </w:r>
      <w:r>
        <w:rPr>
          <w:rFonts w:hint="eastAsia"/>
          <w:color w:val="auto"/>
          <w:sz w:val="21"/>
          <w:szCs w:val="21"/>
          <w:lang w:val="en-US" w:eastAsia="zh-CN"/>
        </w:rPr>
        <w:t>1</w:t>
      </w:r>
      <w:r>
        <w:rPr>
          <w:rFonts w:hint="eastAsia"/>
          <w:color w:val="auto"/>
          <w:sz w:val="21"/>
          <w:szCs w:val="21"/>
          <w:lang w:eastAsia="zh-CN"/>
        </w:rPr>
        <w:t>日</w:t>
      </w:r>
      <w:r>
        <w:rPr>
          <w:rFonts w:hint="eastAsia"/>
          <w:color w:val="auto"/>
          <w:sz w:val="21"/>
          <w:szCs w:val="21"/>
          <w:lang w:val="en-US" w:eastAsia="zh-CN"/>
        </w:rPr>
        <w:t>9</w:t>
      </w:r>
      <w:r>
        <w:rPr>
          <w:rFonts w:hint="eastAsia"/>
          <w:color w:val="auto"/>
          <w:sz w:val="21"/>
          <w:szCs w:val="21"/>
          <w:lang w:eastAsia="zh-CN"/>
        </w:rPr>
        <w:t>:00时止。</w:t>
      </w:r>
    </w:p>
    <w:p>
      <w:pPr>
        <w:pStyle w:val="15"/>
        <w:spacing w:line="312" w:lineRule="auto"/>
        <w:ind w:firstLine="473"/>
        <w:rPr>
          <w:rFonts w:hint="eastAsia"/>
          <w:color w:val="auto"/>
          <w:sz w:val="21"/>
          <w:szCs w:val="21"/>
          <w:lang w:eastAsia="zh-CN"/>
        </w:rPr>
      </w:pPr>
    </w:p>
    <w:p>
      <w:pPr>
        <w:pStyle w:val="15"/>
        <w:spacing w:line="312" w:lineRule="auto"/>
        <w:ind w:firstLine="473"/>
        <w:rPr>
          <w:rFonts w:hint="eastAsia"/>
          <w:color w:val="auto"/>
          <w:sz w:val="21"/>
          <w:szCs w:val="21"/>
          <w:lang w:eastAsia="zh-CN"/>
        </w:rPr>
      </w:pPr>
      <w:r>
        <w:rPr>
          <w:rFonts w:hint="eastAsia"/>
          <w:color w:val="auto"/>
          <w:sz w:val="21"/>
          <w:szCs w:val="21"/>
          <w:lang w:eastAsia="zh-CN"/>
        </w:rPr>
        <w:t>2、采购</w:t>
      </w:r>
      <w:bookmarkStart w:id="3" w:name="_GoBack"/>
      <w:bookmarkEnd w:id="3"/>
      <w:r>
        <w:rPr>
          <w:rFonts w:hint="eastAsia"/>
          <w:color w:val="auto"/>
          <w:sz w:val="21"/>
          <w:szCs w:val="21"/>
          <w:lang w:eastAsia="zh-CN"/>
        </w:rPr>
        <w:t>文件获取方式：本项目实行网上报名。供应商直接登陆“浙江政府采购云平台”（http://www.zcygov.cn/）进行网上报名并下载电子采购文件。</w:t>
      </w:r>
      <w:r>
        <w:rPr>
          <w:rFonts w:hint="eastAsia"/>
          <w:b/>
          <w:bCs/>
          <w:color w:val="auto"/>
          <w:sz w:val="21"/>
          <w:szCs w:val="21"/>
          <w:lang w:eastAsia="zh-CN"/>
        </w:rPr>
        <w:t>（网上未报名的，将被拒绝投标）</w:t>
      </w:r>
      <w:r>
        <w:rPr>
          <w:rFonts w:hint="eastAsia"/>
          <w:color w:val="auto"/>
          <w:sz w:val="21"/>
          <w:szCs w:val="21"/>
          <w:lang w:eastAsia="zh-CN"/>
        </w:rPr>
        <w:t>。</w:t>
      </w:r>
    </w:p>
    <w:p>
      <w:pPr>
        <w:pStyle w:val="15"/>
        <w:spacing w:line="312" w:lineRule="auto"/>
        <w:ind w:firstLine="473"/>
        <w:rPr>
          <w:rFonts w:hint="eastAsia"/>
          <w:color w:val="auto"/>
          <w:sz w:val="21"/>
          <w:szCs w:val="21"/>
          <w:lang w:eastAsia="zh-CN"/>
        </w:rPr>
      </w:pPr>
      <w:r>
        <w:rPr>
          <w:rFonts w:hint="eastAsia"/>
          <w:color w:val="auto"/>
          <w:sz w:val="21"/>
          <w:szCs w:val="21"/>
          <w:lang w:eastAsia="zh-CN"/>
        </w:rPr>
        <w:t>《供应商网上报名操作指南》网址：浙江政府采购网，位置：“首页-办事指南-省采中心-网上报名”（http://zfcg.czt.zj.gov.cn/bs_other/2018-03-30/12002.html）。</w:t>
      </w:r>
    </w:p>
    <w:p>
      <w:pPr>
        <w:pStyle w:val="15"/>
        <w:spacing w:line="312" w:lineRule="auto"/>
        <w:ind w:firstLine="473"/>
        <w:rPr>
          <w:rFonts w:hint="eastAsia"/>
          <w:color w:val="auto"/>
          <w:sz w:val="21"/>
          <w:szCs w:val="21"/>
          <w:lang w:eastAsia="zh-CN"/>
        </w:rPr>
      </w:pPr>
      <w:r>
        <w:rPr>
          <w:rFonts w:hint="eastAsia"/>
          <w:color w:val="auto"/>
          <w:sz w:val="21"/>
          <w:szCs w:val="21"/>
          <w:lang w:eastAsia="zh-CN"/>
        </w:rPr>
        <w:t>3、供应商应按照《浙江省政府采购供应商注册及诚信管理暂行办法》的规定在“浙江政府采购网(http://zfcg.czt.zj.gov.cn)”政采云平台注册登记的，成为浙江省政府采购注册供应商。如未注册的供应商，请注意注册所需时间。</w:t>
      </w:r>
    </w:p>
    <w:p>
      <w:pPr>
        <w:pStyle w:val="15"/>
        <w:spacing w:line="312" w:lineRule="auto"/>
        <w:ind w:firstLine="473"/>
        <w:rPr>
          <w:rFonts w:hint="eastAsia"/>
          <w:color w:val="auto"/>
          <w:sz w:val="21"/>
          <w:szCs w:val="21"/>
          <w:lang w:eastAsia="zh-CN"/>
        </w:rPr>
      </w:pPr>
      <w:r>
        <w:rPr>
          <w:rFonts w:hint="eastAsia"/>
          <w:color w:val="auto"/>
          <w:sz w:val="21"/>
          <w:szCs w:val="21"/>
          <w:lang w:eastAsia="zh-CN"/>
        </w:rPr>
        <w:t>4、有关本项目招标的其他事项，请与采购代理机构联系。</w:t>
      </w:r>
    </w:p>
    <w:p>
      <w:pPr>
        <w:pStyle w:val="15"/>
        <w:spacing w:line="312" w:lineRule="auto"/>
        <w:ind w:firstLine="422" w:firstLineChars="200"/>
        <w:rPr>
          <w:rFonts w:hint="eastAsia"/>
          <w:b/>
          <w:bCs/>
          <w:color w:val="auto"/>
          <w:sz w:val="21"/>
          <w:szCs w:val="21"/>
          <w:lang w:eastAsia="zh-CN"/>
        </w:rPr>
      </w:pPr>
      <w:r>
        <w:rPr>
          <w:rFonts w:hint="eastAsia"/>
          <w:b/>
          <w:bCs/>
          <w:color w:val="auto"/>
          <w:sz w:val="21"/>
          <w:szCs w:val="21"/>
          <w:lang w:eastAsia="zh-CN"/>
        </w:rPr>
        <w:t>五、投标保证金：本项目不收取投标保证金。</w:t>
      </w:r>
    </w:p>
    <w:p>
      <w:pPr>
        <w:snapToGrid w:val="0"/>
        <w:spacing w:line="312" w:lineRule="auto"/>
        <w:ind w:firstLine="420" w:firstLineChars="200"/>
        <w:rPr>
          <w:rFonts w:ascii="宋体" w:hAnsi="宋体"/>
          <w:szCs w:val="21"/>
        </w:rPr>
      </w:pPr>
      <w:r>
        <w:rPr>
          <w:rFonts w:ascii="宋体" w:hAnsi="宋体"/>
          <w:szCs w:val="21"/>
        </w:rPr>
        <w:t>六、投标截止时间：</w:t>
      </w:r>
      <w:r>
        <w:rPr>
          <w:rFonts w:hint="eastAsia" w:ascii="宋体" w:hAnsi="宋体"/>
          <w:szCs w:val="21"/>
          <w:u w:val="single"/>
        </w:rPr>
        <w:t>2020</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9</w:t>
      </w:r>
      <w:r>
        <w:rPr>
          <w:rFonts w:hint="eastAsia" w:ascii="宋体" w:hAnsi="宋体"/>
          <w:szCs w:val="21"/>
        </w:rPr>
        <w:t>时</w:t>
      </w:r>
      <w:r>
        <w:rPr>
          <w:rFonts w:hint="eastAsia" w:ascii="宋体" w:hAnsi="宋体"/>
          <w:szCs w:val="21"/>
          <w:u w:val="single"/>
        </w:rPr>
        <w:t>00</w:t>
      </w:r>
      <w:r>
        <w:rPr>
          <w:rFonts w:hint="eastAsia" w:ascii="宋体" w:hAnsi="宋体"/>
          <w:szCs w:val="21"/>
        </w:rPr>
        <w:t>分</w:t>
      </w:r>
      <w:r>
        <w:rPr>
          <w:rFonts w:hint="eastAsia" w:ascii="宋体" w:hAnsi="宋体"/>
          <w:szCs w:val="21"/>
          <w:u w:val="single"/>
        </w:rPr>
        <w:t xml:space="preserve"> 00 </w:t>
      </w:r>
      <w:r>
        <w:rPr>
          <w:rFonts w:hint="eastAsia" w:ascii="宋体" w:hAnsi="宋体"/>
          <w:szCs w:val="21"/>
        </w:rPr>
        <w:t>秒。</w:t>
      </w:r>
      <w:r>
        <w:rPr>
          <w:rFonts w:ascii="宋体" w:hAnsi="宋体"/>
          <w:szCs w:val="21"/>
        </w:rPr>
        <w:t>（北京时间）</w:t>
      </w:r>
    </w:p>
    <w:p>
      <w:pPr>
        <w:snapToGrid w:val="0"/>
        <w:spacing w:line="312" w:lineRule="auto"/>
        <w:ind w:firstLine="420" w:firstLineChars="200"/>
        <w:rPr>
          <w:rFonts w:ascii="宋体" w:hAnsi="宋体"/>
          <w:szCs w:val="21"/>
        </w:rPr>
      </w:pPr>
      <w:r>
        <w:rPr>
          <w:rFonts w:ascii="宋体" w:hAnsi="宋体"/>
          <w:szCs w:val="21"/>
        </w:rPr>
        <w:t>七、投标地点：</w:t>
      </w:r>
      <w:r>
        <w:rPr>
          <w:rFonts w:hint="eastAsia" w:ascii="宋体" w:hAnsi="宋体"/>
          <w:szCs w:val="21"/>
        </w:rPr>
        <w:t>江北区公共资源交易中心</w:t>
      </w:r>
      <w:r>
        <w:rPr>
          <w:rFonts w:ascii="宋体" w:hAnsi="宋体"/>
          <w:szCs w:val="21"/>
        </w:rPr>
        <w:t>开标室</w:t>
      </w:r>
      <w:r>
        <w:rPr>
          <w:rFonts w:hint="eastAsia" w:ascii="宋体" w:hAnsi="宋体"/>
          <w:szCs w:val="21"/>
        </w:rPr>
        <w:t>（具体详见当日电子公告栏）</w:t>
      </w:r>
      <w:r>
        <w:rPr>
          <w:rFonts w:ascii="宋体" w:hAnsi="宋体"/>
          <w:szCs w:val="21"/>
        </w:rPr>
        <w:t xml:space="preserve"> [江北区</w:t>
      </w:r>
      <w:r>
        <w:rPr>
          <w:rFonts w:hint="eastAsia" w:ascii="宋体" w:hAnsi="宋体"/>
          <w:szCs w:val="21"/>
        </w:rPr>
        <w:t>育才路138号北投大厦南楼7楼</w:t>
      </w:r>
      <w:r>
        <w:rPr>
          <w:rFonts w:ascii="宋体" w:hAnsi="宋体"/>
          <w:szCs w:val="21"/>
        </w:rPr>
        <w:t>]</w:t>
      </w:r>
    </w:p>
    <w:p>
      <w:pPr>
        <w:snapToGrid w:val="0"/>
        <w:spacing w:line="312" w:lineRule="auto"/>
        <w:ind w:firstLine="420" w:firstLineChars="200"/>
        <w:rPr>
          <w:rFonts w:ascii="宋体" w:hAnsi="宋体"/>
          <w:szCs w:val="21"/>
        </w:rPr>
      </w:pPr>
      <w:r>
        <w:rPr>
          <w:rFonts w:ascii="宋体" w:hAnsi="宋体"/>
          <w:szCs w:val="21"/>
        </w:rPr>
        <w:t>八、开标时间：</w:t>
      </w:r>
      <w:r>
        <w:rPr>
          <w:rFonts w:hint="eastAsia" w:ascii="宋体" w:hAnsi="宋体"/>
          <w:szCs w:val="21"/>
          <w:u w:val="single"/>
        </w:rPr>
        <w:t>2020</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9</w:t>
      </w:r>
      <w:r>
        <w:rPr>
          <w:rFonts w:hint="eastAsia" w:ascii="宋体" w:hAnsi="宋体"/>
          <w:szCs w:val="21"/>
        </w:rPr>
        <w:t>时</w:t>
      </w:r>
      <w:r>
        <w:rPr>
          <w:rFonts w:hint="eastAsia" w:ascii="宋体" w:hAnsi="宋体"/>
          <w:szCs w:val="21"/>
          <w:u w:val="single"/>
        </w:rPr>
        <w:t xml:space="preserve"> 00</w:t>
      </w:r>
      <w:r>
        <w:rPr>
          <w:rFonts w:hint="eastAsia" w:ascii="宋体" w:hAnsi="宋体"/>
          <w:szCs w:val="21"/>
        </w:rPr>
        <w:t>分</w:t>
      </w:r>
      <w:r>
        <w:rPr>
          <w:rFonts w:hint="eastAsia" w:ascii="宋体" w:hAnsi="宋体"/>
          <w:szCs w:val="21"/>
          <w:u w:val="single"/>
        </w:rPr>
        <w:t xml:space="preserve"> 00 </w:t>
      </w:r>
      <w:r>
        <w:rPr>
          <w:rFonts w:hint="eastAsia" w:ascii="宋体" w:hAnsi="宋体"/>
          <w:szCs w:val="21"/>
        </w:rPr>
        <w:t>秒</w:t>
      </w:r>
      <w:r>
        <w:rPr>
          <w:rFonts w:ascii="宋体" w:hAnsi="宋体"/>
          <w:szCs w:val="21"/>
        </w:rPr>
        <w:t>（北京时间）</w:t>
      </w:r>
    </w:p>
    <w:p>
      <w:pPr>
        <w:snapToGrid w:val="0"/>
        <w:spacing w:line="312" w:lineRule="auto"/>
        <w:ind w:firstLine="420" w:firstLineChars="200"/>
        <w:rPr>
          <w:rFonts w:ascii="宋体" w:hAnsi="宋体"/>
          <w:szCs w:val="21"/>
        </w:rPr>
      </w:pPr>
      <w:r>
        <w:rPr>
          <w:rFonts w:ascii="宋体" w:hAnsi="宋体"/>
          <w:szCs w:val="21"/>
        </w:rPr>
        <w:t>九、开标地点：宁</w:t>
      </w:r>
      <w:r>
        <w:rPr>
          <w:rFonts w:hint="eastAsia" w:ascii="宋体" w:hAnsi="宋体"/>
          <w:szCs w:val="21"/>
        </w:rPr>
        <w:t>江北区公共资源交易中心</w:t>
      </w:r>
      <w:r>
        <w:rPr>
          <w:rFonts w:ascii="宋体" w:hAnsi="宋体"/>
          <w:szCs w:val="21"/>
        </w:rPr>
        <w:t>开标室</w:t>
      </w:r>
      <w:r>
        <w:rPr>
          <w:rFonts w:hint="eastAsia" w:ascii="宋体" w:hAnsi="宋体"/>
          <w:szCs w:val="21"/>
        </w:rPr>
        <w:t>（具体详见当日电子公告栏）</w:t>
      </w:r>
      <w:r>
        <w:rPr>
          <w:rFonts w:ascii="宋体" w:hAnsi="宋体"/>
          <w:szCs w:val="21"/>
        </w:rPr>
        <w:t xml:space="preserve"> [江北区</w:t>
      </w:r>
      <w:r>
        <w:rPr>
          <w:rFonts w:hint="eastAsia" w:ascii="宋体" w:hAnsi="宋体"/>
          <w:szCs w:val="21"/>
        </w:rPr>
        <w:t>育才路138号北投大厦南楼7楼</w:t>
      </w:r>
      <w:r>
        <w:rPr>
          <w:rFonts w:ascii="宋体" w:hAnsi="宋体"/>
          <w:szCs w:val="21"/>
        </w:rPr>
        <w:t>]</w:t>
      </w:r>
    </w:p>
    <w:p>
      <w:pPr>
        <w:snapToGrid w:val="0"/>
        <w:spacing w:line="312" w:lineRule="auto"/>
        <w:ind w:firstLine="420" w:firstLineChars="200"/>
        <w:rPr>
          <w:rFonts w:ascii="宋体" w:hAnsi="宋体"/>
          <w:szCs w:val="21"/>
        </w:rPr>
      </w:pPr>
      <w:r>
        <w:rPr>
          <w:rFonts w:ascii="宋体" w:hAnsi="宋体"/>
          <w:szCs w:val="21"/>
        </w:rPr>
        <w:t>十、其他事项</w:t>
      </w:r>
    </w:p>
    <w:p>
      <w:pPr>
        <w:snapToGrid w:val="0"/>
        <w:spacing w:line="312" w:lineRule="auto"/>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、本次政府采购活动有关信息在“浙江政府采购网”、“宁波市公共资源交易网江北区分网”上公布，公布信息视同送达所有潜在供应商。</w:t>
      </w:r>
    </w:p>
    <w:p>
      <w:pPr>
        <w:snapToGrid w:val="0"/>
        <w:spacing w:line="312"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、单位负责人为同一人或者存在直接控股、管理关系的不同供应商，不得参加同一子包号的投标。</w:t>
      </w:r>
    </w:p>
    <w:p>
      <w:pPr>
        <w:keepNext w:val="0"/>
        <w:keepLines w:val="0"/>
        <w:pageBreakBefore w:val="0"/>
        <w:widowControl w:val="0"/>
        <w:kinsoku/>
        <w:wordWrap/>
        <w:overflowPunct/>
        <w:topLinePunct w:val="0"/>
        <w:autoSpaceDE/>
        <w:autoSpaceDN/>
        <w:bidi w:val="0"/>
        <w:adjustRightInd/>
        <w:snapToGrid w:val="0"/>
        <w:spacing w:line="312" w:lineRule="auto"/>
        <w:ind w:firstLine="422" w:firstLineChars="200"/>
        <w:textAlignment w:val="auto"/>
        <w:rPr>
          <w:rFonts w:hint="eastAsia" w:ascii="宋体" w:hAnsi="宋体"/>
          <w:b/>
          <w:bCs/>
          <w:szCs w:val="21"/>
        </w:rPr>
      </w:pPr>
      <w:r>
        <w:rPr>
          <w:rFonts w:hint="eastAsia" w:ascii="宋体" w:hAnsi="宋体"/>
          <w:b/>
          <w:bCs/>
          <w:szCs w:val="21"/>
          <w:lang w:val="en-US" w:eastAsia="zh-CN"/>
        </w:rPr>
        <w:t>3</w:t>
      </w:r>
      <w:r>
        <w:rPr>
          <w:rFonts w:hint="eastAsia" w:ascii="宋体" w:hAnsi="宋体"/>
          <w:b/>
          <w:bCs/>
          <w:szCs w:val="21"/>
        </w:rPr>
        <w:t>、</w:t>
      </w:r>
      <w:r>
        <w:rPr>
          <w:rFonts w:hint="eastAsia" w:ascii="宋体" w:hAnsi="宋体"/>
          <w:b/>
          <w:bCs/>
          <w:szCs w:val="21"/>
          <w:lang w:eastAsia="zh-CN"/>
        </w:rPr>
        <w:t>疫情防控期间，</w:t>
      </w:r>
      <w:r>
        <w:rPr>
          <w:rFonts w:hint="eastAsia" w:ascii="宋体" w:hAnsi="宋体"/>
          <w:b/>
          <w:bCs/>
          <w:szCs w:val="21"/>
        </w:rPr>
        <w:t>请投标人代表（原则上最多派一名）全程佩戴口罩、一次性手套等防护工具。进入江北区公共资源交易中心前，进行身份证实名登记，出示甬行码（健康码），自觉接受体温检测、防疫询问，并如实报告情况，通过身份核验和体温检测正常方可入场递交投标文件。出现发热症状等可疑情况，将予以劝离并登记上报。</w:t>
      </w:r>
    </w:p>
    <w:p>
      <w:pPr>
        <w:widowControl/>
        <w:adjustRightInd w:val="0"/>
        <w:snapToGrid w:val="0"/>
        <w:spacing w:line="312" w:lineRule="auto"/>
        <w:ind w:firstLine="420" w:firstLineChars="200"/>
        <w:jc w:val="left"/>
        <w:rPr>
          <w:rFonts w:ascii="宋体" w:hAnsi="宋体" w:cs="Arial"/>
          <w:bCs/>
          <w:color w:val="000000"/>
          <w:kern w:val="0"/>
          <w:szCs w:val="21"/>
        </w:rPr>
      </w:pPr>
      <w:r>
        <w:rPr>
          <w:rFonts w:hint="eastAsia" w:ascii="宋体" w:hAnsi="宋体" w:cs="Arial"/>
          <w:bCs/>
          <w:color w:val="000000"/>
          <w:kern w:val="0"/>
          <w:szCs w:val="21"/>
        </w:rPr>
        <w:t>十、联系方式：</w:t>
      </w:r>
    </w:p>
    <w:p>
      <w:pPr>
        <w:pStyle w:val="15"/>
        <w:spacing w:line="312" w:lineRule="auto"/>
        <w:ind w:left="0" w:firstLine="420" w:firstLineChars="200"/>
        <w:rPr>
          <w:color w:val="auto"/>
          <w:sz w:val="21"/>
          <w:szCs w:val="21"/>
        </w:rPr>
      </w:pPr>
      <w:r>
        <w:rPr>
          <w:rFonts w:hint="eastAsia"/>
          <w:color w:val="auto"/>
          <w:sz w:val="21"/>
          <w:szCs w:val="21"/>
        </w:rPr>
        <w:t>采购人名称：宁波市江北区发展和改革局</w:t>
      </w:r>
    </w:p>
    <w:p>
      <w:pPr>
        <w:pStyle w:val="15"/>
        <w:spacing w:line="312" w:lineRule="auto"/>
        <w:ind w:left="0" w:firstLine="420" w:firstLineChars="200"/>
        <w:rPr>
          <w:color w:val="auto"/>
          <w:sz w:val="21"/>
          <w:szCs w:val="21"/>
        </w:rPr>
      </w:pPr>
      <w:r>
        <w:rPr>
          <w:rFonts w:hint="eastAsia"/>
          <w:color w:val="auto"/>
          <w:sz w:val="21"/>
          <w:szCs w:val="21"/>
        </w:rPr>
        <w:t>联系人：王老师   联系电话：0574-89385787</w:t>
      </w:r>
    </w:p>
    <w:p>
      <w:pPr>
        <w:pStyle w:val="15"/>
        <w:spacing w:line="312" w:lineRule="auto"/>
        <w:ind w:left="0" w:firstLine="420" w:firstLineChars="200"/>
        <w:rPr>
          <w:color w:val="auto"/>
          <w:sz w:val="21"/>
          <w:szCs w:val="21"/>
        </w:rPr>
      </w:pPr>
      <w:r>
        <w:rPr>
          <w:rFonts w:hint="eastAsia"/>
          <w:color w:val="auto"/>
          <w:sz w:val="21"/>
          <w:szCs w:val="21"/>
        </w:rPr>
        <w:t>地址：宁波市江北区新马路61号</w:t>
      </w:r>
    </w:p>
    <w:p>
      <w:pPr>
        <w:pStyle w:val="15"/>
        <w:spacing w:line="312" w:lineRule="auto"/>
        <w:ind w:left="0" w:firstLine="420" w:firstLineChars="200"/>
        <w:rPr>
          <w:color w:val="auto"/>
          <w:sz w:val="21"/>
          <w:szCs w:val="21"/>
        </w:rPr>
      </w:pPr>
      <w:r>
        <w:rPr>
          <w:rFonts w:hint="eastAsia"/>
          <w:color w:val="auto"/>
          <w:sz w:val="21"/>
          <w:szCs w:val="21"/>
        </w:rPr>
        <w:t>采购代理单位：宁波欣达建设项目管理有限公司</w:t>
      </w:r>
    </w:p>
    <w:p>
      <w:pPr>
        <w:pStyle w:val="15"/>
        <w:spacing w:line="312" w:lineRule="auto"/>
        <w:ind w:left="0" w:firstLine="420" w:firstLineChars="200"/>
        <w:rPr>
          <w:color w:val="auto"/>
          <w:sz w:val="21"/>
          <w:szCs w:val="21"/>
        </w:rPr>
      </w:pPr>
      <w:r>
        <w:rPr>
          <w:rFonts w:hint="eastAsia"/>
          <w:color w:val="auto"/>
          <w:sz w:val="21"/>
          <w:szCs w:val="21"/>
        </w:rPr>
        <w:t xml:space="preserve">地址：宁波市高新区星海南路8号涌金大厦6楼     </w:t>
      </w:r>
    </w:p>
    <w:p>
      <w:pPr>
        <w:pStyle w:val="15"/>
        <w:spacing w:line="312" w:lineRule="auto"/>
        <w:ind w:left="0" w:firstLine="420" w:firstLineChars="200"/>
        <w:rPr>
          <w:color w:val="auto"/>
          <w:sz w:val="21"/>
          <w:szCs w:val="21"/>
        </w:rPr>
      </w:pPr>
      <w:r>
        <w:rPr>
          <w:rFonts w:hint="eastAsia"/>
          <w:color w:val="auto"/>
          <w:sz w:val="21"/>
          <w:szCs w:val="21"/>
        </w:rPr>
        <w:t>联 系 人：郑梦燕、屠世侠</w:t>
      </w:r>
    </w:p>
    <w:p>
      <w:pPr>
        <w:pStyle w:val="15"/>
        <w:spacing w:line="312" w:lineRule="auto"/>
        <w:ind w:left="0" w:firstLine="420" w:firstLineChars="200"/>
        <w:rPr>
          <w:color w:val="auto"/>
          <w:sz w:val="21"/>
          <w:szCs w:val="21"/>
        </w:rPr>
      </w:pPr>
      <w:r>
        <w:rPr>
          <w:rFonts w:hint="eastAsia"/>
          <w:color w:val="auto"/>
          <w:sz w:val="21"/>
          <w:szCs w:val="21"/>
        </w:rPr>
        <w:t>电    话：0574-87375708</w:t>
      </w:r>
    </w:p>
    <w:p>
      <w:pPr>
        <w:pStyle w:val="15"/>
        <w:spacing w:line="312" w:lineRule="auto"/>
        <w:ind w:left="0" w:firstLine="420" w:firstLineChars="200"/>
        <w:rPr>
          <w:color w:val="auto"/>
          <w:sz w:val="21"/>
          <w:szCs w:val="21"/>
        </w:rPr>
      </w:pPr>
      <w:r>
        <w:rPr>
          <w:rFonts w:hint="eastAsia"/>
          <w:color w:val="auto"/>
          <w:sz w:val="21"/>
          <w:szCs w:val="21"/>
        </w:rPr>
        <w:t>传    真：0574-89077720</w:t>
      </w:r>
      <w:r>
        <w:rPr>
          <w:color w:val="auto"/>
          <w:sz w:val="21"/>
          <w:szCs w:val="21"/>
        </w:rPr>
        <w:t xml:space="preserve"> </w:t>
      </w:r>
    </w:p>
    <w:p>
      <w:pPr>
        <w:widowControl/>
        <w:adjustRightInd w:val="0"/>
        <w:snapToGrid w:val="0"/>
        <w:spacing w:line="360" w:lineRule="auto"/>
        <w:ind w:firstLine="420" w:firstLineChars="200"/>
        <w:jc w:val="left"/>
        <w:rPr>
          <w:rFonts w:ascii="宋体" w:hAnsi="宋体" w:cs="Arial"/>
          <w:bCs/>
          <w:color w:val="000000"/>
          <w:kern w:val="0"/>
          <w:szCs w:val="21"/>
        </w:rPr>
      </w:pPr>
      <w:r>
        <w:rPr>
          <w:rFonts w:hint="eastAsia" w:ascii="宋体" w:hAnsi="宋体" w:cs="Arial"/>
          <w:bCs/>
          <w:color w:val="000000"/>
          <w:kern w:val="0"/>
          <w:szCs w:val="21"/>
        </w:rPr>
        <w:t>监管及投诉受理单位：宁波市江北区政府采购办公室</w:t>
      </w:r>
      <w:r>
        <w:rPr>
          <w:rFonts w:hint="eastAsia" w:ascii="宋体" w:hAnsi="宋体" w:cs="Arial"/>
          <w:bCs/>
          <w:color w:val="000000"/>
          <w:kern w:val="0"/>
          <w:szCs w:val="21"/>
        </w:rPr>
        <w:tab/>
      </w:r>
      <w:r>
        <w:rPr>
          <w:rFonts w:hint="eastAsia" w:ascii="宋体" w:hAnsi="宋体" w:cs="Arial"/>
          <w:bCs/>
          <w:color w:val="000000"/>
          <w:kern w:val="0"/>
          <w:szCs w:val="21"/>
        </w:rPr>
        <w:t>电话：0574-87388098</w:t>
      </w:r>
    </w:p>
    <w:p>
      <w:pPr>
        <w:widowControl/>
        <w:adjustRightInd w:val="0"/>
        <w:snapToGrid w:val="0"/>
        <w:spacing w:line="360" w:lineRule="auto"/>
        <w:ind w:firstLine="420" w:firstLineChars="200"/>
        <w:jc w:val="left"/>
        <w:rPr>
          <w:rFonts w:ascii="宋体" w:hAnsi="宋体" w:cs="Arial"/>
          <w:bCs/>
          <w:color w:val="000000"/>
          <w:kern w:val="0"/>
          <w:szCs w:val="21"/>
        </w:rPr>
      </w:pPr>
    </w:p>
    <w:p>
      <w:pPr>
        <w:widowControl/>
        <w:adjustRightInd w:val="0"/>
        <w:snapToGrid w:val="0"/>
        <w:spacing w:line="360" w:lineRule="auto"/>
        <w:ind w:firstLine="420" w:firstLineChars="200"/>
        <w:jc w:val="left"/>
        <w:rPr>
          <w:rFonts w:ascii="宋体" w:hAnsi="宋体" w:cs="Arial"/>
          <w:bCs/>
          <w:color w:val="000000"/>
          <w:kern w:val="0"/>
          <w:szCs w:val="21"/>
        </w:rPr>
        <w:sectPr>
          <w:footerReference r:id="rId4" w:type="default"/>
          <w:pgSz w:w="11906" w:h="16838"/>
          <w:pgMar w:top="1320" w:right="1247" w:bottom="1134" w:left="1247" w:header="851" w:footer="851" w:gutter="0"/>
          <w:pgNumType w:start="1"/>
          <w:cols w:space="720" w:num="1"/>
          <w:docGrid w:type="lines" w:linePitch="312" w:charSpace="0"/>
        </w:sectPr>
      </w:pPr>
    </w:p>
    <w:p>
      <w:pPr>
        <w:pStyle w:val="20"/>
        <w:spacing w:beforeLines="50" w:after="0" w:line="240" w:lineRule="auto"/>
      </w:pPr>
      <w:r>
        <w:rPr>
          <w:rFonts w:hint="eastAsia"/>
        </w:rPr>
        <w:t>第二部分  采购需求</w:t>
      </w:r>
    </w:p>
    <w:p>
      <w:pPr>
        <w:pStyle w:val="62"/>
        <w:spacing w:beforeLines="30" w:line="400" w:lineRule="exact"/>
        <w:ind w:firstLine="422"/>
      </w:pPr>
      <w:r>
        <w:rPr>
          <w:rFonts w:hint="eastAsia"/>
        </w:rPr>
        <w:t>一、项目概况</w:t>
      </w:r>
    </w:p>
    <w:p>
      <w:pPr>
        <w:spacing w:line="400" w:lineRule="exact"/>
        <w:ind w:firstLine="420" w:firstLineChars="200"/>
        <w:rPr>
          <w:rFonts w:ascii="宋体" w:hAnsi="宋体" w:cs="仿宋_GB2312"/>
          <w:szCs w:val="21"/>
        </w:rPr>
      </w:pPr>
      <w:r>
        <w:rPr>
          <w:rFonts w:hint="eastAsia" w:ascii="宋体" w:hAnsi="宋体" w:cs="仿宋_GB2312"/>
          <w:szCs w:val="21"/>
        </w:rPr>
        <w:t>标段一（</w:t>
      </w:r>
      <w:r>
        <w:rPr>
          <w:rFonts w:hint="eastAsia" w:ascii="宋体" w:hAnsi="宋体"/>
          <w:szCs w:val="21"/>
        </w:rPr>
        <w:t>宁波文创港核心区滨江水岸项目协审服务</w:t>
      </w:r>
      <w:r>
        <w:rPr>
          <w:rFonts w:hint="eastAsia" w:ascii="宋体" w:hAnsi="宋体" w:cs="仿宋_GB2312"/>
          <w:szCs w:val="21"/>
        </w:rPr>
        <w:t>）：</w:t>
      </w:r>
      <w:r>
        <w:rPr>
          <w:rFonts w:hint="eastAsia" w:ascii="宋体" w:hAnsi="宋体" w:cs="Arial"/>
          <w:color w:val="000000"/>
          <w:kern w:val="0"/>
          <w:szCs w:val="21"/>
        </w:rPr>
        <w:t>本项目位于江北区文创港核心区块内，西至庆丰桥，东至江北大河，总用地面积约310000平方米，总建筑面积约37000平方米，地上建筑10000平方米，地下建筑27000平</w:t>
      </w:r>
      <w:r>
        <w:rPr>
          <w:rFonts w:hint="eastAsia" w:ascii="宋体" w:hAnsi="宋体" w:cs="仿宋_GB2312"/>
          <w:szCs w:val="21"/>
        </w:rPr>
        <w:t>方米，估算总投资约335000万元。</w:t>
      </w:r>
    </w:p>
    <w:p>
      <w:pPr>
        <w:spacing w:line="400" w:lineRule="exact"/>
        <w:ind w:firstLine="420" w:firstLineChars="200"/>
        <w:rPr>
          <w:rFonts w:ascii="宋体" w:hAnsi="宋体" w:cs="仿宋_GB2312"/>
          <w:szCs w:val="21"/>
        </w:rPr>
      </w:pPr>
      <w:r>
        <w:rPr>
          <w:rFonts w:hint="eastAsia" w:ascii="宋体" w:hAnsi="宋体" w:cs="仿宋_GB2312"/>
          <w:szCs w:val="21"/>
        </w:rPr>
        <w:t>标段二（</w:t>
      </w:r>
      <w:r>
        <w:rPr>
          <w:rFonts w:hint="eastAsia" w:ascii="宋体" w:hAnsi="宋体"/>
          <w:szCs w:val="21"/>
        </w:rPr>
        <w:t>庄桥街道西侧地块项目协审服务</w:t>
      </w:r>
      <w:r>
        <w:rPr>
          <w:rFonts w:hint="eastAsia" w:ascii="宋体" w:hAnsi="宋体" w:cs="仿宋_GB2312"/>
          <w:szCs w:val="21"/>
        </w:rPr>
        <w:t>）：本项目位于江北区庄桥街道西侧，占地面积约为14000平方米，总建筑面积约为41000平方米，其中地上建筑面积约为30000平方米，地下建筑面积约为11000平方米，项目估算总投资约45621万元。</w:t>
      </w:r>
    </w:p>
    <w:p>
      <w:pPr>
        <w:pStyle w:val="62"/>
        <w:spacing w:beforeLines="30" w:line="400" w:lineRule="exact"/>
        <w:ind w:firstLine="422"/>
      </w:pPr>
      <w:r>
        <w:rPr>
          <w:rFonts w:hint="eastAsia"/>
        </w:rPr>
        <w:t>二、工作内容</w:t>
      </w:r>
    </w:p>
    <w:p>
      <w:pPr>
        <w:spacing w:line="400" w:lineRule="exact"/>
        <w:ind w:firstLine="420" w:firstLineChars="200"/>
        <w:rPr>
          <w:rFonts w:ascii="宋体" w:hAnsi="宋体" w:cs="仿宋_GB2312"/>
          <w:szCs w:val="21"/>
        </w:rPr>
      </w:pPr>
      <w:r>
        <w:rPr>
          <w:rFonts w:hint="eastAsia" w:ascii="宋体" w:hAnsi="宋体" w:cs="仿宋_GB2312"/>
          <w:szCs w:val="21"/>
        </w:rPr>
        <w:t>协审单位的服务内容为中标项目的估算、概算、招标控制价审核工作和设计方案、初步设计、施工图优化工作,其中</w:t>
      </w:r>
      <w:r>
        <w:rPr>
          <w:rFonts w:hint="eastAsia" w:ascii="宋体" w:hAnsi="宋体" w:cs="仿宋_GB2312"/>
          <w:b/>
          <w:szCs w:val="21"/>
        </w:rPr>
        <w:t>设计优化工作经采购人确认同意后可分包给具有相应资质的设计单位完成。</w:t>
      </w:r>
    </w:p>
    <w:p>
      <w:pPr>
        <w:pStyle w:val="62"/>
        <w:spacing w:beforeLines="30" w:line="400" w:lineRule="exact"/>
        <w:ind w:firstLine="422"/>
      </w:pPr>
      <w:r>
        <w:rPr>
          <w:rFonts w:hint="eastAsia"/>
        </w:rPr>
        <w:t>三、收费标准</w:t>
      </w:r>
    </w:p>
    <w:p>
      <w:pPr>
        <w:spacing w:line="360" w:lineRule="auto"/>
        <w:ind w:firstLine="420" w:firstLineChars="200"/>
        <w:rPr>
          <w:rFonts w:ascii="宋体" w:hAnsi="宋体" w:cs="宋体"/>
          <w:bCs/>
          <w:szCs w:val="21"/>
        </w:rPr>
      </w:pPr>
      <w:r>
        <w:rPr>
          <w:rFonts w:hint="eastAsia" w:ascii="宋体" w:hAnsi="宋体" w:cs="宋体"/>
          <w:bCs/>
          <w:szCs w:val="21"/>
        </w:rPr>
        <w:t>1、</w:t>
      </w:r>
      <w:r>
        <w:rPr>
          <w:rFonts w:hint="eastAsia" w:ascii="宋体" w:hAnsi="宋体" w:cs="仿宋_GB2312"/>
          <w:szCs w:val="21"/>
        </w:rPr>
        <w:t>估算、</w:t>
      </w:r>
      <w:r>
        <w:rPr>
          <w:rFonts w:hint="eastAsia" w:ascii="宋体" w:hAnsi="宋体" w:cs="宋体"/>
          <w:szCs w:val="21"/>
        </w:rPr>
        <w:t>概算、招标控制价</w:t>
      </w:r>
      <w:r>
        <w:rPr>
          <w:rFonts w:hint="eastAsia" w:ascii="宋体" w:hAnsi="宋体" w:cs="仿宋_GB2312"/>
          <w:szCs w:val="21"/>
        </w:rPr>
        <w:t>审核</w:t>
      </w:r>
      <w:r>
        <w:rPr>
          <w:rFonts w:hint="eastAsia" w:ascii="宋体" w:hAnsi="宋体" w:cs="宋体"/>
          <w:szCs w:val="21"/>
        </w:rPr>
        <w:t>收费：</w:t>
      </w:r>
      <w:r>
        <w:rPr>
          <w:rFonts w:hint="eastAsia" w:ascii="宋体" w:hAnsi="宋体" w:cs="宋体"/>
          <w:bCs/>
          <w:szCs w:val="21"/>
        </w:rPr>
        <w:t>此项收费最高限价为《浙江省建设工程造价咨询服务基准收费标准》（浙价服〔2009〕84号）收费标准</w:t>
      </w:r>
      <w:r>
        <w:rPr>
          <w:rFonts w:hint="eastAsia" w:ascii="宋体" w:hAnsi="宋体" w:cs="宋体"/>
          <w:bCs/>
        </w:rPr>
        <w:t>，投标人根据上述收费标准，自报</w:t>
      </w:r>
      <w:r>
        <w:rPr>
          <w:rFonts w:hint="eastAsia" w:ascii="宋体" w:hAnsi="宋体" w:cs="宋体"/>
          <w:bCs/>
          <w:szCs w:val="21"/>
        </w:rPr>
        <w:t>折扣率。</w:t>
      </w:r>
    </w:p>
    <w:p>
      <w:pPr>
        <w:spacing w:line="360" w:lineRule="auto"/>
        <w:ind w:firstLine="420" w:firstLineChars="200"/>
        <w:rPr>
          <w:rFonts w:ascii="宋体" w:hAnsi="宋体" w:cs="宋体"/>
          <w:bCs/>
          <w:szCs w:val="21"/>
        </w:rPr>
      </w:pPr>
      <w:r>
        <w:rPr>
          <w:rFonts w:hint="eastAsia" w:ascii="宋体" w:hAnsi="宋体" w:cs="宋体"/>
          <w:bCs/>
          <w:szCs w:val="21"/>
        </w:rPr>
        <w:t>2、设计优化（包括设计方案、初步设计、施工图优化工作）收费最高限价：</w:t>
      </w:r>
      <w:r>
        <w:rPr>
          <w:rFonts w:hint="eastAsia" w:ascii="宋体" w:hAnsi="宋体" w:cs="仿宋_GB2312"/>
          <w:szCs w:val="21"/>
        </w:rPr>
        <w:t>估算、概算、招标控制价审核费用</w:t>
      </w:r>
      <w:r>
        <w:rPr>
          <w:rFonts w:ascii="宋体" w:hAnsi="宋体" w:cs="仿宋_GB2312"/>
          <w:szCs w:val="21"/>
        </w:rPr>
        <w:t>*0.5+</w:t>
      </w:r>
      <w:r>
        <w:rPr>
          <w:rFonts w:hint="eastAsia" w:ascii="宋体" w:hAnsi="宋体" w:cs="仿宋_GB2312"/>
          <w:szCs w:val="21"/>
        </w:rPr>
        <w:t>设计优化额</w:t>
      </w:r>
      <w:r>
        <w:rPr>
          <w:rFonts w:ascii="宋体" w:hAnsi="宋体" w:cs="仿宋_GB2312"/>
          <w:szCs w:val="21"/>
        </w:rPr>
        <w:t>*10%*0.5</w:t>
      </w:r>
      <w:r>
        <w:rPr>
          <w:rFonts w:hint="eastAsia" w:ascii="宋体" w:hAnsi="宋体" w:cs="仿宋_GB2312"/>
          <w:szCs w:val="21"/>
        </w:rPr>
        <w:t>（设计优化额：设计优化建议被建设单位采纳后的节约投资额）。</w:t>
      </w:r>
      <w:r>
        <w:rPr>
          <w:rFonts w:hint="eastAsia" w:ascii="宋体" w:hAnsi="宋体" w:cs="宋体"/>
          <w:bCs/>
          <w:szCs w:val="21"/>
        </w:rPr>
        <w:t>投标人根据自身的实力以及客观因素，</w:t>
      </w:r>
      <w:r>
        <w:rPr>
          <w:rFonts w:hint="eastAsia" w:ascii="宋体" w:hAnsi="宋体" w:cs="宋体"/>
          <w:bCs/>
        </w:rPr>
        <w:t>自报</w:t>
      </w:r>
      <w:r>
        <w:rPr>
          <w:rFonts w:hint="eastAsia" w:ascii="宋体" w:hAnsi="宋体" w:cs="宋体"/>
          <w:bCs/>
          <w:szCs w:val="21"/>
        </w:rPr>
        <w:t>折扣率。</w:t>
      </w:r>
    </w:p>
    <w:p>
      <w:pPr>
        <w:spacing w:line="360" w:lineRule="auto"/>
        <w:ind w:firstLine="420" w:firstLineChars="200"/>
        <w:rPr>
          <w:rFonts w:ascii="宋体" w:hAnsi="宋体" w:cs="宋体"/>
          <w:bCs/>
          <w:szCs w:val="21"/>
        </w:rPr>
      </w:pPr>
      <w:r>
        <w:rPr>
          <w:rFonts w:hint="eastAsia" w:ascii="宋体" w:hAnsi="宋体" w:cs="宋体"/>
          <w:bCs/>
          <w:szCs w:val="21"/>
        </w:rPr>
        <w:t>3、估算、概算、招标控制价审核费用及设计优化（包括设计方案、初步设计、施工图优化工作）费用支付约定：标段项目协审工作全部完成后30日历天内一次性支付。</w:t>
      </w:r>
    </w:p>
    <w:p>
      <w:pPr>
        <w:pStyle w:val="62"/>
        <w:spacing w:beforeLines="30" w:line="400" w:lineRule="exact"/>
        <w:ind w:firstLine="422"/>
      </w:pPr>
      <w:r>
        <w:rPr>
          <w:rFonts w:hint="eastAsia"/>
        </w:rPr>
        <w:t>四、服务要求</w:t>
      </w:r>
    </w:p>
    <w:p>
      <w:pPr>
        <w:spacing w:line="400" w:lineRule="exact"/>
        <w:ind w:firstLine="420" w:firstLineChars="200"/>
        <w:rPr>
          <w:rFonts w:ascii="宋体" w:hAnsi="宋体" w:cs="仿宋_GB2312"/>
          <w:szCs w:val="21"/>
        </w:rPr>
      </w:pPr>
      <w:r>
        <w:rPr>
          <w:rFonts w:ascii="宋体" w:hAnsi="宋体" w:cs="仿宋_GB2312"/>
          <w:szCs w:val="21"/>
        </w:rPr>
        <w:t>1</w:t>
      </w:r>
      <w:r>
        <w:rPr>
          <w:rFonts w:hint="eastAsia" w:ascii="宋体" w:hAnsi="宋体" w:cs="仿宋_GB2312"/>
          <w:szCs w:val="21"/>
        </w:rPr>
        <w:t>、投标人必须遵守国家、省和宁波市关于政府采购的各项法律法规，必须遵守各级政府职能部门关于政府采购的各项规定。</w:t>
      </w:r>
    </w:p>
    <w:p>
      <w:pPr>
        <w:spacing w:line="400" w:lineRule="exact"/>
        <w:ind w:firstLine="420" w:firstLineChars="200"/>
        <w:rPr>
          <w:rFonts w:ascii="宋体" w:hAnsi="宋体" w:cs="仿宋_GB2312"/>
          <w:szCs w:val="21"/>
        </w:rPr>
      </w:pPr>
      <w:r>
        <w:rPr>
          <w:rFonts w:ascii="宋体" w:hAnsi="宋体" w:cs="仿宋_GB2312"/>
          <w:szCs w:val="21"/>
        </w:rPr>
        <w:t>2</w:t>
      </w:r>
      <w:r>
        <w:rPr>
          <w:rFonts w:hint="eastAsia" w:ascii="宋体" w:hAnsi="宋体" w:cs="仿宋_GB2312"/>
          <w:szCs w:val="21"/>
        </w:rPr>
        <w:t>、投标人应按照国家和省市有关规定，以及投标承诺，在其资质等级许可的范围内从事工程造价、设计优化咨询服务活动，并严格遵循独立、客观、公正、诚实信用的原则，不得损害社会公共利益和他人的合法权益。为招标人提供服务时，应合理调配所有资源，确保服务工作的顺利完成，在约定的时间内完成服务事项。</w:t>
      </w:r>
    </w:p>
    <w:p>
      <w:pPr>
        <w:spacing w:line="400" w:lineRule="exact"/>
        <w:ind w:firstLine="420" w:firstLineChars="200"/>
        <w:rPr>
          <w:rFonts w:ascii="宋体" w:hAnsi="宋体" w:cs="仿宋_GB2312"/>
          <w:szCs w:val="21"/>
        </w:rPr>
      </w:pPr>
      <w:r>
        <w:rPr>
          <w:rFonts w:ascii="宋体" w:hAnsi="宋体" w:cs="仿宋_GB2312"/>
          <w:szCs w:val="21"/>
        </w:rPr>
        <w:t>3</w:t>
      </w:r>
      <w:r>
        <w:rPr>
          <w:rFonts w:hint="eastAsia" w:ascii="宋体" w:hAnsi="宋体" w:cs="仿宋_GB2312"/>
          <w:szCs w:val="21"/>
        </w:rPr>
        <w:t>、投标人应廉洁自律、诚实信用、严格履行投标承诺，不得向招标人进行商业贿赂或提供不正当利益，自觉接受有关行政监督部门依法实施的监督。</w:t>
      </w:r>
    </w:p>
    <w:p>
      <w:pPr>
        <w:spacing w:line="400" w:lineRule="exact"/>
        <w:ind w:firstLine="420" w:firstLineChars="200"/>
        <w:rPr>
          <w:rFonts w:ascii="宋体" w:hAnsi="宋体" w:cs="仿宋_GB2312"/>
          <w:szCs w:val="21"/>
        </w:rPr>
      </w:pPr>
      <w:r>
        <w:rPr>
          <w:rFonts w:hint="eastAsia" w:ascii="宋体" w:hAnsi="宋体" w:cs="仿宋_GB2312"/>
          <w:szCs w:val="21"/>
        </w:rPr>
        <w:t>4、协审工作完成时间要求：</w:t>
      </w:r>
      <w:r>
        <w:rPr>
          <w:rFonts w:hint="eastAsia" w:ascii="宋体" w:hAnsi="宋体" w:cs="宋体"/>
          <w:szCs w:val="21"/>
        </w:rPr>
        <w:t>（1）估算、概算审核、设计方案、初步设计优化工作时限要求：自收到资料起7日历天内完成；（2）招标控制价审核、施工图优化工作时限要求：自收到资料起30日历天内完成。</w:t>
      </w:r>
    </w:p>
    <w:p>
      <w:pPr>
        <w:spacing w:line="400" w:lineRule="exact"/>
        <w:ind w:firstLine="420" w:firstLineChars="200"/>
        <w:rPr>
          <w:rFonts w:ascii="宋体" w:hAnsi="宋体" w:cs="仿宋_GB2312"/>
          <w:szCs w:val="21"/>
        </w:rPr>
      </w:pPr>
    </w:p>
    <w:p>
      <w:pPr>
        <w:rPr>
          <w:rFonts w:ascii="宋体" w:hAnsi="宋体" w:cs="仿宋_GB2312"/>
          <w:szCs w:val="21"/>
        </w:rPr>
        <w:sectPr>
          <w:pgSz w:w="11906" w:h="16838"/>
          <w:pgMar w:top="1134" w:right="1247" w:bottom="1134" w:left="1247" w:header="851" w:footer="851" w:gutter="0"/>
          <w:cols w:space="720" w:num="1"/>
          <w:docGrid w:type="lines" w:linePitch="312" w:charSpace="0"/>
        </w:sectPr>
      </w:pPr>
    </w:p>
    <w:p>
      <w:pPr>
        <w:pStyle w:val="20"/>
        <w:spacing w:beforeLines="50" w:after="0" w:line="240" w:lineRule="auto"/>
      </w:pPr>
      <w:r>
        <w:rPr>
          <w:rFonts w:hint="eastAsia"/>
        </w:rPr>
        <w:t>第三部分  投标人须知</w:t>
      </w:r>
    </w:p>
    <w:p>
      <w:pPr>
        <w:spacing w:line="440" w:lineRule="exact"/>
        <w:jc w:val="center"/>
        <w:rPr>
          <w:rFonts w:ascii="宋体" w:hAnsi="宋体"/>
          <w:b/>
          <w:sz w:val="30"/>
          <w:szCs w:val="30"/>
        </w:rPr>
      </w:pPr>
      <w:r>
        <w:rPr>
          <w:rFonts w:hint="eastAsia" w:ascii="宋体" w:hAnsi="宋体"/>
          <w:b/>
          <w:sz w:val="30"/>
          <w:szCs w:val="30"/>
        </w:rPr>
        <w:t>前附表</w:t>
      </w:r>
    </w:p>
    <w:p>
      <w:pPr>
        <w:spacing w:line="240" w:lineRule="exact"/>
        <w:jc w:val="center"/>
        <w:rPr>
          <w:rFonts w:ascii="宋体" w:hAnsi="宋体"/>
          <w:b/>
          <w:szCs w:val="21"/>
        </w:rPr>
      </w:pPr>
    </w:p>
    <w:tbl>
      <w:tblPr>
        <w:tblStyle w:val="25"/>
        <w:tblW w:w="94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1"/>
        <w:gridCol w:w="8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序号</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项目名称：宁波市江北区发展和改革局2020年度项目协审服务−1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Arial"/>
                <w:szCs w:val="21"/>
              </w:rPr>
            </w:pPr>
            <w:r>
              <w:rPr>
                <w:rFonts w:hint="eastAsia" w:ascii="宋体" w:hAnsi="宋体"/>
                <w:szCs w:val="21"/>
              </w:rPr>
              <w:t>采购人：宁波市江北区发展和改革局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color w:val="000000"/>
                <w:szCs w:val="21"/>
              </w:rPr>
              <w:t>投标费用：</w:t>
            </w: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b/>
                <w:bCs/>
                <w:szCs w:val="21"/>
              </w:rPr>
              <w:t>投标保证金：</w:t>
            </w:r>
            <w:r>
              <w:rPr>
                <w:rFonts w:hint="eastAsia" w:ascii="宋体" w:hAnsi="宋体" w:cs="Arial"/>
                <w:b/>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现场踏勘：不组织。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答疑和澄清：</w:t>
            </w:r>
            <w:r>
              <w:rPr>
                <w:rFonts w:hint="eastAsia" w:ascii="宋体" w:hAnsi="宋体"/>
                <w:color w:val="000000"/>
                <w:szCs w:val="21"/>
              </w:rPr>
              <w:t>投标人如对招标文件</w:t>
            </w:r>
            <w:r>
              <w:rPr>
                <w:rFonts w:hint="eastAsia" w:ascii="宋体" w:hAnsi="宋体"/>
                <w:szCs w:val="21"/>
              </w:rPr>
              <w:t>存在疑问或认为招标文件表述不清晰、存在歧视性、排他性或者其他违法内容的可事先电话进行咨询核实，并将书面文件在</w:t>
            </w:r>
            <w:r>
              <w:rPr>
                <w:rFonts w:hint="eastAsia" w:ascii="宋体" w:hAnsi="宋体"/>
                <w:bCs/>
                <w:szCs w:val="21"/>
              </w:rPr>
              <w:t>递交投标文件截止时间十日</w:t>
            </w:r>
            <w:r>
              <w:rPr>
                <w:rFonts w:hint="eastAsia" w:ascii="宋体" w:hAnsi="宋体"/>
                <w:szCs w:val="21"/>
              </w:rPr>
              <w:t>之前，送至采购代理机构，采购代理机构将视情做统一答复，如规定时间内未收到任何疑问，则视为各投标方均对此无异议。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投标文件份数（按各标段分别编制）：资格审查文件正本1份、副本4份；技术商务文件正本1份、副本4份。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8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ascii="宋体" w:hAnsi="宋体"/>
                <w:szCs w:val="21"/>
              </w:rPr>
              <w:t>投标截止时间及地点：</w:t>
            </w:r>
            <w:r>
              <w:rPr>
                <w:rFonts w:hint="eastAsia" w:ascii="宋体" w:hAnsi="宋体"/>
                <w:szCs w:val="21"/>
                <w:u w:val="single"/>
              </w:rPr>
              <w:t>2020</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9：00</w:t>
            </w:r>
            <w:r>
              <w:rPr>
                <w:rFonts w:ascii="宋体" w:hAnsi="宋体"/>
                <w:szCs w:val="21"/>
              </w:rPr>
              <w:t>（北京时间），宁波市江北区行政服务中心2楼开标室</w:t>
            </w:r>
            <w:r>
              <w:rPr>
                <w:rFonts w:hint="eastAsia" w:ascii="宋体" w:hAnsi="宋体"/>
                <w:szCs w:val="21"/>
              </w:rPr>
              <w:t>（具体详见当日电子公告栏）</w:t>
            </w:r>
            <w:r>
              <w:rPr>
                <w:rFonts w:ascii="宋体" w:hAnsi="宋体"/>
                <w:szCs w:val="21"/>
              </w:rPr>
              <w:t xml:space="preserve"> [</w:t>
            </w:r>
            <w:r>
              <w:rPr>
                <w:rFonts w:hint="eastAsia" w:ascii="宋体" w:hAnsi="宋体"/>
                <w:szCs w:val="21"/>
              </w:rPr>
              <w:t>育才路138号北投大厦南楼7楼</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855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ascii="宋体" w:hAnsi="宋体"/>
                <w:szCs w:val="21"/>
              </w:rPr>
              <w:t>开标时间及地点：</w:t>
            </w:r>
            <w:r>
              <w:rPr>
                <w:rFonts w:hint="eastAsia" w:ascii="宋体" w:hAnsi="宋体"/>
                <w:szCs w:val="21"/>
                <w:u w:val="single"/>
              </w:rPr>
              <w:t>2020</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9：00</w:t>
            </w:r>
            <w:r>
              <w:rPr>
                <w:rFonts w:ascii="宋体" w:hAnsi="宋体"/>
                <w:szCs w:val="21"/>
              </w:rPr>
              <w:t>（北京时间），宁波市江北区行政服务中心2楼开标室</w:t>
            </w:r>
            <w:r>
              <w:rPr>
                <w:rFonts w:hint="eastAsia" w:ascii="宋体" w:hAnsi="宋体"/>
                <w:szCs w:val="21"/>
              </w:rPr>
              <w:t>（具体详见当日电子公告栏）</w:t>
            </w:r>
            <w:r>
              <w:rPr>
                <w:rFonts w:ascii="宋体" w:hAnsi="宋体"/>
                <w:szCs w:val="21"/>
              </w:rPr>
              <w:t xml:space="preserve"> [</w:t>
            </w:r>
            <w:r>
              <w:rPr>
                <w:rFonts w:hint="eastAsia" w:ascii="宋体" w:hAnsi="宋体"/>
                <w:szCs w:val="21"/>
              </w:rPr>
              <w:t>育才路138号北投大厦南楼7楼</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评标办法及评分标准：详见本招标文件第四部分。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yellow"/>
              </w:rPr>
            </w:pPr>
            <w:r>
              <w:rPr>
                <w:rFonts w:hint="eastAsia" w:ascii="宋体" w:hAnsi="宋体"/>
                <w:color w:val="000000"/>
                <w:szCs w:val="21"/>
              </w:rPr>
              <w:t>评标结果公告：公告于浙江省</w:t>
            </w:r>
            <w:r>
              <w:rPr>
                <w:rFonts w:hint="eastAsia" w:ascii="宋体" w:hAnsi="宋体" w:cs="Arial"/>
                <w:color w:val="000000"/>
                <w:szCs w:val="21"/>
              </w:rPr>
              <w:t>政府采购网及宁波市区公共资源交易网江北区分网上发布。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签订合同时间：中标通知书发放后30日内。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履约保证金的缴纳及退还：本项目不收取履约保证金。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投标文件有效期：自投标截止日起60天。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16</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采购代理机构按照以下标准向各中标供应商收取招标服务费，此费用在中标供应商领取中标通知书前一次性付清：标段一：48000元，标段二：17000元。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17</w:t>
            </w:r>
          </w:p>
        </w:tc>
        <w:tc>
          <w:tcPr>
            <w:tcW w:w="855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解释：本招标文件的解释权属于采购人和采购代理机构。</w:t>
            </w:r>
          </w:p>
        </w:tc>
      </w:tr>
    </w:tbl>
    <w:p>
      <w:pPr>
        <w:pStyle w:val="59"/>
        <w:spacing w:before="156"/>
      </w:pPr>
      <w:r>
        <w:br w:type="page"/>
      </w:r>
      <w:r>
        <w:rPr>
          <w:rFonts w:hint="eastAsia"/>
        </w:rPr>
        <w:t>一、总则</w:t>
      </w:r>
    </w:p>
    <w:p>
      <w:pPr>
        <w:pStyle w:val="62"/>
        <w:spacing w:before="156"/>
        <w:ind w:firstLine="422"/>
      </w:pPr>
      <w:r>
        <w:rPr>
          <w:rFonts w:hint="eastAsia"/>
        </w:rPr>
        <w:t>（一）适用范围</w:t>
      </w:r>
    </w:p>
    <w:p>
      <w:pPr>
        <w:pStyle w:val="52"/>
        <w:ind w:firstLine="420" w:firstLineChars="200"/>
      </w:pPr>
      <w:r>
        <w:rPr>
          <w:rFonts w:hint="eastAsia"/>
        </w:rPr>
        <w:t>本招标文件仅适用于</w:t>
      </w:r>
      <w:r>
        <w:rPr>
          <w:rFonts w:hint="eastAsia" w:ascii="仿宋_GB2312"/>
          <w:bCs/>
          <w:szCs w:val="32"/>
        </w:rPr>
        <w:t>宁波市江北区发展和改革局2020年度项目协审服务项目-1</w:t>
      </w:r>
      <w:r>
        <w:rPr>
          <w:rFonts w:hint="eastAsia"/>
        </w:rPr>
        <w:t>。</w:t>
      </w:r>
    </w:p>
    <w:p>
      <w:pPr>
        <w:pStyle w:val="62"/>
        <w:spacing w:before="156"/>
        <w:ind w:firstLine="422"/>
      </w:pPr>
      <w:r>
        <w:rPr>
          <w:rFonts w:hint="eastAsia"/>
        </w:rPr>
        <w:t>（二）定义</w:t>
      </w:r>
    </w:p>
    <w:p>
      <w:pPr>
        <w:pStyle w:val="52"/>
        <w:ind w:firstLine="420" w:firstLineChars="200"/>
      </w:pPr>
      <w:r>
        <w:rPr>
          <w:rFonts w:hint="eastAsia" w:ascii="Times New Roman" w:hAnsi="Times New Roman"/>
        </w:rPr>
        <w:t>1</w:t>
      </w:r>
      <w:r>
        <w:rPr>
          <w:rFonts w:hint="eastAsia"/>
          <w:color w:val="000000"/>
        </w:rPr>
        <w:t>.</w:t>
      </w:r>
      <w:r>
        <w:rPr>
          <w:rFonts w:hint="eastAsia"/>
        </w:rPr>
        <w:t>本文件中所称招标、招标文件、招标人、投标、投标文件、投标人等是指招标、采购文件、采购人、投标响应、投标响应文件、投标供应商。</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2.“</w:t>
      </w:r>
      <w:r>
        <w:rPr>
          <w:rFonts w:ascii="宋体" w:hAnsi="宋体"/>
          <w:color w:val="000000"/>
          <w:szCs w:val="21"/>
        </w:rPr>
        <w:t>投标人”系指向招标方提交投标文件的单位或个人。</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3.</w:t>
      </w:r>
      <w:r>
        <w:rPr>
          <w:rFonts w:ascii="宋体" w:hAnsi="宋体"/>
          <w:color w:val="000000"/>
          <w:szCs w:val="21"/>
        </w:rPr>
        <w:t>“产品”系指供方按招标文件规定，须向采购人提供的一切设备、保险、税金、备品备件、工具、手册及其它有关技术资料和材料。</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4.</w:t>
      </w:r>
      <w:r>
        <w:rPr>
          <w:rFonts w:ascii="宋体" w:hAnsi="宋体"/>
          <w:color w:val="000000"/>
          <w:szCs w:val="21"/>
        </w:rPr>
        <w:t>“服务”系指招标文件规定投标人须承担的安装、调试、技术协助、校准、培训、技术指导以及其他类似的义务。</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5.</w:t>
      </w:r>
      <w:r>
        <w:rPr>
          <w:rFonts w:ascii="宋体" w:hAnsi="宋体"/>
          <w:color w:val="000000"/>
          <w:szCs w:val="21"/>
        </w:rPr>
        <w:t>“项目”系指投标人按招标文件规定向采购人提供的产品和服务。</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6.</w:t>
      </w:r>
      <w:r>
        <w:rPr>
          <w:rFonts w:ascii="宋体" w:hAnsi="宋体"/>
          <w:color w:val="000000"/>
          <w:szCs w:val="21"/>
        </w:rPr>
        <w:t>“书面形式”包括信函、传真、电报</w:t>
      </w:r>
      <w:r>
        <w:rPr>
          <w:rFonts w:hint="eastAsia" w:ascii="宋体" w:hAnsi="宋体"/>
          <w:color w:val="000000"/>
          <w:szCs w:val="21"/>
        </w:rPr>
        <w:t>、财政部门指定的政府采购信息发布媒体上发布的信息</w:t>
      </w:r>
      <w:r>
        <w:rPr>
          <w:rFonts w:ascii="宋体" w:hAnsi="宋体"/>
          <w:color w:val="000000"/>
          <w:szCs w:val="21"/>
        </w:rPr>
        <w:t>等。</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w:t>
      </w:r>
      <w:r>
        <w:rPr>
          <w:rFonts w:ascii="宋体" w:hAnsi="宋体"/>
          <w:color w:val="000000"/>
          <w:szCs w:val="21"/>
        </w:rPr>
        <w:t>”系指实质性要求条款。</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（三）招标方式</w:t>
      </w:r>
    </w:p>
    <w:p>
      <w:pPr>
        <w:spacing w:line="440" w:lineRule="exact"/>
        <w:ind w:firstLine="420" w:firstLineChars="200"/>
      </w:pPr>
      <w:r>
        <w:t>本次招标采用</w:t>
      </w:r>
      <w:r>
        <w:rPr>
          <w:rFonts w:hint="eastAsia"/>
        </w:rPr>
        <w:t>公开招标</w:t>
      </w:r>
      <w:r>
        <w:t>方式进行。</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（四）投标委托</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投标人代表须携带有效身份证件。如投标人代表不是法定代表人，须有法定代表人出具的授权委托书；否则其投标，将被拒绝。</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（五）投标费用</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不论投标结果如何，投标人均应自行承担所有与投标有关的全部费用（招标文件另有规定的除外）。</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（六）联合体投标</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本项目不接受联合体投标。</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（七）转包与分包</w:t>
      </w:r>
    </w:p>
    <w:p>
      <w:pPr>
        <w:snapToGrid w:val="0"/>
        <w:spacing w:line="440" w:lineRule="exact"/>
        <w:ind w:firstLine="420" w:firstLineChars="200"/>
        <w:jc w:val="left"/>
        <w:rPr>
          <w:rFonts w:ascii="宋体" w:hAnsi="宋体"/>
          <w:color w:val="000000"/>
          <w:szCs w:val="21"/>
        </w:rPr>
      </w:pPr>
      <w:r>
        <w:rPr>
          <w:rFonts w:ascii="宋体" w:hAnsi="宋体"/>
          <w:color w:val="000000"/>
          <w:szCs w:val="21"/>
        </w:rPr>
        <w:t>本项目不允许转包</w:t>
      </w:r>
      <w:r>
        <w:rPr>
          <w:rFonts w:hint="eastAsia" w:ascii="宋体" w:hAnsi="宋体"/>
          <w:color w:val="000000"/>
          <w:szCs w:val="21"/>
        </w:rPr>
        <w:t>。允许分包，允许分包内容见采购需求。</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（八）特别说明</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1.</w:t>
      </w:r>
      <w:r>
        <w:rPr>
          <w:rFonts w:ascii="宋体" w:hAnsi="宋体"/>
          <w:szCs w:val="21"/>
        </w:rPr>
        <w:t>投标人投标所使用的资格、信誉、荣誉、业绩与企业认证必须为本</w:t>
      </w:r>
      <w:r>
        <w:rPr>
          <w:rFonts w:hint="eastAsia" w:ascii="宋体" w:hAnsi="宋体"/>
          <w:szCs w:val="21"/>
        </w:rPr>
        <w:t>单位</w:t>
      </w:r>
      <w:r>
        <w:rPr>
          <w:rFonts w:ascii="宋体" w:hAnsi="宋体"/>
          <w:szCs w:val="21"/>
        </w:rPr>
        <w:t>所拥有。投标人投标所使用的采购项目实施人员必须为本</w:t>
      </w:r>
      <w:r>
        <w:rPr>
          <w:rFonts w:hint="eastAsia" w:ascii="宋体" w:hAnsi="宋体"/>
          <w:szCs w:val="21"/>
        </w:rPr>
        <w:t>单位</w:t>
      </w:r>
      <w:r>
        <w:rPr>
          <w:rFonts w:ascii="宋体" w:hAnsi="宋体"/>
          <w:szCs w:val="21"/>
        </w:rPr>
        <w:t>员工</w:t>
      </w:r>
      <w:r>
        <w:rPr>
          <w:rFonts w:hint="eastAsia" w:ascii="宋体" w:hAnsi="宋体"/>
          <w:szCs w:val="21"/>
        </w:rPr>
        <w:t>（允许分包部分除外）</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投标人应仔细阅读招标文件的所有内容，按照招标文件的要求提交投标文件，并对所提供的全部资料的真实性承担法律责任。</w:t>
      </w:r>
    </w:p>
    <w:p>
      <w:pPr>
        <w:spacing w:line="440" w:lineRule="exact"/>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投标人在投标活动中提供任何虚假材料，其投标无效，并报监管部门查处；中标后发现的，中标人须依照《中华人民共和国消费者权益保护法》第49条之规定双倍赔偿采购人</w:t>
      </w:r>
      <w:r>
        <w:rPr>
          <w:rFonts w:hint="eastAsia" w:ascii="宋体" w:hAnsi="宋体"/>
          <w:szCs w:val="21"/>
        </w:rPr>
        <w:t>，</w:t>
      </w:r>
      <w:r>
        <w:rPr>
          <w:rFonts w:ascii="宋体" w:hAnsi="宋体"/>
          <w:szCs w:val="21"/>
        </w:rPr>
        <w:t>且民事赔偿并不免除违法投标人的行政与刑事责任。</w:t>
      </w:r>
    </w:p>
    <w:p>
      <w:pPr>
        <w:snapToGrid w:val="0"/>
        <w:spacing w:line="440" w:lineRule="exact"/>
        <w:ind w:firstLine="420" w:firstLineChars="200"/>
        <w:jc w:val="left"/>
        <w:outlineLvl w:val="2"/>
        <w:rPr>
          <w:rFonts w:ascii="宋体" w:hAnsi="宋体" w:eastAsia="Times New Roman"/>
          <w:b/>
          <w:color w:val="000000"/>
          <w:szCs w:val="21"/>
        </w:rPr>
      </w:pPr>
      <w:r>
        <w:rPr>
          <w:rFonts w:ascii="宋体" w:hAnsi="宋体" w:eastAsia="Times New Roman"/>
          <w:b/>
          <w:color w:val="000000"/>
          <w:szCs w:val="21"/>
        </w:rPr>
        <w:t>（九）质疑和投诉</w:t>
      </w:r>
    </w:p>
    <w:p>
      <w:pPr>
        <w:pStyle w:val="13"/>
        <w:snapToGrid w:val="0"/>
        <w:spacing w:beforeLines="0" w:afterLines="0" w:line="360" w:lineRule="auto"/>
        <w:ind w:firstLine="420" w:firstLineChars="200"/>
        <w:rPr>
          <w:rFonts w:hAnsi="宋体" w:cs="宋体"/>
          <w:bCs/>
          <w:sz w:val="21"/>
          <w:szCs w:val="21"/>
        </w:rPr>
      </w:pPr>
      <w:r>
        <w:rPr>
          <w:rFonts w:hAnsi="宋体" w:cs="宋体"/>
          <w:bCs/>
          <w:sz w:val="21"/>
          <w:szCs w:val="21"/>
        </w:rPr>
        <w:t>1</w:t>
      </w:r>
      <w:r>
        <w:rPr>
          <w:rFonts w:hint="eastAsia" w:hAnsi="宋体" w:cs="宋体"/>
          <w:bCs/>
          <w:sz w:val="21"/>
          <w:szCs w:val="21"/>
        </w:rPr>
        <w:t>.</w:t>
      </w:r>
      <w:r>
        <w:rPr>
          <w:rFonts w:hAnsi="宋体" w:cs="宋体"/>
          <w:bCs/>
          <w:sz w:val="21"/>
          <w:szCs w:val="21"/>
        </w:rPr>
        <w:t>投标人认为招标文件、招标过程</w:t>
      </w:r>
      <w:r>
        <w:rPr>
          <w:rFonts w:hint="eastAsia" w:hAnsi="宋体" w:cs="宋体"/>
          <w:bCs/>
          <w:sz w:val="21"/>
          <w:szCs w:val="21"/>
        </w:rPr>
        <w:t>或</w:t>
      </w:r>
      <w:r>
        <w:rPr>
          <w:rFonts w:hAnsi="宋体" w:cs="宋体"/>
          <w:bCs/>
          <w:sz w:val="21"/>
          <w:szCs w:val="21"/>
        </w:rPr>
        <w:t>中标结果使自己的合法权益受到损害的，应当在知道或者应知其权益受到损害之日起七个工作日内，以书面形式向</w:t>
      </w:r>
      <w:r>
        <w:rPr>
          <w:rFonts w:hint="eastAsia" w:hAnsi="宋体" w:cs="宋体"/>
          <w:bCs/>
          <w:sz w:val="21"/>
          <w:szCs w:val="21"/>
        </w:rPr>
        <w:t>采购单位</w:t>
      </w:r>
      <w:r>
        <w:rPr>
          <w:rFonts w:hAnsi="宋体" w:cs="宋体"/>
          <w:bCs/>
          <w:sz w:val="21"/>
          <w:szCs w:val="21"/>
        </w:rPr>
        <w:t>、采购代理机构提出质疑</w:t>
      </w:r>
      <w:r>
        <w:rPr>
          <w:rFonts w:hint="eastAsia" w:hAnsi="宋体" w:cs="宋体"/>
          <w:bCs/>
          <w:sz w:val="21"/>
          <w:szCs w:val="21"/>
        </w:rPr>
        <w:t>（注：投标人须在法定质疑期内一次性提出针对同一采购程序环节的质疑）；逾期不予受理</w:t>
      </w:r>
      <w:r>
        <w:rPr>
          <w:rFonts w:hAnsi="宋体" w:cs="宋体"/>
          <w:bCs/>
          <w:sz w:val="21"/>
          <w:szCs w:val="21"/>
        </w:rPr>
        <w:t>。</w:t>
      </w:r>
      <w:r>
        <w:rPr>
          <w:rFonts w:hint="eastAsia" w:hAnsi="宋体" w:cs="宋体"/>
          <w:bCs/>
          <w:sz w:val="21"/>
          <w:szCs w:val="21"/>
        </w:rPr>
        <w:t>潜在投标人已依法获取其可质疑的采购文件的，可以对该文件提出质疑；对采购文件提出质疑的，应当在获取采购文件或者采购文件公告期限届满之日起7个工作日内书面形式提出。投保人或潜在投标人提出质疑应当提交质疑函和必要的证明材料，且质疑函应当符合财政部《政府采购质疑和投诉办法》（财政部令第94号）第十二条第一款、第二款的要求。投标人未按规定要求提出的，则视同认可采购文件，但法律法规及规范性文件有明确规定的除外。投标人对采购人、采购机构的质疑答复不满意或者采购人、采购机构未在规定时间内作出答复的，可以在答复期满后十五个工作日内向同级政府采购监督管理部门投诉。</w:t>
      </w:r>
    </w:p>
    <w:p>
      <w:pPr>
        <w:pStyle w:val="13"/>
        <w:snapToGrid w:val="0"/>
        <w:spacing w:beforeLines="0" w:afterLines="0" w:line="360" w:lineRule="auto"/>
        <w:ind w:firstLine="420" w:firstLineChars="200"/>
        <w:rPr>
          <w:rFonts w:hAnsi="宋体" w:cs="宋体"/>
          <w:bCs/>
          <w:sz w:val="21"/>
          <w:szCs w:val="21"/>
        </w:rPr>
      </w:pPr>
      <w:r>
        <w:rPr>
          <w:rFonts w:hAnsi="宋体" w:cs="宋体"/>
          <w:bCs/>
          <w:sz w:val="21"/>
          <w:szCs w:val="21"/>
        </w:rPr>
        <w:t>2</w:t>
      </w:r>
      <w:r>
        <w:rPr>
          <w:rFonts w:hint="eastAsia" w:hAnsi="宋体" w:cs="宋体"/>
          <w:bCs/>
          <w:sz w:val="21"/>
          <w:szCs w:val="21"/>
        </w:rPr>
        <w:t>. 对于受理的质疑，采购人、采购代理机构将以书面形式或其他适当方式进行答复，并以书面形式通知质疑投标人和其他相关投标人。若采购代理机构所作的答复不引起采购文件相应条款的实质性改变，则不应视作对采购文件的修正或更正。</w:t>
      </w:r>
    </w:p>
    <w:p>
      <w:pPr>
        <w:pStyle w:val="13"/>
        <w:snapToGrid w:val="0"/>
        <w:spacing w:beforeLines="0" w:afterLines="0" w:line="360" w:lineRule="auto"/>
        <w:ind w:firstLine="420" w:firstLineChars="200"/>
        <w:rPr>
          <w:rFonts w:hAnsi="宋体" w:cs="宋体"/>
          <w:bCs/>
          <w:sz w:val="21"/>
          <w:szCs w:val="21"/>
        </w:rPr>
      </w:pPr>
      <w:r>
        <w:rPr>
          <w:rFonts w:hint="eastAsia" w:hAnsi="宋体" w:cs="宋体"/>
          <w:bCs/>
          <w:sz w:val="21"/>
          <w:szCs w:val="21"/>
        </w:rPr>
        <w:t>3、采购代理机构就采购文件提出的质疑所作出发送的答复疑文件是采购文件的组成部分，对投标人具有约束力。</w:t>
      </w:r>
    </w:p>
    <w:p>
      <w:pPr>
        <w:snapToGrid w:val="0"/>
        <w:spacing w:before="60" w:after="60" w:line="440" w:lineRule="exact"/>
        <w:ind w:firstLine="420" w:firstLineChars="200"/>
        <w:outlineLvl w:val="1"/>
        <w:rPr>
          <w:rFonts w:ascii="宋体" w:hAnsi="宋体" w:eastAsia="Times New Roman"/>
          <w:b/>
          <w:szCs w:val="21"/>
        </w:rPr>
      </w:pPr>
      <w:r>
        <w:rPr>
          <w:rFonts w:ascii="宋体" w:hAnsi="宋体" w:eastAsia="Times New Roman"/>
          <w:b/>
          <w:szCs w:val="21"/>
        </w:rPr>
        <w:t>二</w:t>
      </w:r>
      <w:r>
        <w:rPr>
          <w:rFonts w:hint="eastAsia" w:ascii="宋体" w:hAnsi="宋体" w:cs="宋体"/>
          <w:b/>
          <w:szCs w:val="21"/>
        </w:rPr>
        <w:t>、</w:t>
      </w:r>
      <w:r>
        <w:rPr>
          <w:rFonts w:hint="eastAsia" w:ascii="宋体" w:hAnsi="宋体" w:eastAsia="Times New Roman"/>
          <w:b/>
          <w:szCs w:val="21"/>
        </w:rPr>
        <w:t>招标</w:t>
      </w:r>
      <w:r>
        <w:rPr>
          <w:rFonts w:ascii="宋体" w:hAnsi="宋体" w:eastAsia="Times New Roman"/>
          <w:b/>
          <w:szCs w:val="21"/>
        </w:rPr>
        <w:t>文件</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（一）</w:t>
      </w:r>
      <w:r>
        <w:rPr>
          <w:rFonts w:hint="eastAsia" w:ascii="宋体" w:hAnsi="宋体" w:eastAsia="Times New Roman"/>
          <w:b/>
          <w:szCs w:val="21"/>
        </w:rPr>
        <w:t>招标</w:t>
      </w:r>
      <w:r>
        <w:rPr>
          <w:rFonts w:hint="eastAsia" w:ascii="宋体" w:hAnsi="宋体" w:eastAsia="Times New Roman"/>
          <w:b/>
          <w:color w:val="000000"/>
          <w:szCs w:val="21"/>
        </w:rPr>
        <w:t>文件的构成</w:t>
      </w:r>
    </w:p>
    <w:p>
      <w:pPr>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.采购</w:t>
      </w:r>
      <w:r>
        <w:rPr>
          <w:rFonts w:ascii="宋体" w:hAnsi="宋体"/>
          <w:color w:val="000000"/>
          <w:szCs w:val="21"/>
        </w:rPr>
        <w:t>公告</w:t>
      </w:r>
    </w:p>
    <w:p>
      <w:pPr>
        <w:snapToGrid w:val="0"/>
        <w:spacing w:line="44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.采购</w:t>
      </w:r>
      <w:r>
        <w:rPr>
          <w:rFonts w:ascii="宋体" w:hAnsi="宋体"/>
          <w:color w:val="000000"/>
          <w:szCs w:val="21"/>
        </w:rPr>
        <w:t>需求</w:t>
      </w:r>
    </w:p>
    <w:p>
      <w:pPr>
        <w:snapToGrid w:val="0"/>
        <w:spacing w:line="440" w:lineRule="exact"/>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投标人须知</w:t>
      </w:r>
    </w:p>
    <w:p>
      <w:pPr>
        <w:snapToGrid w:val="0"/>
        <w:spacing w:line="44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评标办法及标准</w:t>
      </w:r>
    </w:p>
    <w:p>
      <w:pPr>
        <w:snapToGrid w:val="0"/>
        <w:spacing w:line="440" w:lineRule="exact"/>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合同主要条款</w:t>
      </w:r>
    </w:p>
    <w:p>
      <w:pPr>
        <w:snapToGrid w:val="0"/>
        <w:spacing w:line="440" w:lineRule="exact"/>
        <w:ind w:firstLine="420" w:firstLineChars="200"/>
        <w:jc w:val="left"/>
        <w:rPr>
          <w:rFonts w:ascii="宋体" w:hAnsi="宋体"/>
          <w:color w:val="000000"/>
          <w:szCs w:val="21"/>
        </w:rPr>
      </w:pPr>
      <w:r>
        <w:rPr>
          <w:rFonts w:ascii="宋体" w:hAnsi="宋体"/>
          <w:color w:val="000000"/>
          <w:szCs w:val="21"/>
        </w:rPr>
        <w:t>6</w:t>
      </w:r>
      <w:r>
        <w:rPr>
          <w:rFonts w:hint="eastAsia" w:ascii="宋体" w:hAnsi="宋体"/>
          <w:color w:val="000000"/>
          <w:szCs w:val="21"/>
        </w:rPr>
        <w:t>.</w:t>
      </w:r>
      <w:r>
        <w:rPr>
          <w:rFonts w:ascii="宋体" w:hAnsi="宋体"/>
          <w:color w:val="000000"/>
          <w:szCs w:val="21"/>
        </w:rPr>
        <w:t>投标文件格式</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7.本项目</w:t>
      </w:r>
      <w:r>
        <w:rPr>
          <w:rFonts w:ascii="宋体" w:hAnsi="宋体"/>
          <w:color w:val="000000"/>
          <w:szCs w:val="21"/>
        </w:rPr>
        <w:t>招标文件</w:t>
      </w:r>
      <w:r>
        <w:rPr>
          <w:rFonts w:hint="eastAsia" w:ascii="宋体" w:hAnsi="宋体"/>
          <w:color w:val="000000"/>
          <w:szCs w:val="21"/>
        </w:rPr>
        <w:t>的</w:t>
      </w:r>
      <w:r>
        <w:rPr>
          <w:rFonts w:ascii="宋体" w:hAnsi="宋体"/>
          <w:color w:val="000000"/>
          <w:szCs w:val="21"/>
        </w:rPr>
        <w:t>澄清、答复、修改、补充的内容</w:t>
      </w:r>
      <w:r>
        <w:rPr>
          <w:rFonts w:hint="eastAsia" w:ascii="宋体" w:hAnsi="宋体"/>
          <w:color w:val="000000"/>
          <w:szCs w:val="21"/>
        </w:rPr>
        <w:t>(如有)</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（二）投标人的风险</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投标人没有按照招标文件要求提供全部资料，或者投标人没有对招标文件在各方面作出实质性响应是投标人的风险，并可能导致其投标被拒绝。</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（三）招标文件的澄清与修改</w:t>
      </w:r>
      <w:r>
        <w:rPr>
          <w:rFonts w:ascii="宋体" w:hAnsi="宋体" w:eastAsia="Times New Roman"/>
          <w:b/>
          <w:color w:val="000000"/>
          <w:szCs w:val="21"/>
        </w:rPr>
        <w:t xml:space="preserve"> </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1.采购人对招标文件进行必要的澄清或者修改的，在发布招标公告的网站上发布更正公告。澄清或者修改的内容可能影响投标文件编制的，更正公告在投标截止时间至少15日前发出；不足15日的，顺延提交投标文件截止时间。</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2.更正公告为招标文件的组成部分，一经在网站发布，视同已通知所有招标文件的收受人，不再采用其它方式传达相关信息，若因未能及时了解到上述网站上发布的相关信息而导致的一切后果自行承担。</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3.如更正公告有重新发布电子招标文件的，投标人应下载最新发布的电子招标文件制作投标文件。</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pPr>
        <w:snapToGrid w:val="0"/>
        <w:spacing w:before="60" w:after="60" w:line="440" w:lineRule="exact"/>
        <w:ind w:firstLine="420" w:firstLineChars="200"/>
        <w:outlineLvl w:val="1"/>
        <w:rPr>
          <w:rFonts w:ascii="宋体" w:hAnsi="宋体" w:eastAsia="Times New Roman"/>
          <w:b/>
          <w:szCs w:val="21"/>
        </w:rPr>
      </w:pPr>
      <w:r>
        <w:rPr>
          <w:rFonts w:hint="eastAsia" w:ascii="宋体" w:hAnsi="宋体" w:eastAsia="Times New Roman"/>
          <w:b/>
          <w:szCs w:val="21"/>
        </w:rPr>
        <w:t>三、</w:t>
      </w:r>
      <w:r>
        <w:rPr>
          <w:rFonts w:hint="eastAsia" w:ascii="宋体" w:hAnsi="宋体" w:cs="宋体"/>
          <w:b/>
          <w:szCs w:val="21"/>
        </w:rPr>
        <w:t>投标文件</w:t>
      </w:r>
      <w:r>
        <w:rPr>
          <w:rFonts w:hint="eastAsia" w:ascii="宋体" w:hAnsi="宋体" w:eastAsia="Times New Roman"/>
          <w:b/>
          <w:szCs w:val="21"/>
        </w:rPr>
        <w:t>编制</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（一）</w:t>
      </w:r>
      <w:r>
        <w:rPr>
          <w:rFonts w:hint="eastAsia" w:ascii="宋体" w:hAnsi="宋体" w:cs="宋体"/>
          <w:b/>
          <w:color w:val="000000"/>
          <w:szCs w:val="21"/>
        </w:rPr>
        <w:t>投标</w:t>
      </w:r>
      <w:r>
        <w:rPr>
          <w:rFonts w:hint="eastAsia" w:ascii="宋体" w:hAnsi="宋体" w:cs="宋体"/>
          <w:b/>
          <w:szCs w:val="21"/>
        </w:rPr>
        <w:t>文件</w:t>
      </w:r>
      <w:r>
        <w:rPr>
          <w:rFonts w:hint="eastAsia" w:ascii="宋体" w:hAnsi="宋体" w:eastAsia="Times New Roman"/>
          <w:b/>
          <w:color w:val="000000"/>
          <w:szCs w:val="21"/>
        </w:rPr>
        <w:t>组成</w:t>
      </w:r>
    </w:p>
    <w:p>
      <w:pPr>
        <w:spacing w:line="440" w:lineRule="exact"/>
        <w:ind w:firstLine="420" w:firstLineChars="200"/>
        <w:jc w:val="left"/>
        <w:rPr>
          <w:rFonts w:ascii="宋体" w:hAnsi="宋体"/>
          <w:color w:val="000000"/>
          <w:szCs w:val="21"/>
        </w:rPr>
      </w:pPr>
      <w:r>
        <w:rPr>
          <w:rFonts w:hint="eastAsia" w:ascii="宋体" w:hAnsi="宋体"/>
          <w:color w:val="000000"/>
          <w:szCs w:val="21"/>
        </w:rPr>
        <w:t>投标文件由资格审查文件和技术商务文件组成</w:t>
      </w:r>
      <w:r>
        <w:rPr>
          <w:rFonts w:hint="eastAsia"/>
          <w:b/>
        </w:rPr>
        <w:t>（</w:t>
      </w:r>
      <w:r>
        <w:rPr>
          <w:rFonts w:hint="eastAsia" w:ascii="宋体" w:hAnsi="宋体"/>
          <w:b/>
          <w:szCs w:val="21"/>
        </w:rPr>
        <w:t>按各标段分别编制</w:t>
      </w:r>
      <w:r>
        <w:rPr>
          <w:rFonts w:hint="eastAsia"/>
          <w:b/>
        </w:rPr>
        <w:t>）</w:t>
      </w:r>
      <w:r>
        <w:rPr>
          <w:rFonts w:hint="eastAsia" w:ascii="宋体" w:hAnsi="宋体"/>
          <w:color w:val="000000"/>
          <w:szCs w:val="21"/>
        </w:rPr>
        <w:t>。</w:t>
      </w:r>
    </w:p>
    <w:p>
      <w:pPr>
        <w:spacing w:line="440" w:lineRule="exact"/>
        <w:ind w:firstLine="422" w:firstLineChars="200"/>
        <w:jc w:val="left"/>
        <w:rPr>
          <w:rFonts w:ascii="宋体" w:hAnsi="宋体"/>
          <w:b/>
          <w:bCs/>
          <w:color w:val="000000"/>
          <w:szCs w:val="21"/>
        </w:rPr>
      </w:pPr>
      <w:r>
        <w:rPr>
          <w:rFonts w:hint="eastAsia" w:ascii="宋体" w:hAnsi="宋体"/>
          <w:b/>
          <w:bCs/>
          <w:color w:val="000000"/>
          <w:szCs w:val="21"/>
        </w:rPr>
        <w:t>1.资格审查文件包括以下内容：</w:t>
      </w:r>
    </w:p>
    <w:p>
      <w:pPr>
        <w:pStyle w:val="77"/>
        <w:spacing w:line="400" w:lineRule="exact"/>
      </w:pPr>
      <w:r>
        <w:rPr>
          <w:rFonts w:hint="eastAsia"/>
        </w:rPr>
        <w:t>★（1）资格证明材料承诺函（格式见第五章 投标文件格式）；</w:t>
      </w:r>
    </w:p>
    <w:p>
      <w:pPr>
        <w:pStyle w:val="77"/>
        <w:spacing w:line="400" w:lineRule="exact"/>
      </w:pPr>
      <w:r>
        <w:rPr>
          <w:rFonts w:hint="eastAsia"/>
        </w:rPr>
        <w:t>★（2）工商部门注册的有效营业执照(供应商为企业、个体工商户时提供)或有效的事业单位法人证书（供应商为事业单位时提供）或有效的执业许可证（供应商为非企业专业服务机构时提供，如律师事务所）或有效的自然人身份证明（供应商为自然人时提供）复印件；</w:t>
      </w:r>
    </w:p>
    <w:p>
      <w:pPr>
        <w:pStyle w:val="77"/>
        <w:spacing w:line="400" w:lineRule="exact"/>
      </w:pPr>
      <w:r>
        <w:rPr>
          <w:rFonts w:hint="eastAsia"/>
        </w:rPr>
        <w:t>★（3）</w:t>
      </w:r>
      <w:r>
        <w:rPr>
          <w:rFonts w:hint="eastAsia" w:cs="Arial"/>
          <w:bCs/>
          <w:kern w:val="0"/>
        </w:rPr>
        <w:t>工程造价咨询甲级资质证书复印件；</w:t>
      </w:r>
    </w:p>
    <w:p>
      <w:pPr>
        <w:pStyle w:val="77"/>
        <w:spacing w:line="400" w:lineRule="exact"/>
        <w:rPr>
          <w:rFonts w:cs="Arial"/>
          <w:bCs/>
          <w:kern w:val="0"/>
        </w:rPr>
      </w:pPr>
      <w:r>
        <w:rPr>
          <w:rFonts w:hint="eastAsia"/>
        </w:rPr>
        <w:t>★（4）</w:t>
      </w:r>
      <w:r>
        <w:rPr>
          <w:rFonts w:hint="eastAsia" w:cs="Arial"/>
          <w:bCs/>
          <w:kern w:val="0"/>
        </w:rPr>
        <w:t>经浙江省造价管理部门2018年度工程造价咨询企业定期检查合格证明材料；</w:t>
      </w:r>
    </w:p>
    <w:p>
      <w:pPr>
        <w:pStyle w:val="77"/>
        <w:spacing w:line="400" w:lineRule="exact"/>
        <w:rPr>
          <w:rFonts w:cs="Arial"/>
          <w:bCs/>
          <w:kern w:val="0"/>
        </w:rPr>
      </w:pPr>
      <w:r>
        <w:rPr>
          <w:rFonts w:hint="eastAsia"/>
        </w:rPr>
        <w:t>★（5）</w:t>
      </w:r>
      <w:r>
        <w:rPr>
          <w:rFonts w:hint="eastAsia" w:cs="Arial"/>
          <w:bCs/>
          <w:kern w:val="0"/>
        </w:rPr>
        <w:t>投标人拟派项目负责人国家注册造价工程师执业资格证书；</w:t>
      </w:r>
    </w:p>
    <w:p>
      <w:pPr>
        <w:pStyle w:val="77"/>
        <w:spacing w:line="400" w:lineRule="exact"/>
        <w:rPr>
          <w:rFonts w:hint="eastAsia" w:eastAsia="宋体" w:cs="Arial"/>
          <w:bCs/>
          <w:kern w:val="0"/>
          <w:lang w:eastAsia="zh-CN"/>
        </w:rPr>
      </w:pPr>
      <w:r>
        <w:rPr>
          <w:rFonts w:hint="eastAsia"/>
        </w:rPr>
        <w:t>★（6）投标人基本账户开户许可证复印件（可用基本存款账户信息代替基本账户开户许可证）</w:t>
      </w:r>
      <w:r>
        <w:rPr>
          <w:rFonts w:hint="eastAsia"/>
          <w:lang w:eastAsia="zh-CN"/>
        </w:rPr>
        <w:t>。</w:t>
      </w:r>
    </w:p>
    <w:p>
      <w:pPr>
        <w:spacing w:line="440" w:lineRule="exact"/>
        <w:ind w:firstLine="422" w:firstLineChars="200"/>
        <w:jc w:val="left"/>
        <w:rPr>
          <w:rFonts w:ascii="宋体" w:hAnsi="宋体"/>
          <w:b/>
          <w:bCs/>
          <w:color w:val="000000"/>
          <w:szCs w:val="21"/>
        </w:rPr>
      </w:pPr>
      <w:r>
        <w:rPr>
          <w:rFonts w:hint="eastAsia" w:ascii="宋体" w:hAnsi="宋体"/>
          <w:b/>
          <w:bCs/>
          <w:color w:val="000000"/>
          <w:szCs w:val="21"/>
        </w:rPr>
        <w:t>2.技术商务文件包括以下内容：</w:t>
      </w:r>
    </w:p>
    <w:p>
      <w:pPr>
        <w:spacing w:line="440" w:lineRule="exact"/>
        <w:ind w:firstLine="420" w:firstLineChars="200"/>
        <w:jc w:val="left"/>
        <w:rPr>
          <w:rFonts w:ascii="宋体" w:hAnsi="宋体"/>
          <w:szCs w:val="21"/>
        </w:rPr>
      </w:pPr>
      <w:r>
        <w:rPr>
          <w:rFonts w:hint="eastAsia" w:ascii="宋体" w:hAnsi="宋体"/>
          <w:color w:val="000000"/>
          <w:szCs w:val="21"/>
        </w:rPr>
        <w:t>（1）</w:t>
      </w:r>
      <w:r>
        <w:rPr>
          <w:rFonts w:hint="eastAsia" w:ascii="宋体" w:hAnsi="宋体"/>
          <w:szCs w:val="21"/>
        </w:rPr>
        <w:t>投标函（</w:t>
      </w:r>
      <w:r>
        <w:rPr>
          <w:rFonts w:hint="eastAsia"/>
        </w:rPr>
        <w:t>格式见第五章 投标文件格式）；</w:t>
      </w:r>
    </w:p>
    <w:p>
      <w:pPr>
        <w:spacing w:line="440" w:lineRule="exact"/>
        <w:ind w:firstLine="420" w:firstLineChars="200"/>
        <w:jc w:val="left"/>
        <w:rPr>
          <w:rFonts w:ascii="宋体" w:hAnsi="宋体"/>
          <w:szCs w:val="21"/>
        </w:rPr>
      </w:pPr>
      <w:r>
        <w:rPr>
          <w:rFonts w:hint="eastAsia" w:ascii="宋体" w:hAnsi="宋体"/>
          <w:color w:val="000000"/>
          <w:szCs w:val="21"/>
        </w:rPr>
        <w:t>（2）</w:t>
      </w:r>
      <w:r>
        <w:rPr>
          <w:rFonts w:hint="eastAsia" w:ascii="宋体" w:hAnsi="宋体"/>
          <w:szCs w:val="21"/>
        </w:rPr>
        <w:t>投标函附录（</w:t>
      </w:r>
      <w:r>
        <w:rPr>
          <w:rFonts w:hint="eastAsia"/>
        </w:rPr>
        <w:t>格式见第五章 投标文件格式）；</w:t>
      </w:r>
    </w:p>
    <w:p>
      <w:pPr>
        <w:spacing w:line="440" w:lineRule="exact"/>
        <w:ind w:firstLine="420" w:firstLineChars="200"/>
        <w:jc w:val="left"/>
        <w:rPr>
          <w:rFonts w:ascii="宋体" w:hAnsi="宋体"/>
          <w:szCs w:val="21"/>
        </w:rPr>
      </w:pPr>
      <w:r>
        <w:rPr>
          <w:rFonts w:hint="eastAsia" w:ascii="宋体" w:hAnsi="宋体"/>
          <w:color w:val="000000"/>
          <w:szCs w:val="21"/>
        </w:rPr>
        <w:t>（3）</w:t>
      </w:r>
      <w:r>
        <w:rPr>
          <w:rFonts w:hint="eastAsia" w:ascii="宋体" w:hAnsi="宋体"/>
          <w:szCs w:val="21"/>
        </w:rPr>
        <w:t>开标一览表（</w:t>
      </w:r>
      <w:r>
        <w:rPr>
          <w:rFonts w:hint="eastAsia"/>
        </w:rPr>
        <w:t>格式见第五章 投标文件格式）；</w:t>
      </w:r>
    </w:p>
    <w:p>
      <w:pPr>
        <w:spacing w:line="440" w:lineRule="exact"/>
        <w:ind w:firstLine="420" w:firstLineChars="200"/>
        <w:jc w:val="left"/>
        <w:rPr>
          <w:rFonts w:ascii="宋体" w:hAnsi="宋体"/>
          <w:szCs w:val="21"/>
        </w:rPr>
      </w:pPr>
      <w:r>
        <w:rPr>
          <w:rFonts w:hint="eastAsia" w:ascii="宋体" w:hAnsi="宋体"/>
          <w:szCs w:val="21"/>
        </w:rPr>
        <w:t>（4）法定代表人身份证明书或法定代表人授权委托书(格式见第五章 投标文件格式)；</w:t>
      </w:r>
    </w:p>
    <w:p>
      <w:pPr>
        <w:spacing w:line="440" w:lineRule="exact"/>
        <w:ind w:firstLine="420" w:firstLineChars="200"/>
        <w:jc w:val="left"/>
        <w:rPr>
          <w:rFonts w:ascii="宋体" w:hAnsi="宋体"/>
          <w:szCs w:val="21"/>
        </w:rPr>
      </w:pPr>
      <w:r>
        <w:rPr>
          <w:rFonts w:hint="eastAsia" w:ascii="宋体" w:hAnsi="宋体"/>
          <w:szCs w:val="21"/>
        </w:rPr>
        <w:t>（5）投标人自评得分（实施方案、价格分除外）（</w:t>
      </w:r>
      <w:r>
        <w:rPr>
          <w:rFonts w:hint="eastAsia"/>
        </w:rPr>
        <w:t>格式见第五章 投标文件格式）</w:t>
      </w:r>
      <w:r>
        <w:rPr>
          <w:rFonts w:hint="eastAsia" w:ascii="宋体" w:hAnsi="宋体"/>
          <w:szCs w:val="21"/>
        </w:rPr>
        <w:t>；</w:t>
      </w:r>
    </w:p>
    <w:p>
      <w:pPr>
        <w:spacing w:line="440" w:lineRule="exact"/>
        <w:ind w:firstLine="420" w:firstLineChars="200"/>
        <w:jc w:val="left"/>
        <w:rPr>
          <w:rFonts w:ascii="宋体" w:hAnsi="宋体"/>
          <w:szCs w:val="21"/>
        </w:rPr>
      </w:pPr>
      <w:r>
        <w:rPr>
          <w:rFonts w:hint="eastAsia" w:ascii="宋体" w:hAnsi="宋体"/>
          <w:szCs w:val="21"/>
        </w:rPr>
        <w:t>（6）实施方案（格式自拟）；</w:t>
      </w:r>
    </w:p>
    <w:p>
      <w:pPr>
        <w:spacing w:line="440" w:lineRule="exact"/>
        <w:ind w:firstLine="420" w:firstLineChars="200"/>
        <w:jc w:val="left"/>
        <w:rPr>
          <w:rFonts w:ascii="宋体" w:hAnsi="宋体"/>
          <w:szCs w:val="21"/>
        </w:rPr>
      </w:pPr>
      <w:r>
        <w:rPr>
          <w:rFonts w:hint="eastAsia" w:ascii="宋体" w:hAnsi="宋体"/>
          <w:szCs w:val="21"/>
        </w:rPr>
        <w:t>（7）政府投资项目概算或预算的编制或审核服务项目汇总表（</w:t>
      </w:r>
      <w:r>
        <w:rPr>
          <w:rFonts w:hint="eastAsia"/>
        </w:rPr>
        <w:t>格式见第五章 投标文件格式）；</w:t>
      </w:r>
    </w:p>
    <w:p>
      <w:pPr>
        <w:spacing w:line="440" w:lineRule="exact"/>
        <w:ind w:firstLine="420" w:firstLineChars="200"/>
        <w:jc w:val="left"/>
        <w:rPr>
          <w:rFonts w:ascii="宋体" w:hAnsi="宋体"/>
          <w:szCs w:val="21"/>
        </w:rPr>
      </w:pPr>
      <w:r>
        <w:rPr>
          <w:rFonts w:hint="eastAsia" w:ascii="宋体" w:hAnsi="宋体"/>
          <w:szCs w:val="21"/>
        </w:rPr>
        <w:t>（8）政府投资项目同时包含概算审核及设计优化内容服务项目汇总表（</w:t>
      </w:r>
      <w:r>
        <w:rPr>
          <w:rFonts w:hint="eastAsia"/>
        </w:rPr>
        <w:t>格式见第五章 投标文件格式）；</w:t>
      </w:r>
    </w:p>
    <w:p>
      <w:pPr>
        <w:spacing w:line="440" w:lineRule="exact"/>
        <w:ind w:firstLine="420" w:firstLineChars="200"/>
        <w:jc w:val="left"/>
        <w:rPr>
          <w:rFonts w:ascii="宋体" w:hAnsi="宋体"/>
          <w:szCs w:val="21"/>
        </w:rPr>
      </w:pPr>
      <w:r>
        <w:rPr>
          <w:rFonts w:hint="eastAsia" w:ascii="宋体" w:hAnsi="宋体"/>
          <w:szCs w:val="21"/>
        </w:rPr>
        <w:t>（9）公司团队人员组成表（</w:t>
      </w:r>
      <w:r>
        <w:rPr>
          <w:rFonts w:hint="eastAsia"/>
        </w:rPr>
        <w:t>格式见第五章 投标文件格式）；</w:t>
      </w:r>
    </w:p>
    <w:p>
      <w:pPr>
        <w:spacing w:line="440" w:lineRule="exact"/>
        <w:ind w:firstLine="422" w:firstLineChars="200"/>
        <w:jc w:val="left"/>
        <w:rPr>
          <w:rFonts w:ascii="宋体" w:hAnsi="宋体"/>
          <w:b/>
          <w:bCs/>
          <w:szCs w:val="21"/>
        </w:rPr>
      </w:pPr>
      <w:r>
        <w:rPr>
          <w:rFonts w:hint="eastAsia" w:ascii="宋体" w:hAnsi="宋体"/>
          <w:b/>
          <w:bCs/>
          <w:szCs w:val="21"/>
        </w:rPr>
        <w:t>（10）评分标准中要求提供的相关证明材料；</w:t>
      </w:r>
    </w:p>
    <w:p>
      <w:pPr>
        <w:spacing w:line="440" w:lineRule="exact"/>
        <w:ind w:firstLine="420" w:firstLineChars="200"/>
        <w:jc w:val="left"/>
        <w:rPr>
          <w:rFonts w:ascii="宋体" w:hAnsi="宋体"/>
          <w:szCs w:val="21"/>
        </w:rPr>
      </w:pPr>
      <w:r>
        <w:rPr>
          <w:rFonts w:hint="eastAsia" w:ascii="宋体" w:hAnsi="宋体"/>
          <w:szCs w:val="21"/>
        </w:rPr>
        <w:t>（11）投标人认为有必要编入的其他材料。</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（二）投标文件的语言及计量</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投标计量单位，招标文件已有明确规定的，使用招标文件规定的计量单位；招标文件没有规定的，应采用中华人民共和国法定计量单位（货币单位：人民币元），否则视同未响应。</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（三）投标报价</w:t>
      </w:r>
    </w:p>
    <w:p>
      <w:pPr>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投标报价应按招标文件中相关附表格式填写。</w:t>
      </w:r>
    </w:p>
    <w:p>
      <w:pPr>
        <w:pStyle w:val="13"/>
        <w:snapToGrid w:val="0"/>
        <w:spacing w:beforeLines="0" w:afterLines="0" w:line="440" w:lineRule="exact"/>
        <w:ind w:firstLine="420" w:firstLineChars="200"/>
        <w:jc w:val="left"/>
        <w:rPr>
          <w:rFonts w:hAnsi="宋体"/>
          <w:color w:val="000000"/>
          <w:sz w:val="21"/>
          <w:szCs w:val="21"/>
          <w:highlight w:val="yellow"/>
        </w:rPr>
      </w:pPr>
      <w:r>
        <w:rPr>
          <w:rFonts w:hAnsi="宋体"/>
          <w:color w:val="000000"/>
          <w:sz w:val="21"/>
          <w:szCs w:val="21"/>
        </w:rPr>
        <w:t>★2</w:t>
      </w:r>
      <w:r>
        <w:rPr>
          <w:rFonts w:hint="eastAsia" w:hAnsi="宋体"/>
          <w:color w:val="000000"/>
          <w:sz w:val="21"/>
          <w:szCs w:val="21"/>
        </w:rPr>
        <w:t>.投标报价是履行合同的最终价格。</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ascii="宋体" w:hAnsi="宋体"/>
          <w:color w:val="000000"/>
          <w:szCs w:val="21"/>
        </w:rPr>
        <w:t>投标文件只允许有一个报价，有选择的</w:t>
      </w:r>
      <w:r>
        <w:rPr>
          <w:rFonts w:hint="eastAsia" w:ascii="宋体" w:hAnsi="宋体"/>
          <w:color w:val="000000"/>
          <w:szCs w:val="21"/>
        </w:rPr>
        <w:t>或有条件的</w:t>
      </w:r>
      <w:r>
        <w:rPr>
          <w:rFonts w:ascii="宋体" w:hAnsi="宋体"/>
          <w:color w:val="000000"/>
          <w:szCs w:val="21"/>
        </w:rPr>
        <w:t>报价将不予接受。</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（四）投标文件的有效期</w:t>
      </w:r>
    </w:p>
    <w:p>
      <w:pPr>
        <w:snapToGrid w:val="0"/>
        <w:spacing w:line="440" w:lineRule="exact"/>
        <w:ind w:firstLine="420" w:firstLineChars="200"/>
        <w:jc w:val="left"/>
        <w:rPr>
          <w:rFonts w:ascii="宋体" w:hAnsi="宋体"/>
          <w:color w:val="000000"/>
          <w:szCs w:val="21"/>
        </w:rPr>
      </w:pPr>
      <w:r>
        <w:rPr>
          <w:rFonts w:hint="eastAsia" w:ascii="宋体" w:hAnsi="宋体"/>
          <w:color w:val="000000"/>
        </w:rPr>
        <w:t>★</w:t>
      </w:r>
      <w:r>
        <w:rPr>
          <w:rFonts w:ascii="宋体" w:hAnsi="宋体"/>
          <w:color w:val="000000"/>
          <w:szCs w:val="21"/>
        </w:rPr>
        <w:t>1</w:t>
      </w:r>
      <w:r>
        <w:rPr>
          <w:rFonts w:hint="eastAsia" w:ascii="宋体" w:hAnsi="宋体"/>
          <w:color w:val="000000"/>
          <w:szCs w:val="21"/>
        </w:rPr>
        <w:t>.</w:t>
      </w:r>
      <w:r>
        <w:rPr>
          <w:rFonts w:ascii="宋体" w:hAnsi="宋体"/>
          <w:color w:val="000000"/>
          <w:szCs w:val="21"/>
        </w:rPr>
        <w:t>自投标截止日起</w:t>
      </w:r>
      <w:r>
        <w:rPr>
          <w:rFonts w:ascii="宋体" w:hAnsi="宋体"/>
          <w:color w:val="000000"/>
          <w:szCs w:val="21"/>
          <w:u w:val="single"/>
        </w:rPr>
        <w:t xml:space="preserve">   </w:t>
      </w:r>
      <w:r>
        <w:rPr>
          <w:rFonts w:hint="eastAsia" w:ascii="宋体" w:hAnsi="宋体"/>
          <w:color w:val="000000"/>
          <w:szCs w:val="21"/>
          <w:u w:val="single"/>
        </w:rPr>
        <w:t>60</w:t>
      </w:r>
      <w:r>
        <w:rPr>
          <w:rFonts w:ascii="宋体" w:hAnsi="宋体"/>
          <w:color w:val="000000"/>
          <w:szCs w:val="21"/>
          <w:u w:val="single"/>
        </w:rPr>
        <w:t xml:space="preserve">   </w:t>
      </w:r>
      <w:r>
        <w:rPr>
          <w:rFonts w:ascii="宋体" w:hAnsi="宋体"/>
          <w:color w:val="000000"/>
          <w:szCs w:val="21"/>
        </w:rPr>
        <w:t>天投标</w:t>
      </w:r>
      <w:r>
        <w:rPr>
          <w:rFonts w:hint="eastAsia" w:ascii="宋体" w:hAnsi="宋体"/>
          <w:color w:val="000000"/>
          <w:szCs w:val="21"/>
        </w:rPr>
        <w:t>文件</w:t>
      </w:r>
      <w:r>
        <w:rPr>
          <w:rFonts w:ascii="宋体" w:hAnsi="宋体"/>
          <w:color w:val="000000"/>
          <w:szCs w:val="21"/>
        </w:rPr>
        <w:t>应保持有效。有效期</w:t>
      </w:r>
      <w:r>
        <w:rPr>
          <w:rFonts w:hint="eastAsia" w:ascii="宋体" w:hAnsi="宋体"/>
          <w:color w:val="000000"/>
          <w:szCs w:val="21"/>
        </w:rPr>
        <w:t>不足</w:t>
      </w:r>
      <w:r>
        <w:rPr>
          <w:rFonts w:ascii="宋体" w:hAnsi="宋体"/>
          <w:color w:val="000000"/>
          <w:szCs w:val="21"/>
        </w:rPr>
        <w:t>的投标</w:t>
      </w:r>
      <w:r>
        <w:rPr>
          <w:rFonts w:hint="eastAsia" w:ascii="宋体" w:hAnsi="宋体"/>
          <w:color w:val="000000"/>
          <w:szCs w:val="21"/>
        </w:rPr>
        <w:t>文件</w:t>
      </w:r>
      <w:r>
        <w:rPr>
          <w:rFonts w:ascii="宋体" w:hAnsi="宋体"/>
          <w:color w:val="000000"/>
          <w:szCs w:val="21"/>
        </w:rPr>
        <w:t>将被拒绝。</w:t>
      </w:r>
    </w:p>
    <w:p>
      <w:pPr>
        <w:snapToGrid w:val="0"/>
        <w:spacing w:line="44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在特殊情况下，招标人可与投标人协商延长投标书的有效期，这种要求和答复均以书面形式进行。</w:t>
      </w:r>
    </w:p>
    <w:p>
      <w:pPr>
        <w:snapToGrid w:val="0"/>
        <w:spacing w:line="440" w:lineRule="exact"/>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投标人可拒绝接受延期要求。同意延长有效期的投标人不能修改投标文件。</w:t>
      </w:r>
    </w:p>
    <w:p>
      <w:pPr>
        <w:snapToGrid w:val="0"/>
        <w:spacing w:line="44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中标人的投标文件自开标之日起至合同履行完毕止均应保持有效。</w:t>
      </w:r>
    </w:p>
    <w:p>
      <w:pPr>
        <w:snapToGrid w:val="0"/>
        <w:spacing w:line="440" w:lineRule="exact"/>
        <w:ind w:firstLine="420" w:firstLineChars="200"/>
        <w:jc w:val="left"/>
        <w:outlineLvl w:val="2"/>
        <w:rPr>
          <w:rFonts w:hint="eastAsia" w:ascii="宋体" w:hAnsi="宋体" w:eastAsia="宋体"/>
          <w:color w:val="000000"/>
          <w:szCs w:val="21"/>
          <w:lang w:eastAsia="zh-CN"/>
        </w:rPr>
      </w:pPr>
      <w:r>
        <w:rPr>
          <w:rFonts w:hint="eastAsia" w:ascii="宋体" w:hAnsi="宋体" w:eastAsia="Times New Roman"/>
          <w:b/>
          <w:color w:val="000000"/>
          <w:szCs w:val="21"/>
        </w:rPr>
        <w:t>（五）投标保证金</w:t>
      </w:r>
      <w:r>
        <w:rPr>
          <w:rFonts w:hint="eastAsia" w:ascii="宋体" w:hAnsi="宋体"/>
          <w:b/>
          <w:color w:val="000000"/>
          <w:szCs w:val="21"/>
          <w:lang w:eastAsia="zh-CN"/>
        </w:rPr>
        <w:t>：本项目不收取投标保证金。</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（六）投标文件的签署和份数</w:t>
      </w:r>
    </w:p>
    <w:p>
      <w:pPr>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投标人应</w:t>
      </w:r>
      <w:r>
        <w:rPr>
          <w:rFonts w:hint="eastAsia" w:ascii="宋体" w:hAnsi="宋体"/>
          <w:color w:val="000000"/>
          <w:szCs w:val="21"/>
        </w:rPr>
        <w:t>按</w:t>
      </w:r>
      <w:r>
        <w:rPr>
          <w:rFonts w:ascii="宋体" w:hAnsi="宋体"/>
          <w:color w:val="000000"/>
          <w:szCs w:val="21"/>
        </w:rPr>
        <w:t>本招标文件规定的格式和顺序编制、装订投标文件</w:t>
      </w:r>
      <w:r>
        <w:rPr>
          <w:rFonts w:hint="eastAsia" w:ascii="宋体" w:hAnsi="宋体"/>
          <w:color w:val="000000"/>
          <w:szCs w:val="21"/>
        </w:rPr>
        <w:t>并标注页码</w:t>
      </w:r>
      <w:r>
        <w:rPr>
          <w:rFonts w:ascii="宋体" w:hAnsi="宋体"/>
          <w:color w:val="000000"/>
          <w:szCs w:val="21"/>
        </w:rPr>
        <w:t>，投标文件内容不完整、编排混乱导致投标文件被误读、漏读或者查找不到相关内容的，是投标人的责任。</w:t>
      </w:r>
    </w:p>
    <w:p>
      <w:pPr>
        <w:snapToGrid w:val="0"/>
        <w:spacing w:line="440" w:lineRule="exact"/>
        <w:ind w:firstLine="420" w:firstLineChars="200"/>
        <w:jc w:val="left"/>
        <w:rPr>
          <w:rFonts w:ascii="宋体" w:hAnsi="宋体"/>
          <w:color w:val="000000"/>
          <w:szCs w:val="21"/>
          <w:highlight w:val="yellow"/>
        </w:rPr>
      </w:pPr>
      <w:r>
        <w:rPr>
          <w:rFonts w:ascii="宋体" w:hAnsi="宋体"/>
          <w:color w:val="000000"/>
          <w:szCs w:val="21"/>
        </w:rPr>
        <w:t>2</w:t>
      </w:r>
      <w:r>
        <w:rPr>
          <w:rFonts w:hint="eastAsia" w:ascii="宋体" w:hAnsi="宋体"/>
          <w:color w:val="000000"/>
          <w:szCs w:val="21"/>
        </w:rPr>
        <w:t>.</w:t>
      </w:r>
      <w:r>
        <w:rPr>
          <w:rFonts w:ascii="宋体" w:hAnsi="宋体"/>
          <w:color w:val="000000"/>
          <w:szCs w:val="21"/>
        </w:rPr>
        <w:t>投标人应</w:t>
      </w:r>
      <w:r>
        <w:rPr>
          <w:rFonts w:hint="eastAsia" w:ascii="宋体" w:hAnsi="宋体"/>
          <w:color w:val="000000"/>
          <w:szCs w:val="21"/>
        </w:rPr>
        <w:t>将资格审查文件、技术商务文件正本各1份，副本各4份分别编制并单独装订成册，投标文件封面应注明“正本”、“副本”字样。</w:t>
      </w:r>
      <w:r>
        <w:rPr>
          <w:rFonts w:hint="eastAsia" w:ascii="宋体" w:hAnsi="宋体"/>
          <w:b/>
          <w:color w:val="000000"/>
          <w:szCs w:val="21"/>
        </w:rPr>
        <w:t>活页装订（活页装订是指用卡条、抽杆夹、订书机等形式装订，使投标文件可以拆卸或者翻动过程中易脱落的一种装订方式）的投标文件无效。</w:t>
      </w:r>
    </w:p>
    <w:p>
      <w:pPr>
        <w:snapToGrid w:val="0"/>
        <w:spacing w:line="440" w:lineRule="exact"/>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投标文件的正本需打印或用不褪色的墨水填写，投标文件正本除本</w:t>
      </w:r>
      <w:r>
        <w:rPr>
          <w:rFonts w:hint="eastAsia" w:ascii="宋体" w:hAnsi="宋体"/>
          <w:color w:val="000000"/>
          <w:szCs w:val="21"/>
        </w:rPr>
        <w:t>投标文件</w:t>
      </w:r>
      <w:r>
        <w:rPr>
          <w:rFonts w:ascii="宋体" w:hAnsi="宋体"/>
          <w:color w:val="000000"/>
          <w:szCs w:val="21"/>
        </w:rPr>
        <w:t>中规定可提供复印件外均须提供原件。副本</w:t>
      </w:r>
      <w:r>
        <w:rPr>
          <w:rFonts w:hint="eastAsia" w:ascii="宋体" w:hAnsi="宋体"/>
          <w:color w:val="000000"/>
          <w:szCs w:val="21"/>
        </w:rPr>
        <w:t>可</w:t>
      </w:r>
      <w:r>
        <w:rPr>
          <w:rFonts w:ascii="宋体" w:hAnsi="宋体"/>
          <w:color w:val="000000"/>
          <w:szCs w:val="21"/>
        </w:rPr>
        <w:t>为正本的复印件。</w:t>
      </w:r>
    </w:p>
    <w:p>
      <w:pPr>
        <w:snapToGrid w:val="0"/>
        <w:spacing w:line="44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投标文件须由投标人在规定位置盖章并由</w:t>
      </w:r>
      <w:r>
        <w:rPr>
          <w:rFonts w:hint="eastAsia" w:ascii="宋体" w:hAnsi="宋体"/>
          <w:color w:val="000000"/>
          <w:szCs w:val="21"/>
        </w:rPr>
        <w:t>法定代表人</w:t>
      </w:r>
      <w:r>
        <w:rPr>
          <w:rFonts w:ascii="宋体" w:hAnsi="宋体"/>
          <w:color w:val="000000"/>
          <w:szCs w:val="21"/>
        </w:rPr>
        <w:t>或授权</w:t>
      </w:r>
      <w:r>
        <w:rPr>
          <w:rFonts w:hint="eastAsia" w:ascii="宋体" w:hAnsi="宋体"/>
          <w:color w:val="000000"/>
          <w:szCs w:val="21"/>
        </w:rPr>
        <w:t>委托</w:t>
      </w:r>
      <w:r>
        <w:rPr>
          <w:rFonts w:ascii="宋体" w:hAnsi="宋体"/>
          <w:color w:val="000000"/>
          <w:szCs w:val="21"/>
        </w:rPr>
        <w:t>人签署，投标人应写全称。</w:t>
      </w:r>
    </w:p>
    <w:p>
      <w:pPr>
        <w:snapToGrid w:val="0"/>
        <w:spacing w:line="440" w:lineRule="exact"/>
        <w:ind w:firstLine="420" w:firstLineChars="200"/>
        <w:jc w:val="left"/>
        <w:rPr>
          <w:rFonts w:ascii="宋体" w:hAnsi="宋体"/>
          <w:color w:val="000000"/>
          <w:szCs w:val="21"/>
        </w:rPr>
      </w:pPr>
      <w:r>
        <w:rPr>
          <w:rFonts w:ascii="宋体" w:hAnsi="宋体"/>
          <w:color w:val="000000"/>
          <w:szCs w:val="21"/>
        </w:rPr>
        <w:t>5</w:t>
      </w:r>
      <w:r>
        <w:rPr>
          <w:rFonts w:hint="eastAsia" w:ascii="宋体" w:hAnsi="宋体"/>
          <w:color w:val="000000"/>
          <w:szCs w:val="21"/>
        </w:rPr>
        <w:t>.</w:t>
      </w:r>
      <w:r>
        <w:rPr>
          <w:rFonts w:ascii="宋体" w:hAnsi="宋体"/>
          <w:color w:val="000000"/>
          <w:szCs w:val="21"/>
        </w:rPr>
        <w:t>投标文件不得涂改，若有修改错漏处，须加盖单位公章或者</w:t>
      </w:r>
      <w:r>
        <w:rPr>
          <w:rFonts w:hint="eastAsia" w:ascii="宋体" w:hAnsi="宋体"/>
          <w:color w:val="000000"/>
          <w:szCs w:val="21"/>
        </w:rPr>
        <w:t>法定代表人</w:t>
      </w:r>
      <w:r>
        <w:rPr>
          <w:rFonts w:ascii="宋体" w:hAnsi="宋体"/>
          <w:color w:val="000000"/>
          <w:szCs w:val="21"/>
        </w:rPr>
        <w:t>或授权委托人签字或盖章。投标文件因字迹潦草或表达不清所引起的后果由投标人负责。</w:t>
      </w:r>
    </w:p>
    <w:p>
      <w:pPr>
        <w:snapToGrid w:val="0"/>
        <w:spacing w:line="440" w:lineRule="exact"/>
        <w:ind w:firstLine="420" w:firstLineChars="200"/>
        <w:jc w:val="left"/>
        <w:rPr>
          <w:rFonts w:ascii="宋体" w:hAnsi="宋体"/>
          <w:bCs/>
          <w:color w:val="000000"/>
          <w:szCs w:val="21"/>
        </w:rPr>
      </w:pPr>
      <w:r>
        <w:rPr>
          <w:rFonts w:hint="eastAsia" w:ascii="宋体" w:hAnsi="宋体"/>
          <w:bCs/>
          <w:color w:val="000000"/>
          <w:szCs w:val="21"/>
        </w:rPr>
        <w:t>6.不同</w:t>
      </w:r>
      <w:r>
        <w:rPr>
          <w:rFonts w:hint="eastAsia" w:ascii="宋体" w:hAnsi="宋体" w:cs="Arial"/>
          <w:color w:val="000000"/>
          <w:kern w:val="0"/>
          <w:szCs w:val="21"/>
        </w:rPr>
        <w:t>标段</w:t>
      </w:r>
      <w:r>
        <w:rPr>
          <w:rFonts w:hint="eastAsia" w:ascii="宋体" w:hAnsi="宋体"/>
          <w:bCs/>
          <w:color w:val="000000"/>
          <w:szCs w:val="21"/>
        </w:rPr>
        <w:t>的投标文件应分别编制。</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（七）投标文件的包装、递交、修改和撤回</w:t>
      </w:r>
    </w:p>
    <w:p>
      <w:pPr>
        <w:snapToGrid w:val="0"/>
        <w:spacing w:line="440" w:lineRule="exact"/>
        <w:ind w:firstLine="420" w:firstLineChars="200"/>
        <w:jc w:val="left"/>
        <w:rPr>
          <w:rFonts w:ascii="宋体" w:hAnsi="宋体"/>
          <w:b/>
          <w:color w:val="000000"/>
          <w:szCs w:val="21"/>
        </w:rPr>
      </w:pPr>
      <w:r>
        <w:rPr>
          <w:rFonts w:hint="eastAsia" w:ascii="宋体" w:hAnsi="宋体"/>
          <w:color w:val="000000"/>
          <w:szCs w:val="21"/>
        </w:rPr>
        <w:t>1.投标人应将投标文件密封包装，投标文件包装封面上应注明投标人名称、投标人地址、投标文件名称（资格审查文件/技术商务文件）、投标项目名称、项目编号、标段号及“开标时启封”字样，并加盖投标人公章。</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2.未按规定密封或标记的投标文件将被拒绝，由此造成投标文件被误投或提前拆封的风险由投标人承担。</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3.投标人在投标截止时间之前，可以对已提交的投标文件进行修改或撤回，并书面通知采购人或采购代理机构；投标截止时间后，投标人不得撤回、修改投标文件。修改后重新递交的投标文件应当按本招标文件的要求签署、盖章和密封。</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4.不同</w:t>
      </w:r>
      <w:r>
        <w:rPr>
          <w:rFonts w:hint="eastAsia" w:ascii="宋体" w:hAnsi="宋体" w:cs="Arial"/>
          <w:color w:val="000000"/>
          <w:kern w:val="0"/>
          <w:szCs w:val="21"/>
        </w:rPr>
        <w:t>标段</w:t>
      </w:r>
      <w:r>
        <w:rPr>
          <w:rFonts w:hint="eastAsia" w:ascii="宋体" w:hAnsi="宋体"/>
          <w:color w:val="000000"/>
          <w:szCs w:val="21"/>
        </w:rPr>
        <w:t>的投标文件应分别包装。</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（八）投标无效的情形</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20" w:firstLineChars="200"/>
        <w:jc w:val="left"/>
        <w:rPr>
          <w:rFonts w:ascii="宋体" w:hAnsi="宋体"/>
          <w:color w:val="000000"/>
          <w:szCs w:val="21"/>
        </w:rPr>
      </w:pPr>
      <w:r>
        <w:rPr>
          <w:rFonts w:ascii="宋体" w:hAnsi="宋体"/>
          <w:color w:val="000000"/>
          <w:szCs w:val="21"/>
        </w:rPr>
        <w:t>评审时如发现下列情形之一的，投标文件将被视为无效：</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未按照招标文件的要求密封、签署、盖章的；</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不具备招标文件中规定资格要求的；</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投标文件载明的招标项目完成期限超过招标文件规定的期限；</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带“</w:t>
      </w:r>
      <w:r>
        <w:rPr>
          <w:rFonts w:hint="eastAsia" w:ascii="宋体" w:hAnsi="宋体"/>
        </w:rPr>
        <w:t>★</w:t>
      </w:r>
      <w:r>
        <w:rPr>
          <w:rFonts w:hint="eastAsia" w:ascii="宋体" w:hAnsi="宋体"/>
          <w:b/>
          <w:szCs w:val="21"/>
        </w:rPr>
        <w:t>”的款项不能满足招标文件要求的；</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投标文件附有招标人不能接受的条件；</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经评标委员会评审技术方案不可行的；</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评委会一致认为报价明显不合理的；</w:t>
      </w:r>
    </w:p>
    <w:p>
      <w:pPr>
        <w:numPr>
          <w:ilvl w:val="0"/>
          <w:numId w:val="4"/>
        </w:numPr>
        <w:snapToGrid w:val="0"/>
        <w:spacing w:line="440" w:lineRule="exact"/>
        <w:ind w:left="425" w:leftChars="0" w:hanging="425" w:firstLineChars="0"/>
        <w:jc w:val="left"/>
        <w:rPr>
          <w:rFonts w:ascii="宋体" w:hAnsi="宋体"/>
          <w:b/>
          <w:szCs w:val="21"/>
        </w:rPr>
      </w:pPr>
      <w:r>
        <w:rPr>
          <w:rFonts w:hint="eastAsia" w:ascii="宋体" w:hAnsi="宋体"/>
          <w:b/>
          <w:szCs w:val="21"/>
        </w:rPr>
        <w:t>不符合法律、法规和招标文件中规定的其他实质性要求的。</w:t>
      </w:r>
    </w:p>
    <w:p>
      <w:pPr>
        <w:snapToGrid w:val="0"/>
        <w:spacing w:before="60" w:after="60" w:line="440" w:lineRule="exact"/>
        <w:ind w:firstLine="420" w:firstLineChars="200"/>
        <w:outlineLvl w:val="1"/>
        <w:rPr>
          <w:rFonts w:ascii="宋体" w:hAnsi="宋体" w:eastAsia="Times New Roman"/>
          <w:b/>
          <w:szCs w:val="21"/>
        </w:rPr>
      </w:pPr>
      <w:r>
        <w:rPr>
          <w:rFonts w:hint="eastAsia" w:ascii="宋体" w:hAnsi="宋体" w:eastAsia="Times New Roman"/>
          <w:b/>
          <w:szCs w:val="21"/>
        </w:rPr>
        <w:t>四、开标</w:t>
      </w:r>
    </w:p>
    <w:p>
      <w:pPr>
        <w:snapToGrid w:val="0"/>
        <w:spacing w:line="440" w:lineRule="exact"/>
        <w:ind w:firstLine="420" w:firstLineChars="200"/>
        <w:jc w:val="left"/>
        <w:outlineLvl w:val="2"/>
        <w:rPr>
          <w:rFonts w:ascii="宋体" w:hAnsi="宋体" w:eastAsia="Times New Roman"/>
          <w:b/>
          <w:color w:val="000000"/>
          <w:szCs w:val="21"/>
        </w:rPr>
      </w:pPr>
      <w:r>
        <w:rPr>
          <w:rFonts w:ascii="宋体" w:hAnsi="宋体" w:eastAsia="Times New Roman"/>
          <w:b/>
          <w:color w:val="000000"/>
          <w:szCs w:val="21"/>
        </w:rPr>
        <w:t>（一）开标准备</w:t>
      </w:r>
    </w:p>
    <w:p>
      <w:pPr>
        <w:snapToGrid w:val="0"/>
        <w:spacing w:line="440" w:lineRule="exact"/>
        <w:ind w:firstLine="420" w:firstLineChars="200"/>
        <w:jc w:val="left"/>
        <w:rPr>
          <w:rFonts w:ascii="宋体" w:hAnsi="宋体"/>
          <w:color w:val="000000"/>
          <w:szCs w:val="21"/>
        </w:rPr>
      </w:pPr>
      <w:r>
        <w:rPr>
          <w:rFonts w:ascii="宋体" w:hAnsi="宋体"/>
          <w:color w:val="000000"/>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snapToGrid w:val="0"/>
        <w:spacing w:before="40" w:after="60" w:line="440" w:lineRule="exact"/>
        <w:ind w:firstLine="420" w:firstLineChars="200"/>
        <w:jc w:val="left"/>
        <w:outlineLvl w:val="2"/>
        <w:rPr>
          <w:rFonts w:ascii="宋体" w:hAnsi="宋体" w:eastAsia="Times New Roman"/>
          <w:b/>
          <w:color w:val="FF0000"/>
          <w:szCs w:val="21"/>
        </w:rPr>
      </w:pPr>
      <w:r>
        <w:rPr>
          <w:rFonts w:ascii="宋体" w:hAnsi="宋体" w:eastAsia="Times New Roman"/>
          <w:b/>
          <w:color w:val="000000"/>
          <w:szCs w:val="21"/>
        </w:rPr>
        <w:t>（二）开标程序</w:t>
      </w:r>
    </w:p>
    <w:p>
      <w:pPr>
        <w:pStyle w:val="13"/>
        <w:snapToGrid w:val="0"/>
        <w:spacing w:beforeLines="0" w:afterLines="0" w:line="440" w:lineRule="exact"/>
        <w:ind w:firstLine="420" w:firstLineChars="200"/>
        <w:rPr>
          <w:rFonts w:hAnsi="宋体"/>
          <w:sz w:val="21"/>
          <w:szCs w:val="21"/>
        </w:rPr>
      </w:pPr>
      <w:r>
        <w:rPr>
          <w:rFonts w:hAnsi="宋体"/>
          <w:sz w:val="21"/>
          <w:szCs w:val="21"/>
        </w:rPr>
        <w:t>1</w:t>
      </w:r>
      <w:r>
        <w:rPr>
          <w:rFonts w:hint="eastAsia" w:hAnsi="宋体"/>
          <w:sz w:val="21"/>
          <w:szCs w:val="21"/>
        </w:rPr>
        <w:t>.</w:t>
      </w:r>
      <w:r>
        <w:rPr>
          <w:rFonts w:hAnsi="宋体"/>
          <w:sz w:val="21"/>
          <w:szCs w:val="21"/>
        </w:rPr>
        <w:t>开标会由采购代理机构主持，主持人宣布开标会议开始；</w:t>
      </w:r>
    </w:p>
    <w:p>
      <w:pPr>
        <w:pStyle w:val="13"/>
        <w:snapToGrid w:val="0"/>
        <w:spacing w:beforeLines="0" w:afterLines="0" w:line="440" w:lineRule="exact"/>
        <w:ind w:firstLine="420" w:firstLineChars="200"/>
        <w:rPr>
          <w:rFonts w:hAnsi="宋体"/>
          <w:sz w:val="21"/>
          <w:szCs w:val="21"/>
        </w:rPr>
      </w:pPr>
      <w:r>
        <w:rPr>
          <w:rFonts w:hAnsi="宋体"/>
          <w:sz w:val="21"/>
          <w:szCs w:val="21"/>
        </w:rPr>
        <w:t>2</w:t>
      </w:r>
      <w:r>
        <w:rPr>
          <w:rFonts w:hint="eastAsia" w:hAnsi="宋体"/>
          <w:sz w:val="21"/>
          <w:szCs w:val="21"/>
        </w:rPr>
        <w:t>.主持人</w:t>
      </w:r>
      <w:r>
        <w:rPr>
          <w:rFonts w:hAnsi="宋体"/>
          <w:sz w:val="21"/>
          <w:szCs w:val="21"/>
        </w:rPr>
        <w:t xml:space="preserve">介绍参加开标会的人员名单； </w:t>
      </w:r>
    </w:p>
    <w:p>
      <w:pPr>
        <w:pStyle w:val="13"/>
        <w:snapToGrid w:val="0"/>
        <w:spacing w:beforeLines="0" w:afterLines="0" w:line="440" w:lineRule="exact"/>
        <w:ind w:firstLine="420" w:firstLineChars="200"/>
        <w:rPr>
          <w:rFonts w:hAnsi="宋体"/>
          <w:sz w:val="21"/>
          <w:szCs w:val="21"/>
        </w:rPr>
      </w:pPr>
      <w:r>
        <w:rPr>
          <w:rFonts w:hAnsi="宋体"/>
          <w:sz w:val="21"/>
          <w:szCs w:val="21"/>
        </w:rPr>
        <w:t>3</w:t>
      </w:r>
      <w:r>
        <w:rPr>
          <w:rFonts w:hint="eastAsia" w:hAnsi="宋体"/>
          <w:sz w:val="21"/>
          <w:szCs w:val="21"/>
        </w:rPr>
        <w:t>.主持人</w:t>
      </w:r>
      <w:r>
        <w:rPr>
          <w:rFonts w:hAnsi="宋体"/>
          <w:sz w:val="21"/>
          <w:szCs w:val="21"/>
        </w:rPr>
        <w:t>宣布评标期间的有关事项</w:t>
      </w:r>
      <w:r>
        <w:rPr>
          <w:rFonts w:hint="eastAsia" w:hAnsi="宋体"/>
          <w:sz w:val="21"/>
          <w:szCs w:val="21"/>
        </w:rPr>
        <w:t>，</w:t>
      </w:r>
      <w:r>
        <w:rPr>
          <w:rFonts w:hAnsi="宋体"/>
          <w:sz w:val="21"/>
          <w:szCs w:val="21"/>
        </w:rPr>
        <w:t>告知应当回避的情形,提请有关人员回避；</w:t>
      </w:r>
    </w:p>
    <w:p>
      <w:pPr>
        <w:pStyle w:val="13"/>
        <w:snapToGrid w:val="0"/>
        <w:spacing w:beforeLines="0" w:afterLines="0" w:line="440" w:lineRule="exact"/>
        <w:ind w:firstLine="420" w:firstLineChars="200"/>
        <w:rPr>
          <w:rFonts w:hAnsi="宋体"/>
          <w:sz w:val="21"/>
          <w:szCs w:val="21"/>
        </w:rPr>
      </w:pPr>
      <w:r>
        <w:rPr>
          <w:rFonts w:hAnsi="宋体"/>
          <w:sz w:val="21"/>
          <w:szCs w:val="21"/>
        </w:rPr>
        <w:t>4</w:t>
      </w:r>
      <w:r>
        <w:rPr>
          <w:rFonts w:hint="eastAsia" w:hAnsi="宋体"/>
          <w:sz w:val="21"/>
          <w:szCs w:val="21"/>
        </w:rPr>
        <w:t>.投标人或其当场推荐的代表，或者招标采购人委托的</w:t>
      </w:r>
      <w:r>
        <w:rPr>
          <w:rFonts w:hAnsi="宋体"/>
          <w:sz w:val="21"/>
          <w:szCs w:val="21"/>
        </w:rPr>
        <w:t>公证</w:t>
      </w:r>
      <w:r>
        <w:rPr>
          <w:rFonts w:hint="eastAsia" w:hAnsi="宋体"/>
          <w:sz w:val="21"/>
          <w:szCs w:val="21"/>
        </w:rPr>
        <w:t>机构</w:t>
      </w:r>
      <w:r>
        <w:rPr>
          <w:rFonts w:hAnsi="宋体"/>
          <w:sz w:val="21"/>
          <w:szCs w:val="21"/>
        </w:rPr>
        <w:t>检</w:t>
      </w:r>
      <w:r>
        <w:rPr>
          <w:rFonts w:hint="eastAsia" w:hAnsi="宋体"/>
          <w:sz w:val="21"/>
          <w:szCs w:val="21"/>
        </w:rPr>
        <w:t>查</w:t>
      </w:r>
      <w:r>
        <w:rPr>
          <w:rFonts w:hAnsi="宋体"/>
          <w:sz w:val="21"/>
          <w:szCs w:val="21"/>
        </w:rPr>
        <w:t>投标文件密封的完整性并签字确认；</w:t>
      </w:r>
    </w:p>
    <w:p>
      <w:pPr>
        <w:pStyle w:val="13"/>
        <w:snapToGrid w:val="0"/>
        <w:spacing w:beforeLines="0" w:afterLines="0" w:line="440" w:lineRule="exact"/>
        <w:ind w:firstLine="420" w:firstLineChars="200"/>
        <w:rPr>
          <w:sz w:val="21"/>
          <w:szCs w:val="21"/>
        </w:rPr>
      </w:pPr>
      <w:r>
        <w:rPr>
          <w:sz w:val="21"/>
          <w:szCs w:val="21"/>
        </w:rPr>
        <w:t>5</w:t>
      </w:r>
      <w:r>
        <w:rPr>
          <w:rFonts w:hint="eastAsia"/>
          <w:sz w:val="21"/>
          <w:szCs w:val="21"/>
        </w:rPr>
        <w:t>..由主持人按标段一、标段二的顺序依次开启投标文件，宣读《开标一览表》中的投标人名称及在其投标文件中承诺的投标报价、投标内容（投标项目名称），以及招标代理机构认为有必要宣读的其他内容；</w:t>
      </w:r>
    </w:p>
    <w:p>
      <w:pPr>
        <w:pStyle w:val="13"/>
        <w:snapToGrid w:val="0"/>
        <w:spacing w:beforeLines="0" w:afterLines="0" w:line="440" w:lineRule="exact"/>
        <w:ind w:firstLine="420" w:firstLineChars="200"/>
        <w:rPr>
          <w:rFonts w:hAnsi="宋体"/>
          <w:sz w:val="21"/>
          <w:szCs w:val="21"/>
        </w:rPr>
      </w:pPr>
      <w:r>
        <w:rPr>
          <w:rFonts w:hint="eastAsia" w:hAnsi="宋体"/>
          <w:sz w:val="21"/>
          <w:szCs w:val="21"/>
        </w:rPr>
        <w:t>6.采</w:t>
      </w:r>
      <w:r>
        <w:rPr>
          <w:rFonts w:hAnsi="宋体"/>
          <w:sz w:val="21"/>
          <w:szCs w:val="21"/>
        </w:rPr>
        <w:t>购代理机构做开标记录, 投标人代表对开标记录进行当场校核及勘误，并签字确认；同时由记录人、监督人当场签字确认。投标人代表未到场签字确认</w:t>
      </w:r>
      <w:r>
        <w:rPr>
          <w:rFonts w:hint="eastAsia" w:hAnsi="宋体"/>
          <w:sz w:val="21"/>
          <w:szCs w:val="21"/>
        </w:rPr>
        <w:t>或者拒绝签字确认</w:t>
      </w:r>
      <w:r>
        <w:rPr>
          <w:rFonts w:hAnsi="宋体"/>
          <w:sz w:val="21"/>
          <w:szCs w:val="21"/>
        </w:rPr>
        <w:t>的，不影响评标过程。</w:t>
      </w:r>
    </w:p>
    <w:p>
      <w:pPr>
        <w:pStyle w:val="13"/>
        <w:snapToGrid w:val="0"/>
        <w:spacing w:beforeLines="0" w:afterLines="0" w:line="440" w:lineRule="exact"/>
        <w:ind w:firstLine="420" w:firstLineChars="200"/>
        <w:rPr>
          <w:rFonts w:hAnsi="宋体"/>
          <w:sz w:val="21"/>
          <w:szCs w:val="21"/>
        </w:rPr>
      </w:pPr>
      <w:r>
        <w:rPr>
          <w:rFonts w:hint="eastAsia" w:hAnsi="宋体"/>
          <w:sz w:val="21"/>
          <w:szCs w:val="21"/>
        </w:rPr>
        <w:t>7.</w:t>
      </w:r>
      <w:r>
        <w:rPr>
          <w:rFonts w:hAnsi="宋体"/>
          <w:sz w:val="21"/>
          <w:szCs w:val="21"/>
        </w:rPr>
        <w:t>开标会议结束。</w:t>
      </w:r>
    </w:p>
    <w:p>
      <w:pPr>
        <w:snapToGrid w:val="0"/>
        <w:spacing w:before="60" w:after="60" w:line="440" w:lineRule="exact"/>
        <w:ind w:firstLine="420" w:firstLineChars="200"/>
        <w:outlineLvl w:val="1"/>
        <w:rPr>
          <w:rFonts w:ascii="宋体" w:hAnsi="宋体" w:eastAsia="Times New Roman"/>
          <w:b/>
          <w:szCs w:val="21"/>
        </w:rPr>
      </w:pPr>
      <w:r>
        <w:rPr>
          <w:rFonts w:hint="eastAsia" w:ascii="宋体" w:hAnsi="宋体" w:eastAsia="Times New Roman"/>
          <w:b/>
          <w:szCs w:val="21"/>
        </w:rPr>
        <w:t>五、评标</w:t>
      </w:r>
    </w:p>
    <w:p>
      <w:pPr>
        <w:pStyle w:val="62"/>
        <w:spacing w:before="156" w:after="156" w:line="440" w:lineRule="exact"/>
        <w:ind w:firstLine="422"/>
        <w:rPr>
          <w:color w:val="auto"/>
        </w:rPr>
      </w:pPr>
      <w:r>
        <w:rPr>
          <w:color w:val="auto"/>
        </w:rPr>
        <w:t>（一）组建评标委员会</w:t>
      </w:r>
    </w:p>
    <w:p>
      <w:pPr>
        <w:pStyle w:val="13"/>
        <w:snapToGrid w:val="0"/>
        <w:spacing w:beforeLines="0" w:afterLines="0" w:line="440" w:lineRule="exact"/>
        <w:ind w:firstLine="420" w:firstLineChars="200"/>
        <w:rPr>
          <w:rFonts w:hAnsi="宋体" w:eastAsia="Times New Roman"/>
          <w:b/>
          <w:color w:val="000000"/>
          <w:szCs w:val="21"/>
        </w:rPr>
      </w:pPr>
      <w:r>
        <w:rPr>
          <w:rFonts w:hAnsi="宋体"/>
          <w:sz w:val="21"/>
          <w:szCs w:val="21"/>
        </w:rPr>
        <w:t>本项目评标委员会由政府采购评审专家</w:t>
      </w:r>
      <w:r>
        <w:rPr>
          <w:rFonts w:hint="eastAsia" w:hAnsi="宋体"/>
          <w:sz w:val="21"/>
          <w:szCs w:val="21"/>
        </w:rPr>
        <w:t>≥</w:t>
      </w:r>
      <w:r>
        <w:rPr>
          <w:rFonts w:hint="eastAsia" w:hAnsi="宋体"/>
          <w:sz w:val="21"/>
          <w:szCs w:val="21"/>
          <w:u w:val="single"/>
        </w:rPr>
        <w:t>4</w:t>
      </w:r>
      <w:r>
        <w:rPr>
          <w:rFonts w:hAnsi="宋体"/>
          <w:sz w:val="21"/>
          <w:szCs w:val="21"/>
        </w:rPr>
        <w:t>人和</w:t>
      </w:r>
      <w:r>
        <w:rPr>
          <w:rFonts w:hint="eastAsia" w:hAnsi="宋体"/>
          <w:sz w:val="21"/>
          <w:szCs w:val="21"/>
        </w:rPr>
        <w:t>采购人</w:t>
      </w:r>
      <w:r>
        <w:rPr>
          <w:rFonts w:hAnsi="宋体"/>
          <w:sz w:val="21"/>
          <w:szCs w:val="21"/>
        </w:rPr>
        <w:t>代表</w:t>
      </w:r>
      <w:r>
        <w:rPr>
          <w:rFonts w:hint="eastAsia" w:hAnsi="宋体"/>
          <w:sz w:val="21"/>
          <w:szCs w:val="21"/>
        </w:rPr>
        <w:t>≤</w:t>
      </w:r>
      <w:r>
        <w:rPr>
          <w:rFonts w:hint="eastAsia" w:hAnsi="宋体"/>
          <w:sz w:val="21"/>
          <w:szCs w:val="21"/>
          <w:u w:val="single"/>
        </w:rPr>
        <w:t>1</w:t>
      </w:r>
      <w:r>
        <w:rPr>
          <w:rFonts w:hAnsi="宋体"/>
          <w:sz w:val="21"/>
          <w:szCs w:val="21"/>
        </w:rPr>
        <w:t>人,共</w:t>
      </w:r>
      <w:r>
        <w:rPr>
          <w:rFonts w:hint="eastAsia" w:hAnsi="宋体"/>
          <w:sz w:val="21"/>
          <w:szCs w:val="21"/>
          <w:u w:val="single"/>
        </w:rPr>
        <w:t>5</w:t>
      </w:r>
      <w:r>
        <w:rPr>
          <w:rFonts w:hAnsi="宋体"/>
          <w:sz w:val="21"/>
          <w:szCs w:val="21"/>
        </w:rPr>
        <w:t>人组成。</w:t>
      </w:r>
    </w:p>
    <w:p>
      <w:pPr>
        <w:snapToGrid w:val="0"/>
        <w:spacing w:line="440" w:lineRule="exact"/>
        <w:ind w:firstLine="420" w:firstLineChars="200"/>
        <w:jc w:val="left"/>
        <w:outlineLvl w:val="2"/>
        <w:rPr>
          <w:rFonts w:ascii="宋体" w:hAnsi="宋体" w:eastAsia="Times New Roman"/>
          <w:b/>
          <w:color w:val="000000"/>
          <w:szCs w:val="21"/>
        </w:rPr>
      </w:pPr>
      <w:r>
        <w:rPr>
          <w:rFonts w:ascii="宋体" w:hAnsi="宋体" w:eastAsia="Times New Roman"/>
          <w:b/>
          <w:color w:val="000000"/>
          <w:szCs w:val="21"/>
        </w:rPr>
        <w:t>（</w:t>
      </w:r>
      <w:r>
        <w:rPr>
          <w:rFonts w:hint="eastAsia" w:ascii="宋体" w:hAnsi="宋体" w:cs="宋体"/>
          <w:b/>
          <w:color w:val="000000"/>
          <w:szCs w:val="21"/>
        </w:rPr>
        <w:t>二</w:t>
      </w:r>
      <w:r>
        <w:rPr>
          <w:rFonts w:ascii="宋体" w:hAnsi="宋体" w:eastAsia="Times New Roman"/>
          <w:b/>
          <w:color w:val="000000"/>
          <w:szCs w:val="21"/>
        </w:rPr>
        <w:t>）评标方式</w:t>
      </w:r>
    </w:p>
    <w:p>
      <w:pPr>
        <w:snapToGrid w:val="0"/>
        <w:spacing w:line="440" w:lineRule="exact"/>
        <w:ind w:firstLine="420" w:firstLineChars="200"/>
        <w:jc w:val="left"/>
        <w:rPr>
          <w:rFonts w:ascii="宋体" w:hAnsi="宋体"/>
          <w:color w:val="000000"/>
          <w:szCs w:val="21"/>
        </w:rPr>
      </w:pPr>
      <w:r>
        <w:rPr>
          <w:rFonts w:ascii="宋体" w:hAnsi="宋体"/>
          <w:color w:val="000000"/>
          <w:szCs w:val="21"/>
        </w:rPr>
        <w:t>本项目采用不公开方式评标，评标的依据为招标文件和投标文件。</w:t>
      </w:r>
    </w:p>
    <w:p>
      <w:pPr>
        <w:snapToGrid w:val="0"/>
        <w:spacing w:line="440" w:lineRule="exact"/>
        <w:ind w:firstLine="420" w:firstLineChars="200"/>
        <w:jc w:val="left"/>
        <w:outlineLvl w:val="2"/>
        <w:rPr>
          <w:rFonts w:ascii="宋体" w:hAnsi="宋体" w:eastAsia="Times New Roman"/>
          <w:b/>
          <w:color w:val="000000"/>
          <w:szCs w:val="21"/>
        </w:rPr>
      </w:pPr>
      <w:r>
        <w:rPr>
          <w:rFonts w:ascii="宋体" w:hAnsi="宋体" w:eastAsia="Times New Roman"/>
          <w:b/>
          <w:color w:val="000000"/>
          <w:szCs w:val="21"/>
        </w:rPr>
        <w:t>（</w:t>
      </w:r>
      <w:r>
        <w:rPr>
          <w:rFonts w:hint="eastAsia" w:ascii="宋体" w:hAnsi="宋体" w:cs="宋体"/>
          <w:b/>
          <w:color w:val="000000"/>
          <w:szCs w:val="21"/>
        </w:rPr>
        <w:t>三</w:t>
      </w:r>
      <w:r>
        <w:rPr>
          <w:rFonts w:ascii="宋体" w:hAnsi="宋体" w:eastAsia="Times New Roman"/>
          <w:b/>
          <w:color w:val="000000"/>
          <w:szCs w:val="21"/>
        </w:rPr>
        <w:t>）</w:t>
      </w:r>
      <w:r>
        <w:rPr>
          <w:rFonts w:hint="eastAsia" w:ascii="宋体" w:hAnsi="宋体" w:cs="宋体"/>
          <w:b/>
          <w:color w:val="000000"/>
          <w:szCs w:val="21"/>
        </w:rPr>
        <w:t>评标程序</w:t>
      </w:r>
    </w:p>
    <w:p>
      <w:pPr>
        <w:snapToGrid w:val="0"/>
        <w:spacing w:line="440" w:lineRule="exact"/>
        <w:ind w:firstLine="422" w:firstLineChars="200"/>
        <w:rPr>
          <w:rFonts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形式审查</w:t>
      </w:r>
    </w:p>
    <w:p>
      <w:pPr>
        <w:snapToGrid w:val="0"/>
        <w:spacing w:line="440" w:lineRule="exact"/>
        <w:ind w:firstLine="420" w:firstLineChars="200"/>
        <w:rPr>
          <w:rFonts w:ascii="宋体" w:hAnsi="宋体"/>
          <w:b/>
          <w:szCs w:val="21"/>
        </w:rPr>
      </w:pPr>
      <w:r>
        <w:rPr>
          <w:rFonts w:hint="eastAsia" w:ascii="宋体" w:hAnsi="宋体"/>
          <w:szCs w:val="21"/>
        </w:rPr>
        <w:t>评标委员会对投标人的资格</w:t>
      </w:r>
      <w:r>
        <w:rPr>
          <w:rFonts w:ascii="宋体" w:hAnsi="宋体"/>
          <w:szCs w:val="21"/>
        </w:rPr>
        <w:t>和投标文件的完整性、合法性等进行审查。</w:t>
      </w:r>
    </w:p>
    <w:p>
      <w:pPr>
        <w:snapToGrid w:val="0"/>
        <w:spacing w:line="440" w:lineRule="exact"/>
        <w:ind w:firstLine="422" w:firstLineChars="200"/>
        <w:rPr>
          <w:rFonts w:ascii="宋体" w:hAnsi="宋体"/>
          <w:b/>
          <w:bCs/>
          <w:szCs w:val="21"/>
        </w:rPr>
      </w:pPr>
      <w:r>
        <w:rPr>
          <w:rFonts w:ascii="宋体" w:hAnsi="宋体"/>
          <w:b/>
          <w:bCs/>
          <w:szCs w:val="21"/>
        </w:rPr>
        <w:t>2</w:t>
      </w:r>
      <w:r>
        <w:rPr>
          <w:rFonts w:hint="eastAsia" w:ascii="宋体" w:hAnsi="宋体"/>
          <w:b/>
          <w:bCs/>
          <w:szCs w:val="21"/>
        </w:rPr>
        <w:t>.</w:t>
      </w:r>
      <w:r>
        <w:rPr>
          <w:rFonts w:ascii="宋体" w:hAnsi="宋体"/>
          <w:b/>
          <w:bCs/>
          <w:szCs w:val="21"/>
        </w:rPr>
        <w:t>实质审查与比较</w:t>
      </w:r>
    </w:p>
    <w:p>
      <w:pPr>
        <w:snapToGrid w:val="0"/>
        <w:spacing w:line="440" w:lineRule="exact"/>
        <w:ind w:firstLine="420" w:firstLineChars="200"/>
        <w:rPr>
          <w:rFonts w:ascii="宋体" w:hAnsi="宋体"/>
          <w:szCs w:val="21"/>
        </w:rPr>
      </w:pPr>
      <w:r>
        <w:rPr>
          <w:rFonts w:hint="eastAsia" w:ascii="宋体" w:hAnsi="宋体"/>
          <w:szCs w:val="21"/>
        </w:rPr>
        <w:t>（</w:t>
      </w:r>
      <w:r>
        <w:rPr>
          <w:rFonts w:ascii="宋体" w:hAnsi="宋体"/>
          <w:szCs w:val="21"/>
        </w:rPr>
        <w:t>1）评标委员会审查投标文件的实质性内容是否符合采购文件的实质性要求。</w:t>
      </w:r>
    </w:p>
    <w:p>
      <w:pPr>
        <w:snapToGrid w:val="0"/>
        <w:spacing w:line="440" w:lineRule="exact"/>
        <w:ind w:firstLine="420" w:firstLineChars="200"/>
        <w:rPr>
          <w:rFonts w:ascii="宋体" w:hAnsi="宋体"/>
          <w:szCs w:val="21"/>
        </w:rPr>
      </w:pPr>
      <w:r>
        <w:rPr>
          <w:rFonts w:hint="eastAsia" w:ascii="宋体" w:hAnsi="宋体"/>
          <w:szCs w:val="21"/>
        </w:rPr>
        <w:t>（</w:t>
      </w:r>
      <w:r>
        <w:rPr>
          <w:rFonts w:ascii="宋体" w:hAnsi="宋体"/>
          <w:szCs w:val="21"/>
        </w:rPr>
        <w:t>2）评标委员会将根据投标人的投标文件进行审查、核对,如有疑问,将对投标人进行询标,投标人要向评标委员会澄清有关问题,并最终以书面形式进行答复。</w:t>
      </w:r>
    </w:p>
    <w:p>
      <w:pPr>
        <w:snapToGrid w:val="0"/>
        <w:spacing w:line="440" w:lineRule="exact"/>
        <w:ind w:firstLine="420" w:firstLineChars="200"/>
        <w:rPr>
          <w:rFonts w:ascii="宋体" w:hAnsi="宋体"/>
          <w:szCs w:val="21"/>
        </w:rPr>
      </w:pPr>
      <w:r>
        <w:rPr>
          <w:rFonts w:hint="eastAsia" w:ascii="宋体" w:hAnsi="宋体"/>
          <w:szCs w:val="21"/>
        </w:rPr>
        <w:t>投标人代表未到场或者拒绝澄清或者澄清的内容改变了投标文件的实质性内容的，评标委员会有权对该投标文件作出不利于投标人的评判。</w:t>
      </w:r>
    </w:p>
    <w:p>
      <w:pPr>
        <w:snapToGrid w:val="0"/>
        <w:spacing w:line="44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各投标方的技术得分为所有评委有效评分后的算术平均数，由指定专人进行计算复核。</w:t>
      </w:r>
    </w:p>
    <w:p>
      <w:pPr>
        <w:snapToGrid w:val="0"/>
        <w:spacing w:line="44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代理机构工作人员协助</w:t>
      </w:r>
      <w:r>
        <w:rPr>
          <w:rFonts w:ascii="宋体" w:hAnsi="宋体"/>
          <w:szCs w:val="21"/>
        </w:rPr>
        <w:t>评标委员会根据</w:t>
      </w:r>
      <w:r>
        <w:rPr>
          <w:rFonts w:hint="eastAsia" w:ascii="宋体" w:hAnsi="宋体"/>
          <w:szCs w:val="21"/>
        </w:rPr>
        <w:t>本项目的评分标准</w:t>
      </w:r>
      <w:r>
        <w:rPr>
          <w:rFonts w:ascii="宋体" w:hAnsi="宋体"/>
          <w:szCs w:val="21"/>
        </w:rPr>
        <w:t>计算各投标人的商务报价得分</w:t>
      </w:r>
      <w:r>
        <w:rPr>
          <w:rFonts w:hint="eastAsia" w:ascii="宋体" w:hAnsi="宋体"/>
          <w:szCs w:val="21"/>
        </w:rPr>
        <w:t>。</w:t>
      </w:r>
    </w:p>
    <w:p>
      <w:pPr>
        <w:snapToGrid w:val="0"/>
        <w:spacing w:line="440" w:lineRule="exact"/>
        <w:ind w:firstLine="420" w:firstLineChars="200"/>
        <w:jc w:val="left"/>
        <w:rPr>
          <w:rFonts w:ascii="宋体" w:hAnsi="宋体"/>
          <w:color w:val="000000"/>
          <w:szCs w:val="21"/>
        </w:rPr>
      </w:pPr>
      <w:r>
        <w:rPr>
          <w:rFonts w:hint="eastAsia" w:ascii="宋体" w:hAnsi="宋体"/>
          <w:szCs w:val="21"/>
        </w:rPr>
        <w:t>（</w:t>
      </w:r>
      <w:r>
        <w:rPr>
          <w:rFonts w:ascii="宋体" w:hAnsi="宋体"/>
          <w:szCs w:val="21"/>
        </w:rPr>
        <w:t>5）评标委员会完成评标后,评委对各部分得分汇总,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w:t>
      </w:r>
      <w:r>
        <w:rPr>
          <w:rFonts w:ascii="宋体" w:hAnsi="宋体"/>
          <w:szCs w:val="21"/>
        </w:rPr>
        <w:t>。评标委员会按评标原则推荐中标候选人同时起草评标报告。</w:t>
      </w:r>
    </w:p>
    <w:p>
      <w:pPr>
        <w:snapToGrid w:val="0"/>
        <w:spacing w:line="440" w:lineRule="exact"/>
        <w:ind w:firstLine="420" w:firstLineChars="200"/>
        <w:jc w:val="left"/>
        <w:outlineLvl w:val="2"/>
        <w:rPr>
          <w:rFonts w:ascii="宋体" w:hAnsi="宋体" w:eastAsia="Times New Roman"/>
          <w:b/>
          <w:color w:val="000000"/>
          <w:szCs w:val="21"/>
        </w:rPr>
      </w:pPr>
      <w:r>
        <w:rPr>
          <w:rFonts w:hint="eastAsia" w:ascii="宋体" w:hAnsi="宋体" w:eastAsia="Times New Roman"/>
          <w:b/>
          <w:color w:val="000000"/>
          <w:szCs w:val="21"/>
        </w:rPr>
        <w:t>（</w:t>
      </w:r>
      <w:r>
        <w:rPr>
          <w:rFonts w:hint="eastAsia" w:ascii="宋体" w:hAnsi="宋体" w:cs="宋体"/>
          <w:b/>
          <w:color w:val="000000"/>
          <w:szCs w:val="21"/>
        </w:rPr>
        <w:t>四</w:t>
      </w:r>
      <w:r>
        <w:rPr>
          <w:rFonts w:hint="eastAsia" w:ascii="宋体" w:hAnsi="宋体" w:eastAsia="Times New Roman"/>
          <w:b/>
          <w:color w:val="000000"/>
          <w:szCs w:val="21"/>
        </w:rPr>
        <w:t>）澄清问题的形式</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napToGrid w:val="0"/>
        <w:spacing w:line="440" w:lineRule="exact"/>
        <w:ind w:firstLine="420" w:firstLineChars="200"/>
        <w:jc w:val="left"/>
        <w:outlineLvl w:val="2"/>
        <w:rPr>
          <w:rFonts w:ascii="宋体" w:hAnsi="宋体" w:eastAsia="Times New Roman"/>
          <w:b/>
          <w:color w:val="000000"/>
          <w:szCs w:val="21"/>
        </w:rPr>
      </w:pPr>
      <w:r>
        <w:rPr>
          <w:rFonts w:ascii="宋体" w:hAnsi="宋体" w:eastAsia="Times New Roman"/>
          <w:b/>
          <w:color w:val="000000"/>
          <w:szCs w:val="21"/>
        </w:rPr>
        <w:t>（</w:t>
      </w:r>
      <w:r>
        <w:rPr>
          <w:rFonts w:hint="eastAsia" w:ascii="宋体" w:hAnsi="宋体" w:eastAsia="Times New Roman"/>
          <w:b/>
          <w:color w:val="000000"/>
          <w:szCs w:val="21"/>
        </w:rPr>
        <w:t>五</w:t>
      </w:r>
      <w:r>
        <w:rPr>
          <w:rFonts w:ascii="宋体" w:hAnsi="宋体" w:eastAsia="Times New Roman"/>
          <w:b/>
          <w:color w:val="000000"/>
          <w:szCs w:val="21"/>
        </w:rPr>
        <w:t>）错误修正</w:t>
      </w:r>
    </w:p>
    <w:p>
      <w:pPr>
        <w:snapToGrid w:val="0"/>
        <w:spacing w:line="440" w:lineRule="exact"/>
        <w:ind w:firstLine="420" w:firstLineChars="200"/>
        <w:jc w:val="left"/>
        <w:rPr>
          <w:rFonts w:ascii="宋体" w:hAnsi="宋体"/>
          <w:color w:val="000000"/>
          <w:szCs w:val="21"/>
        </w:rPr>
      </w:pPr>
      <w:r>
        <w:rPr>
          <w:rFonts w:ascii="宋体" w:hAnsi="宋体"/>
          <w:color w:val="000000"/>
          <w:szCs w:val="21"/>
        </w:rPr>
        <w:t>投标文件如果出现计算或表达上的错误，修正错误的原则如下：</w:t>
      </w:r>
    </w:p>
    <w:p>
      <w:pPr>
        <w:snapToGrid w:val="0"/>
        <w:spacing w:line="440" w:lineRule="exact"/>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.开标一览表总价与投标报价明细表汇总数不一致的，</w:t>
      </w:r>
      <w:r>
        <w:rPr>
          <w:rFonts w:hint="eastAsia" w:ascii="宋体" w:hAnsi="宋体" w:cs="Arial"/>
          <w:color w:val="000000"/>
          <w:kern w:val="0"/>
          <w:szCs w:val="21"/>
        </w:rPr>
        <w:t>以开标一览表为准；</w:t>
      </w:r>
    </w:p>
    <w:p>
      <w:pPr>
        <w:snapToGrid w:val="0"/>
        <w:spacing w:line="440" w:lineRule="exact"/>
        <w:ind w:firstLine="420" w:firstLineChars="200"/>
        <w:jc w:val="left"/>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投标文件的大写金额和小写金额不一致的，以大写金额为准；</w:t>
      </w:r>
    </w:p>
    <w:p>
      <w:pPr>
        <w:snapToGrid w:val="0"/>
        <w:spacing w:line="440" w:lineRule="exact"/>
        <w:ind w:firstLine="420" w:firstLineChars="200"/>
        <w:jc w:val="left"/>
        <w:rPr>
          <w:rFonts w:ascii="宋体"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总价金额与按单价汇总金额不一致的，以单价金额计算结果为准；</w:t>
      </w:r>
    </w:p>
    <w:p>
      <w:pPr>
        <w:snapToGrid w:val="0"/>
        <w:spacing w:line="440" w:lineRule="exact"/>
        <w:ind w:firstLine="420" w:firstLineChars="200"/>
        <w:jc w:val="left"/>
        <w:rPr>
          <w:rFonts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对不同文字文本投标文件的解释发生异议的，以中文文本为准。</w:t>
      </w:r>
    </w:p>
    <w:p>
      <w:pPr>
        <w:snapToGrid w:val="0"/>
        <w:spacing w:line="440" w:lineRule="exact"/>
        <w:ind w:firstLine="420" w:firstLineChars="200"/>
        <w:rPr>
          <w:rFonts w:ascii="宋体" w:hAnsi="宋体" w:eastAsia="Times New Roman"/>
          <w:b/>
          <w:bCs/>
          <w:szCs w:val="21"/>
        </w:rPr>
      </w:pPr>
      <w:r>
        <w:rPr>
          <w:rFonts w:ascii="宋体" w:hAnsi="宋体" w:eastAsia="Times New Roman"/>
          <w:b/>
          <w:bCs/>
          <w:szCs w:val="21"/>
        </w:rPr>
        <w:t>按上述修正错误的原则及方法调整或修正投标文件的投标报价，投标人同意</w:t>
      </w:r>
      <w:r>
        <w:rPr>
          <w:rFonts w:hint="eastAsia" w:ascii="宋体" w:hAnsi="宋体" w:eastAsia="Times New Roman"/>
          <w:b/>
          <w:bCs/>
          <w:szCs w:val="21"/>
        </w:rPr>
        <w:t>并签字确认</w:t>
      </w:r>
      <w:r>
        <w:rPr>
          <w:rFonts w:ascii="宋体" w:hAnsi="宋体" w:eastAsia="Times New Roman"/>
          <w:b/>
          <w:bCs/>
          <w:szCs w:val="21"/>
        </w:rPr>
        <w:t>后，调整后的投标报价对投标人具有约束作用。如果投标人不接受修正后的报价，则其投标将</w:t>
      </w:r>
      <w:r>
        <w:rPr>
          <w:rFonts w:hint="eastAsia" w:ascii="宋体" w:hAnsi="宋体" w:eastAsia="Times New Roman"/>
          <w:b/>
          <w:bCs/>
          <w:szCs w:val="21"/>
        </w:rPr>
        <w:t>作为无效投标处理</w:t>
      </w:r>
      <w:r>
        <w:rPr>
          <w:rFonts w:ascii="宋体" w:hAnsi="宋体" w:eastAsia="Times New Roman"/>
          <w:b/>
          <w:bCs/>
          <w:szCs w:val="21"/>
        </w:rPr>
        <w:t>。</w:t>
      </w:r>
    </w:p>
    <w:p>
      <w:pPr>
        <w:snapToGrid w:val="0"/>
        <w:spacing w:line="440" w:lineRule="exact"/>
        <w:ind w:firstLine="422" w:firstLineChars="200"/>
        <w:jc w:val="left"/>
        <w:rPr>
          <w:rFonts w:ascii="宋体" w:hAnsi="宋体"/>
          <w:b/>
          <w:bCs/>
          <w:color w:val="000000"/>
          <w:szCs w:val="21"/>
        </w:rPr>
      </w:pPr>
      <w:r>
        <w:rPr>
          <w:rFonts w:hint="eastAsia" w:ascii="宋体" w:hAnsi="宋体"/>
          <w:b/>
          <w:bCs/>
          <w:color w:val="000000"/>
          <w:szCs w:val="21"/>
        </w:rPr>
        <w:t>（六）评标原则和评标办法</w:t>
      </w:r>
    </w:p>
    <w:p>
      <w:pPr>
        <w:snapToGrid w:val="0"/>
        <w:spacing w:line="440" w:lineRule="exact"/>
        <w:ind w:firstLine="420" w:firstLineChars="200"/>
        <w:jc w:val="left"/>
        <w:rPr>
          <w:rFonts w:ascii="宋体" w:hAnsi="宋体"/>
          <w:color w:val="000000"/>
          <w:szCs w:val="21"/>
        </w:rPr>
      </w:pPr>
      <w:r>
        <w:rPr>
          <w:rFonts w:hint="eastAsia" w:ascii="宋体" w:hAnsi="宋体"/>
          <w:color w:val="000000"/>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w:t>
      </w:r>
      <w:r>
        <w:rPr>
          <w:rFonts w:hint="eastAsia" w:ascii="宋体" w:hAnsi="宋体"/>
          <w:bCs/>
          <w:szCs w:val="21"/>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rPr>
        <w:t>.</w:t>
      </w:r>
      <w:r>
        <w:rPr>
          <w:rFonts w:hint="eastAsia" w:ascii="宋体" w:hAnsi="宋体"/>
          <w:bCs/>
          <w:szCs w:val="21"/>
        </w:rPr>
        <w:t>评审人员对有关采购文件、投标文件、样品、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pPr>
        <w:spacing w:line="360" w:lineRule="auto"/>
        <w:ind w:firstLine="420" w:firstLineChars="200"/>
        <w:rPr>
          <w:rFonts w:ascii="宋体" w:hAnsi="宋体"/>
          <w:bCs/>
          <w:szCs w:val="21"/>
        </w:rPr>
      </w:pPr>
      <w:r>
        <w:rPr>
          <w:rFonts w:hint="eastAsia" w:ascii="宋体" w:hAnsi="宋体"/>
          <w:bCs/>
          <w:szCs w:val="21"/>
        </w:rPr>
        <w:t>4</w:t>
      </w:r>
      <w:r>
        <w:rPr>
          <w:rFonts w:hint="eastAsia" w:ascii="宋体" w:hAnsi="宋体"/>
          <w:szCs w:val="21"/>
        </w:rPr>
        <w:t>.</w:t>
      </w:r>
      <w:r>
        <w:rPr>
          <w:rFonts w:hint="eastAsia" w:ascii="宋体" w:hAnsi="宋体"/>
          <w:bCs/>
          <w:szCs w:val="21"/>
        </w:rPr>
        <w:t>评标办法。本项目评标办法是</w:t>
      </w:r>
      <w:r>
        <w:rPr>
          <w:rFonts w:hint="eastAsia" w:ascii="宋体" w:hAnsi="宋体"/>
          <w:bCs/>
          <w:szCs w:val="21"/>
          <w:u w:val="single"/>
        </w:rPr>
        <w:t xml:space="preserve"> 综合评分法</w:t>
      </w:r>
      <w:r>
        <w:rPr>
          <w:rFonts w:hint="eastAsia" w:ascii="宋体" w:hAnsi="宋体"/>
          <w:bCs/>
          <w:szCs w:val="21"/>
        </w:rPr>
        <w:t>，具体评标内容及评分标准等详见《第四章：评标办法及评分标准》。</w:t>
      </w:r>
    </w:p>
    <w:p>
      <w:pPr>
        <w:pStyle w:val="62"/>
        <w:spacing w:beforeLines="0" w:line="360" w:lineRule="auto"/>
        <w:ind w:firstLine="422"/>
        <w:rPr>
          <w:color w:val="auto"/>
        </w:rPr>
      </w:pPr>
      <w:r>
        <w:rPr>
          <w:color w:val="auto"/>
        </w:rPr>
        <w:t>（七）评标过程的监控</w:t>
      </w:r>
    </w:p>
    <w:p>
      <w:pPr>
        <w:pStyle w:val="13"/>
        <w:snapToGrid w:val="0"/>
        <w:spacing w:beforeLines="0" w:afterLines="0" w:line="360" w:lineRule="auto"/>
        <w:ind w:firstLine="420" w:firstLineChars="200"/>
        <w:rPr>
          <w:rFonts w:hAnsi="宋体"/>
          <w:sz w:val="21"/>
          <w:szCs w:val="21"/>
        </w:rPr>
      </w:pPr>
      <w:r>
        <w:rPr>
          <w:rFonts w:hAnsi="宋体"/>
          <w:sz w:val="21"/>
          <w:szCs w:val="21"/>
        </w:rPr>
        <w:t>本项目评标过程实行全程录音、录像监控，投标人在评标过程中所进行的</w:t>
      </w:r>
      <w:r>
        <w:rPr>
          <w:rFonts w:hint="eastAsia" w:hAnsi="宋体"/>
          <w:sz w:val="21"/>
          <w:szCs w:val="21"/>
        </w:rPr>
        <w:t>试</w:t>
      </w:r>
      <w:r>
        <w:rPr>
          <w:rFonts w:hAnsi="宋体"/>
          <w:sz w:val="21"/>
          <w:szCs w:val="21"/>
        </w:rPr>
        <w:t>图影响评标结果的不公正活动，可能导致其投标被拒绝。</w:t>
      </w:r>
    </w:p>
    <w:p>
      <w:pPr>
        <w:pStyle w:val="59"/>
        <w:spacing w:beforeLines="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六、采购方式变更</w:t>
      </w:r>
    </w:p>
    <w:p>
      <w:pPr>
        <w:pStyle w:val="13"/>
        <w:snapToGrid w:val="0"/>
        <w:spacing w:beforeLines="0" w:afterLines="0" w:line="360" w:lineRule="auto"/>
        <w:ind w:firstLine="420" w:firstLineChars="200"/>
        <w:rPr>
          <w:rFonts w:hAnsi="宋体"/>
          <w:sz w:val="21"/>
          <w:szCs w:val="21"/>
        </w:rPr>
      </w:pPr>
      <w:r>
        <w:rPr>
          <w:rFonts w:hint="eastAsia" w:hAnsi="宋体"/>
          <w:sz w:val="21"/>
          <w:szCs w:val="21"/>
        </w:rPr>
        <w:t>至投标截止时间或在评审期间，出现参与投标或者对采购文件作出实质性响应的供应商不足3家的情况，招标采购人有权全部或部分终止招标。经相关政府采购管理部门批准，招标采购人可以按照原采购文件确定的采购方式进行，或者改用竞争性谈判或者单一来源方式采购。</w:t>
      </w:r>
    </w:p>
    <w:p>
      <w:pPr>
        <w:pStyle w:val="59"/>
        <w:spacing w:beforeLines="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七、定标</w:t>
      </w:r>
    </w:p>
    <w:p>
      <w:pPr>
        <w:pStyle w:val="13"/>
        <w:snapToGrid w:val="0"/>
        <w:spacing w:beforeLines="0" w:afterLines="0" w:line="360" w:lineRule="auto"/>
        <w:ind w:firstLine="420" w:firstLineChars="200"/>
        <w:rPr>
          <w:rFonts w:hAnsi="宋体"/>
          <w:sz w:val="21"/>
          <w:szCs w:val="21"/>
        </w:rPr>
      </w:pPr>
      <w:r>
        <w:rPr>
          <w:rFonts w:hint="eastAsia" w:hAnsi="宋体"/>
          <w:sz w:val="21"/>
          <w:szCs w:val="21"/>
        </w:rPr>
        <w:t>本项目由采购人（或采购人事先授权评标委员会）确定承包方。</w:t>
      </w:r>
    </w:p>
    <w:p>
      <w:pPr>
        <w:pStyle w:val="13"/>
        <w:snapToGrid w:val="0"/>
        <w:spacing w:beforeLines="0" w:afterLines="0" w:line="360" w:lineRule="auto"/>
        <w:ind w:firstLine="420" w:firstLineChars="200"/>
        <w:rPr>
          <w:rFonts w:hAnsi="宋体"/>
          <w:sz w:val="21"/>
          <w:szCs w:val="21"/>
        </w:rPr>
      </w:pPr>
      <w:r>
        <w:rPr>
          <w:rFonts w:hint="eastAsia" w:hAnsi="宋体"/>
          <w:sz w:val="21"/>
          <w:szCs w:val="21"/>
        </w:rPr>
        <w:t>采购代理机构在评标结束后2个工作日内将评标报告交采购人确认，采购人应在收到评标报告后5个工作日内对评标结果进行确认，采购人依法确定承包方后2个工作日内，采购代理机构在发布招标公告的网站上发布中标公告，同时以书面形式发出《中标通知书》。</w:t>
      </w:r>
    </w:p>
    <w:p>
      <w:pPr>
        <w:pStyle w:val="59"/>
        <w:spacing w:beforeLines="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八、合同授予</w:t>
      </w:r>
    </w:p>
    <w:p>
      <w:pPr>
        <w:pStyle w:val="13"/>
        <w:snapToGrid w:val="0"/>
        <w:spacing w:beforeLines="0" w:afterLines="0" w:line="360" w:lineRule="auto"/>
        <w:ind w:firstLine="420" w:firstLineChars="200"/>
        <w:rPr>
          <w:rFonts w:hAnsi="宋体"/>
          <w:sz w:val="21"/>
          <w:szCs w:val="21"/>
        </w:rPr>
      </w:pPr>
      <w:r>
        <w:rPr>
          <w:rFonts w:hint="eastAsia" w:hAnsi="宋体"/>
          <w:sz w:val="21"/>
          <w:szCs w:val="21"/>
        </w:rPr>
        <w:t>（一）签订合同时，采购代理机构对合同内容进行鉴证，如发现与采购结果和投标承诺内容不一致的，应予以纠正。中标人拖延、拒签合同的,将取消中标资格。</w:t>
      </w:r>
    </w:p>
    <w:p>
      <w:pPr>
        <w:pStyle w:val="13"/>
        <w:snapToGrid w:val="0"/>
        <w:spacing w:beforeLines="0" w:afterLines="0" w:line="360" w:lineRule="auto"/>
        <w:ind w:firstLine="420" w:firstLineChars="200"/>
        <w:rPr>
          <w:rFonts w:hAnsi="宋体"/>
          <w:sz w:val="21"/>
          <w:szCs w:val="21"/>
        </w:rPr>
      </w:pPr>
      <w:r>
        <w:rPr>
          <w:rFonts w:hint="eastAsia" w:hAnsi="宋体"/>
          <w:sz w:val="21"/>
          <w:szCs w:val="21"/>
        </w:rPr>
        <w:t>（二）履约保证金及质量保证金</w:t>
      </w:r>
    </w:p>
    <w:p>
      <w:pPr>
        <w:pStyle w:val="13"/>
        <w:snapToGrid w:val="0"/>
        <w:spacing w:beforeLines="0" w:afterLines="0" w:line="360" w:lineRule="auto"/>
        <w:ind w:firstLine="420" w:firstLineChars="200"/>
        <w:rPr>
          <w:rFonts w:hint="eastAsia" w:hAnsi="宋体" w:eastAsia="宋体"/>
          <w:sz w:val="21"/>
          <w:szCs w:val="21"/>
          <w:lang w:eastAsia="zh-CN"/>
        </w:rPr>
      </w:pPr>
      <w:r>
        <w:rPr>
          <w:rFonts w:hint="eastAsia" w:hAnsi="宋体"/>
          <w:sz w:val="21"/>
          <w:szCs w:val="21"/>
        </w:rPr>
        <w:t>1.签订合同前，承包方应根据采购文件确定的履约保证金的金额，向采购人交纳履约保证金</w:t>
      </w:r>
      <w:r>
        <w:rPr>
          <w:rFonts w:hint="eastAsia" w:hAnsi="宋体"/>
          <w:sz w:val="21"/>
          <w:szCs w:val="21"/>
          <w:lang w:eastAsia="zh-CN"/>
        </w:rPr>
        <w:t>。</w:t>
      </w:r>
    </w:p>
    <w:p>
      <w:pPr>
        <w:pStyle w:val="13"/>
        <w:snapToGrid w:val="0"/>
        <w:spacing w:beforeLines="0" w:afterLines="0" w:line="360" w:lineRule="auto"/>
        <w:ind w:firstLine="420" w:firstLineChars="200"/>
        <w:rPr>
          <w:rFonts w:hAnsi="宋体"/>
          <w:sz w:val="21"/>
          <w:szCs w:val="21"/>
        </w:rPr>
      </w:pPr>
      <w:r>
        <w:rPr>
          <w:rFonts w:hint="eastAsia" w:hAnsi="宋体"/>
          <w:sz w:val="21"/>
          <w:szCs w:val="21"/>
        </w:rPr>
        <w:t>2.签订合同后，如承包方不按双方合同约定履约，则没收其全部履约保证金，履约保证金不足以赔偿损失的，按实际损失赔偿。</w:t>
      </w:r>
    </w:p>
    <w:p>
      <w:r>
        <w:rPr>
          <w:rFonts w:hint="eastAsia"/>
        </w:rPr>
        <w:br w:type="page"/>
      </w:r>
    </w:p>
    <w:p>
      <w:pPr>
        <w:pStyle w:val="20"/>
        <w:spacing w:beforeLines="50" w:after="0" w:line="240" w:lineRule="auto"/>
      </w:pPr>
      <w:r>
        <w:rPr>
          <w:rFonts w:hint="eastAsia"/>
        </w:rPr>
        <w:t>第四部分  评标办法及评分标准</w:t>
      </w:r>
    </w:p>
    <w:p>
      <w:pPr>
        <w:pStyle w:val="15"/>
        <w:spacing w:line="312" w:lineRule="auto"/>
        <w:ind w:left="0" w:firstLine="630" w:firstLineChars="300"/>
        <w:rPr>
          <w:rFonts w:ascii="Arial" w:hAnsi="Arial"/>
          <w:color w:val="auto"/>
          <w:sz w:val="21"/>
          <w:szCs w:val="21"/>
        </w:rPr>
      </w:pPr>
      <w:r>
        <w:rPr>
          <w:rFonts w:hint="eastAsia" w:ascii="Arial" w:hAnsi="Arial"/>
          <w:color w:val="auto"/>
          <w:sz w:val="21"/>
          <w:szCs w:val="21"/>
        </w:rPr>
        <w:t>本办法严格遵照《中华人民共和国政府采购法》、《政府采购货物和服务招标投标管理办法》、《宁波市政府采购招标采购方式暂行实施规程》，结合项目所在地政府有关政府采购规定和项目的实际情况制定。</w:t>
      </w:r>
    </w:p>
    <w:p>
      <w:pPr>
        <w:widowControl/>
        <w:spacing w:line="312" w:lineRule="auto"/>
        <w:jc w:val="left"/>
        <w:rPr>
          <w:rFonts w:ascii="宋体" w:hAnsi="宋体"/>
          <w:b/>
          <w:bCs/>
          <w:szCs w:val="21"/>
        </w:rPr>
      </w:pPr>
      <w:r>
        <w:rPr>
          <w:rFonts w:hint="eastAsia" w:ascii="宋体" w:hAnsi="宋体"/>
          <w:b/>
          <w:bCs/>
          <w:szCs w:val="21"/>
        </w:rPr>
        <w:t>一、总则</w:t>
      </w:r>
    </w:p>
    <w:p>
      <w:pPr>
        <w:widowControl/>
        <w:spacing w:line="312" w:lineRule="auto"/>
        <w:ind w:firstLine="420" w:firstLineChars="200"/>
        <w:jc w:val="left"/>
        <w:rPr>
          <w:rFonts w:ascii="宋体" w:hAnsi="宋体"/>
          <w:szCs w:val="21"/>
        </w:rPr>
      </w:pPr>
      <w:r>
        <w:rPr>
          <w:rFonts w:hint="eastAsia" w:ascii="宋体" w:hAnsi="宋体"/>
          <w:szCs w:val="21"/>
        </w:rPr>
        <w:t>招标活动遵循公平、公正、科学、择优的原则依法进行，招标活动及当事人接受依法实施的监督。本次招标采用综合评分法评标。</w:t>
      </w:r>
    </w:p>
    <w:p>
      <w:pPr>
        <w:widowControl/>
        <w:numPr>
          <w:ilvl w:val="0"/>
          <w:numId w:val="5"/>
        </w:numPr>
        <w:spacing w:line="312" w:lineRule="auto"/>
        <w:jc w:val="left"/>
        <w:rPr>
          <w:rFonts w:ascii="宋体" w:hAnsi="宋体"/>
          <w:b/>
          <w:bCs/>
          <w:szCs w:val="21"/>
        </w:rPr>
      </w:pPr>
      <w:r>
        <w:rPr>
          <w:rFonts w:hint="eastAsia" w:ascii="宋体" w:hAnsi="宋体"/>
          <w:b/>
          <w:bCs/>
          <w:szCs w:val="21"/>
        </w:rPr>
        <w:t>评标过程</w:t>
      </w:r>
    </w:p>
    <w:p>
      <w:pPr>
        <w:spacing w:line="312" w:lineRule="auto"/>
        <w:ind w:firstLine="422" w:firstLineChars="200"/>
        <w:rPr>
          <w:rFonts w:ascii="宋体" w:hAnsi="宋体" w:cs="宋体"/>
          <w:b/>
          <w:bCs/>
        </w:rPr>
      </w:pPr>
      <w:r>
        <w:rPr>
          <w:rFonts w:hint="eastAsia" w:ascii="宋体" w:hAnsi="宋体" w:cs="宋体"/>
          <w:b/>
          <w:bCs/>
        </w:rPr>
        <w:t>本次公开采购招标先开评标段一，标段一结束后开评标段二。</w:t>
      </w:r>
    </w:p>
    <w:p>
      <w:pPr>
        <w:pStyle w:val="15"/>
        <w:widowControl/>
        <w:spacing w:line="312" w:lineRule="auto"/>
        <w:ind w:left="0" w:firstLine="473"/>
        <w:jc w:val="left"/>
        <w:rPr>
          <w:color w:val="auto"/>
          <w:sz w:val="21"/>
          <w:szCs w:val="21"/>
        </w:rPr>
      </w:pPr>
      <w:r>
        <w:rPr>
          <w:rFonts w:hint="eastAsia"/>
          <w:color w:val="auto"/>
          <w:sz w:val="21"/>
          <w:szCs w:val="21"/>
        </w:rPr>
        <w:t>1. 初步审查</w:t>
      </w:r>
    </w:p>
    <w:p>
      <w:pPr>
        <w:widowControl/>
        <w:spacing w:line="312" w:lineRule="auto"/>
        <w:ind w:firstLine="420" w:firstLineChars="200"/>
        <w:jc w:val="left"/>
        <w:rPr>
          <w:rFonts w:ascii="宋体" w:hAnsi="宋体"/>
          <w:szCs w:val="21"/>
        </w:rPr>
      </w:pPr>
      <w:r>
        <w:rPr>
          <w:rFonts w:hint="eastAsia" w:ascii="宋体" w:hAnsi="宋体"/>
          <w:szCs w:val="21"/>
        </w:rPr>
        <w:t>初审分为资格性检查和符合性检查。</w:t>
      </w:r>
    </w:p>
    <w:p>
      <w:pPr>
        <w:widowControl/>
        <w:spacing w:line="312" w:lineRule="auto"/>
        <w:ind w:firstLine="420" w:firstLineChars="200"/>
        <w:jc w:val="left"/>
        <w:rPr>
          <w:rFonts w:ascii="宋体" w:hAnsi="宋体"/>
          <w:szCs w:val="21"/>
        </w:rPr>
      </w:pPr>
      <w:r>
        <w:rPr>
          <w:rFonts w:hint="eastAsia" w:ascii="宋体" w:hAnsi="宋体"/>
          <w:szCs w:val="21"/>
        </w:rPr>
        <w:t>资格性检查。</w:t>
      </w:r>
      <w:r>
        <w:rPr>
          <w:rFonts w:hint="eastAsia" w:ascii="Arial" w:hAnsi="Arial"/>
          <w:szCs w:val="21"/>
        </w:rPr>
        <w:t>采购人或者采购代理机构对投标人的资格进行审查。依据法律法规和招标文件的规定，对投标文件中的资格证明进行审查，以确定投标人是否具备投标资格。</w:t>
      </w:r>
    </w:p>
    <w:p>
      <w:pPr>
        <w:spacing w:line="312" w:lineRule="auto"/>
        <w:ind w:firstLine="420" w:firstLineChars="200"/>
        <w:rPr>
          <w:rFonts w:ascii="宋体" w:hAnsi="宋体"/>
          <w:szCs w:val="21"/>
        </w:rPr>
      </w:pPr>
      <w:r>
        <w:rPr>
          <w:rFonts w:hint="eastAsia" w:ascii="宋体" w:hAnsi="宋体"/>
          <w:szCs w:val="21"/>
        </w:rPr>
        <w:t>符合性检查。</w:t>
      </w:r>
      <w:r>
        <w:rPr>
          <w:rFonts w:hint="eastAsia" w:ascii="Arial" w:hAnsi="Arial"/>
          <w:szCs w:val="21"/>
        </w:rPr>
        <w:t>依据招标文件的规定，从投标人的投标文件的有效性、完整性和对招标文件的响应程度进行审查，以确定是否对招标文件的实质性要求作出响应。</w:t>
      </w:r>
    </w:p>
    <w:p>
      <w:pPr>
        <w:pStyle w:val="15"/>
        <w:widowControl/>
        <w:spacing w:line="312" w:lineRule="auto"/>
        <w:ind w:left="0" w:firstLine="473"/>
        <w:jc w:val="left"/>
        <w:rPr>
          <w:color w:val="auto"/>
          <w:sz w:val="21"/>
          <w:szCs w:val="21"/>
        </w:rPr>
      </w:pPr>
      <w:r>
        <w:rPr>
          <w:rFonts w:hint="eastAsia"/>
          <w:color w:val="auto"/>
          <w:sz w:val="21"/>
          <w:szCs w:val="21"/>
        </w:rPr>
        <w:t>2.澄清问题</w:t>
      </w:r>
    </w:p>
    <w:p>
      <w:pPr>
        <w:widowControl/>
        <w:spacing w:line="312" w:lineRule="auto"/>
        <w:ind w:firstLine="420" w:firstLineChars="200"/>
        <w:jc w:val="left"/>
        <w:rPr>
          <w:rFonts w:ascii="宋体" w:hAnsi="宋体"/>
          <w:szCs w:val="21"/>
        </w:rPr>
      </w:pPr>
      <w:r>
        <w:rPr>
          <w:rFonts w:hint="eastAsia" w:ascii="宋体" w:hAnsi="宋体"/>
          <w:szCs w:val="21"/>
        </w:rPr>
        <w:t>对投标文件中含义不明确、同类问题表述不一致或者有明显文字和计算错误的内容，评标委员会要求投标人作出必要的澄清、说明或者纠正。投标人的澄清、说明或者补正应当采用书面形式，由其授权的代表签字，并不得超出投标文件的范围或者改变投标文件的实质性内容。</w:t>
      </w:r>
    </w:p>
    <w:p>
      <w:pPr>
        <w:pStyle w:val="15"/>
        <w:widowControl/>
        <w:spacing w:line="312" w:lineRule="auto"/>
        <w:ind w:left="0" w:firstLine="473"/>
        <w:jc w:val="left"/>
        <w:rPr>
          <w:color w:val="auto"/>
          <w:sz w:val="21"/>
          <w:szCs w:val="21"/>
        </w:rPr>
      </w:pPr>
      <w:r>
        <w:rPr>
          <w:rFonts w:hint="eastAsia"/>
          <w:color w:val="auto"/>
          <w:sz w:val="21"/>
          <w:szCs w:val="21"/>
        </w:rPr>
        <w:t>3.详细评审</w:t>
      </w:r>
    </w:p>
    <w:p>
      <w:pPr>
        <w:widowControl/>
        <w:spacing w:line="312" w:lineRule="auto"/>
        <w:ind w:firstLine="420" w:firstLineChars="200"/>
        <w:jc w:val="left"/>
        <w:rPr>
          <w:rFonts w:ascii="宋体" w:hAnsi="宋体"/>
          <w:szCs w:val="21"/>
        </w:rPr>
      </w:pPr>
      <w:r>
        <w:rPr>
          <w:rFonts w:hint="eastAsia" w:ascii="宋体" w:hAnsi="宋体"/>
          <w:szCs w:val="21"/>
        </w:rPr>
        <w:t>评标委员会对初步评审合格的投标文件，依照本办法对投标文件作进一步评审、比较。评标委员会成员经过阅标、审标和询标，对各投标人进行打分。</w:t>
      </w:r>
    </w:p>
    <w:p>
      <w:pPr>
        <w:widowControl/>
        <w:spacing w:line="312" w:lineRule="auto"/>
        <w:ind w:firstLine="420" w:firstLineChars="200"/>
        <w:jc w:val="left"/>
        <w:rPr>
          <w:rFonts w:ascii="宋体" w:hAnsi="宋体"/>
          <w:szCs w:val="21"/>
        </w:rPr>
      </w:pPr>
      <w:r>
        <w:rPr>
          <w:rFonts w:hint="eastAsia" w:ascii="Arial" w:hAnsi="Arial"/>
          <w:szCs w:val="21"/>
        </w:rPr>
        <w:t>评委打分参照本部分附表：评分标准表。技术商务得分由各评标委员会成员打分，根据投标人的投标文件及相关澄清文件，进行独立记名打分，取所有评委汇总得分的算术平均分（小数点后保留二位小数）。</w:t>
      </w:r>
      <w:r>
        <w:rPr>
          <w:rFonts w:hint="eastAsia" w:ascii="宋体" w:hAnsi="宋体"/>
          <w:szCs w:val="21"/>
        </w:rPr>
        <w:t>价格分经评标委员会评审后按评分标准表进行统一计算（小数点后保留二位小数）。</w:t>
      </w:r>
    </w:p>
    <w:p>
      <w:pPr>
        <w:widowControl/>
        <w:spacing w:line="312" w:lineRule="auto"/>
        <w:ind w:firstLine="420" w:firstLineChars="200"/>
        <w:jc w:val="left"/>
        <w:rPr>
          <w:rFonts w:ascii="宋体" w:hAnsi="宋体"/>
          <w:szCs w:val="21"/>
        </w:rPr>
      </w:pPr>
      <w:r>
        <w:rPr>
          <w:rFonts w:hint="eastAsia" w:ascii="宋体" w:hAnsi="宋体"/>
          <w:szCs w:val="21"/>
        </w:rPr>
        <w:t>投标人的总得分=技术商务分+价格分。</w:t>
      </w:r>
    </w:p>
    <w:p>
      <w:pPr>
        <w:pStyle w:val="15"/>
        <w:widowControl/>
        <w:spacing w:line="312" w:lineRule="auto"/>
        <w:ind w:left="0" w:firstLine="473"/>
        <w:jc w:val="left"/>
        <w:rPr>
          <w:color w:val="auto"/>
          <w:sz w:val="21"/>
          <w:szCs w:val="21"/>
        </w:rPr>
      </w:pPr>
      <w:r>
        <w:rPr>
          <w:rFonts w:hint="eastAsia"/>
          <w:color w:val="auto"/>
          <w:sz w:val="21"/>
          <w:szCs w:val="21"/>
        </w:rPr>
        <w:t>4.中标原则</w:t>
      </w:r>
    </w:p>
    <w:p>
      <w:pPr>
        <w:spacing w:line="312" w:lineRule="auto"/>
        <w:ind w:firstLine="422" w:firstLineChars="200"/>
        <w:rPr>
          <w:rFonts w:ascii="宋体" w:hAnsi="宋体"/>
          <w:b/>
          <w:szCs w:val="21"/>
        </w:rPr>
      </w:pPr>
      <w:r>
        <w:rPr>
          <w:rFonts w:hint="eastAsia" w:ascii="宋体" w:hAnsi="宋体"/>
          <w:b/>
          <w:szCs w:val="21"/>
        </w:rPr>
        <w:t>本项目按照标段号的前后顺序（即从标段一起评），各投标人仅能按标段号的前后顺序中一个标段，若某一投标人被确定为标段一中标候选人的不进入标段二的评审。</w:t>
      </w:r>
    </w:p>
    <w:p>
      <w:pPr>
        <w:spacing w:line="312" w:lineRule="auto"/>
        <w:ind w:firstLine="420" w:firstLineChars="200"/>
        <w:rPr>
          <w:rFonts w:ascii="宋体" w:hAnsi="宋体"/>
          <w:bCs/>
          <w:szCs w:val="21"/>
        </w:rPr>
      </w:pPr>
      <w:r>
        <w:rPr>
          <w:rFonts w:hint="eastAsia" w:ascii="宋体" w:hAnsi="宋体"/>
          <w:bCs/>
          <w:szCs w:val="21"/>
        </w:rPr>
        <w:t>评标委员会按照各投标人的总得分由高到低排名，推荐总得分最高的的投标人为中标候选人。总得分相同的，价格低者优先中标；若技术商务得分也相同，则由投标人抽签决定。</w:t>
      </w:r>
    </w:p>
    <w:p>
      <w:pPr>
        <w:spacing w:line="312" w:lineRule="auto"/>
        <w:ind w:firstLine="420" w:firstLineChars="200"/>
        <w:rPr>
          <w:rFonts w:ascii="宋体" w:hAnsi="宋体"/>
          <w:bCs/>
          <w:szCs w:val="21"/>
        </w:rPr>
      </w:pPr>
      <w:r>
        <w:rPr>
          <w:rFonts w:hint="eastAsia" w:ascii="宋体" w:hAnsi="宋体"/>
          <w:bCs/>
          <w:szCs w:val="21"/>
        </w:rPr>
        <w:t>如评标过程中出现本招标文件未尽事宜，则有评标委员会讨论决定。</w:t>
      </w:r>
    </w:p>
    <w:p>
      <w:pPr>
        <w:spacing w:line="312" w:lineRule="auto"/>
        <w:ind w:firstLine="420" w:firstLineChars="200"/>
        <w:rPr>
          <w:rFonts w:ascii="宋体" w:hAnsi="宋体"/>
          <w:bCs/>
          <w:szCs w:val="21"/>
        </w:rPr>
      </w:pPr>
      <w:r>
        <w:rPr>
          <w:rFonts w:hint="eastAsia" w:ascii="宋体" w:hAnsi="宋体"/>
          <w:bCs/>
          <w:szCs w:val="21"/>
        </w:rPr>
        <w:t>5.中标结果</w:t>
      </w:r>
    </w:p>
    <w:p>
      <w:pPr>
        <w:spacing w:line="312" w:lineRule="auto"/>
        <w:ind w:firstLine="420" w:firstLineChars="200"/>
        <w:rPr>
          <w:rFonts w:ascii="宋体" w:hAnsi="宋体"/>
          <w:bCs/>
          <w:szCs w:val="21"/>
        </w:rPr>
      </w:pPr>
      <w:r>
        <w:rPr>
          <w:rFonts w:hint="eastAsia" w:ascii="宋体" w:hAnsi="宋体"/>
          <w:bCs/>
          <w:szCs w:val="21"/>
        </w:rPr>
        <w:t>采购机构将中标结果在政府采购指定媒体上公示，根据公示和决标结果，向中标人发出中标通知书。</w:t>
      </w:r>
    </w:p>
    <w:p>
      <w:pPr>
        <w:numPr>
          <w:ilvl w:val="0"/>
          <w:numId w:val="5"/>
        </w:numPr>
        <w:snapToGrid w:val="0"/>
        <w:spacing w:line="312" w:lineRule="auto"/>
        <w:jc w:val="left"/>
        <w:rPr>
          <w:rFonts w:ascii="宋体" w:hAnsi="宋体"/>
          <w:b/>
          <w:bCs/>
          <w:color w:val="000000"/>
          <w:sz w:val="20"/>
          <w:szCs w:val="20"/>
        </w:rPr>
      </w:pPr>
      <w:r>
        <w:rPr>
          <w:rFonts w:hint="eastAsia" w:ascii="宋体" w:hAnsi="宋体"/>
          <w:b/>
          <w:bCs/>
          <w:color w:val="000000"/>
          <w:sz w:val="20"/>
          <w:szCs w:val="20"/>
        </w:rPr>
        <w:t>评标内容及标准</w:t>
      </w:r>
    </w:p>
    <w:p>
      <w:pPr>
        <w:snapToGrid w:val="0"/>
        <w:spacing w:afterLines="30" w:line="440" w:lineRule="exact"/>
        <w:jc w:val="left"/>
      </w:pPr>
      <w:r>
        <w:rPr>
          <w:rFonts w:hint="eastAsia" w:ascii="宋体" w:hAnsi="宋体"/>
          <w:b/>
          <w:bCs/>
          <w:color w:val="000000"/>
          <w:szCs w:val="21"/>
        </w:rPr>
        <w:t>适用于标段一：</w:t>
      </w:r>
    </w:p>
    <w:tbl>
      <w:tblPr>
        <w:tblStyle w:val="2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65"/>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项目及分值</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价格分</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（20分）</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估算、概算、招标控制价审核收费及设计优化收费折扣率得分计算：</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评标基准价=满足招标文件要求的所有有效投标价格中最低的投标报价（折扣率）；投标报价为评标基准价的，得分为满分20分。</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投标报价得分=(评标基准价/投标报价)×20</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投标报价得分以四舍五入保留小数点后一位。</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折扣率为在本项目各标段最高限价基础上的折扣，报价（折扣率）区间为【80%-100%】，低于80%或高于100%的报价作无效标处理。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实施方案（30分）</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投标人估算、概算、招标控制价审核工作和设计优化（初步设计、施工图优化工作）实施方案及公司内控及管理制度优劣以及拟合作设计单位的综合实力、相关设计优化业绩等综合打分。优30-27分，一般27-20分，差20-0分。</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注：评分范围在30-27分之间，对于低于27分的评分，必须经评标委员会三分之二以上成员同意并书面给出明确的理由。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465"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业绩</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（27分）</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业绩1：2016年1月1日以来（以合同签订时间为准）完成单个政府投资项目概算或预算的编制或审核，审核总投资在0.5亿元人民币及以上且个数有5个的，得10分，每增加一个加1分，审核总投资在5亿元人民币及以上的，每增加一个加2分，此项累计最高25分，少于5个的得0分，同个项目不累计计分。（须同时提供立项批复复印件、合同复印件、编制或审核报告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465"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业绩2：2016年1月1日以来（以合同签订时间为准）完成发改部门委托的单个政府投资项目协审，委托内容必须同时包含概算审核及设计优化，审核总投资在0.5亿元人民币及以上的，一个得2分，不累计计分。（须同时提供立项批复复印件、发改部门委托的合同复印件、设计优化业绩成果证明资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465"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公司团队</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（21分）</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企业注册造价工程师10名，得5分，每增加4名注册造价工程师，加1分，最高15分；工程造价咨询资质甲级企业注册造价工程师不足10名的，得0分。（须提供注册造价工程师证书及执业资格证书、最近三个月社保证明，退休返聘人员则须提供退休证及退休返聘合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465"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项目负责人为注册造价工程师且具有高级职称的，得1分；具有“金牌注册造价工程师”的另加1分。最高得2分。（须提供证书、最近三个月社保证明）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1465"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项目组成员中（除项目负责人外）具有高级职称的每人得1分，最高得4分。（须提供高级职称证书、最近三个月社保证明，退休返聘人员则须提供退休证及退休返聘合同，加盖公章）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企业荣誉</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（2分）</w:t>
            </w:r>
          </w:p>
        </w:tc>
        <w:tc>
          <w:tcPr>
            <w:tcW w:w="71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获得过“中国建设工程造价管理协会”颁发的工程造价咨询企业先进单位称号的，得1分。提供获奖文件或证书复印件，加盖公章。</w:t>
            </w:r>
          </w:p>
          <w:p>
            <w:pPr>
              <w:pStyle w:val="2"/>
            </w:pPr>
            <w:r>
              <w:rPr>
                <w:rFonts w:hint="eastAsia" w:asciiTheme="minorEastAsia" w:hAnsiTheme="minorEastAsia" w:eastAsiaTheme="minorEastAsia" w:cstheme="minorEastAsia"/>
                <w:sz w:val="20"/>
                <w:szCs w:val="20"/>
              </w:rPr>
              <w:t>2018年1月1日至今获得市级及以上工程造价咨询优秀企业荣誉的每次得0.5分，最高得1分。提供荣誉证书或政府文件复印件，以证书或文件签发日期为准，加盖公章。</w:t>
            </w:r>
          </w:p>
        </w:tc>
      </w:tr>
    </w:tbl>
    <w:p>
      <w:r>
        <w:rPr>
          <w:rFonts w:hint="eastAsia"/>
        </w:rPr>
        <w:br w:type="page"/>
      </w:r>
    </w:p>
    <w:p>
      <w:pPr>
        <w:snapToGrid w:val="0"/>
        <w:spacing w:line="312" w:lineRule="auto"/>
        <w:jc w:val="left"/>
        <w:rPr>
          <w:rFonts w:ascii="宋体" w:hAnsi="宋体"/>
          <w:b/>
          <w:bCs/>
          <w:color w:val="000000"/>
          <w:sz w:val="20"/>
          <w:szCs w:val="20"/>
        </w:rPr>
      </w:pPr>
      <w:r>
        <w:rPr>
          <w:rFonts w:hint="eastAsia" w:ascii="宋体" w:hAnsi="宋体"/>
          <w:b/>
          <w:bCs/>
          <w:color w:val="000000"/>
          <w:sz w:val="20"/>
          <w:szCs w:val="20"/>
        </w:rPr>
        <w:t>适用于标段二：</w:t>
      </w:r>
    </w:p>
    <w:tbl>
      <w:tblPr>
        <w:tblStyle w:val="2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65"/>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1465"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项目及分值</w:t>
            </w:r>
          </w:p>
        </w:tc>
        <w:tc>
          <w:tcPr>
            <w:tcW w:w="7193"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465"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价格分</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（20分）</w:t>
            </w:r>
          </w:p>
        </w:tc>
        <w:tc>
          <w:tcPr>
            <w:tcW w:w="7193" w:type="dxa"/>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估算、概算、招标控制价审核收费及设计优化收费折扣率得分计算：</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评标基准价=满足招标文件要求的所有有效投标价格中最低的投标报价（折扣率）；投标报价为评标基准价的，得分为满分20分。</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投标报价得分=(评标基准价/投标报价)×20</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投标报价得分以四舍五入保留小数点后一位。</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折扣率为在本项目各标段最高限价基础上的折扣，报价（折扣率）区间为【80%-100%】，低于80%或高于100%的报价作无效标处理。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465"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实施方案（30分）</w:t>
            </w:r>
          </w:p>
        </w:tc>
        <w:tc>
          <w:tcPr>
            <w:tcW w:w="7193" w:type="dxa"/>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投标人估算、概算、招标控制价审核工作和设计优化（初步设计、施工图优化工作）实施方案及公司内控及管理制度优劣以及拟合作设计单位的综合实力、相关设计优化业绩等综合打分。优30-27分，一般27-20分，差20-0分。</w:t>
            </w:r>
          </w:p>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注：评分范围在30-27分之间，对于低于27分的评分，必须经评标委员会三分之二以上成员同意并书面给出明确的理由。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465" w:type="dxa"/>
            <w:vMerge w:val="restart"/>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业绩</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（27分）</w:t>
            </w:r>
          </w:p>
        </w:tc>
        <w:tc>
          <w:tcPr>
            <w:tcW w:w="7193" w:type="dxa"/>
            <w:vAlign w:val="center"/>
          </w:tcPr>
          <w:p>
            <w:pPr>
              <w:spacing w:line="360" w:lineRule="exac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业绩1：2016年1月1日以来（以合同签订时间为准）完成单个政府投资项目概算或预算的编制或审核，审核总投资在0.5亿元人民币及以上且个数有5个的，得10分，每增加一个加1分，审核总投资在5亿元人民币及以上的，每增加一个加2分，此项累计最高25分，少于5个的得0分，同个项目不累计计分。（须同时提供立项批复复印件、合同复印件、编制或审核报告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465" w:type="dxa"/>
            <w:vMerge w:val="continue"/>
            <w:vAlign w:val="center"/>
          </w:tcPr>
          <w:p>
            <w:pPr>
              <w:spacing w:line="360" w:lineRule="exact"/>
              <w:jc w:val="center"/>
              <w:rPr>
                <w:rFonts w:asciiTheme="minorEastAsia" w:hAnsiTheme="minorEastAsia" w:eastAsiaTheme="minorEastAsia" w:cstheme="minorEastAsia"/>
                <w:sz w:val="20"/>
                <w:szCs w:val="20"/>
              </w:rPr>
            </w:pPr>
          </w:p>
        </w:tc>
        <w:tc>
          <w:tcPr>
            <w:tcW w:w="7193" w:type="dxa"/>
            <w:vAlign w:val="center"/>
          </w:tcPr>
          <w:p>
            <w:pPr>
              <w:pStyle w:val="135"/>
              <w:adjustRightInd/>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auto"/>
                <w:kern w:val="2"/>
                <w:sz w:val="20"/>
                <w:szCs w:val="20"/>
              </w:rPr>
              <w:t>业绩2：2016年1月1日以来（以合同签订时间为准）完成发改部门委托的单个政府投资项目协审，委托内容必须同时包含概算审核及设计优化，审核总投资在0.5亿元人民币及以上的，一个得2分，不累计计分。（须同时提供立项批复复印件、发改部门委托的合同复印件、设计优化业绩成果证明资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465" w:type="dxa"/>
            <w:vMerge w:val="restart"/>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公司团队</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（21分）</w:t>
            </w:r>
          </w:p>
        </w:tc>
        <w:tc>
          <w:tcPr>
            <w:tcW w:w="7193" w:type="dxa"/>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注册造价工程师10名，得10分，每增加一名注册造价工程师，加2分，最高16分；</w:t>
            </w:r>
            <w:r>
              <w:rPr>
                <w:rFonts w:hint="eastAsia" w:asciiTheme="minorEastAsia" w:hAnsiTheme="minorEastAsia" w:eastAsiaTheme="minorEastAsia" w:cstheme="minorEastAsia"/>
                <w:sz w:val="20"/>
                <w:szCs w:val="20"/>
              </w:rPr>
              <w:t>工程造价咨询资质甲级企业注册造价工程师不足10名的，</w:t>
            </w:r>
            <w:r>
              <w:rPr>
                <w:rFonts w:hint="eastAsia" w:asciiTheme="minorEastAsia" w:hAnsiTheme="minorEastAsia" w:eastAsiaTheme="minorEastAsia" w:cstheme="minorEastAsia"/>
                <w:color w:val="000000"/>
                <w:sz w:val="20"/>
                <w:szCs w:val="20"/>
              </w:rPr>
              <w:t>得0分。（须提供注册造价工程师证书及执业资格证书、最近三个月社保证明，退休返聘人员则须提供退休证及退休返聘合同，</w:t>
            </w:r>
            <w:r>
              <w:rPr>
                <w:rFonts w:hint="eastAsia" w:asciiTheme="minorEastAsia" w:hAnsiTheme="minorEastAsia" w:eastAsiaTheme="minorEastAsia" w:cstheme="minorEastAsia"/>
                <w:sz w:val="20"/>
                <w:szCs w:val="20"/>
              </w:rPr>
              <w:t>加盖公章</w:t>
            </w:r>
            <w:r>
              <w:rPr>
                <w:rFonts w:hint="eastAsia" w:asciiTheme="minorEastAsia" w:hAnsiTheme="minorEastAsia" w:eastAsiaTheme="minorEastAsia" w:cstheme="minor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1465" w:type="dxa"/>
            <w:vMerge w:val="continue"/>
            <w:vAlign w:val="center"/>
          </w:tcPr>
          <w:p>
            <w:pPr>
              <w:spacing w:line="360" w:lineRule="exact"/>
              <w:jc w:val="center"/>
              <w:rPr>
                <w:rFonts w:asciiTheme="minorEastAsia" w:hAnsiTheme="minorEastAsia" w:eastAsiaTheme="minorEastAsia" w:cstheme="minorEastAsia"/>
                <w:sz w:val="20"/>
                <w:szCs w:val="20"/>
              </w:rPr>
            </w:pPr>
          </w:p>
        </w:tc>
        <w:tc>
          <w:tcPr>
            <w:tcW w:w="7193" w:type="dxa"/>
            <w:vAlign w:val="center"/>
          </w:tcPr>
          <w:p>
            <w:pPr>
              <w:spacing w:line="360" w:lineRule="exac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项目组成员</w:t>
            </w:r>
            <w:r>
              <w:rPr>
                <w:rFonts w:hint="eastAsia" w:asciiTheme="minorEastAsia" w:hAnsiTheme="minorEastAsia" w:eastAsiaTheme="minorEastAsia" w:cstheme="minorEastAsia"/>
                <w:color w:val="000000"/>
                <w:sz w:val="20"/>
                <w:szCs w:val="20"/>
              </w:rPr>
              <w:t>具有高级职称的每人得1分，最高得5分。（须提供高级职称证书、最近三个月社保证明，退休返聘人员则须提供退休证及退休返聘合同，</w:t>
            </w:r>
            <w:r>
              <w:rPr>
                <w:rFonts w:hint="eastAsia" w:asciiTheme="minorEastAsia" w:hAnsiTheme="minorEastAsia" w:eastAsiaTheme="minorEastAsia" w:cstheme="minorEastAsia"/>
                <w:sz w:val="20"/>
                <w:szCs w:val="20"/>
              </w:rPr>
              <w:t>加盖公章</w:t>
            </w:r>
            <w:r>
              <w:rPr>
                <w:rFonts w:hint="eastAsia" w:asciiTheme="minorEastAsia" w:hAnsiTheme="minorEastAsia" w:eastAsiaTheme="minorEastAsia" w:cstheme="minor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1465" w:type="dxa"/>
            <w:vAlign w:val="center"/>
          </w:tcPr>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企业荣誉</w:t>
            </w:r>
          </w:p>
          <w:p>
            <w:pPr>
              <w:spacing w:line="36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（2分）</w:t>
            </w:r>
          </w:p>
        </w:tc>
        <w:tc>
          <w:tcPr>
            <w:tcW w:w="7193" w:type="dxa"/>
            <w:vAlign w:val="center"/>
          </w:tcPr>
          <w:p>
            <w:pPr>
              <w:spacing w:line="36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2018年1月1日至今获得市级及以上工程造价咨询优秀企业荣誉的得2分，提供荣誉证书或政府文件复印件，以证书或文件签发日期为准，加盖公章。</w:t>
            </w:r>
          </w:p>
        </w:tc>
      </w:tr>
    </w:tbl>
    <w:p>
      <w:pPr>
        <w:spacing w:line="400" w:lineRule="exact"/>
        <w:rPr>
          <w:rFonts w:ascii="宋体" w:hAnsi="宋体"/>
          <w:sz w:val="20"/>
          <w:szCs w:val="20"/>
        </w:rPr>
      </w:pPr>
      <w:r>
        <w:rPr>
          <w:rFonts w:hint="eastAsia" w:ascii="宋体" w:hAnsi="宋体" w:cs="宋体"/>
          <w:sz w:val="20"/>
          <w:szCs w:val="20"/>
        </w:rPr>
        <w:t>说明：</w:t>
      </w:r>
    </w:p>
    <w:p>
      <w:pPr>
        <w:pStyle w:val="67"/>
        <w:numPr>
          <w:ilvl w:val="0"/>
          <w:numId w:val="6"/>
        </w:numPr>
        <w:ind w:left="0" w:firstLine="400"/>
        <w:rPr>
          <w:rFonts w:ascii="宋体" w:hAnsi="宋体" w:cs="宋体"/>
          <w:sz w:val="20"/>
          <w:szCs w:val="20"/>
        </w:rPr>
      </w:pPr>
      <w:r>
        <w:rPr>
          <w:rFonts w:hint="eastAsia" w:ascii="宋体" w:hAnsi="宋体" w:cs="宋体"/>
          <w:sz w:val="20"/>
          <w:szCs w:val="20"/>
        </w:rPr>
        <w:t>评审项目中除“价格分”、“实施方案”、“立项批复”外，其余均应提供原件备查。原件备查说明：</w:t>
      </w:r>
      <w:r>
        <w:rPr>
          <w:rFonts w:ascii="宋体" w:hAnsi="宋体" w:cs="宋体"/>
          <w:sz w:val="20"/>
          <w:szCs w:val="20"/>
        </w:rPr>
        <w:t>(1)</w:t>
      </w:r>
      <w:r>
        <w:rPr>
          <w:rFonts w:hint="eastAsia" w:ascii="宋体" w:hAnsi="宋体" w:cs="宋体"/>
          <w:sz w:val="20"/>
          <w:szCs w:val="20"/>
        </w:rPr>
        <w:t>采购代理机构在投标截止时间前接收投标人递交的原件；（</w:t>
      </w:r>
      <w:r>
        <w:rPr>
          <w:rFonts w:ascii="宋体" w:hAnsi="宋体" w:cs="宋体"/>
          <w:sz w:val="20"/>
          <w:szCs w:val="20"/>
        </w:rPr>
        <w:t>2</w:t>
      </w:r>
      <w:r>
        <w:rPr>
          <w:rFonts w:hint="eastAsia" w:ascii="宋体" w:hAnsi="宋体" w:cs="宋体"/>
          <w:sz w:val="20"/>
          <w:szCs w:val="20"/>
        </w:rPr>
        <w:t>）评标委员会评审中认为有需要时对投标人进行原件备查，备查时不能提供原件或提供的原件不符合要求的，不得分。</w:t>
      </w:r>
    </w:p>
    <w:p>
      <w:pPr>
        <w:pStyle w:val="67"/>
        <w:numPr>
          <w:ilvl w:val="0"/>
          <w:numId w:val="6"/>
        </w:numPr>
        <w:ind w:left="0" w:firstLine="400"/>
        <w:rPr>
          <w:rFonts w:ascii="宋体" w:hAnsi="宋体" w:cs="宋体"/>
          <w:sz w:val="20"/>
          <w:szCs w:val="20"/>
        </w:rPr>
      </w:pPr>
      <w:r>
        <w:rPr>
          <w:rFonts w:ascii="宋体" w:hAnsi="宋体" w:cs="宋体"/>
          <w:sz w:val="20"/>
          <w:szCs w:val="20"/>
        </w:rPr>
        <w:t>单个政府投资项目</w:t>
      </w:r>
      <w:r>
        <w:rPr>
          <w:rFonts w:hint="eastAsia" w:ascii="宋体" w:hAnsi="宋体" w:cs="宋体"/>
          <w:sz w:val="20"/>
          <w:szCs w:val="20"/>
        </w:rPr>
        <w:t>以完成立项文件所有内容为准，单个标段不算作单个项目。</w:t>
      </w:r>
    </w:p>
    <w:p>
      <w:pPr>
        <w:ind w:firstLine="400" w:firstLineChars="200"/>
        <w:rPr>
          <w:rFonts w:ascii="宋体" w:hAnsi="宋体"/>
          <w:sz w:val="20"/>
          <w:szCs w:val="20"/>
        </w:rPr>
      </w:pPr>
      <w:r>
        <w:rPr>
          <w:rFonts w:hint="eastAsia" w:ascii="宋体" w:hAnsi="宋体" w:cs="宋体"/>
          <w:sz w:val="20"/>
          <w:szCs w:val="20"/>
        </w:rPr>
        <w:t>3、政府投资项目指政府采用直接投资和资本金注入方式利用下列资金所进行的固定资产投资项目：</w:t>
      </w:r>
    </w:p>
    <w:p>
      <w:pPr>
        <w:ind w:firstLine="400" w:firstLineChars="200"/>
        <w:rPr>
          <w:rFonts w:ascii="宋体" w:hAnsi="宋体"/>
          <w:sz w:val="20"/>
          <w:szCs w:val="20"/>
        </w:rPr>
      </w:pPr>
      <w:r>
        <w:rPr>
          <w:rFonts w:hint="eastAsia" w:ascii="宋体" w:hAnsi="宋体" w:cs="宋体"/>
          <w:sz w:val="20"/>
          <w:szCs w:val="20"/>
        </w:rPr>
        <w:t>3.1财政预算安排的建设资金；</w:t>
      </w:r>
    </w:p>
    <w:p>
      <w:pPr>
        <w:ind w:firstLine="400" w:firstLineChars="200"/>
        <w:rPr>
          <w:rFonts w:ascii="宋体" w:hAnsi="宋体"/>
          <w:sz w:val="20"/>
          <w:szCs w:val="20"/>
        </w:rPr>
      </w:pPr>
      <w:r>
        <w:rPr>
          <w:rFonts w:hint="eastAsia" w:ascii="宋体" w:hAnsi="宋体" w:cs="宋体"/>
          <w:sz w:val="20"/>
          <w:szCs w:val="20"/>
        </w:rPr>
        <w:t>3.2政府融资以及利用国债的资金；</w:t>
      </w:r>
    </w:p>
    <w:p>
      <w:pPr>
        <w:ind w:firstLine="400" w:firstLineChars="200"/>
        <w:rPr>
          <w:rFonts w:ascii="宋体" w:hAnsi="宋体"/>
          <w:sz w:val="20"/>
          <w:szCs w:val="20"/>
        </w:rPr>
      </w:pPr>
      <w:r>
        <w:rPr>
          <w:rFonts w:hint="eastAsia" w:ascii="宋体" w:hAnsi="宋体" w:cs="宋体"/>
          <w:sz w:val="20"/>
          <w:szCs w:val="20"/>
        </w:rPr>
        <w:t>3.3上级政府及主管部门补助的资金；</w:t>
      </w:r>
    </w:p>
    <w:p>
      <w:pPr>
        <w:ind w:firstLine="400" w:firstLineChars="200"/>
        <w:rPr>
          <w:rFonts w:ascii="宋体" w:hAnsi="宋体"/>
          <w:sz w:val="20"/>
          <w:szCs w:val="20"/>
        </w:rPr>
      </w:pPr>
      <w:r>
        <w:rPr>
          <w:rFonts w:hint="eastAsia" w:ascii="宋体" w:hAnsi="宋体" w:cs="宋体"/>
          <w:sz w:val="20"/>
          <w:szCs w:val="20"/>
        </w:rPr>
        <w:t>3.4国际金融组织和外国政府的贷款、赠款；</w:t>
      </w:r>
    </w:p>
    <w:p>
      <w:pPr>
        <w:ind w:firstLine="400" w:firstLineChars="200"/>
        <w:rPr>
          <w:rFonts w:ascii="宋体" w:hAnsi="宋体"/>
          <w:sz w:val="20"/>
          <w:szCs w:val="20"/>
        </w:rPr>
      </w:pPr>
      <w:r>
        <w:rPr>
          <w:rFonts w:hint="eastAsia" w:ascii="宋体" w:hAnsi="宋体" w:cs="宋体"/>
          <w:sz w:val="20"/>
          <w:szCs w:val="20"/>
        </w:rPr>
        <w:t>3.5转让、出售、拍卖国有资产及其经营权所得的国有资产权益收入；</w:t>
      </w:r>
    </w:p>
    <w:p>
      <w:pPr>
        <w:ind w:firstLine="400" w:firstLineChars="200"/>
        <w:rPr>
          <w:sz w:val="20"/>
          <w:szCs w:val="20"/>
        </w:rPr>
      </w:pPr>
      <w:r>
        <w:rPr>
          <w:rFonts w:hint="eastAsia" w:ascii="宋体" w:hAnsi="宋体" w:cs="宋体"/>
          <w:sz w:val="20"/>
          <w:szCs w:val="20"/>
        </w:rPr>
        <w:t>3.6法律、法规和规章规定的其他政府性资金。</w:t>
      </w:r>
    </w:p>
    <w:p>
      <w:pPr>
        <w:ind w:firstLine="420" w:firstLineChars="200"/>
      </w:pPr>
      <w:r>
        <w:rPr>
          <w:rFonts w:hint="eastAsia"/>
        </w:rPr>
        <w:br w:type="page"/>
      </w:r>
    </w:p>
    <w:p>
      <w:pPr>
        <w:pStyle w:val="20"/>
        <w:spacing w:beforeLines="50" w:afterLines="50" w:line="240" w:lineRule="auto"/>
      </w:pPr>
      <w:r>
        <w:rPr>
          <w:rFonts w:hint="eastAsia"/>
        </w:rPr>
        <w:t xml:space="preserve">第五部分 </w:t>
      </w:r>
      <w:r>
        <w:t xml:space="preserve"> </w:t>
      </w:r>
      <w:r>
        <w:rPr>
          <w:rFonts w:hint="eastAsia"/>
        </w:rPr>
        <w:t>投标文件格式</w:t>
      </w:r>
    </w:p>
    <w:p>
      <w:pPr>
        <w:snapToGrid w:val="0"/>
        <w:spacing w:before="60" w:after="60"/>
        <w:ind w:firstLine="420" w:firstLineChars="200"/>
        <w:outlineLvl w:val="1"/>
        <w:rPr>
          <w:rFonts w:ascii="宋体" w:hAnsi="宋体" w:eastAsia="Times New Roman"/>
          <w:b/>
          <w:szCs w:val="20"/>
        </w:rPr>
      </w:pPr>
      <w:r>
        <w:rPr>
          <w:rFonts w:hint="eastAsia" w:ascii="宋体" w:hAnsi="宋体" w:eastAsia="Times New Roman"/>
          <w:b/>
          <w:szCs w:val="21"/>
        </w:rPr>
        <w:t>一、投标文件外层包装封面格式</w:t>
      </w:r>
    </w:p>
    <w:p>
      <w:pPr>
        <w:snapToGrid w:val="0"/>
        <w:spacing w:beforeLines="50" w:after="50" w:line="440" w:lineRule="exact"/>
        <w:jc w:val="center"/>
        <w:rPr>
          <w:rFonts w:ascii="宋体" w:hAnsi="宋体"/>
          <w:b/>
          <w:bCs/>
          <w:sz w:val="32"/>
          <w:szCs w:val="32"/>
        </w:rPr>
      </w:pPr>
      <w:r>
        <w:rPr>
          <w:rFonts w:hint="eastAsia" w:ascii="宋体" w:hAnsi="宋体"/>
          <w:b/>
          <w:bCs/>
          <w:sz w:val="32"/>
          <w:szCs w:val="32"/>
        </w:rPr>
        <w:t>投</w:t>
      </w:r>
      <w:r>
        <w:rPr>
          <w:rFonts w:ascii="宋体" w:hAnsi="宋体"/>
          <w:b/>
          <w:bCs/>
          <w:sz w:val="32"/>
          <w:szCs w:val="32"/>
        </w:rPr>
        <w:t xml:space="preserve"> </w:t>
      </w:r>
      <w:r>
        <w:rPr>
          <w:rFonts w:hint="eastAsia" w:ascii="宋体" w:hAnsi="宋体"/>
          <w:b/>
          <w:bCs/>
          <w:sz w:val="32"/>
          <w:szCs w:val="32"/>
        </w:rPr>
        <w:t>标</w:t>
      </w:r>
      <w:r>
        <w:rPr>
          <w:rFonts w:ascii="宋体" w:hAnsi="宋体"/>
          <w:b/>
          <w:bCs/>
          <w:sz w:val="32"/>
          <w:szCs w:val="32"/>
        </w:rPr>
        <w:t xml:space="preserve"> </w:t>
      </w:r>
      <w:r>
        <w:rPr>
          <w:rFonts w:hint="eastAsia" w:ascii="宋体" w:hAnsi="宋体"/>
          <w:b/>
          <w:bCs/>
          <w:sz w:val="32"/>
          <w:szCs w:val="32"/>
        </w:rPr>
        <w:t>文</w:t>
      </w:r>
      <w:r>
        <w:rPr>
          <w:rFonts w:ascii="宋体" w:hAnsi="宋体"/>
          <w:b/>
          <w:bCs/>
          <w:sz w:val="32"/>
          <w:szCs w:val="32"/>
        </w:rPr>
        <w:t xml:space="preserve"> </w:t>
      </w:r>
      <w:r>
        <w:rPr>
          <w:rFonts w:hint="eastAsia" w:ascii="宋体" w:hAnsi="宋体"/>
          <w:b/>
          <w:bCs/>
          <w:sz w:val="32"/>
          <w:szCs w:val="32"/>
        </w:rPr>
        <w:t xml:space="preserve">件 </w:t>
      </w:r>
    </w:p>
    <w:p>
      <w:pPr>
        <w:snapToGrid w:val="0"/>
        <w:spacing w:beforeLines="50" w:after="50" w:line="440" w:lineRule="exact"/>
        <w:jc w:val="center"/>
        <w:rPr>
          <w:rFonts w:ascii="宋体" w:hAnsi="宋体"/>
          <w:b/>
          <w:bCs/>
          <w:sz w:val="28"/>
          <w:szCs w:val="28"/>
        </w:rPr>
      </w:pPr>
      <w:r>
        <w:rPr>
          <w:rFonts w:hint="eastAsia" w:ascii="宋体" w:hAnsi="宋体"/>
          <w:b/>
          <w:bCs/>
          <w:sz w:val="28"/>
          <w:szCs w:val="28"/>
        </w:rPr>
        <w:t>（资格审查文件/技术商务文件）</w:t>
      </w:r>
    </w:p>
    <w:p>
      <w:pPr>
        <w:snapToGrid w:val="0"/>
        <w:spacing w:after="50" w:line="440" w:lineRule="exact"/>
        <w:ind w:firstLine="932" w:firstLineChars="444"/>
        <w:rPr>
          <w:rFonts w:ascii="宋体" w:hAnsi="宋体"/>
          <w:bCs/>
          <w:szCs w:val="21"/>
        </w:rPr>
      </w:pPr>
      <w:r>
        <w:rPr>
          <w:rFonts w:hint="eastAsia" w:ascii="宋体" w:hAnsi="宋体"/>
          <w:bCs/>
          <w:szCs w:val="21"/>
        </w:rPr>
        <w:t>项目名称：</w:t>
      </w:r>
    </w:p>
    <w:p>
      <w:pPr>
        <w:snapToGrid w:val="0"/>
        <w:spacing w:after="50" w:line="440" w:lineRule="exact"/>
        <w:ind w:firstLine="932" w:firstLineChars="444"/>
        <w:rPr>
          <w:rFonts w:ascii="宋体" w:hAnsi="宋体"/>
          <w:bCs/>
          <w:szCs w:val="21"/>
        </w:rPr>
      </w:pPr>
      <w:r>
        <w:rPr>
          <w:rFonts w:hint="eastAsia" w:ascii="宋体" w:hAnsi="宋体"/>
          <w:bCs/>
          <w:szCs w:val="21"/>
        </w:rPr>
        <w:t>项目编号：</w:t>
      </w:r>
    </w:p>
    <w:p>
      <w:pPr>
        <w:snapToGrid w:val="0"/>
        <w:spacing w:after="50" w:line="440" w:lineRule="exact"/>
        <w:ind w:firstLine="932" w:firstLineChars="444"/>
        <w:rPr>
          <w:rFonts w:ascii="宋体" w:hAnsi="宋体"/>
          <w:bCs/>
          <w:szCs w:val="21"/>
        </w:rPr>
      </w:pPr>
      <w:r>
        <w:rPr>
          <w:rFonts w:hint="eastAsia" w:ascii="宋体" w:hAnsi="宋体" w:cs="Arial"/>
          <w:color w:val="000000"/>
          <w:kern w:val="0"/>
          <w:szCs w:val="21"/>
        </w:rPr>
        <w:t>标段</w:t>
      </w:r>
      <w:r>
        <w:rPr>
          <w:rFonts w:hint="eastAsia" w:ascii="宋体" w:hAnsi="宋体"/>
          <w:bCs/>
          <w:szCs w:val="21"/>
        </w:rPr>
        <w:t>：</w:t>
      </w:r>
    </w:p>
    <w:p>
      <w:pPr>
        <w:snapToGrid w:val="0"/>
        <w:spacing w:after="50" w:line="440" w:lineRule="exact"/>
        <w:ind w:firstLine="932" w:firstLineChars="444"/>
        <w:rPr>
          <w:rFonts w:ascii="宋体" w:hAnsi="宋体"/>
          <w:bCs/>
          <w:szCs w:val="21"/>
        </w:rPr>
      </w:pPr>
      <w:r>
        <w:rPr>
          <w:rFonts w:hint="eastAsia" w:ascii="宋体" w:hAnsi="宋体"/>
          <w:bCs/>
          <w:szCs w:val="21"/>
        </w:rPr>
        <w:t>投标人名称：</w:t>
      </w:r>
    </w:p>
    <w:p>
      <w:pPr>
        <w:snapToGrid w:val="0"/>
        <w:spacing w:after="50" w:line="440" w:lineRule="exact"/>
        <w:ind w:firstLine="932" w:firstLineChars="444"/>
        <w:rPr>
          <w:rFonts w:ascii="宋体" w:hAnsi="宋体"/>
          <w:bCs/>
          <w:szCs w:val="21"/>
        </w:rPr>
      </w:pPr>
      <w:r>
        <w:rPr>
          <w:rFonts w:hint="eastAsia" w:ascii="宋体" w:hAnsi="宋体"/>
          <w:bCs/>
          <w:szCs w:val="21"/>
        </w:rPr>
        <w:t>投标人地址：</w:t>
      </w:r>
    </w:p>
    <w:p>
      <w:pPr>
        <w:snapToGrid w:val="0"/>
        <w:spacing w:before="50" w:after="50" w:line="440" w:lineRule="exact"/>
        <w:ind w:firstLine="2318" w:firstLineChars="1104"/>
        <w:jc w:val="center"/>
        <w:rPr>
          <w:rFonts w:ascii="宋体" w:hAnsi="宋体"/>
          <w:bCs/>
          <w:szCs w:val="21"/>
        </w:rPr>
      </w:pPr>
      <w:r>
        <w:rPr>
          <w:rFonts w:hint="eastAsia" w:ascii="宋体" w:hAnsi="宋体"/>
          <w:bCs/>
          <w:szCs w:val="21"/>
        </w:rPr>
        <w:t>开标时启封</w:t>
      </w:r>
    </w:p>
    <w:p>
      <w:pPr>
        <w:snapToGrid w:val="0"/>
        <w:spacing w:beforeLines="50" w:after="50" w:line="440" w:lineRule="exact"/>
        <w:ind w:firstLine="2318" w:firstLineChars="1104"/>
        <w:jc w:val="center"/>
        <w:rPr>
          <w:rFonts w:ascii="宋体" w:hAnsi="宋体"/>
          <w:szCs w:val="21"/>
        </w:rPr>
      </w:pPr>
      <w:r>
        <w:rPr>
          <w:rFonts w:hint="eastAsia" w:ascii="宋体" w:hAnsi="宋体"/>
          <w:szCs w:val="21"/>
        </w:rPr>
        <w:t>投标单位全称（公章）</w:t>
      </w:r>
    </w:p>
    <w:p>
      <w:pPr>
        <w:snapToGrid w:val="0"/>
        <w:spacing w:beforeLines="50" w:after="50" w:line="440" w:lineRule="exact"/>
        <w:ind w:firstLine="2318" w:firstLineChars="1104"/>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before="60" w:after="60"/>
        <w:ind w:firstLine="420" w:firstLineChars="200"/>
        <w:outlineLvl w:val="1"/>
        <w:rPr>
          <w:rFonts w:ascii="宋体" w:hAnsi="宋体" w:eastAsia="Times New Roman"/>
          <w:b/>
          <w:szCs w:val="21"/>
        </w:rPr>
      </w:pPr>
      <w:r>
        <w:rPr>
          <w:rFonts w:hint="eastAsia" w:ascii="宋体" w:hAnsi="宋体" w:eastAsia="Times New Roman"/>
          <w:b/>
          <w:szCs w:val="21"/>
        </w:rPr>
        <w:t>二、投标文件封面格式</w:t>
      </w:r>
    </w:p>
    <w:p>
      <w:pPr>
        <w:spacing w:line="300" w:lineRule="auto"/>
        <w:ind w:right="240"/>
        <w:jc w:val="right"/>
        <w:rPr>
          <w:rFonts w:ascii="宋体" w:hAnsi="宋体"/>
          <w:sz w:val="24"/>
        </w:rPr>
      </w:pPr>
      <w:r>
        <w:rPr>
          <w:rFonts w:hint="eastAsia" w:ascii="宋体" w:hAnsi="宋体"/>
          <w:b/>
          <w:bCs/>
          <w:sz w:val="24"/>
        </w:rPr>
        <w:t>正本/副本</w:t>
      </w:r>
    </w:p>
    <w:p>
      <w:pPr>
        <w:spacing w:line="300" w:lineRule="auto"/>
        <w:jc w:val="center"/>
        <w:rPr>
          <w:rFonts w:ascii="宋体" w:hAnsi="宋体"/>
          <w:szCs w:val="21"/>
        </w:rPr>
      </w:pPr>
    </w:p>
    <w:p>
      <w:pPr>
        <w:spacing w:line="300" w:lineRule="auto"/>
        <w:jc w:val="center"/>
        <w:rPr>
          <w:rFonts w:ascii="宋体" w:hAnsi="宋体"/>
          <w:b/>
          <w:sz w:val="28"/>
          <w:szCs w:val="28"/>
        </w:rPr>
      </w:pPr>
      <w:r>
        <w:rPr>
          <w:rFonts w:hint="eastAsia" w:ascii="宋体" w:hAnsi="宋体"/>
          <w:b/>
          <w:bCs/>
          <w:sz w:val="28"/>
          <w:szCs w:val="28"/>
        </w:rPr>
        <w:t>投标文件</w:t>
      </w:r>
    </w:p>
    <w:p>
      <w:pPr>
        <w:spacing w:line="300" w:lineRule="auto"/>
        <w:jc w:val="center"/>
        <w:rPr>
          <w:rFonts w:ascii="宋体" w:hAnsi="宋体"/>
          <w:szCs w:val="21"/>
        </w:rPr>
      </w:pPr>
      <w:r>
        <w:rPr>
          <w:rFonts w:hint="eastAsia" w:ascii="宋体" w:hAnsi="宋体"/>
          <w:b/>
          <w:bCs/>
          <w:sz w:val="28"/>
          <w:szCs w:val="28"/>
        </w:rPr>
        <w:t>（资格审查文件/技术商务文件）</w:t>
      </w:r>
    </w:p>
    <w:p>
      <w:pPr>
        <w:spacing w:after="50" w:line="360" w:lineRule="auto"/>
        <w:ind w:firstLine="1260" w:firstLineChars="600"/>
        <w:rPr>
          <w:rFonts w:ascii="宋体" w:hAnsi="宋体"/>
          <w:szCs w:val="21"/>
        </w:rPr>
      </w:pPr>
      <w:r>
        <w:rPr>
          <w:rFonts w:hint="eastAsia" w:ascii="宋体" w:hAnsi="宋体"/>
          <w:szCs w:val="21"/>
        </w:rPr>
        <w:t>项目名称：</w:t>
      </w:r>
    </w:p>
    <w:p>
      <w:pPr>
        <w:spacing w:after="50" w:line="360" w:lineRule="auto"/>
        <w:ind w:firstLine="1260" w:firstLineChars="600"/>
        <w:rPr>
          <w:rFonts w:ascii="宋体" w:hAnsi="宋体"/>
          <w:szCs w:val="21"/>
        </w:rPr>
      </w:pPr>
      <w:r>
        <w:rPr>
          <w:rFonts w:hint="eastAsia" w:ascii="宋体" w:hAnsi="宋体"/>
          <w:szCs w:val="21"/>
        </w:rPr>
        <w:t>项目编号：</w:t>
      </w:r>
    </w:p>
    <w:p>
      <w:pPr>
        <w:spacing w:after="50" w:line="360" w:lineRule="auto"/>
        <w:ind w:firstLine="1260" w:firstLineChars="600"/>
        <w:rPr>
          <w:rFonts w:ascii="宋体" w:hAnsi="宋体"/>
          <w:szCs w:val="21"/>
        </w:rPr>
      </w:pPr>
      <w:r>
        <w:rPr>
          <w:rFonts w:hint="eastAsia" w:ascii="宋体" w:hAnsi="宋体" w:cs="Arial"/>
          <w:color w:val="000000"/>
          <w:kern w:val="0"/>
          <w:szCs w:val="21"/>
        </w:rPr>
        <w:t>标段</w:t>
      </w:r>
      <w:r>
        <w:rPr>
          <w:rFonts w:hint="eastAsia" w:ascii="宋体" w:hAnsi="宋体"/>
          <w:szCs w:val="21"/>
        </w:rPr>
        <w:t>：</w:t>
      </w:r>
    </w:p>
    <w:p>
      <w:pPr>
        <w:spacing w:after="50" w:line="360" w:lineRule="auto"/>
        <w:ind w:firstLine="1260" w:firstLineChars="600"/>
        <w:rPr>
          <w:rFonts w:ascii="宋体" w:hAnsi="宋体"/>
          <w:szCs w:val="21"/>
        </w:rPr>
      </w:pPr>
      <w:r>
        <w:rPr>
          <w:rFonts w:hint="eastAsia" w:ascii="宋体" w:hAnsi="宋体"/>
          <w:szCs w:val="21"/>
        </w:rPr>
        <w:t>投标人名称：</w:t>
      </w:r>
    </w:p>
    <w:p>
      <w:pPr>
        <w:spacing w:after="50" w:line="360" w:lineRule="auto"/>
        <w:ind w:firstLine="1260" w:firstLineChars="600"/>
        <w:rPr>
          <w:rFonts w:ascii="宋体" w:hAnsi="宋体"/>
          <w:szCs w:val="21"/>
        </w:rPr>
      </w:pPr>
      <w:r>
        <w:rPr>
          <w:rFonts w:hint="eastAsia" w:ascii="宋体" w:hAnsi="宋体"/>
          <w:szCs w:val="21"/>
        </w:rPr>
        <w:t>投标人地址：</w:t>
      </w:r>
    </w:p>
    <w:p>
      <w:pPr>
        <w:snapToGrid w:val="0"/>
        <w:spacing w:beforeLines="50" w:after="50" w:line="440" w:lineRule="exact"/>
        <w:ind w:firstLine="2318" w:firstLineChars="1104"/>
        <w:jc w:val="center"/>
        <w:rPr>
          <w:rFonts w:ascii="宋体" w:hAnsi="宋体"/>
          <w:szCs w:val="21"/>
        </w:rPr>
      </w:pPr>
      <w:r>
        <w:rPr>
          <w:rFonts w:hint="eastAsia" w:ascii="宋体" w:hAnsi="宋体"/>
          <w:szCs w:val="21"/>
        </w:rPr>
        <w:t>投标单位全称（公章）</w:t>
      </w:r>
    </w:p>
    <w:p>
      <w:pPr>
        <w:snapToGrid w:val="0"/>
        <w:spacing w:beforeLines="50" w:after="50" w:line="440" w:lineRule="exact"/>
        <w:ind w:firstLine="2318" w:firstLineChars="1104"/>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before="240" w:after="60"/>
        <w:ind w:firstLine="404" w:firstLineChars="200"/>
        <w:outlineLvl w:val="1"/>
        <w:rPr>
          <w:rFonts w:ascii="宋体" w:hAnsi="宋体" w:eastAsia="Times New Roman"/>
          <w:b/>
          <w:szCs w:val="21"/>
        </w:rPr>
      </w:pPr>
      <w:r>
        <w:rPr>
          <w:rFonts w:ascii="宋体" w:hAnsi="宋体" w:eastAsia="Times New Roman"/>
          <w:b/>
          <w:spacing w:val="-4"/>
          <w:szCs w:val="21"/>
        </w:rPr>
        <w:br w:type="page"/>
      </w:r>
      <w:r>
        <w:rPr>
          <w:rFonts w:hint="eastAsia" w:ascii="宋体" w:hAnsi="宋体" w:eastAsia="Times New Roman"/>
          <w:b/>
          <w:szCs w:val="21"/>
        </w:rPr>
        <w:t>三、</w:t>
      </w:r>
      <w:r>
        <w:rPr>
          <w:rFonts w:hint="eastAsia" w:ascii="宋体" w:hAnsi="宋体" w:cs="宋体"/>
          <w:b/>
          <w:szCs w:val="21"/>
        </w:rPr>
        <w:t>响应</w:t>
      </w:r>
      <w:r>
        <w:rPr>
          <w:rFonts w:hint="eastAsia" w:ascii="宋体" w:hAnsi="宋体" w:eastAsia="Times New Roman"/>
          <w:b/>
          <w:szCs w:val="21"/>
        </w:rPr>
        <w:t>文件格式</w:t>
      </w:r>
    </w:p>
    <w:p>
      <w:pPr>
        <w:spacing w:line="600" w:lineRule="exact"/>
        <w:outlineLvl w:val="2"/>
        <w:rPr>
          <w:rFonts w:ascii="宋体" w:hAnsi="宋体"/>
          <w:sz w:val="24"/>
        </w:rPr>
      </w:pPr>
      <w:r>
        <w:rPr>
          <w:rFonts w:hint="eastAsia" w:ascii="宋体" w:hAnsi="宋体"/>
          <w:bCs/>
          <w:sz w:val="24"/>
        </w:rPr>
        <w:t>格式一</w:t>
      </w:r>
    </w:p>
    <w:p>
      <w:pPr>
        <w:spacing w:line="600" w:lineRule="exact"/>
        <w:jc w:val="center"/>
        <w:rPr>
          <w:rFonts w:ascii="宋体" w:hAnsi="宋体"/>
          <w:b/>
          <w:bCs/>
          <w:sz w:val="24"/>
        </w:rPr>
      </w:pPr>
      <w:r>
        <w:rPr>
          <w:rFonts w:hint="eastAsia" w:ascii="宋体" w:hAnsi="宋体"/>
          <w:b/>
          <w:bCs/>
          <w:sz w:val="24"/>
        </w:rPr>
        <w:t>资格证明材料承诺函</w:t>
      </w:r>
    </w:p>
    <w:p>
      <w:pPr>
        <w:widowControl/>
        <w:adjustRightInd w:val="0"/>
        <w:snapToGrid w:val="0"/>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w:t>
      </w:r>
    </w:p>
    <w:p>
      <w:pPr>
        <w:widowControl/>
        <w:adjustRightInd w:val="0"/>
        <w:snapToGrid w:val="0"/>
        <w:spacing w:line="480" w:lineRule="exact"/>
        <w:ind w:firstLine="420" w:firstLineChars="200"/>
        <w:rPr>
          <w:rFonts w:ascii="宋体" w:hAnsi="宋体"/>
          <w:szCs w:val="21"/>
        </w:rPr>
      </w:pPr>
      <w:r>
        <w:rPr>
          <w:rFonts w:hint="eastAsia" w:ascii="宋体" w:hAnsi="宋体"/>
          <w:szCs w:val="21"/>
        </w:rPr>
        <w:t>我单位</w:t>
      </w:r>
      <w:r>
        <w:rPr>
          <w:rFonts w:hint="eastAsia" w:ascii="宋体" w:hAnsi="宋体"/>
          <w:szCs w:val="21"/>
          <w:u w:val="single"/>
        </w:rPr>
        <w:t xml:space="preserve">                   </w:t>
      </w:r>
      <w:r>
        <w:rPr>
          <w:rFonts w:hint="eastAsia" w:ascii="宋体" w:hAnsi="宋体"/>
          <w:szCs w:val="21"/>
        </w:rPr>
        <w:t>（供应商名称）已认真阅读</w:t>
      </w:r>
      <w:r>
        <w:rPr>
          <w:rFonts w:hint="eastAsia" w:ascii="宋体" w:hAnsi="宋体" w:cs="宋体"/>
          <w:kern w:val="0"/>
          <w:szCs w:val="21"/>
        </w:rPr>
        <w:t>《中华人民共和国政府采购法》及《采购</w:t>
      </w:r>
      <w:r>
        <w:rPr>
          <w:rFonts w:hint="eastAsia" w:ascii="宋体" w:hAnsi="宋体"/>
          <w:szCs w:val="21"/>
        </w:rPr>
        <w:t>文件</w:t>
      </w:r>
      <w:r>
        <w:rPr>
          <w:rFonts w:hint="eastAsia" w:ascii="宋体" w:hAnsi="宋体" w:cs="宋体"/>
          <w:kern w:val="0"/>
          <w:szCs w:val="21"/>
        </w:rPr>
        <w:t>》</w:t>
      </w:r>
      <w:r>
        <w:rPr>
          <w:rFonts w:hint="eastAsia" w:ascii="宋体" w:hAnsi="宋体"/>
          <w:szCs w:val="21"/>
          <w:u w:val="single"/>
        </w:rPr>
        <w:t xml:space="preserve">                        </w:t>
      </w:r>
      <w:r>
        <w:rPr>
          <w:rFonts w:hint="eastAsia" w:ascii="宋体" w:hAnsi="宋体"/>
          <w:szCs w:val="21"/>
        </w:rPr>
        <w:t>（项目名称），政府采购编号：</w:t>
      </w:r>
      <w:r>
        <w:rPr>
          <w:rFonts w:hint="eastAsia" w:ascii="宋体" w:hAnsi="宋体"/>
          <w:szCs w:val="21"/>
          <w:u w:val="single"/>
        </w:rPr>
        <w:t xml:space="preserve">           </w:t>
      </w:r>
      <w:r>
        <w:rPr>
          <w:rFonts w:hint="eastAsia" w:ascii="宋体" w:hAnsi="宋体"/>
          <w:szCs w:val="21"/>
        </w:rPr>
        <w:t>标段：</w:t>
      </w:r>
      <w:r>
        <w:rPr>
          <w:rFonts w:hint="eastAsia" w:ascii="宋体" w:hAnsi="宋体"/>
          <w:szCs w:val="21"/>
          <w:u w:val="single"/>
        </w:rPr>
        <w:t xml:space="preserve">   </w:t>
      </w:r>
      <w:r>
        <w:rPr>
          <w:rFonts w:hint="eastAsia" w:ascii="宋体" w:hAnsi="宋体"/>
          <w:szCs w:val="21"/>
        </w:rPr>
        <w:t xml:space="preserve"> 相关内容，知悉供应商参加政府采购活动应当具备的条件。此次按《采购文件》要求提交的供应商资格证明材料，已经认真核对和检查，全部内容真实、合法、准确和完整，我们对此负责，并愿承担由此引起的法律责任。</w:t>
      </w:r>
    </w:p>
    <w:p>
      <w:pPr>
        <w:adjustRightInd w:val="0"/>
        <w:snapToGrid w:val="0"/>
        <w:spacing w:line="480" w:lineRule="exact"/>
        <w:ind w:firstLine="420" w:firstLineChars="200"/>
        <w:rPr>
          <w:rFonts w:ascii="宋体" w:hAnsi="宋体"/>
          <w:szCs w:val="21"/>
        </w:rPr>
      </w:pPr>
      <w:r>
        <w:rPr>
          <w:rFonts w:hint="eastAsia" w:ascii="宋体" w:hAnsi="宋体"/>
          <w:szCs w:val="21"/>
        </w:rPr>
        <w:t xml:space="preserve">一、我方在此声明： </w:t>
      </w:r>
    </w:p>
    <w:p>
      <w:pPr>
        <w:adjustRightInd w:val="0"/>
        <w:snapToGrid w:val="0"/>
        <w:spacing w:line="480" w:lineRule="exact"/>
        <w:ind w:firstLine="420" w:firstLineChars="200"/>
        <w:rPr>
          <w:rFonts w:ascii="宋体" w:hAnsi="宋体"/>
          <w:szCs w:val="21"/>
        </w:rPr>
      </w:pPr>
      <w:r>
        <w:rPr>
          <w:rFonts w:hint="eastAsia" w:ascii="宋体" w:hAnsi="宋体"/>
          <w:szCs w:val="21"/>
        </w:rPr>
        <w:t>（一）我方与采购人或采购代理机构不存在</w:t>
      </w:r>
      <w:r>
        <w:rPr>
          <w:rFonts w:hint="eastAsia" w:ascii="宋体" w:hAnsi="宋体"/>
          <w:bCs/>
          <w:szCs w:val="21"/>
        </w:rPr>
        <w:t>隶属关系或者其他利害关系</w:t>
      </w:r>
      <w:r>
        <w:rPr>
          <w:rFonts w:hint="eastAsia" w:ascii="宋体" w:hAnsi="宋体"/>
          <w:szCs w:val="21"/>
        </w:rPr>
        <w:t>。</w:t>
      </w:r>
    </w:p>
    <w:p>
      <w:pPr>
        <w:adjustRightInd w:val="0"/>
        <w:snapToGrid w:val="0"/>
        <w:spacing w:line="480" w:lineRule="exact"/>
        <w:ind w:firstLine="420" w:firstLineChars="200"/>
        <w:rPr>
          <w:rFonts w:ascii="宋体" w:hAnsi="宋体"/>
          <w:szCs w:val="21"/>
        </w:rPr>
      </w:pPr>
      <w:r>
        <w:rPr>
          <w:rFonts w:hint="eastAsia" w:ascii="宋体" w:hAnsi="宋体"/>
          <w:szCs w:val="21"/>
        </w:rPr>
        <w:t>（二）我方与参加本项目的其他供应商不存在直接控股、管理关系，或者与其他供应商</w:t>
      </w:r>
      <w:r>
        <w:rPr>
          <w:rFonts w:hint="eastAsia" w:ascii="宋体" w:hAnsi="宋体"/>
          <w:color w:val="000000"/>
          <w:szCs w:val="21"/>
        </w:rPr>
        <w:t>法定代表人</w:t>
      </w:r>
      <w:r>
        <w:rPr>
          <w:rFonts w:hint="eastAsia" w:ascii="宋体" w:hAnsi="宋体"/>
          <w:szCs w:val="21"/>
        </w:rPr>
        <w:t>为同一人。</w:t>
      </w:r>
    </w:p>
    <w:p>
      <w:pPr>
        <w:adjustRightInd w:val="0"/>
        <w:snapToGrid w:val="0"/>
        <w:spacing w:line="480" w:lineRule="exact"/>
        <w:ind w:firstLine="420" w:firstLineChars="200"/>
        <w:rPr>
          <w:rFonts w:ascii="宋体" w:hAnsi="宋体"/>
          <w:szCs w:val="21"/>
        </w:rPr>
      </w:pPr>
      <w:r>
        <w:rPr>
          <w:rFonts w:hint="eastAsia" w:ascii="宋体" w:hAnsi="宋体"/>
          <w:szCs w:val="21"/>
        </w:rPr>
        <w:t>（三）我方未为本项目提供整体设计、规范编制或者项目管理、监理、检测等服务。</w:t>
      </w:r>
    </w:p>
    <w:p>
      <w:pPr>
        <w:adjustRightInd w:val="0"/>
        <w:snapToGrid w:val="0"/>
        <w:spacing w:line="480" w:lineRule="exact"/>
        <w:ind w:firstLine="420" w:firstLineChars="200"/>
        <w:rPr>
          <w:rFonts w:ascii="宋体" w:hAnsi="宋体" w:cs="Courier New"/>
          <w:szCs w:val="21"/>
        </w:rPr>
      </w:pPr>
      <w:r>
        <w:rPr>
          <w:rFonts w:hint="eastAsia" w:ascii="宋体" w:hAnsi="宋体" w:cs="Courier New"/>
          <w:szCs w:val="21"/>
        </w:rPr>
        <w:t>二、我方承诺：</w:t>
      </w:r>
    </w:p>
    <w:p>
      <w:pPr>
        <w:adjustRightInd w:val="0"/>
        <w:snapToGrid w:val="0"/>
        <w:spacing w:line="480" w:lineRule="exact"/>
        <w:ind w:left="1" w:firstLine="420" w:firstLineChars="200"/>
        <w:rPr>
          <w:rFonts w:ascii="宋体" w:hAnsi="宋体"/>
          <w:szCs w:val="21"/>
        </w:rPr>
      </w:pPr>
      <w:r>
        <w:rPr>
          <w:rFonts w:hint="eastAsia" w:ascii="宋体" w:hAnsi="宋体"/>
          <w:bCs/>
          <w:szCs w:val="21"/>
        </w:rPr>
        <w:t>（一）我方</w:t>
      </w:r>
      <w:r>
        <w:rPr>
          <w:rFonts w:hint="eastAsia" w:ascii="宋体" w:hAnsi="宋体"/>
          <w:szCs w:val="21"/>
        </w:rPr>
        <w:t>依法缴纳了各项税费及各项社会保障资金，没有偷税、漏税及欠缴行为。</w:t>
      </w:r>
    </w:p>
    <w:p>
      <w:pPr>
        <w:adjustRightInd w:val="0"/>
        <w:snapToGrid w:val="0"/>
        <w:spacing w:line="480" w:lineRule="exact"/>
        <w:ind w:firstLine="420" w:firstLineChars="200"/>
        <w:rPr>
          <w:rFonts w:ascii="宋体" w:hAnsi="宋体"/>
          <w:bCs/>
          <w:szCs w:val="21"/>
        </w:rPr>
      </w:pPr>
      <w:r>
        <w:rPr>
          <w:rFonts w:hint="eastAsia" w:ascii="宋体" w:hAnsi="宋体"/>
          <w:bCs/>
          <w:szCs w:val="21"/>
        </w:rPr>
        <w:t>（二）我方（承诺期：成立三年以上的，为提交投标文件截止时间前三年内；成立不足三年的，为实际时间）在经营活动中没有存在下列重大违法记录：</w:t>
      </w:r>
    </w:p>
    <w:p>
      <w:pPr>
        <w:adjustRightInd w:val="0"/>
        <w:snapToGrid w:val="0"/>
        <w:spacing w:line="480" w:lineRule="exact"/>
        <w:ind w:firstLine="420" w:firstLineChars="200"/>
        <w:rPr>
          <w:rFonts w:ascii="宋体" w:hAnsi="宋体"/>
          <w:bCs/>
          <w:szCs w:val="21"/>
        </w:rPr>
      </w:pPr>
      <w:r>
        <w:rPr>
          <w:rFonts w:hint="eastAsia" w:ascii="宋体" w:hAnsi="宋体"/>
          <w:bCs/>
          <w:szCs w:val="21"/>
        </w:rPr>
        <w:t>1、受到刑事处罚；</w:t>
      </w:r>
    </w:p>
    <w:p>
      <w:pPr>
        <w:adjustRightInd w:val="0"/>
        <w:snapToGrid w:val="0"/>
        <w:spacing w:line="480" w:lineRule="exact"/>
        <w:ind w:firstLine="420" w:firstLineChars="200"/>
        <w:rPr>
          <w:rFonts w:ascii="宋体" w:hAnsi="宋体"/>
          <w:bCs/>
          <w:szCs w:val="21"/>
        </w:rPr>
      </w:pPr>
      <w:r>
        <w:rPr>
          <w:rFonts w:hint="eastAsia" w:ascii="宋体" w:hAnsi="宋体"/>
          <w:bCs/>
          <w:szCs w:val="21"/>
        </w:rPr>
        <w:t>2、责令停产停业、吊销许可证或者执照、较大数额罚款等行政处罚。</w:t>
      </w:r>
    </w:p>
    <w:p>
      <w:pPr>
        <w:adjustRightInd w:val="0"/>
        <w:snapToGrid w:val="0"/>
        <w:spacing w:line="480" w:lineRule="exact"/>
        <w:ind w:firstLine="420" w:firstLineChars="200"/>
        <w:rPr>
          <w:rFonts w:ascii="宋体" w:hAnsi="宋体"/>
          <w:bCs/>
          <w:szCs w:val="21"/>
        </w:rPr>
      </w:pPr>
      <w:bookmarkStart w:id="1" w:name="_Hlt10637982"/>
      <w:bookmarkStart w:id="2" w:name="_Hlt10637983"/>
      <w:r>
        <w:rPr>
          <w:rFonts w:hint="eastAsia" w:ascii="宋体" w:hAnsi="宋体"/>
          <w:bCs/>
          <w:szCs w:val="21"/>
        </w:rPr>
        <w:t>（三）我方未被列入信用中国（www.creditchina.gov.cn）、中国政府采购网（www.ccgp.gov.cn）失信被执行人名单、重大税收违法案件当事人名单、政府采购严重违法失信行为记录名单且</w:t>
      </w:r>
      <w:r>
        <w:rPr>
          <w:rFonts w:hint="eastAsia"/>
        </w:rPr>
        <w:t>在禁止参加采购期限</w:t>
      </w:r>
      <w:r>
        <w:rPr>
          <w:rFonts w:hint="eastAsia" w:ascii="宋体" w:hAnsi="宋体"/>
          <w:bCs/>
          <w:szCs w:val="21"/>
        </w:rPr>
        <w:t>。</w:t>
      </w:r>
      <w:bookmarkEnd w:id="1"/>
      <w:bookmarkEnd w:id="2"/>
    </w:p>
    <w:p>
      <w:pPr>
        <w:adjustRightInd w:val="0"/>
        <w:snapToGrid w:val="0"/>
        <w:spacing w:line="480" w:lineRule="exact"/>
        <w:ind w:firstLine="2723" w:firstLineChars="1297"/>
        <w:rPr>
          <w:rFonts w:ascii="宋体" w:hAnsi="宋体"/>
          <w:szCs w:val="21"/>
        </w:rPr>
      </w:pPr>
    </w:p>
    <w:p>
      <w:pPr>
        <w:adjustRightInd w:val="0"/>
        <w:snapToGrid w:val="0"/>
        <w:spacing w:line="480" w:lineRule="exact"/>
        <w:ind w:firstLine="2723" w:firstLineChars="1297"/>
        <w:rPr>
          <w:rFonts w:ascii="宋体" w:hAnsi="宋体"/>
          <w:szCs w:val="21"/>
        </w:rPr>
      </w:pPr>
    </w:p>
    <w:p>
      <w:pPr>
        <w:spacing w:line="480" w:lineRule="exact"/>
        <w:ind w:firstLine="4678" w:firstLineChars="2228"/>
        <w:rPr>
          <w:rFonts w:ascii="宋体" w:hAnsi="宋体"/>
          <w:szCs w:val="21"/>
          <w:u w:val="single"/>
        </w:rPr>
      </w:pPr>
      <w:r>
        <w:rPr>
          <w:rFonts w:hint="eastAsia" w:ascii="宋体" w:hAnsi="宋体"/>
          <w:szCs w:val="21"/>
        </w:rPr>
        <w:t>供应商名称（盖单位章）：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480" w:lineRule="exact"/>
        <w:ind w:firstLine="4678" w:firstLineChars="2228"/>
        <w:rPr>
          <w:rFonts w:ascii="宋体" w:hAnsi="宋体"/>
          <w:szCs w:val="21"/>
          <w:u w:val="single"/>
        </w:rPr>
      </w:pPr>
      <w:r>
        <w:rPr>
          <w:rFonts w:hint="eastAsia" w:ascii="宋体" w:hAnsi="宋体"/>
          <w:color w:val="000000"/>
          <w:szCs w:val="21"/>
        </w:rPr>
        <w:t>法定代表人</w:t>
      </w:r>
      <w:r>
        <w:rPr>
          <w:rFonts w:hint="eastAsia" w:ascii="宋体" w:hAnsi="宋体"/>
          <w:szCs w:val="21"/>
        </w:rPr>
        <w:t>（签名）：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pStyle w:val="52"/>
        <w:ind w:firstLine="4678" w:firstLineChars="2228"/>
      </w:pPr>
      <w:r>
        <w:rPr>
          <w:rFonts w:hint="eastAsia"/>
        </w:rPr>
        <w:t xml:space="preserve">日    期：          </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pPr>
        <w:spacing w:beforeLines="50" w:after="60"/>
        <w:ind w:firstLine="480" w:firstLineChars="200"/>
        <w:outlineLvl w:val="2"/>
        <w:rPr>
          <w:rFonts w:ascii="宋体" w:hAnsi="宋体"/>
          <w:sz w:val="24"/>
        </w:rPr>
      </w:pPr>
      <w:r>
        <w:rPr>
          <w:rFonts w:ascii="宋体" w:hAnsi="宋体"/>
          <w:sz w:val="24"/>
        </w:rPr>
        <w:br w:type="page"/>
      </w:r>
      <w:r>
        <w:rPr>
          <w:rFonts w:hint="eastAsia" w:ascii="宋体" w:hAnsi="宋体"/>
          <w:sz w:val="24"/>
        </w:rPr>
        <w:t>格式二</w:t>
      </w:r>
    </w:p>
    <w:p>
      <w:pPr>
        <w:widowControl/>
        <w:spacing w:line="360" w:lineRule="auto"/>
        <w:jc w:val="center"/>
        <w:rPr>
          <w:rFonts w:ascii="Arial" w:hAnsi="Arial"/>
          <w:b/>
          <w:sz w:val="24"/>
        </w:rPr>
      </w:pPr>
      <w:r>
        <w:rPr>
          <w:rFonts w:hint="eastAsia" w:ascii="Arial" w:hAnsi="Arial"/>
          <w:b/>
          <w:sz w:val="24"/>
        </w:rPr>
        <w:t>法定代表人身份证明</w:t>
      </w:r>
    </w:p>
    <w:p>
      <w:pPr>
        <w:widowControl/>
        <w:adjustRightInd w:val="0"/>
        <w:spacing w:line="360" w:lineRule="auto"/>
        <w:jc w:val="left"/>
        <w:rPr>
          <w:rFonts w:ascii="Arial" w:hAnsi="Arial"/>
          <w:b/>
          <w:szCs w:val="21"/>
        </w:rPr>
      </w:pPr>
    </w:p>
    <w:p>
      <w:pPr>
        <w:widowControl/>
        <w:spacing w:line="360" w:lineRule="auto"/>
        <w:rPr>
          <w:rFonts w:ascii="Arial" w:hAnsi="Arial"/>
          <w:szCs w:val="21"/>
        </w:rPr>
      </w:pPr>
      <w:r>
        <w:rPr>
          <w:rFonts w:hint="eastAsia" w:ascii="Arial" w:hAnsi="Arial"/>
          <w:szCs w:val="21"/>
        </w:rPr>
        <w:t>单位名称：</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地    址：</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姓    名：</w:t>
      </w:r>
      <w:r>
        <w:rPr>
          <w:rFonts w:hint="eastAsia" w:ascii="Arial" w:hAnsi="Arial"/>
          <w:szCs w:val="21"/>
          <w:u w:val="single"/>
        </w:rPr>
        <w:t xml:space="preserve">                    </w:t>
      </w:r>
      <w:r>
        <w:rPr>
          <w:rFonts w:hint="eastAsia" w:ascii="Arial" w:hAnsi="Arial"/>
          <w:szCs w:val="21"/>
        </w:rPr>
        <w:t xml:space="preserve"> 性    别：</w:t>
      </w:r>
      <w:r>
        <w:rPr>
          <w:rFonts w:hint="eastAsia" w:ascii="Arial" w:hAnsi="Arial"/>
          <w:szCs w:val="21"/>
          <w:u w:val="single"/>
        </w:rPr>
        <w:t xml:space="preserve">                    </w:t>
      </w:r>
    </w:p>
    <w:p>
      <w:pPr>
        <w:widowControl/>
        <w:spacing w:line="360" w:lineRule="auto"/>
        <w:rPr>
          <w:rFonts w:ascii="Arial" w:hAnsi="Arial"/>
          <w:szCs w:val="21"/>
          <w:u w:val="single"/>
        </w:rPr>
      </w:pPr>
      <w:r>
        <w:rPr>
          <w:rFonts w:hint="eastAsia" w:ascii="Arial" w:hAnsi="Arial"/>
          <w:szCs w:val="21"/>
        </w:rPr>
        <w:t>年    龄：</w:t>
      </w:r>
      <w:r>
        <w:rPr>
          <w:rFonts w:hint="eastAsia" w:ascii="Arial" w:hAnsi="Arial"/>
          <w:szCs w:val="21"/>
          <w:u w:val="single"/>
        </w:rPr>
        <w:t xml:space="preserve">                    </w:t>
      </w:r>
      <w:r>
        <w:rPr>
          <w:rFonts w:hint="eastAsia" w:ascii="Arial" w:hAnsi="Arial"/>
          <w:szCs w:val="21"/>
        </w:rPr>
        <w:t xml:space="preserve"> 职    务：</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身份证号码：</w:t>
      </w:r>
      <w:r>
        <w:rPr>
          <w:rFonts w:hint="eastAsia" w:ascii="Arial" w:hAnsi="Arial"/>
          <w:szCs w:val="21"/>
          <w:u w:val="single"/>
        </w:rPr>
        <w:t xml:space="preserve">                                    </w:t>
      </w:r>
    </w:p>
    <w:p>
      <w:pPr>
        <w:widowControl/>
        <w:spacing w:line="360" w:lineRule="auto"/>
        <w:rPr>
          <w:rFonts w:ascii="Arial" w:hAnsi="Arial"/>
          <w:szCs w:val="21"/>
        </w:rPr>
      </w:pPr>
      <w:r>
        <w:rPr>
          <w:rFonts w:hint="eastAsia" w:ascii="Arial" w:hAnsi="Arial"/>
          <w:szCs w:val="21"/>
        </w:rPr>
        <w:t xml:space="preserve">    系</w:t>
      </w:r>
      <w:r>
        <w:rPr>
          <w:rFonts w:hint="eastAsia" w:ascii="Arial" w:hAnsi="Arial"/>
          <w:szCs w:val="21"/>
          <w:u w:val="single"/>
        </w:rPr>
        <w:t xml:space="preserve">         （投标人名称）      </w:t>
      </w:r>
      <w:r>
        <w:rPr>
          <w:rFonts w:hint="eastAsia" w:ascii="Arial" w:hAnsi="Arial"/>
          <w:szCs w:val="21"/>
        </w:rPr>
        <w:t>的法定代表人，为</w:t>
      </w:r>
      <w:r>
        <w:rPr>
          <w:rFonts w:hint="eastAsia" w:ascii="Arial" w:hAnsi="Arial"/>
          <w:szCs w:val="21"/>
          <w:u w:val="single"/>
        </w:rPr>
        <w:t xml:space="preserve">     （招标编号、项目名称）   </w:t>
      </w:r>
      <w:r>
        <w:rPr>
          <w:rFonts w:hint="eastAsia" w:ascii="Arial" w:hAnsi="Arial"/>
          <w:szCs w:val="21"/>
        </w:rPr>
        <w:t>项目，签署上述项目的投标文件，进行合同谈判、签署合同和处理与之有关的一切事宜。</w:t>
      </w:r>
    </w:p>
    <w:p>
      <w:pPr>
        <w:widowControl/>
        <w:spacing w:line="360" w:lineRule="auto"/>
        <w:rPr>
          <w:rFonts w:ascii="Arial" w:hAnsi="Arial"/>
          <w:szCs w:val="21"/>
        </w:rPr>
      </w:pPr>
      <w:r>
        <w:rPr>
          <w:rFonts w:hint="eastAsia" w:ascii="Arial" w:hAnsi="Arial"/>
          <w:szCs w:val="21"/>
        </w:rPr>
        <w:t xml:space="preserve">    特此证明。</w:t>
      </w:r>
    </w:p>
    <w:p>
      <w:pPr>
        <w:widowControl/>
        <w:spacing w:line="360" w:lineRule="auto"/>
        <w:rPr>
          <w:rFonts w:ascii="Arial" w:hAnsi="Arial"/>
          <w:szCs w:val="21"/>
        </w:rPr>
      </w:pPr>
    </w:p>
    <w:p>
      <w:pPr>
        <w:widowControl/>
        <w:spacing w:line="360" w:lineRule="auto"/>
        <w:rPr>
          <w:rFonts w:ascii="Arial" w:hAnsi="Arial"/>
          <w:szCs w:val="21"/>
        </w:rPr>
      </w:pPr>
      <w:r>
        <w:rPr>
          <w:rFonts w:hint="eastAsia" w:ascii="Arial" w:hAnsi="Arial"/>
          <w:szCs w:val="21"/>
        </w:rPr>
        <w:t>后附法定代表人身份证正反面复印件，加盖公章。</w:t>
      </w:r>
    </w:p>
    <w:p>
      <w:pPr>
        <w:widowControl/>
        <w:spacing w:line="360" w:lineRule="auto"/>
        <w:rPr>
          <w:rFonts w:ascii="Arial" w:hAnsi="Arial"/>
          <w:szCs w:val="21"/>
        </w:rPr>
      </w:pPr>
    </w:p>
    <w:p>
      <w:pPr>
        <w:widowControl/>
        <w:spacing w:line="360" w:lineRule="auto"/>
        <w:rPr>
          <w:rFonts w:ascii="Arial" w:hAnsi="Arial"/>
          <w:szCs w:val="21"/>
        </w:rPr>
      </w:pPr>
    </w:p>
    <w:p>
      <w:pPr>
        <w:widowControl/>
        <w:spacing w:line="360" w:lineRule="auto"/>
        <w:rPr>
          <w:rFonts w:ascii="Arial" w:hAnsi="Arial"/>
          <w:szCs w:val="21"/>
        </w:rPr>
      </w:pPr>
    </w:p>
    <w:p>
      <w:pPr>
        <w:widowControl/>
        <w:spacing w:line="360" w:lineRule="auto"/>
        <w:rPr>
          <w:rFonts w:ascii="Arial" w:hAnsi="Arial"/>
          <w:szCs w:val="21"/>
        </w:rPr>
      </w:pPr>
    </w:p>
    <w:p>
      <w:pPr>
        <w:widowControl/>
        <w:spacing w:line="360" w:lineRule="auto"/>
        <w:rPr>
          <w:rFonts w:ascii="Arial" w:hAnsi="Arial"/>
          <w:szCs w:val="21"/>
        </w:rPr>
      </w:pPr>
    </w:p>
    <w:p>
      <w:pPr>
        <w:widowControl/>
        <w:adjustRightInd w:val="0"/>
        <w:spacing w:line="360" w:lineRule="auto"/>
        <w:jc w:val="left"/>
        <w:rPr>
          <w:rFonts w:ascii="Arial" w:hAnsi="Arial"/>
        </w:rPr>
      </w:pPr>
      <w:r>
        <w:rPr>
          <w:rFonts w:hint="eastAsia" w:ascii="Arial" w:hAnsi="Arial"/>
        </w:rPr>
        <w:t>投标人（盖章）：</w:t>
      </w:r>
    </w:p>
    <w:p>
      <w:pPr>
        <w:widowControl/>
        <w:adjustRightInd w:val="0"/>
        <w:spacing w:line="360" w:lineRule="auto"/>
        <w:jc w:val="left"/>
        <w:rPr>
          <w:rFonts w:ascii="Arial" w:hAnsi="Arial"/>
        </w:rPr>
      </w:pPr>
      <w:r>
        <w:rPr>
          <w:rFonts w:hint="eastAsia" w:ascii="Arial" w:hAnsi="Arial"/>
        </w:rPr>
        <w:t xml:space="preserve">法定代表人(签字或印章)：                   </w:t>
      </w:r>
    </w:p>
    <w:p>
      <w:pPr>
        <w:widowControl/>
        <w:adjustRightInd w:val="0"/>
        <w:spacing w:line="360" w:lineRule="auto"/>
        <w:jc w:val="left"/>
        <w:rPr>
          <w:rFonts w:ascii="Arial" w:hAnsi="Arial"/>
        </w:rPr>
      </w:pPr>
      <w:r>
        <w:rPr>
          <w:rFonts w:hint="eastAsia" w:ascii="Arial" w:hAnsi="Arial"/>
        </w:rPr>
        <w:t>日  期：</w:t>
      </w:r>
    </w:p>
    <w:p>
      <w:pPr>
        <w:rPr>
          <w:rFonts w:ascii="宋体" w:hAnsi="宋体"/>
          <w:b/>
          <w:sz w:val="24"/>
        </w:rPr>
      </w:pPr>
    </w:p>
    <w:p>
      <w:pPr>
        <w:rPr>
          <w:rFonts w:ascii="宋体" w:hAnsi="宋体"/>
          <w:b/>
          <w:sz w:val="24"/>
        </w:rPr>
      </w:pPr>
      <w:r>
        <w:rPr>
          <w:rFonts w:hint="eastAsia" w:ascii="宋体" w:hAnsi="宋体"/>
          <w:b/>
          <w:sz w:val="24"/>
        </w:rPr>
        <w:br w:type="page"/>
      </w:r>
    </w:p>
    <w:p>
      <w:pPr>
        <w:snapToGrid w:val="0"/>
        <w:spacing w:beforeLines="50" w:after="50" w:line="440" w:lineRule="exact"/>
        <w:jc w:val="center"/>
        <w:rPr>
          <w:rFonts w:ascii="宋体" w:hAnsi="宋体"/>
          <w:b/>
          <w:sz w:val="24"/>
        </w:rPr>
      </w:pPr>
    </w:p>
    <w:p>
      <w:pPr>
        <w:widowControl/>
        <w:spacing w:line="360" w:lineRule="auto"/>
        <w:jc w:val="center"/>
        <w:rPr>
          <w:rFonts w:ascii="Arial" w:hAnsi="Arial"/>
          <w:b/>
          <w:sz w:val="24"/>
        </w:rPr>
      </w:pPr>
      <w:r>
        <w:rPr>
          <w:rFonts w:hint="eastAsia" w:ascii="Arial" w:hAnsi="Arial"/>
          <w:b/>
          <w:sz w:val="24"/>
        </w:rPr>
        <w:t>法定代表人授权委托书</w:t>
      </w:r>
    </w:p>
    <w:p>
      <w:pPr>
        <w:snapToGrid w:val="0"/>
        <w:spacing w:beforeLines="50" w:after="50" w:line="440" w:lineRule="exact"/>
        <w:rPr>
          <w:rFonts w:ascii="宋体" w:hAnsi="宋体"/>
          <w:b/>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（采购单位名称）</w:t>
      </w:r>
      <w:r>
        <w:rPr>
          <w:rFonts w:ascii="宋体" w:hAnsi="宋体"/>
          <w:b/>
          <w:bCs/>
          <w:szCs w:val="21"/>
        </w:rPr>
        <w:t xml:space="preserve"> </w:t>
      </w:r>
      <w:r>
        <w:rPr>
          <w:rFonts w:hint="eastAsia" w:ascii="宋体" w:hAnsi="宋体"/>
          <w:szCs w:val="21"/>
        </w:rPr>
        <w:t>：</w:t>
      </w:r>
    </w:p>
    <w:p>
      <w:pPr>
        <w:snapToGrid w:val="0"/>
        <w:spacing w:beforeLines="50" w:after="50" w:line="44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（项目名称、编号</w:t>
      </w:r>
      <w:r>
        <w:rPr>
          <w:rFonts w:hint="eastAsia" w:ascii="宋体" w:hAnsi="宋体"/>
          <w:szCs w:val="21"/>
          <w:u w:val="single"/>
        </w:rPr>
        <w:t>、</w:t>
      </w:r>
      <w:r>
        <w:rPr>
          <w:rFonts w:hint="eastAsia" w:ascii="宋体" w:hAnsi="宋体" w:cs="Arial"/>
          <w:color w:val="000000"/>
          <w:kern w:val="0"/>
          <w:szCs w:val="21"/>
          <w:u w:val="single"/>
        </w:rPr>
        <w:t>标段</w:t>
      </w:r>
      <w:r>
        <w:rPr>
          <w:rFonts w:ascii="宋体" w:hAnsi="宋体"/>
          <w:szCs w:val="21"/>
          <w:u w:val="single"/>
        </w:rPr>
        <w:t>）</w:t>
      </w:r>
      <w:r>
        <w:rPr>
          <w:rFonts w:hint="eastAsia" w:ascii="宋体" w:hAnsi="宋体"/>
          <w:szCs w:val="21"/>
        </w:rPr>
        <w:t>项目的投标活动，并代表我方全权办理针对上述项目的投标、开标、评标、签约等具体事务和签署相关文件。</w:t>
      </w:r>
    </w:p>
    <w:p>
      <w:pPr>
        <w:snapToGrid w:val="0"/>
        <w:spacing w:beforeLines="20" w:line="440" w:lineRule="exact"/>
        <w:ind w:firstLine="420" w:firstLineChars="200"/>
        <w:rPr>
          <w:rFonts w:ascii="宋体" w:hAnsi="宋体"/>
          <w:szCs w:val="21"/>
        </w:rPr>
      </w:pPr>
      <w:r>
        <w:rPr>
          <w:rFonts w:hint="eastAsia" w:ascii="宋体" w:hAnsi="宋体"/>
          <w:szCs w:val="21"/>
        </w:rPr>
        <w:t>我方对被授权人的签名事项负全部责任。</w:t>
      </w:r>
    </w:p>
    <w:p>
      <w:pPr>
        <w:snapToGrid w:val="0"/>
        <w:spacing w:beforeLines="20" w:line="440" w:lineRule="exact"/>
        <w:ind w:firstLine="420" w:firstLineChars="200"/>
        <w:rPr>
          <w:rFonts w:ascii="宋体" w:hAnsi="宋体"/>
          <w:szCs w:val="21"/>
        </w:rPr>
      </w:pPr>
      <w:r>
        <w:rPr>
          <w:rFonts w:hint="eastAsia" w:ascii="宋体" w:hAnsi="宋体"/>
          <w:szCs w:val="21"/>
        </w:rPr>
        <w:t>在撤销授权的书面通知以前，本授权书一直有效。被授权人在授权书有效期内签署的所有文件不因授权的撤销而失效。</w:t>
      </w:r>
    </w:p>
    <w:p>
      <w:pPr>
        <w:snapToGrid w:val="0"/>
        <w:spacing w:beforeLines="20" w:line="440" w:lineRule="exact"/>
        <w:ind w:firstLine="420" w:firstLineChars="200"/>
        <w:rPr>
          <w:rFonts w:ascii="宋体" w:hAnsi="宋体"/>
          <w:szCs w:val="21"/>
        </w:rPr>
      </w:pPr>
      <w:r>
        <w:rPr>
          <w:rFonts w:hint="eastAsia" w:ascii="宋体" w:hAnsi="宋体"/>
          <w:szCs w:val="21"/>
        </w:rPr>
        <w:t>被授权人无转委托权，特此委托。</w:t>
      </w:r>
    </w:p>
    <w:p>
      <w:pPr>
        <w:snapToGrid w:val="0"/>
        <w:spacing w:beforeLines="50" w:after="50" w:line="440" w:lineRule="exact"/>
        <w:rPr>
          <w:rFonts w:ascii="宋体" w:hAnsi="宋体"/>
          <w:szCs w:val="21"/>
        </w:rPr>
      </w:pPr>
    </w:p>
    <w:p>
      <w:pPr>
        <w:snapToGrid w:val="0"/>
        <w:spacing w:beforeLines="50" w:after="50" w:line="440" w:lineRule="exact"/>
        <w:rPr>
          <w:rFonts w:ascii="宋体" w:hAnsi="宋体"/>
          <w:szCs w:val="21"/>
        </w:rPr>
      </w:pPr>
    </w:p>
    <w:p>
      <w:pPr>
        <w:snapToGrid w:val="0"/>
        <w:spacing w:beforeLines="50" w:after="50" w:line="440" w:lineRule="exact"/>
        <w:rPr>
          <w:rFonts w:ascii="宋体" w:hAnsi="宋体"/>
          <w:szCs w:val="21"/>
          <w:u w:val="single"/>
        </w:rPr>
      </w:pPr>
      <w:r>
        <w:rPr>
          <w:rFonts w:hint="eastAsia" w:ascii="宋体" w:hAnsi="宋体"/>
          <w:szCs w:val="21"/>
        </w:rPr>
        <w:t>被授权人签名：</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法定代表人签名：</w:t>
      </w:r>
      <w:r>
        <w:rPr>
          <w:rFonts w:ascii="宋体" w:hAnsi="宋体"/>
          <w:szCs w:val="21"/>
          <w:u w:val="single"/>
        </w:rPr>
        <w:t xml:space="preserve">                    </w:t>
      </w:r>
    </w:p>
    <w:p>
      <w:pPr>
        <w:snapToGrid w:val="0"/>
        <w:spacing w:beforeLines="50" w:after="50" w:line="440" w:lineRule="exact"/>
        <w:ind w:firstLine="840" w:firstLineChars="400"/>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职务：</w:t>
      </w:r>
      <w:r>
        <w:rPr>
          <w:rFonts w:ascii="宋体" w:hAnsi="宋体"/>
          <w:szCs w:val="21"/>
          <w:u w:val="single"/>
        </w:rPr>
        <w:t xml:space="preserve">                    </w:t>
      </w:r>
    </w:p>
    <w:p>
      <w:pPr>
        <w:snapToGrid w:val="0"/>
        <w:spacing w:beforeLines="50" w:after="50" w:line="440" w:lineRule="exact"/>
        <w:rPr>
          <w:rFonts w:ascii="宋体" w:hAnsi="宋体"/>
          <w:szCs w:val="21"/>
        </w:rPr>
      </w:pPr>
      <w:r>
        <w:rPr>
          <w:rFonts w:hint="eastAsia" w:ascii="宋体" w:hAnsi="宋体"/>
          <w:szCs w:val="21"/>
        </w:rPr>
        <w:t>被授权人身份证号码：</w:t>
      </w:r>
      <w:r>
        <w:rPr>
          <w:rFonts w:ascii="宋体" w:hAnsi="宋体"/>
          <w:szCs w:val="21"/>
          <w:u w:val="single"/>
        </w:rPr>
        <w:t xml:space="preserve">              </w:t>
      </w:r>
      <w:r>
        <w:rPr>
          <w:rFonts w:ascii="宋体" w:hAnsi="宋体"/>
          <w:szCs w:val="21"/>
        </w:rPr>
        <w:t xml:space="preserve"> </w:t>
      </w:r>
    </w:p>
    <w:p>
      <w:pPr>
        <w:snapToGrid w:val="0"/>
        <w:spacing w:beforeLines="50" w:after="50" w:line="440" w:lineRule="exact"/>
        <w:rPr>
          <w:rFonts w:ascii="宋体" w:hAnsi="宋体"/>
          <w:szCs w:val="21"/>
        </w:rPr>
      </w:pPr>
      <w:r>
        <w:rPr>
          <w:rFonts w:ascii="宋体" w:hAnsi="宋体"/>
          <w:szCs w:val="21"/>
        </w:rPr>
        <w:t xml:space="preserve">                                     </w:t>
      </w:r>
      <w:r>
        <w:rPr>
          <w:rFonts w:hint="eastAsia" w:ascii="宋体" w:hAnsi="宋体"/>
          <w:szCs w:val="21"/>
        </w:rPr>
        <w:t xml:space="preserve">                 </w:t>
      </w:r>
    </w:p>
    <w:p>
      <w:pPr>
        <w:snapToGrid w:val="0"/>
        <w:spacing w:beforeLines="50" w:after="50" w:line="440" w:lineRule="exact"/>
        <w:ind w:firstLine="5670" w:firstLineChars="2700"/>
        <w:rPr>
          <w:rFonts w:ascii="宋体" w:hAnsi="宋体"/>
          <w:szCs w:val="21"/>
        </w:rPr>
      </w:pPr>
      <w:r>
        <w:rPr>
          <w:rFonts w:hint="eastAsia" w:ascii="宋体" w:hAnsi="宋体"/>
          <w:szCs w:val="21"/>
        </w:rPr>
        <w:t>投标人公章：</w:t>
      </w:r>
    </w:p>
    <w:p>
      <w:pPr>
        <w:snapToGrid w:val="0"/>
        <w:spacing w:beforeLines="50" w:after="50" w:line="440" w:lineRule="exact"/>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beforeLines="50" w:after="50" w:line="440" w:lineRule="exact"/>
        <w:rPr>
          <w:rFonts w:ascii="宋体" w:hAnsi="宋体"/>
          <w:szCs w:val="21"/>
        </w:rPr>
      </w:pPr>
    </w:p>
    <w:p>
      <w:pPr>
        <w:snapToGrid w:val="0"/>
        <w:spacing w:beforeLines="50" w:after="50" w:line="440" w:lineRule="exact"/>
        <w:rPr>
          <w:rFonts w:ascii="宋体" w:hAnsi="宋体"/>
          <w:b/>
          <w:bCs/>
          <w:szCs w:val="21"/>
        </w:rPr>
      </w:pPr>
      <w:r>
        <w:rPr>
          <w:rFonts w:hint="eastAsia" w:ascii="宋体" w:hAnsi="宋体"/>
          <w:b/>
          <w:bCs/>
          <w:szCs w:val="21"/>
        </w:rPr>
        <w:t>后附授权代表身份证复印件及最近三个月社保证明。</w:t>
      </w:r>
    </w:p>
    <w:p>
      <w:pPr>
        <w:snapToGrid w:val="0"/>
        <w:spacing w:beforeLines="50" w:after="50" w:line="440" w:lineRule="exact"/>
        <w:jc w:val="center"/>
        <w:rPr>
          <w:rFonts w:ascii="宋体" w:hAnsi="宋体"/>
          <w:szCs w:val="21"/>
        </w:rPr>
      </w:pPr>
    </w:p>
    <w:p>
      <w:pPr>
        <w:snapToGrid w:val="0"/>
        <w:spacing w:beforeLines="50" w:after="50" w:line="440" w:lineRule="exact"/>
        <w:jc w:val="center"/>
        <w:rPr>
          <w:rFonts w:ascii="宋体" w:hAnsi="宋体"/>
          <w:szCs w:val="21"/>
        </w:rPr>
        <w:sectPr>
          <w:footerReference r:id="rId5" w:type="even"/>
          <w:pgSz w:w="11906" w:h="16838"/>
          <w:pgMar w:top="1134" w:right="1247" w:bottom="1134" w:left="1247" w:header="851" w:footer="992" w:gutter="0"/>
          <w:cols w:space="720" w:num="1"/>
          <w:docGrid w:type="lines" w:linePitch="312" w:charSpace="0"/>
        </w:sectPr>
      </w:pPr>
    </w:p>
    <w:p>
      <w:pPr>
        <w:snapToGrid w:val="0"/>
        <w:spacing w:beforeLines="50" w:after="50" w:line="440" w:lineRule="exact"/>
        <w:ind w:firstLine="480" w:firstLineChars="200"/>
        <w:outlineLvl w:val="2"/>
        <w:rPr>
          <w:rFonts w:ascii="宋体" w:hAnsi="宋体"/>
          <w:color w:val="000000"/>
          <w:sz w:val="24"/>
        </w:rPr>
      </w:pPr>
      <w:r>
        <w:rPr>
          <w:rFonts w:hint="eastAsia" w:ascii="宋体" w:hAnsi="宋体"/>
          <w:sz w:val="24"/>
        </w:rPr>
        <w:t>格式三</w:t>
      </w:r>
    </w:p>
    <w:p>
      <w:pPr>
        <w:snapToGrid w:val="0"/>
        <w:spacing w:beforeLines="50" w:after="50" w:line="440" w:lineRule="exact"/>
        <w:jc w:val="center"/>
        <w:rPr>
          <w:rFonts w:ascii="宋体" w:hAnsi="宋体"/>
          <w:b/>
          <w:sz w:val="24"/>
        </w:rPr>
      </w:pPr>
      <w:r>
        <w:rPr>
          <w:rFonts w:hint="eastAsia" w:ascii="宋体" w:hAnsi="宋体"/>
          <w:b/>
          <w:sz w:val="24"/>
        </w:rPr>
        <w:t>投标函</w:t>
      </w:r>
    </w:p>
    <w:p>
      <w:pPr>
        <w:snapToGrid w:val="0"/>
        <w:spacing w:line="44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（采购单位名称）：</w:t>
      </w:r>
    </w:p>
    <w:p>
      <w:pPr>
        <w:snapToGrid w:val="0"/>
        <w:spacing w:line="440" w:lineRule="exact"/>
        <w:ind w:firstLine="420" w:firstLineChars="200"/>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项目的招标公告（项目编号：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（投标人名称）提交投标文件正本一份、副本</w:t>
      </w:r>
      <w:r>
        <w:rPr>
          <w:rFonts w:ascii="宋体" w:hAnsi="宋体"/>
          <w:szCs w:val="21"/>
          <w:u w:val="single"/>
        </w:rPr>
        <w:t xml:space="preserve">      </w:t>
      </w:r>
      <w:r>
        <w:rPr>
          <w:rFonts w:hint="eastAsia" w:ascii="宋体" w:hAnsi="宋体"/>
          <w:szCs w:val="21"/>
        </w:rPr>
        <w:t>份。</w:t>
      </w:r>
    </w:p>
    <w:p>
      <w:pPr>
        <w:snapToGrid w:val="0"/>
        <w:spacing w:line="44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440" w:lineRule="exact"/>
        <w:ind w:firstLine="420" w:firstLineChars="200"/>
        <w:rPr>
          <w:rFonts w:ascii="宋体" w:hAnsi="宋体"/>
          <w:szCs w:val="21"/>
        </w:rPr>
      </w:pPr>
      <w:r>
        <w:rPr>
          <w:rFonts w:ascii="宋体" w:hAnsi="宋体"/>
          <w:szCs w:val="21"/>
        </w:rPr>
        <w:t>1</w:t>
      </w:r>
      <w:r>
        <w:rPr>
          <w:rFonts w:hint="eastAsia" w:ascii="宋体" w:hAnsi="宋体"/>
          <w:szCs w:val="21"/>
        </w:rPr>
        <w:t>.投标人已详细审查全部“招标文件”，包括修改文件（如有）以及全部参考资料和有关附件，已经了解我方对于招标文件、采购过程、采购结果有依法进行询问、质疑、投诉的权利及相关渠道和要求。</w:t>
      </w:r>
    </w:p>
    <w:p>
      <w:pPr>
        <w:snapToGrid w:val="0"/>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.投标人在投标之前已经与贵方进行了充分的沟通，完全理解并接受招标文件的各项规定和要求，对招标文件的合理性、合法性不再有异议。</w:t>
      </w:r>
    </w:p>
    <w:p>
      <w:pPr>
        <w:snapToGrid w:val="0"/>
        <w:spacing w:line="440" w:lineRule="exact"/>
        <w:ind w:firstLine="420" w:firstLineChars="200"/>
        <w:rPr>
          <w:rFonts w:ascii="宋体" w:hAnsi="宋体"/>
          <w:szCs w:val="21"/>
        </w:rPr>
      </w:pPr>
      <w:r>
        <w:rPr>
          <w:rFonts w:ascii="宋体" w:hAnsi="宋体"/>
          <w:szCs w:val="21"/>
        </w:rPr>
        <w:t>3</w:t>
      </w:r>
      <w:r>
        <w:rPr>
          <w:rFonts w:hint="eastAsia" w:ascii="宋体" w:hAnsi="宋体"/>
          <w:szCs w:val="21"/>
        </w:rPr>
        <w:t>.本投标文件有效期自开标日起</w:t>
      </w:r>
      <w:r>
        <w:rPr>
          <w:rFonts w:ascii="宋体" w:hAnsi="宋体"/>
          <w:szCs w:val="21"/>
        </w:rPr>
        <w:t>_____</w:t>
      </w:r>
      <w:r>
        <w:rPr>
          <w:rFonts w:hint="eastAsia" w:ascii="宋体" w:hAnsi="宋体"/>
          <w:szCs w:val="21"/>
        </w:rPr>
        <w:t>日历天。</w:t>
      </w:r>
    </w:p>
    <w:p>
      <w:pPr>
        <w:snapToGrid w:val="0"/>
        <w:spacing w:line="440" w:lineRule="exact"/>
        <w:ind w:firstLine="420" w:firstLineChars="200"/>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.如中标，本投标文件至本项目合同履行完毕止均保持有效，本投标人将按“招标文件”及政府采购法律、法规的规定履行合同责任和义务。</w:t>
      </w:r>
    </w:p>
    <w:p>
      <w:pPr>
        <w:snapToGrid w:val="0"/>
        <w:spacing w:line="440" w:lineRule="exact"/>
        <w:ind w:firstLine="420" w:firstLineChars="200"/>
        <w:rPr>
          <w:rFonts w:ascii="宋体" w:hAnsi="宋体"/>
          <w:szCs w:val="21"/>
        </w:rPr>
      </w:pPr>
      <w:r>
        <w:rPr>
          <w:rFonts w:ascii="宋体" w:hAnsi="宋体"/>
          <w:szCs w:val="21"/>
        </w:rPr>
        <w:t>5</w:t>
      </w:r>
      <w:r>
        <w:rPr>
          <w:rFonts w:hint="eastAsia" w:ascii="宋体" w:hAnsi="宋体"/>
          <w:szCs w:val="21"/>
        </w:rPr>
        <w:t>.投标人同意按照贵方要求提供与投标有关的一切数据或资料。</w:t>
      </w:r>
    </w:p>
    <w:p>
      <w:pPr>
        <w:snapToGrid w:val="0"/>
        <w:spacing w:line="440" w:lineRule="exact"/>
        <w:ind w:firstLine="420" w:firstLineChars="200"/>
        <w:rPr>
          <w:rFonts w:ascii="宋体" w:hAnsi="宋体"/>
          <w:szCs w:val="21"/>
        </w:rPr>
      </w:pPr>
      <w:r>
        <w:rPr>
          <w:rFonts w:ascii="宋体" w:hAnsi="宋体"/>
          <w:szCs w:val="21"/>
        </w:rPr>
        <w:t>6</w:t>
      </w:r>
      <w:r>
        <w:rPr>
          <w:rFonts w:hint="eastAsia" w:ascii="宋体" w:hAnsi="宋体"/>
          <w:szCs w:val="21"/>
        </w:rPr>
        <w:t>.与本投标有关的一切正式往来信函请寄：</w:t>
      </w:r>
    </w:p>
    <w:p>
      <w:pPr>
        <w:snapToGrid w:val="0"/>
        <w:spacing w:line="440" w:lineRule="exact"/>
        <w:ind w:firstLine="420" w:firstLineChars="200"/>
        <w:rPr>
          <w:rFonts w:ascii="宋体" w:hAnsi="宋体"/>
          <w:szCs w:val="21"/>
        </w:rPr>
      </w:pPr>
      <w:r>
        <w:rPr>
          <w:rFonts w:hint="eastAsia" w:ascii="宋体" w:hAnsi="宋体"/>
          <w:szCs w:val="21"/>
        </w:rPr>
        <w:t>地址：</w:t>
      </w:r>
      <w:r>
        <w:rPr>
          <w:rFonts w:ascii="宋体" w:hAnsi="宋体"/>
          <w:szCs w:val="21"/>
          <w:u w:val="single"/>
        </w:rPr>
        <w:t xml:space="preserve">                             </w:t>
      </w:r>
      <w:r>
        <w:rPr>
          <w:rFonts w:hint="eastAsia" w:ascii="宋体" w:hAnsi="宋体"/>
          <w:szCs w:val="21"/>
        </w:rPr>
        <w:t xml:space="preserve">  邮编：</w:t>
      </w:r>
      <w:r>
        <w:rPr>
          <w:rFonts w:ascii="宋体" w:hAnsi="宋体"/>
          <w:szCs w:val="21"/>
          <w:u w:val="single"/>
        </w:rPr>
        <w:t xml:space="preserve">           </w:t>
      </w:r>
      <w:r>
        <w:rPr>
          <w:rFonts w:ascii="宋体" w:hAnsi="宋体"/>
          <w:szCs w:val="21"/>
        </w:rPr>
        <w:t xml:space="preserve">   </w:t>
      </w:r>
      <w:r>
        <w:rPr>
          <w:rFonts w:hint="eastAsia" w:ascii="宋体" w:hAnsi="宋体"/>
          <w:szCs w:val="21"/>
        </w:rPr>
        <w:t>电话：</w:t>
      </w:r>
      <w:r>
        <w:rPr>
          <w:rFonts w:ascii="宋体" w:hAnsi="宋体"/>
          <w:szCs w:val="21"/>
          <w:u w:val="single"/>
        </w:rPr>
        <w:t xml:space="preserve">           </w:t>
      </w:r>
    </w:p>
    <w:p>
      <w:pPr>
        <w:snapToGrid w:val="0"/>
        <w:spacing w:line="440" w:lineRule="exact"/>
        <w:ind w:firstLine="420" w:firstLineChars="200"/>
        <w:rPr>
          <w:rFonts w:ascii="宋体" w:hAnsi="宋体"/>
          <w:szCs w:val="21"/>
        </w:rPr>
      </w:pPr>
      <w:r>
        <w:rPr>
          <w:rFonts w:hint="eastAsia" w:ascii="宋体" w:hAnsi="宋体"/>
          <w:szCs w:val="21"/>
        </w:rPr>
        <w:t>传真：</w:t>
      </w:r>
      <w:r>
        <w:rPr>
          <w:rFonts w:ascii="宋体" w:hAnsi="宋体"/>
          <w:szCs w:val="21"/>
          <w:u w:val="single"/>
        </w:rPr>
        <w:t xml:space="preserve">           </w:t>
      </w:r>
      <w:r>
        <w:rPr>
          <w:rFonts w:hint="eastAsia" w:ascii="宋体" w:hAnsi="宋体"/>
          <w:szCs w:val="21"/>
        </w:rPr>
        <w:t xml:space="preserve">  投标人代表姓名：</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line="440" w:lineRule="exact"/>
        <w:ind w:firstLine="420" w:firstLineChars="200"/>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u w:val="single"/>
        </w:rPr>
        <w:t xml:space="preserve">           </w:t>
      </w:r>
    </w:p>
    <w:p>
      <w:pPr>
        <w:snapToGrid w:val="0"/>
        <w:spacing w:line="440" w:lineRule="exact"/>
        <w:ind w:firstLine="420" w:firstLineChars="200"/>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银行帐号：</w:t>
      </w:r>
      <w:r>
        <w:rPr>
          <w:rFonts w:ascii="宋体" w:hAnsi="宋体"/>
          <w:szCs w:val="21"/>
          <w:u w:val="single"/>
        </w:rPr>
        <w:t xml:space="preserve">                    </w:t>
      </w:r>
      <w:r>
        <w:rPr>
          <w:rFonts w:ascii="宋体" w:hAnsi="宋体"/>
          <w:szCs w:val="21"/>
        </w:rPr>
        <w:t xml:space="preserve"> </w:t>
      </w:r>
    </w:p>
    <w:p>
      <w:pPr>
        <w:snapToGrid w:val="0"/>
        <w:spacing w:line="440" w:lineRule="exact"/>
        <w:ind w:firstLine="420" w:firstLineChars="200"/>
        <w:rPr>
          <w:rFonts w:ascii="宋体" w:hAnsi="宋体"/>
          <w:szCs w:val="21"/>
        </w:rPr>
      </w:pPr>
      <w:r>
        <w:rPr>
          <w:rFonts w:hint="eastAsia" w:ascii="宋体" w:hAnsi="宋体"/>
          <w:szCs w:val="21"/>
        </w:rPr>
        <w:t>授权代表签字：</w:t>
      </w:r>
      <w:r>
        <w:rPr>
          <w:rFonts w:ascii="宋体" w:hAnsi="宋体"/>
          <w:szCs w:val="21"/>
          <w:u w:val="single"/>
        </w:rPr>
        <w:t xml:space="preserve">           </w:t>
      </w:r>
      <w:r>
        <w:rPr>
          <w:rFonts w:ascii="宋体" w:hAnsi="宋体"/>
          <w:szCs w:val="21"/>
        </w:rPr>
        <w:t xml:space="preserve">           </w:t>
      </w: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beforeLines="50" w:after="60"/>
        <w:ind w:firstLine="480" w:firstLineChars="200"/>
        <w:outlineLvl w:val="2"/>
        <w:rPr>
          <w:rFonts w:ascii="宋体" w:hAnsi="宋体"/>
          <w:sz w:val="24"/>
        </w:rPr>
      </w:pPr>
      <w:r>
        <w:rPr>
          <w:rFonts w:ascii="宋体" w:hAnsi="宋体"/>
          <w:sz w:val="24"/>
        </w:rPr>
        <w:br w:type="page"/>
      </w:r>
      <w:r>
        <w:rPr>
          <w:rFonts w:hint="eastAsia" w:ascii="宋体" w:hAnsi="宋体"/>
          <w:sz w:val="24"/>
        </w:rPr>
        <w:t>格式四</w:t>
      </w:r>
    </w:p>
    <w:p>
      <w:pPr>
        <w:spacing w:afterLines="100" w:line="440" w:lineRule="exact"/>
        <w:jc w:val="center"/>
        <w:rPr>
          <w:rFonts w:ascii="宋体" w:hAnsi="宋体"/>
          <w:b/>
          <w:sz w:val="24"/>
        </w:rPr>
      </w:pPr>
      <w:r>
        <w:rPr>
          <w:rFonts w:hint="eastAsia" w:ascii="宋体" w:hAnsi="宋体"/>
          <w:b/>
          <w:sz w:val="24"/>
        </w:rPr>
        <w:t>投标函附录</w:t>
      </w:r>
    </w:p>
    <w:tbl>
      <w:tblPr>
        <w:tblStyle w:val="2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673"/>
        <w:gridCol w:w="13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jc w:val="center"/>
              <w:rPr>
                <w:szCs w:val="22"/>
              </w:rPr>
            </w:pPr>
            <w:r>
              <w:rPr>
                <w:rFonts w:hint="eastAsia"/>
                <w:szCs w:val="22"/>
              </w:rPr>
              <w:t>序号</w:t>
            </w:r>
          </w:p>
        </w:tc>
        <w:tc>
          <w:tcPr>
            <w:tcW w:w="6673" w:type="dxa"/>
            <w:vAlign w:val="center"/>
          </w:tcPr>
          <w:p>
            <w:pPr>
              <w:jc w:val="center"/>
              <w:rPr>
                <w:szCs w:val="22"/>
              </w:rPr>
            </w:pPr>
            <w:r>
              <w:rPr>
                <w:rFonts w:hint="eastAsia"/>
                <w:szCs w:val="22"/>
              </w:rPr>
              <w:t>招标要求</w:t>
            </w:r>
          </w:p>
        </w:tc>
        <w:tc>
          <w:tcPr>
            <w:tcW w:w="1345" w:type="dxa"/>
            <w:vAlign w:val="center"/>
          </w:tcPr>
          <w:p>
            <w:pPr>
              <w:jc w:val="center"/>
              <w:rPr>
                <w:szCs w:val="22"/>
              </w:rPr>
            </w:pPr>
            <w:r>
              <w:rPr>
                <w:rFonts w:hint="eastAsia"/>
                <w:szCs w:val="22"/>
              </w:rPr>
              <w:t>响应要求</w:t>
            </w:r>
          </w:p>
        </w:tc>
        <w:tc>
          <w:tcPr>
            <w:tcW w:w="709" w:type="dxa"/>
            <w:vAlign w:val="center"/>
          </w:tcPr>
          <w:p>
            <w:pPr>
              <w:jc w:val="center"/>
              <w:rPr>
                <w:szCs w:val="22"/>
              </w:rPr>
            </w:pPr>
            <w:r>
              <w:rPr>
                <w:rFonts w:hint="eastAsia"/>
                <w:szCs w:val="22"/>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jc w:val="center"/>
              <w:rPr>
                <w:szCs w:val="22"/>
              </w:rPr>
            </w:pPr>
            <w:r>
              <w:rPr>
                <w:szCs w:val="22"/>
              </w:rPr>
              <w:t>1</w:t>
            </w:r>
          </w:p>
        </w:tc>
        <w:tc>
          <w:tcPr>
            <w:tcW w:w="6673" w:type="dxa"/>
          </w:tcPr>
          <w:p>
            <w:pPr>
              <w:spacing w:line="400" w:lineRule="exact"/>
              <w:rPr>
                <w:rFonts w:ascii="宋体" w:hAnsi="宋体" w:cs="仿宋_GB2312"/>
                <w:szCs w:val="21"/>
              </w:rPr>
            </w:pPr>
            <w:r>
              <w:rPr>
                <w:rFonts w:hint="eastAsia" w:ascii="宋体" w:hAnsi="宋体"/>
                <w:szCs w:val="21"/>
              </w:rPr>
              <w:t>工作内容：</w:t>
            </w:r>
            <w:r>
              <w:rPr>
                <w:rFonts w:hint="eastAsia" w:ascii="宋体" w:hAnsi="宋体" w:cs="仿宋_GB2312"/>
                <w:szCs w:val="21"/>
              </w:rPr>
              <w:t>中标项目的估算、概算、招标控制价审核工作和设计方案、初步设计、施工图优化工作,其中</w:t>
            </w:r>
            <w:r>
              <w:rPr>
                <w:rFonts w:hint="eastAsia" w:ascii="宋体" w:hAnsi="宋体" w:cs="仿宋_GB2312"/>
                <w:b/>
                <w:szCs w:val="21"/>
              </w:rPr>
              <w:t>设计优化工作经采购人确认同意后可分包给具有相应资质的设计单位完成。</w:t>
            </w:r>
          </w:p>
        </w:tc>
        <w:tc>
          <w:tcPr>
            <w:tcW w:w="1345" w:type="dxa"/>
            <w:vAlign w:val="center"/>
          </w:tcPr>
          <w:p>
            <w:pPr>
              <w:jc w:val="center"/>
              <w:rPr>
                <w:szCs w:val="22"/>
              </w:rPr>
            </w:pPr>
            <w:r>
              <w:rPr>
                <w:rFonts w:hint="eastAsia" w:ascii="宋体"/>
                <w:szCs w:val="22"/>
              </w:rPr>
              <w:t>投标人必须承诺“同意”</w:t>
            </w:r>
          </w:p>
        </w:tc>
        <w:tc>
          <w:tcPr>
            <w:tcW w:w="709"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jc w:val="center"/>
              <w:rPr>
                <w:szCs w:val="22"/>
              </w:rPr>
            </w:pPr>
            <w:r>
              <w:rPr>
                <w:szCs w:val="22"/>
              </w:rPr>
              <w:t>2</w:t>
            </w:r>
          </w:p>
        </w:tc>
        <w:tc>
          <w:tcPr>
            <w:tcW w:w="6673" w:type="dxa"/>
          </w:tcPr>
          <w:p>
            <w:pPr>
              <w:spacing w:line="400" w:lineRule="exact"/>
              <w:rPr>
                <w:rFonts w:ascii="宋体" w:hAnsi="宋体" w:cs="仿宋_GB2312"/>
                <w:szCs w:val="21"/>
              </w:rPr>
            </w:pPr>
            <w:r>
              <w:rPr>
                <w:rFonts w:hint="eastAsia"/>
              </w:rPr>
              <w:t>收费标准：</w:t>
            </w:r>
            <w:r>
              <w:rPr>
                <w:rFonts w:hint="eastAsia" w:ascii="宋体" w:hAnsi="宋体" w:cs="仿宋_GB2312"/>
                <w:szCs w:val="21"/>
              </w:rPr>
              <w:t>估算、概算、招标控制价审核收费：此项收费最高限价为《浙江省建设工程造价咨询服务基准收费标准》（浙价服〔2009〕84号）收费标准。</w:t>
            </w:r>
          </w:p>
          <w:p>
            <w:pPr>
              <w:spacing w:line="400" w:lineRule="exact"/>
              <w:rPr>
                <w:rFonts w:ascii="宋体" w:hAnsi="宋体" w:cs="仿宋_GB2312"/>
                <w:szCs w:val="21"/>
              </w:rPr>
            </w:pPr>
            <w:r>
              <w:rPr>
                <w:rFonts w:hint="eastAsia" w:ascii="宋体" w:hAnsi="宋体" w:cs="仿宋_GB2312"/>
                <w:szCs w:val="21"/>
              </w:rPr>
              <w:t>设计优化（包括设计方案、初步设计、施工图优化工作）收费最高限价：估算、概算、招标控制价审核费用*0.5+设计优化额*10%*0.5（设计优化额：设计优化建议被建设单位采纳后的节约投资额）。</w:t>
            </w:r>
          </w:p>
          <w:p>
            <w:pPr>
              <w:spacing w:line="400" w:lineRule="exact"/>
              <w:rPr>
                <w:rFonts w:ascii="宋体" w:hAnsi="宋体" w:cs="仿宋_GB2312"/>
                <w:szCs w:val="21"/>
              </w:rPr>
            </w:pPr>
            <w:r>
              <w:rPr>
                <w:rFonts w:hint="eastAsia" w:ascii="宋体" w:hAnsi="宋体" w:cs="宋体"/>
                <w:bCs/>
                <w:szCs w:val="21"/>
              </w:rPr>
              <w:t>估算、概算、招标控制价审核费用及设计优化（包括设计方案、初步设计、施工图优化工作）费用支付约定：标段项目协审工作全部完成后30日历天内一次性支付。</w:t>
            </w:r>
          </w:p>
        </w:tc>
        <w:tc>
          <w:tcPr>
            <w:tcW w:w="1345" w:type="dxa"/>
            <w:vAlign w:val="center"/>
          </w:tcPr>
          <w:p>
            <w:pPr>
              <w:jc w:val="center"/>
              <w:rPr>
                <w:szCs w:val="22"/>
              </w:rPr>
            </w:pPr>
            <w:r>
              <w:rPr>
                <w:rFonts w:hint="eastAsia" w:ascii="宋体"/>
                <w:szCs w:val="22"/>
              </w:rPr>
              <w:t>投标人必须承诺“同意”</w:t>
            </w:r>
          </w:p>
        </w:tc>
        <w:tc>
          <w:tcPr>
            <w:tcW w:w="709" w:type="dxa"/>
          </w:tcPr>
          <w:p>
            <w:pP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jc w:val="center"/>
              <w:rPr>
                <w:szCs w:val="22"/>
              </w:rPr>
            </w:pPr>
            <w:r>
              <w:rPr>
                <w:szCs w:val="22"/>
              </w:rPr>
              <w:t>3</w:t>
            </w:r>
          </w:p>
        </w:tc>
        <w:tc>
          <w:tcPr>
            <w:tcW w:w="6673" w:type="dxa"/>
          </w:tcPr>
          <w:p>
            <w:pPr>
              <w:spacing w:line="400" w:lineRule="exact"/>
              <w:rPr>
                <w:rFonts w:ascii="宋体" w:hAnsi="宋体" w:cs="仿宋_GB2312"/>
                <w:szCs w:val="21"/>
              </w:rPr>
            </w:pPr>
            <w:r>
              <w:rPr>
                <w:rFonts w:hint="eastAsia" w:ascii="宋体" w:hAnsi="宋体"/>
                <w:szCs w:val="21"/>
              </w:rPr>
              <w:t>服务要求</w:t>
            </w:r>
            <w:r>
              <w:rPr>
                <w:rFonts w:ascii="宋体" w:hAnsi="宋体"/>
                <w:szCs w:val="21"/>
              </w:rPr>
              <w:t>:</w:t>
            </w:r>
            <w:r>
              <w:rPr>
                <w:rFonts w:ascii="宋体" w:hAnsi="宋体" w:cs="仿宋_GB2312"/>
                <w:szCs w:val="21"/>
              </w:rPr>
              <w:t>1</w:t>
            </w:r>
            <w:r>
              <w:rPr>
                <w:rFonts w:hint="eastAsia" w:ascii="宋体" w:hAnsi="宋体" w:cs="仿宋_GB2312"/>
                <w:szCs w:val="21"/>
              </w:rPr>
              <w:t>、投标人必须遵守国家、省和宁波市关于政府采购的各项法律法规，必须遵守各级政府职能部门关于政府采购的各项规定。</w:t>
            </w:r>
          </w:p>
          <w:p>
            <w:pPr>
              <w:spacing w:line="400" w:lineRule="exact"/>
              <w:ind w:firstLine="1050" w:firstLineChars="500"/>
              <w:rPr>
                <w:rFonts w:ascii="宋体" w:hAnsi="宋体" w:cs="仿宋_GB2312"/>
                <w:szCs w:val="21"/>
              </w:rPr>
            </w:pPr>
            <w:r>
              <w:rPr>
                <w:rFonts w:ascii="宋体" w:hAnsi="宋体" w:cs="仿宋_GB2312"/>
                <w:szCs w:val="21"/>
              </w:rPr>
              <w:t>2</w:t>
            </w:r>
            <w:r>
              <w:rPr>
                <w:rFonts w:hint="eastAsia" w:ascii="宋体" w:hAnsi="宋体" w:cs="仿宋_GB2312"/>
                <w:szCs w:val="21"/>
              </w:rPr>
              <w:t>、投标人应按照国家和省市有关规定，以及投标承诺，在其资质等级许可的范围内从事工程造价、设计优化咨询服务活动，并严格遵循独立、客观、公正、诚实信用的原则，不得损害社会公共利益和他人的合法权益。为招标人提供服务时，应合理调配所有资源，确保服务工作的顺利完成，在约定的时间内完成服务事项。</w:t>
            </w:r>
          </w:p>
          <w:p>
            <w:pPr>
              <w:spacing w:line="400" w:lineRule="exact"/>
              <w:ind w:firstLine="1050" w:firstLineChars="500"/>
              <w:rPr>
                <w:rFonts w:ascii="宋体" w:hAnsi="宋体" w:cs="仿宋_GB2312"/>
                <w:szCs w:val="21"/>
              </w:rPr>
            </w:pPr>
            <w:r>
              <w:rPr>
                <w:rFonts w:ascii="宋体" w:hAnsi="宋体" w:cs="仿宋_GB2312"/>
                <w:szCs w:val="21"/>
              </w:rPr>
              <w:t>3</w:t>
            </w:r>
            <w:r>
              <w:rPr>
                <w:rFonts w:hint="eastAsia" w:ascii="宋体" w:hAnsi="宋体" w:cs="仿宋_GB2312"/>
                <w:szCs w:val="21"/>
              </w:rPr>
              <w:t>、投标人应廉洁自律、诚实信用、严格履行投标承诺，不得向招标人进行商业贿赂或提供不正当利益，自觉接受有关行政监督部门依法实施的监督。</w:t>
            </w:r>
          </w:p>
          <w:p>
            <w:pPr>
              <w:spacing w:line="400" w:lineRule="exact"/>
              <w:ind w:firstLine="1050" w:firstLineChars="500"/>
              <w:rPr>
                <w:rFonts w:ascii="宋体" w:hAnsi="宋体" w:cs="仿宋_GB2312"/>
                <w:szCs w:val="21"/>
              </w:rPr>
            </w:pPr>
            <w:r>
              <w:rPr>
                <w:rFonts w:hint="eastAsia" w:ascii="宋体" w:hAnsi="宋体" w:cs="仿宋_GB2312"/>
                <w:szCs w:val="21"/>
              </w:rPr>
              <w:t>4、协审工作完成时间要求：</w:t>
            </w:r>
            <w:r>
              <w:rPr>
                <w:rFonts w:hint="eastAsia" w:ascii="宋体" w:hAnsi="宋体" w:cs="宋体"/>
                <w:szCs w:val="21"/>
              </w:rPr>
              <w:t>（1）估算、概算审核、设计方案、初步设计优化工作时限要求：自收到资料起7日历天内完成；（2）招标控制价审核、施工图优化工作时限要求：自收到资料起30日历天内完成。</w:t>
            </w:r>
          </w:p>
        </w:tc>
        <w:tc>
          <w:tcPr>
            <w:tcW w:w="1345" w:type="dxa"/>
            <w:vAlign w:val="center"/>
          </w:tcPr>
          <w:p>
            <w:pPr>
              <w:jc w:val="center"/>
              <w:rPr>
                <w:szCs w:val="22"/>
              </w:rPr>
            </w:pPr>
            <w:r>
              <w:rPr>
                <w:rFonts w:hint="eastAsia" w:ascii="宋体"/>
                <w:szCs w:val="22"/>
              </w:rPr>
              <w:t>投标人必须承诺“同意”</w:t>
            </w:r>
          </w:p>
        </w:tc>
        <w:tc>
          <w:tcPr>
            <w:tcW w:w="709" w:type="dxa"/>
          </w:tcPr>
          <w:p>
            <w:pPr>
              <w:rPr>
                <w:szCs w:val="22"/>
              </w:rPr>
            </w:pPr>
          </w:p>
        </w:tc>
      </w:tr>
    </w:tbl>
    <w:p>
      <w:pPr>
        <w:spacing w:line="440" w:lineRule="exact"/>
        <w:ind w:left="-720" w:leftChars="-343" w:right="-960" w:firstLine="5987" w:firstLineChars="2840"/>
        <w:rPr>
          <w:rFonts w:ascii="宋体" w:hAnsi="宋体"/>
          <w:b/>
          <w:szCs w:val="21"/>
        </w:rPr>
      </w:pPr>
    </w:p>
    <w:p>
      <w:pPr>
        <w:spacing w:line="440" w:lineRule="exact"/>
        <w:ind w:left="-720" w:leftChars="-343" w:right="-960" w:firstLine="5964" w:firstLineChars="2840"/>
        <w:rPr>
          <w:rFonts w:ascii="宋体" w:hAnsi="宋体"/>
          <w:szCs w:val="21"/>
        </w:rPr>
      </w:pPr>
      <w:r>
        <w:rPr>
          <w:rFonts w:hint="eastAsia" w:ascii="宋体" w:hAnsi="宋体"/>
          <w:szCs w:val="21"/>
        </w:rPr>
        <w:t>投标单位（盖章）：</w:t>
      </w:r>
    </w:p>
    <w:p>
      <w:pPr>
        <w:spacing w:line="440" w:lineRule="exact"/>
        <w:ind w:left="-720" w:leftChars="-343" w:right="-960" w:firstLine="5964" w:firstLineChars="2840"/>
        <w:rPr>
          <w:rFonts w:ascii="宋体" w:hAnsi="宋体"/>
          <w:szCs w:val="21"/>
        </w:rPr>
      </w:pPr>
      <w:r>
        <w:rPr>
          <w:rFonts w:hint="eastAsia" w:ascii="宋体" w:hAnsi="宋体"/>
          <w:szCs w:val="21"/>
        </w:rPr>
        <w:t>授权代表（签字）：</w:t>
      </w:r>
    </w:p>
    <w:p>
      <w:pPr>
        <w:tabs>
          <w:tab w:val="left" w:pos="845"/>
        </w:tabs>
        <w:spacing w:line="440" w:lineRule="exact"/>
        <w:ind w:firstLine="5964" w:firstLineChars="2840"/>
        <w:rPr>
          <w:rFonts w:ascii="宋体" w:hAnsi="宋体"/>
          <w:szCs w:val="21"/>
        </w:rPr>
      </w:pPr>
      <w:r>
        <w:rPr>
          <w:rFonts w:hint="eastAsia" w:ascii="宋体" w:hAnsi="宋体"/>
          <w:szCs w:val="21"/>
        </w:rPr>
        <w:t>日  期：</w:t>
      </w:r>
    </w:p>
    <w:p>
      <w:pPr>
        <w:snapToGrid w:val="0"/>
        <w:spacing w:beforeLines="50" w:after="50" w:line="360" w:lineRule="auto"/>
        <w:jc w:val="left"/>
        <w:rPr>
          <w:rFonts w:ascii="宋体" w:hAnsi="宋体"/>
          <w:szCs w:val="21"/>
        </w:rPr>
      </w:pPr>
      <w:r>
        <w:rPr>
          <w:rFonts w:hint="eastAsia" w:ascii="宋体" w:hAnsi="宋体"/>
          <w:szCs w:val="21"/>
        </w:rPr>
        <w:br w:type="page"/>
      </w:r>
      <w:r>
        <w:rPr>
          <w:rFonts w:hint="eastAsia" w:ascii="宋体" w:hAnsi="宋体"/>
          <w:sz w:val="24"/>
        </w:rPr>
        <w:t>格式五</w:t>
      </w:r>
    </w:p>
    <w:p>
      <w:pPr>
        <w:snapToGrid w:val="0"/>
        <w:spacing w:beforeLines="50" w:after="50" w:line="360" w:lineRule="auto"/>
        <w:jc w:val="center"/>
        <w:rPr>
          <w:rFonts w:ascii="宋体" w:hAnsi="宋体"/>
          <w:b/>
          <w:sz w:val="24"/>
        </w:rPr>
      </w:pPr>
      <w:r>
        <w:rPr>
          <w:rFonts w:hint="eastAsia" w:ascii="宋体" w:hAnsi="宋体"/>
          <w:b/>
          <w:sz w:val="24"/>
        </w:rPr>
        <w:t>开标一览表</w:t>
      </w:r>
    </w:p>
    <w:p>
      <w:pPr>
        <w:pStyle w:val="12"/>
        <w:spacing w:line="360" w:lineRule="auto"/>
        <w:rPr>
          <w:rFonts w:ascii="宋体" w:hAnsi="宋体" w:cs="宋体"/>
          <w:szCs w:val="21"/>
        </w:rPr>
      </w:pPr>
      <w:r>
        <w:rPr>
          <w:rFonts w:hint="eastAsia" w:ascii="宋体" w:hAnsi="宋体" w:cs="宋体"/>
          <w:szCs w:val="21"/>
        </w:rPr>
        <w:t>招标编号：</w:t>
      </w:r>
      <w:r>
        <w:rPr>
          <w:rFonts w:hint="eastAsia" w:ascii="宋体" w:hAnsi="宋体" w:cs="宋体"/>
          <w:szCs w:val="21"/>
          <w:u w:val="single"/>
        </w:rPr>
        <w:t xml:space="preserve">                  </w:t>
      </w:r>
      <w:r>
        <w:rPr>
          <w:rFonts w:hint="eastAsia" w:ascii="宋体" w:hAnsi="宋体" w:cs="宋体"/>
          <w:szCs w:val="21"/>
        </w:rPr>
        <w:t xml:space="preserve">      标段：</w:t>
      </w:r>
      <w:r>
        <w:rPr>
          <w:rFonts w:hint="eastAsia" w:ascii="宋体" w:hAnsi="宋体" w:cs="宋体"/>
          <w:szCs w:val="21"/>
          <w:u w:val="single"/>
        </w:rPr>
        <w:t xml:space="preserve">                   </w:t>
      </w:r>
    </w:p>
    <w:tbl>
      <w:tblPr>
        <w:tblStyle w:val="25"/>
        <w:tblpPr w:leftFromText="180" w:rightFromText="180" w:vertAnchor="text" w:horzAnchor="page" w:tblpXSpec="center" w:tblpY="590"/>
        <w:tblOverlap w:val="neve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671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108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712" w:type="dxa"/>
            <w:vAlign w:val="center"/>
          </w:tcPr>
          <w:p>
            <w:pPr>
              <w:spacing w:line="360" w:lineRule="auto"/>
              <w:jc w:val="center"/>
              <w:rPr>
                <w:rFonts w:ascii="宋体" w:hAnsi="宋体" w:cs="宋体"/>
                <w:szCs w:val="21"/>
              </w:rPr>
            </w:pPr>
            <w:r>
              <w:rPr>
                <w:rFonts w:hint="eastAsia" w:ascii="宋体" w:hAnsi="宋体" w:cs="宋体"/>
                <w:szCs w:val="21"/>
              </w:rPr>
              <w:t>投标报价(单位：%)</w:t>
            </w:r>
          </w:p>
        </w:tc>
        <w:tc>
          <w:tcPr>
            <w:tcW w:w="1273"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108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6712" w:type="dxa"/>
            <w:vAlign w:val="center"/>
          </w:tcPr>
          <w:p>
            <w:pPr>
              <w:spacing w:line="360" w:lineRule="auto"/>
              <w:jc w:val="center"/>
              <w:rPr>
                <w:rFonts w:ascii="宋体" w:hAnsi="宋体" w:cs="宋体"/>
                <w:szCs w:val="21"/>
              </w:rPr>
            </w:pPr>
            <w:r>
              <w:rPr>
                <w:rFonts w:hint="eastAsia" w:ascii="宋体" w:hAnsi="宋体" w:cs="宋体"/>
                <w:szCs w:val="21"/>
              </w:rPr>
              <w:t>估算、概算、招标控制价审核及设计优化工作：</w:t>
            </w:r>
          </w:p>
          <w:p>
            <w:pPr>
              <w:spacing w:line="360" w:lineRule="auto"/>
              <w:jc w:val="center"/>
              <w:rPr>
                <w:rFonts w:ascii="宋体" w:hAnsi="宋体" w:cs="宋体"/>
                <w:szCs w:val="21"/>
              </w:rPr>
            </w:pPr>
            <w:r>
              <w:rPr>
                <w:rFonts w:hint="eastAsia" w:ascii="宋体" w:hAnsi="宋体" w:cs="宋体"/>
                <w:bCs/>
                <w:szCs w:val="21"/>
              </w:rPr>
              <w:t>折扣率为</w:t>
            </w:r>
            <w:r>
              <w:rPr>
                <w:rFonts w:hint="eastAsia" w:ascii="宋体" w:hAnsi="宋体" w:cs="宋体"/>
                <w:bCs/>
                <w:szCs w:val="21"/>
                <w:u w:val="single"/>
              </w:rPr>
              <w:t xml:space="preserve">          </w:t>
            </w:r>
            <w:r>
              <w:rPr>
                <w:rFonts w:hint="eastAsia" w:ascii="宋体" w:hAnsi="宋体" w:cs="宋体"/>
                <w:bCs/>
                <w:szCs w:val="21"/>
              </w:rPr>
              <w:t>%</w:t>
            </w:r>
          </w:p>
        </w:tc>
        <w:tc>
          <w:tcPr>
            <w:tcW w:w="1273" w:type="dxa"/>
            <w:vAlign w:val="center"/>
          </w:tcPr>
          <w:p>
            <w:pPr>
              <w:spacing w:line="360" w:lineRule="auto"/>
              <w:jc w:val="center"/>
              <w:rPr>
                <w:rFonts w:ascii="宋体" w:hAnsi="宋体" w:cs="宋体"/>
                <w:bCs/>
                <w:szCs w:val="21"/>
              </w:rPr>
            </w:pPr>
          </w:p>
        </w:tc>
      </w:tr>
    </w:tbl>
    <w:p>
      <w:pPr>
        <w:snapToGrid w:val="0"/>
        <w:spacing w:before="50" w:after="50" w:line="360" w:lineRule="auto"/>
        <w:ind w:left="685" w:hanging="684" w:hangingChars="326"/>
        <w:jc w:val="left"/>
        <w:rPr>
          <w:rFonts w:ascii="宋体" w:hAnsi="宋体" w:cs="宋体"/>
          <w:szCs w:val="21"/>
        </w:rPr>
      </w:pPr>
      <w:r>
        <w:rPr>
          <w:rFonts w:hint="eastAsia" w:ascii="宋体" w:hAnsi="宋体" w:cs="宋体"/>
          <w:szCs w:val="21"/>
        </w:rPr>
        <w:t xml:space="preserve">注： </w:t>
      </w:r>
    </w:p>
    <w:p>
      <w:pPr>
        <w:snapToGrid w:val="0"/>
        <w:spacing w:before="50" w:after="50" w:line="360" w:lineRule="auto"/>
        <w:ind w:left="315" w:hanging="315" w:hangingChars="150"/>
        <w:jc w:val="left"/>
        <w:rPr>
          <w:rFonts w:ascii="宋体" w:hAnsi="宋体" w:cs="宋体"/>
          <w:szCs w:val="21"/>
        </w:rPr>
      </w:pPr>
      <w:r>
        <w:rPr>
          <w:rFonts w:hint="eastAsia" w:ascii="宋体" w:hAnsi="宋体" w:cs="宋体"/>
          <w:szCs w:val="21"/>
        </w:rPr>
        <w:t>1、报价一经涂改，应在涂改处加盖单位公章或者由法定代表人或授权委托人签字或盖章，否则其投标作无效标处理。</w:t>
      </w:r>
    </w:p>
    <w:p>
      <w:pPr>
        <w:snapToGrid w:val="0"/>
        <w:spacing w:before="50" w:after="50" w:line="360" w:lineRule="auto"/>
        <w:ind w:left="315" w:hanging="315" w:hangingChars="150"/>
        <w:jc w:val="left"/>
        <w:rPr>
          <w:rFonts w:ascii="宋体" w:hAnsi="宋体" w:cs="宋体"/>
          <w:szCs w:val="21"/>
        </w:rPr>
      </w:pPr>
      <w:r>
        <w:rPr>
          <w:rFonts w:hint="eastAsia" w:ascii="宋体" w:hAnsi="宋体" w:cs="宋体"/>
          <w:szCs w:val="21"/>
        </w:rPr>
        <w:t>2、估算、概算、招标控制价审核及设计优化费用的</w:t>
      </w:r>
      <w:r>
        <w:rPr>
          <w:rFonts w:hint="eastAsia" w:ascii="宋体" w:hAnsi="宋体" w:cs="宋体"/>
          <w:bCs/>
          <w:szCs w:val="21"/>
        </w:rPr>
        <w:t>折扣率</w:t>
      </w:r>
      <w:r>
        <w:rPr>
          <w:rFonts w:hint="eastAsia" w:ascii="宋体" w:hAnsi="宋体" w:cs="宋体"/>
          <w:szCs w:val="21"/>
        </w:rPr>
        <w:t>统一报价。</w:t>
      </w:r>
    </w:p>
    <w:p>
      <w:pPr>
        <w:spacing w:line="360" w:lineRule="auto"/>
        <w:rPr>
          <w:rFonts w:ascii="宋体" w:hAnsi="宋体" w:cs="宋体"/>
          <w:szCs w:val="21"/>
        </w:rPr>
      </w:pPr>
    </w:p>
    <w:p>
      <w:pPr>
        <w:spacing w:line="360" w:lineRule="auto"/>
        <w:ind w:right="1784"/>
        <w:jc w:val="right"/>
        <w:rPr>
          <w:rFonts w:ascii="宋体" w:hAnsi="宋体" w:cs="宋体"/>
          <w:szCs w:val="21"/>
        </w:rPr>
      </w:pPr>
      <w:r>
        <w:rPr>
          <w:rFonts w:hint="eastAsia" w:ascii="宋体" w:hAnsi="宋体"/>
          <w:szCs w:val="21"/>
        </w:rPr>
        <w:t>投标单位</w:t>
      </w:r>
      <w:r>
        <w:rPr>
          <w:rFonts w:hint="eastAsia" w:ascii="宋体" w:hAnsi="宋体" w:cs="宋体"/>
          <w:szCs w:val="21"/>
        </w:rPr>
        <w:t>（盖章）：</w:t>
      </w:r>
    </w:p>
    <w:p>
      <w:pPr>
        <w:spacing w:line="360" w:lineRule="auto"/>
        <w:ind w:right="1784"/>
        <w:jc w:val="right"/>
        <w:rPr>
          <w:rFonts w:ascii="宋体" w:hAnsi="宋体" w:cs="宋体"/>
          <w:szCs w:val="21"/>
        </w:rPr>
      </w:pPr>
      <w:r>
        <w:rPr>
          <w:rFonts w:hint="eastAsia" w:ascii="宋体" w:hAnsi="宋体" w:cs="宋体"/>
          <w:szCs w:val="21"/>
        </w:rPr>
        <w:t>授权代表（签字）：</w:t>
      </w:r>
    </w:p>
    <w:p>
      <w:pPr>
        <w:spacing w:line="360" w:lineRule="auto"/>
        <w:ind w:right="1784"/>
        <w:jc w:val="right"/>
        <w:rPr>
          <w:rFonts w:ascii="宋体" w:hAnsi="宋体" w:cs="宋体"/>
          <w:szCs w:val="21"/>
        </w:rPr>
      </w:pPr>
      <w:r>
        <w:rPr>
          <w:rFonts w:hint="eastAsia" w:ascii="宋体" w:hAnsi="宋体" w:cs="宋体"/>
          <w:szCs w:val="21"/>
        </w:rPr>
        <w:t>日  期：</w:t>
      </w:r>
    </w:p>
    <w:p>
      <w:pPr>
        <w:rPr>
          <w:rFonts w:ascii="宋体" w:hAnsi="宋体"/>
          <w:szCs w:val="21"/>
        </w:rPr>
      </w:pPr>
      <w:r>
        <w:rPr>
          <w:rFonts w:hint="eastAsia" w:ascii="宋体" w:hAnsi="宋体"/>
          <w:szCs w:val="21"/>
        </w:rPr>
        <w:br w:type="page"/>
      </w:r>
    </w:p>
    <w:p>
      <w:pPr>
        <w:spacing w:beforeLines="50" w:after="60"/>
        <w:ind w:firstLine="480" w:firstLineChars="200"/>
        <w:outlineLvl w:val="2"/>
        <w:rPr>
          <w:rFonts w:ascii="宋体" w:hAnsi="宋体"/>
          <w:sz w:val="24"/>
        </w:rPr>
      </w:pPr>
      <w:r>
        <w:rPr>
          <w:rFonts w:hint="eastAsia" w:ascii="宋体" w:hAnsi="宋体"/>
          <w:sz w:val="24"/>
        </w:rPr>
        <w:t>格式六</w:t>
      </w:r>
    </w:p>
    <w:p>
      <w:pPr>
        <w:spacing w:line="400" w:lineRule="exact"/>
        <w:jc w:val="center"/>
        <w:rPr>
          <w:rFonts w:ascii="宋体" w:hAnsi="宋体"/>
          <w:szCs w:val="21"/>
        </w:rPr>
      </w:pPr>
      <w:r>
        <w:rPr>
          <w:rFonts w:hint="eastAsia" w:ascii="宋体" w:hAnsi="宋体"/>
          <w:b/>
          <w:sz w:val="28"/>
          <w:szCs w:val="28"/>
        </w:rPr>
        <w:t>业绩1：政府投资项目概算或预算的编制或审核服务项目汇总表</w:t>
      </w:r>
    </w:p>
    <w:p>
      <w:pPr>
        <w:widowControl/>
        <w:spacing w:line="300" w:lineRule="atLeast"/>
        <w:jc w:val="center"/>
        <w:rPr>
          <w:rFonts w:ascii="ˎ̥" w:hAnsi="ˎ̥" w:cs="宋体"/>
          <w:color w:val="000000"/>
          <w:kern w:val="0"/>
          <w:sz w:val="18"/>
          <w:szCs w:val="18"/>
        </w:rPr>
      </w:pPr>
    </w:p>
    <w:tbl>
      <w:tblPr>
        <w:tblStyle w:val="25"/>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292"/>
        <w:gridCol w:w="1588"/>
        <w:gridCol w:w="1588"/>
        <w:gridCol w:w="1683"/>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91" w:type="dxa"/>
            <w:vAlign w:val="center"/>
          </w:tcPr>
          <w:p>
            <w:pPr>
              <w:widowControl/>
              <w:spacing w:line="300" w:lineRule="atLeast"/>
              <w:jc w:val="center"/>
              <w:rPr>
                <w:rFonts w:ascii="ˎ̥" w:hAnsi="ˎ̥" w:cs="宋体"/>
                <w:color w:val="000000"/>
                <w:kern w:val="0"/>
                <w:szCs w:val="21"/>
              </w:rPr>
            </w:pPr>
            <w:r>
              <w:rPr>
                <w:rFonts w:ascii="ˎ̥" w:hAnsi="ˎ̥" w:cs="宋体"/>
                <w:color w:val="000000"/>
                <w:kern w:val="0"/>
                <w:szCs w:val="21"/>
              </w:rPr>
              <w:t>序号</w:t>
            </w:r>
          </w:p>
        </w:tc>
        <w:tc>
          <w:tcPr>
            <w:tcW w:w="2292" w:type="dxa"/>
            <w:vAlign w:val="center"/>
          </w:tcPr>
          <w:p>
            <w:pPr>
              <w:widowControl/>
              <w:spacing w:line="300" w:lineRule="atLeast"/>
              <w:jc w:val="center"/>
              <w:rPr>
                <w:rFonts w:ascii="ˎ̥" w:hAnsi="ˎ̥" w:cs="宋体"/>
                <w:color w:val="000000"/>
                <w:kern w:val="0"/>
                <w:szCs w:val="21"/>
              </w:rPr>
            </w:pPr>
            <w:r>
              <w:rPr>
                <w:rFonts w:hint="eastAsia" w:ascii="ˎ̥" w:hAnsi="ˎ̥" w:cs="宋体"/>
                <w:color w:val="000000"/>
                <w:kern w:val="0"/>
                <w:szCs w:val="21"/>
              </w:rPr>
              <w:t>委托</w:t>
            </w:r>
            <w:r>
              <w:rPr>
                <w:rFonts w:ascii="ˎ̥" w:hAnsi="ˎ̥" w:cs="宋体"/>
                <w:color w:val="000000"/>
                <w:kern w:val="0"/>
                <w:szCs w:val="21"/>
              </w:rPr>
              <w:t>单位</w:t>
            </w:r>
          </w:p>
        </w:tc>
        <w:tc>
          <w:tcPr>
            <w:tcW w:w="1588" w:type="dxa"/>
            <w:vAlign w:val="center"/>
          </w:tcPr>
          <w:p>
            <w:pPr>
              <w:widowControl/>
              <w:spacing w:line="300" w:lineRule="atLeast"/>
              <w:jc w:val="center"/>
              <w:rPr>
                <w:rFonts w:ascii="ˎ̥" w:hAnsi="ˎ̥" w:cs="宋体"/>
                <w:color w:val="000000"/>
                <w:kern w:val="0"/>
                <w:szCs w:val="21"/>
              </w:rPr>
            </w:pPr>
            <w:r>
              <w:rPr>
                <w:rFonts w:ascii="ˎ̥" w:hAnsi="ˎ̥" w:cs="宋体"/>
                <w:color w:val="000000"/>
                <w:kern w:val="0"/>
                <w:szCs w:val="21"/>
              </w:rPr>
              <w:t>项目名称</w:t>
            </w:r>
          </w:p>
        </w:tc>
        <w:tc>
          <w:tcPr>
            <w:tcW w:w="1588" w:type="dxa"/>
            <w:vAlign w:val="center"/>
          </w:tcPr>
          <w:p>
            <w:pPr>
              <w:widowControl/>
              <w:spacing w:line="300" w:lineRule="atLeast"/>
              <w:jc w:val="center"/>
              <w:rPr>
                <w:rFonts w:ascii="ˎ̥" w:hAnsi="ˎ̥" w:cs="宋体"/>
                <w:color w:val="000000"/>
                <w:kern w:val="0"/>
                <w:szCs w:val="21"/>
              </w:rPr>
            </w:pPr>
            <w:r>
              <w:rPr>
                <w:rFonts w:hint="eastAsia" w:ascii="ˎ̥" w:hAnsi="ˎ̥" w:cs="宋体"/>
                <w:color w:val="000000"/>
                <w:kern w:val="0"/>
                <w:szCs w:val="21"/>
              </w:rPr>
              <w:t>咨询类别</w:t>
            </w:r>
          </w:p>
        </w:tc>
        <w:tc>
          <w:tcPr>
            <w:tcW w:w="1683" w:type="dxa"/>
            <w:vAlign w:val="center"/>
          </w:tcPr>
          <w:p>
            <w:pPr>
              <w:widowControl/>
              <w:spacing w:line="300" w:lineRule="atLeast"/>
              <w:jc w:val="center"/>
              <w:rPr>
                <w:rFonts w:ascii="ˎ̥" w:hAnsi="ˎ̥" w:cs="宋体"/>
                <w:color w:val="000000"/>
                <w:kern w:val="0"/>
                <w:szCs w:val="21"/>
              </w:rPr>
            </w:pPr>
            <w:r>
              <w:rPr>
                <w:rFonts w:hint="eastAsia" w:ascii="ˎ̥" w:hAnsi="ˎ̥" w:cs="宋体"/>
                <w:color w:val="000000"/>
                <w:kern w:val="0"/>
                <w:szCs w:val="21"/>
              </w:rPr>
              <w:t>总投资</w:t>
            </w:r>
          </w:p>
          <w:p>
            <w:pPr>
              <w:widowControl/>
              <w:spacing w:line="300" w:lineRule="atLeast"/>
              <w:jc w:val="center"/>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亿</w:t>
            </w:r>
            <w:r>
              <w:rPr>
                <w:rFonts w:ascii="ˎ̥" w:hAnsi="ˎ̥" w:cs="宋体"/>
                <w:color w:val="000000"/>
                <w:kern w:val="0"/>
                <w:szCs w:val="21"/>
              </w:rPr>
              <w:t>元）</w:t>
            </w:r>
          </w:p>
        </w:tc>
        <w:tc>
          <w:tcPr>
            <w:tcW w:w="1494" w:type="dxa"/>
            <w:vAlign w:val="center"/>
          </w:tcPr>
          <w:p>
            <w:pPr>
              <w:widowControl/>
              <w:spacing w:line="300" w:lineRule="atLeast"/>
              <w:jc w:val="center"/>
              <w:rPr>
                <w:rFonts w:ascii="ˎ̥" w:hAnsi="ˎ̥" w:cs="宋体"/>
                <w:color w:val="000000"/>
                <w:kern w:val="0"/>
                <w:szCs w:val="21"/>
              </w:rPr>
            </w:pPr>
            <w:r>
              <w:rPr>
                <w:rFonts w:ascii="ˎ̥" w:hAnsi="ˎ̥" w:cs="宋体"/>
                <w:color w:val="000000"/>
                <w:kern w:val="0"/>
                <w:szCs w:val="21"/>
              </w:rPr>
              <w:t>协议签订日期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1" w:type="dxa"/>
          </w:tcPr>
          <w:p>
            <w:pPr>
              <w:spacing w:line="360" w:lineRule="auto"/>
              <w:jc w:val="center"/>
              <w:rPr>
                <w:rFonts w:ascii="宋体" w:hAnsi="宋体"/>
                <w:color w:val="000000"/>
                <w:szCs w:val="21"/>
              </w:rPr>
            </w:pPr>
            <w:r>
              <w:rPr>
                <w:rFonts w:hint="eastAsia" w:ascii="宋体" w:hAnsi="宋体"/>
                <w:color w:val="000000"/>
                <w:szCs w:val="21"/>
              </w:rPr>
              <w:t>1</w:t>
            </w:r>
          </w:p>
        </w:tc>
        <w:tc>
          <w:tcPr>
            <w:tcW w:w="2292" w:type="dxa"/>
          </w:tcPr>
          <w:p>
            <w:pPr>
              <w:spacing w:line="360" w:lineRule="auto"/>
              <w:rPr>
                <w:rFonts w:ascii="宋体" w:hAnsi="宋体"/>
                <w:color w:val="000000"/>
                <w:szCs w:val="21"/>
              </w:rPr>
            </w:pPr>
          </w:p>
        </w:tc>
        <w:tc>
          <w:tcPr>
            <w:tcW w:w="1588" w:type="dxa"/>
          </w:tcPr>
          <w:p>
            <w:pPr>
              <w:spacing w:line="360" w:lineRule="auto"/>
              <w:rPr>
                <w:rFonts w:ascii="宋体" w:hAnsi="宋体"/>
                <w:color w:val="000000"/>
                <w:szCs w:val="21"/>
              </w:rPr>
            </w:pPr>
          </w:p>
        </w:tc>
        <w:tc>
          <w:tcPr>
            <w:tcW w:w="1588" w:type="dxa"/>
          </w:tcPr>
          <w:p>
            <w:pPr>
              <w:spacing w:line="360" w:lineRule="auto"/>
              <w:rPr>
                <w:rFonts w:ascii="宋体" w:hAnsi="宋体"/>
                <w:color w:val="000000"/>
                <w:szCs w:val="21"/>
              </w:rPr>
            </w:pPr>
          </w:p>
        </w:tc>
        <w:tc>
          <w:tcPr>
            <w:tcW w:w="1683" w:type="dxa"/>
          </w:tcPr>
          <w:p>
            <w:pPr>
              <w:spacing w:line="360" w:lineRule="auto"/>
              <w:rPr>
                <w:rFonts w:ascii="宋体" w:hAnsi="宋体"/>
                <w:color w:val="000000"/>
                <w:szCs w:val="21"/>
              </w:rPr>
            </w:pPr>
          </w:p>
        </w:tc>
        <w:tc>
          <w:tcPr>
            <w:tcW w:w="1494"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1" w:type="dxa"/>
          </w:tcPr>
          <w:p>
            <w:pPr>
              <w:spacing w:line="360" w:lineRule="auto"/>
              <w:jc w:val="center"/>
              <w:rPr>
                <w:rFonts w:ascii="宋体" w:hAnsi="宋体"/>
                <w:color w:val="000000"/>
                <w:szCs w:val="21"/>
              </w:rPr>
            </w:pPr>
            <w:r>
              <w:rPr>
                <w:rFonts w:hint="eastAsia" w:ascii="宋体" w:hAnsi="宋体"/>
                <w:color w:val="000000"/>
                <w:szCs w:val="21"/>
              </w:rPr>
              <w:t>2</w:t>
            </w:r>
          </w:p>
        </w:tc>
        <w:tc>
          <w:tcPr>
            <w:tcW w:w="2292" w:type="dxa"/>
          </w:tcPr>
          <w:p>
            <w:pPr>
              <w:spacing w:line="360" w:lineRule="auto"/>
              <w:rPr>
                <w:rFonts w:ascii="宋体" w:hAnsi="宋体"/>
                <w:color w:val="000000"/>
                <w:szCs w:val="21"/>
              </w:rPr>
            </w:pPr>
          </w:p>
        </w:tc>
        <w:tc>
          <w:tcPr>
            <w:tcW w:w="1588" w:type="dxa"/>
          </w:tcPr>
          <w:p>
            <w:pPr>
              <w:spacing w:line="360" w:lineRule="auto"/>
              <w:rPr>
                <w:rFonts w:ascii="宋体" w:hAnsi="宋体"/>
                <w:color w:val="000000"/>
                <w:szCs w:val="21"/>
              </w:rPr>
            </w:pPr>
          </w:p>
        </w:tc>
        <w:tc>
          <w:tcPr>
            <w:tcW w:w="1588" w:type="dxa"/>
          </w:tcPr>
          <w:p>
            <w:pPr>
              <w:spacing w:line="360" w:lineRule="auto"/>
              <w:rPr>
                <w:rFonts w:ascii="宋体" w:hAnsi="宋体"/>
                <w:color w:val="000000"/>
                <w:szCs w:val="21"/>
              </w:rPr>
            </w:pPr>
          </w:p>
        </w:tc>
        <w:tc>
          <w:tcPr>
            <w:tcW w:w="1683" w:type="dxa"/>
          </w:tcPr>
          <w:p>
            <w:pPr>
              <w:spacing w:line="360" w:lineRule="auto"/>
              <w:rPr>
                <w:rFonts w:ascii="宋体" w:hAnsi="宋体"/>
                <w:color w:val="000000"/>
                <w:szCs w:val="21"/>
              </w:rPr>
            </w:pPr>
          </w:p>
        </w:tc>
        <w:tc>
          <w:tcPr>
            <w:tcW w:w="1494"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1" w:type="dxa"/>
          </w:tcPr>
          <w:p>
            <w:pPr>
              <w:spacing w:line="360" w:lineRule="auto"/>
              <w:jc w:val="center"/>
              <w:rPr>
                <w:rFonts w:ascii="宋体" w:hAnsi="宋体"/>
                <w:color w:val="000000"/>
                <w:szCs w:val="21"/>
              </w:rPr>
            </w:pPr>
            <w:r>
              <w:rPr>
                <w:rFonts w:hint="eastAsia" w:ascii="宋体" w:hAnsi="宋体"/>
                <w:color w:val="000000"/>
                <w:szCs w:val="21"/>
              </w:rPr>
              <w:t>3</w:t>
            </w:r>
          </w:p>
        </w:tc>
        <w:tc>
          <w:tcPr>
            <w:tcW w:w="2292" w:type="dxa"/>
          </w:tcPr>
          <w:p>
            <w:pPr>
              <w:spacing w:line="360" w:lineRule="auto"/>
              <w:rPr>
                <w:rFonts w:ascii="宋体" w:hAnsi="宋体"/>
                <w:color w:val="000000"/>
                <w:szCs w:val="21"/>
              </w:rPr>
            </w:pPr>
          </w:p>
        </w:tc>
        <w:tc>
          <w:tcPr>
            <w:tcW w:w="1588" w:type="dxa"/>
          </w:tcPr>
          <w:p>
            <w:pPr>
              <w:spacing w:line="360" w:lineRule="auto"/>
              <w:rPr>
                <w:rFonts w:ascii="宋体" w:hAnsi="宋体"/>
                <w:color w:val="000000"/>
                <w:szCs w:val="21"/>
              </w:rPr>
            </w:pPr>
          </w:p>
        </w:tc>
        <w:tc>
          <w:tcPr>
            <w:tcW w:w="1588" w:type="dxa"/>
          </w:tcPr>
          <w:p>
            <w:pPr>
              <w:spacing w:line="360" w:lineRule="auto"/>
              <w:rPr>
                <w:rFonts w:ascii="宋体" w:hAnsi="宋体"/>
                <w:color w:val="000000"/>
                <w:szCs w:val="21"/>
              </w:rPr>
            </w:pPr>
          </w:p>
        </w:tc>
        <w:tc>
          <w:tcPr>
            <w:tcW w:w="1683" w:type="dxa"/>
          </w:tcPr>
          <w:p>
            <w:pPr>
              <w:spacing w:line="360" w:lineRule="auto"/>
              <w:rPr>
                <w:rFonts w:ascii="宋体" w:hAnsi="宋体"/>
                <w:color w:val="000000"/>
                <w:szCs w:val="21"/>
              </w:rPr>
            </w:pPr>
          </w:p>
        </w:tc>
        <w:tc>
          <w:tcPr>
            <w:tcW w:w="1494"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1" w:type="dxa"/>
          </w:tcPr>
          <w:p>
            <w:pPr>
              <w:spacing w:line="360" w:lineRule="auto"/>
              <w:jc w:val="center"/>
              <w:rPr>
                <w:rFonts w:ascii="宋体" w:hAnsi="宋体"/>
                <w:color w:val="000000"/>
                <w:szCs w:val="21"/>
              </w:rPr>
            </w:pPr>
            <w:r>
              <w:rPr>
                <w:rFonts w:hint="eastAsia" w:ascii="宋体" w:hAnsi="宋体"/>
                <w:color w:val="000000"/>
                <w:szCs w:val="21"/>
              </w:rPr>
              <w:t>4</w:t>
            </w:r>
          </w:p>
        </w:tc>
        <w:tc>
          <w:tcPr>
            <w:tcW w:w="2292" w:type="dxa"/>
          </w:tcPr>
          <w:p>
            <w:pPr>
              <w:spacing w:line="360" w:lineRule="auto"/>
              <w:rPr>
                <w:rFonts w:ascii="宋体" w:hAnsi="宋体"/>
                <w:color w:val="000000"/>
                <w:szCs w:val="21"/>
              </w:rPr>
            </w:pPr>
            <w:r>
              <w:rPr>
                <w:rFonts w:hint="eastAsia" w:ascii="宋体" w:hAnsi="宋体"/>
                <w:color w:val="000000"/>
                <w:szCs w:val="21"/>
              </w:rPr>
              <w:t>……</w:t>
            </w:r>
          </w:p>
        </w:tc>
        <w:tc>
          <w:tcPr>
            <w:tcW w:w="1588" w:type="dxa"/>
          </w:tcPr>
          <w:p>
            <w:pPr>
              <w:spacing w:line="360" w:lineRule="auto"/>
              <w:rPr>
                <w:rFonts w:ascii="宋体" w:hAnsi="宋体"/>
                <w:color w:val="000000"/>
                <w:szCs w:val="21"/>
              </w:rPr>
            </w:pPr>
          </w:p>
        </w:tc>
        <w:tc>
          <w:tcPr>
            <w:tcW w:w="1588" w:type="dxa"/>
          </w:tcPr>
          <w:p>
            <w:pPr>
              <w:spacing w:line="360" w:lineRule="auto"/>
              <w:rPr>
                <w:rFonts w:ascii="宋体" w:hAnsi="宋体"/>
                <w:color w:val="000000"/>
                <w:szCs w:val="21"/>
              </w:rPr>
            </w:pPr>
          </w:p>
        </w:tc>
        <w:tc>
          <w:tcPr>
            <w:tcW w:w="1683" w:type="dxa"/>
          </w:tcPr>
          <w:p>
            <w:pPr>
              <w:spacing w:line="360" w:lineRule="auto"/>
              <w:rPr>
                <w:rFonts w:ascii="宋体" w:hAnsi="宋体"/>
                <w:color w:val="000000"/>
                <w:szCs w:val="21"/>
              </w:rPr>
            </w:pPr>
          </w:p>
        </w:tc>
        <w:tc>
          <w:tcPr>
            <w:tcW w:w="1494" w:type="dxa"/>
          </w:tcPr>
          <w:p>
            <w:pPr>
              <w:spacing w:line="360" w:lineRule="auto"/>
              <w:rPr>
                <w:rFonts w:ascii="宋体" w:hAnsi="宋体"/>
                <w:color w:val="000000"/>
                <w:szCs w:val="21"/>
              </w:rPr>
            </w:pPr>
          </w:p>
        </w:tc>
      </w:tr>
    </w:tbl>
    <w:p>
      <w:pPr>
        <w:spacing w:line="360" w:lineRule="auto"/>
        <w:rPr>
          <w:rFonts w:ascii="宋体" w:hAnsi="宋体"/>
          <w:szCs w:val="21"/>
        </w:rPr>
      </w:pPr>
      <w:r>
        <w:rPr>
          <w:rFonts w:hint="eastAsia" w:ascii="宋体" w:hAnsi="宋体"/>
          <w:szCs w:val="21"/>
        </w:rPr>
        <w:t>注：后附立项批复复印件、合同复印件、编制或审核报告复印件，并加盖公章。</w:t>
      </w:r>
    </w:p>
    <w:p>
      <w:pPr>
        <w:spacing w:line="440" w:lineRule="exact"/>
        <w:ind w:left="-720" w:leftChars="-343" w:right="-960" w:firstLine="5964" w:firstLineChars="2840"/>
        <w:rPr>
          <w:rFonts w:ascii="宋体" w:hAnsi="宋体"/>
          <w:szCs w:val="21"/>
        </w:rPr>
      </w:pPr>
      <w:r>
        <w:rPr>
          <w:rFonts w:hint="eastAsia" w:ascii="宋体" w:hAnsi="宋体"/>
          <w:szCs w:val="21"/>
        </w:rPr>
        <w:t>投标单位（盖章）：</w:t>
      </w:r>
    </w:p>
    <w:p>
      <w:pPr>
        <w:spacing w:line="440" w:lineRule="exact"/>
        <w:ind w:left="-720" w:leftChars="-343" w:right="-960" w:firstLine="5964" w:firstLineChars="2840"/>
        <w:rPr>
          <w:rFonts w:ascii="宋体" w:hAnsi="宋体"/>
          <w:szCs w:val="21"/>
        </w:rPr>
      </w:pPr>
      <w:r>
        <w:rPr>
          <w:rFonts w:hint="eastAsia" w:ascii="宋体" w:hAnsi="宋体"/>
          <w:szCs w:val="21"/>
        </w:rPr>
        <w:t>授权代表（签字）：</w:t>
      </w:r>
    </w:p>
    <w:p>
      <w:pPr>
        <w:tabs>
          <w:tab w:val="left" w:pos="845"/>
        </w:tabs>
        <w:spacing w:line="440" w:lineRule="exact"/>
        <w:ind w:firstLine="5964" w:firstLineChars="2840"/>
        <w:rPr>
          <w:rFonts w:ascii="宋体" w:hAnsi="宋体"/>
          <w:i/>
          <w:iCs/>
          <w:color w:val="000000"/>
          <w:szCs w:val="21"/>
          <w:lang w:val="zh-CN"/>
        </w:rPr>
      </w:pPr>
      <w:r>
        <w:rPr>
          <w:rFonts w:hint="eastAsia" w:ascii="宋体" w:hAnsi="宋体"/>
          <w:szCs w:val="21"/>
        </w:rPr>
        <w:t>日  期：</w:t>
      </w:r>
    </w:p>
    <w:p>
      <w:pPr>
        <w:spacing w:line="400" w:lineRule="exact"/>
        <w:jc w:val="center"/>
        <w:rPr>
          <w:rFonts w:ascii="宋体" w:hAnsi="宋体"/>
          <w:b/>
          <w:sz w:val="28"/>
          <w:szCs w:val="28"/>
        </w:rPr>
      </w:pPr>
    </w:p>
    <w:p>
      <w:pPr>
        <w:spacing w:line="400" w:lineRule="exact"/>
        <w:jc w:val="center"/>
        <w:rPr>
          <w:rFonts w:ascii="宋体" w:hAnsi="宋体"/>
          <w:b/>
          <w:sz w:val="28"/>
          <w:szCs w:val="28"/>
        </w:rPr>
      </w:pPr>
    </w:p>
    <w:p>
      <w:pPr>
        <w:spacing w:beforeLines="50" w:after="60"/>
        <w:ind w:firstLine="480" w:firstLineChars="200"/>
        <w:outlineLvl w:val="2"/>
        <w:rPr>
          <w:rFonts w:ascii="宋体" w:hAnsi="宋体"/>
          <w:sz w:val="24"/>
        </w:rPr>
      </w:pPr>
      <w:r>
        <w:rPr>
          <w:rFonts w:hint="eastAsia" w:ascii="宋体" w:hAnsi="宋体"/>
          <w:sz w:val="24"/>
        </w:rPr>
        <w:t>格式七</w:t>
      </w:r>
    </w:p>
    <w:p>
      <w:pPr>
        <w:spacing w:line="400" w:lineRule="exact"/>
        <w:jc w:val="center"/>
        <w:rPr>
          <w:rFonts w:ascii="宋体" w:hAnsi="宋体"/>
          <w:b/>
          <w:sz w:val="28"/>
          <w:szCs w:val="28"/>
        </w:rPr>
      </w:pPr>
      <w:r>
        <w:rPr>
          <w:rFonts w:hint="eastAsia" w:ascii="宋体" w:hAnsi="宋体"/>
          <w:b/>
          <w:sz w:val="28"/>
          <w:szCs w:val="28"/>
        </w:rPr>
        <w:t>业绩2：政府投资项目同时包含概算审核及设计优化</w:t>
      </w:r>
    </w:p>
    <w:p>
      <w:pPr>
        <w:spacing w:line="400" w:lineRule="exact"/>
        <w:jc w:val="center"/>
        <w:rPr>
          <w:rFonts w:ascii="宋体" w:hAnsi="宋体"/>
          <w:b/>
          <w:sz w:val="28"/>
          <w:szCs w:val="28"/>
        </w:rPr>
      </w:pPr>
      <w:r>
        <w:rPr>
          <w:rFonts w:hint="eastAsia" w:ascii="宋体" w:hAnsi="宋体"/>
          <w:b/>
          <w:sz w:val="28"/>
          <w:szCs w:val="28"/>
        </w:rPr>
        <w:t>内容服务项目汇总表</w:t>
      </w:r>
    </w:p>
    <w:p>
      <w:pPr>
        <w:widowControl/>
        <w:spacing w:line="300" w:lineRule="atLeast"/>
        <w:jc w:val="center"/>
        <w:rPr>
          <w:rFonts w:ascii="ˎ̥" w:hAnsi="ˎ̥" w:cs="宋体"/>
          <w:color w:val="000000"/>
          <w:kern w:val="0"/>
          <w:sz w:val="18"/>
          <w:szCs w:val="18"/>
        </w:rPr>
      </w:pPr>
    </w:p>
    <w:tbl>
      <w:tblPr>
        <w:tblStyle w:val="2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717"/>
        <w:gridCol w:w="2328"/>
        <w:gridCol w:w="154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56" w:type="dxa"/>
            <w:vAlign w:val="center"/>
          </w:tcPr>
          <w:p>
            <w:pPr>
              <w:widowControl/>
              <w:spacing w:line="300" w:lineRule="atLeast"/>
              <w:jc w:val="center"/>
              <w:rPr>
                <w:rFonts w:ascii="ˎ̥" w:hAnsi="ˎ̥" w:cs="宋体"/>
                <w:color w:val="000000"/>
                <w:kern w:val="0"/>
                <w:szCs w:val="21"/>
              </w:rPr>
            </w:pPr>
            <w:r>
              <w:rPr>
                <w:rFonts w:ascii="ˎ̥" w:hAnsi="ˎ̥" w:cs="宋体"/>
                <w:color w:val="000000"/>
                <w:kern w:val="0"/>
                <w:szCs w:val="21"/>
              </w:rPr>
              <w:t>序号</w:t>
            </w:r>
          </w:p>
        </w:tc>
        <w:tc>
          <w:tcPr>
            <w:tcW w:w="2717" w:type="dxa"/>
            <w:vAlign w:val="center"/>
          </w:tcPr>
          <w:p>
            <w:pPr>
              <w:widowControl/>
              <w:spacing w:line="300" w:lineRule="atLeast"/>
              <w:jc w:val="center"/>
              <w:rPr>
                <w:rFonts w:ascii="ˎ̥" w:hAnsi="ˎ̥" w:cs="宋体"/>
                <w:color w:val="000000"/>
                <w:kern w:val="0"/>
                <w:szCs w:val="21"/>
              </w:rPr>
            </w:pPr>
            <w:r>
              <w:rPr>
                <w:rFonts w:hint="eastAsia" w:ascii="ˎ̥" w:hAnsi="ˎ̥" w:cs="宋体"/>
                <w:color w:val="000000"/>
                <w:kern w:val="0"/>
                <w:szCs w:val="21"/>
              </w:rPr>
              <w:t>委托</w:t>
            </w:r>
            <w:r>
              <w:rPr>
                <w:rFonts w:ascii="ˎ̥" w:hAnsi="ˎ̥" w:cs="宋体"/>
                <w:color w:val="000000"/>
                <w:kern w:val="0"/>
                <w:szCs w:val="21"/>
              </w:rPr>
              <w:t>单位</w:t>
            </w:r>
          </w:p>
        </w:tc>
        <w:tc>
          <w:tcPr>
            <w:tcW w:w="2328" w:type="dxa"/>
            <w:vAlign w:val="center"/>
          </w:tcPr>
          <w:p>
            <w:pPr>
              <w:widowControl/>
              <w:spacing w:line="300" w:lineRule="atLeast"/>
              <w:jc w:val="center"/>
              <w:rPr>
                <w:rFonts w:ascii="ˎ̥" w:hAnsi="ˎ̥" w:cs="宋体"/>
                <w:color w:val="000000"/>
                <w:kern w:val="0"/>
                <w:szCs w:val="21"/>
              </w:rPr>
            </w:pPr>
            <w:r>
              <w:rPr>
                <w:rFonts w:ascii="ˎ̥" w:hAnsi="ˎ̥" w:cs="宋体"/>
                <w:color w:val="000000"/>
                <w:kern w:val="0"/>
                <w:szCs w:val="21"/>
              </w:rPr>
              <w:t>项目名称</w:t>
            </w:r>
          </w:p>
        </w:tc>
        <w:tc>
          <w:tcPr>
            <w:tcW w:w="1549" w:type="dxa"/>
            <w:vAlign w:val="center"/>
          </w:tcPr>
          <w:p>
            <w:pPr>
              <w:widowControl/>
              <w:spacing w:line="300" w:lineRule="atLeast"/>
              <w:jc w:val="center"/>
              <w:rPr>
                <w:rFonts w:ascii="ˎ̥" w:hAnsi="ˎ̥" w:cs="宋体"/>
                <w:color w:val="000000"/>
                <w:kern w:val="0"/>
                <w:szCs w:val="21"/>
              </w:rPr>
            </w:pPr>
            <w:r>
              <w:rPr>
                <w:rFonts w:hint="eastAsia" w:ascii="ˎ̥" w:hAnsi="ˎ̥" w:cs="宋体"/>
                <w:color w:val="000000"/>
                <w:kern w:val="0"/>
                <w:szCs w:val="21"/>
              </w:rPr>
              <w:t>总投资</w:t>
            </w:r>
          </w:p>
          <w:p>
            <w:pPr>
              <w:widowControl/>
              <w:spacing w:line="300" w:lineRule="atLeast"/>
              <w:jc w:val="center"/>
              <w:rPr>
                <w:rFonts w:ascii="ˎ̥" w:hAnsi="ˎ̥" w:cs="宋体"/>
                <w:color w:val="000000"/>
                <w:kern w:val="0"/>
                <w:szCs w:val="21"/>
              </w:rPr>
            </w:pPr>
            <w:r>
              <w:rPr>
                <w:rFonts w:ascii="ˎ̥" w:hAnsi="ˎ̥" w:cs="宋体"/>
                <w:color w:val="000000"/>
                <w:kern w:val="0"/>
                <w:szCs w:val="21"/>
              </w:rPr>
              <w:t>（</w:t>
            </w:r>
            <w:r>
              <w:rPr>
                <w:rFonts w:hint="eastAsia" w:ascii="ˎ̥" w:hAnsi="ˎ̥" w:cs="宋体"/>
                <w:color w:val="000000"/>
                <w:kern w:val="0"/>
                <w:szCs w:val="21"/>
              </w:rPr>
              <w:t>亿</w:t>
            </w:r>
            <w:r>
              <w:rPr>
                <w:rFonts w:ascii="ˎ̥" w:hAnsi="ˎ̥" w:cs="宋体"/>
                <w:color w:val="000000"/>
                <w:kern w:val="0"/>
                <w:szCs w:val="21"/>
              </w:rPr>
              <w:t>元）</w:t>
            </w:r>
          </w:p>
        </w:tc>
        <w:tc>
          <w:tcPr>
            <w:tcW w:w="1771" w:type="dxa"/>
            <w:vAlign w:val="center"/>
          </w:tcPr>
          <w:p>
            <w:pPr>
              <w:widowControl/>
              <w:spacing w:line="300" w:lineRule="atLeast"/>
              <w:jc w:val="center"/>
              <w:rPr>
                <w:rFonts w:ascii="ˎ̥" w:hAnsi="ˎ̥" w:cs="宋体"/>
                <w:color w:val="000000"/>
                <w:kern w:val="0"/>
                <w:szCs w:val="21"/>
              </w:rPr>
            </w:pPr>
            <w:r>
              <w:rPr>
                <w:rFonts w:ascii="ˎ̥" w:hAnsi="ˎ̥" w:cs="宋体"/>
                <w:color w:val="000000"/>
                <w:kern w:val="0"/>
                <w:szCs w:val="21"/>
              </w:rPr>
              <w:t>协议签订日期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6" w:type="dxa"/>
          </w:tcPr>
          <w:p>
            <w:pPr>
              <w:spacing w:line="360" w:lineRule="auto"/>
              <w:jc w:val="center"/>
              <w:rPr>
                <w:rFonts w:ascii="宋体" w:hAnsi="宋体"/>
                <w:color w:val="000000"/>
                <w:szCs w:val="21"/>
              </w:rPr>
            </w:pPr>
            <w:r>
              <w:rPr>
                <w:rFonts w:hint="eastAsia" w:ascii="宋体" w:hAnsi="宋体"/>
                <w:color w:val="000000"/>
                <w:szCs w:val="21"/>
              </w:rPr>
              <w:t>1</w:t>
            </w:r>
          </w:p>
        </w:tc>
        <w:tc>
          <w:tcPr>
            <w:tcW w:w="2717" w:type="dxa"/>
          </w:tcPr>
          <w:p>
            <w:pPr>
              <w:spacing w:line="360" w:lineRule="auto"/>
              <w:rPr>
                <w:rFonts w:ascii="宋体" w:hAnsi="宋体"/>
                <w:color w:val="000000"/>
                <w:szCs w:val="21"/>
              </w:rPr>
            </w:pPr>
          </w:p>
        </w:tc>
        <w:tc>
          <w:tcPr>
            <w:tcW w:w="2328" w:type="dxa"/>
          </w:tcPr>
          <w:p>
            <w:pPr>
              <w:spacing w:line="360" w:lineRule="auto"/>
              <w:rPr>
                <w:rFonts w:ascii="宋体" w:hAnsi="宋体"/>
                <w:color w:val="000000"/>
                <w:szCs w:val="21"/>
              </w:rPr>
            </w:pPr>
          </w:p>
        </w:tc>
        <w:tc>
          <w:tcPr>
            <w:tcW w:w="1549" w:type="dxa"/>
          </w:tcPr>
          <w:p>
            <w:pPr>
              <w:spacing w:line="360" w:lineRule="auto"/>
              <w:rPr>
                <w:rFonts w:ascii="宋体" w:hAnsi="宋体"/>
                <w:color w:val="000000"/>
                <w:szCs w:val="21"/>
              </w:rPr>
            </w:pPr>
          </w:p>
        </w:tc>
        <w:tc>
          <w:tcPr>
            <w:tcW w:w="1771"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6" w:type="dxa"/>
          </w:tcPr>
          <w:p>
            <w:pPr>
              <w:spacing w:line="360" w:lineRule="auto"/>
              <w:jc w:val="center"/>
              <w:rPr>
                <w:rFonts w:ascii="宋体" w:hAnsi="宋体"/>
                <w:color w:val="000000"/>
                <w:szCs w:val="21"/>
              </w:rPr>
            </w:pPr>
            <w:r>
              <w:rPr>
                <w:rFonts w:hint="eastAsia" w:ascii="宋体" w:hAnsi="宋体"/>
                <w:color w:val="000000"/>
                <w:szCs w:val="21"/>
              </w:rPr>
              <w:t>2</w:t>
            </w:r>
          </w:p>
        </w:tc>
        <w:tc>
          <w:tcPr>
            <w:tcW w:w="2717" w:type="dxa"/>
          </w:tcPr>
          <w:p>
            <w:pPr>
              <w:spacing w:line="360" w:lineRule="auto"/>
              <w:rPr>
                <w:rFonts w:ascii="宋体" w:hAnsi="宋体"/>
                <w:color w:val="000000"/>
                <w:szCs w:val="21"/>
              </w:rPr>
            </w:pPr>
          </w:p>
        </w:tc>
        <w:tc>
          <w:tcPr>
            <w:tcW w:w="2328" w:type="dxa"/>
          </w:tcPr>
          <w:p>
            <w:pPr>
              <w:spacing w:line="360" w:lineRule="auto"/>
              <w:rPr>
                <w:rFonts w:ascii="宋体" w:hAnsi="宋体"/>
                <w:color w:val="000000"/>
                <w:szCs w:val="21"/>
              </w:rPr>
            </w:pPr>
          </w:p>
        </w:tc>
        <w:tc>
          <w:tcPr>
            <w:tcW w:w="1549" w:type="dxa"/>
          </w:tcPr>
          <w:p>
            <w:pPr>
              <w:spacing w:line="360" w:lineRule="auto"/>
              <w:rPr>
                <w:rFonts w:ascii="宋体" w:hAnsi="宋体"/>
                <w:color w:val="000000"/>
                <w:szCs w:val="21"/>
              </w:rPr>
            </w:pPr>
          </w:p>
        </w:tc>
        <w:tc>
          <w:tcPr>
            <w:tcW w:w="1771"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6" w:type="dxa"/>
          </w:tcPr>
          <w:p>
            <w:pPr>
              <w:spacing w:line="360" w:lineRule="auto"/>
              <w:jc w:val="center"/>
              <w:rPr>
                <w:rFonts w:ascii="宋体" w:hAnsi="宋体"/>
                <w:color w:val="000000"/>
                <w:szCs w:val="21"/>
              </w:rPr>
            </w:pPr>
            <w:r>
              <w:rPr>
                <w:rFonts w:hint="eastAsia" w:ascii="宋体" w:hAnsi="宋体"/>
                <w:color w:val="000000"/>
                <w:szCs w:val="21"/>
              </w:rPr>
              <w:t>3</w:t>
            </w:r>
          </w:p>
        </w:tc>
        <w:tc>
          <w:tcPr>
            <w:tcW w:w="2717" w:type="dxa"/>
          </w:tcPr>
          <w:p>
            <w:pPr>
              <w:spacing w:line="360" w:lineRule="auto"/>
              <w:rPr>
                <w:rFonts w:ascii="宋体" w:hAnsi="宋体"/>
                <w:color w:val="000000"/>
                <w:szCs w:val="21"/>
              </w:rPr>
            </w:pPr>
          </w:p>
        </w:tc>
        <w:tc>
          <w:tcPr>
            <w:tcW w:w="2328" w:type="dxa"/>
          </w:tcPr>
          <w:p>
            <w:pPr>
              <w:spacing w:line="360" w:lineRule="auto"/>
              <w:rPr>
                <w:rFonts w:ascii="宋体" w:hAnsi="宋体"/>
                <w:color w:val="000000"/>
                <w:szCs w:val="21"/>
              </w:rPr>
            </w:pPr>
          </w:p>
        </w:tc>
        <w:tc>
          <w:tcPr>
            <w:tcW w:w="1549" w:type="dxa"/>
          </w:tcPr>
          <w:p>
            <w:pPr>
              <w:spacing w:line="360" w:lineRule="auto"/>
              <w:rPr>
                <w:rFonts w:ascii="宋体" w:hAnsi="宋体"/>
                <w:color w:val="000000"/>
                <w:szCs w:val="21"/>
              </w:rPr>
            </w:pPr>
          </w:p>
        </w:tc>
        <w:tc>
          <w:tcPr>
            <w:tcW w:w="1771" w:type="dxa"/>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56" w:type="dxa"/>
          </w:tcPr>
          <w:p>
            <w:pPr>
              <w:spacing w:line="360" w:lineRule="auto"/>
              <w:jc w:val="center"/>
              <w:rPr>
                <w:rFonts w:ascii="宋体" w:hAnsi="宋体"/>
                <w:color w:val="000000"/>
                <w:szCs w:val="21"/>
              </w:rPr>
            </w:pPr>
            <w:r>
              <w:rPr>
                <w:rFonts w:hint="eastAsia" w:ascii="宋体" w:hAnsi="宋体"/>
                <w:color w:val="000000"/>
                <w:szCs w:val="21"/>
              </w:rPr>
              <w:t>4</w:t>
            </w:r>
          </w:p>
        </w:tc>
        <w:tc>
          <w:tcPr>
            <w:tcW w:w="2717" w:type="dxa"/>
          </w:tcPr>
          <w:p>
            <w:pPr>
              <w:spacing w:line="360" w:lineRule="auto"/>
              <w:rPr>
                <w:rFonts w:ascii="宋体" w:hAnsi="宋体"/>
                <w:color w:val="000000"/>
                <w:szCs w:val="21"/>
              </w:rPr>
            </w:pPr>
            <w:r>
              <w:rPr>
                <w:rFonts w:hint="eastAsia" w:ascii="宋体" w:hAnsi="宋体"/>
                <w:color w:val="000000"/>
                <w:szCs w:val="21"/>
              </w:rPr>
              <w:t>……</w:t>
            </w:r>
          </w:p>
        </w:tc>
        <w:tc>
          <w:tcPr>
            <w:tcW w:w="2328" w:type="dxa"/>
          </w:tcPr>
          <w:p>
            <w:pPr>
              <w:spacing w:line="360" w:lineRule="auto"/>
              <w:rPr>
                <w:rFonts w:ascii="宋体" w:hAnsi="宋体"/>
                <w:color w:val="000000"/>
                <w:szCs w:val="21"/>
              </w:rPr>
            </w:pPr>
          </w:p>
        </w:tc>
        <w:tc>
          <w:tcPr>
            <w:tcW w:w="1549" w:type="dxa"/>
          </w:tcPr>
          <w:p>
            <w:pPr>
              <w:spacing w:line="360" w:lineRule="auto"/>
              <w:rPr>
                <w:rFonts w:ascii="宋体" w:hAnsi="宋体"/>
                <w:color w:val="000000"/>
                <w:szCs w:val="21"/>
              </w:rPr>
            </w:pPr>
          </w:p>
        </w:tc>
        <w:tc>
          <w:tcPr>
            <w:tcW w:w="1771" w:type="dxa"/>
          </w:tcPr>
          <w:p>
            <w:pPr>
              <w:spacing w:line="360" w:lineRule="auto"/>
              <w:rPr>
                <w:rFonts w:ascii="宋体" w:hAnsi="宋体"/>
                <w:color w:val="000000"/>
                <w:szCs w:val="21"/>
              </w:rPr>
            </w:pPr>
          </w:p>
        </w:tc>
      </w:tr>
    </w:tbl>
    <w:p>
      <w:pPr>
        <w:spacing w:line="360" w:lineRule="auto"/>
        <w:rPr>
          <w:rFonts w:ascii="宋体" w:hAnsi="宋体"/>
          <w:szCs w:val="21"/>
        </w:rPr>
      </w:pPr>
      <w:r>
        <w:rPr>
          <w:rFonts w:hint="eastAsia" w:ascii="宋体" w:hAnsi="宋体"/>
          <w:szCs w:val="21"/>
        </w:rPr>
        <w:t>注：后附立项批复复印件、发改部门委托的合同复印件、设计优化业绩成果证明资料，并加盖公章</w:t>
      </w:r>
    </w:p>
    <w:p>
      <w:pPr>
        <w:spacing w:line="440" w:lineRule="exact"/>
        <w:ind w:left="-720" w:leftChars="-343" w:right="-960" w:firstLine="5964" w:firstLineChars="2840"/>
        <w:rPr>
          <w:rFonts w:ascii="宋体" w:hAnsi="宋体"/>
          <w:szCs w:val="21"/>
        </w:rPr>
      </w:pPr>
      <w:r>
        <w:rPr>
          <w:rFonts w:hint="eastAsia" w:ascii="宋体" w:hAnsi="宋体"/>
          <w:szCs w:val="21"/>
        </w:rPr>
        <w:t>投标单位（盖章）：</w:t>
      </w:r>
    </w:p>
    <w:p>
      <w:pPr>
        <w:spacing w:line="440" w:lineRule="exact"/>
        <w:ind w:left="-720" w:leftChars="-343" w:right="-960" w:firstLine="5964" w:firstLineChars="2840"/>
        <w:rPr>
          <w:rFonts w:ascii="宋体" w:hAnsi="宋体"/>
          <w:szCs w:val="21"/>
        </w:rPr>
      </w:pPr>
      <w:r>
        <w:rPr>
          <w:rFonts w:hint="eastAsia" w:ascii="宋体" w:hAnsi="宋体"/>
          <w:szCs w:val="21"/>
        </w:rPr>
        <w:t>授权代表（签字）：</w:t>
      </w:r>
    </w:p>
    <w:p>
      <w:pPr>
        <w:tabs>
          <w:tab w:val="left" w:pos="845"/>
        </w:tabs>
        <w:spacing w:line="440" w:lineRule="exact"/>
        <w:ind w:firstLine="5964" w:firstLineChars="2840"/>
        <w:rPr>
          <w:rFonts w:ascii="宋体" w:hAnsi="宋体"/>
          <w:szCs w:val="21"/>
        </w:rPr>
        <w:sectPr>
          <w:pgSz w:w="11906" w:h="16838"/>
          <w:pgMar w:top="1134" w:right="1247" w:bottom="1134" w:left="1247" w:header="851" w:footer="992" w:gutter="0"/>
          <w:cols w:space="720" w:num="1"/>
          <w:docGrid w:type="lines" w:linePitch="312" w:charSpace="0"/>
        </w:sectPr>
      </w:pPr>
      <w:r>
        <w:rPr>
          <w:rFonts w:hint="eastAsia" w:ascii="宋体" w:hAnsi="宋体"/>
          <w:szCs w:val="21"/>
        </w:rPr>
        <w:t>日  期：</w:t>
      </w:r>
    </w:p>
    <w:p>
      <w:pPr>
        <w:spacing w:beforeLines="50" w:after="60"/>
        <w:ind w:firstLine="480" w:firstLineChars="200"/>
        <w:outlineLvl w:val="2"/>
        <w:rPr>
          <w:rFonts w:ascii="宋体" w:hAnsi="宋体"/>
          <w:sz w:val="24"/>
        </w:rPr>
      </w:pPr>
      <w:r>
        <w:rPr>
          <w:rFonts w:hint="eastAsia" w:ascii="宋体" w:hAnsi="宋体"/>
          <w:sz w:val="24"/>
        </w:rPr>
        <w:t>格式八</w:t>
      </w:r>
    </w:p>
    <w:p>
      <w:pPr>
        <w:spacing w:after="156" w:line="460" w:lineRule="exact"/>
        <w:jc w:val="center"/>
        <w:rPr>
          <w:rFonts w:ascii="宋体" w:hAnsi="宋体"/>
          <w:b/>
          <w:sz w:val="28"/>
          <w:szCs w:val="28"/>
        </w:rPr>
      </w:pPr>
      <w:r>
        <w:rPr>
          <w:rFonts w:hint="eastAsia" w:ascii="宋体" w:hAnsi="宋体"/>
          <w:b/>
          <w:sz w:val="28"/>
          <w:szCs w:val="28"/>
        </w:rPr>
        <w:t>公司团队人员组成表</w:t>
      </w:r>
    </w:p>
    <w:tbl>
      <w:tblPr>
        <w:tblStyle w:val="25"/>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80"/>
        <w:gridCol w:w="1926"/>
        <w:gridCol w:w="1111"/>
        <w:gridCol w:w="1139"/>
        <w:gridCol w:w="234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25" w:type="dxa"/>
            <w:vAlign w:val="center"/>
          </w:tcPr>
          <w:p>
            <w:pPr>
              <w:jc w:val="center"/>
              <w:rPr>
                <w:rFonts w:ascii="宋体" w:hAnsi="宋体"/>
                <w:szCs w:val="21"/>
              </w:rPr>
            </w:pPr>
            <w:r>
              <w:rPr>
                <w:rFonts w:hint="eastAsia" w:ascii="宋体" w:hAnsi="宋体"/>
                <w:szCs w:val="21"/>
              </w:rPr>
              <w:t>序号</w:t>
            </w:r>
          </w:p>
        </w:tc>
        <w:tc>
          <w:tcPr>
            <w:tcW w:w="1080" w:type="dxa"/>
            <w:vAlign w:val="center"/>
          </w:tcPr>
          <w:p>
            <w:pPr>
              <w:jc w:val="center"/>
              <w:rPr>
                <w:rFonts w:ascii="宋体" w:hAnsi="宋体"/>
                <w:szCs w:val="21"/>
              </w:rPr>
            </w:pPr>
            <w:r>
              <w:rPr>
                <w:rFonts w:hint="eastAsia" w:ascii="宋体" w:hAnsi="宋体"/>
                <w:szCs w:val="21"/>
              </w:rPr>
              <w:t>姓 名</w:t>
            </w:r>
          </w:p>
        </w:tc>
        <w:tc>
          <w:tcPr>
            <w:tcW w:w="1926" w:type="dxa"/>
            <w:vAlign w:val="center"/>
          </w:tcPr>
          <w:p>
            <w:pPr>
              <w:jc w:val="center"/>
              <w:rPr>
                <w:rFonts w:ascii="宋体" w:hAnsi="宋体"/>
                <w:szCs w:val="21"/>
              </w:rPr>
            </w:pPr>
            <w:r>
              <w:rPr>
                <w:rFonts w:hint="eastAsia" w:ascii="宋体" w:hAnsi="宋体"/>
                <w:szCs w:val="21"/>
              </w:rPr>
              <w:t>本项目拟定职务</w:t>
            </w:r>
          </w:p>
        </w:tc>
        <w:tc>
          <w:tcPr>
            <w:tcW w:w="1111" w:type="dxa"/>
            <w:vAlign w:val="center"/>
          </w:tcPr>
          <w:p>
            <w:pPr>
              <w:jc w:val="center"/>
              <w:rPr>
                <w:rFonts w:ascii="宋体" w:hAnsi="宋体"/>
                <w:szCs w:val="21"/>
              </w:rPr>
            </w:pPr>
            <w:r>
              <w:rPr>
                <w:rFonts w:hint="eastAsia" w:ascii="宋体" w:hAnsi="宋体"/>
                <w:szCs w:val="21"/>
              </w:rPr>
              <w:t>工作年限</w:t>
            </w:r>
          </w:p>
        </w:tc>
        <w:tc>
          <w:tcPr>
            <w:tcW w:w="1139" w:type="dxa"/>
            <w:vAlign w:val="center"/>
          </w:tcPr>
          <w:p>
            <w:pPr>
              <w:jc w:val="center"/>
              <w:rPr>
                <w:rFonts w:ascii="宋体" w:hAnsi="宋体"/>
                <w:szCs w:val="21"/>
              </w:rPr>
            </w:pPr>
            <w:r>
              <w:rPr>
                <w:rFonts w:hint="eastAsia" w:ascii="宋体" w:hAnsi="宋体"/>
                <w:szCs w:val="21"/>
              </w:rPr>
              <w:t>职称</w:t>
            </w:r>
          </w:p>
        </w:tc>
        <w:tc>
          <w:tcPr>
            <w:tcW w:w="2340" w:type="dxa"/>
            <w:vAlign w:val="center"/>
          </w:tcPr>
          <w:p>
            <w:pPr>
              <w:jc w:val="center"/>
              <w:rPr>
                <w:rFonts w:ascii="宋体" w:hAnsi="宋体"/>
                <w:szCs w:val="21"/>
              </w:rPr>
            </w:pPr>
            <w:r>
              <w:rPr>
                <w:rFonts w:hint="eastAsia" w:ascii="宋体" w:hAnsi="宋体"/>
                <w:szCs w:val="21"/>
              </w:rPr>
              <w:t>执业资格名称（专业）</w:t>
            </w:r>
          </w:p>
        </w:tc>
        <w:tc>
          <w:tcPr>
            <w:tcW w:w="1125" w:type="dxa"/>
            <w:vAlign w:val="center"/>
          </w:tcPr>
          <w:p>
            <w:pPr>
              <w:jc w:val="center"/>
              <w:rPr>
                <w:rFonts w:ascii="宋体" w:hAnsi="宋体"/>
                <w:szCs w:val="21"/>
              </w:rPr>
            </w:pPr>
            <w:r>
              <w:rPr>
                <w:rFonts w:hint="eastAsia" w:ascii="宋体" w:hAnsi="宋体"/>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tcPr>
          <w:p>
            <w:pPr>
              <w:spacing w:line="360" w:lineRule="auto"/>
              <w:rPr>
                <w:rFonts w:ascii="宋体" w:hAnsi="宋体"/>
                <w:szCs w:val="21"/>
              </w:rPr>
            </w:pPr>
          </w:p>
        </w:tc>
        <w:tc>
          <w:tcPr>
            <w:tcW w:w="1080" w:type="dxa"/>
            <w:vAlign w:val="center"/>
          </w:tcPr>
          <w:p>
            <w:pPr>
              <w:spacing w:line="360" w:lineRule="auto"/>
              <w:jc w:val="center"/>
              <w:rPr>
                <w:rFonts w:ascii="宋体" w:hAnsi="宋体"/>
                <w:szCs w:val="21"/>
              </w:rPr>
            </w:pPr>
          </w:p>
        </w:tc>
        <w:tc>
          <w:tcPr>
            <w:tcW w:w="1926" w:type="dxa"/>
            <w:vAlign w:val="center"/>
          </w:tcPr>
          <w:p>
            <w:pPr>
              <w:spacing w:line="360" w:lineRule="auto"/>
              <w:jc w:val="center"/>
              <w:rPr>
                <w:rFonts w:ascii="宋体" w:hAnsi="宋体"/>
                <w:szCs w:val="21"/>
              </w:rPr>
            </w:pPr>
            <w:r>
              <w:rPr>
                <w:rFonts w:hint="eastAsia" w:ascii="宋体" w:hAnsi="宋体"/>
                <w:szCs w:val="21"/>
              </w:rPr>
              <w:t>项目负责人</w:t>
            </w:r>
          </w:p>
        </w:tc>
        <w:tc>
          <w:tcPr>
            <w:tcW w:w="1111" w:type="dxa"/>
            <w:vAlign w:val="center"/>
          </w:tcPr>
          <w:p>
            <w:pPr>
              <w:spacing w:line="360" w:lineRule="auto"/>
              <w:jc w:val="center"/>
              <w:rPr>
                <w:rFonts w:ascii="宋体" w:hAnsi="宋体"/>
                <w:szCs w:val="21"/>
              </w:rPr>
            </w:pPr>
          </w:p>
        </w:tc>
        <w:tc>
          <w:tcPr>
            <w:tcW w:w="1139" w:type="dxa"/>
            <w:vAlign w:val="center"/>
          </w:tcPr>
          <w:p>
            <w:pPr>
              <w:spacing w:line="360" w:lineRule="auto"/>
              <w:jc w:val="center"/>
              <w:rPr>
                <w:rFonts w:ascii="宋体" w:hAnsi="宋体"/>
                <w:szCs w:val="21"/>
              </w:rPr>
            </w:pPr>
          </w:p>
        </w:tc>
        <w:tc>
          <w:tcPr>
            <w:tcW w:w="2340" w:type="dxa"/>
            <w:vAlign w:val="center"/>
          </w:tcPr>
          <w:p>
            <w:pPr>
              <w:spacing w:line="360" w:lineRule="auto"/>
              <w:jc w:val="center"/>
              <w:rPr>
                <w:rFonts w:ascii="宋体" w:hAnsi="宋体"/>
                <w:szCs w:val="21"/>
              </w:rPr>
            </w:pPr>
          </w:p>
        </w:tc>
        <w:tc>
          <w:tcPr>
            <w:tcW w:w="112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5" w:type="dxa"/>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p>
        </w:tc>
        <w:tc>
          <w:tcPr>
            <w:tcW w:w="1926" w:type="dxa"/>
            <w:vAlign w:val="center"/>
          </w:tcPr>
          <w:p>
            <w:pPr>
              <w:spacing w:line="360" w:lineRule="auto"/>
              <w:jc w:val="center"/>
              <w:rPr>
                <w:rFonts w:ascii="宋体" w:hAnsi="宋体"/>
                <w:szCs w:val="21"/>
              </w:rPr>
            </w:pPr>
          </w:p>
        </w:tc>
        <w:tc>
          <w:tcPr>
            <w:tcW w:w="1111" w:type="dxa"/>
            <w:vAlign w:val="center"/>
          </w:tcPr>
          <w:p>
            <w:pPr>
              <w:spacing w:line="360" w:lineRule="auto"/>
              <w:jc w:val="center"/>
              <w:rPr>
                <w:rFonts w:ascii="宋体" w:hAnsi="宋体"/>
                <w:szCs w:val="21"/>
              </w:rPr>
            </w:pPr>
          </w:p>
        </w:tc>
        <w:tc>
          <w:tcPr>
            <w:tcW w:w="1139" w:type="dxa"/>
            <w:vAlign w:val="center"/>
          </w:tcPr>
          <w:p>
            <w:pPr>
              <w:spacing w:line="360" w:lineRule="auto"/>
              <w:jc w:val="center"/>
              <w:rPr>
                <w:rFonts w:ascii="宋体" w:hAnsi="宋体"/>
                <w:szCs w:val="21"/>
              </w:rPr>
            </w:pPr>
          </w:p>
        </w:tc>
        <w:tc>
          <w:tcPr>
            <w:tcW w:w="2340" w:type="dxa"/>
            <w:vAlign w:val="center"/>
          </w:tcPr>
          <w:p>
            <w:pPr>
              <w:spacing w:line="360" w:lineRule="auto"/>
              <w:jc w:val="center"/>
              <w:rPr>
                <w:rFonts w:ascii="宋体" w:hAnsi="宋体"/>
                <w:szCs w:val="21"/>
              </w:rPr>
            </w:pPr>
          </w:p>
        </w:tc>
        <w:tc>
          <w:tcPr>
            <w:tcW w:w="112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5" w:type="dxa"/>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p>
        </w:tc>
        <w:tc>
          <w:tcPr>
            <w:tcW w:w="1926" w:type="dxa"/>
            <w:vAlign w:val="center"/>
          </w:tcPr>
          <w:p>
            <w:pPr>
              <w:spacing w:line="360" w:lineRule="auto"/>
              <w:jc w:val="center"/>
              <w:rPr>
                <w:rFonts w:ascii="宋体" w:hAnsi="宋体"/>
                <w:szCs w:val="21"/>
              </w:rPr>
            </w:pPr>
          </w:p>
        </w:tc>
        <w:tc>
          <w:tcPr>
            <w:tcW w:w="1111" w:type="dxa"/>
            <w:vAlign w:val="center"/>
          </w:tcPr>
          <w:p>
            <w:pPr>
              <w:spacing w:line="360" w:lineRule="auto"/>
              <w:jc w:val="center"/>
              <w:rPr>
                <w:rFonts w:ascii="宋体" w:hAnsi="宋体"/>
                <w:szCs w:val="21"/>
              </w:rPr>
            </w:pPr>
          </w:p>
        </w:tc>
        <w:tc>
          <w:tcPr>
            <w:tcW w:w="1139" w:type="dxa"/>
            <w:vAlign w:val="center"/>
          </w:tcPr>
          <w:p>
            <w:pPr>
              <w:spacing w:line="360" w:lineRule="auto"/>
              <w:jc w:val="center"/>
              <w:rPr>
                <w:rFonts w:ascii="宋体" w:hAnsi="宋体"/>
                <w:szCs w:val="21"/>
              </w:rPr>
            </w:pPr>
          </w:p>
        </w:tc>
        <w:tc>
          <w:tcPr>
            <w:tcW w:w="2340" w:type="dxa"/>
            <w:vAlign w:val="center"/>
          </w:tcPr>
          <w:p>
            <w:pPr>
              <w:spacing w:line="360" w:lineRule="auto"/>
              <w:jc w:val="center"/>
              <w:rPr>
                <w:rFonts w:ascii="宋体" w:hAnsi="宋体"/>
                <w:szCs w:val="21"/>
              </w:rPr>
            </w:pPr>
          </w:p>
        </w:tc>
        <w:tc>
          <w:tcPr>
            <w:tcW w:w="112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5" w:type="dxa"/>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p>
        </w:tc>
        <w:tc>
          <w:tcPr>
            <w:tcW w:w="1926" w:type="dxa"/>
            <w:vAlign w:val="center"/>
          </w:tcPr>
          <w:p>
            <w:pPr>
              <w:spacing w:line="360" w:lineRule="auto"/>
              <w:jc w:val="center"/>
              <w:rPr>
                <w:rFonts w:ascii="宋体" w:hAnsi="宋体"/>
                <w:szCs w:val="21"/>
              </w:rPr>
            </w:pPr>
          </w:p>
        </w:tc>
        <w:tc>
          <w:tcPr>
            <w:tcW w:w="1111" w:type="dxa"/>
            <w:vAlign w:val="center"/>
          </w:tcPr>
          <w:p>
            <w:pPr>
              <w:spacing w:line="360" w:lineRule="auto"/>
              <w:jc w:val="center"/>
              <w:rPr>
                <w:rFonts w:ascii="宋体" w:hAnsi="宋体"/>
                <w:szCs w:val="21"/>
              </w:rPr>
            </w:pPr>
          </w:p>
        </w:tc>
        <w:tc>
          <w:tcPr>
            <w:tcW w:w="1139" w:type="dxa"/>
            <w:vAlign w:val="center"/>
          </w:tcPr>
          <w:p>
            <w:pPr>
              <w:spacing w:line="360" w:lineRule="auto"/>
              <w:jc w:val="center"/>
              <w:rPr>
                <w:rFonts w:ascii="宋体" w:hAnsi="宋体"/>
                <w:szCs w:val="21"/>
              </w:rPr>
            </w:pPr>
          </w:p>
        </w:tc>
        <w:tc>
          <w:tcPr>
            <w:tcW w:w="2340" w:type="dxa"/>
            <w:vAlign w:val="center"/>
          </w:tcPr>
          <w:p>
            <w:pPr>
              <w:spacing w:line="360" w:lineRule="auto"/>
              <w:jc w:val="center"/>
              <w:rPr>
                <w:rFonts w:ascii="宋体" w:hAnsi="宋体"/>
                <w:szCs w:val="21"/>
              </w:rPr>
            </w:pPr>
          </w:p>
        </w:tc>
        <w:tc>
          <w:tcPr>
            <w:tcW w:w="112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5" w:type="dxa"/>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p>
        </w:tc>
        <w:tc>
          <w:tcPr>
            <w:tcW w:w="1926" w:type="dxa"/>
            <w:vAlign w:val="center"/>
          </w:tcPr>
          <w:p>
            <w:pPr>
              <w:spacing w:line="360" w:lineRule="auto"/>
              <w:jc w:val="center"/>
              <w:rPr>
                <w:rFonts w:ascii="宋体" w:hAnsi="宋体"/>
                <w:szCs w:val="21"/>
              </w:rPr>
            </w:pPr>
          </w:p>
        </w:tc>
        <w:tc>
          <w:tcPr>
            <w:tcW w:w="1111" w:type="dxa"/>
            <w:vAlign w:val="center"/>
          </w:tcPr>
          <w:p>
            <w:pPr>
              <w:spacing w:line="360" w:lineRule="auto"/>
              <w:jc w:val="center"/>
              <w:rPr>
                <w:rFonts w:ascii="宋体" w:hAnsi="宋体"/>
                <w:szCs w:val="21"/>
              </w:rPr>
            </w:pPr>
          </w:p>
        </w:tc>
        <w:tc>
          <w:tcPr>
            <w:tcW w:w="1139" w:type="dxa"/>
            <w:vAlign w:val="center"/>
          </w:tcPr>
          <w:p>
            <w:pPr>
              <w:spacing w:line="360" w:lineRule="auto"/>
              <w:jc w:val="center"/>
              <w:rPr>
                <w:rFonts w:ascii="宋体" w:hAnsi="宋体"/>
                <w:szCs w:val="21"/>
              </w:rPr>
            </w:pPr>
          </w:p>
        </w:tc>
        <w:tc>
          <w:tcPr>
            <w:tcW w:w="2340" w:type="dxa"/>
            <w:vAlign w:val="center"/>
          </w:tcPr>
          <w:p>
            <w:pPr>
              <w:spacing w:line="360" w:lineRule="auto"/>
              <w:jc w:val="center"/>
              <w:rPr>
                <w:rFonts w:ascii="宋体" w:hAnsi="宋体"/>
                <w:szCs w:val="21"/>
              </w:rPr>
            </w:pPr>
          </w:p>
        </w:tc>
        <w:tc>
          <w:tcPr>
            <w:tcW w:w="1125" w:type="dxa"/>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注：最近三个月社保证明（退休返聘人员则须提供退休证及退休返聘合同）、注册造价工程师证书、执业资格证书、职称证书复印件。</w:t>
      </w:r>
    </w:p>
    <w:p>
      <w:pPr>
        <w:spacing w:line="360" w:lineRule="auto"/>
        <w:ind w:firstLine="570"/>
        <w:rPr>
          <w:rFonts w:ascii="宋体" w:hAnsi="宋体"/>
          <w:szCs w:val="21"/>
        </w:rPr>
      </w:pPr>
    </w:p>
    <w:p>
      <w:pPr>
        <w:spacing w:line="440" w:lineRule="exact"/>
        <w:ind w:left="-720" w:leftChars="-343" w:right="-960" w:firstLine="5964" w:firstLineChars="2840"/>
        <w:rPr>
          <w:rFonts w:ascii="宋体" w:hAnsi="宋体"/>
          <w:szCs w:val="21"/>
        </w:rPr>
      </w:pPr>
      <w:r>
        <w:rPr>
          <w:rFonts w:hint="eastAsia" w:ascii="宋体" w:hAnsi="宋体"/>
          <w:szCs w:val="21"/>
        </w:rPr>
        <w:t>投标单位（盖章）：</w:t>
      </w:r>
    </w:p>
    <w:p>
      <w:pPr>
        <w:spacing w:line="440" w:lineRule="exact"/>
        <w:ind w:left="-720" w:leftChars="-343" w:right="-960" w:firstLine="5964" w:firstLineChars="2840"/>
        <w:rPr>
          <w:rFonts w:ascii="宋体" w:hAnsi="宋体"/>
          <w:szCs w:val="21"/>
        </w:rPr>
      </w:pPr>
      <w:r>
        <w:rPr>
          <w:rFonts w:hint="eastAsia" w:ascii="宋体" w:hAnsi="宋体"/>
          <w:szCs w:val="21"/>
        </w:rPr>
        <w:t>授权代表（签字）：</w:t>
      </w:r>
    </w:p>
    <w:p>
      <w:pPr>
        <w:tabs>
          <w:tab w:val="left" w:pos="845"/>
        </w:tabs>
        <w:spacing w:line="440" w:lineRule="exact"/>
        <w:ind w:firstLine="5964" w:firstLineChars="2840"/>
        <w:rPr>
          <w:rFonts w:ascii="宋体" w:hAnsi="宋体"/>
          <w:szCs w:val="21"/>
        </w:rPr>
      </w:pPr>
      <w:r>
        <w:rPr>
          <w:rFonts w:hint="eastAsia" w:ascii="宋体" w:hAnsi="宋体"/>
          <w:szCs w:val="21"/>
        </w:rPr>
        <w:t>日  期：</w:t>
      </w:r>
    </w:p>
    <w:p>
      <w:pPr>
        <w:tabs>
          <w:tab w:val="left" w:pos="845"/>
        </w:tabs>
        <w:spacing w:line="440" w:lineRule="exact"/>
        <w:rPr>
          <w:rFonts w:ascii="宋体" w:hAnsi="宋体"/>
          <w:szCs w:val="21"/>
        </w:rPr>
      </w:pPr>
    </w:p>
    <w:p>
      <w:pPr>
        <w:snapToGrid w:val="0"/>
        <w:spacing w:beforeLines="50" w:after="50" w:line="440" w:lineRule="exact"/>
        <w:ind w:firstLine="420" w:firstLineChars="200"/>
        <w:outlineLvl w:val="2"/>
        <w:rPr>
          <w:rFonts w:ascii="宋体" w:hAnsi="宋体"/>
          <w:color w:val="000000"/>
          <w:sz w:val="24"/>
        </w:rPr>
      </w:pPr>
      <w:r>
        <w:rPr>
          <w:rFonts w:hint="eastAsia" w:ascii="宋体" w:hAnsi="宋体"/>
          <w:szCs w:val="21"/>
        </w:rPr>
        <w:br w:type="page"/>
      </w:r>
      <w:r>
        <w:rPr>
          <w:rFonts w:hint="eastAsia" w:ascii="宋体" w:hAnsi="宋体"/>
          <w:sz w:val="24"/>
        </w:rPr>
        <w:t>格式九</w:t>
      </w:r>
    </w:p>
    <w:p>
      <w:pPr>
        <w:snapToGrid w:val="0"/>
        <w:spacing w:beforeLines="50" w:after="120" w:line="440" w:lineRule="exact"/>
        <w:jc w:val="center"/>
        <w:rPr>
          <w:rFonts w:ascii="宋体" w:hAnsi="宋体"/>
          <w:b/>
          <w:sz w:val="24"/>
        </w:rPr>
      </w:pPr>
      <w:r>
        <w:rPr>
          <w:rFonts w:hint="eastAsia" w:ascii="宋体" w:hAnsi="宋体"/>
          <w:b/>
          <w:sz w:val="24"/>
        </w:rPr>
        <w:t>投标人自评得分（实施方案、价格分除外）</w:t>
      </w:r>
    </w:p>
    <w:tbl>
      <w:tblPr>
        <w:tblStyle w:val="25"/>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67"/>
        <w:gridCol w:w="3717"/>
        <w:gridCol w:w="1293"/>
        <w:gridCol w:w="75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8" w:type="dxa"/>
            <w:vAlign w:val="center"/>
          </w:tcPr>
          <w:p>
            <w:pPr>
              <w:spacing w:line="288" w:lineRule="auto"/>
              <w:jc w:val="center"/>
              <w:rPr>
                <w:rFonts w:ascii="宋体" w:hAnsi="宋体"/>
                <w:szCs w:val="21"/>
              </w:rPr>
            </w:pPr>
            <w:r>
              <w:rPr>
                <w:rFonts w:hint="eastAsia" w:ascii="宋体" w:hAnsi="宋体" w:cs="宋体"/>
                <w:szCs w:val="21"/>
              </w:rPr>
              <w:t>序号</w:t>
            </w:r>
          </w:p>
        </w:tc>
        <w:tc>
          <w:tcPr>
            <w:tcW w:w="1067" w:type="dxa"/>
            <w:vAlign w:val="center"/>
          </w:tcPr>
          <w:p>
            <w:pPr>
              <w:spacing w:line="288" w:lineRule="auto"/>
              <w:jc w:val="center"/>
              <w:rPr>
                <w:rFonts w:ascii="宋体" w:hAnsi="宋体"/>
                <w:szCs w:val="21"/>
              </w:rPr>
            </w:pPr>
            <w:r>
              <w:rPr>
                <w:rFonts w:hint="eastAsia" w:ascii="宋体" w:hAnsi="宋体" w:cs="宋体"/>
                <w:szCs w:val="21"/>
              </w:rPr>
              <w:t>项目及分值</w:t>
            </w:r>
          </w:p>
        </w:tc>
        <w:tc>
          <w:tcPr>
            <w:tcW w:w="3717" w:type="dxa"/>
            <w:vAlign w:val="center"/>
          </w:tcPr>
          <w:p>
            <w:pPr>
              <w:spacing w:line="288" w:lineRule="auto"/>
              <w:jc w:val="center"/>
              <w:rPr>
                <w:rFonts w:ascii="宋体" w:hAnsi="宋体"/>
                <w:szCs w:val="21"/>
              </w:rPr>
            </w:pPr>
            <w:r>
              <w:rPr>
                <w:rFonts w:hint="eastAsia" w:ascii="宋体" w:hAnsi="宋体" w:cs="宋体"/>
                <w:szCs w:val="21"/>
              </w:rPr>
              <w:t>评分标准</w:t>
            </w:r>
          </w:p>
        </w:tc>
        <w:tc>
          <w:tcPr>
            <w:tcW w:w="1293" w:type="dxa"/>
            <w:vAlign w:val="center"/>
          </w:tcPr>
          <w:p>
            <w:pPr>
              <w:spacing w:line="288" w:lineRule="auto"/>
              <w:jc w:val="center"/>
              <w:rPr>
                <w:rFonts w:ascii="宋体" w:hAnsi="宋体" w:cs="宋体"/>
                <w:szCs w:val="21"/>
              </w:rPr>
            </w:pPr>
            <w:r>
              <w:rPr>
                <w:rFonts w:hint="eastAsia" w:ascii="宋体" w:hAnsi="宋体" w:cs="宋体"/>
                <w:szCs w:val="21"/>
              </w:rPr>
              <w:t>响应情况</w:t>
            </w:r>
          </w:p>
        </w:tc>
        <w:tc>
          <w:tcPr>
            <w:tcW w:w="757" w:type="dxa"/>
            <w:vAlign w:val="center"/>
          </w:tcPr>
          <w:p>
            <w:pPr>
              <w:spacing w:line="288" w:lineRule="auto"/>
              <w:jc w:val="center"/>
              <w:rPr>
                <w:rFonts w:ascii="宋体" w:hAnsi="宋体" w:cs="宋体"/>
                <w:szCs w:val="21"/>
              </w:rPr>
            </w:pPr>
            <w:r>
              <w:rPr>
                <w:rFonts w:hint="eastAsia" w:ascii="宋体" w:hAnsi="宋体" w:cs="宋体"/>
                <w:szCs w:val="21"/>
              </w:rPr>
              <w:t>自评得分</w:t>
            </w:r>
          </w:p>
        </w:tc>
        <w:tc>
          <w:tcPr>
            <w:tcW w:w="1638" w:type="dxa"/>
            <w:vAlign w:val="center"/>
          </w:tcPr>
          <w:p>
            <w:pPr>
              <w:spacing w:line="288" w:lineRule="auto"/>
              <w:jc w:val="center"/>
              <w:rPr>
                <w:rFonts w:ascii="宋体" w:hAnsi="宋体" w:cs="宋体"/>
                <w:szCs w:val="21"/>
              </w:rPr>
            </w:pPr>
            <w:r>
              <w:rPr>
                <w:rFonts w:hint="eastAsia" w:ascii="宋体" w:hAnsi="宋体" w:cs="宋体"/>
                <w:szCs w:val="21"/>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vAlign w:val="center"/>
          </w:tcPr>
          <w:p>
            <w:pPr>
              <w:spacing w:line="288" w:lineRule="auto"/>
              <w:jc w:val="center"/>
              <w:rPr>
                <w:rFonts w:ascii="宋体" w:hAnsi="宋体" w:cs="宋体"/>
                <w:szCs w:val="21"/>
              </w:rPr>
            </w:pPr>
            <w:r>
              <w:rPr>
                <w:rFonts w:hint="eastAsia" w:ascii="宋体" w:hAnsi="宋体" w:cs="宋体"/>
                <w:szCs w:val="21"/>
              </w:rPr>
              <w:t>1</w:t>
            </w:r>
          </w:p>
        </w:tc>
        <w:tc>
          <w:tcPr>
            <w:tcW w:w="1067" w:type="dxa"/>
            <w:vAlign w:val="center"/>
          </w:tcPr>
          <w:p>
            <w:pPr>
              <w:spacing w:line="288" w:lineRule="auto"/>
              <w:jc w:val="center"/>
              <w:rPr>
                <w:rFonts w:ascii="宋体" w:hAnsi="宋体"/>
                <w:szCs w:val="21"/>
              </w:rPr>
            </w:pPr>
          </w:p>
        </w:tc>
        <w:tc>
          <w:tcPr>
            <w:tcW w:w="3717" w:type="dxa"/>
            <w:vAlign w:val="center"/>
          </w:tcPr>
          <w:p>
            <w:pPr>
              <w:spacing w:line="288" w:lineRule="auto"/>
              <w:jc w:val="left"/>
              <w:rPr>
                <w:rFonts w:ascii="宋体" w:hAnsi="宋体" w:cs="宋体"/>
                <w:szCs w:val="21"/>
              </w:rPr>
            </w:pPr>
          </w:p>
        </w:tc>
        <w:tc>
          <w:tcPr>
            <w:tcW w:w="1293" w:type="dxa"/>
          </w:tcPr>
          <w:p>
            <w:pPr>
              <w:spacing w:line="288" w:lineRule="auto"/>
              <w:jc w:val="left"/>
              <w:rPr>
                <w:rFonts w:ascii="宋体" w:hAnsi="宋体" w:cs="宋体"/>
                <w:szCs w:val="21"/>
              </w:rPr>
            </w:pPr>
          </w:p>
        </w:tc>
        <w:tc>
          <w:tcPr>
            <w:tcW w:w="757" w:type="dxa"/>
          </w:tcPr>
          <w:p>
            <w:pPr>
              <w:spacing w:line="288" w:lineRule="auto"/>
              <w:jc w:val="left"/>
              <w:rPr>
                <w:rFonts w:ascii="宋体" w:hAnsi="宋体" w:cs="宋体"/>
                <w:szCs w:val="21"/>
              </w:rPr>
            </w:pPr>
          </w:p>
        </w:tc>
        <w:tc>
          <w:tcPr>
            <w:tcW w:w="1638" w:type="dxa"/>
          </w:tcPr>
          <w:p>
            <w:pPr>
              <w:spacing w:line="288"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vAlign w:val="center"/>
          </w:tcPr>
          <w:p>
            <w:pPr>
              <w:spacing w:line="288" w:lineRule="auto"/>
              <w:jc w:val="center"/>
              <w:rPr>
                <w:rFonts w:ascii="宋体" w:hAnsi="宋体"/>
                <w:szCs w:val="21"/>
              </w:rPr>
            </w:pPr>
            <w:r>
              <w:rPr>
                <w:rFonts w:hint="eastAsia" w:ascii="宋体" w:hAnsi="宋体"/>
                <w:szCs w:val="21"/>
              </w:rPr>
              <w:t>2</w:t>
            </w:r>
          </w:p>
        </w:tc>
        <w:tc>
          <w:tcPr>
            <w:tcW w:w="1067" w:type="dxa"/>
            <w:vAlign w:val="center"/>
          </w:tcPr>
          <w:p>
            <w:pPr>
              <w:spacing w:line="288" w:lineRule="auto"/>
              <w:jc w:val="center"/>
              <w:rPr>
                <w:rFonts w:ascii="宋体" w:hAnsi="宋体"/>
                <w:szCs w:val="21"/>
              </w:rPr>
            </w:pPr>
          </w:p>
        </w:tc>
        <w:tc>
          <w:tcPr>
            <w:tcW w:w="3717" w:type="dxa"/>
            <w:vAlign w:val="center"/>
          </w:tcPr>
          <w:p>
            <w:pPr>
              <w:spacing w:line="288" w:lineRule="auto"/>
              <w:jc w:val="left"/>
              <w:rPr>
                <w:rFonts w:ascii="宋体" w:hAnsi="宋体" w:cs="宋体"/>
                <w:szCs w:val="21"/>
              </w:rPr>
            </w:pPr>
          </w:p>
        </w:tc>
        <w:tc>
          <w:tcPr>
            <w:tcW w:w="1293" w:type="dxa"/>
          </w:tcPr>
          <w:p>
            <w:pPr>
              <w:spacing w:line="288" w:lineRule="auto"/>
              <w:jc w:val="left"/>
              <w:rPr>
                <w:rFonts w:ascii="宋体" w:hAnsi="宋体" w:cs="宋体"/>
                <w:szCs w:val="21"/>
              </w:rPr>
            </w:pPr>
          </w:p>
        </w:tc>
        <w:tc>
          <w:tcPr>
            <w:tcW w:w="757" w:type="dxa"/>
          </w:tcPr>
          <w:p>
            <w:pPr>
              <w:spacing w:line="288" w:lineRule="auto"/>
              <w:jc w:val="left"/>
              <w:rPr>
                <w:rFonts w:ascii="宋体" w:hAnsi="宋体" w:cs="宋体"/>
                <w:szCs w:val="21"/>
              </w:rPr>
            </w:pPr>
          </w:p>
        </w:tc>
        <w:tc>
          <w:tcPr>
            <w:tcW w:w="1638" w:type="dxa"/>
          </w:tcPr>
          <w:p>
            <w:pPr>
              <w:spacing w:line="288"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tcBorders>
              <w:bottom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3</w:t>
            </w:r>
          </w:p>
        </w:tc>
        <w:tc>
          <w:tcPr>
            <w:tcW w:w="1067" w:type="dxa"/>
            <w:vAlign w:val="center"/>
          </w:tcPr>
          <w:p>
            <w:pPr>
              <w:spacing w:line="288" w:lineRule="auto"/>
              <w:jc w:val="center"/>
              <w:rPr>
                <w:rFonts w:ascii="宋体" w:hAnsi="宋体"/>
                <w:szCs w:val="21"/>
              </w:rPr>
            </w:pPr>
          </w:p>
        </w:tc>
        <w:tc>
          <w:tcPr>
            <w:tcW w:w="3717" w:type="dxa"/>
            <w:tcBorders>
              <w:bottom w:val="single" w:color="auto" w:sz="4" w:space="0"/>
            </w:tcBorders>
            <w:vAlign w:val="center"/>
          </w:tcPr>
          <w:p>
            <w:pPr>
              <w:spacing w:line="288" w:lineRule="auto"/>
              <w:rPr>
                <w:rFonts w:ascii="宋体" w:hAnsi="宋体"/>
                <w:szCs w:val="21"/>
              </w:rPr>
            </w:pPr>
          </w:p>
        </w:tc>
        <w:tc>
          <w:tcPr>
            <w:tcW w:w="1293" w:type="dxa"/>
            <w:tcBorders>
              <w:bottom w:val="single" w:color="auto" w:sz="4" w:space="0"/>
            </w:tcBorders>
          </w:tcPr>
          <w:p>
            <w:pPr>
              <w:spacing w:line="288" w:lineRule="auto"/>
              <w:rPr>
                <w:rFonts w:ascii="宋体" w:hAnsi="宋体" w:cs="宋体"/>
                <w:color w:val="000000"/>
                <w:szCs w:val="21"/>
              </w:rPr>
            </w:pPr>
          </w:p>
        </w:tc>
        <w:tc>
          <w:tcPr>
            <w:tcW w:w="757" w:type="dxa"/>
            <w:tcBorders>
              <w:bottom w:val="single" w:color="auto" w:sz="4" w:space="0"/>
            </w:tcBorders>
          </w:tcPr>
          <w:p>
            <w:pPr>
              <w:spacing w:line="288" w:lineRule="auto"/>
              <w:rPr>
                <w:rFonts w:ascii="宋体" w:hAnsi="宋体" w:cs="宋体"/>
                <w:color w:val="000000"/>
                <w:szCs w:val="21"/>
              </w:rPr>
            </w:pPr>
          </w:p>
        </w:tc>
        <w:tc>
          <w:tcPr>
            <w:tcW w:w="1638" w:type="dxa"/>
            <w:tcBorders>
              <w:bottom w:val="single" w:color="auto" w:sz="4" w:space="0"/>
            </w:tcBorders>
          </w:tcPr>
          <w:p>
            <w:pPr>
              <w:spacing w:line="288"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8" w:type="dxa"/>
            <w:tcBorders>
              <w:bottom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4</w:t>
            </w:r>
          </w:p>
        </w:tc>
        <w:tc>
          <w:tcPr>
            <w:tcW w:w="1067" w:type="dxa"/>
            <w:tcBorders>
              <w:bottom w:val="single" w:color="auto" w:sz="4" w:space="0"/>
            </w:tcBorders>
            <w:vAlign w:val="center"/>
          </w:tcPr>
          <w:p>
            <w:pPr>
              <w:spacing w:line="288" w:lineRule="auto"/>
              <w:jc w:val="center"/>
              <w:rPr>
                <w:rFonts w:ascii="宋体" w:hAnsi="宋体" w:cs="宋体"/>
                <w:szCs w:val="21"/>
              </w:rPr>
            </w:pPr>
          </w:p>
        </w:tc>
        <w:tc>
          <w:tcPr>
            <w:tcW w:w="3717" w:type="dxa"/>
            <w:tcBorders>
              <w:bottom w:val="single" w:color="auto" w:sz="4" w:space="0"/>
            </w:tcBorders>
            <w:vAlign w:val="center"/>
          </w:tcPr>
          <w:p>
            <w:pPr>
              <w:spacing w:line="288" w:lineRule="auto"/>
              <w:rPr>
                <w:rFonts w:ascii="宋体" w:hAnsi="宋体" w:cs="宋体"/>
                <w:color w:val="000000"/>
                <w:szCs w:val="21"/>
              </w:rPr>
            </w:pPr>
          </w:p>
        </w:tc>
        <w:tc>
          <w:tcPr>
            <w:tcW w:w="1293" w:type="dxa"/>
            <w:tcBorders>
              <w:bottom w:val="single" w:color="auto" w:sz="4" w:space="0"/>
            </w:tcBorders>
          </w:tcPr>
          <w:p>
            <w:pPr>
              <w:spacing w:line="288" w:lineRule="auto"/>
              <w:rPr>
                <w:rFonts w:ascii="宋体" w:hAnsi="宋体" w:cs="宋体"/>
                <w:color w:val="000000"/>
                <w:szCs w:val="21"/>
              </w:rPr>
            </w:pPr>
          </w:p>
        </w:tc>
        <w:tc>
          <w:tcPr>
            <w:tcW w:w="757" w:type="dxa"/>
            <w:tcBorders>
              <w:bottom w:val="single" w:color="auto" w:sz="4" w:space="0"/>
            </w:tcBorders>
          </w:tcPr>
          <w:p>
            <w:pPr>
              <w:spacing w:line="288" w:lineRule="auto"/>
              <w:rPr>
                <w:rFonts w:ascii="宋体" w:hAnsi="宋体" w:cs="宋体"/>
                <w:color w:val="000000"/>
                <w:szCs w:val="21"/>
              </w:rPr>
            </w:pPr>
          </w:p>
        </w:tc>
        <w:tc>
          <w:tcPr>
            <w:tcW w:w="1638" w:type="dxa"/>
            <w:tcBorders>
              <w:bottom w:val="single" w:color="auto" w:sz="4" w:space="0"/>
            </w:tcBorders>
          </w:tcPr>
          <w:p>
            <w:pPr>
              <w:spacing w:line="288" w:lineRule="auto"/>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line="288" w:lineRule="auto"/>
              <w:jc w:val="center"/>
              <w:rPr>
                <w:rFonts w:ascii="宋体" w:hAnsi="宋体" w:cs="宋体"/>
                <w:szCs w:val="21"/>
              </w:rPr>
            </w:pPr>
            <w:r>
              <w:rPr>
                <w:rFonts w:hint="eastAsia" w:ascii="宋体" w:hAnsi="宋体" w:cs="宋体"/>
                <w:szCs w:val="21"/>
              </w:rPr>
              <w:t>5</w:t>
            </w:r>
          </w:p>
        </w:tc>
        <w:tc>
          <w:tcPr>
            <w:tcW w:w="1067" w:type="dxa"/>
            <w:vAlign w:val="center"/>
          </w:tcPr>
          <w:p>
            <w:pPr>
              <w:spacing w:line="288" w:lineRule="auto"/>
              <w:jc w:val="center"/>
              <w:rPr>
                <w:rFonts w:ascii="宋体" w:hAnsi="宋体"/>
                <w:szCs w:val="21"/>
              </w:rPr>
            </w:pPr>
          </w:p>
        </w:tc>
        <w:tc>
          <w:tcPr>
            <w:tcW w:w="3717" w:type="dxa"/>
            <w:vAlign w:val="center"/>
          </w:tcPr>
          <w:p>
            <w:pPr>
              <w:spacing w:line="288" w:lineRule="auto"/>
              <w:rPr>
                <w:rFonts w:ascii="宋体" w:hAnsi="宋体"/>
                <w:szCs w:val="21"/>
              </w:rPr>
            </w:pPr>
          </w:p>
        </w:tc>
        <w:tc>
          <w:tcPr>
            <w:tcW w:w="1293" w:type="dxa"/>
          </w:tcPr>
          <w:p>
            <w:pPr>
              <w:spacing w:line="288" w:lineRule="auto"/>
              <w:rPr>
                <w:rFonts w:ascii="宋体" w:hAnsi="宋体" w:cs="宋体"/>
                <w:szCs w:val="21"/>
              </w:rPr>
            </w:pPr>
          </w:p>
        </w:tc>
        <w:tc>
          <w:tcPr>
            <w:tcW w:w="757" w:type="dxa"/>
          </w:tcPr>
          <w:p>
            <w:pPr>
              <w:spacing w:line="288" w:lineRule="auto"/>
              <w:rPr>
                <w:rFonts w:ascii="宋体" w:hAnsi="宋体" w:cs="宋体"/>
                <w:szCs w:val="21"/>
              </w:rPr>
            </w:pPr>
          </w:p>
        </w:tc>
        <w:tc>
          <w:tcPr>
            <w:tcW w:w="1638" w:type="dxa"/>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line="288" w:lineRule="auto"/>
              <w:jc w:val="center"/>
              <w:rPr>
                <w:rFonts w:ascii="宋体" w:hAnsi="宋体" w:cs="宋体"/>
                <w:szCs w:val="21"/>
              </w:rPr>
            </w:pPr>
            <w:r>
              <w:rPr>
                <w:rFonts w:hint="eastAsia" w:ascii="宋体" w:hAnsi="宋体" w:cs="宋体"/>
                <w:szCs w:val="21"/>
              </w:rPr>
              <w:t>……</w:t>
            </w:r>
          </w:p>
        </w:tc>
        <w:tc>
          <w:tcPr>
            <w:tcW w:w="1067" w:type="dxa"/>
            <w:vAlign w:val="center"/>
          </w:tcPr>
          <w:p>
            <w:pPr>
              <w:spacing w:line="288" w:lineRule="auto"/>
              <w:jc w:val="center"/>
              <w:rPr>
                <w:rFonts w:ascii="宋体" w:hAnsi="宋体"/>
                <w:szCs w:val="21"/>
              </w:rPr>
            </w:pPr>
          </w:p>
        </w:tc>
        <w:tc>
          <w:tcPr>
            <w:tcW w:w="3717" w:type="dxa"/>
            <w:vAlign w:val="center"/>
          </w:tcPr>
          <w:p>
            <w:pPr>
              <w:spacing w:line="288" w:lineRule="auto"/>
              <w:rPr>
                <w:rFonts w:ascii="宋体" w:hAnsi="宋体"/>
                <w:szCs w:val="21"/>
              </w:rPr>
            </w:pPr>
          </w:p>
        </w:tc>
        <w:tc>
          <w:tcPr>
            <w:tcW w:w="1293" w:type="dxa"/>
          </w:tcPr>
          <w:p>
            <w:pPr>
              <w:spacing w:line="288" w:lineRule="auto"/>
              <w:rPr>
                <w:rFonts w:ascii="宋体" w:hAnsi="宋体" w:cs="宋体"/>
                <w:szCs w:val="21"/>
              </w:rPr>
            </w:pPr>
          </w:p>
        </w:tc>
        <w:tc>
          <w:tcPr>
            <w:tcW w:w="757" w:type="dxa"/>
          </w:tcPr>
          <w:p>
            <w:pPr>
              <w:spacing w:line="288" w:lineRule="auto"/>
              <w:rPr>
                <w:rFonts w:ascii="宋体" w:hAnsi="宋体" w:cs="宋体"/>
                <w:szCs w:val="21"/>
              </w:rPr>
            </w:pPr>
          </w:p>
        </w:tc>
        <w:tc>
          <w:tcPr>
            <w:tcW w:w="1638" w:type="dxa"/>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line="288" w:lineRule="auto"/>
              <w:jc w:val="center"/>
              <w:rPr>
                <w:rFonts w:ascii="宋体" w:hAnsi="宋体" w:cs="宋体"/>
                <w:szCs w:val="21"/>
              </w:rPr>
            </w:pPr>
            <w:r>
              <w:rPr>
                <w:rFonts w:hint="eastAsia" w:ascii="宋体" w:hAnsi="宋体" w:cs="宋体"/>
                <w:szCs w:val="21"/>
              </w:rPr>
              <w:t>……</w:t>
            </w:r>
          </w:p>
        </w:tc>
        <w:tc>
          <w:tcPr>
            <w:tcW w:w="1067" w:type="dxa"/>
            <w:vAlign w:val="center"/>
          </w:tcPr>
          <w:p>
            <w:pPr>
              <w:spacing w:line="288" w:lineRule="auto"/>
              <w:jc w:val="center"/>
              <w:rPr>
                <w:rFonts w:ascii="宋体" w:hAnsi="宋体"/>
                <w:szCs w:val="21"/>
              </w:rPr>
            </w:pPr>
          </w:p>
        </w:tc>
        <w:tc>
          <w:tcPr>
            <w:tcW w:w="3717" w:type="dxa"/>
            <w:vAlign w:val="center"/>
          </w:tcPr>
          <w:p>
            <w:pPr>
              <w:spacing w:line="288" w:lineRule="auto"/>
              <w:rPr>
                <w:rFonts w:ascii="宋体" w:hAnsi="宋体"/>
                <w:szCs w:val="21"/>
              </w:rPr>
            </w:pPr>
          </w:p>
        </w:tc>
        <w:tc>
          <w:tcPr>
            <w:tcW w:w="1293" w:type="dxa"/>
          </w:tcPr>
          <w:p>
            <w:pPr>
              <w:spacing w:line="288" w:lineRule="auto"/>
              <w:rPr>
                <w:rFonts w:ascii="宋体" w:hAnsi="宋体" w:cs="宋体"/>
                <w:szCs w:val="21"/>
              </w:rPr>
            </w:pPr>
          </w:p>
        </w:tc>
        <w:tc>
          <w:tcPr>
            <w:tcW w:w="757" w:type="dxa"/>
          </w:tcPr>
          <w:p>
            <w:pPr>
              <w:spacing w:line="288" w:lineRule="auto"/>
              <w:rPr>
                <w:rFonts w:ascii="宋体" w:hAnsi="宋体" w:cs="宋体"/>
                <w:szCs w:val="21"/>
              </w:rPr>
            </w:pPr>
          </w:p>
        </w:tc>
        <w:tc>
          <w:tcPr>
            <w:tcW w:w="1638" w:type="dxa"/>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spacing w:line="288" w:lineRule="auto"/>
              <w:jc w:val="center"/>
              <w:rPr>
                <w:rFonts w:ascii="宋体" w:hAnsi="宋体" w:cs="宋体"/>
                <w:szCs w:val="21"/>
              </w:rPr>
            </w:pPr>
          </w:p>
        </w:tc>
        <w:tc>
          <w:tcPr>
            <w:tcW w:w="1067" w:type="dxa"/>
            <w:vAlign w:val="center"/>
          </w:tcPr>
          <w:p>
            <w:pPr>
              <w:spacing w:line="288" w:lineRule="auto"/>
              <w:jc w:val="center"/>
              <w:rPr>
                <w:rFonts w:ascii="宋体" w:hAnsi="宋体"/>
                <w:szCs w:val="21"/>
              </w:rPr>
            </w:pPr>
          </w:p>
        </w:tc>
        <w:tc>
          <w:tcPr>
            <w:tcW w:w="3717" w:type="dxa"/>
            <w:vAlign w:val="center"/>
          </w:tcPr>
          <w:p>
            <w:pPr>
              <w:spacing w:line="288" w:lineRule="auto"/>
              <w:rPr>
                <w:rFonts w:ascii="宋体" w:hAnsi="宋体"/>
                <w:szCs w:val="21"/>
              </w:rPr>
            </w:pPr>
          </w:p>
        </w:tc>
        <w:tc>
          <w:tcPr>
            <w:tcW w:w="1293" w:type="dxa"/>
          </w:tcPr>
          <w:p>
            <w:pPr>
              <w:spacing w:line="288" w:lineRule="auto"/>
              <w:rPr>
                <w:rFonts w:ascii="宋体" w:hAnsi="宋体" w:cs="宋体"/>
                <w:szCs w:val="21"/>
              </w:rPr>
            </w:pPr>
          </w:p>
        </w:tc>
        <w:tc>
          <w:tcPr>
            <w:tcW w:w="757" w:type="dxa"/>
          </w:tcPr>
          <w:p>
            <w:pPr>
              <w:spacing w:line="288" w:lineRule="auto"/>
              <w:rPr>
                <w:rFonts w:ascii="宋体" w:hAnsi="宋体" w:cs="宋体"/>
                <w:szCs w:val="21"/>
              </w:rPr>
            </w:pPr>
          </w:p>
        </w:tc>
        <w:tc>
          <w:tcPr>
            <w:tcW w:w="1638" w:type="dxa"/>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270" w:type="dxa"/>
            <w:gridSpan w:val="6"/>
            <w:vAlign w:val="center"/>
          </w:tcPr>
          <w:p>
            <w:pPr>
              <w:spacing w:line="288" w:lineRule="auto"/>
              <w:rPr>
                <w:rFonts w:ascii="宋体" w:hAnsi="宋体" w:cs="宋体"/>
                <w:szCs w:val="21"/>
              </w:rPr>
            </w:pPr>
            <w:r>
              <w:rPr>
                <w:rFonts w:hint="eastAsia" w:ascii="宋体" w:hAnsi="宋体" w:cs="宋体"/>
                <w:szCs w:val="21"/>
              </w:rPr>
              <w:t>投标人自评得分合计：</w:t>
            </w:r>
          </w:p>
        </w:tc>
      </w:tr>
    </w:tbl>
    <w:p>
      <w:pPr>
        <w:snapToGrid w:val="0"/>
        <w:spacing w:line="440" w:lineRule="exact"/>
        <w:rPr>
          <w:rFonts w:ascii="宋体" w:hAnsi="宋体"/>
          <w:szCs w:val="21"/>
        </w:rPr>
      </w:pPr>
    </w:p>
    <w:p>
      <w:pPr>
        <w:spacing w:line="440" w:lineRule="exact"/>
        <w:ind w:left="-720" w:leftChars="-343" w:right="-960" w:firstLine="5964" w:firstLineChars="2840"/>
        <w:rPr>
          <w:rFonts w:ascii="宋体" w:hAnsi="宋体"/>
          <w:szCs w:val="21"/>
        </w:rPr>
      </w:pPr>
      <w:r>
        <w:rPr>
          <w:rFonts w:hint="eastAsia" w:ascii="宋体" w:hAnsi="宋体"/>
          <w:szCs w:val="21"/>
        </w:rPr>
        <w:t>投标单位（盖章）：</w:t>
      </w:r>
    </w:p>
    <w:p>
      <w:pPr>
        <w:spacing w:line="440" w:lineRule="exact"/>
        <w:ind w:left="-720" w:leftChars="-343" w:right="-960" w:firstLine="5964" w:firstLineChars="2840"/>
        <w:rPr>
          <w:rFonts w:ascii="宋体" w:hAnsi="宋体"/>
          <w:szCs w:val="21"/>
        </w:rPr>
      </w:pPr>
      <w:r>
        <w:rPr>
          <w:rFonts w:hint="eastAsia" w:ascii="宋体" w:hAnsi="宋体"/>
          <w:szCs w:val="21"/>
        </w:rPr>
        <w:t>授权代表（签字）：</w:t>
      </w:r>
    </w:p>
    <w:p>
      <w:pPr>
        <w:spacing w:line="440" w:lineRule="exact"/>
        <w:ind w:left="-720" w:leftChars="-343" w:right="-960" w:firstLine="5964" w:firstLineChars="2840"/>
        <w:rPr>
          <w:rFonts w:ascii="宋体" w:hAnsi="宋体"/>
          <w:szCs w:val="21"/>
        </w:rPr>
      </w:pPr>
      <w:r>
        <w:rPr>
          <w:rFonts w:hint="eastAsia" w:ascii="宋体" w:hAnsi="宋体"/>
          <w:szCs w:val="21"/>
        </w:rPr>
        <w:t>日  期：</w:t>
      </w:r>
    </w:p>
    <w:p>
      <w:pPr>
        <w:pStyle w:val="20"/>
      </w:pPr>
      <w:r>
        <w:rPr>
          <w:rFonts w:hint="eastAsia"/>
        </w:rPr>
        <w:br w:type="page"/>
      </w:r>
      <w:r>
        <w:rPr>
          <w:rFonts w:hint="eastAsia"/>
        </w:rPr>
        <w:t xml:space="preserve">第六部分 </w:t>
      </w:r>
      <w:r>
        <w:t xml:space="preserve"> </w:t>
      </w:r>
      <w:r>
        <w:rPr>
          <w:rFonts w:hint="eastAsia"/>
        </w:rPr>
        <w:t>合同条款</w:t>
      </w:r>
    </w:p>
    <w:p>
      <w:pPr>
        <w:spacing w:line="360" w:lineRule="auto"/>
        <w:jc w:val="center"/>
        <w:rPr>
          <w:rFonts w:ascii="宋体" w:hAnsi="宋体" w:cs="宋体"/>
          <w:szCs w:val="21"/>
        </w:rPr>
      </w:pPr>
      <w:r>
        <w:rPr>
          <w:rFonts w:hint="eastAsia" w:ascii="宋体" w:hAnsi="宋体" w:cs="宋体"/>
          <w:szCs w:val="21"/>
        </w:rPr>
        <w:t>浙江省政府采购合同指引（服务）</w:t>
      </w:r>
    </w:p>
    <w:p>
      <w:pPr>
        <w:pStyle w:val="13"/>
        <w:snapToGrid w:val="0"/>
        <w:spacing w:before="156" w:after="156" w:line="360" w:lineRule="auto"/>
        <w:rPr>
          <w:rFonts w:hAnsi="宋体" w:cs="宋体"/>
          <w:sz w:val="21"/>
          <w:szCs w:val="21"/>
        </w:rPr>
      </w:pPr>
      <w:r>
        <w:rPr>
          <w:rFonts w:hint="eastAsia" w:hAnsi="宋体" w:cs="宋体"/>
          <w:sz w:val="21"/>
          <w:szCs w:val="21"/>
        </w:rPr>
        <w:t>项目名称：                                     项目编号：</w:t>
      </w:r>
    </w:p>
    <w:p>
      <w:pPr>
        <w:pStyle w:val="13"/>
        <w:snapToGrid w:val="0"/>
        <w:spacing w:before="156" w:after="156" w:line="360" w:lineRule="auto"/>
        <w:rPr>
          <w:rFonts w:hAnsi="宋体" w:cs="宋体"/>
          <w:sz w:val="21"/>
          <w:szCs w:val="21"/>
        </w:rPr>
      </w:pPr>
      <w:r>
        <w:rPr>
          <w:rFonts w:hint="eastAsia" w:hAnsi="宋体" w:cs="宋体"/>
          <w:sz w:val="21"/>
          <w:szCs w:val="21"/>
        </w:rPr>
        <w:t>甲方：（买方）</w:t>
      </w:r>
    </w:p>
    <w:p>
      <w:pPr>
        <w:pStyle w:val="13"/>
        <w:snapToGrid w:val="0"/>
        <w:spacing w:before="156" w:after="156" w:line="360" w:lineRule="auto"/>
        <w:rPr>
          <w:rFonts w:hAnsi="宋体" w:cs="宋体"/>
          <w:sz w:val="21"/>
          <w:szCs w:val="21"/>
        </w:rPr>
      </w:pPr>
      <w:r>
        <w:rPr>
          <w:rFonts w:hint="eastAsia" w:hAnsi="宋体" w:cs="宋体"/>
          <w:sz w:val="21"/>
          <w:szCs w:val="21"/>
        </w:rPr>
        <w:t>乙方：（卖方）</w:t>
      </w:r>
    </w:p>
    <w:p>
      <w:pPr>
        <w:pStyle w:val="13"/>
        <w:snapToGrid w:val="0"/>
        <w:spacing w:before="156" w:after="156" w:line="360" w:lineRule="auto"/>
        <w:rPr>
          <w:rFonts w:hAnsi="宋体" w:cs="宋体"/>
          <w:sz w:val="21"/>
          <w:szCs w:val="21"/>
        </w:rPr>
      </w:pPr>
      <w:r>
        <w:rPr>
          <w:rFonts w:hint="eastAsia" w:hAnsi="宋体" w:cs="宋体"/>
          <w:sz w:val="21"/>
          <w:szCs w:val="21"/>
        </w:rPr>
        <w:t xml:space="preserve">甲、乙双方根据 </w:t>
      </w:r>
      <w:r>
        <w:rPr>
          <w:rFonts w:hint="eastAsia" w:hAnsi="宋体" w:cs="宋体"/>
          <w:sz w:val="21"/>
          <w:szCs w:val="21"/>
          <w:u w:val="single"/>
        </w:rPr>
        <w:t xml:space="preserve">                                            </w:t>
      </w:r>
      <w:r>
        <w:rPr>
          <w:rFonts w:hint="eastAsia" w:hAnsi="宋体" w:cs="宋体"/>
          <w:sz w:val="21"/>
          <w:szCs w:val="21"/>
        </w:rPr>
        <w:t>的结果，签署本合同。</w:t>
      </w:r>
    </w:p>
    <w:p>
      <w:pPr>
        <w:pStyle w:val="13"/>
        <w:snapToGrid w:val="0"/>
        <w:spacing w:before="156" w:after="156" w:line="360" w:lineRule="auto"/>
        <w:rPr>
          <w:rFonts w:hAnsi="宋体" w:cs="宋体"/>
          <w:sz w:val="21"/>
          <w:szCs w:val="21"/>
        </w:rPr>
      </w:pPr>
      <w:r>
        <w:rPr>
          <w:rFonts w:hint="eastAsia" w:hAnsi="宋体" w:cs="宋体"/>
          <w:sz w:val="21"/>
          <w:szCs w:val="21"/>
        </w:rPr>
        <w:t>一、服务内容</w:t>
      </w:r>
    </w:p>
    <w:p>
      <w:pPr>
        <w:pStyle w:val="13"/>
        <w:snapToGrid w:val="0"/>
        <w:spacing w:before="156" w:after="156" w:line="360" w:lineRule="auto"/>
        <w:rPr>
          <w:rFonts w:hAnsi="宋体" w:cs="宋体"/>
          <w:sz w:val="21"/>
          <w:szCs w:val="21"/>
        </w:rPr>
      </w:pPr>
      <w:r>
        <w:rPr>
          <w:rFonts w:hint="eastAsia" w:hAnsi="宋体" w:cs="宋体"/>
          <w:sz w:val="21"/>
          <w:szCs w:val="21"/>
        </w:rPr>
        <w:t>二、合同金额</w:t>
      </w:r>
    </w:p>
    <w:p>
      <w:pPr>
        <w:pStyle w:val="13"/>
        <w:snapToGrid w:val="0"/>
        <w:spacing w:before="156" w:after="156" w:line="360" w:lineRule="auto"/>
        <w:rPr>
          <w:rFonts w:hAnsi="宋体" w:cs="宋体"/>
          <w:sz w:val="21"/>
          <w:szCs w:val="21"/>
        </w:rPr>
      </w:pPr>
      <w:r>
        <w:rPr>
          <w:rFonts w:hint="eastAsia" w:hAnsi="宋体" w:cs="宋体"/>
          <w:sz w:val="21"/>
          <w:szCs w:val="21"/>
        </w:rPr>
        <w:t>本合同金额为（大写）：____________________________________元（￥_______________元）人民币。</w:t>
      </w:r>
    </w:p>
    <w:p>
      <w:pPr>
        <w:pStyle w:val="13"/>
        <w:snapToGrid w:val="0"/>
        <w:spacing w:before="156" w:after="156" w:line="360" w:lineRule="auto"/>
        <w:rPr>
          <w:rFonts w:hAnsi="宋体" w:cs="宋体"/>
          <w:sz w:val="21"/>
          <w:szCs w:val="21"/>
        </w:rPr>
      </w:pPr>
      <w:r>
        <w:rPr>
          <w:rFonts w:hint="eastAsia" w:hAnsi="宋体" w:cs="宋体"/>
          <w:sz w:val="21"/>
          <w:szCs w:val="21"/>
        </w:rPr>
        <w:t>三、技术资料</w:t>
      </w:r>
    </w:p>
    <w:p>
      <w:pPr>
        <w:pStyle w:val="13"/>
        <w:snapToGrid w:val="0"/>
        <w:spacing w:before="156" w:after="156" w:line="360" w:lineRule="auto"/>
        <w:ind w:left="359" w:hanging="359" w:hangingChars="171"/>
        <w:rPr>
          <w:rFonts w:hAnsi="宋体" w:cs="宋体"/>
          <w:sz w:val="21"/>
          <w:szCs w:val="21"/>
        </w:rPr>
      </w:pPr>
      <w:r>
        <w:rPr>
          <w:rFonts w:hint="eastAsia" w:hAnsi="宋体" w:cs="宋体"/>
          <w:sz w:val="21"/>
          <w:szCs w:val="21"/>
        </w:rPr>
        <w:t>1.乙方应按招标文件规定的时间向甲方提供有关技术资料。</w:t>
      </w:r>
    </w:p>
    <w:p>
      <w:pPr>
        <w:pStyle w:val="13"/>
        <w:snapToGrid w:val="0"/>
        <w:spacing w:before="156" w:after="156" w:line="360" w:lineRule="auto"/>
        <w:ind w:left="170" w:hanging="170" w:hangingChars="81"/>
        <w:rPr>
          <w:rFonts w:hAnsi="宋体" w:cs="宋体"/>
          <w:sz w:val="21"/>
          <w:szCs w:val="21"/>
        </w:rPr>
      </w:pPr>
      <w:r>
        <w:rPr>
          <w:rFonts w:hint="eastAsia" w:hAnsi="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56" w:after="156" w:line="360" w:lineRule="auto"/>
        <w:ind w:left="359" w:hanging="359" w:hangingChars="171"/>
        <w:rPr>
          <w:rFonts w:hAnsi="宋体" w:cs="宋体"/>
          <w:sz w:val="21"/>
          <w:szCs w:val="21"/>
        </w:rPr>
      </w:pPr>
      <w:r>
        <w:rPr>
          <w:rFonts w:hint="eastAsia" w:hAnsi="宋体" w:cs="宋体"/>
          <w:sz w:val="21"/>
          <w:szCs w:val="21"/>
        </w:rPr>
        <w:t>四、知识产权</w:t>
      </w:r>
    </w:p>
    <w:p>
      <w:pPr>
        <w:pStyle w:val="13"/>
        <w:snapToGrid w:val="0"/>
        <w:spacing w:before="156" w:after="156" w:line="360" w:lineRule="auto"/>
        <w:ind w:left="170" w:hanging="170" w:hangingChars="81"/>
        <w:rPr>
          <w:rFonts w:hAnsi="宋体" w:cs="宋体"/>
          <w:bCs/>
          <w:sz w:val="21"/>
          <w:szCs w:val="21"/>
        </w:rPr>
      </w:pPr>
      <w:r>
        <w:rPr>
          <w:rFonts w:hint="eastAsia" w:hAnsi="宋体" w:cs="宋体"/>
          <w:sz w:val="21"/>
          <w:szCs w:val="21"/>
        </w:rPr>
        <w:t>乙方应保证提供服务过程中不会侵犯任何第三方的知识产权</w:t>
      </w:r>
      <w:r>
        <w:rPr>
          <w:rFonts w:hint="eastAsia" w:hAnsi="宋体" w:cs="宋体"/>
          <w:bCs/>
          <w:sz w:val="21"/>
          <w:szCs w:val="21"/>
        </w:rPr>
        <w:t>。</w:t>
      </w:r>
    </w:p>
    <w:p>
      <w:pPr>
        <w:pStyle w:val="13"/>
        <w:snapToGrid w:val="0"/>
        <w:spacing w:before="156" w:after="156" w:line="360" w:lineRule="auto"/>
        <w:ind w:left="357" w:hanging="357" w:hangingChars="170"/>
        <w:rPr>
          <w:rFonts w:hAnsi="宋体" w:cs="宋体"/>
          <w:sz w:val="21"/>
          <w:szCs w:val="21"/>
        </w:rPr>
      </w:pPr>
      <w:r>
        <w:rPr>
          <w:rFonts w:hint="eastAsia" w:hAnsi="宋体" w:cs="宋体"/>
          <w:sz w:val="21"/>
          <w:szCs w:val="21"/>
        </w:rPr>
        <w:t>五、履约保证金</w:t>
      </w:r>
    </w:p>
    <w:p>
      <w:pPr>
        <w:pStyle w:val="13"/>
        <w:snapToGrid w:val="0"/>
        <w:spacing w:before="156" w:after="156" w:line="360" w:lineRule="auto"/>
        <w:ind w:left="357" w:hanging="357" w:hangingChars="170"/>
        <w:rPr>
          <w:rFonts w:hAnsi="宋体" w:cs="宋体"/>
          <w:sz w:val="21"/>
          <w:szCs w:val="21"/>
        </w:rPr>
      </w:pPr>
      <w:r>
        <w:rPr>
          <w:rFonts w:hint="eastAsia" w:hAnsi="宋体" w:cs="宋体"/>
          <w:sz w:val="21"/>
          <w:szCs w:val="21"/>
        </w:rPr>
        <w:t>乙方交纳人民币</w:t>
      </w:r>
      <w:r>
        <w:rPr>
          <w:rFonts w:hint="eastAsia" w:hAnsi="宋体" w:cs="宋体"/>
          <w:sz w:val="21"/>
          <w:szCs w:val="21"/>
          <w:u w:val="single"/>
        </w:rPr>
        <w:t xml:space="preserve">  /   </w:t>
      </w:r>
      <w:r>
        <w:rPr>
          <w:rFonts w:hint="eastAsia" w:hAnsi="宋体" w:cs="宋体"/>
          <w:sz w:val="21"/>
          <w:szCs w:val="21"/>
        </w:rPr>
        <w:t>元作为本合同的履约保证金。</w:t>
      </w:r>
    </w:p>
    <w:p>
      <w:pPr>
        <w:snapToGrid w:val="0"/>
        <w:spacing w:beforeLines="50" w:afterLines="50" w:line="360" w:lineRule="auto"/>
        <w:rPr>
          <w:rFonts w:ascii="宋体" w:hAnsi="宋体" w:cs="宋体"/>
          <w:szCs w:val="21"/>
        </w:rPr>
      </w:pPr>
      <w:r>
        <w:rPr>
          <w:rFonts w:hint="eastAsia" w:ascii="宋体" w:hAnsi="宋体" w:cs="宋体"/>
          <w:szCs w:val="21"/>
        </w:rPr>
        <w:t>六、转包或分包</w:t>
      </w:r>
    </w:p>
    <w:p>
      <w:pPr>
        <w:snapToGrid w:val="0"/>
        <w:spacing w:beforeLines="50" w:afterLines="50" w:line="360" w:lineRule="auto"/>
        <w:rPr>
          <w:rFonts w:ascii="宋体" w:hAnsi="宋体" w:cs="宋体"/>
          <w:szCs w:val="21"/>
        </w:rPr>
      </w:pPr>
      <w:r>
        <w:rPr>
          <w:rFonts w:hint="eastAsia" w:ascii="宋体" w:hAnsi="宋体" w:cs="宋体"/>
          <w:szCs w:val="21"/>
        </w:rPr>
        <w:t>1.本合同范围的服务，应由乙方直接供应，不得转让他人供应；</w:t>
      </w:r>
    </w:p>
    <w:p>
      <w:pPr>
        <w:pStyle w:val="13"/>
        <w:snapToGrid w:val="0"/>
        <w:spacing w:before="156" w:after="156" w:line="360" w:lineRule="auto"/>
        <w:ind w:left="170" w:hanging="170" w:hangingChars="81"/>
        <w:rPr>
          <w:rFonts w:hAnsi="宋体" w:cs="宋体"/>
          <w:sz w:val="21"/>
          <w:szCs w:val="21"/>
        </w:rPr>
      </w:pPr>
      <w:r>
        <w:rPr>
          <w:rFonts w:hint="eastAsia" w:hAnsi="宋体" w:cs="宋体"/>
          <w:sz w:val="21"/>
          <w:szCs w:val="21"/>
        </w:rPr>
        <w:t>2.除非得到甲方的书面同意，乙方不得将本合同范围的服务全部或部分分包给他人供应；</w:t>
      </w:r>
    </w:p>
    <w:p>
      <w:pPr>
        <w:pStyle w:val="13"/>
        <w:snapToGrid w:val="0"/>
        <w:spacing w:before="156" w:after="156" w:line="360" w:lineRule="auto"/>
        <w:ind w:left="170" w:hanging="170" w:hangingChars="81"/>
        <w:rPr>
          <w:rFonts w:hAnsi="宋体" w:cs="宋体"/>
          <w:sz w:val="21"/>
          <w:szCs w:val="21"/>
        </w:rPr>
      </w:pPr>
      <w:r>
        <w:rPr>
          <w:rFonts w:hint="eastAsia" w:hAnsi="宋体" w:cs="宋体"/>
          <w:sz w:val="21"/>
          <w:szCs w:val="21"/>
        </w:rPr>
        <w:t>3.如有转让和未经甲方同意的分包行为，甲方有权解除合同，没收履约保证金并追究乙方的违约责任。</w:t>
      </w:r>
    </w:p>
    <w:p>
      <w:pPr>
        <w:pStyle w:val="13"/>
        <w:snapToGrid w:val="0"/>
        <w:spacing w:before="156" w:after="156" w:line="360" w:lineRule="auto"/>
        <w:rPr>
          <w:rFonts w:hAnsi="宋体" w:cs="宋体"/>
          <w:sz w:val="21"/>
          <w:szCs w:val="21"/>
        </w:rPr>
      </w:pPr>
      <w:r>
        <w:rPr>
          <w:rFonts w:hint="eastAsia" w:hAnsi="宋体" w:cs="宋体"/>
          <w:sz w:val="21"/>
          <w:szCs w:val="21"/>
        </w:rPr>
        <w:t>七、服务质量保证期和服务质量保证金(选用)</w:t>
      </w:r>
    </w:p>
    <w:p>
      <w:pPr>
        <w:pStyle w:val="13"/>
        <w:snapToGrid w:val="0"/>
        <w:spacing w:before="156" w:after="156" w:line="360" w:lineRule="auto"/>
        <w:ind w:left="359" w:hanging="359" w:hangingChars="171"/>
        <w:rPr>
          <w:rFonts w:hAnsi="宋体" w:cs="宋体"/>
          <w:sz w:val="21"/>
          <w:szCs w:val="21"/>
        </w:rPr>
      </w:pPr>
      <w:r>
        <w:rPr>
          <w:rFonts w:hint="eastAsia" w:hAnsi="宋体" w:cs="宋体"/>
          <w:sz w:val="21"/>
          <w:szCs w:val="21"/>
        </w:rPr>
        <w:t>1.服务质量保证期</w:t>
      </w:r>
      <w:r>
        <w:rPr>
          <w:rFonts w:hint="eastAsia" w:hAnsi="宋体" w:cs="宋体"/>
          <w:sz w:val="21"/>
          <w:szCs w:val="21"/>
          <w:u w:val="single"/>
        </w:rPr>
        <w:t xml:space="preserve">  /  </w:t>
      </w:r>
      <w:r>
        <w:rPr>
          <w:rFonts w:hint="eastAsia" w:hAnsi="宋体" w:cs="宋体"/>
          <w:sz w:val="21"/>
          <w:szCs w:val="21"/>
        </w:rPr>
        <w:t>年。（自验收合格之日起计）</w:t>
      </w:r>
    </w:p>
    <w:p>
      <w:pPr>
        <w:pStyle w:val="13"/>
        <w:snapToGrid w:val="0"/>
        <w:spacing w:before="156" w:after="156" w:line="360" w:lineRule="auto"/>
        <w:ind w:left="170" w:hanging="170" w:hangingChars="81"/>
        <w:rPr>
          <w:rFonts w:hAnsi="宋体" w:cs="宋体"/>
          <w:sz w:val="21"/>
          <w:szCs w:val="21"/>
        </w:rPr>
      </w:pPr>
      <w:r>
        <w:rPr>
          <w:rFonts w:hint="eastAsia" w:hAnsi="宋体" w:cs="宋体"/>
          <w:sz w:val="21"/>
          <w:szCs w:val="21"/>
        </w:rPr>
        <w:t>2.服务质量保证金</w:t>
      </w:r>
      <w:r>
        <w:rPr>
          <w:rFonts w:hint="eastAsia" w:hAnsi="宋体" w:cs="宋体"/>
          <w:sz w:val="21"/>
          <w:szCs w:val="21"/>
          <w:u w:val="single"/>
        </w:rPr>
        <w:t xml:space="preserve">  /  </w:t>
      </w:r>
      <w:r>
        <w:rPr>
          <w:rFonts w:hint="eastAsia" w:hAnsi="宋体" w:cs="宋体"/>
          <w:sz w:val="21"/>
          <w:szCs w:val="21"/>
        </w:rPr>
        <w:t>元。（履约保证金在中标投标人按合同约定验收合格后自行转为质保金）</w:t>
      </w:r>
    </w:p>
    <w:p>
      <w:pPr>
        <w:pStyle w:val="13"/>
        <w:snapToGrid w:val="0"/>
        <w:spacing w:before="156" w:after="156" w:line="360" w:lineRule="auto"/>
        <w:rPr>
          <w:rFonts w:hAnsi="宋体" w:cs="宋体"/>
          <w:sz w:val="21"/>
          <w:szCs w:val="21"/>
        </w:rPr>
      </w:pPr>
      <w:r>
        <w:rPr>
          <w:rFonts w:hint="eastAsia" w:hAnsi="宋体" w:cs="宋体"/>
          <w:sz w:val="21"/>
          <w:szCs w:val="21"/>
        </w:rPr>
        <w:t>八、合同履行时间、履行方式及履行地点</w:t>
      </w:r>
    </w:p>
    <w:p>
      <w:pPr>
        <w:pStyle w:val="13"/>
        <w:snapToGrid w:val="0"/>
        <w:spacing w:before="156" w:after="156" w:line="360" w:lineRule="auto"/>
        <w:ind w:left="170" w:hanging="170" w:hangingChars="81"/>
        <w:rPr>
          <w:rFonts w:hAnsi="宋体" w:cs="宋体"/>
          <w:bCs/>
          <w:sz w:val="21"/>
          <w:szCs w:val="21"/>
        </w:rPr>
      </w:pPr>
      <w:r>
        <w:rPr>
          <w:rFonts w:hint="eastAsia" w:hAnsi="宋体" w:cs="宋体"/>
          <w:bCs/>
          <w:sz w:val="21"/>
          <w:szCs w:val="21"/>
        </w:rPr>
        <w:t>1.</w:t>
      </w:r>
      <w:r>
        <w:rPr>
          <w:rFonts w:hint="eastAsia" w:hAnsi="宋体" w:cs="宋体"/>
          <w:sz w:val="21"/>
          <w:szCs w:val="21"/>
        </w:rPr>
        <w:t>履行时间</w:t>
      </w:r>
      <w:r>
        <w:rPr>
          <w:rFonts w:hint="eastAsia" w:hAnsi="宋体" w:cs="宋体"/>
          <w:bCs/>
          <w:sz w:val="21"/>
          <w:szCs w:val="21"/>
        </w:rPr>
        <w:t>：</w:t>
      </w:r>
    </w:p>
    <w:p>
      <w:pPr>
        <w:pStyle w:val="13"/>
        <w:snapToGrid w:val="0"/>
        <w:spacing w:before="156" w:after="156" w:line="360" w:lineRule="auto"/>
        <w:ind w:left="170" w:hanging="170" w:hangingChars="81"/>
        <w:rPr>
          <w:rFonts w:hAnsi="宋体" w:cs="宋体"/>
          <w:bCs/>
          <w:sz w:val="21"/>
          <w:szCs w:val="21"/>
        </w:rPr>
      </w:pPr>
      <w:r>
        <w:rPr>
          <w:rFonts w:hint="eastAsia" w:hAnsi="宋体" w:cs="宋体"/>
          <w:bCs/>
          <w:sz w:val="21"/>
          <w:szCs w:val="21"/>
        </w:rPr>
        <w:t>2.</w:t>
      </w:r>
      <w:r>
        <w:rPr>
          <w:rFonts w:hint="eastAsia" w:hAnsi="宋体" w:cs="宋体"/>
          <w:sz w:val="21"/>
          <w:szCs w:val="21"/>
        </w:rPr>
        <w:t>履行方式</w:t>
      </w:r>
      <w:r>
        <w:rPr>
          <w:rFonts w:hint="eastAsia" w:hAnsi="宋体" w:cs="宋体"/>
          <w:bCs/>
          <w:sz w:val="21"/>
          <w:szCs w:val="21"/>
        </w:rPr>
        <w:t>：</w:t>
      </w:r>
    </w:p>
    <w:p>
      <w:pPr>
        <w:pStyle w:val="13"/>
        <w:snapToGrid w:val="0"/>
        <w:spacing w:before="156" w:after="156" w:line="360" w:lineRule="auto"/>
        <w:ind w:left="170" w:hanging="170" w:hangingChars="81"/>
        <w:rPr>
          <w:rFonts w:hAnsi="宋体" w:cs="宋体"/>
          <w:sz w:val="21"/>
          <w:szCs w:val="21"/>
        </w:rPr>
      </w:pPr>
      <w:r>
        <w:rPr>
          <w:rFonts w:hint="eastAsia" w:hAnsi="宋体" w:cs="宋体"/>
          <w:bCs/>
          <w:sz w:val="21"/>
          <w:szCs w:val="21"/>
        </w:rPr>
        <w:t>3.</w:t>
      </w:r>
      <w:r>
        <w:rPr>
          <w:rFonts w:hint="eastAsia" w:hAnsi="宋体" w:cs="宋体"/>
          <w:sz w:val="21"/>
          <w:szCs w:val="21"/>
        </w:rPr>
        <w:t>履行地点</w:t>
      </w:r>
      <w:r>
        <w:rPr>
          <w:rFonts w:hint="eastAsia" w:hAnsi="宋体" w:cs="宋体"/>
          <w:bCs/>
          <w:sz w:val="21"/>
          <w:szCs w:val="21"/>
        </w:rPr>
        <w:t>：</w:t>
      </w:r>
    </w:p>
    <w:p>
      <w:pPr>
        <w:pStyle w:val="13"/>
        <w:snapToGrid w:val="0"/>
        <w:spacing w:before="156" w:after="156" w:line="360" w:lineRule="auto"/>
        <w:rPr>
          <w:rFonts w:hAnsi="宋体" w:cs="宋体"/>
          <w:sz w:val="21"/>
          <w:szCs w:val="21"/>
        </w:rPr>
      </w:pPr>
      <w:r>
        <w:rPr>
          <w:rFonts w:hint="eastAsia" w:hAnsi="宋体" w:cs="宋体"/>
          <w:sz w:val="21"/>
          <w:szCs w:val="21"/>
        </w:rPr>
        <w:t>九、款项支付</w:t>
      </w:r>
    </w:p>
    <w:p>
      <w:pPr>
        <w:pStyle w:val="13"/>
        <w:snapToGrid w:val="0"/>
        <w:spacing w:before="156" w:after="156" w:line="360" w:lineRule="auto"/>
        <w:ind w:firstLine="315" w:firstLineChars="150"/>
        <w:rPr>
          <w:rFonts w:hAnsi="宋体" w:cs="宋体"/>
          <w:bCs/>
          <w:sz w:val="21"/>
          <w:szCs w:val="21"/>
        </w:rPr>
      </w:pPr>
      <w:r>
        <w:rPr>
          <w:rFonts w:hint="eastAsia" w:hAnsi="宋体" w:cs="宋体"/>
          <w:bCs/>
          <w:sz w:val="21"/>
          <w:szCs w:val="21"/>
        </w:rPr>
        <w:t xml:space="preserve"> 付款方式：</w:t>
      </w:r>
    </w:p>
    <w:p>
      <w:pPr>
        <w:snapToGrid w:val="0"/>
        <w:spacing w:beforeLines="50" w:afterLines="50" w:line="360" w:lineRule="auto"/>
        <w:rPr>
          <w:rFonts w:ascii="宋体" w:hAnsi="宋体" w:cs="宋体"/>
          <w:szCs w:val="21"/>
        </w:rPr>
      </w:pPr>
      <w:r>
        <w:rPr>
          <w:rFonts w:hint="eastAsia" w:ascii="宋体" w:hAnsi="宋体" w:cs="宋体"/>
          <w:szCs w:val="21"/>
        </w:rPr>
        <w:t>十、税费</w:t>
      </w:r>
    </w:p>
    <w:p>
      <w:pPr>
        <w:snapToGrid w:val="0"/>
        <w:spacing w:beforeLines="50" w:afterLines="50" w:line="360" w:lineRule="auto"/>
        <w:rPr>
          <w:rFonts w:ascii="宋体" w:hAnsi="宋体" w:cs="宋体"/>
          <w:szCs w:val="21"/>
        </w:rPr>
      </w:pPr>
      <w:r>
        <w:rPr>
          <w:rFonts w:hint="eastAsia" w:ascii="宋体" w:hAnsi="宋体" w:cs="宋体"/>
          <w:szCs w:val="21"/>
        </w:rPr>
        <w:t>本合同执行中相关的一切税费均由乙方负担。</w:t>
      </w:r>
    </w:p>
    <w:p>
      <w:pPr>
        <w:pStyle w:val="13"/>
        <w:snapToGrid w:val="0"/>
        <w:spacing w:before="156" w:after="156" w:line="360" w:lineRule="auto"/>
        <w:ind w:left="359" w:hanging="359" w:hangingChars="171"/>
        <w:rPr>
          <w:rFonts w:hAnsi="宋体" w:cs="宋体"/>
          <w:sz w:val="21"/>
          <w:szCs w:val="21"/>
        </w:rPr>
      </w:pPr>
      <w:r>
        <w:rPr>
          <w:rFonts w:hint="eastAsia" w:hAnsi="宋体" w:cs="宋体"/>
          <w:sz w:val="21"/>
          <w:szCs w:val="21"/>
        </w:rPr>
        <w:t>十一、质量保证及后续服务</w:t>
      </w:r>
    </w:p>
    <w:p>
      <w:pPr>
        <w:pStyle w:val="13"/>
        <w:snapToGrid w:val="0"/>
        <w:spacing w:before="156" w:after="156" w:line="360" w:lineRule="auto"/>
        <w:ind w:left="359" w:hanging="359" w:hangingChars="171"/>
        <w:rPr>
          <w:rFonts w:hAnsi="宋体" w:cs="宋体"/>
          <w:sz w:val="21"/>
          <w:szCs w:val="21"/>
        </w:rPr>
      </w:pPr>
      <w:r>
        <w:rPr>
          <w:rFonts w:hint="eastAsia" w:hAnsi="宋体" w:cs="宋体"/>
          <w:sz w:val="21"/>
          <w:szCs w:val="21"/>
        </w:rPr>
        <w:t>1.乙方应按招标文件规定向甲方提供服务。</w:t>
      </w:r>
    </w:p>
    <w:p>
      <w:pPr>
        <w:pStyle w:val="13"/>
        <w:snapToGrid w:val="0"/>
        <w:spacing w:before="156" w:after="156" w:line="360" w:lineRule="auto"/>
        <w:ind w:left="420" w:hanging="420" w:hangingChars="200"/>
        <w:rPr>
          <w:rFonts w:hAnsi="宋体" w:cs="宋体"/>
          <w:sz w:val="21"/>
          <w:szCs w:val="21"/>
        </w:rPr>
      </w:pPr>
      <w:r>
        <w:rPr>
          <w:rFonts w:hint="eastAsia" w:hAnsi="宋体" w:cs="宋体"/>
          <w:sz w:val="21"/>
          <w:szCs w:val="21"/>
        </w:rPr>
        <w:t>2.乙方提供的服务成果在服务质量保证期内发生故障，乙方应负责免费提供后续服务。对达不到要求者，根据实际情况，经双方协商，可按以下办法处理：</w:t>
      </w:r>
    </w:p>
    <w:p>
      <w:pPr>
        <w:pStyle w:val="13"/>
        <w:snapToGrid w:val="0"/>
        <w:spacing w:before="156" w:after="156" w:line="360" w:lineRule="auto"/>
        <w:ind w:firstLine="420"/>
        <w:rPr>
          <w:rFonts w:hAnsi="宋体" w:cs="宋体"/>
          <w:sz w:val="21"/>
          <w:szCs w:val="21"/>
        </w:rPr>
      </w:pPr>
      <w:r>
        <w:rPr>
          <w:rFonts w:hint="eastAsia" w:hAnsi="宋体" w:cs="宋体"/>
          <w:sz w:val="21"/>
          <w:szCs w:val="21"/>
        </w:rPr>
        <w:t>⑴重做：由乙方承担所发生的全部费用。</w:t>
      </w:r>
    </w:p>
    <w:p>
      <w:pPr>
        <w:pStyle w:val="13"/>
        <w:snapToGrid w:val="0"/>
        <w:spacing w:before="156" w:after="156" w:line="360" w:lineRule="auto"/>
        <w:ind w:firstLine="420"/>
        <w:rPr>
          <w:rFonts w:hAnsi="宋体" w:cs="宋体"/>
          <w:sz w:val="21"/>
          <w:szCs w:val="21"/>
        </w:rPr>
      </w:pPr>
      <w:r>
        <w:rPr>
          <w:rFonts w:hint="eastAsia" w:hAnsi="宋体" w:cs="宋体"/>
          <w:sz w:val="21"/>
          <w:szCs w:val="21"/>
        </w:rPr>
        <w:t>⑵贬值处理：由甲乙双方合议定价。</w:t>
      </w:r>
    </w:p>
    <w:p>
      <w:pPr>
        <w:pStyle w:val="13"/>
        <w:snapToGrid w:val="0"/>
        <w:spacing w:before="156" w:after="156" w:line="360" w:lineRule="auto"/>
        <w:ind w:left="420" w:leftChars="200"/>
        <w:rPr>
          <w:rFonts w:hAnsi="宋体" w:cs="宋体"/>
          <w:sz w:val="21"/>
          <w:szCs w:val="21"/>
        </w:rPr>
      </w:pPr>
      <w:r>
        <w:rPr>
          <w:rFonts w:hint="eastAsia" w:hAnsi="宋体" w:cs="宋体"/>
          <w:sz w:val="21"/>
          <w:szCs w:val="21"/>
        </w:rPr>
        <w:t>⑶解除合同。</w:t>
      </w:r>
    </w:p>
    <w:p>
      <w:pPr>
        <w:pStyle w:val="13"/>
        <w:snapToGrid w:val="0"/>
        <w:spacing w:before="156" w:after="156" w:line="360" w:lineRule="auto"/>
        <w:rPr>
          <w:rFonts w:hAnsi="宋体" w:cs="宋体"/>
          <w:sz w:val="21"/>
          <w:szCs w:val="21"/>
        </w:rPr>
      </w:pPr>
      <w:r>
        <w:rPr>
          <w:rFonts w:hint="eastAsia" w:hAnsi="宋体" w:cs="宋体"/>
          <w:sz w:val="21"/>
          <w:szCs w:val="21"/>
        </w:rPr>
        <w:t>3.如在使用过程中发生问题，乙方在接到甲方通知后在△小时内到达甲方现场。</w:t>
      </w:r>
    </w:p>
    <w:p>
      <w:pPr>
        <w:pStyle w:val="13"/>
        <w:snapToGrid w:val="0"/>
        <w:spacing w:before="156" w:after="156" w:line="360" w:lineRule="auto"/>
        <w:rPr>
          <w:rFonts w:hAnsi="宋体" w:cs="宋体"/>
          <w:sz w:val="21"/>
          <w:szCs w:val="21"/>
        </w:rPr>
      </w:pPr>
      <w:r>
        <w:rPr>
          <w:rFonts w:hint="eastAsia" w:hAnsi="宋体" w:cs="宋体"/>
          <w:sz w:val="21"/>
          <w:szCs w:val="21"/>
        </w:rPr>
        <w:t>4.在服务质量保证期内，乙方应对出现的质量及安全问题负责处理解决并承担一切费用。</w:t>
      </w:r>
    </w:p>
    <w:p>
      <w:pPr>
        <w:pStyle w:val="13"/>
        <w:snapToGrid w:val="0"/>
        <w:spacing w:before="156" w:after="156" w:line="360" w:lineRule="auto"/>
        <w:rPr>
          <w:rFonts w:hAnsi="宋体" w:cs="宋体"/>
          <w:sz w:val="21"/>
          <w:szCs w:val="21"/>
        </w:rPr>
      </w:pPr>
      <w:r>
        <w:rPr>
          <w:rFonts w:hint="eastAsia" w:hAnsi="宋体" w:cs="宋体"/>
          <w:sz w:val="21"/>
          <w:szCs w:val="21"/>
        </w:rPr>
        <w:t>十二、违约责任</w:t>
      </w:r>
    </w:p>
    <w:p>
      <w:pPr>
        <w:pStyle w:val="13"/>
        <w:snapToGrid w:val="0"/>
        <w:spacing w:before="156" w:after="156" w:line="360" w:lineRule="auto"/>
        <w:ind w:left="359" w:hanging="359" w:hangingChars="171"/>
        <w:rPr>
          <w:rFonts w:hAnsi="宋体" w:cs="宋体"/>
          <w:sz w:val="21"/>
          <w:szCs w:val="21"/>
        </w:rPr>
      </w:pPr>
      <w:r>
        <w:rPr>
          <w:rFonts w:hint="eastAsia" w:hAnsi="宋体" w:cs="宋体"/>
          <w:sz w:val="21"/>
          <w:szCs w:val="21"/>
        </w:rPr>
        <w:t>1.甲方无正当理由拒收接受服务的，甲方向乙方偿付合同款项百分之五作为违约金。</w:t>
      </w:r>
    </w:p>
    <w:p>
      <w:pPr>
        <w:pStyle w:val="13"/>
        <w:snapToGrid w:val="0"/>
        <w:spacing w:before="156" w:after="156" w:line="360" w:lineRule="auto"/>
        <w:ind w:left="170" w:hanging="170" w:hangingChars="81"/>
        <w:rPr>
          <w:rFonts w:hAnsi="宋体" w:cs="宋体"/>
          <w:sz w:val="21"/>
          <w:szCs w:val="21"/>
        </w:rPr>
      </w:pPr>
      <w:r>
        <w:rPr>
          <w:rFonts w:hint="eastAsia" w:hAnsi="宋体" w:cs="宋体"/>
          <w:sz w:val="21"/>
          <w:szCs w:val="21"/>
        </w:rPr>
        <w:t>2.甲方无故逾期验收和办理款项支付手续的,甲方应按逾期付款总额每日万分之五向乙方支付违约金。</w:t>
      </w:r>
    </w:p>
    <w:p>
      <w:pPr>
        <w:pStyle w:val="13"/>
        <w:snapToGrid w:val="0"/>
        <w:spacing w:before="156" w:after="156" w:line="360" w:lineRule="auto"/>
        <w:ind w:left="170" w:hanging="170" w:hangingChars="81"/>
        <w:rPr>
          <w:rFonts w:hAnsi="宋体" w:cs="宋体"/>
          <w:sz w:val="21"/>
          <w:szCs w:val="21"/>
        </w:rPr>
      </w:pPr>
      <w:r>
        <w:rPr>
          <w:rFonts w:hint="eastAsia" w:hAnsi="宋体" w:cs="宋体"/>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3"/>
        <w:snapToGrid w:val="0"/>
        <w:spacing w:before="156" w:after="156" w:line="360" w:lineRule="auto"/>
        <w:rPr>
          <w:rFonts w:hAnsi="宋体" w:cs="宋体"/>
          <w:sz w:val="21"/>
          <w:szCs w:val="21"/>
        </w:rPr>
      </w:pPr>
      <w:r>
        <w:rPr>
          <w:rFonts w:hint="eastAsia" w:hAnsi="宋体" w:cs="宋体"/>
          <w:sz w:val="21"/>
          <w:szCs w:val="21"/>
        </w:rPr>
        <w:t>十三、不可抗力事件处理</w:t>
      </w:r>
    </w:p>
    <w:p>
      <w:pPr>
        <w:pStyle w:val="13"/>
        <w:snapToGrid w:val="0"/>
        <w:spacing w:before="156" w:after="156" w:line="360" w:lineRule="auto"/>
        <w:rPr>
          <w:rFonts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pPr>
        <w:pStyle w:val="13"/>
        <w:snapToGrid w:val="0"/>
        <w:spacing w:before="156" w:after="156" w:line="360" w:lineRule="auto"/>
        <w:rPr>
          <w:rFonts w:hAnsi="宋体" w:cs="宋体"/>
          <w:sz w:val="21"/>
          <w:szCs w:val="21"/>
        </w:rPr>
      </w:pPr>
      <w:r>
        <w:rPr>
          <w:rFonts w:hint="eastAsia" w:hAnsi="宋体" w:cs="宋体"/>
          <w:sz w:val="21"/>
          <w:szCs w:val="21"/>
        </w:rPr>
        <w:t>2.不可抗力事件发生后，应立即通知对方，并寄送有关权威机构出具的证明。</w:t>
      </w:r>
    </w:p>
    <w:p>
      <w:pPr>
        <w:pStyle w:val="13"/>
        <w:snapToGrid w:val="0"/>
        <w:spacing w:before="156" w:after="156" w:line="360" w:lineRule="auto"/>
        <w:rPr>
          <w:rFonts w:hAnsi="宋体" w:cs="宋体"/>
          <w:sz w:val="21"/>
          <w:szCs w:val="21"/>
        </w:rPr>
      </w:pPr>
      <w:r>
        <w:rPr>
          <w:rFonts w:hint="eastAsia" w:hAnsi="宋体" w:cs="宋体"/>
          <w:sz w:val="21"/>
          <w:szCs w:val="21"/>
        </w:rPr>
        <w:t>3.不可抗力事件延续120天以上，双方应通过友好协商，确定是否继续履行合同。</w:t>
      </w:r>
    </w:p>
    <w:p>
      <w:pPr>
        <w:pStyle w:val="13"/>
        <w:snapToGrid w:val="0"/>
        <w:spacing w:before="156" w:after="156" w:line="360" w:lineRule="auto"/>
        <w:rPr>
          <w:rFonts w:hAnsi="宋体" w:cs="宋体"/>
          <w:sz w:val="21"/>
          <w:szCs w:val="21"/>
        </w:rPr>
      </w:pPr>
      <w:r>
        <w:rPr>
          <w:rFonts w:hint="eastAsia" w:hAnsi="宋体" w:cs="宋体"/>
          <w:sz w:val="21"/>
          <w:szCs w:val="21"/>
        </w:rPr>
        <w:t>十四、诉讼</w:t>
      </w:r>
    </w:p>
    <w:p>
      <w:pPr>
        <w:pStyle w:val="13"/>
        <w:snapToGrid w:val="0"/>
        <w:spacing w:before="156" w:after="156" w:line="360" w:lineRule="auto"/>
        <w:ind w:firstLine="420" w:firstLineChars="200"/>
        <w:rPr>
          <w:rFonts w:hAnsi="宋体" w:cs="宋体"/>
          <w:sz w:val="21"/>
          <w:szCs w:val="21"/>
        </w:rPr>
      </w:pPr>
      <w:r>
        <w:rPr>
          <w:rFonts w:hint="eastAsia" w:hAnsi="宋体" w:cs="宋体"/>
          <w:sz w:val="21"/>
          <w:szCs w:val="21"/>
        </w:rPr>
        <w:t>双方在执行合同中所发生的一切争议，应通过协商解决。如协商不成，可向甲方所在地法院起诉。</w:t>
      </w:r>
    </w:p>
    <w:p>
      <w:pPr>
        <w:pStyle w:val="13"/>
        <w:snapToGrid w:val="0"/>
        <w:spacing w:before="156" w:after="156" w:line="360" w:lineRule="auto"/>
        <w:rPr>
          <w:rFonts w:hAnsi="宋体" w:cs="宋体"/>
          <w:sz w:val="21"/>
          <w:szCs w:val="21"/>
        </w:rPr>
      </w:pPr>
      <w:r>
        <w:rPr>
          <w:rFonts w:hint="eastAsia" w:hAnsi="宋体" w:cs="宋体"/>
          <w:sz w:val="21"/>
          <w:szCs w:val="21"/>
        </w:rPr>
        <w:t>十五、合同生效及其它</w:t>
      </w:r>
    </w:p>
    <w:p>
      <w:pPr>
        <w:pStyle w:val="13"/>
        <w:snapToGrid w:val="0"/>
        <w:spacing w:before="156" w:after="156" w:line="360" w:lineRule="auto"/>
        <w:rPr>
          <w:rFonts w:hAnsi="宋体" w:cs="宋体"/>
          <w:sz w:val="21"/>
          <w:szCs w:val="21"/>
        </w:rPr>
      </w:pPr>
      <w:r>
        <w:rPr>
          <w:rFonts w:hint="eastAsia" w:hAnsi="宋体" w:cs="宋体"/>
          <w:sz w:val="21"/>
          <w:szCs w:val="21"/>
        </w:rPr>
        <w:t>1.合同经双方法定代表人或授权代表签字并加盖单位公章后生效。</w:t>
      </w:r>
    </w:p>
    <w:p>
      <w:pPr>
        <w:pStyle w:val="13"/>
        <w:snapToGrid w:val="0"/>
        <w:spacing w:before="156" w:after="156" w:line="360" w:lineRule="auto"/>
        <w:rPr>
          <w:rFonts w:hAnsi="宋体" w:cs="宋体"/>
          <w:sz w:val="21"/>
          <w:szCs w:val="21"/>
        </w:rPr>
      </w:pPr>
      <w:r>
        <w:rPr>
          <w:rFonts w:hint="eastAsia" w:hAnsi="宋体" w:cs="宋体"/>
          <w:sz w:val="21"/>
          <w:szCs w:val="21"/>
        </w:rPr>
        <w:t>2.合同执行中涉及采购资金和采购内容修改或补充的，须经财政部门审批，并签书面补充协议报政府采购监督管理部门备案，方可作为主合同不可分割的一部分。</w:t>
      </w:r>
    </w:p>
    <w:p>
      <w:pPr>
        <w:pStyle w:val="13"/>
        <w:snapToGrid w:val="0"/>
        <w:spacing w:before="156" w:after="156" w:line="360" w:lineRule="auto"/>
        <w:ind w:left="420" w:hanging="420" w:hangingChars="200"/>
        <w:rPr>
          <w:rFonts w:hAnsi="宋体" w:cs="宋体"/>
          <w:sz w:val="21"/>
          <w:szCs w:val="21"/>
        </w:rPr>
      </w:pPr>
      <w:r>
        <w:rPr>
          <w:rFonts w:hint="eastAsia" w:hAnsi="宋体" w:cs="宋体"/>
          <w:sz w:val="21"/>
          <w:szCs w:val="21"/>
        </w:rPr>
        <w:t>3.本合同未尽事宜，遵照《合同法》有关条文执行。</w:t>
      </w:r>
    </w:p>
    <w:p>
      <w:pPr>
        <w:pStyle w:val="13"/>
        <w:snapToGrid w:val="0"/>
        <w:spacing w:before="156" w:after="156" w:line="360" w:lineRule="auto"/>
        <w:ind w:left="420" w:hanging="420" w:hangingChars="200"/>
        <w:rPr>
          <w:rFonts w:hAnsi="宋体" w:cs="宋体"/>
          <w:sz w:val="21"/>
          <w:szCs w:val="21"/>
        </w:rPr>
      </w:pPr>
      <w:r>
        <w:rPr>
          <w:rFonts w:hint="eastAsia" w:hAnsi="宋体" w:cs="宋体"/>
          <w:sz w:val="21"/>
          <w:szCs w:val="21"/>
        </w:rPr>
        <w:t>4.本合同正本一式叁份，具有同等法律效力，甲乙双方各执一份；区公共资源交易中心一份。</w:t>
      </w:r>
    </w:p>
    <w:p>
      <w:pPr>
        <w:pStyle w:val="13"/>
        <w:snapToGrid w:val="0"/>
        <w:spacing w:before="156" w:after="156" w:line="360" w:lineRule="auto"/>
        <w:ind w:left="420" w:hanging="420" w:hangingChars="200"/>
        <w:rPr>
          <w:rFonts w:hAnsi="宋体" w:cs="宋体"/>
          <w:sz w:val="21"/>
          <w:szCs w:val="21"/>
        </w:rPr>
      </w:pPr>
    </w:p>
    <w:p>
      <w:pPr>
        <w:pStyle w:val="13"/>
        <w:snapToGrid w:val="0"/>
        <w:spacing w:before="156" w:after="156" w:line="360" w:lineRule="auto"/>
        <w:ind w:left="420" w:hanging="420" w:hangingChars="200"/>
        <w:rPr>
          <w:rFonts w:hAnsi="宋体" w:cs="宋体"/>
          <w:sz w:val="21"/>
          <w:szCs w:val="21"/>
        </w:rPr>
      </w:pPr>
    </w:p>
    <w:p>
      <w:pPr>
        <w:pStyle w:val="13"/>
        <w:snapToGrid w:val="0"/>
        <w:spacing w:before="156" w:after="156" w:line="360" w:lineRule="auto"/>
        <w:ind w:left="420" w:hanging="420" w:hangingChars="200"/>
        <w:rPr>
          <w:rFonts w:hAnsi="宋体" w:cs="宋体"/>
          <w:sz w:val="21"/>
          <w:szCs w:val="21"/>
        </w:rPr>
      </w:pPr>
      <w:r>
        <w:rPr>
          <w:rFonts w:hint="eastAsia" w:hAnsi="宋体" w:cs="宋体"/>
          <w:sz w:val="21"/>
          <w:szCs w:val="21"/>
        </w:rPr>
        <w:t xml:space="preserve">  甲方：                                   乙方： </w:t>
      </w:r>
    </w:p>
    <w:p>
      <w:pPr>
        <w:pStyle w:val="13"/>
        <w:snapToGrid w:val="0"/>
        <w:spacing w:before="156" w:after="156" w:line="360" w:lineRule="auto"/>
        <w:rPr>
          <w:rFonts w:hAnsi="宋体" w:cs="宋体"/>
          <w:sz w:val="21"/>
          <w:szCs w:val="21"/>
        </w:rPr>
      </w:pPr>
      <w:r>
        <w:rPr>
          <w:rFonts w:hint="eastAsia" w:hAnsi="宋体" w:cs="宋体"/>
          <w:sz w:val="21"/>
          <w:szCs w:val="21"/>
        </w:rPr>
        <w:t xml:space="preserve">  地址：                                   地址： </w:t>
      </w:r>
    </w:p>
    <w:p>
      <w:pPr>
        <w:pStyle w:val="13"/>
        <w:snapToGrid w:val="0"/>
        <w:spacing w:before="156" w:after="156" w:line="360" w:lineRule="auto"/>
        <w:rPr>
          <w:rFonts w:hAnsi="宋体" w:cs="宋体"/>
          <w:sz w:val="21"/>
          <w:szCs w:val="21"/>
        </w:rPr>
      </w:pPr>
      <w:r>
        <w:rPr>
          <w:rFonts w:hint="eastAsia" w:hAnsi="宋体" w:cs="宋体"/>
          <w:sz w:val="21"/>
          <w:szCs w:val="21"/>
        </w:rPr>
        <w:t xml:space="preserve">  法定（授权）代表人：                     法定（授权）代表人：</w:t>
      </w:r>
    </w:p>
    <w:p>
      <w:pPr>
        <w:pStyle w:val="13"/>
        <w:snapToGrid w:val="0"/>
        <w:spacing w:before="156" w:after="156" w:line="360" w:lineRule="auto"/>
        <w:ind w:firstLine="210" w:firstLineChars="100"/>
        <w:rPr>
          <w:rFonts w:hAnsi="宋体" w:cs="宋体"/>
          <w:sz w:val="28"/>
          <w:szCs w:val="28"/>
        </w:rPr>
      </w:pPr>
      <w:r>
        <w:rPr>
          <w:rFonts w:hint="eastAsia" w:hAnsi="宋体" w:cs="宋体"/>
          <w:sz w:val="21"/>
          <w:szCs w:val="21"/>
        </w:rPr>
        <w:t>签字日期：      年  月  日               签字日期：      年  月  日</w:t>
      </w:r>
    </w:p>
    <w:p>
      <w:pPr>
        <w:tabs>
          <w:tab w:val="left" w:pos="845"/>
        </w:tabs>
        <w:spacing w:line="440" w:lineRule="exact"/>
        <w:rPr>
          <w:rFonts w:ascii="宋体" w:hAnsi="宋体"/>
          <w:szCs w:val="21"/>
        </w:rPr>
      </w:pPr>
    </w:p>
    <w:sectPr>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rPr>
                    <w:rFonts w:eastAsia="宋体"/>
                  </w:rPr>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32</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9"/>
      </w:rPr>
    </w:pPr>
    <w:r>
      <w:fldChar w:fldCharType="begin"/>
    </w:r>
    <w:r>
      <w:rPr>
        <w:rStyle w:val="29"/>
      </w:rPr>
      <w:instrText xml:space="preserve">PAGE  </w:instrText>
    </w:r>
    <w:r>
      <w:fldChar w:fldCharType="end"/>
    </w:r>
  </w:p>
  <w:p>
    <w:pPr>
      <w:pStyle w:val="1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8739A"/>
    <w:multiLevelType w:val="singleLevel"/>
    <w:tmpl w:val="E1E8739A"/>
    <w:lvl w:ilvl="0" w:tentative="0">
      <w:start w:val="1"/>
      <w:numFmt w:val="decimal"/>
      <w:lvlText w:val="%1."/>
      <w:lvlJc w:val="left"/>
      <w:pPr>
        <w:ind w:left="425" w:hanging="425"/>
      </w:pPr>
      <w:rPr>
        <w:rFonts w:hint="default"/>
      </w:rPr>
    </w:lvl>
  </w:abstractNum>
  <w:abstractNum w:abstractNumId="1">
    <w:nsid w:val="F032E548"/>
    <w:multiLevelType w:val="singleLevel"/>
    <w:tmpl w:val="F032E548"/>
    <w:lvl w:ilvl="0" w:tentative="0">
      <w:start w:val="2"/>
      <w:numFmt w:val="chineseCounting"/>
      <w:suff w:val="nothing"/>
      <w:lvlText w:val="%1、"/>
      <w:lvlJc w:val="left"/>
      <w:rPr>
        <w:rFonts w:hint="eastAsia"/>
      </w:rPr>
    </w:lvl>
  </w:abstractNum>
  <w:abstractNum w:abstractNumId="2">
    <w:nsid w:val="00000009"/>
    <w:multiLevelType w:val="multilevel"/>
    <w:tmpl w:val="00000009"/>
    <w:lvl w:ilvl="0" w:tentative="0">
      <w:start w:val="1"/>
      <w:numFmt w:val="decimal"/>
      <w:lvlText w:val="%1、"/>
      <w:lvlJc w:val="left"/>
      <w:pPr>
        <w:tabs>
          <w:tab w:val="left" w:pos="945"/>
        </w:tabs>
        <w:ind w:left="945" w:hanging="420"/>
      </w:pPr>
      <w:rPr>
        <w:rFonts w:ascii="Times New Roman" w:hAnsi="Times New Roman" w:eastAsia="Times New Roman" w:cs="Times New Roman"/>
      </w:rPr>
    </w:lvl>
    <w:lvl w:ilvl="1" w:tentative="0">
      <w:start w:val="1"/>
      <w:numFmt w:val="lowerLetter"/>
      <w:pStyle w:val="100"/>
      <w:lvlText w:val="%2)"/>
      <w:lvlJc w:val="left"/>
      <w:pPr>
        <w:tabs>
          <w:tab w:val="left" w:pos="1155"/>
        </w:tabs>
        <w:ind w:left="115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
    <w:nsid w:val="03783E13"/>
    <w:multiLevelType w:val="multilevel"/>
    <w:tmpl w:val="03783E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B55EC3"/>
    <w:multiLevelType w:val="multilevel"/>
    <w:tmpl w:val="1DB55EC3"/>
    <w:lvl w:ilvl="0" w:tentative="0">
      <w:start w:val="1"/>
      <w:numFmt w:val="bullet"/>
      <w:pStyle w:val="9"/>
      <w:lvlText w:val=""/>
      <w:lvlJc w:val="left"/>
      <w:pPr>
        <w:ind w:left="704" w:hanging="420"/>
      </w:pPr>
      <w:rPr>
        <w:rFonts w:hint="default" w:ascii="Wingdings" w:hAnsi="Wingdings" w:cs="Wingdings"/>
      </w:rPr>
    </w:lvl>
    <w:lvl w:ilvl="1" w:tentative="0">
      <w:start w:val="1"/>
      <w:numFmt w:val="bullet"/>
      <w:lvlText w:val=""/>
      <w:lvlJc w:val="left"/>
      <w:pPr>
        <w:ind w:left="1124" w:hanging="420"/>
      </w:pPr>
      <w:rPr>
        <w:rFonts w:hint="default" w:ascii="Wingdings" w:hAnsi="Wingdings" w:cs="Wingdings"/>
      </w:rPr>
    </w:lvl>
    <w:lvl w:ilvl="2" w:tentative="0">
      <w:start w:val="1"/>
      <w:numFmt w:val="bullet"/>
      <w:lvlText w:val=""/>
      <w:lvlJc w:val="left"/>
      <w:pPr>
        <w:ind w:left="1544" w:hanging="420"/>
      </w:pPr>
      <w:rPr>
        <w:rFonts w:hint="default" w:ascii="Wingdings" w:hAnsi="Wingdings" w:cs="Wingdings"/>
      </w:rPr>
    </w:lvl>
    <w:lvl w:ilvl="3" w:tentative="0">
      <w:start w:val="1"/>
      <w:numFmt w:val="bullet"/>
      <w:lvlText w:val=""/>
      <w:lvlJc w:val="left"/>
      <w:pPr>
        <w:ind w:left="1964" w:hanging="420"/>
      </w:pPr>
      <w:rPr>
        <w:rFonts w:hint="default" w:ascii="Wingdings" w:hAnsi="Wingdings" w:cs="Wingdings"/>
      </w:rPr>
    </w:lvl>
    <w:lvl w:ilvl="4" w:tentative="0">
      <w:start w:val="1"/>
      <w:numFmt w:val="bullet"/>
      <w:lvlText w:val=""/>
      <w:lvlJc w:val="left"/>
      <w:pPr>
        <w:ind w:left="2384" w:hanging="420"/>
      </w:pPr>
      <w:rPr>
        <w:rFonts w:hint="default" w:ascii="Wingdings" w:hAnsi="Wingdings" w:cs="Wingdings"/>
      </w:rPr>
    </w:lvl>
    <w:lvl w:ilvl="5" w:tentative="0">
      <w:start w:val="1"/>
      <w:numFmt w:val="bullet"/>
      <w:lvlText w:val=""/>
      <w:lvlJc w:val="left"/>
      <w:pPr>
        <w:ind w:left="2804" w:hanging="420"/>
      </w:pPr>
      <w:rPr>
        <w:rFonts w:hint="default" w:ascii="Wingdings" w:hAnsi="Wingdings" w:cs="Wingdings"/>
      </w:rPr>
    </w:lvl>
    <w:lvl w:ilvl="6" w:tentative="0">
      <w:start w:val="1"/>
      <w:numFmt w:val="bullet"/>
      <w:lvlText w:val=""/>
      <w:lvlJc w:val="left"/>
      <w:pPr>
        <w:ind w:left="3224" w:hanging="420"/>
      </w:pPr>
      <w:rPr>
        <w:rFonts w:hint="default" w:ascii="Wingdings" w:hAnsi="Wingdings" w:cs="Wingdings"/>
      </w:rPr>
    </w:lvl>
    <w:lvl w:ilvl="7" w:tentative="0">
      <w:start w:val="1"/>
      <w:numFmt w:val="bullet"/>
      <w:lvlText w:val=""/>
      <w:lvlJc w:val="left"/>
      <w:pPr>
        <w:ind w:left="3644" w:hanging="420"/>
      </w:pPr>
      <w:rPr>
        <w:rFonts w:hint="default" w:ascii="Wingdings" w:hAnsi="Wingdings" w:cs="Wingdings"/>
      </w:rPr>
    </w:lvl>
    <w:lvl w:ilvl="8" w:tentative="0">
      <w:start w:val="1"/>
      <w:numFmt w:val="bullet"/>
      <w:lvlText w:val=""/>
      <w:lvlJc w:val="left"/>
      <w:pPr>
        <w:ind w:left="4064" w:hanging="420"/>
      </w:pPr>
      <w:rPr>
        <w:rFonts w:hint="default" w:ascii="Wingdings" w:hAnsi="Wingdings" w:cs="Wingdings"/>
      </w:rPr>
    </w:lvl>
  </w:abstractNum>
  <w:abstractNum w:abstractNumId="5">
    <w:nsid w:val="6CEA2025"/>
    <w:multiLevelType w:val="multilevel"/>
    <w:tmpl w:val="6CEA2025"/>
    <w:lvl w:ilvl="0" w:tentative="0">
      <w:start w:val="1"/>
      <w:numFmt w:val="none"/>
      <w:pStyle w:val="113"/>
      <w:suff w:val="nothing"/>
      <w:lvlText w:val="%1"/>
      <w:lvlJc w:val="left"/>
      <w:rPr>
        <w:rFonts w:hint="default" w:ascii="Times New Roman" w:hAnsi="Times New Roman" w:cs="Times New Roman"/>
        <w:b/>
        <w:bCs/>
        <w:i w:val="0"/>
        <w:iCs w:val="0"/>
        <w:sz w:val="21"/>
        <w:szCs w:val="21"/>
      </w:rPr>
    </w:lvl>
    <w:lvl w:ilvl="1" w:tentative="0">
      <w:start w:val="1"/>
      <w:numFmt w:val="decimal"/>
      <w:pStyle w:val="83"/>
      <w:suff w:val="nothing"/>
      <w:lvlText w:val="%15．%2　"/>
      <w:lvlJc w:val="left"/>
      <w:rPr>
        <w:rFonts w:hint="eastAsia" w:ascii="黑体" w:hAnsi="Times New Roman" w:eastAsia="Times New Roman"/>
        <w:b w:val="0"/>
        <w:bCs w:val="0"/>
        <w:i w:val="0"/>
        <w:iCs w:val="0"/>
        <w:sz w:val="21"/>
        <w:szCs w:val="21"/>
      </w:rPr>
    </w:lvl>
    <w:lvl w:ilvl="2" w:tentative="0">
      <w:start w:val="1"/>
      <w:numFmt w:val="decimal"/>
      <w:pStyle w:val="82"/>
      <w:suff w:val="nothing"/>
      <w:lvlText w:val="%15.%3　"/>
      <w:lvlJc w:val="left"/>
      <w:rPr>
        <w:rFonts w:hint="eastAsia" w:ascii="黑体" w:hAnsi="Times New Roman" w:eastAsia="Times New Roman"/>
        <w:b w:val="0"/>
        <w:bCs w:val="0"/>
        <w:i w:val="0"/>
        <w:iCs w:val="0"/>
        <w:sz w:val="21"/>
        <w:szCs w:val="21"/>
      </w:rPr>
    </w:lvl>
    <w:lvl w:ilvl="3" w:tentative="0">
      <w:start w:val="1"/>
      <w:numFmt w:val="decimal"/>
      <w:pStyle w:val="81"/>
      <w:suff w:val="nothing"/>
      <w:lvlText w:val="%15.2.%4　"/>
      <w:lvlJc w:val="left"/>
      <w:rPr>
        <w:rFonts w:hint="eastAsia" w:ascii="黑体" w:hAnsi="Times New Roman" w:eastAsia="Times New Roman"/>
        <w:b w:val="0"/>
        <w:bCs w:val="0"/>
        <w:i w:val="0"/>
        <w:iCs w:val="0"/>
        <w:sz w:val="21"/>
        <w:szCs w:val="21"/>
      </w:rPr>
    </w:lvl>
    <w:lvl w:ilvl="4" w:tentative="0">
      <w:start w:val="1"/>
      <w:numFmt w:val="decimal"/>
      <w:pStyle w:val="122"/>
      <w:suff w:val="nothing"/>
      <w:lvlText w:val="%1%2.%3.%4.%5　"/>
      <w:lvlJc w:val="left"/>
      <w:rPr>
        <w:rFonts w:hint="eastAsia" w:ascii="黑体" w:hAnsi="Times New Roman" w:eastAsia="Times New Roman"/>
        <w:b w:val="0"/>
        <w:bCs w:val="0"/>
        <w:i w:val="0"/>
        <w:iCs w:val="0"/>
        <w:sz w:val="21"/>
        <w:szCs w:val="21"/>
      </w:rPr>
    </w:lvl>
    <w:lvl w:ilvl="5" w:tentative="0">
      <w:start w:val="1"/>
      <w:numFmt w:val="decimal"/>
      <w:pStyle w:val="73"/>
      <w:suff w:val="nothing"/>
      <w:lvlText w:val="%1%2.%3.%4.%5.%6　"/>
      <w:lvlJc w:val="left"/>
      <w:rPr>
        <w:rFonts w:hint="eastAsia" w:ascii="黑体" w:hAnsi="Times New Roman" w:eastAsia="Times New Roman"/>
        <w:b w:val="0"/>
        <w:bCs w:val="0"/>
        <w:i w:val="0"/>
        <w:iCs w:val="0"/>
        <w:sz w:val="21"/>
        <w:szCs w:val="21"/>
      </w:rPr>
    </w:lvl>
    <w:lvl w:ilvl="6" w:tentative="0">
      <w:start w:val="1"/>
      <w:numFmt w:val="decimal"/>
      <w:pStyle w:val="68"/>
      <w:suff w:val="nothing"/>
      <w:lvlText w:val="%1%2.%3.%4.%5.%6.%7　"/>
      <w:lvlJc w:val="left"/>
      <w:rPr>
        <w:rFonts w:hint="eastAsia" w:ascii="黑体" w:hAnsi="Times New Roman" w:eastAsia="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6BC6"/>
    <w:rsid w:val="000621E7"/>
    <w:rsid w:val="001966C0"/>
    <w:rsid w:val="001C57E8"/>
    <w:rsid w:val="00265E72"/>
    <w:rsid w:val="00522524"/>
    <w:rsid w:val="00706A13"/>
    <w:rsid w:val="007277D7"/>
    <w:rsid w:val="007A64D4"/>
    <w:rsid w:val="007F6685"/>
    <w:rsid w:val="00814175"/>
    <w:rsid w:val="00A5591D"/>
    <w:rsid w:val="00D15276"/>
    <w:rsid w:val="00D5176D"/>
    <w:rsid w:val="00D82E6A"/>
    <w:rsid w:val="00DD1814"/>
    <w:rsid w:val="00E16C39"/>
    <w:rsid w:val="00E228ED"/>
    <w:rsid w:val="00E26A7D"/>
    <w:rsid w:val="00EC13D1"/>
    <w:rsid w:val="00F76BC6"/>
    <w:rsid w:val="00F84B5B"/>
    <w:rsid w:val="13D152D9"/>
    <w:rsid w:val="1DD47FDF"/>
    <w:rsid w:val="3EEC238F"/>
    <w:rsid w:val="3F0E6146"/>
    <w:rsid w:val="470664BC"/>
    <w:rsid w:val="4A731C07"/>
    <w:rsid w:val="4F2C181C"/>
    <w:rsid w:val="51594803"/>
    <w:rsid w:val="52074413"/>
    <w:rsid w:val="6227496E"/>
    <w:rsid w:val="6CF9056A"/>
    <w:rsid w:val="71253C40"/>
    <w:rsid w:val="73B5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ind w:firstLine="425"/>
      <w:outlineLvl w:val="0"/>
    </w:pPr>
    <w:rPr>
      <w:b/>
      <w:bCs/>
      <w:i/>
      <w:iCs/>
      <w:sz w:val="52"/>
      <w:szCs w:val="20"/>
    </w:rPr>
  </w:style>
  <w:style w:type="paragraph" w:styleId="4">
    <w:name w:val="heading 2"/>
    <w:basedOn w:val="1"/>
    <w:next w:val="1"/>
    <w:link w:val="60"/>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PMingLiU" w:cs="Arial"/>
      <w:b/>
      <w:bCs/>
      <w:sz w:val="28"/>
      <w:szCs w:val="28"/>
    </w:rPr>
  </w:style>
  <w:style w:type="paragraph" w:styleId="6">
    <w:name w:val="heading 5"/>
    <w:basedOn w:val="1"/>
    <w:next w:val="1"/>
    <w:link w:val="53"/>
    <w:qFormat/>
    <w:uiPriority w:val="0"/>
    <w:pPr>
      <w:keepNext/>
      <w:spacing w:line="720" w:lineRule="auto"/>
      <w:ind w:left="200" w:leftChars="200"/>
      <w:outlineLvl w:val="4"/>
    </w:pPr>
    <w:rPr>
      <w:rFonts w:ascii="Cambria" w:hAnsi="Cambria" w:eastAsia="PMingLiU" w:cs="Cambria"/>
      <w:b/>
      <w:bCs/>
      <w:sz w:val="36"/>
      <w:szCs w:val="36"/>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 w:val="28"/>
    </w:rPr>
  </w:style>
  <w:style w:type="paragraph" w:styleId="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8">
    <w:name w:val="Normal Indent"/>
    <w:basedOn w:val="1"/>
    <w:qFormat/>
    <w:uiPriority w:val="0"/>
    <w:pPr>
      <w:ind w:firstLine="420"/>
    </w:pPr>
    <w:rPr>
      <w:szCs w:val="20"/>
    </w:rPr>
  </w:style>
  <w:style w:type="paragraph" w:styleId="9">
    <w:name w:val="List Bullet"/>
    <w:basedOn w:val="1"/>
    <w:semiHidden/>
    <w:qFormat/>
    <w:uiPriority w:val="0"/>
    <w:pPr>
      <w:numPr>
        <w:ilvl w:val="0"/>
        <w:numId w:val="1"/>
      </w:numPr>
      <w:ind w:left="-178" w:firstLine="190"/>
    </w:pPr>
    <w:rPr>
      <w:rFonts w:ascii="宋体" w:hAnsi="宋体" w:eastAsia="PMingLiU" w:cs="宋体"/>
      <w:b/>
      <w:bCs/>
      <w:color w:val="000000"/>
      <w:kern w:val="0"/>
      <w:szCs w:val="21"/>
    </w:rPr>
  </w:style>
  <w:style w:type="paragraph" w:styleId="10">
    <w:name w:val="Document Map"/>
    <w:basedOn w:val="1"/>
    <w:link w:val="36"/>
    <w:qFormat/>
    <w:uiPriority w:val="0"/>
    <w:pPr>
      <w:shd w:val="clear" w:color="auto" w:fill="000080"/>
    </w:pPr>
  </w:style>
  <w:style w:type="paragraph" w:styleId="11">
    <w:name w:val="annotation text"/>
    <w:basedOn w:val="1"/>
    <w:link w:val="34"/>
    <w:qFormat/>
    <w:uiPriority w:val="0"/>
    <w:pPr>
      <w:autoSpaceDE w:val="0"/>
      <w:autoSpaceDN w:val="0"/>
      <w:adjustRightInd w:val="0"/>
      <w:jc w:val="left"/>
      <w:textAlignment w:val="baseline"/>
    </w:pPr>
    <w:rPr>
      <w:rFonts w:ascii="MingLiU" w:eastAsia="MingLiU"/>
      <w:kern w:val="0"/>
      <w:sz w:val="24"/>
      <w:szCs w:val="20"/>
    </w:rPr>
  </w:style>
  <w:style w:type="paragraph" w:styleId="12">
    <w:name w:val="Body Text Indent"/>
    <w:basedOn w:val="1"/>
    <w:qFormat/>
    <w:uiPriority w:val="0"/>
    <w:pPr>
      <w:spacing w:after="120"/>
      <w:ind w:left="420" w:leftChars="200"/>
    </w:pPr>
  </w:style>
  <w:style w:type="paragraph" w:styleId="13">
    <w:name w:val="Plain Text"/>
    <w:basedOn w:val="1"/>
    <w:link w:val="38"/>
    <w:qFormat/>
    <w:uiPriority w:val="0"/>
    <w:pPr>
      <w:spacing w:beforeLines="50" w:afterLines="50" w:line="400" w:lineRule="exact"/>
    </w:pPr>
    <w:rPr>
      <w:rFonts w:ascii="宋体" w:hAnsi="Courier New"/>
      <w:sz w:val="24"/>
    </w:rPr>
  </w:style>
  <w:style w:type="paragraph" w:styleId="14">
    <w:name w:val="Date"/>
    <w:basedOn w:val="1"/>
    <w:next w:val="1"/>
    <w:qFormat/>
    <w:uiPriority w:val="0"/>
    <w:pPr>
      <w:ind w:left="100" w:leftChars="2500"/>
    </w:pPr>
    <w:rPr>
      <w:sz w:val="28"/>
    </w:rPr>
  </w:style>
  <w:style w:type="paragraph" w:styleId="15">
    <w:name w:val="Body Text Indent 2"/>
    <w:basedOn w:val="1"/>
    <w:qFormat/>
    <w:uiPriority w:val="0"/>
    <w:pPr>
      <w:ind w:left="57"/>
    </w:pPr>
    <w:rPr>
      <w:rFonts w:ascii="宋体"/>
      <w:color w:val="FF0000"/>
      <w:sz w:val="52"/>
      <w:szCs w:val="20"/>
    </w:rPr>
  </w:style>
  <w:style w:type="paragraph" w:styleId="16">
    <w:name w:val="Balloon Text"/>
    <w:basedOn w:val="1"/>
    <w:link w:val="42"/>
    <w:unhideWhenUsed/>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rFonts w:eastAsia="黑体"/>
      <w:kern w:val="0"/>
      <w:sz w:val="18"/>
      <w:szCs w:val="18"/>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pPr>
      <w:keepNext/>
      <w:keepLines/>
      <w:tabs>
        <w:tab w:val="right" w:leader="dot" w:pos="9240"/>
      </w:tabs>
      <w:spacing w:line="360" w:lineRule="auto"/>
    </w:pPr>
    <w:rPr>
      <w:rFonts w:eastAsia="PMingLiU"/>
      <w:sz w:val="28"/>
      <w:szCs w:val="28"/>
      <w:lang w:eastAsia="zh-TW"/>
    </w:rPr>
  </w:style>
  <w:style w:type="paragraph" w:styleId="20">
    <w:name w:val="Subtitle"/>
    <w:basedOn w:val="1"/>
    <w:next w:val="1"/>
    <w:link w:val="50"/>
    <w:qFormat/>
    <w:uiPriority w:val="0"/>
    <w:pPr>
      <w:spacing w:before="240" w:after="60" w:line="312" w:lineRule="auto"/>
      <w:jc w:val="center"/>
      <w:outlineLvl w:val="0"/>
    </w:pPr>
    <w:rPr>
      <w:rFonts w:ascii="Cambria" w:hAnsi="Cambria"/>
      <w:b/>
      <w:bCs/>
      <w:kern w:val="28"/>
      <w:sz w:val="32"/>
      <w:szCs w:val="32"/>
    </w:rPr>
  </w:style>
  <w:style w:type="paragraph" w:styleId="21">
    <w:name w:val="Body Text Indent 3"/>
    <w:basedOn w:val="1"/>
    <w:link w:val="35"/>
    <w:unhideWhenUsed/>
    <w:qFormat/>
    <w:uiPriority w:val="0"/>
    <w:pPr>
      <w:spacing w:after="120"/>
      <w:ind w:left="420" w:leftChars="200"/>
    </w:pPr>
    <w:rPr>
      <w:sz w:val="16"/>
      <w:szCs w:val="16"/>
    </w:rPr>
  </w:style>
  <w:style w:type="paragraph" w:styleId="22">
    <w:name w:val="Normal (Web)"/>
    <w:basedOn w:val="1"/>
    <w:qFormat/>
    <w:uiPriority w:val="0"/>
    <w:rPr>
      <w:rFonts w:ascii="宋体" w:hAnsi="宋体"/>
      <w:sz w:val="18"/>
      <w:szCs w:val="18"/>
    </w:rPr>
  </w:style>
  <w:style w:type="paragraph" w:styleId="23">
    <w:name w:val="Title"/>
    <w:basedOn w:val="1"/>
    <w:next w:val="1"/>
    <w:link w:val="47"/>
    <w:qFormat/>
    <w:uiPriority w:val="0"/>
    <w:pPr>
      <w:spacing w:before="240" w:after="60" w:line="312" w:lineRule="auto"/>
      <w:jc w:val="center"/>
      <w:outlineLvl w:val="0"/>
    </w:pPr>
    <w:rPr>
      <w:rFonts w:ascii="Cambria" w:hAnsi="Cambria"/>
      <w:b/>
      <w:bCs/>
      <w:sz w:val="32"/>
      <w:szCs w:val="32"/>
    </w:rPr>
  </w:style>
  <w:style w:type="paragraph" w:styleId="24">
    <w:name w:val="annotation subject"/>
    <w:basedOn w:val="11"/>
    <w:next w:val="11"/>
    <w:link w:val="56"/>
    <w:qFormat/>
    <w:uiPriority w:val="0"/>
    <w:pPr>
      <w:autoSpaceDE/>
      <w:autoSpaceDN/>
      <w:adjustRightInd/>
      <w:textAlignment w:val="auto"/>
    </w:pPr>
    <w:rPr>
      <w:b/>
      <w:bCs/>
      <w:kern w:val="2"/>
      <w:sz w:val="21"/>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Comment Text Char"/>
    <w:qFormat/>
    <w:locked/>
    <w:uiPriority w:val="0"/>
    <w:rPr>
      <w:rFonts w:ascii="MingLiU" w:eastAsia="MingLiU"/>
      <w:sz w:val="24"/>
      <w:szCs w:val="24"/>
      <w:lang w:bidi="ar-SA"/>
    </w:rPr>
  </w:style>
  <w:style w:type="character" w:customStyle="1" w:styleId="33">
    <w:name w:val="textfont1"/>
    <w:qFormat/>
    <w:uiPriority w:val="0"/>
    <w:rPr>
      <w:sz w:val="22"/>
      <w:szCs w:val="22"/>
    </w:rPr>
  </w:style>
  <w:style w:type="character" w:customStyle="1" w:styleId="34">
    <w:name w:val="批注文字 Char"/>
    <w:link w:val="11"/>
    <w:qFormat/>
    <w:uiPriority w:val="0"/>
    <w:rPr>
      <w:rFonts w:ascii="MingLiU" w:eastAsia="MingLiU"/>
      <w:sz w:val="24"/>
    </w:rPr>
  </w:style>
  <w:style w:type="character" w:customStyle="1" w:styleId="35">
    <w:name w:val="正文文本缩进 3 Char"/>
    <w:link w:val="21"/>
    <w:qFormat/>
    <w:uiPriority w:val="0"/>
    <w:rPr>
      <w:kern w:val="2"/>
      <w:sz w:val="16"/>
      <w:szCs w:val="16"/>
    </w:rPr>
  </w:style>
  <w:style w:type="character" w:customStyle="1" w:styleId="36">
    <w:name w:val="文档结构图 Char"/>
    <w:link w:val="10"/>
    <w:qFormat/>
    <w:locked/>
    <w:uiPriority w:val="0"/>
    <w:rPr>
      <w:rFonts w:eastAsia="宋体"/>
      <w:kern w:val="2"/>
      <w:sz w:val="21"/>
      <w:szCs w:val="24"/>
      <w:lang w:val="en-US" w:eastAsia="zh-CN" w:bidi="ar-SA"/>
    </w:rPr>
  </w:style>
  <w:style w:type="character" w:customStyle="1" w:styleId="37">
    <w:name w:val="页脚 Char"/>
    <w:link w:val="17"/>
    <w:qFormat/>
    <w:locked/>
    <w:uiPriority w:val="99"/>
    <w:rPr>
      <w:rFonts w:eastAsia="黑体"/>
      <w:sz w:val="18"/>
      <w:szCs w:val="18"/>
      <w:lang w:val="en-US" w:eastAsia="zh-CN" w:bidi="ar-SA"/>
    </w:rPr>
  </w:style>
  <w:style w:type="character" w:customStyle="1" w:styleId="38">
    <w:name w:val="纯文本 Char"/>
    <w:link w:val="13"/>
    <w:qFormat/>
    <w:uiPriority w:val="0"/>
    <w:rPr>
      <w:rFonts w:ascii="宋体" w:hAnsi="Courier New"/>
      <w:kern w:val="2"/>
      <w:sz w:val="24"/>
      <w:szCs w:val="24"/>
    </w:rPr>
  </w:style>
  <w:style w:type="character" w:customStyle="1" w:styleId="39">
    <w:name w:val="Table Text Char1"/>
    <w:link w:val="40"/>
    <w:qFormat/>
    <w:uiPriority w:val="0"/>
    <w:rPr>
      <w:rFonts w:ascii="Arial" w:hAnsi="Arial"/>
      <w:sz w:val="18"/>
      <w:lang w:val="en-US" w:eastAsia="zh-CN" w:bidi="ar-SA"/>
    </w:rPr>
  </w:style>
  <w:style w:type="paragraph" w:customStyle="1" w:styleId="40">
    <w:name w:val="Table Text"/>
    <w:link w:val="39"/>
    <w:qFormat/>
    <w:uiPriority w:val="0"/>
    <w:pPr>
      <w:snapToGrid w:val="0"/>
      <w:spacing w:before="80" w:after="80"/>
    </w:pPr>
    <w:rPr>
      <w:rFonts w:ascii="Arial" w:hAnsi="Arial" w:eastAsia="宋体" w:cs="Times New Roman"/>
      <w:sz w:val="18"/>
      <w:lang w:val="en-US" w:eastAsia="zh-CN" w:bidi="ar-SA"/>
    </w:rPr>
  </w:style>
  <w:style w:type="character" w:customStyle="1" w:styleId="41">
    <w:name w:val="con-all2"/>
    <w:qFormat/>
    <w:uiPriority w:val="0"/>
  </w:style>
  <w:style w:type="character" w:customStyle="1" w:styleId="42">
    <w:name w:val="批注框文本 Char"/>
    <w:link w:val="16"/>
    <w:semiHidden/>
    <w:qFormat/>
    <w:uiPriority w:val="99"/>
    <w:rPr>
      <w:kern w:val="2"/>
      <w:sz w:val="18"/>
      <w:szCs w:val="18"/>
    </w:rPr>
  </w:style>
  <w:style w:type="character" w:customStyle="1" w:styleId="43">
    <w:name w:val="5号20磅首行2 Char"/>
    <w:link w:val="44"/>
    <w:qFormat/>
    <w:uiPriority w:val="0"/>
    <w:rPr>
      <w:rFonts w:ascii="宋体" w:hAnsi="宋体"/>
      <w:kern w:val="2"/>
      <w:sz w:val="21"/>
      <w:szCs w:val="21"/>
    </w:rPr>
  </w:style>
  <w:style w:type="paragraph" w:customStyle="1" w:styleId="44">
    <w:name w:val="5号20磅首行2"/>
    <w:basedOn w:val="1"/>
    <w:link w:val="43"/>
    <w:qFormat/>
    <w:uiPriority w:val="0"/>
    <w:pPr>
      <w:spacing w:line="400" w:lineRule="exact"/>
      <w:ind w:firstLine="420" w:firstLineChars="200"/>
    </w:pPr>
    <w:rPr>
      <w:rFonts w:ascii="宋体" w:hAnsi="宋体"/>
      <w:szCs w:val="21"/>
    </w:rPr>
  </w:style>
  <w:style w:type="character" w:customStyle="1" w:styleId="45">
    <w:name w:val="Heading 2 Char"/>
    <w:qFormat/>
    <w:locked/>
    <w:uiPriority w:val="0"/>
    <w:rPr>
      <w:rFonts w:ascii="Arial" w:hAnsi="Arial" w:eastAsia="PMingLiU" w:cs="Arial"/>
      <w:b/>
      <w:bCs/>
      <w:kern w:val="2"/>
      <w:sz w:val="32"/>
      <w:szCs w:val="32"/>
      <w:lang w:val="en-US" w:eastAsia="zh-CN" w:bidi="ar-SA"/>
    </w:rPr>
  </w:style>
  <w:style w:type="character" w:customStyle="1" w:styleId="46">
    <w:name w:val="apple-style-span"/>
    <w:basedOn w:val="27"/>
    <w:qFormat/>
    <w:uiPriority w:val="0"/>
  </w:style>
  <w:style w:type="character" w:customStyle="1" w:styleId="47">
    <w:name w:val="标题 Char"/>
    <w:link w:val="23"/>
    <w:qFormat/>
    <w:uiPriority w:val="0"/>
    <w:rPr>
      <w:rFonts w:ascii="Cambria" w:hAnsi="Cambria" w:cs="Times New Roman"/>
      <w:b/>
      <w:bCs/>
      <w:kern w:val="2"/>
      <w:sz w:val="32"/>
      <w:szCs w:val="32"/>
    </w:rPr>
  </w:style>
  <w:style w:type="character" w:customStyle="1" w:styleId="48">
    <w:name w:val="未处理的提及"/>
    <w:unhideWhenUsed/>
    <w:qFormat/>
    <w:uiPriority w:val="99"/>
    <w:rPr>
      <w:color w:val="605E5C"/>
      <w:shd w:val="clear" w:color="auto" w:fill="E1DFDD"/>
    </w:rPr>
  </w:style>
  <w:style w:type="character" w:customStyle="1" w:styleId="49">
    <w:name w:val="页眉 Char"/>
    <w:link w:val="18"/>
    <w:qFormat/>
    <w:locked/>
    <w:uiPriority w:val="0"/>
    <w:rPr>
      <w:rFonts w:eastAsia="宋体"/>
      <w:kern w:val="2"/>
      <w:sz w:val="18"/>
      <w:szCs w:val="18"/>
      <w:lang w:val="en-US" w:eastAsia="zh-CN" w:bidi="ar-SA"/>
    </w:rPr>
  </w:style>
  <w:style w:type="character" w:customStyle="1" w:styleId="50">
    <w:name w:val="副标题 Char"/>
    <w:link w:val="20"/>
    <w:qFormat/>
    <w:uiPriority w:val="0"/>
    <w:rPr>
      <w:rFonts w:ascii="Cambria" w:hAnsi="Cambria" w:cs="Times New Roman"/>
      <w:b/>
      <w:bCs/>
      <w:kern w:val="28"/>
      <w:sz w:val="32"/>
      <w:szCs w:val="32"/>
    </w:rPr>
  </w:style>
  <w:style w:type="character" w:customStyle="1" w:styleId="51">
    <w:name w:val="5号20磅 Char"/>
    <w:link w:val="52"/>
    <w:qFormat/>
    <w:uiPriority w:val="0"/>
    <w:rPr>
      <w:rFonts w:ascii="宋体" w:hAnsi="宋体" w:cs="宋体"/>
      <w:sz w:val="21"/>
      <w:szCs w:val="21"/>
    </w:rPr>
  </w:style>
  <w:style w:type="paragraph" w:customStyle="1" w:styleId="52">
    <w:name w:val="5号20磅"/>
    <w:basedOn w:val="1"/>
    <w:link w:val="51"/>
    <w:qFormat/>
    <w:uiPriority w:val="0"/>
    <w:pPr>
      <w:spacing w:line="400" w:lineRule="exact"/>
    </w:pPr>
    <w:rPr>
      <w:rFonts w:ascii="宋体" w:hAnsi="宋体"/>
      <w:kern w:val="0"/>
      <w:szCs w:val="21"/>
    </w:rPr>
  </w:style>
  <w:style w:type="character" w:customStyle="1" w:styleId="53">
    <w:name w:val="标题 5 Char"/>
    <w:link w:val="6"/>
    <w:qFormat/>
    <w:locked/>
    <w:uiPriority w:val="0"/>
    <w:rPr>
      <w:rFonts w:ascii="Cambria" w:hAnsi="Cambria" w:eastAsia="PMingLiU" w:cs="Cambria"/>
      <w:b/>
      <w:bCs/>
      <w:kern w:val="2"/>
      <w:sz w:val="36"/>
      <w:szCs w:val="36"/>
      <w:lang w:val="en-US" w:eastAsia="zh-CN" w:bidi="ar-SA"/>
    </w:rPr>
  </w:style>
  <w:style w:type="character" w:customStyle="1" w:styleId="54">
    <w:name w:val="Body Text Indent 3 Char"/>
    <w:qFormat/>
    <w:locked/>
    <w:uiPriority w:val="0"/>
    <w:rPr>
      <w:rFonts w:eastAsia="PMingLiU"/>
      <w:kern w:val="2"/>
      <w:sz w:val="16"/>
      <w:szCs w:val="16"/>
      <w:lang w:bidi="ar-SA"/>
    </w:rPr>
  </w:style>
  <w:style w:type="character" w:customStyle="1" w:styleId="55">
    <w:name w:val="Balloon Text Char"/>
    <w:qFormat/>
    <w:locked/>
    <w:uiPriority w:val="0"/>
    <w:rPr>
      <w:rFonts w:ascii="Cambria" w:hAnsi="Cambria" w:eastAsia="PMingLiU"/>
      <w:kern w:val="2"/>
      <w:sz w:val="16"/>
      <w:szCs w:val="16"/>
      <w:lang w:eastAsia="zh-CN" w:bidi="ar-SA"/>
    </w:rPr>
  </w:style>
  <w:style w:type="character" w:customStyle="1" w:styleId="56">
    <w:name w:val="批注主题 Char"/>
    <w:link w:val="24"/>
    <w:qFormat/>
    <w:uiPriority w:val="0"/>
    <w:rPr>
      <w:rFonts w:ascii="MingLiU" w:eastAsia="MingLiU"/>
      <w:b/>
      <w:bCs/>
      <w:kern w:val="2"/>
      <w:sz w:val="21"/>
      <w:szCs w:val="24"/>
    </w:rPr>
  </w:style>
  <w:style w:type="character" w:customStyle="1" w:styleId="57">
    <w:name w:val="批注文字 Char1"/>
    <w:semiHidden/>
    <w:qFormat/>
    <w:uiPriority w:val="99"/>
    <w:rPr>
      <w:kern w:val="2"/>
      <w:sz w:val="21"/>
      <w:szCs w:val="24"/>
    </w:rPr>
  </w:style>
  <w:style w:type="character" w:customStyle="1" w:styleId="58">
    <w:name w:val="二级标题 Char"/>
    <w:link w:val="59"/>
    <w:qFormat/>
    <w:uiPriority w:val="0"/>
    <w:rPr>
      <w:rFonts w:ascii="宋体" w:hAnsi="宋体"/>
      <w:b/>
      <w:kern w:val="2"/>
      <w:sz w:val="21"/>
      <w:szCs w:val="21"/>
    </w:rPr>
  </w:style>
  <w:style w:type="paragraph" w:customStyle="1" w:styleId="59">
    <w:name w:val="二级标题"/>
    <w:basedOn w:val="13"/>
    <w:link w:val="58"/>
    <w:qFormat/>
    <w:uiPriority w:val="0"/>
    <w:pPr>
      <w:snapToGrid w:val="0"/>
      <w:spacing w:afterLines="0" w:line="240" w:lineRule="auto"/>
      <w:ind w:firstLine="422" w:firstLineChars="200"/>
      <w:outlineLvl w:val="1"/>
    </w:pPr>
    <w:rPr>
      <w:rFonts w:hAnsi="宋体"/>
      <w:b/>
      <w:sz w:val="21"/>
      <w:szCs w:val="21"/>
    </w:rPr>
  </w:style>
  <w:style w:type="character" w:customStyle="1" w:styleId="60">
    <w:name w:val="标题 2 Char"/>
    <w:link w:val="4"/>
    <w:qFormat/>
    <w:uiPriority w:val="0"/>
    <w:rPr>
      <w:rFonts w:ascii="Arial" w:hAnsi="Arial" w:eastAsia="黑体"/>
      <w:b/>
      <w:bCs/>
      <w:kern w:val="2"/>
      <w:sz w:val="32"/>
      <w:szCs w:val="32"/>
      <w:lang w:val="en-US" w:eastAsia="zh-CN" w:bidi="ar-SA"/>
    </w:rPr>
  </w:style>
  <w:style w:type="character" w:customStyle="1" w:styleId="61">
    <w:name w:val="三级标题 Char"/>
    <w:link w:val="62"/>
    <w:qFormat/>
    <w:uiPriority w:val="0"/>
    <w:rPr>
      <w:rFonts w:ascii="宋体" w:hAnsi="宋体"/>
      <w:b/>
      <w:color w:val="000000"/>
      <w:kern w:val="2"/>
      <w:sz w:val="21"/>
      <w:szCs w:val="21"/>
    </w:rPr>
  </w:style>
  <w:style w:type="paragraph" w:customStyle="1" w:styleId="62">
    <w:name w:val="三级标题"/>
    <w:basedOn w:val="1"/>
    <w:link w:val="61"/>
    <w:qFormat/>
    <w:uiPriority w:val="0"/>
    <w:pPr>
      <w:snapToGrid w:val="0"/>
      <w:spacing w:beforeLines="50"/>
      <w:ind w:firstLine="200" w:firstLineChars="200"/>
      <w:jc w:val="left"/>
      <w:outlineLvl w:val="2"/>
    </w:pPr>
    <w:rPr>
      <w:rFonts w:ascii="宋体" w:hAnsi="宋体"/>
      <w:b/>
      <w:color w:val="000000"/>
      <w:szCs w:val="21"/>
    </w:rPr>
  </w:style>
  <w:style w:type="paragraph" w:customStyle="1" w:styleId="63">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Char"/>
    <w:basedOn w:val="10"/>
    <w:qFormat/>
    <w:uiPriority w:val="0"/>
    <w:pPr>
      <w:widowControl/>
      <w:tabs>
        <w:tab w:val="left" w:pos="874"/>
      </w:tabs>
      <w:ind w:left="874" w:hanging="420"/>
      <w:jc w:val="left"/>
    </w:pPr>
  </w:style>
  <w:style w:type="paragraph" w:customStyle="1" w:styleId="67">
    <w:name w:val="列出段落1"/>
    <w:basedOn w:val="1"/>
    <w:qFormat/>
    <w:uiPriority w:val="34"/>
    <w:pPr>
      <w:ind w:firstLine="420" w:firstLineChars="200"/>
    </w:pPr>
    <w:rPr>
      <w:rFonts w:ascii="Calibri" w:hAnsi="Calibri"/>
      <w:szCs w:val="22"/>
    </w:rPr>
  </w:style>
  <w:style w:type="paragraph" w:customStyle="1" w:styleId="68">
    <w:name w:val="五级无标题条"/>
    <w:basedOn w:val="1"/>
    <w:qFormat/>
    <w:uiPriority w:val="0"/>
    <w:pPr>
      <w:numPr>
        <w:ilvl w:val="6"/>
        <w:numId w:val="2"/>
      </w:numPr>
    </w:pPr>
    <w:rPr>
      <w:rFonts w:eastAsia="PMingLiU"/>
      <w:szCs w:val="21"/>
    </w:rPr>
  </w:style>
  <w:style w:type="paragraph" w:customStyle="1" w:styleId="69">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Char Char2 Char Char"/>
    <w:basedOn w:val="10"/>
    <w:qFormat/>
    <w:uiPriority w:val="0"/>
    <w:rPr>
      <w:rFonts w:ascii="Tahoma" w:hAnsi="Tahoma"/>
      <w:sz w:val="24"/>
    </w:rPr>
  </w:style>
  <w:style w:type="paragraph" w:customStyle="1" w:styleId="71">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Char Char11 Char Char1"/>
    <w:basedOn w:val="1"/>
    <w:qFormat/>
    <w:uiPriority w:val="0"/>
  </w:style>
  <w:style w:type="paragraph" w:customStyle="1" w:styleId="73">
    <w:name w:val="四级无标题条"/>
    <w:basedOn w:val="1"/>
    <w:qFormat/>
    <w:uiPriority w:val="0"/>
    <w:pPr>
      <w:numPr>
        <w:ilvl w:val="5"/>
        <w:numId w:val="2"/>
      </w:numPr>
    </w:pPr>
    <w:rPr>
      <w:rFonts w:eastAsia="PMingLiU"/>
      <w:szCs w:val="21"/>
    </w:rPr>
  </w:style>
  <w:style w:type="paragraph" w:customStyle="1" w:styleId="74">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1"/>
    <w:basedOn w:val="1"/>
    <w:qFormat/>
    <w:uiPriority w:val="0"/>
    <w:pPr>
      <w:snapToGrid w:val="0"/>
      <w:spacing w:line="360" w:lineRule="auto"/>
      <w:ind w:firstLine="420" w:firstLineChars="200"/>
      <w:jc w:val="left"/>
    </w:pPr>
    <w:rPr>
      <w:rFonts w:ascii="宋体" w:hAnsi="宋体"/>
      <w:color w:val="000000"/>
      <w:szCs w:val="21"/>
    </w:rPr>
  </w:style>
  <w:style w:type="paragraph" w:customStyle="1" w:styleId="78">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0">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1">
    <w:name w:val="二级条标题"/>
    <w:basedOn w:val="82"/>
    <w:next w:val="1"/>
    <w:qFormat/>
    <w:uiPriority w:val="0"/>
    <w:pPr>
      <w:numPr>
        <w:ilvl w:val="3"/>
      </w:numPr>
      <w:tabs>
        <w:tab w:val="left" w:pos="360"/>
        <w:tab w:val="left" w:pos="1260"/>
        <w:tab w:val="left" w:pos="1680"/>
        <w:tab w:val="left" w:pos="1800"/>
      </w:tabs>
      <w:ind w:left="1680"/>
      <w:outlineLvl w:val="3"/>
    </w:pPr>
  </w:style>
  <w:style w:type="paragraph" w:customStyle="1" w:styleId="82">
    <w:name w:val="一级条标题"/>
    <w:basedOn w:val="83"/>
    <w:next w:val="1"/>
    <w:qFormat/>
    <w:uiPriority w:val="0"/>
    <w:pPr>
      <w:numPr>
        <w:ilvl w:val="2"/>
      </w:numPr>
      <w:tabs>
        <w:tab w:val="left" w:pos="360"/>
        <w:tab w:val="left" w:pos="1260"/>
        <w:tab w:val="left" w:pos="1800"/>
      </w:tabs>
      <w:spacing w:before="0" w:after="0"/>
      <w:ind w:left="1260"/>
      <w:outlineLvl w:val="2"/>
    </w:pPr>
  </w:style>
  <w:style w:type="paragraph" w:customStyle="1" w:styleId="83">
    <w:name w:val="章标题"/>
    <w:next w:val="1"/>
    <w:qFormat/>
    <w:uiPriority w:val="0"/>
    <w:pPr>
      <w:numPr>
        <w:ilvl w:val="1"/>
        <w:numId w:val="2"/>
      </w:numPr>
      <w:spacing w:before="50" w:after="50"/>
      <w:jc w:val="both"/>
      <w:outlineLvl w:val="1"/>
    </w:pPr>
    <w:rPr>
      <w:rFonts w:ascii="黑体" w:hAnsi="Times New Roman" w:eastAsia="Times New Roman" w:cs="黑体"/>
      <w:sz w:val="21"/>
      <w:szCs w:val="21"/>
      <w:lang w:val="en-US" w:eastAsia="zh-CN" w:bidi="ar-SA"/>
    </w:rPr>
  </w:style>
  <w:style w:type="paragraph" w:customStyle="1" w:styleId="84">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默认段落字体 Para Char Char Char Char"/>
    <w:basedOn w:val="1"/>
    <w:qFormat/>
    <w:uiPriority w:val="0"/>
    <w:pPr>
      <w:adjustRightInd w:val="0"/>
      <w:spacing w:line="360" w:lineRule="auto"/>
    </w:pPr>
    <w:rPr>
      <w:kern w:val="0"/>
      <w:sz w:val="24"/>
      <w:szCs w:val="20"/>
    </w:rPr>
  </w:style>
  <w:style w:type="paragraph" w:customStyle="1" w:styleId="86">
    <w:name w:val="列出段落11"/>
    <w:basedOn w:val="1"/>
    <w:qFormat/>
    <w:uiPriority w:val="0"/>
    <w:pPr>
      <w:ind w:firstLine="420" w:firstLineChars="200"/>
    </w:pPr>
    <w:rPr>
      <w:rFonts w:ascii="Calibri" w:hAnsi="Calibri" w:eastAsia="PMingLiU"/>
      <w:szCs w:val="22"/>
    </w:rPr>
  </w:style>
  <w:style w:type="paragraph" w:customStyle="1" w:styleId="87">
    <w:name w:val="默认段落字体 Para Char Char Char Char Char Char Char Char Char1 Char Char Char Char"/>
    <w:basedOn w:val="1"/>
    <w:qFormat/>
    <w:uiPriority w:val="0"/>
    <w:rPr>
      <w:rFonts w:ascii="Tahoma" w:hAnsi="Tahoma"/>
      <w:sz w:val="24"/>
      <w:szCs w:val="20"/>
    </w:rPr>
  </w:style>
  <w:style w:type="paragraph" w:customStyle="1" w:styleId="88">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
    <w:name w:val="Char Char Char Char Char Char Char Char Char Char Char Char1 Char"/>
    <w:basedOn w:val="10"/>
    <w:qFormat/>
    <w:uiPriority w:val="0"/>
    <w:rPr>
      <w:rFonts w:ascii="Tahoma" w:hAnsi="Tahoma" w:eastAsia="Times New Roman" w:cs="Tahoma"/>
      <w:sz w:val="24"/>
    </w:rPr>
  </w:style>
  <w:style w:type="paragraph" w:customStyle="1" w:styleId="90">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Char Char Char Char Char Char Char1"/>
    <w:basedOn w:val="1"/>
    <w:qFormat/>
    <w:uiPriority w:val="0"/>
    <w:rPr>
      <w:rFonts w:ascii="仿宋_GB2312" w:eastAsia="Times New Roman" w:cs="仿宋_GB2312"/>
      <w:b/>
      <w:bCs/>
      <w:sz w:val="32"/>
      <w:szCs w:val="32"/>
    </w:rPr>
  </w:style>
  <w:style w:type="paragraph" w:customStyle="1" w:styleId="92">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List Paragraph11"/>
    <w:basedOn w:val="1"/>
    <w:qFormat/>
    <w:uiPriority w:val="0"/>
    <w:pPr>
      <w:widowControl/>
      <w:ind w:left="480"/>
      <w:jc w:val="left"/>
    </w:pPr>
    <w:rPr>
      <w:rFonts w:ascii="Calibri" w:hAnsi="Calibri" w:eastAsia="PMingLiU" w:cs="Calibri"/>
      <w:kern w:val="0"/>
      <w:sz w:val="24"/>
      <w:lang w:eastAsia="zh-TW"/>
    </w:rPr>
  </w:style>
  <w:style w:type="paragraph" w:customStyle="1" w:styleId="95">
    <w:name w:val="Char Char Char Char Char Char Char Char Char Char Char Char1 Char1"/>
    <w:basedOn w:val="10"/>
    <w:qFormat/>
    <w:uiPriority w:val="0"/>
    <w:rPr>
      <w:rFonts w:ascii="Tahoma" w:hAnsi="Tahoma"/>
      <w:sz w:val="24"/>
    </w:rPr>
  </w:style>
  <w:style w:type="paragraph" w:customStyle="1" w:styleId="96">
    <w:name w:val="Char Char Char Char Char Char1"/>
    <w:basedOn w:val="1"/>
    <w:next w:val="3"/>
    <w:qFormat/>
    <w:uiPriority w:val="0"/>
    <w:pPr>
      <w:widowControl/>
      <w:spacing w:before="100" w:beforeAutospacing="1" w:after="100" w:afterAutospacing="1" w:line="420" w:lineRule="auto"/>
      <w:jc w:val="left"/>
      <w:textAlignment w:val="top"/>
    </w:pPr>
    <w:rPr>
      <w:szCs w:val="20"/>
    </w:rPr>
  </w:style>
  <w:style w:type="paragraph" w:customStyle="1" w:styleId="97">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Char Char11 Char Char"/>
    <w:basedOn w:val="1"/>
    <w:qFormat/>
    <w:uiPriority w:val="0"/>
  </w:style>
  <w:style w:type="paragraph" w:customStyle="1" w:styleId="100">
    <w:name w:val="（符号）三标题1.1"/>
    <w:basedOn w:val="1"/>
    <w:qFormat/>
    <w:uiPriority w:val="0"/>
    <w:pPr>
      <w:numPr>
        <w:ilvl w:val="1"/>
        <w:numId w:val="3"/>
      </w:numPr>
      <w:tabs>
        <w:tab w:val="left" w:pos="700"/>
        <w:tab w:val="clear" w:pos="1155"/>
      </w:tabs>
      <w:spacing w:line="500" w:lineRule="exact"/>
    </w:pPr>
    <w:rPr>
      <w:rFonts w:ascii="宋体" w:hAnsi="宋体"/>
      <w:sz w:val="24"/>
    </w:rPr>
  </w:style>
  <w:style w:type="paragraph" w:customStyle="1" w:styleId="101">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PMingLiU"/>
      <w:kern w:val="0"/>
      <w:szCs w:val="21"/>
    </w:rPr>
  </w:style>
  <w:style w:type="paragraph" w:customStyle="1" w:styleId="103">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符号)五标题1.1.1"/>
    <w:basedOn w:val="1"/>
    <w:qFormat/>
    <w:uiPriority w:val="0"/>
    <w:pPr>
      <w:tabs>
        <w:tab w:val="left" w:pos="1000"/>
      </w:tabs>
      <w:spacing w:line="500" w:lineRule="exact"/>
    </w:pPr>
    <w:rPr>
      <w:rFonts w:ascii="宋体" w:hAnsi="宋体" w:cs="宋体"/>
      <w:color w:val="000000"/>
      <w:sz w:val="24"/>
    </w:rPr>
  </w:style>
  <w:style w:type="paragraph" w:customStyle="1" w:styleId="105">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Char Char10 Char Char"/>
    <w:basedOn w:val="1"/>
    <w:qFormat/>
    <w:uiPriority w:val="0"/>
  </w:style>
  <w:style w:type="paragraph" w:customStyle="1" w:styleId="108">
    <w:name w:val="Char Char1"/>
    <w:basedOn w:val="1"/>
    <w:qFormat/>
    <w:uiPriority w:val="0"/>
    <w:pPr>
      <w:spacing w:line="400" w:lineRule="exact"/>
      <w:jc w:val="center"/>
    </w:pPr>
    <w:rPr>
      <w:rFonts w:ascii="微软雅黑" w:hAnsi="微软雅黑" w:eastAsia="微软雅黑"/>
      <w:sz w:val="20"/>
      <w:szCs w:val="20"/>
    </w:rPr>
  </w:style>
  <w:style w:type="paragraph" w:customStyle="1" w:styleId="109">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前言、引言标题"/>
    <w:next w:val="1"/>
    <w:qFormat/>
    <w:uiPriority w:val="0"/>
    <w:pPr>
      <w:numPr>
        <w:ilvl w:val="0"/>
        <w:numId w:val="2"/>
      </w:numPr>
      <w:shd w:val="clear" w:color="FFFFFF" w:fill="FFFFFF"/>
      <w:spacing w:before="640" w:after="560"/>
      <w:jc w:val="center"/>
      <w:outlineLvl w:val="0"/>
    </w:pPr>
    <w:rPr>
      <w:rFonts w:ascii="黑体" w:hAnsi="Times New Roman" w:eastAsia="Times New Roman" w:cs="黑体"/>
      <w:sz w:val="32"/>
      <w:szCs w:val="32"/>
      <w:lang w:val="en-US" w:eastAsia="zh-CN" w:bidi="ar-SA"/>
    </w:rPr>
  </w:style>
  <w:style w:type="paragraph" w:customStyle="1" w:styleId="114">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List Paragraph1"/>
    <w:basedOn w:val="1"/>
    <w:qFormat/>
    <w:uiPriority w:val="0"/>
    <w:pPr>
      <w:ind w:firstLine="420" w:firstLineChars="200"/>
    </w:pPr>
    <w:rPr>
      <w:rFonts w:ascii="Calibri" w:hAnsi="Calibri" w:eastAsia="PMingLiU" w:cs="Calibri"/>
      <w:szCs w:val="21"/>
    </w:rPr>
  </w:style>
  <w:style w:type="paragraph" w:customStyle="1" w:styleId="116">
    <w:name w:val="Char Char11 Char Char Char Char"/>
    <w:basedOn w:val="1"/>
    <w:qFormat/>
    <w:uiPriority w:val="0"/>
  </w:style>
  <w:style w:type="paragraph" w:customStyle="1" w:styleId="117">
    <w:name w:val="Char11"/>
    <w:basedOn w:val="10"/>
    <w:qFormat/>
    <w:uiPriority w:val="0"/>
    <w:pPr>
      <w:widowControl/>
      <w:tabs>
        <w:tab w:val="left" w:pos="874"/>
      </w:tabs>
      <w:ind w:left="874" w:hanging="420"/>
      <w:jc w:val="left"/>
    </w:pPr>
  </w:style>
  <w:style w:type="paragraph" w:customStyle="1" w:styleId="118">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Char Char Char Char Char Char Char"/>
    <w:basedOn w:val="1"/>
    <w:semiHidden/>
    <w:qFormat/>
    <w:uiPriority w:val="0"/>
    <w:rPr>
      <w:rFonts w:ascii="仿宋_GB2312" w:eastAsia="Times New Roman" w:cs="仿宋_GB2312"/>
      <w:b/>
      <w:bCs/>
      <w:sz w:val="32"/>
      <w:szCs w:val="32"/>
    </w:rPr>
  </w:style>
  <w:style w:type="paragraph" w:customStyle="1" w:styleId="121">
    <w:name w:val="Char Char11 Char Char Char Char Char Char"/>
    <w:basedOn w:val="1"/>
    <w:qFormat/>
    <w:uiPriority w:val="0"/>
  </w:style>
  <w:style w:type="paragraph" w:customStyle="1" w:styleId="122">
    <w:name w:val="三级无标题条"/>
    <w:basedOn w:val="1"/>
    <w:qFormat/>
    <w:uiPriority w:val="0"/>
    <w:pPr>
      <w:numPr>
        <w:ilvl w:val="4"/>
        <w:numId w:val="2"/>
      </w:numPr>
    </w:pPr>
    <w:rPr>
      <w:rFonts w:eastAsia="PMingLiU"/>
      <w:szCs w:val="21"/>
    </w:rPr>
  </w:style>
  <w:style w:type="paragraph" w:customStyle="1" w:styleId="123">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Char Char Char Char Char Char Char2"/>
    <w:basedOn w:val="1"/>
    <w:qFormat/>
    <w:uiPriority w:val="0"/>
    <w:rPr>
      <w:rFonts w:ascii="仿宋_GB2312" w:eastAsia="仿宋_GB2312"/>
      <w:b/>
      <w:sz w:val="32"/>
      <w:szCs w:val="32"/>
    </w:rPr>
  </w:style>
  <w:style w:type="paragraph" w:customStyle="1" w:styleId="125">
    <w:name w:val="Char1"/>
    <w:basedOn w:val="10"/>
    <w:qFormat/>
    <w:uiPriority w:val="0"/>
    <w:pPr>
      <w:widowControl/>
      <w:tabs>
        <w:tab w:val="left" w:pos="874"/>
      </w:tabs>
      <w:ind w:left="874" w:hanging="420"/>
      <w:jc w:val="left"/>
    </w:pPr>
    <w:rPr>
      <w:rFonts w:eastAsia="Times New Roman"/>
      <w:sz w:val="24"/>
    </w:rPr>
  </w:style>
  <w:style w:type="paragraph" w:customStyle="1" w:styleId="126">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2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中等深浅网格 1 - 强调文字颜色 21"/>
    <w:basedOn w:val="1"/>
    <w:qFormat/>
    <w:uiPriority w:val="0"/>
    <w:pPr>
      <w:widowControl/>
      <w:spacing w:after="200" w:line="276" w:lineRule="auto"/>
      <w:ind w:left="720"/>
      <w:jc w:val="left"/>
    </w:pPr>
    <w:rPr>
      <w:rFonts w:ascii="Calibri" w:hAnsi="Calibri" w:eastAsia="PMingLiU" w:cs="Calibri"/>
      <w:kern w:val="0"/>
      <w:sz w:val="22"/>
      <w:szCs w:val="22"/>
    </w:rPr>
  </w:style>
  <w:style w:type="paragraph" w:customStyle="1" w:styleId="134">
    <w:name w:val="Char12"/>
    <w:basedOn w:val="1"/>
    <w:qFormat/>
    <w:uiPriority w:val="0"/>
    <w:rPr>
      <w:szCs w:val="20"/>
    </w:rPr>
  </w:style>
  <w:style w:type="paragraph" w:customStyle="1" w:styleId="1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36">
    <w:name w:val="网格型1"/>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3142</Words>
  <Characters>17910</Characters>
  <Lines>149</Lines>
  <Paragraphs>42</Paragraphs>
  <TotalTime>7</TotalTime>
  <ScaleCrop>false</ScaleCrop>
  <LinksUpToDate>false</LinksUpToDate>
  <CharactersWithSpaces>21010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2019-11-18T19:12:00Z</dcterms:created>
  <dc:creator>User</dc:creator>
  <cp:lastModifiedBy>多年以后。</cp:lastModifiedBy>
  <cp:lastPrinted>2019-11-26T17:00:00Z</cp:lastPrinted>
  <dcterms:modified xsi:type="dcterms:W3CDTF">2020-03-10T08:44:56Z</dcterms:modified>
  <dc:title>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