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jc w:val="center"/>
        <w:rPr>
          <w:b/>
          <w:color w:val="auto"/>
          <w:kern w:val="1"/>
          <w:sz w:val="48"/>
        </w:rPr>
      </w:pPr>
    </w:p>
    <w:p>
      <w:pPr>
        <w:spacing w:before="156" w:line="360" w:lineRule="auto"/>
        <w:jc w:val="center"/>
        <w:rPr>
          <w:b/>
          <w:color w:val="auto"/>
          <w:kern w:val="1"/>
          <w:sz w:val="48"/>
          <w:szCs w:val="21"/>
        </w:rPr>
      </w:pPr>
      <w:r>
        <w:rPr>
          <w:rFonts w:hint="eastAsia"/>
          <w:b/>
          <w:color w:val="auto"/>
          <w:kern w:val="1"/>
          <w:sz w:val="52"/>
          <w:szCs w:val="21"/>
        </w:rPr>
        <w:t>义乌市历史文化保护传承专项规划编制项目</w:t>
      </w:r>
    </w:p>
    <w:p>
      <w:pPr>
        <w:spacing w:before="156"/>
        <w:jc w:val="center"/>
        <w:rPr>
          <w:b/>
          <w:color w:val="auto"/>
          <w:kern w:val="1"/>
          <w:sz w:val="47"/>
        </w:rPr>
      </w:pPr>
    </w:p>
    <w:p>
      <w:pPr>
        <w:pStyle w:val="22"/>
        <w:ind w:firstLine="723"/>
        <w:rPr>
          <w:color w:val="auto"/>
        </w:rPr>
      </w:pPr>
    </w:p>
    <w:p>
      <w:pPr>
        <w:pStyle w:val="22"/>
        <w:ind w:firstLine="723"/>
        <w:rPr>
          <w:color w:val="auto"/>
        </w:rPr>
      </w:pPr>
    </w:p>
    <w:p>
      <w:pPr>
        <w:spacing w:line="360" w:lineRule="auto"/>
        <w:jc w:val="center"/>
        <w:rPr>
          <w:b/>
          <w:color w:val="auto"/>
          <w:kern w:val="1"/>
          <w:sz w:val="84"/>
        </w:rPr>
      </w:pPr>
      <w:r>
        <w:rPr>
          <w:b/>
          <w:color w:val="auto"/>
          <w:kern w:val="1"/>
          <w:sz w:val="84"/>
        </w:rPr>
        <w:t>招 标 文 件</w:t>
      </w:r>
    </w:p>
    <w:p>
      <w:pPr>
        <w:jc w:val="center"/>
        <w:rPr>
          <w:b/>
          <w:color w:val="auto"/>
          <w:kern w:val="1"/>
          <w:sz w:val="32"/>
          <w:szCs w:val="22"/>
        </w:rPr>
      </w:pPr>
    </w:p>
    <w:p>
      <w:pPr>
        <w:jc w:val="center"/>
        <w:rPr>
          <w:b/>
          <w:color w:val="auto"/>
          <w:kern w:val="1"/>
          <w:sz w:val="32"/>
        </w:rPr>
      </w:pPr>
      <w:r>
        <w:rPr>
          <w:b/>
          <w:color w:val="auto"/>
          <w:kern w:val="1"/>
          <w:sz w:val="32"/>
        </w:rPr>
        <w:t>采购编号：</w:t>
      </w:r>
      <w:r>
        <w:rPr>
          <w:rFonts w:hint="eastAsia"/>
          <w:b/>
          <w:color w:val="auto"/>
          <w:kern w:val="1"/>
          <w:sz w:val="32"/>
          <w:szCs w:val="22"/>
        </w:rPr>
        <w:t>KXYC2024014FG</w:t>
      </w:r>
    </w:p>
    <w:p>
      <w:pPr>
        <w:jc w:val="center"/>
        <w:rPr>
          <w:b/>
          <w:color w:val="auto"/>
          <w:kern w:val="1"/>
          <w:sz w:val="32"/>
        </w:rPr>
      </w:pPr>
      <w:r>
        <w:rPr>
          <w:b/>
          <w:color w:val="auto"/>
          <w:kern w:val="1"/>
          <w:sz w:val="32"/>
        </w:rPr>
        <w:t xml:space="preserve"> </w:t>
      </w:r>
    </w:p>
    <w:p>
      <w:pPr>
        <w:jc w:val="center"/>
        <w:rPr>
          <w:b/>
          <w:color w:val="auto"/>
          <w:kern w:val="1"/>
          <w:sz w:val="32"/>
        </w:rPr>
      </w:pPr>
    </w:p>
    <w:p>
      <w:pPr>
        <w:jc w:val="center"/>
        <w:rPr>
          <w:b/>
          <w:color w:val="auto"/>
          <w:kern w:val="1"/>
          <w:sz w:val="32"/>
        </w:rPr>
      </w:pPr>
    </w:p>
    <w:p>
      <w:pPr>
        <w:rPr>
          <w:b/>
          <w:color w:val="auto"/>
          <w:kern w:val="1"/>
          <w:sz w:val="33"/>
          <w:szCs w:val="33"/>
        </w:rPr>
      </w:pPr>
    </w:p>
    <w:p>
      <w:pPr>
        <w:jc w:val="center"/>
        <w:rPr>
          <w:b/>
          <w:color w:val="auto"/>
          <w:kern w:val="1"/>
          <w:sz w:val="30"/>
          <w:szCs w:val="30"/>
        </w:rPr>
      </w:pPr>
    </w:p>
    <w:p>
      <w:pPr>
        <w:jc w:val="center"/>
        <w:rPr>
          <w:b/>
          <w:color w:val="auto"/>
          <w:kern w:val="1"/>
          <w:sz w:val="30"/>
          <w:szCs w:val="30"/>
        </w:rPr>
      </w:pPr>
    </w:p>
    <w:p>
      <w:pPr>
        <w:jc w:val="center"/>
        <w:rPr>
          <w:b/>
          <w:color w:val="auto"/>
          <w:kern w:val="1"/>
          <w:sz w:val="30"/>
          <w:szCs w:val="30"/>
        </w:rPr>
      </w:pPr>
    </w:p>
    <w:p>
      <w:pPr>
        <w:jc w:val="center"/>
        <w:rPr>
          <w:b/>
          <w:color w:val="auto"/>
          <w:kern w:val="1"/>
          <w:sz w:val="28"/>
          <w:szCs w:val="16"/>
        </w:rPr>
      </w:pPr>
    </w:p>
    <w:p>
      <w:pPr>
        <w:pStyle w:val="27"/>
        <w:spacing w:before="120" w:after="120" w:line="480" w:lineRule="auto"/>
        <w:ind w:firstLine="960" w:firstLineChars="300"/>
        <w:jc w:val="both"/>
        <w:rPr>
          <w:rFonts w:ascii="Times New Roman" w:hAnsi="Times New Roman"/>
          <w:bCs/>
          <w:color w:val="auto"/>
          <w:sz w:val="33"/>
          <w:szCs w:val="33"/>
        </w:rPr>
      </w:pPr>
      <w:r>
        <w:rPr>
          <w:rFonts w:ascii="Times New Roman" w:hAnsi="Times New Roman"/>
          <w:bCs/>
          <w:color w:val="auto"/>
          <w:sz w:val="32"/>
          <w:szCs w:val="32"/>
        </w:rPr>
        <w:t>采</w:t>
      </w:r>
      <w:r>
        <w:rPr>
          <w:rFonts w:hint="eastAsia" w:ascii="Times New Roman" w:hAnsi="Times New Roman"/>
          <w:bCs/>
          <w:color w:val="auto"/>
          <w:sz w:val="32"/>
          <w:szCs w:val="32"/>
        </w:rPr>
        <w:t xml:space="preserve"> </w:t>
      </w:r>
      <w:r>
        <w:rPr>
          <w:rFonts w:ascii="Times New Roman" w:hAnsi="Times New Roman"/>
          <w:bCs/>
          <w:color w:val="auto"/>
          <w:sz w:val="32"/>
          <w:szCs w:val="32"/>
        </w:rPr>
        <w:t>购</w:t>
      </w:r>
      <w:r>
        <w:rPr>
          <w:rFonts w:hint="eastAsia" w:ascii="Times New Roman" w:hAnsi="Times New Roman"/>
          <w:bCs/>
          <w:color w:val="auto"/>
          <w:sz w:val="32"/>
          <w:szCs w:val="32"/>
        </w:rPr>
        <w:t xml:space="preserve"> </w:t>
      </w:r>
      <w:r>
        <w:rPr>
          <w:rFonts w:ascii="Times New Roman" w:hAnsi="Times New Roman"/>
          <w:bCs/>
          <w:color w:val="auto"/>
          <w:sz w:val="32"/>
          <w:szCs w:val="32"/>
        </w:rPr>
        <w:t>人：</w:t>
      </w:r>
      <w:r>
        <w:rPr>
          <w:rFonts w:hint="eastAsia" w:ascii="Times New Roman" w:hAnsi="Times New Roman"/>
          <w:bCs/>
          <w:color w:val="auto"/>
          <w:sz w:val="32"/>
          <w:szCs w:val="32"/>
          <w:u w:val="single"/>
        </w:rPr>
        <w:t xml:space="preserve">       义乌市住房和城乡建设局       </w:t>
      </w:r>
    </w:p>
    <w:p>
      <w:pPr>
        <w:pStyle w:val="27"/>
        <w:spacing w:before="120" w:after="120" w:line="480" w:lineRule="auto"/>
        <w:ind w:firstLine="960" w:firstLineChars="300"/>
        <w:rPr>
          <w:rFonts w:ascii="Times New Roman" w:hAnsi="Times New Roman"/>
          <w:bCs/>
          <w:color w:val="auto"/>
          <w:sz w:val="32"/>
        </w:rPr>
      </w:pPr>
      <w:r>
        <w:rPr>
          <w:rFonts w:ascii="Times New Roman" w:hAnsi="Times New Roman"/>
          <w:bCs/>
          <w:color w:val="auto"/>
          <w:sz w:val="32"/>
          <w:szCs w:val="32"/>
        </w:rPr>
        <w:t>代理机构：</w:t>
      </w:r>
      <w:r>
        <w:rPr>
          <w:rFonts w:hint="eastAsia" w:ascii="Times New Roman" w:hAnsi="Times New Roman"/>
          <w:bCs/>
          <w:color w:val="auto"/>
          <w:sz w:val="32"/>
          <w:szCs w:val="32"/>
          <w:u w:val="single"/>
        </w:rPr>
        <w:t xml:space="preserve">      科信联合工程咨询有限公司      </w:t>
      </w:r>
    </w:p>
    <w:p>
      <w:pPr>
        <w:jc w:val="center"/>
        <w:rPr>
          <w:b/>
          <w:color w:val="auto"/>
          <w:kern w:val="1"/>
          <w:sz w:val="36"/>
        </w:rPr>
      </w:pPr>
    </w:p>
    <w:p>
      <w:pPr>
        <w:jc w:val="center"/>
        <w:rPr>
          <w:b/>
          <w:color w:val="auto"/>
          <w:kern w:val="1"/>
          <w:sz w:val="36"/>
        </w:rPr>
      </w:pPr>
    </w:p>
    <w:p>
      <w:pPr>
        <w:spacing w:line="600" w:lineRule="auto"/>
        <w:jc w:val="center"/>
        <w:rPr>
          <w:bCs/>
          <w:color w:val="auto"/>
          <w:kern w:val="1"/>
          <w:sz w:val="44"/>
        </w:rPr>
        <w:sectPr>
          <w:headerReference r:id="rId4" w:type="first"/>
          <w:headerReference r:id="rId3" w:type="default"/>
          <w:footerReference r:id="rId5" w:type="default"/>
          <w:pgSz w:w="11906" w:h="16838"/>
          <w:pgMar w:top="1247" w:right="1361" w:bottom="1247" w:left="1417" w:header="851" w:footer="992" w:gutter="0"/>
          <w:pgNumType w:fmt="numberInDash" w:start="0"/>
          <w:cols w:space="720" w:num="1"/>
          <w:titlePg/>
          <w:rtlGutter w:val="1"/>
        </w:sectPr>
      </w:pPr>
      <w:r>
        <w:rPr>
          <w:bCs/>
          <w:color w:val="auto"/>
          <w:kern w:val="1"/>
          <w:sz w:val="32"/>
        </w:rPr>
        <w:t>二〇二</w:t>
      </w:r>
      <w:r>
        <w:rPr>
          <w:rFonts w:hint="eastAsia"/>
          <w:bCs/>
          <w:color w:val="auto"/>
          <w:kern w:val="1"/>
          <w:sz w:val="32"/>
        </w:rPr>
        <w:t>四</w:t>
      </w:r>
      <w:r>
        <w:rPr>
          <w:bCs/>
          <w:color w:val="auto"/>
          <w:kern w:val="1"/>
          <w:sz w:val="32"/>
        </w:rPr>
        <w:t>年</w:t>
      </w:r>
      <w:r>
        <w:rPr>
          <w:rFonts w:hint="eastAsia"/>
          <w:bCs/>
          <w:color w:val="auto"/>
          <w:kern w:val="1"/>
          <w:sz w:val="32"/>
        </w:rPr>
        <w:t>五</w:t>
      </w:r>
      <w:r>
        <w:rPr>
          <w:bCs/>
          <w:color w:val="auto"/>
          <w:kern w:val="1"/>
          <w:sz w:val="32"/>
        </w:rPr>
        <w:t>月</w:t>
      </w:r>
    </w:p>
    <w:p>
      <w:pPr>
        <w:spacing w:line="480" w:lineRule="auto"/>
        <w:jc w:val="center"/>
        <w:rPr>
          <w:b/>
          <w:color w:val="auto"/>
          <w:kern w:val="1"/>
          <w:sz w:val="44"/>
        </w:rPr>
      </w:pPr>
      <w:r>
        <w:rPr>
          <w:b/>
          <w:color w:val="auto"/>
          <w:kern w:val="1"/>
          <w:sz w:val="44"/>
        </w:rPr>
        <w:t>目    录</w:t>
      </w:r>
    </w:p>
    <w:p>
      <w:pPr>
        <w:pStyle w:val="35"/>
        <w:tabs>
          <w:tab w:val="right" w:leader="dot" w:pos="9128"/>
          <w:tab w:val="clear" w:pos="9127"/>
        </w:tabs>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第一章　采购公告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_Toc31956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p>
    <w:p>
      <w:pPr>
        <w:pStyle w:val="35"/>
        <w:tabs>
          <w:tab w:val="right" w:leader="dot" w:pos="9128"/>
          <w:tab w:val="clear" w:pos="9127"/>
        </w:tabs>
        <w:rPr>
          <w:rFonts w:ascii="宋体" w:hAnsi="宋体" w:eastAsia="宋体" w:cs="宋体"/>
          <w:color w:val="auto"/>
          <w:sz w:val="24"/>
          <w:szCs w:val="24"/>
        </w:rPr>
      </w:pPr>
      <w:r>
        <w:rPr>
          <w:rFonts w:hint="eastAsia" w:ascii="宋体" w:hAnsi="宋体" w:eastAsia="宋体" w:cs="宋体"/>
          <w:color w:val="auto"/>
          <w:sz w:val="24"/>
          <w:szCs w:val="24"/>
        </w:rPr>
        <w:t>第二章　投标须知和投标须知前附表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_Toc13673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- 5 -</w:t>
      </w:r>
      <w:r>
        <w:rPr>
          <w:rFonts w:hint="eastAsia" w:ascii="宋体" w:hAnsi="宋体" w:eastAsia="宋体" w:cs="宋体"/>
          <w:color w:val="auto"/>
          <w:sz w:val="24"/>
          <w:szCs w:val="24"/>
        </w:rPr>
        <w:fldChar w:fldCharType="end"/>
      </w:r>
    </w:p>
    <w:p>
      <w:pPr>
        <w:pStyle w:val="35"/>
        <w:tabs>
          <w:tab w:val="right" w:leader="dot" w:pos="9128"/>
          <w:tab w:val="clear" w:pos="9127"/>
        </w:tabs>
        <w:rPr>
          <w:rFonts w:ascii="宋体" w:hAnsi="宋体" w:eastAsia="宋体" w:cs="宋体"/>
          <w:color w:val="auto"/>
          <w:sz w:val="24"/>
          <w:szCs w:val="24"/>
        </w:rPr>
      </w:pPr>
      <w:r>
        <w:rPr>
          <w:rFonts w:hint="eastAsia" w:ascii="宋体" w:hAnsi="宋体" w:eastAsia="宋体" w:cs="宋体"/>
          <w:color w:val="auto"/>
          <w:sz w:val="24"/>
          <w:szCs w:val="24"/>
        </w:rPr>
        <w:t>投标须知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_Toc9454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- 8 -</w:t>
      </w:r>
      <w:r>
        <w:rPr>
          <w:rFonts w:hint="eastAsia" w:ascii="宋体" w:hAnsi="宋体" w:eastAsia="宋体" w:cs="宋体"/>
          <w:color w:val="auto"/>
          <w:sz w:val="24"/>
          <w:szCs w:val="24"/>
        </w:rPr>
        <w:fldChar w:fldCharType="end"/>
      </w:r>
    </w:p>
    <w:p>
      <w:pPr>
        <w:pStyle w:val="44"/>
        <w:tabs>
          <w:tab w:val="right" w:leader="dot" w:pos="9128"/>
        </w:tabs>
        <w:spacing w:line="360" w:lineRule="auto"/>
        <w:rPr>
          <w:rFonts w:ascii="宋体" w:hAnsi="宋体" w:cs="宋体"/>
          <w:color w:val="auto"/>
          <w:sz w:val="24"/>
          <w:szCs w:val="24"/>
        </w:rPr>
      </w:pPr>
      <w:r>
        <w:rPr>
          <w:rFonts w:hint="eastAsia" w:ascii="宋体" w:hAnsi="宋体" w:cs="宋体"/>
          <w:color w:val="auto"/>
          <w:sz w:val="24"/>
          <w:szCs w:val="24"/>
        </w:rPr>
        <w:t>一、说明</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_Toc3460 \h </w:instrText>
      </w:r>
      <w:r>
        <w:rPr>
          <w:rFonts w:hint="eastAsia" w:ascii="宋体" w:hAnsi="宋体" w:cs="宋体"/>
          <w:color w:val="auto"/>
          <w:sz w:val="24"/>
          <w:szCs w:val="24"/>
        </w:rPr>
        <w:fldChar w:fldCharType="separate"/>
      </w:r>
      <w:r>
        <w:rPr>
          <w:rFonts w:hint="eastAsia" w:ascii="宋体" w:hAnsi="宋体" w:cs="宋体"/>
          <w:color w:val="auto"/>
          <w:sz w:val="24"/>
          <w:szCs w:val="24"/>
        </w:rPr>
        <w:t>- 8 -</w:t>
      </w:r>
      <w:r>
        <w:rPr>
          <w:rFonts w:hint="eastAsia" w:ascii="宋体" w:hAnsi="宋体" w:cs="宋体"/>
          <w:color w:val="auto"/>
          <w:sz w:val="24"/>
          <w:szCs w:val="24"/>
        </w:rPr>
        <w:fldChar w:fldCharType="end"/>
      </w:r>
    </w:p>
    <w:p>
      <w:pPr>
        <w:pStyle w:val="44"/>
        <w:tabs>
          <w:tab w:val="right" w:leader="dot" w:pos="9128"/>
        </w:tabs>
        <w:spacing w:line="360" w:lineRule="auto"/>
        <w:rPr>
          <w:rFonts w:ascii="宋体" w:hAnsi="宋体" w:cs="宋体"/>
          <w:color w:val="auto"/>
          <w:sz w:val="24"/>
          <w:szCs w:val="24"/>
        </w:rPr>
      </w:pPr>
      <w:r>
        <w:rPr>
          <w:rFonts w:hint="eastAsia" w:ascii="宋体" w:hAnsi="宋体" w:cs="宋体"/>
          <w:color w:val="auto"/>
          <w:sz w:val="24"/>
          <w:szCs w:val="24"/>
        </w:rPr>
        <w:t>二、招标文件</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_Toc25988 \h </w:instrText>
      </w:r>
      <w:r>
        <w:rPr>
          <w:rFonts w:hint="eastAsia" w:ascii="宋体" w:hAnsi="宋体" w:cs="宋体"/>
          <w:color w:val="auto"/>
          <w:sz w:val="24"/>
          <w:szCs w:val="24"/>
        </w:rPr>
        <w:fldChar w:fldCharType="separate"/>
      </w:r>
      <w:r>
        <w:rPr>
          <w:rFonts w:hint="eastAsia" w:ascii="宋体" w:hAnsi="宋体" w:cs="宋体"/>
          <w:color w:val="auto"/>
          <w:sz w:val="24"/>
          <w:szCs w:val="24"/>
        </w:rPr>
        <w:t>- 9 -</w:t>
      </w:r>
      <w:r>
        <w:rPr>
          <w:rFonts w:hint="eastAsia" w:ascii="宋体" w:hAnsi="宋体" w:cs="宋体"/>
          <w:color w:val="auto"/>
          <w:sz w:val="24"/>
          <w:szCs w:val="24"/>
        </w:rPr>
        <w:fldChar w:fldCharType="end"/>
      </w:r>
    </w:p>
    <w:p>
      <w:pPr>
        <w:pStyle w:val="44"/>
        <w:tabs>
          <w:tab w:val="right" w:leader="dot" w:pos="9128"/>
        </w:tabs>
        <w:spacing w:line="360" w:lineRule="auto"/>
        <w:rPr>
          <w:rFonts w:ascii="宋体" w:hAnsi="宋体" w:cs="宋体"/>
          <w:color w:val="auto"/>
          <w:sz w:val="24"/>
          <w:szCs w:val="24"/>
        </w:rPr>
      </w:pPr>
      <w:r>
        <w:rPr>
          <w:rFonts w:hint="eastAsia" w:ascii="宋体" w:hAnsi="宋体" w:cs="宋体"/>
          <w:color w:val="auto"/>
          <w:sz w:val="24"/>
          <w:szCs w:val="24"/>
        </w:rPr>
        <w:t>三、投标文件</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_Toc17064 \h </w:instrText>
      </w:r>
      <w:r>
        <w:rPr>
          <w:rFonts w:hint="eastAsia" w:ascii="宋体" w:hAnsi="宋体" w:cs="宋体"/>
          <w:color w:val="auto"/>
          <w:sz w:val="24"/>
          <w:szCs w:val="24"/>
        </w:rPr>
        <w:fldChar w:fldCharType="separate"/>
      </w:r>
      <w:r>
        <w:rPr>
          <w:rFonts w:hint="eastAsia" w:ascii="宋体" w:hAnsi="宋体" w:cs="宋体"/>
          <w:color w:val="auto"/>
          <w:sz w:val="24"/>
          <w:szCs w:val="24"/>
        </w:rPr>
        <w:t>- 10 -</w:t>
      </w:r>
      <w:r>
        <w:rPr>
          <w:rFonts w:hint="eastAsia" w:ascii="宋体" w:hAnsi="宋体" w:cs="宋体"/>
          <w:color w:val="auto"/>
          <w:sz w:val="24"/>
          <w:szCs w:val="24"/>
        </w:rPr>
        <w:fldChar w:fldCharType="end"/>
      </w:r>
    </w:p>
    <w:p>
      <w:pPr>
        <w:pStyle w:val="44"/>
        <w:tabs>
          <w:tab w:val="right" w:leader="dot" w:pos="9128"/>
        </w:tabs>
        <w:spacing w:line="360" w:lineRule="auto"/>
        <w:rPr>
          <w:rFonts w:ascii="宋体" w:hAnsi="宋体" w:cs="宋体"/>
          <w:color w:val="auto"/>
          <w:sz w:val="24"/>
          <w:szCs w:val="24"/>
        </w:rPr>
      </w:pPr>
      <w:r>
        <w:rPr>
          <w:rFonts w:hint="eastAsia" w:ascii="宋体" w:hAnsi="宋体" w:cs="宋体"/>
          <w:color w:val="auto"/>
          <w:sz w:val="24"/>
          <w:szCs w:val="24"/>
        </w:rPr>
        <w:t>四、投标文件的递交</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_Toc27776 \h </w:instrText>
      </w:r>
      <w:r>
        <w:rPr>
          <w:rFonts w:hint="eastAsia" w:ascii="宋体" w:hAnsi="宋体" w:cs="宋体"/>
          <w:color w:val="auto"/>
          <w:sz w:val="24"/>
          <w:szCs w:val="24"/>
        </w:rPr>
        <w:fldChar w:fldCharType="separate"/>
      </w:r>
      <w:r>
        <w:rPr>
          <w:rFonts w:hint="eastAsia" w:ascii="宋体" w:hAnsi="宋体" w:cs="宋体"/>
          <w:color w:val="auto"/>
          <w:sz w:val="24"/>
          <w:szCs w:val="24"/>
        </w:rPr>
        <w:t>- 13 -</w:t>
      </w:r>
      <w:r>
        <w:rPr>
          <w:rFonts w:hint="eastAsia" w:ascii="宋体" w:hAnsi="宋体" w:cs="宋体"/>
          <w:color w:val="auto"/>
          <w:sz w:val="24"/>
          <w:szCs w:val="24"/>
        </w:rPr>
        <w:fldChar w:fldCharType="end"/>
      </w:r>
    </w:p>
    <w:p>
      <w:pPr>
        <w:pStyle w:val="35"/>
        <w:tabs>
          <w:tab w:val="right" w:leader="dot" w:pos="9128"/>
          <w:tab w:val="clear" w:pos="9127"/>
        </w:tabs>
        <w:rPr>
          <w:rFonts w:ascii="宋体" w:hAnsi="宋体" w:eastAsia="宋体" w:cs="宋体"/>
          <w:color w:val="auto"/>
          <w:sz w:val="24"/>
          <w:szCs w:val="24"/>
        </w:rPr>
      </w:pPr>
      <w:r>
        <w:rPr>
          <w:rFonts w:hint="eastAsia" w:ascii="宋体" w:hAnsi="宋体" w:eastAsia="宋体" w:cs="宋体"/>
          <w:color w:val="auto"/>
          <w:sz w:val="24"/>
          <w:szCs w:val="24"/>
        </w:rPr>
        <w:t>第三章 招标项目要求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_Toc2809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- 14 -</w:t>
      </w:r>
      <w:r>
        <w:rPr>
          <w:rFonts w:hint="eastAsia" w:ascii="宋体" w:hAnsi="宋体" w:eastAsia="宋体" w:cs="宋体"/>
          <w:color w:val="auto"/>
          <w:sz w:val="24"/>
          <w:szCs w:val="24"/>
        </w:rPr>
        <w:fldChar w:fldCharType="end"/>
      </w:r>
    </w:p>
    <w:p>
      <w:pPr>
        <w:pStyle w:val="35"/>
        <w:tabs>
          <w:tab w:val="right" w:leader="dot" w:pos="9128"/>
          <w:tab w:val="clear" w:pos="9127"/>
        </w:tabs>
        <w:rPr>
          <w:rFonts w:ascii="宋体" w:hAnsi="宋体" w:eastAsia="宋体" w:cs="宋体"/>
          <w:color w:val="auto"/>
          <w:sz w:val="24"/>
          <w:szCs w:val="24"/>
        </w:rPr>
      </w:pPr>
      <w:r>
        <w:rPr>
          <w:rFonts w:hint="eastAsia" w:ascii="宋体" w:hAnsi="宋体" w:eastAsia="宋体" w:cs="宋体"/>
          <w:color w:val="auto"/>
          <w:sz w:val="24"/>
          <w:szCs w:val="24"/>
        </w:rPr>
        <w:t>第四章 开标、评标和定标须知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_Toc3678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- 19 -</w:t>
      </w:r>
      <w:r>
        <w:rPr>
          <w:rFonts w:hint="eastAsia" w:ascii="宋体" w:hAnsi="宋体" w:eastAsia="宋体" w:cs="宋体"/>
          <w:color w:val="auto"/>
          <w:sz w:val="24"/>
          <w:szCs w:val="24"/>
        </w:rPr>
        <w:fldChar w:fldCharType="end"/>
      </w:r>
    </w:p>
    <w:p>
      <w:pPr>
        <w:pStyle w:val="44"/>
        <w:tabs>
          <w:tab w:val="right" w:leader="dot" w:pos="9128"/>
        </w:tabs>
        <w:spacing w:line="360" w:lineRule="auto"/>
        <w:rPr>
          <w:rFonts w:ascii="宋体" w:hAnsi="宋体" w:cs="宋体"/>
          <w:color w:val="auto"/>
          <w:sz w:val="24"/>
          <w:szCs w:val="24"/>
        </w:rPr>
      </w:pPr>
      <w:r>
        <w:rPr>
          <w:rFonts w:hint="eastAsia" w:ascii="宋体" w:hAnsi="宋体" w:cs="宋体"/>
          <w:color w:val="auto"/>
          <w:sz w:val="24"/>
          <w:szCs w:val="24"/>
        </w:rPr>
        <w:t>一、开标</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_Toc24763 \h </w:instrText>
      </w:r>
      <w:r>
        <w:rPr>
          <w:rFonts w:hint="eastAsia" w:ascii="宋体" w:hAnsi="宋体" w:cs="宋体"/>
          <w:color w:val="auto"/>
          <w:sz w:val="24"/>
          <w:szCs w:val="24"/>
        </w:rPr>
        <w:fldChar w:fldCharType="separate"/>
      </w:r>
      <w:r>
        <w:rPr>
          <w:rFonts w:hint="eastAsia" w:ascii="宋体" w:hAnsi="宋体" w:cs="宋体"/>
          <w:color w:val="auto"/>
          <w:sz w:val="24"/>
          <w:szCs w:val="24"/>
        </w:rPr>
        <w:t>- 19 -</w:t>
      </w:r>
      <w:r>
        <w:rPr>
          <w:rFonts w:hint="eastAsia" w:ascii="宋体" w:hAnsi="宋体" w:cs="宋体"/>
          <w:color w:val="auto"/>
          <w:sz w:val="24"/>
          <w:szCs w:val="24"/>
        </w:rPr>
        <w:fldChar w:fldCharType="end"/>
      </w:r>
    </w:p>
    <w:p>
      <w:pPr>
        <w:pStyle w:val="44"/>
        <w:tabs>
          <w:tab w:val="right" w:leader="dot" w:pos="9128"/>
        </w:tabs>
        <w:spacing w:line="360" w:lineRule="auto"/>
        <w:rPr>
          <w:rFonts w:ascii="宋体" w:hAnsi="宋体" w:cs="宋体"/>
          <w:color w:val="auto"/>
          <w:sz w:val="24"/>
          <w:szCs w:val="24"/>
        </w:rPr>
      </w:pPr>
      <w:r>
        <w:rPr>
          <w:rFonts w:hint="eastAsia" w:ascii="宋体" w:hAnsi="宋体" w:cs="宋体"/>
          <w:color w:val="auto"/>
          <w:sz w:val="24"/>
          <w:szCs w:val="24"/>
        </w:rPr>
        <w:t>二、评标</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_Toc24524 \h </w:instrText>
      </w:r>
      <w:r>
        <w:rPr>
          <w:rFonts w:hint="eastAsia" w:ascii="宋体" w:hAnsi="宋体" w:cs="宋体"/>
          <w:color w:val="auto"/>
          <w:sz w:val="24"/>
          <w:szCs w:val="24"/>
        </w:rPr>
        <w:fldChar w:fldCharType="separate"/>
      </w:r>
      <w:r>
        <w:rPr>
          <w:rFonts w:hint="eastAsia" w:ascii="宋体" w:hAnsi="宋体" w:cs="宋体"/>
          <w:color w:val="auto"/>
          <w:sz w:val="24"/>
          <w:szCs w:val="24"/>
        </w:rPr>
        <w:t>- 19 -</w:t>
      </w:r>
      <w:r>
        <w:rPr>
          <w:rFonts w:hint="eastAsia" w:ascii="宋体" w:hAnsi="宋体" w:cs="宋体"/>
          <w:color w:val="auto"/>
          <w:sz w:val="24"/>
          <w:szCs w:val="24"/>
        </w:rPr>
        <w:fldChar w:fldCharType="end"/>
      </w:r>
    </w:p>
    <w:p>
      <w:pPr>
        <w:pStyle w:val="44"/>
        <w:tabs>
          <w:tab w:val="right" w:leader="dot" w:pos="9128"/>
        </w:tabs>
        <w:spacing w:line="360" w:lineRule="auto"/>
        <w:rPr>
          <w:rFonts w:ascii="宋体" w:hAnsi="宋体" w:cs="宋体"/>
          <w:color w:val="auto"/>
          <w:sz w:val="24"/>
          <w:szCs w:val="24"/>
        </w:rPr>
      </w:pPr>
      <w:r>
        <w:rPr>
          <w:rFonts w:hint="eastAsia" w:ascii="宋体" w:hAnsi="宋体" w:cs="宋体"/>
          <w:color w:val="auto"/>
          <w:sz w:val="24"/>
          <w:szCs w:val="24"/>
        </w:rPr>
        <w:t>三、定标</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_Toc4236 \h </w:instrText>
      </w:r>
      <w:r>
        <w:rPr>
          <w:rFonts w:hint="eastAsia" w:ascii="宋体" w:hAnsi="宋体" w:cs="宋体"/>
          <w:color w:val="auto"/>
          <w:sz w:val="24"/>
          <w:szCs w:val="24"/>
        </w:rPr>
        <w:fldChar w:fldCharType="separate"/>
      </w:r>
      <w:r>
        <w:rPr>
          <w:rFonts w:hint="eastAsia" w:ascii="宋体" w:hAnsi="宋体" w:cs="宋体"/>
          <w:color w:val="auto"/>
          <w:sz w:val="24"/>
          <w:szCs w:val="24"/>
        </w:rPr>
        <w:t>- 21 -</w:t>
      </w:r>
      <w:r>
        <w:rPr>
          <w:rFonts w:hint="eastAsia" w:ascii="宋体" w:hAnsi="宋体" w:cs="宋体"/>
          <w:color w:val="auto"/>
          <w:sz w:val="24"/>
          <w:szCs w:val="24"/>
        </w:rPr>
        <w:fldChar w:fldCharType="end"/>
      </w:r>
    </w:p>
    <w:p>
      <w:pPr>
        <w:pStyle w:val="44"/>
        <w:tabs>
          <w:tab w:val="right" w:leader="dot" w:pos="9128"/>
        </w:tabs>
        <w:spacing w:line="360" w:lineRule="auto"/>
        <w:rPr>
          <w:rFonts w:ascii="宋体" w:hAnsi="宋体" w:cs="宋体"/>
          <w:color w:val="auto"/>
          <w:sz w:val="24"/>
          <w:szCs w:val="24"/>
        </w:rPr>
      </w:pPr>
      <w:r>
        <w:rPr>
          <w:rFonts w:hint="eastAsia" w:ascii="宋体" w:hAnsi="宋体" w:cs="宋体"/>
          <w:color w:val="auto"/>
          <w:sz w:val="24"/>
          <w:szCs w:val="24"/>
        </w:rPr>
        <w:t>四、质疑和投诉</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_Toc800 \h </w:instrText>
      </w:r>
      <w:r>
        <w:rPr>
          <w:rFonts w:hint="eastAsia" w:ascii="宋体" w:hAnsi="宋体" w:cs="宋体"/>
          <w:color w:val="auto"/>
          <w:sz w:val="24"/>
          <w:szCs w:val="24"/>
        </w:rPr>
        <w:fldChar w:fldCharType="separate"/>
      </w:r>
      <w:r>
        <w:rPr>
          <w:rFonts w:hint="eastAsia" w:ascii="宋体" w:hAnsi="宋体" w:cs="宋体"/>
          <w:color w:val="auto"/>
          <w:sz w:val="24"/>
          <w:szCs w:val="24"/>
        </w:rPr>
        <w:t>- 22 -</w:t>
      </w:r>
      <w:r>
        <w:rPr>
          <w:rFonts w:hint="eastAsia" w:ascii="宋体" w:hAnsi="宋体" w:cs="宋体"/>
          <w:color w:val="auto"/>
          <w:sz w:val="24"/>
          <w:szCs w:val="24"/>
        </w:rPr>
        <w:fldChar w:fldCharType="end"/>
      </w:r>
    </w:p>
    <w:p>
      <w:pPr>
        <w:pStyle w:val="35"/>
        <w:tabs>
          <w:tab w:val="right" w:leader="dot" w:pos="9128"/>
          <w:tab w:val="clear" w:pos="9127"/>
        </w:tabs>
        <w:rPr>
          <w:rFonts w:ascii="宋体" w:hAnsi="宋体" w:eastAsia="宋体" w:cs="宋体"/>
          <w:color w:val="auto"/>
          <w:sz w:val="24"/>
          <w:szCs w:val="24"/>
        </w:rPr>
      </w:pPr>
      <w:r>
        <w:rPr>
          <w:rFonts w:hint="eastAsia" w:ascii="宋体" w:hAnsi="宋体" w:eastAsia="宋体" w:cs="宋体"/>
          <w:color w:val="auto"/>
          <w:sz w:val="24"/>
          <w:szCs w:val="24"/>
        </w:rPr>
        <w:t>第五章  投标文件的有效性</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- 23 -</w:t>
      </w:r>
      <w:r>
        <w:rPr>
          <w:rFonts w:hint="eastAsia" w:ascii="宋体" w:hAnsi="宋体" w:eastAsia="宋体" w:cs="宋体"/>
          <w:color w:val="auto"/>
          <w:sz w:val="24"/>
          <w:szCs w:val="24"/>
        </w:rPr>
        <w:fldChar w:fldCharType="end"/>
      </w:r>
    </w:p>
    <w:p>
      <w:pPr>
        <w:pStyle w:val="35"/>
        <w:tabs>
          <w:tab w:val="right" w:leader="dot" w:pos="9128"/>
          <w:tab w:val="clear" w:pos="9127"/>
        </w:tabs>
        <w:rPr>
          <w:rFonts w:ascii="宋体" w:hAnsi="宋体" w:eastAsia="宋体" w:cs="宋体"/>
          <w:color w:val="auto"/>
          <w:sz w:val="24"/>
          <w:szCs w:val="24"/>
        </w:rPr>
      </w:pPr>
      <w:r>
        <w:rPr>
          <w:rFonts w:hint="eastAsia" w:ascii="宋体" w:hAnsi="宋体" w:eastAsia="宋体" w:cs="宋体"/>
          <w:color w:val="auto"/>
          <w:sz w:val="24"/>
          <w:szCs w:val="24"/>
        </w:rPr>
        <w:t>第六章  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_Toc7043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- 25 -</w:t>
      </w:r>
      <w:r>
        <w:rPr>
          <w:rFonts w:hint="eastAsia" w:ascii="宋体" w:hAnsi="宋体" w:eastAsia="宋体" w:cs="宋体"/>
          <w:color w:val="auto"/>
          <w:sz w:val="24"/>
          <w:szCs w:val="24"/>
        </w:rPr>
        <w:fldChar w:fldCharType="end"/>
      </w:r>
    </w:p>
    <w:p>
      <w:pPr>
        <w:pStyle w:val="44"/>
        <w:tabs>
          <w:tab w:val="right" w:leader="dot" w:pos="9128"/>
        </w:tabs>
        <w:spacing w:line="360" w:lineRule="auto"/>
        <w:rPr>
          <w:rFonts w:ascii="宋体" w:hAnsi="宋体" w:cs="宋体"/>
          <w:color w:val="auto"/>
          <w:sz w:val="24"/>
          <w:szCs w:val="24"/>
        </w:rPr>
      </w:pPr>
      <w:r>
        <w:rPr>
          <w:rFonts w:hint="eastAsia" w:ascii="宋体" w:hAnsi="宋体" w:cs="宋体"/>
          <w:color w:val="auto"/>
          <w:sz w:val="24"/>
          <w:szCs w:val="24"/>
        </w:rPr>
        <w:t>一、评审程序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_Toc13171 \h </w:instrText>
      </w:r>
      <w:r>
        <w:rPr>
          <w:rFonts w:hint="eastAsia" w:ascii="宋体" w:hAnsi="宋体" w:cs="宋体"/>
          <w:color w:val="auto"/>
          <w:sz w:val="24"/>
          <w:szCs w:val="24"/>
        </w:rPr>
        <w:fldChar w:fldCharType="separate"/>
      </w:r>
      <w:r>
        <w:rPr>
          <w:rFonts w:hint="eastAsia" w:ascii="宋体" w:hAnsi="宋体" w:cs="宋体"/>
          <w:color w:val="auto"/>
          <w:sz w:val="24"/>
          <w:szCs w:val="24"/>
        </w:rPr>
        <w:t>- 25 -</w:t>
      </w:r>
      <w:r>
        <w:rPr>
          <w:rFonts w:hint="eastAsia" w:ascii="宋体" w:hAnsi="宋体" w:cs="宋体"/>
          <w:color w:val="auto"/>
          <w:sz w:val="24"/>
          <w:szCs w:val="24"/>
        </w:rPr>
        <w:fldChar w:fldCharType="end"/>
      </w:r>
    </w:p>
    <w:p>
      <w:pPr>
        <w:pStyle w:val="44"/>
        <w:tabs>
          <w:tab w:val="right" w:leader="dot" w:pos="9128"/>
        </w:tabs>
        <w:spacing w:line="360" w:lineRule="auto"/>
        <w:rPr>
          <w:rFonts w:ascii="宋体" w:hAnsi="宋体" w:cs="宋体"/>
          <w:color w:val="auto"/>
          <w:sz w:val="24"/>
          <w:szCs w:val="24"/>
        </w:rPr>
      </w:pPr>
      <w:r>
        <w:rPr>
          <w:rFonts w:hint="eastAsia" w:ascii="宋体" w:hAnsi="宋体" w:cs="宋体"/>
          <w:color w:val="auto"/>
          <w:sz w:val="24"/>
          <w:szCs w:val="24"/>
        </w:rPr>
        <w:t>二、评审办法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_Toc2442 \h </w:instrText>
      </w:r>
      <w:r>
        <w:rPr>
          <w:rFonts w:hint="eastAsia" w:ascii="宋体" w:hAnsi="宋体" w:cs="宋体"/>
          <w:color w:val="auto"/>
          <w:sz w:val="24"/>
          <w:szCs w:val="24"/>
        </w:rPr>
        <w:fldChar w:fldCharType="separate"/>
      </w:r>
      <w:r>
        <w:rPr>
          <w:rFonts w:hint="eastAsia" w:ascii="宋体" w:hAnsi="宋体" w:cs="宋体"/>
          <w:color w:val="auto"/>
          <w:sz w:val="24"/>
          <w:szCs w:val="24"/>
        </w:rPr>
        <w:t>- 25 -</w:t>
      </w:r>
      <w:r>
        <w:rPr>
          <w:rFonts w:hint="eastAsia" w:ascii="宋体" w:hAnsi="宋体" w:cs="宋体"/>
          <w:color w:val="auto"/>
          <w:sz w:val="24"/>
          <w:szCs w:val="24"/>
        </w:rPr>
        <w:fldChar w:fldCharType="end"/>
      </w:r>
    </w:p>
    <w:p>
      <w:pPr>
        <w:pStyle w:val="35"/>
        <w:tabs>
          <w:tab w:val="right" w:leader="dot" w:pos="9128"/>
          <w:tab w:val="clear" w:pos="9127"/>
        </w:tabs>
        <w:rPr>
          <w:rFonts w:ascii="宋体" w:hAnsi="宋体" w:eastAsia="宋体" w:cs="宋体"/>
          <w:color w:val="auto"/>
          <w:sz w:val="24"/>
          <w:szCs w:val="24"/>
        </w:rPr>
      </w:pPr>
      <w:r>
        <w:rPr>
          <w:rFonts w:hint="eastAsia" w:ascii="宋体" w:hAnsi="宋体" w:eastAsia="宋体" w:cs="宋体"/>
          <w:color w:val="auto"/>
          <w:sz w:val="24"/>
          <w:szCs w:val="24"/>
        </w:rPr>
        <w:t>第七章  合同主要条款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_Toc31872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- 29 -</w:t>
      </w:r>
      <w:r>
        <w:rPr>
          <w:rFonts w:hint="eastAsia" w:ascii="宋体" w:hAnsi="宋体" w:eastAsia="宋体" w:cs="宋体"/>
          <w:color w:val="auto"/>
          <w:sz w:val="24"/>
          <w:szCs w:val="24"/>
        </w:rPr>
        <w:fldChar w:fldCharType="end"/>
      </w:r>
    </w:p>
    <w:p>
      <w:pPr>
        <w:pStyle w:val="35"/>
        <w:tabs>
          <w:tab w:val="right" w:leader="dot" w:pos="9128"/>
          <w:tab w:val="clear" w:pos="9127"/>
        </w:tabs>
        <w:rPr>
          <w:rFonts w:ascii="宋体" w:hAnsi="宋体" w:eastAsia="宋体" w:cs="宋体"/>
          <w:color w:val="auto"/>
          <w:sz w:val="24"/>
          <w:szCs w:val="24"/>
        </w:rPr>
      </w:pPr>
      <w:r>
        <w:rPr>
          <w:rFonts w:hint="eastAsia" w:ascii="宋体" w:hAnsi="宋体" w:eastAsia="宋体" w:cs="宋体"/>
          <w:color w:val="auto"/>
          <w:sz w:val="24"/>
          <w:szCs w:val="24"/>
        </w:rPr>
        <w:t>第八章  投标文件部分格式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_Toc5918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- 36 -</w:t>
      </w:r>
      <w:r>
        <w:rPr>
          <w:rFonts w:hint="eastAsia" w:ascii="宋体" w:hAnsi="宋体" w:eastAsia="宋体" w:cs="宋体"/>
          <w:color w:val="auto"/>
          <w:sz w:val="24"/>
          <w:szCs w:val="24"/>
        </w:rPr>
        <w:fldChar w:fldCharType="end"/>
      </w:r>
    </w:p>
    <w:p>
      <w:pPr>
        <w:pStyle w:val="2"/>
        <w:spacing w:before="0" w:after="0" w:line="360" w:lineRule="auto"/>
        <w:rPr>
          <w:b w:val="0"/>
          <w:color w:val="auto"/>
          <w:sz w:val="24"/>
        </w:rPr>
      </w:pPr>
      <w:r>
        <w:rPr>
          <w:rFonts w:hint="eastAsia" w:ascii="宋体" w:hAnsi="宋体" w:cs="宋体"/>
          <w:color w:val="auto"/>
          <w:sz w:val="24"/>
          <w:szCs w:val="24"/>
        </w:rPr>
        <w:fldChar w:fldCharType="end"/>
      </w:r>
    </w:p>
    <w:p>
      <w:pPr>
        <w:rPr>
          <w:color w:val="auto"/>
          <w:kern w:val="1"/>
        </w:rPr>
      </w:pPr>
    </w:p>
    <w:p>
      <w:pPr>
        <w:rPr>
          <w:color w:val="auto"/>
          <w:kern w:val="1"/>
        </w:rPr>
      </w:pPr>
    </w:p>
    <w:p>
      <w:pPr>
        <w:pStyle w:val="2"/>
        <w:spacing w:before="0" w:after="0" w:line="360" w:lineRule="auto"/>
        <w:jc w:val="center"/>
        <w:rPr>
          <w:color w:val="auto"/>
          <w:sz w:val="36"/>
        </w:rPr>
      </w:pPr>
      <w:r>
        <w:rPr>
          <w:color w:val="auto"/>
        </w:rPr>
        <w:br w:type="page"/>
      </w:r>
      <w:bookmarkStart w:id="0" w:name="_Toc31956"/>
      <w:r>
        <w:rPr>
          <w:color w:val="auto"/>
          <w:sz w:val="32"/>
        </w:rPr>
        <w:t>第一章　采购公告</w:t>
      </w:r>
      <w:bookmarkEnd w:id="0"/>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4" w:type="dxa"/>
          </w:tcPr>
          <w:p>
            <w:pPr>
              <w:pStyle w:val="48"/>
              <w:spacing w:before="0" w:beforeAutospacing="0" w:after="0" w:afterAutospacing="0" w:line="400" w:lineRule="exact"/>
              <w:rPr>
                <w:rFonts w:ascii="Times New Roman" w:hAnsi="Times New Roman"/>
                <w:color w:val="auto"/>
                <w:sz w:val="22"/>
                <w:szCs w:val="22"/>
              </w:rPr>
            </w:pPr>
            <w:r>
              <w:rPr>
                <w:rFonts w:ascii="Times New Roman" w:hAnsi="Times New Roman"/>
                <w:color w:val="auto"/>
                <w:sz w:val="22"/>
                <w:szCs w:val="22"/>
              </w:rPr>
              <w:t>项目概况</w:t>
            </w:r>
          </w:p>
          <w:p>
            <w:pPr>
              <w:spacing w:line="400" w:lineRule="exact"/>
              <w:rPr>
                <w:rStyle w:val="55"/>
                <w:color w:val="auto"/>
                <w:sz w:val="22"/>
                <w:szCs w:val="22"/>
              </w:rPr>
            </w:pPr>
            <w:r>
              <w:rPr>
                <w:color w:val="auto"/>
                <w:sz w:val="22"/>
                <w:szCs w:val="22"/>
              </w:rPr>
              <w:t>      </w:t>
            </w:r>
            <w:r>
              <w:rPr>
                <w:color w:val="auto"/>
                <w:sz w:val="22"/>
                <w:szCs w:val="22"/>
                <w:u w:val="single"/>
              </w:rPr>
              <w:t>  </w:t>
            </w:r>
            <w:r>
              <w:rPr>
                <w:rFonts w:hint="eastAsia"/>
                <w:color w:val="auto"/>
                <w:sz w:val="22"/>
                <w:szCs w:val="22"/>
                <w:u w:val="single"/>
              </w:rPr>
              <w:t>义乌市历史文化保护传承专项规划编制项目</w:t>
            </w:r>
            <w:r>
              <w:rPr>
                <w:color w:val="auto"/>
                <w:sz w:val="22"/>
                <w:szCs w:val="22"/>
                <w:u w:val="single"/>
              </w:rPr>
              <w:t> </w:t>
            </w:r>
            <w:r>
              <w:rPr>
                <w:color w:val="auto"/>
                <w:sz w:val="22"/>
                <w:szCs w:val="22"/>
              </w:rPr>
              <w:t>招标项目的潜在投标人应在</w:t>
            </w:r>
            <w:r>
              <w:rPr>
                <w:color w:val="auto"/>
                <w:sz w:val="22"/>
                <w:szCs w:val="22"/>
                <w:u w:val="single"/>
              </w:rPr>
              <w:t>浙江政府采购网</w:t>
            </w:r>
            <w:r>
              <w:rPr>
                <w:color w:val="auto"/>
                <w:sz w:val="22"/>
                <w:szCs w:val="22"/>
              </w:rPr>
              <w:t>获取（下载）招标文件，并于</w:t>
            </w:r>
            <w:r>
              <w:rPr>
                <w:rFonts w:hint="eastAsia"/>
                <w:color w:val="auto"/>
                <w:sz w:val="22"/>
                <w:szCs w:val="22"/>
                <w:lang w:eastAsia="zh-CN"/>
              </w:rPr>
              <w:t>2024年06月03日</w:t>
            </w:r>
            <w:r>
              <w:rPr>
                <w:rFonts w:hint="eastAsia"/>
                <w:color w:val="auto"/>
                <w:sz w:val="22"/>
                <w:szCs w:val="22"/>
              </w:rPr>
              <w:t>09:30</w:t>
            </w:r>
            <w:r>
              <w:rPr>
                <w:color w:val="auto"/>
                <w:sz w:val="22"/>
                <w:szCs w:val="22"/>
              </w:rPr>
              <w:t>（北京时间）前递交（上传）投标文件。</w:t>
            </w:r>
          </w:p>
        </w:tc>
      </w:tr>
    </w:tbl>
    <w:p>
      <w:pPr>
        <w:pStyle w:val="48"/>
        <w:spacing w:before="0" w:beforeAutospacing="0" w:after="0" w:afterAutospacing="0" w:line="400" w:lineRule="exact"/>
        <w:jc w:val="both"/>
        <w:rPr>
          <w:rFonts w:ascii="Times New Roman" w:hAnsi="Times New Roman"/>
          <w:color w:val="auto"/>
          <w:sz w:val="22"/>
          <w:szCs w:val="22"/>
        </w:rPr>
      </w:pPr>
      <w:r>
        <w:rPr>
          <w:rStyle w:val="55"/>
          <w:color w:val="auto"/>
          <w:sz w:val="22"/>
          <w:szCs w:val="22"/>
        </w:rPr>
        <w:t>一、项目基本情况</w:t>
      </w:r>
    </w:p>
    <w:p>
      <w:pPr>
        <w:pStyle w:val="48"/>
        <w:spacing w:before="0" w:beforeAutospacing="0" w:after="0" w:afterAutospacing="0" w:line="400" w:lineRule="exact"/>
        <w:ind w:firstLine="440" w:firstLineChars="200"/>
        <w:rPr>
          <w:rFonts w:ascii="Times New Roman" w:hAnsi="Times New Roman"/>
          <w:color w:val="auto"/>
          <w:sz w:val="22"/>
          <w:szCs w:val="22"/>
        </w:rPr>
      </w:pPr>
      <w:r>
        <w:rPr>
          <w:rFonts w:ascii="Times New Roman" w:hAnsi="Times New Roman"/>
          <w:color w:val="auto"/>
          <w:sz w:val="22"/>
          <w:szCs w:val="22"/>
        </w:rPr>
        <w:t>项目编号：</w:t>
      </w:r>
      <w:r>
        <w:rPr>
          <w:rFonts w:hint="eastAsia" w:ascii="Times New Roman" w:hAnsi="Times New Roman"/>
          <w:color w:val="auto"/>
          <w:sz w:val="22"/>
          <w:szCs w:val="22"/>
          <w:shd w:val="clear" w:color="auto" w:fill="FFFFFF"/>
        </w:rPr>
        <w:t>KXYC2024014FG</w:t>
      </w:r>
      <w:r>
        <w:rPr>
          <w:rFonts w:ascii="Times New Roman" w:hAnsi="Times New Roman"/>
          <w:color w:val="auto"/>
          <w:sz w:val="22"/>
          <w:szCs w:val="22"/>
        </w:rPr>
        <w:t> </w:t>
      </w:r>
    </w:p>
    <w:p>
      <w:pPr>
        <w:pStyle w:val="48"/>
        <w:spacing w:before="0" w:beforeAutospacing="0" w:after="0" w:afterAutospacing="0" w:line="400" w:lineRule="exact"/>
        <w:ind w:firstLine="440" w:firstLineChars="200"/>
        <w:rPr>
          <w:rFonts w:ascii="Times New Roman" w:hAnsi="Times New Roman"/>
          <w:color w:val="auto"/>
          <w:sz w:val="22"/>
          <w:szCs w:val="22"/>
        </w:rPr>
      </w:pPr>
      <w:r>
        <w:rPr>
          <w:rFonts w:ascii="Times New Roman" w:hAnsi="Times New Roman"/>
          <w:color w:val="auto"/>
          <w:sz w:val="22"/>
          <w:szCs w:val="22"/>
        </w:rPr>
        <w:t>项目名称：</w:t>
      </w:r>
      <w:r>
        <w:rPr>
          <w:rFonts w:hint="eastAsia" w:ascii="Times New Roman" w:hAnsi="Times New Roman"/>
          <w:color w:val="auto"/>
          <w:sz w:val="22"/>
          <w:szCs w:val="22"/>
        </w:rPr>
        <w:t>义乌市历史文化保护传承专项规划编制项目</w:t>
      </w:r>
    </w:p>
    <w:p>
      <w:pPr>
        <w:pStyle w:val="48"/>
        <w:spacing w:before="0" w:beforeAutospacing="0" w:after="0" w:afterAutospacing="0" w:line="400" w:lineRule="exact"/>
        <w:ind w:firstLine="440" w:firstLineChars="200"/>
        <w:rPr>
          <w:rFonts w:ascii="Times New Roman" w:hAnsi="Times New Roman"/>
          <w:color w:val="auto"/>
          <w:sz w:val="22"/>
          <w:szCs w:val="22"/>
          <w:lang w:bidi="ar"/>
        </w:rPr>
      </w:pPr>
      <w:r>
        <w:rPr>
          <w:rFonts w:ascii="Times New Roman" w:hAnsi="Times New Roman"/>
          <w:color w:val="auto"/>
          <w:sz w:val="22"/>
          <w:szCs w:val="22"/>
        </w:rPr>
        <w:t>采购预算</w:t>
      </w:r>
      <w:r>
        <w:rPr>
          <w:rFonts w:ascii="Times New Roman" w:hAnsi="Times New Roman"/>
          <w:color w:val="auto"/>
          <w:sz w:val="22"/>
          <w:szCs w:val="22"/>
          <w:lang w:bidi="ar"/>
        </w:rPr>
        <w:t>：</w:t>
      </w:r>
      <w:r>
        <w:rPr>
          <w:rFonts w:hint="eastAsia" w:ascii="Times New Roman" w:hAnsi="Times New Roman"/>
          <w:color w:val="auto"/>
          <w:sz w:val="22"/>
          <w:szCs w:val="22"/>
          <w:lang w:bidi="ar"/>
        </w:rPr>
        <w:t>本项目采购预算200万元，预算价即为最高限价。</w:t>
      </w:r>
    </w:p>
    <w:p>
      <w:pPr>
        <w:pStyle w:val="48"/>
        <w:spacing w:before="0" w:beforeAutospacing="0" w:after="0" w:afterAutospacing="0" w:line="400" w:lineRule="exact"/>
        <w:ind w:firstLine="440" w:firstLineChars="200"/>
        <w:rPr>
          <w:rFonts w:ascii="Times New Roman" w:hAnsi="Times New Roman"/>
          <w:color w:val="auto"/>
          <w:sz w:val="22"/>
          <w:szCs w:val="22"/>
        </w:rPr>
      </w:pPr>
      <w:r>
        <w:rPr>
          <w:rFonts w:ascii="Times New Roman" w:hAnsi="Times New Roman"/>
          <w:color w:val="auto"/>
          <w:sz w:val="22"/>
          <w:szCs w:val="22"/>
        </w:rPr>
        <w:t xml:space="preserve">采购需求：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8"/>
        <w:gridCol w:w="1866"/>
        <w:gridCol w:w="1392"/>
        <w:gridCol w:w="4417"/>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848" w:type="dxa"/>
            <w:tcMar>
              <w:top w:w="60" w:type="dxa"/>
              <w:left w:w="120" w:type="dxa"/>
              <w:bottom w:w="60" w:type="dxa"/>
              <w:right w:w="120" w:type="dxa"/>
            </w:tcMar>
            <w:vAlign w:val="center"/>
          </w:tcPr>
          <w:p>
            <w:pPr>
              <w:widowControl/>
              <w:wordWrap w:val="0"/>
              <w:spacing w:line="400" w:lineRule="atLeast"/>
              <w:jc w:val="center"/>
              <w:rPr>
                <w:color w:val="auto"/>
                <w:sz w:val="22"/>
                <w:szCs w:val="22"/>
              </w:rPr>
            </w:pPr>
            <w:r>
              <w:rPr>
                <w:color w:val="auto"/>
                <w:sz w:val="22"/>
                <w:szCs w:val="22"/>
                <w:lang w:bidi="ar"/>
              </w:rPr>
              <w:t>标项</w:t>
            </w:r>
          </w:p>
        </w:tc>
        <w:tc>
          <w:tcPr>
            <w:tcW w:w="1866" w:type="dxa"/>
            <w:tcMar>
              <w:top w:w="60" w:type="dxa"/>
              <w:left w:w="120" w:type="dxa"/>
              <w:bottom w:w="60" w:type="dxa"/>
              <w:right w:w="120" w:type="dxa"/>
            </w:tcMar>
            <w:vAlign w:val="center"/>
          </w:tcPr>
          <w:p>
            <w:pPr>
              <w:widowControl/>
              <w:wordWrap w:val="0"/>
              <w:spacing w:line="400" w:lineRule="atLeast"/>
              <w:jc w:val="center"/>
              <w:rPr>
                <w:color w:val="auto"/>
                <w:sz w:val="22"/>
                <w:szCs w:val="22"/>
              </w:rPr>
            </w:pPr>
            <w:r>
              <w:rPr>
                <w:color w:val="auto"/>
                <w:sz w:val="22"/>
                <w:szCs w:val="22"/>
                <w:lang w:bidi="ar"/>
              </w:rPr>
              <w:t>标项名称</w:t>
            </w:r>
          </w:p>
        </w:tc>
        <w:tc>
          <w:tcPr>
            <w:tcW w:w="1392" w:type="dxa"/>
            <w:tcMar>
              <w:top w:w="60" w:type="dxa"/>
              <w:left w:w="120" w:type="dxa"/>
              <w:bottom w:w="60" w:type="dxa"/>
              <w:right w:w="120" w:type="dxa"/>
            </w:tcMar>
            <w:vAlign w:val="center"/>
          </w:tcPr>
          <w:p>
            <w:pPr>
              <w:widowControl/>
              <w:wordWrap w:val="0"/>
              <w:spacing w:line="400" w:lineRule="atLeast"/>
              <w:jc w:val="center"/>
              <w:rPr>
                <w:color w:val="auto"/>
                <w:sz w:val="22"/>
                <w:szCs w:val="22"/>
              </w:rPr>
            </w:pPr>
            <w:r>
              <w:rPr>
                <w:color w:val="auto"/>
                <w:sz w:val="22"/>
                <w:szCs w:val="22"/>
                <w:lang w:bidi="ar"/>
              </w:rPr>
              <w:t>预算金额</w:t>
            </w:r>
          </w:p>
        </w:tc>
        <w:tc>
          <w:tcPr>
            <w:tcW w:w="4417" w:type="dxa"/>
            <w:tcMar>
              <w:top w:w="60" w:type="dxa"/>
              <w:left w:w="120" w:type="dxa"/>
              <w:bottom w:w="60" w:type="dxa"/>
              <w:right w:w="120" w:type="dxa"/>
            </w:tcMar>
            <w:vAlign w:val="center"/>
          </w:tcPr>
          <w:p>
            <w:pPr>
              <w:widowControl/>
              <w:wordWrap w:val="0"/>
              <w:spacing w:line="400" w:lineRule="atLeast"/>
              <w:jc w:val="center"/>
              <w:rPr>
                <w:color w:val="auto"/>
                <w:sz w:val="22"/>
                <w:szCs w:val="22"/>
              </w:rPr>
            </w:pPr>
            <w:r>
              <w:rPr>
                <w:color w:val="auto"/>
                <w:sz w:val="22"/>
                <w:szCs w:val="22"/>
                <w:lang w:bidi="ar"/>
              </w:rPr>
              <w:t>简要规格描述</w:t>
            </w:r>
          </w:p>
        </w:tc>
        <w:tc>
          <w:tcPr>
            <w:tcW w:w="1054" w:type="dxa"/>
            <w:tcMar>
              <w:top w:w="60" w:type="dxa"/>
              <w:left w:w="120" w:type="dxa"/>
              <w:bottom w:w="60" w:type="dxa"/>
              <w:right w:w="120" w:type="dxa"/>
            </w:tcMar>
            <w:vAlign w:val="center"/>
          </w:tcPr>
          <w:p>
            <w:pPr>
              <w:widowControl/>
              <w:wordWrap w:val="0"/>
              <w:spacing w:line="400" w:lineRule="atLeast"/>
              <w:jc w:val="center"/>
              <w:rPr>
                <w:color w:val="auto"/>
                <w:sz w:val="22"/>
                <w:szCs w:val="22"/>
              </w:rPr>
            </w:pPr>
            <w:r>
              <w:rPr>
                <w:color w:val="auto"/>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2" w:hRule="atLeast"/>
          <w:jc w:val="center"/>
        </w:trPr>
        <w:tc>
          <w:tcPr>
            <w:tcW w:w="848" w:type="dxa"/>
            <w:tcMar>
              <w:top w:w="60" w:type="dxa"/>
              <w:left w:w="120" w:type="dxa"/>
              <w:bottom w:w="60" w:type="dxa"/>
              <w:right w:w="120" w:type="dxa"/>
            </w:tcMar>
            <w:vAlign w:val="center"/>
          </w:tcPr>
          <w:p>
            <w:pPr>
              <w:widowControl/>
              <w:wordWrap w:val="0"/>
              <w:spacing w:line="400" w:lineRule="atLeast"/>
              <w:jc w:val="center"/>
              <w:rPr>
                <w:color w:val="auto"/>
                <w:sz w:val="22"/>
                <w:szCs w:val="22"/>
              </w:rPr>
            </w:pPr>
            <w:r>
              <w:rPr>
                <w:color w:val="auto"/>
                <w:sz w:val="22"/>
                <w:szCs w:val="22"/>
                <w:lang w:bidi="ar"/>
              </w:rPr>
              <w:t>1</w:t>
            </w:r>
          </w:p>
        </w:tc>
        <w:tc>
          <w:tcPr>
            <w:tcW w:w="1866" w:type="dxa"/>
            <w:tcMar>
              <w:top w:w="60" w:type="dxa"/>
              <w:left w:w="120" w:type="dxa"/>
              <w:bottom w:w="60" w:type="dxa"/>
              <w:right w:w="120" w:type="dxa"/>
            </w:tcMar>
            <w:vAlign w:val="center"/>
          </w:tcPr>
          <w:p>
            <w:pPr>
              <w:widowControl/>
              <w:wordWrap w:val="0"/>
              <w:spacing w:line="400" w:lineRule="atLeast"/>
              <w:jc w:val="center"/>
              <w:rPr>
                <w:color w:val="auto"/>
                <w:sz w:val="22"/>
                <w:szCs w:val="22"/>
              </w:rPr>
            </w:pPr>
            <w:r>
              <w:rPr>
                <w:rFonts w:hint="eastAsia"/>
                <w:color w:val="auto"/>
                <w:sz w:val="22"/>
                <w:szCs w:val="22"/>
              </w:rPr>
              <w:t>义乌市历史文化保护传承专项规划编制项目</w:t>
            </w:r>
          </w:p>
        </w:tc>
        <w:tc>
          <w:tcPr>
            <w:tcW w:w="1392" w:type="dxa"/>
            <w:tcMar>
              <w:top w:w="60" w:type="dxa"/>
              <w:left w:w="120" w:type="dxa"/>
              <w:bottom w:w="60" w:type="dxa"/>
              <w:right w:w="120" w:type="dxa"/>
            </w:tcMar>
            <w:vAlign w:val="center"/>
          </w:tcPr>
          <w:p>
            <w:pPr>
              <w:widowControl/>
              <w:wordWrap w:val="0"/>
              <w:spacing w:line="400" w:lineRule="atLeast"/>
              <w:jc w:val="center"/>
              <w:rPr>
                <w:color w:val="auto"/>
                <w:sz w:val="22"/>
                <w:szCs w:val="22"/>
              </w:rPr>
            </w:pPr>
            <w:r>
              <w:rPr>
                <w:rFonts w:hint="eastAsia"/>
                <w:color w:val="auto"/>
                <w:sz w:val="22"/>
                <w:szCs w:val="22"/>
                <w:lang w:bidi="ar"/>
              </w:rPr>
              <w:t>200万元</w:t>
            </w:r>
          </w:p>
        </w:tc>
        <w:tc>
          <w:tcPr>
            <w:tcW w:w="4417" w:type="dxa"/>
            <w:tcMar>
              <w:top w:w="60" w:type="dxa"/>
              <w:left w:w="120" w:type="dxa"/>
              <w:bottom w:w="60" w:type="dxa"/>
              <w:right w:w="120" w:type="dxa"/>
            </w:tcMar>
            <w:vAlign w:val="center"/>
          </w:tcPr>
          <w:p>
            <w:pPr>
              <w:widowControl/>
              <w:wordWrap w:val="0"/>
              <w:spacing w:line="400" w:lineRule="atLeast"/>
              <w:jc w:val="center"/>
              <w:rPr>
                <w:color w:val="auto"/>
                <w:sz w:val="22"/>
                <w:szCs w:val="22"/>
              </w:rPr>
            </w:pPr>
            <w:r>
              <w:rPr>
                <w:rFonts w:hint="eastAsia"/>
                <w:bCs/>
                <w:color w:val="auto"/>
                <w:szCs w:val="28"/>
              </w:rPr>
              <w:t>编制工作</w:t>
            </w:r>
            <w:r>
              <w:rPr>
                <w:bCs/>
                <w:color w:val="auto"/>
                <w:szCs w:val="28"/>
              </w:rPr>
              <w:t>主要包括</w:t>
            </w:r>
            <w:r>
              <w:rPr>
                <w:rFonts w:hint="eastAsia"/>
                <w:bCs/>
                <w:color w:val="auto"/>
                <w:szCs w:val="28"/>
              </w:rPr>
              <w:t>基础调研、方案编制、征求意见、审查论证、成果报批等阶段</w:t>
            </w:r>
            <w:r>
              <w:rPr>
                <w:rFonts w:hint="eastAsia" w:ascii="宋体" w:hAnsi="宋体" w:cs="宋体"/>
                <w:color w:val="auto"/>
                <w:sz w:val="22"/>
                <w:szCs w:val="22"/>
              </w:rPr>
              <w:t>，具体内容及要求详见第三章“招标项目要求”。</w:t>
            </w:r>
          </w:p>
        </w:tc>
        <w:tc>
          <w:tcPr>
            <w:tcW w:w="1054" w:type="dxa"/>
            <w:tcMar>
              <w:top w:w="60" w:type="dxa"/>
              <w:left w:w="120" w:type="dxa"/>
              <w:bottom w:w="60" w:type="dxa"/>
              <w:right w:w="120" w:type="dxa"/>
            </w:tcMar>
            <w:vAlign w:val="center"/>
          </w:tcPr>
          <w:p>
            <w:pPr>
              <w:widowControl/>
              <w:wordWrap w:val="0"/>
              <w:spacing w:line="400" w:lineRule="atLeast"/>
              <w:jc w:val="center"/>
              <w:rPr>
                <w:color w:val="auto"/>
                <w:sz w:val="22"/>
                <w:szCs w:val="22"/>
              </w:rPr>
            </w:pPr>
          </w:p>
        </w:tc>
      </w:tr>
    </w:tbl>
    <w:p>
      <w:pPr>
        <w:pStyle w:val="48"/>
        <w:spacing w:before="0" w:beforeAutospacing="0" w:after="0" w:afterAutospacing="0" w:line="400" w:lineRule="exact"/>
        <w:ind w:firstLine="442" w:firstLineChars="200"/>
        <w:rPr>
          <w:rFonts w:ascii="Times New Roman" w:hAnsi="Times New Roman"/>
          <w:color w:val="auto"/>
          <w:sz w:val="22"/>
          <w:szCs w:val="22"/>
        </w:rPr>
      </w:pPr>
      <w:r>
        <w:rPr>
          <w:rStyle w:val="55"/>
          <w:color w:val="auto"/>
          <w:sz w:val="22"/>
          <w:szCs w:val="22"/>
        </w:rPr>
        <w:t> 二、申请人的资格要求：</w:t>
      </w:r>
    </w:p>
    <w:p>
      <w:pPr>
        <w:pStyle w:val="48"/>
        <w:spacing w:before="0" w:beforeAutospacing="0" w:after="0" w:afterAutospacing="0" w:line="420" w:lineRule="exact"/>
        <w:ind w:firstLine="360"/>
        <w:rPr>
          <w:rFonts w:ascii="Times New Roman" w:hAnsi="Times New Roman"/>
          <w:color w:val="auto"/>
          <w:sz w:val="22"/>
          <w:szCs w:val="22"/>
        </w:rPr>
      </w:pPr>
      <w:r>
        <w:rPr>
          <w:rFonts w:hint="eastAsia" w:ascii="Times New Roman" w:hAnsi="Times New Roman"/>
          <w:color w:val="auto"/>
          <w:sz w:val="22"/>
          <w:szCs w:val="22"/>
        </w:rPr>
        <w:t>1、</w:t>
      </w:r>
      <w:r>
        <w:rPr>
          <w:rFonts w:ascii="Times New Roman" w:hAnsi="Times New Roman"/>
          <w:color w:val="auto"/>
          <w:sz w:val="22"/>
          <w:szCs w:val="22"/>
        </w:rPr>
        <w:t>满足《中华人民共和国政府采购法》第二十二条规定</w:t>
      </w:r>
      <w:r>
        <w:rPr>
          <w:rFonts w:hint="eastAsia" w:ascii="Times New Roman" w:hAnsi="Times New Roman"/>
          <w:color w:val="auto"/>
          <w:sz w:val="22"/>
          <w:szCs w:val="22"/>
        </w:rPr>
        <w:t>或符合浙财采监【2013】24号《关于规范政府采购供应商资格设定及资格审查的通知》第六条规定</w:t>
      </w:r>
      <w:r>
        <w:rPr>
          <w:rFonts w:ascii="Times New Roman" w:hAnsi="Times New Roman"/>
          <w:color w:val="auto"/>
          <w:sz w:val="22"/>
          <w:szCs w:val="22"/>
        </w:rPr>
        <w:t>；</w:t>
      </w:r>
    </w:p>
    <w:p>
      <w:pPr>
        <w:pStyle w:val="48"/>
        <w:spacing w:before="0" w:beforeAutospacing="0" w:after="0" w:afterAutospacing="0" w:line="420" w:lineRule="exact"/>
        <w:ind w:firstLine="360"/>
        <w:rPr>
          <w:rFonts w:ascii="Times New Roman" w:hAnsi="Times New Roman"/>
          <w:color w:val="auto"/>
          <w:sz w:val="22"/>
          <w:szCs w:val="22"/>
        </w:rPr>
      </w:pPr>
      <w:r>
        <w:rPr>
          <w:rFonts w:hint="eastAsia" w:ascii="Times New Roman" w:hAnsi="Times New Roman"/>
          <w:color w:val="auto"/>
          <w:sz w:val="22"/>
          <w:szCs w:val="22"/>
        </w:rPr>
        <w:t>2、具有城乡规划编制甲级资质和土地规划乙级及以上资质；</w:t>
      </w:r>
    </w:p>
    <w:p>
      <w:pPr>
        <w:pStyle w:val="48"/>
        <w:spacing w:before="0" w:beforeAutospacing="0" w:after="0" w:afterAutospacing="0" w:line="420" w:lineRule="exact"/>
        <w:ind w:firstLine="360"/>
        <w:rPr>
          <w:rFonts w:ascii="Times New Roman" w:hAnsi="Times New Roman"/>
          <w:color w:val="auto"/>
          <w:sz w:val="22"/>
          <w:szCs w:val="22"/>
        </w:rPr>
      </w:pPr>
      <w:r>
        <w:rPr>
          <w:rFonts w:hint="eastAsia" w:ascii="Times New Roman" w:hAnsi="Times New Roman"/>
          <w:color w:val="auto"/>
          <w:sz w:val="22"/>
          <w:szCs w:val="22"/>
        </w:rPr>
        <w:t>3、</w:t>
      </w:r>
      <w:r>
        <w:rPr>
          <w:rFonts w:ascii="Times New Roman" w:hAnsi="Times New Roman"/>
          <w:color w:val="auto"/>
          <w:sz w:val="22"/>
          <w:szCs w:val="22"/>
        </w:rPr>
        <w:t>供应商自</w:t>
      </w:r>
      <w:r>
        <w:rPr>
          <w:rFonts w:hint="eastAsia" w:ascii="Times New Roman" w:hAnsi="Times New Roman"/>
          <w:color w:val="auto"/>
          <w:sz w:val="22"/>
          <w:szCs w:val="22"/>
        </w:rPr>
        <w:t>2021年</w:t>
      </w:r>
      <w:r>
        <w:rPr>
          <w:rFonts w:ascii="Times New Roman" w:hAnsi="Times New Roman"/>
          <w:color w:val="auto"/>
          <w:sz w:val="22"/>
          <w:szCs w:val="22"/>
        </w:rPr>
        <w:t>01月01日起</w:t>
      </w:r>
      <w:r>
        <w:rPr>
          <w:rFonts w:hint="eastAsia" w:ascii="Times New Roman" w:hAnsi="Times New Roman"/>
          <w:color w:val="auto"/>
          <w:sz w:val="22"/>
          <w:szCs w:val="22"/>
        </w:rPr>
        <w:t>至</w:t>
      </w:r>
      <w:r>
        <w:rPr>
          <w:rFonts w:ascii="Times New Roman" w:hAnsi="Times New Roman"/>
          <w:color w:val="auto"/>
          <w:sz w:val="22"/>
          <w:szCs w:val="22"/>
        </w:rPr>
        <w:t>中标公告期结束前无行贿犯罪记录［</w:t>
      </w:r>
      <w:r>
        <w:rPr>
          <w:rFonts w:hint="eastAsia" w:ascii="Times New Roman" w:hAnsi="Times New Roman"/>
          <w:color w:val="auto"/>
          <w:sz w:val="22"/>
          <w:szCs w:val="22"/>
        </w:rPr>
        <w:t>以</w:t>
      </w:r>
      <w:r>
        <w:rPr>
          <w:rFonts w:ascii="Times New Roman" w:hAnsi="Times New Roman"/>
          <w:color w:val="auto"/>
          <w:sz w:val="22"/>
          <w:szCs w:val="22"/>
        </w:rPr>
        <w:t>中国裁判文书网（http://wenshu.court.gov.cn/）查询结果为准］；</w:t>
      </w:r>
    </w:p>
    <w:p>
      <w:pPr>
        <w:pStyle w:val="48"/>
        <w:spacing w:before="0" w:beforeAutospacing="0" w:after="0" w:afterAutospacing="0" w:line="420" w:lineRule="exact"/>
        <w:ind w:firstLine="360"/>
        <w:rPr>
          <w:rFonts w:ascii="Times New Roman" w:hAnsi="Times New Roman"/>
          <w:color w:val="auto"/>
          <w:sz w:val="22"/>
          <w:szCs w:val="22"/>
        </w:rPr>
      </w:pPr>
      <w:r>
        <w:rPr>
          <w:rFonts w:hint="eastAsia" w:ascii="Times New Roman" w:hAnsi="Times New Roman"/>
          <w:color w:val="auto"/>
          <w:sz w:val="22"/>
          <w:szCs w:val="22"/>
        </w:rPr>
        <w:t>4、</w:t>
      </w:r>
      <w:r>
        <w:rPr>
          <w:rFonts w:ascii="Times New Roman" w:hAnsi="Times New Roman"/>
          <w:color w:val="auto"/>
          <w:sz w:val="22"/>
          <w:szCs w:val="22"/>
        </w:rPr>
        <w:t>根据《关于在全市公共资源交易活动中应用信用报告的通知》（义行服管〔2017〕17号）的规定，综合信用报告评级不属于D类或E类的（无信用评价供应商不受此项条件限制，查询结果以开标当日网站页面显示内容为准）；</w:t>
      </w:r>
    </w:p>
    <w:p>
      <w:pPr>
        <w:pStyle w:val="48"/>
        <w:spacing w:before="0" w:beforeAutospacing="0" w:after="0" w:afterAutospacing="0" w:line="420" w:lineRule="exact"/>
        <w:ind w:firstLine="360"/>
        <w:rPr>
          <w:rFonts w:ascii="Times New Roman" w:hAnsi="Times New Roman"/>
          <w:color w:val="auto"/>
          <w:sz w:val="22"/>
          <w:szCs w:val="22"/>
        </w:rPr>
      </w:pPr>
      <w:r>
        <w:rPr>
          <w:rFonts w:hint="eastAsia" w:ascii="Times New Roman" w:hAnsi="Times New Roman"/>
          <w:color w:val="auto"/>
          <w:sz w:val="22"/>
          <w:szCs w:val="22"/>
        </w:rPr>
        <w:t>5、</w:t>
      </w:r>
      <w:r>
        <w:rPr>
          <w:rFonts w:ascii="Times New Roman" w:hAnsi="Times New Roman"/>
          <w:color w:val="auto"/>
          <w:sz w:val="22"/>
          <w:szCs w:val="22"/>
        </w:rPr>
        <w:t>参加政府采购活动前三年内，供应商在经营活动中没有重大违法记录，且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pStyle w:val="48"/>
        <w:spacing w:before="0" w:beforeAutospacing="0" w:after="0" w:afterAutospacing="0" w:line="420" w:lineRule="exact"/>
        <w:ind w:firstLine="360"/>
        <w:rPr>
          <w:rFonts w:ascii="Times New Roman" w:hAnsi="Times New Roman"/>
          <w:color w:val="auto"/>
          <w:sz w:val="22"/>
          <w:szCs w:val="22"/>
        </w:rPr>
      </w:pPr>
      <w:r>
        <w:rPr>
          <w:rFonts w:hint="eastAsia" w:ascii="Times New Roman" w:hAnsi="Times New Roman"/>
          <w:color w:val="auto"/>
          <w:sz w:val="22"/>
          <w:szCs w:val="22"/>
        </w:rPr>
        <w:t>6、</w:t>
      </w:r>
      <w:r>
        <w:rPr>
          <w:rFonts w:ascii="Times New Roman" w:hAnsi="Times New Roman"/>
          <w:color w:val="auto"/>
          <w:sz w:val="22"/>
          <w:szCs w:val="22"/>
        </w:rPr>
        <w:t>公益一类事业单位不属于政府购买服务的承接主体，不得参与承接购买服务采购项目。</w:t>
      </w:r>
    </w:p>
    <w:p>
      <w:pPr>
        <w:pStyle w:val="48"/>
        <w:spacing w:before="0" w:beforeAutospacing="0" w:after="0" w:afterAutospacing="0" w:line="420" w:lineRule="exact"/>
        <w:ind w:firstLine="360"/>
        <w:rPr>
          <w:rFonts w:ascii="Times New Roman" w:hAnsi="Times New Roman"/>
          <w:color w:val="auto"/>
          <w:sz w:val="22"/>
          <w:szCs w:val="22"/>
        </w:rPr>
      </w:pPr>
      <w:r>
        <w:rPr>
          <w:rFonts w:hint="eastAsia" w:ascii="Times New Roman" w:hAnsi="Times New Roman"/>
          <w:color w:val="auto"/>
          <w:sz w:val="22"/>
          <w:szCs w:val="22"/>
        </w:rPr>
        <w:t>7、本项目不接受联合体投标</w:t>
      </w:r>
      <w:r>
        <w:rPr>
          <w:rFonts w:ascii="Times New Roman" w:hAnsi="Times New Roman"/>
          <w:color w:val="auto"/>
          <w:sz w:val="22"/>
          <w:szCs w:val="22"/>
        </w:rPr>
        <w:t>。</w:t>
      </w:r>
    </w:p>
    <w:p>
      <w:pPr>
        <w:pStyle w:val="48"/>
        <w:spacing w:before="0" w:beforeAutospacing="0" w:after="0" w:afterAutospacing="0" w:line="420" w:lineRule="exact"/>
        <w:ind w:firstLine="360"/>
        <w:rPr>
          <w:rFonts w:ascii="Times New Roman" w:hAnsi="Times New Roman"/>
          <w:color w:val="auto"/>
          <w:sz w:val="22"/>
          <w:szCs w:val="22"/>
        </w:rPr>
      </w:pPr>
      <w:r>
        <w:rPr>
          <w:rFonts w:hint="eastAsia" w:ascii="Times New Roman" w:hAnsi="Times New Roman"/>
          <w:color w:val="auto"/>
          <w:sz w:val="22"/>
          <w:szCs w:val="22"/>
        </w:rPr>
        <w:t>8、落实政府采购政策需满足的资格要求：本项目专门面向中小企业采购，中小企业是指满足《政府采购促进中小企业发展管理办法》（财库〔2020〕46号）规定的企业。投标人属于依据国务院批准的中小企业划分标准确定的中型企业、小型企业和微型企业，但与大企业的负责人为同一人，或者与大企业存在直接控股、管理关系的除外。</w:t>
      </w:r>
    </w:p>
    <w:p>
      <w:pPr>
        <w:pStyle w:val="48"/>
        <w:spacing w:before="0" w:beforeAutospacing="0" w:after="0" w:afterAutospacing="0" w:line="420" w:lineRule="exact"/>
        <w:jc w:val="both"/>
        <w:rPr>
          <w:rFonts w:ascii="Times New Roman" w:hAnsi="Times New Roman"/>
          <w:color w:val="auto"/>
          <w:sz w:val="22"/>
          <w:szCs w:val="22"/>
        </w:rPr>
      </w:pPr>
      <w:r>
        <w:rPr>
          <w:rStyle w:val="55"/>
          <w:color w:val="auto"/>
          <w:sz w:val="22"/>
          <w:szCs w:val="22"/>
        </w:rPr>
        <w:t>三、获取招标文件</w:t>
      </w:r>
    </w:p>
    <w:p>
      <w:pPr>
        <w:pStyle w:val="48"/>
        <w:spacing w:before="0" w:beforeAutospacing="0" w:after="0" w:afterAutospacing="0" w:line="420" w:lineRule="exact"/>
        <w:ind w:firstLine="440" w:firstLineChars="200"/>
        <w:rPr>
          <w:rFonts w:ascii="Times New Roman" w:hAnsi="Times New Roman"/>
          <w:color w:val="auto"/>
          <w:sz w:val="22"/>
          <w:szCs w:val="22"/>
        </w:rPr>
      </w:pPr>
      <w:r>
        <w:rPr>
          <w:rFonts w:ascii="Times New Roman" w:hAnsi="Times New Roman"/>
          <w:color w:val="auto"/>
          <w:sz w:val="22"/>
          <w:szCs w:val="22"/>
        </w:rPr>
        <w:t>时间：</w:t>
      </w:r>
      <w:r>
        <w:rPr>
          <w:rFonts w:ascii="Times New Roman" w:hAnsi="Times New Roman"/>
          <w:color w:val="auto"/>
          <w:sz w:val="22"/>
          <w:szCs w:val="22"/>
          <w:u w:val="single"/>
          <w:shd w:val="clear" w:color="auto" w:fill="FFFFFF"/>
        </w:rPr>
        <w:t>公告发布日期</w:t>
      </w:r>
      <w:r>
        <w:rPr>
          <w:rFonts w:ascii="Times New Roman" w:hAnsi="Times New Roman"/>
          <w:color w:val="auto"/>
          <w:sz w:val="22"/>
          <w:szCs w:val="22"/>
        </w:rPr>
        <w:t>至</w:t>
      </w:r>
      <w:r>
        <w:rPr>
          <w:rFonts w:hint="eastAsia" w:ascii="Times New Roman" w:hAnsi="Times New Roman"/>
          <w:color w:val="auto"/>
          <w:sz w:val="22"/>
          <w:szCs w:val="22"/>
          <w:u w:val="single"/>
          <w:lang w:eastAsia="zh-CN"/>
        </w:rPr>
        <w:t>2024年06月03日</w:t>
      </w:r>
      <w:r>
        <w:rPr>
          <w:rFonts w:ascii="Times New Roman" w:hAnsi="Times New Roman"/>
          <w:color w:val="auto"/>
          <w:sz w:val="22"/>
          <w:szCs w:val="22"/>
        </w:rPr>
        <w:t>，每天上午</w:t>
      </w:r>
      <w:r>
        <w:rPr>
          <w:rFonts w:ascii="Times New Roman" w:hAnsi="Times New Roman"/>
          <w:color w:val="auto"/>
          <w:sz w:val="22"/>
          <w:szCs w:val="22"/>
          <w:u w:val="single"/>
        </w:rPr>
        <w:t>00:00至12:00</w:t>
      </w:r>
      <w:r>
        <w:rPr>
          <w:rFonts w:ascii="Times New Roman" w:hAnsi="Times New Roman"/>
          <w:color w:val="auto"/>
          <w:sz w:val="22"/>
          <w:szCs w:val="22"/>
        </w:rPr>
        <w:t>，下午</w:t>
      </w:r>
      <w:r>
        <w:rPr>
          <w:rFonts w:ascii="Times New Roman" w:hAnsi="Times New Roman"/>
          <w:color w:val="auto"/>
          <w:sz w:val="22"/>
          <w:szCs w:val="22"/>
          <w:u w:val="single"/>
        </w:rPr>
        <w:t>12:00至23:59</w:t>
      </w:r>
      <w:r>
        <w:rPr>
          <w:rFonts w:ascii="Times New Roman" w:hAnsi="Times New Roman"/>
          <w:color w:val="auto"/>
          <w:sz w:val="22"/>
          <w:szCs w:val="22"/>
        </w:rPr>
        <w:t>（北京时间，线上获取法定节假日均可，线下获取文件法定节假日除外）</w:t>
      </w:r>
    </w:p>
    <w:p>
      <w:pPr>
        <w:pStyle w:val="48"/>
        <w:spacing w:before="0" w:beforeAutospacing="0" w:after="0" w:afterAutospacing="0" w:line="420" w:lineRule="exact"/>
        <w:ind w:firstLine="440" w:firstLineChars="200"/>
        <w:rPr>
          <w:rFonts w:ascii="Times New Roman" w:hAnsi="Times New Roman"/>
          <w:color w:val="auto"/>
          <w:sz w:val="22"/>
          <w:szCs w:val="22"/>
        </w:rPr>
      </w:pPr>
      <w:r>
        <w:rPr>
          <w:rFonts w:ascii="Times New Roman" w:hAnsi="Times New Roman"/>
          <w:color w:val="auto"/>
          <w:sz w:val="22"/>
          <w:szCs w:val="22"/>
        </w:rPr>
        <w:t>地点（网址）： 浙江政府采购网 </w:t>
      </w:r>
    </w:p>
    <w:p>
      <w:pPr>
        <w:pStyle w:val="48"/>
        <w:spacing w:before="0" w:beforeAutospacing="0" w:after="0" w:afterAutospacing="0" w:line="420" w:lineRule="exact"/>
        <w:ind w:firstLine="440" w:firstLineChars="200"/>
        <w:rPr>
          <w:rFonts w:ascii="Times New Roman" w:hAnsi="Times New Roman"/>
          <w:color w:val="auto"/>
          <w:sz w:val="22"/>
          <w:szCs w:val="22"/>
        </w:rPr>
      </w:pPr>
      <w:r>
        <w:rPr>
          <w:rFonts w:ascii="Times New Roman" w:hAnsi="Times New Roman"/>
          <w:color w:val="auto"/>
          <w:sz w:val="22"/>
          <w:szCs w:val="22"/>
        </w:rPr>
        <w:t>方式：投标人请自行登录浙江政府采购网（http://www.zjzfcg.gov.cn/ ）免费下载且无需报名【登录政采云平台账号→点击获取招标文件→填写获取招标文件信息（包含联系人、联系方式、邮箱、地址）或至公告附件处下载】。 </w:t>
      </w:r>
    </w:p>
    <w:p>
      <w:pPr>
        <w:pStyle w:val="48"/>
        <w:spacing w:before="0" w:beforeAutospacing="0" w:after="0" w:afterAutospacing="0" w:line="420" w:lineRule="exact"/>
        <w:jc w:val="both"/>
        <w:rPr>
          <w:rFonts w:ascii="Times New Roman" w:hAnsi="Times New Roman"/>
          <w:color w:val="auto"/>
          <w:sz w:val="22"/>
          <w:szCs w:val="22"/>
        </w:rPr>
      </w:pPr>
      <w:r>
        <w:rPr>
          <w:rStyle w:val="55"/>
          <w:color w:val="auto"/>
          <w:sz w:val="22"/>
          <w:szCs w:val="22"/>
        </w:rPr>
        <w:t>四、提交投标文件截止时间、开标时间和地点</w:t>
      </w:r>
    </w:p>
    <w:p>
      <w:pPr>
        <w:pStyle w:val="48"/>
        <w:spacing w:before="0" w:beforeAutospacing="0" w:after="0" w:afterAutospacing="0" w:line="420" w:lineRule="exact"/>
        <w:ind w:firstLine="440" w:firstLineChars="200"/>
        <w:rPr>
          <w:rFonts w:ascii="Times New Roman" w:hAnsi="Times New Roman"/>
          <w:color w:val="auto"/>
          <w:sz w:val="22"/>
          <w:szCs w:val="22"/>
        </w:rPr>
      </w:pPr>
      <w:r>
        <w:rPr>
          <w:rFonts w:ascii="Times New Roman" w:hAnsi="Times New Roman"/>
          <w:color w:val="auto"/>
          <w:sz w:val="22"/>
          <w:szCs w:val="22"/>
        </w:rPr>
        <w:t>提交投标文件截止时间：</w:t>
      </w:r>
      <w:r>
        <w:rPr>
          <w:rFonts w:hint="eastAsia" w:ascii="Times New Roman" w:hAnsi="Times New Roman"/>
          <w:color w:val="auto"/>
          <w:sz w:val="22"/>
          <w:szCs w:val="22"/>
          <w:u w:val="single"/>
          <w:lang w:eastAsia="zh-CN"/>
        </w:rPr>
        <w:t>2024年06月03日</w:t>
      </w:r>
      <w:r>
        <w:rPr>
          <w:rFonts w:hint="eastAsia" w:ascii="Times New Roman" w:hAnsi="Times New Roman"/>
          <w:color w:val="auto"/>
          <w:sz w:val="22"/>
          <w:szCs w:val="22"/>
          <w:u w:val="single"/>
        </w:rPr>
        <w:t>09:30</w:t>
      </w:r>
      <w:r>
        <w:rPr>
          <w:rFonts w:ascii="Times New Roman" w:hAnsi="Times New Roman"/>
          <w:color w:val="auto"/>
          <w:sz w:val="22"/>
          <w:szCs w:val="22"/>
        </w:rPr>
        <w:t>（北京时间，下同）</w:t>
      </w:r>
    </w:p>
    <w:p>
      <w:pPr>
        <w:pStyle w:val="48"/>
        <w:spacing w:before="0" w:beforeAutospacing="0" w:after="0" w:afterAutospacing="0" w:line="420" w:lineRule="exact"/>
        <w:ind w:firstLine="440" w:firstLineChars="200"/>
        <w:rPr>
          <w:rFonts w:ascii="Times New Roman" w:hAnsi="Times New Roman"/>
          <w:color w:val="auto"/>
          <w:sz w:val="22"/>
          <w:szCs w:val="22"/>
        </w:rPr>
      </w:pPr>
      <w:r>
        <w:rPr>
          <w:rFonts w:ascii="Times New Roman" w:hAnsi="Times New Roman"/>
          <w:color w:val="auto"/>
          <w:sz w:val="22"/>
          <w:szCs w:val="22"/>
        </w:rPr>
        <w:t>投标地点（网址）：</w:t>
      </w:r>
      <w:r>
        <w:rPr>
          <w:rFonts w:ascii="Times New Roman" w:hAnsi="Times New Roman"/>
          <w:color w:val="auto"/>
          <w:sz w:val="22"/>
          <w:szCs w:val="22"/>
          <w:u w:val="single"/>
        </w:rPr>
        <w:t> 在浙江政府采购网“政采云”平台上传投标文件 </w:t>
      </w:r>
    </w:p>
    <w:p>
      <w:pPr>
        <w:pStyle w:val="48"/>
        <w:spacing w:before="0" w:beforeAutospacing="0" w:after="0" w:afterAutospacing="0" w:line="420" w:lineRule="exact"/>
        <w:ind w:firstLine="440" w:firstLineChars="200"/>
        <w:rPr>
          <w:rFonts w:ascii="Times New Roman" w:hAnsi="Times New Roman"/>
          <w:color w:val="auto"/>
          <w:sz w:val="22"/>
          <w:szCs w:val="22"/>
        </w:rPr>
      </w:pPr>
      <w:r>
        <w:rPr>
          <w:rFonts w:ascii="Times New Roman" w:hAnsi="Times New Roman"/>
          <w:color w:val="auto"/>
          <w:sz w:val="22"/>
          <w:szCs w:val="22"/>
        </w:rPr>
        <w:t>开标时间：</w:t>
      </w:r>
      <w:r>
        <w:rPr>
          <w:rFonts w:hint="eastAsia" w:ascii="Times New Roman" w:hAnsi="Times New Roman"/>
          <w:color w:val="auto"/>
          <w:sz w:val="22"/>
          <w:szCs w:val="22"/>
          <w:u w:val="single"/>
          <w:lang w:eastAsia="zh-CN"/>
        </w:rPr>
        <w:t>2024年06月03日</w:t>
      </w:r>
      <w:r>
        <w:rPr>
          <w:rFonts w:hint="eastAsia" w:ascii="Times New Roman" w:hAnsi="Times New Roman"/>
          <w:color w:val="auto"/>
          <w:sz w:val="22"/>
          <w:szCs w:val="22"/>
          <w:u w:val="single"/>
        </w:rPr>
        <w:t>09:30</w:t>
      </w:r>
      <w:r>
        <w:rPr>
          <w:rFonts w:ascii="Times New Roman" w:hAnsi="Times New Roman"/>
          <w:color w:val="auto"/>
          <w:sz w:val="22"/>
          <w:szCs w:val="22"/>
          <w:u w:val="single"/>
        </w:rPr>
        <w:t> </w:t>
      </w:r>
    </w:p>
    <w:p>
      <w:pPr>
        <w:pStyle w:val="48"/>
        <w:spacing w:before="0" w:beforeAutospacing="0" w:after="0" w:afterAutospacing="0" w:line="420" w:lineRule="exact"/>
        <w:ind w:firstLine="440" w:firstLineChars="200"/>
        <w:rPr>
          <w:rFonts w:ascii="Times New Roman" w:hAnsi="Times New Roman"/>
          <w:color w:val="auto"/>
          <w:sz w:val="22"/>
          <w:szCs w:val="22"/>
        </w:rPr>
      </w:pPr>
      <w:r>
        <w:rPr>
          <w:rFonts w:ascii="Times New Roman" w:hAnsi="Times New Roman"/>
          <w:color w:val="auto"/>
          <w:sz w:val="22"/>
          <w:szCs w:val="22"/>
        </w:rPr>
        <w:t>开标地点（网址）：</w:t>
      </w:r>
      <w:r>
        <w:rPr>
          <w:rFonts w:ascii="Times New Roman" w:hAnsi="Times New Roman"/>
          <w:color w:val="auto"/>
          <w:sz w:val="22"/>
          <w:szCs w:val="22"/>
          <w:u w:val="single"/>
        </w:rPr>
        <w:t> 浙江政府采购网“政采云”平台 </w:t>
      </w:r>
    </w:p>
    <w:p>
      <w:pPr>
        <w:pStyle w:val="48"/>
        <w:spacing w:before="0" w:beforeAutospacing="0" w:after="0" w:afterAutospacing="0" w:line="420" w:lineRule="exact"/>
        <w:jc w:val="both"/>
        <w:rPr>
          <w:rFonts w:ascii="Times New Roman" w:hAnsi="Times New Roman"/>
          <w:color w:val="auto"/>
          <w:sz w:val="22"/>
          <w:szCs w:val="22"/>
        </w:rPr>
      </w:pPr>
      <w:r>
        <w:rPr>
          <w:rStyle w:val="55"/>
          <w:color w:val="auto"/>
          <w:sz w:val="22"/>
          <w:szCs w:val="22"/>
        </w:rPr>
        <w:t>五、公告期限</w:t>
      </w:r>
    </w:p>
    <w:p>
      <w:pPr>
        <w:pStyle w:val="48"/>
        <w:spacing w:before="0" w:beforeAutospacing="0" w:after="0" w:afterAutospacing="0" w:line="420" w:lineRule="exact"/>
        <w:ind w:firstLine="440" w:firstLineChars="200"/>
        <w:rPr>
          <w:rFonts w:ascii="Times New Roman" w:hAnsi="Times New Roman"/>
          <w:color w:val="auto"/>
          <w:sz w:val="22"/>
          <w:szCs w:val="22"/>
        </w:rPr>
      </w:pPr>
      <w:r>
        <w:rPr>
          <w:rFonts w:ascii="Times New Roman" w:hAnsi="Times New Roman"/>
          <w:color w:val="auto"/>
          <w:sz w:val="22"/>
          <w:szCs w:val="22"/>
        </w:rPr>
        <w:t>自本公告发布之日起5个工作日。</w:t>
      </w:r>
    </w:p>
    <w:p>
      <w:pPr>
        <w:pStyle w:val="48"/>
        <w:spacing w:before="0" w:beforeAutospacing="0" w:after="0" w:afterAutospacing="0" w:line="420" w:lineRule="exact"/>
        <w:jc w:val="both"/>
        <w:rPr>
          <w:rFonts w:ascii="Times New Roman" w:hAnsi="Times New Roman"/>
          <w:color w:val="auto"/>
          <w:sz w:val="22"/>
          <w:szCs w:val="22"/>
        </w:rPr>
      </w:pPr>
      <w:r>
        <w:rPr>
          <w:rStyle w:val="55"/>
          <w:color w:val="auto"/>
          <w:sz w:val="22"/>
          <w:szCs w:val="22"/>
        </w:rPr>
        <w:t>六、其他补充事宜</w:t>
      </w:r>
    </w:p>
    <w:p>
      <w:pPr>
        <w:pStyle w:val="48"/>
        <w:spacing w:before="0" w:beforeAutospacing="0" w:after="0" w:afterAutospacing="0" w:line="420" w:lineRule="exact"/>
        <w:ind w:firstLine="440" w:firstLineChars="200"/>
        <w:rPr>
          <w:rFonts w:ascii="Times New Roman" w:hAnsi="Times New Roman"/>
          <w:color w:val="auto"/>
          <w:sz w:val="22"/>
          <w:szCs w:val="22"/>
        </w:rPr>
      </w:pPr>
      <w:r>
        <w:rPr>
          <w:rFonts w:ascii="Times New Roman" w:hAnsi="Times New Roman"/>
          <w:color w:val="auto"/>
          <w:sz w:val="22"/>
          <w:szCs w:val="22"/>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8"/>
        <w:spacing w:before="0" w:beforeAutospacing="0" w:after="0" w:afterAutospacing="0" w:line="420" w:lineRule="exact"/>
        <w:ind w:firstLine="440" w:firstLineChars="200"/>
        <w:rPr>
          <w:rFonts w:ascii="Times New Roman" w:hAnsi="Times New Roman"/>
          <w:color w:val="auto"/>
          <w:sz w:val="22"/>
          <w:szCs w:val="22"/>
        </w:rPr>
      </w:pPr>
      <w:r>
        <w:rPr>
          <w:rFonts w:ascii="Times New Roman" w:hAnsi="Times New Roman"/>
          <w:color w:val="auto"/>
          <w:sz w:val="22"/>
          <w:szCs w:val="22"/>
        </w:rPr>
        <w:t>2、其他事项： </w:t>
      </w:r>
    </w:p>
    <w:p>
      <w:pPr>
        <w:pStyle w:val="27"/>
        <w:widowControl w:val="0"/>
        <w:adjustRightInd w:val="0"/>
        <w:snapToGrid w:val="0"/>
        <w:spacing w:line="420" w:lineRule="exact"/>
        <w:ind w:firstLine="440" w:firstLineChars="200"/>
        <w:rPr>
          <w:rFonts w:ascii="Times New Roman" w:hAnsi="Times New Roman"/>
          <w:color w:val="auto"/>
          <w:sz w:val="22"/>
          <w:szCs w:val="22"/>
        </w:rPr>
      </w:pPr>
      <w:r>
        <w:rPr>
          <w:rFonts w:hint="eastAsia" w:cs="宋体"/>
          <w:color w:val="auto"/>
          <w:sz w:val="22"/>
          <w:szCs w:val="22"/>
        </w:rPr>
        <w:t>①</w:t>
      </w:r>
      <w:r>
        <w:rPr>
          <w:rFonts w:ascii="Times New Roman" w:hAnsi="Times New Roman"/>
          <w:color w:val="auto"/>
          <w:sz w:val="22"/>
          <w:szCs w:val="22"/>
        </w:rPr>
        <w:t>本项目实行网上投标，以潜在投标人身份获取文件后投标人即可参投，投标方在投标截止时间之前上传电子投标文件。投标人参与投标，需自行承担投标一切费用。</w:t>
      </w:r>
    </w:p>
    <w:p>
      <w:pPr>
        <w:pStyle w:val="27"/>
        <w:widowControl w:val="0"/>
        <w:wordWrap w:val="0"/>
        <w:adjustRightInd w:val="0"/>
        <w:snapToGrid w:val="0"/>
        <w:spacing w:line="420" w:lineRule="exact"/>
        <w:ind w:firstLine="440" w:firstLineChars="200"/>
        <w:rPr>
          <w:rFonts w:ascii="Times New Roman" w:hAnsi="Times New Roman"/>
          <w:color w:val="auto"/>
          <w:sz w:val="22"/>
          <w:szCs w:val="22"/>
        </w:rPr>
      </w:pPr>
      <w:r>
        <w:rPr>
          <w:rFonts w:hint="eastAsia" w:cs="宋体"/>
          <w:color w:val="auto"/>
          <w:sz w:val="22"/>
          <w:szCs w:val="22"/>
        </w:rPr>
        <w:t>②</w:t>
      </w:r>
      <w:r>
        <w:rPr>
          <w:rFonts w:ascii="Times New Roman" w:hAnsi="Times New Roman"/>
          <w:color w:val="auto"/>
          <w:sz w:val="22"/>
          <w:szCs w:val="22"/>
        </w:rPr>
        <w:t>标前准备：各投标人应在开标前确保成为浙江省政府采购网正式注册入库供应商，并完成CA数字证书办理。【办理流程详见http://www.zjzfcg.gov.cn/download/index.html?_=1571296580459&amp;tdsourcetag=s_pcqq_aiomsg下载，（目前“政采云”平台仅支持浙江汇信或天谷CA锁，个体工商户投标仅支持浙江汇信CA锁），申领操作流程】。因未注册入库、未办理CA数字证书等原因造成无法投标或投标失败等后果由供应商自行承担。</w:t>
      </w:r>
    </w:p>
    <w:p>
      <w:pPr>
        <w:pStyle w:val="27"/>
        <w:widowControl w:val="0"/>
        <w:wordWrap w:val="0"/>
        <w:adjustRightInd w:val="0"/>
        <w:snapToGrid w:val="0"/>
        <w:spacing w:line="420" w:lineRule="exact"/>
        <w:ind w:firstLine="440" w:firstLineChars="200"/>
        <w:rPr>
          <w:rFonts w:ascii="Times New Roman" w:hAnsi="Times New Roman"/>
          <w:color w:val="auto"/>
          <w:sz w:val="22"/>
          <w:szCs w:val="22"/>
        </w:rPr>
      </w:pPr>
      <w:r>
        <w:rPr>
          <w:rFonts w:hint="eastAsia" w:cs="宋体"/>
          <w:color w:val="auto"/>
          <w:sz w:val="22"/>
          <w:szCs w:val="22"/>
        </w:rPr>
        <w:t>③</w:t>
      </w:r>
      <w:r>
        <w:rPr>
          <w:rFonts w:ascii="Times New Roman" w:hAnsi="Times New Roman"/>
          <w:color w:val="auto"/>
          <w:sz w:val="22"/>
          <w:szCs w:val="22"/>
        </w:rPr>
        <w:t>投标文件制作：投标人通过“政采云”平台电子投标工具制作投标文件，电子投标工具请供应商自行前往http://www.zjzfcg.gov.cn/download/index.html?_=1571296580459&amp;tdsourcetag=s_pcqq_aiomsg下载并安装，投标文件制作具体流程详见“政采云供应商项目采购-电子招投标操作指南”（请投标供应商</w:t>
      </w:r>
      <w:r>
        <w:rPr>
          <w:rFonts w:hint="eastAsia" w:ascii="Times New Roman" w:hAnsi="Times New Roman"/>
          <w:color w:val="auto"/>
          <w:sz w:val="22"/>
          <w:szCs w:val="22"/>
        </w:rPr>
        <w:t>登录</w:t>
      </w:r>
      <w:r>
        <w:rPr>
          <w:rFonts w:ascii="Times New Roman" w:hAnsi="Times New Roman"/>
          <w:color w:val="auto"/>
          <w:sz w:val="22"/>
          <w:szCs w:val="22"/>
        </w:rPr>
        <w:t>政采云平台政府采购电子卖场后，点击链接https://service.zcygov.cn/#/knowledges/CW1EtGwBFdiHxlNd6I3m/6IMVAG0BFdiHxlNdQ8Na）以获取最新操作指南。</w:t>
      </w:r>
      <w:r>
        <w:rPr>
          <w:rFonts w:ascii="Times New Roman" w:hAnsi="Times New Roman"/>
          <w:color w:val="auto"/>
          <w:sz w:val="22"/>
          <w:szCs w:val="22"/>
          <w:shd w:val="clear" w:color="auto" w:fill="FFFFFF"/>
        </w:rPr>
        <w:t>　　</w:t>
      </w:r>
    </w:p>
    <w:p>
      <w:pPr>
        <w:pStyle w:val="48"/>
        <w:spacing w:before="0" w:beforeAutospacing="0" w:after="0" w:afterAutospacing="0" w:line="420" w:lineRule="exact"/>
        <w:jc w:val="both"/>
        <w:rPr>
          <w:rFonts w:ascii="Times New Roman" w:hAnsi="Times New Roman"/>
          <w:color w:val="auto"/>
          <w:sz w:val="22"/>
          <w:szCs w:val="22"/>
        </w:rPr>
      </w:pPr>
      <w:r>
        <w:rPr>
          <w:rStyle w:val="55"/>
          <w:color w:val="auto"/>
          <w:sz w:val="22"/>
          <w:szCs w:val="22"/>
        </w:rPr>
        <w:t>七、对本次招标提出询问、质疑、投诉，请按以下方式联系。</w:t>
      </w:r>
      <w:r>
        <w:rPr>
          <w:rFonts w:ascii="Times New Roman" w:hAnsi="Times New Roman"/>
          <w:color w:val="auto"/>
          <w:sz w:val="22"/>
          <w:szCs w:val="22"/>
        </w:rPr>
        <w:t>　　　　　　　　　　　　</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1.采购人信息</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名称：</w:t>
      </w:r>
      <w:r>
        <w:rPr>
          <w:rFonts w:ascii="Times New Roman" w:hAnsi="Times New Roman"/>
          <w:color w:val="auto"/>
          <w:sz w:val="22"/>
          <w:szCs w:val="22"/>
          <w:u w:val="single"/>
        </w:rPr>
        <w:t> </w:t>
      </w:r>
      <w:r>
        <w:rPr>
          <w:rFonts w:hint="eastAsia" w:ascii="Times New Roman" w:hAnsi="Times New Roman"/>
          <w:color w:val="auto"/>
          <w:sz w:val="22"/>
          <w:szCs w:val="22"/>
          <w:u w:val="single"/>
        </w:rPr>
        <w:t>义乌市住房和城乡建设局</w:t>
      </w:r>
      <w:r>
        <w:rPr>
          <w:rFonts w:ascii="Times New Roman" w:hAnsi="Times New Roman"/>
          <w:color w:val="auto"/>
          <w:sz w:val="22"/>
          <w:szCs w:val="22"/>
          <w:u w:val="single"/>
        </w:rPr>
        <w:t> </w:t>
      </w:r>
      <w:r>
        <w:rPr>
          <w:rFonts w:ascii="Times New Roman" w:hAnsi="Times New Roman"/>
          <w:color w:val="auto"/>
          <w:sz w:val="22"/>
          <w:szCs w:val="22"/>
        </w:rPr>
        <w:t>　　　　　　　　　</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地址：</w:t>
      </w:r>
      <w:r>
        <w:rPr>
          <w:rFonts w:ascii="Times New Roman" w:hAnsi="Times New Roman"/>
          <w:color w:val="auto"/>
          <w:sz w:val="22"/>
          <w:szCs w:val="22"/>
          <w:u w:val="single"/>
        </w:rPr>
        <w:t> 义乌市江滨北路281号11楼</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项目联系人（询问）：</w:t>
      </w:r>
      <w:r>
        <w:rPr>
          <w:rFonts w:ascii="Times New Roman" w:hAnsi="Times New Roman"/>
          <w:color w:val="auto"/>
          <w:sz w:val="22"/>
          <w:szCs w:val="22"/>
          <w:u w:val="single"/>
        </w:rPr>
        <w:t> </w:t>
      </w:r>
      <w:r>
        <w:rPr>
          <w:rFonts w:hint="eastAsia" w:ascii="Times New Roman" w:hAnsi="Times New Roman"/>
          <w:color w:val="auto"/>
          <w:sz w:val="22"/>
          <w:szCs w:val="22"/>
          <w:u w:val="single"/>
        </w:rPr>
        <w:t>赵佳依</w:t>
      </w:r>
      <w:r>
        <w:rPr>
          <w:rFonts w:ascii="Times New Roman" w:hAnsi="Times New Roman"/>
          <w:color w:val="auto"/>
          <w:sz w:val="22"/>
          <w:szCs w:val="22"/>
        </w:rPr>
        <w:t>　　　　　　　　</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项目联系方式（询问）：</w:t>
      </w:r>
      <w:r>
        <w:rPr>
          <w:rFonts w:hint="eastAsia" w:ascii="Times New Roman" w:hAnsi="Times New Roman"/>
          <w:color w:val="auto"/>
          <w:sz w:val="22"/>
          <w:szCs w:val="22"/>
          <w:u w:val="single"/>
        </w:rPr>
        <w:t xml:space="preserve">13957910611 </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质疑联系人： </w:t>
      </w:r>
      <w:r>
        <w:rPr>
          <w:rFonts w:hint="eastAsia" w:ascii="Times New Roman" w:hAnsi="Times New Roman"/>
          <w:color w:val="auto"/>
          <w:sz w:val="22"/>
          <w:szCs w:val="22"/>
          <w:u w:val="single"/>
        </w:rPr>
        <w:t xml:space="preserve"> 石坚 </w:t>
      </w:r>
    </w:p>
    <w:p>
      <w:pPr>
        <w:pStyle w:val="48"/>
        <w:spacing w:before="0" w:beforeAutospacing="0" w:after="0" w:afterAutospacing="0" w:line="420" w:lineRule="exact"/>
        <w:ind w:firstLine="330"/>
        <w:rPr>
          <w:rFonts w:ascii="Times New Roman" w:hAnsi="Times New Roman"/>
          <w:color w:val="auto"/>
          <w:sz w:val="22"/>
          <w:szCs w:val="22"/>
        </w:rPr>
      </w:pPr>
      <w:r>
        <w:rPr>
          <w:rFonts w:ascii="Times New Roman" w:hAnsi="Times New Roman"/>
          <w:color w:val="auto"/>
          <w:sz w:val="22"/>
          <w:szCs w:val="22"/>
        </w:rPr>
        <w:t>质疑联系方式：</w:t>
      </w:r>
      <w:r>
        <w:rPr>
          <w:rFonts w:ascii="Times New Roman" w:hAnsi="Times New Roman"/>
          <w:color w:val="auto"/>
          <w:sz w:val="22"/>
          <w:szCs w:val="22"/>
          <w:u w:val="single"/>
        </w:rPr>
        <w:t> </w:t>
      </w:r>
      <w:r>
        <w:rPr>
          <w:rFonts w:hint="eastAsia" w:ascii="Times New Roman" w:hAnsi="Times New Roman"/>
          <w:color w:val="auto"/>
          <w:sz w:val="22"/>
          <w:szCs w:val="22"/>
          <w:u w:val="single"/>
        </w:rPr>
        <w:t xml:space="preserve"> 0579-89901968</w:t>
      </w:r>
      <w:r>
        <w:rPr>
          <w:rFonts w:ascii="Times New Roman" w:hAnsi="Times New Roman"/>
          <w:color w:val="auto"/>
          <w:sz w:val="22"/>
          <w:szCs w:val="22"/>
        </w:rPr>
        <w:t>　　　　　　　　　</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2.采购代理机构信息</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名称：</w:t>
      </w:r>
      <w:r>
        <w:rPr>
          <w:rFonts w:hint="eastAsia" w:ascii="Times New Roman" w:hAnsi="Times New Roman"/>
          <w:color w:val="auto"/>
          <w:sz w:val="22"/>
          <w:szCs w:val="22"/>
          <w:u w:val="single"/>
        </w:rPr>
        <w:t>科信联合工程咨询有限公司</w:t>
      </w:r>
      <w:r>
        <w:rPr>
          <w:rFonts w:ascii="Times New Roman" w:hAnsi="Times New Roman"/>
          <w:color w:val="auto"/>
          <w:sz w:val="22"/>
          <w:szCs w:val="22"/>
          <w:u w:val="single"/>
        </w:rPr>
        <w:t> </w:t>
      </w:r>
      <w:r>
        <w:rPr>
          <w:rFonts w:ascii="Times New Roman" w:hAnsi="Times New Roman"/>
          <w:color w:val="auto"/>
          <w:sz w:val="22"/>
          <w:szCs w:val="22"/>
        </w:rPr>
        <w:t>　　　　　　　　　　　</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地址：</w:t>
      </w:r>
      <w:r>
        <w:rPr>
          <w:rFonts w:ascii="Times New Roman" w:hAnsi="Times New Roman"/>
          <w:color w:val="auto"/>
          <w:sz w:val="22"/>
          <w:szCs w:val="22"/>
          <w:u w:val="single"/>
        </w:rPr>
        <w:t>义乌市</w:t>
      </w:r>
      <w:r>
        <w:rPr>
          <w:rFonts w:hint="eastAsia" w:ascii="Times New Roman" w:hAnsi="Times New Roman"/>
          <w:color w:val="auto"/>
          <w:sz w:val="22"/>
          <w:szCs w:val="22"/>
          <w:u w:val="single"/>
        </w:rPr>
        <w:t>丹溪三区香樟苑2栋8单元</w:t>
      </w:r>
      <w:r>
        <w:rPr>
          <w:rFonts w:ascii="Times New Roman" w:hAnsi="Times New Roman"/>
          <w:color w:val="auto"/>
          <w:sz w:val="22"/>
          <w:szCs w:val="22"/>
          <w:u w:val="single"/>
        </w:rPr>
        <w:t>三楼 </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项目联系人（询问）：</w:t>
      </w:r>
      <w:r>
        <w:rPr>
          <w:rFonts w:ascii="Times New Roman" w:hAnsi="Times New Roman"/>
          <w:color w:val="auto"/>
          <w:sz w:val="22"/>
          <w:szCs w:val="22"/>
          <w:u w:val="single"/>
        </w:rPr>
        <w:t>　</w:t>
      </w:r>
      <w:r>
        <w:rPr>
          <w:rFonts w:hint="eastAsia" w:ascii="Times New Roman" w:hAnsi="Times New Roman"/>
          <w:color w:val="auto"/>
          <w:sz w:val="22"/>
          <w:szCs w:val="22"/>
          <w:u w:val="single"/>
        </w:rPr>
        <w:t>陈天宝</w:t>
      </w:r>
      <w:r>
        <w:rPr>
          <w:rFonts w:ascii="Times New Roman" w:hAnsi="Times New Roman"/>
          <w:color w:val="auto"/>
          <w:sz w:val="22"/>
          <w:szCs w:val="22"/>
          <w:u w:val="single"/>
        </w:rPr>
        <w:t xml:space="preserve">  </w:t>
      </w:r>
      <w:r>
        <w:rPr>
          <w:rFonts w:ascii="Times New Roman" w:hAnsi="Times New Roman"/>
          <w:color w:val="auto"/>
          <w:sz w:val="22"/>
          <w:szCs w:val="22"/>
        </w:rPr>
        <w:t xml:space="preserve"> 　　　　　　　　　　　</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项目联系方式（询问）：</w:t>
      </w:r>
      <w:r>
        <w:rPr>
          <w:rFonts w:hint="eastAsia" w:ascii="Times New Roman" w:hAnsi="Times New Roman"/>
          <w:color w:val="auto"/>
          <w:sz w:val="22"/>
          <w:szCs w:val="22"/>
          <w:u w:val="single"/>
        </w:rPr>
        <w:t>15068070805</w:t>
      </w:r>
    </w:p>
    <w:p>
      <w:pPr>
        <w:pStyle w:val="48"/>
        <w:spacing w:before="0" w:beforeAutospacing="0" w:after="0" w:afterAutospacing="0" w:line="420" w:lineRule="exact"/>
        <w:ind w:firstLine="375"/>
        <w:rPr>
          <w:rFonts w:ascii="Times New Roman" w:hAnsi="Times New Roman"/>
          <w:color w:val="auto"/>
          <w:sz w:val="22"/>
          <w:szCs w:val="22"/>
          <w:u w:val="single"/>
        </w:rPr>
      </w:pPr>
      <w:r>
        <w:rPr>
          <w:rFonts w:ascii="Times New Roman" w:hAnsi="Times New Roman"/>
          <w:color w:val="auto"/>
          <w:sz w:val="22"/>
          <w:szCs w:val="22"/>
        </w:rPr>
        <w:t>质疑联系人：</w:t>
      </w:r>
      <w:r>
        <w:rPr>
          <w:rFonts w:ascii="Times New Roman" w:hAnsi="Times New Roman"/>
          <w:color w:val="auto"/>
          <w:sz w:val="22"/>
          <w:szCs w:val="22"/>
          <w:u w:val="single"/>
        </w:rPr>
        <w:t xml:space="preserve">  </w:t>
      </w:r>
      <w:r>
        <w:rPr>
          <w:rFonts w:hint="eastAsia" w:ascii="Times New Roman" w:hAnsi="Times New Roman"/>
          <w:color w:val="auto"/>
          <w:sz w:val="22"/>
          <w:szCs w:val="22"/>
          <w:u w:val="single"/>
        </w:rPr>
        <w:t>姜王庆</w:t>
      </w:r>
      <w:r>
        <w:rPr>
          <w:rFonts w:ascii="Times New Roman" w:hAnsi="Times New Roman"/>
          <w:color w:val="auto"/>
          <w:sz w:val="22"/>
          <w:szCs w:val="22"/>
          <w:u w:val="single"/>
        </w:rPr>
        <w:t xml:space="preserve">  </w:t>
      </w:r>
    </w:p>
    <w:p>
      <w:pPr>
        <w:pStyle w:val="48"/>
        <w:spacing w:before="0" w:beforeAutospacing="0" w:after="0" w:afterAutospacing="0" w:line="420" w:lineRule="exact"/>
        <w:ind w:firstLine="375"/>
        <w:rPr>
          <w:rFonts w:ascii="Times New Roman" w:hAnsi="Times New Roman"/>
          <w:color w:val="auto"/>
          <w:sz w:val="22"/>
          <w:szCs w:val="22"/>
          <w:u w:val="single"/>
        </w:rPr>
      </w:pPr>
      <w:r>
        <w:rPr>
          <w:rFonts w:ascii="Times New Roman" w:hAnsi="Times New Roman"/>
          <w:color w:val="auto"/>
          <w:sz w:val="22"/>
          <w:szCs w:val="22"/>
        </w:rPr>
        <w:t>质疑联系方式：</w:t>
      </w:r>
      <w:r>
        <w:rPr>
          <w:rFonts w:ascii="Times New Roman" w:hAnsi="Times New Roman"/>
          <w:color w:val="auto"/>
          <w:sz w:val="22"/>
          <w:szCs w:val="22"/>
          <w:u w:val="single"/>
        </w:rPr>
        <w:t> </w:t>
      </w:r>
      <w:r>
        <w:rPr>
          <w:rFonts w:hint="eastAsia" w:ascii="Times New Roman" w:hAnsi="Times New Roman"/>
          <w:color w:val="auto"/>
          <w:sz w:val="22"/>
          <w:szCs w:val="22"/>
          <w:u w:val="single"/>
        </w:rPr>
        <w:t>0579-83608388</w:t>
      </w:r>
      <w:r>
        <w:rPr>
          <w:rFonts w:ascii="Times New Roman" w:hAnsi="Times New Roman"/>
          <w:color w:val="auto"/>
          <w:sz w:val="22"/>
          <w:szCs w:val="22"/>
          <w:u w:val="single"/>
        </w:rPr>
        <w:t> </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xml:space="preserve">     3.同级政府采购监督管理部门</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名称： </w:t>
      </w:r>
      <w:r>
        <w:rPr>
          <w:rFonts w:ascii="Times New Roman" w:hAnsi="Times New Roman"/>
          <w:color w:val="auto"/>
          <w:sz w:val="22"/>
          <w:szCs w:val="22"/>
          <w:u w:val="single"/>
        </w:rPr>
        <w:t>义乌市财政局 </w:t>
      </w:r>
      <w:r>
        <w:rPr>
          <w:rFonts w:ascii="Times New Roman" w:hAnsi="Times New Roman"/>
          <w:color w:val="auto"/>
          <w:sz w:val="22"/>
          <w:szCs w:val="22"/>
        </w:rPr>
        <w:t>　　　　　　　　　</w:t>
      </w:r>
    </w:p>
    <w:p>
      <w:pPr>
        <w:pStyle w:val="48"/>
        <w:spacing w:before="0" w:beforeAutospacing="0" w:after="0" w:afterAutospacing="0" w:line="420" w:lineRule="exact"/>
        <w:rPr>
          <w:rFonts w:ascii="Times New Roman" w:hAnsi="Times New Roman"/>
          <w:color w:val="auto"/>
          <w:sz w:val="22"/>
          <w:szCs w:val="22"/>
        </w:rPr>
      </w:pPr>
      <w:r>
        <w:rPr>
          <w:rFonts w:ascii="Times New Roman" w:hAnsi="Times New Roman"/>
          <w:color w:val="auto"/>
          <w:sz w:val="22"/>
          <w:szCs w:val="22"/>
        </w:rPr>
        <w:t>    联系人： </w:t>
      </w:r>
      <w:r>
        <w:rPr>
          <w:rFonts w:hint="eastAsia" w:ascii="Times New Roman" w:hAnsi="Times New Roman"/>
          <w:color w:val="auto"/>
          <w:sz w:val="22"/>
          <w:szCs w:val="22"/>
          <w:u w:val="single"/>
        </w:rPr>
        <w:t>王女士</w:t>
      </w:r>
      <w:r>
        <w:rPr>
          <w:rFonts w:ascii="Times New Roman" w:hAnsi="Times New Roman"/>
          <w:color w:val="auto"/>
          <w:sz w:val="22"/>
          <w:szCs w:val="22"/>
        </w:rPr>
        <w:t>　　　　　　　　　　</w:t>
      </w:r>
    </w:p>
    <w:p>
      <w:pPr>
        <w:pStyle w:val="48"/>
        <w:spacing w:before="0" w:beforeAutospacing="0" w:after="0" w:afterAutospacing="0" w:line="420" w:lineRule="exact"/>
        <w:ind w:firstLine="330"/>
        <w:rPr>
          <w:rFonts w:ascii="Times New Roman" w:hAnsi="Times New Roman"/>
          <w:color w:val="auto"/>
          <w:sz w:val="22"/>
          <w:szCs w:val="22"/>
        </w:rPr>
      </w:pPr>
      <w:r>
        <w:rPr>
          <w:rFonts w:ascii="Times New Roman" w:hAnsi="Times New Roman"/>
          <w:color w:val="auto"/>
          <w:sz w:val="22"/>
          <w:szCs w:val="22"/>
        </w:rPr>
        <w:t>监督投诉电话：</w:t>
      </w:r>
      <w:r>
        <w:rPr>
          <w:rFonts w:ascii="Times New Roman" w:hAnsi="Times New Roman"/>
          <w:color w:val="auto"/>
          <w:sz w:val="22"/>
          <w:szCs w:val="22"/>
          <w:u w:val="single"/>
        </w:rPr>
        <w:t>0579—899150</w:t>
      </w:r>
      <w:r>
        <w:rPr>
          <w:rFonts w:hint="eastAsia" w:ascii="Times New Roman" w:hAnsi="Times New Roman"/>
          <w:color w:val="auto"/>
          <w:sz w:val="22"/>
          <w:szCs w:val="22"/>
          <w:u w:val="single"/>
        </w:rPr>
        <w:t>66</w:t>
      </w:r>
      <w:r>
        <w:rPr>
          <w:rFonts w:ascii="Times New Roman" w:hAnsi="Times New Roman"/>
          <w:color w:val="auto"/>
          <w:sz w:val="22"/>
          <w:szCs w:val="22"/>
        </w:rPr>
        <w:t>　</w:t>
      </w:r>
    </w:p>
    <w:p>
      <w:pPr>
        <w:pStyle w:val="48"/>
        <w:spacing w:before="0" w:beforeAutospacing="0" w:after="0" w:afterAutospacing="0" w:line="420" w:lineRule="exact"/>
        <w:ind w:firstLine="330"/>
        <w:rPr>
          <w:rFonts w:ascii="Times New Roman" w:hAnsi="Times New Roman"/>
          <w:color w:val="auto"/>
        </w:rPr>
      </w:pPr>
      <w:r>
        <w:rPr>
          <w:rFonts w:ascii="Times New Roman" w:hAnsi="Times New Roman"/>
          <w:color w:val="auto"/>
          <w:sz w:val="22"/>
          <w:szCs w:val="22"/>
        </w:rPr>
        <w:t>　　</w:t>
      </w:r>
      <w:r>
        <w:rPr>
          <w:rFonts w:ascii="Times New Roman" w:hAnsi="Times New Roman"/>
          <w:color w:val="auto"/>
          <w:sz w:val="25"/>
          <w:szCs w:val="25"/>
        </w:rPr>
        <w:t>　　　　　　　　</w:t>
      </w:r>
    </w:p>
    <w:p>
      <w:pPr>
        <w:pStyle w:val="2"/>
        <w:spacing w:before="0" w:after="0" w:line="240" w:lineRule="auto"/>
        <w:jc w:val="center"/>
        <w:rPr>
          <w:color w:val="auto"/>
          <w:sz w:val="32"/>
        </w:rPr>
        <w:sectPr>
          <w:headerReference r:id="rId6" w:type="first"/>
          <w:footerReference r:id="rId8" w:type="first"/>
          <w:footerReference r:id="rId7" w:type="default"/>
          <w:pgSz w:w="11906" w:h="16838"/>
          <w:pgMar w:top="1247" w:right="1361" w:bottom="1247" w:left="1417" w:header="851" w:footer="992" w:gutter="0"/>
          <w:pgNumType w:fmt="numberInDash" w:start="1"/>
          <w:cols w:space="720" w:num="1"/>
          <w:titlePg/>
          <w:rtlGutter w:val="1"/>
        </w:sectPr>
      </w:pPr>
    </w:p>
    <w:p>
      <w:pPr>
        <w:pStyle w:val="2"/>
        <w:spacing w:before="0" w:after="0" w:line="240" w:lineRule="auto"/>
        <w:jc w:val="center"/>
        <w:rPr>
          <w:color w:val="auto"/>
          <w:sz w:val="32"/>
        </w:rPr>
      </w:pPr>
      <w:bookmarkStart w:id="1" w:name="_Toc13673"/>
      <w:r>
        <w:rPr>
          <w:color w:val="auto"/>
          <w:sz w:val="32"/>
        </w:rPr>
        <w:t>第二章　投标须知和投标须知前附表</w:t>
      </w:r>
      <w:bookmarkEnd w:id="1"/>
    </w:p>
    <w:p>
      <w:pPr>
        <w:spacing w:line="360" w:lineRule="auto"/>
        <w:ind w:firstLine="562"/>
        <w:jc w:val="center"/>
        <w:rPr>
          <w:b/>
          <w:color w:val="auto"/>
          <w:kern w:val="1"/>
          <w:sz w:val="28"/>
        </w:rPr>
      </w:pPr>
      <w:r>
        <w:rPr>
          <w:b/>
          <w:color w:val="auto"/>
          <w:kern w:val="1"/>
          <w:sz w:val="28"/>
        </w:rPr>
        <w:t>投标须知前附表</w:t>
      </w:r>
    </w:p>
    <w:tbl>
      <w:tblPr>
        <w:tblStyle w:val="52"/>
        <w:tblW w:w="0" w:type="auto"/>
        <w:jc w:val="center"/>
        <w:tblLayout w:type="fixed"/>
        <w:tblCellMar>
          <w:top w:w="0" w:type="dxa"/>
          <w:left w:w="108" w:type="dxa"/>
          <w:bottom w:w="0" w:type="dxa"/>
          <w:right w:w="108" w:type="dxa"/>
        </w:tblCellMar>
      </w:tblPr>
      <w:tblGrid>
        <w:gridCol w:w="669"/>
        <w:gridCol w:w="1540"/>
        <w:gridCol w:w="7446"/>
      </w:tblGrid>
      <w:tr>
        <w:tblPrEx>
          <w:tblCellMar>
            <w:top w:w="0" w:type="dxa"/>
            <w:left w:w="108" w:type="dxa"/>
            <w:bottom w:w="0" w:type="dxa"/>
            <w:right w:w="108" w:type="dxa"/>
          </w:tblCellMar>
        </w:tblPrEx>
        <w:trPr>
          <w:trHeight w:val="564"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kern w:val="1"/>
                <w:sz w:val="22"/>
                <w:szCs w:val="22"/>
              </w:rPr>
            </w:pPr>
            <w:r>
              <w:rPr>
                <w:rFonts w:hint="eastAsia" w:ascii="宋体" w:hAnsi="宋体" w:cs="宋体"/>
                <w:b/>
                <w:color w:val="auto"/>
                <w:kern w:val="1"/>
                <w:sz w:val="22"/>
                <w:szCs w:val="22"/>
              </w:rPr>
              <w:t>序号</w:t>
            </w:r>
          </w:p>
        </w:tc>
        <w:tc>
          <w:tcPr>
            <w:tcW w:w="89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kern w:val="1"/>
                <w:sz w:val="22"/>
                <w:szCs w:val="22"/>
              </w:rPr>
            </w:pPr>
            <w:r>
              <w:rPr>
                <w:rFonts w:hint="eastAsia" w:ascii="宋体" w:hAnsi="宋体" w:cs="宋体"/>
                <w:b/>
                <w:color w:val="auto"/>
                <w:kern w:val="1"/>
                <w:sz w:val="22"/>
                <w:szCs w:val="22"/>
              </w:rPr>
              <w:t>内容规定</w:t>
            </w:r>
          </w:p>
        </w:tc>
      </w:tr>
      <w:tr>
        <w:tblPrEx>
          <w:tblCellMar>
            <w:top w:w="0" w:type="dxa"/>
            <w:left w:w="108" w:type="dxa"/>
            <w:bottom w:w="0" w:type="dxa"/>
            <w:right w:w="108" w:type="dxa"/>
          </w:tblCellMar>
        </w:tblPrEx>
        <w:trPr>
          <w:trHeight w:val="95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ind w:firstLine="210"/>
              <w:rPr>
                <w:rFonts w:ascii="宋体" w:hAnsi="宋体" w:cs="宋体"/>
                <w:color w:val="auto"/>
                <w:kern w:val="1"/>
                <w:sz w:val="22"/>
                <w:szCs w:val="22"/>
              </w:rPr>
            </w:pPr>
            <w:r>
              <w:rPr>
                <w:rFonts w:hint="eastAsia" w:ascii="宋体" w:hAnsi="宋体" w:cs="宋体"/>
                <w:color w:val="auto"/>
                <w:kern w:val="1"/>
                <w:sz w:val="22"/>
                <w:szCs w:val="22"/>
              </w:rPr>
              <w:t>1</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项目综合</w:t>
            </w:r>
          </w:p>
          <w:p>
            <w:pPr>
              <w:jc w:val="center"/>
              <w:rPr>
                <w:rFonts w:ascii="宋体" w:hAnsi="宋体" w:cs="宋体"/>
                <w:color w:val="auto"/>
                <w:kern w:val="1"/>
                <w:sz w:val="22"/>
                <w:szCs w:val="22"/>
              </w:rPr>
            </w:pPr>
            <w:r>
              <w:rPr>
                <w:rFonts w:hint="eastAsia" w:ascii="宋体" w:hAnsi="宋体" w:cs="宋体"/>
                <w:color w:val="auto"/>
                <w:kern w:val="1"/>
                <w:sz w:val="22"/>
                <w:szCs w:val="22"/>
              </w:rPr>
              <w:t>说明</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Cs/>
                <w:color w:val="auto"/>
                <w:kern w:val="1"/>
                <w:sz w:val="22"/>
                <w:szCs w:val="22"/>
              </w:rPr>
            </w:pPr>
            <w:r>
              <w:rPr>
                <w:rFonts w:hint="eastAsia" w:ascii="宋体" w:hAnsi="宋体" w:cs="宋体"/>
                <w:bCs/>
                <w:color w:val="auto"/>
                <w:kern w:val="1"/>
                <w:sz w:val="22"/>
                <w:szCs w:val="22"/>
              </w:rPr>
              <w:t>项目名称：义乌市历史文化保护传承专项规划编制项目</w:t>
            </w:r>
          </w:p>
          <w:p>
            <w:pPr>
              <w:rPr>
                <w:rFonts w:ascii="宋体" w:hAnsi="宋体" w:cs="宋体"/>
                <w:b/>
                <w:color w:val="auto"/>
                <w:kern w:val="1"/>
                <w:sz w:val="22"/>
                <w:szCs w:val="22"/>
              </w:rPr>
            </w:pPr>
            <w:r>
              <w:rPr>
                <w:rFonts w:hint="eastAsia" w:ascii="宋体" w:hAnsi="宋体" w:cs="宋体"/>
                <w:bCs/>
                <w:color w:val="auto"/>
                <w:kern w:val="1"/>
                <w:sz w:val="22"/>
                <w:szCs w:val="22"/>
              </w:rPr>
              <w:t>采购内容及数量：</w:t>
            </w:r>
            <w:r>
              <w:rPr>
                <w:rFonts w:hint="eastAsia"/>
                <w:bCs/>
                <w:color w:val="auto"/>
                <w:szCs w:val="28"/>
              </w:rPr>
              <w:t>编制工作</w:t>
            </w:r>
            <w:r>
              <w:rPr>
                <w:bCs/>
                <w:color w:val="auto"/>
                <w:szCs w:val="28"/>
              </w:rPr>
              <w:t>主要包括</w:t>
            </w:r>
            <w:r>
              <w:rPr>
                <w:rFonts w:hint="eastAsia"/>
                <w:bCs/>
                <w:color w:val="auto"/>
                <w:szCs w:val="28"/>
              </w:rPr>
              <w:t>基础调研、方案编制、征求意见、审查论证、成果报批等阶段，</w:t>
            </w:r>
            <w:r>
              <w:rPr>
                <w:rFonts w:hint="eastAsia" w:ascii="宋体" w:hAnsi="宋体" w:cs="宋体"/>
                <w:bCs/>
                <w:color w:val="auto"/>
                <w:kern w:val="1"/>
                <w:sz w:val="22"/>
                <w:szCs w:val="22"/>
              </w:rPr>
              <w:t>具体内容及要求详见第三章“招标项目要求”。</w:t>
            </w:r>
          </w:p>
        </w:tc>
      </w:tr>
      <w:tr>
        <w:tblPrEx>
          <w:tblCellMar>
            <w:top w:w="0" w:type="dxa"/>
            <w:left w:w="108" w:type="dxa"/>
            <w:bottom w:w="0" w:type="dxa"/>
            <w:right w:w="108" w:type="dxa"/>
          </w:tblCellMar>
        </w:tblPrEx>
        <w:trPr>
          <w:trHeight w:val="558"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2</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招标方式</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2"/>
                <w:szCs w:val="22"/>
              </w:rPr>
            </w:pPr>
            <w:r>
              <w:rPr>
                <w:rFonts w:hint="eastAsia" w:ascii="宋体" w:hAnsi="宋体" w:cs="宋体"/>
                <w:color w:val="auto"/>
                <w:kern w:val="1"/>
                <w:sz w:val="22"/>
                <w:szCs w:val="22"/>
              </w:rPr>
              <w:t>公开招标</w:t>
            </w:r>
          </w:p>
        </w:tc>
      </w:tr>
      <w:tr>
        <w:tblPrEx>
          <w:tblCellMar>
            <w:top w:w="0" w:type="dxa"/>
            <w:left w:w="108" w:type="dxa"/>
            <w:bottom w:w="0" w:type="dxa"/>
            <w:right w:w="108" w:type="dxa"/>
          </w:tblCellMar>
        </w:tblPrEx>
        <w:trPr>
          <w:trHeight w:val="734"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3</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服务期限</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2"/>
                <w:szCs w:val="22"/>
              </w:rPr>
            </w:pPr>
            <w:r>
              <w:rPr>
                <w:rFonts w:hint="eastAsia" w:hAnsi="宋体" w:cs="宋体"/>
                <w:color w:val="auto"/>
                <w:spacing w:val="-4"/>
                <w:sz w:val="22"/>
                <w:szCs w:val="22"/>
              </w:rPr>
              <w:t>自合同签订之日起至本项目全部服务完成止。</w:t>
            </w:r>
          </w:p>
        </w:tc>
      </w:tr>
      <w:tr>
        <w:tblPrEx>
          <w:tblCellMar>
            <w:top w:w="0" w:type="dxa"/>
            <w:left w:w="108" w:type="dxa"/>
            <w:bottom w:w="0" w:type="dxa"/>
            <w:right w:w="108" w:type="dxa"/>
          </w:tblCellMar>
        </w:tblPrEx>
        <w:trPr>
          <w:trHeight w:val="653"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4</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投标人资格要求</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2"/>
                <w:szCs w:val="22"/>
              </w:rPr>
            </w:pPr>
            <w:r>
              <w:rPr>
                <w:rFonts w:hint="eastAsia" w:ascii="宋体" w:hAnsi="宋体" w:cs="宋体"/>
                <w:color w:val="auto"/>
                <w:sz w:val="22"/>
                <w:szCs w:val="22"/>
              </w:rPr>
              <w:t>详见招标公告</w:t>
            </w:r>
          </w:p>
        </w:tc>
      </w:tr>
      <w:tr>
        <w:tblPrEx>
          <w:tblCellMar>
            <w:top w:w="0" w:type="dxa"/>
            <w:left w:w="108" w:type="dxa"/>
            <w:bottom w:w="0" w:type="dxa"/>
            <w:right w:w="108" w:type="dxa"/>
          </w:tblCellMar>
        </w:tblPrEx>
        <w:trPr>
          <w:trHeight w:val="638"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5</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招标文件发售时间和地点</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2"/>
                <w:szCs w:val="22"/>
              </w:rPr>
            </w:pPr>
            <w:r>
              <w:rPr>
                <w:rFonts w:hint="eastAsia" w:ascii="宋体" w:hAnsi="宋体" w:cs="宋体"/>
                <w:color w:val="auto"/>
                <w:kern w:val="1"/>
                <w:sz w:val="22"/>
                <w:szCs w:val="22"/>
              </w:rPr>
              <w:t>详见招标公告</w:t>
            </w:r>
          </w:p>
        </w:tc>
      </w:tr>
      <w:tr>
        <w:tblPrEx>
          <w:tblCellMar>
            <w:top w:w="0" w:type="dxa"/>
            <w:left w:w="108" w:type="dxa"/>
            <w:bottom w:w="0" w:type="dxa"/>
            <w:right w:w="108" w:type="dxa"/>
          </w:tblCellMar>
        </w:tblPrEx>
        <w:trPr>
          <w:trHeight w:val="1252"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6</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现场踏勘时间</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2"/>
                <w:szCs w:val="22"/>
              </w:rPr>
            </w:pPr>
            <w:r>
              <w:rPr>
                <w:rFonts w:hint="eastAsia" w:ascii="宋体" w:hAnsi="宋体" w:cs="宋体"/>
                <w:color w:val="auto"/>
                <w:kern w:val="1"/>
                <w:sz w:val="22"/>
                <w:szCs w:val="22"/>
              </w:rPr>
              <w:t>投标前，投标人须自行到项目所在地予以踏勘，对项目实施现场及周边环境等进行勘察，以获取编制投标文件和签署合同所需的所有资料，否则，由此所造成的一切后果由投标人自行承担。踏勘期间，采购人不得留下供应商名称、联系方式等信息。</w:t>
            </w:r>
          </w:p>
        </w:tc>
      </w:tr>
      <w:tr>
        <w:tblPrEx>
          <w:tblCellMar>
            <w:top w:w="0" w:type="dxa"/>
            <w:left w:w="108" w:type="dxa"/>
            <w:bottom w:w="0" w:type="dxa"/>
            <w:right w:w="108" w:type="dxa"/>
          </w:tblCellMar>
        </w:tblPrEx>
        <w:trPr>
          <w:trHeight w:val="3314"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7</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招标答疑截止时间</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2"/>
                <w:szCs w:val="22"/>
              </w:rPr>
            </w:pPr>
            <w:r>
              <w:rPr>
                <w:rFonts w:hint="eastAsia" w:ascii="宋体" w:hAnsi="宋体" w:cs="宋体"/>
                <w:color w:val="auto"/>
                <w:sz w:val="22"/>
                <w:szCs w:val="22"/>
              </w:rPr>
              <w:t>答疑与澄清：潜在供应商如认为招标文件表述不清晰、存在歧视性、排他性或者其他违法内容的，可以自收到采购文件之日或者采购文件公告期限届满之日（自本公告发布之日起至第6个工作日24时止）起7个工作日内，以书面递交或传真形式要求招标方作出书面解释、澄清或者向招标方提出书面质疑；本项目不组织答疑会；招标方的答疑内容和书面澄清文件是招标文件的组成部分，</w:t>
            </w:r>
            <w:r>
              <w:rPr>
                <w:rFonts w:hint="eastAsia" w:ascii="宋体" w:hAnsi="宋体" w:cs="宋体"/>
                <w:b/>
                <w:color w:val="auto"/>
                <w:sz w:val="22"/>
                <w:szCs w:val="22"/>
                <w:u w:val="single"/>
              </w:rPr>
              <w:t>招标方的书面澄清（更正）文件会在浙江省政府网上发布公告，同时政采云系统会向所有已按招标文件规定方式获取招标文件的潜在供应商发送更正提醒信息，潜在供应商请自行到浙江省政府采网上下载澄清（更正）文件，潜在供应商在收到该澄清（更正）文件后应于1日内，以书面或传真形式（签署意见并加盖公章）向招标代理机构回函给予确认。过期未回复的，视为默认接受。</w:t>
            </w:r>
          </w:p>
        </w:tc>
      </w:tr>
      <w:tr>
        <w:tblPrEx>
          <w:tblCellMar>
            <w:top w:w="0" w:type="dxa"/>
            <w:left w:w="108" w:type="dxa"/>
            <w:bottom w:w="0" w:type="dxa"/>
            <w:right w:w="108" w:type="dxa"/>
          </w:tblCellMar>
        </w:tblPrEx>
        <w:trPr>
          <w:trHeight w:val="557"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8</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投标有效期</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2"/>
                <w:szCs w:val="22"/>
              </w:rPr>
            </w:pPr>
            <w:r>
              <w:rPr>
                <w:rFonts w:hint="eastAsia" w:ascii="宋体" w:hAnsi="宋体" w:cs="宋体"/>
                <w:color w:val="auto"/>
                <w:kern w:val="1"/>
                <w:sz w:val="22"/>
                <w:szCs w:val="22"/>
              </w:rPr>
              <w:t>自开标之日起60天（日历天）</w:t>
            </w:r>
          </w:p>
        </w:tc>
      </w:tr>
      <w:tr>
        <w:tblPrEx>
          <w:tblCellMar>
            <w:top w:w="0" w:type="dxa"/>
            <w:left w:w="108" w:type="dxa"/>
            <w:bottom w:w="0" w:type="dxa"/>
            <w:right w:w="108" w:type="dxa"/>
          </w:tblCellMar>
        </w:tblPrEx>
        <w:trPr>
          <w:trHeight w:val="496"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9</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投标保证金</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2"/>
                <w:szCs w:val="22"/>
              </w:rPr>
            </w:pPr>
            <w:r>
              <w:rPr>
                <w:rFonts w:hint="eastAsia" w:ascii="宋体" w:hAnsi="宋体" w:cs="宋体"/>
                <w:color w:val="auto"/>
                <w:kern w:val="1"/>
                <w:sz w:val="22"/>
                <w:szCs w:val="22"/>
              </w:rPr>
              <w:t>无。</w:t>
            </w:r>
          </w:p>
        </w:tc>
      </w:tr>
      <w:tr>
        <w:tblPrEx>
          <w:tblCellMar>
            <w:top w:w="0" w:type="dxa"/>
            <w:left w:w="108" w:type="dxa"/>
            <w:bottom w:w="0" w:type="dxa"/>
            <w:right w:w="108" w:type="dxa"/>
          </w:tblCellMar>
        </w:tblPrEx>
        <w:trPr>
          <w:trHeight w:val="523"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10</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履约保证金</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2"/>
                <w:szCs w:val="22"/>
              </w:rPr>
            </w:pPr>
            <w:r>
              <w:rPr>
                <w:rFonts w:hint="eastAsia" w:ascii="宋体" w:hAnsi="宋体" w:cs="宋体"/>
                <w:color w:val="auto"/>
                <w:kern w:val="1"/>
                <w:sz w:val="22"/>
                <w:szCs w:val="22"/>
              </w:rPr>
              <w:t>无。</w:t>
            </w:r>
          </w:p>
        </w:tc>
      </w:tr>
      <w:tr>
        <w:tblPrEx>
          <w:tblCellMar>
            <w:top w:w="0" w:type="dxa"/>
            <w:left w:w="108" w:type="dxa"/>
            <w:bottom w:w="0" w:type="dxa"/>
            <w:right w:w="108" w:type="dxa"/>
          </w:tblCellMar>
        </w:tblPrEx>
        <w:trPr>
          <w:trHeight w:val="36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11</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评标办法</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2"/>
                <w:szCs w:val="22"/>
              </w:rPr>
            </w:pPr>
            <w:r>
              <w:rPr>
                <w:rFonts w:hint="eastAsia" w:ascii="宋体" w:hAnsi="宋体" w:cs="宋体"/>
                <w:color w:val="auto"/>
                <w:kern w:val="1"/>
                <w:sz w:val="22"/>
                <w:szCs w:val="22"/>
              </w:rPr>
              <w:t>综合评分法。</w:t>
            </w:r>
          </w:p>
        </w:tc>
      </w:tr>
      <w:tr>
        <w:tblPrEx>
          <w:tblCellMar>
            <w:top w:w="0" w:type="dxa"/>
            <w:left w:w="108" w:type="dxa"/>
            <w:bottom w:w="0" w:type="dxa"/>
            <w:right w:w="108" w:type="dxa"/>
          </w:tblCellMar>
        </w:tblPrEx>
        <w:trPr>
          <w:trHeight w:val="23"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12</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投标文件递交时间及方式</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auto"/>
                <w:sz w:val="22"/>
                <w:szCs w:val="22"/>
                <w:u w:val="single"/>
              </w:rPr>
            </w:pPr>
            <w:r>
              <w:rPr>
                <w:rFonts w:hint="eastAsia" w:ascii="宋体" w:hAnsi="宋体" w:cs="宋体"/>
                <w:b/>
                <w:color w:val="auto"/>
                <w:sz w:val="22"/>
                <w:szCs w:val="22"/>
                <w:u w:val="single"/>
              </w:rPr>
              <w:t>投标人应于</w:t>
            </w:r>
            <w:r>
              <w:rPr>
                <w:rFonts w:hint="eastAsia" w:ascii="宋体" w:hAnsi="宋体" w:cs="宋体"/>
                <w:b/>
                <w:color w:val="auto"/>
                <w:sz w:val="22"/>
                <w:szCs w:val="22"/>
                <w:u w:val="single"/>
                <w:lang w:eastAsia="zh-CN"/>
              </w:rPr>
              <w:t>2024年06月03日</w:t>
            </w:r>
            <w:r>
              <w:rPr>
                <w:rFonts w:hint="eastAsia" w:ascii="宋体" w:hAnsi="宋体" w:cs="宋体"/>
                <w:b/>
                <w:color w:val="auto"/>
                <w:sz w:val="22"/>
                <w:szCs w:val="22"/>
                <w:u w:val="single"/>
              </w:rPr>
              <w:t>09:30前按照电子投标要求将电子加密标书上传到“政采云”平台，逾期或未上传成功的将导致无法投标或投标无效。</w:t>
            </w:r>
          </w:p>
          <w:p>
            <w:pPr>
              <w:rPr>
                <w:rFonts w:ascii="宋体" w:hAnsi="宋体" w:cs="宋体"/>
                <w:color w:val="auto"/>
                <w:kern w:val="1"/>
                <w:sz w:val="22"/>
                <w:szCs w:val="22"/>
              </w:rPr>
            </w:pPr>
            <w:r>
              <w:rPr>
                <w:rFonts w:hint="eastAsia" w:ascii="宋体" w:hAnsi="宋体" w:cs="宋体"/>
                <w:b/>
                <w:color w:val="auto"/>
                <w:sz w:val="22"/>
                <w:szCs w:val="22"/>
                <w:u w:val="single"/>
              </w:rPr>
              <w:t>备注：为确保采购项目顺利实施，避免因政采云上电子投标文件解密失败导致投标方投标无效，投标方可在</w:t>
            </w:r>
            <w:r>
              <w:rPr>
                <w:rFonts w:hint="eastAsia" w:ascii="宋体" w:hAnsi="宋体" w:cs="宋体"/>
                <w:b/>
                <w:color w:val="auto"/>
                <w:sz w:val="22"/>
                <w:szCs w:val="22"/>
                <w:u w:val="single"/>
                <w:lang w:eastAsia="zh-CN"/>
              </w:rPr>
              <w:t>2024年06月03日</w:t>
            </w:r>
            <w:r>
              <w:rPr>
                <w:rFonts w:hint="eastAsia" w:ascii="宋体" w:hAnsi="宋体" w:cs="宋体"/>
                <w:b/>
                <w:color w:val="auto"/>
                <w:sz w:val="22"/>
                <w:szCs w:val="22"/>
                <w:u w:val="single"/>
              </w:rPr>
              <w:t>09:30</w:t>
            </w:r>
            <w:r>
              <w:rPr>
                <w:color w:val="auto"/>
              </w:rPr>
              <w:fldChar w:fldCharType="begin"/>
            </w:r>
            <w:r>
              <w:rPr>
                <w:color w:val="auto"/>
              </w:rPr>
              <w:instrText xml:space="preserve"> HYPERLINK "mailto:前将在政采云平台上最后生成的具备电子签章的备份加密投标文件（文件名后缀为备份文件四字的首字母）以电子邮件方式传送至浙江科信联合工程项目管理咨询有限公司指定邮箱（ywkx@ywkexin.com），传送的备份电子投标文件需打包压缩并加密，加密密码由投标方自行保管，如政采云上电子投标文件出现解密失败情况（开标当日" </w:instrText>
            </w:r>
            <w:r>
              <w:rPr>
                <w:color w:val="auto"/>
              </w:rPr>
              <w:fldChar w:fldCharType="separate"/>
            </w:r>
            <w:r>
              <w:rPr>
                <w:rFonts w:hint="eastAsia" w:ascii="宋体" w:hAnsi="宋体" w:cs="宋体"/>
                <w:b/>
                <w:color w:val="auto"/>
                <w:sz w:val="22"/>
                <w:szCs w:val="22"/>
                <w:u w:val="single"/>
              </w:rPr>
              <w:t>前将在政采云平台上最后生成的具备电子签章的备份加密投标文件（文件名后缀为备份文件四字的首字母）以电子邮件方式传送至科信联合工程咨询有限公司指定邮箱（zjkxyw@163.com），传送的备份电子投标文件需打包压缩并加密，加密密码由投标方自行保管，如政采云上电子投标文件出现解密失败情况（开标当日</w:t>
            </w:r>
            <w:r>
              <w:rPr>
                <w:rFonts w:hint="eastAsia" w:ascii="宋体" w:hAnsi="宋体" w:cs="宋体"/>
                <w:b/>
                <w:color w:val="auto"/>
                <w:sz w:val="22"/>
                <w:szCs w:val="22"/>
                <w:u w:val="single"/>
              </w:rPr>
              <w:fldChar w:fldCharType="end"/>
            </w:r>
            <w:r>
              <w:rPr>
                <w:rFonts w:hint="eastAsia" w:ascii="宋体" w:hAnsi="宋体" w:cs="宋体"/>
                <w:b/>
                <w:color w:val="auto"/>
                <w:sz w:val="22"/>
                <w:szCs w:val="22"/>
                <w:u w:val="single"/>
              </w:rPr>
              <w:t>09:30 -10:30期间进行解密），投标方可按照自身意愿确认是否同意提供加密密码解密传送至科信联合工程咨询有限公司指定邮箱（zjkxyw@163.com）的备份文件，并以备份文件作为替代电子投标文件，如投标方未按照规定时间及要求提供有效备份文件，同时政采云上投标文件解密失败的，将导致投标无效。</w:t>
            </w:r>
          </w:p>
        </w:tc>
      </w:tr>
      <w:tr>
        <w:tblPrEx>
          <w:tblCellMar>
            <w:top w:w="0" w:type="dxa"/>
            <w:left w:w="108" w:type="dxa"/>
            <w:bottom w:w="0" w:type="dxa"/>
            <w:right w:w="108" w:type="dxa"/>
          </w:tblCellMar>
        </w:tblPrEx>
        <w:trPr>
          <w:trHeight w:val="1397"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13</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开标时间和地点</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2"/>
                <w:szCs w:val="22"/>
              </w:rPr>
            </w:pPr>
            <w:r>
              <w:rPr>
                <w:rFonts w:hint="eastAsia" w:ascii="宋体" w:hAnsi="宋体" w:cs="宋体"/>
                <w:color w:val="auto"/>
                <w:kern w:val="1"/>
                <w:sz w:val="22"/>
                <w:szCs w:val="22"/>
              </w:rPr>
              <w:t>开标时间：</w:t>
            </w:r>
            <w:r>
              <w:rPr>
                <w:rFonts w:hint="eastAsia" w:ascii="宋体" w:hAnsi="宋体" w:cs="宋体"/>
                <w:color w:val="auto"/>
                <w:kern w:val="1"/>
                <w:sz w:val="22"/>
                <w:szCs w:val="22"/>
                <w:lang w:eastAsia="zh-CN"/>
              </w:rPr>
              <w:t>2024年06月03日</w:t>
            </w:r>
            <w:r>
              <w:rPr>
                <w:rFonts w:hint="eastAsia" w:ascii="宋体" w:hAnsi="宋体" w:cs="宋体"/>
                <w:color w:val="auto"/>
                <w:kern w:val="1"/>
                <w:sz w:val="22"/>
                <w:szCs w:val="22"/>
              </w:rPr>
              <w:t>09时30分</w:t>
            </w:r>
          </w:p>
          <w:p>
            <w:pPr>
              <w:rPr>
                <w:rFonts w:ascii="宋体" w:hAnsi="宋体" w:cs="宋体"/>
                <w:color w:val="auto"/>
                <w:kern w:val="1"/>
                <w:sz w:val="22"/>
                <w:szCs w:val="22"/>
              </w:rPr>
            </w:pPr>
            <w:r>
              <w:rPr>
                <w:rFonts w:hint="eastAsia" w:ascii="宋体" w:hAnsi="宋体" w:cs="宋体"/>
                <w:color w:val="auto"/>
                <w:kern w:val="1"/>
                <w:sz w:val="22"/>
                <w:szCs w:val="22"/>
              </w:rPr>
              <w:t>开标地点：义乌市望道路300号政务服务中心四楼。</w:t>
            </w:r>
          </w:p>
          <w:p>
            <w:pPr>
              <w:rPr>
                <w:rFonts w:ascii="宋体" w:hAnsi="宋体" w:cs="宋体"/>
                <w:color w:val="auto"/>
                <w:kern w:val="1"/>
                <w:sz w:val="22"/>
                <w:szCs w:val="22"/>
              </w:rPr>
            </w:pPr>
            <w:r>
              <w:rPr>
                <w:rFonts w:hint="eastAsia" w:ascii="宋体" w:hAnsi="宋体" w:cs="宋体"/>
                <w:b/>
                <w:color w:val="auto"/>
                <w:sz w:val="22"/>
                <w:szCs w:val="22"/>
                <w:u w:val="single"/>
              </w:rPr>
              <w:t>投标方无需在开标当天到达开标现场对电子投标进行解密，可在公司办公场地登录“政采云”平台，用“项目采购－开标评标”功能进行解密投标文件，解密时限为开标时间后1小时内。</w:t>
            </w:r>
          </w:p>
        </w:tc>
      </w:tr>
      <w:tr>
        <w:tblPrEx>
          <w:tblCellMar>
            <w:top w:w="0" w:type="dxa"/>
            <w:left w:w="108" w:type="dxa"/>
            <w:bottom w:w="0" w:type="dxa"/>
            <w:right w:w="108" w:type="dxa"/>
          </w:tblCellMar>
        </w:tblPrEx>
        <w:trPr>
          <w:trHeight w:val="4660"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14</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pacing w:val="-8"/>
                <w:kern w:val="1"/>
                <w:sz w:val="22"/>
                <w:szCs w:val="22"/>
              </w:rPr>
            </w:pPr>
            <w:r>
              <w:rPr>
                <w:color w:val="auto"/>
                <w:kern w:val="1"/>
                <w:szCs w:val="22"/>
              </w:rPr>
              <w:t>小微企业有关政策</w:t>
            </w:r>
          </w:p>
        </w:tc>
        <w:tc>
          <w:tcPr>
            <w:tcW w:w="7446" w:type="dxa"/>
            <w:tcBorders>
              <w:top w:val="single" w:color="000000" w:sz="4" w:space="0"/>
              <w:left w:val="single" w:color="000000" w:sz="4" w:space="0"/>
              <w:bottom w:val="single" w:color="000000" w:sz="4" w:space="0"/>
              <w:right w:val="single" w:color="000000" w:sz="4" w:space="0"/>
            </w:tcBorders>
            <w:vAlign w:val="center"/>
          </w:tcPr>
          <w:p>
            <w:pPr>
              <w:rPr>
                <w:color w:val="auto"/>
              </w:rPr>
            </w:pPr>
            <w:r>
              <w:rPr>
                <w:rFonts w:hint="eastAsia"/>
                <w:color w:val="auto"/>
              </w:rPr>
              <w:t>本项目对应的中小企业划分标准所属行业：</w:t>
            </w:r>
            <w:r>
              <w:rPr>
                <w:rFonts w:hint="eastAsia"/>
                <w:color w:val="auto"/>
                <w:szCs w:val="21"/>
                <w:u w:val="single"/>
              </w:rPr>
              <w:t>其他未列明行业。《关于印发中小企业划型标准规定的通知》 （工信部联企业 (2011) 300 号） 中关于软件和信息技术服务业划型标准如下: 从业人员300人以下的为中小微型企业。其中，从业人员100人及以上的为中型企业；从业人员10人及以上的为小型企业；从业人员10人以下的为微型企业。</w:t>
            </w:r>
          </w:p>
          <w:p>
            <w:pPr>
              <w:rPr>
                <w:rFonts w:ascii="宋体" w:hAnsi="宋体" w:cs="宋体"/>
                <w:color w:val="auto"/>
                <w:kern w:val="1"/>
                <w:sz w:val="22"/>
                <w:szCs w:val="22"/>
              </w:rPr>
            </w:pPr>
            <w:r>
              <w:rPr>
                <w:rFonts w:hint="eastAsia" w:ascii="新宋体" w:hAnsi="新宋体" w:eastAsia="新宋体" w:cs="新宋体"/>
                <w:color w:val="auto"/>
                <w:sz w:val="24"/>
              </w:rPr>
              <w:sym w:font="Wingdings" w:char="00FE"/>
            </w:r>
            <w:r>
              <w:rPr>
                <w:rFonts w:hint="eastAsia"/>
                <w:color w:val="auto"/>
              </w:rPr>
              <w:t>本项目为专门面向中小企业采购：</w:t>
            </w:r>
          </w:p>
          <w:p>
            <w:pPr>
              <w:rPr>
                <w:rFonts w:ascii="宋体" w:hAnsi="宋体" w:cs="宋体"/>
                <w:color w:val="auto"/>
                <w:kern w:val="1"/>
                <w:sz w:val="22"/>
                <w:szCs w:val="22"/>
              </w:rPr>
            </w:pPr>
            <w:r>
              <w:rPr>
                <w:rFonts w:hint="eastAsia" w:ascii="宋体" w:hAnsi="宋体" w:cs="宋体"/>
                <w:color w:val="auto"/>
                <w:kern w:val="1"/>
                <w:sz w:val="22"/>
                <w:szCs w:val="22"/>
              </w:rPr>
              <w:t>1、根据符合《政府采购促进中小企业发展管理办法》（财库[2020]46号）和《关于进一步加大政府采购支持中小企业力度的通知》</w:t>
            </w:r>
            <w:r>
              <w:rPr>
                <w:rFonts w:hint="eastAsia" w:ascii="宋体" w:hAnsi="宋体" w:cs="宋体"/>
                <w:color w:val="auto"/>
                <w:kern w:val="1"/>
                <w:szCs w:val="21"/>
              </w:rPr>
              <w:t>（财库[2022]19号）</w:t>
            </w:r>
            <w:r>
              <w:rPr>
                <w:rFonts w:hint="eastAsia" w:ascii="宋体" w:hAnsi="宋体" w:cs="宋体"/>
                <w:color w:val="auto"/>
                <w:kern w:val="1"/>
                <w:sz w:val="22"/>
                <w:szCs w:val="22"/>
              </w:rPr>
              <w:t>相关要求，预留份额专门面向中小企业采购的采购项目或采购标段，享受中小企业扶持政策的投标人应当同时符合以下条件：</w:t>
            </w:r>
          </w:p>
          <w:p>
            <w:pPr>
              <w:rPr>
                <w:rFonts w:ascii="宋体" w:hAnsi="宋体" w:cs="宋体"/>
                <w:color w:val="auto"/>
                <w:kern w:val="1"/>
                <w:sz w:val="22"/>
                <w:szCs w:val="22"/>
              </w:rPr>
            </w:pPr>
            <w:r>
              <w:rPr>
                <w:rFonts w:hint="eastAsia" w:ascii="宋体" w:hAnsi="宋体" w:cs="宋体"/>
                <w:color w:val="auto"/>
                <w:kern w:val="1"/>
                <w:sz w:val="22"/>
                <w:szCs w:val="22"/>
              </w:rPr>
              <w:t>★1.1.投标人在资格响应文件中提供《中小企业声明函》；</w:t>
            </w:r>
          </w:p>
          <w:p>
            <w:pPr>
              <w:rPr>
                <w:rFonts w:ascii="宋体" w:hAnsi="宋体" w:cs="宋体"/>
                <w:color w:val="auto"/>
                <w:kern w:val="1"/>
                <w:sz w:val="22"/>
                <w:szCs w:val="22"/>
              </w:rPr>
            </w:pPr>
            <w:r>
              <w:rPr>
                <w:rFonts w:hint="eastAsia" w:ascii="宋体" w:hAnsi="宋体" w:cs="宋体"/>
                <w:color w:val="auto"/>
                <w:kern w:val="1"/>
                <w:sz w:val="22"/>
                <w:szCs w:val="22"/>
              </w:rPr>
              <w:t>2.根据财库[2017]141号的相关规定，在政府采购活动中，残疾人福利性单位视同小型、微型企业，享受中小企业扶持政策（享受预留份额）。属于享受政府采购支持政策的残疾人福利性单位，应满足财库[2017]141号文件第一条的规定，并在投标文件中提供残疾人福利性单位声明函。</w:t>
            </w:r>
          </w:p>
          <w:p>
            <w:pPr>
              <w:rPr>
                <w:rFonts w:ascii="宋体" w:hAnsi="宋体" w:cs="宋体"/>
                <w:color w:val="auto"/>
                <w:kern w:val="1"/>
                <w:sz w:val="22"/>
                <w:szCs w:val="22"/>
              </w:rPr>
            </w:pPr>
            <w:r>
              <w:rPr>
                <w:rFonts w:hint="eastAsia" w:ascii="宋体" w:hAnsi="宋体" w:cs="宋体"/>
                <w:color w:val="auto"/>
                <w:kern w:val="1"/>
                <w:sz w:val="22"/>
                <w:szCs w:val="22"/>
              </w:rPr>
              <w:t>3.根据财库[2014]68号的相关规定，在政府采购活动中，监狱企业视同小型、微型企业，享受中小企业扶持政策（享受预留份额），并在投标文件中提供由省级以上监狱管理局、戒毒管理局（含新疆生产建设兵团）出具的属于监狱企业的声明文件（格式自拟）。</w:t>
            </w:r>
          </w:p>
          <w:p>
            <w:pPr>
              <w:rPr>
                <w:rFonts w:ascii="宋体" w:hAnsi="宋体" w:cs="宋体"/>
                <w:color w:val="auto"/>
                <w:kern w:val="1"/>
                <w:sz w:val="22"/>
                <w:szCs w:val="22"/>
              </w:rPr>
            </w:pPr>
            <w:r>
              <w:rPr>
                <w:rFonts w:hint="eastAsia" w:ascii="宋体" w:hAnsi="宋体" w:cs="宋体"/>
                <w:color w:val="auto"/>
                <w:kern w:val="1"/>
                <w:sz w:val="22"/>
                <w:szCs w:val="22"/>
              </w:rPr>
              <w:t>4.中小企业享受扶持政策获得政府采购合同的，小微企业不得将合同分包给大中型企业，中型企业不得将合同分包给大型企业。</w:t>
            </w:r>
          </w:p>
          <w:p>
            <w:pPr>
              <w:rPr>
                <w:rFonts w:ascii="宋体" w:hAnsi="宋体" w:cs="宋体"/>
                <w:b/>
                <w:color w:val="auto"/>
                <w:spacing w:val="-8"/>
                <w:kern w:val="1"/>
                <w:sz w:val="22"/>
                <w:szCs w:val="22"/>
              </w:rPr>
            </w:pPr>
            <w:r>
              <w:rPr>
                <w:rFonts w:hint="eastAsia" w:ascii="宋体" w:hAnsi="宋体" w:cs="宋体"/>
                <w:color w:val="auto"/>
                <w:sz w:val="22"/>
                <w:szCs w:val="22"/>
              </w:rPr>
              <w:t>（注：未提供以上材料的，均不得参加本项目的投标）。</w:t>
            </w:r>
          </w:p>
        </w:tc>
      </w:tr>
      <w:tr>
        <w:tblPrEx>
          <w:tblCellMar>
            <w:top w:w="0" w:type="dxa"/>
            <w:left w:w="108" w:type="dxa"/>
            <w:bottom w:w="0" w:type="dxa"/>
            <w:right w:w="108" w:type="dxa"/>
          </w:tblCellMar>
        </w:tblPrEx>
        <w:trPr>
          <w:trHeight w:val="23"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15</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pacing w:val="-8"/>
                <w:kern w:val="1"/>
                <w:sz w:val="22"/>
                <w:szCs w:val="22"/>
              </w:rPr>
            </w:pPr>
            <w:r>
              <w:rPr>
                <w:rFonts w:hint="eastAsia" w:ascii="宋体" w:hAnsi="宋体" w:cs="宋体"/>
                <w:color w:val="auto"/>
                <w:kern w:val="1"/>
                <w:sz w:val="22"/>
                <w:szCs w:val="22"/>
              </w:rPr>
              <w:t>信用融资</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auto"/>
                <w:spacing w:val="-8"/>
                <w:kern w:val="1"/>
                <w:sz w:val="22"/>
                <w:szCs w:val="22"/>
              </w:rPr>
            </w:pPr>
            <w:r>
              <w:rPr>
                <w:rFonts w:hint="eastAsia" w:ascii="宋体" w:hAnsi="宋体" w:cs="宋体"/>
                <w:color w:val="auto"/>
                <w:kern w:val="1"/>
                <w:sz w:val="22"/>
                <w:szCs w:val="22"/>
              </w:rPr>
              <w:t>为支持和促进中小企业发展，进一步发挥政府采购政策功能，根据《浙江省财政厅关于进一步发挥政府采购政策 功能全力推动经济稳进提质的通知》（浙财采监〔2022〕3号），供应商若有融资意向，登录政府采购云平台“金融支撑”栏目进行查询，查看各相关银行服务方案。</w:t>
            </w:r>
          </w:p>
        </w:tc>
      </w:tr>
      <w:tr>
        <w:tblPrEx>
          <w:tblCellMar>
            <w:top w:w="0" w:type="dxa"/>
            <w:left w:w="108" w:type="dxa"/>
            <w:bottom w:w="0" w:type="dxa"/>
            <w:right w:w="108" w:type="dxa"/>
          </w:tblCellMar>
        </w:tblPrEx>
        <w:trPr>
          <w:trHeight w:val="760"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16</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spacing w:val="-8"/>
                <w:kern w:val="1"/>
                <w:sz w:val="22"/>
                <w:szCs w:val="22"/>
              </w:rPr>
            </w:pPr>
            <w:r>
              <w:rPr>
                <w:rFonts w:hint="eastAsia" w:ascii="宋体" w:hAnsi="宋体" w:cs="宋体"/>
                <w:color w:val="auto"/>
                <w:kern w:val="1"/>
                <w:sz w:val="22"/>
                <w:szCs w:val="22"/>
              </w:rPr>
              <w:t>失信行为处理</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rPr>
            </w:pPr>
            <w:r>
              <w:rPr>
                <w:rFonts w:hint="eastAsia" w:ascii="宋体" w:hAnsi="宋体" w:cs="宋体"/>
                <w:color w:val="auto"/>
                <w:sz w:val="22"/>
                <w:szCs w:val="22"/>
              </w:rPr>
              <w:t>投标人发生下列情况之一时，将按严重失信行为上报信用办记入政府采购严重失信行为记录名单：</w:t>
            </w:r>
          </w:p>
          <w:p>
            <w:pPr>
              <w:rPr>
                <w:rFonts w:ascii="宋体" w:hAnsi="宋体" w:cs="宋体"/>
                <w:color w:val="auto"/>
                <w:sz w:val="22"/>
                <w:szCs w:val="22"/>
              </w:rPr>
            </w:pPr>
            <w:r>
              <w:rPr>
                <w:rFonts w:hint="eastAsia" w:ascii="宋体" w:hAnsi="宋体" w:cs="宋体"/>
                <w:color w:val="auto"/>
                <w:sz w:val="22"/>
                <w:szCs w:val="22"/>
              </w:rPr>
              <w:t>（1）投标人在规定的投标有效期内撤回投标或放弃中标的；</w:t>
            </w:r>
          </w:p>
          <w:p>
            <w:pPr>
              <w:rPr>
                <w:rFonts w:ascii="宋体" w:hAnsi="宋体" w:cs="宋体"/>
                <w:color w:val="auto"/>
                <w:sz w:val="22"/>
                <w:szCs w:val="22"/>
              </w:rPr>
            </w:pPr>
            <w:r>
              <w:rPr>
                <w:rFonts w:hint="eastAsia" w:ascii="宋体" w:hAnsi="宋体" w:cs="宋体"/>
                <w:color w:val="auto"/>
                <w:sz w:val="22"/>
                <w:szCs w:val="22"/>
              </w:rPr>
              <w:t>（2）有意串标或提供虚假材料的；</w:t>
            </w:r>
          </w:p>
          <w:p>
            <w:pPr>
              <w:rPr>
                <w:rFonts w:ascii="宋体" w:hAnsi="宋体" w:cs="宋体"/>
                <w:color w:val="auto"/>
                <w:sz w:val="22"/>
                <w:szCs w:val="22"/>
              </w:rPr>
            </w:pPr>
            <w:r>
              <w:rPr>
                <w:rFonts w:hint="eastAsia" w:ascii="宋体" w:hAnsi="宋体" w:cs="宋体"/>
                <w:color w:val="auto"/>
                <w:sz w:val="22"/>
                <w:szCs w:val="22"/>
              </w:rPr>
              <w:t>（3）中标人在收到中标通知书后，因自身原因不能在投标有效期内和采购人签订合同；</w:t>
            </w:r>
          </w:p>
          <w:p>
            <w:pPr>
              <w:rPr>
                <w:rFonts w:ascii="宋体" w:hAnsi="宋体" w:cs="宋体"/>
                <w:color w:val="auto"/>
                <w:sz w:val="22"/>
                <w:szCs w:val="22"/>
              </w:rPr>
            </w:pPr>
            <w:r>
              <w:rPr>
                <w:rFonts w:hint="eastAsia" w:ascii="宋体" w:hAnsi="宋体" w:cs="宋体"/>
                <w:color w:val="auto"/>
                <w:sz w:val="22"/>
                <w:szCs w:val="22"/>
              </w:rPr>
              <w:t>（4）中标供应商在标后履约过程中未按合同约定的期限和要求履约的；</w:t>
            </w:r>
          </w:p>
          <w:p>
            <w:pPr>
              <w:rPr>
                <w:rFonts w:ascii="宋体" w:hAnsi="宋体" w:cs="宋体"/>
                <w:color w:val="auto"/>
                <w:sz w:val="22"/>
                <w:szCs w:val="22"/>
              </w:rPr>
            </w:pPr>
            <w:r>
              <w:rPr>
                <w:rFonts w:hint="eastAsia" w:ascii="宋体" w:hAnsi="宋体" w:cs="宋体"/>
                <w:color w:val="auto"/>
                <w:sz w:val="22"/>
                <w:szCs w:val="22"/>
              </w:rPr>
              <w:t>（5）因中标供应商原因在标后履约过程中擅自终止合同的；</w:t>
            </w:r>
          </w:p>
          <w:p>
            <w:pPr>
              <w:rPr>
                <w:rFonts w:ascii="宋体" w:hAnsi="宋体" w:cs="宋体"/>
                <w:color w:val="auto"/>
                <w:sz w:val="22"/>
                <w:szCs w:val="22"/>
              </w:rPr>
            </w:pPr>
            <w:r>
              <w:rPr>
                <w:rFonts w:hint="eastAsia" w:ascii="宋体" w:hAnsi="宋体" w:cs="宋体"/>
                <w:color w:val="auto"/>
                <w:sz w:val="22"/>
                <w:szCs w:val="22"/>
              </w:rPr>
              <w:t>（6）不符合招标文件要求的其他失信行为；</w:t>
            </w:r>
          </w:p>
          <w:p>
            <w:pPr>
              <w:rPr>
                <w:rFonts w:ascii="宋体" w:hAnsi="宋体" w:cs="宋体"/>
                <w:color w:val="auto"/>
                <w:sz w:val="22"/>
                <w:szCs w:val="22"/>
              </w:rPr>
            </w:pPr>
            <w:r>
              <w:rPr>
                <w:rFonts w:hint="eastAsia" w:ascii="宋体" w:hAnsi="宋体" w:cs="宋体"/>
                <w:color w:val="auto"/>
                <w:sz w:val="22"/>
                <w:szCs w:val="22"/>
              </w:rPr>
              <w:t>（7）中标人未按招标文件规定缴纳招标代理费的。</w:t>
            </w:r>
          </w:p>
        </w:tc>
      </w:tr>
      <w:tr>
        <w:tblPrEx>
          <w:tblCellMar>
            <w:top w:w="0" w:type="dxa"/>
            <w:left w:w="108" w:type="dxa"/>
            <w:bottom w:w="0" w:type="dxa"/>
            <w:right w:w="108" w:type="dxa"/>
          </w:tblCellMar>
        </w:tblPrEx>
        <w:trPr>
          <w:trHeight w:val="1594"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17</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供应商注册</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rPr>
            </w:pPr>
            <w:r>
              <w:rPr>
                <w:rFonts w:hint="eastAsia" w:ascii="宋体" w:hAnsi="宋体" w:cs="宋体"/>
                <w:color w:val="auto"/>
                <w:sz w:val="22"/>
                <w:szCs w:val="22"/>
              </w:rPr>
              <w:t>供应商注册：供应商须在浙江省政府采购网供应商库注册成为正式供应商（根据浙财采监字〔2009〕28号文件规定）。非浙江政府采购网注册的供应商或发生变更且未及时更新的供应商，应当在规定时间内按照《浙江省政府采购供应商注册及诚信管理暂行办法》（浙财采监字〔2009〕28号）的相关规定及时办理更新或供应商注册事项。</w:t>
            </w:r>
          </w:p>
        </w:tc>
      </w:tr>
      <w:tr>
        <w:tblPrEx>
          <w:tblCellMar>
            <w:top w:w="0" w:type="dxa"/>
            <w:left w:w="108" w:type="dxa"/>
            <w:bottom w:w="0" w:type="dxa"/>
            <w:right w:w="108" w:type="dxa"/>
          </w:tblCellMar>
        </w:tblPrEx>
        <w:trPr>
          <w:trHeight w:val="4453"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18</w:t>
            </w:r>
          </w:p>
        </w:tc>
        <w:tc>
          <w:tcPr>
            <w:tcW w:w="1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2"/>
                <w:szCs w:val="22"/>
              </w:rPr>
            </w:pPr>
            <w:r>
              <w:rPr>
                <w:rFonts w:hint="eastAsia" w:ascii="宋体" w:hAnsi="宋体" w:cs="宋体"/>
                <w:color w:val="auto"/>
                <w:kern w:val="1"/>
                <w:sz w:val="22"/>
                <w:szCs w:val="22"/>
              </w:rPr>
              <w:t>其他</w:t>
            </w:r>
          </w:p>
        </w:tc>
        <w:tc>
          <w:tcPr>
            <w:tcW w:w="74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color w:val="auto"/>
                <w:kern w:val="1"/>
                <w:sz w:val="22"/>
                <w:szCs w:val="22"/>
              </w:rPr>
            </w:pPr>
            <w:r>
              <w:rPr>
                <w:rFonts w:hint="eastAsia" w:ascii="宋体" w:hAnsi="宋体" w:cs="宋体"/>
                <w:color w:val="auto"/>
                <w:kern w:val="1"/>
                <w:sz w:val="22"/>
                <w:szCs w:val="22"/>
              </w:rPr>
              <w:t>1、</w:t>
            </w:r>
            <w:r>
              <w:rPr>
                <w:rFonts w:hint="eastAsia"/>
                <w:b/>
                <w:bCs/>
                <w:color w:val="auto"/>
                <w:sz w:val="22"/>
                <w:szCs w:val="22"/>
              </w:rPr>
              <w:t>本项目设单项报价最高限价和总价最高限价</w:t>
            </w:r>
            <w:r>
              <w:rPr>
                <w:b/>
                <w:bCs/>
                <w:color w:val="auto"/>
                <w:kern w:val="1"/>
                <w:szCs w:val="22"/>
              </w:rPr>
              <w:t>，投</w:t>
            </w:r>
            <w:r>
              <w:rPr>
                <w:b/>
                <w:bCs/>
                <w:color w:val="auto"/>
                <w:kern w:val="1"/>
              </w:rPr>
              <w:t>标报价超过最高限价，其投标为无效标</w:t>
            </w:r>
            <w:r>
              <w:rPr>
                <w:rFonts w:hint="eastAsia" w:ascii="宋体" w:hAnsi="宋体" w:cs="宋体"/>
                <w:b/>
                <w:bCs/>
                <w:color w:val="auto"/>
                <w:kern w:val="1"/>
                <w:sz w:val="22"/>
                <w:szCs w:val="22"/>
              </w:rPr>
              <w:t>。</w:t>
            </w:r>
          </w:p>
          <w:p>
            <w:pPr>
              <w:rPr>
                <w:rFonts w:ascii="宋体" w:hAnsi="宋体" w:cs="宋体"/>
                <w:color w:val="auto"/>
                <w:kern w:val="1"/>
                <w:sz w:val="22"/>
                <w:szCs w:val="22"/>
              </w:rPr>
            </w:pPr>
            <w:r>
              <w:rPr>
                <w:rFonts w:hint="eastAsia" w:ascii="宋体" w:hAnsi="宋体" w:cs="宋体"/>
                <w:color w:val="auto"/>
                <w:sz w:val="22"/>
                <w:szCs w:val="22"/>
              </w:rPr>
              <w:t>2、</w:t>
            </w:r>
            <w:r>
              <w:rPr>
                <w:rFonts w:hint="eastAsia" w:ascii="宋体" w:hAnsi="宋体" w:cs="宋体"/>
                <w:color w:val="auto"/>
                <w:kern w:val="1"/>
                <w:sz w:val="22"/>
                <w:szCs w:val="22"/>
              </w:rPr>
              <w:t>招标文件中要求投标人在制作投标文件时，提供的扫描件必须根据评审细则对评审的内容复印完整、清晰可辨，否则在评审时以最不利于投标人原则评审。</w:t>
            </w:r>
          </w:p>
          <w:p>
            <w:pPr>
              <w:rPr>
                <w:rFonts w:ascii="宋体" w:hAnsi="宋体" w:cs="宋体"/>
                <w:color w:val="auto"/>
                <w:kern w:val="1"/>
                <w:sz w:val="22"/>
                <w:szCs w:val="22"/>
              </w:rPr>
            </w:pPr>
            <w:r>
              <w:rPr>
                <w:rFonts w:hint="eastAsia" w:ascii="宋体" w:hAnsi="宋体" w:cs="宋体"/>
                <w:color w:val="auto"/>
                <w:kern w:val="1"/>
                <w:sz w:val="22"/>
                <w:szCs w:val="22"/>
              </w:rPr>
              <w:t>3、根据《关于在政府采购活动中查询及使用信用记录有关问题的通知》财库[2016]125号的规定：</w:t>
            </w:r>
          </w:p>
          <w:p>
            <w:pPr>
              <w:rPr>
                <w:rFonts w:ascii="宋体" w:hAnsi="宋体" w:cs="宋体"/>
                <w:color w:val="auto"/>
                <w:kern w:val="1"/>
                <w:sz w:val="22"/>
                <w:szCs w:val="22"/>
              </w:rPr>
            </w:pPr>
            <w:r>
              <w:rPr>
                <w:rFonts w:hint="eastAsia" w:ascii="宋体" w:hAnsi="宋体" w:cs="宋体"/>
                <w:color w:val="auto"/>
                <w:kern w:val="1"/>
                <w:sz w:val="22"/>
                <w:szCs w:val="22"/>
              </w:rPr>
              <w:t>（1）采购人或采购代理机构将对本项目供应商的信用记录进行查询。查询渠道为信用中国网站（www.creditchina.gov.cn）、中国政府采购网（www.ccgp.gov.cn）；</w:t>
            </w:r>
          </w:p>
          <w:p>
            <w:pPr>
              <w:rPr>
                <w:rFonts w:ascii="宋体" w:hAnsi="宋体" w:cs="宋体"/>
                <w:color w:val="auto"/>
                <w:kern w:val="1"/>
                <w:sz w:val="22"/>
                <w:szCs w:val="22"/>
              </w:rPr>
            </w:pPr>
            <w:r>
              <w:rPr>
                <w:rFonts w:hint="eastAsia" w:ascii="宋体" w:hAnsi="宋体" w:cs="宋体"/>
                <w:color w:val="auto"/>
                <w:kern w:val="1"/>
                <w:sz w:val="22"/>
                <w:szCs w:val="22"/>
              </w:rPr>
              <w:t>（2）截止时点：提交投标文件（响应文件）截止时间前3年内；</w:t>
            </w:r>
          </w:p>
          <w:p>
            <w:pPr>
              <w:rPr>
                <w:rFonts w:ascii="宋体" w:hAnsi="宋体" w:cs="宋体"/>
                <w:color w:val="auto"/>
                <w:kern w:val="1"/>
                <w:sz w:val="22"/>
                <w:szCs w:val="22"/>
              </w:rPr>
            </w:pPr>
            <w:r>
              <w:rPr>
                <w:rFonts w:hint="eastAsia" w:ascii="宋体" w:hAnsi="宋体" w:cs="宋体"/>
                <w:color w:val="auto"/>
                <w:kern w:val="1"/>
                <w:sz w:val="22"/>
                <w:szCs w:val="22"/>
              </w:rPr>
              <w:t>（3）查询记录和证据的留存：信用信息查询记录和证据以网页截图等方式留存。</w:t>
            </w:r>
          </w:p>
          <w:p>
            <w:pPr>
              <w:rPr>
                <w:rFonts w:ascii="宋体" w:hAnsi="宋体" w:cs="宋体"/>
                <w:color w:val="auto"/>
                <w:kern w:val="1"/>
                <w:sz w:val="22"/>
                <w:szCs w:val="22"/>
              </w:rPr>
            </w:pPr>
            <w:r>
              <w:rPr>
                <w:rFonts w:hint="eastAsia" w:ascii="宋体" w:hAnsi="宋体" w:cs="宋体"/>
                <w:color w:val="auto"/>
                <w:kern w:val="1"/>
                <w:sz w:val="22"/>
                <w:szCs w:val="22"/>
              </w:rPr>
              <w:t>（4）使用规则：被列入失信被执行人、重大税收违法案件当事人名单、政府采购严重违法失信行为记录名单及其他不符合《中华人民共和国政府采购法》第二十二条规定条件的，其投标将被拒绝。</w:t>
            </w:r>
          </w:p>
        </w:tc>
      </w:tr>
    </w:tbl>
    <w:p>
      <w:pPr>
        <w:spacing w:line="360" w:lineRule="auto"/>
        <w:ind w:firstLine="211" w:firstLineChars="100"/>
        <w:rPr>
          <w:b/>
          <w:color w:val="auto"/>
          <w:kern w:val="1"/>
        </w:rPr>
      </w:pPr>
      <w:r>
        <w:rPr>
          <w:b/>
          <w:color w:val="auto"/>
          <w:kern w:val="1"/>
        </w:rPr>
        <w:t>注：投标人须知前附表内容与本招标文件后述内容不一致的，以投标须知前附表为准。</w:t>
      </w:r>
    </w:p>
    <w:p>
      <w:pPr>
        <w:pStyle w:val="21"/>
        <w:spacing w:line="360" w:lineRule="auto"/>
        <w:ind w:firstLine="420"/>
        <w:jc w:val="both"/>
        <w:rPr>
          <w:rFonts w:ascii="Times New Roman" w:hAnsi="Times New Roman"/>
          <w:color w:val="auto"/>
          <w:sz w:val="36"/>
        </w:rPr>
      </w:pPr>
      <w:bookmarkStart w:id="2" w:name="_Toc274303228"/>
      <w:bookmarkEnd w:id="2"/>
      <w:bookmarkStart w:id="3" w:name="_Toc362250686"/>
      <w:bookmarkEnd w:id="3"/>
    </w:p>
    <w:p>
      <w:pPr>
        <w:pStyle w:val="2"/>
        <w:spacing w:before="0" w:after="0" w:line="360" w:lineRule="auto"/>
        <w:jc w:val="center"/>
        <w:rPr>
          <w:color w:val="auto"/>
          <w:sz w:val="36"/>
        </w:rPr>
      </w:pPr>
      <w:r>
        <w:rPr>
          <w:color w:val="auto"/>
          <w:sz w:val="36"/>
        </w:rPr>
        <w:br w:type="page"/>
      </w:r>
      <w:bookmarkStart w:id="4" w:name="_Toc9454"/>
      <w:r>
        <w:rPr>
          <w:color w:val="auto"/>
          <w:sz w:val="32"/>
        </w:rPr>
        <w:t>投标须知</w:t>
      </w:r>
      <w:bookmarkEnd w:id="4"/>
    </w:p>
    <w:p>
      <w:pPr>
        <w:pStyle w:val="3"/>
        <w:numPr>
          <w:ilvl w:val="1"/>
          <w:numId w:val="4"/>
        </w:numPr>
        <w:spacing w:before="0" w:after="0" w:line="336" w:lineRule="auto"/>
        <w:rPr>
          <w:rFonts w:ascii="Times New Roman" w:hAnsi="Times New Roman" w:eastAsia="宋体"/>
          <w:color w:val="auto"/>
          <w:sz w:val="22"/>
          <w:szCs w:val="22"/>
        </w:rPr>
      </w:pPr>
      <w:bookmarkStart w:id="5" w:name="_Toc274303229"/>
      <w:bookmarkEnd w:id="5"/>
      <w:bookmarkStart w:id="6" w:name="_Toc362250687"/>
      <w:bookmarkEnd w:id="6"/>
      <w:bookmarkStart w:id="7" w:name="_Toc3460"/>
      <w:r>
        <w:rPr>
          <w:rFonts w:ascii="Times New Roman" w:hAnsi="Times New Roman" w:eastAsia="宋体"/>
          <w:color w:val="auto"/>
          <w:sz w:val="22"/>
          <w:szCs w:val="22"/>
        </w:rPr>
        <w:t>一、说明</w:t>
      </w:r>
      <w:bookmarkEnd w:id="7"/>
    </w:p>
    <w:p>
      <w:pPr>
        <w:pStyle w:val="21"/>
        <w:spacing w:line="336" w:lineRule="auto"/>
        <w:ind w:firstLine="422"/>
        <w:jc w:val="both"/>
        <w:rPr>
          <w:rFonts w:ascii="Times New Roman" w:hAnsi="Times New Roman"/>
          <w:color w:val="auto"/>
          <w:sz w:val="22"/>
          <w:szCs w:val="22"/>
        </w:rPr>
      </w:pPr>
      <w:r>
        <w:rPr>
          <w:rFonts w:ascii="Times New Roman" w:hAnsi="Times New Roman"/>
          <w:color w:val="auto"/>
          <w:sz w:val="22"/>
          <w:szCs w:val="22"/>
        </w:rPr>
        <w:t>1、适用范围</w:t>
      </w:r>
    </w:p>
    <w:p>
      <w:pPr>
        <w:pStyle w:val="21"/>
        <w:spacing w:line="336" w:lineRule="auto"/>
        <w:ind w:firstLine="420"/>
        <w:jc w:val="both"/>
        <w:rPr>
          <w:rFonts w:ascii="Times New Roman" w:hAnsi="Times New Roman"/>
          <w:b w:val="0"/>
          <w:color w:val="auto"/>
          <w:sz w:val="22"/>
          <w:szCs w:val="22"/>
        </w:rPr>
      </w:pPr>
      <w:r>
        <w:rPr>
          <w:rFonts w:ascii="Times New Roman" w:hAnsi="Times New Roman"/>
          <w:b w:val="0"/>
          <w:color w:val="auto"/>
          <w:sz w:val="22"/>
          <w:szCs w:val="22"/>
        </w:rPr>
        <w:t>1.1 本招标文件仅适用于本次招标采购所叙述的货物和服务项目。</w:t>
      </w:r>
    </w:p>
    <w:p>
      <w:pPr>
        <w:pStyle w:val="21"/>
        <w:spacing w:line="336" w:lineRule="auto"/>
        <w:ind w:firstLine="422"/>
        <w:jc w:val="both"/>
        <w:rPr>
          <w:rFonts w:ascii="Times New Roman" w:hAnsi="Times New Roman"/>
          <w:color w:val="auto"/>
          <w:sz w:val="22"/>
          <w:szCs w:val="22"/>
        </w:rPr>
      </w:pPr>
      <w:r>
        <w:rPr>
          <w:rFonts w:ascii="Times New Roman" w:hAnsi="Times New Roman"/>
          <w:color w:val="auto"/>
          <w:sz w:val="22"/>
          <w:szCs w:val="22"/>
        </w:rPr>
        <w:t>2、定义</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2.1采购人：系指</w:t>
      </w:r>
      <w:r>
        <w:rPr>
          <w:rFonts w:hint="eastAsia" w:ascii="Times New Roman" w:hAnsi="Times New Roman"/>
          <w:color w:val="auto"/>
          <w:sz w:val="22"/>
          <w:szCs w:val="22"/>
        </w:rPr>
        <w:t>义乌市住房和城乡建设局</w:t>
      </w:r>
      <w:r>
        <w:rPr>
          <w:rFonts w:ascii="Times New Roman" w:hAnsi="Times New Roman"/>
          <w:color w:val="auto"/>
          <w:sz w:val="22"/>
          <w:szCs w:val="22"/>
        </w:rPr>
        <w:t>。</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2.2招标代理机构：系指组织本次招标工作的</w:t>
      </w:r>
      <w:r>
        <w:rPr>
          <w:rFonts w:hint="eastAsia" w:ascii="Times New Roman" w:hAnsi="Times New Roman"/>
          <w:color w:val="auto"/>
          <w:sz w:val="22"/>
          <w:szCs w:val="22"/>
        </w:rPr>
        <w:t>科信联合工程咨询有限公司</w:t>
      </w:r>
      <w:r>
        <w:rPr>
          <w:rFonts w:ascii="Times New Roman" w:hAnsi="Times New Roman"/>
          <w:color w:val="auto"/>
          <w:sz w:val="22"/>
          <w:szCs w:val="22"/>
        </w:rPr>
        <w:t>。</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2.3投标人：系指符合招标公告要求的投标供应商。</w:t>
      </w:r>
    </w:p>
    <w:p>
      <w:pPr>
        <w:pStyle w:val="21"/>
        <w:spacing w:line="336" w:lineRule="auto"/>
        <w:ind w:firstLine="420"/>
        <w:jc w:val="both"/>
        <w:rPr>
          <w:rFonts w:ascii="Times New Roman" w:hAnsi="Times New Roman"/>
          <w:b w:val="0"/>
          <w:color w:val="auto"/>
          <w:sz w:val="22"/>
          <w:szCs w:val="22"/>
        </w:rPr>
      </w:pPr>
      <w:r>
        <w:rPr>
          <w:rFonts w:ascii="Times New Roman" w:hAnsi="Times New Roman"/>
          <w:b w:val="0"/>
          <w:color w:val="auto"/>
          <w:sz w:val="22"/>
          <w:szCs w:val="22"/>
        </w:rPr>
        <w:t>2.4服务：</w:t>
      </w:r>
      <w:r>
        <w:rPr>
          <w:rFonts w:ascii="Times New Roman" w:hAnsi="Times New Roman"/>
          <w:b w:val="0"/>
          <w:color w:val="auto"/>
          <w:kern w:val="0"/>
          <w:sz w:val="22"/>
          <w:szCs w:val="22"/>
        </w:rPr>
        <w:t>系指</w:t>
      </w:r>
      <w:r>
        <w:rPr>
          <w:rFonts w:ascii="Times New Roman" w:hAnsi="Times New Roman"/>
          <w:b w:val="0"/>
          <w:color w:val="auto"/>
          <w:sz w:val="22"/>
          <w:szCs w:val="22"/>
        </w:rPr>
        <w:t>招标文件规定投标人须承担的劳务</w:t>
      </w:r>
      <w:r>
        <w:rPr>
          <w:rFonts w:hint="eastAsia" w:ascii="Times New Roman" w:hAnsi="Times New Roman"/>
          <w:b w:val="0"/>
          <w:color w:val="auto"/>
          <w:sz w:val="22"/>
          <w:szCs w:val="22"/>
        </w:rPr>
        <w:t>及其他</w:t>
      </w:r>
      <w:r>
        <w:rPr>
          <w:rFonts w:ascii="Times New Roman" w:hAnsi="Times New Roman"/>
          <w:b w:val="0"/>
          <w:color w:val="auto"/>
          <w:sz w:val="22"/>
          <w:szCs w:val="22"/>
        </w:rPr>
        <w:t>类似的服务。</w:t>
      </w:r>
    </w:p>
    <w:p>
      <w:pPr>
        <w:pStyle w:val="31"/>
        <w:spacing w:line="336" w:lineRule="auto"/>
        <w:ind w:firstLine="420"/>
        <w:rPr>
          <w:rFonts w:ascii="Times New Roman" w:hAnsi="Times New Roman" w:eastAsia="宋体"/>
          <w:color w:val="auto"/>
          <w:sz w:val="22"/>
          <w:szCs w:val="22"/>
        </w:rPr>
      </w:pPr>
      <w:r>
        <w:rPr>
          <w:rFonts w:ascii="Times New Roman" w:hAnsi="Times New Roman" w:eastAsia="宋体"/>
          <w:color w:val="auto"/>
          <w:sz w:val="22"/>
          <w:szCs w:val="22"/>
        </w:rPr>
        <w:t>2.5货物：系指按招标文件规定投标人须向采购人提供的一切材料、设备、机械、仪器仪表、工具</w:t>
      </w:r>
      <w:r>
        <w:rPr>
          <w:rFonts w:hint="eastAsia" w:ascii="Times New Roman" w:hAnsi="Times New Roman" w:eastAsia="宋体"/>
          <w:color w:val="auto"/>
          <w:sz w:val="22"/>
          <w:szCs w:val="22"/>
        </w:rPr>
        <w:t>及其他有关</w:t>
      </w:r>
      <w:r>
        <w:rPr>
          <w:rFonts w:ascii="Times New Roman" w:hAnsi="Times New Roman" w:eastAsia="宋体"/>
          <w:color w:val="auto"/>
          <w:sz w:val="22"/>
          <w:szCs w:val="22"/>
        </w:rPr>
        <w:t>技术资料和文字材料。</w:t>
      </w:r>
    </w:p>
    <w:p>
      <w:pPr>
        <w:pStyle w:val="21"/>
        <w:spacing w:line="336" w:lineRule="auto"/>
        <w:ind w:firstLine="420"/>
        <w:jc w:val="both"/>
        <w:rPr>
          <w:rFonts w:ascii="Times New Roman" w:hAnsi="Times New Roman"/>
          <w:b w:val="0"/>
          <w:color w:val="auto"/>
          <w:sz w:val="22"/>
          <w:szCs w:val="22"/>
        </w:rPr>
      </w:pPr>
      <w:r>
        <w:rPr>
          <w:rFonts w:ascii="Times New Roman" w:hAnsi="Times New Roman"/>
          <w:b w:val="0"/>
          <w:color w:val="auto"/>
          <w:sz w:val="22"/>
          <w:szCs w:val="22"/>
        </w:rPr>
        <w:t>2.6甲方：即采购人，在招投标阶段称为采购人，在签订和执行合同阶段称为甲方。</w:t>
      </w:r>
    </w:p>
    <w:p>
      <w:pPr>
        <w:pStyle w:val="21"/>
        <w:spacing w:line="336" w:lineRule="auto"/>
        <w:ind w:firstLine="420"/>
        <w:jc w:val="both"/>
        <w:rPr>
          <w:rFonts w:ascii="Times New Roman" w:hAnsi="Times New Roman"/>
          <w:color w:val="auto"/>
          <w:sz w:val="22"/>
          <w:szCs w:val="22"/>
        </w:rPr>
      </w:pPr>
      <w:r>
        <w:rPr>
          <w:rFonts w:ascii="Times New Roman" w:hAnsi="Times New Roman"/>
          <w:b w:val="0"/>
          <w:color w:val="auto"/>
          <w:sz w:val="22"/>
          <w:szCs w:val="22"/>
        </w:rPr>
        <w:t>2.7乙方：在招投标阶段称为投标人，中标后在签订和执行合同阶段称为乙方。</w:t>
      </w:r>
    </w:p>
    <w:p>
      <w:pPr>
        <w:pStyle w:val="31"/>
        <w:spacing w:line="336" w:lineRule="auto"/>
        <w:ind w:firstLine="420"/>
        <w:rPr>
          <w:rFonts w:ascii="Times New Roman" w:hAnsi="Times New Roman" w:eastAsia="宋体"/>
          <w:color w:val="auto"/>
          <w:sz w:val="22"/>
          <w:szCs w:val="22"/>
        </w:rPr>
      </w:pPr>
      <w:r>
        <w:rPr>
          <w:rFonts w:hint="eastAsia" w:ascii="Times New Roman" w:hAnsi="Times New Roman" w:eastAsia="宋体"/>
          <w:color w:val="auto"/>
          <w:sz w:val="22"/>
          <w:szCs w:val="22"/>
        </w:rPr>
        <w:t>2.8中小企业（含中型、小型、微型）：符合中小企业划分标准（工信部联企业[2011]300号）的企业。</w:t>
      </w:r>
    </w:p>
    <w:p>
      <w:pPr>
        <w:pStyle w:val="31"/>
        <w:spacing w:line="336" w:lineRule="auto"/>
        <w:ind w:firstLine="420"/>
        <w:rPr>
          <w:rFonts w:ascii="Times New Roman" w:hAnsi="Times New Roman" w:eastAsia="宋体"/>
          <w:color w:val="auto"/>
          <w:sz w:val="22"/>
          <w:szCs w:val="22"/>
        </w:rPr>
      </w:pPr>
      <w:r>
        <w:rPr>
          <w:rFonts w:hint="eastAsia" w:ascii="Times New Roman" w:hAnsi="Times New Roman" w:eastAsia="宋体"/>
          <w:color w:val="auto"/>
          <w:sz w:val="22"/>
          <w:szCs w:val="22"/>
        </w:rPr>
        <w:t>2.9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31"/>
        <w:spacing w:line="336" w:lineRule="auto"/>
        <w:ind w:firstLine="420"/>
        <w:rPr>
          <w:rFonts w:ascii="Times New Roman" w:hAnsi="Times New Roman" w:eastAsia="宋体"/>
          <w:color w:val="auto"/>
          <w:sz w:val="22"/>
          <w:szCs w:val="22"/>
        </w:rPr>
      </w:pPr>
      <w:r>
        <w:rPr>
          <w:rFonts w:hint="eastAsia" w:ascii="Times New Roman" w:hAnsi="Times New Roman" w:eastAsia="宋体"/>
          <w:color w:val="auto"/>
          <w:sz w:val="22"/>
          <w:szCs w:val="22"/>
        </w:rPr>
        <w:t>2.10残疾人福利性单位：符合《财政部、民政部、中国残疾人联合会关于促进残疾人就业政府采购政策的通知》（财库〔2017〕141号）的规定单位。</w:t>
      </w:r>
    </w:p>
    <w:p>
      <w:pPr>
        <w:pStyle w:val="31"/>
        <w:spacing w:line="336" w:lineRule="auto"/>
        <w:ind w:firstLine="420"/>
        <w:rPr>
          <w:rFonts w:ascii="Times New Roman" w:hAnsi="Times New Roman" w:eastAsia="宋体"/>
          <w:color w:val="auto"/>
          <w:sz w:val="22"/>
          <w:szCs w:val="22"/>
        </w:rPr>
      </w:pPr>
      <w:r>
        <w:rPr>
          <w:rFonts w:hint="eastAsia" w:ascii="Times New Roman" w:hAnsi="Times New Roman" w:eastAsia="宋体"/>
          <w:color w:val="auto"/>
          <w:sz w:val="22"/>
          <w:szCs w:val="22"/>
        </w:rPr>
        <w:t>2.11 “★”标记系指必须满足不能负偏离或必须应答的条款</w:t>
      </w:r>
    </w:p>
    <w:p>
      <w:pPr>
        <w:pStyle w:val="21"/>
        <w:spacing w:line="336" w:lineRule="auto"/>
        <w:ind w:firstLine="422"/>
        <w:jc w:val="both"/>
        <w:rPr>
          <w:rFonts w:ascii="Times New Roman" w:hAnsi="Times New Roman"/>
          <w:color w:val="auto"/>
          <w:sz w:val="22"/>
          <w:szCs w:val="22"/>
        </w:rPr>
      </w:pPr>
      <w:r>
        <w:rPr>
          <w:rFonts w:ascii="Times New Roman" w:hAnsi="Times New Roman"/>
          <w:color w:val="auto"/>
          <w:sz w:val="22"/>
          <w:szCs w:val="22"/>
        </w:rPr>
        <w:t>3、合格的投标人</w:t>
      </w:r>
    </w:p>
    <w:p>
      <w:pPr>
        <w:pStyle w:val="21"/>
        <w:spacing w:line="336" w:lineRule="auto"/>
        <w:ind w:firstLine="420"/>
        <w:jc w:val="both"/>
        <w:rPr>
          <w:rFonts w:ascii="Times New Roman" w:hAnsi="Times New Roman"/>
          <w:color w:val="auto"/>
          <w:sz w:val="22"/>
          <w:szCs w:val="22"/>
        </w:rPr>
      </w:pPr>
      <w:r>
        <w:rPr>
          <w:rFonts w:ascii="Times New Roman" w:hAnsi="Times New Roman"/>
          <w:color w:val="auto"/>
          <w:sz w:val="22"/>
          <w:szCs w:val="22"/>
        </w:rPr>
        <w:t>3.1符合采购公告中要求的条件。</w:t>
      </w:r>
    </w:p>
    <w:p>
      <w:pPr>
        <w:pStyle w:val="21"/>
        <w:spacing w:line="336" w:lineRule="auto"/>
        <w:ind w:firstLine="420"/>
        <w:jc w:val="both"/>
        <w:rPr>
          <w:rFonts w:ascii="Times New Roman" w:hAnsi="Times New Roman"/>
          <w:color w:val="auto"/>
          <w:sz w:val="22"/>
          <w:szCs w:val="22"/>
        </w:rPr>
      </w:pPr>
      <w:r>
        <w:rPr>
          <w:rFonts w:ascii="Times New Roman" w:hAnsi="Times New Roman"/>
          <w:color w:val="auto"/>
          <w:sz w:val="22"/>
          <w:szCs w:val="22"/>
        </w:rPr>
        <w:t>3.2获取招标文件的投标人，并不能被认定为投标人资格已合格。投标人的资格是否符合招标文件要求，以开标时审查结果为准。</w:t>
      </w:r>
    </w:p>
    <w:p>
      <w:pPr>
        <w:pStyle w:val="21"/>
        <w:spacing w:line="336" w:lineRule="auto"/>
        <w:ind w:firstLine="420"/>
        <w:jc w:val="both"/>
        <w:rPr>
          <w:rFonts w:ascii="Times New Roman" w:hAnsi="Times New Roman"/>
          <w:color w:val="auto"/>
          <w:sz w:val="22"/>
          <w:szCs w:val="22"/>
        </w:rPr>
      </w:pPr>
      <w:r>
        <w:rPr>
          <w:rFonts w:ascii="Times New Roman" w:hAnsi="Times New Roman"/>
          <w:color w:val="auto"/>
          <w:sz w:val="22"/>
          <w:szCs w:val="22"/>
        </w:rPr>
        <w:t>3.3单位负责人为同一人或者存在直接控股、管理关系的不同供应商，不得参加同一合同项下的政府采购活动。</w:t>
      </w:r>
    </w:p>
    <w:p>
      <w:pPr>
        <w:pStyle w:val="27"/>
        <w:spacing w:line="336" w:lineRule="auto"/>
        <w:ind w:firstLine="422"/>
        <w:rPr>
          <w:rFonts w:ascii="Times New Roman" w:hAnsi="Times New Roman"/>
          <w:color w:val="auto"/>
          <w:sz w:val="22"/>
          <w:szCs w:val="22"/>
        </w:rPr>
      </w:pPr>
      <w:r>
        <w:rPr>
          <w:rFonts w:ascii="Times New Roman" w:hAnsi="Times New Roman"/>
          <w:b/>
          <w:color w:val="auto"/>
          <w:sz w:val="22"/>
          <w:szCs w:val="22"/>
        </w:rPr>
        <w:t>4、保证</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4.1投标人应保证所提交给招标机构和采购人的资料和数据是真实的。</w:t>
      </w:r>
    </w:p>
    <w:p>
      <w:pPr>
        <w:pStyle w:val="27"/>
        <w:spacing w:line="336" w:lineRule="auto"/>
        <w:ind w:firstLine="422"/>
        <w:rPr>
          <w:rFonts w:ascii="Times New Roman" w:hAnsi="Times New Roman"/>
          <w:b/>
          <w:color w:val="auto"/>
          <w:sz w:val="22"/>
          <w:szCs w:val="22"/>
        </w:rPr>
      </w:pPr>
      <w:r>
        <w:rPr>
          <w:rFonts w:ascii="Times New Roman" w:hAnsi="Times New Roman"/>
          <w:b/>
          <w:color w:val="auto"/>
          <w:sz w:val="22"/>
          <w:szCs w:val="22"/>
        </w:rPr>
        <w:t>5、招标投标费用</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5.1不论投标过程中的</w:t>
      </w:r>
      <w:r>
        <w:rPr>
          <w:rFonts w:hint="eastAsia" w:ascii="Times New Roman" w:hAnsi="Times New Roman"/>
          <w:color w:val="auto"/>
          <w:sz w:val="22"/>
          <w:szCs w:val="22"/>
        </w:rPr>
        <w:t>做法</w:t>
      </w:r>
      <w:r>
        <w:rPr>
          <w:rFonts w:ascii="Times New Roman" w:hAnsi="Times New Roman"/>
          <w:color w:val="auto"/>
          <w:sz w:val="22"/>
          <w:szCs w:val="22"/>
        </w:rPr>
        <w:t>和结果如何，投标人应承担所有与投标有关的全部费用。采购人和采购代理机构在任何情况下均无义务和责任承担上述这些费用。</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5.2招标服务费</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 xml:space="preserve">5.2.1中标人须向招标代理机构交纳招标代理服务费，招标服务费按下列计算方式向中标方收取。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13"/>
        <w:gridCol w:w="5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44" w:type="dxa"/>
            <w:vAlign w:val="center"/>
          </w:tcPr>
          <w:p>
            <w:pPr>
              <w:pStyle w:val="27"/>
              <w:jc w:val="center"/>
              <w:rPr>
                <w:rFonts w:ascii="Times New Roman" w:hAnsi="Times New Roman"/>
                <w:color w:val="auto"/>
                <w:sz w:val="22"/>
                <w:szCs w:val="22"/>
              </w:rPr>
            </w:pPr>
            <w:r>
              <w:rPr>
                <w:rFonts w:ascii="Times New Roman" w:hAnsi="Times New Roman"/>
                <w:color w:val="auto"/>
                <w:sz w:val="22"/>
                <w:szCs w:val="22"/>
              </w:rPr>
              <w:t>中标金额（万元）</w:t>
            </w:r>
          </w:p>
        </w:tc>
        <w:tc>
          <w:tcPr>
            <w:tcW w:w="1213" w:type="dxa"/>
            <w:vAlign w:val="center"/>
          </w:tcPr>
          <w:p>
            <w:pPr>
              <w:pStyle w:val="27"/>
              <w:jc w:val="center"/>
              <w:rPr>
                <w:rFonts w:ascii="Times New Roman" w:hAnsi="Times New Roman"/>
                <w:color w:val="auto"/>
                <w:sz w:val="22"/>
                <w:szCs w:val="22"/>
              </w:rPr>
            </w:pPr>
            <w:r>
              <w:rPr>
                <w:rFonts w:ascii="Times New Roman" w:hAnsi="Times New Roman"/>
                <w:color w:val="auto"/>
                <w:sz w:val="22"/>
                <w:szCs w:val="22"/>
              </w:rPr>
              <w:t>收费标准</w:t>
            </w:r>
          </w:p>
        </w:tc>
        <w:tc>
          <w:tcPr>
            <w:tcW w:w="5872" w:type="dxa"/>
            <w:vAlign w:val="center"/>
          </w:tcPr>
          <w:p>
            <w:pPr>
              <w:pStyle w:val="27"/>
              <w:rPr>
                <w:rFonts w:ascii="Times New Roman" w:hAnsi="Times New Roman"/>
                <w:color w:val="auto"/>
                <w:sz w:val="22"/>
                <w:szCs w:val="22"/>
              </w:rPr>
            </w:pPr>
            <w:r>
              <w:rPr>
                <w:rFonts w:ascii="Times New Roman" w:hAnsi="Times New Roman"/>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044" w:type="dxa"/>
            <w:vAlign w:val="center"/>
          </w:tcPr>
          <w:p>
            <w:pPr>
              <w:pStyle w:val="27"/>
              <w:jc w:val="center"/>
              <w:rPr>
                <w:rFonts w:ascii="Times New Roman" w:hAnsi="Times New Roman"/>
                <w:color w:val="auto"/>
                <w:sz w:val="22"/>
                <w:szCs w:val="22"/>
              </w:rPr>
            </w:pPr>
            <w:r>
              <w:rPr>
                <w:rFonts w:ascii="Times New Roman" w:hAnsi="Times New Roman"/>
                <w:color w:val="auto"/>
                <w:sz w:val="22"/>
                <w:szCs w:val="22"/>
              </w:rPr>
              <w:t>100以下</w:t>
            </w:r>
          </w:p>
        </w:tc>
        <w:tc>
          <w:tcPr>
            <w:tcW w:w="1213" w:type="dxa"/>
            <w:vAlign w:val="center"/>
          </w:tcPr>
          <w:p>
            <w:pPr>
              <w:pStyle w:val="27"/>
              <w:jc w:val="center"/>
              <w:rPr>
                <w:rFonts w:ascii="Times New Roman" w:hAnsi="Times New Roman"/>
                <w:color w:val="auto"/>
                <w:sz w:val="22"/>
                <w:szCs w:val="22"/>
              </w:rPr>
            </w:pPr>
            <w:r>
              <w:rPr>
                <w:rFonts w:ascii="Times New Roman" w:hAnsi="Times New Roman"/>
                <w:color w:val="auto"/>
                <w:sz w:val="22"/>
                <w:szCs w:val="22"/>
              </w:rPr>
              <w:t>1.5%</w:t>
            </w:r>
          </w:p>
        </w:tc>
        <w:tc>
          <w:tcPr>
            <w:tcW w:w="5872" w:type="dxa"/>
            <w:vMerge w:val="restart"/>
            <w:vAlign w:val="center"/>
          </w:tcPr>
          <w:p>
            <w:pPr>
              <w:pStyle w:val="27"/>
              <w:rPr>
                <w:rFonts w:ascii="Times New Roman" w:hAnsi="Times New Roman"/>
                <w:color w:val="auto"/>
                <w:sz w:val="22"/>
                <w:szCs w:val="22"/>
              </w:rPr>
            </w:pPr>
            <w:r>
              <w:rPr>
                <w:rFonts w:ascii="Times New Roman" w:hAnsi="Times New Roman"/>
                <w:color w:val="auto"/>
                <w:szCs w:val="21"/>
              </w:rPr>
              <w:t>招标服务费采用差额定率累进法计算，向中标方</w:t>
            </w:r>
            <w:r>
              <w:rPr>
                <w:rFonts w:hint="eastAsia" w:ascii="Times New Roman" w:hAnsi="Times New Roman"/>
                <w:color w:val="auto"/>
                <w:szCs w:val="21"/>
              </w:rPr>
              <w:t>按收费标准</w:t>
            </w:r>
            <w:r>
              <w:rPr>
                <w:rFonts w:ascii="Times New Roman" w:hAnsi="Times New Roman"/>
                <w:color w:val="auto"/>
                <w:szCs w:val="21"/>
              </w:rPr>
              <w:t>单向收取。例：中标金额为</w:t>
            </w:r>
            <w:r>
              <w:rPr>
                <w:rFonts w:hint="eastAsia" w:ascii="Times New Roman"/>
                <w:color w:val="auto"/>
                <w:szCs w:val="21"/>
              </w:rPr>
              <w:t>500</w:t>
            </w:r>
            <w:r>
              <w:rPr>
                <w:rFonts w:ascii="Times New Roman" w:hAnsi="Times New Roman"/>
                <w:color w:val="auto"/>
                <w:szCs w:val="21"/>
              </w:rPr>
              <w:t>万。服务费=</w:t>
            </w:r>
            <w:r>
              <w:rPr>
                <w:rFonts w:hint="eastAsia" w:ascii="Times New Roman" w:hAnsi="Times New Roman"/>
                <w:color w:val="auto"/>
                <w:szCs w:val="21"/>
              </w:rPr>
              <w:t>（</w:t>
            </w:r>
            <w:r>
              <w:rPr>
                <w:rFonts w:ascii="Times New Roman" w:hAnsi="Times New Roman"/>
                <w:color w:val="auto"/>
                <w:szCs w:val="21"/>
              </w:rPr>
              <w:t>100万×1.5%+400万×</w:t>
            </w:r>
            <w:r>
              <w:rPr>
                <w:rFonts w:hint="eastAsia" w:ascii="Times New Roman"/>
                <w:color w:val="auto"/>
                <w:szCs w:val="21"/>
              </w:rPr>
              <w:t>0.8</w:t>
            </w:r>
            <w:r>
              <w:rPr>
                <w:rFonts w:ascii="Times New Roman" w:hAnsi="Times New Roman"/>
                <w:color w:val="auto"/>
                <w:szCs w:val="21"/>
              </w:rPr>
              <w:t>%</w:t>
            </w:r>
            <w:r>
              <w:rPr>
                <w:rFonts w:hint="eastAsia" w:ascii="Times New Roman" w:hAnsi="Times New Roman"/>
                <w:color w:val="auto"/>
                <w:szCs w:val="21"/>
              </w:rPr>
              <w:t>）</w:t>
            </w:r>
            <w:r>
              <w:rPr>
                <w:rFonts w:ascii="Times New Roman" w:hAnsi="Times New Roman"/>
                <w:color w:val="auto"/>
                <w:szCs w:val="21"/>
              </w:rPr>
              <w:t>=</w:t>
            </w:r>
            <w:r>
              <w:rPr>
                <w:rFonts w:hint="eastAsia" w:ascii="Times New Roman"/>
                <w:color w:val="auto"/>
                <w:szCs w:val="21"/>
              </w:rPr>
              <w:t>4.7</w:t>
            </w:r>
            <w:r>
              <w:rPr>
                <w:rFonts w:ascii="Times New Roman" w:hAnsi="Times New Roman"/>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44" w:type="dxa"/>
            <w:vAlign w:val="center"/>
          </w:tcPr>
          <w:p>
            <w:pPr>
              <w:pStyle w:val="27"/>
              <w:jc w:val="center"/>
              <w:rPr>
                <w:rFonts w:ascii="Times New Roman" w:hAnsi="Times New Roman"/>
                <w:color w:val="auto"/>
                <w:sz w:val="22"/>
                <w:szCs w:val="22"/>
              </w:rPr>
            </w:pPr>
            <w:r>
              <w:rPr>
                <w:rFonts w:ascii="Times New Roman" w:hAnsi="Times New Roman"/>
                <w:color w:val="auto"/>
                <w:sz w:val="22"/>
                <w:szCs w:val="22"/>
              </w:rPr>
              <w:t>100-500</w:t>
            </w:r>
          </w:p>
        </w:tc>
        <w:tc>
          <w:tcPr>
            <w:tcW w:w="1213" w:type="dxa"/>
            <w:vAlign w:val="center"/>
          </w:tcPr>
          <w:p>
            <w:pPr>
              <w:pStyle w:val="27"/>
              <w:jc w:val="center"/>
              <w:rPr>
                <w:rFonts w:ascii="Times New Roman" w:hAnsi="Times New Roman"/>
                <w:color w:val="auto"/>
                <w:sz w:val="22"/>
                <w:szCs w:val="22"/>
              </w:rPr>
            </w:pPr>
            <w:r>
              <w:rPr>
                <w:rFonts w:hint="eastAsia" w:ascii="Times New Roman" w:hAnsi="Times New Roman"/>
                <w:color w:val="auto"/>
                <w:sz w:val="22"/>
                <w:szCs w:val="22"/>
              </w:rPr>
              <w:t>0.8</w:t>
            </w:r>
            <w:r>
              <w:rPr>
                <w:rFonts w:ascii="Times New Roman" w:hAnsi="Times New Roman"/>
                <w:color w:val="auto"/>
                <w:sz w:val="22"/>
                <w:szCs w:val="22"/>
              </w:rPr>
              <w:t>%</w:t>
            </w:r>
          </w:p>
        </w:tc>
        <w:tc>
          <w:tcPr>
            <w:tcW w:w="5872" w:type="dxa"/>
            <w:vMerge w:val="continue"/>
            <w:vAlign w:val="center"/>
          </w:tcPr>
          <w:p>
            <w:pPr>
              <w:rPr>
                <w:color w:val="auto"/>
                <w:sz w:val="22"/>
                <w:szCs w:val="22"/>
              </w:rPr>
            </w:pPr>
          </w:p>
        </w:tc>
      </w:tr>
    </w:tbl>
    <w:p>
      <w:pPr>
        <w:pStyle w:val="27"/>
        <w:spacing w:line="336" w:lineRule="auto"/>
        <w:ind w:firstLine="420"/>
        <w:rPr>
          <w:rFonts w:ascii="Times New Roman" w:hAnsi="Times New Roman"/>
          <w:b/>
          <w:color w:val="auto"/>
          <w:sz w:val="22"/>
          <w:szCs w:val="22"/>
        </w:rPr>
      </w:pPr>
      <w:r>
        <w:rPr>
          <w:rFonts w:ascii="Times New Roman" w:hAnsi="Times New Roman"/>
          <w:color w:val="auto"/>
          <w:sz w:val="22"/>
          <w:szCs w:val="22"/>
        </w:rPr>
        <w:t>5.2.2招标代理服务费向招标代理机构直接交纳，可用汇票、电汇、银行本票、现金等付款方式。</w:t>
      </w:r>
    </w:p>
    <w:p>
      <w:pPr>
        <w:pStyle w:val="27"/>
        <w:spacing w:line="336" w:lineRule="auto"/>
        <w:ind w:firstLine="480"/>
        <w:rPr>
          <w:rFonts w:ascii="Times New Roman" w:hAnsi="Times New Roman"/>
          <w:b/>
          <w:color w:val="auto"/>
          <w:sz w:val="22"/>
          <w:szCs w:val="22"/>
        </w:rPr>
      </w:pPr>
      <w:r>
        <w:rPr>
          <w:rFonts w:ascii="Times New Roman" w:hAnsi="Times New Roman"/>
          <w:b/>
          <w:color w:val="auto"/>
          <w:sz w:val="22"/>
          <w:szCs w:val="22"/>
        </w:rPr>
        <w:t xml:space="preserve">6、现场勘察 </w:t>
      </w:r>
    </w:p>
    <w:p>
      <w:pPr>
        <w:pStyle w:val="27"/>
        <w:spacing w:line="336" w:lineRule="auto"/>
        <w:ind w:firstLine="480"/>
        <w:rPr>
          <w:rFonts w:ascii="Times New Roman" w:hAnsi="Times New Roman"/>
          <w:color w:val="auto"/>
          <w:sz w:val="22"/>
          <w:szCs w:val="22"/>
        </w:rPr>
      </w:pPr>
      <w:r>
        <w:rPr>
          <w:rFonts w:ascii="Times New Roman" w:hAnsi="Times New Roman"/>
          <w:color w:val="auto"/>
          <w:sz w:val="22"/>
          <w:szCs w:val="22"/>
        </w:rPr>
        <w:t>6.1投标前，投标人须自行到项目所在地予以踏勘，对项目实施现场及周边环境等进行勘察，以获取编制投标文件和签署合同所需的所有资料，否则，由此所造成的一切后果由投标人自行承担。踏勘期间，采购人不得留下供应商名称、联系方式等信息。</w:t>
      </w:r>
    </w:p>
    <w:p>
      <w:pPr>
        <w:pStyle w:val="27"/>
        <w:spacing w:line="336" w:lineRule="auto"/>
        <w:ind w:firstLine="480"/>
        <w:rPr>
          <w:rFonts w:ascii="Times New Roman" w:hAnsi="Times New Roman"/>
          <w:color w:val="auto"/>
          <w:sz w:val="22"/>
          <w:szCs w:val="22"/>
        </w:rPr>
      </w:pPr>
      <w:r>
        <w:rPr>
          <w:rFonts w:ascii="Times New Roman" w:hAnsi="Times New Roman"/>
          <w:color w:val="auto"/>
          <w:sz w:val="22"/>
          <w:szCs w:val="22"/>
        </w:rPr>
        <w:t>6.2投标人在考察过程中发生的各类事件及所发生的各项费用，均由投标人自行承担。采购人和代理机构概不负责。</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6.3采购人向投标人提供的有关现场的数据和资料，是采购人现有的能被投标人利用的资料，采购人对投标人据此做出的任何推论、理解和结论不负责任。</w:t>
      </w:r>
    </w:p>
    <w:p>
      <w:pPr>
        <w:spacing w:line="336" w:lineRule="auto"/>
        <w:ind w:firstLine="420"/>
        <w:rPr>
          <w:color w:val="auto"/>
          <w:kern w:val="1"/>
          <w:sz w:val="22"/>
          <w:szCs w:val="22"/>
        </w:rPr>
      </w:pPr>
      <w:r>
        <w:rPr>
          <w:color w:val="auto"/>
          <w:kern w:val="1"/>
          <w:sz w:val="22"/>
          <w:szCs w:val="22"/>
        </w:rPr>
        <w:t>6.4现场踏勘完毕，将认为投标人</w:t>
      </w:r>
      <w:r>
        <w:rPr>
          <w:rFonts w:hint="eastAsia"/>
          <w:color w:val="auto"/>
          <w:kern w:val="1"/>
          <w:sz w:val="22"/>
          <w:szCs w:val="22"/>
        </w:rPr>
        <w:t>已</w:t>
      </w:r>
      <w:r>
        <w:rPr>
          <w:color w:val="auto"/>
          <w:kern w:val="1"/>
          <w:sz w:val="22"/>
          <w:szCs w:val="22"/>
        </w:rPr>
        <w:t>了解现场情况，并充分理解了为之所承担的风险、义务和责任。</w:t>
      </w:r>
    </w:p>
    <w:p>
      <w:pPr>
        <w:spacing w:line="336" w:lineRule="auto"/>
        <w:ind w:firstLine="422"/>
        <w:rPr>
          <w:b/>
          <w:color w:val="auto"/>
          <w:kern w:val="1"/>
          <w:sz w:val="22"/>
          <w:szCs w:val="22"/>
        </w:rPr>
      </w:pPr>
      <w:r>
        <w:rPr>
          <w:b/>
          <w:color w:val="auto"/>
          <w:kern w:val="1"/>
          <w:sz w:val="22"/>
          <w:szCs w:val="22"/>
        </w:rPr>
        <w:t>7、联合体投标</w:t>
      </w:r>
    </w:p>
    <w:p>
      <w:pPr>
        <w:pStyle w:val="27"/>
        <w:spacing w:line="336" w:lineRule="auto"/>
        <w:ind w:firstLine="420"/>
        <w:rPr>
          <w:rFonts w:ascii="Times New Roman" w:hAnsi="Times New Roman"/>
          <w:color w:val="auto"/>
          <w:sz w:val="22"/>
          <w:szCs w:val="22"/>
        </w:rPr>
      </w:pPr>
      <w:bookmarkStart w:id="8" w:name="_Toc274303230"/>
      <w:bookmarkEnd w:id="8"/>
      <w:bookmarkStart w:id="9" w:name="_Toc362250688"/>
      <w:bookmarkEnd w:id="9"/>
      <w:r>
        <w:rPr>
          <w:rFonts w:hint="eastAsia" w:ascii="Times New Roman" w:hAnsi="Times New Roman"/>
          <w:color w:val="auto"/>
          <w:sz w:val="22"/>
          <w:szCs w:val="22"/>
          <w:u w:val="single"/>
        </w:rPr>
        <w:t>本项目不接受联合体投标。</w:t>
      </w:r>
    </w:p>
    <w:p>
      <w:pPr>
        <w:pStyle w:val="3"/>
        <w:numPr>
          <w:ilvl w:val="1"/>
          <w:numId w:val="4"/>
        </w:numPr>
        <w:spacing w:before="0" w:after="0" w:line="336" w:lineRule="auto"/>
        <w:rPr>
          <w:rFonts w:ascii="Times New Roman" w:hAnsi="Times New Roman" w:eastAsia="宋体"/>
          <w:color w:val="auto"/>
          <w:sz w:val="22"/>
          <w:szCs w:val="22"/>
        </w:rPr>
      </w:pPr>
      <w:bookmarkStart w:id="10" w:name="_Toc25988"/>
      <w:r>
        <w:rPr>
          <w:rFonts w:ascii="Times New Roman" w:hAnsi="Times New Roman" w:eastAsia="宋体"/>
          <w:color w:val="auto"/>
          <w:sz w:val="22"/>
          <w:szCs w:val="22"/>
        </w:rPr>
        <w:t>二、招标文件</w:t>
      </w:r>
      <w:bookmarkEnd w:id="10"/>
    </w:p>
    <w:p>
      <w:pPr>
        <w:spacing w:line="336" w:lineRule="auto"/>
        <w:ind w:firstLine="422"/>
        <w:rPr>
          <w:b/>
          <w:color w:val="auto"/>
          <w:kern w:val="1"/>
          <w:sz w:val="22"/>
          <w:szCs w:val="22"/>
        </w:rPr>
      </w:pPr>
      <w:r>
        <w:rPr>
          <w:b/>
          <w:color w:val="auto"/>
          <w:kern w:val="1"/>
          <w:sz w:val="22"/>
          <w:szCs w:val="22"/>
        </w:rPr>
        <w:t>8、招标文件的组成</w:t>
      </w:r>
    </w:p>
    <w:p>
      <w:pPr>
        <w:spacing w:line="336" w:lineRule="auto"/>
        <w:ind w:firstLine="420"/>
        <w:rPr>
          <w:color w:val="auto"/>
          <w:kern w:val="1"/>
          <w:sz w:val="22"/>
          <w:szCs w:val="22"/>
        </w:rPr>
      </w:pPr>
      <w:r>
        <w:rPr>
          <w:color w:val="auto"/>
          <w:kern w:val="1"/>
          <w:sz w:val="22"/>
          <w:szCs w:val="22"/>
        </w:rPr>
        <w:t>8.1招标文件包括下列内容：</w:t>
      </w:r>
    </w:p>
    <w:p>
      <w:pPr>
        <w:spacing w:line="336" w:lineRule="auto"/>
        <w:ind w:firstLine="420"/>
        <w:rPr>
          <w:color w:val="auto"/>
          <w:kern w:val="1"/>
          <w:sz w:val="22"/>
          <w:szCs w:val="22"/>
        </w:rPr>
      </w:pPr>
      <w:r>
        <w:rPr>
          <w:color w:val="auto"/>
          <w:kern w:val="1"/>
          <w:sz w:val="22"/>
          <w:szCs w:val="22"/>
        </w:rPr>
        <w:t>第一章  采购公告</w:t>
      </w:r>
    </w:p>
    <w:p>
      <w:pPr>
        <w:spacing w:line="336" w:lineRule="auto"/>
        <w:ind w:firstLine="420"/>
        <w:rPr>
          <w:color w:val="auto"/>
          <w:kern w:val="1"/>
          <w:sz w:val="22"/>
          <w:szCs w:val="22"/>
        </w:rPr>
      </w:pPr>
      <w:r>
        <w:rPr>
          <w:color w:val="auto"/>
          <w:kern w:val="1"/>
          <w:sz w:val="22"/>
          <w:szCs w:val="22"/>
        </w:rPr>
        <w:t>第二章  投标须知和投标须知前附表</w:t>
      </w:r>
    </w:p>
    <w:p>
      <w:pPr>
        <w:spacing w:line="336" w:lineRule="auto"/>
        <w:ind w:firstLine="420"/>
        <w:rPr>
          <w:color w:val="auto"/>
          <w:kern w:val="1"/>
          <w:sz w:val="22"/>
          <w:szCs w:val="22"/>
        </w:rPr>
      </w:pPr>
      <w:r>
        <w:rPr>
          <w:color w:val="auto"/>
          <w:kern w:val="1"/>
          <w:sz w:val="22"/>
          <w:szCs w:val="22"/>
        </w:rPr>
        <w:t>第三章  招标项目要求</w:t>
      </w:r>
    </w:p>
    <w:p>
      <w:pPr>
        <w:spacing w:line="336" w:lineRule="auto"/>
        <w:ind w:firstLine="420"/>
        <w:rPr>
          <w:color w:val="auto"/>
          <w:kern w:val="1"/>
          <w:sz w:val="22"/>
          <w:szCs w:val="22"/>
        </w:rPr>
      </w:pPr>
      <w:r>
        <w:rPr>
          <w:color w:val="auto"/>
          <w:kern w:val="1"/>
          <w:sz w:val="22"/>
          <w:szCs w:val="22"/>
        </w:rPr>
        <w:t>第四章  开标、评标和定标</w:t>
      </w:r>
    </w:p>
    <w:p>
      <w:pPr>
        <w:spacing w:line="336" w:lineRule="auto"/>
        <w:ind w:firstLine="420"/>
        <w:rPr>
          <w:color w:val="auto"/>
          <w:kern w:val="1"/>
          <w:sz w:val="22"/>
          <w:szCs w:val="22"/>
        </w:rPr>
      </w:pPr>
      <w:r>
        <w:rPr>
          <w:color w:val="auto"/>
          <w:kern w:val="1"/>
          <w:sz w:val="22"/>
          <w:szCs w:val="22"/>
        </w:rPr>
        <w:t>第五章  投标文件的有效性</w:t>
      </w:r>
    </w:p>
    <w:p>
      <w:pPr>
        <w:spacing w:line="336" w:lineRule="auto"/>
        <w:ind w:firstLine="420"/>
        <w:rPr>
          <w:color w:val="auto"/>
          <w:kern w:val="1"/>
          <w:sz w:val="22"/>
          <w:szCs w:val="22"/>
        </w:rPr>
      </w:pPr>
      <w:r>
        <w:rPr>
          <w:color w:val="auto"/>
          <w:kern w:val="1"/>
          <w:sz w:val="22"/>
          <w:szCs w:val="22"/>
        </w:rPr>
        <w:t>第六章  评标办法</w:t>
      </w:r>
    </w:p>
    <w:p>
      <w:pPr>
        <w:spacing w:line="336" w:lineRule="auto"/>
        <w:ind w:firstLine="420"/>
        <w:rPr>
          <w:color w:val="auto"/>
          <w:kern w:val="1"/>
          <w:sz w:val="22"/>
          <w:szCs w:val="22"/>
        </w:rPr>
      </w:pPr>
      <w:r>
        <w:rPr>
          <w:color w:val="auto"/>
          <w:kern w:val="1"/>
          <w:sz w:val="22"/>
          <w:szCs w:val="22"/>
        </w:rPr>
        <w:t>第七章  合同主要条款</w:t>
      </w:r>
    </w:p>
    <w:p>
      <w:pPr>
        <w:spacing w:line="336" w:lineRule="auto"/>
        <w:rPr>
          <w:color w:val="auto"/>
          <w:kern w:val="1"/>
          <w:sz w:val="22"/>
          <w:szCs w:val="22"/>
        </w:rPr>
      </w:pPr>
      <w:r>
        <w:rPr>
          <w:color w:val="auto"/>
          <w:kern w:val="1"/>
          <w:sz w:val="22"/>
          <w:szCs w:val="22"/>
        </w:rPr>
        <w:t xml:space="preserve">    第八章 投标文件部分格式</w:t>
      </w:r>
    </w:p>
    <w:p>
      <w:pPr>
        <w:spacing w:line="336" w:lineRule="auto"/>
        <w:ind w:firstLine="420"/>
        <w:rPr>
          <w:color w:val="auto"/>
          <w:kern w:val="1"/>
          <w:sz w:val="22"/>
          <w:szCs w:val="22"/>
        </w:rPr>
      </w:pPr>
      <w:r>
        <w:rPr>
          <w:color w:val="auto"/>
          <w:kern w:val="1"/>
          <w:sz w:val="22"/>
          <w:szCs w:val="22"/>
        </w:rPr>
        <w:t>8.2除8.1内容外，采购人在投标须知前附表规定时间前，以书面形式发出的对招标文件的澄清或修改内容，均为招标文件的组成部分，对采购人和投标人起约束作用。</w:t>
      </w:r>
    </w:p>
    <w:p>
      <w:pPr>
        <w:spacing w:line="336" w:lineRule="auto"/>
        <w:ind w:firstLine="420"/>
        <w:rPr>
          <w:color w:val="auto"/>
          <w:kern w:val="1"/>
          <w:sz w:val="22"/>
          <w:szCs w:val="22"/>
        </w:rPr>
      </w:pPr>
      <w:r>
        <w:rPr>
          <w:color w:val="auto"/>
          <w:kern w:val="1"/>
          <w:sz w:val="22"/>
          <w:szCs w:val="22"/>
        </w:rPr>
        <w:t>8.3上述所列8.1及8.2条内容均以书面文件为准，采购人（招标代理机构）的任何工作人员对投标人所作的任何口头解释、介绍、答复，对采购人和投标人无任何约束力。</w:t>
      </w:r>
    </w:p>
    <w:p>
      <w:pPr>
        <w:spacing w:line="336" w:lineRule="auto"/>
        <w:ind w:firstLine="420"/>
        <w:rPr>
          <w:color w:val="auto"/>
          <w:kern w:val="1"/>
          <w:sz w:val="22"/>
          <w:szCs w:val="22"/>
        </w:rPr>
      </w:pPr>
      <w:r>
        <w:rPr>
          <w:color w:val="auto"/>
          <w:kern w:val="1"/>
          <w:sz w:val="22"/>
          <w:szCs w:val="22"/>
        </w:rPr>
        <w:t>8.4</w:t>
      </w:r>
      <w:r>
        <w:rPr>
          <w:b/>
          <w:color w:val="auto"/>
          <w:kern w:val="1"/>
          <w:sz w:val="22"/>
          <w:szCs w:val="22"/>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pPr>
        <w:spacing w:line="336" w:lineRule="auto"/>
        <w:ind w:firstLine="422"/>
        <w:rPr>
          <w:b/>
          <w:color w:val="auto"/>
          <w:kern w:val="1"/>
          <w:sz w:val="22"/>
          <w:szCs w:val="22"/>
        </w:rPr>
      </w:pPr>
      <w:r>
        <w:rPr>
          <w:b/>
          <w:color w:val="auto"/>
          <w:kern w:val="1"/>
          <w:sz w:val="22"/>
          <w:szCs w:val="22"/>
        </w:rPr>
        <w:t>9、招标文件的澄清</w:t>
      </w:r>
    </w:p>
    <w:p>
      <w:pPr>
        <w:spacing w:line="336" w:lineRule="auto"/>
        <w:ind w:firstLine="420"/>
        <w:rPr>
          <w:color w:val="auto"/>
          <w:kern w:val="1"/>
          <w:sz w:val="22"/>
          <w:szCs w:val="22"/>
        </w:rPr>
      </w:pPr>
      <w:r>
        <w:rPr>
          <w:color w:val="auto"/>
          <w:kern w:val="1"/>
          <w:sz w:val="22"/>
          <w:szCs w:val="22"/>
        </w:rPr>
        <w:t>9.1投标人若对招标文件有任何疑问，应于前附表规定的时间以书面形式送（传真）向采购人和代理机构提出。</w:t>
      </w:r>
    </w:p>
    <w:p>
      <w:pPr>
        <w:spacing w:line="336" w:lineRule="auto"/>
        <w:ind w:firstLine="420"/>
        <w:rPr>
          <w:color w:val="auto"/>
          <w:kern w:val="1"/>
          <w:sz w:val="22"/>
          <w:szCs w:val="22"/>
        </w:rPr>
      </w:pPr>
      <w:r>
        <w:rPr>
          <w:color w:val="auto"/>
          <w:kern w:val="1"/>
          <w:sz w:val="22"/>
          <w:szCs w:val="22"/>
        </w:rPr>
        <w:t>9.2</w:t>
      </w:r>
      <w:r>
        <w:rPr>
          <w:color w:val="auto"/>
          <w:sz w:val="22"/>
          <w:szCs w:val="22"/>
        </w:rPr>
        <w:t>无论是招标方根据需要主动对招标文件进行必要澄清，或是根据投标人的要求对招标文件</w:t>
      </w:r>
      <w:r>
        <w:rPr>
          <w:rFonts w:hint="eastAsia"/>
          <w:color w:val="auto"/>
          <w:sz w:val="22"/>
          <w:szCs w:val="22"/>
        </w:rPr>
        <w:t>作出</w:t>
      </w:r>
      <w:r>
        <w:rPr>
          <w:color w:val="auto"/>
          <w:sz w:val="22"/>
          <w:szCs w:val="22"/>
        </w:rPr>
        <w:t>澄清，</w:t>
      </w:r>
      <w:r>
        <w:rPr>
          <w:b/>
          <w:color w:val="auto"/>
          <w:sz w:val="22"/>
          <w:szCs w:val="22"/>
          <w:u w:val="single"/>
        </w:rPr>
        <w:t>招标方的书面澄清（更正）文件会在浙江省政府网上发布公告，同时政采云系统会向所有已按招标文件规定方式获取招标文件的潜在供应商发送更正提醒信息，潜在供应商请自行到浙江省政府采网上下载澄清（更正）文件，潜在供应商在收到该澄清（更正）文件后应于1日内，以书面或传真形式（签署意见并加盖公章）向招标代理机构回函给予确认。过期未回复的，视为默认接受。供应商在投标截止时间前应充分关注该网上发布的信息，如因供应商未及时关注网上发布的信息而导致的一切投标后果由供应商自行承担。</w:t>
      </w:r>
    </w:p>
    <w:p>
      <w:pPr>
        <w:spacing w:line="336" w:lineRule="auto"/>
        <w:ind w:firstLine="420"/>
        <w:rPr>
          <w:color w:val="auto"/>
          <w:kern w:val="1"/>
          <w:sz w:val="22"/>
          <w:szCs w:val="22"/>
        </w:rPr>
      </w:pPr>
      <w:r>
        <w:rPr>
          <w:color w:val="auto"/>
          <w:kern w:val="1"/>
          <w:sz w:val="22"/>
          <w:szCs w:val="22"/>
        </w:rPr>
        <w:t>9.3投标人在前附表规定时间未提交疑问或质疑的，视作默认对本次招标过程中招标文件无异议，招标方对其提出的问题可以不予受理。</w:t>
      </w:r>
    </w:p>
    <w:p>
      <w:pPr>
        <w:spacing w:line="336" w:lineRule="auto"/>
        <w:ind w:firstLine="420"/>
        <w:rPr>
          <w:color w:val="auto"/>
          <w:kern w:val="1"/>
          <w:sz w:val="22"/>
          <w:szCs w:val="22"/>
        </w:rPr>
      </w:pPr>
      <w:r>
        <w:rPr>
          <w:color w:val="auto"/>
          <w:kern w:val="1"/>
          <w:sz w:val="22"/>
          <w:szCs w:val="22"/>
        </w:rPr>
        <w:t>9.4招标文件澄清、变更、补充等内容均以浙江政府采购网公示的内容为准。当招标文件、招标文件的澄清、变更、补充等在同一内容的表述上不一致时，以最后在浙江政府采购网发出的公示内容为准。</w:t>
      </w:r>
    </w:p>
    <w:p>
      <w:pPr>
        <w:spacing w:line="336" w:lineRule="auto"/>
        <w:ind w:firstLine="420"/>
        <w:rPr>
          <w:color w:val="auto"/>
          <w:kern w:val="1"/>
          <w:sz w:val="22"/>
          <w:szCs w:val="22"/>
        </w:rPr>
      </w:pPr>
      <w:r>
        <w:rPr>
          <w:color w:val="auto"/>
          <w:kern w:val="1"/>
          <w:sz w:val="22"/>
          <w:szCs w:val="22"/>
        </w:rPr>
        <w:t>9.5采购人及招标代理机构工作人员向投标人所作的任何口头答复或电话通知一律无效。</w:t>
      </w:r>
    </w:p>
    <w:p>
      <w:pPr>
        <w:spacing w:line="336" w:lineRule="auto"/>
        <w:ind w:firstLine="420"/>
        <w:rPr>
          <w:color w:val="auto"/>
          <w:kern w:val="1"/>
          <w:sz w:val="22"/>
          <w:szCs w:val="22"/>
        </w:rPr>
      </w:pPr>
      <w:r>
        <w:rPr>
          <w:color w:val="auto"/>
          <w:kern w:val="1"/>
          <w:sz w:val="22"/>
          <w:szCs w:val="22"/>
        </w:rPr>
        <w:t>9.6投标人应仔细阅读和检查招标文件的全部内容。如发现缺页或附件不全，应及时向招标方提出，以便补齐。如有疑问，应在投标人须知前附表规定的方式及时间前不署名书面或传真形式要求澄清问题的文件，要求招标方对招标文件予以澄清。否则，由此引起的损失由投标人自己承担。</w:t>
      </w:r>
    </w:p>
    <w:p>
      <w:pPr>
        <w:pStyle w:val="3"/>
        <w:numPr>
          <w:ilvl w:val="1"/>
          <w:numId w:val="4"/>
        </w:numPr>
        <w:spacing w:before="0" w:after="0" w:line="336" w:lineRule="auto"/>
        <w:rPr>
          <w:rFonts w:ascii="Times New Roman" w:hAnsi="Times New Roman" w:eastAsia="宋体"/>
          <w:color w:val="auto"/>
          <w:sz w:val="22"/>
          <w:szCs w:val="22"/>
        </w:rPr>
      </w:pPr>
      <w:bookmarkStart w:id="11" w:name="_Toc362250689"/>
      <w:bookmarkEnd w:id="11"/>
      <w:bookmarkStart w:id="12" w:name="_Toc274303231"/>
      <w:bookmarkEnd w:id="12"/>
      <w:bookmarkStart w:id="13" w:name="_Toc17064"/>
      <w:r>
        <w:rPr>
          <w:rFonts w:ascii="Times New Roman" w:hAnsi="Times New Roman" w:eastAsia="宋体"/>
          <w:color w:val="auto"/>
          <w:sz w:val="22"/>
          <w:szCs w:val="22"/>
        </w:rPr>
        <w:t>三、投标文件</w:t>
      </w:r>
      <w:bookmarkEnd w:id="13"/>
    </w:p>
    <w:p>
      <w:pPr>
        <w:spacing w:line="336" w:lineRule="auto"/>
        <w:ind w:firstLine="480"/>
        <w:rPr>
          <w:color w:val="auto"/>
          <w:kern w:val="1"/>
          <w:sz w:val="22"/>
          <w:szCs w:val="22"/>
        </w:rPr>
      </w:pPr>
      <w:r>
        <w:rPr>
          <w:b/>
          <w:color w:val="auto"/>
          <w:kern w:val="1"/>
          <w:sz w:val="22"/>
          <w:szCs w:val="22"/>
        </w:rPr>
        <w:t>10、投标文件的语言及度量衡单位</w:t>
      </w:r>
    </w:p>
    <w:p>
      <w:pPr>
        <w:spacing w:line="336" w:lineRule="auto"/>
        <w:ind w:firstLine="420"/>
        <w:rPr>
          <w:color w:val="auto"/>
          <w:kern w:val="1"/>
          <w:sz w:val="22"/>
          <w:szCs w:val="22"/>
        </w:rPr>
      </w:pPr>
      <w:r>
        <w:rPr>
          <w:color w:val="auto"/>
          <w:kern w:val="1"/>
          <w:sz w:val="22"/>
          <w:szCs w:val="22"/>
        </w:rPr>
        <w:t>10.1投标文件和与投标有关的所有文件均应使用汉语。</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10.2除工程规范另有规定外，投标文件使用的度量衡单位，均采用中华人民共和国法定计量单位。</w:t>
      </w:r>
    </w:p>
    <w:p>
      <w:pPr>
        <w:spacing w:line="336" w:lineRule="auto"/>
        <w:ind w:firstLine="422"/>
        <w:rPr>
          <w:color w:val="auto"/>
          <w:sz w:val="22"/>
          <w:szCs w:val="22"/>
        </w:rPr>
      </w:pPr>
      <w:r>
        <w:rPr>
          <w:b/>
          <w:color w:val="auto"/>
          <w:kern w:val="1"/>
          <w:sz w:val="22"/>
          <w:szCs w:val="22"/>
        </w:rPr>
        <w:t>11、对投标文件的要求</w:t>
      </w:r>
    </w:p>
    <w:p>
      <w:pPr>
        <w:spacing w:line="336" w:lineRule="auto"/>
        <w:ind w:firstLine="420"/>
        <w:rPr>
          <w:color w:val="auto"/>
          <w:kern w:val="1"/>
          <w:sz w:val="22"/>
          <w:szCs w:val="22"/>
        </w:rPr>
      </w:pPr>
      <w:r>
        <w:rPr>
          <w:color w:val="auto"/>
          <w:kern w:val="1"/>
          <w:sz w:val="22"/>
          <w:szCs w:val="22"/>
        </w:rPr>
        <w:t>11.1投标人应仔细阅读招标文件，了解招标文件的要求，在完全了解招标项目的技术要求和商务要求后，编制投标文件。</w:t>
      </w:r>
    </w:p>
    <w:p>
      <w:pPr>
        <w:spacing w:line="336" w:lineRule="auto"/>
        <w:ind w:firstLine="420"/>
        <w:rPr>
          <w:color w:val="auto"/>
          <w:kern w:val="1"/>
          <w:sz w:val="22"/>
          <w:szCs w:val="22"/>
        </w:rPr>
      </w:pPr>
      <w:r>
        <w:rPr>
          <w:color w:val="auto"/>
          <w:kern w:val="1"/>
          <w:sz w:val="22"/>
          <w:szCs w:val="22"/>
        </w:rPr>
        <w:t>11.2 在招标文件对技术要求中，投标人必须充分应答和满足用户的强制性的需求，如“★”等，否则将导致废标。</w:t>
      </w:r>
    </w:p>
    <w:p>
      <w:pPr>
        <w:spacing w:line="336" w:lineRule="auto"/>
        <w:ind w:firstLine="420"/>
        <w:rPr>
          <w:color w:val="auto"/>
          <w:kern w:val="1"/>
          <w:sz w:val="22"/>
          <w:szCs w:val="22"/>
        </w:rPr>
      </w:pPr>
      <w:r>
        <w:rPr>
          <w:color w:val="auto"/>
          <w:kern w:val="1"/>
          <w:sz w:val="22"/>
          <w:szCs w:val="22"/>
        </w:rPr>
        <w:t>11.3编制的投标文件对招标文件中有关条款未提出异议的，均被视为接受和同意。</w:t>
      </w:r>
    </w:p>
    <w:p>
      <w:pPr>
        <w:spacing w:line="336" w:lineRule="auto"/>
        <w:ind w:firstLine="480"/>
        <w:rPr>
          <w:b/>
          <w:color w:val="auto"/>
          <w:kern w:val="1"/>
          <w:sz w:val="22"/>
          <w:szCs w:val="22"/>
        </w:rPr>
      </w:pPr>
      <w:r>
        <w:rPr>
          <w:b/>
          <w:color w:val="auto"/>
          <w:kern w:val="1"/>
          <w:sz w:val="22"/>
          <w:szCs w:val="22"/>
        </w:rPr>
        <w:t>12、投标文件的组成</w:t>
      </w:r>
    </w:p>
    <w:p>
      <w:pPr>
        <w:spacing w:line="336" w:lineRule="auto"/>
        <w:ind w:firstLine="420"/>
        <w:rPr>
          <w:color w:val="auto"/>
          <w:kern w:val="1"/>
          <w:sz w:val="22"/>
          <w:szCs w:val="22"/>
        </w:rPr>
      </w:pPr>
      <w:r>
        <w:rPr>
          <w:color w:val="auto"/>
          <w:kern w:val="1"/>
          <w:sz w:val="22"/>
          <w:szCs w:val="22"/>
        </w:rPr>
        <w:t>12.1 招标文件“投标文件部分格式”所列的内容、格式及其投标人认为有必要提供的其他文件。</w:t>
      </w:r>
    </w:p>
    <w:p>
      <w:pPr>
        <w:spacing w:line="336" w:lineRule="auto"/>
        <w:ind w:firstLine="422"/>
        <w:rPr>
          <w:b/>
          <w:color w:val="auto"/>
          <w:kern w:val="1"/>
          <w:sz w:val="22"/>
          <w:szCs w:val="22"/>
        </w:rPr>
      </w:pPr>
      <w:r>
        <w:rPr>
          <w:rFonts w:ascii="Segoe UI Symbol" w:hAnsi="Segoe UI Symbol" w:cs="Segoe UI Symbol"/>
          <w:b/>
          <w:color w:val="auto"/>
          <w:kern w:val="1"/>
          <w:sz w:val="22"/>
          <w:szCs w:val="22"/>
        </w:rPr>
        <w:t>★</w:t>
      </w:r>
      <w:r>
        <w:rPr>
          <w:b/>
          <w:color w:val="auto"/>
          <w:kern w:val="1"/>
          <w:sz w:val="22"/>
          <w:szCs w:val="22"/>
        </w:rPr>
        <w:t xml:space="preserve">12.2 </w:t>
      </w:r>
      <w:r>
        <w:rPr>
          <w:b/>
          <w:color w:val="auto"/>
          <w:sz w:val="22"/>
          <w:szCs w:val="22"/>
        </w:rPr>
        <w:t>投标文件由资格响应文件、商务技术响应文件和报价响应文件组成</w:t>
      </w:r>
      <w:r>
        <w:rPr>
          <w:color w:val="auto"/>
          <w:kern w:val="1"/>
          <w:sz w:val="22"/>
          <w:szCs w:val="22"/>
        </w:rPr>
        <w:t>。</w:t>
      </w:r>
      <w:r>
        <w:rPr>
          <w:b/>
          <w:color w:val="auto"/>
          <w:sz w:val="22"/>
          <w:szCs w:val="22"/>
        </w:rPr>
        <w:t>资格响应文件</w:t>
      </w:r>
      <w:r>
        <w:rPr>
          <w:rFonts w:hint="eastAsia"/>
          <w:b/>
          <w:color w:val="auto"/>
          <w:sz w:val="22"/>
          <w:szCs w:val="22"/>
        </w:rPr>
        <w:t>及</w:t>
      </w:r>
      <w:r>
        <w:rPr>
          <w:b/>
          <w:color w:val="auto"/>
          <w:sz w:val="22"/>
          <w:szCs w:val="22"/>
        </w:rPr>
        <w:t>商务技术响应文件</w:t>
      </w:r>
      <w:r>
        <w:rPr>
          <w:b/>
          <w:color w:val="auto"/>
          <w:kern w:val="1"/>
          <w:sz w:val="22"/>
          <w:szCs w:val="22"/>
        </w:rPr>
        <w:t>不得含商务报价，否则作无效标处理</w:t>
      </w:r>
      <w:r>
        <w:rPr>
          <w:color w:val="auto"/>
          <w:kern w:val="1"/>
          <w:sz w:val="22"/>
          <w:szCs w:val="22"/>
        </w:rPr>
        <w:t>。</w:t>
      </w:r>
      <w:r>
        <w:rPr>
          <w:b/>
          <w:color w:val="auto"/>
          <w:sz w:val="22"/>
          <w:szCs w:val="22"/>
          <w:u w:val="single"/>
        </w:rPr>
        <w:t>所有电子投标文件中所有内容均需进行CA签章</w:t>
      </w:r>
      <w:r>
        <w:rPr>
          <w:color w:val="auto"/>
          <w:kern w:val="1"/>
          <w:sz w:val="22"/>
          <w:szCs w:val="22"/>
        </w:rPr>
        <w:t>。</w:t>
      </w:r>
    </w:p>
    <w:p>
      <w:pPr>
        <w:pStyle w:val="27"/>
        <w:spacing w:line="336" w:lineRule="auto"/>
        <w:ind w:firstLine="422"/>
        <w:rPr>
          <w:rFonts w:ascii="Times New Roman" w:hAnsi="Times New Roman"/>
          <w:b/>
          <w:color w:val="auto"/>
          <w:sz w:val="22"/>
          <w:szCs w:val="22"/>
        </w:rPr>
      </w:pPr>
      <w:r>
        <w:rPr>
          <w:rFonts w:ascii="Times New Roman" w:hAnsi="Times New Roman"/>
          <w:b/>
          <w:color w:val="auto"/>
          <w:sz w:val="22"/>
          <w:szCs w:val="22"/>
        </w:rPr>
        <w:t xml:space="preserve">12.3资格响应文件，包含但不限于以下内容： </w:t>
      </w:r>
    </w:p>
    <w:p>
      <w:pPr>
        <w:pStyle w:val="27"/>
        <w:spacing w:line="336" w:lineRule="auto"/>
        <w:ind w:firstLine="422"/>
        <w:rPr>
          <w:rFonts w:ascii="Times New Roman" w:hAnsi="Times New Roman"/>
          <w:bCs/>
          <w:color w:val="auto"/>
          <w:sz w:val="22"/>
          <w:szCs w:val="22"/>
        </w:rPr>
      </w:pPr>
      <w:r>
        <w:rPr>
          <w:rFonts w:ascii="Times New Roman" w:hAnsi="Times New Roman"/>
          <w:bCs/>
          <w:color w:val="auto"/>
          <w:sz w:val="22"/>
          <w:szCs w:val="22"/>
        </w:rPr>
        <w:t>（1）投标人情况介绍；</w:t>
      </w:r>
    </w:p>
    <w:p>
      <w:pPr>
        <w:pStyle w:val="27"/>
        <w:wordWrap w:val="0"/>
        <w:spacing w:line="336" w:lineRule="auto"/>
        <w:ind w:firstLine="420"/>
        <w:rPr>
          <w:rFonts w:ascii="Times New Roman" w:hAnsi="Times New Roman"/>
          <w:bCs/>
          <w:color w:val="auto"/>
          <w:sz w:val="22"/>
          <w:szCs w:val="22"/>
        </w:rPr>
      </w:pPr>
      <w:r>
        <w:rPr>
          <w:rFonts w:ascii="Times New Roman" w:hAnsi="Times New Roman"/>
          <w:bCs/>
          <w:color w:val="auto"/>
          <w:sz w:val="22"/>
          <w:szCs w:val="22"/>
        </w:rPr>
        <w:t>（2）</w:t>
      </w:r>
      <w:r>
        <w:rPr>
          <w:rFonts w:ascii="Times New Roman" w:hAnsi="Times New Roman"/>
          <w:color w:val="auto"/>
          <w:kern w:val="1"/>
          <w:sz w:val="22"/>
          <w:szCs w:val="22"/>
        </w:rPr>
        <w:t>有效的单位营业执照副本扫描件或</w:t>
      </w:r>
      <w:r>
        <w:rPr>
          <w:rFonts w:ascii="Times New Roman" w:hAnsi="Times New Roman"/>
          <w:color w:val="auto"/>
          <w:sz w:val="22"/>
          <w:szCs w:val="22"/>
        </w:rPr>
        <w:t>“国家企业信用信息公示系统”（http://gsxt.saic.gov.cn/）上的单位详细信息；</w:t>
      </w:r>
    </w:p>
    <w:p>
      <w:pPr>
        <w:pStyle w:val="27"/>
        <w:spacing w:line="336" w:lineRule="auto"/>
        <w:ind w:firstLine="422"/>
        <w:rPr>
          <w:rFonts w:ascii="Times New Roman" w:hAnsi="Times New Roman"/>
          <w:bCs/>
          <w:color w:val="auto"/>
          <w:sz w:val="22"/>
          <w:szCs w:val="22"/>
        </w:rPr>
      </w:pPr>
      <w:r>
        <w:rPr>
          <w:rFonts w:hint="eastAsia" w:ascii="Times New Roman" w:hAnsi="Times New Roman"/>
          <w:bCs/>
          <w:color w:val="auto"/>
          <w:sz w:val="22"/>
          <w:szCs w:val="22"/>
        </w:rPr>
        <w:t>（3）</w:t>
      </w:r>
      <w:r>
        <w:rPr>
          <w:rFonts w:hint="eastAsia" w:ascii="Times New Roman" w:hAnsi="Times New Roman"/>
          <w:color w:val="auto"/>
          <w:sz w:val="22"/>
          <w:szCs w:val="22"/>
        </w:rPr>
        <w:t>城乡规划编制甲级资质和土地规划乙级及以上资质证书；</w:t>
      </w:r>
    </w:p>
    <w:p>
      <w:pPr>
        <w:pStyle w:val="27"/>
        <w:spacing w:line="336" w:lineRule="auto"/>
        <w:ind w:firstLine="422"/>
        <w:rPr>
          <w:rFonts w:ascii="Times New Roman" w:hAnsi="Times New Roman"/>
          <w:bCs/>
          <w:color w:val="auto"/>
          <w:sz w:val="22"/>
          <w:szCs w:val="22"/>
        </w:rPr>
      </w:pPr>
      <w:r>
        <w:rPr>
          <w:rFonts w:hint="eastAsia" w:ascii="Times New Roman" w:hAnsi="Times New Roman"/>
          <w:bCs/>
          <w:color w:val="auto"/>
          <w:sz w:val="22"/>
          <w:szCs w:val="22"/>
        </w:rPr>
        <w:t>（4）中小企业声明函（见格式）（符合中小微企业有关政策的投标人需提供）；</w:t>
      </w:r>
    </w:p>
    <w:p>
      <w:pPr>
        <w:pStyle w:val="27"/>
        <w:spacing w:line="336" w:lineRule="auto"/>
        <w:ind w:firstLine="422"/>
        <w:rPr>
          <w:rFonts w:ascii="Times New Roman" w:hAnsi="Times New Roman"/>
          <w:bCs/>
          <w:color w:val="auto"/>
          <w:sz w:val="22"/>
          <w:szCs w:val="22"/>
        </w:rPr>
      </w:pPr>
      <w:r>
        <w:rPr>
          <w:rFonts w:hint="eastAsia" w:ascii="Times New Roman" w:hAnsi="Times New Roman"/>
          <w:bCs/>
          <w:color w:val="auto"/>
          <w:sz w:val="22"/>
          <w:szCs w:val="22"/>
        </w:rPr>
        <w:t>（5）监狱企业声明函及其相关材料（符合监狱企业有关政策的投标人需提供）；</w:t>
      </w:r>
    </w:p>
    <w:p>
      <w:pPr>
        <w:pStyle w:val="27"/>
        <w:spacing w:line="336" w:lineRule="auto"/>
        <w:ind w:firstLine="422"/>
        <w:rPr>
          <w:rFonts w:ascii="Times New Roman" w:hAnsi="Times New Roman"/>
          <w:bCs/>
          <w:color w:val="auto"/>
          <w:sz w:val="22"/>
          <w:szCs w:val="22"/>
        </w:rPr>
      </w:pPr>
      <w:r>
        <w:rPr>
          <w:rFonts w:hint="eastAsia" w:ascii="Times New Roman" w:hAnsi="Times New Roman"/>
          <w:bCs/>
          <w:color w:val="auto"/>
          <w:sz w:val="22"/>
          <w:szCs w:val="22"/>
        </w:rPr>
        <w:t>（6）残疾人福利性单位声明函（符合残疾人福利性单位有关政策的投标人需提供）；</w:t>
      </w:r>
    </w:p>
    <w:p>
      <w:pPr>
        <w:pStyle w:val="27"/>
        <w:spacing w:line="336" w:lineRule="auto"/>
        <w:ind w:firstLine="422"/>
        <w:rPr>
          <w:rFonts w:ascii="Times New Roman" w:hAnsi="Times New Roman"/>
          <w:bCs/>
          <w:color w:val="auto"/>
          <w:sz w:val="22"/>
          <w:szCs w:val="22"/>
        </w:rPr>
      </w:pPr>
      <w:r>
        <w:rPr>
          <w:rFonts w:hint="eastAsia" w:ascii="Times New Roman" w:hAnsi="Times New Roman"/>
          <w:bCs/>
          <w:color w:val="auto"/>
          <w:sz w:val="22"/>
          <w:szCs w:val="22"/>
        </w:rPr>
        <w:t>（7）义乌市政府采购投标承诺书；</w:t>
      </w:r>
    </w:p>
    <w:p>
      <w:pPr>
        <w:pStyle w:val="27"/>
        <w:spacing w:line="336" w:lineRule="auto"/>
        <w:ind w:firstLine="422"/>
        <w:rPr>
          <w:rFonts w:ascii="Times New Roman" w:hAnsi="Times New Roman"/>
          <w:bCs/>
          <w:color w:val="auto"/>
          <w:sz w:val="22"/>
          <w:szCs w:val="22"/>
        </w:rPr>
      </w:pPr>
      <w:r>
        <w:rPr>
          <w:rFonts w:ascii="Times New Roman" w:hAnsi="Times New Roman"/>
          <w:bCs/>
          <w:color w:val="auto"/>
          <w:sz w:val="22"/>
          <w:szCs w:val="22"/>
        </w:rPr>
        <w:t>（</w:t>
      </w:r>
      <w:r>
        <w:rPr>
          <w:rFonts w:hint="eastAsia" w:ascii="Times New Roman" w:hAnsi="Times New Roman"/>
          <w:bCs/>
          <w:color w:val="auto"/>
          <w:sz w:val="22"/>
          <w:szCs w:val="22"/>
        </w:rPr>
        <w:t>8</w:t>
      </w:r>
      <w:r>
        <w:rPr>
          <w:rFonts w:ascii="Times New Roman" w:hAnsi="Times New Roman"/>
          <w:bCs/>
          <w:color w:val="auto"/>
          <w:sz w:val="22"/>
          <w:szCs w:val="22"/>
        </w:rPr>
        <w:t>）</w:t>
      </w:r>
      <w:r>
        <w:rPr>
          <w:rFonts w:hint="eastAsia" w:ascii="Times New Roman" w:hAnsi="Times New Roman"/>
          <w:bCs/>
          <w:color w:val="auto"/>
          <w:sz w:val="22"/>
          <w:szCs w:val="22"/>
        </w:rPr>
        <w:t>供应商认为可能需要的其他文件（格式自拟）。</w:t>
      </w:r>
    </w:p>
    <w:p>
      <w:pPr>
        <w:pStyle w:val="27"/>
        <w:spacing w:line="336" w:lineRule="auto"/>
        <w:ind w:firstLine="422"/>
        <w:rPr>
          <w:rFonts w:ascii="Times New Roman" w:hAnsi="Times New Roman"/>
          <w:b/>
          <w:color w:val="auto"/>
          <w:sz w:val="22"/>
          <w:szCs w:val="22"/>
        </w:rPr>
      </w:pPr>
      <w:r>
        <w:rPr>
          <w:rFonts w:ascii="Times New Roman" w:hAnsi="Times New Roman"/>
          <w:b/>
          <w:color w:val="auto"/>
          <w:sz w:val="22"/>
          <w:szCs w:val="22"/>
        </w:rPr>
        <w:t>12.4商务技术响应文件，包含但不限于以下内容：</w:t>
      </w:r>
    </w:p>
    <w:p>
      <w:pPr>
        <w:pStyle w:val="27"/>
        <w:numPr>
          <w:ilvl w:val="0"/>
          <w:numId w:val="5"/>
        </w:numPr>
        <w:spacing w:line="336" w:lineRule="auto"/>
        <w:ind w:firstLine="420"/>
        <w:rPr>
          <w:rFonts w:ascii="Times New Roman" w:hAnsi="Times New Roman"/>
          <w:color w:val="auto"/>
          <w:kern w:val="1"/>
          <w:sz w:val="22"/>
          <w:szCs w:val="22"/>
        </w:rPr>
      </w:pPr>
      <w:r>
        <w:rPr>
          <w:rFonts w:hint="eastAsia" w:ascii="Times New Roman" w:hAnsi="Times New Roman"/>
          <w:color w:val="auto"/>
          <w:kern w:val="1"/>
          <w:sz w:val="22"/>
          <w:szCs w:val="22"/>
        </w:rPr>
        <w:t>项目详细实施方案；</w:t>
      </w:r>
    </w:p>
    <w:p>
      <w:pPr>
        <w:pStyle w:val="27"/>
        <w:numPr>
          <w:ilvl w:val="0"/>
          <w:numId w:val="5"/>
        </w:numPr>
        <w:spacing w:line="336" w:lineRule="auto"/>
        <w:ind w:firstLine="420"/>
        <w:rPr>
          <w:rFonts w:ascii="Times New Roman" w:hAnsi="Times New Roman"/>
          <w:color w:val="auto"/>
          <w:kern w:val="1"/>
          <w:sz w:val="22"/>
          <w:szCs w:val="22"/>
        </w:rPr>
      </w:pPr>
      <w:r>
        <w:rPr>
          <w:rFonts w:hint="eastAsia" w:ascii="Times New Roman" w:hAnsi="Times New Roman"/>
          <w:color w:val="auto"/>
          <w:kern w:val="1"/>
          <w:sz w:val="22"/>
          <w:szCs w:val="22"/>
        </w:rPr>
        <w:t>规范偏离表；</w:t>
      </w:r>
    </w:p>
    <w:p>
      <w:pPr>
        <w:pStyle w:val="27"/>
        <w:numPr>
          <w:ilvl w:val="0"/>
          <w:numId w:val="5"/>
        </w:numPr>
        <w:spacing w:line="336" w:lineRule="auto"/>
        <w:ind w:firstLine="420"/>
        <w:rPr>
          <w:rFonts w:ascii="Times New Roman" w:hAnsi="Times New Roman"/>
          <w:color w:val="auto"/>
          <w:kern w:val="1"/>
          <w:sz w:val="22"/>
          <w:szCs w:val="22"/>
        </w:rPr>
      </w:pPr>
      <w:r>
        <w:rPr>
          <w:rFonts w:ascii="Times New Roman" w:hAnsi="Times New Roman"/>
          <w:color w:val="auto"/>
          <w:kern w:val="1"/>
          <w:sz w:val="22"/>
          <w:szCs w:val="22"/>
        </w:rPr>
        <w:t>拟投入本项目人员一览表及相关简历</w:t>
      </w:r>
      <w:r>
        <w:rPr>
          <w:rFonts w:hint="eastAsia" w:ascii="Times New Roman" w:hAnsi="Times New Roman"/>
          <w:color w:val="auto"/>
          <w:kern w:val="1"/>
          <w:sz w:val="22"/>
          <w:szCs w:val="22"/>
        </w:rPr>
        <w:t>；</w:t>
      </w:r>
    </w:p>
    <w:p>
      <w:pPr>
        <w:pStyle w:val="27"/>
        <w:numPr>
          <w:ilvl w:val="0"/>
          <w:numId w:val="5"/>
        </w:numPr>
        <w:spacing w:line="336" w:lineRule="auto"/>
        <w:ind w:firstLine="420"/>
        <w:rPr>
          <w:rFonts w:ascii="Times New Roman" w:hAnsi="Times New Roman"/>
          <w:color w:val="auto"/>
          <w:kern w:val="1"/>
          <w:sz w:val="22"/>
          <w:szCs w:val="22"/>
        </w:rPr>
      </w:pPr>
      <w:r>
        <w:rPr>
          <w:rFonts w:hint="eastAsia" w:ascii="Times New Roman" w:hAnsi="Times New Roman"/>
          <w:color w:val="auto"/>
          <w:kern w:val="1"/>
          <w:sz w:val="22"/>
          <w:szCs w:val="22"/>
        </w:rPr>
        <w:t>投标人的各项服务承诺；</w:t>
      </w:r>
    </w:p>
    <w:p>
      <w:pPr>
        <w:pStyle w:val="27"/>
        <w:numPr>
          <w:ilvl w:val="0"/>
          <w:numId w:val="5"/>
        </w:numPr>
        <w:spacing w:line="336" w:lineRule="auto"/>
        <w:ind w:firstLine="420"/>
        <w:rPr>
          <w:rFonts w:ascii="Times New Roman" w:hAnsi="Times New Roman"/>
          <w:color w:val="auto"/>
          <w:kern w:val="1"/>
          <w:sz w:val="22"/>
          <w:szCs w:val="22"/>
        </w:rPr>
      </w:pPr>
      <w:r>
        <w:rPr>
          <w:rFonts w:hint="eastAsia" w:ascii="Times New Roman" w:hAnsi="Times New Roman"/>
          <w:color w:val="auto"/>
          <w:kern w:val="1"/>
          <w:sz w:val="22"/>
          <w:szCs w:val="22"/>
        </w:rPr>
        <w:t>根据招标文件技术需求及评分规则要求提供的有关材料；</w:t>
      </w:r>
    </w:p>
    <w:p>
      <w:pPr>
        <w:pStyle w:val="27"/>
        <w:numPr>
          <w:ilvl w:val="0"/>
          <w:numId w:val="5"/>
        </w:numPr>
        <w:spacing w:line="336" w:lineRule="auto"/>
        <w:ind w:firstLine="420"/>
        <w:rPr>
          <w:rFonts w:ascii="Times New Roman" w:hAnsi="Times New Roman"/>
          <w:color w:val="auto"/>
          <w:kern w:val="1"/>
          <w:sz w:val="22"/>
          <w:szCs w:val="22"/>
        </w:rPr>
      </w:pPr>
      <w:r>
        <w:rPr>
          <w:rFonts w:hint="eastAsia" w:ascii="Times New Roman" w:hAnsi="Times New Roman"/>
          <w:color w:val="auto"/>
          <w:kern w:val="1"/>
          <w:sz w:val="22"/>
          <w:szCs w:val="22"/>
        </w:rPr>
        <w:t>供应商认为可能需要的其他文件（格式自拟）。</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注：招标文件中打★号的条款为要求供应商作实质性响应的条款，供应商提交的“商务技术文件”中应对打★号的技术条款作实质性响应，否则其投标无效。</w:t>
      </w:r>
    </w:p>
    <w:p>
      <w:pPr>
        <w:pStyle w:val="27"/>
        <w:spacing w:line="336" w:lineRule="auto"/>
        <w:ind w:firstLine="422"/>
        <w:rPr>
          <w:rFonts w:ascii="Times New Roman" w:hAnsi="Times New Roman"/>
          <w:b/>
          <w:color w:val="auto"/>
          <w:sz w:val="22"/>
          <w:szCs w:val="22"/>
        </w:rPr>
      </w:pPr>
      <w:r>
        <w:rPr>
          <w:rFonts w:ascii="Times New Roman" w:hAnsi="Times New Roman"/>
          <w:b/>
          <w:color w:val="auto"/>
          <w:sz w:val="22"/>
          <w:szCs w:val="22"/>
        </w:rPr>
        <w:t>12.5报价响应文件，包含但不限于以下内容：</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（1）投标函；</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（2）报价一览表；</w:t>
      </w:r>
    </w:p>
    <w:p>
      <w:pPr>
        <w:pStyle w:val="27"/>
        <w:spacing w:line="336" w:lineRule="auto"/>
        <w:ind w:firstLine="420"/>
        <w:rPr>
          <w:rFonts w:ascii="Times New Roman" w:hAnsi="Times New Roman"/>
          <w:color w:val="auto"/>
          <w:sz w:val="22"/>
          <w:szCs w:val="22"/>
        </w:rPr>
      </w:pPr>
      <w:r>
        <w:rPr>
          <w:rFonts w:hint="eastAsia" w:ascii="Times New Roman" w:hAnsi="Times New Roman"/>
          <w:color w:val="auto"/>
          <w:sz w:val="22"/>
          <w:szCs w:val="22"/>
        </w:rPr>
        <w:t>（3）</w:t>
      </w:r>
      <w:r>
        <w:rPr>
          <w:rFonts w:ascii="Times New Roman" w:hAnsi="Times New Roman"/>
          <w:color w:val="auto"/>
          <w:sz w:val="22"/>
          <w:szCs w:val="22"/>
        </w:rPr>
        <w:t>其他投标人认为须提供的资料。</w:t>
      </w:r>
    </w:p>
    <w:p>
      <w:pPr>
        <w:pStyle w:val="21"/>
        <w:spacing w:line="336" w:lineRule="auto"/>
        <w:ind w:firstLine="422"/>
        <w:jc w:val="both"/>
        <w:rPr>
          <w:rFonts w:ascii="Times New Roman" w:hAnsi="Times New Roman"/>
          <w:b w:val="0"/>
          <w:color w:val="auto"/>
          <w:sz w:val="22"/>
          <w:szCs w:val="22"/>
        </w:rPr>
      </w:pPr>
      <w:r>
        <w:rPr>
          <w:rFonts w:ascii="Times New Roman" w:hAnsi="Times New Roman"/>
          <w:color w:val="auto"/>
          <w:sz w:val="22"/>
          <w:szCs w:val="22"/>
        </w:rPr>
        <w:t>13、投标人资格的有关资料</w:t>
      </w:r>
    </w:p>
    <w:p>
      <w:pPr>
        <w:spacing w:line="336" w:lineRule="auto"/>
        <w:ind w:firstLine="420"/>
        <w:rPr>
          <w:color w:val="auto"/>
          <w:kern w:val="1"/>
          <w:sz w:val="22"/>
          <w:szCs w:val="22"/>
        </w:rPr>
      </w:pPr>
      <w:r>
        <w:rPr>
          <w:color w:val="auto"/>
          <w:kern w:val="1"/>
          <w:sz w:val="22"/>
          <w:szCs w:val="22"/>
        </w:rPr>
        <w:t>13.1投标人应提交体现其有资格参加投标和中标后有能力履行合同的文件，并作为其投标文件的一部分。</w:t>
      </w:r>
    </w:p>
    <w:p>
      <w:pPr>
        <w:pStyle w:val="27"/>
        <w:spacing w:line="336" w:lineRule="auto"/>
        <w:ind w:firstLine="413"/>
        <w:rPr>
          <w:rFonts w:ascii="Times New Roman" w:hAnsi="Times New Roman"/>
          <w:b/>
          <w:color w:val="auto"/>
          <w:sz w:val="22"/>
          <w:szCs w:val="22"/>
        </w:rPr>
      </w:pPr>
      <w:r>
        <w:rPr>
          <w:rFonts w:ascii="Times New Roman" w:hAnsi="Times New Roman"/>
          <w:b/>
          <w:color w:val="auto"/>
          <w:sz w:val="22"/>
          <w:szCs w:val="22"/>
        </w:rPr>
        <w:t>14、投标报价</w:t>
      </w:r>
    </w:p>
    <w:p>
      <w:pPr>
        <w:pStyle w:val="27"/>
        <w:spacing w:line="336" w:lineRule="auto"/>
        <w:ind w:firstLine="420"/>
        <w:rPr>
          <w:rFonts w:ascii="Times New Roman" w:hAnsi="Times New Roman"/>
          <w:b/>
          <w:color w:val="auto"/>
          <w:sz w:val="22"/>
          <w:szCs w:val="22"/>
        </w:rPr>
      </w:pPr>
      <w:r>
        <w:rPr>
          <w:rFonts w:ascii="Times New Roman" w:hAnsi="Times New Roman"/>
          <w:b/>
          <w:color w:val="auto"/>
          <w:sz w:val="22"/>
          <w:szCs w:val="22"/>
        </w:rPr>
        <w:t>14.1供应商应根据国家的有关规定和招标文件要求并结合企业的实际情况进行自主报价。投标报价以人民币为结算货币。投标报价</w:t>
      </w:r>
      <w:r>
        <w:rPr>
          <w:rFonts w:hint="eastAsia" w:ascii="Times New Roman" w:hAnsi="Times New Roman"/>
          <w:b/>
          <w:color w:val="auto"/>
          <w:sz w:val="22"/>
          <w:szCs w:val="22"/>
        </w:rPr>
        <w:t>须包括项目要求的各项成果内容（要求达到国家有关规范规定及采购人的要求，最终成果须经相关部门批准）、前期工作、后续服务等全部费用（含调研报告、方案和成果阶段评审、审查等所有费用）、人员工资、福利补贴、办公费、差旅费、会务费、专家评审费、文件编制及文印费、验收费用、保险费、利润、税金、政策性文件规定及合同包含的所有风险、责任等各项应有费用。投标报价为投标方所能承受的最低、最终一次性报价</w:t>
      </w:r>
      <w:r>
        <w:rPr>
          <w:rFonts w:ascii="Times New Roman" w:hAnsi="Times New Roman"/>
          <w:b/>
          <w:color w:val="auto"/>
          <w:sz w:val="22"/>
          <w:szCs w:val="22"/>
        </w:rPr>
        <w:t>等各项应有费用，如有漏项，视同已包含在其总项目中，合同总价不予调整。</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14.2 供应商应在投标书的《报价一览表》上写明投标报价项目的单价和总价，如总价金额与按单价汇总金额不一致的，以单价汇总金额计算结果为准；若文字大写表示的数据与数字表示的有差别，则以文字大写表示的数据为准；当单价与数量的乘积与合价不一致时，以单价为准，除非评标小组认为单价金额小数点有明显错误的，此时应以总价为准，并修改单价。</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14.3中标后，中标人所填写的报价在合同实施期间不因市场变化因素而变动；投标人在计算报价时应考虑一定的风险系数。</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14.4供应商应按招标文件规定的报价格式进行投标报价。供应商对每种服务只允许有一个报价，采购人不接受任何</w:t>
      </w:r>
      <w:r>
        <w:rPr>
          <w:rFonts w:hint="eastAsia" w:ascii="Times New Roman" w:hAnsi="Times New Roman"/>
          <w:color w:val="auto"/>
          <w:sz w:val="22"/>
          <w:szCs w:val="22"/>
        </w:rPr>
        <w:t>有选择性的</w:t>
      </w:r>
      <w:r>
        <w:rPr>
          <w:rFonts w:ascii="Times New Roman" w:hAnsi="Times New Roman"/>
          <w:color w:val="auto"/>
          <w:sz w:val="22"/>
          <w:szCs w:val="22"/>
        </w:rPr>
        <w:t>报价。</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14.5采购人不接受低于成本的投标报价，也不接受招标项目范围内的捐赠。</w:t>
      </w:r>
    </w:p>
    <w:p>
      <w:pPr>
        <w:pStyle w:val="27"/>
        <w:spacing w:line="336" w:lineRule="auto"/>
        <w:ind w:firstLine="420"/>
        <w:rPr>
          <w:rFonts w:ascii="Times New Roman" w:hAnsi="Times New Roman"/>
          <w:color w:val="auto"/>
          <w:sz w:val="22"/>
          <w:szCs w:val="22"/>
        </w:rPr>
      </w:pPr>
      <w:r>
        <w:rPr>
          <w:rFonts w:hint="eastAsia" w:ascii="Times New Roman" w:hAnsi="Times New Roman"/>
          <w:color w:val="auto"/>
          <w:sz w:val="22"/>
          <w:szCs w:val="22"/>
        </w:rPr>
        <w:t>14.6</w:t>
      </w:r>
      <w:r>
        <w:rPr>
          <w:rFonts w:ascii="Times New Roman" w:hAnsi="Times New Roman"/>
          <w:color w:val="auto"/>
          <w:sz w:val="22"/>
          <w:szCs w:val="22"/>
        </w:rPr>
        <w:t>供应商按照上述要求编制投标报价，一旦确认某一投标人中标，除合同规定的可调整内容外，中标人不得要求追加任何费用。</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14.</w:t>
      </w:r>
      <w:r>
        <w:rPr>
          <w:rFonts w:hint="eastAsia" w:ascii="Times New Roman" w:hAnsi="Times New Roman"/>
          <w:color w:val="auto"/>
          <w:sz w:val="22"/>
          <w:szCs w:val="22"/>
        </w:rPr>
        <w:t>7</w:t>
      </w:r>
      <w:r>
        <w:rPr>
          <w:rFonts w:ascii="Times New Roman" w:hAnsi="Times New Roman"/>
          <w:color w:val="auto"/>
          <w:sz w:val="22"/>
          <w:szCs w:val="22"/>
        </w:rPr>
        <w:t>须由中标单位开具正式发票。</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14.</w:t>
      </w:r>
      <w:r>
        <w:rPr>
          <w:rFonts w:hint="eastAsia" w:ascii="Times New Roman" w:hAnsi="Times New Roman"/>
          <w:color w:val="auto"/>
          <w:sz w:val="22"/>
          <w:szCs w:val="22"/>
        </w:rPr>
        <w:t>8</w:t>
      </w:r>
      <w:r>
        <w:rPr>
          <w:rFonts w:ascii="Times New Roman" w:hAnsi="Times New Roman"/>
          <w:color w:val="auto"/>
          <w:sz w:val="22"/>
          <w:szCs w:val="22"/>
        </w:rPr>
        <w:t>招标文件中规定由供应商承担并支付的相关费用（如中标服务费等）在投标报价时应一并考虑。</w:t>
      </w:r>
    </w:p>
    <w:p>
      <w:pPr>
        <w:spacing w:line="336" w:lineRule="auto"/>
        <w:ind w:firstLine="422"/>
        <w:rPr>
          <w:b/>
          <w:color w:val="auto"/>
          <w:kern w:val="1"/>
          <w:sz w:val="22"/>
          <w:szCs w:val="22"/>
        </w:rPr>
      </w:pPr>
      <w:r>
        <w:rPr>
          <w:b/>
          <w:color w:val="auto"/>
          <w:kern w:val="1"/>
          <w:sz w:val="22"/>
          <w:szCs w:val="22"/>
        </w:rPr>
        <w:t>15、投标文件格式</w:t>
      </w:r>
    </w:p>
    <w:p>
      <w:pPr>
        <w:spacing w:line="336" w:lineRule="auto"/>
        <w:ind w:firstLine="422"/>
        <w:rPr>
          <w:b/>
          <w:color w:val="auto"/>
          <w:kern w:val="1"/>
          <w:sz w:val="22"/>
          <w:szCs w:val="22"/>
        </w:rPr>
      </w:pPr>
      <w:r>
        <w:rPr>
          <w:b/>
          <w:color w:val="auto"/>
          <w:kern w:val="1"/>
          <w:sz w:val="22"/>
          <w:szCs w:val="22"/>
        </w:rPr>
        <w:t>15.1投标文件须包括本须知第12条中规定的全部内容，投标人不按招标文件的要求提供的投标文件和资料将视为没有对招标文件作实质性响应，其投标将被拒绝，其风险由投标人自行承担。</w:t>
      </w:r>
    </w:p>
    <w:p>
      <w:pPr>
        <w:spacing w:line="336" w:lineRule="auto"/>
        <w:ind w:firstLine="420"/>
        <w:rPr>
          <w:color w:val="auto"/>
          <w:kern w:val="1"/>
          <w:sz w:val="22"/>
          <w:szCs w:val="22"/>
        </w:rPr>
      </w:pPr>
      <w:r>
        <w:rPr>
          <w:color w:val="auto"/>
          <w:kern w:val="1"/>
          <w:sz w:val="22"/>
          <w:szCs w:val="22"/>
        </w:rPr>
        <w:t>15.2投标人提交的投标文件应当使用招标文件所提供的投标文件格式，表格格式在不改变格式内容的情况下可自行制作。在所提供表格格式之外，投标人可以增加自行设计的表格及内容，以便更细致全面</w:t>
      </w:r>
      <w:r>
        <w:rPr>
          <w:rFonts w:hint="eastAsia"/>
          <w:color w:val="auto"/>
          <w:kern w:val="1"/>
          <w:sz w:val="22"/>
          <w:szCs w:val="22"/>
        </w:rPr>
        <w:t>地</w:t>
      </w:r>
      <w:r>
        <w:rPr>
          <w:color w:val="auto"/>
          <w:kern w:val="1"/>
          <w:sz w:val="22"/>
          <w:szCs w:val="22"/>
        </w:rPr>
        <w:t>说明其能力。</w:t>
      </w:r>
    </w:p>
    <w:p>
      <w:pPr>
        <w:pStyle w:val="27"/>
        <w:spacing w:line="336" w:lineRule="auto"/>
        <w:ind w:firstLine="422"/>
        <w:rPr>
          <w:rFonts w:ascii="Times New Roman" w:hAnsi="Times New Roman"/>
          <w:b/>
          <w:color w:val="auto"/>
          <w:sz w:val="22"/>
          <w:szCs w:val="22"/>
        </w:rPr>
      </w:pPr>
      <w:r>
        <w:rPr>
          <w:rFonts w:ascii="Times New Roman" w:hAnsi="Times New Roman"/>
          <w:b/>
          <w:color w:val="auto"/>
          <w:sz w:val="22"/>
          <w:szCs w:val="22"/>
        </w:rPr>
        <w:t>16、投标文件编制要求</w:t>
      </w:r>
    </w:p>
    <w:p>
      <w:pPr>
        <w:pStyle w:val="27"/>
        <w:wordWrap w:val="0"/>
        <w:spacing w:line="336" w:lineRule="auto"/>
        <w:ind w:firstLine="420"/>
        <w:rPr>
          <w:rFonts w:ascii="Times New Roman" w:hAnsi="Times New Roman"/>
          <w:color w:val="auto"/>
          <w:sz w:val="22"/>
          <w:szCs w:val="22"/>
        </w:rPr>
      </w:pPr>
      <w:r>
        <w:rPr>
          <w:rFonts w:ascii="Times New Roman" w:hAnsi="Times New Roman"/>
          <w:color w:val="auto"/>
          <w:sz w:val="22"/>
          <w:szCs w:val="22"/>
        </w:rPr>
        <w:t>16.1 投标文件制作：投标人通过“政采云”平台电子投标工具制作投标文件，电子投标工具请供应商自行前往http://www.zjzfcg.gov.cn/download/index.html?_=1571296580459&amp;tdsourcetag=s_pcqq_aiomsg下载并安装，投标文件制作具体流程详见“</w:t>
      </w:r>
      <w:r>
        <w:rPr>
          <w:color w:val="auto"/>
        </w:rPr>
        <w:fldChar w:fldCharType="begin"/>
      </w:r>
      <w:r>
        <w:rPr>
          <w:color w:val="auto"/>
        </w:rPr>
        <w:instrText xml:space="preserve"> HYPERLINK "../Documents/WeChat%20Files/wxid_cjz4cm25wyf321/FileStorage/File/2020-11/电子化投标操作指南.pdf" </w:instrText>
      </w:r>
      <w:r>
        <w:rPr>
          <w:color w:val="auto"/>
        </w:rPr>
        <w:fldChar w:fldCharType="separate"/>
      </w:r>
      <w:r>
        <w:rPr>
          <w:rFonts w:ascii="Times New Roman" w:hAnsi="Times New Roman"/>
          <w:color w:val="auto"/>
          <w:sz w:val="22"/>
          <w:szCs w:val="22"/>
        </w:rPr>
        <w:t>政采云供应商项目采购-电子招投标操作指南</w:t>
      </w:r>
      <w:r>
        <w:rPr>
          <w:rFonts w:ascii="Times New Roman" w:hAnsi="Times New Roman"/>
          <w:color w:val="auto"/>
          <w:sz w:val="22"/>
          <w:szCs w:val="22"/>
        </w:rPr>
        <w:fldChar w:fldCharType="end"/>
      </w:r>
      <w:r>
        <w:rPr>
          <w:rFonts w:ascii="Times New Roman" w:hAnsi="Times New Roman"/>
          <w:color w:val="auto"/>
          <w:sz w:val="22"/>
          <w:szCs w:val="22"/>
        </w:rPr>
        <w:t>”（请投标供应商</w:t>
      </w:r>
      <w:r>
        <w:rPr>
          <w:rFonts w:hint="eastAsia" w:ascii="Times New Roman" w:hAnsi="Times New Roman"/>
          <w:color w:val="auto"/>
          <w:sz w:val="22"/>
          <w:szCs w:val="22"/>
        </w:rPr>
        <w:t>登录</w:t>
      </w:r>
      <w:r>
        <w:rPr>
          <w:rFonts w:ascii="Times New Roman" w:hAnsi="Times New Roman"/>
          <w:color w:val="auto"/>
          <w:sz w:val="22"/>
          <w:szCs w:val="22"/>
        </w:rPr>
        <w:t>政采云平台https://service.zcygov.cn/#/knowledges/CW1EtGwBFdiHxlNd6I3m/6IMVAG0BFdiHxlNdQ8Na以获取最新操作指南）。</w:t>
      </w:r>
    </w:p>
    <w:p>
      <w:pPr>
        <w:spacing w:line="336" w:lineRule="auto"/>
        <w:ind w:firstLine="420"/>
        <w:rPr>
          <w:color w:val="auto"/>
          <w:kern w:val="1"/>
          <w:sz w:val="22"/>
          <w:szCs w:val="22"/>
        </w:rPr>
      </w:pPr>
      <w:r>
        <w:rPr>
          <w:color w:val="auto"/>
          <w:kern w:val="1"/>
          <w:sz w:val="22"/>
          <w:szCs w:val="22"/>
        </w:rPr>
        <w:t xml:space="preserve">16.2 </w:t>
      </w:r>
      <w:r>
        <w:rPr>
          <w:b/>
          <w:bCs/>
          <w:color w:val="auto"/>
          <w:kern w:val="1"/>
          <w:sz w:val="22"/>
          <w:szCs w:val="22"/>
          <w:u w:val="single"/>
        </w:rPr>
        <w:t>投标人应根据电子投标操作指南按本招标文件规定的格式和顺序编制电子投标文件并进行关联定位。</w:t>
      </w:r>
    </w:p>
    <w:p>
      <w:pPr>
        <w:spacing w:line="336" w:lineRule="auto"/>
        <w:ind w:firstLine="420"/>
        <w:rPr>
          <w:color w:val="auto"/>
          <w:kern w:val="1"/>
          <w:sz w:val="22"/>
          <w:szCs w:val="22"/>
        </w:rPr>
      </w:pPr>
      <w:r>
        <w:rPr>
          <w:color w:val="auto"/>
          <w:kern w:val="1"/>
          <w:sz w:val="22"/>
          <w:szCs w:val="22"/>
        </w:rPr>
        <w:t>16.3由于投标人未按招标文件的规定要求编制投标文件，导致评审小组作出的对投标方的误判，责任由投标方自己承担。</w:t>
      </w:r>
    </w:p>
    <w:p>
      <w:pPr>
        <w:pStyle w:val="27"/>
        <w:spacing w:line="336" w:lineRule="auto"/>
        <w:ind w:firstLine="422"/>
        <w:rPr>
          <w:rFonts w:ascii="Times New Roman" w:hAnsi="Times New Roman"/>
          <w:b/>
          <w:color w:val="auto"/>
          <w:sz w:val="22"/>
          <w:szCs w:val="22"/>
        </w:rPr>
      </w:pPr>
      <w:r>
        <w:rPr>
          <w:rFonts w:ascii="Times New Roman" w:hAnsi="Times New Roman"/>
          <w:b/>
          <w:color w:val="auto"/>
          <w:sz w:val="22"/>
          <w:szCs w:val="22"/>
        </w:rPr>
        <w:t>17、投标保证金</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本项目免收投标保证金。</w:t>
      </w:r>
    </w:p>
    <w:p>
      <w:pPr>
        <w:spacing w:line="336" w:lineRule="auto"/>
        <w:ind w:firstLine="422"/>
        <w:rPr>
          <w:b/>
          <w:color w:val="auto"/>
          <w:kern w:val="1"/>
          <w:sz w:val="22"/>
          <w:szCs w:val="22"/>
        </w:rPr>
      </w:pPr>
      <w:r>
        <w:rPr>
          <w:b/>
          <w:color w:val="auto"/>
          <w:kern w:val="1"/>
          <w:sz w:val="22"/>
          <w:szCs w:val="22"/>
        </w:rPr>
        <w:t>18、投标有效期</w:t>
      </w:r>
    </w:p>
    <w:p>
      <w:pPr>
        <w:spacing w:line="336" w:lineRule="auto"/>
        <w:ind w:firstLine="420"/>
        <w:rPr>
          <w:b/>
          <w:color w:val="auto"/>
          <w:kern w:val="1"/>
          <w:sz w:val="22"/>
          <w:szCs w:val="22"/>
        </w:rPr>
      </w:pPr>
      <w:r>
        <w:rPr>
          <w:color w:val="auto"/>
          <w:kern w:val="1"/>
          <w:sz w:val="22"/>
          <w:szCs w:val="22"/>
        </w:rPr>
        <w:t>18.1 投标文件从开标之日起，投标有效期为60天。</w:t>
      </w:r>
    </w:p>
    <w:p>
      <w:pPr>
        <w:pStyle w:val="27"/>
        <w:widowControl w:val="0"/>
        <w:spacing w:line="336" w:lineRule="auto"/>
        <w:ind w:firstLine="420"/>
        <w:rPr>
          <w:rFonts w:ascii="Times New Roman" w:hAnsi="Times New Roman"/>
          <w:color w:val="auto"/>
          <w:sz w:val="22"/>
          <w:szCs w:val="22"/>
        </w:rPr>
      </w:pPr>
      <w:r>
        <w:rPr>
          <w:rFonts w:ascii="Times New Roman" w:hAnsi="Times New Roman"/>
          <w:color w:val="auto"/>
          <w:sz w:val="22"/>
          <w:szCs w:val="22"/>
        </w:rPr>
        <w:t>18.2 特殊情况下，在原投标有效期截止之前，采购人可要求投标人同意延长有效期，这种要求与答复均应以书面形式提交。接受延长投标有效期的投标人将不会被要求和允许修正其投标。</w:t>
      </w:r>
    </w:p>
    <w:p>
      <w:pPr>
        <w:pStyle w:val="3"/>
        <w:numPr>
          <w:ilvl w:val="1"/>
          <w:numId w:val="4"/>
        </w:numPr>
        <w:spacing w:before="0" w:after="0" w:line="336" w:lineRule="auto"/>
        <w:rPr>
          <w:rFonts w:ascii="Times New Roman" w:hAnsi="Times New Roman" w:eastAsia="宋体"/>
          <w:color w:val="auto"/>
          <w:sz w:val="22"/>
          <w:szCs w:val="22"/>
        </w:rPr>
      </w:pPr>
      <w:bookmarkStart w:id="14" w:name="_Toc362250690"/>
      <w:bookmarkEnd w:id="14"/>
      <w:bookmarkStart w:id="15" w:name="_Toc274303232"/>
      <w:bookmarkEnd w:id="15"/>
      <w:bookmarkStart w:id="16" w:name="_Toc27776"/>
      <w:r>
        <w:rPr>
          <w:rFonts w:ascii="Times New Roman" w:hAnsi="Times New Roman" w:eastAsia="宋体"/>
          <w:color w:val="auto"/>
          <w:sz w:val="22"/>
          <w:szCs w:val="22"/>
        </w:rPr>
        <w:t>四、投标文件的递交</w:t>
      </w:r>
      <w:bookmarkEnd w:id="16"/>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19、电子投标文件上传的地点和截止时间</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供应商应于</w:t>
      </w:r>
      <w:r>
        <w:rPr>
          <w:rFonts w:hint="eastAsia" w:ascii="Times New Roman" w:hAnsi="Times New Roman"/>
          <w:color w:val="auto"/>
          <w:sz w:val="22"/>
          <w:szCs w:val="22"/>
          <w:lang w:eastAsia="zh-CN"/>
        </w:rPr>
        <w:t>2024年06月03日</w:t>
      </w:r>
      <w:r>
        <w:rPr>
          <w:rFonts w:hint="eastAsia" w:ascii="Times New Roman" w:hAnsi="Times New Roman"/>
          <w:color w:val="auto"/>
          <w:sz w:val="22"/>
          <w:szCs w:val="22"/>
        </w:rPr>
        <w:t>09:30</w:t>
      </w:r>
      <w:r>
        <w:rPr>
          <w:rFonts w:ascii="Times New Roman" w:hAnsi="Times New Roman"/>
          <w:color w:val="auto"/>
          <w:sz w:val="22"/>
          <w:szCs w:val="22"/>
        </w:rPr>
        <w:t>前在“政采云”上自行加密上传电子投标文件，逾期上传或未按要求上传的投标文件将予以拒收。</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20、投标文件解密</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开标时间后1小时内供应商可以登录“政采云”平台，用“项目采购</w:t>
      </w:r>
      <w:r>
        <w:rPr>
          <w:rFonts w:hint="eastAsia" w:ascii="Times New Roman" w:hAnsi="Times New Roman"/>
          <w:color w:val="auto"/>
          <w:sz w:val="22"/>
          <w:szCs w:val="22"/>
        </w:rPr>
        <w:t>－</w:t>
      </w:r>
      <w:r>
        <w:rPr>
          <w:rFonts w:ascii="Times New Roman" w:hAnsi="Times New Roman"/>
          <w:color w:val="auto"/>
          <w:sz w:val="22"/>
          <w:szCs w:val="22"/>
        </w:rPr>
        <w:t>开标评标”功能进行解密投标文件。若供应商在规定时间内无法解密或解密失败，将导致投标无效或失败。</w:t>
      </w:r>
    </w:p>
    <w:p>
      <w:pPr>
        <w:pStyle w:val="27"/>
        <w:spacing w:line="336" w:lineRule="auto"/>
        <w:ind w:firstLine="420"/>
        <w:rPr>
          <w:rFonts w:ascii="Times New Roman" w:hAnsi="Times New Roman"/>
          <w:color w:val="auto"/>
          <w:kern w:val="1"/>
          <w:sz w:val="22"/>
          <w:szCs w:val="22"/>
        </w:rPr>
      </w:pPr>
      <w:r>
        <w:rPr>
          <w:rFonts w:ascii="Times New Roman" w:hAnsi="Times New Roman"/>
          <w:color w:val="auto"/>
          <w:sz w:val="22"/>
          <w:szCs w:val="22"/>
        </w:rPr>
        <w:t>备注：</w:t>
      </w:r>
      <w:r>
        <w:rPr>
          <w:rFonts w:ascii="Times New Roman" w:hAnsi="Times New Roman"/>
          <w:color w:val="auto"/>
          <w:sz w:val="22"/>
          <w:szCs w:val="22"/>
          <w:u w:val="single"/>
        </w:rPr>
        <w:t>为确保采购项目顺利实施，避免因政采云上电子投标文件解密失败导致投标方投标无效，投标方可在</w:t>
      </w:r>
      <w:r>
        <w:rPr>
          <w:rFonts w:hint="eastAsia" w:ascii="Times New Roman" w:hAnsi="Times New Roman"/>
          <w:color w:val="auto"/>
          <w:sz w:val="22"/>
          <w:szCs w:val="22"/>
          <w:u w:val="single"/>
          <w:lang w:eastAsia="zh-CN"/>
        </w:rPr>
        <w:t>2024年06月03日</w:t>
      </w:r>
      <w:r>
        <w:rPr>
          <w:rFonts w:hint="eastAsia" w:ascii="Times New Roman" w:hAnsi="Times New Roman"/>
          <w:color w:val="auto"/>
          <w:sz w:val="22"/>
          <w:szCs w:val="22"/>
          <w:u w:val="single"/>
        </w:rPr>
        <w:t>09:30</w:t>
      </w:r>
      <w:r>
        <w:rPr>
          <w:color w:val="auto"/>
        </w:rPr>
        <w:fldChar w:fldCharType="begin"/>
      </w:r>
      <w:r>
        <w:rPr>
          <w:color w:val="auto"/>
        </w:rPr>
        <w:instrText xml:space="preserve"> HYPERLINK "mailto:前将在政采云平台上最后生成的具备电子签章的备份加密投标文件（文件名后缀为备份文件四字的首字母）以电子邮件方式传送至浙江科信联合工程项目管理咨询有限公司指定邮箱（ywkx@ywkexin.com），传送的备份电子投标文件需打包压缩并加密，加密密码由投标方自行保管，如政采云上电子投标文件出现解密失败情况（开标当日09:30-10:" </w:instrText>
      </w:r>
      <w:r>
        <w:rPr>
          <w:color w:val="auto"/>
        </w:rPr>
        <w:fldChar w:fldCharType="separate"/>
      </w:r>
      <w:r>
        <w:rPr>
          <w:rFonts w:ascii="Times New Roman" w:hAnsi="Times New Roman"/>
          <w:color w:val="auto"/>
          <w:sz w:val="22"/>
          <w:szCs w:val="22"/>
          <w:u w:val="single"/>
        </w:rPr>
        <w:t>前将在政采云平台上最后生成的具备电子签章的备份加密投标文件（文件名后缀为备份文件四字的首字母）以电子邮件方式传送至</w:t>
      </w:r>
      <w:r>
        <w:rPr>
          <w:rFonts w:hint="eastAsia" w:ascii="Times New Roman" w:hAnsi="Times New Roman"/>
          <w:color w:val="auto"/>
          <w:sz w:val="22"/>
          <w:szCs w:val="22"/>
          <w:u w:val="single"/>
        </w:rPr>
        <w:t>科信联合工程咨询有限公司</w:t>
      </w:r>
      <w:r>
        <w:rPr>
          <w:rFonts w:ascii="Times New Roman" w:hAnsi="Times New Roman"/>
          <w:color w:val="auto"/>
          <w:sz w:val="22"/>
          <w:szCs w:val="22"/>
          <w:u w:val="single"/>
        </w:rPr>
        <w:t>指定邮箱（</w:t>
      </w:r>
      <w:r>
        <w:rPr>
          <w:rFonts w:hint="eastAsia" w:ascii="Times New Roman" w:hAnsi="Times New Roman"/>
          <w:color w:val="auto"/>
          <w:sz w:val="22"/>
          <w:szCs w:val="22"/>
          <w:u w:val="single"/>
        </w:rPr>
        <w:t>zjkxyw@163.com</w:t>
      </w:r>
      <w:r>
        <w:rPr>
          <w:rFonts w:ascii="Times New Roman" w:hAnsi="Times New Roman"/>
          <w:color w:val="auto"/>
          <w:sz w:val="22"/>
          <w:szCs w:val="22"/>
          <w:u w:val="single"/>
        </w:rPr>
        <w:t>），传送的备份电子投标文件需打包压缩并加密，加密密码由投标方自行保管，如政采云上电子投标文件出现解密失败情况（开标当日</w:t>
      </w:r>
      <w:r>
        <w:rPr>
          <w:rFonts w:hint="eastAsia" w:ascii="Times New Roman" w:hAnsi="Times New Roman"/>
          <w:color w:val="auto"/>
          <w:sz w:val="22"/>
          <w:szCs w:val="22"/>
          <w:u w:val="single"/>
        </w:rPr>
        <w:t xml:space="preserve">09:30 </w:t>
      </w:r>
      <w:r>
        <w:rPr>
          <w:rFonts w:ascii="Times New Roman" w:hAnsi="Times New Roman"/>
          <w:color w:val="auto"/>
          <w:sz w:val="22"/>
          <w:szCs w:val="22"/>
          <w:u w:val="single"/>
        </w:rPr>
        <w:t>-</w:t>
      </w:r>
      <w:r>
        <w:rPr>
          <w:rFonts w:hint="eastAsia" w:ascii="Times New Roman" w:hAnsi="Times New Roman"/>
          <w:color w:val="auto"/>
          <w:sz w:val="22"/>
          <w:szCs w:val="22"/>
          <w:u w:val="single"/>
        </w:rPr>
        <w:t>10:30</w:t>
      </w:r>
      <w:r>
        <w:rPr>
          <w:rFonts w:hint="eastAsia" w:ascii="Times New Roman" w:hAnsi="Times New Roman"/>
          <w:color w:val="auto"/>
          <w:sz w:val="22"/>
          <w:szCs w:val="22"/>
          <w:u w:val="single"/>
        </w:rPr>
        <w:fldChar w:fldCharType="end"/>
      </w:r>
      <w:r>
        <w:rPr>
          <w:rFonts w:ascii="Times New Roman" w:hAnsi="Times New Roman"/>
          <w:color w:val="auto"/>
          <w:sz w:val="22"/>
          <w:szCs w:val="22"/>
          <w:u w:val="single"/>
        </w:rPr>
        <w:t>期间进行解密），投标方可按照自身意愿确认是否同意提供加密密码解密传送至</w:t>
      </w:r>
      <w:r>
        <w:rPr>
          <w:rFonts w:hint="eastAsia" w:ascii="Times New Roman" w:hAnsi="Times New Roman"/>
          <w:color w:val="auto"/>
          <w:sz w:val="22"/>
          <w:szCs w:val="22"/>
          <w:u w:val="single"/>
        </w:rPr>
        <w:t>科信联合工程咨询有限公司</w:t>
      </w:r>
      <w:r>
        <w:rPr>
          <w:rFonts w:ascii="Times New Roman" w:hAnsi="Times New Roman"/>
          <w:color w:val="auto"/>
          <w:sz w:val="22"/>
          <w:szCs w:val="22"/>
          <w:u w:val="single"/>
        </w:rPr>
        <w:t>指定邮箱（</w:t>
      </w:r>
      <w:r>
        <w:rPr>
          <w:rFonts w:hint="eastAsia" w:ascii="Times New Roman" w:hAnsi="Times New Roman"/>
          <w:color w:val="auto"/>
          <w:sz w:val="22"/>
          <w:szCs w:val="22"/>
          <w:u w:val="single"/>
        </w:rPr>
        <w:t>zjkxyw@163.com</w:t>
      </w:r>
      <w:r>
        <w:rPr>
          <w:rFonts w:ascii="Times New Roman" w:hAnsi="Times New Roman"/>
          <w:color w:val="auto"/>
          <w:sz w:val="22"/>
          <w:szCs w:val="22"/>
          <w:u w:val="single"/>
        </w:rPr>
        <w:t>）的备份文件，并以备份文件作为替代电子投标文件，如投标方未按照规定时间及要求提供有效备份文件，同时政采云上投标文件解密失败的，将导致投标无效。</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22、投标文件的补充、修改与撤回</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22.1投标人在提交投标文件以后，在规定的投标截止时间之前，可以重新补充修改或撤回已上传的投标文件，补充、修改的内容为投标文件的组成部分。</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22.2在投标截止时间之后，投标人不得对其投标</w:t>
      </w:r>
      <w:r>
        <w:rPr>
          <w:rFonts w:hint="eastAsia" w:ascii="Times New Roman" w:hAnsi="Times New Roman"/>
          <w:color w:val="auto"/>
          <w:sz w:val="22"/>
          <w:szCs w:val="22"/>
        </w:rPr>
        <w:t>作</w:t>
      </w:r>
      <w:r>
        <w:rPr>
          <w:rFonts w:ascii="Times New Roman" w:hAnsi="Times New Roman"/>
          <w:color w:val="auto"/>
          <w:sz w:val="22"/>
          <w:szCs w:val="22"/>
        </w:rPr>
        <w:t>任何修改。</w:t>
      </w:r>
    </w:p>
    <w:p>
      <w:pPr>
        <w:pStyle w:val="27"/>
        <w:spacing w:line="336" w:lineRule="auto"/>
        <w:ind w:firstLine="420"/>
        <w:rPr>
          <w:rFonts w:ascii="Times New Roman" w:hAnsi="Times New Roman"/>
          <w:color w:val="auto"/>
          <w:sz w:val="22"/>
          <w:szCs w:val="22"/>
        </w:rPr>
      </w:pPr>
      <w:r>
        <w:rPr>
          <w:rFonts w:ascii="Times New Roman" w:hAnsi="Times New Roman"/>
          <w:color w:val="auto"/>
          <w:sz w:val="22"/>
          <w:szCs w:val="22"/>
        </w:rPr>
        <w:t>22.3从投标截止时间至投标人在投标书格式中确定的投标有效期期满这段时间内，投标人不得撤回其投标。</w:t>
      </w:r>
    </w:p>
    <w:p>
      <w:pPr>
        <w:tabs>
          <w:tab w:val="left" w:pos="315"/>
        </w:tabs>
        <w:spacing w:line="336" w:lineRule="auto"/>
        <w:ind w:firstLine="442" w:firstLineChars="200"/>
        <w:rPr>
          <w:b/>
          <w:bCs/>
          <w:color w:val="auto"/>
          <w:kern w:val="1"/>
          <w:sz w:val="22"/>
          <w:szCs w:val="22"/>
        </w:rPr>
      </w:pPr>
      <w:bookmarkStart w:id="17" w:name="_Toc274303233"/>
      <w:bookmarkEnd w:id="17"/>
      <w:bookmarkStart w:id="18" w:name="_Toc362250691"/>
      <w:bookmarkEnd w:id="18"/>
      <w:r>
        <w:rPr>
          <w:b/>
          <w:bCs/>
          <w:color w:val="auto"/>
          <w:kern w:val="1"/>
          <w:sz w:val="22"/>
          <w:szCs w:val="22"/>
        </w:rPr>
        <w:t>五、其它</w:t>
      </w:r>
    </w:p>
    <w:p>
      <w:pPr>
        <w:tabs>
          <w:tab w:val="left" w:pos="315"/>
        </w:tabs>
        <w:spacing w:line="336" w:lineRule="auto"/>
        <w:ind w:firstLine="440" w:firstLineChars="200"/>
        <w:rPr>
          <w:color w:val="auto"/>
          <w:kern w:val="1"/>
          <w:sz w:val="22"/>
          <w:szCs w:val="22"/>
        </w:rPr>
      </w:pPr>
      <w:r>
        <w:rPr>
          <w:color w:val="auto"/>
          <w:kern w:val="1"/>
          <w:sz w:val="22"/>
          <w:szCs w:val="22"/>
        </w:rPr>
        <w:t>23、本招标文件解释权归采购人。</w:t>
      </w:r>
    </w:p>
    <w:p>
      <w:pPr>
        <w:pStyle w:val="2"/>
        <w:numPr>
          <w:ilvl w:val="0"/>
          <w:numId w:val="6"/>
        </w:numPr>
        <w:spacing w:before="0" w:after="0" w:line="360" w:lineRule="auto"/>
        <w:ind w:left="0" w:firstLine="643" w:firstLineChars="200"/>
        <w:jc w:val="center"/>
        <w:rPr>
          <w:color w:val="auto"/>
          <w:kern w:val="44"/>
          <w:sz w:val="32"/>
        </w:rPr>
        <w:sectPr>
          <w:pgSz w:w="11906" w:h="16838"/>
          <w:pgMar w:top="1247" w:right="1361" w:bottom="1247" w:left="1417" w:header="851" w:footer="992" w:gutter="0"/>
          <w:pgNumType w:fmt="numberInDash"/>
          <w:cols w:space="720" w:num="1"/>
          <w:titlePg/>
          <w:rtlGutter w:val="1"/>
        </w:sectPr>
      </w:pPr>
      <w:bookmarkStart w:id="19" w:name="_Toc274303234"/>
      <w:bookmarkEnd w:id="19"/>
    </w:p>
    <w:p>
      <w:pPr>
        <w:pStyle w:val="2"/>
        <w:numPr>
          <w:ilvl w:val="0"/>
          <w:numId w:val="6"/>
        </w:numPr>
        <w:spacing w:before="0" w:after="0" w:line="360" w:lineRule="auto"/>
        <w:ind w:left="0" w:firstLine="643" w:firstLineChars="200"/>
        <w:jc w:val="center"/>
        <w:rPr>
          <w:color w:val="auto"/>
          <w:sz w:val="32"/>
        </w:rPr>
      </w:pPr>
      <w:bookmarkStart w:id="20" w:name="_Toc2809"/>
      <w:r>
        <w:rPr>
          <w:rFonts w:hint="eastAsia"/>
          <w:color w:val="auto"/>
          <w:sz w:val="32"/>
        </w:rPr>
        <w:t xml:space="preserve"> </w:t>
      </w:r>
      <w:r>
        <w:rPr>
          <w:color w:val="auto"/>
          <w:sz w:val="32"/>
        </w:rPr>
        <w:t>招标项目要求</w:t>
      </w:r>
      <w:bookmarkEnd w:id="20"/>
    </w:p>
    <w:p>
      <w:pPr>
        <w:snapToGrid w:val="0"/>
        <w:spacing w:line="500" w:lineRule="exact"/>
        <w:ind w:firstLine="442" w:firstLineChars="200"/>
        <w:jc w:val="left"/>
        <w:rPr>
          <w:b/>
          <w:bCs/>
          <w:color w:val="auto"/>
          <w:sz w:val="22"/>
          <w:szCs w:val="22"/>
        </w:rPr>
      </w:pPr>
      <w:r>
        <w:rPr>
          <w:rFonts w:hint="eastAsia"/>
          <w:b/>
          <w:bCs/>
          <w:color w:val="auto"/>
          <w:sz w:val="22"/>
          <w:szCs w:val="22"/>
        </w:rPr>
        <w:t>一、规划编制内容</w:t>
      </w:r>
    </w:p>
    <w:p>
      <w:pPr>
        <w:snapToGrid w:val="0"/>
        <w:spacing w:line="500" w:lineRule="exact"/>
        <w:ind w:firstLine="440" w:firstLineChars="200"/>
        <w:jc w:val="left"/>
        <w:rPr>
          <w:color w:val="auto"/>
          <w:sz w:val="22"/>
          <w:szCs w:val="22"/>
        </w:rPr>
      </w:pPr>
      <w:r>
        <w:rPr>
          <w:rFonts w:hint="eastAsia"/>
          <w:color w:val="auto"/>
          <w:sz w:val="22"/>
          <w:szCs w:val="22"/>
        </w:rPr>
        <w:t>（一）规划总则</w:t>
      </w:r>
    </w:p>
    <w:p>
      <w:pPr>
        <w:snapToGrid w:val="0"/>
        <w:spacing w:line="500" w:lineRule="exact"/>
        <w:ind w:firstLine="440" w:firstLineChars="200"/>
        <w:jc w:val="left"/>
        <w:rPr>
          <w:color w:val="auto"/>
          <w:sz w:val="22"/>
          <w:szCs w:val="22"/>
        </w:rPr>
      </w:pPr>
      <w:r>
        <w:rPr>
          <w:rFonts w:hint="eastAsia"/>
          <w:color w:val="auto"/>
          <w:sz w:val="22"/>
          <w:szCs w:val="22"/>
        </w:rPr>
        <w:t>主要包括规划编制的目的、期限范围、依据、指导思想与原则、重点内容、成果组成等。</w:t>
      </w:r>
    </w:p>
    <w:p>
      <w:pPr>
        <w:snapToGrid w:val="0"/>
        <w:spacing w:line="500" w:lineRule="exact"/>
        <w:ind w:firstLine="440" w:firstLineChars="200"/>
        <w:jc w:val="left"/>
        <w:rPr>
          <w:color w:val="auto"/>
          <w:sz w:val="22"/>
          <w:szCs w:val="22"/>
        </w:rPr>
      </w:pPr>
      <w:r>
        <w:rPr>
          <w:rFonts w:hint="eastAsia"/>
          <w:color w:val="auto"/>
          <w:sz w:val="22"/>
          <w:szCs w:val="22"/>
        </w:rPr>
        <w:t>（二）基本情况</w:t>
      </w:r>
    </w:p>
    <w:p>
      <w:pPr>
        <w:snapToGrid w:val="0"/>
        <w:spacing w:line="500" w:lineRule="exact"/>
        <w:ind w:firstLine="440" w:firstLineChars="200"/>
        <w:jc w:val="left"/>
        <w:rPr>
          <w:color w:val="auto"/>
          <w:sz w:val="22"/>
          <w:szCs w:val="22"/>
        </w:rPr>
      </w:pPr>
      <w:r>
        <w:rPr>
          <w:rFonts w:hint="eastAsia"/>
          <w:color w:val="auto"/>
          <w:sz w:val="22"/>
          <w:szCs w:val="22"/>
        </w:rPr>
        <w:t>概述区位、面积、自然地理基础情况，并在项目所在地历史文化资源普查认定成果基础上，重点对历史文化资源等现状特征进行分析总结。</w:t>
      </w:r>
    </w:p>
    <w:p>
      <w:pPr>
        <w:snapToGrid w:val="0"/>
        <w:spacing w:line="500" w:lineRule="exact"/>
        <w:ind w:firstLine="440" w:firstLineChars="200"/>
        <w:jc w:val="left"/>
        <w:rPr>
          <w:color w:val="auto"/>
          <w:sz w:val="22"/>
          <w:szCs w:val="22"/>
        </w:rPr>
      </w:pPr>
      <w:r>
        <w:rPr>
          <w:rFonts w:hint="eastAsia"/>
          <w:color w:val="auto"/>
          <w:sz w:val="22"/>
          <w:szCs w:val="22"/>
        </w:rPr>
        <w:t>梳理历史文化保护工作历程，结合历史文化保护专项体检，从历史文化资源普查认定、保护利用工作成效以及保护管理责任落实情况等各方面分析历史文化保护实施成效及目前面临的主要问题。</w:t>
      </w:r>
    </w:p>
    <w:p>
      <w:pPr>
        <w:snapToGrid w:val="0"/>
        <w:spacing w:line="500" w:lineRule="exact"/>
        <w:ind w:firstLine="440" w:firstLineChars="200"/>
        <w:jc w:val="left"/>
        <w:rPr>
          <w:color w:val="auto"/>
          <w:sz w:val="22"/>
          <w:szCs w:val="22"/>
        </w:rPr>
      </w:pPr>
      <w:r>
        <w:rPr>
          <w:rFonts w:hint="eastAsia"/>
          <w:color w:val="auto"/>
          <w:sz w:val="22"/>
          <w:szCs w:val="22"/>
        </w:rPr>
        <w:t>（三）历史文化价值</w:t>
      </w:r>
    </w:p>
    <w:p>
      <w:pPr>
        <w:snapToGrid w:val="0"/>
        <w:spacing w:line="500" w:lineRule="exact"/>
        <w:ind w:firstLine="440" w:firstLineChars="200"/>
        <w:jc w:val="left"/>
        <w:rPr>
          <w:color w:val="auto"/>
          <w:sz w:val="22"/>
          <w:szCs w:val="22"/>
        </w:rPr>
      </w:pPr>
      <w:r>
        <w:rPr>
          <w:rFonts w:hint="eastAsia"/>
          <w:color w:val="auto"/>
          <w:sz w:val="22"/>
          <w:szCs w:val="22"/>
        </w:rPr>
        <w:t>（1）研究历史文化脉络</w:t>
      </w:r>
    </w:p>
    <w:p>
      <w:pPr>
        <w:snapToGrid w:val="0"/>
        <w:spacing w:line="500" w:lineRule="exact"/>
        <w:ind w:firstLine="440" w:firstLineChars="200"/>
        <w:jc w:val="left"/>
        <w:rPr>
          <w:color w:val="auto"/>
          <w:sz w:val="22"/>
          <w:szCs w:val="22"/>
        </w:rPr>
      </w:pPr>
      <w:r>
        <w:rPr>
          <w:rFonts w:hint="eastAsia"/>
          <w:color w:val="auto"/>
          <w:sz w:val="22"/>
          <w:szCs w:val="22"/>
        </w:rPr>
        <w:t>应依托文献史料和最新考古资料，以建制沿革、聚落演变、地图变迁、重大历史事件等为研究基础，重点对中华古代文明史、中国近代史、中国共产党史、新中国史、改革开放史及社会主义发展史等进行历史脉络的梳理总结。</w:t>
      </w:r>
    </w:p>
    <w:p>
      <w:pPr>
        <w:snapToGrid w:val="0"/>
        <w:spacing w:line="500" w:lineRule="exact"/>
        <w:ind w:firstLine="440" w:firstLineChars="200"/>
        <w:jc w:val="left"/>
        <w:rPr>
          <w:color w:val="auto"/>
          <w:sz w:val="22"/>
          <w:szCs w:val="22"/>
        </w:rPr>
      </w:pPr>
      <w:r>
        <w:rPr>
          <w:rFonts w:hint="eastAsia"/>
          <w:color w:val="auto"/>
          <w:sz w:val="22"/>
          <w:szCs w:val="22"/>
        </w:rPr>
        <w:t>（2）凝练核心价值</w:t>
      </w:r>
    </w:p>
    <w:p>
      <w:pPr>
        <w:snapToGrid w:val="0"/>
        <w:spacing w:line="500" w:lineRule="exact"/>
        <w:ind w:firstLine="440" w:firstLineChars="200"/>
        <w:jc w:val="left"/>
        <w:rPr>
          <w:color w:val="auto"/>
          <w:sz w:val="22"/>
          <w:szCs w:val="22"/>
        </w:rPr>
      </w:pPr>
      <w:r>
        <w:rPr>
          <w:rFonts w:hint="eastAsia"/>
          <w:color w:val="auto"/>
          <w:sz w:val="22"/>
          <w:szCs w:val="22"/>
        </w:rPr>
        <w:t>按照政治、经济、社会、科技文化、地理五大类别，从国家政权、制度文明、国家礼仪、农业经济、手工业与工业发展、商贸交流、社会组织、交流迁徙、宗教信仰、思想文化、文学艺术、科学技术、城市与建筑、自然地理、人文地理等主题进行价值特征的梳理。</w:t>
      </w:r>
    </w:p>
    <w:p>
      <w:pPr>
        <w:snapToGrid w:val="0"/>
        <w:spacing w:line="500" w:lineRule="exact"/>
        <w:ind w:firstLine="440" w:firstLineChars="200"/>
        <w:jc w:val="left"/>
        <w:rPr>
          <w:color w:val="auto"/>
          <w:sz w:val="22"/>
          <w:szCs w:val="22"/>
        </w:rPr>
      </w:pPr>
      <w:r>
        <w:rPr>
          <w:rFonts w:hint="eastAsia"/>
          <w:color w:val="auto"/>
          <w:sz w:val="22"/>
          <w:szCs w:val="22"/>
        </w:rPr>
        <w:t>以价值特征研究为基础，从区域交往与发展、城市在不同历史时期发展进程中的重要贡献等方面，凝练归纳城市价值特色。</w:t>
      </w:r>
    </w:p>
    <w:p>
      <w:pPr>
        <w:snapToGrid w:val="0"/>
        <w:spacing w:line="500" w:lineRule="exact"/>
        <w:ind w:firstLine="440" w:firstLineChars="200"/>
        <w:jc w:val="left"/>
        <w:rPr>
          <w:color w:val="auto"/>
          <w:sz w:val="22"/>
          <w:szCs w:val="22"/>
        </w:rPr>
      </w:pPr>
      <w:r>
        <w:rPr>
          <w:rFonts w:hint="eastAsia"/>
          <w:color w:val="auto"/>
          <w:sz w:val="22"/>
          <w:szCs w:val="22"/>
        </w:rPr>
        <w:t>（四）保护传承目标</w:t>
      </w:r>
    </w:p>
    <w:p>
      <w:pPr>
        <w:snapToGrid w:val="0"/>
        <w:spacing w:line="500" w:lineRule="exact"/>
        <w:ind w:firstLine="440" w:firstLineChars="200"/>
        <w:jc w:val="left"/>
        <w:rPr>
          <w:color w:val="auto"/>
          <w:sz w:val="22"/>
          <w:szCs w:val="22"/>
        </w:rPr>
      </w:pPr>
      <w:r>
        <w:rPr>
          <w:rFonts w:hint="eastAsia"/>
          <w:color w:val="auto"/>
          <w:sz w:val="22"/>
          <w:szCs w:val="22"/>
        </w:rPr>
        <w:t>（1）目标愿景</w:t>
      </w:r>
    </w:p>
    <w:p>
      <w:pPr>
        <w:snapToGrid w:val="0"/>
        <w:spacing w:line="500" w:lineRule="exact"/>
        <w:ind w:firstLine="440" w:firstLineChars="200"/>
        <w:jc w:val="left"/>
        <w:rPr>
          <w:color w:val="auto"/>
          <w:sz w:val="22"/>
          <w:szCs w:val="22"/>
        </w:rPr>
      </w:pPr>
      <w:r>
        <w:rPr>
          <w:rFonts w:hint="eastAsia"/>
          <w:color w:val="auto"/>
          <w:sz w:val="22"/>
          <w:szCs w:val="22"/>
        </w:rPr>
        <w:t>结合地方历史文化资源现状及文化价值及精神提炼，概括历史文化保护传承总体目标和愿景。</w:t>
      </w:r>
    </w:p>
    <w:p>
      <w:pPr>
        <w:snapToGrid w:val="0"/>
        <w:spacing w:line="500" w:lineRule="exact"/>
        <w:ind w:firstLine="440" w:firstLineChars="200"/>
        <w:jc w:val="left"/>
        <w:rPr>
          <w:color w:val="auto"/>
          <w:sz w:val="22"/>
          <w:szCs w:val="22"/>
        </w:rPr>
      </w:pPr>
      <w:r>
        <w:rPr>
          <w:rFonts w:hint="eastAsia"/>
          <w:color w:val="auto"/>
          <w:sz w:val="22"/>
          <w:szCs w:val="22"/>
        </w:rPr>
        <w:t>（2）分期目标</w:t>
      </w:r>
    </w:p>
    <w:p>
      <w:pPr>
        <w:snapToGrid w:val="0"/>
        <w:spacing w:line="500" w:lineRule="exact"/>
        <w:ind w:firstLine="440" w:firstLineChars="200"/>
        <w:jc w:val="left"/>
        <w:rPr>
          <w:color w:val="auto"/>
          <w:sz w:val="22"/>
          <w:szCs w:val="22"/>
        </w:rPr>
      </w:pPr>
      <w:r>
        <w:rPr>
          <w:rFonts w:hint="eastAsia"/>
          <w:color w:val="auto"/>
          <w:sz w:val="22"/>
          <w:szCs w:val="22"/>
        </w:rPr>
        <w:t>结合近远期期限设定，对总体目标和愿景进行细化分解，落实到分期保护传承目标体系上。</w:t>
      </w:r>
    </w:p>
    <w:p>
      <w:pPr>
        <w:snapToGrid w:val="0"/>
        <w:spacing w:line="500" w:lineRule="exact"/>
        <w:ind w:firstLine="440" w:firstLineChars="200"/>
        <w:jc w:val="left"/>
        <w:rPr>
          <w:color w:val="auto"/>
          <w:sz w:val="22"/>
          <w:szCs w:val="22"/>
        </w:rPr>
      </w:pPr>
      <w:r>
        <w:rPr>
          <w:rFonts w:hint="eastAsia"/>
          <w:color w:val="auto"/>
          <w:sz w:val="22"/>
          <w:szCs w:val="22"/>
        </w:rPr>
        <w:t>（3）指标预期</w:t>
      </w:r>
    </w:p>
    <w:p>
      <w:pPr>
        <w:snapToGrid w:val="0"/>
        <w:spacing w:line="500" w:lineRule="exact"/>
        <w:ind w:firstLine="440" w:firstLineChars="200"/>
        <w:jc w:val="left"/>
        <w:rPr>
          <w:color w:val="auto"/>
          <w:sz w:val="22"/>
          <w:szCs w:val="22"/>
        </w:rPr>
      </w:pPr>
      <w:r>
        <w:rPr>
          <w:rFonts w:hint="eastAsia"/>
          <w:color w:val="auto"/>
          <w:sz w:val="22"/>
          <w:szCs w:val="22"/>
        </w:rPr>
        <w:t>围绕保护传承总体及分期目标，量化各类相关指标。</w:t>
      </w:r>
    </w:p>
    <w:p>
      <w:pPr>
        <w:snapToGrid w:val="0"/>
        <w:spacing w:line="500" w:lineRule="exact"/>
        <w:ind w:firstLine="440" w:firstLineChars="200"/>
        <w:jc w:val="left"/>
        <w:rPr>
          <w:color w:val="auto"/>
          <w:sz w:val="22"/>
          <w:szCs w:val="22"/>
        </w:rPr>
      </w:pPr>
      <w:r>
        <w:rPr>
          <w:rFonts w:hint="eastAsia"/>
          <w:color w:val="auto"/>
          <w:sz w:val="22"/>
          <w:szCs w:val="22"/>
        </w:rPr>
        <w:t>（五）保护传承格局</w:t>
      </w:r>
    </w:p>
    <w:p>
      <w:pPr>
        <w:snapToGrid w:val="0"/>
        <w:spacing w:line="500" w:lineRule="exact"/>
        <w:ind w:firstLine="440" w:firstLineChars="200"/>
        <w:jc w:val="left"/>
        <w:rPr>
          <w:color w:val="auto"/>
          <w:sz w:val="22"/>
          <w:szCs w:val="22"/>
        </w:rPr>
      </w:pPr>
      <w:r>
        <w:rPr>
          <w:rFonts w:hint="eastAsia"/>
          <w:color w:val="auto"/>
          <w:sz w:val="22"/>
          <w:szCs w:val="22"/>
        </w:rPr>
        <w:t>（1）识别自然人文特征</w:t>
      </w:r>
    </w:p>
    <w:p>
      <w:pPr>
        <w:snapToGrid w:val="0"/>
        <w:spacing w:line="500" w:lineRule="exact"/>
        <w:ind w:firstLine="440" w:firstLineChars="200"/>
        <w:jc w:val="left"/>
        <w:rPr>
          <w:color w:val="auto"/>
          <w:sz w:val="22"/>
          <w:szCs w:val="22"/>
        </w:rPr>
      </w:pPr>
      <w:r>
        <w:rPr>
          <w:rFonts w:hint="eastAsia"/>
          <w:color w:val="auto"/>
          <w:sz w:val="22"/>
          <w:szCs w:val="22"/>
        </w:rPr>
        <w:t>重视与人文资源相互依存的自然环境，从气候、流域、地理单元、植被分布等方面进行城市自然地理特征的研究，从交通、民族、人文地理分区、建筑类型分布等方面进行人文格局特征研究。</w:t>
      </w:r>
    </w:p>
    <w:p>
      <w:pPr>
        <w:snapToGrid w:val="0"/>
        <w:spacing w:line="500" w:lineRule="exact"/>
        <w:ind w:firstLine="440" w:firstLineChars="200"/>
        <w:jc w:val="left"/>
        <w:rPr>
          <w:color w:val="auto"/>
          <w:sz w:val="22"/>
          <w:szCs w:val="22"/>
        </w:rPr>
      </w:pPr>
      <w:r>
        <w:rPr>
          <w:rFonts w:hint="eastAsia"/>
          <w:color w:val="auto"/>
          <w:sz w:val="22"/>
          <w:szCs w:val="22"/>
        </w:rPr>
        <w:t>（2）构建保护传承格局</w:t>
      </w:r>
    </w:p>
    <w:p>
      <w:pPr>
        <w:snapToGrid w:val="0"/>
        <w:spacing w:line="500" w:lineRule="exact"/>
        <w:ind w:firstLine="440" w:firstLineChars="200"/>
        <w:jc w:val="left"/>
        <w:rPr>
          <w:color w:val="auto"/>
          <w:sz w:val="22"/>
          <w:szCs w:val="22"/>
        </w:rPr>
      </w:pPr>
      <w:r>
        <w:rPr>
          <w:rFonts w:hint="eastAsia"/>
          <w:color w:val="auto"/>
          <w:sz w:val="22"/>
          <w:szCs w:val="22"/>
        </w:rPr>
        <w:t>以城市历史文化价值为导向，以自然人文地理格局为基底，以价值遗存的地理分布和内在联系为依托，结合当下城乡建设条件与发展需求，梳理遗产遗址保护、名城名镇名村、街区保护，各类历史风貌地段、各级历史文化保护单位和不可移动文物、传统风貌建筑等物质文化遗产，地名文化遗产、非物质文化遗产重要空间承载地及文化传承重大工程、重大传播体系，综合构建历史文化空间格局。针对历史文化和自然景观资源富集、空间分布集中的地域和廊道，需明确整体保护和促进活化利用的空间管控引导要求。</w:t>
      </w:r>
    </w:p>
    <w:p>
      <w:pPr>
        <w:snapToGrid w:val="0"/>
        <w:spacing w:line="500" w:lineRule="exact"/>
        <w:ind w:firstLine="440" w:firstLineChars="200"/>
        <w:jc w:val="left"/>
        <w:rPr>
          <w:color w:val="auto"/>
          <w:sz w:val="22"/>
          <w:szCs w:val="22"/>
        </w:rPr>
      </w:pPr>
      <w:r>
        <w:rPr>
          <w:rFonts w:hint="eastAsia"/>
          <w:color w:val="auto"/>
          <w:sz w:val="22"/>
          <w:szCs w:val="22"/>
        </w:rPr>
        <w:t>（六）保护名录体系</w:t>
      </w:r>
    </w:p>
    <w:p>
      <w:pPr>
        <w:snapToGrid w:val="0"/>
        <w:spacing w:line="500" w:lineRule="exact"/>
        <w:ind w:firstLine="440" w:firstLineChars="200"/>
        <w:jc w:val="left"/>
        <w:rPr>
          <w:color w:val="auto"/>
          <w:sz w:val="22"/>
          <w:szCs w:val="22"/>
        </w:rPr>
      </w:pPr>
      <w:r>
        <w:rPr>
          <w:rFonts w:hint="eastAsia"/>
          <w:color w:val="auto"/>
          <w:sz w:val="22"/>
          <w:szCs w:val="22"/>
        </w:rPr>
        <w:t>（1）衔接资源普查行动</w:t>
      </w:r>
    </w:p>
    <w:p>
      <w:pPr>
        <w:snapToGrid w:val="0"/>
        <w:spacing w:line="500" w:lineRule="exact"/>
        <w:ind w:firstLine="440" w:firstLineChars="200"/>
        <w:jc w:val="left"/>
        <w:rPr>
          <w:color w:val="auto"/>
          <w:sz w:val="22"/>
          <w:szCs w:val="22"/>
        </w:rPr>
      </w:pPr>
      <w:r>
        <w:rPr>
          <w:rFonts w:hint="eastAsia"/>
          <w:color w:val="auto"/>
          <w:sz w:val="22"/>
          <w:szCs w:val="22"/>
        </w:rPr>
        <w:t>衔接全域资源普查行动，重点开展现有保护名录以外新增补和拟推荐的保护对象的全面普查工作，将资源普查成果纳入预先保护名录，拓展保护对象的内涵和外延，最大程度上做到应保尽保。</w:t>
      </w:r>
    </w:p>
    <w:p>
      <w:pPr>
        <w:snapToGrid w:val="0"/>
        <w:spacing w:line="500" w:lineRule="exact"/>
        <w:ind w:firstLine="440" w:firstLineChars="200"/>
        <w:jc w:val="left"/>
        <w:rPr>
          <w:color w:val="auto"/>
          <w:sz w:val="22"/>
          <w:szCs w:val="22"/>
        </w:rPr>
      </w:pPr>
      <w:r>
        <w:rPr>
          <w:rFonts w:hint="eastAsia"/>
          <w:color w:val="auto"/>
          <w:sz w:val="22"/>
          <w:szCs w:val="22"/>
        </w:rPr>
        <w:t>（2）增补潜在对象，完善保护名录</w:t>
      </w:r>
    </w:p>
    <w:p>
      <w:pPr>
        <w:snapToGrid w:val="0"/>
        <w:spacing w:line="500" w:lineRule="exact"/>
        <w:ind w:firstLine="440" w:firstLineChars="200"/>
        <w:jc w:val="left"/>
        <w:rPr>
          <w:color w:val="auto"/>
          <w:sz w:val="22"/>
          <w:szCs w:val="22"/>
        </w:rPr>
      </w:pPr>
      <w:r>
        <w:rPr>
          <w:rFonts w:hint="eastAsia"/>
          <w:color w:val="auto"/>
          <w:sz w:val="22"/>
          <w:szCs w:val="22"/>
        </w:rPr>
        <w:t>对照价值框架，系统盘点城市各级各类城乡历史文化遗产，优先落实各类省级保护传承体系规划内保护名录。</w:t>
      </w:r>
    </w:p>
    <w:p>
      <w:pPr>
        <w:snapToGrid w:val="0"/>
        <w:spacing w:line="500" w:lineRule="exact"/>
        <w:ind w:firstLine="440" w:firstLineChars="200"/>
        <w:jc w:val="left"/>
        <w:rPr>
          <w:color w:val="auto"/>
          <w:sz w:val="22"/>
          <w:szCs w:val="22"/>
        </w:rPr>
      </w:pPr>
      <w:r>
        <w:rPr>
          <w:rFonts w:hint="eastAsia"/>
          <w:color w:val="auto"/>
          <w:sz w:val="22"/>
          <w:szCs w:val="22"/>
        </w:rPr>
        <w:t>（3）建立“价值-载体”信息库</w:t>
      </w:r>
    </w:p>
    <w:p>
      <w:pPr>
        <w:snapToGrid w:val="0"/>
        <w:spacing w:line="500" w:lineRule="exact"/>
        <w:ind w:firstLine="440" w:firstLineChars="200"/>
        <w:jc w:val="left"/>
        <w:rPr>
          <w:color w:val="auto"/>
          <w:sz w:val="22"/>
          <w:szCs w:val="22"/>
        </w:rPr>
      </w:pPr>
      <w:r>
        <w:rPr>
          <w:rFonts w:hint="eastAsia"/>
          <w:color w:val="auto"/>
          <w:sz w:val="22"/>
          <w:szCs w:val="22"/>
        </w:rPr>
        <w:t>建立以“一总图”和“一总表”为核心的“价值-载体”遗存信息库。以价值特色为先导，提出各类价值的代表性遗存，明确相应价值载体，落实遗存载体图。</w:t>
      </w:r>
    </w:p>
    <w:p>
      <w:pPr>
        <w:snapToGrid w:val="0"/>
        <w:spacing w:line="500" w:lineRule="exact"/>
        <w:ind w:firstLine="440" w:firstLineChars="200"/>
        <w:jc w:val="left"/>
        <w:rPr>
          <w:color w:val="auto"/>
          <w:sz w:val="22"/>
          <w:szCs w:val="22"/>
        </w:rPr>
      </w:pPr>
      <w:r>
        <w:rPr>
          <w:rFonts w:hint="eastAsia"/>
          <w:color w:val="auto"/>
          <w:sz w:val="22"/>
          <w:szCs w:val="22"/>
        </w:rPr>
        <w:t>历史文化价值遗存分布总图包括政治类、经济类、社会类、科技文化类与地理类等五类价值载体叠合图。历史文化价值遗存分布总表包括价值类别、价值主题、价值特征、遗存名称、所在县（市）区、年代、类型、保护身份、批次、批准时间、坐标等信息。</w:t>
      </w:r>
    </w:p>
    <w:p>
      <w:pPr>
        <w:snapToGrid w:val="0"/>
        <w:spacing w:line="500" w:lineRule="exact"/>
        <w:ind w:firstLine="440" w:firstLineChars="200"/>
        <w:jc w:val="left"/>
        <w:rPr>
          <w:color w:val="auto"/>
          <w:sz w:val="22"/>
          <w:szCs w:val="22"/>
        </w:rPr>
      </w:pPr>
      <w:r>
        <w:rPr>
          <w:rFonts w:hint="eastAsia"/>
          <w:color w:val="auto"/>
          <w:sz w:val="22"/>
          <w:szCs w:val="22"/>
        </w:rPr>
        <w:t>（七）保护范围划定</w:t>
      </w:r>
    </w:p>
    <w:p>
      <w:pPr>
        <w:snapToGrid w:val="0"/>
        <w:spacing w:line="500" w:lineRule="exact"/>
        <w:ind w:firstLine="440" w:firstLineChars="200"/>
        <w:jc w:val="left"/>
        <w:rPr>
          <w:color w:val="auto"/>
          <w:sz w:val="22"/>
          <w:szCs w:val="22"/>
        </w:rPr>
      </w:pPr>
      <w:r>
        <w:rPr>
          <w:rFonts w:hint="eastAsia"/>
          <w:color w:val="auto"/>
          <w:sz w:val="22"/>
          <w:szCs w:val="22"/>
        </w:rPr>
        <w:t>（1）划定刚性管控界线</w:t>
      </w:r>
    </w:p>
    <w:p>
      <w:pPr>
        <w:snapToGrid w:val="0"/>
        <w:spacing w:line="500" w:lineRule="exact"/>
        <w:ind w:firstLine="440" w:firstLineChars="200"/>
        <w:jc w:val="left"/>
        <w:rPr>
          <w:color w:val="auto"/>
          <w:sz w:val="22"/>
          <w:szCs w:val="22"/>
        </w:rPr>
      </w:pPr>
      <w:r>
        <w:rPr>
          <w:rFonts w:hint="eastAsia"/>
          <w:color w:val="auto"/>
          <w:sz w:val="22"/>
          <w:szCs w:val="22"/>
        </w:rPr>
        <w:t>对各类保护对象本体及相关环境进行空间管控，并保护其真实性和完整性的范围边界，是历史文化保护的刚性管控界线。包括但不限于世界遗产遗产区、缓冲区范围，大遗址保护范围，地下文物埋藏区保护范围，水下文物保护区保护范围，历史文化名城的历史城区范围，区县级以上文物保护单位保护范围，历史文化名镇、名村、街区、地段和历史建筑的保护范围等。</w:t>
      </w:r>
    </w:p>
    <w:p>
      <w:pPr>
        <w:snapToGrid w:val="0"/>
        <w:spacing w:line="500" w:lineRule="exact"/>
        <w:ind w:firstLine="440" w:firstLineChars="200"/>
        <w:jc w:val="left"/>
        <w:rPr>
          <w:color w:val="auto"/>
          <w:sz w:val="22"/>
          <w:szCs w:val="22"/>
        </w:rPr>
      </w:pPr>
      <w:r>
        <w:rPr>
          <w:rFonts w:hint="eastAsia"/>
          <w:color w:val="auto"/>
          <w:sz w:val="22"/>
          <w:szCs w:val="22"/>
        </w:rPr>
        <w:t>（2）形成动态更新机制</w:t>
      </w:r>
    </w:p>
    <w:p>
      <w:pPr>
        <w:snapToGrid w:val="0"/>
        <w:spacing w:line="500" w:lineRule="exact"/>
        <w:ind w:firstLine="440" w:firstLineChars="200"/>
        <w:jc w:val="left"/>
        <w:rPr>
          <w:color w:val="auto"/>
          <w:sz w:val="22"/>
          <w:szCs w:val="22"/>
        </w:rPr>
      </w:pPr>
      <w:r>
        <w:rPr>
          <w:rFonts w:hint="eastAsia"/>
          <w:color w:val="auto"/>
          <w:sz w:val="22"/>
          <w:szCs w:val="22"/>
        </w:rPr>
        <w:t>根据要求建议将历史文化资源分为明确划线、建议划示与暂不划示三种类型，提出相应管控要求。</w:t>
      </w:r>
    </w:p>
    <w:p>
      <w:pPr>
        <w:snapToGrid w:val="0"/>
        <w:spacing w:line="500" w:lineRule="exact"/>
        <w:ind w:firstLine="440" w:firstLineChars="200"/>
        <w:jc w:val="left"/>
        <w:rPr>
          <w:color w:val="auto"/>
          <w:sz w:val="22"/>
          <w:szCs w:val="22"/>
        </w:rPr>
      </w:pPr>
      <w:r>
        <w:rPr>
          <w:rFonts w:hint="eastAsia"/>
          <w:color w:val="auto"/>
          <w:sz w:val="22"/>
          <w:szCs w:val="22"/>
        </w:rPr>
        <w:t>（3）提出保护管控要求</w:t>
      </w:r>
    </w:p>
    <w:p>
      <w:pPr>
        <w:snapToGrid w:val="0"/>
        <w:spacing w:line="500" w:lineRule="exact"/>
        <w:ind w:firstLine="440" w:firstLineChars="200"/>
        <w:jc w:val="left"/>
        <w:rPr>
          <w:color w:val="auto"/>
          <w:sz w:val="22"/>
          <w:szCs w:val="22"/>
        </w:rPr>
      </w:pPr>
      <w:r>
        <w:rPr>
          <w:rFonts w:hint="eastAsia"/>
          <w:color w:val="auto"/>
          <w:sz w:val="22"/>
          <w:szCs w:val="22"/>
        </w:rPr>
        <w:t>构建历史文化保护传承体系，按照相关法律法规，分级分类提出历史文化名城、名镇、名村（传统村落）、历史文化街区、历史地段、文物与历史建筑、工业遗产、农业文化遗产、水利遗产等保护对象的保护传承和管控要求，严格保护各类历史文化遗产及其环境。</w:t>
      </w:r>
    </w:p>
    <w:p>
      <w:pPr>
        <w:snapToGrid w:val="0"/>
        <w:spacing w:line="500" w:lineRule="exact"/>
        <w:ind w:firstLine="440" w:firstLineChars="200"/>
        <w:jc w:val="left"/>
        <w:rPr>
          <w:color w:val="auto"/>
          <w:sz w:val="22"/>
          <w:szCs w:val="22"/>
        </w:rPr>
      </w:pPr>
      <w:r>
        <w:rPr>
          <w:rFonts w:hint="eastAsia"/>
          <w:color w:val="auto"/>
          <w:sz w:val="22"/>
          <w:szCs w:val="22"/>
        </w:rPr>
        <w:t>（八）保护传承与活化利用</w:t>
      </w:r>
    </w:p>
    <w:p>
      <w:pPr>
        <w:snapToGrid w:val="0"/>
        <w:spacing w:line="500" w:lineRule="exact"/>
        <w:ind w:firstLine="440" w:firstLineChars="200"/>
        <w:jc w:val="left"/>
        <w:rPr>
          <w:color w:val="auto"/>
          <w:sz w:val="22"/>
          <w:szCs w:val="22"/>
        </w:rPr>
      </w:pPr>
      <w:r>
        <w:rPr>
          <w:rFonts w:hint="eastAsia"/>
          <w:color w:val="auto"/>
          <w:sz w:val="22"/>
          <w:szCs w:val="22"/>
        </w:rPr>
        <w:t>应根据历史文化资源分布情况，结合文化廊道，组织历史文化游线，并提出各类历史文化资源展示利用基本策略和要求，与自然景观资源、现代功能和生活有机融合，彰显城市历史文化特色。</w:t>
      </w:r>
    </w:p>
    <w:p>
      <w:pPr>
        <w:snapToGrid w:val="0"/>
        <w:spacing w:line="500" w:lineRule="exact"/>
        <w:ind w:firstLine="440" w:firstLineChars="200"/>
        <w:jc w:val="left"/>
        <w:rPr>
          <w:color w:val="auto"/>
          <w:sz w:val="22"/>
          <w:szCs w:val="22"/>
        </w:rPr>
      </w:pPr>
      <w:r>
        <w:rPr>
          <w:rFonts w:hint="eastAsia"/>
          <w:color w:val="auto"/>
          <w:sz w:val="22"/>
          <w:szCs w:val="22"/>
        </w:rPr>
        <w:t>探索历史城区、历史文化名镇名村（传统村落）、历史文化街区、历史地段、文物与历史建筑、工业遗产、农业文化遗产、水利遗产、非物质文化遗产的活化利用手段，提出各类遗产的活化利用创新性方式。</w:t>
      </w:r>
    </w:p>
    <w:p>
      <w:pPr>
        <w:snapToGrid w:val="0"/>
        <w:spacing w:line="500" w:lineRule="exact"/>
        <w:ind w:firstLine="440" w:firstLineChars="200"/>
        <w:jc w:val="left"/>
        <w:rPr>
          <w:color w:val="auto"/>
          <w:sz w:val="22"/>
          <w:szCs w:val="22"/>
        </w:rPr>
      </w:pPr>
      <w:r>
        <w:rPr>
          <w:rFonts w:hint="eastAsia"/>
          <w:color w:val="auto"/>
          <w:sz w:val="22"/>
          <w:szCs w:val="22"/>
        </w:rPr>
        <w:t>（九）廊道与分区管控引导</w:t>
      </w:r>
    </w:p>
    <w:p>
      <w:pPr>
        <w:snapToGrid w:val="0"/>
        <w:spacing w:line="500" w:lineRule="exact"/>
        <w:ind w:firstLine="440" w:firstLineChars="200"/>
        <w:jc w:val="left"/>
        <w:rPr>
          <w:color w:val="auto"/>
          <w:sz w:val="22"/>
          <w:szCs w:val="22"/>
        </w:rPr>
      </w:pPr>
      <w:r>
        <w:rPr>
          <w:rFonts w:hint="eastAsia"/>
          <w:color w:val="auto"/>
          <w:sz w:val="22"/>
          <w:szCs w:val="22"/>
        </w:rPr>
        <w:t>围绕全域全要素保护，依据历史文化资源与自然景观的富集程度，以历史文化遗产的刚性管控界线为基础，统筹非物质文化遗产空间承载地，进行历史文化廊道与保护传承分区划定，明确各历史文化廊道与保护传承分区的整体保护和活化利用要求。</w:t>
      </w:r>
    </w:p>
    <w:p>
      <w:pPr>
        <w:snapToGrid w:val="0"/>
        <w:spacing w:line="500" w:lineRule="exact"/>
        <w:ind w:firstLine="440" w:firstLineChars="200"/>
        <w:jc w:val="left"/>
        <w:rPr>
          <w:color w:val="auto"/>
          <w:sz w:val="22"/>
          <w:szCs w:val="22"/>
        </w:rPr>
      </w:pPr>
      <w:r>
        <w:rPr>
          <w:rFonts w:hint="eastAsia"/>
          <w:color w:val="auto"/>
          <w:sz w:val="22"/>
          <w:szCs w:val="22"/>
        </w:rPr>
        <w:t>（十）工作机制与管理保障</w:t>
      </w:r>
    </w:p>
    <w:p>
      <w:pPr>
        <w:snapToGrid w:val="0"/>
        <w:spacing w:line="500" w:lineRule="exact"/>
        <w:ind w:firstLine="440" w:firstLineChars="200"/>
        <w:jc w:val="left"/>
        <w:rPr>
          <w:color w:val="auto"/>
          <w:sz w:val="22"/>
          <w:szCs w:val="22"/>
        </w:rPr>
      </w:pPr>
      <w:r>
        <w:rPr>
          <w:rFonts w:hint="eastAsia"/>
          <w:color w:val="auto"/>
          <w:sz w:val="22"/>
          <w:szCs w:val="22"/>
        </w:rPr>
        <w:t>提出建立历史文化保护传承相关协调机构策略，明确优化历史文化保护管理机构的具体任务。提出完善项目所在地历史文化保护传承相关法规、规章、技术标准和配套管理文件的建议，加强组织领导与监管。</w:t>
      </w:r>
    </w:p>
    <w:p>
      <w:pPr>
        <w:snapToGrid w:val="0"/>
        <w:spacing w:line="500" w:lineRule="exact"/>
        <w:ind w:firstLine="440" w:firstLineChars="200"/>
        <w:jc w:val="left"/>
        <w:rPr>
          <w:color w:val="auto"/>
          <w:sz w:val="22"/>
          <w:szCs w:val="22"/>
        </w:rPr>
      </w:pPr>
      <w:r>
        <w:rPr>
          <w:rFonts w:hint="eastAsia"/>
          <w:color w:val="auto"/>
          <w:sz w:val="22"/>
          <w:szCs w:val="22"/>
        </w:rPr>
        <w:t>提出建立公众参与保护机制，加强宣传教育力度，落实社会反馈、监督等方面的建议。</w:t>
      </w:r>
    </w:p>
    <w:p>
      <w:pPr>
        <w:snapToGrid w:val="0"/>
        <w:spacing w:line="500" w:lineRule="exact"/>
        <w:ind w:firstLine="440" w:firstLineChars="200"/>
        <w:jc w:val="left"/>
        <w:rPr>
          <w:color w:val="auto"/>
          <w:sz w:val="22"/>
          <w:szCs w:val="22"/>
        </w:rPr>
      </w:pPr>
      <w:r>
        <w:rPr>
          <w:rFonts w:hint="eastAsia"/>
          <w:color w:val="auto"/>
          <w:sz w:val="22"/>
          <w:szCs w:val="22"/>
        </w:rPr>
        <w:t>（十一）重点工作任务传导</w:t>
      </w:r>
    </w:p>
    <w:p>
      <w:pPr>
        <w:snapToGrid w:val="0"/>
        <w:spacing w:line="500" w:lineRule="exact"/>
        <w:ind w:firstLine="440" w:firstLineChars="200"/>
        <w:jc w:val="left"/>
        <w:rPr>
          <w:color w:val="auto"/>
          <w:sz w:val="22"/>
          <w:szCs w:val="22"/>
        </w:rPr>
      </w:pPr>
      <w:r>
        <w:rPr>
          <w:rFonts w:hint="eastAsia"/>
          <w:color w:val="auto"/>
          <w:sz w:val="22"/>
          <w:szCs w:val="22"/>
        </w:rPr>
        <w:t>坚持“能保尽保、应保尽保”，以彰显价值特色、支撑总体格局为目标，落实浙江省城乡历史文化保护传承体系规划传导要求，衔接相关规划，统筹制定历史文化保护传承工作方向，根据需要对下辖街道、乡镇保护传承专项工作提出指引，促使城乡建设中保护传承项目实施落地。</w:t>
      </w:r>
    </w:p>
    <w:p>
      <w:pPr>
        <w:spacing w:line="500" w:lineRule="exact"/>
        <w:ind w:firstLine="442" w:firstLineChars="200"/>
        <w:jc w:val="left"/>
        <w:rPr>
          <w:rFonts w:ascii="宋体" w:hAnsi="宋体" w:cs="宋体"/>
          <w:b/>
          <w:color w:val="auto"/>
          <w:sz w:val="22"/>
          <w:szCs w:val="22"/>
        </w:rPr>
      </w:pPr>
      <w:r>
        <w:rPr>
          <w:rFonts w:hint="eastAsia" w:ascii="宋体" w:hAnsi="宋体" w:cs="宋体"/>
          <w:b/>
          <w:color w:val="auto"/>
          <w:sz w:val="22"/>
          <w:szCs w:val="22"/>
        </w:rPr>
        <w:t>二、规划成果要求</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（一）成果构成</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历史文化保护传承专项规划成果包括法定性文件和研究性文件。法定性文件一经审批则具有法定效力，是需要严格执行的公共政策，由规划文本、规划图集及附件构成。研究性文件包括研究性内容和分析过程以及重要的历史文化专题研究等，由规划说明书、基础资料汇编及重要专题等构成。</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规划图集统一采用2000国家大地坐标系和1985国家高程作为空间基准，以最新全国国土调查作为现状基础数据，形成规划底数。图集应符合相关制图规范要求。</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成果包括纸质文件和电子数据。其中电子数据包括各类文字报告、图集及各类栅格和矢量数据。</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（二）规划文本</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规划文本应当以条款格式表述规划结论，包括文本条文、必要的表格。文本条文应法条化，表述准确规范，简明扼要，突出政策性、针对性和规定性。</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（三）规划图集</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历史文化保护传承专项规划应包括以下基本图件。</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1、区位图；</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2、自然人文格局特征图；</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3、历史沿革图；</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4、历史文化遗产现状分布图（包括历史文化名城名镇名村、传统村落、不可移动文物、历史建筑、历史地段、地下文物埋藏区、工业遗产、农业文化遗产、灌溉工程遗产、革命文化遗产、非物质文化遗产等）；</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5、各类价值-载体落位图；</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6、历史文化保护传承格局图；</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7、推荐历史文化遗产分布图；</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8、历史文化保护范围界线图；</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9、保护传承与活化利用方式图；</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10、分区与廊道管控引导图；</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11、实施项目落位图；</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其他需要的图件。</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（四）规划编制说明</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规划说明书是对规划文本的具体说明与解释，主要阐述规划决策的编制基础、分析过程和分析结论，是配合规划文本和图集使用的重要参考。</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（五）规划数据库</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历史文化保护传承专项规划数据库坐标系统统一采用“2000国家大地坐标系（CGCS2000）”，高程系统采用“1985国家高程基准”，地图投影采用“高斯-克吕格”投影，采用国家标准3°分带，120°中央经线。数据库主要包含现状与规划的矢量数据图层、数据库图层说明文档、字段说明文档等。</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数据成果格式应符合相关数据库规范要求。</w:t>
      </w:r>
    </w:p>
    <w:p>
      <w:pPr>
        <w:spacing w:line="500" w:lineRule="exact"/>
        <w:ind w:firstLine="442" w:firstLineChars="200"/>
        <w:jc w:val="left"/>
        <w:rPr>
          <w:rFonts w:ascii="宋体" w:hAnsi="宋体" w:cs="宋体"/>
          <w:b/>
          <w:color w:val="auto"/>
          <w:sz w:val="22"/>
          <w:szCs w:val="22"/>
        </w:rPr>
      </w:pPr>
      <w:r>
        <w:rPr>
          <w:rFonts w:hint="eastAsia" w:ascii="宋体" w:hAnsi="宋体" w:cs="宋体"/>
          <w:b/>
          <w:color w:val="auto"/>
          <w:sz w:val="22"/>
          <w:szCs w:val="22"/>
        </w:rPr>
        <w:t>三、服务期限</w:t>
      </w:r>
    </w:p>
    <w:p>
      <w:pPr>
        <w:snapToGrid w:val="0"/>
        <w:spacing w:line="500" w:lineRule="exact"/>
        <w:ind w:firstLine="424" w:firstLineChars="200"/>
        <w:jc w:val="left"/>
        <w:rPr>
          <w:rFonts w:ascii="宋体" w:hAnsi="宋体" w:cs="宋体"/>
          <w:color w:val="auto"/>
          <w:spacing w:val="-4"/>
          <w:sz w:val="22"/>
          <w:szCs w:val="22"/>
        </w:rPr>
      </w:pPr>
      <w:r>
        <w:rPr>
          <w:rFonts w:hint="eastAsia" w:ascii="宋体" w:hAnsi="宋体" w:cs="宋体"/>
          <w:color w:val="auto"/>
          <w:spacing w:val="-4"/>
          <w:sz w:val="22"/>
          <w:szCs w:val="22"/>
        </w:rPr>
        <w:t>服务期限：自合同签订之日起至本项目全部服务完成止。</w:t>
      </w:r>
    </w:p>
    <w:p>
      <w:pPr>
        <w:spacing w:line="500" w:lineRule="exact"/>
        <w:ind w:firstLine="442" w:firstLineChars="200"/>
        <w:jc w:val="left"/>
        <w:rPr>
          <w:rFonts w:ascii="宋体" w:hAnsi="宋体" w:cs="宋体"/>
          <w:b/>
          <w:color w:val="auto"/>
          <w:sz w:val="22"/>
          <w:szCs w:val="22"/>
        </w:rPr>
      </w:pPr>
      <w:r>
        <w:rPr>
          <w:rFonts w:hint="eastAsia" w:ascii="宋体" w:hAnsi="宋体" w:cs="宋体"/>
          <w:b/>
          <w:color w:val="auto"/>
          <w:sz w:val="22"/>
          <w:szCs w:val="22"/>
        </w:rPr>
        <w:t>四、付款方式</w:t>
      </w:r>
    </w:p>
    <w:p>
      <w:pPr>
        <w:spacing w:line="440" w:lineRule="exact"/>
        <w:ind w:firstLine="440" w:firstLineChars="200"/>
        <w:rPr>
          <w:rFonts w:ascii="宋体" w:hAnsi="宋体" w:cs="宋体"/>
          <w:bCs/>
          <w:color w:val="auto"/>
          <w:sz w:val="22"/>
          <w:szCs w:val="22"/>
        </w:rPr>
      </w:pPr>
      <w:r>
        <w:rPr>
          <w:rFonts w:hint="eastAsia" w:ascii="宋体" w:hAnsi="宋体" w:cs="宋体"/>
          <w:bCs/>
          <w:color w:val="auto"/>
          <w:sz w:val="22"/>
          <w:szCs w:val="22"/>
        </w:rPr>
        <w:t>（一）签订合同且具备实施条件后7个工作日内支付合同价的40%作为预付款，在签订合同时，乙方明确表示无需预付款或者主动要求降低预付款比例的，甲方可不支付或减少预付款支付比例。</w:t>
      </w:r>
    </w:p>
    <w:p>
      <w:pPr>
        <w:spacing w:line="440" w:lineRule="exact"/>
        <w:ind w:firstLine="440" w:firstLineChars="200"/>
        <w:rPr>
          <w:rFonts w:ascii="宋体" w:hAnsi="宋体" w:cs="宋体"/>
          <w:bCs/>
          <w:color w:val="auto"/>
          <w:sz w:val="22"/>
          <w:szCs w:val="22"/>
        </w:rPr>
      </w:pPr>
      <w:r>
        <w:rPr>
          <w:rFonts w:hint="eastAsia" w:ascii="宋体" w:hAnsi="宋体" w:cs="宋体"/>
          <w:bCs/>
          <w:color w:val="auto"/>
          <w:sz w:val="22"/>
          <w:szCs w:val="22"/>
        </w:rPr>
        <w:t>（二）提交项目成果并通过专家评审后付至合同价的70%。</w:t>
      </w:r>
    </w:p>
    <w:p>
      <w:pPr>
        <w:spacing w:line="440" w:lineRule="exact"/>
        <w:ind w:firstLine="440" w:firstLineChars="200"/>
        <w:rPr>
          <w:rFonts w:ascii="宋体" w:hAnsi="宋体" w:cs="宋体"/>
          <w:bCs/>
          <w:color w:val="auto"/>
          <w:sz w:val="22"/>
          <w:szCs w:val="22"/>
        </w:rPr>
      </w:pPr>
      <w:r>
        <w:rPr>
          <w:rFonts w:hint="eastAsia" w:ascii="宋体" w:hAnsi="宋体" w:cs="宋体"/>
          <w:bCs/>
          <w:color w:val="auto"/>
          <w:sz w:val="22"/>
          <w:szCs w:val="22"/>
        </w:rPr>
        <w:t>（三）完成本项目全部服务内容且通过采购人审核后付至合同价的100%。</w:t>
      </w:r>
    </w:p>
    <w:p>
      <w:pPr>
        <w:spacing w:line="440" w:lineRule="exact"/>
        <w:ind w:firstLine="442" w:firstLineChars="200"/>
        <w:rPr>
          <w:rFonts w:ascii="宋体" w:hAnsi="宋体" w:cs="宋体"/>
          <w:b/>
          <w:color w:val="auto"/>
          <w:sz w:val="22"/>
          <w:szCs w:val="22"/>
        </w:rPr>
      </w:pPr>
      <w:r>
        <w:rPr>
          <w:rFonts w:hint="eastAsia" w:ascii="宋体" w:hAnsi="宋体" w:cs="宋体"/>
          <w:b/>
          <w:color w:val="auto"/>
          <w:sz w:val="22"/>
          <w:szCs w:val="22"/>
        </w:rPr>
        <w:t>五、</w:t>
      </w:r>
      <w:bookmarkStart w:id="21" w:name="_Toc6684"/>
      <w:bookmarkStart w:id="22" w:name="_Toc7948"/>
      <w:bookmarkStart w:id="23" w:name="_Toc8705"/>
      <w:r>
        <w:rPr>
          <w:rFonts w:hint="eastAsia" w:ascii="宋体" w:hAnsi="宋体" w:cs="宋体"/>
          <w:b/>
          <w:color w:val="auto"/>
          <w:sz w:val="22"/>
          <w:szCs w:val="22"/>
        </w:rPr>
        <w:t>履约验收</w:t>
      </w:r>
      <w:bookmarkEnd w:id="21"/>
      <w:bookmarkEnd w:id="22"/>
      <w:bookmarkEnd w:id="23"/>
    </w:p>
    <w:p>
      <w:pPr>
        <w:spacing w:line="440" w:lineRule="exact"/>
        <w:ind w:firstLine="440" w:firstLineChars="200"/>
        <w:rPr>
          <w:rFonts w:ascii="宋体" w:hAnsi="宋体" w:cs="宋体"/>
          <w:bCs/>
          <w:color w:val="auto"/>
          <w:sz w:val="22"/>
          <w:szCs w:val="22"/>
        </w:rPr>
      </w:pPr>
      <w:r>
        <w:rPr>
          <w:rFonts w:hint="eastAsia" w:ascii="宋体" w:hAnsi="宋体" w:cs="宋体"/>
          <w:bCs/>
          <w:color w:val="auto"/>
          <w:sz w:val="22"/>
          <w:szCs w:val="22"/>
        </w:rPr>
        <w:t>采购人应按《义乌市政府采购合同履约和验收管理办法（暂行）》（义招管办〔2008〕32号）及《义乌市关于规范政府采购管理的若干意见》（义政办发〔2017〕102号）等有关规定，对政府采购项目履约情况予以监督并及时、认真组织验收。</w:t>
      </w:r>
    </w:p>
    <w:p>
      <w:pPr>
        <w:pStyle w:val="63"/>
        <w:rPr>
          <w:color w:val="auto"/>
        </w:rPr>
        <w:sectPr>
          <w:pgSz w:w="11906" w:h="16838"/>
          <w:pgMar w:top="1247" w:right="1361" w:bottom="1247" w:left="1417" w:header="851" w:footer="992" w:gutter="0"/>
          <w:pgNumType w:fmt="numberInDash"/>
          <w:cols w:space="720" w:num="1"/>
          <w:titlePg/>
          <w:rtlGutter w:val="1"/>
        </w:sectPr>
      </w:pPr>
    </w:p>
    <w:p>
      <w:pPr>
        <w:pStyle w:val="2"/>
        <w:numPr>
          <w:ilvl w:val="0"/>
          <w:numId w:val="6"/>
        </w:numPr>
        <w:spacing w:before="0" w:after="0" w:line="360" w:lineRule="auto"/>
        <w:jc w:val="center"/>
        <w:rPr>
          <w:color w:val="auto"/>
          <w:sz w:val="32"/>
        </w:rPr>
      </w:pPr>
      <w:bookmarkStart w:id="24" w:name="_Toc3678"/>
      <w:r>
        <w:rPr>
          <w:color w:val="auto"/>
          <w:sz w:val="32"/>
        </w:rPr>
        <w:t>开标、评标和定标须知</w:t>
      </w:r>
      <w:bookmarkEnd w:id="24"/>
    </w:p>
    <w:p>
      <w:pPr>
        <w:pStyle w:val="3"/>
        <w:numPr>
          <w:ilvl w:val="1"/>
          <w:numId w:val="4"/>
        </w:numPr>
        <w:spacing w:before="0" w:after="0" w:line="360" w:lineRule="auto"/>
        <w:jc w:val="left"/>
        <w:rPr>
          <w:rFonts w:ascii="Times New Roman" w:hAnsi="Times New Roman" w:eastAsia="宋体"/>
          <w:color w:val="auto"/>
          <w:sz w:val="24"/>
          <w:szCs w:val="22"/>
        </w:rPr>
      </w:pPr>
      <w:bookmarkStart w:id="25" w:name="_Toc362250704"/>
      <w:bookmarkEnd w:id="25"/>
      <w:bookmarkStart w:id="26" w:name="_Toc274303252"/>
      <w:bookmarkEnd w:id="26"/>
      <w:bookmarkStart w:id="27" w:name="_Toc24763"/>
      <w:bookmarkStart w:id="28" w:name="_Toc13194"/>
      <w:r>
        <w:rPr>
          <w:rFonts w:ascii="Times New Roman" w:hAnsi="Times New Roman" w:eastAsia="宋体"/>
          <w:color w:val="auto"/>
          <w:sz w:val="24"/>
          <w:szCs w:val="22"/>
        </w:rPr>
        <w:t>一、开标</w:t>
      </w:r>
      <w:bookmarkEnd w:id="27"/>
      <w:bookmarkEnd w:id="28"/>
    </w:p>
    <w:p>
      <w:pPr>
        <w:spacing w:line="360" w:lineRule="auto"/>
        <w:ind w:firstLine="440" w:firstLineChars="200"/>
        <w:rPr>
          <w:color w:val="auto"/>
          <w:sz w:val="22"/>
          <w:szCs w:val="22"/>
        </w:rPr>
      </w:pPr>
      <w:bookmarkStart w:id="29" w:name="_Toc226973002"/>
      <w:bookmarkEnd w:id="29"/>
      <w:bookmarkStart w:id="30" w:name="_Toc274303253"/>
      <w:bookmarkEnd w:id="30"/>
      <w:bookmarkStart w:id="31" w:name="_Toc362250705"/>
      <w:bookmarkEnd w:id="31"/>
      <w:bookmarkStart w:id="32" w:name="_Toc263090375"/>
      <w:bookmarkEnd w:id="32"/>
      <w:bookmarkStart w:id="33" w:name="_Toc261519847"/>
      <w:bookmarkEnd w:id="33"/>
      <w:r>
        <w:rPr>
          <w:color w:val="auto"/>
          <w:sz w:val="22"/>
          <w:szCs w:val="22"/>
        </w:rPr>
        <w:t>1、本项目实行电子开评标，投标方无需前往开评标现场，只需在规定时间内在“政采云”平台上上传电子投标文件。</w:t>
      </w:r>
    </w:p>
    <w:p>
      <w:pPr>
        <w:spacing w:line="360" w:lineRule="auto"/>
        <w:ind w:firstLine="440" w:firstLineChars="200"/>
        <w:rPr>
          <w:color w:val="auto"/>
          <w:sz w:val="22"/>
          <w:szCs w:val="22"/>
        </w:rPr>
      </w:pPr>
      <w:r>
        <w:rPr>
          <w:color w:val="auto"/>
          <w:sz w:val="22"/>
          <w:szCs w:val="22"/>
        </w:rPr>
        <w:t>2、电子开评标及评审程序</w:t>
      </w:r>
    </w:p>
    <w:p>
      <w:pPr>
        <w:spacing w:line="360" w:lineRule="auto"/>
        <w:ind w:firstLine="442" w:firstLineChars="200"/>
        <w:rPr>
          <w:b/>
          <w:color w:val="auto"/>
          <w:sz w:val="22"/>
          <w:szCs w:val="22"/>
        </w:rPr>
      </w:pPr>
      <w:r>
        <w:rPr>
          <w:b/>
          <w:color w:val="auto"/>
          <w:sz w:val="22"/>
          <w:szCs w:val="22"/>
        </w:rPr>
        <w:t>2.1投标截止时间后的1小时内，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w:t>
      </w:r>
      <w:r>
        <w:rPr>
          <w:rFonts w:hint="eastAsia"/>
          <w:b/>
          <w:color w:val="auto"/>
          <w:sz w:val="22"/>
          <w:szCs w:val="22"/>
        </w:rPr>
        <w:t>意外</w:t>
      </w:r>
      <w:r>
        <w:rPr>
          <w:b/>
          <w:color w:val="auto"/>
          <w:sz w:val="22"/>
          <w:szCs w:val="22"/>
        </w:rPr>
        <w:t xml:space="preserve">，建议全程由一台电脑进行操作（包括标书制作、上传、解密等），中途不要更换电脑； </w:t>
      </w:r>
    </w:p>
    <w:p>
      <w:pPr>
        <w:spacing w:line="360" w:lineRule="auto"/>
        <w:ind w:firstLine="440" w:firstLineChars="200"/>
        <w:rPr>
          <w:color w:val="auto"/>
          <w:sz w:val="22"/>
          <w:szCs w:val="22"/>
        </w:rPr>
      </w:pPr>
      <w:r>
        <w:rPr>
          <w:color w:val="auto"/>
          <w:sz w:val="22"/>
          <w:szCs w:val="22"/>
        </w:rPr>
        <w:t>2.2.评标委员会对投标方的资格和商务技术响应文件进行评审；</w:t>
      </w:r>
    </w:p>
    <w:p>
      <w:pPr>
        <w:spacing w:line="360" w:lineRule="auto"/>
        <w:ind w:firstLine="440" w:firstLineChars="200"/>
        <w:rPr>
          <w:color w:val="auto"/>
          <w:sz w:val="22"/>
          <w:szCs w:val="22"/>
        </w:rPr>
      </w:pPr>
      <w:r>
        <w:rPr>
          <w:color w:val="auto"/>
          <w:sz w:val="22"/>
          <w:szCs w:val="22"/>
        </w:rPr>
        <w:t>2.3评标委员会对报价情况进行评审；</w:t>
      </w:r>
    </w:p>
    <w:p>
      <w:pPr>
        <w:spacing w:line="360" w:lineRule="auto"/>
        <w:ind w:firstLine="440" w:firstLineChars="200"/>
        <w:rPr>
          <w:color w:val="auto"/>
          <w:sz w:val="22"/>
          <w:szCs w:val="22"/>
        </w:rPr>
      </w:pPr>
      <w:r>
        <w:rPr>
          <w:color w:val="auto"/>
          <w:sz w:val="22"/>
          <w:szCs w:val="22"/>
        </w:rPr>
        <w:t>2.4在系统上公布评审结果。</w:t>
      </w:r>
    </w:p>
    <w:p>
      <w:pPr>
        <w:spacing w:line="360" w:lineRule="auto"/>
        <w:ind w:firstLine="442" w:firstLineChars="200"/>
        <w:rPr>
          <w:b/>
          <w:color w:val="auto"/>
          <w:sz w:val="22"/>
          <w:szCs w:val="22"/>
          <w:u w:val="single"/>
        </w:rPr>
      </w:pPr>
      <w:r>
        <w:rPr>
          <w:b/>
          <w:color w:val="auto"/>
          <w:sz w:val="22"/>
          <w:szCs w:val="22"/>
          <w:u w:val="single"/>
        </w:rPr>
        <w:t>特别说明：政采云公司如对电子化开标及评审程序有调整的，按调整后的程序操作。</w:t>
      </w:r>
    </w:p>
    <w:p>
      <w:pPr>
        <w:pStyle w:val="3"/>
        <w:numPr>
          <w:ilvl w:val="1"/>
          <w:numId w:val="4"/>
        </w:numPr>
        <w:spacing w:before="0" w:after="0" w:line="360" w:lineRule="auto"/>
        <w:jc w:val="left"/>
        <w:rPr>
          <w:rFonts w:ascii="Times New Roman" w:hAnsi="Times New Roman" w:eastAsia="宋体"/>
          <w:color w:val="auto"/>
          <w:sz w:val="24"/>
          <w:szCs w:val="22"/>
        </w:rPr>
      </w:pPr>
      <w:bookmarkStart w:id="34" w:name="_Toc19177"/>
      <w:bookmarkStart w:id="35" w:name="_Toc24524"/>
      <w:r>
        <w:rPr>
          <w:rFonts w:ascii="Times New Roman" w:hAnsi="Times New Roman" w:eastAsia="宋体"/>
          <w:color w:val="auto"/>
          <w:sz w:val="24"/>
          <w:szCs w:val="22"/>
        </w:rPr>
        <w:t>二、评标</w:t>
      </w:r>
      <w:bookmarkEnd w:id="34"/>
      <w:bookmarkEnd w:id="35"/>
    </w:p>
    <w:p>
      <w:pPr>
        <w:spacing w:line="360" w:lineRule="auto"/>
        <w:ind w:firstLine="480"/>
        <w:rPr>
          <w:b/>
          <w:color w:val="auto"/>
          <w:sz w:val="22"/>
          <w:szCs w:val="22"/>
        </w:rPr>
      </w:pPr>
      <w:r>
        <w:rPr>
          <w:b/>
          <w:color w:val="auto"/>
          <w:sz w:val="22"/>
          <w:szCs w:val="22"/>
        </w:rPr>
        <w:t>3、评标小组</w:t>
      </w:r>
    </w:p>
    <w:p>
      <w:pPr>
        <w:spacing w:line="360" w:lineRule="auto"/>
        <w:ind w:firstLine="440" w:firstLineChars="200"/>
        <w:rPr>
          <w:color w:val="auto"/>
          <w:sz w:val="22"/>
          <w:szCs w:val="22"/>
        </w:rPr>
      </w:pPr>
      <w:r>
        <w:rPr>
          <w:color w:val="auto"/>
          <w:sz w:val="22"/>
          <w:szCs w:val="22"/>
        </w:rPr>
        <w:t>招标方将根据招标采购项目的特点确定评标委员会（即评标小组）。其成员由评审专家和采购人代表5人及以上单数组成。评标小组对投标文件进行审查、质疑、评估和比较。</w:t>
      </w:r>
    </w:p>
    <w:p>
      <w:pPr>
        <w:spacing w:line="360" w:lineRule="auto"/>
        <w:ind w:firstLine="480"/>
        <w:rPr>
          <w:b/>
          <w:color w:val="auto"/>
          <w:sz w:val="22"/>
          <w:szCs w:val="22"/>
        </w:rPr>
      </w:pPr>
      <w:r>
        <w:rPr>
          <w:b/>
          <w:color w:val="auto"/>
          <w:sz w:val="22"/>
          <w:szCs w:val="22"/>
        </w:rPr>
        <w:t>4、评标原则</w:t>
      </w:r>
    </w:p>
    <w:p>
      <w:pPr>
        <w:spacing w:line="360" w:lineRule="auto"/>
        <w:ind w:firstLine="440" w:firstLineChars="200"/>
        <w:rPr>
          <w:color w:val="auto"/>
          <w:sz w:val="22"/>
          <w:szCs w:val="22"/>
        </w:rPr>
      </w:pPr>
      <w:r>
        <w:rPr>
          <w:color w:val="auto"/>
          <w:sz w:val="22"/>
          <w:szCs w:val="22"/>
        </w:rPr>
        <w:t>4.1评标小组将遵循公开、公平、公正的原则，严格遵守评标工作纪律。</w:t>
      </w:r>
    </w:p>
    <w:p>
      <w:pPr>
        <w:spacing w:line="360" w:lineRule="auto"/>
        <w:ind w:firstLine="440" w:firstLineChars="200"/>
        <w:rPr>
          <w:color w:val="auto"/>
          <w:sz w:val="22"/>
          <w:szCs w:val="22"/>
        </w:rPr>
      </w:pPr>
      <w:r>
        <w:rPr>
          <w:color w:val="auto"/>
          <w:sz w:val="22"/>
          <w:szCs w:val="22"/>
        </w:rPr>
        <w:t>4.2先评资格及商务技术标，再评报价标。</w:t>
      </w:r>
    </w:p>
    <w:p>
      <w:pPr>
        <w:spacing w:line="360" w:lineRule="auto"/>
        <w:ind w:firstLine="440" w:firstLineChars="200"/>
        <w:rPr>
          <w:color w:val="auto"/>
          <w:sz w:val="22"/>
          <w:szCs w:val="22"/>
        </w:rPr>
      </w:pPr>
      <w:r>
        <w:rPr>
          <w:color w:val="auto"/>
          <w:sz w:val="22"/>
          <w:szCs w:val="22"/>
        </w:rPr>
        <w:t>4.3客观公正对待所有投标人，对所有投标评审均采用相同的程序和标准。评标的依据为招标文件和投标文件。</w:t>
      </w:r>
    </w:p>
    <w:p>
      <w:pPr>
        <w:spacing w:line="360" w:lineRule="auto"/>
        <w:ind w:firstLine="440" w:firstLineChars="200"/>
        <w:rPr>
          <w:color w:val="auto"/>
          <w:sz w:val="22"/>
          <w:szCs w:val="22"/>
        </w:rPr>
      </w:pPr>
      <w:r>
        <w:rPr>
          <w:color w:val="auto"/>
          <w:sz w:val="22"/>
          <w:szCs w:val="22"/>
        </w:rPr>
        <w:t>4.4异常或特殊情况处理：</w:t>
      </w:r>
    </w:p>
    <w:p>
      <w:pPr>
        <w:spacing w:line="360" w:lineRule="auto"/>
        <w:ind w:firstLine="440" w:firstLineChars="200"/>
        <w:rPr>
          <w:color w:val="auto"/>
          <w:sz w:val="22"/>
          <w:szCs w:val="22"/>
        </w:rPr>
      </w:pPr>
      <w:r>
        <w:rPr>
          <w:color w:val="auto"/>
          <w:sz w:val="22"/>
          <w:szCs w:val="22"/>
        </w:rPr>
        <w:t>4.4.1在评标过程中，出现以下情况的，经评标委员讨论作出处理意见，并在征得所有供应商同意后可以继续进行招标活动，如有供应商不同意，则本项目招标作废标处理。招标文件中的实质性内容或评审标准有不一致的（招标文件中</w:t>
      </w:r>
      <w:r>
        <w:rPr>
          <w:rFonts w:hint="eastAsia"/>
          <w:color w:val="auto"/>
          <w:sz w:val="22"/>
          <w:szCs w:val="22"/>
        </w:rPr>
        <w:t>其他</w:t>
      </w:r>
      <w:r>
        <w:rPr>
          <w:color w:val="auto"/>
          <w:sz w:val="22"/>
          <w:szCs w:val="22"/>
        </w:rPr>
        <w:t>地方规定有处理方法的除外）。</w:t>
      </w:r>
    </w:p>
    <w:p>
      <w:pPr>
        <w:spacing w:line="360" w:lineRule="auto"/>
        <w:ind w:firstLine="440" w:firstLineChars="200"/>
        <w:rPr>
          <w:color w:val="auto"/>
          <w:sz w:val="22"/>
          <w:szCs w:val="22"/>
        </w:rPr>
      </w:pPr>
      <w:r>
        <w:rPr>
          <w:color w:val="auto"/>
          <w:sz w:val="22"/>
          <w:szCs w:val="22"/>
        </w:rPr>
        <w:t>4.4.2在评标过程中，出现</w:t>
      </w:r>
      <w:r>
        <w:rPr>
          <w:rFonts w:hint="eastAsia"/>
          <w:color w:val="auto"/>
          <w:sz w:val="22"/>
          <w:szCs w:val="22"/>
        </w:rPr>
        <w:t>其他异常</w:t>
      </w:r>
      <w:r>
        <w:rPr>
          <w:color w:val="auto"/>
          <w:sz w:val="22"/>
          <w:szCs w:val="22"/>
        </w:rPr>
        <w:t>或特殊情况时，由评标小组集体讨论决定。</w:t>
      </w:r>
    </w:p>
    <w:p>
      <w:pPr>
        <w:spacing w:line="360" w:lineRule="auto"/>
        <w:ind w:firstLine="480"/>
        <w:rPr>
          <w:b/>
          <w:color w:val="auto"/>
          <w:sz w:val="22"/>
          <w:szCs w:val="22"/>
        </w:rPr>
      </w:pPr>
      <w:r>
        <w:rPr>
          <w:b/>
          <w:color w:val="auto"/>
          <w:sz w:val="22"/>
          <w:szCs w:val="22"/>
        </w:rPr>
        <w:t>4.5供应商的认定</w:t>
      </w:r>
    </w:p>
    <w:p>
      <w:pPr>
        <w:spacing w:line="360" w:lineRule="auto"/>
        <w:ind w:firstLine="440" w:firstLineChars="200"/>
        <w:rPr>
          <w:color w:val="auto"/>
          <w:sz w:val="22"/>
          <w:szCs w:val="22"/>
        </w:rPr>
      </w:pPr>
      <w:r>
        <w:rPr>
          <w:color w:val="auto"/>
          <w:sz w:val="22"/>
          <w:szCs w:val="22"/>
        </w:rPr>
        <w:t>不同供应商之间单位负责人（法定代表人）为同一人或者存在直接控股、管理关系的不同供应商，不得参加同一合同项下的政府采购活动。</w:t>
      </w:r>
    </w:p>
    <w:p>
      <w:pPr>
        <w:pStyle w:val="27"/>
        <w:spacing w:line="360" w:lineRule="auto"/>
        <w:ind w:firstLine="442" w:firstLineChars="200"/>
        <w:rPr>
          <w:rFonts w:ascii="Times New Roman" w:hAnsi="Times New Roman"/>
          <w:color w:val="auto"/>
          <w:sz w:val="22"/>
          <w:szCs w:val="22"/>
        </w:rPr>
      </w:pPr>
      <w:r>
        <w:rPr>
          <w:rFonts w:ascii="Times New Roman" w:hAnsi="Times New Roman"/>
          <w:b/>
          <w:color w:val="auto"/>
          <w:sz w:val="22"/>
          <w:szCs w:val="22"/>
        </w:rPr>
        <w:t>5、评标过程的保密</w:t>
      </w:r>
    </w:p>
    <w:p>
      <w:pPr>
        <w:spacing w:line="360" w:lineRule="auto"/>
        <w:ind w:firstLine="440" w:firstLineChars="200"/>
        <w:rPr>
          <w:color w:val="auto"/>
          <w:sz w:val="22"/>
          <w:szCs w:val="22"/>
        </w:rPr>
      </w:pPr>
      <w:r>
        <w:rPr>
          <w:color w:val="auto"/>
          <w:sz w:val="22"/>
          <w:szCs w:val="22"/>
        </w:rPr>
        <w:t>5.1开标后，直至授予中标人合同为止，凡属于对投标文件的审查、澄清、评价和比较等有关的资料以及中标候选人的推荐情况等与评标有关的任何情况均严格保密。</w:t>
      </w:r>
    </w:p>
    <w:p>
      <w:pPr>
        <w:spacing w:line="360" w:lineRule="auto"/>
        <w:ind w:firstLine="440" w:firstLineChars="200"/>
        <w:rPr>
          <w:color w:val="auto"/>
          <w:sz w:val="22"/>
          <w:szCs w:val="22"/>
        </w:rPr>
      </w:pPr>
      <w:r>
        <w:rPr>
          <w:color w:val="auto"/>
          <w:sz w:val="22"/>
          <w:szCs w:val="22"/>
        </w:rPr>
        <w:t>5.2在投标文件的评审和比较、中标候选人推荐以及授予合同的过程中，投标人向采购人和评标小组施加影响的任何行为，都将会导致其投标被拒绝。</w:t>
      </w:r>
    </w:p>
    <w:p>
      <w:pPr>
        <w:spacing w:line="360" w:lineRule="auto"/>
        <w:ind w:firstLine="440" w:firstLineChars="200"/>
        <w:rPr>
          <w:color w:val="auto"/>
          <w:sz w:val="22"/>
          <w:szCs w:val="22"/>
        </w:rPr>
      </w:pPr>
      <w:r>
        <w:rPr>
          <w:color w:val="auto"/>
          <w:sz w:val="22"/>
          <w:szCs w:val="22"/>
        </w:rPr>
        <w:t>5.3中标人确认后，采购人不对未中标人就评标过程以及未能中标原因作出任何解释。未中标人不得向评标小组人员或其他有关人员索问评标过程的全部情况。</w:t>
      </w:r>
    </w:p>
    <w:p>
      <w:pPr>
        <w:spacing w:line="360" w:lineRule="auto"/>
        <w:ind w:firstLine="440" w:firstLineChars="200"/>
        <w:rPr>
          <w:color w:val="auto"/>
          <w:sz w:val="22"/>
          <w:szCs w:val="22"/>
        </w:rPr>
      </w:pPr>
      <w:r>
        <w:rPr>
          <w:color w:val="auto"/>
          <w:sz w:val="22"/>
          <w:szCs w:val="22"/>
        </w:rPr>
        <w:t>5.4为保证定标的公正性，在评标过程中，评标成员不得与投标人私人交换意见。在招标工作结束后，凡与评标情况有接触的任何人不得也不应将评标情况扩散出评标成员之外。</w:t>
      </w:r>
    </w:p>
    <w:p>
      <w:pPr>
        <w:spacing w:line="360" w:lineRule="auto"/>
        <w:ind w:firstLine="440" w:firstLineChars="200"/>
        <w:rPr>
          <w:color w:val="auto"/>
          <w:sz w:val="22"/>
          <w:szCs w:val="22"/>
        </w:rPr>
      </w:pPr>
      <w:r>
        <w:rPr>
          <w:color w:val="auto"/>
          <w:sz w:val="22"/>
          <w:szCs w:val="22"/>
        </w:rPr>
        <w:t>5.5评标小组不向落标方解释落标原因，不退还投标文件。</w:t>
      </w:r>
    </w:p>
    <w:p>
      <w:pPr>
        <w:adjustRightInd w:val="0"/>
        <w:snapToGrid w:val="0"/>
        <w:spacing w:line="360" w:lineRule="auto"/>
        <w:ind w:firstLine="433" w:firstLineChars="196"/>
        <w:rPr>
          <w:b/>
          <w:color w:val="auto"/>
          <w:sz w:val="22"/>
          <w:szCs w:val="22"/>
        </w:rPr>
      </w:pPr>
      <w:r>
        <w:rPr>
          <w:b/>
          <w:color w:val="auto"/>
          <w:sz w:val="22"/>
          <w:szCs w:val="22"/>
        </w:rPr>
        <w:t>6、投标文件的澄清</w:t>
      </w:r>
    </w:p>
    <w:p>
      <w:pPr>
        <w:spacing w:line="360" w:lineRule="auto"/>
        <w:ind w:firstLine="440" w:firstLineChars="200"/>
        <w:rPr>
          <w:color w:val="auto"/>
          <w:sz w:val="22"/>
          <w:szCs w:val="22"/>
        </w:rPr>
      </w:pPr>
      <w:r>
        <w:rPr>
          <w:color w:val="auto"/>
          <w:sz w:val="22"/>
          <w:szCs w:val="22"/>
        </w:rPr>
        <w:t>6.1为有助于投标文件的审查、评价和比较，评标小组可以在“政采云”平台在线询标或其他有效形式要求投标人对同一份投标文件含义不明确或同类问题表述不一致的内容（招标文件</w:t>
      </w:r>
      <w:r>
        <w:rPr>
          <w:rFonts w:hint="eastAsia"/>
          <w:color w:val="auto"/>
          <w:sz w:val="22"/>
          <w:szCs w:val="22"/>
        </w:rPr>
        <w:t>其他</w:t>
      </w:r>
      <w:r>
        <w:rPr>
          <w:color w:val="auto"/>
          <w:sz w:val="22"/>
          <w:szCs w:val="22"/>
        </w:rPr>
        <w:t>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pPr>
        <w:spacing w:line="360" w:lineRule="auto"/>
        <w:ind w:firstLine="440" w:firstLineChars="200"/>
        <w:rPr>
          <w:color w:val="auto"/>
          <w:sz w:val="22"/>
          <w:szCs w:val="22"/>
        </w:rPr>
      </w:pPr>
      <w:r>
        <w:rPr>
          <w:color w:val="auto"/>
          <w:sz w:val="22"/>
          <w:szCs w:val="22"/>
        </w:rPr>
        <w:t>6.2如果投标方代表拒绝按评标委员会要求在“政采云”平台作出在线回复且无其他有效回复方式的，评标委员会可以对其作出无效标处理。</w:t>
      </w:r>
    </w:p>
    <w:p>
      <w:pPr>
        <w:adjustRightInd w:val="0"/>
        <w:snapToGrid w:val="0"/>
        <w:spacing w:line="360" w:lineRule="auto"/>
        <w:ind w:firstLine="440" w:firstLineChars="200"/>
        <w:rPr>
          <w:color w:val="auto"/>
          <w:sz w:val="22"/>
          <w:szCs w:val="22"/>
        </w:rPr>
      </w:pPr>
      <w:r>
        <w:rPr>
          <w:color w:val="auto"/>
          <w:sz w:val="22"/>
          <w:szCs w:val="22"/>
        </w:rPr>
        <w:t>7、</w:t>
      </w:r>
      <w:r>
        <w:rPr>
          <w:b/>
          <w:color w:val="auto"/>
          <w:sz w:val="22"/>
          <w:szCs w:val="22"/>
        </w:rPr>
        <w:t>投标文件的资格性和符合性评审</w:t>
      </w:r>
    </w:p>
    <w:p>
      <w:pPr>
        <w:spacing w:line="360" w:lineRule="auto"/>
        <w:ind w:firstLine="440" w:firstLineChars="200"/>
        <w:rPr>
          <w:color w:val="auto"/>
          <w:sz w:val="22"/>
          <w:szCs w:val="22"/>
        </w:rPr>
      </w:pPr>
      <w:r>
        <w:rPr>
          <w:color w:val="auto"/>
          <w:sz w:val="22"/>
          <w:szCs w:val="22"/>
        </w:rPr>
        <w:t>7.1评标时，评标小组将首先评定每份投标文件是否在实质上响应了招标文件的要求。所谓实质上响应，是指投标文件应与招标文件的所有实质性条款、条件和要求相符，无显著差异或保留，</w:t>
      </w:r>
    </w:p>
    <w:p>
      <w:pPr>
        <w:spacing w:line="360" w:lineRule="auto"/>
        <w:ind w:firstLine="440" w:firstLineChars="200"/>
        <w:rPr>
          <w:color w:val="auto"/>
          <w:sz w:val="22"/>
          <w:szCs w:val="22"/>
        </w:rPr>
      </w:pPr>
      <w:r>
        <w:rPr>
          <w:color w:val="auto"/>
          <w:sz w:val="22"/>
          <w:szCs w:val="22"/>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adjustRightInd w:val="0"/>
        <w:snapToGrid w:val="0"/>
        <w:spacing w:line="360" w:lineRule="auto"/>
        <w:ind w:firstLine="442" w:firstLineChars="200"/>
        <w:rPr>
          <w:b/>
          <w:color w:val="auto"/>
          <w:sz w:val="22"/>
          <w:szCs w:val="22"/>
        </w:rPr>
      </w:pPr>
      <w:r>
        <w:rPr>
          <w:b/>
          <w:color w:val="auto"/>
          <w:sz w:val="22"/>
          <w:szCs w:val="22"/>
        </w:rPr>
        <w:t>7.3评标小组在作出任何一项无效标决定前，都应当严格遵循以下程序：</w:t>
      </w:r>
    </w:p>
    <w:p>
      <w:pPr>
        <w:spacing w:line="360" w:lineRule="auto"/>
        <w:ind w:firstLine="440" w:firstLineChars="200"/>
        <w:rPr>
          <w:color w:val="auto"/>
          <w:sz w:val="22"/>
          <w:szCs w:val="22"/>
        </w:rPr>
      </w:pPr>
      <w:r>
        <w:rPr>
          <w:color w:val="auto"/>
          <w:sz w:val="22"/>
          <w:szCs w:val="22"/>
        </w:rPr>
        <w:t>7.3.1要求当事投标人</w:t>
      </w:r>
      <w:r>
        <w:rPr>
          <w:rFonts w:hint="eastAsia"/>
          <w:color w:val="auto"/>
          <w:sz w:val="22"/>
          <w:szCs w:val="22"/>
        </w:rPr>
        <w:t>做</w:t>
      </w:r>
      <w:r>
        <w:rPr>
          <w:color w:val="auto"/>
          <w:sz w:val="22"/>
          <w:szCs w:val="22"/>
        </w:rPr>
        <w:t>相应的答辩</w:t>
      </w:r>
    </w:p>
    <w:p>
      <w:pPr>
        <w:spacing w:line="360" w:lineRule="auto"/>
        <w:ind w:firstLine="440" w:firstLineChars="200"/>
        <w:rPr>
          <w:color w:val="auto"/>
          <w:sz w:val="22"/>
          <w:szCs w:val="22"/>
        </w:rPr>
      </w:pPr>
      <w:r>
        <w:rPr>
          <w:color w:val="auto"/>
          <w:sz w:val="22"/>
          <w:szCs w:val="22"/>
        </w:rPr>
        <w:t>7.3.2在充分讨论的基础上集体表决</w:t>
      </w:r>
    </w:p>
    <w:p>
      <w:pPr>
        <w:pStyle w:val="27"/>
        <w:spacing w:line="360" w:lineRule="auto"/>
        <w:ind w:firstLine="482"/>
        <w:rPr>
          <w:rFonts w:ascii="Times New Roman" w:hAnsi="Times New Roman"/>
          <w:b/>
          <w:color w:val="auto"/>
          <w:sz w:val="22"/>
          <w:szCs w:val="22"/>
        </w:rPr>
      </w:pPr>
      <w:r>
        <w:rPr>
          <w:rFonts w:ascii="Times New Roman" w:hAnsi="Times New Roman"/>
          <w:b/>
          <w:color w:val="auto"/>
          <w:sz w:val="22"/>
          <w:szCs w:val="22"/>
        </w:rPr>
        <w:t>8、投标文件</w:t>
      </w:r>
      <w:r>
        <w:rPr>
          <w:rFonts w:ascii="Times New Roman" w:hAnsi="Times New Roman"/>
          <w:b/>
          <w:color w:val="auto"/>
          <w:sz w:val="22"/>
          <w:szCs w:val="22"/>
          <w:u w:val="single"/>
        </w:rPr>
        <w:t>计算错误和不同文字文本</w:t>
      </w:r>
      <w:r>
        <w:rPr>
          <w:rFonts w:ascii="Times New Roman" w:hAnsi="Times New Roman"/>
          <w:b/>
          <w:color w:val="auto"/>
          <w:sz w:val="22"/>
          <w:szCs w:val="22"/>
        </w:rPr>
        <w:t>的修正</w:t>
      </w:r>
    </w:p>
    <w:p>
      <w:pPr>
        <w:pStyle w:val="27"/>
        <w:spacing w:line="360" w:lineRule="auto"/>
        <w:ind w:firstLine="482"/>
        <w:rPr>
          <w:rFonts w:ascii="Times New Roman" w:hAnsi="Times New Roman"/>
          <w:color w:val="auto"/>
          <w:sz w:val="22"/>
          <w:szCs w:val="22"/>
        </w:rPr>
      </w:pPr>
      <w:r>
        <w:rPr>
          <w:rFonts w:ascii="Times New Roman" w:hAnsi="Times New Roman"/>
          <w:color w:val="auto"/>
          <w:sz w:val="22"/>
          <w:szCs w:val="22"/>
        </w:rPr>
        <w:t>8.1修正原则如下：</w:t>
      </w:r>
    </w:p>
    <w:p>
      <w:pPr>
        <w:pStyle w:val="27"/>
        <w:spacing w:line="360" w:lineRule="auto"/>
        <w:ind w:firstLine="482"/>
        <w:rPr>
          <w:rFonts w:ascii="Times New Roman" w:hAnsi="Times New Roman"/>
          <w:color w:val="auto"/>
          <w:sz w:val="22"/>
          <w:szCs w:val="22"/>
        </w:rPr>
      </w:pPr>
      <w:r>
        <w:rPr>
          <w:rFonts w:ascii="Times New Roman" w:hAnsi="Times New Roman"/>
          <w:color w:val="auto"/>
          <w:sz w:val="22"/>
          <w:szCs w:val="22"/>
        </w:rPr>
        <w:t>8.1.1《报价</w:t>
      </w:r>
      <w:r>
        <w:rPr>
          <w:rFonts w:ascii="Times New Roman" w:hAnsi="Times New Roman"/>
          <w:b/>
          <w:color w:val="auto"/>
          <w:sz w:val="22"/>
          <w:szCs w:val="22"/>
        </w:rPr>
        <w:t>（开标）</w:t>
      </w:r>
      <w:r>
        <w:rPr>
          <w:rFonts w:ascii="Times New Roman" w:hAnsi="Times New Roman"/>
          <w:color w:val="auto"/>
          <w:sz w:val="22"/>
          <w:szCs w:val="22"/>
        </w:rPr>
        <w:t>一览表》内容与</w:t>
      </w:r>
      <w:r>
        <w:rPr>
          <w:rFonts w:ascii="Times New Roman" w:hAnsi="Times New Roman"/>
          <w:b/>
          <w:color w:val="auto"/>
          <w:sz w:val="22"/>
          <w:szCs w:val="22"/>
        </w:rPr>
        <w:t>《分项报价表》</w:t>
      </w:r>
      <w:r>
        <w:rPr>
          <w:rFonts w:ascii="Times New Roman" w:hAnsi="Times New Roman"/>
          <w:color w:val="auto"/>
          <w:sz w:val="22"/>
          <w:szCs w:val="22"/>
        </w:rPr>
        <w:t>内容不一致的，以《报价</w:t>
      </w:r>
      <w:r>
        <w:rPr>
          <w:rFonts w:ascii="Times New Roman" w:hAnsi="Times New Roman"/>
          <w:b/>
          <w:color w:val="auto"/>
          <w:sz w:val="22"/>
          <w:szCs w:val="22"/>
        </w:rPr>
        <w:t>（开标）</w:t>
      </w:r>
      <w:r>
        <w:rPr>
          <w:rFonts w:ascii="Times New Roman" w:hAnsi="Times New Roman"/>
          <w:color w:val="auto"/>
          <w:sz w:val="22"/>
          <w:szCs w:val="22"/>
        </w:rPr>
        <w:t>一览表》为准。</w:t>
      </w:r>
    </w:p>
    <w:p>
      <w:pPr>
        <w:pStyle w:val="27"/>
        <w:spacing w:line="360" w:lineRule="auto"/>
        <w:ind w:firstLine="482"/>
        <w:rPr>
          <w:rFonts w:ascii="Times New Roman" w:hAnsi="Times New Roman"/>
          <w:color w:val="auto"/>
          <w:sz w:val="22"/>
          <w:szCs w:val="22"/>
        </w:rPr>
      </w:pPr>
      <w:r>
        <w:rPr>
          <w:rFonts w:ascii="Times New Roman" w:hAnsi="Times New Roman"/>
          <w:color w:val="auto"/>
          <w:sz w:val="22"/>
          <w:szCs w:val="22"/>
        </w:rPr>
        <w:t>8.1.2投标文件的大写金额和小写金额不一致的，以大写金额为准。</w:t>
      </w:r>
    </w:p>
    <w:p>
      <w:pPr>
        <w:pStyle w:val="27"/>
        <w:spacing w:line="360" w:lineRule="auto"/>
        <w:ind w:firstLine="482"/>
        <w:rPr>
          <w:rFonts w:ascii="Times New Roman" w:hAnsi="Times New Roman"/>
          <w:color w:val="auto"/>
          <w:sz w:val="22"/>
          <w:szCs w:val="22"/>
        </w:rPr>
      </w:pPr>
      <w:r>
        <w:rPr>
          <w:rFonts w:ascii="Times New Roman" w:hAnsi="Times New Roman"/>
          <w:color w:val="auto"/>
          <w:sz w:val="22"/>
          <w:szCs w:val="22"/>
        </w:rPr>
        <w:t>8.1.3总价金额与按单价汇总金额不一致的，以单价汇总金额计算结果为准。</w:t>
      </w:r>
    </w:p>
    <w:p>
      <w:pPr>
        <w:pStyle w:val="27"/>
        <w:spacing w:line="360" w:lineRule="auto"/>
        <w:ind w:firstLine="482"/>
        <w:rPr>
          <w:rFonts w:ascii="Times New Roman" w:hAnsi="Times New Roman"/>
          <w:color w:val="auto"/>
          <w:sz w:val="22"/>
          <w:szCs w:val="22"/>
        </w:rPr>
      </w:pPr>
      <w:r>
        <w:rPr>
          <w:rFonts w:ascii="Times New Roman" w:hAnsi="Times New Roman"/>
          <w:color w:val="auto"/>
          <w:sz w:val="22"/>
          <w:szCs w:val="22"/>
        </w:rPr>
        <w:t>8.1.4当单价与数量的乘积与合价不一致时，以单价为准，除非评标小组认为单价金额小数点有明显错误的，此时应以总价为准，并修改单价。</w:t>
      </w:r>
    </w:p>
    <w:p>
      <w:pPr>
        <w:pStyle w:val="27"/>
        <w:spacing w:line="360" w:lineRule="auto"/>
        <w:ind w:firstLine="482"/>
        <w:rPr>
          <w:rFonts w:ascii="Times New Roman" w:hAnsi="Times New Roman"/>
          <w:color w:val="auto"/>
          <w:sz w:val="22"/>
          <w:szCs w:val="22"/>
        </w:rPr>
      </w:pPr>
      <w:r>
        <w:rPr>
          <w:rFonts w:ascii="Times New Roman" w:hAnsi="Times New Roman"/>
          <w:color w:val="auto"/>
          <w:sz w:val="22"/>
          <w:szCs w:val="22"/>
        </w:rPr>
        <w:t>8.1.5对不同文字文本投标文件的解释发生</w:t>
      </w:r>
      <w:r>
        <w:rPr>
          <w:rFonts w:hint="eastAsia" w:ascii="Times New Roman" w:hAnsi="Times New Roman"/>
          <w:color w:val="auto"/>
          <w:sz w:val="22"/>
          <w:szCs w:val="22"/>
        </w:rPr>
        <w:t>异议</w:t>
      </w:r>
      <w:r>
        <w:rPr>
          <w:rFonts w:ascii="Times New Roman" w:hAnsi="Times New Roman"/>
          <w:color w:val="auto"/>
          <w:sz w:val="22"/>
          <w:szCs w:val="22"/>
        </w:rPr>
        <w:t>的，以中文文本为准。</w:t>
      </w:r>
    </w:p>
    <w:p>
      <w:pPr>
        <w:pStyle w:val="27"/>
        <w:spacing w:line="360" w:lineRule="auto"/>
        <w:ind w:firstLine="482"/>
        <w:rPr>
          <w:rFonts w:ascii="Times New Roman" w:hAnsi="Times New Roman"/>
          <w:color w:val="auto"/>
          <w:sz w:val="22"/>
          <w:szCs w:val="22"/>
        </w:rPr>
      </w:pPr>
      <w:r>
        <w:rPr>
          <w:rFonts w:ascii="Times New Roman" w:hAnsi="Times New Roman"/>
          <w:color w:val="auto"/>
          <w:sz w:val="22"/>
          <w:szCs w:val="22"/>
        </w:rPr>
        <w:t>8.1.6客户端填写的报价与以pdf格式上传文件中的报价不一致的，应以Pdf格式上传文件中的报价为准。</w:t>
      </w:r>
    </w:p>
    <w:p>
      <w:pPr>
        <w:spacing w:line="360" w:lineRule="auto"/>
        <w:ind w:firstLine="440" w:firstLineChars="200"/>
        <w:rPr>
          <w:color w:val="auto"/>
          <w:sz w:val="22"/>
          <w:szCs w:val="22"/>
        </w:rPr>
      </w:pPr>
      <w:r>
        <w:rPr>
          <w:color w:val="auto"/>
          <w:sz w:val="22"/>
          <w:szCs w:val="22"/>
        </w:rPr>
        <w:t>评标委员会可以拒绝接受不是中文版的投标文件以及与投标相关的资料。</w:t>
      </w:r>
    </w:p>
    <w:p>
      <w:pPr>
        <w:spacing w:line="360" w:lineRule="auto"/>
        <w:ind w:firstLine="440" w:firstLineChars="200"/>
        <w:rPr>
          <w:color w:val="auto"/>
          <w:sz w:val="22"/>
          <w:szCs w:val="22"/>
        </w:rPr>
      </w:pPr>
      <w:r>
        <w:rPr>
          <w:color w:val="auto"/>
          <w:sz w:val="22"/>
          <w:szCs w:val="22"/>
        </w:rPr>
        <w:t>8.2按上述修正错误的原则及方法调整或修正投标文件的投标报价，投标人同意后，调整后的投标报价对投标人起约束作用。如果投标人不接受修正后的报价，则其投标将被拒绝，并不影响评标工作。</w:t>
      </w:r>
    </w:p>
    <w:p>
      <w:pPr>
        <w:spacing w:line="360" w:lineRule="auto"/>
        <w:ind w:firstLine="442" w:firstLineChars="200"/>
        <w:rPr>
          <w:b/>
          <w:bCs/>
          <w:color w:val="auto"/>
          <w:sz w:val="22"/>
          <w:szCs w:val="22"/>
        </w:rPr>
      </w:pPr>
      <w:r>
        <w:rPr>
          <w:b/>
          <w:bCs/>
          <w:color w:val="auto"/>
          <w:sz w:val="22"/>
          <w:szCs w:val="22"/>
        </w:rPr>
        <w:t>9、评标办法</w:t>
      </w:r>
    </w:p>
    <w:p>
      <w:pPr>
        <w:spacing w:line="360" w:lineRule="auto"/>
        <w:ind w:firstLine="440" w:firstLineChars="200"/>
        <w:rPr>
          <w:color w:val="auto"/>
          <w:sz w:val="22"/>
          <w:szCs w:val="22"/>
        </w:rPr>
      </w:pPr>
      <w:r>
        <w:rPr>
          <w:color w:val="auto"/>
          <w:sz w:val="22"/>
          <w:szCs w:val="22"/>
        </w:rPr>
        <w:t>本项目采用综合评分法（具体评标办法见后）。</w:t>
      </w:r>
    </w:p>
    <w:p>
      <w:pPr>
        <w:spacing w:line="360" w:lineRule="auto"/>
        <w:ind w:firstLine="442" w:firstLineChars="200"/>
        <w:rPr>
          <w:b/>
          <w:bCs/>
          <w:color w:val="auto"/>
          <w:sz w:val="22"/>
          <w:szCs w:val="22"/>
        </w:rPr>
      </w:pPr>
      <w:r>
        <w:rPr>
          <w:b/>
          <w:bCs/>
          <w:color w:val="auto"/>
          <w:sz w:val="22"/>
          <w:szCs w:val="22"/>
        </w:rPr>
        <w:t>10、决标</w:t>
      </w:r>
    </w:p>
    <w:p>
      <w:pPr>
        <w:spacing w:line="360" w:lineRule="auto"/>
        <w:ind w:firstLine="440" w:firstLineChars="200"/>
        <w:rPr>
          <w:color w:val="auto"/>
          <w:sz w:val="22"/>
          <w:szCs w:val="22"/>
        </w:rPr>
      </w:pPr>
      <w:r>
        <w:rPr>
          <w:color w:val="auto"/>
          <w:sz w:val="22"/>
          <w:szCs w:val="22"/>
        </w:rPr>
        <w:t>评标小组依据本招标文件规定的评标标准和方法，对投标文件进行评审和比较，向招标方提出书面评标报告，并直接确定中标人。</w:t>
      </w:r>
    </w:p>
    <w:p>
      <w:pPr>
        <w:pStyle w:val="3"/>
        <w:numPr>
          <w:ilvl w:val="1"/>
          <w:numId w:val="4"/>
        </w:numPr>
        <w:spacing w:before="0" w:after="0" w:line="360" w:lineRule="auto"/>
        <w:jc w:val="left"/>
        <w:rPr>
          <w:rFonts w:ascii="Times New Roman" w:hAnsi="Times New Roman" w:eastAsia="宋体"/>
          <w:color w:val="auto"/>
          <w:sz w:val="24"/>
          <w:szCs w:val="22"/>
        </w:rPr>
      </w:pPr>
      <w:bookmarkStart w:id="36" w:name="_Toc30984"/>
      <w:bookmarkStart w:id="37" w:name="_Toc263090376"/>
      <w:bookmarkStart w:id="38" w:name="_Toc261519848"/>
      <w:bookmarkStart w:id="39" w:name="_Toc34950021"/>
      <w:bookmarkStart w:id="40" w:name="_Toc274303254"/>
      <w:bookmarkStart w:id="41" w:name="_Toc384297862"/>
      <w:bookmarkStart w:id="42" w:name="_Toc226973003"/>
      <w:bookmarkStart w:id="43" w:name="_Toc4236"/>
      <w:bookmarkStart w:id="44" w:name="_Toc406413939"/>
      <w:bookmarkStart w:id="45" w:name="_Toc362250706"/>
      <w:r>
        <w:rPr>
          <w:rFonts w:ascii="Times New Roman" w:hAnsi="Times New Roman" w:eastAsia="宋体"/>
          <w:color w:val="auto"/>
          <w:sz w:val="24"/>
          <w:szCs w:val="22"/>
        </w:rPr>
        <w:t>三、定标</w:t>
      </w:r>
      <w:bookmarkEnd w:id="36"/>
      <w:bookmarkEnd w:id="37"/>
      <w:bookmarkEnd w:id="38"/>
      <w:bookmarkEnd w:id="39"/>
      <w:bookmarkEnd w:id="40"/>
      <w:bookmarkEnd w:id="41"/>
      <w:bookmarkEnd w:id="42"/>
      <w:bookmarkEnd w:id="43"/>
      <w:bookmarkEnd w:id="44"/>
      <w:bookmarkEnd w:id="45"/>
    </w:p>
    <w:p>
      <w:pPr>
        <w:spacing w:line="360" w:lineRule="auto"/>
        <w:ind w:firstLine="442" w:firstLineChars="200"/>
        <w:rPr>
          <w:b/>
          <w:bCs/>
          <w:color w:val="auto"/>
          <w:sz w:val="22"/>
          <w:szCs w:val="22"/>
        </w:rPr>
      </w:pPr>
      <w:r>
        <w:rPr>
          <w:b/>
          <w:color w:val="auto"/>
          <w:sz w:val="22"/>
          <w:szCs w:val="22"/>
        </w:rPr>
        <w:t>11、</w:t>
      </w:r>
      <w:r>
        <w:rPr>
          <w:b/>
          <w:bCs/>
          <w:color w:val="auto"/>
          <w:sz w:val="22"/>
          <w:szCs w:val="22"/>
        </w:rPr>
        <w:t>中标通知</w:t>
      </w:r>
    </w:p>
    <w:p>
      <w:pPr>
        <w:spacing w:line="360" w:lineRule="auto"/>
        <w:ind w:firstLine="440" w:firstLineChars="200"/>
        <w:rPr>
          <w:color w:val="auto"/>
          <w:sz w:val="22"/>
          <w:szCs w:val="22"/>
        </w:rPr>
      </w:pPr>
      <w:r>
        <w:rPr>
          <w:color w:val="auto"/>
          <w:sz w:val="22"/>
          <w:szCs w:val="22"/>
        </w:rPr>
        <w:t>11.1</w:t>
      </w:r>
      <w:r>
        <w:rPr>
          <w:rFonts w:hint="eastAsia"/>
          <w:color w:val="auto"/>
          <w:sz w:val="22"/>
          <w:szCs w:val="22"/>
        </w:rPr>
        <w:t>中</w:t>
      </w:r>
      <w:r>
        <w:rPr>
          <w:color w:val="auto"/>
          <w:sz w:val="22"/>
          <w:szCs w:val="22"/>
        </w:rPr>
        <w:t>标人自</w:t>
      </w:r>
      <w:r>
        <w:rPr>
          <w:rFonts w:hint="eastAsia"/>
          <w:color w:val="auto"/>
          <w:sz w:val="22"/>
          <w:szCs w:val="22"/>
        </w:rPr>
        <w:t>2021年</w:t>
      </w:r>
      <w:r>
        <w:rPr>
          <w:color w:val="auto"/>
          <w:sz w:val="22"/>
          <w:szCs w:val="22"/>
        </w:rPr>
        <w:t>1月1日起到中标公告期结束前无行贿犯罪记录［</w:t>
      </w:r>
      <w:r>
        <w:rPr>
          <w:rFonts w:hint="eastAsia"/>
          <w:color w:val="auto"/>
          <w:sz w:val="22"/>
          <w:szCs w:val="22"/>
        </w:rPr>
        <w:t>以</w:t>
      </w:r>
      <w:r>
        <w:rPr>
          <w:color w:val="auto"/>
          <w:sz w:val="22"/>
          <w:szCs w:val="22"/>
        </w:rPr>
        <w:t>中国裁判文书网（http://wenshu.court.gov.cn/）查询结果为准］</w:t>
      </w:r>
      <w:r>
        <w:rPr>
          <w:rFonts w:hint="eastAsia"/>
          <w:color w:val="auto"/>
          <w:sz w:val="22"/>
          <w:szCs w:val="22"/>
        </w:rPr>
        <w:t>。</w:t>
      </w:r>
      <w:r>
        <w:rPr>
          <w:color w:val="auto"/>
          <w:sz w:val="22"/>
          <w:szCs w:val="22"/>
        </w:rPr>
        <w:t>经查实，中标人有前述行贿犯罪记录的，取消其中标资格，采购人依法重新组织采购。</w:t>
      </w:r>
    </w:p>
    <w:p>
      <w:pPr>
        <w:spacing w:line="360" w:lineRule="auto"/>
        <w:ind w:firstLine="440" w:firstLineChars="200"/>
        <w:rPr>
          <w:color w:val="auto"/>
          <w:sz w:val="22"/>
          <w:szCs w:val="22"/>
        </w:rPr>
      </w:pPr>
      <w:r>
        <w:rPr>
          <w:color w:val="auto"/>
          <w:sz w:val="22"/>
          <w:szCs w:val="22"/>
        </w:rPr>
        <w:t>11.2评标结束后，评标结果公告期限为自本公告发布之日起至第2日24小时止，发布评标结果公告的媒体为：浙江政府采购网。</w:t>
      </w:r>
    </w:p>
    <w:p>
      <w:pPr>
        <w:spacing w:line="360" w:lineRule="auto"/>
        <w:ind w:firstLine="440" w:firstLineChars="200"/>
        <w:rPr>
          <w:color w:val="auto"/>
          <w:sz w:val="22"/>
          <w:szCs w:val="22"/>
        </w:rPr>
      </w:pPr>
      <w:r>
        <w:rPr>
          <w:color w:val="auto"/>
          <w:sz w:val="22"/>
          <w:szCs w:val="22"/>
        </w:rPr>
        <w:t>11.3如无有效异议，由采购人和代理机构</w:t>
      </w:r>
      <w:r>
        <w:rPr>
          <w:rFonts w:hint="eastAsia"/>
          <w:color w:val="auto"/>
          <w:sz w:val="22"/>
          <w:szCs w:val="22"/>
        </w:rPr>
        <w:t>共同</w:t>
      </w:r>
      <w:r>
        <w:rPr>
          <w:color w:val="auto"/>
          <w:sz w:val="22"/>
          <w:szCs w:val="22"/>
        </w:rPr>
        <w:t>签发《中标通知书》，《中标通知书》一经发出即发生法律效力。</w:t>
      </w:r>
    </w:p>
    <w:p>
      <w:pPr>
        <w:pStyle w:val="27"/>
        <w:tabs>
          <w:tab w:val="left" w:pos="900"/>
        </w:tabs>
        <w:spacing w:line="360" w:lineRule="auto"/>
        <w:ind w:firstLine="442" w:firstLineChars="200"/>
        <w:rPr>
          <w:rFonts w:ascii="Times New Roman" w:hAnsi="Times New Roman"/>
          <w:b/>
          <w:color w:val="auto"/>
          <w:sz w:val="22"/>
          <w:szCs w:val="22"/>
        </w:rPr>
      </w:pPr>
      <w:r>
        <w:rPr>
          <w:rFonts w:ascii="Times New Roman" w:hAnsi="Times New Roman"/>
          <w:b/>
          <w:color w:val="auto"/>
          <w:sz w:val="22"/>
          <w:szCs w:val="22"/>
        </w:rPr>
        <w:t>12、合同签订</w:t>
      </w:r>
    </w:p>
    <w:p>
      <w:pPr>
        <w:spacing w:line="360" w:lineRule="auto"/>
        <w:ind w:firstLine="440" w:firstLineChars="200"/>
        <w:rPr>
          <w:color w:val="auto"/>
          <w:sz w:val="22"/>
          <w:szCs w:val="22"/>
        </w:rPr>
      </w:pPr>
      <w:r>
        <w:rPr>
          <w:color w:val="auto"/>
          <w:sz w:val="22"/>
          <w:szCs w:val="22"/>
        </w:rPr>
        <w:t>12.1中标人自接到《中标通知书》后应在三十天内到采购人处与采购人签订合同。</w:t>
      </w:r>
    </w:p>
    <w:p>
      <w:pPr>
        <w:spacing w:line="360" w:lineRule="auto"/>
        <w:ind w:firstLine="440" w:firstLineChars="200"/>
        <w:rPr>
          <w:color w:val="auto"/>
          <w:sz w:val="22"/>
          <w:szCs w:val="22"/>
        </w:rPr>
      </w:pPr>
      <w:r>
        <w:rPr>
          <w:color w:val="auto"/>
          <w:sz w:val="22"/>
          <w:szCs w:val="22"/>
        </w:rPr>
        <w:t>12.2招标文件、中标人的投标文件、评标过程中投标人在询标时作出的承诺及其澄清文件等，均为签订合同的依据。</w:t>
      </w:r>
    </w:p>
    <w:p>
      <w:pPr>
        <w:spacing w:line="360" w:lineRule="auto"/>
        <w:ind w:firstLine="440" w:firstLineChars="200"/>
        <w:rPr>
          <w:color w:val="auto"/>
          <w:sz w:val="22"/>
          <w:szCs w:val="22"/>
        </w:rPr>
      </w:pPr>
      <w:r>
        <w:rPr>
          <w:color w:val="auto"/>
          <w:sz w:val="22"/>
          <w:szCs w:val="22"/>
        </w:rPr>
        <w:t>12.3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auto"/>
        <w:ind w:firstLine="440" w:firstLineChars="200"/>
        <w:rPr>
          <w:color w:val="auto"/>
          <w:sz w:val="22"/>
          <w:szCs w:val="22"/>
        </w:rPr>
      </w:pPr>
      <w:r>
        <w:rPr>
          <w:color w:val="auto"/>
          <w:sz w:val="22"/>
          <w:szCs w:val="22"/>
        </w:rPr>
        <w:t>12.4采购人与中标人签订合同后招标代理机构将中标结果通知落选投标人，采购人和招标代理机构对评标结果不负责解释。</w:t>
      </w:r>
    </w:p>
    <w:p>
      <w:pPr>
        <w:spacing w:line="360" w:lineRule="auto"/>
        <w:ind w:firstLine="440" w:firstLineChars="200"/>
        <w:rPr>
          <w:color w:val="auto"/>
          <w:sz w:val="22"/>
          <w:szCs w:val="22"/>
        </w:rPr>
      </w:pPr>
      <w:r>
        <w:rPr>
          <w:color w:val="auto"/>
          <w:sz w:val="22"/>
          <w:szCs w:val="22"/>
        </w:rPr>
        <w:t>12.5采购人变更数量的权利</w:t>
      </w:r>
    </w:p>
    <w:p>
      <w:pPr>
        <w:spacing w:line="360" w:lineRule="auto"/>
        <w:ind w:firstLine="440" w:firstLineChars="200"/>
        <w:rPr>
          <w:color w:val="auto"/>
          <w:sz w:val="22"/>
          <w:szCs w:val="22"/>
        </w:rPr>
      </w:pPr>
      <w:r>
        <w:rPr>
          <w:color w:val="auto"/>
          <w:sz w:val="22"/>
          <w:szCs w:val="22"/>
        </w:rPr>
        <w:t>采购人在授予合同时有权对“技术要求及采购货物一览表”中规定的货物数量和服务予以增加或减少，但必须符合《中华人民共和国政府采购法》及义乌市政府采购的相关规定。</w:t>
      </w:r>
    </w:p>
    <w:p>
      <w:pPr>
        <w:pStyle w:val="3"/>
        <w:numPr>
          <w:ilvl w:val="1"/>
          <w:numId w:val="4"/>
        </w:numPr>
        <w:spacing w:before="0" w:after="0" w:line="360" w:lineRule="auto"/>
        <w:jc w:val="left"/>
        <w:rPr>
          <w:rFonts w:ascii="Times New Roman" w:hAnsi="Times New Roman" w:eastAsia="宋体"/>
          <w:color w:val="auto"/>
          <w:sz w:val="24"/>
          <w:szCs w:val="22"/>
        </w:rPr>
      </w:pPr>
      <w:bookmarkStart w:id="46" w:name="_Toc3819"/>
      <w:bookmarkStart w:id="47" w:name="_Toc800"/>
      <w:r>
        <w:rPr>
          <w:rFonts w:ascii="Times New Roman" w:hAnsi="Times New Roman" w:eastAsia="宋体"/>
          <w:color w:val="auto"/>
          <w:sz w:val="24"/>
          <w:szCs w:val="22"/>
        </w:rPr>
        <w:t>四、质疑和投诉</w:t>
      </w:r>
      <w:bookmarkEnd w:id="46"/>
      <w:bookmarkEnd w:id="47"/>
    </w:p>
    <w:p>
      <w:pPr>
        <w:pStyle w:val="27"/>
        <w:tabs>
          <w:tab w:val="left" w:pos="900"/>
        </w:tabs>
        <w:spacing w:line="360" w:lineRule="auto"/>
        <w:ind w:firstLine="440" w:firstLineChars="200"/>
        <w:rPr>
          <w:rFonts w:ascii="Times New Roman" w:hAnsi="Times New Roman"/>
          <w:color w:val="auto"/>
          <w:sz w:val="22"/>
          <w:szCs w:val="22"/>
        </w:rPr>
      </w:pPr>
      <w:r>
        <w:rPr>
          <w:rFonts w:ascii="Times New Roman" w:hAnsi="Times New Roman"/>
          <w:color w:val="auto"/>
          <w:sz w:val="22"/>
          <w:szCs w:val="22"/>
        </w:rPr>
        <w:t>13.1开标过程中，投标人对开标有异议的，应当在“政采云”平台上及时提出，评审委员应对异常情况制作相关记录。</w:t>
      </w:r>
    </w:p>
    <w:p>
      <w:pPr>
        <w:pStyle w:val="27"/>
        <w:tabs>
          <w:tab w:val="left" w:pos="900"/>
        </w:tabs>
        <w:spacing w:line="360" w:lineRule="auto"/>
        <w:ind w:firstLine="440" w:firstLineChars="200"/>
        <w:rPr>
          <w:rFonts w:ascii="Times New Roman" w:hAnsi="Times New Roman"/>
          <w:color w:val="auto"/>
          <w:sz w:val="22"/>
          <w:szCs w:val="22"/>
        </w:rPr>
      </w:pPr>
      <w:r>
        <w:rPr>
          <w:rFonts w:ascii="Times New Roman" w:hAnsi="Times New Roman"/>
          <w:color w:val="auto"/>
          <w:sz w:val="22"/>
          <w:szCs w:val="22"/>
        </w:rPr>
        <w:t>13.2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pStyle w:val="27"/>
        <w:tabs>
          <w:tab w:val="left" w:pos="900"/>
        </w:tabs>
        <w:spacing w:line="360" w:lineRule="auto"/>
        <w:ind w:firstLine="440" w:firstLineChars="200"/>
        <w:rPr>
          <w:rFonts w:ascii="Times New Roman" w:hAnsi="Times New Roman"/>
          <w:color w:val="auto"/>
          <w:sz w:val="22"/>
          <w:szCs w:val="22"/>
        </w:rPr>
      </w:pPr>
      <w:r>
        <w:rPr>
          <w:rFonts w:ascii="Times New Roman" w:hAnsi="Times New Roman"/>
          <w:color w:val="auto"/>
          <w:sz w:val="22"/>
          <w:szCs w:val="22"/>
        </w:rPr>
        <w:t>13.3质疑投诉的相关规定</w:t>
      </w:r>
    </w:p>
    <w:p>
      <w:pPr>
        <w:pStyle w:val="27"/>
        <w:tabs>
          <w:tab w:val="left" w:pos="900"/>
        </w:tabs>
        <w:spacing w:line="360" w:lineRule="auto"/>
        <w:ind w:firstLine="440" w:firstLineChars="200"/>
        <w:rPr>
          <w:rFonts w:ascii="Times New Roman" w:hAnsi="Times New Roman"/>
          <w:color w:val="auto"/>
          <w:sz w:val="22"/>
          <w:szCs w:val="22"/>
        </w:rPr>
      </w:pPr>
      <w:r>
        <w:rPr>
          <w:rFonts w:ascii="Times New Roman" w:hAnsi="Times New Roman"/>
          <w:color w:val="auto"/>
          <w:sz w:val="22"/>
          <w:szCs w:val="22"/>
        </w:rPr>
        <w:t>（一）质疑投诉递交的资料需为书面材料。质疑投诉书面材料需法人代表人（或负责人）或授权代表签字并加盖公章。</w:t>
      </w:r>
    </w:p>
    <w:p>
      <w:pPr>
        <w:adjustRightInd w:val="0"/>
        <w:spacing w:line="360" w:lineRule="auto"/>
        <w:ind w:firstLine="440" w:firstLineChars="200"/>
        <w:rPr>
          <w:color w:val="auto"/>
          <w:sz w:val="22"/>
          <w:szCs w:val="22"/>
        </w:rPr>
      </w:pPr>
      <w:r>
        <w:rPr>
          <w:color w:val="auto"/>
          <w:sz w:val="22"/>
          <w:szCs w:val="22"/>
        </w:rPr>
        <w:t>（二）质疑投诉属于以下情况之一的，将不予受理：</w:t>
      </w:r>
    </w:p>
    <w:p>
      <w:pPr>
        <w:adjustRightInd w:val="0"/>
        <w:spacing w:line="360" w:lineRule="auto"/>
        <w:ind w:firstLine="440" w:firstLineChars="200"/>
        <w:rPr>
          <w:color w:val="auto"/>
          <w:sz w:val="22"/>
          <w:szCs w:val="22"/>
        </w:rPr>
      </w:pPr>
      <w:r>
        <w:rPr>
          <w:color w:val="auto"/>
          <w:sz w:val="22"/>
          <w:szCs w:val="22"/>
        </w:rPr>
        <w:t>（1）质疑投诉人不是所投诉项目的参与者，或者与质疑投诉项目无任何利害关系。</w:t>
      </w:r>
    </w:p>
    <w:p>
      <w:pPr>
        <w:adjustRightInd w:val="0"/>
        <w:spacing w:line="360" w:lineRule="auto"/>
        <w:ind w:firstLine="440" w:firstLineChars="200"/>
        <w:rPr>
          <w:color w:val="auto"/>
          <w:sz w:val="22"/>
          <w:szCs w:val="22"/>
        </w:rPr>
      </w:pPr>
      <w:r>
        <w:rPr>
          <w:color w:val="auto"/>
          <w:sz w:val="22"/>
          <w:szCs w:val="22"/>
        </w:rPr>
        <w:t>（2）质疑投诉事项不具体，且未提供有效线索，难以查证。</w:t>
      </w:r>
    </w:p>
    <w:p>
      <w:pPr>
        <w:adjustRightInd w:val="0"/>
        <w:spacing w:line="360" w:lineRule="auto"/>
        <w:ind w:firstLine="440" w:firstLineChars="200"/>
        <w:rPr>
          <w:color w:val="auto"/>
          <w:sz w:val="22"/>
          <w:szCs w:val="22"/>
        </w:rPr>
      </w:pPr>
      <w:r>
        <w:rPr>
          <w:color w:val="auto"/>
          <w:sz w:val="22"/>
          <w:szCs w:val="22"/>
        </w:rPr>
        <w:t>（3）未提供书面质疑或者质疑未加盖公章的；投诉人为法人或者其他组织，其投诉书未经法定代表人或者主要负责人签字并加盖公章的。</w:t>
      </w:r>
    </w:p>
    <w:p>
      <w:pPr>
        <w:adjustRightInd w:val="0"/>
        <w:spacing w:line="360" w:lineRule="auto"/>
        <w:ind w:firstLine="440" w:firstLineChars="200"/>
        <w:rPr>
          <w:color w:val="auto"/>
          <w:sz w:val="22"/>
          <w:szCs w:val="22"/>
        </w:rPr>
      </w:pPr>
      <w:r>
        <w:rPr>
          <w:color w:val="auto"/>
          <w:sz w:val="22"/>
          <w:szCs w:val="22"/>
        </w:rPr>
        <w:t>（4）已超过招标文件规定质疑投诉提出期限的事项。</w:t>
      </w:r>
    </w:p>
    <w:p>
      <w:pPr>
        <w:adjustRightInd w:val="0"/>
        <w:spacing w:line="360" w:lineRule="auto"/>
        <w:ind w:firstLine="440" w:firstLineChars="200"/>
        <w:rPr>
          <w:color w:val="auto"/>
          <w:sz w:val="22"/>
          <w:szCs w:val="22"/>
        </w:rPr>
      </w:pPr>
      <w:r>
        <w:rPr>
          <w:color w:val="auto"/>
          <w:sz w:val="22"/>
          <w:szCs w:val="22"/>
        </w:rPr>
        <w:t>（5）投诉事项已作出处理决定，并且投诉人没有提出新的证据</w:t>
      </w:r>
    </w:p>
    <w:p>
      <w:pPr>
        <w:adjustRightInd w:val="0"/>
        <w:spacing w:line="360" w:lineRule="auto"/>
        <w:ind w:firstLine="440" w:firstLineChars="200"/>
        <w:rPr>
          <w:color w:val="auto"/>
          <w:sz w:val="22"/>
          <w:szCs w:val="22"/>
        </w:rPr>
      </w:pPr>
      <w:r>
        <w:rPr>
          <w:color w:val="auto"/>
          <w:sz w:val="22"/>
          <w:szCs w:val="22"/>
        </w:rPr>
        <w:t>（6）质疑投诉的事项已经进入行政复议或者行政诉讼程序的；投诉事项应先提出质疑而没有提出质疑的。</w:t>
      </w:r>
    </w:p>
    <w:p>
      <w:pPr>
        <w:adjustRightInd w:val="0"/>
        <w:spacing w:line="360" w:lineRule="auto"/>
        <w:ind w:firstLine="440" w:firstLineChars="200"/>
        <w:rPr>
          <w:color w:val="auto"/>
          <w:sz w:val="22"/>
          <w:szCs w:val="22"/>
        </w:rPr>
      </w:pPr>
      <w:r>
        <w:rPr>
          <w:color w:val="auto"/>
          <w:sz w:val="22"/>
          <w:szCs w:val="22"/>
        </w:rPr>
        <w:t>（7）不符合《政府采购质疑和投诉办法》（财政部令第94号）等有关规定的投诉。</w:t>
      </w:r>
    </w:p>
    <w:p>
      <w:pPr>
        <w:pStyle w:val="2"/>
        <w:spacing w:before="0" w:after="0" w:line="360" w:lineRule="auto"/>
        <w:jc w:val="center"/>
        <w:rPr>
          <w:color w:val="auto"/>
          <w:sz w:val="32"/>
        </w:rPr>
        <w:sectPr>
          <w:pgSz w:w="11906" w:h="16838"/>
          <w:pgMar w:top="1247" w:right="1361" w:bottom="1247" w:left="1417" w:header="851" w:footer="992" w:gutter="0"/>
          <w:pgNumType w:fmt="numberInDash"/>
          <w:cols w:space="720" w:num="1"/>
          <w:titlePg/>
          <w:rtlGutter w:val="1"/>
        </w:sectPr>
      </w:pPr>
      <w:bookmarkStart w:id="48" w:name="_Toc362268017"/>
      <w:bookmarkEnd w:id="48"/>
    </w:p>
    <w:p>
      <w:pPr>
        <w:pStyle w:val="2"/>
        <w:spacing w:before="0" w:after="0" w:line="360" w:lineRule="auto"/>
        <w:jc w:val="center"/>
        <w:rPr>
          <w:color w:val="auto"/>
          <w:sz w:val="36"/>
        </w:rPr>
      </w:pPr>
      <w:bookmarkStart w:id="49" w:name="_Toc12505"/>
      <w:r>
        <w:rPr>
          <w:color w:val="auto"/>
          <w:sz w:val="32"/>
        </w:rPr>
        <w:t>第五章  投标文件的有效性</w:t>
      </w:r>
      <w:bookmarkEnd w:id="49"/>
    </w:p>
    <w:p>
      <w:pPr>
        <w:pStyle w:val="27"/>
        <w:spacing w:line="360" w:lineRule="auto"/>
        <w:ind w:firstLine="433" w:firstLineChars="196"/>
        <w:rPr>
          <w:rFonts w:ascii="Times New Roman" w:hAnsi="Times New Roman"/>
          <w:b/>
          <w:color w:val="auto"/>
          <w:sz w:val="22"/>
          <w:szCs w:val="22"/>
        </w:rPr>
      </w:pPr>
      <w:bookmarkStart w:id="50" w:name="_Toc145992551"/>
      <w:bookmarkEnd w:id="50"/>
      <w:bookmarkStart w:id="51" w:name="_Toc226973004"/>
      <w:bookmarkEnd w:id="51"/>
      <w:bookmarkStart w:id="52" w:name="_Toc274303255"/>
      <w:bookmarkEnd w:id="52"/>
      <w:r>
        <w:rPr>
          <w:rFonts w:ascii="Times New Roman" w:hAnsi="Times New Roman"/>
          <w:b/>
          <w:color w:val="auto"/>
          <w:sz w:val="22"/>
          <w:szCs w:val="22"/>
        </w:rPr>
        <w:t>1、有下列情形之一的，招标方将不予受理投标文件：</w:t>
      </w:r>
    </w:p>
    <w:p>
      <w:pPr>
        <w:pStyle w:val="27"/>
        <w:spacing w:line="360" w:lineRule="auto"/>
        <w:ind w:firstLine="440" w:firstLineChars="200"/>
        <w:rPr>
          <w:rFonts w:ascii="Times New Roman" w:hAnsi="Times New Roman"/>
          <w:color w:val="auto"/>
          <w:sz w:val="22"/>
          <w:szCs w:val="22"/>
        </w:rPr>
      </w:pPr>
      <w:r>
        <w:rPr>
          <w:rFonts w:ascii="Times New Roman" w:hAnsi="Times New Roman"/>
          <w:color w:val="auto"/>
          <w:sz w:val="22"/>
          <w:szCs w:val="22"/>
        </w:rPr>
        <w:t>1.1逾期上传电子档投标文件至“政采云”平台的；</w:t>
      </w:r>
    </w:p>
    <w:p>
      <w:pPr>
        <w:spacing w:line="360" w:lineRule="auto"/>
        <w:ind w:firstLine="440" w:firstLineChars="200"/>
        <w:rPr>
          <w:color w:val="auto"/>
          <w:sz w:val="22"/>
          <w:szCs w:val="22"/>
        </w:rPr>
      </w:pPr>
      <w:r>
        <w:rPr>
          <w:color w:val="auto"/>
          <w:sz w:val="22"/>
          <w:szCs w:val="22"/>
        </w:rPr>
        <w:t>1.2</w:t>
      </w:r>
      <w:r>
        <w:rPr>
          <w:rFonts w:hint="eastAsia"/>
          <w:color w:val="auto"/>
          <w:sz w:val="22"/>
          <w:szCs w:val="22"/>
        </w:rPr>
        <w:t>电子投标文件在规定时间内解密未成功且未提供备份投标文件的，或电子投标文件在规定时间内解密未成功且提供的备份投标文件无法上传打开的。</w:t>
      </w:r>
    </w:p>
    <w:p>
      <w:pPr>
        <w:adjustRightInd w:val="0"/>
        <w:snapToGrid w:val="0"/>
        <w:spacing w:line="360" w:lineRule="auto"/>
        <w:ind w:firstLine="442" w:firstLineChars="200"/>
        <w:rPr>
          <w:b/>
          <w:color w:val="auto"/>
          <w:sz w:val="22"/>
          <w:szCs w:val="22"/>
        </w:rPr>
      </w:pPr>
      <w:r>
        <w:rPr>
          <w:b/>
          <w:color w:val="auto"/>
          <w:sz w:val="22"/>
          <w:szCs w:val="22"/>
        </w:rPr>
        <w:t>2、投标文件在商务技术响应文件评审出现下列情形之一的，由评标委员会审核后按无效投标文件处理：</w:t>
      </w:r>
    </w:p>
    <w:p>
      <w:pPr>
        <w:tabs>
          <w:tab w:val="left" w:pos="5325"/>
        </w:tabs>
        <w:adjustRightInd w:val="0"/>
        <w:snapToGrid w:val="0"/>
        <w:spacing w:line="360" w:lineRule="auto"/>
        <w:ind w:firstLine="440" w:firstLineChars="200"/>
        <w:rPr>
          <w:color w:val="auto"/>
          <w:sz w:val="22"/>
          <w:szCs w:val="22"/>
        </w:rPr>
      </w:pPr>
      <w:r>
        <w:rPr>
          <w:color w:val="auto"/>
          <w:sz w:val="22"/>
          <w:szCs w:val="22"/>
        </w:rPr>
        <w:t>2.1商务技术响应文件中包含投标报价的；</w:t>
      </w:r>
    </w:p>
    <w:p>
      <w:pPr>
        <w:tabs>
          <w:tab w:val="left" w:pos="5325"/>
        </w:tabs>
        <w:adjustRightInd w:val="0"/>
        <w:snapToGrid w:val="0"/>
        <w:spacing w:line="360" w:lineRule="auto"/>
        <w:ind w:firstLine="440" w:firstLineChars="200"/>
        <w:rPr>
          <w:color w:val="auto"/>
          <w:sz w:val="22"/>
          <w:szCs w:val="22"/>
        </w:rPr>
      </w:pPr>
      <w:r>
        <w:rPr>
          <w:color w:val="auto"/>
          <w:sz w:val="22"/>
          <w:szCs w:val="22"/>
        </w:rPr>
        <w:t>2.2招标文件关于投标文件组成内容要求中打“★”的内容，投标方的投标文件内容未提供完整或关键字迹模糊、无法辨认的或未按其规定的格式及要求填写、签字、盖章或提供的投标文件内容不符合招标</w:t>
      </w:r>
      <w:r>
        <w:rPr>
          <w:rFonts w:hint="eastAsia"/>
          <w:color w:val="auto"/>
          <w:sz w:val="22"/>
          <w:szCs w:val="22"/>
        </w:rPr>
        <w:t>文件</w:t>
      </w:r>
      <w:r>
        <w:rPr>
          <w:color w:val="auto"/>
          <w:sz w:val="22"/>
          <w:szCs w:val="22"/>
        </w:rPr>
        <w:t>中有关打★号的条款的规定；</w:t>
      </w:r>
    </w:p>
    <w:p>
      <w:pPr>
        <w:adjustRightInd w:val="0"/>
        <w:snapToGrid w:val="0"/>
        <w:spacing w:line="360" w:lineRule="auto"/>
        <w:ind w:firstLine="440" w:firstLineChars="200"/>
        <w:rPr>
          <w:color w:val="auto"/>
          <w:sz w:val="22"/>
          <w:szCs w:val="22"/>
        </w:rPr>
      </w:pPr>
      <w:r>
        <w:rPr>
          <w:color w:val="auto"/>
          <w:sz w:val="22"/>
          <w:szCs w:val="22"/>
        </w:rPr>
        <w:t>2.3投标方的投标资格未符合招标文件的资格要求规定；</w:t>
      </w:r>
    </w:p>
    <w:p>
      <w:pPr>
        <w:adjustRightInd w:val="0"/>
        <w:snapToGrid w:val="0"/>
        <w:spacing w:line="360" w:lineRule="auto"/>
        <w:ind w:firstLine="440" w:firstLineChars="200"/>
        <w:rPr>
          <w:color w:val="auto"/>
          <w:sz w:val="22"/>
          <w:szCs w:val="22"/>
        </w:rPr>
      </w:pPr>
      <w:r>
        <w:rPr>
          <w:color w:val="auto"/>
          <w:sz w:val="22"/>
          <w:szCs w:val="22"/>
        </w:rPr>
        <w:t>2.4投标人递交两份或多份内容不同的投标文件，且未声明哪一个有效，但按招标文件规定提交备选投标方案的除外；</w:t>
      </w:r>
    </w:p>
    <w:p>
      <w:pPr>
        <w:tabs>
          <w:tab w:val="left" w:pos="5325"/>
        </w:tabs>
        <w:adjustRightInd w:val="0"/>
        <w:snapToGrid w:val="0"/>
        <w:spacing w:line="360" w:lineRule="auto"/>
        <w:ind w:firstLine="440" w:firstLineChars="200"/>
        <w:rPr>
          <w:color w:val="auto"/>
          <w:sz w:val="22"/>
          <w:szCs w:val="22"/>
        </w:rPr>
      </w:pPr>
      <w:r>
        <w:rPr>
          <w:color w:val="auto"/>
          <w:sz w:val="22"/>
          <w:szCs w:val="22"/>
        </w:rPr>
        <w:t>2.</w:t>
      </w:r>
      <w:r>
        <w:rPr>
          <w:rFonts w:hint="eastAsia"/>
          <w:color w:val="auto"/>
          <w:sz w:val="22"/>
          <w:szCs w:val="22"/>
        </w:rPr>
        <w:t>5投标方所投服务或产品的数量不符合招标文件规定的</w:t>
      </w:r>
      <w:r>
        <w:rPr>
          <w:color w:val="auto"/>
          <w:sz w:val="22"/>
          <w:szCs w:val="22"/>
        </w:rPr>
        <w:t>；</w:t>
      </w:r>
    </w:p>
    <w:p>
      <w:pPr>
        <w:spacing w:line="360" w:lineRule="auto"/>
        <w:ind w:firstLine="440" w:firstLineChars="200"/>
        <w:rPr>
          <w:color w:val="auto"/>
          <w:sz w:val="22"/>
          <w:szCs w:val="22"/>
        </w:rPr>
      </w:pPr>
      <w:r>
        <w:rPr>
          <w:color w:val="auto"/>
          <w:sz w:val="22"/>
          <w:szCs w:val="22"/>
        </w:rPr>
        <w:t>2.</w:t>
      </w:r>
      <w:r>
        <w:rPr>
          <w:rFonts w:hint="eastAsia"/>
          <w:color w:val="auto"/>
          <w:sz w:val="22"/>
          <w:szCs w:val="22"/>
        </w:rPr>
        <w:t>6</w:t>
      </w:r>
      <w:r>
        <w:rPr>
          <w:color w:val="auto"/>
          <w:sz w:val="22"/>
          <w:szCs w:val="22"/>
        </w:rPr>
        <w:t>投标方借用或冒用他人名义或证件、涂改文件、伪造或编造投标文件的；</w:t>
      </w:r>
    </w:p>
    <w:p>
      <w:pPr>
        <w:spacing w:line="360" w:lineRule="auto"/>
        <w:ind w:firstLine="440" w:firstLineChars="200"/>
        <w:rPr>
          <w:color w:val="auto"/>
          <w:sz w:val="22"/>
          <w:szCs w:val="22"/>
        </w:rPr>
      </w:pPr>
      <w:r>
        <w:rPr>
          <w:color w:val="auto"/>
          <w:sz w:val="22"/>
          <w:szCs w:val="22"/>
        </w:rPr>
        <w:t>2.</w:t>
      </w:r>
      <w:r>
        <w:rPr>
          <w:rFonts w:hint="eastAsia"/>
          <w:color w:val="auto"/>
          <w:sz w:val="22"/>
          <w:szCs w:val="22"/>
        </w:rPr>
        <w:t>7</w:t>
      </w:r>
      <w:r>
        <w:rPr>
          <w:color w:val="auto"/>
          <w:sz w:val="22"/>
          <w:szCs w:val="22"/>
        </w:rPr>
        <w:t>投标中不同投标单位的投标文件出现雷同或相似（包括部分雷同或相似），对所有雷同或相似投标人按废标处理，投标方串标的，招标方将保留进一步追究责任的权利；</w:t>
      </w:r>
    </w:p>
    <w:p>
      <w:pPr>
        <w:spacing w:line="360" w:lineRule="auto"/>
        <w:ind w:firstLine="440" w:firstLineChars="200"/>
        <w:rPr>
          <w:color w:val="auto"/>
          <w:sz w:val="22"/>
          <w:szCs w:val="22"/>
        </w:rPr>
      </w:pPr>
      <w:r>
        <w:rPr>
          <w:color w:val="auto"/>
          <w:sz w:val="22"/>
          <w:szCs w:val="22"/>
        </w:rPr>
        <w:t>2.</w:t>
      </w:r>
      <w:r>
        <w:rPr>
          <w:rFonts w:hint="eastAsia"/>
          <w:color w:val="auto"/>
          <w:sz w:val="22"/>
          <w:szCs w:val="22"/>
        </w:rPr>
        <w:t>8其他对</w:t>
      </w:r>
      <w:r>
        <w:rPr>
          <w:color w:val="auto"/>
          <w:sz w:val="22"/>
          <w:szCs w:val="22"/>
        </w:rPr>
        <w:t>本招标文件中打★号的条款未完全响应的；</w:t>
      </w:r>
    </w:p>
    <w:p>
      <w:pPr>
        <w:spacing w:line="360" w:lineRule="auto"/>
        <w:ind w:firstLine="440" w:firstLineChars="200"/>
        <w:rPr>
          <w:color w:val="auto"/>
          <w:sz w:val="22"/>
          <w:szCs w:val="22"/>
        </w:rPr>
      </w:pPr>
      <w:r>
        <w:rPr>
          <w:color w:val="auto"/>
          <w:sz w:val="22"/>
          <w:szCs w:val="22"/>
        </w:rPr>
        <w:t>2.</w:t>
      </w:r>
      <w:r>
        <w:rPr>
          <w:rFonts w:hint="eastAsia"/>
          <w:color w:val="auto"/>
          <w:sz w:val="22"/>
          <w:szCs w:val="22"/>
        </w:rPr>
        <w:t>9</w:t>
      </w:r>
      <w:r>
        <w:rPr>
          <w:color w:val="auto"/>
          <w:sz w:val="22"/>
          <w:szCs w:val="22"/>
        </w:rPr>
        <w:t>经评标委员会认定，投标文件附有采购人不能接受的条件；</w:t>
      </w:r>
    </w:p>
    <w:p>
      <w:pPr>
        <w:spacing w:line="360" w:lineRule="auto"/>
        <w:ind w:firstLine="440" w:firstLineChars="200"/>
        <w:rPr>
          <w:color w:val="auto"/>
          <w:sz w:val="22"/>
          <w:szCs w:val="22"/>
        </w:rPr>
      </w:pPr>
      <w:r>
        <w:rPr>
          <w:color w:val="auto"/>
          <w:sz w:val="22"/>
          <w:szCs w:val="22"/>
        </w:rPr>
        <w:t>2.</w:t>
      </w:r>
      <w:r>
        <w:rPr>
          <w:rFonts w:hint="eastAsia"/>
          <w:color w:val="auto"/>
          <w:sz w:val="22"/>
          <w:szCs w:val="22"/>
        </w:rPr>
        <w:t>10</w:t>
      </w:r>
      <w:r>
        <w:rPr>
          <w:color w:val="auto"/>
          <w:sz w:val="22"/>
          <w:szCs w:val="22"/>
        </w:rPr>
        <w:t>对于评标委员会提出的要求投标方澄清或说明的，如果投标方代表拒绝澄清或说明，或者拒绝签字的，评标委员会可以对其作出无效标处理；</w:t>
      </w:r>
    </w:p>
    <w:p>
      <w:pPr>
        <w:spacing w:line="360" w:lineRule="auto"/>
        <w:ind w:firstLine="440" w:firstLineChars="200"/>
        <w:rPr>
          <w:color w:val="auto"/>
          <w:sz w:val="22"/>
          <w:szCs w:val="22"/>
        </w:rPr>
      </w:pPr>
      <w:r>
        <w:rPr>
          <w:color w:val="auto"/>
          <w:sz w:val="22"/>
          <w:szCs w:val="22"/>
        </w:rPr>
        <w:t>2.1</w:t>
      </w:r>
      <w:r>
        <w:rPr>
          <w:rFonts w:hint="eastAsia"/>
          <w:color w:val="auto"/>
          <w:sz w:val="22"/>
          <w:szCs w:val="22"/>
        </w:rPr>
        <w:t>1</w:t>
      </w:r>
      <w:r>
        <w:rPr>
          <w:color w:val="auto"/>
          <w:sz w:val="22"/>
          <w:szCs w:val="22"/>
        </w:rPr>
        <w:t>单位负责人为同一人或者存在直接控股、管理关系的不同供应商。</w:t>
      </w:r>
    </w:p>
    <w:p>
      <w:pPr>
        <w:adjustRightInd w:val="0"/>
        <w:snapToGrid w:val="0"/>
        <w:spacing w:line="360" w:lineRule="auto"/>
        <w:ind w:firstLine="442" w:firstLineChars="200"/>
        <w:rPr>
          <w:b/>
          <w:color w:val="auto"/>
          <w:sz w:val="22"/>
          <w:szCs w:val="22"/>
        </w:rPr>
      </w:pPr>
      <w:r>
        <w:rPr>
          <w:b/>
          <w:color w:val="auto"/>
          <w:sz w:val="22"/>
          <w:szCs w:val="22"/>
          <w:shd w:val="pct10" w:color="auto" w:fill="FFFFFF"/>
        </w:rPr>
        <w:t>3、投标文件报价文件评审出现下列情形之一的，由评标委员会审核后按无效投标文件处理：</w:t>
      </w:r>
    </w:p>
    <w:p>
      <w:pPr>
        <w:adjustRightInd w:val="0"/>
        <w:snapToGrid w:val="0"/>
        <w:spacing w:line="360" w:lineRule="auto"/>
        <w:ind w:firstLine="440" w:firstLineChars="200"/>
        <w:rPr>
          <w:color w:val="auto"/>
          <w:sz w:val="22"/>
          <w:szCs w:val="22"/>
        </w:rPr>
      </w:pPr>
      <w:r>
        <w:rPr>
          <w:color w:val="auto"/>
          <w:sz w:val="22"/>
          <w:szCs w:val="22"/>
        </w:rPr>
        <w:t>3.1招标文件关于投标文件组成内容</w:t>
      </w:r>
      <w:r>
        <w:rPr>
          <w:rFonts w:hint="eastAsia"/>
          <w:color w:val="auto"/>
          <w:sz w:val="22"/>
          <w:szCs w:val="22"/>
        </w:rPr>
        <w:t>报价响应文件</w:t>
      </w:r>
      <w:r>
        <w:rPr>
          <w:color w:val="auto"/>
          <w:sz w:val="22"/>
          <w:szCs w:val="22"/>
        </w:rPr>
        <w:t>要求中打“★”的内容，投标方的投标文件内容未</w:t>
      </w:r>
      <w:r>
        <w:rPr>
          <w:rFonts w:hint="eastAsia"/>
          <w:color w:val="auto"/>
          <w:sz w:val="22"/>
          <w:szCs w:val="22"/>
        </w:rPr>
        <w:t>提供</w:t>
      </w:r>
      <w:r>
        <w:rPr>
          <w:color w:val="auto"/>
          <w:sz w:val="22"/>
          <w:szCs w:val="22"/>
        </w:rPr>
        <w:t>完整或关键字迹模糊、无法辨认的或未按其规定的格式及要求填写、签字、盖章或提供的投标文件内容不符合招标</w:t>
      </w:r>
      <w:r>
        <w:rPr>
          <w:rFonts w:hint="eastAsia"/>
          <w:color w:val="auto"/>
          <w:sz w:val="22"/>
          <w:szCs w:val="22"/>
        </w:rPr>
        <w:t>文件</w:t>
      </w:r>
      <w:r>
        <w:rPr>
          <w:color w:val="auto"/>
          <w:sz w:val="22"/>
          <w:szCs w:val="22"/>
        </w:rPr>
        <w:t>中有关打★号的条款的规定；</w:t>
      </w:r>
    </w:p>
    <w:p>
      <w:pPr>
        <w:adjustRightInd w:val="0"/>
        <w:snapToGrid w:val="0"/>
        <w:spacing w:line="360" w:lineRule="auto"/>
        <w:ind w:firstLine="440" w:firstLineChars="200"/>
        <w:rPr>
          <w:color w:val="auto"/>
          <w:sz w:val="22"/>
          <w:szCs w:val="22"/>
        </w:rPr>
      </w:pPr>
      <w:r>
        <w:rPr>
          <w:color w:val="auto"/>
          <w:sz w:val="22"/>
          <w:szCs w:val="22"/>
        </w:rPr>
        <w:t>3.2投标报价</w:t>
      </w:r>
      <w:r>
        <w:rPr>
          <w:rFonts w:hint="eastAsia"/>
          <w:color w:val="auto"/>
          <w:sz w:val="22"/>
          <w:szCs w:val="22"/>
        </w:rPr>
        <w:t>高于最高限价的</w:t>
      </w:r>
      <w:r>
        <w:rPr>
          <w:color w:val="auto"/>
          <w:sz w:val="22"/>
          <w:szCs w:val="22"/>
        </w:rPr>
        <w:t>或投标报价低于企业成本价或未填报企业成本价的；投标函中的投标报价与报价一览表中的合计金额不一致的；</w:t>
      </w:r>
    </w:p>
    <w:p>
      <w:pPr>
        <w:adjustRightInd w:val="0"/>
        <w:snapToGrid w:val="0"/>
        <w:spacing w:line="360" w:lineRule="auto"/>
        <w:ind w:firstLine="440" w:firstLineChars="200"/>
        <w:rPr>
          <w:color w:val="auto"/>
          <w:sz w:val="22"/>
          <w:szCs w:val="22"/>
        </w:rPr>
      </w:pPr>
      <w:r>
        <w:rPr>
          <w:color w:val="auto"/>
          <w:sz w:val="22"/>
          <w:szCs w:val="22"/>
        </w:rPr>
        <w:t>3.3</w:t>
      </w:r>
      <w:r>
        <w:rPr>
          <w:rFonts w:hint="eastAsia"/>
          <w:color w:val="auto"/>
          <w:sz w:val="22"/>
          <w:szCs w:val="22"/>
        </w:rPr>
        <w:t>投标方所投服务或产品的数量不符合招标文件规定的</w:t>
      </w:r>
      <w:r>
        <w:rPr>
          <w:color w:val="auto"/>
          <w:sz w:val="22"/>
          <w:szCs w:val="22"/>
        </w:rPr>
        <w:t>；</w:t>
      </w:r>
    </w:p>
    <w:p>
      <w:pPr>
        <w:adjustRightInd w:val="0"/>
        <w:snapToGrid w:val="0"/>
        <w:spacing w:line="360" w:lineRule="auto"/>
        <w:ind w:firstLine="440" w:firstLineChars="200"/>
        <w:rPr>
          <w:color w:val="auto"/>
          <w:sz w:val="22"/>
          <w:szCs w:val="22"/>
        </w:rPr>
      </w:pPr>
      <w:r>
        <w:rPr>
          <w:color w:val="auto"/>
          <w:sz w:val="22"/>
          <w:szCs w:val="22"/>
        </w:rPr>
        <w:t>3.4投标方对同一采购项目两个或两个以上（两种或两种以上方案）报价的或两个或两个以上（两种或两种以上方案）成本价的，且未声明哪一个有效；</w:t>
      </w:r>
    </w:p>
    <w:p>
      <w:pPr>
        <w:adjustRightInd w:val="0"/>
        <w:snapToGrid w:val="0"/>
        <w:spacing w:line="360" w:lineRule="auto"/>
        <w:ind w:firstLine="440" w:firstLineChars="200"/>
        <w:rPr>
          <w:color w:val="auto"/>
          <w:sz w:val="22"/>
          <w:szCs w:val="22"/>
        </w:rPr>
      </w:pPr>
      <w:r>
        <w:rPr>
          <w:color w:val="auto"/>
          <w:sz w:val="22"/>
          <w:szCs w:val="22"/>
        </w:rPr>
        <w:t>3.5经评标委员会审议认为投标文件附有采购人不能接受的条件，评标委员会认为投标人的报价明显低于其他通过符合性审查投标人的报价，有可能影响产品质量或者不能诚信履约的，要求其通过“政采云”平台在规定的时间内提供CA签章的材料，投标人不能佐证其报价合理性的；</w:t>
      </w:r>
    </w:p>
    <w:p>
      <w:pPr>
        <w:adjustRightInd w:val="0"/>
        <w:snapToGrid w:val="0"/>
        <w:spacing w:line="360" w:lineRule="auto"/>
        <w:ind w:firstLine="440" w:firstLineChars="200"/>
        <w:rPr>
          <w:color w:val="auto"/>
          <w:sz w:val="22"/>
          <w:szCs w:val="22"/>
        </w:rPr>
      </w:pPr>
      <w:r>
        <w:rPr>
          <w:color w:val="auto"/>
          <w:sz w:val="22"/>
          <w:szCs w:val="22"/>
        </w:rPr>
        <w:t>3.6</w:t>
      </w:r>
      <w:r>
        <w:rPr>
          <w:rFonts w:hint="eastAsia"/>
          <w:color w:val="auto"/>
          <w:sz w:val="22"/>
          <w:szCs w:val="22"/>
        </w:rPr>
        <w:t>其他对</w:t>
      </w:r>
      <w:r>
        <w:rPr>
          <w:color w:val="auto"/>
          <w:sz w:val="22"/>
          <w:szCs w:val="22"/>
        </w:rPr>
        <w:t>本招标文件中打★号的条款未完全响应的；</w:t>
      </w:r>
    </w:p>
    <w:p>
      <w:pPr>
        <w:adjustRightInd w:val="0"/>
        <w:snapToGrid w:val="0"/>
        <w:spacing w:line="360" w:lineRule="auto"/>
        <w:ind w:firstLine="440" w:firstLineChars="200"/>
        <w:rPr>
          <w:color w:val="auto"/>
          <w:sz w:val="22"/>
          <w:szCs w:val="22"/>
        </w:rPr>
      </w:pPr>
      <w:r>
        <w:rPr>
          <w:rFonts w:hint="eastAsia"/>
          <w:color w:val="auto"/>
          <w:sz w:val="22"/>
          <w:szCs w:val="22"/>
        </w:rPr>
        <w:t>3.7投标函中承诺的投标有效期少于招标文件规定的</w:t>
      </w:r>
      <w:r>
        <w:rPr>
          <w:color w:val="auto"/>
          <w:sz w:val="22"/>
          <w:szCs w:val="22"/>
        </w:rPr>
        <w:t>；</w:t>
      </w:r>
    </w:p>
    <w:p>
      <w:pPr>
        <w:adjustRightInd w:val="0"/>
        <w:snapToGrid w:val="0"/>
        <w:spacing w:line="360" w:lineRule="auto"/>
        <w:ind w:firstLine="440" w:firstLineChars="200"/>
        <w:rPr>
          <w:color w:val="auto"/>
          <w:sz w:val="22"/>
          <w:szCs w:val="22"/>
        </w:rPr>
      </w:pPr>
      <w:r>
        <w:rPr>
          <w:color w:val="auto"/>
          <w:sz w:val="22"/>
          <w:szCs w:val="22"/>
        </w:rPr>
        <w:t>3.</w:t>
      </w:r>
      <w:r>
        <w:rPr>
          <w:rFonts w:hint="eastAsia"/>
          <w:color w:val="auto"/>
          <w:sz w:val="22"/>
          <w:szCs w:val="22"/>
        </w:rPr>
        <w:t>8</w:t>
      </w:r>
      <w:r>
        <w:rPr>
          <w:color w:val="auto"/>
          <w:sz w:val="22"/>
          <w:szCs w:val="22"/>
        </w:rPr>
        <w:t>当投标人由于报价计算错误，投标人拒绝接受按招标文件的规定进行的修正处理（或拒绝签名确认）。</w:t>
      </w:r>
    </w:p>
    <w:p>
      <w:pPr>
        <w:pStyle w:val="27"/>
        <w:spacing w:line="360" w:lineRule="auto"/>
        <w:ind w:firstLine="431" w:firstLineChars="196"/>
        <w:rPr>
          <w:rFonts w:ascii="Times New Roman" w:hAnsi="Times New Roman"/>
          <w:color w:val="auto"/>
          <w:sz w:val="22"/>
          <w:szCs w:val="22"/>
        </w:rPr>
      </w:pPr>
      <w:r>
        <w:rPr>
          <w:rFonts w:ascii="Times New Roman" w:hAnsi="Times New Roman"/>
          <w:color w:val="auto"/>
          <w:sz w:val="22"/>
          <w:szCs w:val="22"/>
        </w:rPr>
        <w:t>4、其他违反法律法规的情况。</w:t>
      </w:r>
    </w:p>
    <w:p>
      <w:pPr>
        <w:spacing w:line="360" w:lineRule="auto"/>
        <w:ind w:firstLine="420"/>
        <w:rPr>
          <w:color w:val="auto"/>
        </w:rPr>
      </w:pPr>
      <w:r>
        <w:rPr>
          <w:color w:val="auto"/>
          <w:sz w:val="22"/>
          <w:szCs w:val="22"/>
        </w:rPr>
        <w:t>5、评标过程中，非上述所罗列的情况，不得以无效标处理。</w:t>
      </w:r>
    </w:p>
    <w:p>
      <w:pPr>
        <w:pStyle w:val="2"/>
        <w:spacing w:before="0" w:after="0" w:line="276" w:lineRule="auto"/>
        <w:jc w:val="center"/>
        <w:rPr>
          <w:color w:val="auto"/>
          <w:sz w:val="32"/>
        </w:rPr>
        <w:sectPr>
          <w:pgSz w:w="11906" w:h="16838"/>
          <w:pgMar w:top="1247" w:right="1361" w:bottom="1247" w:left="1417" w:header="851" w:footer="992" w:gutter="0"/>
          <w:pgNumType w:fmt="numberInDash"/>
          <w:cols w:space="720" w:num="1"/>
          <w:titlePg/>
          <w:rtlGutter w:val="1"/>
        </w:sectPr>
      </w:pPr>
    </w:p>
    <w:p>
      <w:pPr>
        <w:pStyle w:val="2"/>
        <w:spacing w:before="240" w:beforeLines="100" w:after="240" w:afterLines="100" w:line="276" w:lineRule="auto"/>
        <w:jc w:val="center"/>
        <w:rPr>
          <w:color w:val="auto"/>
          <w:sz w:val="36"/>
        </w:rPr>
      </w:pPr>
      <w:bookmarkStart w:id="53" w:name="_Toc7043"/>
      <w:r>
        <w:rPr>
          <w:color w:val="auto"/>
          <w:sz w:val="32"/>
        </w:rPr>
        <w:t>第六章  评标办法</w:t>
      </w:r>
      <w:bookmarkEnd w:id="53"/>
    </w:p>
    <w:p>
      <w:pPr>
        <w:pStyle w:val="27"/>
        <w:spacing w:line="420" w:lineRule="exact"/>
        <w:ind w:firstLine="420"/>
        <w:rPr>
          <w:rFonts w:ascii="Times New Roman" w:hAnsi="Times New Roman"/>
          <w:color w:val="auto"/>
          <w:sz w:val="22"/>
          <w:szCs w:val="22"/>
        </w:rPr>
      </w:pPr>
      <w:bookmarkStart w:id="54" w:name="_Toc323024194"/>
      <w:bookmarkEnd w:id="54"/>
      <w:bookmarkStart w:id="55" w:name="_Toc358884475"/>
      <w:bookmarkEnd w:id="55"/>
      <w:bookmarkStart w:id="56" w:name="_Toc330474791"/>
      <w:bookmarkEnd w:id="56"/>
      <w:bookmarkStart w:id="57" w:name="_Toc295815145"/>
      <w:bookmarkEnd w:id="57"/>
      <w:bookmarkStart w:id="58" w:name="_Toc269969080"/>
      <w:bookmarkEnd w:id="58"/>
      <w:bookmarkStart w:id="59" w:name="_Toc362250710"/>
      <w:bookmarkEnd w:id="59"/>
      <w:r>
        <w:rPr>
          <w:rFonts w:ascii="Times New Roman" w:hAnsi="Times New Roman"/>
          <w:color w:val="auto"/>
          <w:sz w:val="22"/>
          <w:szCs w:val="22"/>
        </w:rPr>
        <w:t>根据《中华人民共和国政府采购法》的有关规定，为更好地做到公开、公平、公正，结合本次招标的特点，特制定本评标办法。评标小组用综合评分法对招标项目作出评标结论。</w:t>
      </w:r>
    </w:p>
    <w:p>
      <w:pPr>
        <w:pStyle w:val="3"/>
        <w:numPr>
          <w:ilvl w:val="1"/>
          <w:numId w:val="4"/>
        </w:numPr>
        <w:spacing w:before="0" w:after="0" w:line="420" w:lineRule="exact"/>
        <w:jc w:val="left"/>
        <w:rPr>
          <w:rFonts w:ascii="Times New Roman" w:hAnsi="Times New Roman" w:eastAsia="宋体"/>
          <w:color w:val="auto"/>
          <w:sz w:val="24"/>
          <w:szCs w:val="22"/>
        </w:rPr>
      </w:pPr>
      <w:bookmarkStart w:id="60" w:name="_Toc22852"/>
      <w:bookmarkStart w:id="61" w:name="_Toc916"/>
      <w:bookmarkStart w:id="62" w:name="_Toc8365"/>
      <w:bookmarkStart w:id="63" w:name="_Toc13171"/>
      <w:bookmarkStart w:id="64" w:name="_Toc22618"/>
      <w:r>
        <w:rPr>
          <w:rFonts w:ascii="Times New Roman" w:hAnsi="Times New Roman" w:eastAsia="宋体"/>
          <w:color w:val="auto"/>
          <w:sz w:val="24"/>
          <w:szCs w:val="22"/>
        </w:rPr>
        <w:t>一、评审程序</w:t>
      </w:r>
      <w:bookmarkEnd w:id="60"/>
      <w:bookmarkEnd w:id="61"/>
      <w:bookmarkEnd w:id="62"/>
      <w:bookmarkEnd w:id="63"/>
      <w:bookmarkEnd w:id="64"/>
    </w:p>
    <w:p>
      <w:pPr>
        <w:pStyle w:val="27"/>
        <w:spacing w:line="420" w:lineRule="exact"/>
        <w:ind w:firstLine="420"/>
        <w:rPr>
          <w:rFonts w:ascii="Times New Roman" w:hAnsi="Times New Roman"/>
          <w:bCs/>
          <w:color w:val="auto"/>
          <w:sz w:val="22"/>
          <w:szCs w:val="22"/>
        </w:rPr>
      </w:pPr>
      <w:r>
        <w:rPr>
          <w:rFonts w:ascii="Times New Roman" w:hAnsi="Times New Roman"/>
          <w:bCs/>
          <w:color w:val="auto"/>
          <w:sz w:val="22"/>
          <w:szCs w:val="22"/>
        </w:rPr>
        <w:t>评标小组以开标、评标、询标情况为基本依据，按照招标文件的规定，对各投标人的投标文件分资格部分、商务技术部分、投标报价三个部分按以下程序进行分析、评议：</w:t>
      </w:r>
    </w:p>
    <w:p>
      <w:pPr>
        <w:pStyle w:val="27"/>
        <w:spacing w:line="420" w:lineRule="exact"/>
        <w:ind w:firstLine="420"/>
        <w:rPr>
          <w:rFonts w:ascii="Times New Roman" w:hAnsi="Times New Roman"/>
          <w:bCs/>
          <w:color w:val="auto"/>
          <w:sz w:val="22"/>
          <w:szCs w:val="22"/>
        </w:rPr>
      </w:pPr>
      <w:r>
        <w:rPr>
          <w:rFonts w:ascii="Times New Roman" w:hAnsi="Times New Roman"/>
          <w:bCs/>
          <w:color w:val="auto"/>
          <w:sz w:val="22"/>
          <w:szCs w:val="22"/>
        </w:rPr>
        <w:t>（一）对投标人的资格部分、商务技术文件进行符合性审查，确定技术标有效单位</w:t>
      </w:r>
    </w:p>
    <w:p>
      <w:pPr>
        <w:pStyle w:val="27"/>
        <w:spacing w:line="420" w:lineRule="exact"/>
        <w:ind w:firstLine="420"/>
        <w:rPr>
          <w:rFonts w:ascii="Times New Roman" w:hAnsi="Times New Roman"/>
          <w:bCs/>
          <w:color w:val="auto"/>
          <w:sz w:val="22"/>
          <w:szCs w:val="22"/>
        </w:rPr>
      </w:pPr>
      <w:r>
        <w:rPr>
          <w:rFonts w:ascii="Times New Roman" w:hAnsi="Times New Roman"/>
          <w:bCs/>
          <w:color w:val="auto"/>
          <w:sz w:val="22"/>
          <w:szCs w:val="22"/>
        </w:rPr>
        <w:t>（二）对技术标有效的投标单位的技术标进行评分，计算出各技术标有效投标单位的技术得分</w:t>
      </w:r>
    </w:p>
    <w:p>
      <w:pPr>
        <w:pStyle w:val="27"/>
        <w:spacing w:line="420" w:lineRule="exact"/>
        <w:ind w:firstLine="420"/>
        <w:rPr>
          <w:rFonts w:ascii="Times New Roman" w:hAnsi="Times New Roman"/>
          <w:bCs/>
          <w:color w:val="auto"/>
          <w:sz w:val="22"/>
          <w:szCs w:val="22"/>
        </w:rPr>
      </w:pPr>
      <w:r>
        <w:rPr>
          <w:rFonts w:ascii="Times New Roman" w:hAnsi="Times New Roman"/>
          <w:bCs/>
          <w:color w:val="auto"/>
          <w:sz w:val="22"/>
          <w:szCs w:val="22"/>
        </w:rPr>
        <w:t>（三）对技术标有效的投标单位的投标报价在“政采云”平台上予以公开。</w:t>
      </w:r>
    </w:p>
    <w:p>
      <w:pPr>
        <w:pStyle w:val="27"/>
        <w:spacing w:line="420" w:lineRule="exact"/>
        <w:ind w:firstLine="420"/>
        <w:rPr>
          <w:rFonts w:ascii="Times New Roman" w:hAnsi="Times New Roman"/>
          <w:bCs/>
          <w:color w:val="auto"/>
          <w:sz w:val="22"/>
          <w:szCs w:val="22"/>
        </w:rPr>
      </w:pPr>
      <w:r>
        <w:rPr>
          <w:rFonts w:ascii="Times New Roman" w:hAnsi="Times New Roman"/>
          <w:bCs/>
          <w:color w:val="auto"/>
          <w:sz w:val="22"/>
          <w:szCs w:val="22"/>
        </w:rPr>
        <w:t>（四）评标委员会对技术标有效的投标单位进行投标报价部分评审，确定投标报价评审有效投标单位。</w:t>
      </w:r>
    </w:p>
    <w:p>
      <w:pPr>
        <w:pStyle w:val="27"/>
        <w:spacing w:line="420" w:lineRule="exact"/>
        <w:ind w:firstLine="420"/>
        <w:rPr>
          <w:rFonts w:ascii="Times New Roman" w:hAnsi="Times New Roman"/>
          <w:bCs/>
          <w:color w:val="auto"/>
          <w:sz w:val="22"/>
          <w:szCs w:val="22"/>
        </w:rPr>
      </w:pPr>
      <w:r>
        <w:rPr>
          <w:rFonts w:ascii="Times New Roman" w:hAnsi="Times New Roman"/>
          <w:bCs/>
          <w:color w:val="auto"/>
          <w:sz w:val="22"/>
          <w:szCs w:val="22"/>
        </w:rPr>
        <w:t>（五）对投标报价评审后有效的投标单位计算投标报价分和综合得分</w:t>
      </w:r>
      <w:r>
        <w:rPr>
          <w:rFonts w:hint="eastAsia" w:ascii="Times New Roman" w:hAnsi="Times New Roman"/>
          <w:bCs/>
          <w:color w:val="auto"/>
          <w:sz w:val="22"/>
          <w:szCs w:val="22"/>
        </w:rPr>
        <w:t>。</w:t>
      </w:r>
    </w:p>
    <w:p>
      <w:pPr>
        <w:pStyle w:val="27"/>
        <w:spacing w:line="420" w:lineRule="exact"/>
        <w:ind w:firstLine="420"/>
        <w:rPr>
          <w:rFonts w:ascii="Times New Roman" w:hAnsi="Times New Roman"/>
          <w:color w:val="auto"/>
          <w:spacing w:val="-4"/>
          <w:sz w:val="22"/>
          <w:szCs w:val="22"/>
        </w:rPr>
      </w:pPr>
      <w:r>
        <w:rPr>
          <w:rFonts w:ascii="Times New Roman" w:hAnsi="Times New Roman"/>
          <w:bCs/>
          <w:color w:val="auto"/>
          <w:sz w:val="22"/>
          <w:szCs w:val="22"/>
        </w:rPr>
        <w:t>（六）推荐中标候选人、出具评标报告</w:t>
      </w:r>
      <w:r>
        <w:rPr>
          <w:rFonts w:ascii="Times New Roman" w:hAnsi="Times New Roman"/>
          <w:color w:val="auto"/>
          <w:spacing w:val="-4"/>
          <w:sz w:val="22"/>
          <w:szCs w:val="22"/>
        </w:rPr>
        <w:t>。</w:t>
      </w:r>
    </w:p>
    <w:p>
      <w:pPr>
        <w:pStyle w:val="3"/>
        <w:numPr>
          <w:ilvl w:val="1"/>
          <w:numId w:val="4"/>
        </w:numPr>
        <w:spacing w:before="0" w:after="0" w:line="420" w:lineRule="exact"/>
        <w:jc w:val="left"/>
        <w:rPr>
          <w:rFonts w:ascii="Times New Roman" w:hAnsi="Times New Roman" w:eastAsia="宋体"/>
          <w:color w:val="auto"/>
          <w:sz w:val="24"/>
          <w:szCs w:val="22"/>
        </w:rPr>
      </w:pPr>
      <w:bookmarkStart w:id="65" w:name="_Toc2442"/>
      <w:bookmarkStart w:id="66" w:name="_Toc13023"/>
      <w:bookmarkStart w:id="67" w:name="_Toc26423"/>
      <w:bookmarkStart w:id="68" w:name="_Toc10206"/>
      <w:bookmarkStart w:id="69" w:name="_Toc3263"/>
      <w:r>
        <w:rPr>
          <w:rFonts w:ascii="Times New Roman" w:hAnsi="Times New Roman" w:eastAsia="宋体"/>
          <w:color w:val="auto"/>
          <w:sz w:val="24"/>
          <w:szCs w:val="22"/>
        </w:rPr>
        <w:t>二、评审办法</w:t>
      </w:r>
      <w:bookmarkEnd w:id="65"/>
      <w:bookmarkEnd w:id="66"/>
      <w:bookmarkEnd w:id="67"/>
      <w:bookmarkEnd w:id="68"/>
      <w:bookmarkEnd w:id="69"/>
    </w:p>
    <w:p>
      <w:pPr>
        <w:pStyle w:val="27"/>
        <w:spacing w:line="420" w:lineRule="exact"/>
        <w:ind w:firstLine="420"/>
        <w:rPr>
          <w:rFonts w:ascii="Times New Roman" w:hAnsi="Times New Roman"/>
          <w:b/>
          <w:color w:val="auto"/>
          <w:sz w:val="22"/>
          <w:szCs w:val="22"/>
        </w:rPr>
      </w:pPr>
      <w:bookmarkStart w:id="70" w:name="_Toc34597455"/>
      <w:r>
        <w:rPr>
          <w:rFonts w:ascii="Times New Roman" w:hAnsi="Times New Roman"/>
          <w:b/>
          <w:color w:val="auto"/>
          <w:sz w:val="22"/>
          <w:szCs w:val="22"/>
        </w:rPr>
        <w:t>1、技术标评审</w:t>
      </w:r>
      <w:bookmarkEnd w:id="70"/>
    </w:p>
    <w:p>
      <w:pPr>
        <w:spacing w:after="120" w:afterLines="50" w:line="420" w:lineRule="exact"/>
        <w:ind w:firstLine="420"/>
        <w:rPr>
          <w:color w:val="auto"/>
          <w:kern w:val="1"/>
          <w:sz w:val="22"/>
          <w:szCs w:val="22"/>
        </w:rPr>
      </w:pPr>
      <w:r>
        <w:rPr>
          <w:color w:val="auto"/>
          <w:kern w:val="1"/>
          <w:sz w:val="22"/>
          <w:szCs w:val="22"/>
        </w:rPr>
        <w:t>技术分满分为</w:t>
      </w:r>
      <w:r>
        <w:rPr>
          <w:rFonts w:hint="eastAsia"/>
          <w:color w:val="auto"/>
          <w:kern w:val="1"/>
          <w:sz w:val="22"/>
          <w:szCs w:val="22"/>
        </w:rPr>
        <w:t>80</w:t>
      </w:r>
      <w:r>
        <w:rPr>
          <w:color w:val="auto"/>
          <w:kern w:val="1"/>
          <w:sz w:val="22"/>
          <w:szCs w:val="22"/>
        </w:rPr>
        <w:t>分，分值分配见表格。评标委员会根据评分细则，对各投标人的技术部分进行书面审核和评论后，由各专家独立</w:t>
      </w:r>
      <w:r>
        <w:rPr>
          <w:rFonts w:hint="eastAsia"/>
          <w:color w:val="auto"/>
          <w:kern w:val="1"/>
          <w:sz w:val="22"/>
          <w:szCs w:val="22"/>
        </w:rPr>
        <w:t>打分</w:t>
      </w:r>
      <w:r>
        <w:rPr>
          <w:color w:val="auto"/>
          <w:kern w:val="1"/>
          <w:sz w:val="22"/>
          <w:szCs w:val="22"/>
        </w:rPr>
        <w:t>，打分时保留小数1位。在统计得分时，如果发现某一单项评分超过评分标准规定的分值范围，则该张评分表无效。投标人最终得分为评标委员会所有成员的有效评分的算术平均值，计算时保留小数2位。</w:t>
      </w:r>
    </w:p>
    <w:tbl>
      <w:tblPr>
        <w:tblStyle w:val="52"/>
        <w:tblW w:w="9448" w:type="dxa"/>
        <w:tblInd w:w="96" w:type="dxa"/>
        <w:tblLayout w:type="fixed"/>
        <w:tblCellMar>
          <w:top w:w="0" w:type="dxa"/>
          <w:left w:w="108" w:type="dxa"/>
          <w:bottom w:w="0" w:type="dxa"/>
          <w:right w:w="108" w:type="dxa"/>
        </w:tblCellMar>
      </w:tblPr>
      <w:tblGrid>
        <w:gridCol w:w="484"/>
        <w:gridCol w:w="1016"/>
        <w:gridCol w:w="6418"/>
        <w:gridCol w:w="794"/>
        <w:gridCol w:w="736"/>
      </w:tblGrid>
      <w:tr>
        <w:tblPrEx>
          <w:tblCellMar>
            <w:top w:w="0" w:type="dxa"/>
            <w:left w:w="108" w:type="dxa"/>
            <w:bottom w:w="0" w:type="dxa"/>
            <w:right w:w="108" w:type="dxa"/>
          </w:tblCellMar>
        </w:tblPrEx>
        <w:trPr>
          <w:trHeight w:val="283" w:hRule="atLeast"/>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lang w:bidi="ar"/>
              </w:rPr>
              <w:t>序号</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lang w:bidi="ar"/>
              </w:rPr>
            </w:pPr>
            <w:r>
              <w:rPr>
                <w:rFonts w:hint="eastAsia" w:ascii="宋体" w:hAnsi="宋体" w:cs="宋体"/>
                <w:color w:val="auto"/>
                <w:sz w:val="22"/>
                <w:szCs w:val="22"/>
                <w:lang w:bidi="ar"/>
              </w:rPr>
              <w:t>评分项目</w:t>
            </w:r>
          </w:p>
        </w:tc>
        <w:tc>
          <w:tcPr>
            <w:tcW w:w="6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lang w:bidi="ar"/>
              </w:rPr>
              <w:t>评分细则</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lang w:bidi="ar"/>
              </w:rPr>
              <w:t>分值</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lang w:bidi="ar"/>
              </w:rPr>
              <w:t>备注</w:t>
            </w:r>
          </w:p>
        </w:tc>
      </w:tr>
      <w:tr>
        <w:tblPrEx>
          <w:tblCellMar>
            <w:top w:w="0" w:type="dxa"/>
            <w:left w:w="108" w:type="dxa"/>
            <w:bottom w:w="0" w:type="dxa"/>
            <w:right w:w="108" w:type="dxa"/>
          </w:tblCellMar>
        </w:tblPrEx>
        <w:trPr>
          <w:trHeight w:val="283" w:hRule="atLeast"/>
        </w:trPr>
        <w:tc>
          <w:tcPr>
            <w:tcW w:w="48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lang w:bidi="ar"/>
              </w:rPr>
              <w:t>1</w:t>
            </w:r>
          </w:p>
        </w:tc>
        <w:tc>
          <w:tcPr>
            <w:tcW w:w="101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lang w:val="zh-TW" w:bidi="ar"/>
              </w:rPr>
            </w:pPr>
            <w:r>
              <w:rPr>
                <w:rFonts w:hint="eastAsia" w:ascii="宋体" w:hAnsi="宋体" w:cs="宋体"/>
                <w:color w:val="auto"/>
                <w:sz w:val="22"/>
                <w:szCs w:val="22"/>
                <w:lang w:bidi="ar"/>
              </w:rPr>
              <w:t>供应商情况</w:t>
            </w:r>
          </w:p>
        </w:tc>
        <w:tc>
          <w:tcPr>
            <w:tcW w:w="641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olor w:val="auto"/>
                <w:szCs w:val="21"/>
              </w:rPr>
            </w:pPr>
            <w:r>
              <w:rPr>
                <w:rFonts w:hint="eastAsia" w:ascii="宋体" w:hAnsi="宋体"/>
                <w:color w:val="auto"/>
                <w:szCs w:val="21"/>
              </w:rPr>
              <w:t>投标人近三年（2021年1月1日以来，以获奖证书颁发时间为准）以来获得过相关规划设计奖的每有1个得1.5分，最高得3分。（提供奖项扫描件，未提供不得分）</w:t>
            </w:r>
          </w:p>
        </w:tc>
        <w:tc>
          <w:tcPr>
            <w:tcW w:w="794" w:type="dxa"/>
            <w:tcBorders>
              <w:top w:val="single" w:color="000000" w:sz="4" w:space="0"/>
              <w:left w:val="single" w:color="000000" w:sz="4" w:space="0"/>
              <w:bottom w:val="single" w:color="000000" w:sz="4" w:space="0"/>
              <w:right w:val="single" w:color="000000" w:sz="4" w:space="0"/>
            </w:tcBorders>
            <w:vAlign w:val="center"/>
          </w:tcPr>
          <w:p>
            <w:pPr>
              <w:pStyle w:val="66"/>
              <w:spacing w:line="320" w:lineRule="exact"/>
              <w:jc w:val="center"/>
              <w:rPr>
                <w:rFonts w:ascii="宋体" w:hAnsi="宋体" w:cs="宋体"/>
                <w:bCs/>
                <w:color w:val="auto"/>
                <w:sz w:val="22"/>
                <w:szCs w:val="22"/>
              </w:rPr>
            </w:pPr>
            <w:r>
              <w:rPr>
                <w:rFonts w:hint="eastAsia" w:ascii="宋体" w:hAnsi="宋体" w:cs="宋体"/>
                <w:bCs/>
                <w:color w:val="auto"/>
                <w:sz w:val="22"/>
                <w:szCs w:val="22"/>
              </w:rPr>
              <w:t>0-3分</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客观分</w:t>
            </w:r>
          </w:p>
        </w:tc>
      </w:tr>
      <w:tr>
        <w:tblPrEx>
          <w:tblCellMar>
            <w:top w:w="0" w:type="dxa"/>
            <w:left w:w="108" w:type="dxa"/>
            <w:bottom w:w="0" w:type="dxa"/>
            <w:right w:w="108" w:type="dxa"/>
          </w:tblCellMar>
        </w:tblPrEx>
        <w:trPr>
          <w:trHeight w:val="283" w:hRule="atLeast"/>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2</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lang w:bidi="ar"/>
              </w:rPr>
            </w:pPr>
            <w:r>
              <w:rPr>
                <w:rFonts w:hint="eastAsia" w:ascii="宋体" w:hAnsi="宋体" w:cs="宋体"/>
                <w:color w:val="auto"/>
                <w:sz w:val="22"/>
                <w:szCs w:val="22"/>
                <w:lang w:bidi="ar"/>
              </w:rPr>
              <w:t>企业业绩</w:t>
            </w:r>
          </w:p>
        </w:tc>
        <w:tc>
          <w:tcPr>
            <w:tcW w:w="641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olor w:val="auto"/>
                <w:szCs w:val="21"/>
              </w:rPr>
            </w:pPr>
            <w:r>
              <w:rPr>
                <w:rFonts w:hint="eastAsia" w:ascii="宋体" w:hAnsi="宋体"/>
                <w:color w:val="auto"/>
                <w:szCs w:val="21"/>
              </w:rPr>
              <w:t>2021年1月1日以来（以合同签订时间为准）具有同类项目业绩的，每提供一个同类项目合同得1分，最高得2分。</w:t>
            </w:r>
          </w:p>
          <w:p>
            <w:pPr>
              <w:spacing w:line="320" w:lineRule="exact"/>
              <w:rPr>
                <w:rFonts w:ascii="宋体" w:hAnsi="宋体"/>
                <w:color w:val="auto"/>
                <w:szCs w:val="21"/>
              </w:rPr>
            </w:pPr>
            <w:r>
              <w:rPr>
                <w:rFonts w:hint="eastAsia" w:ascii="宋体" w:hAnsi="宋体"/>
                <w:color w:val="auto"/>
                <w:szCs w:val="21"/>
              </w:rPr>
              <w:t>（需提供类似项目业绩的合同扫描件，否则不得分。）</w:t>
            </w:r>
          </w:p>
        </w:tc>
        <w:tc>
          <w:tcPr>
            <w:tcW w:w="794" w:type="dxa"/>
            <w:tcBorders>
              <w:top w:val="single" w:color="000000" w:sz="4" w:space="0"/>
              <w:left w:val="single" w:color="000000" w:sz="4" w:space="0"/>
              <w:bottom w:val="single" w:color="000000" w:sz="4" w:space="0"/>
              <w:right w:val="single" w:color="000000" w:sz="4" w:space="0"/>
            </w:tcBorders>
            <w:vAlign w:val="center"/>
          </w:tcPr>
          <w:p>
            <w:pPr>
              <w:pStyle w:val="66"/>
              <w:spacing w:line="320" w:lineRule="exact"/>
              <w:jc w:val="center"/>
              <w:rPr>
                <w:rFonts w:ascii="宋体" w:hAnsi="宋体" w:cs="宋体"/>
                <w:bCs/>
                <w:color w:val="auto"/>
                <w:sz w:val="22"/>
                <w:szCs w:val="22"/>
              </w:rPr>
            </w:pPr>
            <w:r>
              <w:rPr>
                <w:rFonts w:hint="eastAsia" w:ascii="宋体" w:hAnsi="宋体" w:cs="宋体"/>
                <w:bCs/>
                <w:color w:val="auto"/>
                <w:sz w:val="22"/>
                <w:szCs w:val="22"/>
              </w:rPr>
              <w:t>0-2分</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lang w:bidi="ar"/>
              </w:rPr>
              <w:t>客观分</w:t>
            </w:r>
          </w:p>
        </w:tc>
      </w:tr>
      <w:tr>
        <w:tblPrEx>
          <w:tblCellMar>
            <w:top w:w="0" w:type="dxa"/>
            <w:left w:w="108" w:type="dxa"/>
            <w:bottom w:w="0" w:type="dxa"/>
            <w:right w:w="108" w:type="dxa"/>
          </w:tblCellMar>
        </w:tblPrEx>
        <w:trPr>
          <w:trHeight w:val="283" w:hRule="atLeast"/>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3</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lang w:bidi="ar"/>
              </w:rPr>
            </w:pPr>
            <w:r>
              <w:rPr>
                <w:rFonts w:hint="eastAsia" w:ascii="宋体" w:hAnsi="宋体" w:cs="宋体"/>
                <w:color w:val="auto"/>
                <w:sz w:val="22"/>
                <w:szCs w:val="22"/>
                <w:lang w:bidi="ar"/>
              </w:rPr>
              <w:t>项目负责人</w:t>
            </w:r>
          </w:p>
        </w:tc>
        <w:tc>
          <w:tcPr>
            <w:tcW w:w="641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olor w:val="auto"/>
                <w:szCs w:val="21"/>
              </w:rPr>
            </w:pPr>
            <w:r>
              <w:rPr>
                <w:rFonts w:hint="eastAsia" w:ascii="宋体" w:hAnsi="宋体"/>
                <w:color w:val="auto"/>
                <w:szCs w:val="21"/>
              </w:rPr>
              <w:t>1.具有注册规划师证书的得2分，本项最多得2分；</w:t>
            </w:r>
          </w:p>
          <w:p>
            <w:pPr>
              <w:spacing w:line="320" w:lineRule="exact"/>
              <w:rPr>
                <w:rFonts w:ascii="宋体" w:hAnsi="宋体"/>
                <w:color w:val="auto"/>
                <w:szCs w:val="21"/>
              </w:rPr>
            </w:pPr>
            <w:r>
              <w:rPr>
                <w:rFonts w:hint="eastAsia" w:ascii="宋体" w:hAnsi="宋体"/>
                <w:color w:val="auto"/>
                <w:szCs w:val="21"/>
              </w:rPr>
              <w:t>2.具有正高级工程师职称证书的得4分，具有高级工程师职称证书的得2分，本项最高得4分。</w:t>
            </w:r>
          </w:p>
          <w:p>
            <w:pPr>
              <w:spacing w:line="320" w:lineRule="exact"/>
              <w:rPr>
                <w:rFonts w:ascii="宋体" w:hAnsi="宋体"/>
                <w:color w:val="auto"/>
                <w:szCs w:val="21"/>
              </w:rPr>
            </w:pPr>
            <w:r>
              <w:rPr>
                <w:rFonts w:hint="eastAsia" w:ascii="宋体" w:hAnsi="宋体"/>
                <w:color w:val="auto"/>
                <w:szCs w:val="21"/>
              </w:rPr>
              <w:t>（需提供相应证书扫描件及近三个月内在本单位的社保凭证扫描件）</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bCs/>
                <w:color w:val="auto"/>
                <w:sz w:val="22"/>
                <w:szCs w:val="22"/>
              </w:rPr>
            </w:pPr>
            <w:r>
              <w:rPr>
                <w:rFonts w:hint="eastAsia" w:ascii="宋体" w:hAnsi="宋体" w:cs="仿宋"/>
                <w:bCs/>
                <w:color w:val="auto"/>
                <w:kern w:val="1"/>
                <w:szCs w:val="21"/>
              </w:rPr>
              <w:t>0-6分</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lang w:bidi="ar"/>
              </w:rPr>
              <w:t>客观分</w:t>
            </w:r>
          </w:p>
        </w:tc>
      </w:tr>
      <w:tr>
        <w:tblPrEx>
          <w:tblCellMar>
            <w:top w:w="0" w:type="dxa"/>
            <w:left w:w="108" w:type="dxa"/>
            <w:bottom w:w="0" w:type="dxa"/>
            <w:right w:w="108" w:type="dxa"/>
          </w:tblCellMar>
        </w:tblPrEx>
        <w:trPr>
          <w:trHeight w:val="283" w:hRule="atLeast"/>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4</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lang w:bidi="ar"/>
              </w:rPr>
            </w:pPr>
            <w:r>
              <w:rPr>
                <w:rFonts w:hint="eastAsia" w:ascii="宋体" w:hAnsi="宋体" w:cs="宋体"/>
                <w:color w:val="auto"/>
                <w:sz w:val="22"/>
                <w:szCs w:val="22"/>
                <w:lang w:bidi="ar"/>
              </w:rPr>
              <w:t>项目组成员</w:t>
            </w:r>
          </w:p>
        </w:tc>
        <w:tc>
          <w:tcPr>
            <w:tcW w:w="641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olor w:val="auto"/>
                <w:szCs w:val="21"/>
              </w:rPr>
            </w:pPr>
            <w:r>
              <w:rPr>
                <w:rFonts w:hint="eastAsia" w:ascii="宋体" w:hAnsi="宋体"/>
                <w:color w:val="auto"/>
                <w:szCs w:val="21"/>
              </w:rPr>
              <w:t>拟投入本项目团队人员（项目负责人除外）应涵盖城乡（市）规划专业、建筑学、风景园林、市政道路、给排水、交通六种专业的技术人员，中级职称的每人得0.5分，高级及以上职称的每人得1分，每个专业最多不超过2人。本项最高得12分；</w:t>
            </w:r>
          </w:p>
          <w:p>
            <w:pPr>
              <w:spacing w:line="320" w:lineRule="exact"/>
              <w:rPr>
                <w:rFonts w:ascii="宋体" w:hAnsi="宋体"/>
                <w:color w:val="auto"/>
                <w:szCs w:val="21"/>
              </w:rPr>
            </w:pPr>
            <w:r>
              <w:rPr>
                <w:rFonts w:hint="eastAsia" w:ascii="宋体" w:hAnsi="宋体"/>
                <w:color w:val="auto"/>
                <w:szCs w:val="21"/>
              </w:rPr>
              <w:t>注：提供相关证书扫描件和近3个月在本单位的的社保凭证扫描件并加盖公章，未提供不得分。</w:t>
            </w:r>
          </w:p>
        </w:tc>
        <w:tc>
          <w:tcPr>
            <w:tcW w:w="7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Cs/>
                <w:color w:val="auto"/>
                <w:sz w:val="22"/>
                <w:szCs w:val="22"/>
              </w:rPr>
            </w:pPr>
            <w:r>
              <w:rPr>
                <w:rFonts w:hint="eastAsia" w:ascii="宋体" w:hAnsi="宋体" w:cs="仿宋"/>
                <w:bCs/>
                <w:color w:val="auto"/>
                <w:kern w:val="1"/>
                <w:szCs w:val="21"/>
              </w:rPr>
              <w:t>0-12分</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lang w:bidi="ar"/>
              </w:rPr>
              <w:t>客观分</w:t>
            </w:r>
          </w:p>
        </w:tc>
      </w:tr>
      <w:tr>
        <w:tblPrEx>
          <w:tblCellMar>
            <w:top w:w="0" w:type="dxa"/>
            <w:left w:w="108" w:type="dxa"/>
            <w:bottom w:w="0" w:type="dxa"/>
            <w:right w:w="108" w:type="dxa"/>
          </w:tblCellMar>
        </w:tblPrEx>
        <w:trPr>
          <w:trHeight w:val="283" w:hRule="atLeast"/>
        </w:trPr>
        <w:tc>
          <w:tcPr>
            <w:tcW w:w="48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5</w:t>
            </w:r>
          </w:p>
        </w:tc>
        <w:tc>
          <w:tcPr>
            <w:tcW w:w="101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auto"/>
                <w:sz w:val="22"/>
                <w:szCs w:val="22"/>
                <w:lang w:bidi="ar"/>
              </w:rPr>
            </w:pPr>
            <w:r>
              <w:rPr>
                <w:rFonts w:hint="eastAsia" w:ascii="宋体" w:hAnsi="宋体" w:cs="宋体"/>
                <w:color w:val="auto"/>
                <w:sz w:val="22"/>
                <w:szCs w:val="22"/>
                <w:lang w:bidi="ar"/>
              </w:rPr>
              <w:t>工作背景研究</w:t>
            </w:r>
          </w:p>
        </w:tc>
        <w:tc>
          <w:tcPr>
            <w:tcW w:w="6418" w:type="dxa"/>
            <w:tcBorders>
              <w:top w:val="single" w:color="000000" w:sz="4" w:space="0"/>
              <w:left w:val="single" w:color="000000" w:sz="4" w:space="0"/>
              <w:bottom w:val="single" w:color="auto" w:sz="4" w:space="0"/>
              <w:right w:val="single" w:color="000000" w:sz="4" w:space="0"/>
            </w:tcBorders>
            <w:vAlign w:val="center"/>
          </w:tcPr>
          <w:p>
            <w:pPr>
              <w:spacing w:line="320" w:lineRule="exact"/>
              <w:rPr>
                <w:rFonts w:ascii="宋体" w:hAnsi="宋体"/>
                <w:color w:val="auto"/>
                <w:szCs w:val="21"/>
              </w:rPr>
            </w:pPr>
            <w:r>
              <w:rPr>
                <w:rFonts w:hint="eastAsia" w:ascii="宋体" w:hAnsi="宋体"/>
                <w:color w:val="auto"/>
                <w:szCs w:val="21"/>
              </w:rPr>
              <w:t>1.根据投标人对全国历史文化保护传承工作背景、工作部署的了解情况进行打分；（0-2分）</w:t>
            </w:r>
          </w:p>
          <w:p>
            <w:pPr>
              <w:spacing w:line="320" w:lineRule="exact"/>
              <w:rPr>
                <w:rFonts w:ascii="宋体" w:hAnsi="宋体"/>
                <w:color w:val="auto"/>
                <w:szCs w:val="21"/>
              </w:rPr>
            </w:pPr>
            <w:r>
              <w:rPr>
                <w:rFonts w:hint="eastAsia" w:ascii="宋体" w:hAnsi="宋体"/>
                <w:color w:val="auto"/>
                <w:szCs w:val="21"/>
              </w:rPr>
              <w:t>2.根据投标人对</w:t>
            </w:r>
            <w:r>
              <w:rPr>
                <w:rFonts w:hint="eastAsia" w:ascii="宋体" w:hAnsi="宋体"/>
                <w:color w:val="auto"/>
                <w:szCs w:val="21"/>
              </w:rPr>
              <w:t>项目所在地</w:t>
            </w:r>
            <w:r>
              <w:rPr>
                <w:rFonts w:hint="eastAsia" w:ascii="宋体" w:hAnsi="宋体"/>
                <w:color w:val="auto"/>
                <w:szCs w:val="21"/>
              </w:rPr>
              <w:t>现有历史文化相关规划或研究成果进行分析解读，</w:t>
            </w:r>
            <w:r>
              <w:rPr>
                <w:rFonts w:hint="eastAsia" w:ascii="宋体" w:hAnsi="宋体"/>
                <w:color w:val="auto"/>
                <w:szCs w:val="21"/>
              </w:rPr>
              <w:t>包括但不限于历史文化名镇保护规划、传统村落保护规划、历史文化名村规划、历史文脉研究等</w:t>
            </w:r>
            <w:r>
              <w:rPr>
                <w:rFonts w:hint="eastAsia" w:ascii="宋体" w:hAnsi="宋体"/>
                <w:color w:val="auto"/>
                <w:szCs w:val="21"/>
              </w:rPr>
              <w:t>，根据分析深度和细致程度进行评分。（0-2分）</w:t>
            </w:r>
          </w:p>
        </w:tc>
        <w:tc>
          <w:tcPr>
            <w:tcW w:w="7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仿宋"/>
                <w:bCs/>
                <w:color w:val="auto"/>
                <w:kern w:val="1"/>
                <w:szCs w:val="21"/>
              </w:rPr>
            </w:pPr>
            <w:r>
              <w:rPr>
                <w:rFonts w:hint="eastAsia" w:ascii="宋体" w:hAnsi="宋体" w:cs="仿宋"/>
                <w:bCs/>
                <w:color w:val="auto"/>
                <w:kern w:val="1"/>
                <w:szCs w:val="21"/>
              </w:rPr>
              <w:t>0</w:t>
            </w:r>
            <w:r>
              <w:rPr>
                <w:rFonts w:ascii="宋体" w:hAnsi="宋体" w:cs="仿宋"/>
                <w:bCs/>
                <w:color w:val="auto"/>
                <w:kern w:val="1"/>
                <w:szCs w:val="21"/>
              </w:rPr>
              <w:t>-</w:t>
            </w:r>
            <w:r>
              <w:rPr>
                <w:rFonts w:hint="eastAsia" w:ascii="宋体" w:hAnsi="宋体" w:cs="仿宋"/>
                <w:bCs/>
                <w:color w:val="auto"/>
                <w:kern w:val="1"/>
                <w:szCs w:val="21"/>
              </w:rPr>
              <w:t>4分</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主观分</w:t>
            </w:r>
          </w:p>
        </w:tc>
      </w:tr>
      <w:tr>
        <w:tblPrEx>
          <w:tblCellMar>
            <w:top w:w="0" w:type="dxa"/>
            <w:left w:w="108" w:type="dxa"/>
            <w:bottom w:w="0" w:type="dxa"/>
            <w:right w:w="108" w:type="dxa"/>
          </w:tblCellMar>
        </w:tblPrEx>
        <w:trPr>
          <w:trHeight w:val="283" w:hRule="atLeast"/>
        </w:trPr>
        <w:tc>
          <w:tcPr>
            <w:tcW w:w="4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6</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auto"/>
                <w:sz w:val="22"/>
                <w:szCs w:val="22"/>
                <w:lang w:bidi="ar"/>
              </w:rPr>
            </w:pPr>
            <w:r>
              <w:rPr>
                <w:rFonts w:hint="eastAsia" w:ascii="宋体" w:hAnsi="宋体" w:cs="宋体"/>
                <w:color w:val="auto"/>
                <w:sz w:val="22"/>
                <w:szCs w:val="22"/>
                <w:lang w:bidi="ar"/>
              </w:rPr>
              <w:t>城市现状分析研究</w:t>
            </w:r>
          </w:p>
        </w:tc>
        <w:tc>
          <w:tcPr>
            <w:tcW w:w="641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Cs w:val="21"/>
              </w:rPr>
            </w:pPr>
            <w:r>
              <w:rPr>
                <w:rFonts w:hint="eastAsia" w:ascii="宋体" w:hAnsi="宋体"/>
                <w:color w:val="auto"/>
                <w:szCs w:val="21"/>
              </w:rPr>
              <w:t>1. 根据投标人对</w:t>
            </w:r>
            <w:r>
              <w:rPr>
                <w:rFonts w:hint="eastAsia" w:ascii="宋体" w:hAnsi="宋体"/>
                <w:color w:val="auto"/>
                <w:szCs w:val="21"/>
              </w:rPr>
              <w:t>项目所在地</w:t>
            </w:r>
            <w:r>
              <w:rPr>
                <w:rFonts w:hint="eastAsia" w:ascii="宋体" w:hAnsi="宋体"/>
                <w:color w:val="auto"/>
                <w:szCs w:val="21"/>
              </w:rPr>
              <w:t>历史沿革、重大历史事件、历史名人、文化发展脉络、文化特征进行研究，从信息是否了解准确，掌握是否全面进行评分；（0-2分）</w:t>
            </w:r>
          </w:p>
          <w:p>
            <w:pPr>
              <w:spacing w:line="320" w:lineRule="exact"/>
              <w:rPr>
                <w:rFonts w:ascii="宋体" w:hAnsi="宋体"/>
                <w:color w:val="auto"/>
                <w:szCs w:val="21"/>
              </w:rPr>
            </w:pPr>
            <w:r>
              <w:rPr>
                <w:rFonts w:hint="eastAsia" w:ascii="宋体" w:hAnsi="宋体"/>
                <w:color w:val="auto"/>
                <w:szCs w:val="21"/>
              </w:rPr>
              <w:t>2. 根据投标人对</w:t>
            </w:r>
            <w:r>
              <w:rPr>
                <w:rFonts w:hint="eastAsia" w:ascii="宋体" w:hAnsi="宋体"/>
                <w:color w:val="auto"/>
                <w:szCs w:val="21"/>
              </w:rPr>
              <w:t>项目所在地</w:t>
            </w:r>
            <w:r>
              <w:rPr>
                <w:rFonts w:hint="eastAsia" w:ascii="宋体" w:hAnsi="宋体"/>
                <w:color w:val="auto"/>
                <w:szCs w:val="21"/>
              </w:rPr>
              <w:t>明清之前、明清时期、民国时期、改革开放后等各阶段城市空间的演变情况</w:t>
            </w:r>
            <w:r>
              <w:rPr>
                <w:rFonts w:hint="eastAsia" w:ascii="宋体" w:hAnsi="宋体"/>
                <w:color w:val="auto"/>
                <w:szCs w:val="21"/>
              </w:rPr>
              <w:t>进行分析，研究城市空间发展的主要特征，从信息是否了解准确，掌握是否全面进行评分。（0-2分）</w:t>
            </w:r>
          </w:p>
        </w:tc>
        <w:tc>
          <w:tcPr>
            <w:tcW w:w="794"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宋体" w:hAnsi="宋体" w:cs="宋体"/>
                <w:bCs/>
                <w:color w:val="auto"/>
                <w:sz w:val="22"/>
                <w:szCs w:val="22"/>
              </w:rPr>
            </w:pPr>
            <w:r>
              <w:rPr>
                <w:rFonts w:hint="eastAsia" w:ascii="宋体" w:hAnsi="宋体" w:cs="仿宋"/>
                <w:bCs/>
                <w:color w:val="auto"/>
                <w:kern w:val="1"/>
                <w:szCs w:val="21"/>
              </w:rPr>
              <w:t>0-4分</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主观分</w:t>
            </w:r>
          </w:p>
        </w:tc>
      </w:tr>
      <w:tr>
        <w:tblPrEx>
          <w:tblCellMar>
            <w:top w:w="0" w:type="dxa"/>
            <w:left w:w="108" w:type="dxa"/>
            <w:bottom w:w="0" w:type="dxa"/>
            <w:right w:w="108" w:type="dxa"/>
          </w:tblCellMar>
        </w:tblPrEx>
        <w:trPr>
          <w:trHeight w:val="283" w:hRule="atLeast"/>
        </w:trPr>
        <w:tc>
          <w:tcPr>
            <w:tcW w:w="4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7</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保护名录、空间位置和主要情况梳理</w:t>
            </w:r>
          </w:p>
        </w:tc>
        <w:tc>
          <w:tcPr>
            <w:tcW w:w="641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Cs w:val="21"/>
              </w:rPr>
            </w:pPr>
            <w:r>
              <w:rPr>
                <w:rFonts w:hint="eastAsia" w:ascii="宋体" w:hAnsi="宋体"/>
                <w:color w:val="auto"/>
                <w:szCs w:val="21"/>
              </w:rPr>
              <w:t>1.根据投标人对</w:t>
            </w:r>
            <w:r>
              <w:rPr>
                <w:rFonts w:hint="eastAsia" w:ascii="宋体" w:hAnsi="宋体"/>
                <w:color w:val="auto"/>
                <w:szCs w:val="21"/>
              </w:rPr>
              <w:t>项目所在地</w:t>
            </w:r>
            <w:r>
              <w:rPr>
                <w:rFonts w:hint="eastAsia" w:ascii="宋体" w:hAnsi="宋体"/>
                <w:color w:val="auto"/>
                <w:szCs w:val="21"/>
              </w:rPr>
              <w:t>历史文化名镇的名录</w:t>
            </w:r>
            <w:r>
              <w:rPr>
                <w:rFonts w:hint="eastAsia" w:ascii="宋体" w:hAnsi="宋体"/>
                <w:color w:val="auto"/>
                <w:szCs w:val="21"/>
              </w:rPr>
              <w:t>，及其现状评估、保护内容的要求</w:t>
            </w:r>
            <w:r>
              <w:rPr>
                <w:rFonts w:hint="eastAsia" w:ascii="宋体" w:hAnsi="宋体"/>
                <w:color w:val="auto"/>
                <w:szCs w:val="21"/>
              </w:rPr>
              <w:t>进行全面梳理研究，从对上述信息是否了解准确，掌握的信息是否全面易于项目开展进行评分；（0-2分）</w:t>
            </w:r>
          </w:p>
          <w:p>
            <w:pPr>
              <w:spacing w:line="320" w:lineRule="exact"/>
              <w:rPr>
                <w:rFonts w:ascii="宋体" w:hAnsi="宋体"/>
                <w:color w:val="auto"/>
                <w:szCs w:val="21"/>
              </w:rPr>
            </w:pPr>
            <w:r>
              <w:rPr>
                <w:rFonts w:hint="eastAsia" w:ascii="宋体" w:hAnsi="宋体"/>
                <w:color w:val="auto"/>
                <w:szCs w:val="21"/>
              </w:rPr>
              <w:t>2.根据投标人对</w:t>
            </w:r>
            <w:r>
              <w:rPr>
                <w:rFonts w:hint="eastAsia" w:ascii="宋体" w:hAnsi="宋体"/>
                <w:color w:val="auto"/>
                <w:szCs w:val="21"/>
              </w:rPr>
              <w:t>项目所在地</w:t>
            </w:r>
            <w:r>
              <w:rPr>
                <w:rFonts w:hint="eastAsia" w:ascii="宋体" w:hAnsi="宋体"/>
                <w:color w:val="auto"/>
                <w:szCs w:val="21"/>
              </w:rPr>
              <w:t>历史文化名村名录</w:t>
            </w:r>
            <w:r>
              <w:rPr>
                <w:rFonts w:hint="eastAsia" w:ascii="宋体" w:hAnsi="宋体"/>
                <w:color w:val="auto"/>
                <w:szCs w:val="21"/>
              </w:rPr>
              <w:t>，及其空间位置、资源价值评估、管控要求等</w:t>
            </w:r>
            <w:r>
              <w:rPr>
                <w:rFonts w:hint="eastAsia" w:ascii="宋体" w:hAnsi="宋体"/>
                <w:color w:val="auto"/>
                <w:szCs w:val="21"/>
              </w:rPr>
              <w:t>进行全面梳理研究，从对上述信息是否了解准确，掌握的信息是否全面易于项目开展进行评分；（0-2分）</w:t>
            </w:r>
          </w:p>
          <w:p>
            <w:pPr>
              <w:spacing w:line="320" w:lineRule="exact"/>
              <w:rPr>
                <w:rFonts w:ascii="宋体" w:hAnsi="宋体"/>
                <w:color w:val="auto"/>
                <w:szCs w:val="21"/>
              </w:rPr>
            </w:pPr>
            <w:r>
              <w:rPr>
                <w:rFonts w:hint="eastAsia" w:ascii="宋体" w:hAnsi="宋体"/>
                <w:color w:val="auto"/>
                <w:szCs w:val="21"/>
              </w:rPr>
              <w:t>3.根据投标人对</w:t>
            </w:r>
            <w:r>
              <w:rPr>
                <w:rFonts w:hint="eastAsia" w:ascii="宋体" w:hAnsi="宋体"/>
                <w:color w:val="auto"/>
                <w:szCs w:val="21"/>
              </w:rPr>
              <w:t>项目所在地</w:t>
            </w:r>
            <w:r>
              <w:rPr>
                <w:rFonts w:hint="eastAsia" w:ascii="宋体" w:hAnsi="宋体"/>
                <w:color w:val="auto"/>
                <w:szCs w:val="21"/>
              </w:rPr>
              <w:t>传统村落的名录</w:t>
            </w:r>
            <w:r>
              <w:rPr>
                <w:rFonts w:hint="eastAsia" w:ascii="宋体" w:hAnsi="宋体"/>
                <w:color w:val="auto"/>
                <w:szCs w:val="21"/>
              </w:rPr>
              <w:t>，及其空间位置、资源价值评估、保护要求等</w:t>
            </w:r>
            <w:r>
              <w:rPr>
                <w:rFonts w:hint="eastAsia" w:ascii="宋体" w:hAnsi="宋体"/>
                <w:color w:val="auto"/>
                <w:szCs w:val="21"/>
              </w:rPr>
              <w:t>进行全面梳理研究，从对上述信息是否了解准确，掌握的信息是否全面易于项目开展进行评分；（0-2分）</w:t>
            </w:r>
          </w:p>
          <w:p>
            <w:pPr>
              <w:spacing w:line="320" w:lineRule="exact"/>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.根据投标人对</w:t>
            </w:r>
            <w:r>
              <w:rPr>
                <w:rFonts w:hint="eastAsia" w:ascii="宋体" w:hAnsi="宋体"/>
                <w:color w:val="auto"/>
                <w:szCs w:val="21"/>
              </w:rPr>
              <w:t>项目所在地</w:t>
            </w:r>
            <w:r>
              <w:rPr>
                <w:rFonts w:hint="eastAsia" w:ascii="宋体" w:hAnsi="宋体"/>
                <w:color w:val="auto"/>
                <w:szCs w:val="21"/>
              </w:rPr>
              <w:t>文保单位的名录</w:t>
            </w:r>
            <w:r>
              <w:rPr>
                <w:rFonts w:hint="eastAsia" w:ascii="宋体" w:hAnsi="宋体"/>
                <w:color w:val="auto"/>
                <w:szCs w:val="21"/>
              </w:rPr>
              <w:t>，及其空间位置、使用情况、建筑描述、平面图、价值评估、保护建议等</w:t>
            </w:r>
            <w:r>
              <w:rPr>
                <w:rFonts w:hint="eastAsia" w:ascii="宋体" w:hAnsi="宋体"/>
                <w:color w:val="auto"/>
                <w:szCs w:val="21"/>
              </w:rPr>
              <w:t>进行详细梳理分析，从对上述信息是否了解准确，掌握的信息是否全面易于项目开展进行评分；（0-2分）</w:t>
            </w:r>
          </w:p>
          <w:p>
            <w:pPr>
              <w:spacing w:line="320" w:lineRule="exact"/>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.根据投标人对</w:t>
            </w:r>
            <w:r>
              <w:rPr>
                <w:rFonts w:hint="eastAsia" w:ascii="宋体" w:hAnsi="宋体"/>
                <w:color w:val="auto"/>
                <w:szCs w:val="21"/>
              </w:rPr>
              <w:t>项目所在地</w:t>
            </w:r>
            <w:r>
              <w:rPr>
                <w:rFonts w:hint="eastAsia" w:ascii="宋体" w:hAnsi="宋体"/>
                <w:color w:val="auto"/>
                <w:szCs w:val="21"/>
              </w:rPr>
              <w:t>文保点名录</w:t>
            </w:r>
            <w:r>
              <w:rPr>
                <w:rFonts w:hint="eastAsia" w:ascii="宋体" w:hAnsi="宋体"/>
                <w:color w:val="auto"/>
                <w:szCs w:val="21"/>
              </w:rPr>
              <w:t>，及其空间位置、使用情况、建筑描述、平面图、价值评估、保护建议等</w:t>
            </w:r>
            <w:r>
              <w:rPr>
                <w:rFonts w:hint="eastAsia" w:ascii="宋体" w:hAnsi="宋体"/>
                <w:color w:val="auto"/>
                <w:szCs w:val="21"/>
              </w:rPr>
              <w:t>进行详细梳理分析，从对上述信息是否了解准确，掌握的信息是否全面易于项目开展进行评分；（0-2分）</w:t>
            </w:r>
          </w:p>
          <w:p>
            <w:pPr>
              <w:spacing w:line="320" w:lineRule="exact"/>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.根据投标人对</w:t>
            </w:r>
            <w:r>
              <w:rPr>
                <w:rFonts w:hint="eastAsia" w:ascii="宋体" w:hAnsi="宋体"/>
                <w:color w:val="auto"/>
                <w:szCs w:val="21"/>
              </w:rPr>
              <w:t>项目所在地</w:t>
            </w:r>
            <w:r>
              <w:rPr>
                <w:rFonts w:hint="eastAsia" w:ascii="宋体" w:hAnsi="宋体"/>
                <w:color w:val="auto"/>
                <w:szCs w:val="21"/>
              </w:rPr>
              <w:t>三普点的名录</w:t>
            </w:r>
            <w:r>
              <w:rPr>
                <w:rFonts w:hint="eastAsia" w:ascii="宋体" w:hAnsi="宋体"/>
                <w:color w:val="auto"/>
                <w:szCs w:val="21"/>
              </w:rPr>
              <w:t>，及其空间位置、使用情况、建筑描述、平面图、价值评估、保护建议等</w:t>
            </w:r>
            <w:r>
              <w:rPr>
                <w:rFonts w:hint="eastAsia" w:ascii="宋体" w:hAnsi="宋体"/>
                <w:color w:val="auto"/>
                <w:szCs w:val="21"/>
              </w:rPr>
              <w:t>进行详细梳理分析，从对上述信息是否了解准确，掌握的信息是否全面易于项目开展进行评分。（0-2分）</w:t>
            </w:r>
          </w:p>
        </w:tc>
        <w:tc>
          <w:tcPr>
            <w:tcW w:w="794"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宋体" w:hAnsi="宋体" w:cs="仿宋"/>
                <w:bCs/>
                <w:color w:val="auto"/>
                <w:szCs w:val="21"/>
              </w:rPr>
            </w:pPr>
            <w:r>
              <w:rPr>
                <w:rFonts w:hint="eastAsia" w:ascii="宋体" w:hAnsi="宋体" w:cs="仿宋"/>
                <w:bCs/>
                <w:color w:val="auto"/>
                <w:szCs w:val="21"/>
              </w:rPr>
              <w:t>0-12分</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主观分</w:t>
            </w:r>
          </w:p>
        </w:tc>
      </w:tr>
      <w:tr>
        <w:tblPrEx>
          <w:tblCellMar>
            <w:top w:w="0" w:type="dxa"/>
            <w:left w:w="108" w:type="dxa"/>
            <w:bottom w:w="0" w:type="dxa"/>
            <w:right w:w="108" w:type="dxa"/>
          </w:tblCellMar>
        </w:tblPrEx>
        <w:trPr>
          <w:trHeight w:val="283" w:hRule="atLeast"/>
        </w:trPr>
        <w:tc>
          <w:tcPr>
            <w:tcW w:w="4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8</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历史遗存名录、空间位置和主要情况</w:t>
            </w:r>
          </w:p>
        </w:tc>
        <w:tc>
          <w:tcPr>
            <w:tcW w:w="641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Cs w:val="21"/>
              </w:rPr>
            </w:pPr>
            <w:r>
              <w:rPr>
                <w:rFonts w:hint="eastAsia" w:ascii="宋体" w:hAnsi="宋体"/>
                <w:color w:val="auto"/>
                <w:szCs w:val="21"/>
              </w:rPr>
              <w:t>1.对</w:t>
            </w:r>
            <w:r>
              <w:rPr>
                <w:rFonts w:hint="eastAsia" w:ascii="宋体" w:hAnsi="宋体"/>
                <w:color w:val="auto"/>
                <w:szCs w:val="21"/>
              </w:rPr>
              <w:t>项目所在地</w:t>
            </w:r>
            <w:r>
              <w:rPr>
                <w:rFonts w:hint="eastAsia" w:ascii="宋体" w:hAnsi="宋体"/>
                <w:color w:val="auto"/>
                <w:szCs w:val="21"/>
              </w:rPr>
              <w:t>历史建筑、工业遗产历史遗存名录</w:t>
            </w:r>
            <w:r>
              <w:rPr>
                <w:rFonts w:hint="eastAsia" w:ascii="宋体" w:hAnsi="宋体"/>
                <w:color w:val="auto"/>
                <w:szCs w:val="21"/>
              </w:rPr>
              <w:t>，及其空间位置、年代、建筑介绍</w:t>
            </w:r>
            <w:r>
              <w:rPr>
                <w:rFonts w:hint="eastAsia" w:ascii="宋体" w:hAnsi="宋体"/>
                <w:color w:val="auto"/>
                <w:szCs w:val="21"/>
              </w:rPr>
              <w:t>进行详细梳理分析，从对上述信息是否了解准确，掌握的信息是否全面易于项目开展进行评分；（0-2分）</w:t>
            </w:r>
          </w:p>
          <w:p>
            <w:pPr>
              <w:spacing w:line="320" w:lineRule="exact"/>
              <w:rPr>
                <w:rFonts w:ascii="宋体" w:hAnsi="宋体"/>
                <w:color w:val="auto"/>
                <w:szCs w:val="21"/>
              </w:rPr>
            </w:pPr>
            <w:r>
              <w:rPr>
                <w:rFonts w:hint="eastAsia" w:ascii="宋体" w:hAnsi="宋体"/>
                <w:color w:val="auto"/>
                <w:szCs w:val="21"/>
              </w:rPr>
              <w:t>2对</w:t>
            </w:r>
            <w:r>
              <w:rPr>
                <w:rFonts w:hint="eastAsia" w:ascii="宋体" w:hAnsi="宋体"/>
                <w:color w:val="auto"/>
                <w:szCs w:val="21"/>
              </w:rPr>
              <w:t>项目所在地</w:t>
            </w:r>
            <w:r>
              <w:rPr>
                <w:rFonts w:hint="eastAsia" w:ascii="宋体" w:hAnsi="宋体"/>
                <w:color w:val="auto"/>
                <w:szCs w:val="21"/>
              </w:rPr>
              <w:t>灌溉遗产、古树名木历史遗存名录</w:t>
            </w:r>
            <w:r>
              <w:rPr>
                <w:rFonts w:hint="eastAsia" w:ascii="宋体" w:hAnsi="宋体"/>
                <w:color w:val="auto"/>
                <w:szCs w:val="21"/>
              </w:rPr>
              <w:t>，及其</w:t>
            </w:r>
            <w:r>
              <w:rPr>
                <w:rFonts w:hint="eastAsia" w:ascii="宋体" w:hAnsi="宋体"/>
                <w:color w:val="auto"/>
                <w:szCs w:val="21"/>
              </w:rPr>
              <w:t>空间位置、类型、年代特征进行详细梳理分析，从对上述信息是否了解准确，掌握的信息是否全面易于项目开展进行评分；（0-2分）</w:t>
            </w:r>
          </w:p>
          <w:p>
            <w:pPr>
              <w:spacing w:line="320" w:lineRule="exact"/>
              <w:rPr>
                <w:rFonts w:ascii="宋体" w:hAnsi="宋体"/>
                <w:color w:val="auto"/>
                <w:szCs w:val="21"/>
              </w:rPr>
            </w:pPr>
            <w:r>
              <w:rPr>
                <w:rFonts w:hint="eastAsia" w:ascii="宋体" w:hAnsi="宋体"/>
                <w:color w:val="auto"/>
                <w:szCs w:val="21"/>
              </w:rPr>
              <w:t>3.对</w:t>
            </w:r>
            <w:r>
              <w:rPr>
                <w:rFonts w:hint="eastAsia" w:ascii="宋体" w:hAnsi="宋体"/>
                <w:color w:val="auto"/>
                <w:szCs w:val="21"/>
              </w:rPr>
              <w:t>项目所在地</w:t>
            </w:r>
            <w:r>
              <w:rPr>
                <w:rFonts w:hint="eastAsia" w:ascii="宋体" w:hAnsi="宋体"/>
                <w:color w:val="auto"/>
                <w:szCs w:val="21"/>
              </w:rPr>
              <w:t>非物质文化遗产、非遗传承基地历史遗存名录</w:t>
            </w:r>
            <w:r>
              <w:rPr>
                <w:rFonts w:hint="eastAsia" w:ascii="宋体" w:hAnsi="宋体"/>
                <w:color w:val="auto"/>
                <w:szCs w:val="21"/>
              </w:rPr>
              <w:t>，及其空间位置、等级等</w:t>
            </w:r>
            <w:r>
              <w:rPr>
                <w:rFonts w:hint="eastAsia" w:ascii="宋体" w:hAnsi="宋体"/>
                <w:color w:val="auto"/>
                <w:szCs w:val="21"/>
              </w:rPr>
              <w:t>进行详细梳理分析，从对上述信息是否了解准确，掌握的信息是否全面易于项目开展进行评分；（0-2分）</w:t>
            </w:r>
          </w:p>
          <w:p>
            <w:pPr>
              <w:spacing w:line="320" w:lineRule="exact"/>
              <w:rPr>
                <w:rFonts w:ascii="宋体" w:hAnsi="宋体"/>
                <w:color w:val="auto"/>
                <w:szCs w:val="21"/>
              </w:rPr>
            </w:pPr>
            <w:r>
              <w:rPr>
                <w:rFonts w:hint="eastAsia" w:ascii="宋体" w:hAnsi="宋体"/>
                <w:color w:val="auto"/>
                <w:szCs w:val="21"/>
              </w:rPr>
              <w:t>4.对</w:t>
            </w:r>
            <w:r>
              <w:rPr>
                <w:rFonts w:hint="eastAsia" w:ascii="宋体" w:hAnsi="宋体"/>
                <w:color w:val="auto"/>
                <w:szCs w:val="21"/>
              </w:rPr>
              <w:t>项目所在地</w:t>
            </w:r>
            <w:r>
              <w:rPr>
                <w:rFonts w:hint="eastAsia" w:ascii="宋体" w:hAnsi="宋体"/>
                <w:color w:val="auto"/>
                <w:szCs w:val="21"/>
              </w:rPr>
              <w:t>非遗传承人、地名文化遗产历史遗存名录</w:t>
            </w:r>
            <w:r>
              <w:rPr>
                <w:rFonts w:hint="eastAsia" w:ascii="宋体" w:hAnsi="宋体"/>
                <w:color w:val="auto"/>
                <w:szCs w:val="21"/>
              </w:rPr>
              <w:t>，及其空间位置、等级等</w:t>
            </w:r>
            <w:r>
              <w:rPr>
                <w:rFonts w:hint="eastAsia" w:ascii="宋体" w:hAnsi="宋体"/>
                <w:color w:val="auto"/>
                <w:szCs w:val="21"/>
              </w:rPr>
              <w:t>进行详细梳理分析，从对上述信息是否了解准确，掌握的信息是否全面易于项目开展进行评分；（0-2分）</w:t>
            </w:r>
          </w:p>
          <w:p>
            <w:pPr>
              <w:spacing w:line="320" w:lineRule="exact"/>
              <w:rPr>
                <w:rFonts w:ascii="宋体" w:hAnsi="宋体"/>
                <w:color w:val="auto"/>
                <w:szCs w:val="21"/>
              </w:rPr>
            </w:pPr>
            <w:r>
              <w:rPr>
                <w:rFonts w:hint="eastAsia" w:ascii="宋体" w:hAnsi="宋体"/>
                <w:color w:val="auto"/>
                <w:szCs w:val="21"/>
              </w:rPr>
              <w:t>5.对</w:t>
            </w:r>
            <w:r>
              <w:rPr>
                <w:rFonts w:hint="eastAsia" w:ascii="宋体" w:hAnsi="宋体"/>
                <w:color w:val="auto"/>
                <w:szCs w:val="21"/>
              </w:rPr>
              <w:t>项目所在地</w:t>
            </w:r>
            <w:r>
              <w:rPr>
                <w:rFonts w:hint="eastAsia" w:ascii="宋体" w:hAnsi="宋体"/>
                <w:color w:val="auto"/>
                <w:szCs w:val="21"/>
              </w:rPr>
              <w:t>地文景观、水文风光、生物景观等自然遗存资源分布情况进行详细梳理分析，从对上述信息是否了解准确，掌握的信息是否全面易于项目开展进行评分；（0-2分）</w:t>
            </w:r>
          </w:p>
          <w:p>
            <w:pPr>
              <w:spacing w:line="320" w:lineRule="exact"/>
              <w:rPr>
                <w:rFonts w:ascii="宋体" w:hAnsi="宋体"/>
                <w:color w:val="auto"/>
                <w:szCs w:val="21"/>
              </w:rPr>
            </w:pPr>
            <w:r>
              <w:rPr>
                <w:rFonts w:hint="eastAsia" w:ascii="宋体" w:hAnsi="宋体"/>
                <w:color w:val="auto"/>
                <w:szCs w:val="21"/>
              </w:rPr>
              <w:t>6.从政治类分析</w:t>
            </w:r>
            <w:r>
              <w:rPr>
                <w:rFonts w:hint="eastAsia" w:ascii="宋体" w:hAnsi="宋体"/>
                <w:color w:val="auto"/>
                <w:szCs w:val="21"/>
              </w:rPr>
              <w:t>项目所在地</w:t>
            </w:r>
            <w:r>
              <w:rPr>
                <w:rFonts w:hint="eastAsia" w:ascii="宋体" w:hAnsi="宋体"/>
                <w:color w:val="auto"/>
                <w:szCs w:val="21"/>
              </w:rPr>
              <w:t>内各类历史文化遗存资源的空间分布特征，从分析的完整性、准确性、科学性进行评分；（0-2分）</w:t>
            </w:r>
          </w:p>
          <w:p>
            <w:pPr>
              <w:spacing w:line="320" w:lineRule="exact"/>
              <w:rPr>
                <w:rFonts w:ascii="宋体" w:hAnsi="宋体"/>
                <w:color w:val="auto"/>
                <w:szCs w:val="21"/>
              </w:rPr>
            </w:pPr>
            <w:r>
              <w:rPr>
                <w:rFonts w:hint="eastAsia" w:ascii="宋体" w:hAnsi="宋体"/>
                <w:color w:val="auto"/>
                <w:szCs w:val="21"/>
              </w:rPr>
              <w:t>7.从经济类分析</w:t>
            </w:r>
            <w:r>
              <w:rPr>
                <w:rFonts w:hint="eastAsia" w:ascii="宋体" w:hAnsi="宋体"/>
                <w:color w:val="auto"/>
                <w:szCs w:val="21"/>
              </w:rPr>
              <w:t>项目所在地</w:t>
            </w:r>
            <w:r>
              <w:rPr>
                <w:rFonts w:hint="eastAsia" w:ascii="宋体" w:hAnsi="宋体"/>
                <w:color w:val="auto"/>
                <w:szCs w:val="21"/>
              </w:rPr>
              <w:t>内各类历史文化遗存资源的空间分布特征，从分析的完整性、准确性、科学性进行评分；（0-2分）</w:t>
            </w:r>
          </w:p>
          <w:p>
            <w:pPr>
              <w:spacing w:line="320" w:lineRule="exact"/>
              <w:rPr>
                <w:rFonts w:ascii="宋体" w:hAnsi="宋体"/>
                <w:color w:val="auto"/>
                <w:szCs w:val="21"/>
              </w:rPr>
            </w:pPr>
            <w:r>
              <w:rPr>
                <w:rFonts w:hint="eastAsia" w:ascii="宋体" w:hAnsi="宋体"/>
                <w:color w:val="auto"/>
                <w:szCs w:val="21"/>
              </w:rPr>
              <w:t>8.从社会类分析</w:t>
            </w:r>
            <w:r>
              <w:rPr>
                <w:rFonts w:hint="eastAsia" w:ascii="宋体" w:hAnsi="宋体"/>
                <w:color w:val="auto"/>
                <w:szCs w:val="21"/>
              </w:rPr>
              <w:t>项目所在地</w:t>
            </w:r>
            <w:r>
              <w:rPr>
                <w:rFonts w:hint="eastAsia" w:ascii="宋体" w:hAnsi="宋体"/>
                <w:color w:val="auto"/>
                <w:szCs w:val="21"/>
              </w:rPr>
              <w:t>内各类历史文化遗存资源的空间分布特征，从分析的完整性、准确性、科学性进行评分；（0-2分）</w:t>
            </w:r>
          </w:p>
          <w:p>
            <w:pPr>
              <w:spacing w:line="320" w:lineRule="exact"/>
              <w:rPr>
                <w:rFonts w:ascii="宋体" w:hAnsi="宋体"/>
                <w:color w:val="auto"/>
                <w:szCs w:val="21"/>
              </w:rPr>
            </w:pPr>
            <w:r>
              <w:rPr>
                <w:rFonts w:hint="eastAsia" w:ascii="宋体" w:hAnsi="宋体"/>
                <w:color w:val="auto"/>
                <w:szCs w:val="21"/>
              </w:rPr>
              <w:t>9.从科技文化类分析</w:t>
            </w:r>
            <w:r>
              <w:rPr>
                <w:rFonts w:hint="eastAsia" w:ascii="宋体" w:hAnsi="宋体"/>
                <w:color w:val="auto"/>
                <w:szCs w:val="21"/>
              </w:rPr>
              <w:t>项目所在地</w:t>
            </w:r>
            <w:r>
              <w:rPr>
                <w:rFonts w:hint="eastAsia" w:ascii="宋体" w:hAnsi="宋体"/>
                <w:color w:val="auto"/>
                <w:szCs w:val="21"/>
              </w:rPr>
              <w:t>内各类历史文化遗存资源的空间分布特征，从分析的完整性、准确性、科学性进行评分；（0-2分）</w:t>
            </w:r>
          </w:p>
          <w:p>
            <w:pPr>
              <w:spacing w:line="320" w:lineRule="exact"/>
              <w:rPr>
                <w:rFonts w:ascii="宋体" w:hAnsi="宋体"/>
                <w:color w:val="auto"/>
                <w:szCs w:val="21"/>
              </w:rPr>
            </w:pPr>
            <w:r>
              <w:rPr>
                <w:rFonts w:hint="eastAsia" w:ascii="宋体" w:hAnsi="宋体"/>
                <w:color w:val="auto"/>
                <w:szCs w:val="21"/>
              </w:rPr>
              <w:t>10.从地理类分析</w:t>
            </w:r>
            <w:r>
              <w:rPr>
                <w:rFonts w:hint="eastAsia" w:ascii="宋体" w:hAnsi="宋体"/>
                <w:color w:val="auto"/>
                <w:szCs w:val="21"/>
              </w:rPr>
              <w:t>项目所在地</w:t>
            </w:r>
            <w:r>
              <w:rPr>
                <w:rFonts w:hint="eastAsia" w:ascii="宋体" w:hAnsi="宋体"/>
                <w:color w:val="auto"/>
                <w:szCs w:val="21"/>
              </w:rPr>
              <w:t>内各类历史文化遗存资源的空间分布特征，从分析的完整性、准确性、科学性进行评分；（0-2分）</w:t>
            </w:r>
          </w:p>
        </w:tc>
        <w:tc>
          <w:tcPr>
            <w:tcW w:w="794"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宋体" w:hAnsi="宋体" w:cs="仿宋"/>
                <w:bCs/>
                <w:color w:val="auto"/>
                <w:kern w:val="1"/>
                <w:szCs w:val="21"/>
              </w:rPr>
            </w:pPr>
            <w:r>
              <w:rPr>
                <w:rFonts w:hint="eastAsia" w:ascii="宋体" w:hAnsi="宋体" w:cs="仿宋"/>
                <w:bCs/>
                <w:color w:val="auto"/>
                <w:kern w:val="1"/>
                <w:szCs w:val="21"/>
              </w:rPr>
              <w:t>0-20分</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主观分</w:t>
            </w:r>
          </w:p>
        </w:tc>
      </w:tr>
      <w:tr>
        <w:tblPrEx>
          <w:tblCellMar>
            <w:top w:w="0" w:type="dxa"/>
            <w:left w:w="108" w:type="dxa"/>
            <w:bottom w:w="0" w:type="dxa"/>
            <w:right w:w="108" w:type="dxa"/>
          </w:tblCellMar>
        </w:tblPrEx>
        <w:trPr>
          <w:trHeight w:val="283" w:hRule="atLeast"/>
        </w:trPr>
        <w:tc>
          <w:tcPr>
            <w:tcW w:w="48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9</w:t>
            </w:r>
          </w:p>
        </w:tc>
        <w:tc>
          <w:tcPr>
            <w:tcW w:w="1016"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特征问题与技术方案</w:t>
            </w:r>
          </w:p>
        </w:tc>
        <w:tc>
          <w:tcPr>
            <w:tcW w:w="6418" w:type="dxa"/>
            <w:tcBorders>
              <w:top w:val="single" w:color="auto" w:sz="4" w:space="0"/>
              <w:left w:val="single" w:color="000000" w:sz="4" w:space="0"/>
              <w:bottom w:val="single" w:color="000000" w:sz="4" w:space="0"/>
              <w:right w:val="single" w:color="000000" w:sz="4" w:space="0"/>
            </w:tcBorders>
            <w:vAlign w:val="center"/>
          </w:tcPr>
          <w:p>
            <w:pPr>
              <w:spacing w:line="320" w:lineRule="exact"/>
              <w:rPr>
                <w:rFonts w:ascii="宋体" w:hAnsi="宋体"/>
                <w:color w:val="auto"/>
                <w:szCs w:val="21"/>
              </w:rPr>
            </w:pPr>
            <w:r>
              <w:rPr>
                <w:rFonts w:hint="eastAsia" w:ascii="宋体" w:hAnsi="宋体"/>
                <w:color w:val="auto"/>
                <w:szCs w:val="21"/>
              </w:rPr>
              <w:t>1.对项目所在地各类历史文化物质遗存资源使用情况及存在问题进行分析评估，据分析的完整性、准确性进行评分；（0-2分）</w:t>
            </w:r>
          </w:p>
          <w:p>
            <w:pPr>
              <w:spacing w:line="320" w:lineRule="exact"/>
              <w:rPr>
                <w:rFonts w:ascii="宋体" w:hAnsi="宋体"/>
                <w:color w:val="auto"/>
                <w:szCs w:val="21"/>
              </w:rPr>
            </w:pPr>
            <w:r>
              <w:rPr>
                <w:rFonts w:hint="eastAsia" w:ascii="宋体" w:hAnsi="宋体"/>
                <w:color w:val="auto"/>
                <w:szCs w:val="21"/>
              </w:rPr>
              <w:t>2.对项目所在地非遗文化传承活动的开展情况及存在问题，进行分析评估，据分析的完整性、准确性进行评分；（0-2分）</w:t>
            </w:r>
          </w:p>
          <w:p>
            <w:pPr>
              <w:spacing w:line="320" w:lineRule="exact"/>
              <w:rPr>
                <w:rFonts w:ascii="宋体" w:hAnsi="宋体"/>
                <w:color w:val="auto"/>
                <w:szCs w:val="21"/>
              </w:rPr>
            </w:pPr>
            <w:r>
              <w:rPr>
                <w:rFonts w:hint="eastAsia" w:ascii="宋体" w:hAnsi="宋体"/>
                <w:color w:val="auto"/>
                <w:szCs w:val="21"/>
              </w:rPr>
              <w:t>3.对项目所在地历史文化保护传承相关管理机制、资金要素保障、历史文化研究等方面的工作开展情况进行分析评估，据分析的完整性、准确性进行评分；（0-2分）</w:t>
            </w:r>
          </w:p>
          <w:p>
            <w:pPr>
              <w:spacing w:line="320" w:lineRule="exact"/>
              <w:rPr>
                <w:rFonts w:ascii="宋体" w:hAnsi="宋体"/>
                <w:color w:val="auto"/>
                <w:szCs w:val="21"/>
              </w:rPr>
            </w:pPr>
            <w:r>
              <w:rPr>
                <w:rFonts w:hint="eastAsia" w:ascii="宋体" w:hAnsi="宋体"/>
                <w:color w:val="auto"/>
                <w:szCs w:val="21"/>
              </w:rPr>
              <w:t>4.从历史建筑测绘建档完成率、不可移动文物保护区划和四有档案的完成情况进行评估，根据分析的完整性、准确性进行评分；（0-2分）</w:t>
            </w:r>
          </w:p>
          <w:p>
            <w:pPr>
              <w:spacing w:line="320" w:lineRule="exact"/>
              <w:rPr>
                <w:rFonts w:ascii="宋体" w:hAnsi="宋体"/>
                <w:color w:val="auto"/>
                <w:szCs w:val="21"/>
              </w:rPr>
            </w:pPr>
            <w:r>
              <w:rPr>
                <w:rFonts w:hint="eastAsia" w:ascii="宋体" w:hAnsi="宋体"/>
                <w:color w:val="auto"/>
                <w:szCs w:val="21"/>
              </w:rPr>
              <w:t>5.对历史文化保护传承工作的技术路线、工作思路初步方案的科学性、可操作性进行评分</w:t>
            </w:r>
            <w:r>
              <w:rPr>
                <w:rFonts w:hint="eastAsia" w:ascii="宋体" w:hAnsi="宋体"/>
                <w:color w:val="auto"/>
                <w:szCs w:val="21"/>
                <w:lang w:eastAsia="zh-CN"/>
              </w:rPr>
              <w:t>；</w:t>
            </w:r>
            <w:r>
              <w:rPr>
                <w:rFonts w:hint="eastAsia" w:ascii="宋体" w:hAnsi="宋体"/>
                <w:color w:val="auto"/>
                <w:szCs w:val="21"/>
              </w:rPr>
              <w:t>（0-2分）</w:t>
            </w:r>
          </w:p>
          <w:p>
            <w:pPr>
              <w:spacing w:line="320" w:lineRule="exact"/>
              <w:rPr>
                <w:rFonts w:ascii="宋体" w:hAnsi="宋体"/>
                <w:color w:val="auto"/>
                <w:szCs w:val="21"/>
              </w:rPr>
            </w:pPr>
            <w:r>
              <w:rPr>
                <w:rFonts w:hint="eastAsia" w:ascii="宋体" w:hAnsi="宋体"/>
                <w:color w:val="auto"/>
                <w:szCs w:val="21"/>
              </w:rPr>
              <w:t>6、对划定名录内所有的历史文化名镇、传统村落的核心保护区和建设控制地带的方案完整性、科学性进行评分；（0-2分）</w:t>
            </w:r>
          </w:p>
          <w:p>
            <w:pPr>
              <w:spacing w:line="320" w:lineRule="exact"/>
              <w:rPr>
                <w:rFonts w:hint="eastAsia" w:ascii="宋体" w:hAnsi="宋体"/>
                <w:color w:val="auto"/>
                <w:szCs w:val="21"/>
              </w:rPr>
            </w:pPr>
            <w:r>
              <w:rPr>
                <w:rFonts w:hint="eastAsia" w:ascii="宋体" w:hAnsi="宋体"/>
                <w:color w:val="auto"/>
                <w:szCs w:val="21"/>
              </w:rPr>
              <w:t>7、对划定的不少于2</w:t>
            </w:r>
            <w:r>
              <w:rPr>
                <w:rFonts w:ascii="宋体" w:hAnsi="宋体"/>
                <w:color w:val="auto"/>
                <w:szCs w:val="21"/>
              </w:rPr>
              <w:t>0个</w:t>
            </w:r>
            <w:r>
              <w:rPr>
                <w:rFonts w:hint="eastAsia" w:ascii="宋体" w:hAnsi="宋体"/>
                <w:color w:val="auto"/>
                <w:szCs w:val="21"/>
              </w:rPr>
              <w:t>各级文物保护单位、历史建筑、水利遗产的保护范围和建设控制地带的方案完整性、科学性进行评分。（0-2分）</w:t>
            </w:r>
          </w:p>
        </w:tc>
        <w:tc>
          <w:tcPr>
            <w:tcW w:w="7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仿宋"/>
                <w:bCs/>
                <w:color w:val="auto"/>
                <w:kern w:val="1"/>
                <w:szCs w:val="21"/>
              </w:rPr>
            </w:pPr>
            <w:r>
              <w:rPr>
                <w:rFonts w:hint="eastAsia" w:ascii="宋体" w:hAnsi="宋体" w:cs="仿宋"/>
                <w:bCs/>
                <w:color w:val="auto"/>
                <w:kern w:val="1"/>
                <w:szCs w:val="21"/>
              </w:rPr>
              <w:t>0-</w:t>
            </w:r>
            <w:r>
              <w:rPr>
                <w:rFonts w:ascii="宋体" w:hAnsi="宋体" w:cs="仿宋"/>
                <w:bCs/>
                <w:color w:val="auto"/>
                <w:kern w:val="1"/>
                <w:szCs w:val="21"/>
              </w:rPr>
              <w:t>14</w:t>
            </w:r>
            <w:r>
              <w:rPr>
                <w:rFonts w:hint="eastAsia" w:ascii="宋体" w:hAnsi="宋体" w:cs="仿宋"/>
                <w:bCs/>
                <w:color w:val="auto"/>
                <w:kern w:val="1"/>
                <w:szCs w:val="21"/>
              </w:rPr>
              <w:t>分</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主观分</w:t>
            </w:r>
          </w:p>
        </w:tc>
      </w:tr>
      <w:tr>
        <w:tblPrEx>
          <w:tblCellMar>
            <w:top w:w="0" w:type="dxa"/>
            <w:left w:w="108" w:type="dxa"/>
            <w:bottom w:w="0" w:type="dxa"/>
            <w:right w:w="108" w:type="dxa"/>
          </w:tblCellMar>
        </w:tblPrEx>
        <w:trPr>
          <w:trHeight w:val="283" w:hRule="atLeast"/>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10</w:t>
            </w:r>
          </w:p>
        </w:tc>
        <w:tc>
          <w:tcPr>
            <w:tcW w:w="10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服务保证措施</w:t>
            </w:r>
          </w:p>
        </w:tc>
        <w:tc>
          <w:tcPr>
            <w:tcW w:w="641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olor w:val="auto"/>
                <w:szCs w:val="21"/>
              </w:rPr>
            </w:pPr>
            <w:bookmarkStart w:id="79" w:name="_GoBack"/>
            <w:bookmarkEnd w:id="79"/>
            <w:r>
              <w:rPr>
                <w:rFonts w:hint="eastAsia" w:ascii="宋体" w:hAnsi="宋体"/>
                <w:color w:val="auto"/>
                <w:szCs w:val="21"/>
              </w:rPr>
              <w:t>根据投标人后续服务保障体系的完整性、科学性进行评分。</w:t>
            </w:r>
          </w:p>
        </w:tc>
        <w:tc>
          <w:tcPr>
            <w:tcW w:w="7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仿宋"/>
                <w:bCs/>
                <w:color w:val="auto"/>
                <w:szCs w:val="21"/>
              </w:rPr>
            </w:pPr>
            <w:r>
              <w:rPr>
                <w:rFonts w:hint="eastAsia" w:ascii="宋体" w:hAnsi="宋体" w:cs="仿宋"/>
                <w:bCs/>
                <w:color w:val="auto"/>
                <w:kern w:val="1"/>
                <w:szCs w:val="21"/>
              </w:rPr>
              <w:t>0-</w:t>
            </w:r>
            <w:r>
              <w:rPr>
                <w:rFonts w:ascii="宋体" w:hAnsi="宋体" w:cs="仿宋"/>
                <w:bCs/>
                <w:color w:val="auto"/>
                <w:kern w:val="1"/>
                <w:szCs w:val="21"/>
              </w:rPr>
              <w:t>1</w:t>
            </w:r>
            <w:r>
              <w:rPr>
                <w:rFonts w:hint="eastAsia" w:ascii="宋体" w:hAnsi="宋体" w:cs="仿宋"/>
                <w:bCs/>
                <w:color w:val="auto"/>
                <w:kern w:val="1"/>
                <w:szCs w:val="21"/>
              </w:rPr>
              <w:t>分</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主观分</w:t>
            </w:r>
          </w:p>
        </w:tc>
      </w:tr>
      <w:tr>
        <w:tblPrEx>
          <w:tblCellMar>
            <w:top w:w="0" w:type="dxa"/>
            <w:left w:w="108" w:type="dxa"/>
            <w:bottom w:w="0" w:type="dxa"/>
            <w:right w:w="108" w:type="dxa"/>
          </w:tblCellMar>
        </w:tblPrEx>
        <w:trPr>
          <w:trHeight w:val="283" w:hRule="atLeast"/>
        </w:trPr>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11</w:t>
            </w:r>
          </w:p>
        </w:tc>
        <w:tc>
          <w:tcPr>
            <w:tcW w:w="10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后续服务</w:t>
            </w:r>
          </w:p>
        </w:tc>
        <w:tc>
          <w:tcPr>
            <w:tcW w:w="641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olor w:val="auto"/>
                <w:szCs w:val="21"/>
              </w:rPr>
            </w:pPr>
            <w:r>
              <w:rPr>
                <w:rFonts w:hint="eastAsia" w:ascii="宋体" w:hAnsi="宋体"/>
                <w:color w:val="auto"/>
                <w:szCs w:val="21"/>
              </w:rPr>
              <w:t>投标人承诺中标后项目主要成员在项目所在地持续办公</w:t>
            </w:r>
            <w:r>
              <w:rPr>
                <w:rFonts w:ascii="宋体" w:hAnsi="宋体"/>
                <w:color w:val="auto"/>
                <w:szCs w:val="21"/>
              </w:rPr>
              <w:t>90</w:t>
            </w:r>
            <w:r>
              <w:rPr>
                <w:rFonts w:hint="eastAsia" w:ascii="宋体" w:hAnsi="宋体"/>
                <w:color w:val="auto"/>
                <w:szCs w:val="21"/>
              </w:rPr>
              <w:t>天以上的得2分。</w:t>
            </w:r>
          </w:p>
        </w:tc>
        <w:tc>
          <w:tcPr>
            <w:tcW w:w="7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仿宋"/>
                <w:bCs/>
                <w:color w:val="auto"/>
                <w:kern w:val="1"/>
                <w:szCs w:val="21"/>
              </w:rPr>
            </w:pPr>
            <w:r>
              <w:rPr>
                <w:rFonts w:hint="eastAsia" w:ascii="宋体" w:hAnsi="宋体" w:cs="仿宋"/>
                <w:bCs/>
                <w:color w:val="auto"/>
                <w:kern w:val="1"/>
                <w:szCs w:val="21"/>
              </w:rPr>
              <w:t>0-2分</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客观分</w:t>
            </w:r>
          </w:p>
        </w:tc>
      </w:tr>
    </w:tbl>
    <w:p>
      <w:pPr>
        <w:pStyle w:val="27"/>
        <w:spacing w:line="340" w:lineRule="exact"/>
        <w:ind w:firstLine="420"/>
        <w:rPr>
          <w:rFonts w:ascii="Times New Roman" w:hAnsi="Times New Roman"/>
          <w:b/>
          <w:color w:val="auto"/>
          <w:sz w:val="22"/>
          <w:szCs w:val="22"/>
        </w:rPr>
      </w:pPr>
      <w:bookmarkStart w:id="71" w:name="_Toc34597457"/>
      <w:r>
        <w:rPr>
          <w:rFonts w:ascii="Times New Roman" w:hAnsi="Times New Roman"/>
          <w:b/>
          <w:color w:val="auto"/>
          <w:sz w:val="22"/>
          <w:szCs w:val="22"/>
        </w:rPr>
        <w:t>2、</w:t>
      </w:r>
      <w:r>
        <w:rPr>
          <w:rFonts w:hint="eastAsia" w:ascii="Times New Roman" w:hAnsi="Times New Roman"/>
          <w:b/>
          <w:color w:val="auto"/>
          <w:sz w:val="22"/>
          <w:szCs w:val="22"/>
        </w:rPr>
        <w:t>报价响应文件</w:t>
      </w:r>
      <w:r>
        <w:rPr>
          <w:rFonts w:ascii="Times New Roman" w:hAnsi="Times New Roman"/>
          <w:b/>
          <w:color w:val="auto"/>
          <w:sz w:val="22"/>
          <w:szCs w:val="22"/>
        </w:rPr>
        <w:t>评审</w:t>
      </w:r>
      <w:bookmarkEnd w:id="71"/>
    </w:p>
    <w:p>
      <w:pPr>
        <w:pStyle w:val="27"/>
        <w:spacing w:line="336" w:lineRule="auto"/>
        <w:ind w:firstLine="422"/>
        <w:rPr>
          <w:rFonts w:ascii="Times New Roman" w:hAnsi="Times New Roman"/>
          <w:b/>
          <w:color w:val="auto"/>
          <w:sz w:val="22"/>
          <w:szCs w:val="22"/>
        </w:rPr>
      </w:pPr>
      <w:r>
        <w:rPr>
          <w:rFonts w:ascii="Times New Roman" w:hAnsi="Times New Roman"/>
          <w:b/>
          <w:color w:val="auto"/>
          <w:sz w:val="22"/>
          <w:szCs w:val="22"/>
        </w:rPr>
        <w:t>2.1 按以下步骤确定进入</w:t>
      </w:r>
      <w:r>
        <w:rPr>
          <w:rFonts w:hint="eastAsia" w:ascii="Times New Roman" w:hAnsi="Times New Roman"/>
          <w:b/>
          <w:color w:val="auto"/>
          <w:sz w:val="22"/>
          <w:szCs w:val="22"/>
        </w:rPr>
        <w:t>报价分</w:t>
      </w:r>
      <w:r>
        <w:rPr>
          <w:rFonts w:ascii="Times New Roman" w:hAnsi="Times New Roman"/>
          <w:b/>
          <w:color w:val="auto"/>
          <w:sz w:val="22"/>
          <w:szCs w:val="22"/>
        </w:rPr>
        <w:t>计算的范围：</w:t>
      </w:r>
    </w:p>
    <w:p>
      <w:pPr>
        <w:spacing w:line="336" w:lineRule="auto"/>
        <w:ind w:firstLine="422"/>
        <w:rPr>
          <w:b/>
          <w:color w:val="auto"/>
          <w:kern w:val="1"/>
          <w:sz w:val="22"/>
          <w:szCs w:val="22"/>
        </w:rPr>
      </w:pPr>
      <w:r>
        <w:rPr>
          <w:b/>
          <w:color w:val="auto"/>
          <w:kern w:val="1"/>
          <w:sz w:val="22"/>
          <w:szCs w:val="22"/>
        </w:rPr>
        <w:t>（1）甄别异常报价：有下列情况之一的投标报价不进入</w:t>
      </w:r>
      <w:r>
        <w:rPr>
          <w:rFonts w:hint="eastAsia"/>
          <w:b/>
          <w:color w:val="auto"/>
          <w:kern w:val="1"/>
          <w:sz w:val="22"/>
          <w:szCs w:val="22"/>
        </w:rPr>
        <w:t>报价</w:t>
      </w:r>
      <w:r>
        <w:rPr>
          <w:b/>
          <w:color w:val="auto"/>
          <w:kern w:val="1"/>
          <w:sz w:val="22"/>
          <w:szCs w:val="22"/>
        </w:rPr>
        <w:t>分计算环节：</w:t>
      </w:r>
    </w:p>
    <w:p>
      <w:pPr>
        <w:spacing w:line="336" w:lineRule="auto"/>
        <w:ind w:firstLine="420"/>
        <w:rPr>
          <w:color w:val="auto"/>
          <w:kern w:val="1"/>
          <w:sz w:val="22"/>
          <w:szCs w:val="22"/>
        </w:rPr>
      </w:pPr>
      <w:r>
        <w:rPr>
          <w:color w:val="auto"/>
          <w:kern w:val="1"/>
          <w:sz w:val="22"/>
          <w:szCs w:val="22"/>
        </w:rPr>
        <w:t>①</w:t>
      </w:r>
      <w:r>
        <w:rPr>
          <w:rFonts w:hint="eastAsia"/>
          <w:color w:val="auto"/>
          <w:kern w:val="1"/>
          <w:sz w:val="22"/>
          <w:szCs w:val="22"/>
        </w:rPr>
        <w:t>资格响应、商务技术响应无效单位的投标报价</w:t>
      </w:r>
      <w:r>
        <w:rPr>
          <w:color w:val="auto"/>
          <w:kern w:val="1"/>
          <w:sz w:val="22"/>
          <w:szCs w:val="22"/>
        </w:rPr>
        <w:t>；</w:t>
      </w:r>
    </w:p>
    <w:p>
      <w:pPr>
        <w:spacing w:line="336" w:lineRule="auto"/>
        <w:ind w:firstLine="420"/>
        <w:rPr>
          <w:color w:val="auto"/>
          <w:kern w:val="1"/>
          <w:sz w:val="22"/>
          <w:szCs w:val="22"/>
        </w:rPr>
      </w:pPr>
      <w:r>
        <w:rPr>
          <w:color w:val="auto"/>
          <w:kern w:val="1"/>
          <w:sz w:val="22"/>
          <w:szCs w:val="22"/>
        </w:rPr>
        <w:t>②报价高于最高限价；</w:t>
      </w:r>
    </w:p>
    <w:p>
      <w:pPr>
        <w:spacing w:line="336" w:lineRule="auto"/>
        <w:ind w:firstLine="420"/>
        <w:rPr>
          <w:color w:val="auto"/>
          <w:kern w:val="1"/>
          <w:sz w:val="22"/>
          <w:szCs w:val="22"/>
        </w:rPr>
      </w:pPr>
      <w:r>
        <w:rPr>
          <w:rFonts w:hint="eastAsia" w:ascii="宋体" w:hAnsi="宋体" w:cs="宋体"/>
          <w:color w:val="auto"/>
          <w:kern w:val="1"/>
          <w:sz w:val="22"/>
          <w:szCs w:val="22"/>
        </w:rPr>
        <w:t>③</w:t>
      </w:r>
      <w:r>
        <w:rPr>
          <w:color w:val="auto"/>
          <w:kern w:val="1"/>
          <w:sz w:val="22"/>
          <w:szCs w:val="22"/>
        </w:rPr>
        <w:t>分析总报价及各个分项报价是否合理、报价范围是否完整、有否重大错漏项、是否超过最高限价。如评标委员会一致认为最低投标报价或某些分项明显不合理，有降低质量、不能诚信履约的可能时，评标委员会有权通知投标方限期进行解释。如投标方未在规定期限内</w:t>
      </w:r>
      <w:r>
        <w:rPr>
          <w:rFonts w:hint="eastAsia"/>
          <w:color w:val="auto"/>
          <w:kern w:val="1"/>
          <w:sz w:val="22"/>
          <w:szCs w:val="22"/>
        </w:rPr>
        <w:t>作出解释</w:t>
      </w:r>
      <w:r>
        <w:rPr>
          <w:color w:val="auto"/>
          <w:kern w:val="1"/>
          <w:sz w:val="22"/>
          <w:szCs w:val="22"/>
        </w:rPr>
        <w:t>，或所作解释不合理，经评标委员会取得一致意见后，可列为异常报价，确定该投标为无效标。</w:t>
      </w:r>
    </w:p>
    <w:p>
      <w:pPr>
        <w:spacing w:line="336" w:lineRule="auto"/>
        <w:ind w:firstLine="422"/>
        <w:rPr>
          <w:b/>
          <w:color w:val="auto"/>
          <w:kern w:val="1"/>
          <w:sz w:val="22"/>
          <w:szCs w:val="22"/>
        </w:rPr>
      </w:pPr>
      <w:r>
        <w:rPr>
          <w:b/>
          <w:color w:val="auto"/>
          <w:kern w:val="1"/>
          <w:sz w:val="22"/>
          <w:szCs w:val="22"/>
        </w:rPr>
        <w:t>2.2</w:t>
      </w:r>
      <w:r>
        <w:rPr>
          <w:rFonts w:hint="eastAsia"/>
          <w:b/>
          <w:color w:val="auto"/>
          <w:kern w:val="1"/>
          <w:sz w:val="22"/>
          <w:szCs w:val="22"/>
        </w:rPr>
        <w:t>报价响应文件</w:t>
      </w:r>
      <w:r>
        <w:rPr>
          <w:b/>
          <w:color w:val="auto"/>
          <w:kern w:val="1"/>
          <w:sz w:val="22"/>
          <w:szCs w:val="22"/>
        </w:rPr>
        <w:t>详细评审（</w:t>
      </w:r>
      <w:r>
        <w:rPr>
          <w:rFonts w:hint="eastAsia"/>
          <w:b/>
          <w:color w:val="auto"/>
          <w:kern w:val="1"/>
          <w:sz w:val="22"/>
          <w:szCs w:val="22"/>
          <w:u w:val="single"/>
        </w:rPr>
        <w:t>20</w:t>
      </w:r>
      <w:r>
        <w:rPr>
          <w:b/>
          <w:color w:val="auto"/>
          <w:kern w:val="1"/>
          <w:sz w:val="22"/>
          <w:szCs w:val="22"/>
        </w:rPr>
        <w:t>分）</w:t>
      </w:r>
    </w:p>
    <w:p>
      <w:pPr>
        <w:spacing w:line="336" w:lineRule="auto"/>
        <w:ind w:firstLine="420"/>
        <w:rPr>
          <w:color w:val="auto"/>
          <w:kern w:val="1"/>
          <w:sz w:val="22"/>
          <w:szCs w:val="22"/>
        </w:rPr>
      </w:pPr>
      <w:r>
        <w:rPr>
          <w:color w:val="auto"/>
          <w:kern w:val="1"/>
          <w:sz w:val="22"/>
          <w:szCs w:val="22"/>
        </w:rPr>
        <w:t>（1）评标基准价以满足招标文件要求且投标价格最低的投标报价为评标基准价，其报价分为</w:t>
      </w:r>
      <w:r>
        <w:rPr>
          <w:rFonts w:hint="eastAsia"/>
          <w:color w:val="auto"/>
          <w:kern w:val="1"/>
          <w:sz w:val="22"/>
          <w:szCs w:val="22"/>
        </w:rPr>
        <w:t>20</w:t>
      </w:r>
      <w:r>
        <w:rPr>
          <w:color w:val="auto"/>
          <w:kern w:val="1"/>
          <w:sz w:val="22"/>
          <w:szCs w:val="22"/>
        </w:rPr>
        <w:t>分。</w:t>
      </w:r>
    </w:p>
    <w:p>
      <w:pPr>
        <w:spacing w:line="336" w:lineRule="auto"/>
        <w:ind w:firstLine="420"/>
        <w:rPr>
          <w:color w:val="auto"/>
          <w:kern w:val="1"/>
          <w:sz w:val="22"/>
          <w:szCs w:val="22"/>
        </w:rPr>
      </w:pPr>
      <w:r>
        <w:rPr>
          <w:color w:val="auto"/>
          <w:kern w:val="1"/>
          <w:sz w:val="22"/>
          <w:szCs w:val="22"/>
        </w:rPr>
        <w:t>（2）</w:t>
      </w:r>
      <w:r>
        <w:rPr>
          <w:rFonts w:hint="eastAsia"/>
          <w:color w:val="auto"/>
          <w:kern w:val="1"/>
          <w:sz w:val="22"/>
          <w:szCs w:val="22"/>
        </w:rPr>
        <w:t>报价</w:t>
      </w:r>
      <w:r>
        <w:rPr>
          <w:color w:val="auto"/>
          <w:kern w:val="1"/>
          <w:sz w:val="22"/>
          <w:szCs w:val="22"/>
        </w:rPr>
        <w:t>得分计算。</w:t>
      </w:r>
    </w:p>
    <w:p>
      <w:pPr>
        <w:spacing w:line="336" w:lineRule="auto"/>
        <w:ind w:firstLine="420"/>
        <w:rPr>
          <w:color w:val="auto"/>
          <w:kern w:val="1"/>
          <w:sz w:val="22"/>
          <w:szCs w:val="22"/>
        </w:rPr>
      </w:pPr>
      <w:r>
        <w:rPr>
          <w:rFonts w:hint="eastAsia"/>
          <w:color w:val="auto"/>
          <w:kern w:val="1"/>
          <w:sz w:val="22"/>
          <w:szCs w:val="22"/>
        </w:rPr>
        <w:t>报价</w:t>
      </w:r>
      <w:r>
        <w:rPr>
          <w:color w:val="auto"/>
          <w:kern w:val="1"/>
          <w:sz w:val="22"/>
          <w:szCs w:val="22"/>
        </w:rPr>
        <w:t>得分=（评标基准价/投标报价）×</w:t>
      </w:r>
      <w:r>
        <w:rPr>
          <w:rFonts w:hint="eastAsia"/>
          <w:color w:val="auto"/>
          <w:kern w:val="1"/>
          <w:sz w:val="22"/>
          <w:szCs w:val="22"/>
        </w:rPr>
        <w:t>20</w:t>
      </w:r>
      <w:r>
        <w:rPr>
          <w:color w:val="auto"/>
          <w:kern w:val="1"/>
          <w:sz w:val="22"/>
          <w:szCs w:val="22"/>
        </w:rPr>
        <w:t>%×100，保留小数2位（四舍五入）。</w:t>
      </w:r>
    </w:p>
    <w:p>
      <w:pPr>
        <w:pStyle w:val="51"/>
        <w:ind w:left="0" w:leftChars="0" w:firstLine="442" w:firstLineChars="200"/>
        <w:rPr>
          <w:b/>
          <w:color w:val="auto"/>
          <w:sz w:val="22"/>
          <w:szCs w:val="22"/>
        </w:rPr>
      </w:pPr>
      <w:bookmarkStart w:id="72" w:name="_Toc34597458"/>
      <w:r>
        <w:rPr>
          <w:b/>
          <w:color w:val="auto"/>
          <w:sz w:val="22"/>
          <w:szCs w:val="22"/>
        </w:rPr>
        <w:t>3、计算总分（满分为100分）</w:t>
      </w:r>
      <w:bookmarkEnd w:id="72"/>
    </w:p>
    <w:p>
      <w:pPr>
        <w:spacing w:line="336" w:lineRule="auto"/>
        <w:ind w:firstLine="420"/>
        <w:rPr>
          <w:color w:val="auto"/>
          <w:sz w:val="22"/>
          <w:szCs w:val="22"/>
        </w:rPr>
      </w:pPr>
      <w:r>
        <w:rPr>
          <w:color w:val="auto"/>
          <w:sz w:val="22"/>
          <w:szCs w:val="22"/>
        </w:rPr>
        <w:t xml:space="preserve">计算方法：投标人总得分 = </w:t>
      </w:r>
      <w:r>
        <w:rPr>
          <w:rFonts w:hint="eastAsia"/>
          <w:color w:val="auto"/>
          <w:sz w:val="22"/>
          <w:szCs w:val="22"/>
        </w:rPr>
        <w:t>商务</w:t>
      </w:r>
      <w:r>
        <w:rPr>
          <w:color w:val="auto"/>
          <w:sz w:val="22"/>
          <w:szCs w:val="22"/>
        </w:rPr>
        <w:t>技术分+</w:t>
      </w:r>
      <w:r>
        <w:rPr>
          <w:rFonts w:hint="eastAsia"/>
          <w:color w:val="auto"/>
          <w:sz w:val="22"/>
          <w:szCs w:val="22"/>
        </w:rPr>
        <w:t>报价</w:t>
      </w:r>
      <w:r>
        <w:rPr>
          <w:color w:val="auto"/>
          <w:sz w:val="22"/>
          <w:szCs w:val="22"/>
        </w:rPr>
        <w:t>分</w:t>
      </w:r>
    </w:p>
    <w:p>
      <w:pPr>
        <w:pStyle w:val="27"/>
        <w:spacing w:line="336" w:lineRule="auto"/>
        <w:ind w:firstLine="420"/>
        <w:rPr>
          <w:rFonts w:ascii="Times New Roman" w:hAnsi="Times New Roman"/>
          <w:b/>
          <w:color w:val="auto"/>
          <w:sz w:val="22"/>
          <w:szCs w:val="22"/>
        </w:rPr>
      </w:pPr>
      <w:bookmarkStart w:id="73" w:name="_Toc34597459"/>
      <w:r>
        <w:rPr>
          <w:rFonts w:ascii="Times New Roman" w:hAnsi="Times New Roman"/>
          <w:b/>
          <w:color w:val="auto"/>
          <w:sz w:val="22"/>
          <w:szCs w:val="22"/>
        </w:rPr>
        <w:t>4、推荐中标候选人，完成评标报告</w:t>
      </w:r>
      <w:bookmarkEnd w:id="73"/>
    </w:p>
    <w:p>
      <w:pPr>
        <w:spacing w:line="336" w:lineRule="auto"/>
        <w:ind w:firstLine="420"/>
        <w:rPr>
          <w:color w:val="auto"/>
          <w:kern w:val="1"/>
          <w:sz w:val="22"/>
          <w:szCs w:val="22"/>
        </w:rPr>
      </w:pPr>
      <w:r>
        <w:rPr>
          <w:color w:val="auto"/>
          <w:kern w:val="1"/>
          <w:sz w:val="22"/>
          <w:szCs w:val="22"/>
        </w:rPr>
        <w:t>（1）推荐中标候选人</w:t>
      </w:r>
    </w:p>
    <w:p>
      <w:pPr>
        <w:spacing w:line="336" w:lineRule="auto"/>
        <w:ind w:firstLine="420"/>
        <w:rPr>
          <w:color w:val="auto"/>
          <w:kern w:val="1"/>
          <w:sz w:val="22"/>
          <w:szCs w:val="22"/>
        </w:rPr>
      </w:pPr>
      <w:r>
        <w:rPr>
          <w:color w:val="auto"/>
          <w:kern w:val="1"/>
          <w:sz w:val="22"/>
          <w:szCs w:val="22"/>
        </w:rPr>
        <w:t>评标委员会完成评标后，按总得分由高到低排定顺序（得分相同的，按投标报价由低到高顺序排列；得分且投标报价相同的，按技术分由高到低顺序排列，技术分也相同的，由采购人代表随机抽取决定排序），评标委员会根据以上排序直接确定第一名的投标人为中标人。</w:t>
      </w:r>
    </w:p>
    <w:p>
      <w:pPr>
        <w:spacing w:line="336" w:lineRule="auto"/>
        <w:ind w:firstLine="420"/>
        <w:rPr>
          <w:color w:val="auto"/>
          <w:kern w:val="1"/>
          <w:sz w:val="22"/>
          <w:szCs w:val="22"/>
        </w:rPr>
      </w:pPr>
      <w:r>
        <w:rPr>
          <w:color w:val="auto"/>
          <w:kern w:val="1"/>
          <w:sz w:val="22"/>
          <w:szCs w:val="22"/>
        </w:rPr>
        <w:t>当确定的中标人放弃中标，因不可抗力提出不能履行合同，重新组织招标。</w:t>
      </w:r>
    </w:p>
    <w:p>
      <w:pPr>
        <w:spacing w:line="336" w:lineRule="auto"/>
        <w:ind w:firstLine="420"/>
        <w:rPr>
          <w:color w:val="auto"/>
          <w:kern w:val="1"/>
          <w:sz w:val="22"/>
          <w:szCs w:val="22"/>
        </w:rPr>
      </w:pPr>
      <w:r>
        <w:rPr>
          <w:color w:val="auto"/>
          <w:kern w:val="1"/>
          <w:sz w:val="22"/>
          <w:szCs w:val="22"/>
        </w:rPr>
        <w:t>（2）完成评标报告</w:t>
      </w:r>
    </w:p>
    <w:p>
      <w:pPr>
        <w:spacing w:line="336" w:lineRule="auto"/>
        <w:ind w:firstLine="420"/>
        <w:rPr>
          <w:color w:val="auto"/>
          <w:kern w:val="1"/>
          <w:sz w:val="22"/>
          <w:szCs w:val="22"/>
        </w:rPr>
      </w:pPr>
      <w:r>
        <w:rPr>
          <w:color w:val="auto"/>
          <w:kern w:val="1"/>
          <w:sz w:val="22"/>
          <w:szCs w:val="22"/>
        </w:rPr>
        <w:t>评标委员会向采购人提出评标报告，内容包括评标过程、投标人的优劣对比分析、中标候选人推荐情况、基本结论、存在的问题和评标专家的不同意见。评标报告应经评标委员会所有专家签字，在评标结束时当场提交给采购人。</w:t>
      </w:r>
    </w:p>
    <w:p>
      <w:pPr>
        <w:spacing w:line="336" w:lineRule="auto"/>
        <w:ind w:firstLine="420"/>
        <w:rPr>
          <w:color w:val="auto"/>
          <w:kern w:val="1"/>
        </w:rPr>
      </w:pPr>
      <w:r>
        <w:rPr>
          <w:color w:val="auto"/>
          <w:kern w:val="1"/>
          <w:sz w:val="22"/>
          <w:szCs w:val="22"/>
        </w:rPr>
        <w:br w:type="page"/>
      </w:r>
    </w:p>
    <w:p>
      <w:pPr>
        <w:pStyle w:val="2"/>
        <w:spacing w:before="0" w:after="0" w:line="240" w:lineRule="auto"/>
        <w:jc w:val="center"/>
        <w:rPr>
          <w:color w:val="auto"/>
          <w:sz w:val="36"/>
        </w:rPr>
      </w:pPr>
      <w:bookmarkStart w:id="74" w:name="_Toc31872"/>
      <w:r>
        <w:rPr>
          <w:color w:val="auto"/>
          <w:sz w:val="32"/>
        </w:rPr>
        <w:t>第七章  合同主要条款</w:t>
      </w:r>
      <w:bookmarkEnd w:id="74"/>
    </w:p>
    <w:p>
      <w:pPr>
        <w:keepNext/>
        <w:keepLines/>
        <w:spacing w:before="120" w:after="120"/>
        <w:jc w:val="center"/>
        <w:outlineLvl w:val="0"/>
        <w:rPr>
          <w:b/>
          <w:color w:val="auto"/>
          <w:sz w:val="36"/>
        </w:rPr>
      </w:pPr>
      <w:bookmarkStart w:id="75" w:name="_Toc270168500"/>
      <w:bookmarkEnd w:id="75"/>
      <w:r>
        <w:rPr>
          <w:b/>
          <w:color w:val="auto"/>
          <w:sz w:val="28"/>
        </w:rPr>
        <w:t>义乌市政府采购合同（样本）</w:t>
      </w:r>
    </w:p>
    <w:p>
      <w:pPr>
        <w:spacing w:line="360" w:lineRule="auto"/>
        <w:ind w:firstLine="480"/>
        <w:rPr>
          <w:rFonts w:ascii="Verdana" w:hAnsi="Verdana" w:cs="Arial"/>
          <w:color w:val="auto"/>
          <w:sz w:val="22"/>
          <w:szCs w:val="22"/>
        </w:rPr>
      </w:pPr>
      <w:r>
        <w:rPr>
          <w:rFonts w:hint="eastAsia" w:ascii="Verdana" w:hAnsi="Verdana" w:cs="Arial"/>
          <w:color w:val="auto"/>
          <w:sz w:val="22"/>
          <w:szCs w:val="22"/>
        </w:rPr>
        <w:t>甲方</w:t>
      </w:r>
      <w:r>
        <w:rPr>
          <w:rFonts w:ascii="Verdana" w:hAnsi="Verdana" w:cs="Arial"/>
          <w:color w:val="auto"/>
          <w:sz w:val="22"/>
          <w:szCs w:val="22"/>
        </w:rPr>
        <w:t>：</w:t>
      </w:r>
      <w:r>
        <w:rPr>
          <w:rFonts w:hint="eastAsia" w:ascii="Verdana" w:hAnsi="Verdana" w:cs="Arial"/>
          <w:color w:val="auto"/>
          <w:sz w:val="22"/>
          <w:szCs w:val="22"/>
          <w:u w:val="single"/>
        </w:rPr>
        <w:t>义乌市住房和城乡建设局</w:t>
      </w:r>
    </w:p>
    <w:p>
      <w:pPr>
        <w:spacing w:line="360" w:lineRule="auto"/>
        <w:ind w:firstLine="480"/>
        <w:rPr>
          <w:rFonts w:ascii="Verdana" w:hAnsi="Verdana"/>
          <w:color w:val="auto"/>
          <w:sz w:val="22"/>
          <w:szCs w:val="22"/>
        </w:rPr>
      </w:pPr>
      <w:r>
        <w:rPr>
          <w:rFonts w:hint="eastAsia" w:ascii="Verdana" w:hAnsi="Verdana" w:cs="Arial"/>
          <w:color w:val="auto"/>
          <w:sz w:val="22"/>
          <w:szCs w:val="22"/>
        </w:rPr>
        <w:t>乙方</w:t>
      </w:r>
      <w:r>
        <w:rPr>
          <w:rFonts w:ascii="Verdana" w:hAnsi="Verdana" w:cs="Arial"/>
          <w:color w:val="auto"/>
          <w:sz w:val="22"/>
          <w:szCs w:val="22"/>
        </w:rPr>
        <w:t>：</w:t>
      </w:r>
      <w:r>
        <w:rPr>
          <w:rFonts w:hint="eastAsia" w:ascii="Verdana" w:hAnsi="Verdana" w:cs="Arial"/>
          <w:color w:val="auto"/>
          <w:sz w:val="22"/>
          <w:szCs w:val="22"/>
          <w:u w:val="single"/>
        </w:rPr>
        <w:t xml:space="preserve">                            </w:t>
      </w:r>
    </w:p>
    <w:p>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甲、乙双方根据</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r>
        <w:rPr>
          <w:rFonts w:hint="eastAsia" w:ascii="宋体" w:hAnsi="宋体" w:cs="宋体"/>
          <w:color w:val="auto"/>
          <w:sz w:val="22"/>
          <w:szCs w:val="22"/>
          <w:u w:val="single"/>
        </w:rPr>
        <w:t xml:space="preserve">                  </w:t>
      </w:r>
      <w:r>
        <w:rPr>
          <w:rFonts w:hint="eastAsia" w:ascii="宋体" w:hAnsi="宋体" w:cs="宋体"/>
          <w:color w:val="auto"/>
          <w:sz w:val="22"/>
          <w:szCs w:val="22"/>
        </w:rPr>
        <w:t>项目（项目编号：</w:t>
      </w:r>
      <w:r>
        <w:rPr>
          <w:rFonts w:hint="eastAsia" w:ascii="宋体" w:hAnsi="宋体" w:cs="宋体"/>
          <w:color w:val="auto"/>
          <w:sz w:val="22"/>
          <w:szCs w:val="22"/>
          <w:u w:val="single"/>
        </w:rPr>
        <w:t xml:space="preserve">        </w:t>
      </w:r>
      <w:r>
        <w:rPr>
          <w:rFonts w:hint="eastAsia" w:ascii="宋体" w:hAnsi="宋体" w:cs="宋体"/>
          <w:color w:val="auto"/>
          <w:sz w:val="22"/>
          <w:szCs w:val="22"/>
        </w:rPr>
        <w:t>）成交结果和招标文件的要求，依据《中华人民共和国民法典》并经双方协调一致，订立本采购合同。本合同（□是  □否）为可融资合同。</w:t>
      </w:r>
    </w:p>
    <w:p>
      <w:pPr>
        <w:spacing w:line="360" w:lineRule="auto"/>
        <w:ind w:firstLine="480"/>
        <w:rPr>
          <w:rFonts w:ascii="宋体" w:hAnsi="宋体" w:cs="宋体"/>
          <w:b/>
          <w:color w:val="auto"/>
          <w:sz w:val="22"/>
          <w:szCs w:val="22"/>
        </w:rPr>
      </w:pPr>
      <w:r>
        <w:rPr>
          <w:rFonts w:hint="eastAsia" w:ascii="宋体" w:hAnsi="宋体" w:cs="宋体"/>
          <w:b/>
          <w:color w:val="auto"/>
          <w:sz w:val="22"/>
          <w:szCs w:val="22"/>
        </w:rPr>
        <w:t>一、合同文件组成</w:t>
      </w:r>
    </w:p>
    <w:p>
      <w:pPr>
        <w:spacing w:line="360" w:lineRule="auto"/>
        <w:ind w:firstLine="480"/>
        <w:rPr>
          <w:rFonts w:ascii="宋体" w:hAnsi="宋体" w:cs="宋体"/>
          <w:color w:val="auto"/>
          <w:sz w:val="22"/>
          <w:szCs w:val="22"/>
        </w:rPr>
      </w:pPr>
      <w:r>
        <w:rPr>
          <w:rFonts w:hint="eastAsia" w:ascii="宋体" w:hAnsi="宋体" w:cs="宋体"/>
          <w:color w:val="auto"/>
          <w:sz w:val="22"/>
          <w:szCs w:val="22"/>
        </w:rPr>
        <w:t>招标文件及其补充文件、询标承诺、询疑答复、投标响应文件、双方来函。合同文件组成的所有内容是构成合同不可分割的部分，与合同具有同等法律效力。</w:t>
      </w:r>
    </w:p>
    <w:p>
      <w:pPr>
        <w:spacing w:line="360" w:lineRule="auto"/>
        <w:ind w:firstLine="480"/>
        <w:rPr>
          <w:rFonts w:ascii="宋体" w:hAnsi="宋体" w:cs="宋体"/>
          <w:b/>
          <w:color w:val="auto"/>
          <w:sz w:val="22"/>
          <w:szCs w:val="22"/>
        </w:rPr>
      </w:pPr>
      <w:r>
        <w:rPr>
          <w:rFonts w:hint="eastAsia" w:ascii="宋体" w:hAnsi="宋体" w:cs="宋体"/>
          <w:b/>
          <w:color w:val="auto"/>
          <w:sz w:val="22"/>
          <w:szCs w:val="22"/>
        </w:rPr>
        <w:t>二、合同金额</w:t>
      </w:r>
    </w:p>
    <w:p>
      <w:pPr>
        <w:pStyle w:val="27"/>
        <w:spacing w:line="336" w:lineRule="auto"/>
        <w:ind w:firstLine="420"/>
        <w:rPr>
          <w:color w:val="auto"/>
          <w:sz w:val="22"/>
          <w:szCs w:val="22"/>
        </w:rPr>
      </w:pPr>
      <w:r>
        <w:rPr>
          <w:rFonts w:hint="eastAsia"/>
          <w:color w:val="auto"/>
          <w:sz w:val="22"/>
          <w:szCs w:val="22"/>
        </w:rPr>
        <w:t>1</w:t>
      </w:r>
      <w:r>
        <w:rPr>
          <w:color w:val="auto"/>
          <w:sz w:val="22"/>
          <w:szCs w:val="22"/>
        </w:rPr>
        <w:t>.合同总价以人民币为结算货币，合同总价</w:t>
      </w:r>
      <w:r>
        <w:rPr>
          <w:rFonts w:hint="eastAsia"/>
          <w:color w:val="auto"/>
          <w:sz w:val="22"/>
          <w:szCs w:val="22"/>
        </w:rPr>
        <w:t>包括项目要求的各项成果内容（要求达到国家有关规范规定及采购人的要求，最终成果须经相关部门批准）、前期工作、后续服务等全部费用（含调研报告、方案和成果阶段评审、审查等所有费用）、人员工资、福利补贴、办公费、差旅费、会务费、专家评审费、文件编制及文印费、验收费用、保险费、利润、税金、政策性文件规定的其他费用及合同已包含的所有风险、责任等合同中明示或暗示的所有一般风险、责任和义务等一切应由甲方支付的费用。如有漏项，视同已包含在其总项目中，合同总价不予调整。由乙方开具正式增值税发票。</w:t>
      </w:r>
    </w:p>
    <w:p>
      <w:pPr>
        <w:pStyle w:val="21"/>
        <w:jc w:val="right"/>
        <w:rPr>
          <w:b w:val="0"/>
          <w:color w:val="auto"/>
          <w:sz w:val="22"/>
          <w:szCs w:val="22"/>
        </w:rPr>
      </w:pPr>
      <w:r>
        <w:rPr>
          <w:rFonts w:hint="eastAsia" w:cs="宋体"/>
          <w:b w:val="0"/>
          <w:color w:val="auto"/>
          <w:kern w:val="0"/>
          <w:sz w:val="22"/>
          <w:szCs w:val="22"/>
        </w:rPr>
        <w:t>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15"/>
        <w:gridCol w:w="4001"/>
        <w:gridCol w:w="1284"/>
        <w:gridCol w:w="134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0" w:type="dxa"/>
            <w:vAlign w:val="center"/>
          </w:tcPr>
          <w:p>
            <w:pPr>
              <w:spacing w:line="400" w:lineRule="exact"/>
              <w:jc w:val="center"/>
              <w:rPr>
                <w:rFonts w:ascii="宋体" w:hAnsi="宋体" w:cs="宋体"/>
                <w:bCs/>
                <w:color w:val="auto"/>
                <w:sz w:val="22"/>
                <w:szCs w:val="22"/>
              </w:rPr>
            </w:pPr>
            <w:r>
              <w:rPr>
                <w:rFonts w:hint="eastAsia" w:ascii="宋体" w:hAnsi="宋体" w:cs="宋体"/>
                <w:bCs/>
                <w:color w:val="auto"/>
                <w:sz w:val="22"/>
                <w:szCs w:val="22"/>
              </w:rPr>
              <w:t>序号</w:t>
            </w:r>
          </w:p>
        </w:tc>
        <w:tc>
          <w:tcPr>
            <w:tcW w:w="4716" w:type="dxa"/>
            <w:gridSpan w:val="2"/>
            <w:vAlign w:val="center"/>
          </w:tcPr>
          <w:p>
            <w:pPr>
              <w:spacing w:line="400" w:lineRule="exact"/>
              <w:jc w:val="center"/>
              <w:rPr>
                <w:rFonts w:ascii="宋体" w:hAnsi="宋体" w:cs="宋体"/>
                <w:bCs/>
                <w:color w:val="auto"/>
                <w:sz w:val="22"/>
                <w:szCs w:val="22"/>
              </w:rPr>
            </w:pPr>
            <w:r>
              <w:rPr>
                <w:rFonts w:hint="eastAsia" w:ascii="宋体" w:hAnsi="宋体" w:cs="宋体"/>
                <w:bCs/>
                <w:color w:val="auto"/>
                <w:sz w:val="22"/>
                <w:szCs w:val="22"/>
              </w:rPr>
              <w:t>服务名称</w:t>
            </w:r>
          </w:p>
        </w:tc>
        <w:tc>
          <w:tcPr>
            <w:tcW w:w="1284" w:type="dxa"/>
            <w:vAlign w:val="center"/>
          </w:tcPr>
          <w:p>
            <w:pPr>
              <w:spacing w:line="400" w:lineRule="exact"/>
              <w:jc w:val="center"/>
              <w:rPr>
                <w:rFonts w:ascii="宋体" w:hAnsi="宋体" w:cs="宋体"/>
                <w:bCs/>
                <w:color w:val="auto"/>
                <w:sz w:val="22"/>
                <w:szCs w:val="22"/>
              </w:rPr>
            </w:pPr>
            <w:r>
              <w:rPr>
                <w:rFonts w:hint="eastAsia" w:ascii="宋体" w:hAnsi="宋体" w:cs="宋体"/>
                <w:bCs/>
                <w:color w:val="auto"/>
                <w:sz w:val="22"/>
                <w:szCs w:val="22"/>
              </w:rPr>
              <w:t>数量</w:t>
            </w:r>
          </w:p>
        </w:tc>
        <w:tc>
          <w:tcPr>
            <w:tcW w:w="1344" w:type="dxa"/>
            <w:vAlign w:val="center"/>
          </w:tcPr>
          <w:p>
            <w:pPr>
              <w:spacing w:line="400" w:lineRule="exact"/>
              <w:jc w:val="center"/>
              <w:rPr>
                <w:rFonts w:ascii="宋体" w:hAnsi="宋体" w:cs="宋体"/>
                <w:bCs/>
                <w:color w:val="auto"/>
                <w:sz w:val="22"/>
                <w:szCs w:val="22"/>
              </w:rPr>
            </w:pPr>
            <w:r>
              <w:rPr>
                <w:rFonts w:hint="eastAsia" w:ascii="宋体" w:hAnsi="宋体" w:cs="宋体"/>
                <w:bCs/>
                <w:color w:val="auto"/>
                <w:sz w:val="22"/>
                <w:szCs w:val="22"/>
              </w:rPr>
              <w:t>单价（元）</w:t>
            </w:r>
          </w:p>
        </w:tc>
        <w:tc>
          <w:tcPr>
            <w:tcW w:w="1434" w:type="dxa"/>
            <w:vAlign w:val="center"/>
          </w:tcPr>
          <w:p>
            <w:pPr>
              <w:spacing w:line="400" w:lineRule="exact"/>
              <w:jc w:val="center"/>
              <w:rPr>
                <w:rFonts w:ascii="宋体" w:hAnsi="宋体" w:cs="宋体"/>
                <w:bCs/>
                <w:color w:val="auto"/>
                <w:sz w:val="22"/>
                <w:szCs w:val="22"/>
              </w:rPr>
            </w:pPr>
            <w:r>
              <w:rPr>
                <w:rFonts w:hint="eastAsia" w:ascii="宋体" w:hAnsi="宋体" w:cs="宋体"/>
                <w:bCs/>
                <w:color w:val="auto"/>
                <w:sz w:val="22"/>
                <w:szCs w:val="2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vAlign w:val="center"/>
          </w:tcPr>
          <w:p>
            <w:pPr>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4716" w:type="dxa"/>
            <w:gridSpan w:val="2"/>
            <w:vAlign w:val="center"/>
          </w:tcPr>
          <w:p>
            <w:pPr>
              <w:widowControl/>
              <w:spacing w:line="400" w:lineRule="exact"/>
              <w:jc w:val="center"/>
              <w:textAlignment w:val="center"/>
              <w:rPr>
                <w:rFonts w:ascii="宋体" w:hAnsi="宋体" w:cs="宋体"/>
                <w:color w:val="auto"/>
                <w:sz w:val="22"/>
                <w:szCs w:val="22"/>
              </w:rPr>
            </w:pPr>
          </w:p>
        </w:tc>
        <w:tc>
          <w:tcPr>
            <w:tcW w:w="1284" w:type="dxa"/>
            <w:vAlign w:val="center"/>
          </w:tcPr>
          <w:p>
            <w:pPr>
              <w:spacing w:line="0" w:lineRule="atLeast"/>
              <w:jc w:val="center"/>
              <w:rPr>
                <w:rFonts w:ascii="宋体" w:hAnsi="宋体" w:cs="宋体"/>
                <w:color w:val="auto"/>
                <w:sz w:val="22"/>
                <w:szCs w:val="22"/>
              </w:rPr>
            </w:pPr>
          </w:p>
        </w:tc>
        <w:tc>
          <w:tcPr>
            <w:tcW w:w="1344" w:type="dxa"/>
            <w:vAlign w:val="center"/>
          </w:tcPr>
          <w:p>
            <w:pPr>
              <w:spacing w:line="0" w:lineRule="atLeast"/>
              <w:jc w:val="center"/>
              <w:rPr>
                <w:rFonts w:ascii="宋体" w:hAnsi="宋体" w:cs="宋体"/>
                <w:bCs/>
                <w:color w:val="auto"/>
                <w:sz w:val="22"/>
                <w:szCs w:val="22"/>
              </w:rPr>
            </w:pPr>
          </w:p>
        </w:tc>
        <w:tc>
          <w:tcPr>
            <w:tcW w:w="1434" w:type="dxa"/>
            <w:vAlign w:val="center"/>
          </w:tcPr>
          <w:p>
            <w:pPr>
              <w:spacing w:line="0" w:lineRule="atLeast"/>
              <w:jc w:val="center"/>
              <w:rPr>
                <w:rFonts w:ascii="宋体" w:hAnsi="宋体" w:cs="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vAlign w:val="center"/>
          </w:tcPr>
          <w:p>
            <w:pPr>
              <w:spacing w:line="400" w:lineRule="exact"/>
              <w:jc w:val="center"/>
              <w:rPr>
                <w:rFonts w:ascii="宋体" w:hAnsi="宋体" w:cs="宋体"/>
                <w:color w:val="auto"/>
                <w:sz w:val="22"/>
                <w:szCs w:val="22"/>
              </w:rPr>
            </w:pPr>
            <w:r>
              <w:rPr>
                <w:rFonts w:hint="eastAsia" w:ascii="宋体" w:hAnsi="宋体" w:cs="宋体"/>
                <w:color w:val="auto"/>
                <w:sz w:val="22"/>
                <w:szCs w:val="22"/>
              </w:rPr>
              <w:t>2</w:t>
            </w:r>
          </w:p>
        </w:tc>
        <w:tc>
          <w:tcPr>
            <w:tcW w:w="4716" w:type="dxa"/>
            <w:gridSpan w:val="2"/>
            <w:vAlign w:val="center"/>
          </w:tcPr>
          <w:p>
            <w:pPr>
              <w:widowControl/>
              <w:spacing w:line="400" w:lineRule="exact"/>
              <w:jc w:val="center"/>
              <w:textAlignment w:val="center"/>
              <w:rPr>
                <w:rFonts w:ascii="宋体" w:hAnsi="宋体" w:cs="宋体"/>
                <w:color w:val="auto"/>
                <w:sz w:val="22"/>
                <w:szCs w:val="22"/>
              </w:rPr>
            </w:pPr>
          </w:p>
        </w:tc>
        <w:tc>
          <w:tcPr>
            <w:tcW w:w="1284" w:type="dxa"/>
            <w:vAlign w:val="center"/>
          </w:tcPr>
          <w:p>
            <w:pPr>
              <w:spacing w:line="0" w:lineRule="atLeast"/>
              <w:jc w:val="center"/>
              <w:rPr>
                <w:rFonts w:ascii="宋体" w:hAnsi="宋体" w:cs="宋体"/>
                <w:color w:val="auto"/>
                <w:sz w:val="22"/>
                <w:szCs w:val="22"/>
              </w:rPr>
            </w:pPr>
          </w:p>
        </w:tc>
        <w:tc>
          <w:tcPr>
            <w:tcW w:w="1344" w:type="dxa"/>
            <w:vAlign w:val="center"/>
          </w:tcPr>
          <w:p>
            <w:pPr>
              <w:spacing w:line="0" w:lineRule="atLeast"/>
              <w:jc w:val="center"/>
              <w:rPr>
                <w:rFonts w:ascii="宋体" w:hAnsi="宋体" w:cs="宋体"/>
                <w:bCs/>
                <w:color w:val="auto"/>
                <w:sz w:val="22"/>
                <w:szCs w:val="22"/>
              </w:rPr>
            </w:pPr>
          </w:p>
        </w:tc>
        <w:tc>
          <w:tcPr>
            <w:tcW w:w="1434" w:type="dxa"/>
            <w:vAlign w:val="center"/>
          </w:tcPr>
          <w:p>
            <w:pPr>
              <w:spacing w:line="0" w:lineRule="atLeast"/>
              <w:jc w:val="center"/>
              <w:rPr>
                <w:rFonts w:ascii="宋体" w:hAnsi="宋体" w:cs="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vAlign w:val="center"/>
          </w:tcPr>
          <w:p>
            <w:pPr>
              <w:spacing w:line="400" w:lineRule="exact"/>
              <w:jc w:val="center"/>
              <w:rPr>
                <w:rFonts w:ascii="宋体" w:hAnsi="宋体" w:cs="宋体"/>
                <w:color w:val="auto"/>
                <w:sz w:val="22"/>
                <w:szCs w:val="22"/>
              </w:rPr>
            </w:pPr>
            <w:r>
              <w:rPr>
                <w:rFonts w:hint="eastAsia" w:ascii="宋体" w:hAnsi="宋体" w:cs="宋体"/>
                <w:color w:val="auto"/>
                <w:sz w:val="22"/>
                <w:szCs w:val="22"/>
              </w:rPr>
              <w:t>3</w:t>
            </w:r>
          </w:p>
        </w:tc>
        <w:tc>
          <w:tcPr>
            <w:tcW w:w="4716" w:type="dxa"/>
            <w:gridSpan w:val="2"/>
            <w:vAlign w:val="center"/>
          </w:tcPr>
          <w:p>
            <w:pPr>
              <w:widowControl/>
              <w:spacing w:line="400" w:lineRule="exact"/>
              <w:jc w:val="center"/>
              <w:textAlignment w:val="center"/>
              <w:rPr>
                <w:rFonts w:ascii="宋体" w:hAnsi="宋体" w:cs="宋体"/>
                <w:color w:val="auto"/>
                <w:sz w:val="22"/>
                <w:szCs w:val="22"/>
              </w:rPr>
            </w:pPr>
          </w:p>
        </w:tc>
        <w:tc>
          <w:tcPr>
            <w:tcW w:w="1284" w:type="dxa"/>
            <w:vAlign w:val="center"/>
          </w:tcPr>
          <w:p>
            <w:pPr>
              <w:spacing w:line="0" w:lineRule="atLeast"/>
              <w:jc w:val="center"/>
              <w:rPr>
                <w:rFonts w:ascii="宋体" w:hAnsi="宋体" w:cs="宋体"/>
                <w:color w:val="auto"/>
                <w:sz w:val="22"/>
                <w:szCs w:val="22"/>
              </w:rPr>
            </w:pPr>
          </w:p>
        </w:tc>
        <w:tc>
          <w:tcPr>
            <w:tcW w:w="1344" w:type="dxa"/>
            <w:vAlign w:val="center"/>
          </w:tcPr>
          <w:p>
            <w:pPr>
              <w:spacing w:line="0" w:lineRule="atLeast"/>
              <w:jc w:val="center"/>
              <w:rPr>
                <w:rFonts w:ascii="宋体" w:hAnsi="宋体" w:cs="宋体"/>
                <w:bCs/>
                <w:color w:val="auto"/>
                <w:sz w:val="22"/>
                <w:szCs w:val="22"/>
              </w:rPr>
            </w:pPr>
          </w:p>
        </w:tc>
        <w:tc>
          <w:tcPr>
            <w:tcW w:w="1434" w:type="dxa"/>
            <w:vAlign w:val="center"/>
          </w:tcPr>
          <w:p>
            <w:pPr>
              <w:spacing w:line="0" w:lineRule="atLeast"/>
              <w:jc w:val="center"/>
              <w:rPr>
                <w:rFonts w:ascii="宋体" w:hAnsi="宋体" w:cs="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465" w:type="dxa"/>
            <w:gridSpan w:val="2"/>
            <w:vAlign w:val="center"/>
          </w:tcPr>
          <w:p>
            <w:pPr>
              <w:spacing w:line="400" w:lineRule="exact"/>
              <w:jc w:val="center"/>
              <w:rPr>
                <w:rFonts w:ascii="宋体" w:hAnsi="宋体" w:cs="宋体"/>
                <w:bCs/>
                <w:color w:val="auto"/>
                <w:sz w:val="22"/>
                <w:szCs w:val="22"/>
              </w:rPr>
            </w:pPr>
            <w:r>
              <w:rPr>
                <w:rFonts w:hint="eastAsia" w:ascii="宋体" w:hAnsi="宋体" w:cs="宋体"/>
                <w:bCs/>
                <w:color w:val="auto"/>
                <w:sz w:val="22"/>
                <w:szCs w:val="22"/>
              </w:rPr>
              <w:t>合计</w:t>
            </w:r>
          </w:p>
        </w:tc>
        <w:tc>
          <w:tcPr>
            <w:tcW w:w="8063" w:type="dxa"/>
            <w:gridSpan w:val="4"/>
            <w:vAlign w:val="center"/>
          </w:tcPr>
          <w:p>
            <w:pPr>
              <w:spacing w:line="400" w:lineRule="exact"/>
              <w:rPr>
                <w:rFonts w:ascii="宋体" w:hAnsi="宋体" w:cs="宋体"/>
                <w:color w:val="auto"/>
                <w:sz w:val="22"/>
                <w:szCs w:val="22"/>
              </w:rPr>
            </w:pPr>
            <w:r>
              <w:rPr>
                <w:rFonts w:hint="eastAsia" w:ascii="宋体" w:hAnsi="宋体" w:cs="宋体"/>
                <w:color w:val="auto"/>
                <w:sz w:val="22"/>
                <w:szCs w:val="22"/>
              </w:rPr>
              <w:t>小写：</w:t>
            </w:r>
            <w:r>
              <w:rPr>
                <w:rFonts w:hint="eastAsia" w:ascii="宋体" w:hAnsi="宋体" w:cs="宋体"/>
                <w:color w:val="auto"/>
                <w:sz w:val="22"/>
                <w:szCs w:val="22"/>
                <w:u w:val="single"/>
              </w:rPr>
              <w:t xml:space="preserve">¥         </w:t>
            </w:r>
          </w:p>
          <w:p>
            <w:pPr>
              <w:spacing w:line="400" w:lineRule="exact"/>
              <w:rPr>
                <w:rFonts w:ascii="宋体" w:hAnsi="宋体" w:cs="宋体"/>
                <w:bCs/>
                <w:color w:val="auto"/>
                <w:sz w:val="22"/>
                <w:szCs w:val="22"/>
              </w:rPr>
            </w:pPr>
            <w:r>
              <w:rPr>
                <w:rFonts w:hint="eastAsia" w:ascii="宋体" w:hAnsi="宋体" w:cs="宋体"/>
                <w:color w:val="auto"/>
                <w:sz w:val="22"/>
                <w:szCs w:val="22"/>
              </w:rPr>
              <w:t>大写：</w:t>
            </w:r>
            <w:r>
              <w:rPr>
                <w:rFonts w:hint="eastAsia" w:ascii="宋体" w:hAnsi="宋体" w:cs="宋体"/>
                <w:color w:val="auto"/>
                <w:sz w:val="22"/>
                <w:szCs w:val="22"/>
                <w:u w:val="single"/>
              </w:rPr>
              <w:t xml:space="preserve">人民币      </w:t>
            </w:r>
          </w:p>
        </w:tc>
      </w:tr>
    </w:tbl>
    <w:p>
      <w:pPr>
        <w:spacing w:line="440" w:lineRule="exact"/>
        <w:rPr>
          <w:rFonts w:ascii="宋体" w:hAnsi="宋体" w:cs="宋体"/>
          <w:color w:val="auto"/>
          <w:sz w:val="22"/>
          <w:szCs w:val="22"/>
        </w:rPr>
      </w:pPr>
      <w:r>
        <w:rPr>
          <w:rFonts w:hint="eastAsia" w:ascii="宋体" w:hAnsi="宋体" w:cs="宋体"/>
          <w:color w:val="auto"/>
          <w:sz w:val="22"/>
          <w:szCs w:val="22"/>
        </w:rPr>
        <w:t>以上价款由人民币进行结算。</w:t>
      </w:r>
    </w:p>
    <w:p>
      <w:pPr>
        <w:snapToGrid w:val="0"/>
        <w:spacing w:line="500" w:lineRule="exact"/>
        <w:ind w:firstLine="442" w:firstLineChars="200"/>
        <w:jc w:val="left"/>
        <w:rPr>
          <w:b/>
          <w:bCs/>
          <w:color w:val="auto"/>
          <w:sz w:val="22"/>
          <w:szCs w:val="22"/>
        </w:rPr>
      </w:pPr>
      <w:r>
        <w:rPr>
          <w:rFonts w:hint="eastAsia"/>
          <w:b/>
          <w:bCs/>
          <w:color w:val="auto"/>
          <w:sz w:val="22"/>
          <w:szCs w:val="22"/>
        </w:rPr>
        <w:t>三、规划编制内容</w:t>
      </w:r>
    </w:p>
    <w:p>
      <w:pPr>
        <w:pStyle w:val="27"/>
        <w:spacing w:line="336" w:lineRule="auto"/>
        <w:ind w:firstLine="420"/>
        <w:rPr>
          <w:color w:val="auto"/>
          <w:sz w:val="22"/>
          <w:szCs w:val="22"/>
        </w:rPr>
      </w:pPr>
      <w:r>
        <w:rPr>
          <w:rFonts w:hint="eastAsia"/>
          <w:color w:val="auto"/>
          <w:sz w:val="22"/>
          <w:szCs w:val="22"/>
        </w:rPr>
        <w:t>（一）规划总则</w:t>
      </w:r>
    </w:p>
    <w:p>
      <w:pPr>
        <w:pStyle w:val="27"/>
        <w:spacing w:line="336" w:lineRule="auto"/>
        <w:ind w:firstLine="420"/>
        <w:rPr>
          <w:color w:val="auto"/>
          <w:sz w:val="22"/>
          <w:szCs w:val="22"/>
        </w:rPr>
      </w:pPr>
      <w:r>
        <w:rPr>
          <w:rFonts w:hint="eastAsia"/>
          <w:color w:val="auto"/>
          <w:sz w:val="22"/>
          <w:szCs w:val="22"/>
        </w:rPr>
        <w:t>主要包括规划编制的目的、期限范围、依据、指导思想与原则、重点内容、成果组成等。</w:t>
      </w:r>
    </w:p>
    <w:p>
      <w:pPr>
        <w:pStyle w:val="27"/>
        <w:spacing w:line="336" w:lineRule="auto"/>
        <w:ind w:firstLine="420"/>
        <w:rPr>
          <w:color w:val="auto"/>
          <w:sz w:val="22"/>
          <w:szCs w:val="22"/>
        </w:rPr>
      </w:pPr>
      <w:r>
        <w:rPr>
          <w:rFonts w:hint="eastAsia"/>
          <w:color w:val="auto"/>
          <w:sz w:val="22"/>
          <w:szCs w:val="22"/>
        </w:rPr>
        <w:t>（二）基本情况</w:t>
      </w:r>
    </w:p>
    <w:p>
      <w:pPr>
        <w:pStyle w:val="27"/>
        <w:spacing w:line="336" w:lineRule="auto"/>
        <w:ind w:firstLine="420"/>
        <w:rPr>
          <w:color w:val="auto"/>
          <w:sz w:val="22"/>
          <w:szCs w:val="22"/>
        </w:rPr>
      </w:pPr>
      <w:r>
        <w:rPr>
          <w:rFonts w:hint="eastAsia"/>
          <w:color w:val="auto"/>
          <w:sz w:val="22"/>
          <w:szCs w:val="22"/>
        </w:rPr>
        <w:t>概述区位、面积、自然地理基础情况，并在义乌市历史文化资源普查认定成果基础上，重点对历史文化资源等现状特征进行分析总结。</w:t>
      </w:r>
    </w:p>
    <w:p>
      <w:pPr>
        <w:pStyle w:val="27"/>
        <w:spacing w:line="336" w:lineRule="auto"/>
        <w:ind w:firstLine="420"/>
        <w:rPr>
          <w:color w:val="auto"/>
          <w:sz w:val="22"/>
          <w:szCs w:val="22"/>
        </w:rPr>
      </w:pPr>
      <w:r>
        <w:rPr>
          <w:rFonts w:hint="eastAsia"/>
          <w:color w:val="auto"/>
          <w:sz w:val="22"/>
          <w:szCs w:val="22"/>
        </w:rPr>
        <w:t>梳理历史文化保护工作历程，结合历史文化保护专项体检，从历史文化资源普查认定、保护利用工作成效以及保护管理责任落实情况等各方面分析历史文化保护实施成效及目前面临的主要问题。</w:t>
      </w:r>
    </w:p>
    <w:p>
      <w:pPr>
        <w:pStyle w:val="27"/>
        <w:spacing w:line="336" w:lineRule="auto"/>
        <w:ind w:firstLine="420"/>
        <w:rPr>
          <w:color w:val="auto"/>
          <w:sz w:val="22"/>
          <w:szCs w:val="22"/>
        </w:rPr>
      </w:pPr>
      <w:r>
        <w:rPr>
          <w:rFonts w:hint="eastAsia"/>
          <w:color w:val="auto"/>
          <w:sz w:val="22"/>
          <w:szCs w:val="22"/>
        </w:rPr>
        <w:t>（三）历史文化价值</w:t>
      </w:r>
    </w:p>
    <w:p>
      <w:pPr>
        <w:pStyle w:val="27"/>
        <w:spacing w:line="336" w:lineRule="auto"/>
        <w:ind w:firstLine="420"/>
        <w:rPr>
          <w:color w:val="auto"/>
          <w:sz w:val="22"/>
          <w:szCs w:val="22"/>
        </w:rPr>
      </w:pPr>
      <w:r>
        <w:rPr>
          <w:rFonts w:hint="eastAsia"/>
          <w:color w:val="auto"/>
          <w:sz w:val="22"/>
          <w:szCs w:val="22"/>
        </w:rPr>
        <w:t>（1）研究历史文化脉络</w:t>
      </w:r>
    </w:p>
    <w:p>
      <w:pPr>
        <w:pStyle w:val="27"/>
        <w:spacing w:line="336" w:lineRule="auto"/>
        <w:ind w:firstLine="420"/>
        <w:rPr>
          <w:color w:val="auto"/>
          <w:sz w:val="22"/>
          <w:szCs w:val="22"/>
        </w:rPr>
      </w:pPr>
      <w:r>
        <w:rPr>
          <w:rFonts w:hint="eastAsia"/>
          <w:color w:val="auto"/>
          <w:sz w:val="22"/>
          <w:szCs w:val="22"/>
        </w:rPr>
        <w:t>应依托文献史料和最新考古资料，以建制沿革、聚落演变、地图变迁、重大历史事件等为研究基础，重点对中华古代文明史、中国近代史、中国共产党史、新中国史、改革开放史及社会主义发展史等进行历史脉络的梳理总结。</w:t>
      </w:r>
    </w:p>
    <w:p>
      <w:pPr>
        <w:pStyle w:val="27"/>
        <w:spacing w:line="336" w:lineRule="auto"/>
        <w:ind w:firstLine="420"/>
        <w:rPr>
          <w:color w:val="auto"/>
          <w:sz w:val="22"/>
          <w:szCs w:val="22"/>
        </w:rPr>
      </w:pPr>
      <w:r>
        <w:rPr>
          <w:rFonts w:hint="eastAsia"/>
          <w:color w:val="auto"/>
          <w:sz w:val="22"/>
          <w:szCs w:val="22"/>
        </w:rPr>
        <w:t>（2）凝练核心价值</w:t>
      </w:r>
    </w:p>
    <w:p>
      <w:pPr>
        <w:pStyle w:val="27"/>
        <w:spacing w:line="336" w:lineRule="auto"/>
        <w:ind w:firstLine="420"/>
        <w:rPr>
          <w:color w:val="auto"/>
          <w:sz w:val="22"/>
          <w:szCs w:val="22"/>
        </w:rPr>
      </w:pPr>
      <w:r>
        <w:rPr>
          <w:rFonts w:hint="eastAsia"/>
          <w:color w:val="auto"/>
          <w:sz w:val="22"/>
          <w:szCs w:val="22"/>
        </w:rPr>
        <w:t>按照政治、经济、社会、科技文化、地理五大类别，从国家政权、制度文明、国家礼仪、农业经济、手工业与工业发展、商贸交流、社会组织、交流迁徙、宗教信仰、思想文化、文学艺术、科学技术、城市与建筑、自然地理、人文地理等主题进行价值特征的梳理。</w:t>
      </w:r>
    </w:p>
    <w:p>
      <w:pPr>
        <w:pStyle w:val="27"/>
        <w:spacing w:line="336" w:lineRule="auto"/>
        <w:ind w:firstLine="420"/>
        <w:rPr>
          <w:color w:val="auto"/>
          <w:sz w:val="22"/>
          <w:szCs w:val="22"/>
        </w:rPr>
      </w:pPr>
      <w:r>
        <w:rPr>
          <w:rFonts w:hint="eastAsia"/>
          <w:color w:val="auto"/>
          <w:sz w:val="22"/>
          <w:szCs w:val="22"/>
        </w:rPr>
        <w:t>以价值特征研究为基础，从区域交往与发展、城市在不同历史时期发展进程中的重要贡献等方面，凝练归纳城市价值特色。</w:t>
      </w:r>
    </w:p>
    <w:p>
      <w:pPr>
        <w:pStyle w:val="27"/>
        <w:spacing w:line="336" w:lineRule="auto"/>
        <w:ind w:firstLine="420"/>
        <w:rPr>
          <w:color w:val="auto"/>
          <w:sz w:val="22"/>
          <w:szCs w:val="22"/>
        </w:rPr>
      </w:pPr>
      <w:r>
        <w:rPr>
          <w:rFonts w:hint="eastAsia"/>
          <w:color w:val="auto"/>
          <w:sz w:val="22"/>
          <w:szCs w:val="22"/>
        </w:rPr>
        <w:t>（四）保护传承目标</w:t>
      </w:r>
    </w:p>
    <w:p>
      <w:pPr>
        <w:pStyle w:val="27"/>
        <w:spacing w:line="336" w:lineRule="auto"/>
        <w:ind w:firstLine="420"/>
        <w:rPr>
          <w:color w:val="auto"/>
          <w:sz w:val="22"/>
          <w:szCs w:val="22"/>
        </w:rPr>
      </w:pPr>
      <w:r>
        <w:rPr>
          <w:rFonts w:hint="eastAsia"/>
          <w:color w:val="auto"/>
          <w:sz w:val="22"/>
          <w:szCs w:val="22"/>
        </w:rPr>
        <w:t>（1）目标愿景</w:t>
      </w:r>
    </w:p>
    <w:p>
      <w:pPr>
        <w:pStyle w:val="27"/>
        <w:spacing w:line="336" w:lineRule="auto"/>
        <w:ind w:firstLine="420"/>
        <w:rPr>
          <w:color w:val="auto"/>
          <w:sz w:val="22"/>
          <w:szCs w:val="22"/>
        </w:rPr>
      </w:pPr>
      <w:r>
        <w:rPr>
          <w:rFonts w:hint="eastAsia"/>
          <w:color w:val="auto"/>
          <w:sz w:val="22"/>
          <w:szCs w:val="22"/>
        </w:rPr>
        <w:t>结合地方历史文化资源现状及文化价值及精神提炼，概括历史文化保护传承总体目标和愿景。</w:t>
      </w:r>
    </w:p>
    <w:p>
      <w:pPr>
        <w:pStyle w:val="27"/>
        <w:spacing w:line="336" w:lineRule="auto"/>
        <w:ind w:firstLine="420"/>
        <w:rPr>
          <w:color w:val="auto"/>
          <w:sz w:val="22"/>
          <w:szCs w:val="22"/>
        </w:rPr>
      </w:pPr>
      <w:r>
        <w:rPr>
          <w:rFonts w:hint="eastAsia"/>
          <w:color w:val="auto"/>
          <w:sz w:val="22"/>
          <w:szCs w:val="22"/>
        </w:rPr>
        <w:t>（2）分期目标</w:t>
      </w:r>
    </w:p>
    <w:p>
      <w:pPr>
        <w:pStyle w:val="27"/>
        <w:spacing w:line="336" w:lineRule="auto"/>
        <w:ind w:firstLine="420"/>
        <w:rPr>
          <w:color w:val="auto"/>
          <w:sz w:val="22"/>
          <w:szCs w:val="22"/>
        </w:rPr>
      </w:pPr>
      <w:r>
        <w:rPr>
          <w:rFonts w:hint="eastAsia"/>
          <w:color w:val="auto"/>
          <w:sz w:val="22"/>
          <w:szCs w:val="22"/>
        </w:rPr>
        <w:t>结合近远期期限设定，对总体目标和愿景进行细化分解，落实到分期保护传承目标体系上。</w:t>
      </w:r>
    </w:p>
    <w:p>
      <w:pPr>
        <w:pStyle w:val="27"/>
        <w:spacing w:line="336" w:lineRule="auto"/>
        <w:ind w:firstLine="420"/>
        <w:rPr>
          <w:color w:val="auto"/>
          <w:sz w:val="22"/>
          <w:szCs w:val="22"/>
        </w:rPr>
      </w:pPr>
      <w:r>
        <w:rPr>
          <w:rFonts w:hint="eastAsia"/>
          <w:color w:val="auto"/>
          <w:sz w:val="22"/>
          <w:szCs w:val="22"/>
        </w:rPr>
        <w:t>（3）指标预期</w:t>
      </w:r>
    </w:p>
    <w:p>
      <w:pPr>
        <w:pStyle w:val="27"/>
        <w:spacing w:line="336" w:lineRule="auto"/>
        <w:ind w:firstLine="420"/>
        <w:rPr>
          <w:color w:val="auto"/>
          <w:sz w:val="22"/>
          <w:szCs w:val="22"/>
        </w:rPr>
      </w:pPr>
      <w:r>
        <w:rPr>
          <w:rFonts w:hint="eastAsia"/>
          <w:color w:val="auto"/>
          <w:sz w:val="22"/>
          <w:szCs w:val="22"/>
        </w:rPr>
        <w:t>围绕保护传承总体及分期目标，量化各类相关指标。</w:t>
      </w:r>
    </w:p>
    <w:p>
      <w:pPr>
        <w:pStyle w:val="27"/>
        <w:spacing w:line="336" w:lineRule="auto"/>
        <w:ind w:firstLine="420"/>
        <w:rPr>
          <w:color w:val="auto"/>
          <w:sz w:val="22"/>
          <w:szCs w:val="22"/>
        </w:rPr>
      </w:pPr>
      <w:r>
        <w:rPr>
          <w:rFonts w:hint="eastAsia"/>
          <w:color w:val="auto"/>
          <w:sz w:val="22"/>
          <w:szCs w:val="22"/>
        </w:rPr>
        <w:t>（五）保护传承格局</w:t>
      </w:r>
    </w:p>
    <w:p>
      <w:pPr>
        <w:pStyle w:val="27"/>
        <w:spacing w:line="336" w:lineRule="auto"/>
        <w:ind w:firstLine="420"/>
        <w:rPr>
          <w:color w:val="auto"/>
          <w:sz w:val="22"/>
          <w:szCs w:val="22"/>
        </w:rPr>
      </w:pPr>
      <w:r>
        <w:rPr>
          <w:rFonts w:hint="eastAsia"/>
          <w:color w:val="auto"/>
          <w:sz w:val="22"/>
          <w:szCs w:val="22"/>
        </w:rPr>
        <w:t>（1）识别自然人文特征</w:t>
      </w:r>
    </w:p>
    <w:p>
      <w:pPr>
        <w:pStyle w:val="27"/>
        <w:spacing w:line="336" w:lineRule="auto"/>
        <w:ind w:firstLine="420"/>
        <w:rPr>
          <w:color w:val="auto"/>
          <w:sz w:val="22"/>
          <w:szCs w:val="22"/>
        </w:rPr>
      </w:pPr>
      <w:r>
        <w:rPr>
          <w:rFonts w:hint="eastAsia"/>
          <w:color w:val="auto"/>
          <w:sz w:val="22"/>
          <w:szCs w:val="22"/>
        </w:rPr>
        <w:t>重视与人文资源相互依存的自然环境，从气候、流域、地理单元、植被分布等方面进行城市自然地理特征的研究，从交通、民族、人文地理分区、建筑类型分布等方面进行人文格局特征研究。</w:t>
      </w:r>
    </w:p>
    <w:p>
      <w:pPr>
        <w:pStyle w:val="27"/>
        <w:spacing w:line="336" w:lineRule="auto"/>
        <w:ind w:firstLine="420"/>
        <w:rPr>
          <w:color w:val="auto"/>
          <w:sz w:val="22"/>
          <w:szCs w:val="22"/>
        </w:rPr>
      </w:pPr>
      <w:r>
        <w:rPr>
          <w:rFonts w:hint="eastAsia"/>
          <w:color w:val="auto"/>
          <w:sz w:val="22"/>
          <w:szCs w:val="22"/>
        </w:rPr>
        <w:t>（2）构建保护传承格局</w:t>
      </w:r>
    </w:p>
    <w:p>
      <w:pPr>
        <w:pStyle w:val="27"/>
        <w:spacing w:line="336" w:lineRule="auto"/>
        <w:ind w:firstLine="420"/>
        <w:rPr>
          <w:color w:val="auto"/>
          <w:sz w:val="22"/>
          <w:szCs w:val="22"/>
        </w:rPr>
      </w:pPr>
      <w:r>
        <w:rPr>
          <w:rFonts w:hint="eastAsia"/>
          <w:color w:val="auto"/>
          <w:sz w:val="22"/>
          <w:szCs w:val="22"/>
        </w:rPr>
        <w:t>以城市历史文化价值为导向，以自然人文地理格局为基底，以价值遗存的地理分布和内在联系为依托，结合当下城乡建设条件与发展需求，梳理遗产遗址保护、名城名镇名村、街区保护，各类历史风貌地段、各级历史文化保护单位和不可移动文物、传统风貌建筑等物质文化遗产，地名文化遗产、非物质文化遗产重要空间承载地及文化传承重大工程、重大传播体系，综合构建历史文化空间格局。针对历史文化和自然景观资源富集、空间分布集中的地域和廊道，需明确整体保护和促进活化利用的空间管控引导要求。</w:t>
      </w:r>
    </w:p>
    <w:p>
      <w:pPr>
        <w:pStyle w:val="27"/>
        <w:spacing w:line="336" w:lineRule="auto"/>
        <w:ind w:firstLine="420"/>
        <w:rPr>
          <w:color w:val="auto"/>
          <w:sz w:val="22"/>
          <w:szCs w:val="22"/>
        </w:rPr>
      </w:pPr>
      <w:r>
        <w:rPr>
          <w:rFonts w:hint="eastAsia"/>
          <w:color w:val="auto"/>
          <w:sz w:val="22"/>
          <w:szCs w:val="22"/>
        </w:rPr>
        <w:t>（六）保护名录体系</w:t>
      </w:r>
    </w:p>
    <w:p>
      <w:pPr>
        <w:pStyle w:val="27"/>
        <w:spacing w:line="336" w:lineRule="auto"/>
        <w:ind w:firstLine="420"/>
        <w:rPr>
          <w:color w:val="auto"/>
          <w:sz w:val="22"/>
          <w:szCs w:val="22"/>
        </w:rPr>
      </w:pPr>
      <w:r>
        <w:rPr>
          <w:rFonts w:hint="eastAsia"/>
          <w:color w:val="auto"/>
          <w:sz w:val="22"/>
          <w:szCs w:val="22"/>
        </w:rPr>
        <w:t>（1）衔接资源普查行动</w:t>
      </w:r>
    </w:p>
    <w:p>
      <w:pPr>
        <w:pStyle w:val="27"/>
        <w:spacing w:line="336" w:lineRule="auto"/>
        <w:ind w:firstLine="420"/>
        <w:rPr>
          <w:color w:val="auto"/>
          <w:sz w:val="22"/>
          <w:szCs w:val="22"/>
        </w:rPr>
      </w:pPr>
      <w:r>
        <w:rPr>
          <w:rFonts w:hint="eastAsia"/>
          <w:color w:val="auto"/>
          <w:sz w:val="22"/>
          <w:szCs w:val="22"/>
        </w:rPr>
        <w:t>衔接全域资源普查行动，重点开展现有保护名录以外新增补和拟推荐的保护对象的全面普查工作，将资源普查成果纳入预先保护名录，拓展保护对象的内涵和外延，最大程度上做到应保尽保。</w:t>
      </w:r>
    </w:p>
    <w:p>
      <w:pPr>
        <w:pStyle w:val="27"/>
        <w:spacing w:line="336" w:lineRule="auto"/>
        <w:ind w:firstLine="420"/>
        <w:rPr>
          <w:color w:val="auto"/>
          <w:sz w:val="22"/>
          <w:szCs w:val="22"/>
        </w:rPr>
      </w:pPr>
      <w:r>
        <w:rPr>
          <w:rFonts w:hint="eastAsia"/>
          <w:color w:val="auto"/>
          <w:sz w:val="22"/>
          <w:szCs w:val="22"/>
        </w:rPr>
        <w:t>（2）增补潜在对象，完善保护名录</w:t>
      </w:r>
    </w:p>
    <w:p>
      <w:pPr>
        <w:pStyle w:val="27"/>
        <w:spacing w:line="336" w:lineRule="auto"/>
        <w:ind w:firstLine="420"/>
        <w:rPr>
          <w:color w:val="auto"/>
          <w:sz w:val="22"/>
          <w:szCs w:val="22"/>
        </w:rPr>
      </w:pPr>
      <w:r>
        <w:rPr>
          <w:rFonts w:hint="eastAsia"/>
          <w:color w:val="auto"/>
          <w:sz w:val="22"/>
          <w:szCs w:val="22"/>
        </w:rPr>
        <w:t>对照价值框架，系统盘点城市各级各类城乡历史文化遗产，优先落实各类省级保护传承体系规划内保护名录。</w:t>
      </w:r>
    </w:p>
    <w:p>
      <w:pPr>
        <w:pStyle w:val="27"/>
        <w:spacing w:line="336" w:lineRule="auto"/>
        <w:ind w:firstLine="420"/>
        <w:rPr>
          <w:color w:val="auto"/>
          <w:sz w:val="22"/>
          <w:szCs w:val="22"/>
        </w:rPr>
      </w:pPr>
      <w:r>
        <w:rPr>
          <w:rFonts w:hint="eastAsia"/>
          <w:color w:val="auto"/>
          <w:sz w:val="22"/>
          <w:szCs w:val="22"/>
        </w:rPr>
        <w:t>（3）建立“价值-载体”信息库</w:t>
      </w:r>
    </w:p>
    <w:p>
      <w:pPr>
        <w:pStyle w:val="27"/>
        <w:spacing w:line="336" w:lineRule="auto"/>
        <w:ind w:firstLine="420"/>
        <w:rPr>
          <w:color w:val="auto"/>
          <w:sz w:val="22"/>
          <w:szCs w:val="22"/>
        </w:rPr>
      </w:pPr>
      <w:r>
        <w:rPr>
          <w:rFonts w:hint="eastAsia"/>
          <w:color w:val="auto"/>
          <w:sz w:val="22"/>
          <w:szCs w:val="22"/>
        </w:rPr>
        <w:t>建立以“一总图”和“一总表”为核心的“价值-载体”遗存信息库。以价值特色为先导，提出各类价值的代表性遗存，明确相应价值载体，落实遗存载体图。</w:t>
      </w:r>
    </w:p>
    <w:p>
      <w:pPr>
        <w:pStyle w:val="27"/>
        <w:spacing w:line="336" w:lineRule="auto"/>
        <w:ind w:firstLine="420"/>
        <w:rPr>
          <w:color w:val="auto"/>
          <w:sz w:val="22"/>
          <w:szCs w:val="22"/>
        </w:rPr>
      </w:pPr>
      <w:r>
        <w:rPr>
          <w:rFonts w:hint="eastAsia"/>
          <w:color w:val="auto"/>
          <w:sz w:val="22"/>
          <w:szCs w:val="22"/>
        </w:rPr>
        <w:t>历史文化价值遗存分布总图包括政治类、经济类、社会类、科技文化类与地理类等五类价值载体叠合图。历史文化价值遗存分布总表包括价值类别、价值主题、价值特征、遗存名称、所在县（市）区、年代、类型、保护身份、批次、批准时间、坐标等信息。</w:t>
      </w:r>
    </w:p>
    <w:p>
      <w:pPr>
        <w:pStyle w:val="27"/>
        <w:spacing w:line="336" w:lineRule="auto"/>
        <w:ind w:firstLine="420"/>
        <w:rPr>
          <w:color w:val="auto"/>
          <w:sz w:val="22"/>
          <w:szCs w:val="22"/>
        </w:rPr>
      </w:pPr>
      <w:r>
        <w:rPr>
          <w:rFonts w:hint="eastAsia"/>
          <w:color w:val="auto"/>
          <w:sz w:val="22"/>
          <w:szCs w:val="22"/>
        </w:rPr>
        <w:t>（七）保护范围划定</w:t>
      </w:r>
    </w:p>
    <w:p>
      <w:pPr>
        <w:pStyle w:val="27"/>
        <w:spacing w:line="336" w:lineRule="auto"/>
        <w:ind w:firstLine="420"/>
        <w:rPr>
          <w:color w:val="auto"/>
          <w:sz w:val="22"/>
          <w:szCs w:val="22"/>
        </w:rPr>
      </w:pPr>
      <w:r>
        <w:rPr>
          <w:rFonts w:hint="eastAsia"/>
          <w:color w:val="auto"/>
          <w:sz w:val="22"/>
          <w:szCs w:val="22"/>
        </w:rPr>
        <w:t>（1）划定刚性管控界线</w:t>
      </w:r>
    </w:p>
    <w:p>
      <w:pPr>
        <w:pStyle w:val="27"/>
        <w:spacing w:line="336" w:lineRule="auto"/>
        <w:ind w:firstLine="420"/>
        <w:rPr>
          <w:color w:val="auto"/>
          <w:sz w:val="22"/>
          <w:szCs w:val="22"/>
        </w:rPr>
      </w:pPr>
      <w:r>
        <w:rPr>
          <w:rFonts w:hint="eastAsia"/>
          <w:color w:val="auto"/>
          <w:sz w:val="22"/>
          <w:szCs w:val="22"/>
        </w:rPr>
        <w:t>对各类保护对象本体及相关环境进行空间管控，并保护其真实性和完整性的范围边界，是历史文化保护的刚性管控界线。包括但不限于世界遗产遗产区、缓冲区范围，大遗址保护范围，地下文物埋藏区保护范围，水下文物保护区保护范围，历史文化名城的历史城区范围，区县级以上文物保护单位保护范围，历史文化名镇、名村、街区、地段和历史建筑的保护范围等。</w:t>
      </w:r>
    </w:p>
    <w:p>
      <w:pPr>
        <w:pStyle w:val="27"/>
        <w:spacing w:line="336" w:lineRule="auto"/>
        <w:ind w:firstLine="420"/>
        <w:rPr>
          <w:color w:val="auto"/>
          <w:sz w:val="22"/>
          <w:szCs w:val="22"/>
        </w:rPr>
      </w:pPr>
      <w:r>
        <w:rPr>
          <w:rFonts w:hint="eastAsia"/>
          <w:color w:val="auto"/>
          <w:sz w:val="22"/>
          <w:szCs w:val="22"/>
        </w:rPr>
        <w:t>（2）形成动态更新机制</w:t>
      </w:r>
    </w:p>
    <w:p>
      <w:pPr>
        <w:pStyle w:val="27"/>
        <w:spacing w:line="336" w:lineRule="auto"/>
        <w:ind w:firstLine="420"/>
        <w:rPr>
          <w:color w:val="auto"/>
          <w:sz w:val="22"/>
          <w:szCs w:val="22"/>
        </w:rPr>
      </w:pPr>
      <w:r>
        <w:rPr>
          <w:rFonts w:hint="eastAsia"/>
          <w:color w:val="auto"/>
          <w:sz w:val="22"/>
          <w:szCs w:val="22"/>
        </w:rPr>
        <w:t>根据要求建议将历史文化资源分为明确划线、建议划示与暂不划示三种类型，提出相应管控要求。</w:t>
      </w:r>
    </w:p>
    <w:p>
      <w:pPr>
        <w:pStyle w:val="27"/>
        <w:spacing w:line="336" w:lineRule="auto"/>
        <w:ind w:firstLine="420"/>
        <w:rPr>
          <w:color w:val="auto"/>
          <w:sz w:val="22"/>
          <w:szCs w:val="22"/>
        </w:rPr>
      </w:pPr>
      <w:r>
        <w:rPr>
          <w:rFonts w:hint="eastAsia"/>
          <w:color w:val="auto"/>
          <w:sz w:val="22"/>
          <w:szCs w:val="22"/>
        </w:rPr>
        <w:t>（3）提出保护管控要求</w:t>
      </w:r>
    </w:p>
    <w:p>
      <w:pPr>
        <w:pStyle w:val="27"/>
        <w:spacing w:line="336" w:lineRule="auto"/>
        <w:ind w:firstLine="420"/>
        <w:rPr>
          <w:color w:val="auto"/>
          <w:sz w:val="22"/>
          <w:szCs w:val="22"/>
        </w:rPr>
      </w:pPr>
      <w:r>
        <w:rPr>
          <w:rFonts w:hint="eastAsia"/>
          <w:color w:val="auto"/>
          <w:sz w:val="22"/>
          <w:szCs w:val="22"/>
        </w:rPr>
        <w:t>构建历史文化保护传承体系，按照相关法律法规，分级分类提出历史文化名城、名镇、名村（传统村落）、历史文化街区、历史地段、文物与历史建筑、工业遗产、农业文化遗产、水利遗产等保护对象的保护传承和管控要求，严格保护各类历史文化遗产及其环境。</w:t>
      </w:r>
    </w:p>
    <w:p>
      <w:pPr>
        <w:pStyle w:val="27"/>
        <w:spacing w:line="336" w:lineRule="auto"/>
        <w:ind w:firstLine="420"/>
        <w:rPr>
          <w:color w:val="auto"/>
          <w:sz w:val="22"/>
          <w:szCs w:val="22"/>
        </w:rPr>
      </w:pPr>
      <w:r>
        <w:rPr>
          <w:rFonts w:hint="eastAsia"/>
          <w:color w:val="auto"/>
          <w:sz w:val="22"/>
          <w:szCs w:val="22"/>
        </w:rPr>
        <w:t>（八）保护传承与活化利用</w:t>
      </w:r>
    </w:p>
    <w:p>
      <w:pPr>
        <w:pStyle w:val="27"/>
        <w:spacing w:line="336" w:lineRule="auto"/>
        <w:ind w:firstLine="420"/>
        <w:rPr>
          <w:color w:val="auto"/>
          <w:sz w:val="22"/>
          <w:szCs w:val="22"/>
        </w:rPr>
      </w:pPr>
      <w:r>
        <w:rPr>
          <w:rFonts w:hint="eastAsia"/>
          <w:color w:val="auto"/>
          <w:sz w:val="22"/>
          <w:szCs w:val="22"/>
        </w:rPr>
        <w:t>应根据历史文化资源分布情况，结合文化廊道，组织历史文化游线，并提出各类历史文化资源展示利用基本策略和要求，与自然景观资源、现代功能和生活有机融合，彰显城市历史文化特色。</w:t>
      </w:r>
    </w:p>
    <w:p>
      <w:pPr>
        <w:pStyle w:val="27"/>
        <w:spacing w:line="336" w:lineRule="auto"/>
        <w:ind w:firstLine="420"/>
        <w:rPr>
          <w:color w:val="auto"/>
          <w:sz w:val="22"/>
          <w:szCs w:val="22"/>
        </w:rPr>
      </w:pPr>
      <w:r>
        <w:rPr>
          <w:rFonts w:hint="eastAsia"/>
          <w:color w:val="auto"/>
          <w:sz w:val="22"/>
          <w:szCs w:val="22"/>
        </w:rPr>
        <w:t>探索历史城区、历史文化名镇名村（传统村落）、历史文化街区、历史地段、文物与历史建筑、工业遗产、农业文化遗产、水利遗产、非物质文化遗产的活化利用手段，提出各类遗产的活化利用创新性方式。</w:t>
      </w:r>
    </w:p>
    <w:p>
      <w:pPr>
        <w:pStyle w:val="27"/>
        <w:spacing w:line="336" w:lineRule="auto"/>
        <w:ind w:firstLine="420"/>
        <w:rPr>
          <w:color w:val="auto"/>
          <w:sz w:val="22"/>
          <w:szCs w:val="22"/>
        </w:rPr>
      </w:pPr>
      <w:r>
        <w:rPr>
          <w:rFonts w:hint="eastAsia"/>
          <w:color w:val="auto"/>
          <w:sz w:val="22"/>
          <w:szCs w:val="22"/>
        </w:rPr>
        <w:t>（九）廊道与分区管控引导</w:t>
      </w:r>
    </w:p>
    <w:p>
      <w:pPr>
        <w:pStyle w:val="27"/>
        <w:spacing w:line="336" w:lineRule="auto"/>
        <w:ind w:firstLine="420"/>
        <w:rPr>
          <w:color w:val="auto"/>
          <w:sz w:val="22"/>
          <w:szCs w:val="22"/>
        </w:rPr>
      </w:pPr>
      <w:r>
        <w:rPr>
          <w:rFonts w:hint="eastAsia"/>
          <w:color w:val="auto"/>
          <w:sz w:val="22"/>
          <w:szCs w:val="22"/>
        </w:rPr>
        <w:t>围绕全域全要素保护，依据历史文化资源与自然景观的富集程度，以历史文化遗产的刚性管控界线为基础，统筹非物质文化遗产空间承载地，进行历史文化廊道与保护传承分区划定，明确各历史文化廊道与保护传承分区的整体保护和活化利用要求。</w:t>
      </w:r>
    </w:p>
    <w:p>
      <w:pPr>
        <w:pStyle w:val="27"/>
        <w:spacing w:line="336" w:lineRule="auto"/>
        <w:ind w:firstLine="420"/>
        <w:rPr>
          <w:color w:val="auto"/>
          <w:sz w:val="22"/>
          <w:szCs w:val="22"/>
        </w:rPr>
      </w:pPr>
      <w:r>
        <w:rPr>
          <w:rFonts w:hint="eastAsia"/>
          <w:color w:val="auto"/>
          <w:sz w:val="22"/>
          <w:szCs w:val="22"/>
        </w:rPr>
        <w:t>（十）工作机制与管理保障</w:t>
      </w:r>
    </w:p>
    <w:p>
      <w:pPr>
        <w:pStyle w:val="27"/>
        <w:spacing w:line="336" w:lineRule="auto"/>
        <w:ind w:firstLine="420"/>
        <w:rPr>
          <w:color w:val="auto"/>
          <w:sz w:val="22"/>
          <w:szCs w:val="22"/>
        </w:rPr>
      </w:pPr>
      <w:r>
        <w:rPr>
          <w:rFonts w:hint="eastAsia"/>
          <w:color w:val="auto"/>
          <w:sz w:val="22"/>
          <w:szCs w:val="22"/>
        </w:rPr>
        <w:t>提出建立历史文化保护传承相关协调机构策略，明确优化历史文化保护管理机构的具体任务。提出完善义乌市历史文化保护传承相关法规、规章、技术标准和配套管理文件的建议，加强组织领导与监管。</w:t>
      </w:r>
    </w:p>
    <w:p>
      <w:pPr>
        <w:pStyle w:val="27"/>
        <w:spacing w:line="336" w:lineRule="auto"/>
        <w:ind w:firstLine="420"/>
        <w:rPr>
          <w:color w:val="auto"/>
          <w:sz w:val="22"/>
          <w:szCs w:val="22"/>
        </w:rPr>
      </w:pPr>
      <w:r>
        <w:rPr>
          <w:rFonts w:hint="eastAsia"/>
          <w:color w:val="auto"/>
          <w:sz w:val="22"/>
          <w:szCs w:val="22"/>
        </w:rPr>
        <w:t>提出建立公众参与保护机制，加强宣传教育力度，落实社会反馈、监督等方面的建议。</w:t>
      </w:r>
    </w:p>
    <w:p>
      <w:pPr>
        <w:pStyle w:val="27"/>
        <w:spacing w:line="336" w:lineRule="auto"/>
        <w:ind w:firstLine="420"/>
        <w:rPr>
          <w:color w:val="auto"/>
          <w:sz w:val="22"/>
          <w:szCs w:val="22"/>
        </w:rPr>
      </w:pPr>
      <w:r>
        <w:rPr>
          <w:rFonts w:hint="eastAsia"/>
          <w:color w:val="auto"/>
          <w:sz w:val="22"/>
          <w:szCs w:val="22"/>
        </w:rPr>
        <w:t>（十一）重点工作任务传导</w:t>
      </w:r>
    </w:p>
    <w:p>
      <w:pPr>
        <w:pStyle w:val="27"/>
        <w:spacing w:line="336" w:lineRule="auto"/>
        <w:ind w:firstLine="420"/>
        <w:rPr>
          <w:color w:val="auto"/>
          <w:sz w:val="22"/>
          <w:szCs w:val="22"/>
        </w:rPr>
      </w:pPr>
      <w:r>
        <w:rPr>
          <w:rFonts w:hint="eastAsia"/>
          <w:color w:val="auto"/>
          <w:sz w:val="22"/>
          <w:szCs w:val="22"/>
        </w:rPr>
        <w:t>坚持“能保尽保、应保尽保”，以彰显价值特色、支撑总体格局为目标，落实浙江省城乡历史文化保护传承体系规划传导要求，衔接相关规划，统筹制定历史文化保护传承工作方向，根据需要对下辖街道、乡镇保护传承专项工作提出指引，促使城乡建设中保护传承项目实施落地。</w:t>
      </w:r>
    </w:p>
    <w:p>
      <w:pPr>
        <w:spacing w:line="500" w:lineRule="exact"/>
        <w:ind w:firstLine="442" w:firstLineChars="200"/>
        <w:jc w:val="left"/>
        <w:rPr>
          <w:rFonts w:ascii="宋体" w:hAnsi="宋体" w:cs="宋体"/>
          <w:b/>
          <w:color w:val="auto"/>
          <w:sz w:val="22"/>
          <w:szCs w:val="22"/>
        </w:rPr>
      </w:pPr>
      <w:r>
        <w:rPr>
          <w:rFonts w:hint="eastAsia" w:ascii="宋体" w:hAnsi="宋体" w:cs="宋体"/>
          <w:b/>
          <w:color w:val="auto"/>
          <w:sz w:val="22"/>
          <w:szCs w:val="22"/>
        </w:rPr>
        <w:t>四、规划成果要求</w:t>
      </w:r>
    </w:p>
    <w:p>
      <w:pPr>
        <w:pStyle w:val="27"/>
        <w:spacing w:line="336" w:lineRule="auto"/>
        <w:ind w:firstLine="420"/>
        <w:rPr>
          <w:color w:val="auto"/>
          <w:sz w:val="22"/>
          <w:szCs w:val="22"/>
        </w:rPr>
      </w:pPr>
      <w:r>
        <w:rPr>
          <w:rFonts w:hint="eastAsia"/>
          <w:color w:val="auto"/>
          <w:sz w:val="22"/>
          <w:szCs w:val="22"/>
        </w:rPr>
        <w:t>（一）成果构成</w:t>
      </w:r>
    </w:p>
    <w:p>
      <w:pPr>
        <w:pStyle w:val="27"/>
        <w:spacing w:line="336" w:lineRule="auto"/>
        <w:ind w:firstLine="420"/>
        <w:rPr>
          <w:color w:val="auto"/>
          <w:sz w:val="22"/>
          <w:szCs w:val="22"/>
        </w:rPr>
      </w:pPr>
      <w:r>
        <w:rPr>
          <w:rFonts w:hint="eastAsia"/>
          <w:color w:val="auto"/>
          <w:sz w:val="22"/>
          <w:szCs w:val="22"/>
        </w:rPr>
        <w:t>历史文化保护传承专项规划成果包括法定性文件和研究性文件。法定性文件一经审批则具有法定效力，是需要严格执行的公共政策，由规划文本、规划图集及附件构成。研究性文件包括研究性内容和分析过程以及重要的历史文化专题研究等，由规划说明书、基础资料汇编及重要专题等构成。</w:t>
      </w:r>
    </w:p>
    <w:p>
      <w:pPr>
        <w:pStyle w:val="27"/>
        <w:spacing w:line="336" w:lineRule="auto"/>
        <w:ind w:firstLine="420"/>
        <w:rPr>
          <w:color w:val="auto"/>
          <w:sz w:val="22"/>
          <w:szCs w:val="22"/>
        </w:rPr>
      </w:pPr>
      <w:r>
        <w:rPr>
          <w:rFonts w:hint="eastAsia"/>
          <w:color w:val="auto"/>
          <w:sz w:val="22"/>
          <w:szCs w:val="22"/>
        </w:rPr>
        <w:t>规划图集统一采用2000国家大地坐标系和1985国家高程作为空间基准，以最新全国国土调查作为现状基础数据，形成规划底数。图集应符合相关制图规范要求。</w:t>
      </w:r>
    </w:p>
    <w:p>
      <w:pPr>
        <w:pStyle w:val="27"/>
        <w:spacing w:line="336" w:lineRule="auto"/>
        <w:ind w:firstLine="420"/>
        <w:rPr>
          <w:color w:val="auto"/>
          <w:sz w:val="22"/>
          <w:szCs w:val="22"/>
        </w:rPr>
      </w:pPr>
      <w:r>
        <w:rPr>
          <w:rFonts w:hint="eastAsia"/>
          <w:color w:val="auto"/>
          <w:sz w:val="22"/>
          <w:szCs w:val="22"/>
        </w:rPr>
        <w:t>成果包括纸质文件和电子数据。其中电子数据包括各类文字报告、图集及各类栅格和矢量数据。</w:t>
      </w:r>
    </w:p>
    <w:p>
      <w:pPr>
        <w:pStyle w:val="27"/>
        <w:spacing w:line="336" w:lineRule="auto"/>
        <w:ind w:firstLine="420"/>
        <w:rPr>
          <w:color w:val="auto"/>
          <w:sz w:val="22"/>
          <w:szCs w:val="22"/>
        </w:rPr>
      </w:pPr>
      <w:r>
        <w:rPr>
          <w:rFonts w:hint="eastAsia"/>
          <w:color w:val="auto"/>
          <w:sz w:val="22"/>
          <w:szCs w:val="22"/>
        </w:rPr>
        <w:t>（二）规划文本</w:t>
      </w:r>
    </w:p>
    <w:p>
      <w:pPr>
        <w:pStyle w:val="27"/>
        <w:spacing w:line="336" w:lineRule="auto"/>
        <w:ind w:firstLine="420"/>
        <w:rPr>
          <w:color w:val="auto"/>
          <w:sz w:val="22"/>
          <w:szCs w:val="22"/>
        </w:rPr>
      </w:pPr>
      <w:r>
        <w:rPr>
          <w:rFonts w:hint="eastAsia"/>
          <w:color w:val="auto"/>
          <w:sz w:val="22"/>
          <w:szCs w:val="22"/>
        </w:rPr>
        <w:t>规划文本应当以条款格式表述规划结论，包括文本条文、必要的表格。文本条文应法条化，表述准确规范，简明扼要，突出政策性、针对性和规定性。</w:t>
      </w:r>
    </w:p>
    <w:p>
      <w:pPr>
        <w:pStyle w:val="27"/>
        <w:spacing w:line="336" w:lineRule="auto"/>
        <w:ind w:firstLine="420"/>
        <w:rPr>
          <w:color w:val="auto"/>
          <w:sz w:val="22"/>
          <w:szCs w:val="22"/>
        </w:rPr>
      </w:pPr>
      <w:r>
        <w:rPr>
          <w:rFonts w:hint="eastAsia"/>
          <w:color w:val="auto"/>
          <w:sz w:val="22"/>
          <w:szCs w:val="22"/>
        </w:rPr>
        <w:t>（三）规划图集</w:t>
      </w:r>
    </w:p>
    <w:p>
      <w:pPr>
        <w:pStyle w:val="27"/>
        <w:spacing w:line="336" w:lineRule="auto"/>
        <w:ind w:firstLine="420"/>
        <w:rPr>
          <w:color w:val="auto"/>
          <w:sz w:val="22"/>
          <w:szCs w:val="22"/>
        </w:rPr>
      </w:pPr>
      <w:r>
        <w:rPr>
          <w:rFonts w:hint="eastAsia"/>
          <w:color w:val="auto"/>
          <w:sz w:val="22"/>
          <w:szCs w:val="22"/>
        </w:rPr>
        <w:t>历史文化保护传承专项规划应包括以下基本图件。</w:t>
      </w:r>
    </w:p>
    <w:p>
      <w:pPr>
        <w:pStyle w:val="27"/>
        <w:spacing w:line="336" w:lineRule="auto"/>
        <w:ind w:firstLine="420"/>
        <w:rPr>
          <w:color w:val="auto"/>
          <w:sz w:val="22"/>
          <w:szCs w:val="22"/>
        </w:rPr>
      </w:pPr>
      <w:r>
        <w:rPr>
          <w:rFonts w:hint="eastAsia"/>
          <w:color w:val="auto"/>
          <w:sz w:val="22"/>
          <w:szCs w:val="22"/>
        </w:rPr>
        <w:t>1、区位图；</w:t>
      </w:r>
    </w:p>
    <w:p>
      <w:pPr>
        <w:pStyle w:val="27"/>
        <w:spacing w:line="336" w:lineRule="auto"/>
        <w:ind w:firstLine="420"/>
        <w:rPr>
          <w:color w:val="auto"/>
          <w:sz w:val="22"/>
          <w:szCs w:val="22"/>
        </w:rPr>
      </w:pPr>
      <w:r>
        <w:rPr>
          <w:rFonts w:hint="eastAsia"/>
          <w:color w:val="auto"/>
          <w:sz w:val="22"/>
          <w:szCs w:val="22"/>
        </w:rPr>
        <w:t>2、自然人文格局特征图；</w:t>
      </w:r>
    </w:p>
    <w:p>
      <w:pPr>
        <w:pStyle w:val="27"/>
        <w:spacing w:line="336" w:lineRule="auto"/>
        <w:ind w:firstLine="420"/>
        <w:rPr>
          <w:color w:val="auto"/>
          <w:sz w:val="22"/>
          <w:szCs w:val="22"/>
        </w:rPr>
      </w:pPr>
      <w:r>
        <w:rPr>
          <w:rFonts w:hint="eastAsia"/>
          <w:color w:val="auto"/>
          <w:sz w:val="22"/>
          <w:szCs w:val="22"/>
        </w:rPr>
        <w:t>3、历史沿革图；</w:t>
      </w:r>
    </w:p>
    <w:p>
      <w:pPr>
        <w:pStyle w:val="27"/>
        <w:spacing w:line="336" w:lineRule="auto"/>
        <w:ind w:firstLine="420"/>
        <w:rPr>
          <w:color w:val="auto"/>
          <w:sz w:val="22"/>
          <w:szCs w:val="22"/>
        </w:rPr>
      </w:pPr>
      <w:r>
        <w:rPr>
          <w:rFonts w:hint="eastAsia"/>
          <w:color w:val="auto"/>
          <w:sz w:val="22"/>
          <w:szCs w:val="22"/>
        </w:rPr>
        <w:t>4、历史文化遗产现状分布图（包括历史文化名城名镇名村、传统村落、不可移动文物、历史建筑、历史地段、地下文物埋藏区、工业遗产、农业文化遗产、灌溉工程遗产、革命文化遗产、非物质文化遗产等）；</w:t>
      </w:r>
    </w:p>
    <w:p>
      <w:pPr>
        <w:pStyle w:val="27"/>
        <w:spacing w:line="336" w:lineRule="auto"/>
        <w:ind w:firstLine="420"/>
        <w:rPr>
          <w:color w:val="auto"/>
          <w:sz w:val="22"/>
          <w:szCs w:val="22"/>
        </w:rPr>
      </w:pPr>
      <w:r>
        <w:rPr>
          <w:rFonts w:hint="eastAsia"/>
          <w:color w:val="auto"/>
          <w:sz w:val="22"/>
          <w:szCs w:val="22"/>
        </w:rPr>
        <w:t>5、各类价值-载体落位图；</w:t>
      </w:r>
    </w:p>
    <w:p>
      <w:pPr>
        <w:pStyle w:val="27"/>
        <w:spacing w:line="336" w:lineRule="auto"/>
        <w:ind w:firstLine="420"/>
        <w:rPr>
          <w:color w:val="auto"/>
          <w:sz w:val="22"/>
          <w:szCs w:val="22"/>
        </w:rPr>
      </w:pPr>
      <w:r>
        <w:rPr>
          <w:rFonts w:hint="eastAsia"/>
          <w:color w:val="auto"/>
          <w:sz w:val="22"/>
          <w:szCs w:val="22"/>
        </w:rPr>
        <w:t>6、历史文化保护传承格局图；</w:t>
      </w:r>
    </w:p>
    <w:p>
      <w:pPr>
        <w:pStyle w:val="27"/>
        <w:spacing w:line="336" w:lineRule="auto"/>
        <w:ind w:firstLine="420"/>
        <w:rPr>
          <w:color w:val="auto"/>
          <w:sz w:val="22"/>
          <w:szCs w:val="22"/>
        </w:rPr>
      </w:pPr>
      <w:r>
        <w:rPr>
          <w:rFonts w:hint="eastAsia"/>
          <w:color w:val="auto"/>
          <w:sz w:val="22"/>
          <w:szCs w:val="22"/>
        </w:rPr>
        <w:t>7、推荐历史文化遗产分布图；</w:t>
      </w:r>
    </w:p>
    <w:p>
      <w:pPr>
        <w:pStyle w:val="27"/>
        <w:spacing w:line="336" w:lineRule="auto"/>
        <w:ind w:firstLine="420"/>
        <w:rPr>
          <w:color w:val="auto"/>
          <w:sz w:val="22"/>
          <w:szCs w:val="22"/>
        </w:rPr>
      </w:pPr>
      <w:r>
        <w:rPr>
          <w:rFonts w:hint="eastAsia"/>
          <w:color w:val="auto"/>
          <w:sz w:val="22"/>
          <w:szCs w:val="22"/>
        </w:rPr>
        <w:t>8、历史文化保护范围界线图；</w:t>
      </w:r>
    </w:p>
    <w:p>
      <w:pPr>
        <w:pStyle w:val="27"/>
        <w:spacing w:line="336" w:lineRule="auto"/>
        <w:ind w:firstLine="420"/>
        <w:rPr>
          <w:color w:val="auto"/>
          <w:sz w:val="22"/>
          <w:szCs w:val="22"/>
        </w:rPr>
      </w:pPr>
      <w:r>
        <w:rPr>
          <w:rFonts w:hint="eastAsia"/>
          <w:color w:val="auto"/>
          <w:sz w:val="22"/>
          <w:szCs w:val="22"/>
        </w:rPr>
        <w:t>9、保护传承与活化利用方式图；</w:t>
      </w:r>
    </w:p>
    <w:p>
      <w:pPr>
        <w:pStyle w:val="27"/>
        <w:spacing w:line="336" w:lineRule="auto"/>
        <w:ind w:firstLine="420"/>
        <w:rPr>
          <w:color w:val="auto"/>
          <w:sz w:val="22"/>
          <w:szCs w:val="22"/>
        </w:rPr>
      </w:pPr>
      <w:r>
        <w:rPr>
          <w:rFonts w:hint="eastAsia"/>
          <w:color w:val="auto"/>
          <w:sz w:val="22"/>
          <w:szCs w:val="22"/>
        </w:rPr>
        <w:t>10、分区与廊道管控引导图；</w:t>
      </w:r>
    </w:p>
    <w:p>
      <w:pPr>
        <w:pStyle w:val="27"/>
        <w:spacing w:line="336" w:lineRule="auto"/>
        <w:ind w:firstLine="420"/>
        <w:rPr>
          <w:color w:val="auto"/>
          <w:sz w:val="22"/>
          <w:szCs w:val="22"/>
        </w:rPr>
      </w:pPr>
      <w:r>
        <w:rPr>
          <w:rFonts w:hint="eastAsia"/>
          <w:color w:val="auto"/>
          <w:sz w:val="22"/>
          <w:szCs w:val="22"/>
        </w:rPr>
        <w:t>11、实施项目落位图；</w:t>
      </w:r>
    </w:p>
    <w:p>
      <w:pPr>
        <w:pStyle w:val="27"/>
        <w:spacing w:line="336" w:lineRule="auto"/>
        <w:ind w:firstLine="420"/>
        <w:rPr>
          <w:color w:val="auto"/>
          <w:sz w:val="22"/>
          <w:szCs w:val="22"/>
        </w:rPr>
      </w:pPr>
      <w:r>
        <w:rPr>
          <w:rFonts w:hint="eastAsia"/>
          <w:color w:val="auto"/>
          <w:sz w:val="22"/>
          <w:szCs w:val="22"/>
        </w:rPr>
        <w:t>其他需要的图件。</w:t>
      </w:r>
    </w:p>
    <w:p>
      <w:pPr>
        <w:pStyle w:val="27"/>
        <w:spacing w:line="336" w:lineRule="auto"/>
        <w:ind w:firstLine="420"/>
        <w:rPr>
          <w:color w:val="auto"/>
          <w:sz w:val="22"/>
          <w:szCs w:val="22"/>
        </w:rPr>
      </w:pPr>
      <w:r>
        <w:rPr>
          <w:rFonts w:hint="eastAsia"/>
          <w:color w:val="auto"/>
          <w:sz w:val="22"/>
          <w:szCs w:val="22"/>
        </w:rPr>
        <w:t>（四）规划编制说明</w:t>
      </w:r>
    </w:p>
    <w:p>
      <w:pPr>
        <w:pStyle w:val="27"/>
        <w:spacing w:line="336" w:lineRule="auto"/>
        <w:ind w:firstLine="420"/>
        <w:rPr>
          <w:color w:val="auto"/>
          <w:sz w:val="22"/>
          <w:szCs w:val="22"/>
        </w:rPr>
      </w:pPr>
      <w:r>
        <w:rPr>
          <w:rFonts w:hint="eastAsia"/>
          <w:color w:val="auto"/>
          <w:sz w:val="22"/>
          <w:szCs w:val="22"/>
        </w:rPr>
        <w:t>规划说明书是对规划文本的具体说明与解释，主要阐述规划决策的编制基础、分析过程和分析结论，是配合规划文本和图集使用的重要参考。</w:t>
      </w:r>
    </w:p>
    <w:p>
      <w:pPr>
        <w:pStyle w:val="27"/>
        <w:spacing w:line="336" w:lineRule="auto"/>
        <w:ind w:firstLine="420"/>
        <w:rPr>
          <w:color w:val="auto"/>
          <w:sz w:val="22"/>
          <w:szCs w:val="22"/>
        </w:rPr>
      </w:pPr>
      <w:r>
        <w:rPr>
          <w:rFonts w:hint="eastAsia"/>
          <w:color w:val="auto"/>
          <w:sz w:val="22"/>
          <w:szCs w:val="22"/>
        </w:rPr>
        <w:t>（五）规划数据库</w:t>
      </w:r>
    </w:p>
    <w:p>
      <w:pPr>
        <w:pStyle w:val="27"/>
        <w:spacing w:line="336" w:lineRule="auto"/>
        <w:ind w:firstLine="420"/>
        <w:rPr>
          <w:color w:val="auto"/>
          <w:sz w:val="22"/>
          <w:szCs w:val="22"/>
        </w:rPr>
      </w:pPr>
      <w:r>
        <w:rPr>
          <w:rFonts w:hint="eastAsia"/>
          <w:color w:val="auto"/>
          <w:sz w:val="22"/>
          <w:szCs w:val="22"/>
        </w:rPr>
        <w:t>历史文化保护传承专项规划数据库坐标系统统一采用“2000国家大地坐标系（CGCS2000）”，高程系统采用“1985国家高程基准”，地图投影采用“高斯-克吕格”投影，采用国家标准3°分带，120°中央经线。数据库主要包含现状与规划的矢量数据图层、数据库图层说明文档、字段说明文档等。</w:t>
      </w:r>
    </w:p>
    <w:p>
      <w:pPr>
        <w:pStyle w:val="27"/>
        <w:spacing w:line="336" w:lineRule="auto"/>
        <w:ind w:firstLine="420"/>
        <w:rPr>
          <w:color w:val="auto"/>
          <w:sz w:val="22"/>
          <w:szCs w:val="22"/>
        </w:rPr>
      </w:pPr>
      <w:r>
        <w:rPr>
          <w:rFonts w:hint="eastAsia"/>
          <w:color w:val="auto"/>
          <w:sz w:val="22"/>
          <w:szCs w:val="22"/>
        </w:rPr>
        <w:t>数据成果格式应符合相关数据库规范要求。</w:t>
      </w:r>
    </w:p>
    <w:p>
      <w:pPr>
        <w:spacing w:line="360" w:lineRule="auto"/>
        <w:ind w:firstLine="442" w:firstLineChars="200"/>
        <w:rPr>
          <w:rFonts w:ascii="宋体" w:hAnsi="宋体" w:cs="宋体"/>
          <w:b/>
          <w:bCs/>
          <w:color w:val="auto"/>
          <w:sz w:val="22"/>
          <w:szCs w:val="22"/>
        </w:rPr>
      </w:pPr>
      <w:r>
        <w:rPr>
          <w:rFonts w:hint="eastAsia" w:ascii="宋体" w:hAnsi="宋体" w:cs="宋体"/>
          <w:b/>
          <w:bCs/>
          <w:color w:val="auto"/>
          <w:sz w:val="22"/>
          <w:szCs w:val="22"/>
        </w:rPr>
        <w:t>五、技术资料</w:t>
      </w:r>
    </w:p>
    <w:p>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1.乙方应按招标文件规定的时间向甲方提供有关技术资料。</w:t>
      </w:r>
    </w:p>
    <w:p>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没有甲方事先书面同意，乙方不得将由甲方提供的有关合同或任何合同条文、规格、计划、图纸、样品或其他资料提供给与履行本合同无关的任何其他人。即使向履行本合同有关的人员提供，也应注意保密并限于履行合同的必需范围。</w:t>
      </w:r>
    </w:p>
    <w:p>
      <w:pPr>
        <w:spacing w:line="360" w:lineRule="auto"/>
        <w:ind w:firstLine="433" w:firstLineChars="196"/>
        <w:rPr>
          <w:rFonts w:ascii="宋体" w:hAnsi="宋体" w:cs="宋体"/>
          <w:b/>
          <w:bCs/>
          <w:color w:val="auto"/>
          <w:sz w:val="22"/>
          <w:szCs w:val="22"/>
        </w:rPr>
      </w:pPr>
      <w:r>
        <w:rPr>
          <w:rFonts w:hint="eastAsia" w:ascii="宋体" w:hAnsi="宋体" w:cs="宋体"/>
          <w:b/>
          <w:bCs/>
          <w:color w:val="auto"/>
          <w:sz w:val="22"/>
          <w:szCs w:val="22"/>
        </w:rPr>
        <w:t>六、知识产权</w:t>
      </w:r>
    </w:p>
    <w:p>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乙方应保证所提供的成果文件或其任何一部分均不会侵犯任何第三方的知识产权。</w:t>
      </w:r>
    </w:p>
    <w:p>
      <w:pPr>
        <w:spacing w:line="360" w:lineRule="auto"/>
        <w:ind w:firstLine="433" w:firstLineChars="196"/>
        <w:rPr>
          <w:rFonts w:ascii="宋体" w:hAnsi="宋体" w:cs="宋体"/>
          <w:b/>
          <w:bCs/>
          <w:color w:val="auto"/>
          <w:sz w:val="22"/>
          <w:szCs w:val="22"/>
        </w:rPr>
      </w:pPr>
      <w:r>
        <w:rPr>
          <w:rFonts w:hint="eastAsia" w:ascii="宋体" w:hAnsi="宋体" w:cs="宋体"/>
          <w:b/>
          <w:bCs/>
          <w:color w:val="auto"/>
          <w:sz w:val="22"/>
          <w:szCs w:val="22"/>
        </w:rPr>
        <w:t>七、产权担保</w:t>
      </w:r>
    </w:p>
    <w:p>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乙方保证所交付的成果文件的所有权完全属于甲方且无任何抵押、查封等产权瑕疵。</w:t>
      </w:r>
    </w:p>
    <w:p>
      <w:pPr>
        <w:spacing w:line="360" w:lineRule="auto"/>
        <w:ind w:firstLine="480"/>
        <w:rPr>
          <w:rFonts w:ascii="宋体" w:hAnsi="宋体" w:cs="宋体"/>
          <w:b/>
          <w:bCs/>
          <w:color w:val="auto"/>
          <w:sz w:val="22"/>
          <w:szCs w:val="22"/>
        </w:rPr>
      </w:pPr>
      <w:r>
        <w:rPr>
          <w:rFonts w:hint="eastAsia" w:ascii="宋体" w:hAnsi="宋体" w:cs="宋体"/>
          <w:b/>
          <w:bCs/>
          <w:color w:val="auto"/>
          <w:sz w:val="22"/>
          <w:szCs w:val="22"/>
        </w:rPr>
        <w:t>八、转包或分包</w:t>
      </w:r>
    </w:p>
    <w:p>
      <w:pPr>
        <w:spacing w:line="360" w:lineRule="auto"/>
        <w:ind w:firstLine="480"/>
        <w:rPr>
          <w:rFonts w:ascii="宋体" w:hAnsi="宋体" w:cs="宋体"/>
          <w:color w:val="auto"/>
          <w:sz w:val="22"/>
          <w:szCs w:val="22"/>
        </w:rPr>
      </w:pPr>
      <w:r>
        <w:rPr>
          <w:rFonts w:hint="eastAsia" w:ascii="宋体" w:hAnsi="宋体" w:cs="宋体"/>
          <w:color w:val="auto"/>
          <w:sz w:val="22"/>
          <w:szCs w:val="22"/>
        </w:rPr>
        <w:t>1.如有转让和分包行为，甲方中止合同，并追究乙方的违约责任。</w:t>
      </w:r>
    </w:p>
    <w:p>
      <w:pPr>
        <w:spacing w:line="360" w:lineRule="auto"/>
        <w:ind w:firstLine="480"/>
        <w:rPr>
          <w:rFonts w:ascii="宋体" w:hAnsi="宋体" w:cs="宋体"/>
          <w:b/>
          <w:bCs/>
          <w:color w:val="auto"/>
          <w:sz w:val="22"/>
          <w:szCs w:val="22"/>
        </w:rPr>
      </w:pPr>
      <w:r>
        <w:rPr>
          <w:rFonts w:hint="eastAsia" w:ascii="宋体" w:hAnsi="宋体" w:cs="宋体"/>
          <w:b/>
          <w:bCs/>
          <w:color w:val="auto"/>
          <w:sz w:val="22"/>
          <w:szCs w:val="22"/>
        </w:rPr>
        <w:t>九、服务期限</w:t>
      </w:r>
    </w:p>
    <w:p>
      <w:pPr>
        <w:adjustRightInd w:val="0"/>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1.服务期限：</w:t>
      </w:r>
      <w:r>
        <w:rPr>
          <w:rFonts w:hint="eastAsia" w:hAnsi="宋体" w:cs="宋体"/>
          <w:color w:val="auto"/>
          <w:spacing w:val="-4"/>
          <w:sz w:val="22"/>
          <w:szCs w:val="22"/>
        </w:rPr>
        <w:t>自合同签订之日起至本项目全部服务完成止。</w:t>
      </w:r>
      <w:r>
        <w:rPr>
          <w:rFonts w:hint="eastAsia" w:ascii="宋体" w:hAnsi="宋体" w:cs="宋体"/>
          <w:color w:val="auto"/>
          <w:sz w:val="22"/>
          <w:szCs w:val="22"/>
        </w:rPr>
        <w:t xml:space="preserve"> </w:t>
      </w:r>
    </w:p>
    <w:p>
      <w:pPr>
        <w:spacing w:line="360" w:lineRule="auto"/>
        <w:ind w:firstLine="440" w:firstLineChars="200"/>
        <w:rPr>
          <w:rFonts w:ascii="宋体" w:hAnsi="宋体"/>
          <w:color w:val="auto"/>
          <w:sz w:val="22"/>
          <w:szCs w:val="22"/>
        </w:rPr>
      </w:pPr>
      <w:r>
        <w:rPr>
          <w:rFonts w:hint="eastAsia" w:ascii="宋体" w:hAnsi="宋体"/>
          <w:color w:val="auto"/>
          <w:sz w:val="22"/>
          <w:szCs w:val="22"/>
        </w:rPr>
        <w:t>2.服务地点：甲方指定地点。</w:t>
      </w:r>
    </w:p>
    <w:p>
      <w:pPr>
        <w:spacing w:line="360" w:lineRule="auto"/>
        <w:ind w:firstLine="480"/>
        <w:rPr>
          <w:rFonts w:ascii="宋体" w:hAnsi="宋体" w:cs="宋体"/>
          <w:b/>
          <w:bCs/>
          <w:color w:val="auto"/>
          <w:sz w:val="22"/>
          <w:szCs w:val="22"/>
        </w:rPr>
      </w:pPr>
      <w:r>
        <w:rPr>
          <w:rFonts w:hint="eastAsia" w:ascii="宋体" w:hAnsi="宋体" w:cs="宋体"/>
          <w:b/>
          <w:bCs/>
          <w:color w:val="auto"/>
          <w:sz w:val="22"/>
          <w:szCs w:val="22"/>
        </w:rPr>
        <w:t>十、付款方式</w:t>
      </w:r>
    </w:p>
    <w:p>
      <w:pPr>
        <w:spacing w:line="360" w:lineRule="auto"/>
        <w:ind w:firstLine="480"/>
        <w:rPr>
          <w:rFonts w:ascii="宋体" w:hAnsi="宋体"/>
          <w:color w:val="auto"/>
          <w:sz w:val="22"/>
          <w:szCs w:val="22"/>
        </w:rPr>
      </w:pPr>
      <w:r>
        <w:rPr>
          <w:rFonts w:hint="eastAsia" w:ascii="宋体" w:hAnsi="宋体"/>
          <w:color w:val="auto"/>
          <w:sz w:val="22"/>
          <w:szCs w:val="22"/>
          <w:u w:val="single"/>
        </w:rPr>
        <w:t xml:space="preserve">                       </w:t>
      </w:r>
      <w:r>
        <w:rPr>
          <w:rFonts w:hint="eastAsia" w:ascii="宋体" w:hAnsi="宋体"/>
          <w:color w:val="auto"/>
          <w:sz w:val="22"/>
          <w:szCs w:val="22"/>
        </w:rPr>
        <w:t>。（与招标文件一致）</w:t>
      </w:r>
    </w:p>
    <w:p>
      <w:pPr>
        <w:spacing w:line="360" w:lineRule="auto"/>
        <w:ind w:firstLine="480"/>
        <w:rPr>
          <w:rFonts w:ascii="宋体" w:hAnsi="宋体" w:cs="宋体"/>
          <w:b/>
          <w:bCs/>
          <w:color w:val="auto"/>
          <w:sz w:val="22"/>
          <w:szCs w:val="22"/>
        </w:rPr>
      </w:pPr>
      <w:r>
        <w:rPr>
          <w:rFonts w:hint="eastAsia" w:ascii="宋体" w:hAnsi="宋体" w:cs="宋体"/>
          <w:b/>
          <w:bCs/>
          <w:color w:val="auto"/>
          <w:sz w:val="22"/>
          <w:szCs w:val="22"/>
        </w:rPr>
        <w:t>十一、税费</w:t>
      </w:r>
    </w:p>
    <w:p>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本合同执行中相关的一切税费均由乙方负担。</w:t>
      </w:r>
    </w:p>
    <w:p>
      <w:pPr>
        <w:spacing w:line="360" w:lineRule="auto"/>
        <w:ind w:firstLine="480"/>
        <w:rPr>
          <w:rFonts w:ascii="宋体" w:hAnsi="宋体" w:cs="宋体"/>
          <w:b/>
          <w:bCs/>
          <w:color w:val="auto"/>
          <w:sz w:val="22"/>
          <w:szCs w:val="22"/>
        </w:rPr>
      </w:pPr>
      <w:r>
        <w:rPr>
          <w:rFonts w:hint="eastAsia" w:ascii="宋体" w:hAnsi="宋体" w:cs="宋体"/>
          <w:b/>
          <w:bCs/>
          <w:color w:val="auto"/>
          <w:sz w:val="22"/>
          <w:szCs w:val="22"/>
        </w:rPr>
        <w:t>十二、违约责任</w:t>
      </w:r>
    </w:p>
    <w:p>
      <w:pPr>
        <w:spacing w:line="360" w:lineRule="auto"/>
        <w:ind w:firstLine="420"/>
        <w:rPr>
          <w:rFonts w:ascii="宋体" w:hAnsi="宋体" w:cs="宋体"/>
          <w:color w:val="auto"/>
          <w:szCs w:val="21"/>
        </w:rPr>
      </w:pPr>
      <w:r>
        <w:rPr>
          <w:rFonts w:hint="eastAsia" w:ascii="宋体" w:hAnsi="宋体" w:cs="宋体"/>
          <w:color w:val="auto"/>
          <w:szCs w:val="21"/>
        </w:rPr>
        <w:t>1.甲方无正当理由拒收接受服务的，甲方向乙方偿付合同款项百分之五作为违约金。</w:t>
      </w:r>
    </w:p>
    <w:p>
      <w:pPr>
        <w:spacing w:line="360" w:lineRule="auto"/>
        <w:ind w:firstLine="420"/>
        <w:rPr>
          <w:rFonts w:ascii="宋体" w:hAnsi="宋体" w:cs="宋体"/>
          <w:color w:val="auto"/>
          <w:szCs w:val="21"/>
        </w:rPr>
      </w:pPr>
      <w:r>
        <w:rPr>
          <w:rFonts w:hint="eastAsia" w:ascii="宋体" w:hAnsi="宋体" w:cs="宋体"/>
          <w:color w:val="auto"/>
          <w:szCs w:val="21"/>
        </w:rPr>
        <w:t>2.甲方无故逾期验收和办理款项支付手续的，甲方应按逾期付款总额每日万分之五向乙方支付违约金。</w:t>
      </w:r>
    </w:p>
    <w:p>
      <w:pPr>
        <w:spacing w:line="360" w:lineRule="auto"/>
        <w:ind w:firstLine="420"/>
        <w:rPr>
          <w:rFonts w:ascii="宋体" w:hAnsi="宋体" w:cs="宋体"/>
          <w:color w:val="auto"/>
          <w:szCs w:val="21"/>
        </w:rPr>
      </w:pPr>
      <w:r>
        <w:rPr>
          <w:rFonts w:hint="eastAsia" w:ascii="宋体" w:hAnsi="宋体" w:cs="宋体"/>
          <w:color w:val="auto"/>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 </w:t>
      </w:r>
    </w:p>
    <w:p>
      <w:pPr>
        <w:spacing w:line="360" w:lineRule="auto"/>
        <w:ind w:firstLine="420"/>
        <w:rPr>
          <w:rFonts w:ascii="宋体" w:hAnsi="宋体" w:cs="宋体"/>
          <w:color w:val="auto"/>
          <w:szCs w:val="21"/>
        </w:rPr>
      </w:pPr>
      <w:r>
        <w:rPr>
          <w:rFonts w:hint="eastAsia" w:ascii="宋体" w:hAnsi="宋体" w:cs="宋体"/>
          <w:color w:val="auto"/>
          <w:szCs w:val="21"/>
        </w:rPr>
        <w:t>4.如果乙方提供的服务项目的质量未达到本合同规定标准的，则甲方有权拒绝，乙方需向甲方偿付合同款项的30%的违约金。如造成甲方损失超过违约金的，超出部分由乙方继续承担赔偿责任。</w:t>
      </w:r>
    </w:p>
    <w:p>
      <w:pPr>
        <w:spacing w:line="360" w:lineRule="auto"/>
        <w:ind w:firstLine="480"/>
        <w:rPr>
          <w:rFonts w:ascii="宋体" w:hAnsi="宋体" w:cs="宋体"/>
          <w:b/>
          <w:bCs/>
          <w:color w:val="auto"/>
          <w:sz w:val="22"/>
          <w:szCs w:val="22"/>
        </w:rPr>
      </w:pPr>
      <w:r>
        <w:rPr>
          <w:rFonts w:hint="eastAsia" w:ascii="宋体" w:hAnsi="宋体" w:cs="宋体"/>
          <w:b/>
          <w:bCs/>
          <w:color w:val="auto"/>
          <w:sz w:val="22"/>
          <w:szCs w:val="22"/>
        </w:rPr>
        <w:t>十三、不可抗力事件处理</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1.在合同有效期内，任何一方因不可抗力事件导致不能履行合同，则合同履行期可延长，其延长期与不可抗力影响期相同。</w:t>
      </w:r>
    </w:p>
    <w:p>
      <w:pPr>
        <w:spacing w:line="360" w:lineRule="auto"/>
        <w:ind w:left="218" w:leftChars="104" w:firstLine="330" w:firstLineChars="150"/>
        <w:rPr>
          <w:rFonts w:ascii="宋体" w:hAnsi="宋体" w:cs="宋体"/>
          <w:color w:val="auto"/>
          <w:sz w:val="22"/>
          <w:szCs w:val="22"/>
        </w:rPr>
      </w:pPr>
      <w:r>
        <w:rPr>
          <w:rFonts w:hint="eastAsia" w:ascii="宋体" w:hAnsi="宋体" w:cs="宋体"/>
          <w:color w:val="auto"/>
          <w:sz w:val="22"/>
          <w:szCs w:val="22"/>
        </w:rPr>
        <w:t>2.不可抗力事件发生后，应立即通知对方，并寄送有关权威机构出具的说明。</w:t>
      </w:r>
    </w:p>
    <w:p>
      <w:pPr>
        <w:spacing w:line="360" w:lineRule="auto"/>
        <w:ind w:left="218" w:leftChars="104" w:firstLine="330" w:firstLineChars="150"/>
        <w:rPr>
          <w:rFonts w:ascii="宋体" w:hAnsi="宋体" w:cs="宋体"/>
          <w:color w:val="auto"/>
          <w:sz w:val="22"/>
          <w:szCs w:val="22"/>
        </w:rPr>
      </w:pPr>
      <w:r>
        <w:rPr>
          <w:rFonts w:hint="eastAsia" w:ascii="宋体" w:hAnsi="宋体" w:cs="宋体"/>
          <w:color w:val="auto"/>
          <w:sz w:val="22"/>
          <w:szCs w:val="22"/>
        </w:rPr>
        <w:t>3.不可抗力事件延续</w:t>
      </w:r>
      <w:r>
        <w:rPr>
          <w:rFonts w:hint="eastAsia" w:ascii="宋体" w:hAnsi="宋体" w:cs="宋体"/>
          <w:color w:val="auto"/>
          <w:sz w:val="22"/>
          <w:szCs w:val="22"/>
          <w:u w:val="single"/>
        </w:rPr>
        <w:t xml:space="preserve"> 90 </w:t>
      </w:r>
      <w:r>
        <w:rPr>
          <w:rFonts w:hint="eastAsia" w:ascii="宋体" w:hAnsi="宋体" w:cs="宋体"/>
          <w:color w:val="auto"/>
          <w:sz w:val="22"/>
          <w:szCs w:val="22"/>
        </w:rPr>
        <w:t>天以上，双方应通过友好协商，确定是否继续履行合同。</w:t>
      </w:r>
    </w:p>
    <w:p>
      <w:pPr>
        <w:spacing w:line="360" w:lineRule="auto"/>
        <w:ind w:firstLine="480"/>
        <w:rPr>
          <w:rFonts w:ascii="宋体" w:hAnsi="宋体" w:cs="宋体"/>
          <w:color w:val="auto"/>
          <w:sz w:val="22"/>
          <w:szCs w:val="22"/>
        </w:rPr>
      </w:pPr>
      <w:r>
        <w:rPr>
          <w:rFonts w:hint="eastAsia" w:ascii="宋体" w:hAnsi="宋体" w:cs="宋体"/>
          <w:b/>
          <w:bCs/>
          <w:color w:val="auto"/>
          <w:sz w:val="22"/>
          <w:szCs w:val="22"/>
        </w:rPr>
        <w:t>十四、诉讼</w:t>
      </w:r>
    </w:p>
    <w:p>
      <w:pPr>
        <w:spacing w:line="360" w:lineRule="auto"/>
        <w:ind w:firstLine="480"/>
        <w:rPr>
          <w:rFonts w:ascii="宋体" w:hAnsi="宋体" w:cs="宋体"/>
          <w:color w:val="auto"/>
          <w:sz w:val="22"/>
          <w:szCs w:val="22"/>
        </w:rPr>
      </w:pPr>
      <w:r>
        <w:rPr>
          <w:rFonts w:hint="eastAsia" w:ascii="宋体" w:hAnsi="宋体" w:cs="宋体"/>
          <w:color w:val="auto"/>
          <w:sz w:val="22"/>
          <w:szCs w:val="22"/>
        </w:rPr>
        <w:t>本合同项目履约地为义乌市，本合同发生争议产生的诉讼，可向项目履约地有管辖权的法院提起诉讼。</w:t>
      </w:r>
    </w:p>
    <w:p>
      <w:pPr>
        <w:spacing w:line="360" w:lineRule="auto"/>
        <w:ind w:firstLine="480"/>
        <w:rPr>
          <w:rFonts w:ascii="宋体" w:hAnsi="宋体" w:cs="宋体"/>
          <w:color w:val="auto"/>
          <w:sz w:val="22"/>
          <w:szCs w:val="22"/>
        </w:rPr>
      </w:pPr>
      <w:r>
        <w:rPr>
          <w:rFonts w:hint="eastAsia" w:ascii="宋体" w:hAnsi="宋体" w:cs="宋体"/>
          <w:b/>
          <w:bCs/>
          <w:color w:val="auto"/>
          <w:sz w:val="22"/>
          <w:szCs w:val="22"/>
        </w:rPr>
        <w:t>十五</w:t>
      </w:r>
      <w:r>
        <w:rPr>
          <w:rFonts w:hint="eastAsia" w:ascii="宋体" w:hAnsi="宋体" w:cs="宋体"/>
          <w:color w:val="auto"/>
          <w:sz w:val="22"/>
          <w:szCs w:val="22"/>
        </w:rPr>
        <w:t>、合同双方确认，本合同及合同约定的其他文件组成部分中的各项约定都是通过法定招标过程形成的合法成果，如果乙方的投标文件与本项目招标文件要求不一致的，履约时应以有利于甲方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pacing w:line="360" w:lineRule="auto"/>
        <w:ind w:firstLine="480"/>
        <w:rPr>
          <w:rFonts w:ascii="宋体" w:hAnsi="宋体" w:cs="宋体"/>
          <w:color w:val="auto"/>
          <w:sz w:val="22"/>
          <w:szCs w:val="22"/>
        </w:rPr>
      </w:pPr>
      <w:r>
        <w:rPr>
          <w:rFonts w:hint="eastAsia" w:ascii="宋体" w:hAnsi="宋体" w:cs="宋体"/>
          <w:b/>
          <w:bCs/>
          <w:color w:val="auto"/>
          <w:sz w:val="22"/>
          <w:szCs w:val="22"/>
        </w:rPr>
        <w:t>十六、合同生效及其他</w:t>
      </w:r>
    </w:p>
    <w:p>
      <w:pPr>
        <w:spacing w:line="360" w:lineRule="auto"/>
        <w:ind w:firstLine="480"/>
        <w:rPr>
          <w:rFonts w:ascii="宋体" w:hAnsi="宋体" w:cs="宋体"/>
          <w:color w:val="auto"/>
          <w:sz w:val="22"/>
          <w:szCs w:val="22"/>
        </w:rPr>
      </w:pPr>
      <w:r>
        <w:rPr>
          <w:rFonts w:hint="eastAsia" w:ascii="宋体" w:hAnsi="宋体" w:cs="宋体"/>
          <w:color w:val="auto"/>
          <w:sz w:val="22"/>
          <w:szCs w:val="22"/>
        </w:rPr>
        <w:t>1.合同经双方法定代表人或授权代表签字并加盖单位公章后生效。</w:t>
      </w:r>
    </w:p>
    <w:p>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2.本合同未尽事宜，遵照《中华人民共和国民法典》有关条文执行。</w:t>
      </w:r>
    </w:p>
    <w:p>
      <w:pPr>
        <w:spacing w:line="360" w:lineRule="auto"/>
        <w:ind w:firstLine="480"/>
        <w:rPr>
          <w:rFonts w:ascii="宋体" w:hAnsi="宋体" w:cs="宋体"/>
          <w:color w:val="auto"/>
          <w:sz w:val="22"/>
          <w:szCs w:val="22"/>
        </w:rPr>
      </w:pPr>
      <w:r>
        <w:rPr>
          <w:rFonts w:hint="eastAsia" w:ascii="宋体" w:hAnsi="宋体" w:cs="宋体"/>
          <w:b/>
          <w:bCs/>
          <w:color w:val="auto"/>
          <w:sz w:val="22"/>
          <w:szCs w:val="22"/>
        </w:rPr>
        <w:t>十七</w:t>
      </w:r>
      <w:r>
        <w:rPr>
          <w:rFonts w:hint="eastAsia" w:ascii="宋体" w:hAnsi="宋体" w:cs="宋体"/>
          <w:color w:val="auto"/>
          <w:sz w:val="22"/>
          <w:szCs w:val="22"/>
        </w:rPr>
        <w:t>、本合同一式____份，甲乙双方各执____份，科信联合工程咨询有限公司执一份，义乌市财政局执一份，均具同等效力。</w:t>
      </w:r>
    </w:p>
    <w:p>
      <w:pPr>
        <w:widowControl/>
        <w:spacing w:line="480" w:lineRule="exact"/>
        <w:ind w:firstLine="420"/>
        <w:jc w:val="left"/>
        <w:rPr>
          <w:rFonts w:ascii="宋体" w:hAnsi="宋体" w:cs="宋体"/>
          <w:color w:val="auto"/>
          <w:sz w:val="22"/>
          <w:szCs w:val="22"/>
        </w:rPr>
      </w:pPr>
      <w:r>
        <w:rPr>
          <w:rFonts w:hint="eastAsia" w:ascii="宋体" w:hAnsi="宋体" w:cs="宋体"/>
          <w:color w:val="auto"/>
          <w:sz w:val="22"/>
          <w:szCs w:val="22"/>
        </w:rPr>
        <w:t>甲    方：</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乙    方：</w:t>
      </w:r>
      <w:r>
        <w:rPr>
          <w:rFonts w:hint="eastAsia" w:ascii="宋体" w:hAnsi="宋体" w:cs="宋体"/>
          <w:color w:val="auto"/>
          <w:sz w:val="22"/>
          <w:szCs w:val="22"/>
          <w:u w:val="single"/>
        </w:rPr>
        <w:t xml:space="preserve">                        </w:t>
      </w:r>
    </w:p>
    <w:p>
      <w:pPr>
        <w:widowControl/>
        <w:spacing w:line="480" w:lineRule="exact"/>
        <w:ind w:firstLine="420"/>
        <w:jc w:val="left"/>
        <w:rPr>
          <w:rFonts w:ascii="宋体" w:hAnsi="宋体" w:cs="宋体"/>
          <w:color w:val="auto"/>
          <w:sz w:val="22"/>
          <w:szCs w:val="22"/>
        </w:rPr>
      </w:pPr>
      <w:r>
        <w:rPr>
          <w:rFonts w:hint="eastAsia" w:ascii="宋体" w:hAnsi="宋体" w:cs="宋体"/>
          <w:color w:val="auto"/>
          <w:sz w:val="22"/>
          <w:szCs w:val="22"/>
        </w:rPr>
        <w:t>地    址：________________________  地    址：</w:t>
      </w:r>
      <w:r>
        <w:rPr>
          <w:rFonts w:hint="eastAsia" w:ascii="宋体" w:hAnsi="宋体" w:cs="宋体"/>
          <w:color w:val="auto"/>
          <w:sz w:val="22"/>
          <w:szCs w:val="22"/>
          <w:u w:val="single"/>
        </w:rPr>
        <w:t xml:space="preserve">                        </w:t>
      </w:r>
    </w:p>
    <w:p>
      <w:pPr>
        <w:widowControl/>
        <w:spacing w:line="480" w:lineRule="exact"/>
        <w:ind w:firstLine="420"/>
        <w:jc w:val="left"/>
        <w:rPr>
          <w:rFonts w:ascii="宋体" w:hAnsi="宋体" w:cs="宋体"/>
          <w:color w:val="auto"/>
          <w:sz w:val="22"/>
          <w:szCs w:val="22"/>
        </w:rPr>
      </w:pPr>
      <w:r>
        <w:rPr>
          <w:rFonts w:hint="eastAsia" w:ascii="宋体" w:hAnsi="宋体" w:cs="宋体"/>
          <w:color w:val="auto"/>
          <w:sz w:val="22"/>
          <w:szCs w:val="22"/>
        </w:rPr>
        <w:t>法定代表人：</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法定代表人：</w:t>
      </w:r>
      <w:r>
        <w:rPr>
          <w:rFonts w:hint="eastAsia" w:ascii="宋体" w:hAnsi="宋体" w:cs="宋体"/>
          <w:color w:val="auto"/>
          <w:sz w:val="22"/>
          <w:szCs w:val="22"/>
          <w:u w:val="single"/>
        </w:rPr>
        <w:t xml:space="preserve">                      </w:t>
      </w:r>
    </w:p>
    <w:p>
      <w:pPr>
        <w:widowControl/>
        <w:spacing w:line="480" w:lineRule="exact"/>
        <w:ind w:firstLine="420"/>
        <w:jc w:val="left"/>
        <w:rPr>
          <w:rFonts w:ascii="宋体" w:hAnsi="宋体" w:cs="宋体"/>
          <w:color w:val="auto"/>
          <w:sz w:val="22"/>
          <w:szCs w:val="22"/>
        </w:rPr>
      </w:pPr>
      <w:r>
        <w:rPr>
          <w:rFonts w:hint="eastAsia" w:ascii="宋体" w:hAnsi="宋体" w:cs="宋体"/>
          <w:color w:val="auto"/>
          <w:sz w:val="22"/>
          <w:szCs w:val="22"/>
        </w:rPr>
        <w:t>授权代表：</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授权代表：</w:t>
      </w:r>
      <w:r>
        <w:rPr>
          <w:rFonts w:hint="eastAsia" w:ascii="宋体" w:hAnsi="宋体" w:cs="宋体"/>
          <w:color w:val="auto"/>
          <w:sz w:val="22"/>
          <w:szCs w:val="22"/>
          <w:u w:val="single"/>
        </w:rPr>
        <w:t xml:space="preserve">                        </w:t>
      </w:r>
    </w:p>
    <w:p>
      <w:pPr>
        <w:widowControl/>
        <w:spacing w:line="480" w:lineRule="exact"/>
        <w:ind w:firstLine="420"/>
        <w:jc w:val="left"/>
        <w:rPr>
          <w:rFonts w:ascii="宋体" w:hAnsi="宋体" w:cs="宋体"/>
          <w:color w:val="auto"/>
          <w:sz w:val="22"/>
          <w:szCs w:val="22"/>
        </w:rPr>
      </w:pPr>
      <w:r>
        <w:rPr>
          <w:rFonts w:hint="eastAsia" w:ascii="宋体" w:hAnsi="宋体" w:cs="宋体"/>
          <w:color w:val="auto"/>
          <w:sz w:val="22"/>
          <w:szCs w:val="22"/>
        </w:rPr>
        <w:t>电    话：</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电    话：</w:t>
      </w:r>
      <w:r>
        <w:rPr>
          <w:rFonts w:hint="eastAsia" w:ascii="宋体" w:hAnsi="宋体" w:cs="宋体"/>
          <w:color w:val="auto"/>
          <w:sz w:val="22"/>
          <w:szCs w:val="22"/>
          <w:u w:val="single"/>
        </w:rPr>
        <w:t xml:space="preserve">                        </w:t>
      </w:r>
    </w:p>
    <w:p>
      <w:pPr>
        <w:widowControl/>
        <w:spacing w:line="480" w:lineRule="exact"/>
        <w:ind w:firstLine="420"/>
        <w:jc w:val="left"/>
        <w:rPr>
          <w:rFonts w:ascii="宋体" w:hAnsi="宋体" w:cs="宋体"/>
          <w:color w:val="auto"/>
          <w:sz w:val="22"/>
          <w:szCs w:val="22"/>
        </w:rPr>
      </w:pPr>
      <w:r>
        <w:rPr>
          <w:rFonts w:hint="eastAsia" w:ascii="宋体" w:hAnsi="宋体" w:cs="宋体"/>
          <w:color w:val="auto"/>
          <w:sz w:val="22"/>
          <w:szCs w:val="22"/>
        </w:rPr>
        <w:t>账户名称：</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账户名称：</w:t>
      </w:r>
      <w:r>
        <w:rPr>
          <w:rFonts w:hint="eastAsia" w:ascii="宋体" w:hAnsi="宋体" w:cs="宋体"/>
          <w:color w:val="auto"/>
          <w:sz w:val="22"/>
          <w:szCs w:val="22"/>
          <w:u w:val="single"/>
        </w:rPr>
        <w:t xml:space="preserve">                        </w:t>
      </w:r>
    </w:p>
    <w:p>
      <w:pPr>
        <w:widowControl/>
        <w:spacing w:line="480" w:lineRule="exact"/>
        <w:ind w:firstLine="420"/>
        <w:jc w:val="left"/>
        <w:rPr>
          <w:rFonts w:ascii="宋体" w:hAnsi="宋体" w:cs="宋体"/>
          <w:color w:val="auto"/>
          <w:sz w:val="22"/>
          <w:szCs w:val="22"/>
        </w:rPr>
      </w:pPr>
      <w:r>
        <w:rPr>
          <w:rFonts w:hint="eastAsia" w:ascii="宋体" w:hAnsi="宋体" w:cs="宋体"/>
          <w:color w:val="auto"/>
          <w:sz w:val="22"/>
          <w:szCs w:val="22"/>
        </w:rPr>
        <w:t>开户银行：</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开户银行：</w:t>
      </w:r>
      <w:r>
        <w:rPr>
          <w:rFonts w:hint="eastAsia" w:ascii="宋体" w:hAnsi="宋体" w:cs="宋体"/>
          <w:color w:val="auto"/>
          <w:sz w:val="22"/>
          <w:szCs w:val="22"/>
          <w:u w:val="single"/>
        </w:rPr>
        <w:t xml:space="preserve">                        </w:t>
      </w:r>
    </w:p>
    <w:p>
      <w:pPr>
        <w:widowControl/>
        <w:spacing w:line="480" w:lineRule="exact"/>
        <w:ind w:firstLine="420"/>
        <w:jc w:val="left"/>
        <w:rPr>
          <w:rFonts w:ascii="宋体" w:hAnsi="宋体" w:cs="宋体"/>
          <w:color w:val="auto"/>
          <w:sz w:val="22"/>
          <w:szCs w:val="22"/>
        </w:rPr>
      </w:pPr>
      <w:r>
        <w:rPr>
          <w:rFonts w:hint="eastAsia" w:ascii="宋体" w:hAnsi="宋体" w:cs="宋体"/>
          <w:color w:val="auto"/>
          <w:sz w:val="22"/>
          <w:szCs w:val="22"/>
        </w:rPr>
        <w:t>账    号：</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账    号：</w:t>
      </w:r>
      <w:r>
        <w:rPr>
          <w:rFonts w:hint="eastAsia" w:ascii="宋体" w:hAnsi="宋体" w:cs="宋体"/>
          <w:color w:val="auto"/>
          <w:sz w:val="22"/>
          <w:szCs w:val="22"/>
          <w:u w:val="single"/>
        </w:rPr>
        <w:t xml:space="preserve">                        </w:t>
      </w:r>
    </w:p>
    <w:p>
      <w:pPr>
        <w:pStyle w:val="141"/>
        <w:spacing w:line="480" w:lineRule="exact"/>
        <w:rPr>
          <w:rFonts w:ascii="宋体" w:hAnsi="宋体" w:cs="宋体"/>
          <w:color w:val="auto"/>
          <w:sz w:val="22"/>
          <w:szCs w:val="22"/>
        </w:rPr>
      </w:pPr>
      <w:r>
        <w:rPr>
          <w:rFonts w:hint="eastAsia" w:ascii="宋体" w:hAnsi="宋体" w:cs="宋体"/>
          <w:color w:val="auto"/>
          <w:kern w:val="0"/>
          <w:sz w:val="22"/>
          <w:szCs w:val="22"/>
        </w:rPr>
        <w:t>签约时间：</w:t>
      </w:r>
      <w:r>
        <w:rPr>
          <w:rFonts w:hint="eastAsia" w:ascii="宋体" w:hAnsi="宋体" w:cs="宋体"/>
          <w:color w:val="auto"/>
          <w:sz w:val="22"/>
          <w:szCs w:val="22"/>
          <w:u w:val="single"/>
        </w:rPr>
        <w:t xml:space="preserve">                        </w:t>
      </w:r>
      <w:r>
        <w:rPr>
          <w:rFonts w:hint="eastAsia" w:ascii="宋体" w:hAnsi="宋体" w:cs="宋体"/>
          <w:color w:val="auto"/>
          <w:kern w:val="0"/>
          <w:sz w:val="22"/>
          <w:szCs w:val="22"/>
        </w:rPr>
        <w:t xml:space="preserve">  签约地点：</w:t>
      </w:r>
      <w:r>
        <w:rPr>
          <w:rFonts w:hint="eastAsia" w:ascii="宋体" w:hAnsi="宋体" w:cs="宋体"/>
          <w:color w:val="auto"/>
          <w:sz w:val="22"/>
          <w:szCs w:val="22"/>
          <w:u w:val="single"/>
        </w:rPr>
        <w:t xml:space="preserve">                        </w:t>
      </w:r>
    </w:p>
    <w:p>
      <w:pPr>
        <w:pStyle w:val="21"/>
        <w:spacing w:line="360" w:lineRule="auto"/>
        <w:jc w:val="both"/>
        <w:rPr>
          <w:rFonts w:ascii="Times New Roman" w:hAnsi="Times New Roman"/>
          <w:color w:val="auto"/>
          <w:sz w:val="36"/>
        </w:rPr>
      </w:pPr>
    </w:p>
    <w:p>
      <w:pPr>
        <w:pStyle w:val="2"/>
        <w:jc w:val="center"/>
        <w:rPr>
          <w:color w:val="auto"/>
          <w:sz w:val="36"/>
        </w:rPr>
      </w:pPr>
    </w:p>
    <w:p>
      <w:pPr>
        <w:rPr>
          <w:color w:val="auto"/>
          <w:sz w:val="36"/>
        </w:rPr>
      </w:pPr>
    </w:p>
    <w:p>
      <w:pPr>
        <w:pStyle w:val="2"/>
        <w:jc w:val="center"/>
        <w:rPr>
          <w:color w:val="auto"/>
          <w:sz w:val="36"/>
        </w:rPr>
      </w:pPr>
      <w:r>
        <w:rPr>
          <w:color w:val="auto"/>
          <w:sz w:val="36"/>
        </w:rPr>
        <w:br w:type="page"/>
      </w:r>
      <w:bookmarkStart w:id="76" w:name="_Toc5918"/>
      <w:r>
        <w:rPr>
          <w:color w:val="auto"/>
          <w:sz w:val="36"/>
        </w:rPr>
        <w:t>第八章  投标文件部分格式</w:t>
      </w:r>
      <w:bookmarkEnd w:id="76"/>
    </w:p>
    <w:p>
      <w:pPr>
        <w:rPr>
          <w:color w:val="auto"/>
          <w:kern w:val="1"/>
        </w:rPr>
      </w:pPr>
    </w:p>
    <w:p>
      <w:pPr>
        <w:rPr>
          <w:color w:val="auto"/>
          <w:kern w:val="1"/>
          <w:sz w:val="52"/>
          <w:u w:val="single"/>
        </w:rPr>
      </w:pPr>
      <w:r>
        <w:rPr>
          <w:b/>
          <w:color w:val="auto"/>
          <w:kern w:val="1"/>
          <w:sz w:val="28"/>
        </w:rPr>
        <w:t>封面格式</w:t>
      </w:r>
    </w:p>
    <w:p>
      <w:pPr>
        <w:jc w:val="right"/>
        <w:rPr>
          <w:b/>
          <w:color w:val="auto"/>
          <w:kern w:val="1"/>
          <w:sz w:val="30"/>
        </w:rPr>
      </w:pPr>
    </w:p>
    <w:p>
      <w:pPr>
        <w:jc w:val="right"/>
        <w:rPr>
          <w:b/>
          <w:color w:val="auto"/>
          <w:kern w:val="1"/>
          <w:sz w:val="30"/>
        </w:rPr>
      </w:pPr>
      <w:r>
        <w:rPr>
          <w:b/>
          <w:color w:val="auto"/>
          <w:kern w:val="1"/>
          <w:sz w:val="30"/>
        </w:rPr>
        <w:t>正本（副本）</w:t>
      </w:r>
    </w:p>
    <w:p>
      <w:pPr>
        <w:rPr>
          <w:color w:val="auto"/>
          <w:kern w:val="1"/>
        </w:rPr>
      </w:pPr>
    </w:p>
    <w:p>
      <w:pPr>
        <w:rPr>
          <w:color w:val="auto"/>
          <w:kern w:val="1"/>
        </w:rPr>
      </w:pPr>
    </w:p>
    <w:p>
      <w:pPr>
        <w:rPr>
          <w:color w:val="auto"/>
          <w:kern w:val="1"/>
        </w:rPr>
      </w:pPr>
    </w:p>
    <w:p>
      <w:pPr>
        <w:jc w:val="center"/>
        <w:rPr>
          <w:color w:val="auto"/>
          <w:kern w:val="1"/>
          <w:sz w:val="52"/>
        </w:rPr>
      </w:pPr>
      <w:r>
        <w:rPr>
          <w:color w:val="auto"/>
          <w:kern w:val="1"/>
          <w:sz w:val="52"/>
          <w:u w:val="single"/>
        </w:rPr>
        <w:t xml:space="preserve">                      </w:t>
      </w:r>
      <w:r>
        <w:rPr>
          <w:color w:val="auto"/>
          <w:kern w:val="1"/>
          <w:sz w:val="52"/>
        </w:rPr>
        <w:t>项目</w:t>
      </w: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jc w:val="center"/>
        <w:rPr>
          <w:b/>
          <w:color w:val="auto"/>
          <w:kern w:val="1"/>
          <w:sz w:val="72"/>
        </w:rPr>
      </w:pPr>
      <w:r>
        <w:rPr>
          <w:b/>
          <w:color w:val="auto"/>
          <w:kern w:val="1"/>
          <w:sz w:val="72"/>
        </w:rPr>
        <w:t>投 标 文 件</w:t>
      </w:r>
    </w:p>
    <w:p>
      <w:pPr>
        <w:rPr>
          <w:color w:val="auto"/>
          <w:kern w:val="1"/>
        </w:rPr>
      </w:pPr>
    </w:p>
    <w:p>
      <w:pPr>
        <w:jc w:val="center"/>
        <w:rPr>
          <w:b/>
          <w:color w:val="auto"/>
          <w:kern w:val="1"/>
          <w:sz w:val="28"/>
        </w:rPr>
      </w:pPr>
      <w:r>
        <w:rPr>
          <w:b/>
          <w:color w:val="auto"/>
          <w:kern w:val="1"/>
          <w:sz w:val="28"/>
        </w:rPr>
        <w:t>（招标编号）</w:t>
      </w: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pStyle w:val="118"/>
        <w:rPr>
          <w:color w:val="auto"/>
        </w:rPr>
      </w:pPr>
    </w:p>
    <w:p>
      <w:pPr>
        <w:rPr>
          <w:color w:val="auto"/>
          <w:kern w:val="1"/>
        </w:rPr>
      </w:pPr>
    </w:p>
    <w:p>
      <w:pPr>
        <w:rPr>
          <w:color w:val="auto"/>
          <w:kern w:val="1"/>
        </w:rPr>
      </w:pPr>
    </w:p>
    <w:p>
      <w:pPr>
        <w:rPr>
          <w:color w:val="auto"/>
          <w:kern w:val="1"/>
        </w:rPr>
      </w:pPr>
    </w:p>
    <w:p>
      <w:pPr>
        <w:rPr>
          <w:color w:val="auto"/>
          <w:kern w:val="1"/>
        </w:rPr>
      </w:pPr>
    </w:p>
    <w:p>
      <w:pPr>
        <w:spacing w:line="900" w:lineRule="exact"/>
        <w:ind w:firstLine="313"/>
        <w:rPr>
          <w:color w:val="auto"/>
          <w:kern w:val="1"/>
          <w:sz w:val="32"/>
          <w:szCs w:val="22"/>
        </w:rPr>
      </w:pPr>
      <w:r>
        <w:rPr>
          <w:color w:val="auto"/>
          <w:kern w:val="1"/>
          <w:sz w:val="32"/>
          <w:szCs w:val="22"/>
        </w:rPr>
        <w:t>投标文件内容：</w:t>
      </w:r>
      <w:r>
        <w:rPr>
          <w:color w:val="auto"/>
          <w:kern w:val="1"/>
          <w:sz w:val="32"/>
          <w:szCs w:val="22"/>
          <w:u w:val="single"/>
        </w:rPr>
        <w:t xml:space="preserve">    （</w:t>
      </w:r>
      <w:r>
        <w:rPr>
          <w:rFonts w:hint="eastAsia"/>
          <w:color w:val="auto"/>
          <w:kern w:val="1"/>
          <w:sz w:val="32"/>
          <w:szCs w:val="22"/>
          <w:u w:val="single"/>
        </w:rPr>
        <w:t>资格、商务技术或报价响应文件</w:t>
      </w:r>
      <w:r>
        <w:rPr>
          <w:color w:val="auto"/>
          <w:kern w:val="1"/>
          <w:sz w:val="32"/>
          <w:szCs w:val="22"/>
          <w:u w:val="single"/>
        </w:rPr>
        <w:t xml:space="preserve">）   </w:t>
      </w:r>
      <w:r>
        <w:rPr>
          <w:color w:val="auto"/>
          <w:kern w:val="1"/>
          <w:sz w:val="32"/>
          <w:szCs w:val="22"/>
        </w:rPr>
        <w:t xml:space="preserve"> </w:t>
      </w:r>
    </w:p>
    <w:p>
      <w:pPr>
        <w:spacing w:line="900" w:lineRule="exact"/>
        <w:ind w:firstLine="313"/>
        <w:rPr>
          <w:color w:val="auto"/>
          <w:kern w:val="1"/>
          <w:sz w:val="32"/>
          <w:u w:val="single"/>
        </w:rPr>
      </w:pPr>
      <w:r>
        <w:rPr>
          <w:color w:val="auto"/>
          <w:kern w:val="1"/>
          <w:sz w:val="32"/>
        </w:rPr>
        <w:t>投   标   人：</w:t>
      </w:r>
      <w:r>
        <w:rPr>
          <w:color w:val="auto"/>
          <w:kern w:val="1"/>
          <w:sz w:val="32"/>
          <w:u w:val="single"/>
        </w:rPr>
        <w:t xml:space="preserve">                             （</w:t>
      </w:r>
      <w:r>
        <w:rPr>
          <w:rFonts w:hint="eastAsia"/>
          <w:color w:val="auto"/>
          <w:kern w:val="1"/>
          <w:sz w:val="32"/>
          <w:u w:val="single"/>
        </w:rPr>
        <w:t>签章</w:t>
      </w:r>
      <w:r>
        <w:rPr>
          <w:color w:val="auto"/>
          <w:kern w:val="1"/>
          <w:sz w:val="32"/>
          <w:u w:val="single"/>
        </w:rPr>
        <w:t xml:space="preserve">）   </w:t>
      </w:r>
    </w:p>
    <w:p>
      <w:pPr>
        <w:spacing w:line="900" w:lineRule="exact"/>
        <w:ind w:firstLine="320" w:firstLineChars="100"/>
        <w:rPr>
          <w:color w:val="auto"/>
          <w:kern w:val="1"/>
          <w:sz w:val="32"/>
        </w:rPr>
      </w:pPr>
      <w:r>
        <w:rPr>
          <w:color w:val="auto"/>
          <w:kern w:val="1"/>
          <w:sz w:val="32"/>
        </w:rPr>
        <w:t>日    期：</w:t>
      </w:r>
      <w:r>
        <w:rPr>
          <w:color w:val="auto"/>
          <w:kern w:val="1"/>
          <w:sz w:val="32"/>
          <w:u w:val="single"/>
        </w:rPr>
        <w:t xml:space="preserve">            </w:t>
      </w:r>
      <w:r>
        <w:rPr>
          <w:color w:val="auto"/>
          <w:kern w:val="1"/>
          <w:sz w:val="32"/>
        </w:rPr>
        <w:t>年</w:t>
      </w:r>
      <w:r>
        <w:rPr>
          <w:color w:val="auto"/>
          <w:kern w:val="1"/>
          <w:sz w:val="32"/>
          <w:u w:val="single"/>
        </w:rPr>
        <w:t xml:space="preserve">            </w:t>
      </w:r>
      <w:r>
        <w:rPr>
          <w:color w:val="auto"/>
          <w:kern w:val="1"/>
          <w:sz w:val="32"/>
        </w:rPr>
        <w:t>月</w:t>
      </w:r>
      <w:r>
        <w:rPr>
          <w:color w:val="auto"/>
          <w:kern w:val="1"/>
          <w:sz w:val="32"/>
          <w:u w:val="single"/>
        </w:rPr>
        <w:t xml:space="preserve">               </w:t>
      </w:r>
      <w:r>
        <w:rPr>
          <w:color w:val="auto"/>
          <w:kern w:val="1"/>
          <w:sz w:val="32"/>
        </w:rPr>
        <w:t>日</w:t>
      </w:r>
    </w:p>
    <w:p>
      <w:pPr>
        <w:rPr>
          <w:color w:val="auto"/>
          <w:kern w:val="1"/>
        </w:rPr>
      </w:pPr>
    </w:p>
    <w:p>
      <w:pPr>
        <w:pStyle w:val="63"/>
        <w:rPr>
          <w:color w:val="auto"/>
        </w:rPr>
      </w:pPr>
    </w:p>
    <w:p>
      <w:pPr>
        <w:rPr>
          <w:color w:val="auto"/>
          <w:kern w:val="1"/>
        </w:rPr>
      </w:pPr>
    </w:p>
    <w:p>
      <w:pPr>
        <w:rPr>
          <w:color w:val="auto"/>
          <w:kern w:val="1"/>
        </w:rPr>
      </w:pPr>
    </w:p>
    <w:p>
      <w:pPr>
        <w:jc w:val="center"/>
        <w:rPr>
          <w:color w:val="auto"/>
          <w:kern w:val="1"/>
          <w:sz w:val="36"/>
        </w:rPr>
      </w:pPr>
      <w:r>
        <w:rPr>
          <w:b/>
          <w:color w:val="auto"/>
          <w:kern w:val="1"/>
          <w:sz w:val="36"/>
        </w:rPr>
        <w:t>投标人情况介绍</w:t>
      </w:r>
    </w:p>
    <w:p>
      <w:pPr>
        <w:rPr>
          <w:color w:val="auto"/>
          <w:kern w:val="1"/>
        </w:rPr>
      </w:pPr>
      <w:r>
        <w:rPr>
          <w:color w:val="auto"/>
          <w:kern w:val="1"/>
        </w:rPr>
        <w:t xml:space="preserve"> </w:t>
      </w:r>
    </w:p>
    <w:p>
      <w:pPr>
        <w:rPr>
          <w:color w:val="auto"/>
          <w:kern w:val="1"/>
        </w:rPr>
      </w:pPr>
      <w:r>
        <w:rPr>
          <w:color w:val="auto"/>
          <w:kern w:val="1"/>
        </w:rPr>
        <w:t xml:space="preserve"> </w:t>
      </w:r>
    </w:p>
    <w:p>
      <w:pPr>
        <w:spacing w:line="360" w:lineRule="auto"/>
        <w:ind w:firstLine="480"/>
        <w:rPr>
          <w:color w:val="auto"/>
          <w:kern w:val="1"/>
          <w:sz w:val="24"/>
        </w:rPr>
      </w:pPr>
      <w:r>
        <w:rPr>
          <w:color w:val="auto"/>
          <w:kern w:val="1"/>
          <w:sz w:val="24"/>
        </w:rPr>
        <w:t>总体介绍、技术经济实力、服务能力、资格、资质、质量认证与本套货物服务相类似的实际项目的介绍、业绩等相关情况。</w:t>
      </w:r>
    </w:p>
    <w:p>
      <w:pPr>
        <w:spacing w:line="360" w:lineRule="auto"/>
        <w:ind w:firstLine="480"/>
        <w:rPr>
          <w:color w:val="auto"/>
          <w:kern w:val="1"/>
          <w:sz w:val="24"/>
        </w:rPr>
      </w:pPr>
      <w:r>
        <w:rPr>
          <w:color w:val="auto"/>
          <w:kern w:val="1"/>
          <w:sz w:val="24"/>
        </w:rPr>
        <w:t>相关证书、证件资料扫描件加盖公章后附后。</w:t>
      </w:r>
    </w:p>
    <w:p>
      <w:pPr>
        <w:spacing w:line="360" w:lineRule="auto"/>
        <w:ind w:firstLine="480"/>
        <w:rPr>
          <w:color w:val="auto"/>
          <w:kern w:val="1"/>
          <w:sz w:val="24"/>
        </w:rPr>
      </w:pPr>
      <w:r>
        <w:rPr>
          <w:color w:val="auto"/>
          <w:kern w:val="1"/>
          <w:sz w:val="24"/>
        </w:rPr>
        <w:t>投标人认为有必要的声明和文件（鉴定材料、荣誉证书等），扫描件加盖公章后附后。</w:t>
      </w:r>
    </w:p>
    <w:p>
      <w:pPr>
        <w:rPr>
          <w:color w:val="auto"/>
          <w:kern w:val="1"/>
        </w:rPr>
      </w:pPr>
      <w:r>
        <w:rPr>
          <w:color w:val="auto"/>
          <w:kern w:val="1"/>
        </w:rPr>
        <w:t xml:space="preserve"> </w:t>
      </w:r>
    </w:p>
    <w:p>
      <w:pPr>
        <w:rPr>
          <w:color w:val="auto"/>
          <w:kern w:val="1"/>
        </w:rPr>
      </w:pPr>
      <w:r>
        <w:rPr>
          <w:color w:val="auto"/>
          <w:kern w:val="1"/>
        </w:rPr>
        <w:t xml:space="preserve"> </w:t>
      </w:r>
    </w:p>
    <w:p>
      <w:pPr>
        <w:rPr>
          <w:color w:val="auto"/>
          <w:kern w:val="1"/>
        </w:rPr>
      </w:pPr>
      <w:r>
        <w:rPr>
          <w:color w:val="auto"/>
          <w:kern w:val="1"/>
        </w:rPr>
        <w:t xml:space="preserve"> </w:t>
      </w:r>
    </w:p>
    <w:p>
      <w:pPr>
        <w:rPr>
          <w:color w:val="auto"/>
          <w:kern w:val="1"/>
        </w:rPr>
      </w:pPr>
      <w:r>
        <w:rPr>
          <w:color w:val="auto"/>
          <w:kern w:val="1"/>
        </w:rPr>
        <w:t xml:space="preserve"> </w:t>
      </w:r>
    </w:p>
    <w:p>
      <w:pPr>
        <w:rPr>
          <w:color w:val="auto"/>
          <w:kern w:val="1"/>
        </w:rPr>
      </w:pPr>
      <w:r>
        <w:rPr>
          <w:color w:val="auto"/>
          <w:kern w:val="1"/>
        </w:rPr>
        <w:t xml:space="preserve"> </w:t>
      </w:r>
    </w:p>
    <w:p>
      <w:pPr>
        <w:rPr>
          <w:color w:val="auto"/>
          <w:kern w:val="1"/>
        </w:rPr>
      </w:pPr>
      <w:r>
        <w:rPr>
          <w:color w:val="auto"/>
          <w:kern w:val="1"/>
        </w:rPr>
        <w:t xml:space="preserve"> </w:t>
      </w:r>
    </w:p>
    <w:p>
      <w:pPr>
        <w:rPr>
          <w:color w:val="auto"/>
          <w:kern w:val="1"/>
        </w:rPr>
      </w:pPr>
      <w:r>
        <w:rPr>
          <w:color w:val="auto"/>
          <w:kern w:val="1"/>
        </w:rPr>
        <w:t xml:space="preserve"> </w:t>
      </w:r>
    </w:p>
    <w:p>
      <w:pPr>
        <w:rPr>
          <w:color w:val="auto"/>
          <w:kern w:val="1"/>
        </w:rPr>
      </w:pPr>
      <w:r>
        <w:rPr>
          <w:color w:val="auto"/>
          <w:kern w:val="1"/>
        </w:rPr>
        <w:t xml:space="preserve"> </w:t>
      </w:r>
    </w:p>
    <w:p>
      <w:pPr>
        <w:rPr>
          <w:color w:val="auto"/>
          <w:kern w:val="1"/>
        </w:rPr>
      </w:pPr>
      <w:r>
        <w:rPr>
          <w:color w:val="auto"/>
          <w:kern w:val="1"/>
        </w:rPr>
        <w:t xml:space="preserve"> </w:t>
      </w:r>
    </w:p>
    <w:p>
      <w:pPr>
        <w:rPr>
          <w:color w:val="auto"/>
          <w:kern w:val="1"/>
        </w:rPr>
      </w:pPr>
      <w:r>
        <w:rPr>
          <w:color w:val="auto"/>
          <w:kern w:val="1"/>
        </w:rPr>
        <w:t xml:space="preserve"> </w:t>
      </w:r>
    </w:p>
    <w:p>
      <w:pPr>
        <w:spacing w:line="360" w:lineRule="auto"/>
        <w:ind w:firstLine="4800"/>
        <w:rPr>
          <w:color w:val="auto"/>
          <w:kern w:val="1"/>
          <w:sz w:val="24"/>
          <w:u w:val="single"/>
        </w:rPr>
      </w:pPr>
      <w:r>
        <w:rPr>
          <w:color w:val="auto"/>
          <w:kern w:val="1"/>
          <w:sz w:val="24"/>
        </w:rPr>
        <w:t>供应商名称（</w:t>
      </w:r>
      <w:r>
        <w:rPr>
          <w:rFonts w:hint="eastAsia"/>
          <w:color w:val="auto"/>
          <w:kern w:val="1"/>
          <w:sz w:val="24"/>
        </w:rPr>
        <w:t>签章</w:t>
      </w:r>
      <w:r>
        <w:rPr>
          <w:color w:val="auto"/>
          <w:kern w:val="1"/>
          <w:sz w:val="24"/>
        </w:rPr>
        <w:t>）</w:t>
      </w:r>
      <w:r>
        <w:rPr>
          <w:color w:val="auto"/>
          <w:kern w:val="1"/>
          <w:sz w:val="24"/>
          <w:u w:val="single"/>
        </w:rPr>
        <w:t xml:space="preserve">                   </w:t>
      </w:r>
    </w:p>
    <w:p>
      <w:pPr>
        <w:pStyle w:val="118"/>
        <w:rPr>
          <w:color w:val="auto"/>
        </w:rPr>
      </w:pPr>
    </w:p>
    <w:p>
      <w:pPr>
        <w:spacing w:line="360" w:lineRule="auto"/>
        <w:jc w:val="center"/>
        <w:rPr>
          <w:color w:val="auto"/>
          <w:kern w:val="1"/>
          <w:sz w:val="24"/>
        </w:rPr>
      </w:pPr>
      <w:r>
        <w:rPr>
          <w:color w:val="auto"/>
          <w:kern w:val="1"/>
          <w:sz w:val="24"/>
        </w:rPr>
        <w:t xml:space="preserve">                                                     年     月      日</w:t>
      </w:r>
    </w:p>
    <w:p>
      <w:pPr>
        <w:pStyle w:val="118"/>
        <w:rPr>
          <w:color w:val="auto"/>
        </w:rPr>
      </w:pPr>
    </w:p>
    <w:p>
      <w:pPr>
        <w:spacing w:line="400" w:lineRule="exact"/>
        <w:rPr>
          <w:color w:val="auto"/>
          <w:kern w:val="1"/>
          <w:sz w:val="24"/>
        </w:rPr>
      </w:pPr>
      <w:r>
        <w:rPr>
          <w:color w:val="auto"/>
          <w:kern w:val="1"/>
          <w:sz w:val="24"/>
        </w:rPr>
        <w:t>本附件可根据实际情况自行制作</w:t>
      </w:r>
    </w:p>
    <w:p>
      <w:pPr>
        <w:rPr>
          <w:color w:val="auto"/>
          <w:kern w:val="1"/>
        </w:rPr>
      </w:pPr>
      <w:r>
        <w:rPr>
          <w:color w:val="auto"/>
          <w:kern w:val="1"/>
        </w:rPr>
        <w:t xml:space="preserve"> </w:t>
      </w:r>
    </w:p>
    <w:p>
      <w:pPr>
        <w:rPr>
          <w:color w:val="auto"/>
          <w:kern w:val="1"/>
        </w:rPr>
      </w:pPr>
      <w:r>
        <w:rPr>
          <w:color w:val="auto"/>
          <w:kern w:val="1"/>
        </w:rPr>
        <w:t xml:space="preserve"> </w:t>
      </w:r>
    </w:p>
    <w:p>
      <w:pPr>
        <w:rPr>
          <w:color w:val="auto"/>
          <w:kern w:val="1"/>
        </w:rPr>
      </w:pPr>
      <w:r>
        <w:rPr>
          <w:color w:val="auto"/>
          <w:kern w:val="1"/>
        </w:rPr>
        <w:t xml:space="preserve"> </w:t>
      </w:r>
    </w:p>
    <w:p>
      <w:pPr>
        <w:rPr>
          <w:color w:val="auto"/>
          <w:kern w:val="1"/>
        </w:rPr>
      </w:pPr>
      <w:r>
        <w:rPr>
          <w:color w:val="auto"/>
          <w:kern w:val="1"/>
        </w:rPr>
        <w:t xml:space="preserve"> </w:t>
      </w: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rPr>
          <w:color w:val="auto"/>
          <w:kern w:val="1"/>
        </w:rPr>
      </w:pPr>
    </w:p>
    <w:p>
      <w:pPr>
        <w:jc w:val="center"/>
        <w:rPr>
          <w:b/>
          <w:bCs/>
          <w:color w:val="auto"/>
          <w:sz w:val="32"/>
        </w:rPr>
      </w:pPr>
    </w:p>
    <w:p>
      <w:pPr>
        <w:jc w:val="center"/>
        <w:rPr>
          <w:b/>
          <w:bCs/>
          <w:color w:val="auto"/>
          <w:sz w:val="32"/>
        </w:rPr>
      </w:pPr>
    </w:p>
    <w:p>
      <w:pPr>
        <w:jc w:val="center"/>
        <w:rPr>
          <w:b/>
          <w:bCs/>
          <w:color w:val="auto"/>
          <w:sz w:val="32"/>
        </w:rPr>
      </w:pPr>
    </w:p>
    <w:p>
      <w:pPr>
        <w:jc w:val="center"/>
        <w:rPr>
          <w:b/>
          <w:bCs/>
          <w:color w:val="auto"/>
          <w:sz w:val="32"/>
        </w:rPr>
      </w:pPr>
      <w:r>
        <w:rPr>
          <w:b/>
          <w:bCs/>
          <w:color w:val="auto"/>
          <w:sz w:val="32"/>
        </w:rPr>
        <w:t>拟在本项目任职的负责人简历表</w:t>
      </w:r>
    </w:p>
    <w:p>
      <w:pPr>
        <w:pStyle w:val="118"/>
        <w:rPr>
          <w:color w:val="auto"/>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17"/>
        <w:gridCol w:w="1178"/>
        <w:gridCol w:w="1048"/>
        <w:gridCol w:w="1746"/>
        <w:gridCol w:w="671"/>
        <w:gridCol w:w="7"/>
        <w:gridCol w:w="1070"/>
        <w:gridCol w:w="47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30" w:type="dxa"/>
            <w:vAlign w:val="center"/>
          </w:tcPr>
          <w:p>
            <w:pPr>
              <w:jc w:val="center"/>
              <w:rPr>
                <w:color w:val="auto"/>
                <w:sz w:val="24"/>
              </w:rPr>
            </w:pPr>
            <w:r>
              <w:rPr>
                <w:color w:val="auto"/>
                <w:sz w:val="24"/>
              </w:rPr>
              <w:t>姓  名</w:t>
            </w:r>
          </w:p>
        </w:tc>
        <w:tc>
          <w:tcPr>
            <w:tcW w:w="1395" w:type="dxa"/>
            <w:gridSpan w:val="2"/>
            <w:vAlign w:val="center"/>
          </w:tcPr>
          <w:p>
            <w:pPr>
              <w:jc w:val="center"/>
              <w:rPr>
                <w:color w:val="auto"/>
                <w:sz w:val="24"/>
              </w:rPr>
            </w:pPr>
          </w:p>
        </w:tc>
        <w:tc>
          <w:tcPr>
            <w:tcW w:w="1048" w:type="dxa"/>
            <w:vAlign w:val="center"/>
          </w:tcPr>
          <w:p>
            <w:pPr>
              <w:jc w:val="center"/>
              <w:rPr>
                <w:color w:val="auto"/>
                <w:sz w:val="24"/>
              </w:rPr>
            </w:pPr>
            <w:r>
              <w:rPr>
                <w:color w:val="auto"/>
                <w:sz w:val="24"/>
              </w:rPr>
              <w:t>年  龄</w:t>
            </w:r>
          </w:p>
        </w:tc>
        <w:tc>
          <w:tcPr>
            <w:tcW w:w="1746" w:type="dxa"/>
            <w:vAlign w:val="center"/>
          </w:tcPr>
          <w:p>
            <w:pPr>
              <w:jc w:val="center"/>
              <w:rPr>
                <w:color w:val="auto"/>
                <w:sz w:val="24"/>
              </w:rPr>
            </w:pPr>
          </w:p>
        </w:tc>
        <w:tc>
          <w:tcPr>
            <w:tcW w:w="1748" w:type="dxa"/>
            <w:gridSpan w:val="3"/>
            <w:vAlign w:val="center"/>
          </w:tcPr>
          <w:p>
            <w:pPr>
              <w:jc w:val="center"/>
              <w:rPr>
                <w:color w:val="auto"/>
                <w:sz w:val="24"/>
              </w:rPr>
            </w:pPr>
            <w:r>
              <w:rPr>
                <w:rFonts w:hint="eastAsia"/>
                <w:color w:val="auto"/>
                <w:sz w:val="24"/>
              </w:rPr>
              <w:t>所学</w:t>
            </w:r>
            <w:r>
              <w:rPr>
                <w:color w:val="auto"/>
                <w:sz w:val="24"/>
              </w:rPr>
              <w:t>专业</w:t>
            </w:r>
          </w:p>
        </w:tc>
        <w:tc>
          <w:tcPr>
            <w:tcW w:w="2020" w:type="dxa"/>
            <w:gridSpan w:val="2"/>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330" w:type="dxa"/>
            <w:vAlign w:val="center"/>
          </w:tcPr>
          <w:p>
            <w:pPr>
              <w:jc w:val="center"/>
              <w:rPr>
                <w:color w:val="auto"/>
                <w:sz w:val="24"/>
              </w:rPr>
            </w:pPr>
            <w:r>
              <w:rPr>
                <w:color w:val="auto"/>
                <w:sz w:val="24"/>
              </w:rPr>
              <w:t>职  称</w:t>
            </w:r>
          </w:p>
        </w:tc>
        <w:tc>
          <w:tcPr>
            <w:tcW w:w="1395" w:type="dxa"/>
            <w:gridSpan w:val="2"/>
            <w:vAlign w:val="center"/>
          </w:tcPr>
          <w:p>
            <w:pPr>
              <w:jc w:val="center"/>
              <w:rPr>
                <w:color w:val="auto"/>
                <w:sz w:val="24"/>
              </w:rPr>
            </w:pPr>
          </w:p>
        </w:tc>
        <w:tc>
          <w:tcPr>
            <w:tcW w:w="1048" w:type="dxa"/>
            <w:vAlign w:val="center"/>
          </w:tcPr>
          <w:p>
            <w:pPr>
              <w:jc w:val="center"/>
              <w:rPr>
                <w:color w:val="auto"/>
                <w:sz w:val="24"/>
              </w:rPr>
            </w:pPr>
            <w:r>
              <w:rPr>
                <w:color w:val="auto"/>
                <w:sz w:val="24"/>
              </w:rPr>
              <w:t>职  务</w:t>
            </w:r>
          </w:p>
        </w:tc>
        <w:tc>
          <w:tcPr>
            <w:tcW w:w="1746" w:type="dxa"/>
            <w:vAlign w:val="center"/>
          </w:tcPr>
          <w:p>
            <w:pPr>
              <w:jc w:val="center"/>
              <w:rPr>
                <w:color w:val="auto"/>
                <w:sz w:val="24"/>
              </w:rPr>
            </w:pPr>
          </w:p>
        </w:tc>
        <w:tc>
          <w:tcPr>
            <w:tcW w:w="1748" w:type="dxa"/>
            <w:gridSpan w:val="3"/>
            <w:vAlign w:val="center"/>
          </w:tcPr>
          <w:p>
            <w:pPr>
              <w:jc w:val="center"/>
              <w:rPr>
                <w:color w:val="auto"/>
                <w:sz w:val="24"/>
              </w:rPr>
            </w:pPr>
            <w:r>
              <w:rPr>
                <w:color w:val="auto"/>
                <w:sz w:val="24"/>
              </w:rPr>
              <w:t>拟在本合同工程担任职务</w:t>
            </w:r>
          </w:p>
        </w:tc>
        <w:tc>
          <w:tcPr>
            <w:tcW w:w="2020" w:type="dxa"/>
            <w:gridSpan w:val="2"/>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330" w:type="dxa"/>
            <w:vAlign w:val="center"/>
          </w:tcPr>
          <w:p>
            <w:pPr>
              <w:jc w:val="center"/>
              <w:rPr>
                <w:color w:val="auto"/>
                <w:sz w:val="24"/>
              </w:rPr>
            </w:pPr>
            <w:r>
              <w:rPr>
                <w:color w:val="auto"/>
                <w:sz w:val="24"/>
              </w:rPr>
              <w:t>毕业学校</w:t>
            </w:r>
          </w:p>
        </w:tc>
        <w:tc>
          <w:tcPr>
            <w:tcW w:w="7957" w:type="dxa"/>
            <w:gridSpan w:val="9"/>
            <w:vAlign w:val="center"/>
          </w:tcPr>
          <w:p>
            <w:pPr>
              <w:jc w:val="center"/>
              <w:rPr>
                <w:color w:val="auto"/>
                <w:sz w:val="24"/>
              </w:rPr>
            </w:pPr>
            <w:r>
              <w:rPr>
                <w:color w:val="auto"/>
                <w:sz w:val="24"/>
              </w:rPr>
              <w:t>年   月毕业于          学校    系（科），学制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330" w:type="dxa"/>
            <w:vAlign w:val="center"/>
          </w:tcPr>
          <w:p>
            <w:pPr>
              <w:jc w:val="center"/>
              <w:rPr>
                <w:color w:val="auto"/>
                <w:sz w:val="24"/>
              </w:rPr>
            </w:pPr>
            <w:r>
              <w:rPr>
                <w:rFonts w:hint="eastAsia"/>
                <w:color w:val="auto"/>
                <w:sz w:val="24"/>
              </w:rPr>
              <w:t>联系方式</w:t>
            </w:r>
          </w:p>
        </w:tc>
        <w:tc>
          <w:tcPr>
            <w:tcW w:w="4189" w:type="dxa"/>
            <w:gridSpan w:val="4"/>
            <w:vAlign w:val="center"/>
          </w:tcPr>
          <w:p>
            <w:pPr>
              <w:jc w:val="center"/>
              <w:rPr>
                <w:color w:val="auto"/>
                <w:sz w:val="24"/>
              </w:rPr>
            </w:pPr>
          </w:p>
        </w:tc>
        <w:tc>
          <w:tcPr>
            <w:tcW w:w="1748" w:type="dxa"/>
            <w:gridSpan w:val="3"/>
            <w:vAlign w:val="center"/>
          </w:tcPr>
          <w:p>
            <w:pPr>
              <w:jc w:val="center"/>
              <w:rPr>
                <w:color w:val="auto"/>
                <w:sz w:val="24"/>
              </w:rPr>
            </w:pPr>
            <w:r>
              <w:rPr>
                <w:rFonts w:hint="eastAsia"/>
                <w:color w:val="auto"/>
                <w:sz w:val="24"/>
              </w:rPr>
              <w:t>本岗工龄</w:t>
            </w:r>
          </w:p>
        </w:tc>
        <w:tc>
          <w:tcPr>
            <w:tcW w:w="2020" w:type="dxa"/>
            <w:gridSpan w:val="2"/>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9287" w:type="dxa"/>
            <w:gridSpan w:val="10"/>
            <w:vAlign w:val="center"/>
          </w:tcPr>
          <w:p>
            <w:pPr>
              <w:jc w:val="center"/>
              <w:rPr>
                <w:color w:val="auto"/>
                <w:sz w:val="24"/>
              </w:rPr>
            </w:pPr>
            <w:r>
              <w:rPr>
                <w:color w:val="auto"/>
                <w:sz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547" w:type="dxa"/>
            <w:gridSpan w:val="2"/>
            <w:vAlign w:val="center"/>
          </w:tcPr>
          <w:p>
            <w:pPr>
              <w:jc w:val="center"/>
              <w:rPr>
                <w:color w:val="auto"/>
                <w:sz w:val="24"/>
              </w:rPr>
            </w:pPr>
            <w:r>
              <w:rPr>
                <w:color w:val="auto"/>
                <w:sz w:val="24"/>
              </w:rPr>
              <w:t>年～年</w:t>
            </w:r>
          </w:p>
        </w:tc>
        <w:tc>
          <w:tcPr>
            <w:tcW w:w="4643" w:type="dxa"/>
            <w:gridSpan w:val="4"/>
            <w:vAlign w:val="center"/>
          </w:tcPr>
          <w:p>
            <w:pPr>
              <w:jc w:val="center"/>
              <w:rPr>
                <w:color w:val="auto"/>
                <w:sz w:val="24"/>
              </w:rPr>
            </w:pPr>
            <w:r>
              <w:rPr>
                <w:color w:val="auto"/>
                <w:sz w:val="24"/>
              </w:rPr>
              <w:t>参加过同类项目和名称</w:t>
            </w:r>
          </w:p>
        </w:tc>
        <w:tc>
          <w:tcPr>
            <w:tcW w:w="1552" w:type="dxa"/>
            <w:gridSpan w:val="3"/>
            <w:vAlign w:val="center"/>
          </w:tcPr>
          <w:p>
            <w:pPr>
              <w:jc w:val="center"/>
              <w:rPr>
                <w:color w:val="auto"/>
                <w:sz w:val="24"/>
              </w:rPr>
            </w:pPr>
            <w:r>
              <w:rPr>
                <w:color w:val="auto"/>
                <w:sz w:val="24"/>
              </w:rPr>
              <w:t>担任何职</w:t>
            </w:r>
          </w:p>
        </w:tc>
        <w:tc>
          <w:tcPr>
            <w:tcW w:w="1545" w:type="dxa"/>
            <w:vAlign w:val="center"/>
          </w:tcPr>
          <w:p>
            <w:pPr>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547" w:type="dxa"/>
            <w:gridSpan w:val="2"/>
            <w:vAlign w:val="center"/>
          </w:tcPr>
          <w:p>
            <w:pPr>
              <w:jc w:val="center"/>
              <w:rPr>
                <w:color w:val="auto"/>
                <w:sz w:val="24"/>
              </w:rPr>
            </w:pPr>
          </w:p>
        </w:tc>
        <w:tc>
          <w:tcPr>
            <w:tcW w:w="4650" w:type="dxa"/>
            <w:gridSpan w:val="5"/>
            <w:vAlign w:val="center"/>
          </w:tcPr>
          <w:p>
            <w:pPr>
              <w:jc w:val="center"/>
              <w:rPr>
                <w:color w:val="auto"/>
                <w:sz w:val="24"/>
              </w:rPr>
            </w:pPr>
          </w:p>
        </w:tc>
        <w:tc>
          <w:tcPr>
            <w:tcW w:w="1545" w:type="dxa"/>
            <w:gridSpan w:val="2"/>
            <w:vAlign w:val="center"/>
          </w:tcPr>
          <w:p>
            <w:pPr>
              <w:jc w:val="center"/>
              <w:rPr>
                <w:color w:val="auto"/>
                <w:sz w:val="24"/>
              </w:rPr>
            </w:pPr>
          </w:p>
        </w:tc>
        <w:tc>
          <w:tcPr>
            <w:tcW w:w="1545"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47" w:type="dxa"/>
            <w:gridSpan w:val="2"/>
            <w:vAlign w:val="center"/>
          </w:tcPr>
          <w:p>
            <w:pPr>
              <w:jc w:val="center"/>
              <w:rPr>
                <w:color w:val="auto"/>
                <w:sz w:val="24"/>
              </w:rPr>
            </w:pPr>
          </w:p>
        </w:tc>
        <w:tc>
          <w:tcPr>
            <w:tcW w:w="4650" w:type="dxa"/>
            <w:gridSpan w:val="5"/>
            <w:vAlign w:val="center"/>
          </w:tcPr>
          <w:p>
            <w:pPr>
              <w:jc w:val="center"/>
              <w:rPr>
                <w:color w:val="auto"/>
                <w:sz w:val="24"/>
              </w:rPr>
            </w:pPr>
          </w:p>
        </w:tc>
        <w:tc>
          <w:tcPr>
            <w:tcW w:w="1545" w:type="dxa"/>
            <w:gridSpan w:val="2"/>
            <w:vAlign w:val="center"/>
          </w:tcPr>
          <w:p>
            <w:pPr>
              <w:jc w:val="center"/>
              <w:rPr>
                <w:color w:val="auto"/>
                <w:sz w:val="24"/>
              </w:rPr>
            </w:pPr>
          </w:p>
        </w:tc>
        <w:tc>
          <w:tcPr>
            <w:tcW w:w="1545"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547" w:type="dxa"/>
            <w:gridSpan w:val="2"/>
            <w:vAlign w:val="center"/>
          </w:tcPr>
          <w:p>
            <w:pPr>
              <w:jc w:val="center"/>
              <w:rPr>
                <w:color w:val="auto"/>
                <w:sz w:val="24"/>
              </w:rPr>
            </w:pPr>
          </w:p>
        </w:tc>
        <w:tc>
          <w:tcPr>
            <w:tcW w:w="4650" w:type="dxa"/>
            <w:gridSpan w:val="5"/>
            <w:vAlign w:val="center"/>
          </w:tcPr>
          <w:p>
            <w:pPr>
              <w:jc w:val="center"/>
              <w:rPr>
                <w:color w:val="auto"/>
                <w:sz w:val="24"/>
              </w:rPr>
            </w:pPr>
          </w:p>
        </w:tc>
        <w:tc>
          <w:tcPr>
            <w:tcW w:w="1545" w:type="dxa"/>
            <w:gridSpan w:val="2"/>
            <w:vAlign w:val="center"/>
          </w:tcPr>
          <w:p>
            <w:pPr>
              <w:jc w:val="center"/>
              <w:rPr>
                <w:color w:val="auto"/>
                <w:sz w:val="24"/>
              </w:rPr>
            </w:pPr>
          </w:p>
        </w:tc>
        <w:tc>
          <w:tcPr>
            <w:tcW w:w="1545"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47" w:type="dxa"/>
            <w:gridSpan w:val="2"/>
            <w:vAlign w:val="center"/>
          </w:tcPr>
          <w:p>
            <w:pPr>
              <w:jc w:val="center"/>
              <w:rPr>
                <w:color w:val="auto"/>
                <w:sz w:val="24"/>
              </w:rPr>
            </w:pPr>
          </w:p>
        </w:tc>
        <w:tc>
          <w:tcPr>
            <w:tcW w:w="4650" w:type="dxa"/>
            <w:gridSpan w:val="5"/>
            <w:vAlign w:val="center"/>
          </w:tcPr>
          <w:p>
            <w:pPr>
              <w:jc w:val="center"/>
              <w:rPr>
                <w:color w:val="auto"/>
                <w:sz w:val="24"/>
              </w:rPr>
            </w:pPr>
          </w:p>
        </w:tc>
        <w:tc>
          <w:tcPr>
            <w:tcW w:w="1545" w:type="dxa"/>
            <w:gridSpan w:val="2"/>
            <w:vAlign w:val="center"/>
          </w:tcPr>
          <w:p>
            <w:pPr>
              <w:jc w:val="center"/>
              <w:rPr>
                <w:color w:val="auto"/>
                <w:sz w:val="24"/>
              </w:rPr>
            </w:pPr>
          </w:p>
        </w:tc>
        <w:tc>
          <w:tcPr>
            <w:tcW w:w="1545"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47" w:type="dxa"/>
            <w:gridSpan w:val="2"/>
            <w:vAlign w:val="center"/>
          </w:tcPr>
          <w:p>
            <w:pPr>
              <w:jc w:val="center"/>
              <w:rPr>
                <w:color w:val="auto"/>
                <w:sz w:val="24"/>
              </w:rPr>
            </w:pPr>
          </w:p>
        </w:tc>
        <w:tc>
          <w:tcPr>
            <w:tcW w:w="4650" w:type="dxa"/>
            <w:gridSpan w:val="5"/>
            <w:vAlign w:val="center"/>
          </w:tcPr>
          <w:p>
            <w:pPr>
              <w:jc w:val="center"/>
              <w:rPr>
                <w:color w:val="auto"/>
                <w:sz w:val="24"/>
              </w:rPr>
            </w:pPr>
          </w:p>
        </w:tc>
        <w:tc>
          <w:tcPr>
            <w:tcW w:w="1545" w:type="dxa"/>
            <w:gridSpan w:val="2"/>
            <w:vAlign w:val="center"/>
          </w:tcPr>
          <w:p>
            <w:pPr>
              <w:jc w:val="center"/>
              <w:rPr>
                <w:color w:val="auto"/>
                <w:sz w:val="24"/>
              </w:rPr>
            </w:pPr>
          </w:p>
        </w:tc>
        <w:tc>
          <w:tcPr>
            <w:tcW w:w="1545"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547" w:type="dxa"/>
            <w:gridSpan w:val="2"/>
            <w:vAlign w:val="center"/>
          </w:tcPr>
          <w:p>
            <w:pPr>
              <w:jc w:val="center"/>
              <w:rPr>
                <w:color w:val="auto"/>
                <w:sz w:val="24"/>
              </w:rPr>
            </w:pPr>
          </w:p>
        </w:tc>
        <w:tc>
          <w:tcPr>
            <w:tcW w:w="4650" w:type="dxa"/>
            <w:gridSpan w:val="5"/>
            <w:vAlign w:val="center"/>
          </w:tcPr>
          <w:p>
            <w:pPr>
              <w:jc w:val="center"/>
              <w:rPr>
                <w:color w:val="auto"/>
                <w:sz w:val="24"/>
              </w:rPr>
            </w:pPr>
          </w:p>
        </w:tc>
        <w:tc>
          <w:tcPr>
            <w:tcW w:w="1545" w:type="dxa"/>
            <w:gridSpan w:val="2"/>
            <w:vAlign w:val="center"/>
          </w:tcPr>
          <w:p>
            <w:pPr>
              <w:jc w:val="center"/>
              <w:rPr>
                <w:color w:val="auto"/>
                <w:sz w:val="24"/>
              </w:rPr>
            </w:pPr>
          </w:p>
        </w:tc>
        <w:tc>
          <w:tcPr>
            <w:tcW w:w="1545" w:type="dxa"/>
            <w:vAlign w:val="center"/>
          </w:tcPr>
          <w:p>
            <w:pPr>
              <w:jc w:val="center"/>
              <w:rPr>
                <w:color w:val="auto"/>
                <w:sz w:val="24"/>
              </w:rPr>
            </w:pPr>
          </w:p>
        </w:tc>
      </w:tr>
    </w:tbl>
    <w:p>
      <w:pPr>
        <w:spacing w:line="480" w:lineRule="auto"/>
        <w:rPr>
          <w:rFonts w:ascii="宋体" w:hAnsi="宋体"/>
          <w:b/>
          <w:color w:val="auto"/>
          <w:sz w:val="24"/>
        </w:rPr>
      </w:pPr>
    </w:p>
    <w:p>
      <w:pPr>
        <w:spacing w:line="480" w:lineRule="auto"/>
        <w:rPr>
          <w:color w:val="auto"/>
          <w:sz w:val="30"/>
        </w:rPr>
      </w:pPr>
      <w:r>
        <w:rPr>
          <w:rFonts w:hint="eastAsia" w:ascii="宋体" w:hAnsi="宋体"/>
          <w:b/>
          <w:color w:val="auto"/>
          <w:sz w:val="24"/>
        </w:rPr>
        <w:t>注：资格证书、职称证书、业绩等说明文件附后。</w:t>
      </w:r>
    </w:p>
    <w:p>
      <w:pPr>
        <w:spacing w:line="480" w:lineRule="auto"/>
        <w:jc w:val="center"/>
        <w:rPr>
          <w:b/>
          <w:bCs/>
          <w:color w:val="auto"/>
          <w:sz w:val="32"/>
        </w:rPr>
      </w:pPr>
    </w:p>
    <w:p>
      <w:pPr>
        <w:pStyle w:val="136"/>
        <w:rPr>
          <w:rFonts w:ascii="Times New Roman"/>
          <w:color w:val="auto"/>
        </w:rPr>
      </w:pPr>
    </w:p>
    <w:p>
      <w:pPr>
        <w:spacing w:line="480" w:lineRule="auto"/>
        <w:jc w:val="center"/>
        <w:rPr>
          <w:b/>
          <w:bCs/>
          <w:color w:val="auto"/>
          <w:sz w:val="32"/>
        </w:rPr>
      </w:pPr>
    </w:p>
    <w:p>
      <w:pPr>
        <w:spacing w:line="360" w:lineRule="auto"/>
        <w:ind w:firstLine="4800"/>
        <w:rPr>
          <w:color w:val="auto"/>
          <w:kern w:val="1"/>
          <w:sz w:val="24"/>
          <w:u w:val="single"/>
        </w:rPr>
      </w:pPr>
      <w:r>
        <w:rPr>
          <w:color w:val="auto"/>
          <w:kern w:val="1"/>
          <w:sz w:val="24"/>
        </w:rPr>
        <w:t>供应商名称（签章）</w:t>
      </w:r>
      <w:r>
        <w:rPr>
          <w:color w:val="auto"/>
          <w:kern w:val="1"/>
          <w:sz w:val="24"/>
          <w:u w:val="single"/>
        </w:rPr>
        <w:t xml:space="preserve">                   </w:t>
      </w:r>
    </w:p>
    <w:p>
      <w:pPr>
        <w:pStyle w:val="118"/>
        <w:rPr>
          <w:color w:val="auto"/>
        </w:rPr>
      </w:pPr>
    </w:p>
    <w:p>
      <w:pPr>
        <w:spacing w:line="360" w:lineRule="auto"/>
        <w:jc w:val="center"/>
        <w:rPr>
          <w:color w:val="auto"/>
          <w:kern w:val="1"/>
          <w:sz w:val="24"/>
        </w:rPr>
      </w:pPr>
      <w:r>
        <w:rPr>
          <w:color w:val="auto"/>
          <w:kern w:val="1"/>
          <w:sz w:val="24"/>
        </w:rPr>
        <w:t xml:space="preserve">                                                     年     月      日</w:t>
      </w:r>
    </w:p>
    <w:p>
      <w:pPr>
        <w:spacing w:line="480" w:lineRule="auto"/>
        <w:jc w:val="center"/>
        <w:rPr>
          <w:b/>
          <w:bCs/>
          <w:color w:val="auto"/>
          <w:sz w:val="32"/>
        </w:rPr>
      </w:pPr>
    </w:p>
    <w:p>
      <w:pPr>
        <w:pStyle w:val="14"/>
        <w:rPr>
          <w:color w:val="auto"/>
        </w:rPr>
      </w:pPr>
    </w:p>
    <w:p>
      <w:pPr>
        <w:jc w:val="center"/>
        <w:rPr>
          <w:b/>
          <w:bCs/>
          <w:color w:val="auto"/>
          <w:sz w:val="36"/>
        </w:rPr>
      </w:pPr>
      <w:r>
        <w:rPr>
          <w:rFonts w:hint="eastAsia"/>
          <w:b/>
          <w:bCs/>
          <w:color w:val="auto"/>
          <w:sz w:val="36"/>
        </w:rPr>
        <w:t>拟投入本项目的人员表（格式）</w:t>
      </w:r>
    </w:p>
    <w:p>
      <w:pPr>
        <w:tabs>
          <w:tab w:val="left" w:pos="360"/>
        </w:tabs>
        <w:spacing w:line="360" w:lineRule="auto"/>
        <w:rPr>
          <w:b/>
          <w:bCs/>
          <w:color w:val="auto"/>
        </w:rPr>
      </w:pPr>
      <w:r>
        <w:rPr>
          <w:rFonts w:hint="eastAsia" w:hAnsi="宋体"/>
          <w:bCs/>
          <w:color w:val="auto"/>
          <w:sz w:val="24"/>
          <w:szCs w:val="28"/>
        </w:rPr>
        <w:t>投标人（</w:t>
      </w:r>
      <w:r>
        <w:rPr>
          <w:rFonts w:hint="eastAsia"/>
          <w:color w:val="auto"/>
          <w:kern w:val="1"/>
          <w:sz w:val="24"/>
        </w:rPr>
        <w:t>签章</w:t>
      </w:r>
      <w:r>
        <w:rPr>
          <w:rFonts w:hint="eastAsia" w:hAnsi="宋体"/>
          <w:bCs/>
          <w:color w:val="auto"/>
          <w:sz w:val="24"/>
          <w:szCs w:val="28"/>
        </w:rPr>
        <w:t>）：</w:t>
      </w:r>
      <w:r>
        <w:rPr>
          <w:rFonts w:hint="eastAsia" w:hAnsi="宋体"/>
          <w:bCs/>
          <w:color w:val="auto"/>
          <w:sz w:val="24"/>
          <w:szCs w:val="28"/>
          <w:u w:val="single"/>
        </w:rPr>
        <w:t xml:space="preserve">                                      </w:t>
      </w:r>
      <w:r>
        <w:rPr>
          <w:rFonts w:hint="eastAsia" w:hAnsi="宋体"/>
          <w:bCs/>
          <w:color w:val="auto"/>
          <w:sz w:val="24"/>
          <w:szCs w:val="28"/>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1440"/>
        <w:gridCol w:w="1460"/>
        <w:gridCol w:w="268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r>
              <w:rPr>
                <w:rFonts w:hint="eastAsia"/>
                <w:color w:val="auto"/>
                <w:sz w:val="24"/>
              </w:rPr>
              <w:t>姓名</w:t>
            </w:r>
          </w:p>
        </w:tc>
        <w:tc>
          <w:tcPr>
            <w:tcW w:w="900" w:type="dxa"/>
            <w:vAlign w:val="center"/>
          </w:tcPr>
          <w:p>
            <w:pPr>
              <w:tabs>
                <w:tab w:val="left" w:pos="360"/>
              </w:tabs>
              <w:spacing w:line="460" w:lineRule="exact"/>
              <w:jc w:val="center"/>
              <w:rPr>
                <w:color w:val="auto"/>
                <w:sz w:val="24"/>
              </w:rPr>
            </w:pPr>
            <w:r>
              <w:rPr>
                <w:rFonts w:hint="eastAsia"/>
                <w:color w:val="auto"/>
                <w:sz w:val="24"/>
              </w:rPr>
              <w:t>性别</w:t>
            </w:r>
          </w:p>
        </w:tc>
        <w:tc>
          <w:tcPr>
            <w:tcW w:w="1440" w:type="dxa"/>
            <w:vAlign w:val="center"/>
          </w:tcPr>
          <w:p>
            <w:pPr>
              <w:tabs>
                <w:tab w:val="left" w:pos="360"/>
              </w:tabs>
              <w:spacing w:line="460" w:lineRule="exact"/>
              <w:jc w:val="center"/>
              <w:rPr>
                <w:color w:val="auto"/>
                <w:sz w:val="24"/>
              </w:rPr>
            </w:pPr>
            <w:r>
              <w:rPr>
                <w:rFonts w:hint="eastAsia"/>
                <w:color w:val="auto"/>
                <w:sz w:val="24"/>
              </w:rPr>
              <w:t>职称</w:t>
            </w:r>
          </w:p>
        </w:tc>
        <w:tc>
          <w:tcPr>
            <w:tcW w:w="1460" w:type="dxa"/>
            <w:vAlign w:val="center"/>
          </w:tcPr>
          <w:p>
            <w:pPr>
              <w:tabs>
                <w:tab w:val="left" w:pos="360"/>
              </w:tabs>
              <w:spacing w:line="460" w:lineRule="exact"/>
              <w:jc w:val="center"/>
              <w:rPr>
                <w:color w:val="auto"/>
                <w:sz w:val="24"/>
              </w:rPr>
            </w:pPr>
            <w:r>
              <w:rPr>
                <w:rFonts w:hint="eastAsia"/>
                <w:color w:val="auto"/>
                <w:sz w:val="24"/>
              </w:rPr>
              <w:t>从事岗位</w:t>
            </w:r>
          </w:p>
        </w:tc>
        <w:tc>
          <w:tcPr>
            <w:tcW w:w="2680" w:type="dxa"/>
            <w:vAlign w:val="center"/>
          </w:tcPr>
          <w:p>
            <w:pPr>
              <w:tabs>
                <w:tab w:val="left" w:pos="360"/>
              </w:tabs>
              <w:spacing w:line="460" w:lineRule="exact"/>
              <w:jc w:val="center"/>
              <w:rPr>
                <w:color w:val="auto"/>
                <w:sz w:val="24"/>
              </w:rPr>
            </w:pPr>
            <w:r>
              <w:rPr>
                <w:rFonts w:hint="eastAsia"/>
                <w:color w:val="auto"/>
                <w:sz w:val="24"/>
              </w:rPr>
              <w:t>联系电话</w:t>
            </w:r>
          </w:p>
        </w:tc>
        <w:tc>
          <w:tcPr>
            <w:tcW w:w="1542" w:type="dxa"/>
            <w:vAlign w:val="center"/>
          </w:tcPr>
          <w:p>
            <w:pPr>
              <w:tabs>
                <w:tab w:val="left" w:pos="360"/>
              </w:tabs>
              <w:jc w:val="center"/>
              <w:rPr>
                <w:color w:val="auto"/>
                <w:sz w:val="24"/>
              </w:rPr>
            </w:pPr>
            <w:r>
              <w:rPr>
                <w:rFonts w:hint="eastAsia"/>
                <w:color w:val="auto"/>
                <w:sz w:val="24"/>
              </w:rPr>
              <w:t>从事</w:t>
            </w:r>
          </w:p>
          <w:p>
            <w:pPr>
              <w:tabs>
                <w:tab w:val="left" w:pos="360"/>
              </w:tabs>
              <w:jc w:val="center"/>
              <w:rPr>
                <w:color w:val="auto"/>
                <w:sz w:val="24"/>
              </w:rPr>
            </w:pPr>
            <w:r>
              <w:rPr>
                <w:rFonts w:hint="eastAsia"/>
                <w:color w:val="auto"/>
                <w:sz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tabs>
                <w:tab w:val="left" w:pos="360"/>
              </w:tabs>
              <w:spacing w:line="460" w:lineRule="exact"/>
              <w:jc w:val="center"/>
              <w:rPr>
                <w:color w:val="auto"/>
                <w:sz w:val="24"/>
              </w:rPr>
            </w:pPr>
          </w:p>
        </w:tc>
        <w:tc>
          <w:tcPr>
            <w:tcW w:w="900" w:type="dxa"/>
            <w:vAlign w:val="center"/>
          </w:tcPr>
          <w:p>
            <w:pPr>
              <w:tabs>
                <w:tab w:val="left" w:pos="360"/>
              </w:tabs>
              <w:spacing w:line="460" w:lineRule="exact"/>
              <w:jc w:val="center"/>
              <w:rPr>
                <w:color w:val="auto"/>
                <w:sz w:val="24"/>
              </w:rPr>
            </w:pPr>
          </w:p>
        </w:tc>
        <w:tc>
          <w:tcPr>
            <w:tcW w:w="1440" w:type="dxa"/>
            <w:vAlign w:val="center"/>
          </w:tcPr>
          <w:p>
            <w:pPr>
              <w:tabs>
                <w:tab w:val="left" w:pos="360"/>
              </w:tabs>
              <w:spacing w:line="460" w:lineRule="exact"/>
              <w:jc w:val="center"/>
              <w:rPr>
                <w:color w:val="auto"/>
                <w:sz w:val="24"/>
              </w:rPr>
            </w:pPr>
          </w:p>
        </w:tc>
        <w:tc>
          <w:tcPr>
            <w:tcW w:w="1460" w:type="dxa"/>
            <w:vAlign w:val="center"/>
          </w:tcPr>
          <w:p>
            <w:pPr>
              <w:tabs>
                <w:tab w:val="left" w:pos="360"/>
              </w:tabs>
              <w:spacing w:line="460" w:lineRule="exact"/>
              <w:jc w:val="center"/>
              <w:rPr>
                <w:color w:val="auto"/>
                <w:sz w:val="24"/>
              </w:rPr>
            </w:pPr>
          </w:p>
        </w:tc>
        <w:tc>
          <w:tcPr>
            <w:tcW w:w="2680" w:type="dxa"/>
            <w:vAlign w:val="center"/>
          </w:tcPr>
          <w:p>
            <w:pPr>
              <w:tabs>
                <w:tab w:val="left" w:pos="360"/>
              </w:tabs>
              <w:spacing w:line="460" w:lineRule="exact"/>
              <w:jc w:val="center"/>
              <w:rPr>
                <w:color w:val="auto"/>
                <w:sz w:val="24"/>
              </w:rPr>
            </w:pPr>
          </w:p>
        </w:tc>
        <w:tc>
          <w:tcPr>
            <w:tcW w:w="1542" w:type="dxa"/>
            <w:vAlign w:val="center"/>
          </w:tcPr>
          <w:p>
            <w:pPr>
              <w:tabs>
                <w:tab w:val="left" w:pos="360"/>
              </w:tabs>
              <w:spacing w:line="460" w:lineRule="exact"/>
              <w:jc w:val="center"/>
              <w:rPr>
                <w:color w:val="auto"/>
                <w:sz w:val="24"/>
              </w:rPr>
            </w:pPr>
          </w:p>
        </w:tc>
      </w:tr>
    </w:tbl>
    <w:p>
      <w:pPr>
        <w:tabs>
          <w:tab w:val="left" w:pos="360"/>
        </w:tabs>
        <w:spacing w:line="500" w:lineRule="exact"/>
        <w:rPr>
          <w:color w:val="auto"/>
          <w:sz w:val="24"/>
        </w:rPr>
      </w:pPr>
    </w:p>
    <w:p>
      <w:pPr>
        <w:tabs>
          <w:tab w:val="left" w:pos="360"/>
        </w:tabs>
        <w:spacing w:line="500" w:lineRule="exact"/>
        <w:rPr>
          <w:color w:val="auto"/>
          <w:sz w:val="24"/>
          <w:u w:val="single"/>
        </w:rPr>
      </w:pPr>
      <w:r>
        <w:rPr>
          <w:rFonts w:hint="eastAsia"/>
          <w:color w:val="auto"/>
          <w:sz w:val="24"/>
        </w:rPr>
        <w:t>全权代表签章：                 职 务：            日 期：</w:t>
      </w:r>
      <w:r>
        <w:rPr>
          <w:rFonts w:hint="eastAsia"/>
          <w:color w:val="auto"/>
          <w:sz w:val="24"/>
          <w:u w:val="single"/>
        </w:rPr>
        <w:t xml:space="preserve">           </w:t>
      </w:r>
    </w:p>
    <w:p>
      <w:pPr>
        <w:tabs>
          <w:tab w:val="left" w:pos="360"/>
        </w:tabs>
        <w:spacing w:line="460" w:lineRule="exact"/>
        <w:rPr>
          <w:color w:val="auto"/>
          <w:sz w:val="24"/>
        </w:rPr>
      </w:pPr>
      <w:r>
        <w:rPr>
          <w:rFonts w:hint="eastAsia"/>
          <w:color w:val="auto"/>
          <w:sz w:val="24"/>
        </w:rPr>
        <w:t>注：1</w:t>
      </w:r>
      <w:r>
        <w:rPr>
          <w:rFonts w:hint="eastAsia" w:ascii="Verdana" w:hAnsi="Verdana" w:cs="Arial"/>
          <w:color w:val="auto"/>
          <w:sz w:val="24"/>
        </w:rPr>
        <w:t>.</w:t>
      </w:r>
      <w:r>
        <w:rPr>
          <w:rFonts w:hint="eastAsia"/>
          <w:color w:val="auto"/>
          <w:sz w:val="24"/>
        </w:rPr>
        <w:t>此表在不改变表式的情况下，可自行制作。</w:t>
      </w:r>
    </w:p>
    <w:p>
      <w:pPr>
        <w:spacing w:line="400" w:lineRule="exact"/>
        <w:rPr>
          <w:b/>
          <w:bCs/>
          <w:color w:val="auto"/>
          <w:sz w:val="36"/>
          <w:szCs w:val="36"/>
        </w:rPr>
      </w:pPr>
      <w:r>
        <w:rPr>
          <w:rFonts w:hint="eastAsia"/>
          <w:color w:val="auto"/>
          <w:sz w:val="24"/>
        </w:rPr>
        <w:t>2</w:t>
      </w:r>
      <w:r>
        <w:rPr>
          <w:rFonts w:hint="eastAsia" w:ascii="Verdana" w:hAnsi="Verdana" w:cs="Arial"/>
          <w:color w:val="auto"/>
          <w:sz w:val="24"/>
        </w:rPr>
        <w:t>.</w:t>
      </w:r>
      <w:r>
        <w:rPr>
          <w:rFonts w:hint="eastAsia"/>
          <w:color w:val="auto"/>
          <w:sz w:val="24"/>
        </w:rPr>
        <w:t>有资格、职称人员须附相关职称证书和资格证书扫描件（盖章）。</w:t>
      </w:r>
    </w:p>
    <w:p>
      <w:pPr>
        <w:spacing w:line="400" w:lineRule="exact"/>
        <w:rPr>
          <w:b/>
          <w:bCs/>
          <w:color w:val="auto"/>
          <w:sz w:val="36"/>
          <w:szCs w:val="36"/>
        </w:rPr>
      </w:pPr>
    </w:p>
    <w:p>
      <w:pPr>
        <w:spacing w:line="400" w:lineRule="exact"/>
        <w:rPr>
          <w:b/>
          <w:bCs/>
          <w:color w:val="auto"/>
          <w:sz w:val="36"/>
          <w:szCs w:val="36"/>
        </w:rPr>
      </w:pPr>
    </w:p>
    <w:p>
      <w:pPr>
        <w:pStyle w:val="51"/>
        <w:rPr>
          <w:b/>
          <w:bCs/>
          <w:color w:val="auto"/>
          <w:sz w:val="36"/>
          <w:szCs w:val="36"/>
        </w:rPr>
      </w:pPr>
    </w:p>
    <w:p>
      <w:pPr>
        <w:jc w:val="center"/>
        <w:rPr>
          <w:b/>
          <w:bCs/>
          <w:color w:val="auto"/>
          <w:sz w:val="36"/>
        </w:rPr>
      </w:pPr>
      <w:r>
        <w:rPr>
          <w:b/>
          <w:bCs/>
          <w:color w:val="auto"/>
          <w:sz w:val="36"/>
        </w:rPr>
        <w:t>投标人的各项服务承诺</w:t>
      </w:r>
    </w:p>
    <w:p>
      <w:pPr>
        <w:spacing w:line="480" w:lineRule="auto"/>
        <w:rPr>
          <w:color w:val="auto"/>
          <w:sz w:val="24"/>
        </w:rPr>
      </w:pPr>
    </w:p>
    <w:p>
      <w:pPr>
        <w:spacing w:line="480" w:lineRule="auto"/>
        <w:rPr>
          <w:color w:val="auto"/>
          <w:sz w:val="24"/>
        </w:rPr>
      </w:pPr>
      <w:r>
        <w:rPr>
          <w:color w:val="auto"/>
          <w:sz w:val="24"/>
        </w:rPr>
        <w:t>采购编号：</w:t>
      </w:r>
    </w:p>
    <w:p>
      <w:pPr>
        <w:rPr>
          <w:color w:val="auto"/>
          <w:sz w:val="24"/>
        </w:rPr>
      </w:pPr>
      <w:r>
        <w:rPr>
          <w:color w:val="auto"/>
          <w:sz w:val="24"/>
        </w:rPr>
        <w:t>1.服务质量目标：</w:t>
      </w:r>
    </w:p>
    <w:p>
      <w:pPr>
        <w:rPr>
          <w:color w:val="auto"/>
          <w:sz w:val="24"/>
        </w:rPr>
      </w:pPr>
    </w:p>
    <w:p>
      <w:pPr>
        <w:rPr>
          <w:color w:val="auto"/>
          <w:sz w:val="24"/>
        </w:rPr>
      </w:pPr>
      <w:r>
        <w:rPr>
          <w:color w:val="auto"/>
          <w:sz w:val="24"/>
        </w:rPr>
        <w:t>2.规章制度：</w:t>
      </w:r>
    </w:p>
    <w:p>
      <w:pPr>
        <w:rPr>
          <w:color w:val="auto"/>
          <w:sz w:val="24"/>
        </w:rPr>
      </w:pPr>
    </w:p>
    <w:p>
      <w:pPr>
        <w:rPr>
          <w:color w:val="auto"/>
          <w:sz w:val="24"/>
        </w:rPr>
      </w:pPr>
      <w:r>
        <w:rPr>
          <w:color w:val="auto"/>
          <w:sz w:val="24"/>
        </w:rPr>
        <w:t>3.服务规范和守则：</w:t>
      </w:r>
    </w:p>
    <w:p>
      <w:pPr>
        <w:rPr>
          <w:color w:val="auto"/>
          <w:sz w:val="24"/>
        </w:rPr>
      </w:pPr>
    </w:p>
    <w:p>
      <w:pPr>
        <w:rPr>
          <w:color w:val="auto"/>
          <w:sz w:val="24"/>
        </w:rPr>
      </w:pPr>
      <w:r>
        <w:rPr>
          <w:color w:val="auto"/>
          <w:sz w:val="24"/>
        </w:rPr>
        <w:t>4.其他有关优惠承诺：</w:t>
      </w:r>
    </w:p>
    <w:p>
      <w:pPr>
        <w:rPr>
          <w:color w:val="auto"/>
          <w:sz w:val="24"/>
        </w:rPr>
      </w:pPr>
    </w:p>
    <w:p>
      <w:pPr>
        <w:rPr>
          <w:color w:val="auto"/>
          <w:sz w:val="24"/>
        </w:rPr>
      </w:pPr>
      <w:r>
        <w:rPr>
          <w:color w:val="auto"/>
          <w:sz w:val="24"/>
        </w:rPr>
        <w:t>5.其他相关内容（包括合理化建议等内容）：</w:t>
      </w:r>
    </w:p>
    <w:p>
      <w:pPr>
        <w:ind w:right="1440"/>
        <w:jc w:val="left"/>
        <w:rPr>
          <w:color w:val="auto"/>
          <w:sz w:val="24"/>
        </w:rPr>
      </w:pPr>
    </w:p>
    <w:p>
      <w:pPr>
        <w:ind w:right="1440"/>
        <w:jc w:val="left"/>
        <w:rPr>
          <w:color w:val="auto"/>
          <w:sz w:val="24"/>
        </w:rPr>
      </w:pPr>
      <w:r>
        <w:rPr>
          <w:color w:val="auto"/>
          <w:sz w:val="24"/>
        </w:rPr>
        <w:t>投标人名称（</w:t>
      </w:r>
      <w:r>
        <w:rPr>
          <w:rFonts w:hint="eastAsia"/>
          <w:color w:val="auto"/>
          <w:kern w:val="1"/>
          <w:sz w:val="24"/>
        </w:rPr>
        <w:t>签章</w:t>
      </w:r>
      <w:r>
        <w:rPr>
          <w:color w:val="auto"/>
          <w:sz w:val="24"/>
        </w:rPr>
        <w:t>）:_____________________</w:t>
      </w:r>
    </w:p>
    <w:p>
      <w:pPr>
        <w:ind w:right="480"/>
        <w:jc w:val="center"/>
        <w:rPr>
          <w:color w:val="auto"/>
          <w:sz w:val="24"/>
        </w:rPr>
      </w:pPr>
      <w:r>
        <w:rPr>
          <w:color w:val="auto"/>
          <w:sz w:val="24"/>
        </w:rPr>
        <w:t xml:space="preserve">         </w:t>
      </w:r>
    </w:p>
    <w:p>
      <w:pPr>
        <w:ind w:firstLine="960" w:firstLineChars="400"/>
        <w:jc w:val="left"/>
        <w:rPr>
          <w:color w:val="auto"/>
          <w:sz w:val="24"/>
        </w:rPr>
      </w:pPr>
      <w:r>
        <w:rPr>
          <w:color w:val="auto"/>
          <w:sz w:val="24"/>
        </w:rPr>
        <w:t>年    月     日</w:t>
      </w:r>
    </w:p>
    <w:p>
      <w:pPr>
        <w:spacing w:line="400" w:lineRule="exact"/>
        <w:rPr>
          <w:b/>
          <w:color w:val="auto"/>
          <w:sz w:val="36"/>
        </w:rPr>
      </w:pPr>
    </w:p>
    <w:p>
      <w:pPr>
        <w:spacing w:line="400" w:lineRule="exact"/>
        <w:rPr>
          <w:color w:val="auto"/>
          <w:sz w:val="24"/>
        </w:rPr>
      </w:pPr>
    </w:p>
    <w:p>
      <w:pPr>
        <w:spacing w:line="400" w:lineRule="exact"/>
        <w:rPr>
          <w:color w:val="auto"/>
          <w:sz w:val="24"/>
        </w:rPr>
      </w:pPr>
      <w:r>
        <w:rPr>
          <w:color w:val="auto"/>
          <w:sz w:val="24"/>
        </w:rPr>
        <w:t>本附件可根据实际情况自行制作。</w:t>
      </w:r>
    </w:p>
    <w:p>
      <w:pPr>
        <w:pStyle w:val="136"/>
        <w:rPr>
          <w:rFonts w:ascii="Times New Roman"/>
          <w:b/>
          <w:bCs/>
          <w:color w:val="auto"/>
          <w:sz w:val="36"/>
          <w:szCs w:val="36"/>
        </w:rPr>
      </w:pPr>
    </w:p>
    <w:p>
      <w:pPr>
        <w:pStyle w:val="136"/>
        <w:rPr>
          <w:rFonts w:ascii="Times New Roman"/>
          <w:b/>
          <w:bCs/>
          <w:color w:val="auto"/>
          <w:sz w:val="36"/>
          <w:szCs w:val="36"/>
        </w:rPr>
      </w:pPr>
    </w:p>
    <w:p>
      <w:pPr>
        <w:pStyle w:val="136"/>
        <w:rPr>
          <w:rFonts w:ascii="Times New Roman"/>
          <w:b/>
          <w:bCs/>
          <w:color w:val="auto"/>
          <w:sz w:val="36"/>
          <w:szCs w:val="36"/>
        </w:rPr>
      </w:pPr>
    </w:p>
    <w:p>
      <w:pPr>
        <w:pStyle w:val="136"/>
        <w:rPr>
          <w:rFonts w:ascii="Times New Roman"/>
          <w:b/>
          <w:bCs/>
          <w:color w:val="auto"/>
          <w:sz w:val="36"/>
          <w:szCs w:val="36"/>
        </w:rPr>
      </w:pPr>
    </w:p>
    <w:p>
      <w:pPr>
        <w:jc w:val="center"/>
        <w:rPr>
          <w:color w:val="auto"/>
          <w:sz w:val="24"/>
        </w:rPr>
      </w:pPr>
      <w:r>
        <w:rPr>
          <w:color w:val="auto"/>
          <w:kern w:val="1"/>
          <w:sz w:val="32"/>
        </w:rPr>
        <w:br w:type="page"/>
      </w:r>
      <w:r>
        <w:rPr>
          <w:b/>
          <w:bCs/>
          <w:color w:val="auto"/>
          <w:sz w:val="36"/>
        </w:rPr>
        <w:t>规范偏离表</w:t>
      </w:r>
      <w:r>
        <w:rPr>
          <w:b/>
          <w:bCs/>
          <w:color w:val="auto"/>
          <w:sz w:val="36"/>
          <w:szCs w:val="36"/>
        </w:rPr>
        <w:t>（格式）</w:t>
      </w:r>
    </w:p>
    <w:p>
      <w:pPr>
        <w:spacing w:line="360" w:lineRule="auto"/>
        <w:rPr>
          <w:color w:val="auto"/>
          <w:kern w:val="1"/>
          <w:sz w:val="24"/>
        </w:rPr>
      </w:pPr>
    </w:p>
    <w:p>
      <w:pPr>
        <w:spacing w:line="360" w:lineRule="auto"/>
        <w:rPr>
          <w:color w:val="auto"/>
          <w:kern w:val="1"/>
          <w:sz w:val="24"/>
        </w:rPr>
      </w:pPr>
      <w:r>
        <w:rPr>
          <w:color w:val="auto"/>
          <w:kern w:val="1"/>
          <w:sz w:val="24"/>
        </w:rPr>
        <w:t>项目名称：</w:t>
      </w:r>
      <w:r>
        <w:rPr>
          <w:color w:val="auto"/>
          <w:kern w:val="1"/>
          <w:sz w:val="24"/>
          <w:u w:val="single"/>
        </w:rPr>
        <w:t xml:space="preserve">                               </w:t>
      </w:r>
      <w:r>
        <w:rPr>
          <w:color w:val="auto"/>
          <w:kern w:val="1"/>
          <w:sz w:val="24"/>
        </w:rPr>
        <w:t xml:space="preserve">     </w:t>
      </w:r>
    </w:p>
    <w:p>
      <w:pPr>
        <w:spacing w:line="360" w:lineRule="auto"/>
        <w:rPr>
          <w:color w:val="auto"/>
          <w:kern w:val="1"/>
          <w:sz w:val="24"/>
          <w:u w:val="single"/>
        </w:rPr>
      </w:pPr>
      <w:r>
        <w:rPr>
          <w:color w:val="auto"/>
          <w:kern w:val="1"/>
          <w:sz w:val="24"/>
        </w:rPr>
        <w:t>招标编号：</w:t>
      </w:r>
      <w:r>
        <w:rPr>
          <w:color w:val="auto"/>
          <w:kern w:val="1"/>
          <w:sz w:val="24"/>
          <w:u w:val="single"/>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101"/>
        <w:gridCol w:w="2291"/>
        <w:gridCol w:w="2101"/>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r>
              <w:rPr>
                <w:color w:val="auto"/>
                <w:sz w:val="24"/>
              </w:rPr>
              <w:t>序号</w:t>
            </w:r>
          </w:p>
        </w:tc>
        <w:tc>
          <w:tcPr>
            <w:tcW w:w="21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color w:val="auto"/>
                <w:sz w:val="24"/>
              </w:rPr>
            </w:pPr>
            <w:r>
              <w:rPr>
                <w:color w:val="auto"/>
                <w:sz w:val="24"/>
              </w:rPr>
              <w:t>内  容</w:t>
            </w:r>
          </w:p>
        </w:tc>
        <w:tc>
          <w:tcPr>
            <w:tcW w:w="229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r>
              <w:rPr>
                <w:color w:val="auto"/>
                <w:sz w:val="24"/>
              </w:rPr>
              <w:t>招标文件</w:t>
            </w:r>
          </w:p>
          <w:p>
            <w:pPr>
              <w:jc w:val="center"/>
              <w:rPr>
                <w:color w:val="auto"/>
                <w:sz w:val="24"/>
              </w:rPr>
            </w:pPr>
            <w:r>
              <w:rPr>
                <w:color w:val="auto"/>
                <w:sz w:val="24"/>
              </w:rPr>
              <w:t>规范要求</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r>
              <w:rPr>
                <w:color w:val="auto"/>
                <w:sz w:val="24"/>
              </w:rPr>
              <w:t>投标文件</w:t>
            </w:r>
          </w:p>
          <w:p>
            <w:pPr>
              <w:jc w:val="center"/>
              <w:rPr>
                <w:color w:val="auto"/>
                <w:sz w:val="24"/>
              </w:rPr>
            </w:pPr>
            <w:r>
              <w:rPr>
                <w:color w:val="auto"/>
                <w:sz w:val="24"/>
              </w:rPr>
              <w:t>对应规范</w:t>
            </w: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r>
              <w:rPr>
                <w:color w:val="auto"/>
                <w:sz w:val="24"/>
              </w:rPr>
              <w:t>偏离情况</w:t>
            </w:r>
          </w:p>
          <w:p>
            <w:pPr>
              <w:jc w:val="center"/>
              <w:rPr>
                <w:color w:val="auto"/>
                <w:sz w:val="24"/>
              </w:rPr>
            </w:pPr>
            <w:r>
              <w:rPr>
                <w:color w:val="auto"/>
                <w:sz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tcPr>
          <w:p>
            <w:pPr>
              <w:spacing w:line="360" w:lineRule="auto"/>
              <w:jc w:val="center"/>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color w:val="auto"/>
                <w:sz w:val="24"/>
              </w:rPr>
            </w:pPr>
          </w:p>
        </w:tc>
      </w:tr>
    </w:tbl>
    <w:p>
      <w:pPr>
        <w:spacing w:line="360" w:lineRule="auto"/>
        <w:rPr>
          <w:color w:val="auto"/>
          <w:kern w:val="1"/>
          <w:sz w:val="24"/>
        </w:rPr>
      </w:pPr>
    </w:p>
    <w:p>
      <w:pPr>
        <w:spacing w:line="360" w:lineRule="auto"/>
        <w:rPr>
          <w:color w:val="auto"/>
          <w:kern w:val="1"/>
          <w:sz w:val="24"/>
          <w:u w:val="single"/>
        </w:rPr>
      </w:pPr>
      <w:r>
        <w:rPr>
          <w:color w:val="auto"/>
          <w:kern w:val="1"/>
          <w:sz w:val="24"/>
        </w:rPr>
        <w:t>供应商名称（签章）</w:t>
      </w:r>
      <w:r>
        <w:rPr>
          <w:color w:val="auto"/>
          <w:kern w:val="1"/>
          <w:sz w:val="24"/>
          <w:u w:val="single"/>
        </w:rPr>
        <w:t xml:space="preserve">                   </w:t>
      </w:r>
    </w:p>
    <w:p>
      <w:pPr>
        <w:pStyle w:val="118"/>
        <w:rPr>
          <w:color w:val="auto"/>
        </w:rPr>
      </w:pPr>
    </w:p>
    <w:p>
      <w:pPr>
        <w:spacing w:line="360" w:lineRule="auto"/>
        <w:rPr>
          <w:color w:val="auto"/>
          <w:sz w:val="24"/>
        </w:rPr>
      </w:pPr>
      <w:r>
        <w:rPr>
          <w:color w:val="auto"/>
          <w:sz w:val="24"/>
        </w:rPr>
        <w:t xml:space="preserve">日 期： </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p>
      <w:pPr>
        <w:spacing w:line="360" w:lineRule="auto"/>
        <w:rPr>
          <w:color w:val="auto"/>
          <w:szCs w:val="21"/>
        </w:rPr>
      </w:pPr>
      <w:r>
        <w:rPr>
          <w:rFonts w:hint="eastAsia"/>
          <w:color w:val="auto"/>
          <w:szCs w:val="21"/>
        </w:rPr>
        <w:t>注：1.投标人应仔细对第三章招标项目要求进行逐条分析，对于投标内容与招标文件内容有不一致的条款，则须在上表中列明并详细填写。</w:t>
      </w:r>
    </w:p>
    <w:p>
      <w:pPr>
        <w:spacing w:line="360" w:lineRule="auto"/>
        <w:rPr>
          <w:color w:val="auto"/>
          <w:szCs w:val="21"/>
        </w:rPr>
      </w:pPr>
      <w:r>
        <w:rPr>
          <w:rFonts w:hint="eastAsia"/>
          <w:color w:val="auto"/>
          <w:szCs w:val="21"/>
        </w:rPr>
        <w:t>2.如招标文件内容与投标文件内容都一致的，则本表可以在相关的签字、盖章后，不需要填写其他内容或在“偏离情况详细说明”栏内只填写一个“无”字。</w:t>
      </w:r>
    </w:p>
    <w:p>
      <w:pPr>
        <w:spacing w:line="360" w:lineRule="auto"/>
        <w:rPr>
          <w:color w:val="auto"/>
          <w:szCs w:val="21"/>
        </w:rPr>
      </w:pPr>
      <w:r>
        <w:rPr>
          <w:rFonts w:hint="eastAsia"/>
          <w:color w:val="auto"/>
          <w:szCs w:val="21"/>
        </w:rPr>
        <w:t>3.此表在不改变格式内容的情况下，可自行制作。</w:t>
      </w:r>
    </w:p>
    <w:p>
      <w:pPr>
        <w:spacing w:line="360" w:lineRule="auto"/>
        <w:rPr>
          <w:color w:val="auto"/>
          <w:szCs w:val="21"/>
        </w:rPr>
      </w:pPr>
      <w:r>
        <w:rPr>
          <w:rFonts w:hint="eastAsia"/>
          <w:color w:val="auto"/>
          <w:szCs w:val="21"/>
        </w:rPr>
        <w:t>4.投标人在投标文件中，应对项目技术规范和服务要求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地表示对评标结果的影响将是投标人的责任；</w:t>
      </w:r>
    </w:p>
    <w:p>
      <w:pPr>
        <w:pStyle w:val="48"/>
        <w:widowControl w:val="0"/>
        <w:spacing w:before="0" w:beforeAutospacing="0" w:after="0" w:afterAutospacing="0" w:line="400" w:lineRule="exact"/>
        <w:ind w:left="246" w:hanging="28"/>
        <w:jc w:val="center"/>
        <w:rPr>
          <w:rFonts w:ascii="Times New Roman" w:hAnsi="Times New Roman"/>
          <w:color w:val="auto"/>
          <w:kern w:val="1"/>
          <w:sz w:val="32"/>
        </w:rPr>
      </w:pPr>
      <w:r>
        <w:rPr>
          <w:rFonts w:ascii="Times New Roman" w:hAnsi="Times New Roman"/>
          <w:color w:val="auto"/>
          <w:kern w:val="1"/>
          <w:sz w:val="32"/>
        </w:rPr>
        <w:br w:type="page"/>
      </w:r>
      <w:r>
        <w:rPr>
          <w:rFonts w:ascii="Times New Roman" w:hAnsi="Times New Roman"/>
          <w:color w:val="auto"/>
          <w:kern w:val="1"/>
          <w:sz w:val="32"/>
        </w:rPr>
        <w:t>义乌市政府采购项目投标承诺书</w:t>
      </w:r>
    </w:p>
    <w:p>
      <w:pPr>
        <w:pStyle w:val="48"/>
        <w:widowControl w:val="0"/>
        <w:spacing w:before="0" w:beforeAutospacing="0" w:after="0" w:afterAutospacing="0" w:line="400" w:lineRule="exact"/>
        <w:ind w:left="246" w:hanging="28"/>
        <w:jc w:val="center"/>
        <w:rPr>
          <w:rFonts w:ascii="Times New Roman" w:hAnsi="Times New Roman"/>
          <w:color w:val="auto"/>
          <w:kern w:val="1"/>
          <w:sz w:val="32"/>
        </w:rPr>
      </w:pPr>
    </w:p>
    <w:p>
      <w:pPr>
        <w:spacing w:line="320" w:lineRule="exact"/>
        <w:ind w:firstLine="420"/>
        <w:rPr>
          <w:color w:val="auto"/>
          <w:kern w:val="1"/>
        </w:rPr>
      </w:pPr>
      <w:r>
        <w:rPr>
          <w:color w:val="auto"/>
          <w:kern w:val="1"/>
        </w:rPr>
        <w:t>1、我单位已认真阅读了本项目的采购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pStyle w:val="48"/>
        <w:spacing w:before="0" w:beforeAutospacing="0" w:after="0" w:afterAutospacing="0" w:line="320" w:lineRule="exact"/>
        <w:ind w:firstLine="420"/>
        <w:rPr>
          <w:rFonts w:ascii="Times New Roman" w:hAnsi="Times New Roman"/>
          <w:color w:val="auto"/>
          <w:sz w:val="21"/>
        </w:rPr>
      </w:pPr>
      <w:r>
        <w:rPr>
          <w:rFonts w:ascii="Times New Roman" w:hAnsi="Times New Roman"/>
          <w:color w:val="auto"/>
          <w:sz w:val="21"/>
        </w:rPr>
        <w:t>2、自愿接受义乌市财政局（以下简称财政局）的管理，并严格遵守财政局制定的招投标管理制度、规范和纪律。</w:t>
      </w:r>
    </w:p>
    <w:p>
      <w:pPr>
        <w:spacing w:line="320" w:lineRule="exact"/>
        <w:ind w:left="-34" w:firstLine="420"/>
        <w:rPr>
          <w:b/>
          <w:bCs/>
          <w:color w:val="auto"/>
          <w:kern w:val="1"/>
        </w:rPr>
      </w:pPr>
      <w:r>
        <w:rPr>
          <w:b/>
          <w:bCs/>
          <w:color w:val="auto"/>
          <w:kern w:val="1"/>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w:t>
      </w:r>
    </w:p>
    <w:p>
      <w:pPr>
        <w:spacing w:line="320" w:lineRule="exact"/>
        <w:ind w:firstLine="420"/>
        <w:rPr>
          <w:color w:val="auto"/>
          <w:kern w:val="1"/>
        </w:rPr>
      </w:pPr>
      <w:r>
        <w:rPr>
          <w:color w:val="auto"/>
          <w:kern w:val="1"/>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pacing w:line="320" w:lineRule="exact"/>
        <w:ind w:firstLine="420"/>
        <w:rPr>
          <w:color w:val="auto"/>
          <w:kern w:val="1"/>
        </w:rPr>
      </w:pPr>
      <w:r>
        <w:rPr>
          <w:color w:val="auto"/>
          <w:kern w:val="1"/>
        </w:rPr>
        <w:t>5、不转让、出借、涂改、伪造资质（资格）证书或者以其他方式允许其他单位（个人）以我单位（本人）名义承接业务。</w:t>
      </w:r>
    </w:p>
    <w:p>
      <w:pPr>
        <w:spacing w:line="320" w:lineRule="exact"/>
        <w:ind w:left="-34" w:firstLine="420"/>
        <w:rPr>
          <w:color w:val="auto"/>
          <w:kern w:val="1"/>
        </w:rPr>
      </w:pPr>
      <w:r>
        <w:rPr>
          <w:color w:val="auto"/>
          <w:kern w:val="1"/>
        </w:rPr>
        <w:t>6、不与采购人或者其他供应商相互串通投标，围标，不以行贿等不正当手段谋取中标。</w:t>
      </w:r>
    </w:p>
    <w:p>
      <w:pPr>
        <w:spacing w:line="320" w:lineRule="exact"/>
        <w:ind w:left="-34" w:firstLine="420"/>
        <w:rPr>
          <w:color w:val="auto"/>
          <w:kern w:val="1"/>
        </w:rPr>
      </w:pPr>
      <w:r>
        <w:rPr>
          <w:color w:val="auto"/>
          <w:kern w:val="1"/>
        </w:rPr>
        <w:t>7、在备案、招标、投标、开标、评标、询标、中标、签订合同、合同备案等招投标预备和进行的全过程中提供的资料均真实、有效，不弄虚作假。</w:t>
      </w:r>
    </w:p>
    <w:p>
      <w:pPr>
        <w:spacing w:line="320" w:lineRule="exact"/>
        <w:ind w:firstLine="420"/>
        <w:rPr>
          <w:color w:val="auto"/>
          <w:kern w:val="1"/>
        </w:rPr>
      </w:pPr>
      <w:r>
        <w:rPr>
          <w:color w:val="auto"/>
          <w:kern w:val="1"/>
        </w:rPr>
        <w:t>8、我方已详细审核全部招标文件，包括修改文件</w:t>
      </w:r>
      <w:r>
        <w:rPr>
          <w:rFonts w:hint="eastAsia"/>
          <w:color w:val="auto"/>
          <w:kern w:val="1"/>
        </w:rPr>
        <w:t>（</w:t>
      </w:r>
      <w:r>
        <w:rPr>
          <w:color w:val="auto"/>
          <w:kern w:val="1"/>
        </w:rPr>
        <w:t>如果有的话</w:t>
      </w:r>
      <w:r>
        <w:rPr>
          <w:rFonts w:hint="eastAsia"/>
          <w:color w:val="auto"/>
          <w:kern w:val="1"/>
        </w:rPr>
        <w:t>）</w:t>
      </w:r>
      <w:r>
        <w:rPr>
          <w:color w:val="auto"/>
          <w:kern w:val="1"/>
        </w:rPr>
        <w:t xml:space="preserve">，及有关附件，我方同意放弃提出含糊不清或误解的权力。 </w:t>
      </w:r>
    </w:p>
    <w:p>
      <w:pPr>
        <w:spacing w:line="320" w:lineRule="exact"/>
        <w:ind w:firstLine="420"/>
        <w:rPr>
          <w:color w:val="auto"/>
          <w:kern w:val="1"/>
        </w:rPr>
      </w:pPr>
      <w:r>
        <w:rPr>
          <w:color w:val="auto"/>
          <w:kern w:val="1"/>
        </w:rPr>
        <w:t>9、我方同意所递交的投标文件在招标期内有效，在此期间内我方有可能中标，我方将受此约束。</w:t>
      </w:r>
    </w:p>
    <w:p>
      <w:pPr>
        <w:spacing w:line="320" w:lineRule="exact"/>
        <w:ind w:firstLine="420"/>
        <w:rPr>
          <w:color w:val="auto"/>
          <w:kern w:val="1"/>
        </w:rPr>
      </w:pPr>
      <w:r>
        <w:rPr>
          <w:color w:val="auto"/>
          <w:kern w:val="1"/>
        </w:rPr>
        <w:t xml:space="preserve">10、我方相信贵方的招标结果是公正、合法的，无论我方中标还是落标，我方将接受这一结果。 </w:t>
      </w:r>
    </w:p>
    <w:p>
      <w:pPr>
        <w:spacing w:line="320" w:lineRule="exact"/>
        <w:ind w:firstLine="420"/>
        <w:rPr>
          <w:color w:val="auto"/>
          <w:kern w:val="1"/>
        </w:rPr>
      </w:pPr>
      <w:r>
        <w:rPr>
          <w:color w:val="auto"/>
          <w:kern w:val="1"/>
        </w:rPr>
        <w:t>11、一旦我方中标，我方将严格依照招标文件中的相关规定与采购人签订合同。</w:t>
      </w:r>
    </w:p>
    <w:p>
      <w:pPr>
        <w:spacing w:line="320" w:lineRule="exact"/>
        <w:ind w:left="-34" w:firstLine="420"/>
        <w:rPr>
          <w:color w:val="auto"/>
          <w:kern w:val="1"/>
        </w:rPr>
      </w:pPr>
      <w:r>
        <w:rPr>
          <w:color w:val="auto"/>
          <w:kern w:val="1"/>
        </w:rPr>
        <w:t>12、不低于企业成本价投标，不恶意过高报价，不扰乱招投标的正常秩序。</w:t>
      </w:r>
    </w:p>
    <w:p>
      <w:pPr>
        <w:spacing w:line="320" w:lineRule="exact"/>
        <w:ind w:left="-34" w:firstLine="420"/>
        <w:rPr>
          <w:color w:val="auto"/>
          <w:kern w:val="1"/>
        </w:rPr>
      </w:pPr>
      <w:r>
        <w:rPr>
          <w:color w:val="auto"/>
          <w:kern w:val="1"/>
        </w:rPr>
        <w:t>13、严格遵守开标会议纪律，不在开标会场吵闹、滋事，服从工作人员指挥。</w:t>
      </w:r>
    </w:p>
    <w:p>
      <w:pPr>
        <w:spacing w:line="320" w:lineRule="exact"/>
        <w:ind w:firstLine="420"/>
        <w:rPr>
          <w:color w:val="auto"/>
          <w:kern w:val="1"/>
        </w:rPr>
      </w:pPr>
      <w:r>
        <w:rPr>
          <w:color w:val="auto"/>
          <w:kern w:val="1"/>
        </w:rPr>
        <w:t>14、按照法律法规和本项目招标文件规定的程序和方式进行异议和投诉，不越级投诉，不无理投诉。如捏造事实、伪造材料或者以非法手段取得材料进行投诉，给他人造成损失的，依法承担赔偿责任。</w:t>
      </w:r>
    </w:p>
    <w:p>
      <w:pPr>
        <w:spacing w:line="320" w:lineRule="exact"/>
        <w:ind w:firstLine="420"/>
        <w:rPr>
          <w:color w:val="auto"/>
          <w:kern w:val="1"/>
        </w:rPr>
      </w:pPr>
      <w:r>
        <w:rPr>
          <w:color w:val="auto"/>
          <w:kern w:val="1"/>
        </w:rPr>
        <w:t>上述承诺事项已认真逐项核对，均表达我单位真实意见，愿承担任何责任。若有任何弄虚作假内容或未遵守上述约定的，经查实后，愿意放弃投标及中标资格，如由于我单位被判失去中标权而给采购人造成报价的差额损失的，同意对差额损失予以赔偿。如我单位违反上述承诺事项，无条件接受政府采购监督部门作出的任何管理和处理决定，并自愿承担一切不利的后果。</w:t>
      </w:r>
    </w:p>
    <w:p>
      <w:pPr>
        <w:spacing w:line="320" w:lineRule="exact"/>
        <w:rPr>
          <w:color w:val="auto"/>
          <w:kern w:val="1"/>
        </w:rPr>
      </w:pPr>
      <w:r>
        <w:rPr>
          <w:color w:val="auto"/>
          <w:kern w:val="1"/>
        </w:rPr>
        <w:t xml:space="preserve"> </w:t>
      </w:r>
    </w:p>
    <w:p>
      <w:pPr>
        <w:adjustRightInd w:val="0"/>
        <w:spacing w:line="360" w:lineRule="auto"/>
        <w:ind w:right="880" w:firstLine="440" w:firstLineChars="200"/>
        <w:jc w:val="left"/>
        <w:rPr>
          <w:color w:val="auto"/>
          <w:sz w:val="22"/>
          <w:szCs w:val="22"/>
          <w:u w:val="single"/>
        </w:rPr>
      </w:pPr>
      <w:r>
        <w:rPr>
          <w:color w:val="auto"/>
          <w:sz w:val="22"/>
          <w:szCs w:val="22"/>
        </w:rPr>
        <w:t>投标人名称（</w:t>
      </w:r>
      <w:r>
        <w:rPr>
          <w:rFonts w:hint="eastAsia"/>
          <w:color w:val="auto"/>
          <w:kern w:val="1"/>
          <w:sz w:val="24"/>
        </w:rPr>
        <w:t>签章</w:t>
      </w:r>
      <w:r>
        <w:rPr>
          <w:color w:val="auto"/>
          <w:sz w:val="22"/>
          <w:szCs w:val="22"/>
        </w:rPr>
        <w:t>）：</w:t>
      </w:r>
      <w:r>
        <w:rPr>
          <w:color w:val="auto"/>
          <w:sz w:val="22"/>
          <w:szCs w:val="22"/>
          <w:u w:val="single"/>
        </w:rPr>
        <w:t xml:space="preserve">                  </w:t>
      </w:r>
    </w:p>
    <w:p>
      <w:pPr>
        <w:adjustRightInd w:val="0"/>
        <w:spacing w:line="360" w:lineRule="auto"/>
        <w:jc w:val="left"/>
        <w:rPr>
          <w:color w:val="auto"/>
          <w:sz w:val="22"/>
          <w:szCs w:val="22"/>
        </w:rPr>
      </w:pPr>
    </w:p>
    <w:p>
      <w:pPr>
        <w:adjustRightInd w:val="0"/>
        <w:spacing w:line="360" w:lineRule="auto"/>
        <w:ind w:right="420" w:firstLine="440" w:firstLineChars="200"/>
        <w:jc w:val="left"/>
        <w:rPr>
          <w:color w:val="auto"/>
          <w:sz w:val="22"/>
          <w:szCs w:val="22"/>
          <w:u w:val="single"/>
        </w:rPr>
      </w:pPr>
      <w:r>
        <w:rPr>
          <w:color w:val="auto"/>
          <w:sz w:val="22"/>
          <w:szCs w:val="22"/>
        </w:rPr>
        <w:t>日  期：</w:t>
      </w:r>
      <w:r>
        <w:rPr>
          <w:color w:val="auto"/>
          <w:sz w:val="22"/>
          <w:szCs w:val="22"/>
          <w:u w:val="single"/>
        </w:rPr>
        <w:t xml:space="preserve">                   </w:t>
      </w:r>
    </w:p>
    <w:p>
      <w:pPr>
        <w:spacing w:line="320" w:lineRule="exact"/>
        <w:rPr>
          <w:color w:val="auto"/>
          <w:kern w:val="1"/>
        </w:rPr>
      </w:pPr>
    </w:p>
    <w:p>
      <w:pPr>
        <w:pStyle w:val="14"/>
        <w:rPr>
          <w:color w:val="auto"/>
        </w:rPr>
      </w:pPr>
    </w:p>
    <w:p>
      <w:pPr>
        <w:rPr>
          <w:color w:val="auto"/>
          <w:kern w:val="1"/>
        </w:rPr>
      </w:pPr>
    </w:p>
    <w:p>
      <w:pPr>
        <w:rPr>
          <w:b/>
          <w:color w:val="auto"/>
          <w:kern w:val="1"/>
          <w:sz w:val="36"/>
        </w:rPr>
      </w:pPr>
      <w:r>
        <w:rPr>
          <w:b/>
          <w:color w:val="auto"/>
          <w:kern w:val="1"/>
          <w:sz w:val="36"/>
        </w:rPr>
        <w:br w:type="page"/>
      </w:r>
    </w:p>
    <w:p>
      <w:pPr>
        <w:spacing w:line="360" w:lineRule="auto"/>
        <w:jc w:val="center"/>
        <w:rPr>
          <w:b/>
          <w:color w:val="auto"/>
          <w:kern w:val="1"/>
          <w:sz w:val="36"/>
        </w:rPr>
      </w:pPr>
      <w:r>
        <w:rPr>
          <w:b/>
          <w:color w:val="auto"/>
          <w:kern w:val="1"/>
          <w:sz w:val="36"/>
        </w:rPr>
        <w:t>投标函（格式）</w:t>
      </w:r>
    </w:p>
    <w:p>
      <w:pPr>
        <w:pStyle w:val="48"/>
        <w:widowControl w:val="0"/>
        <w:spacing w:before="0" w:beforeAutospacing="0" w:after="0" w:afterAutospacing="0" w:line="360" w:lineRule="auto"/>
        <w:jc w:val="both"/>
        <w:rPr>
          <w:rFonts w:cs="宋体"/>
          <w:color w:val="auto"/>
          <w:kern w:val="1"/>
          <w:sz w:val="22"/>
          <w:szCs w:val="22"/>
        </w:rPr>
      </w:pPr>
      <w:r>
        <w:rPr>
          <w:rFonts w:hint="eastAsia" w:cs="宋体"/>
          <w:color w:val="auto"/>
          <w:kern w:val="1"/>
          <w:sz w:val="22"/>
          <w:szCs w:val="22"/>
        </w:rPr>
        <w:t>致：</w:t>
      </w:r>
      <w:r>
        <w:rPr>
          <w:rFonts w:hint="eastAsia" w:cs="宋体"/>
          <w:color w:val="auto"/>
          <w:kern w:val="1"/>
          <w:sz w:val="22"/>
          <w:szCs w:val="22"/>
          <w:u w:val="single"/>
        </w:rPr>
        <w:t xml:space="preserve">                  </w:t>
      </w:r>
    </w:p>
    <w:p>
      <w:pPr>
        <w:pStyle w:val="48"/>
        <w:widowControl w:val="0"/>
        <w:spacing w:before="0" w:beforeAutospacing="0" w:after="0" w:afterAutospacing="0" w:line="360" w:lineRule="auto"/>
        <w:jc w:val="both"/>
        <w:rPr>
          <w:rFonts w:cs="宋体"/>
          <w:color w:val="auto"/>
          <w:kern w:val="1"/>
          <w:sz w:val="22"/>
          <w:szCs w:val="22"/>
        </w:rPr>
      </w:pPr>
      <w:r>
        <w:rPr>
          <w:rFonts w:hint="eastAsia" w:cs="宋体"/>
          <w:color w:val="auto"/>
          <w:kern w:val="1"/>
          <w:sz w:val="22"/>
          <w:szCs w:val="22"/>
        </w:rPr>
        <w:t xml:space="preserve">     _________________________（供应商全称）授权_________________（全名、职务）为全权代表参加贵方组织的_________________________</w:t>
      </w:r>
      <w:r>
        <w:rPr>
          <w:rFonts w:hint="eastAsia" w:cs="宋体"/>
          <w:color w:val="auto"/>
          <w:kern w:val="1"/>
          <w:sz w:val="22"/>
          <w:szCs w:val="22"/>
          <w:u w:val="single"/>
        </w:rPr>
        <w:t xml:space="preserve">              </w:t>
      </w:r>
      <w:r>
        <w:rPr>
          <w:rFonts w:hint="eastAsia" w:cs="宋体"/>
          <w:color w:val="auto"/>
          <w:kern w:val="1"/>
          <w:sz w:val="22"/>
          <w:szCs w:val="22"/>
        </w:rPr>
        <w:t>项目（招标项目名称、招标编号）的招标、响应询标等有关活动，为此提交下述文件：</w:t>
      </w:r>
    </w:p>
    <w:p>
      <w:pPr>
        <w:spacing w:line="360" w:lineRule="auto"/>
        <w:ind w:firstLine="480"/>
        <w:rPr>
          <w:rFonts w:ascii="宋体" w:hAnsi="宋体" w:cs="宋体"/>
          <w:color w:val="auto"/>
          <w:kern w:val="1"/>
          <w:sz w:val="22"/>
          <w:szCs w:val="22"/>
        </w:rPr>
      </w:pPr>
      <w:r>
        <w:rPr>
          <w:rFonts w:hint="eastAsia" w:ascii="宋体" w:hAnsi="宋体" w:cs="宋体"/>
          <w:color w:val="auto"/>
          <w:kern w:val="1"/>
          <w:sz w:val="22"/>
          <w:szCs w:val="22"/>
        </w:rPr>
        <w:t>1、电子投标文件一份；</w:t>
      </w:r>
    </w:p>
    <w:p>
      <w:pPr>
        <w:spacing w:line="360" w:lineRule="auto"/>
        <w:ind w:firstLine="480"/>
        <w:rPr>
          <w:rFonts w:ascii="宋体" w:hAnsi="宋体" w:cs="宋体"/>
          <w:color w:val="auto"/>
          <w:kern w:val="1"/>
          <w:sz w:val="22"/>
          <w:szCs w:val="22"/>
        </w:rPr>
      </w:pPr>
      <w:r>
        <w:rPr>
          <w:rFonts w:hint="eastAsia" w:ascii="宋体" w:hAnsi="宋体" w:cs="宋体"/>
          <w:color w:val="auto"/>
          <w:kern w:val="1"/>
          <w:sz w:val="22"/>
          <w:szCs w:val="22"/>
        </w:rPr>
        <w:t>2、其他：</w:t>
      </w:r>
    </w:p>
    <w:p>
      <w:pPr>
        <w:spacing w:line="360" w:lineRule="auto"/>
        <w:ind w:firstLine="480"/>
        <w:rPr>
          <w:rFonts w:ascii="宋体" w:hAnsi="宋体" w:cs="宋体"/>
          <w:color w:val="auto"/>
          <w:kern w:val="1"/>
          <w:sz w:val="22"/>
          <w:szCs w:val="22"/>
        </w:rPr>
      </w:pPr>
      <w:r>
        <w:rPr>
          <w:rFonts w:hint="eastAsia" w:ascii="宋体" w:hAnsi="宋体" w:cs="宋体"/>
          <w:color w:val="auto"/>
          <w:kern w:val="1"/>
          <w:sz w:val="22"/>
          <w:szCs w:val="22"/>
        </w:rPr>
        <w:t>3、据此函，宣布同意如下：</w:t>
      </w:r>
    </w:p>
    <w:p>
      <w:pPr>
        <w:spacing w:line="360" w:lineRule="auto"/>
        <w:ind w:firstLine="480"/>
        <w:rPr>
          <w:rFonts w:ascii="宋体" w:hAnsi="宋体" w:cs="宋体"/>
          <w:color w:val="auto"/>
          <w:kern w:val="1"/>
          <w:sz w:val="22"/>
          <w:szCs w:val="22"/>
        </w:rPr>
      </w:pPr>
      <w:r>
        <w:rPr>
          <w:rFonts w:hint="eastAsia" w:ascii="宋体" w:hAnsi="宋体" w:cs="宋体"/>
          <w:color w:val="auto"/>
          <w:kern w:val="1"/>
          <w:sz w:val="22"/>
          <w:szCs w:val="22"/>
        </w:rPr>
        <w:t>1）</w:t>
      </w:r>
      <w:r>
        <w:rPr>
          <w:rFonts w:hint="eastAsia" w:ascii="宋体" w:hAnsi="宋体" w:cs="宋体"/>
          <w:color w:val="auto"/>
          <w:spacing w:val="12"/>
          <w:sz w:val="22"/>
          <w:szCs w:val="22"/>
        </w:rPr>
        <w:t>所附投标报价表中规定的应提供和支付的服务投标总价为（人民币</w:t>
      </w:r>
      <w:r>
        <w:rPr>
          <w:rFonts w:hint="eastAsia" w:ascii="宋体" w:hAnsi="宋体" w:cs="宋体"/>
          <w:color w:val="auto"/>
          <w:spacing w:val="12"/>
          <w:sz w:val="22"/>
          <w:szCs w:val="22"/>
          <w:u w:val="single"/>
        </w:rPr>
        <w:t xml:space="preserve">         </w:t>
      </w:r>
      <w:r>
        <w:rPr>
          <w:rFonts w:hint="eastAsia" w:ascii="宋体" w:hAnsi="宋体" w:cs="宋体"/>
          <w:color w:val="auto"/>
          <w:spacing w:val="12"/>
          <w:sz w:val="22"/>
          <w:szCs w:val="22"/>
        </w:rPr>
        <w:t>）</w:t>
      </w:r>
      <w:r>
        <w:rPr>
          <w:rFonts w:hint="eastAsia" w:ascii="宋体" w:hAnsi="宋体" w:cs="宋体"/>
          <w:color w:val="auto"/>
          <w:sz w:val="22"/>
          <w:szCs w:val="22"/>
        </w:rPr>
        <w:t>，即 _______________（大写）。（企业成本价为</w:t>
      </w:r>
      <w:r>
        <w:rPr>
          <w:rFonts w:hint="eastAsia" w:ascii="宋体" w:hAnsi="宋体" w:cs="宋体"/>
          <w:color w:val="auto"/>
          <w:sz w:val="22"/>
          <w:szCs w:val="22"/>
          <w:u w:val="single"/>
        </w:rPr>
        <w:t xml:space="preserve">          </w:t>
      </w:r>
      <w:r>
        <w:rPr>
          <w:rFonts w:hint="eastAsia" w:ascii="宋体" w:hAnsi="宋体" w:cs="宋体"/>
          <w:color w:val="auto"/>
          <w:sz w:val="22"/>
          <w:szCs w:val="22"/>
        </w:rPr>
        <w:t>元）</w:t>
      </w:r>
      <w:r>
        <w:rPr>
          <w:rFonts w:hint="eastAsia" w:ascii="宋体" w:hAnsi="宋体" w:cs="宋体"/>
          <w:color w:val="auto"/>
          <w:kern w:val="1"/>
          <w:sz w:val="22"/>
          <w:szCs w:val="22"/>
        </w:rPr>
        <w:t>。</w:t>
      </w:r>
    </w:p>
    <w:p>
      <w:pPr>
        <w:spacing w:line="360" w:lineRule="auto"/>
        <w:ind w:firstLine="480"/>
        <w:rPr>
          <w:rFonts w:ascii="宋体" w:hAnsi="宋体" w:cs="宋体"/>
          <w:color w:val="auto"/>
          <w:kern w:val="1"/>
          <w:sz w:val="22"/>
          <w:szCs w:val="22"/>
        </w:rPr>
      </w:pPr>
      <w:r>
        <w:rPr>
          <w:rFonts w:hint="eastAsia" w:ascii="宋体" w:hAnsi="宋体" w:cs="宋体"/>
          <w:color w:val="auto"/>
          <w:kern w:val="1"/>
          <w:sz w:val="22"/>
          <w:szCs w:val="22"/>
        </w:rPr>
        <w:t>2）供应商已详细审查全部招标文件，我们完全理解并同意放弃对这方面有不明及误解的权利。</w:t>
      </w:r>
    </w:p>
    <w:p>
      <w:pPr>
        <w:spacing w:line="360" w:lineRule="auto"/>
        <w:ind w:firstLine="480"/>
        <w:rPr>
          <w:rFonts w:ascii="宋体" w:hAnsi="宋体" w:cs="宋体"/>
          <w:color w:val="auto"/>
          <w:kern w:val="1"/>
          <w:sz w:val="22"/>
          <w:szCs w:val="22"/>
        </w:rPr>
      </w:pPr>
      <w:r>
        <w:rPr>
          <w:rFonts w:hint="eastAsia" w:ascii="宋体" w:hAnsi="宋体" w:cs="宋体"/>
          <w:color w:val="auto"/>
          <w:kern w:val="1"/>
          <w:sz w:val="22"/>
          <w:szCs w:val="22"/>
        </w:rPr>
        <w:t>3）供应商将按招标文件规定履行合同责任和义务。</w:t>
      </w:r>
    </w:p>
    <w:p>
      <w:pPr>
        <w:spacing w:line="360" w:lineRule="auto"/>
        <w:ind w:firstLine="480"/>
        <w:rPr>
          <w:rFonts w:ascii="宋体" w:hAnsi="宋体" w:cs="宋体"/>
          <w:color w:val="auto"/>
          <w:kern w:val="1"/>
          <w:sz w:val="22"/>
          <w:szCs w:val="22"/>
        </w:rPr>
      </w:pPr>
      <w:r>
        <w:rPr>
          <w:rFonts w:hint="eastAsia" w:ascii="宋体" w:hAnsi="宋体" w:cs="宋体"/>
          <w:color w:val="auto"/>
          <w:kern w:val="1"/>
          <w:sz w:val="22"/>
          <w:szCs w:val="22"/>
        </w:rPr>
        <w:t>4）其投标自开标之日起有效期</w:t>
      </w:r>
      <w:r>
        <w:rPr>
          <w:rFonts w:hint="eastAsia" w:ascii="宋体" w:hAnsi="宋体" w:cs="宋体"/>
          <w:color w:val="auto"/>
          <w:kern w:val="1"/>
          <w:sz w:val="22"/>
          <w:szCs w:val="22"/>
          <w:u w:val="single"/>
        </w:rPr>
        <w:t>60</w:t>
      </w:r>
      <w:r>
        <w:rPr>
          <w:rFonts w:hint="eastAsia" w:ascii="宋体" w:hAnsi="宋体" w:cs="宋体"/>
          <w:color w:val="auto"/>
          <w:kern w:val="1"/>
          <w:sz w:val="22"/>
          <w:szCs w:val="22"/>
        </w:rPr>
        <w:t>个日历天。</w:t>
      </w:r>
    </w:p>
    <w:p>
      <w:pPr>
        <w:spacing w:line="360" w:lineRule="auto"/>
        <w:ind w:firstLine="480"/>
        <w:rPr>
          <w:rFonts w:ascii="宋体" w:hAnsi="宋体" w:cs="宋体"/>
          <w:color w:val="auto"/>
          <w:kern w:val="1"/>
          <w:sz w:val="22"/>
          <w:szCs w:val="22"/>
        </w:rPr>
      </w:pPr>
      <w:r>
        <w:rPr>
          <w:rFonts w:hint="eastAsia" w:ascii="宋体" w:hAnsi="宋体" w:cs="宋体"/>
          <w:color w:val="auto"/>
          <w:kern w:val="1"/>
          <w:sz w:val="22"/>
          <w:szCs w:val="22"/>
        </w:rPr>
        <w:t>5）供应商同意提供按照贵方可能要求的与其投标有关的一切数据或资料，理解贵方不一定要接受最低价的投标或收到的任何投标。</w:t>
      </w:r>
    </w:p>
    <w:p>
      <w:pPr>
        <w:spacing w:line="360" w:lineRule="auto"/>
        <w:ind w:firstLine="480"/>
        <w:rPr>
          <w:rFonts w:ascii="宋体" w:hAnsi="宋体" w:cs="宋体"/>
          <w:color w:val="auto"/>
          <w:kern w:val="1"/>
          <w:sz w:val="22"/>
          <w:szCs w:val="22"/>
        </w:rPr>
      </w:pPr>
      <w:r>
        <w:rPr>
          <w:rFonts w:hint="eastAsia" w:ascii="宋体" w:hAnsi="宋体" w:cs="宋体"/>
          <w:color w:val="auto"/>
          <w:kern w:val="1"/>
          <w:sz w:val="22"/>
          <w:szCs w:val="22"/>
        </w:rPr>
        <w:t>6）投标文件中未明确的事项，一律按招标文件规定执行。</w:t>
      </w:r>
    </w:p>
    <w:p>
      <w:pPr>
        <w:spacing w:line="360" w:lineRule="auto"/>
        <w:ind w:firstLine="480"/>
        <w:rPr>
          <w:rFonts w:ascii="宋体" w:hAnsi="宋体" w:cs="宋体"/>
          <w:color w:val="auto"/>
          <w:kern w:val="1"/>
          <w:sz w:val="22"/>
          <w:szCs w:val="22"/>
        </w:rPr>
      </w:pPr>
      <w:r>
        <w:rPr>
          <w:rFonts w:hint="eastAsia" w:ascii="宋体" w:hAnsi="宋体" w:cs="宋体"/>
          <w:color w:val="auto"/>
          <w:kern w:val="1"/>
          <w:sz w:val="22"/>
          <w:szCs w:val="22"/>
        </w:rPr>
        <w:t>7）与本投标有关的一切正式往来通讯请寄：</w:t>
      </w:r>
    </w:p>
    <w:p>
      <w:pPr>
        <w:spacing w:line="360" w:lineRule="auto"/>
        <w:rPr>
          <w:rFonts w:ascii="宋体" w:hAnsi="宋体" w:cs="宋体"/>
          <w:color w:val="auto"/>
          <w:kern w:val="1"/>
          <w:sz w:val="22"/>
          <w:szCs w:val="22"/>
        </w:rPr>
      </w:pPr>
      <w:r>
        <w:rPr>
          <w:rFonts w:hint="eastAsia" w:ascii="宋体" w:hAnsi="宋体" w:cs="宋体"/>
          <w:color w:val="auto"/>
          <w:kern w:val="1"/>
          <w:sz w:val="22"/>
          <w:szCs w:val="22"/>
        </w:rPr>
        <w:t>地址：______________________</w:t>
      </w:r>
      <w:r>
        <w:rPr>
          <w:rFonts w:hint="eastAsia" w:ascii="宋体" w:hAnsi="宋体" w:cs="宋体"/>
          <w:color w:val="auto"/>
          <w:kern w:val="1"/>
          <w:sz w:val="22"/>
          <w:szCs w:val="22"/>
          <w:u w:val="single"/>
        </w:rPr>
        <w:t xml:space="preserve">      </w:t>
      </w:r>
      <w:r>
        <w:rPr>
          <w:rFonts w:hint="eastAsia" w:ascii="宋体" w:hAnsi="宋体" w:cs="宋体"/>
          <w:color w:val="auto"/>
          <w:kern w:val="1"/>
          <w:sz w:val="22"/>
          <w:szCs w:val="22"/>
        </w:rPr>
        <w:t xml:space="preserve">       邮编：______________________  </w:t>
      </w:r>
    </w:p>
    <w:p>
      <w:pPr>
        <w:spacing w:line="360" w:lineRule="auto"/>
        <w:rPr>
          <w:rFonts w:ascii="宋体" w:hAnsi="宋体" w:cs="宋体"/>
          <w:color w:val="auto"/>
          <w:kern w:val="1"/>
          <w:sz w:val="22"/>
          <w:szCs w:val="22"/>
        </w:rPr>
      </w:pPr>
      <w:r>
        <w:rPr>
          <w:rFonts w:hint="eastAsia" w:ascii="宋体" w:hAnsi="宋体" w:cs="宋体"/>
          <w:color w:val="auto"/>
          <w:kern w:val="1"/>
          <w:sz w:val="22"/>
          <w:szCs w:val="22"/>
        </w:rPr>
        <w:t>电话：______________________</w:t>
      </w:r>
      <w:r>
        <w:rPr>
          <w:rFonts w:hint="eastAsia" w:ascii="宋体" w:hAnsi="宋体" w:cs="宋体"/>
          <w:color w:val="auto"/>
          <w:kern w:val="1"/>
          <w:sz w:val="22"/>
          <w:szCs w:val="22"/>
          <w:u w:val="single"/>
        </w:rPr>
        <w:t xml:space="preserve">   </w:t>
      </w:r>
      <w:r>
        <w:rPr>
          <w:rFonts w:hint="eastAsia" w:ascii="宋体" w:hAnsi="宋体" w:cs="宋体"/>
          <w:color w:val="auto"/>
          <w:kern w:val="1"/>
          <w:sz w:val="22"/>
          <w:szCs w:val="22"/>
        </w:rPr>
        <w:t xml:space="preserve">         传真：______________________ </w:t>
      </w:r>
    </w:p>
    <w:p>
      <w:pPr>
        <w:spacing w:line="360" w:lineRule="auto"/>
        <w:rPr>
          <w:rFonts w:ascii="宋体" w:hAnsi="宋体" w:cs="宋体"/>
          <w:color w:val="auto"/>
          <w:kern w:val="1"/>
          <w:sz w:val="22"/>
          <w:szCs w:val="22"/>
        </w:rPr>
      </w:pPr>
      <w:r>
        <w:rPr>
          <w:rFonts w:hint="eastAsia" w:ascii="宋体" w:hAnsi="宋体" w:cs="宋体"/>
          <w:color w:val="auto"/>
          <w:kern w:val="1"/>
          <w:sz w:val="22"/>
          <w:szCs w:val="22"/>
        </w:rPr>
        <w:t>供应商名称：__________________________ （签章）</w:t>
      </w:r>
    </w:p>
    <w:p>
      <w:pPr>
        <w:spacing w:line="360" w:lineRule="auto"/>
        <w:rPr>
          <w:rFonts w:ascii="宋体" w:hAnsi="宋体" w:cs="宋体"/>
          <w:b/>
          <w:color w:val="auto"/>
          <w:kern w:val="1"/>
          <w:sz w:val="22"/>
          <w:szCs w:val="22"/>
        </w:rPr>
      </w:pPr>
      <w:r>
        <w:rPr>
          <w:rFonts w:hint="eastAsia" w:ascii="宋体" w:hAnsi="宋体" w:cs="宋体"/>
          <w:color w:val="auto"/>
          <w:kern w:val="1"/>
          <w:sz w:val="22"/>
          <w:szCs w:val="22"/>
        </w:rPr>
        <w:t>投标日期： _______年____月____日</w:t>
      </w:r>
    </w:p>
    <w:p>
      <w:pPr>
        <w:jc w:val="center"/>
        <w:rPr>
          <w:b/>
          <w:color w:val="auto"/>
          <w:kern w:val="1"/>
          <w:sz w:val="36"/>
        </w:rPr>
      </w:pPr>
    </w:p>
    <w:p>
      <w:pPr>
        <w:jc w:val="center"/>
        <w:rPr>
          <w:b/>
          <w:color w:val="auto"/>
          <w:kern w:val="1"/>
          <w:sz w:val="36"/>
        </w:rPr>
      </w:pPr>
    </w:p>
    <w:p>
      <w:pPr>
        <w:jc w:val="center"/>
        <w:rPr>
          <w:b/>
          <w:color w:val="auto"/>
          <w:kern w:val="1"/>
          <w:sz w:val="36"/>
        </w:rPr>
      </w:pPr>
    </w:p>
    <w:p>
      <w:pPr>
        <w:jc w:val="center"/>
        <w:rPr>
          <w:b/>
          <w:color w:val="auto"/>
          <w:kern w:val="1"/>
          <w:sz w:val="36"/>
        </w:rPr>
      </w:pPr>
    </w:p>
    <w:p>
      <w:pPr>
        <w:jc w:val="center"/>
        <w:rPr>
          <w:b/>
          <w:color w:val="auto"/>
          <w:kern w:val="1"/>
          <w:sz w:val="36"/>
        </w:rPr>
      </w:pPr>
    </w:p>
    <w:p>
      <w:pPr>
        <w:jc w:val="center"/>
        <w:rPr>
          <w:b/>
          <w:color w:val="auto"/>
          <w:kern w:val="1"/>
          <w:sz w:val="36"/>
        </w:rPr>
      </w:pPr>
    </w:p>
    <w:p>
      <w:pPr>
        <w:pStyle w:val="51"/>
        <w:rPr>
          <w:b/>
          <w:color w:val="auto"/>
          <w:sz w:val="36"/>
        </w:rPr>
      </w:pPr>
    </w:p>
    <w:p>
      <w:pPr>
        <w:rPr>
          <w:color w:val="auto"/>
        </w:rPr>
      </w:pPr>
    </w:p>
    <w:p>
      <w:pPr>
        <w:pStyle w:val="136"/>
        <w:rPr>
          <w:rFonts w:ascii="Times New Roman"/>
          <w:b/>
          <w:color w:val="auto"/>
          <w:kern w:val="1"/>
          <w:sz w:val="36"/>
        </w:rPr>
      </w:pPr>
    </w:p>
    <w:p>
      <w:pPr>
        <w:pStyle w:val="136"/>
        <w:rPr>
          <w:rFonts w:ascii="Times New Roman"/>
          <w:b/>
          <w:color w:val="auto"/>
          <w:kern w:val="1"/>
          <w:sz w:val="36"/>
        </w:rPr>
      </w:pPr>
    </w:p>
    <w:p>
      <w:pPr>
        <w:pStyle w:val="27"/>
        <w:spacing w:line="360" w:lineRule="auto"/>
        <w:jc w:val="center"/>
        <w:rPr>
          <w:rFonts w:ascii="Times New Roman" w:hAnsi="Times New Roman"/>
          <w:b/>
          <w:bCs/>
          <w:color w:val="auto"/>
          <w:sz w:val="44"/>
          <w:szCs w:val="44"/>
        </w:rPr>
      </w:pPr>
      <w:r>
        <w:rPr>
          <w:rFonts w:hint="eastAsia" w:ascii="Times New Roman" w:hAnsi="Times New Roman"/>
          <w:b/>
          <w:bCs/>
          <w:color w:val="auto"/>
          <w:sz w:val="44"/>
          <w:szCs w:val="44"/>
        </w:rPr>
        <w:t>报价一览表</w:t>
      </w:r>
    </w:p>
    <w:p>
      <w:pPr>
        <w:pStyle w:val="27"/>
        <w:spacing w:line="360" w:lineRule="auto"/>
        <w:ind w:firstLine="440" w:firstLineChars="200"/>
        <w:rPr>
          <w:rFonts w:cs="宋体"/>
          <w:color w:val="auto"/>
          <w:sz w:val="22"/>
          <w:szCs w:val="22"/>
        </w:rPr>
      </w:pPr>
      <w:r>
        <w:rPr>
          <w:rFonts w:hint="eastAsia" w:cs="宋体"/>
          <w:color w:val="auto"/>
          <w:sz w:val="22"/>
          <w:szCs w:val="22"/>
        </w:rPr>
        <w:t>项目名称：</w:t>
      </w:r>
    </w:p>
    <w:p>
      <w:pPr>
        <w:pStyle w:val="27"/>
        <w:spacing w:line="360" w:lineRule="auto"/>
        <w:ind w:firstLine="440" w:firstLineChars="200"/>
        <w:rPr>
          <w:rFonts w:cs="宋体"/>
          <w:color w:val="auto"/>
          <w:sz w:val="22"/>
          <w:szCs w:val="22"/>
        </w:rPr>
      </w:pPr>
      <w:r>
        <w:rPr>
          <w:rFonts w:hint="eastAsia" w:cs="宋体"/>
          <w:color w:val="auto"/>
          <w:sz w:val="22"/>
          <w:szCs w:val="22"/>
        </w:rPr>
        <w:t>项目编号：</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2028"/>
        <w:gridCol w:w="1186"/>
        <w:gridCol w:w="1423"/>
        <w:gridCol w:w="1423"/>
        <w:gridCol w:w="1423"/>
        <w:gridCol w:w="11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752" w:type="dxa"/>
            <w:tcBorders>
              <w:top w:val="single" w:color="auto" w:sz="4" w:space="0"/>
              <w:left w:val="single" w:color="auto" w:sz="4" w:space="0"/>
              <w:right w:val="single" w:color="auto" w:sz="4" w:space="0"/>
            </w:tcBorders>
            <w:vAlign w:val="center"/>
          </w:tcPr>
          <w:p>
            <w:pPr>
              <w:pStyle w:val="140"/>
              <w:jc w:val="center"/>
              <w:rPr>
                <w:rFonts w:hAnsi="宋体" w:cs="宋体"/>
                <w:color w:val="auto"/>
                <w:sz w:val="22"/>
                <w:szCs w:val="22"/>
              </w:rPr>
            </w:pPr>
            <w:r>
              <w:rPr>
                <w:rFonts w:hint="eastAsia" w:hAnsi="宋体" w:cs="宋体"/>
                <w:color w:val="auto"/>
                <w:sz w:val="22"/>
                <w:szCs w:val="22"/>
              </w:rPr>
              <w:t>序号</w:t>
            </w:r>
          </w:p>
        </w:tc>
        <w:tc>
          <w:tcPr>
            <w:tcW w:w="3214" w:type="dxa"/>
            <w:gridSpan w:val="2"/>
            <w:tcBorders>
              <w:top w:val="single" w:color="auto" w:sz="4" w:space="0"/>
              <w:left w:val="single" w:color="auto" w:sz="4" w:space="0"/>
              <w:right w:val="single" w:color="auto" w:sz="4" w:space="0"/>
            </w:tcBorders>
            <w:vAlign w:val="center"/>
          </w:tcPr>
          <w:p>
            <w:pPr>
              <w:pStyle w:val="140"/>
              <w:jc w:val="center"/>
              <w:rPr>
                <w:rFonts w:hAnsi="宋体" w:cs="宋体"/>
                <w:color w:val="auto"/>
                <w:sz w:val="22"/>
                <w:szCs w:val="22"/>
              </w:rPr>
            </w:pPr>
            <w:r>
              <w:rPr>
                <w:rFonts w:hint="eastAsia" w:hAnsi="宋体" w:cs="宋体"/>
                <w:color w:val="auto"/>
                <w:sz w:val="22"/>
                <w:szCs w:val="22"/>
              </w:rPr>
              <w:t>名称</w:t>
            </w:r>
          </w:p>
        </w:tc>
        <w:tc>
          <w:tcPr>
            <w:tcW w:w="1423" w:type="dxa"/>
            <w:tcBorders>
              <w:top w:val="single" w:color="auto" w:sz="4" w:space="0"/>
              <w:left w:val="single" w:color="auto" w:sz="4" w:space="0"/>
              <w:right w:val="single" w:color="auto" w:sz="4" w:space="0"/>
            </w:tcBorders>
            <w:vAlign w:val="center"/>
          </w:tcPr>
          <w:p>
            <w:pPr>
              <w:pStyle w:val="140"/>
              <w:jc w:val="center"/>
              <w:rPr>
                <w:rFonts w:hAnsi="宋体" w:cs="宋体"/>
                <w:color w:val="auto"/>
                <w:sz w:val="22"/>
                <w:szCs w:val="22"/>
              </w:rPr>
            </w:pPr>
            <w:r>
              <w:rPr>
                <w:rFonts w:hint="eastAsia" w:hAnsi="宋体" w:cs="宋体"/>
                <w:color w:val="auto"/>
                <w:sz w:val="22"/>
                <w:szCs w:val="22"/>
              </w:rPr>
              <w:t>数量</w:t>
            </w:r>
          </w:p>
        </w:tc>
        <w:tc>
          <w:tcPr>
            <w:tcW w:w="1423" w:type="dxa"/>
            <w:tcBorders>
              <w:top w:val="single" w:color="auto" w:sz="4" w:space="0"/>
              <w:left w:val="single" w:color="auto" w:sz="4" w:space="0"/>
              <w:right w:val="single" w:color="auto" w:sz="4" w:space="0"/>
            </w:tcBorders>
            <w:vAlign w:val="center"/>
          </w:tcPr>
          <w:p>
            <w:pPr>
              <w:pStyle w:val="140"/>
              <w:jc w:val="center"/>
              <w:rPr>
                <w:rFonts w:hAnsi="宋体" w:cs="宋体"/>
                <w:color w:val="auto"/>
                <w:sz w:val="22"/>
                <w:szCs w:val="22"/>
              </w:rPr>
            </w:pPr>
            <w:r>
              <w:rPr>
                <w:rFonts w:hint="eastAsia" w:hAnsi="宋体" w:cs="宋体"/>
                <w:color w:val="auto"/>
                <w:sz w:val="22"/>
                <w:szCs w:val="22"/>
              </w:rPr>
              <w:t>单价</w:t>
            </w:r>
          </w:p>
        </w:tc>
        <w:tc>
          <w:tcPr>
            <w:tcW w:w="1423" w:type="dxa"/>
            <w:tcBorders>
              <w:top w:val="single" w:color="auto" w:sz="4" w:space="0"/>
              <w:left w:val="single" w:color="auto" w:sz="4" w:space="0"/>
              <w:right w:val="single" w:color="auto" w:sz="4" w:space="0"/>
            </w:tcBorders>
            <w:vAlign w:val="center"/>
          </w:tcPr>
          <w:p>
            <w:pPr>
              <w:pStyle w:val="140"/>
              <w:jc w:val="center"/>
              <w:rPr>
                <w:rFonts w:hAnsi="宋体" w:cs="宋体"/>
                <w:color w:val="auto"/>
                <w:sz w:val="22"/>
                <w:szCs w:val="22"/>
              </w:rPr>
            </w:pPr>
            <w:r>
              <w:rPr>
                <w:rFonts w:hint="eastAsia" w:hAnsi="宋体" w:cs="宋体"/>
                <w:color w:val="auto"/>
                <w:sz w:val="22"/>
                <w:szCs w:val="22"/>
              </w:rPr>
              <w:t>总价</w:t>
            </w:r>
          </w:p>
        </w:tc>
        <w:tc>
          <w:tcPr>
            <w:tcW w:w="1150" w:type="dxa"/>
            <w:tcBorders>
              <w:top w:val="single" w:color="auto" w:sz="4" w:space="0"/>
              <w:left w:val="single" w:color="auto" w:sz="4" w:space="0"/>
              <w:right w:val="single" w:color="auto" w:sz="4" w:space="0"/>
            </w:tcBorders>
            <w:vAlign w:val="center"/>
          </w:tcPr>
          <w:p>
            <w:pPr>
              <w:pStyle w:val="140"/>
              <w:jc w:val="center"/>
              <w:rPr>
                <w:rFonts w:hAnsi="宋体" w:cs="宋体"/>
                <w:color w:val="auto"/>
                <w:sz w:val="22"/>
                <w:szCs w:val="22"/>
              </w:rPr>
            </w:pPr>
            <w:r>
              <w:rPr>
                <w:rFonts w:hint="eastAsia" w:hAnsi="宋体" w:cs="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2"/>
                <w:szCs w:val="22"/>
              </w:rPr>
            </w:pPr>
          </w:p>
        </w:tc>
        <w:tc>
          <w:tcPr>
            <w:tcW w:w="3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c>
          <w:tcPr>
            <w:tcW w:w="1150"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2"/>
                <w:szCs w:val="22"/>
              </w:rPr>
            </w:pPr>
          </w:p>
        </w:tc>
        <w:tc>
          <w:tcPr>
            <w:tcW w:w="3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c>
          <w:tcPr>
            <w:tcW w:w="1150"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2"/>
                <w:szCs w:val="22"/>
              </w:rPr>
            </w:pPr>
          </w:p>
        </w:tc>
        <w:tc>
          <w:tcPr>
            <w:tcW w:w="3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c>
          <w:tcPr>
            <w:tcW w:w="1150"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2"/>
                <w:szCs w:val="22"/>
              </w:rPr>
            </w:pPr>
          </w:p>
        </w:tc>
        <w:tc>
          <w:tcPr>
            <w:tcW w:w="3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c>
          <w:tcPr>
            <w:tcW w:w="1150" w:type="dxa"/>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2780" w:type="dxa"/>
            <w:gridSpan w:val="2"/>
            <w:tcBorders>
              <w:top w:val="single" w:color="auto" w:sz="4" w:space="0"/>
              <w:left w:val="single" w:color="auto" w:sz="4" w:space="0"/>
              <w:bottom w:val="single" w:color="auto" w:sz="4" w:space="0"/>
              <w:right w:val="single" w:color="auto" w:sz="4" w:space="0"/>
            </w:tcBorders>
            <w:vAlign w:val="center"/>
          </w:tcPr>
          <w:p>
            <w:pPr>
              <w:pStyle w:val="140"/>
              <w:spacing w:line="360" w:lineRule="auto"/>
              <w:jc w:val="center"/>
              <w:rPr>
                <w:rFonts w:hAnsi="宋体" w:cs="宋体"/>
                <w:color w:val="auto"/>
                <w:sz w:val="22"/>
                <w:szCs w:val="22"/>
              </w:rPr>
            </w:pPr>
            <w:r>
              <w:rPr>
                <w:rFonts w:hint="eastAsia" w:hAnsi="宋体" w:cs="宋体"/>
                <w:color w:val="auto"/>
                <w:sz w:val="22"/>
                <w:szCs w:val="22"/>
              </w:rPr>
              <w:t>投标报价</w:t>
            </w:r>
          </w:p>
          <w:p>
            <w:pPr>
              <w:pStyle w:val="140"/>
              <w:spacing w:line="360" w:lineRule="auto"/>
              <w:jc w:val="center"/>
              <w:rPr>
                <w:rFonts w:hAnsi="宋体" w:cs="宋体"/>
                <w:color w:val="auto"/>
                <w:sz w:val="22"/>
                <w:szCs w:val="22"/>
              </w:rPr>
            </w:pPr>
            <w:r>
              <w:rPr>
                <w:rFonts w:hint="eastAsia" w:hAnsi="宋体" w:cs="宋体"/>
                <w:color w:val="auto"/>
                <w:sz w:val="22"/>
                <w:szCs w:val="22"/>
              </w:rPr>
              <w:t>合计</w:t>
            </w:r>
          </w:p>
        </w:tc>
        <w:tc>
          <w:tcPr>
            <w:tcW w:w="6605" w:type="dxa"/>
            <w:gridSpan w:val="5"/>
            <w:tcBorders>
              <w:top w:val="single" w:color="auto" w:sz="4" w:space="0"/>
              <w:left w:val="single" w:color="auto" w:sz="4" w:space="0"/>
              <w:bottom w:val="single" w:color="auto" w:sz="4" w:space="0"/>
              <w:right w:val="single" w:color="auto" w:sz="4" w:space="0"/>
            </w:tcBorders>
            <w:vAlign w:val="center"/>
          </w:tcPr>
          <w:p>
            <w:pPr>
              <w:pStyle w:val="140"/>
              <w:spacing w:line="360" w:lineRule="auto"/>
              <w:rPr>
                <w:rFonts w:hAnsi="宋体" w:cs="宋体"/>
                <w:color w:val="auto"/>
                <w:sz w:val="22"/>
                <w:szCs w:val="22"/>
              </w:rPr>
            </w:pPr>
            <w:r>
              <w:rPr>
                <w:rFonts w:hint="eastAsia" w:hAnsi="宋体" w:cs="宋体"/>
                <w:color w:val="auto"/>
                <w:sz w:val="22"/>
                <w:szCs w:val="22"/>
              </w:rPr>
              <w:t>人民币：元</w:t>
            </w:r>
          </w:p>
          <w:p>
            <w:pPr>
              <w:pStyle w:val="140"/>
              <w:rPr>
                <w:rFonts w:hAnsi="宋体" w:cs="宋体"/>
                <w:color w:val="auto"/>
                <w:sz w:val="22"/>
                <w:szCs w:val="22"/>
              </w:rPr>
            </w:pPr>
            <w:r>
              <w:rPr>
                <w:rFonts w:hint="eastAsia" w:hAnsi="宋体" w:cs="宋体"/>
                <w:color w:val="auto"/>
                <w:sz w:val="22"/>
                <w:szCs w:val="22"/>
              </w:rPr>
              <w:t>（大写）：</w:t>
            </w:r>
          </w:p>
        </w:tc>
      </w:tr>
    </w:tbl>
    <w:p>
      <w:pPr>
        <w:pStyle w:val="27"/>
        <w:spacing w:line="360" w:lineRule="auto"/>
        <w:ind w:firstLine="770" w:firstLineChars="350"/>
        <w:rPr>
          <w:rFonts w:cs="宋体"/>
          <w:color w:val="auto"/>
          <w:sz w:val="22"/>
          <w:szCs w:val="22"/>
        </w:rPr>
      </w:pPr>
    </w:p>
    <w:p>
      <w:pPr>
        <w:pStyle w:val="27"/>
        <w:spacing w:line="360" w:lineRule="auto"/>
        <w:ind w:firstLine="770" w:firstLineChars="350"/>
        <w:rPr>
          <w:rFonts w:cs="宋体"/>
          <w:color w:val="auto"/>
          <w:sz w:val="22"/>
          <w:szCs w:val="22"/>
        </w:rPr>
      </w:pPr>
    </w:p>
    <w:p>
      <w:pPr>
        <w:pStyle w:val="27"/>
        <w:spacing w:line="360" w:lineRule="auto"/>
        <w:ind w:firstLine="770" w:firstLineChars="350"/>
        <w:rPr>
          <w:rFonts w:cs="宋体"/>
          <w:color w:val="auto"/>
          <w:sz w:val="22"/>
          <w:szCs w:val="22"/>
        </w:rPr>
      </w:pPr>
      <w:r>
        <w:rPr>
          <w:rFonts w:hint="eastAsia" w:cs="宋体"/>
          <w:color w:val="auto"/>
          <w:sz w:val="22"/>
          <w:szCs w:val="22"/>
        </w:rPr>
        <w:t xml:space="preserve">投标方名称（签章）：____________________________  </w:t>
      </w:r>
    </w:p>
    <w:p>
      <w:pPr>
        <w:pStyle w:val="27"/>
        <w:spacing w:line="360" w:lineRule="auto"/>
        <w:ind w:firstLine="770" w:firstLineChars="350"/>
        <w:rPr>
          <w:rFonts w:cs="宋体"/>
          <w:color w:val="auto"/>
          <w:sz w:val="22"/>
          <w:szCs w:val="22"/>
        </w:rPr>
      </w:pPr>
      <w:r>
        <w:rPr>
          <w:rFonts w:hint="eastAsia" w:cs="宋体"/>
          <w:color w:val="auto"/>
          <w:sz w:val="22"/>
          <w:szCs w:val="22"/>
        </w:rPr>
        <w:t>日  期:________________</w:t>
      </w:r>
    </w:p>
    <w:p>
      <w:pPr>
        <w:spacing w:line="360" w:lineRule="auto"/>
        <w:ind w:left="915" w:hanging="915" w:hangingChars="416"/>
        <w:rPr>
          <w:rFonts w:ascii="宋体" w:hAnsi="宋体" w:cs="宋体"/>
          <w:color w:val="auto"/>
          <w:sz w:val="22"/>
          <w:szCs w:val="22"/>
        </w:rPr>
      </w:pPr>
    </w:p>
    <w:p>
      <w:pPr>
        <w:spacing w:line="360" w:lineRule="auto"/>
        <w:ind w:left="895" w:leftChars="200" w:hanging="475" w:hangingChars="216"/>
        <w:rPr>
          <w:rFonts w:ascii="宋体" w:hAnsi="宋体" w:cs="宋体"/>
          <w:color w:val="auto"/>
          <w:sz w:val="22"/>
          <w:szCs w:val="22"/>
        </w:rPr>
      </w:pPr>
    </w:p>
    <w:p>
      <w:pPr>
        <w:pStyle w:val="27"/>
        <w:spacing w:line="360" w:lineRule="auto"/>
        <w:ind w:firstLine="440" w:firstLineChars="200"/>
        <w:rPr>
          <w:rFonts w:cs="宋体"/>
          <w:color w:val="auto"/>
          <w:sz w:val="22"/>
          <w:szCs w:val="22"/>
        </w:rPr>
      </w:pPr>
      <w:r>
        <w:rPr>
          <w:rFonts w:hint="eastAsia" w:cs="宋体"/>
          <w:color w:val="auto"/>
          <w:sz w:val="22"/>
          <w:szCs w:val="22"/>
        </w:rPr>
        <w:t>此表在不改变表式的情况下，可自行制作。</w:t>
      </w:r>
    </w:p>
    <w:p>
      <w:pPr>
        <w:pStyle w:val="48"/>
        <w:ind w:left="210" w:hanging="210"/>
        <w:jc w:val="center"/>
        <w:rPr>
          <w:rFonts w:ascii="Times New Roman" w:hAnsi="Times New Roman"/>
          <w:b/>
          <w:color w:val="auto"/>
          <w:sz w:val="36"/>
        </w:rPr>
      </w:pPr>
    </w:p>
    <w:p>
      <w:pPr>
        <w:pStyle w:val="48"/>
        <w:ind w:left="210" w:hanging="210"/>
        <w:jc w:val="center"/>
        <w:rPr>
          <w:rFonts w:ascii="Times New Roman" w:hAnsi="Times New Roman"/>
          <w:b/>
          <w:color w:val="auto"/>
          <w:sz w:val="36"/>
        </w:rPr>
      </w:pPr>
    </w:p>
    <w:p>
      <w:pPr>
        <w:jc w:val="center"/>
        <w:rPr>
          <w:b/>
          <w:bCs/>
          <w:color w:val="auto"/>
          <w:sz w:val="36"/>
          <w:szCs w:val="36"/>
        </w:rPr>
      </w:pPr>
    </w:p>
    <w:p>
      <w:pPr>
        <w:spacing w:line="480" w:lineRule="auto"/>
        <w:jc w:val="center"/>
        <w:rPr>
          <w:b/>
          <w:bCs/>
          <w:color w:val="auto"/>
          <w:sz w:val="36"/>
          <w:szCs w:val="36"/>
        </w:rPr>
      </w:pPr>
      <w:r>
        <w:rPr>
          <w:b/>
          <w:bCs/>
          <w:color w:val="auto"/>
          <w:sz w:val="36"/>
          <w:szCs w:val="36"/>
        </w:rPr>
        <w:br w:type="page"/>
      </w:r>
      <w:r>
        <w:rPr>
          <w:b/>
          <w:bCs/>
          <w:color w:val="auto"/>
          <w:sz w:val="36"/>
          <w:szCs w:val="36"/>
        </w:rPr>
        <w:t>中小企业声明函（服务）</w:t>
      </w:r>
    </w:p>
    <w:p>
      <w:pPr>
        <w:pStyle w:val="149"/>
        <w:spacing w:line="500" w:lineRule="exact"/>
        <w:ind w:firstLine="600"/>
        <w:rPr>
          <w:color w:val="auto"/>
          <w:sz w:val="22"/>
          <w:szCs w:val="22"/>
        </w:rPr>
      </w:pPr>
      <w:r>
        <w:rPr>
          <w:rFonts w:hint="eastAsia"/>
          <w:color w:val="auto"/>
          <w:sz w:val="22"/>
          <w:szCs w:val="22"/>
        </w:rPr>
        <w:t>本公司</w:t>
      </w:r>
      <w:r>
        <w:rPr>
          <w:rFonts w:hint="eastAsia"/>
          <w:color w:val="auto"/>
          <w:sz w:val="22"/>
          <w:szCs w:val="22"/>
          <w:lang w:eastAsia="zh-CN"/>
        </w:rPr>
        <w:t>（联合体）</w:t>
      </w:r>
      <w:r>
        <w:rPr>
          <w:rFonts w:hint="eastAsia"/>
          <w:color w:val="auto"/>
          <w:sz w:val="22"/>
          <w:szCs w:val="22"/>
        </w:rPr>
        <w:t>郑重声明，根据《政府采购促进中小企业发展管理办法》（财库（2020）46号）的规定</w:t>
      </w:r>
      <w:r>
        <w:rPr>
          <w:rFonts w:hint="eastAsia"/>
          <w:color w:val="auto"/>
          <w:sz w:val="22"/>
          <w:szCs w:val="22"/>
          <w:lang w:eastAsia="zh-CN"/>
        </w:rPr>
        <w:t>，</w:t>
      </w:r>
      <w:r>
        <w:rPr>
          <w:rFonts w:hint="eastAsia"/>
          <w:color w:val="auto"/>
          <w:sz w:val="22"/>
          <w:szCs w:val="22"/>
        </w:rPr>
        <w:t>本公司</w:t>
      </w:r>
      <w:r>
        <w:rPr>
          <w:rFonts w:hint="eastAsia"/>
          <w:color w:val="auto"/>
          <w:sz w:val="22"/>
          <w:szCs w:val="22"/>
          <w:lang w:eastAsia="zh-CN"/>
        </w:rPr>
        <w:t>（联合体）</w:t>
      </w:r>
      <w:r>
        <w:rPr>
          <w:rFonts w:hint="eastAsia"/>
          <w:color w:val="auto"/>
          <w:sz w:val="22"/>
          <w:szCs w:val="22"/>
        </w:rPr>
        <w:t>参加</w:t>
      </w:r>
      <w:r>
        <w:rPr>
          <w:rFonts w:hint="eastAsia"/>
          <w:i/>
          <w:iCs/>
          <w:color w:val="auto"/>
          <w:sz w:val="22"/>
          <w:szCs w:val="22"/>
          <w:u w:val="single"/>
          <w:lang w:val="en-US" w:eastAsia="zh-CN" w:bidi="en-US"/>
        </w:rPr>
        <w:t>（采购单位名称）</w:t>
      </w:r>
      <w:r>
        <w:rPr>
          <w:rFonts w:hint="eastAsia"/>
          <w:color w:val="auto"/>
          <w:sz w:val="22"/>
          <w:szCs w:val="22"/>
          <w:lang w:val="en-US" w:eastAsia="zh-CN"/>
        </w:rPr>
        <w:t>的</w:t>
      </w:r>
      <w:r>
        <w:rPr>
          <w:rFonts w:hint="eastAsia"/>
          <w:color w:val="auto"/>
          <w:sz w:val="22"/>
          <w:szCs w:val="22"/>
          <w:u w:val="single"/>
          <w:lang w:val="en-US" w:eastAsia="zh-CN"/>
        </w:rPr>
        <w:t xml:space="preserve">    </w:t>
      </w:r>
      <w:r>
        <w:rPr>
          <w:rFonts w:hint="eastAsia"/>
          <w:i/>
          <w:iCs/>
          <w:color w:val="auto"/>
          <w:sz w:val="22"/>
          <w:szCs w:val="22"/>
          <w:u w:val="single"/>
          <w:lang w:val="en-US" w:eastAsia="zh-CN" w:bidi="en-US"/>
        </w:rPr>
        <w:t>（项目名称）</w:t>
      </w:r>
      <w:r>
        <w:rPr>
          <w:rFonts w:hint="eastAsia"/>
          <w:color w:val="auto"/>
          <w:sz w:val="22"/>
          <w:szCs w:val="22"/>
          <w:lang w:val="en-US" w:eastAsia="zh-CN"/>
        </w:rPr>
        <w:t>采</w:t>
      </w:r>
      <w:r>
        <w:rPr>
          <w:rFonts w:hint="eastAsia"/>
          <w:color w:val="auto"/>
          <w:sz w:val="22"/>
          <w:szCs w:val="22"/>
        </w:rPr>
        <w:t>购活动，服务全部由符合政策要求的中小企业承接</w:t>
      </w:r>
      <w:r>
        <w:rPr>
          <w:rFonts w:hint="eastAsia"/>
          <w:color w:val="auto"/>
          <w:sz w:val="22"/>
          <w:szCs w:val="22"/>
          <w:lang w:eastAsia="zh-CN"/>
        </w:rPr>
        <w:t>，相关</w:t>
      </w:r>
      <w:r>
        <w:rPr>
          <w:rFonts w:hint="eastAsia"/>
          <w:color w:val="auto"/>
          <w:sz w:val="22"/>
          <w:szCs w:val="22"/>
        </w:rPr>
        <w:t>企业</w:t>
      </w:r>
      <w:r>
        <w:rPr>
          <w:rFonts w:hint="eastAsia"/>
          <w:color w:val="auto"/>
          <w:sz w:val="22"/>
          <w:szCs w:val="22"/>
          <w:lang w:eastAsia="zh-CN"/>
        </w:rPr>
        <w:t>（含联合体中的中小企业）</w:t>
      </w:r>
      <w:r>
        <w:rPr>
          <w:rFonts w:hint="eastAsia"/>
          <w:color w:val="auto"/>
          <w:sz w:val="22"/>
          <w:szCs w:val="22"/>
        </w:rPr>
        <w:t>的具体情况如下:</w:t>
      </w:r>
    </w:p>
    <w:p>
      <w:pPr>
        <w:pStyle w:val="149"/>
        <w:tabs>
          <w:tab w:val="left" w:pos="6686"/>
        </w:tabs>
        <w:spacing w:after="140" w:line="490" w:lineRule="exact"/>
        <w:ind w:left="420" w:leftChars="200" w:firstLine="0"/>
        <w:rPr>
          <w:color w:val="auto"/>
          <w:sz w:val="22"/>
          <w:szCs w:val="22"/>
          <w:lang w:val="en-US" w:eastAsia="zh-CN" w:bidi="en-US"/>
        </w:rPr>
      </w:pPr>
      <w:r>
        <w:rPr>
          <w:rFonts w:hint="eastAsia"/>
          <w:color w:val="auto"/>
          <w:sz w:val="22"/>
          <w:szCs w:val="22"/>
          <w:lang w:val="en-US" w:eastAsia="zh-CN" w:bidi="en-US"/>
        </w:rPr>
        <w:t>1.</w:t>
      </w:r>
      <w:r>
        <w:rPr>
          <w:rFonts w:hint="eastAsia"/>
          <w:i/>
          <w:iCs/>
          <w:color w:val="auto"/>
          <w:sz w:val="22"/>
          <w:szCs w:val="22"/>
          <w:u w:val="single"/>
          <w:lang w:val="en-US" w:eastAsia="zh-CN" w:bidi="en-US"/>
        </w:rPr>
        <w:t xml:space="preserve">（标的名称）        </w:t>
      </w:r>
      <w:r>
        <w:rPr>
          <w:rFonts w:hint="eastAsia"/>
          <w:color w:val="auto"/>
          <w:sz w:val="22"/>
          <w:szCs w:val="22"/>
          <w:lang w:val="en-US" w:eastAsia="zh-CN" w:bidi="en-US"/>
        </w:rPr>
        <w:t>，属于</w:t>
      </w:r>
      <w:r>
        <w:rPr>
          <w:rFonts w:hint="eastAsia"/>
          <w:i/>
          <w:iCs/>
          <w:color w:val="auto"/>
          <w:sz w:val="22"/>
          <w:szCs w:val="22"/>
          <w:u w:val="single"/>
          <w:lang w:val="en-US" w:eastAsia="zh-CN" w:bidi="en-US"/>
        </w:rPr>
        <w:t>（采购文件中明确的所属行业）</w:t>
      </w:r>
      <w:r>
        <w:rPr>
          <w:rFonts w:hint="eastAsia"/>
          <w:color w:val="auto"/>
          <w:sz w:val="22"/>
          <w:szCs w:val="22"/>
          <w:lang w:val="en-US" w:eastAsia="zh-CN" w:bidi="en-US"/>
        </w:rPr>
        <w:t>；承建</w:t>
      </w:r>
    </w:p>
    <w:p>
      <w:pPr>
        <w:pStyle w:val="149"/>
        <w:tabs>
          <w:tab w:val="left" w:pos="6686"/>
        </w:tabs>
        <w:spacing w:after="140" w:line="490" w:lineRule="exact"/>
        <w:ind w:firstLine="0"/>
        <w:rPr>
          <w:color w:val="auto"/>
          <w:sz w:val="22"/>
          <w:szCs w:val="22"/>
          <w:lang w:val="en-US" w:eastAsia="zh-CN" w:bidi="en-US"/>
        </w:rPr>
      </w:pPr>
      <w:r>
        <w:rPr>
          <w:rFonts w:hint="eastAsia"/>
          <w:color w:val="auto"/>
          <w:sz w:val="22"/>
          <w:szCs w:val="22"/>
          <w:lang w:val="en-US" w:eastAsia="zh-CN" w:bidi="en-US"/>
        </w:rPr>
        <w:t>（承接）企业为</w:t>
      </w:r>
      <w:r>
        <w:rPr>
          <w:rFonts w:hint="eastAsia"/>
          <w:i/>
          <w:iCs/>
          <w:color w:val="auto"/>
          <w:sz w:val="22"/>
          <w:szCs w:val="22"/>
          <w:u w:val="single"/>
          <w:lang w:val="en-US" w:eastAsia="zh-CN" w:bidi="en-US"/>
        </w:rPr>
        <w:t xml:space="preserve">（企业名称）       </w:t>
      </w:r>
      <w:r>
        <w:rPr>
          <w:rFonts w:hint="eastAsia"/>
          <w:color w:val="auto"/>
          <w:sz w:val="22"/>
          <w:szCs w:val="22"/>
          <w:lang w:val="en-US" w:eastAsia="zh-CN" w:bidi="en-US"/>
        </w:rPr>
        <w:t>，从业人员</w:t>
      </w:r>
      <w:r>
        <w:rPr>
          <w:rFonts w:hint="eastAsia"/>
          <w:color w:val="auto"/>
          <w:sz w:val="22"/>
          <w:szCs w:val="22"/>
          <w:u w:val="single"/>
          <w:lang w:val="en-US" w:eastAsia="zh-CN" w:bidi="en-US"/>
        </w:rPr>
        <w:t xml:space="preserve">     </w:t>
      </w:r>
      <w:r>
        <w:rPr>
          <w:rFonts w:hint="eastAsia"/>
          <w:color w:val="auto"/>
          <w:sz w:val="22"/>
          <w:szCs w:val="22"/>
          <w:lang w:val="en-US" w:eastAsia="zh-CN" w:bidi="en-US"/>
        </w:rPr>
        <w:t>人，营业收入为</w:t>
      </w:r>
      <w:r>
        <w:rPr>
          <w:rFonts w:hint="eastAsia"/>
          <w:color w:val="auto"/>
          <w:sz w:val="22"/>
          <w:szCs w:val="22"/>
          <w:u w:val="single"/>
          <w:lang w:val="en-US" w:eastAsia="zh-CN" w:bidi="en-US"/>
        </w:rPr>
        <w:t xml:space="preserve">     </w:t>
      </w:r>
      <w:r>
        <w:rPr>
          <w:rFonts w:hint="eastAsia"/>
          <w:color w:val="auto"/>
          <w:sz w:val="22"/>
          <w:szCs w:val="22"/>
          <w:lang w:val="en-US" w:eastAsia="zh-CN" w:bidi="en-US"/>
        </w:rPr>
        <w:t>万元，资产总额为</w:t>
      </w:r>
      <w:r>
        <w:rPr>
          <w:rFonts w:hint="eastAsia"/>
          <w:color w:val="auto"/>
          <w:sz w:val="22"/>
          <w:szCs w:val="22"/>
          <w:u w:val="single"/>
          <w:lang w:val="en-US" w:eastAsia="zh-CN" w:bidi="en-US"/>
        </w:rPr>
        <w:t xml:space="preserve">     </w:t>
      </w:r>
      <w:r>
        <w:rPr>
          <w:rFonts w:hint="eastAsia"/>
          <w:color w:val="auto"/>
          <w:sz w:val="22"/>
          <w:szCs w:val="22"/>
          <w:lang w:val="en-US" w:eastAsia="zh-CN" w:bidi="en-US"/>
        </w:rPr>
        <w:t>万元</w:t>
      </w:r>
      <w:r>
        <w:rPr>
          <w:rFonts w:hint="eastAsia"/>
          <w:color w:val="auto"/>
          <w:sz w:val="22"/>
          <w:szCs w:val="22"/>
          <w:vertAlign w:val="superscript"/>
          <w:lang w:val="en-US" w:eastAsia="zh-CN" w:bidi="en-US"/>
        </w:rPr>
        <w:t>1</w:t>
      </w:r>
      <w:r>
        <w:rPr>
          <w:rFonts w:hint="eastAsia"/>
          <w:color w:val="auto"/>
          <w:sz w:val="22"/>
          <w:szCs w:val="22"/>
          <w:lang w:val="en-US" w:eastAsia="zh-CN" w:bidi="en-US"/>
        </w:rPr>
        <w:t>，属于</w:t>
      </w:r>
      <w:r>
        <w:rPr>
          <w:rFonts w:hint="eastAsia"/>
          <w:color w:val="auto"/>
          <w:sz w:val="22"/>
          <w:szCs w:val="22"/>
          <w:u w:val="single"/>
          <w:lang w:val="en-US" w:eastAsia="zh-CN" w:bidi="en-US"/>
        </w:rPr>
        <w:t>（中型企业、小型企业、微型企业）</w:t>
      </w:r>
      <w:r>
        <w:rPr>
          <w:rFonts w:hint="eastAsia"/>
          <w:color w:val="auto"/>
          <w:sz w:val="22"/>
          <w:szCs w:val="22"/>
          <w:lang w:val="en-US" w:eastAsia="zh-CN" w:bidi="en-US"/>
        </w:rPr>
        <w:t>；</w:t>
      </w:r>
    </w:p>
    <w:p>
      <w:pPr>
        <w:pStyle w:val="149"/>
        <w:tabs>
          <w:tab w:val="left" w:pos="6686"/>
        </w:tabs>
        <w:spacing w:after="140" w:line="490" w:lineRule="exact"/>
        <w:ind w:left="420" w:leftChars="200" w:firstLine="0"/>
        <w:rPr>
          <w:color w:val="auto"/>
          <w:sz w:val="22"/>
          <w:szCs w:val="22"/>
          <w:lang w:val="en-US" w:eastAsia="zh-CN" w:bidi="en-US"/>
        </w:rPr>
      </w:pPr>
      <w:r>
        <w:rPr>
          <w:rFonts w:hint="eastAsia"/>
          <w:color w:val="auto"/>
          <w:sz w:val="22"/>
          <w:szCs w:val="22"/>
          <w:lang w:val="en-US" w:eastAsia="zh-CN" w:bidi="en-US"/>
        </w:rPr>
        <w:t>2.</w:t>
      </w:r>
      <w:r>
        <w:rPr>
          <w:rFonts w:hint="eastAsia"/>
          <w:i/>
          <w:iCs/>
          <w:color w:val="auto"/>
          <w:sz w:val="22"/>
          <w:szCs w:val="22"/>
          <w:u w:val="single"/>
          <w:lang w:val="en-US" w:eastAsia="zh-CN" w:bidi="en-US"/>
        </w:rPr>
        <w:t xml:space="preserve">（标的名称）        </w:t>
      </w:r>
      <w:r>
        <w:rPr>
          <w:rFonts w:hint="eastAsia"/>
          <w:color w:val="auto"/>
          <w:sz w:val="22"/>
          <w:szCs w:val="22"/>
          <w:lang w:val="en-US" w:eastAsia="zh-CN" w:bidi="en-US"/>
        </w:rPr>
        <w:t>，属于</w:t>
      </w:r>
      <w:r>
        <w:rPr>
          <w:rFonts w:hint="eastAsia"/>
          <w:i/>
          <w:iCs/>
          <w:color w:val="auto"/>
          <w:sz w:val="22"/>
          <w:szCs w:val="22"/>
          <w:u w:val="single"/>
          <w:lang w:val="en-US" w:eastAsia="zh-CN" w:bidi="en-US"/>
        </w:rPr>
        <w:t>（采购文件中明确的所属行业）</w:t>
      </w:r>
      <w:r>
        <w:rPr>
          <w:rFonts w:hint="eastAsia"/>
          <w:color w:val="auto"/>
          <w:sz w:val="22"/>
          <w:szCs w:val="22"/>
          <w:lang w:val="en-US" w:eastAsia="zh-CN" w:bidi="en-US"/>
        </w:rPr>
        <w:t>；承建</w:t>
      </w:r>
    </w:p>
    <w:p>
      <w:pPr>
        <w:pStyle w:val="149"/>
        <w:tabs>
          <w:tab w:val="left" w:pos="6686"/>
        </w:tabs>
        <w:spacing w:after="140" w:line="490" w:lineRule="exact"/>
        <w:ind w:firstLine="0"/>
        <w:rPr>
          <w:color w:val="auto"/>
          <w:sz w:val="22"/>
          <w:szCs w:val="22"/>
          <w:lang w:val="en-US" w:eastAsia="zh-CN" w:bidi="en-US"/>
        </w:rPr>
      </w:pPr>
      <w:r>
        <w:rPr>
          <w:rFonts w:hint="eastAsia"/>
          <w:color w:val="auto"/>
          <w:sz w:val="22"/>
          <w:szCs w:val="22"/>
          <w:lang w:val="en-US" w:eastAsia="zh-CN" w:bidi="en-US"/>
        </w:rPr>
        <w:t>（承接）企业为</w:t>
      </w:r>
      <w:r>
        <w:rPr>
          <w:rFonts w:hint="eastAsia"/>
          <w:i/>
          <w:iCs/>
          <w:color w:val="auto"/>
          <w:sz w:val="22"/>
          <w:szCs w:val="22"/>
          <w:u w:val="single"/>
          <w:lang w:val="en-US" w:eastAsia="zh-CN" w:bidi="en-US"/>
        </w:rPr>
        <w:t xml:space="preserve">（企业名称）       </w:t>
      </w:r>
      <w:r>
        <w:rPr>
          <w:rFonts w:hint="eastAsia"/>
          <w:color w:val="auto"/>
          <w:sz w:val="22"/>
          <w:szCs w:val="22"/>
          <w:lang w:val="en-US" w:eastAsia="zh-CN" w:bidi="en-US"/>
        </w:rPr>
        <w:t>，从业人员</w:t>
      </w:r>
      <w:r>
        <w:rPr>
          <w:rFonts w:hint="eastAsia"/>
          <w:color w:val="auto"/>
          <w:sz w:val="22"/>
          <w:szCs w:val="22"/>
          <w:u w:val="single"/>
          <w:lang w:val="en-US" w:eastAsia="zh-CN" w:bidi="en-US"/>
        </w:rPr>
        <w:t xml:space="preserve">     </w:t>
      </w:r>
      <w:r>
        <w:rPr>
          <w:rFonts w:hint="eastAsia"/>
          <w:color w:val="auto"/>
          <w:sz w:val="22"/>
          <w:szCs w:val="22"/>
          <w:lang w:val="en-US" w:eastAsia="zh-CN" w:bidi="en-US"/>
        </w:rPr>
        <w:t>人，营业收入为</w:t>
      </w:r>
      <w:r>
        <w:rPr>
          <w:rFonts w:hint="eastAsia"/>
          <w:color w:val="auto"/>
          <w:sz w:val="22"/>
          <w:szCs w:val="22"/>
          <w:u w:val="single"/>
          <w:lang w:val="en-US" w:eastAsia="zh-CN" w:bidi="en-US"/>
        </w:rPr>
        <w:t xml:space="preserve">     </w:t>
      </w:r>
      <w:r>
        <w:rPr>
          <w:rFonts w:hint="eastAsia"/>
          <w:color w:val="auto"/>
          <w:sz w:val="22"/>
          <w:szCs w:val="22"/>
          <w:lang w:val="en-US" w:eastAsia="zh-CN" w:bidi="en-US"/>
        </w:rPr>
        <w:t>万元，资产总额为</w:t>
      </w:r>
      <w:r>
        <w:rPr>
          <w:rFonts w:hint="eastAsia"/>
          <w:color w:val="auto"/>
          <w:sz w:val="22"/>
          <w:szCs w:val="22"/>
          <w:u w:val="single"/>
          <w:lang w:val="en-US" w:eastAsia="zh-CN" w:bidi="en-US"/>
        </w:rPr>
        <w:t xml:space="preserve">     </w:t>
      </w:r>
      <w:r>
        <w:rPr>
          <w:rFonts w:hint="eastAsia"/>
          <w:color w:val="auto"/>
          <w:sz w:val="22"/>
          <w:szCs w:val="22"/>
          <w:lang w:val="en-US" w:eastAsia="zh-CN" w:bidi="en-US"/>
        </w:rPr>
        <w:t>万元</w:t>
      </w:r>
      <w:r>
        <w:rPr>
          <w:rFonts w:hint="eastAsia"/>
          <w:color w:val="auto"/>
          <w:sz w:val="22"/>
          <w:szCs w:val="22"/>
          <w:vertAlign w:val="superscript"/>
          <w:lang w:val="en-US" w:eastAsia="zh-CN" w:bidi="en-US"/>
        </w:rPr>
        <w:t>1</w:t>
      </w:r>
      <w:r>
        <w:rPr>
          <w:rFonts w:hint="eastAsia"/>
          <w:color w:val="auto"/>
          <w:sz w:val="22"/>
          <w:szCs w:val="22"/>
          <w:lang w:val="en-US" w:eastAsia="zh-CN" w:bidi="en-US"/>
        </w:rPr>
        <w:t>，属于</w:t>
      </w:r>
      <w:r>
        <w:rPr>
          <w:rFonts w:hint="eastAsia"/>
          <w:color w:val="auto"/>
          <w:sz w:val="22"/>
          <w:szCs w:val="22"/>
          <w:u w:val="single"/>
          <w:lang w:val="en-US" w:eastAsia="zh-CN" w:bidi="en-US"/>
        </w:rPr>
        <w:t>（中型企业、小型企业、微型企业）</w:t>
      </w:r>
      <w:r>
        <w:rPr>
          <w:rFonts w:hint="eastAsia"/>
          <w:color w:val="auto"/>
          <w:sz w:val="22"/>
          <w:szCs w:val="22"/>
          <w:lang w:val="en-US" w:eastAsia="zh-CN" w:bidi="en-US"/>
        </w:rPr>
        <w:t>；</w:t>
      </w:r>
    </w:p>
    <w:p>
      <w:pPr>
        <w:pStyle w:val="149"/>
        <w:tabs>
          <w:tab w:val="left" w:pos="6686"/>
        </w:tabs>
        <w:spacing w:after="140" w:line="490" w:lineRule="exact"/>
        <w:ind w:firstLine="440" w:firstLineChars="200"/>
        <w:rPr>
          <w:color w:val="auto"/>
          <w:sz w:val="22"/>
          <w:szCs w:val="22"/>
          <w:lang w:val="en-US" w:eastAsia="zh-CN" w:bidi="en-US"/>
        </w:rPr>
      </w:pPr>
      <w:r>
        <w:rPr>
          <w:rFonts w:hint="eastAsia"/>
          <w:color w:val="auto"/>
          <w:sz w:val="22"/>
          <w:szCs w:val="22"/>
          <w:lang w:val="en-US" w:eastAsia="zh-CN"/>
        </w:rPr>
        <w:t>3.</w:t>
      </w:r>
      <w:r>
        <w:rPr>
          <w:rFonts w:hint="eastAsia"/>
          <w:color w:val="auto"/>
          <w:sz w:val="22"/>
          <w:szCs w:val="22"/>
        </w:rPr>
        <w:t>小型、微型企业的协议合同金额占到联合体协议合同总金</w:t>
      </w:r>
      <w:r>
        <w:rPr>
          <w:rFonts w:hint="eastAsia"/>
          <w:color w:val="auto"/>
          <w:sz w:val="22"/>
          <w:szCs w:val="22"/>
          <w:lang w:eastAsia="zh-CN"/>
        </w:rPr>
        <w:t>额的</w:t>
      </w:r>
      <w:r>
        <w:rPr>
          <w:rFonts w:hint="eastAsia"/>
          <w:color w:val="auto"/>
          <w:sz w:val="22"/>
          <w:szCs w:val="22"/>
          <w:u w:val="single"/>
          <w:lang w:val="en-US" w:eastAsia="zh-CN" w:bidi="en-US"/>
        </w:rPr>
        <w:t xml:space="preserve">     %</w:t>
      </w:r>
      <w:r>
        <w:rPr>
          <w:rFonts w:hint="eastAsia"/>
          <w:color w:val="auto"/>
          <w:sz w:val="22"/>
          <w:szCs w:val="22"/>
          <w:lang w:eastAsia="zh-CN"/>
        </w:rPr>
        <w:t>。</w:t>
      </w:r>
    </w:p>
    <w:p>
      <w:pPr>
        <w:pStyle w:val="149"/>
        <w:spacing w:line="499" w:lineRule="exact"/>
        <w:ind w:firstLine="600"/>
        <w:rPr>
          <w:color w:val="auto"/>
          <w:sz w:val="22"/>
          <w:szCs w:val="22"/>
          <w:lang w:val="en-US" w:eastAsia="zh-CN" w:bidi="en-US"/>
        </w:rPr>
      </w:pPr>
      <w:r>
        <w:rPr>
          <w:rFonts w:hint="eastAsia"/>
          <w:color w:val="auto"/>
          <w:sz w:val="22"/>
          <w:szCs w:val="22"/>
          <w:lang w:val="en-US" w:eastAsia="zh-CN" w:bidi="en-US"/>
        </w:rPr>
        <w:t>……</w:t>
      </w:r>
    </w:p>
    <w:p>
      <w:pPr>
        <w:pStyle w:val="149"/>
        <w:spacing w:line="499" w:lineRule="exact"/>
        <w:ind w:firstLine="600"/>
        <w:rPr>
          <w:color w:val="auto"/>
          <w:sz w:val="22"/>
          <w:szCs w:val="22"/>
        </w:rPr>
      </w:pPr>
      <w:r>
        <w:rPr>
          <w:rFonts w:hint="eastAsia"/>
          <w:color w:val="auto"/>
          <w:sz w:val="22"/>
          <w:szCs w:val="22"/>
          <w:lang w:eastAsia="zh-CN"/>
        </w:rPr>
        <w:t>本</w:t>
      </w:r>
      <w:r>
        <w:rPr>
          <w:rFonts w:hint="eastAsia"/>
          <w:color w:val="auto"/>
          <w:sz w:val="22"/>
          <w:szCs w:val="22"/>
        </w:rPr>
        <w:t>企业不属于大企业的分支机构，不存在控股股东为大企业的情形</w:t>
      </w:r>
      <w:r>
        <w:rPr>
          <w:rFonts w:hint="eastAsia"/>
          <w:color w:val="auto"/>
          <w:sz w:val="22"/>
          <w:szCs w:val="22"/>
          <w:lang w:eastAsia="zh-CN"/>
        </w:rPr>
        <w:t>，</w:t>
      </w:r>
      <w:r>
        <w:rPr>
          <w:rFonts w:hint="eastAsia"/>
          <w:color w:val="auto"/>
          <w:sz w:val="22"/>
          <w:szCs w:val="22"/>
        </w:rPr>
        <w:t>也不存在与大企业的</w:t>
      </w:r>
      <w:r>
        <w:rPr>
          <w:rFonts w:hint="eastAsia"/>
          <w:color w:val="auto"/>
          <w:sz w:val="22"/>
          <w:szCs w:val="22"/>
          <w:lang w:val="en-US" w:eastAsia="zh-CN"/>
        </w:rPr>
        <w:t>负</w:t>
      </w:r>
      <w:r>
        <w:rPr>
          <w:rFonts w:hint="eastAsia"/>
          <w:color w:val="auto"/>
          <w:sz w:val="22"/>
          <w:szCs w:val="22"/>
        </w:rPr>
        <w:t>责人为同一人的情形。</w:t>
      </w:r>
    </w:p>
    <w:p>
      <w:pPr>
        <w:pStyle w:val="149"/>
        <w:spacing w:line="499" w:lineRule="exact"/>
        <w:ind w:firstLine="600"/>
        <w:rPr>
          <w:color w:val="auto"/>
          <w:sz w:val="22"/>
          <w:szCs w:val="22"/>
          <w:lang w:eastAsia="zh-CN"/>
        </w:rPr>
      </w:pPr>
      <w:r>
        <w:rPr>
          <w:rFonts w:hint="eastAsia"/>
          <w:color w:val="auto"/>
          <w:sz w:val="22"/>
          <w:szCs w:val="22"/>
        </w:rPr>
        <w:t>本企业对上述声明内容的</w:t>
      </w:r>
      <w:r>
        <w:rPr>
          <w:rFonts w:hint="eastAsia"/>
          <w:color w:val="auto"/>
          <w:sz w:val="22"/>
          <w:szCs w:val="22"/>
          <w:lang w:eastAsia="zh-CN"/>
        </w:rPr>
        <w:t>真</w:t>
      </w:r>
      <w:r>
        <w:rPr>
          <w:rFonts w:hint="eastAsia"/>
          <w:color w:val="auto"/>
          <w:sz w:val="22"/>
          <w:szCs w:val="22"/>
        </w:rPr>
        <w:t>实性负责</w:t>
      </w:r>
      <w:r>
        <w:rPr>
          <w:rFonts w:hint="eastAsia"/>
          <w:color w:val="auto"/>
          <w:sz w:val="22"/>
          <w:szCs w:val="22"/>
          <w:lang w:eastAsia="zh-CN"/>
        </w:rPr>
        <w:t>。</w:t>
      </w:r>
      <w:r>
        <w:rPr>
          <w:rFonts w:hint="eastAsia"/>
          <w:color w:val="auto"/>
          <w:sz w:val="22"/>
          <w:szCs w:val="22"/>
        </w:rPr>
        <w:t>如有虚假</w:t>
      </w:r>
      <w:r>
        <w:rPr>
          <w:rFonts w:hint="eastAsia"/>
          <w:color w:val="auto"/>
          <w:sz w:val="22"/>
          <w:szCs w:val="22"/>
          <w:lang w:eastAsia="zh-CN"/>
        </w:rPr>
        <w:t>，</w:t>
      </w:r>
      <w:r>
        <w:rPr>
          <w:rFonts w:hint="eastAsia"/>
          <w:color w:val="auto"/>
          <w:sz w:val="22"/>
          <w:szCs w:val="22"/>
        </w:rPr>
        <w:t>将依法承担相应责任</w:t>
      </w:r>
      <w:r>
        <w:rPr>
          <w:rFonts w:hint="eastAsia"/>
          <w:color w:val="auto"/>
          <w:sz w:val="22"/>
          <w:szCs w:val="22"/>
          <w:lang w:val="en-US" w:eastAsia="zh-CN" w:bidi="en-US"/>
        </w:rPr>
        <w:t>。</w:t>
      </w:r>
    </w:p>
    <w:p>
      <w:pPr>
        <w:pStyle w:val="149"/>
        <w:spacing w:line="499" w:lineRule="exact"/>
        <w:ind w:left="3640" w:firstLine="0"/>
        <w:jc w:val="left"/>
        <w:rPr>
          <w:color w:val="auto"/>
          <w:sz w:val="22"/>
          <w:szCs w:val="22"/>
        </w:rPr>
      </w:pPr>
    </w:p>
    <w:p>
      <w:pPr>
        <w:pStyle w:val="149"/>
        <w:spacing w:line="499" w:lineRule="exact"/>
        <w:ind w:firstLine="0"/>
        <w:jc w:val="center"/>
        <w:rPr>
          <w:color w:val="auto"/>
          <w:sz w:val="22"/>
          <w:szCs w:val="22"/>
        </w:rPr>
      </w:pPr>
      <w:r>
        <w:rPr>
          <w:rFonts w:hint="eastAsia"/>
          <w:color w:val="auto"/>
          <w:sz w:val="22"/>
          <w:szCs w:val="22"/>
        </w:rPr>
        <w:t>投标人名称（</w:t>
      </w:r>
      <w:r>
        <w:rPr>
          <w:rFonts w:hint="eastAsia"/>
          <w:color w:val="auto"/>
          <w:sz w:val="22"/>
          <w:szCs w:val="22"/>
          <w:lang w:val="en-US" w:eastAsia="zh-CN"/>
        </w:rPr>
        <w:t>公章</w:t>
      </w:r>
      <w:r>
        <w:rPr>
          <w:rFonts w:hint="eastAsia"/>
          <w:color w:val="auto"/>
          <w:sz w:val="22"/>
          <w:szCs w:val="22"/>
        </w:rPr>
        <w:t>）：</w:t>
      </w:r>
    </w:p>
    <w:p>
      <w:pPr>
        <w:pStyle w:val="149"/>
        <w:spacing w:line="499" w:lineRule="exact"/>
        <w:ind w:firstLine="0"/>
        <w:jc w:val="center"/>
        <w:rPr>
          <w:color w:val="auto"/>
          <w:sz w:val="22"/>
          <w:szCs w:val="22"/>
        </w:rPr>
      </w:pPr>
      <w:r>
        <w:rPr>
          <w:rFonts w:hint="eastAsia"/>
          <w:color w:val="auto"/>
          <w:sz w:val="22"/>
          <w:szCs w:val="22"/>
        </w:rPr>
        <w:t>日期:</w:t>
      </w:r>
    </w:p>
    <w:p>
      <w:pPr>
        <w:pStyle w:val="123"/>
        <w:tabs>
          <w:tab w:val="left" w:pos="750"/>
        </w:tabs>
        <w:jc w:val="left"/>
        <w:rPr>
          <w:rFonts w:ascii="宋体" w:hAnsi="宋体" w:cs="宋体"/>
          <w:color w:val="auto"/>
          <w:sz w:val="22"/>
          <w:szCs w:val="22"/>
        </w:rPr>
      </w:pPr>
    </w:p>
    <w:p>
      <w:pPr>
        <w:pStyle w:val="128"/>
        <w:ind w:firstLine="440" w:firstLineChars="200"/>
        <w:rPr>
          <w:color w:val="auto"/>
          <w:sz w:val="22"/>
          <w:szCs w:val="22"/>
          <w:lang w:val="zh-CN" w:eastAsia="zh-CN" w:bidi="zh-CN"/>
        </w:rPr>
      </w:pPr>
      <w:r>
        <w:rPr>
          <w:rFonts w:hint="eastAsia"/>
          <w:color w:val="auto"/>
          <w:sz w:val="22"/>
          <w:szCs w:val="22"/>
          <w:lang w:val="zh-CN" w:eastAsia="zh-CN" w:bidi="zh-CN"/>
        </w:rPr>
        <w:t>说明：</w:t>
      </w:r>
      <w:r>
        <w:rPr>
          <w:rFonts w:hint="eastAsia"/>
          <w:color w:val="auto"/>
          <w:sz w:val="22"/>
          <w:szCs w:val="22"/>
          <w:lang w:val="en-US" w:eastAsia="zh-CN" w:bidi="zh-CN"/>
        </w:rPr>
        <w:t>从</w:t>
      </w:r>
      <w:r>
        <w:rPr>
          <w:rFonts w:hint="eastAsia"/>
          <w:color w:val="auto"/>
          <w:sz w:val="22"/>
          <w:szCs w:val="22"/>
          <w:lang w:val="zh-CN" w:eastAsia="zh-CN" w:bidi="zh-CN"/>
        </w:rPr>
        <w:t>业人员、营业收入、资</w:t>
      </w:r>
      <w:r>
        <w:rPr>
          <w:rFonts w:hint="eastAsia"/>
          <w:color w:val="auto"/>
          <w:sz w:val="22"/>
          <w:szCs w:val="22"/>
          <w:lang w:val="en-US" w:eastAsia="zh-CN" w:bidi="zh-CN"/>
        </w:rPr>
        <w:t>产</w:t>
      </w:r>
      <w:r>
        <w:rPr>
          <w:rFonts w:hint="eastAsia"/>
          <w:color w:val="auto"/>
          <w:sz w:val="22"/>
          <w:szCs w:val="22"/>
          <w:lang w:val="zh-CN" w:eastAsia="zh-CN" w:bidi="zh-CN"/>
        </w:rPr>
        <w:t>总</w:t>
      </w:r>
      <w:r>
        <w:rPr>
          <w:rFonts w:hint="eastAsia"/>
          <w:color w:val="auto"/>
          <w:sz w:val="22"/>
          <w:szCs w:val="22"/>
          <w:lang w:val="en-US" w:eastAsia="zh-CN" w:bidi="zh-CN"/>
        </w:rPr>
        <w:t>额填</w:t>
      </w:r>
      <w:r>
        <w:rPr>
          <w:rFonts w:hint="eastAsia"/>
          <w:color w:val="auto"/>
          <w:sz w:val="22"/>
          <w:szCs w:val="22"/>
          <w:lang w:val="zh-CN" w:eastAsia="zh-CN" w:bidi="zh-CN"/>
        </w:rPr>
        <w:t>报上</w:t>
      </w:r>
      <w:r>
        <w:rPr>
          <w:rFonts w:hint="eastAsia"/>
          <w:color w:val="auto"/>
          <w:sz w:val="22"/>
          <w:szCs w:val="22"/>
          <w:lang w:val="en-US" w:eastAsia="zh-CN" w:bidi="zh-CN"/>
        </w:rPr>
        <w:t>一年</w:t>
      </w:r>
      <w:r>
        <w:rPr>
          <w:rFonts w:hint="eastAsia"/>
          <w:color w:val="auto"/>
          <w:sz w:val="22"/>
          <w:szCs w:val="22"/>
          <w:lang w:val="zh-CN" w:eastAsia="zh-CN" w:bidi="zh-CN"/>
        </w:rPr>
        <w:t>度数据，无上</w:t>
      </w:r>
      <w:r>
        <w:rPr>
          <w:rFonts w:hint="eastAsia"/>
          <w:color w:val="auto"/>
          <w:sz w:val="22"/>
          <w:szCs w:val="22"/>
          <w:lang w:val="en-US" w:eastAsia="zh-CN" w:bidi="zh-CN"/>
        </w:rPr>
        <w:t>一</w:t>
      </w:r>
      <w:r>
        <w:rPr>
          <w:rFonts w:hint="eastAsia"/>
          <w:color w:val="auto"/>
          <w:sz w:val="22"/>
          <w:szCs w:val="22"/>
          <w:lang w:val="zh-CN" w:eastAsia="zh-CN" w:bidi="zh-CN"/>
        </w:rPr>
        <w:t>年度</w:t>
      </w:r>
      <w:r>
        <w:rPr>
          <w:rFonts w:hint="eastAsia"/>
          <w:color w:val="auto"/>
          <w:sz w:val="22"/>
          <w:szCs w:val="22"/>
          <w:lang w:val="en-US" w:eastAsia="zh-CN" w:bidi="zh-CN"/>
        </w:rPr>
        <w:t>数据</w:t>
      </w:r>
      <w:r>
        <w:rPr>
          <w:rFonts w:hint="eastAsia"/>
          <w:color w:val="auto"/>
          <w:sz w:val="22"/>
          <w:szCs w:val="22"/>
          <w:lang w:val="zh-CN" w:eastAsia="zh-CN" w:bidi="zh-CN"/>
        </w:rPr>
        <w:t>的新成立企业可不填报。</w:t>
      </w:r>
    </w:p>
    <w:p>
      <w:pPr>
        <w:pStyle w:val="27"/>
        <w:wordWrap w:val="0"/>
        <w:adjustRightInd w:val="0"/>
        <w:snapToGrid w:val="0"/>
        <w:spacing w:line="360" w:lineRule="auto"/>
        <w:ind w:firstLine="480" w:firstLineChars="200"/>
        <w:rPr>
          <w:color w:val="auto"/>
          <w:sz w:val="24"/>
        </w:rPr>
      </w:pPr>
    </w:p>
    <w:p>
      <w:pPr>
        <w:wordWrap w:val="0"/>
        <w:jc w:val="center"/>
        <w:rPr>
          <w:rFonts w:ascii="宋体" w:hAnsi="宋体"/>
          <w:b/>
          <w:bCs/>
          <w:color w:val="auto"/>
          <w:sz w:val="44"/>
          <w:szCs w:val="44"/>
        </w:rPr>
      </w:pPr>
      <w:r>
        <w:rPr>
          <w:rFonts w:ascii="宋体" w:hAnsi="宋体"/>
          <w:b/>
          <w:bCs/>
          <w:color w:val="auto"/>
          <w:sz w:val="44"/>
          <w:szCs w:val="44"/>
        </w:rPr>
        <w:br w:type="page"/>
      </w:r>
      <w:r>
        <w:rPr>
          <w:rFonts w:ascii="宋体" w:hAnsi="宋体"/>
          <w:b/>
          <w:bCs/>
          <w:color w:val="auto"/>
          <w:sz w:val="44"/>
          <w:szCs w:val="44"/>
        </w:rPr>
        <w:t>监狱企业声明函</w:t>
      </w:r>
    </w:p>
    <w:p>
      <w:pPr>
        <w:wordWrap w:val="0"/>
        <w:adjustRightInd w:val="0"/>
        <w:snapToGrid w:val="0"/>
        <w:spacing w:line="300" w:lineRule="auto"/>
        <w:jc w:val="center"/>
        <w:rPr>
          <w:rFonts w:ascii="宋体" w:hAnsi="宋体"/>
          <w:b/>
          <w:color w:val="auto"/>
          <w:sz w:val="24"/>
        </w:rPr>
      </w:pPr>
      <w:r>
        <w:rPr>
          <w:rFonts w:ascii="宋体" w:hAnsi="宋体"/>
          <w:b/>
          <w:color w:val="auto"/>
          <w:sz w:val="24"/>
        </w:rPr>
        <w:t>【非监狱企业不用提供】</w:t>
      </w:r>
    </w:p>
    <w:p>
      <w:pPr>
        <w:widowControl/>
        <w:wordWrap w:val="0"/>
        <w:adjustRightInd w:val="0"/>
        <w:snapToGrid w:val="0"/>
        <w:spacing w:line="300" w:lineRule="auto"/>
        <w:ind w:firstLine="480" w:firstLineChars="200"/>
        <w:rPr>
          <w:rFonts w:ascii="宋体" w:hAnsi="宋体"/>
          <w:color w:val="auto"/>
          <w:sz w:val="24"/>
        </w:rPr>
      </w:pPr>
    </w:p>
    <w:p>
      <w:pPr>
        <w:widowControl/>
        <w:wordWrap w:val="0"/>
        <w:adjustRightInd w:val="0"/>
        <w:snapToGrid w:val="0"/>
        <w:spacing w:line="360" w:lineRule="auto"/>
        <w:ind w:firstLine="480" w:firstLineChars="200"/>
        <w:jc w:val="left"/>
        <w:rPr>
          <w:rFonts w:ascii="宋体" w:hAnsi="宋体"/>
          <w:color w:val="auto"/>
          <w:sz w:val="24"/>
        </w:rPr>
      </w:pPr>
      <w:r>
        <w:rPr>
          <w:rFonts w:ascii="宋体" w:hAnsi="宋体"/>
          <w:color w:val="auto"/>
          <w:sz w:val="24"/>
        </w:rPr>
        <w:t>本企业郑重声明，根据《关于政府采购支持监狱企业发展有关问题的通知》（财库[2014]68号）的规定，本企业为</w:t>
      </w:r>
      <w:r>
        <w:rPr>
          <w:rFonts w:ascii="宋体" w:hAnsi="宋体"/>
          <w:color w:val="auto"/>
          <w:sz w:val="24"/>
          <w:u w:val="single"/>
        </w:rPr>
        <w:t>监狱企业</w:t>
      </w:r>
      <w:r>
        <w:rPr>
          <w:rFonts w:ascii="宋体" w:hAnsi="宋体"/>
          <w:color w:val="auto"/>
          <w:sz w:val="24"/>
        </w:rPr>
        <w:t>。</w:t>
      </w:r>
    </w:p>
    <w:p>
      <w:pPr>
        <w:widowControl/>
        <w:wordWrap w:val="0"/>
        <w:adjustRightInd w:val="0"/>
        <w:snapToGrid w:val="0"/>
        <w:spacing w:line="360" w:lineRule="auto"/>
        <w:ind w:firstLine="480" w:firstLineChars="200"/>
        <w:jc w:val="left"/>
        <w:rPr>
          <w:rFonts w:ascii="宋体" w:hAnsi="宋体"/>
          <w:color w:val="auto"/>
          <w:sz w:val="24"/>
        </w:rPr>
      </w:pPr>
      <w:r>
        <w:rPr>
          <w:rFonts w:ascii="宋体" w:hAnsi="宋体"/>
          <w:color w:val="auto"/>
          <w:sz w:val="24"/>
        </w:rPr>
        <w:t>根据上述标准，我企业属于</w:t>
      </w:r>
      <w:r>
        <w:rPr>
          <w:rFonts w:ascii="宋体" w:hAnsi="宋体"/>
          <w:color w:val="auto"/>
          <w:sz w:val="24"/>
          <w:u w:val="single"/>
        </w:rPr>
        <w:t>监狱企业</w:t>
      </w:r>
      <w:r>
        <w:rPr>
          <w:rFonts w:ascii="宋体" w:hAnsi="宋体"/>
          <w:color w:val="auto"/>
          <w:sz w:val="24"/>
        </w:rPr>
        <w:t>的理由为：</w:t>
      </w:r>
      <w:r>
        <w:rPr>
          <w:rFonts w:ascii="宋体" w:hAnsi="宋体"/>
          <w:color w:val="auto"/>
          <w:sz w:val="24"/>
          <w:u w:val="single"/>
        </w:rPr>
        <w:t xml:space="preserve">        </w:t>
      </w:r>
      <w:r>
        <w:rPr>
          <w:rFonts w:ascii="宋体" w:hAnsi="宋体"/>
          <w:color w:val="auto"/>
          <w:sz w:val="24"/>
        </w:rPr>
        <w:t xml:space="preserve"> 。</w:t>
      </w:r>
    </w:p>
    <w:p>
      <w:pPr>
        <w:widowControl/>
        <w:wordWrap w:val="0"/>
        <w:adjustRightInd w:val="0"/>
        <w:snapToGrid w:val="0"/>
        <w:spacing w:line="360" w:lineRule="auto"/>
        <w:ind w:firstLine="480" w:firstLineChars="200"/>
        <w:rPr>
          <w:rFonts w:ascii="宋体" w:hAnsi="宋体"/>
          <w:color w:val="auto"/>
          <w:sz w:val="24"/>
        </w:rPr>
      </w:pPr>
      <w:r>
        <w:rPr>
          <w:rFonts w:ascii="宋体" w:hAnsi="宋体"/>
          <w:color w:val="auto"/>
          <w:sz w:val="24"/>
        </w:rPr>
        <w:t>本企业为参加（项目名称：</w:t>
      </w:r>
      <w:r>
        <w:rPr>
          <w:rFonts w:ascii="宋体" w:hAnsi="宋体"/>
          <w:color w:val="auto"/>
          <w:sz w:val="24"/>
          <w:u w:val="single"/>
        </w:rPr>
        <w:t xml:space="preserve">     </w:t>
      </w:r>
      <w:r>
        <w:rPr>
          <w:rFonts w:ascii="宋体" w:hAnsi="宋体"/>
          <w:color w:val="auto"/>
          <w:sz w:val="24"/>
        </w:rPr>
        <w:t>）（项目编号：</w:t>
      </w:r>
      <w:r>
        <w:rPr>
          <w:rFonts w:ascii="宋体" w:hAnsi="宋体"/>
          <w:color w:val="auto"/>
          <w:sz w:val="24"/>
          <w:u w:val="single"/>
        </w:rPr>
        <w:t xml:space="preserve">    </w:t>
      </w:r>
      <w:r>
        <w:rPr>
          <w:rFonts w:ascii="宋体" w:hAnsi="宋体"/>
          <w:color w:val="auto"/>
          <w:sz w:val="24"/>
        </w:rPr>
        <w:t>）采购活动提供本企业</w:t>
      </w:r>
      <w:r>
        <w:rPr>
          <w:rFonts w:ascii="宋体" w:hAnsi="宋体"/>
          <w:color w:val="auto"/>
          <w:sz w:val="24"/>
          <w:u w:val="single"/>
        </w:rPr>
        <w:t>的服务</w:t>
      </w:r>
      <w:r>
        <w:rPr>
          <w:rFonts w:ascii="宋体" w:hAnsi="宋体"/>
          <w:color w:val="auto"/>
          <w:sz w:val="24"/>
        </w:rPr>
        <w:t>。</w:t>
      </w:r>
    </w:p>
    <w:p>
      <w:pPr>
        <w:widowControl/>
        <w:wordWrap w:val="0"/>
        <w:adjustRightInd w:val="0"/>
        <w:snapToGrid w:val="0"/>
        <w:spacing w:line="360" w:lineRule="auto"/>
        <w:ind w:firstLine="482" w:firstLineChars="200"/>
        <w:rPr>
          <w:rFonts w:ascii="宋体" w:hAnsi="宋体"/>
          <w:color w:val="auto"/>
          <w:sz w:val="24"/>
        </w:rPr>
      </w:pPr>
      <w:r>
        <w:rPr>
          <w:rFonts w:ascii="宋体" w:hAnsi="宋体"/>
          <w:b/>
          <w:color w:val="auto"/>
          <w:sz w:val="24"/>
          <w:u w:val="single"/>
        </w:rPr>
        <w:t>本企业对上述声明的真实性负责。如有虚假，将依法承担相应责任</w:t>
      </w:r>
      <w:r>
        <w:rPr>
          <w:rFonts w:ascii="宋体" w:hAnsi="宋体"/>
          <w:color w:val="auto"/>
          <w:sz w:val="24"/>
        </w:rPr>
        <w:t>。</w:t>
      </w:r>
    </w:p>
    <w:p>
      <w:pPr>
        <w:wordWrap w:val="0"/>
        <w:adjustRightInd w:val="0"/>
        <w:snapToGrid w:val="0"/>
        <w:spacing w:line="360" w:lineRule="auto"/>
        <w:ind w:firstLine="480" w:firstLineChars="200"/>
        <w:jc w:val="center"/>
        <w:rPr>
          <w:rFonts w:ascii="宋体" w:hAnsi="宋体"/>
          <w:color w:val="auto"/>
          <w:sz w:val="24"/>
        </w:rPr>
      </w:pPr>
    </w:p>
    <w:p>
      <w:pPr>
        <w:wordWrap w:val="0"/>
        <w:adjustRightInd w:val="0"/>
        <w:snapToGrid w:val="0"/>
        <w:spacing w:line="360" w:lineRule="auto"/>
        <w:ind w:firstLine="480" w:firstLineChars="200"/>
        <w:rPr>
          <w:rFonts w:ascii="宋体" w:hAnsi="宋体"/>
          <w:color w:val="auto"/>
          <w:sz w:val="24"/>
          <w:u w:val="single"/>
        </w:rPr>
      </w:pPr>
      <w:r>
        <w:rPr>
          <w:rFonts w:ascii="宋体" w:hAnsi="宋体"/>
          <w:color w:val="auto"/>
          <w:sz w:val="24"/>
        </w:rPr>
        <w:t>供应商名称（</w:t>
      </w:r>
      <w:r>
        <w:rPr>
          <w:rFonts w:hint="eastAsia" w:cs="宋体"/>
          <w:color w:val="auto"/>
          <w:sz w:val="22"/>
          <w:szCs w:val="22"/>
        </w:rPr>
        <w:t>公章</w:t>
      </w:r>
      <w:r>
        <w:rPr>
          <w:rFonts w:ascii="宋体" w:hAnsi="宋体"/>
          <w:color w:val="auto"/>
          <w:sz w:val="24"/>
        </w:rPr>
        <w:t>）：</w:t>
      </w:r>
      <w:r>
        <w:rPr>
          <w:rFonts w:ascii="宋体" w:hAnsi="宋体"/>
          <w:color w:val="auto"/>
          <w:sz w:val="24"/>
          <w:u w:val="single"/>
        </w:rPr>
        <w:t xml:space="preserve">            </w:t>
      </w:r>
    </w:p>
    <w:p>
      <w:pPr>
        <w:wordWrap w:val="0"/>
        <w:adjustRightInd w:val="0"/>
        <w:snapToGrid w:val="0"/>
        <w:spacing w:line="360" w:lineRule="auto"/>
        <w:ind w:firstLine="480" w:firstLineChars="200"/>
        <w:rPr>
          <w:rFonts w:ascii="宋体" w:hAnsi="宋体"/>
          <w:color w:val="auto"/>
          <w:sz w:val="24"/>
        </w:rPr>
      </w:pPr>
      <w:r>
        <w:rPr>
          <w:rFonts w:ascii="宋体" w:hAnsi="宋体"/>
          <w:color w:val="auto"/>
          <w:sz w:val="24"/>
        </w:rPr>
        <w:t>日期：   年  月  日</w:t>
      </w:r>
    </w:p>
    <w:p>
      <w:pPr>
        <w:widowControl/>
        <w:wordWrap w:val="0"/>
        <w:snapToGrid w:val="0"/>
        <w:spacing w:line="360" w:lineRule="auto"/>
        <w:ind w:firstLine="480" w:firstLineChars="200"/>
        <w:rPr>
          <w:rFonts w:ascii="宋体" w:hAnsi="宋体"/>
          <w:color w:val="auto"/>
          <w:sz w:val="24"/>
        </w:rPr>
      </w:pPr>
    </w:p>
    <w:p>
      <w:pPr>
        <w:widowControl/>
        <w:wordWrap w:val="0"/>
        <w:snapToGrid w:val="0"/>
        <w:spacing w:line="360" w:lineRule="auto"/>
        <w:ind w:firstLine="480" w:firstLineChars="200"/>
        <w:rPr>
          <w:rFonts w:ascii="宋体" w:hAnsi="宋体"/>
          <w:color w:val="auto"/>
          <w:sz w:val="24"/>
        </w:rPr>
      </w:pPr>
      <w:r>
        <w:rPr>
          <w:rFonts w:ascii="宋体" w:hAnsi="宋体"/>
          <w:color w:val="auto"/>
          <w:sz w:val="24"/>
        </w:rPr>
        <w:t>监狱企业参加政府采购活动时，应当提供由省级以上监狱管理局、戒毒管理局（含新疆生产建设兵团）出具的属于监狱企业的文件或网页资料。</w:t>
      </w:r>
    </w:p>
    <w:p>
      <w:pPr>
        <w:widowControl/>
        <w:wordWrap w:val="0"/>
        <w:snapToGrid w:val="0"/>
        <w:spacing w:line="360" w:lineRule="auto"/>
        <w:ind w:firstLine="480" w:firstLineChars="200"/>
        <w:rPr>
          <w:rFonts w:ascii="宋体" w:hAnsi="宋体"/>
          <w:color w:val="auto"/>
          <w:sz w:val="24"/>
        </w:rPr>
      </w:pPr>
      <w:r>
        <w:rPr>
          <w:rFonts w:ascii="宋体" w:hAnsi="宋体"/>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7"/>
        <w:wordWrap w:val="0"/>
        <w:adjustRightInd w:val="0"/>
        <w:snapToGrid w:val="0"/>
        <w:spacing w:line="300" w:lineRule="auto"/>
        <w:ind w:firstLine="420" w:firstLineChars="200"/>
        <w:rPr>
          <w:color w:val="auto"/>
        </w:rPr>
      </w:pPr>
      <w:r>
        <w:rPr>
          <w:color w:val="auto"/>
        </w:rPr>
        <w:br w:type="page"/>
      </w:r>
    </w:p>
    <w:p>
      <w:pPr>
        <w:wordWrap w:val="0"/>
        <w:jc w:val="center"/>
        <w:rPr>
          <w:rFonts w:ascii="宋体" w:hAnsi="宋体"/>
          <w:b/>
          <w:bCs/>
          <w:color w:val="auto"/>
          <w:sz w:val="44"/>
          <w:szCs w:val="44"/>
        </w:rPr>
      </w:pPr>
      <w:bookmarkStart w:id="77" w:name="OLE_LINK14"/>
      <w:bookmarkStart w:id="78" w:name="OLE_LINK13"/>
      <w:r>
        <w:rPr>
          <w:rFonts w:ascii="宋体" w:hAnsi="宋体"/>
          <w:b/>
          <w:bCs/>
          <w:color w:val="auto"/>
          <w:sz w:val="44"/>
          <w:szCs w:val="44"/>
        </w:rPr>
        <w:t>残疾人福利性单位声明函</w:t>
      </w:r>
    </w:p>
    <w:bookmarkEnd w:id="77"/>
    <w:bookmarkEnd w:id="78"/>
    <w:p>
      <w:pPr>
        <w:wordWrap w:val="0"/>
        <w:snapToGrid w:val="0"/>
        <w:spacing w:line="300" w:lineRule="auto"/>
        <w:ind w:firstLine="444" w:firstLineChars="200"/>
        <w:rPr>
          <w:rFonts w:ascii="宋体" w:hAnsi="宋体"/>
          <w:color w:val="auto"/>
          <w:spacing w:val="6"/>
        </w:rPr>
      </w:pPr>
    </w:p>
    <w:p>
      <w:pPr>
        <w:wordWrap w:val="0"/>
        <w:snapToGrid w:val="0"/>
        <w:spacing w:line="360" w:lineRule="auto"/>
        <w:ind w:firstLine="504" w:firstLineChars="200"/>
        <w:rPr>
          <w:rFonts w:ascii="宋体" w:hAnsi="宋体"/>
          <w:color w:val="auto"/>
          <w:spacing w:val="6"/>
          <w:sz w:val="24"/>
        </w:rPr>
      </w:pPr>
      <w:r>
        <w:rPr>
          <w:rFonts w:ascii="宋体" w:hAnsi="宋体"/>
          <w:color w:val="auto"/>
          <w:spacing w:val="6"/>
          <w:sz w:val="24"/>
        </w:rPr>
        <w:t>本单位郑重声明，根据《财政部 民政部 中国残疾人联合会关于促进残疾人就业政府采购政策的通知》（财库</w:t>
      </w:r>
      <w:r>
        <w:rPr>
          <w:rFonts w:ascii="宋体" w:hAnsi="宋体"/>
          <w:color w:val="auto"/>
          <w:sz w:val="24"/>
        </w:rPr>
        <w:t>〔2017〕141</w:t>
      </w:r>
      <w:r>
        <w:rPr>
          <w:rFonts w:ascii="宋体" w:hAnsi="宋体"/>
          <w:color w:val="auto"/>
          <w:spacing w:val="6"/>
          <w:sz w:val="24"/>
        </w:rPr>
        <w:t>号）的规定，本单位为符合条件的残疾人福利性单位，且本单位参加</w:t>
      </w:r>
      <w:r>
        <w:rPr>
          <w:rFonts w:ascii="宋体" w:hAnsi="宋体"/>
          <w:color w:val="auto"/>
          <w:spacing w:val="6"/>
          <w:sz w:val="24"/>
          <w:u w:val="single"/>
        </w:rPr>
        <w:t xml:space="preserve"> （采购人名称）  </w:t>
      </w:r>
      <w:r>
        <w:rPr>
          <w:rFonts w:ascii="宋体" w:hAnsi="宋体"/>
          <w:color w:val="auto"/>
          <w:spacing w:val="6"/>
          <w:sz w:val="24"/>
        </w:rPr>
        <w:t>单位的</w:t>
      </w:r>
      <w:r>
        <w:rPr>
          <w:rFonts w:ascii="宋体" w:hAnsi="宋体"/>
          <w:color w:val="auto"/>
          <w:spacing w:val="6"/>
          <w:sz w:val="24"/>
          <w:u w:val="single"/>
        </w:rPr>
        <w:t xml:space="preserve">   （项目名称）    </w:t>
      </w:r>
      <w:r>
        <w:rPr>
          <w:rFonts w:ascii="宋体" w:hAnsi="宋体"/>
          <w:color w:val="auto"/>
          <w:spacing w:val="6"/>
          <w:sz w:val="24"/>
        </w:rPr>
        <w:t>项目采购活动提供本单位制造的货物（由本单位承担工程/提供服务），或者提供其他残疾人福利性单位制造的货物（不包括使用非残疾人福利性单位注册商标的货物）。</w:t>
      </w:r>
    </w:p>
    <w:p>
      <w:pPr>
        <w:wordWrap w:val="0"/>
        <w:snapToGrid w:val="0"/>
        <w:spacing w:line="360" w:lineRule="auto"/>
        <w:ind w:firstLine="506" w:firstLineChars="200"/>
        <w:rPr>
          <w:rFonts w:ascii="宋体" w:hAnsi="宋体"/>
          <w:color w:val="auto"/>
          <w:spacing w:val="6"/>
          <w:sz w:val="24"/>
        </w:rPr>
      </w:pPr>
      <w:r>
        <w:rPr>
          <w:rFonts w:ascii="宋体" w:hAnsi="宋体"/>
          <w:b/>
          <w:color w:val="auto"/>
          <w:spacing w:val="6"/>
          <w:sz w:val="24"/>
          <w:u w:val="single"/>
        </w:rPr>
        <w:t>本单位对上述声明的真实性负责。如有虚假，将依法承担相应责任</w:t>
      </w:r>
      <w:r>
        <w:rPr>
          <w:rFonts w:ascii="宋体" w:hAnsi="宋体"/>
          <w:color w:val="auto"/>
          <w:spacing w:val="6"/>
          <w:sz w:val="24"/>
        </w:rPr>
        <w:t>。</w:t>
      </w:r>
    </w:p>
    <w:p>
      <w:pPr>
        <w:wordWrap w:val="0"/>
        <w:snapToGrid w:val="0"/>
        <w:spacing w:line="360" w:lineRule="auto"/>
        <w:ind w:firstLine="504" w:firstLineChars="200"/>
        <w:rPr>
          <w:rFonts w:ascii="宋体" w:hAnsi="宋体"/>
          <w:color w:val="auto"/>
          <w:spacing w:val="6"/>
          <w:sz w:val="24"/>
        </w:rPr>
      </w:pPr>
    </w:p>
    <w:p>
      <w:pPr>
        <w:wordWrap w:val="0"/>
        <w:snapToGrid w:val="0"/>
        <w:spacing w:line="360" w:lineRule="auto"/>
        <w:ind w:firstLine="504" w:firstLineChars="200"/>
        <w:rPr>
          <w:rFonts w:ascii="宋体" w:hAnsi="宋体"/>
          <w:color w:val="auto"/>
          <w:spacing w:val="6"/>
          <w:sz w:val="24"/>
        </w:rPr>
      </w:pPr>
    </w:p>
    <w:p>
      <w:pPr>
        <w:wordWrap w:val="0"/>
        <w:adjustRightInd w:val="0"/>
        <w:snapToGrid w:val="0"/>
        <w:spacing w:line="360" w:lineRule="auto"/>
        <w:ind w:firstLine="480" w:firstLineChars="200"/>
        <w:rPr>
          <w:rFonts w:ascii="宋体" w:hAnsi="宋体"/>
          <w:color w:val="auto"/>
          <w:sz w:val="24"/>
          <w:u w:val="single"/>
        </w:rPr>
      </w:pPr>
      <w:r>
        <w:rPr>
          <w:rFonts w:ascii="宋体" w:hAnsi="宋体"/>
          <w:color w:val="auto"/>
          <w:sz w:val="24"/>
        </w:rPr>
        <w:t>供应商名称（</w:t>
      </w:r>
      <w:r>
        <w:rPr>
          <w:rFonts w:hint="eastAsia" w:cs="宋体"/>
          <w:color w:val="auto"/>
          <w:sz w:val="22"/>
          <w:szCs w:val="22"/>
        </w:rPr>
        <w:t>公章</w:t>
      </w:r>
      <w:r>
        <w:rPr>
          <w:rFonts w:ascii="宋体" w:hAnsi="宋体"/>
          <w:color w:val="auto"/>
          <w:sz w:val="24"/>
        </w:rPr>
        <w:t>）：</w:t>
      </w:r>
      <w:r>
        <w:rPr>
          <w:rFonts w:ascii="宋体" w:hAnsi="宋体"/>
          <w:color w:val="auto"/>
          <w:sz w:val="24"/>
          <w:u w:val="single"/>
        </w:rPr>
        <w:t xml:space="preserve">            </w:t>
      </w:r>
    </w:p>
    <w:p>
      <w:pPr>
        <w:wordWrap w:val="0"/>
        <w:adjustRightInd w:val="0"/>
        <w:snapToGrid w:val="0"/>
        <w:spacing w:line="360" w:lineRule="auto"/>
        <w:ind w:firstLine="480" w:firstLineChars="200"/>
        <w:rPr>
          <w:rFonts w:ascii="宋体" w:hAnsi="宋体"/>
          <w:color w:val="auto"/>
          <w:sz w:val="24"/>
        </w:rPr>
      </w:pPr>
      <w:r>
        <w:rPr>
          <w:rFonts w:ascii="宋体" w:hAnsi="宋体"/>
          <w:color w:val="auto"/>
          <w:sz w:val="24"/>
        </w:rPr>
        <w:t>日期：   年  月  日</w:t>
      </w:r>
    </w:p>
    <w:p>
      <w:pPr>
        <w:spacing w:line="320" w:lineRule="exact"/>
        <w:jc w:val="center"/>
        <w:rPr>
          <w:b/>
          <w:color w:val="auto"/>
          <w:sz w:val="28"/>
        </w:rPr>
      </w:pPr>
    </w:p>
    <w:p>
      <w:pPr>
        <w:spacing w:line="320" w:lineRule="exact"/>
        <w:jc w:val="center"/>
        <w:rPr>
          <w:b/>
          <w:color w:val="auto"/>
          <w:sz w:val="28"/>
        </w:rPr>
      </w:pPr>
    </w:p>
    <w:p>
      <w:pPr>
        <w:spacing w:line="320" w:lineRule="exact"/>
        <w:jc w:val="center"/>
        <w:rPr>
          <w:b/>
          <w:color w:val="auto"/>
          <w:sz w:val="28"/>
        </w:rPr>
      </w:pPr>
    </w:p>
    <w:p>
      <w:pPr>
        <w:spacing w:line="320" w:lineRule="exact"/>
        <w:jc w:val="center"/>
        <w:rPr>
          <w:b/>
          <w:color w:val="auto"/>
          <w:sz w:val="28"/>
        </w:rPr>
      </w:pPr>
    </w:p>
    <w:p>
      <w:pPr>
        <w:spacing w:line="320" w:lineRule="exact"/>
        <w:jc w:val="center"/>
        <w:rPr>
          <w:b/>
          <w:color w:val="auto"/>
          <w:sz w:val="28"/>
        </w:rPr>
      </w:pPr>
    </w:p>
    <w:p>
      <w:pPr>
        <w:pStyle w:val="51"/>
        <w:rPr>
          <w:color w:val="auto"/>
        </w:rPr>
      </w:pPr>
    </w:p>
    <w:p>
      <w:pPr>
        <w:spacing w:line="320" w:lineRule="exact"/>
        <w:jc w:val="center"/>
        <w:rPr>
          <w:b/>
          <w:color w:val="auto"/>
          <w:sz w:val="28"/>
        </w:rPr>
      </w:pPr>
    </w:p>
    <w:p>
      <w:pPr>
        <w:spacing w:line="320" w:lineRule="exact"/>
        <w:jc w:val="center"/>
        <w:rPr>
          <w:b/>
          <w:color w:val="auto"/>
          <w:sz w:val="28"/>
        </w:rPr>
      </w:pPr>
    </w:p>
    <w:p>
      <w:pPr>
        <w:spacing w:line="320" w:lineRule="exact"/>
        <w:jc w:val="center"/>
        <w:rPr>
          <w:b/>
          <w:color w:val="auto"/>
          <w:sz w:val="28"/>
        </w:rPr>
      </w:pPr>
    </w:p>
    <w:p>
      <w:pPr>
        <w:spacing w:line="320" w:lineRule="exact"/>
        <w:jc w:val="center"/>
        <w:rPr>
          <w:b/>
          <w:color w:val="auto"/>
          <w:sz w:val="28"/>
        </w:rPr>
      </w:pPr>
    </w:p>
    <w:p>
      <w:pPr>
        <w:spacing w:line="320" w:lineRule="exact"/>
        <w:jc w:val="center"/>
        <w:rPr>
          <w:b/>
          <w:color w:val="auto"/>
          <w:sz w:val="28"/>
        </w:rPr>
      </w:pPr>
    </w:p>
    <w:p>
      <w:pPr>
        <w:spacing w:line="320" w:lineRule="exact"/>
        <w:jc w:val="center"/>
        <w:rPr>
          <w:b/>
          <w:color w:val="auto"/>
          <w:sz w:val="28"/>
        </w:rPr>
      </w:pPr>
    </w:p>
    <w:p>
      <w:pPr>
        <w:spacing w:line="320" w:lineRule="exact"/>
        <w:jc w:val="center"/>
        <w:rPr>
          <w:b/>
          <w:color w:val="auto"/>
          <w:sz w:val="28"/>
        </w:rPr>
      </w:pPr>
    </w:p>
    <w:p>
      <w:pPr>
        <w:spacing w:line="320" w:lineRule="exact"/>
        <w:jc w:val="center"/>
        <w:rPr>
          <w:b/>
          <w:color w:val="auto"/>
          <w:sz w:val="28"/>
        </w:rPr>
      </w:pPr>
    </w:p>
    <w:p>
      <w:pPr>
        <w:spacing w:line="320" w:lineRule="exact"/>
        <w:jc w:val="center"/>
        <w:rPr>
          <w:b/>
          <w:color w:val="auto"/>
          <w:sz w:val="28"/>
        </w:rPr>
      </w:pPr>
    </w:p>
    <w:p>
      <w:pPr>
        <w:spacing w:line="320" w:lineRule="exact"/>
        <w:rPr>
          <w:color w:val="auto"/>
          <w:kern w:val="1"/>
        </w:rPr>
      </w:pPr>
    </w:p>
    <w:sectPr>
      <w:footerReference r:id="rId11" w:type="first"/>
      <w:headerReference r:id="rId9" w:type="default"/>
      <w:footerReference r:id="rId10" w:type="default"/>
      <w:pgSz w:w="11906" w:h="16838"/>
      <w:pgMar w:top="1247" w:right="1361" w:bottom="1247" w:left="1417" w:header="851" w:footer="992" w:gutter="0"/>
      <w:pgNumType w:fmt="numberInDash"/>
      <w:cols w:space="720" w:num="1"/>
      <w:titlePg/>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872"/>
        <w:tab w:val="clear" w:pos="4153"/>
      </w:tabs>
      <w:rPr>
        <w:rFonts w:eastAsia="黑体"/>
      </w:rPr>
    </w:pPr>
    <w:r>
      <w:rPr>
        <w:rFonts w:hint="eastAsia" w:ascii="黑体" w:hAnsi="黑体" w:eastAsia="黑体"/>
        <w:bCs/>
        <w:szCs w:val="22"/>
      </w:rPr>
      <w:t>义乌市历史文化保护传承专项规划编制项目——KXYC2024014FG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872"/>
        <w:tab w:val="clear" w:pos="4153"/>
      </w:tabs>
      <w:rPr>
        <w:rFonts w:eastAsia="黑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mE8mbCAQAAjgMAAA4AAAAAAAAAAQAgAAAAHgEAAGRycy9lMm9Eb2MueG1sUEsF&#10;BgAAAAAGAAYAWQEAAFIFA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mc:Fallback>
      </mc:AlternateContent>
    </w:r>
    <w:r>
      <w:rPr>
        <w:rFonts w:hint="eastAsia" w:ascii="黑体" w:hAnsi="黑体" w:eastAsia="黑体"/>
        <w:bCs/>
        <w:szCs w:val="22"/>
      </w:rPr>
      <w:t>义乌市历史文化保护传承专项规划编制项目——KXYC2024014FG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872"/>
        <w:tab w:val="clear" w:pos="4153"/>
      </w:tabs>
      <w:rPr>
        <w:rFonts w:eastAsia="黑体"/>
        <w:kern w:val="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v:textbox>
            </v:shape>
          </w:pict>
        </mc:Fallback>
      </mc:AlternateContent>
    </w:r>
    <w:r>
      <w:rPr>
        <w:rFonts w:hint="eastAsia" w:ascii="黑体" w:hAnsi="黑体" w:eastAsia="黑体"/>
        <w:bCs/>
        <w:szCs w:val="22"/>
      </w:rPr>
      <w:t>义乌市历史文化保护传承专项规划编制项目——KXYC2024014FG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872"/>
        <w:tab w:val="clear" w:pos="4153"/>
      </w:tabs>
      <w:rPr>
        <w:rFonts w:eastAsia="黑体"/>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- 37 -</w:t>
                          </w:r>
                          <w:r>
                            <w:rPr>
                              <w:rFonts w:hint="eastAsia"/>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S9uMIBAACO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kvbjCAQAAjgMAAA4AAAAAAAAAAQAgAAAAHgEAAGRycy9lMm9Eb2MueG1sUEsF&#10;BgAAAAAGAAYAWQEAAFIFA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- 37 -</w:t>
                    </w:r>
                    <w:r>
                      <w:rPr>
                        <w:rFonts w:hint="eastAsia"/>
                      </w:rPr>
                      <w:fldChar w:fldCharType="end"/>
                    </w:r>
                  </w:p>
                </w:txbxContent>
              </v:textbox>
            </v:shape>
          </w:pict>
        </mc:Fallback>
      </mc:AlternateContent>
    </w:r>
    <w:r>
      <w:rPr>
        <w:rFonts w:hint="eastAsia" w:ascii="黑体" w:hAnsi="黑体" w:eastAsia="黑体"/>
        <w:bCs/>
        <w:szCs w:val="22"/>
      </w:rPr>
      <w:t>义乌市历史文化保护传承专项规划编制项目——KXYC2024014FG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872"/>
        <w:tab w:val="clear" w:pos="4153"/>
      </w:tabs>
      <w:rPr>
        <w:rFonts w:eastAsia="黑体"/>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qHGMIBAACO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KqhxjCAQAAjgMAAA4AAAAAAAAAAQAgAAAAHgEAAGRycy9lMm9Eb2MueG1sUEsF&#10;BgAAAAAGAAYAWQEAAFIFA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p>
                </w:txbxContent>
              </v:textbox>
            </v:shape>
          </w:pict>
        </mc:Fallback>
      </mc:AlternateContent>
    </w:r>
    <w:r>
      <w:rPr>
        <w:rFonts w:hint="eastAsia" w:ascii="黑体" w:hAnsi="黑体" w:eastAsia="黑体"/>
        <w:bCs/>
        <w:szCs w:val="22"/>
      </w:rPr>
      <w:t>义乌市历史文化保护传承专项规划编制项目——KXYC2024014FG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4" w:space="0"/>
      </w:pBdr>
      <w:tabs>
        <w:tab w:val="left" w:pos="6872"/>
        <w:tab w:val="clear" w:pos="4153"/>
      </w:tabs>
      <w:jc w:val="both"/>
      <w:rPr>
        <w:u w:val="single"/>
      </w:rPr>
    </w:pPr>
    <w:r>
      <w:drawing>
        <wp:inline distT="0" distB="0" distL="114300" distR="114300">
          <wp:extent cx="305435" cy="369570"/>
          <wp:effectExtent l="0" t="0" r="12065" b="1143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305435" cy="369570"/>
                  </a:xfrm>
                  <a:prstGeom prst="rect">
                    <a:avLst/>
                  </a:prstGeom>
                  <a:noFill/>
                  <a:ln>
                    <a:noFill/>
                  </a:ln>
                </pic:spPr>
              </pic:pic>
            </a:graphicData>
          </a:graphic>
        </wp:inline>
      </w:drawing>
    </w:r>
    <w:r>
      <w:rPr>
        <w:rFonts w:hint="eastAsia"/>
      </w:rPr>
      <w:t xml:space="preserve"> </w:t>
    </w:r>
    <w:r>
      <w:rPr>
        <w:rFonts w:hint="eastAsia" w:ascii="黑体" w:hAnsi="黑体" w:eastAsia="黑体"/>
        <w:bCs/>
      </w:rPr>
      <w:t>科信联合工程咨询有限公司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4" w:space="0"/>
      </w:pBdr>
      <w:tabs>
        <w:tab w:val="left" w:pos="6872"/>
        <w:tab w:val="clear" w:pos="4153"/>
      </w:tabs>
      <w:jc w:val="both"/>
      <w:rPr>
        <w:u w:val="single"/>
      </w:rPr>
    </w:pPr>
    <w:r>
      <w:drawing>
        <wp:inline distT="0" distB="0" distL="114300" distR="114300">
          <wp:extent cx="305435" cy="369570"/>
          <wp:effectExtent l="0" t="0" r="12065" b="1143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
                  <a:stretch>
                    <a:fillRect/>
                  </a:stretch>
                </pic:blipFill>
                <pic:spPr>
                  <a:xfrm>
                    <a:off x="0" y="0"/>
                    <a:ext cx="305435" cy="369570"/>
                  </a:xfrm>
                  <a:prstGeom prst="rect">
                    <a:avLst/>
                  </a:prstGeom>
                  <a:noFill/>
                  <a:ln>
                    <a:noFill/>
                  </a:ln>
                </pic:spPr>
              </pic:pic>
            </a:graphicData>
          </a:graphic>
        </wp:inline>
      </w:drawing>
    </w:r>
    <w:r>
      <w:rPr>
        <w:rFonts w:hint="eastAsia"/>
      </w:rPr>
      <w:t xml:space="preserve"> </w:t>
    </w:r>
    <w:r>
      <w:rPr>
        <w:rFonts w:hint="eastAsia" w:ascii="黑体" w:hAnsi="黑体" w:eastAsia="黑体"/>
        <w:bCs/>
      </w:rPr>
      <w:t>科信联合工程咨询有限公司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4" w:space="0"/>
      </w:pBdr>
      <w:tabs>
        <w:tab w:val="left" w:pos="6872"/>
        <w:tab w:val="clear" w:pos="4153"/>
      </w:tabs>
      <w:jc w:val="both"/>
      <w:rPr>
        <w:u w:val="single"/>
      </w:rPr>
    </w:pPr>
    <w:r>
      <w:t xml:space="preserve"> </w:t>
    </w:r>
    <w:r>
      <w:drawing>
        <wp:inline distT="0" distB="0" distL="114300" distR="114300">
          <wp:extent cx="305435" cy="369570"/>
          <wp:effectExtent l="0" t="0" r="12065"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
                  <a:stretch>
                    <a:fillRect/>
                  </a:stretch>
                </pic:blipFill>
                <pic:spPr>
                  <a:xfrm>
                    <a:off x="0" y="0"/>
                    <a:ext cx="305435" cy="369570"/>
                  </a:xfrm>
                  <a:prstGeom prst="rect">
                    <a:avLst/>
                  </a:prstGeom>
                  <a:noFill/>
                  <a:ln>
                    <a:noFill/>
                  </a:ln>
                </pic:spPr>
              </pic:pic>
            </a:graphicData>
          </a:graphic>
        </wp:inline>
      </w:drawing>
    </w:r>
    <w:r>
      <w:rPr>
        <w:rFonts w:hint="eastAsia"/>
      </w:rPr>
      <w:t xml:space="preserve"> </w:t>
    </w:r>
    <w:r>
      <w:rPr>
        <w:rFonts w:hint="eastAsia" w:ascii="黑体" w:hAnsi="黑体" w:eastAsia="黑体"/>
        <w:bCs/>
      </w:rPr>
      <w:t>科信联合工程咨询有限公司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3"/>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003"/>
    <w:multiLevelType w:val="multilevel"/>
    <w:tmpl w:val="00000003"/>
    <w:lvl w:ilvl="0" w:tentative="0">
      <w:start w:val="0"/>
      <w:numFmt w:val="decimal"/>
      <w:pStyle w:val="13"/>
      <w:lvlText w:val=""/>
      <w:lvlJc w:val="left"/>
    </w:lvl>
    <w:lvl w:ilvl="1" w:tentative="0">
      <w:start w:val="0"/>
      <w:numFmt w:val="decimal"/>
      <w:lvlText w:val=""/>
      <w:lvlJc w:val="left"/>
    </w:lvl>
    <w:lvl w:ilvl="2" w:tentative="0">
      <w:start w:val="0"/>
      <w:numFmt w:val="decimal"/>
      <w:lvlText w:val=""/>
      <w:lvlJc w:val="left"/>
    </w:lvl>
    <w:lvl w:ilvl="3" w:tentative="0">
      <w:start w:val="1572864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none"/>
      <w:lvlText w:val=""/>
      <w:lvlJc w:val="left"/>
      <w:pPr>
        <w:tabs>
          <w:tab w:val="left" w:pos="360"/>
        </w:tabs>
      </w:pPr>
    </w:lvl>
  </w:abstractNum>
  <w:abstractNum w:abstractNumId="3">
    <w:nsid w:val="00000008"/>
    <w:multiLevelType w:val="multilevel"/>
    <w:tmpl w:val="00000008"/>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63"/>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000D"/>
    <w:multiLevelType w:val="singleLevel"/>
    <w:tmpl w:val="0000000D"/>
    <w:lvl w:ilvl="0" w:tentative="0">
      <w:start w:val="1"/>
      <w:numFmt w:val="decimal"/>
      <w:suff w:val="nothing"/>
      <w:lvlText w:val="（%1）"/>
      <w:lvlJc w:val="left"/>
    </w:lvl>
  </w:abstractNum>
  <w:abstractNum w:abstractNumId="5">
    <w:nsid w:val="44C50F90"/>
    <w:multiLevelType w:val="multilevel"/>
    <w:tmpl w:val="44C50F90"/>
    <w:lvl w:ilvl="0" w:tentative="0">
      <w:start w:val="1"/>
      <w:numFmt w:val="decimal"/>
      <w:pStyle w:val="153"/>
      <w:lvlText w:val="%1"/>
      <w:lvlJc w:val="left"/>
      <w:pPr>
        <w:tabs>
          <w:tab w:val="left" w:pos="851"/>
        </w:tabs>
        <w:ind w:left="851" w:hanging="426"/>
      </w:pPr>
      <w:rPr>
        <w:rFonts w:hint="default"/>
        <w:color w:val="auto"/>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0"/>
  <w:doNotUseMarginsForDrawingGridOrigin w:val="1"/>
  <w:drawingGridHorizontalOrigin w:val="0"/>
  <w:drawingGridVerticalOrigin w:val="0"/>
  <w:doNotShadeFormData w:val="1"/>
  <w:noPunctuationKerning w:val="1"/>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OTVkMzVhNTUwNGY3NjI0N2JkYWMxNDc4OTAzZDAifQ=="/>
  </w:docVars>
  <w:rsids>
    <w:rsidRoot w:val="00172A27"/>
    <w:rsid w:val="00063F43"/>
    <w:rsid w:val="0008621E"/>
    <w:rsid w:val="000B5501"/>
    <w:rsid w:val="000F0289"/>
    <w:rsid w:val="000F7AF8"/>
    <w:rsid w:val="00120D2A"/>
    <w:rsid w:val="00172A27"/>
    <w:rsid w:val="00265C00"/>
    <w:rsid w:val="00297902"/>
    <w:rsid w:val="002A76BB"/>
    <w:rsid w:val="002B75B5"/>
    <w:rsid w:val="00356B15"/>
    <w:rsid w:val="003A7D7B"/>
    <w:rsid w:val="003B0EAA"/>
    <w:rsid w:val="003C706E"/>
    <w:rsid w:val="00535DE2"/>
    <w:rsid w:val="00542DDF"/>
    <w:rsid w:val="005A31EF"/>
    <w:rsid w:val="005C1B83"/>
    <w:rsid w:val="005F58F9"/>
    <w:rsid w:val="005F736D"/>
    <w:rsid w:val="00645835"/>
    <w:rsid w:val="006E08A4"/>
    <w:rsid w:val="006F3A2B"/>
    <w:rsid w:val="007247ED"/>
    <w:rsid w:val="007455B5"/>
    <w:rsid w:val="00771D6E"/>
    <w:rsid w:val="007A46F9"/>
    <w:rsid w:val="007E3862"/>
    <w:rsid w:val="00812239"/>
    <w:rsid w:val="00831390"/>
    <w:rsid w:val="008E5CA7"/>
    <w:rsid w:val="00997088"/>
    <w:rsid w:val="00A36CC1"/>
    <w:rsid w:val="00A6447E"/>
    <w:rsid w:val="00AF2578"/>
    <w:rsid w:val="00C12103"/>
    <w:rsid w:val="00C30551"/>
    <w:rsid w:val="00C571A4"/>
    <w:rsid w:val="00D63F1B"/>
    <w:rsid w:val="00D72C7E"/>
    <w:rsid w:val="00D84C15"/>
    <w:rsid w:val="00DD280E"/>
    <w:rsid w:val="00DD4F92"/>
    <w:rsid w:val="00E644EB"/>
    <w:rsid w:val="00E93A1B"/>
    <w:rsid w:val="00EC2CB2"/>
    <w:rsid w:val="00F33745"/>
    <w:rsid w:val="00F46355"/>
    <w:rsid w:val="01C533F4"/>
    <w:rsid w:val="01D44E47"/>
    <w:rsid w:val="02607CB1"/>
    <w:rsid w:val="029E15E5"/>
    <w:rsid w:val="0430437D"/>
    <w:rsid w:val="05020837"/>
    <w:rsid w:val="05F77D19"/>
    <w:rsid w:val="07DD59D2"/>
    <w:rsid w:val="09105F02"/>
    <w:rsid w:val="097348CE"/>
    <w:rsid w:val="09EB47A3"/>
    <w:rsid w:val="0BF413E9"/>
    <w:rsid w:val="0C9924D5"/>
    <w:rsid w:val="0E260B91"/>
    <w:rsid w:val="0EBB7B63"/>
    <w:rsid w:val="113552F8"/>
    <w:rsid w:val="121A0B3B"/>
    <w:rsid w:val="16B2714A"/>
    <w:rsid w:val="18092BFC"/>
    <w:rsid w:val="18716A45"/>
    <w:rsid w:val="1B99253B"/>
    <w:rsid w:val="1C377725"/>
    <w:rsid w:val="1F043FF8"/>
    <w:rsid w:val="229D32CF"/>
    <w:rsid w:val="22C11D47"/>
    <w:rsid w:val="24016533"/>
    <w:rsid w:val="25B5327E"/>
    <w:rsid w:val="27022387"/>
    <w:rsid w:val="2A0E172D"/>
    <w:rsid w:val="2C7C7E5D"/>
    <w:rsid w:val="2EE97BB0"/>
    <w:rsid w:val="343874C5"/>
    <w:rsid w:val="351F5F7D"/>
    <w:rsid w:val="352D5A86"/>
    <w:rsid w:val="35685BF9"/>
    <w:rsid w:val="357C6CFE"/>
    <w:rsid w:val="395A76BD"/>
    <w:rsid w:val="39940E11"/>
    <w:rsid w:val="3A771B6E"/>
    <w:rsid w:val="3BCD7062"/>
    <w:rsid w:val="3D162E93"/>
    <w:rsid w:val="3F402745"/>
    <w:rsid w:val="3FB3688B"/>
    <w:rsid w:val="41453554"/>
    <w:rsid w:val="43266AE2"/>
    <w:rsid w:val="44E26451"/>
    <w:rsid w:val="47735211"/>
    <w:rsid w:val="47853567"/>
    <w:rsid w:val="49D62A28"/>
    <w:rsid w:val="4D7B2FC5"/>
    <w:rsid w:val="4DBA799D"/>
    <w:rsid w:val="50DE0A30"/>
    <w:rsid w:val="52A15B9E"/>
    <w:rsid w:val="54A62F1E"/>
    <w:rsid w:val="56361480"/>
    <w:rsid w:val="56AE6F9F"/>
    <w:rsid w:val="57CC7621"/>
    <w:rsid w:val="59D04961"/>
    <w:rsid w:val="5BB167FD"/>
    <w:rsid w:val="5CBD3410"/>
    <w:rsid w:val="5E285D4B"/>
    <w:rsid w:val="5E4844D3"/>
    <w:rsid w:val="5F50616A"/>
    <w:rsid w:val="646B37D4"/>
    <w:rsid w:val="64AE5DA6"/>
    <w:rsid w:val="659A38DE"/>
    <w:rsid w:val="67193B20"/>
    <w:rsid w:val="675863D3"/>
    <w:rsid w:val="69894212"/>
    <w:rsid w:val="6A7D5B5F"/>
    <w:rsid w:val="6E364F94"/>
    <w:rsid w:val="6E947514"/>
    <w:rsid w:val="7070733F"/>
    <w:rsid w:val="72F9205C"/>
    <w:rsid w:val="74D92976"/>
    <w:rsid w:val="77425FA5"/>
    <w:rsid w:val="7B467476"/>
    <w:rsid w:val="7D82591F"/>
    <w:rsid w:val="7DCF7E3D"/>
    <w:rsid w:val="7EAF5BE7"/>
    <w:rsid w:val="7FBF52B3"/>
    <w:rsid w:val="E75E0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1" w:name="caption"/>
    <w:lsdException w:qFormat="1" w:unhideWhenUsed="0" w:uiPriority="0" w:semiHidden="0"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qFormat="1" w:unhideWhenUsed="0" w:uiPriority="0" w:semiHidden="0"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qFormat="1" w:unhideWhenUsed="0" w:uiPriority="0" w:semiHidden="0" w:name="HTML Cite"/>
    <w:lsdException w:uiPriority="1" w:name="HTML Code"/>
    <w:lsdException w:uiPriority="1" w:name="HTML Definition"/>
    <w:lsdException w:uiPriority="1" w:name="HTML Keyboard"/>
    <w:lsdException w:qFormat="1" w:unhideWhenUsed="0" w:uiPriority="0" w:semiHidden="0" w:name="HTML Preformatted"/>
    <w:lsdException w:uiPriority="1" w:name="HTML Sample"/>
    <w:lsdException w:qFormat="1" w:unhideWhenUsed="0" w:uiPriority="0" w:semiHidden="0" w:name="HTML Typewriter"/>
    <w:lsdException w:uiPriority="1" w:name="HTML Variable"/>
    <w:lsdException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000000"/>
      <w:sz w:val="21"/>
      <w:lang w:val="en-US" w:eastAsia="zh-CN" w:bidi="ar-SA"/>
    </w:rPr>
  </w:style>
  <w:style w:type="paragraph" w:styleId="2">
    <w:name w:val="heading 1"/>
    <w:basedOn w:val="1"/>
    <w:next w:val="1"/>
    <w:link w:val="91"/>
    <w:autoRedefine/>
    <w:qFormat/>
    <w:uiPriority w:val="0"/>
    <w:pPr>
      <w:keepNext/>
      <w:keepLines/>
      <w:spacing w:before="340" w:after="330" w:line="576" w:lineRule="auto"/>
      <w:outlineLvl w:val="0"/>
    </w:pPr>
    <w:rPr>
      <w:b/>
      <w:color w:val="auto"/>
      <w:kern w:val="1"/>
      <w:sz w:val="44"/>
    </w:rPr>
  </w:style>
  <w:style w:type="paragraph" w:styleId="3">
    <w:name w:val="heading 2"/>
    <w:basedOn w:val="1"/>
    <w:next w:val="1"/>
    <w:link w:val="89"/>
    <w:autoRedefine/>
    <w:qFormat/>
    <w:uiPriority w:val="0"/>
    <w:pPr>
      <w:keepNext/>
      <w:keepLines/>
      <w:spacing w:before="260" w:after="260" w:line="413" w:lineRule="auto"/>
      <w:outlineLvl w:val="1"/>
    </w:pPr>
    <w:rPr>
      <w:rFonts w:ascii="Arial" w:hAnsi="Arial" w:eastAsia="黑体"/>
      <w:b/>
      <w:color w:val="auto"/>
      <w:kern w:val="1"/>
      <w:sz w:val="32"/>
    </w:rPr>
  </w:style>
  <w:style w:type="paragraph" w:styleId="4">
    <w:name w:val="heading 3"/>
    <w:basedOn w:val="1"/>
    <w:next w:val="1"/>
    <w:link w:val="88"/>
    <w:autoRedefine/>
    <w:qFormat/>
    <w:uiPriority w:val="0"/>
    <w:pPr>
      <w:tabs>
        <w:tab w:val="left" w:pos="2520"/>
      </w:tabs>
      <w:spacing w:line="360" w:lineRule="auto"/>
      <w:ind w:firstLine="422"/>
      <w:outlineLvl w:val="2"/>
    </w:pPr>
    <w:rPr>
      <w:b/>
      <w:color w:val="auto"/>
    </w:rPr>
  </w:style>
  <w:style w:type="paragraph" w:styleId="5">
    <w:name w:val="heading 4"/>
    <w:basedOn w:val="1"/>
    <w:next w:val="1"/>
    <w:link w:val="99"/>
    <w:autoRedefine/>
    <w:qFormat/>
    <w:uiPriority w:val="0"/>
    <w:pPr>
      <w:keepNext/>
      <w:keepLines/>
      <w:spacing w:before="280" w:after="290" w:line="372" w:lineRule="auto"/>
      <w:outlineLvl w:val="3"/>
    </w:pPr>
    <w:rPr>
      <w:rFonts w:ascii="Arial" w:hAnsi="Arial" w:eastAsia="黑体"/>
      <w:b/>
      <w:color w:val="auto"/>
      <w:kern w:val="1"/>
      <w:sz w:val="28"/>
    </w:rPr>
  </w:style>
  <w:style w:type="paragraph" w:styleId="6">
    <w:name w:val="heading 5"/>
    <w:basedOn w:val="1"/>
    <w:next w:val="1"/>
    <w:link w:val="109"/>
    <w:autoRedefine/>
    <w:qFormat/>
    <w:uiPriority w:val="0"/>
    <w:pPr>
      <w:keepNext/>
      <w:keepLines/>
      <w:spacing w:before="280" w:after="290" w:line="372" w:lineRule="auto"/>
      <w:outlineLvl w:val="4"/>
    </w:pPr>
    <w:rPr>
      <w:b/>
      <w:color w:val="auto"/>
      <w:kern w:val="1"/>
      <w:sz w:val="28"/>
    </w:rPr>
  </w:style>
  <w:style w:type="paragraph" w:styleId="7">
    <w:name w:val="heading 6"/>
    <w:basedOn w:val="1"/>
    <w:next w:val="1"/>
    <w:link w:val="86"/>
    <w:autoRedefine/>
    <w:qFormat/>
    <w:uiPriority w:val="0"/>
    <w:pPr>
      <w:keepNext/>
      <w:keepLines/>
      <w:spacing w:before="240" w:after="64" w:line="317" w:lineRule="auto"/>
      <w:outlineLvl w:val="5"/>
    </w:pPr>
    <w:rPr>
      <w:rFonts w:ascii="Arial" w:hAnsi="Arial" w:eastAsia="黑体"/>
      <w:b/>
      <w:color w:val="auto"/>
      <w:kern w:val="1"/>
      <w:sz w:val="24"/>
    </w:rPr>
  </w:style>
  <w:style w:type="paragraph" w:styleId="8">
    <w:name w:val="heading 7"/>
    <w:basedOn w:val="1"/>
    <w:next w:val="1"/>
    <w:link w:val="100"/>
    <w:autoRedefine/>
    <w:qFormat/>
    <w:uiPriority w:val="0"/>
    <w:pPr>
      <w:keepNext/>
      <w:keepLines/>
      <w:spacing w:before="240" w:after="64" w:line="317" w:lineRule="auto"/>
      <w:outlineLvl w:val="6"/>
    </w:pPr>
    <w:rPr>
      <w:b/>
      <w:color w:val="auto"/>
      <w:kern w:val="1"/>
      <w:sz w:val="24"/>
    </w:rPr>
  </w:style>
  <w:style w:type="paragraph" w:styleId="9">
    <w:name w:val="heading 8"/>
    <w:basedOn w:val="1"/>
    <w:next w:val="1"/>
    <w:link w:val="84"/>
    <w:autoRedefine/>
    <w:qFormat/>
    <w:uiPriority w:val="0"/>
    <w:pPr>
      <w:keepNext/>
      <w:keepLines/>
      <w:spacing w:before="240" w:after="64" w:line="317" w:lineRule="auto"/>
      <w:outlineLvl w:val="7"/>
    </w:pPr>
    <w:rPr>
      <w:rFonts w:ascii="Arial" w:hAnsi="Arial" w:eastAsia="黑体"/>
      <w:color w:val="auto"/>
      <w:kern w:val="1"/>
      <w:sz w:val="24"/>
    </w:rPr>
  </w:style>
  <w:style w:type="paragraph" w:styleId="10">
    <w:name w:val="heading 9"/>
    <w:basedOn w:val="1"/>
    <w:next w:val="1"/>
    <w:link w:val="110"/>
    <w:autoRedefine/>
    <w:qFormat/>
    <w:uiPriority w:val="0"/>
    <w:pPr>
      <w:keepNext/>
      <w:keepLines/>
      <w:spacing w:before="240" w:after="64" w:line="317" w:lineRule="auto"/>
      <w:outlineLvl w:val="8"/>
    </w:pPr>
    <w:rPr>
      <w:rFonts w:ascii="Arial" w:hAnsi="Arial" w:eastAsia="黑体"/>
      <w:color w:val="auto"/>
      <w:kern w:val="1"/>
    </w:r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pPr>
    <w:rPr>
      <w:kern w:val="1"/>
    </w:rPr>
  </w:style>
  <w:style w:type="paragraph" w:styleId="12">
    <w:name w:val="index 8"/>
    <w:basedOn w:val="1"/>
    <w:next w:val="1"/>
    <w:autoRedefine/>
    <w:qFormat/>
    <w:uiPriority w:val="0"/>
    <w:pPr>
      <w:ind w:left="1400"/>
    </w:pPr>
    <w:rPr>
      <w:kern w:val="1"/>
    </w:rPr>
  </w:style>
  <w:style w:type="paragraph" w:styleId="13">
    <w:name w:val="List Number"/>
    <w:basedOn w:val="1"/>
    <w:autoRedefine/>
    <w:qFormat/>
    <w:uiPriority w:val="0"/>
    <w:pPr>
      <w:numPr>
        <w:ilvl w:val="0"/>
        <w:numId w:val="1"/>
      </w:numPr>
      <w:tabs>
        <w:tab w:val="left" w:pos="1455"/>
      </w:tabs>
      <w:ind w:left="420" w:hanging="132"/>
    </w:pPr>
    <w:rPr>
      <w:kern w:val="1"/>
    </w:rPr>
  </w:style>
  <w:style w:type="paragraph" w:styleId="14">
    <w:name w:val="Normal Indent"/>
    <w:basedOn w:val="1"/>
    <w:next w:val="1"/>
    <w:autoRedefine/>
    <w:qFormat/>
    <w:uiPriority w:val="0"/>
    <w:pPr>
      <w:ind w:firstLine="420"/>
    </w:pPr>
    <w:rPr>
      <w:kern w:val="1"/>
    </w:rPr>
  </w:style>
  <w:style w:type="paragraph" w:styleId="15">
    <w:name w:val="index 5"/>
    <w:basedOn w:val="1"/>
    <w:next w:val="1"/>
    <w:autoRedefine/>
    <w:qFormat/>
    <w:uiPriority w:val="0"/>
    <w:pPr>
      <w:ind w:left="800"/>
    </w:pPr>
    <w:rPr>
      <w:kern w:val="1"/>
    </w:rPr>
  </w:style>
  <w:style w:type="paragraph" w:styleId="16">
    <w:name w:val="Document Map"/>
    <w:basedOn w:val="1"/>
    <w:link w:val="94"/>
    <w:autoRedefine/>
    <w:qFormat/>
    <w:uiPriority w:val="0"/>
    <w:pPr>
      <w:shd w:val="clear" w:color="000000" w:fill="00007F"/>
    </w:pPr>
    <w:rPr>
      <w:color w:val="auto"/>
      <w:kern w:val="1"/>
      <w:shd w:val="clear" w:color="auto" w:fill="00007F"/>
    </w:rPr>
  </w:style>
  <w:style w:type="paragraph" w:styleId="17">
    <w:name w:val="annotation text"/>
    <w:basedOn w:val="1"/>
    <w:link w:val="93"/>
    <w:autoRedefine/>
    <w:qFormat/>
    <w:uiPriority w:val="0"/>
    <w:pPr>
      <w:jc w:val="left"/>
    </w:pPr>
    <w:rPr>
      <w:color w:val="auto"/>
      <w:kern w:val="1"/>
    </w:rPr>
  </w:style>
  <w:style w:type="paragraph" w:styleId="18">
    <w:name w:val="index 6"/>
    <w:basedOn w:val="1"/>
    <w:next w:val="1"/>
    <w:autoRedefine/>
    <w:qFormat/>
    <w:uiPriority w:val="0"/>
    <w:pPr>
      <w:ind w:left="1000"/>
    </w:pPr>
    <w:rPr>
      <w:kern w:val="1"/>
    </w:rPr>
  </w:style>
  <w:style w:type="paragraph" w:styleId="19">
    <w:name w:val="Salutation"/>
    <w:basedOn w:val="1"/>
    <w:next w:val="1"/>
    <w:autoRedefine/>
    <w:qFormat/>
    <w:uiPriority w:val="0"/>
    <w:pPr>
      <w:tabs>
        <w:tab w:val="left" w:pos="600"/>
      </w:tabs>
    </w:pPr>
    <w:rPr>
      <w:sz w:val="24"/>
    </w:rPr>
  </w:style>
  <w:style w:type="paragraph" w:styleId="20">
    <w:name w:val="Body Text 3"/>
    <w:basedOn w:val="1"/>
    <w:link w:val="90"/>
    <w:autoRedefine/>
    <w:qFormat/>
    <w:uiPriority w:val="0"/>
    <w:pPr>
      <w:tabs>
        <w:tab w:val="left" w:pos="0"/>
      </w:tabs>
      <w:spacing w:line="360" w:lineRule="auto"/>
    </w:pPr>
    <w:rPr>
      <w:rFonts w:ascii="宋体" w:hAnsi="宋体"/>
      <w:kern w:val="1"/>
    </w:rPr>
  </w:style>
  <w:style w:type="paragraph" w:styleId="21">
    <w:name w:val="Body Text"/>
    <w:basedOn w:val="1"/>
    <w:next w:val="22"/>
    <w:link w:val="102"/>
    <w:autoRedefine/>
    <w:qFormat/>
    <w:uiPriority w:val="0"/>
    <w:pPr>
      <w:jc w:val="center"/>
    </w:pPr>
    <w:rPr>
      <w:rFonts w:ascii="宋体" w:hAnsi="宋体"/>
      <w:b/>
      <w:kern w:val="1"/>
      <w:sz w:val="72"/>
    </w:rPr>
  </w:style>
  <w:style w:type="paragraph" w:styleId="22">
    <w:name w:val="Body Text First Indent"/>
    <w:basedOn w:val="21"/>
    <w:autoRedefine/>
    <w:unhideWhenUsed/>
    <w:qFormat/>
    <w:uiPriority w:val="99"/>
    <w:pPr>
      <w:ind w:firstLine="420" w:firstLineChars="100"/>
    </w:pPr>
  </w:style>
  <w:style w:type="paragraph" w:styleId="23">
    <w:name w:val="Body Text Indent"/>
    <w:basedOn w:val="1"/>
    <w:link w:val="104"/>
    <w:autoRedefine/>
    <w:qFormat/>
    <w:uiPriority w:val="0"/>
    <w:pPr>
      <w:ind w:firstLine="420"/>
    </w:pPr>
    <w:rPr>
      <w:color w:val="auto"/>
      <w:kern w:val="1"/>
    </w:rPr>
  </w:style>
  <w:style w:type="paragraph" w:styleId="24">
    <w:name w:val="index 4"/>
    <w:basedOn w:val="1"/>
    <w:next w:val="1"/>
    <w:autoRedefine/>
    <w:qFormat/>
    <w:uiPriority w:val="0"/>
    <w:pPr>
      <w:ind w:left="600"/>
    </w:pPr>
    <w:rPr>
      <w:kern w:val="1"/>
    </w:rPr>
  </w:style>
  <w:style w:type="paragraph" w:styleId="25">
    <w:name w:val="toc 5"/>
    <w:basedOn w:val="1"/>
    <w:next w:val="1"/>
    <w:autoRedefine/>
    <w:qFormat/>
    <w:uiPriority w:val="0"/>
    <w:pPr>
      <w:ind w:left="1680"/>
    </w:pPr>
    <w:rPr>
      <w:kern w:val="1"/>
    </w:rPr>
  </w:style>
  <w:style w:type="paragraph" w:styleId="26">
    <w:name w:val="toc 3"/>
    <w:basedOn w:val="1"/>
    <w:next w:val="1"/>
    <w:autoRedefine/>
    <w:qFormat/>
    <w:uiPriority w:val="0"/>
    <w:pPr>
      <w:ind w:left="840"/>
    </w:pPr>
    <w:rPr>
      <w:kern w:val="1"/>
    </w:rPr>
  </w:style>
  <w:style w:type="paragraph" w:styleId="27">
    <w:name w:val="Plain Text"/>
    <w:basedOn w:val="1"/>
    <w:next w:val="1"/>
    <w:link w:val="85"/>
    <w:autoRedefine/>
    <w:qFormat/>
    <w:uiPriority w:val="0"/>
    <w:pPr>
      <w:widowControl/>
      <w:jc w:val="left"/>
    </w:pPr>
    <w:rPr>
      <w:rFonts w:ascii="宋体" w:hAnsi="宋体"/>
      <w:color w:val="auto"/>
    </w:rPr>
  </w:style>
  <w:style w:type="paragraph" w:styleId="28">
    <w:name w:val="toc 8"/>
    <w:basedOn w:val="1"/>
    <w:next w:val="1"/>
    <w:autoRedefine/>
    <w:qFormat/>
    <w:uiPriority w:val="0"/>
    <w:pPr>
      <w:ind w:left="2940"/>
    </w:pPr>
    <w:rPr>
      <w:kern w:val="1"/>
    </w:rPr>
  </w:style>
  <w:style w:type="paragraph" w:styleId="29">
    <w:name w:val="index 3"/>
    <w:basedOn w:val="1"/>
    <w:next w:val="1"/>
    <w:autoRedefine/>
    <w:qFormat/>
    <w:uiPriority w:val="0"/>
    <w:pPr>
      <w:ind w:left="400"/>
    </w:pPr>
    <w:rPr>
      <w:kern w:val="1"/>
    </w:rPr>
  </w:style>
  <w:style w:type="paragraph" w:styleId="30">
    <w:name w:val="Date"/>
    <w:basedOn w:val="1"/>
    <w:next w:val="1"/>
    <w:link w:val="92"/>
    <w:autoRedefine/>
    <w:qFormat/>
    <w:uiPriority w:val="0"/>
    <w:pPr>
      <w:ind w:left="100"/>
    </w:pPr>
    <w:rPr>
      <w:color w:val="auto"/>
      <w:kern w:val="1"/>
    </w:rPr>
  </w:style>
  <w:style w:type="paragraph" w:styleId="31">
    <w:name w:val="Body Text Indent 2"/>
    <w:basedOn w:val="1"/>
    <w:link w:val="107"/>
    <w:autoRedefine/>
    <w:qFormat/>
    <w:uiPriority w:val="0"/>
    <w:pPr>
      <w:spacing w:line="360" w:lineRule="auto"/>
      <w:ind w:firstLine="480"/>
    </w:pPr>
    <w:rPr>
      <w:rFonts w:ascii="宋体" w:hAnsi="宋体" w:eastAsia="新宋体"/>
      <w:color w:val="auto"/>
      <w:kern w:val="1"/>
      <w:sz w:val="24"/>
    </w:rPr>
  </w:style>
  <w:style w:type="paragraph" w:styleId="32">
    <w:name w:val="Balloon Text"/>
    <w:basedOn w:val="1"/>
    <w:link w:val="82"/>
    <w:autoRedefine/>
    <w:qFormat/>
    <w:uiPriority w:val="0"/>
    <w:rPr>
      <w:color w:val="auto"/>
      <w:kern w:val="1"/>
      <w:sz w:val="18"/>
    </w:rPr>
  </w:style>
  <w:style w:type="paragraph" w:styleId="33">
    <w:name w:val="footer"/>
    <w:basedOn w:val="1"/>
    <w:link w:val="106"/>
    <w:autoRedefine/>
    <w:qFormat/>
    <w:uiPriority w:val="0"/>
    <w:pPr>
      <w:widowControl/>
      <w:tabs>
        <w:tab w:val="center" w:pos="4153"/>
        <w:tab w:val="right" w:pos="8306"/>
      </w:tabs>
      <w:jc w:val="left"/>
    </w:pPr>
    <w:rPr>
      <w:color w:val="auto"/>
      <w:sz w:val="18"/>
    </w:rPr>
  </w:style>
  <w:style w:type="paragraph" w:styleId="34">
    <w:name w:val="header"/>
    <w:basedOn w:val="1"/>
    <w:link w:val="81"/>
    <w:autoRedefine/>
    <w:qFormat/>
    <w:uiPriority w:val="0"/>
    <w:pPr>
      <w:widowControl/>
      <w:pBdr>
        <w:bottom w:val="single" w:color="auto" w:sz="6" w:space="1"/>
      </w:pBdr>
      <w:tabs>
        <w:tab w:val="center" w:pos="4153"/>
        <w:tab w:val="right" w:pos="8306"/>
      </w:tabs>
      <w:jc w:val="center"/>
    </w:pPr>
    <w:rPr>
      <w:color w:val="auto"/>
      <w:sz w:val="18"/>
    </w:rPr>
  </w:style>
  <w:style w:type="paragraph" w:styleId="35">
    <w:name w:val="toc 1"/>
    <w:basedOn w:val="1"/>
    <w:next w:val="1"/>
    <w:autoRedefine/>
    <w:qFormat/>
    <w:uiPriority w:val="0"/>
    <w:pPr>
      <w:tabs>
        <w:tab w:val="right" w:leader="dot" w:pos="9127"/>
      </w:tabs>
      <w:spacing w:line="360" w:lineRule="auto"/>
      <w:ind w:left="-4" w:firstLine="3"/>
      <w:jc w:val="center"/>
    </w:pPr>
    <w:rPr>
      <w:rFonts w:ascii="黑体" w:hAnsi="黑体" w:eastAsia="黑体"/>
      <w:kern w:val="1"/>
      <w:sz w:val="30"/>
    </w:rPr>
  </w:style>
  <w:style w:type="paragraph" w:styleId="36">
    <w:name w:val="toc 4"/>
    <w:basedOn w:val="1"/>
    <w:next w:val="1"/>
    <w:autoRedefine/>
    <w:qFormat/>
    <w:uiPriority w:val="0"/>
    <w:pPr>
      <w:ind w:left="1260"/>
    </w:pPr>
    <w:rPr>
      <w:kern w:val="1"/>
    </w:rPr>
  </w:style>
  <w:style w:type="paragraph" w:styleId="37">
    <w:name w:val="index heading"/>
    <w:basedOn w:val="1"/>
    <w:next w:val="38"/>
    <w:autoRedefine/>
    <w:qFormat/>
    <w:uiPriority w:val="0"/>
    <w:rPr>
      <w:kern w:val="1"/>
    </w:rPr>
  </w:style>
  <w:style w:type="paragraph" w:styleId="38">
    <w:name w:val="index 1"/>
    <w:basedOn w:val="1"/>
    <w:next w:val="1"/>
    <w:autoRedefine/>
    <w:qFormat/>
    <w:uiPriority w:val="0"/>
    <w:pPr>
      <w:spacing w:line="560" w:lineRule="exact"/>
    </w:pPr>
    <w:rPr>
      <w:kern w:val="1"/>
      <w:sz w:val="28"/>
    </w:rPr>
  </w:style>
  <w:style w:type="paragraph" w:styleId="39">
    <w:name w:val="toc 6"/>
    <w:basedOn w:val="1"/>
    <w:next w:val="1"/>
    <w:autoRedefine/>
    <w:qFormat/>
    <w:uiPriority w:val="0"/>
    <w:pPr>
      <w:ind w:left="2100"/>
    </w:pPr>
    <w:rPr>
      <w:kern w:val="1"/>
    </w:rPr>
  </w:style>
  <w:style w:type="paragraph" w:styleId="40">
    <w:name w:val="Body Text Indent 3"/>
    <w:basedOn w:val="1"/>
    <w:link w:val="101"/>
    <w:autoRedefine/>
    <w:qFormat/>
    <w:uiPriority w:val="0"/>
    <w:pPr>
      <w:spacing w:before="100" w:line="360" w:lineRule="auto"/>
      <w:ind w:firstLine="560"/>
    </w:pPr>
    <w:rPr>
      <w:color w:val="auto"/>
      <w:kern w:val="1"/>
      <w:sz w:val="28"/>
    </w:rPr>
  </w:style>
  <w:style w:type="paragraph" w:styleId="41">
    <w:name w:val="index 7"/>
    <w:basedOn w:val="1"/>
    <w:next w:val="1"/>
    <w:autoRedefine/>
    <w:qFormat/>
    <w:uiPriority w:val="0"/>
    <w:pPr>
      <w:ind w:left="1200"/>
    </w:pPr>
    <w:rPr>
      <w:kern w:val="1"/>
    </w:rPr>
  </w:style>
  <w:style w:type="paragraph" w:styleId="42">
    <w:name w:val="index 9"/>
    <w:basedOn w:val="1"/>
    <w:next w:val="1"/>
    <w:autoRedefine/>
    <w:qFormat/>
    <w:uiPriority w:val="0"/>
    <w:pPr>
      <w:ind w:left="1600"/>
    </w:pPr>
    <w:rPr>
      <w:kern w:val="1"/>
    </w:rPr>
  </w:style>
  <w:style w:type="paragraph" w:styleId="43">
    <w:name w:val="table of figures"/>
    <w:basedOn w:val="1"/>
    <w:next w:val="1"/>
    <w:autoRedefine/>
    <w:qFormat/>
    <w:uiPriority w:val="0"/>
    <w:pPr>
      <w:spacing w:line="560" w:lineRule="exact"/>
    </w:pPr>
    <w:rPr>
      <w:b/>
      <w:kern w:val="1"/>
      <w:sz w:val="28"/>
    </w:rPr>
  </w:style>
  <w:style w:type="paragraph" w:styleId="44">
    <w:name w:val="toc 2"/>
    <w:basedOn w:val="1"/>
    <w:next w:val="1"/>
    <w:autoRedefine/>
    <w:qFormat/>
    <w:uiPriority w:val="0"/>
    <w:pPr>
      <w:ind w:left="420"/>
    </w:pPr>
    <w:rPr>
      <w:kern w:val="1"/>
    </w:rPr>
  </w:style>
  <w:style w:type="paragraph" w:styleId="45">
    <w:name w:val="toc 9"/>
    <w:basedOn w:val="1"/>
    <w:next w:val="1"/>
    <w:autoRedefine/>
    <w:qFormat/>
    <w:uiPriority w:val="0"/>
    <w:pPr>
      <w:ind w:left="3360"/>
    </w:pPr>
    <w:rPr>
      <w:kern w:val="1"/>
    </w:rPr>
  </w:style>
  <w:style w:type="paragraph" w:styleId="46">
    <w:name w:val="Body Text 2"/>
    <w:basedOn w:val="1"/>
    <w:link w:val="80"/>
    <w:autoRedefine/>
    <w:qFormat/>
    <w:uiPriority w:val="0"/>
    <w:pPr>
      <w:spacing w:line="460" w:lineRule="exact"/>
    </w:pPr>
    <w:rPr>
      <w:rFonts w:ascii="宋体" w:hAnsi="宋体"/>
      <w:color w:val="auto"/>
      <w:kern w:val="1"/>
      <w:sz w:val="24"/>
    </w:rPr>
  </w:style>
  <w:style w:type="paragraph" w:styleId="4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48">
    <w:name w:val="Normal (Web)"/>
    <w:basedOn w:val="1"/>
    <w:autoRedefine/>
    <w:qFormat/>
    <w:uiPriority w:val="0"/>
    <w:pPr>
      <w:widowControl/>
      <w:spacing w:before="100" w:beforeAutospacing="1" w:after="100" w:afterAutospacing="1"/>
      <w:jc w:val="left"/>
    </w:pPr>
    <w:rPr>
      <w:rFonts w:ascii="宋体" w:hAnsi="宋体"/>
      <w:sz w:val="24"/>
    </w:rPr>
  </w:style>
  <w:style w:type="paragraph" w:styleId="49">
    <w:name w:val="index 2"/>
    <w:basedOn w:val="1"/>
    <w:next w:val="1"/>
    <w:autoRedefine/>
    <w:qFormat/>
    <w:uiPriority w:val="0"/>
    <w:pPr>
      <w:spacing w:line="560" w:lineRule="exact"/>
      <w:ind w:left="200"/>
    </w:pPr>
    <w:rPr>
      <w:kern w:val="1"/>
      <w:sz w:val="28"/>
    </w:rPr>
  </w:style>
  <w:style w:type="paragraph" w:styleId="50">
    <w:name w:val="annotation subject"/>
    <w:basedOn w:val="17"/>
    <w:next w:val="17"/>
    <w:link w:val="83"/>
    <w:autoRedefine/>
    <w:qFormat/>
    <w:uiPriority w:val="0"/>
    <w:rPr>
      <w:b/>
    </w:rPr>
  </w:style>
  <w:style w:type="paragraph" w:styleId="51">
    <w:name w:val="Body Text First Indent 2"/>
    <w:basedOn w:val="23"/>
    <w:autoRedefine/>
    <w:qFormat/>
    <w:uiPriority w:val="0"/>
    <w:pPr>
      <w:spacing w:after="120"/>
      <w:ind w:left="420" w:leftChars="200"/>
    </w:p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autoRedefine/>
    <w:qFormat/>
    <w:uiPriority w:val="0"/>
    <w:rPr>
      <w:rFonts w:ascii="Times New Roman" w:hAnsi="Times New Roman" w:eastAsia="宋体" w:cs="Times New Roman"/>
      <w:b/>
    </w:rPr>
  </w:style>
  <w:style w:type="character" w:styleId="56">
    <w:name w:val="page number"/>
    <w:autoRedefine/>
    <w:qFormat/>
    <w:uiPriority w:val="0"/>
    <w:rPr>
      <w:rFonts w:ascii="Times New Roman" w:hAnsi="Times New Roman" w:eastAsia="宋体" w:cs="Times New Roman"/>
    </w:rPr>
  </w:style>
  <w:style w:type="character" w:styleId="57">
    <w:name w:val="FollowedHyperlink"/>
    <w:autoRedefine/>
    <w:qFormat/>
    <w:uiPriority w:val="0"/>
    <w:rPr>
      <w:rFonts w:ascii="Times New Roman" w:hAnsi="Times New Roman" w:eastAsia="宋体" w:cs="Times New Roman"/>
      <w:color w:val="333232"/>
      <w:u w:val="none"/>
    </w:rPr>
  </w:style>
  <w:style w:type="character" w:styleId="58">
    <w:name w:val="Emphasis"/>
    <w:autoRedefine/>
    <w:qFormat/>
    <w:uiPriority w:val="0"/>
    <w:rPr>
      <w:rFonts w:ascii="Times New Roman" w:hAnsi="Times New Roman" w:eastAsia="宋体" w:cs="Times New Roman"/>
      <w:color w:val="CC0000"/>
    </w:rPr>
  </w:style>
  <w:style w:type="character" w:styleId="59">
    <w:name w:val="HTML Typewriter"/>
    <w:autoRedefine/>
    <w:qFormat/>
    <w:uiPriority w:val="0"/>
    <w:rPr>
      <w:rFonts w:ascii="Courier New" w:hAnsi="Courier New" w:eastAsia="宋体" w:cs="Times New Roman"/>
      <w:sz w:val="20"/>
    </w:rPr>
  </w:style>
  <w:style w:type="character" w:styleId="60">
    <w:name w:val="Hyperlink"/>
    <w:autoRedefine/>
    <w:qFormat/>
    <w:uiPriority w:val="0"/>
    <w:rPr>
      <w:rFonts w:ascii="Times New Roman" w:hAnsi="Times New Roman" w:eastAsia="宋体" w:cs="Times New Roman"/>
      <w:color w:val="333232"/>
      <w:u w:val="none"/>
    </w:rPr>
  </w:style>
  <w:style w:type="character" w:styleId="61">
    <w:name w:val="annotation reference"/>
    <w:autoRedefine/>
    <w:qFormat/>
    <w:uiPriority w:val="0"/>
    <w:rPr>
      <w:rFonts w:ascii="Times New Roman" w:hAnsi="Times New Roman" w:eastAsia="宋体" w:cs="Times New Roman"/>
      <w:sz w:val="21"/>
    </w:rPr>
  </w:style>
  <w:style w:type="character" w:styleId="62">
    <w:name w:val="HTML Cite"/>
    <w:autoRedefine/>
    <w:qFormat/>
    <w:uiPriority w:val="0"/>
    <w:rPr>
      <w:rFonts w:ascii="Times New Roman" w:hAnsi="Times New Roman" w:eastAsia="宋体" w:cs="Times New Roman"/>
      <w:color w:val="008000"/>
    </w:rPr>
  </w:style>
  <w:style w:type="paragraph" w:customStyle="1" w:styleId="63">
    <w:name w:val="标题 5（有编号）（绿盟科技）"/>
    <w:basedOn w:val="1"/>
    <w:next w:val="64"/>
    <w:autoRedefine/>
    <w:qFormat/>
    <w:uiPriority w:val="0"/>
    <w:pPr>
      <w:keepNext/>
      <w:keepLines/>
      <w:numPr>
        <w:ilvl w:val="4"/>
        <w:numId w:val="2"/>
      </w:numPr>
      <w:spacing w:before="280" w:after="156" w:line="377" w:lineRule="auto"/>
      <w:outlineLvl w:val="4"/>
    </w:pPr>
    <w:rPr>
      <w:rFonts w:ascii="Arial" w:hAnsi="Arial" w:eastAsia="黑体" w:cs="Arial"/>
      <w:b/>
      <w:bCs/>
      <w:sz w:val="24"/>
      <w:szCs w:val="24"/>
    </w:rPr>
  </w:style>
  <w:style w:type="paragraph" w:customStyle="1" w:styleId="64">
    <w:name w:val="正文（绿盟科技）"/>
    <w:autoRedefine/>
    <w:qFormat/>
    <w:uiPriority w:val="0"/>
    <w:pPr>
      <w:spacing w:line="300" w:lineRule="auto"/>
    </w:pPr>
    <w:rPr>
      <w:rFonts w:ascii="Arial" w:hAnsi="Arial" w:eastAsia="宋体" w:cs="Arial"/>
      <w:sz w:val="21"/>
      <w:szCs w:val="21"/>
      <w:lang w:val="en-US" w:eastAsia="zh-CN" w:bidi="ar-SA"/>
    </w:rPr>
  </w:style>
  <w:style w:type="paragraph" w:customStyle="1" w:styleId="65">
    <w:name w:val="段"/>
    <w:next w:val="1"/>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66">
    <w:name w:val="Table Paragraph"/>
    <w:basedOn w:val="1"/>
    <w:autoRedefine/>
    <w:qFormat/>
    <w:uiPriority w:val="0"/>
    <w:pPr>
      <w:autoSpaceDE w:val="0"/>
      <w:autoSpaceDN w:val="0"/>
      <w:adjustRightInd w:val="0"/>
      <w:jc w:val="left"/>
    </w:pPr>
    <w:rPr>
      <w:color w:val="auto"/>
      <w:sz w:val="24"/>
    </w:rPr>
  </w:style>
  <w:style w:type="character" w:customStyle="1" w:styleId="67">
    <w:name w:val="font11"/>
    <w:autoRedefine/>
    <w:qFormat/>
    <w:uiPriority w:val="0"/>
    <w:rPr>
      <w:rFonts w:hint="eastAsia" w:ascii="宋体" w:hAnsi="宋体" w:eastAsia="宋体" w:cs="宋体"/>
      <w:color w:val="000000"/>
      <w:sz w:val="28"/>
      <w:szCs w:val="28"/>
      <w:u w:val="none"/>
    </w:rPr>
  </w:style>
  <w:style w:type="character" w:customStyle="1" w:styleId="68">
    <w:name w:val="apple-style-span"/>
    <w:autoRedefine/>
    <w:qFormat/>
    <w:uiPriority w:val="0"/>
    <w:rPr>
      <w:rFonts w:ascii="Times New Roman" w:hAnsi="Times New Roman" w:eastAsia="宋体" w:cs="Times New Roman"/>
    </w:rPr>
  </w:style>
  <w:style w:type="character" w:customStyle="1" w:styleId="69">
    <w:name w:val="Char Char"/>
    <w:autoRedefine/>
    <w:qFormat/>
    <w:uiPriority w:val="0"/>
    <w:rPr>
      <w:rFonts w:ascii="Times New Roman" w:hAnsi="Times New Roman" w:eastAsia="宋体" w:cs="Times New Roman"/>
      <w:kern w:val="1"/>
      <w:sz w:val="21"/>
      <w:lang w:val="en-US" w:eastAsia="zh-CN"/>
    </w:rPr>
  </w:style>
  <w:style w:type="character" w:customStyle="1" w:styleId="70">
    <w:name w:val="font41"/>
    <w:autoRedefine/>
    <w:qFormat/>
    <w:uiPriority w:val="0"/>
    <w:rPr>
      <w:rFonts w:ascii="宋体" w:hAnsi="宋体" w:eastAsia="宋体" w:cs="Times New Roman"/>
      <w:color w:val="000000"/>
      <w:sz w:val="21"/>
      <w:u w:val="none"/>
    </w:rPr>
  </w:style>
  <w:style w:type="character" w:customStyle="1" w:styleId="71">
    <w:name w:val="z-窗体顶端 字符"/>
    <w:link w:val="72"/>
    <w:autoRedefine/>
    <w:qFormat/>
    <w:uiPriority w:val="0"/>
    <w:rPr>
      <w:rFonts w:ascii="Times New Roman" w:hAnsi="Times New Roman" w:eastAsia="宋体" w:cs="Times New Roman"/>
      <w:kern w:val="1"/>
      <w:sz w:val="21"/>
    </w:rPr>
  </w:style>
  <w:style w:type="paragraph" w:customStyle="1" w:styleId="72">
    <w:name w:val="_Style 69"/>
    <w:basedOn w:val="1"/>
    <w:next w:val="1"/>
    <w:link w:val="71"/>
    <w:autoRedefine/>
    <w:qFormat/>
    <w:uiPriority w:val="0"/>
    <w:rPr>
      <w:color w:val="auto"/>
      <w:kern w:val="1"/>
    </w:rPr>
  </w:style>
  <w:style w:type="character" w:customStyle="1" w:styleId="73">
    <w:name w:val="15"/>
    <w:autoRedefine/>
    <w:qFormat/>
    <w:uiPriority w:val="0"/>
    <w:rPr>
      <w:rFonts w:hint="default" w:ascii="Times New Roman" w:hAnsi="Times New Roman" w:eastAsia="宋体" w:cs="Times New Roman"/>
    </w:rPr>
  </w:style>
  <w:style w:type="character" w:customStyle="1" w:styleId="74">
    <w:name w:val="orange"/>
    <w:autoRedefine/>
    <w:qFormat/>
    <w:uiPriority w:val="0"/>
    <w:rPr>
      <w:rFonts w:ascii="Times New Roman" w:hAnsi="Times New Roman" w:eastAsia="宋体" w:cs="Times New Roman"/>
      <w:color w:val="E04D01"/>
    </w:rPr>
  </w:style>
  <w:style w:type="character" w:customStyle="1" w:styleId="75">
    <w:name w:val="Char Char Char Char Char"/>
    <w:autoRedefine/>
    <w:qFormat/>
    <w:uiPriority w:val="0"/>
    <w:rPr>
      <w:rFonts w:ascii="宋体" w:hAnsi="宋体" w:eastAsia="宋体" w:cs="Times New Roman"/>
      <w:kern w:val="1"/>
      <w:sz w:val="21"/>
      <w:lang w:val="en-US" w:eastAsia="zh-CN"/>
    </w:rPr>
  </w:style>
  <w:style w:type="character" w:customStyle="1" w:styleId="76">
    <w:name w:val="普通文字 Char Char1"/>
    <w:autoRedefine/>
    <w:qFormat/>
    <w:uiPriority w:val="0"/>
    <w:rPr>
      <w:rFonts w:ascii="宋体" w:hAnsi="宋体" w:eastAsia="宋体" w:cs="Times New Roman"/>
      <w:kern w:val="1"/>
      <w:sz w:val="24"/>
      <w:lang w:val="en-US" w:eastAsia="zh-CN"/>
    </w:rPr>
  </w:style>
  <w:style w:type="character" w:customStyle="1" w:styleId="77">
    <w:name w:val="表内五号sj2 Char"/>
    <w:link w:val="78"/>
    <w:autoRedefine/>
    <w:qFormat/>
    <w:uiPriority w:val="0"/>
    <w:rPr>
      <w:rFonts w:ascii="Times New Roman" w:hAnsi="Times New Roman" w:eastAsia="宋体" w:cs="Times New Roman"/>
      <w:color w:val="000000"/>
      <w:sz w:val="21"/>
      <w:lang w:val="zh-CN" w:eastAsia="zh-CN"/>
    </w:rPr>
  </w:style>
  <w:style w:type="paragraph" w:customStyle="1" w:styleId="78">
    <w:name w:val="表内五号sj2"/>
    <w:basedOn w:val="1"/>
    <w:link w:val="77"/>
    <w:autoRedefine/>
    <w:qFormat/>
    <w:uiPriority w:val="0"/>
    <w:pPr>
      <w:spacing w:before="20" w:after="20" w:line="380" w:lineRule="exact"/>
      <w:ind w:firstLine="200"/>
    </w:pPr>
    <w:rPr>
      <w:lang w:val="zh-CN"/>
    </w:rPr>
  </w:style>
  <w:style w:type="character" w:customStyle="1" w:styleId="79">
    <w:name w:val="gray"/>
    <w:autoRedefine/>
    <w:qFormat/>
    <w:uiPriority w:val="0"/>
    <w:rPr>
      <w:rFonts w:ascii="Times New Roman" w:hAnsi="Times New Roman" w:eastAsia="宋体" w:cs="Times New Roman"/>
      <w:b/>
      <w:color w:val="424242"/>
      <w:sz w:val="21"/>
    </w:rPr>
  </w:style>
  <w:style w:type="character" w:customStyle="1" w:styleId="80">
    <w:name w:val="正文文本 2 Char"/>
    <w:link w:val="46"/>
    <w:autoRedefine/>
    <w:qFormat/>
    <w:uiPriority w:val="0"/>
    <w:rPr>
      <w:rFonts w:ascii="宋体" w:hAnsi="宋体" w:eastAsia="宋体" w:cs="Times New Roman"/>
      <w:kern w:val="1"/>
      <w:sz w:val="24"/>
    </w:rPr>
  </w:style>
  <w:style w:type="character" w:customStyle="1" w:styleId="81">
    <w:name w:val="页眉 Char"/>
    <w:link w:val="34"/>
    <w:autoRedefine/>
    <w:qFormat/>
    <w:uiPriority w:val="0"/>
    <w:rPr>
      <w:rFonts w:ascii="Times New Roman" w:hAnsi="Times New Roman" w:eastAsia="宋体" w:cs="Times New Roman"/>
      <w:sz w:val="18"/>
    </w:rPr>
  </w:style>
  <w:style w:type="character" w:customStyle="1" w:styleId="82">
    <w:name w:val="批注框文本 Char"/>
    <w:link w:val="32"/>
    <w:autoRedefine/>
    <w:qFormat/>
    <w:uiPriority w:val="0"/>
    <w:rPr>
      <w:rFonts w:ascii="Times New Roman" w:hAnsi="Times New Roman" w:eastAsia="宋体" w:cs="Times New Roman"/>
      <w:kern w:val="1"/>
      <w:sz w:val="18"/>
    </w:rPr>
  </w:style>
  <w:style w:type="character" w:customStyle="1" w:styleId="83">
    <w:name w:val="批注主题 Char"/>
    <w:link w:val="50"/>
    <w:autoRedefine/>
    <w:qFormat/>
    <w:uiPriority w:val="0"/>
    <w:rPr>
      <w:rFonts w:ascii="Times New Roman" w:hAnsi="Times New Roman" w:eastAsia="宋体" w:cs="Times New Roman"/>
      <w:b/>
      <w:kern w:val="1"/>
      <w:sz w:val="21"/>
    </w:rPr>
  </w:style>
  <w:style w:type="character" w:customStyle="1" w:styleId="84">
    <w:name w:val="标题 8 Char"/>
    <w:link w:val="9"/>
    <w:autoRedefine/>
    <w:qFormat/>
    <w:uiPriority w:val="0"/>
    <w:rPr>
      <w:rFonts w:ascii="Arial" w:hAnsi="Arial" w:eastAsia="黑体" w:cs="Times New Roman"/>
      <w:kern w:val="1"/>
      <w:sz w:val="24"/>
    </w:rPr>
  </w:style>
  <w:style w:type="character" w:customStyle="1" w:styleId="85">
    <w:name w:val="纯文本 Char"/>
    <w:link w:val="27"/>
    <w:autoRedefine/>
    <w:qFormat/>
    <w:uiPriority w:val="0"/>
    <w:rPr>
      <w:rFonts w:ascii="宋体" w:hAnsi="宋体" w:eastAsia="宋体" w:cs="Times New Roman"/>
      <w:sz w:val="21"/>
      <w:lang w:val="en-US" w:eastAsia="zh-CN"/>
    </w:rPr>
  </w:style>
  <w:style w:type="character" w:customStyle="1" w:styleId="86">
    <w:name w:val="标题 6 Char"/>
    <w:link w:val="7"/>
    <w:autoRedefine/>
    <w:qFormat/>
    <w:uiPriority w:val="0"/>
    <w:rPr>
      <w:rFonts w:ascii="Arial" w:hAnsi="Arial" w:eastAsia="黑体" w:cs="Times New Roman"/>
      <w:b/>
      <w:kern w:val="1"/>
      <w:sz w:val="24"/>
    </w:rPr>
  </w:style>
  <w:style w:type="character" w:customStyle="1" w:styleId="87">
    <w:name w:val="10"/>
    <w:autoRedefine/>
    <w:qFormat/>
    <w:uiPriority w:val="0"/>
    <w:rPr>
      <w:rFonts w:hint="default" w:ascii="Times New Roman" w:hAnsi="Times New Roman" w:eastAsia="宋体" w:cs="Times New Roman"/>
    </w:rPr>
  </w:style>
  <w:style w:type="character" w:customStyle="1" w:styleId="88">
    <w:name w:val="标题 3 Char"/>
    <w:link w:val="4"/>
    <w:autoRedefine/>
    <w:qFormat/>
    <w:uiPriority w:val="0"/>
    <w:rPr>
      <w:rFonts w:ascii="Times New Roman" w:hAnsi="Times New Roman" w:eastAsia="宋体" w:cs="Times New Roman"/>
      <w:b/>
      <w:sz w:val="21"/>
      <w:lang w:val="en-US" w:eastAsia="zh-CN"/>
    </w:rPr>
  </w:style>
  <w:style w:type="character" w:customStyle="1" w:styleId="89">
    <w:name w:val="标题 2 Char"/>
    <w:link w:val="3"/>
    <w:autoRedefine/>
    <w:qFormat/>
    <w:uiPriority w:val="0"/>
    <w:rPr>
      <w:rFonts w:ascii="Arial" w:hAnsi="Arial" w:eastAsia="黑体" w:cs="Times New Roman"/>
      <w:b/>
      <w:kern w:val="1"/>
      <w:sz w:val="32"/>
    </w:rPr>
  </w:style>
  <w:style w:type="character" w:customStyle="1" w:styleId="90">
    <w:name w:val="正文文本 3 Char"/>
    <w:link w:val="20"/>
    <w:autoRedefine/>
    <w:qFormat/>
    <w:uiPriority w:val="0"/>
    <w:rPr>
      <w:rFonts w:ascii="宋体" w:hAnsi="宋体" w:eastAsia="宋体" w:cs="Times New Roman"/>
      <w:color w:val="000000"/>
      <w:kern w:val="1"/>
      <w:sz w:val="21"/>
    </w:rPr>
  </w:style>
  <w:style w:type="character" w:customStyle="1" w:styleId="91">
    <w:name w:val="标题 1 Char"/>
    <w:link w:val="2"/>
    <w:autoRedefine/>
    <w:qFormat/>
    <w:uiPriority w:val="0"/>
    <w:rPr>
      <w:rFonts w:ascii="Times New Roman" w:hAnsi="Times New Roman" w:eastAsia="宋体" w:cs="Times New Roman"/>
      <w:b/>
      <w:kern w:val="1"/>
      <w:sz w:val="44"/>
    </w:rPr>
  </w:style>
  <w:style w:type="character" w:customStyle="1" w:styleId="92">
    <w:name w:val="日期 Char"/>
    <w:link w:val="30"/>
    <w:autoRedefine/>
    <w:qFormat/>
    <w:uiPriority w:val="0"/>
    <w:rPr>
      <w:rFonts w:ascii="Times New Roman" w:hAnsi="Times New Roman" w:eastAsia="宋体" w:cs="Times New Roman"/>
      <w:kern w:val="1"/>
      <w:sz w:val="21"/>
    </w:rPr>
  </w:style>
  <w:style w:type="character" w:customStyle="1" w:styleId="93">
    <w:name w:val="批注文字 Char"/>
    <w:link w:val="17"/>
    <w:autoRedefine/>
    <w:qFormat/>
    <w:uiPriority w:val="0"/>
    <w:rPr>
      <w:rFonts w:ascii="Times New Roman" w:hAnsi="Times New Roman" w:eastAsia="宋体" w:cs="Times New Roman"/>
      <w:kern w:val="1"/>
      <w:sz w:val="21"/>
    </w:rPr>
  </w:style>
  <w:style w:type="character" w:customStyle="1" w:styleId="94">
    <w:name w:val="文档结构图 Char"/>
    <w:link w:val="16"/>
    <w:autoRedefine/>
    <w:qFormat/>
    <w:uiPriority w:val="0"/>
    <w:rPr>
      <w:rFonts w:ascii="Times New Roman" w:hAnsi="Times New Roman" w:eastAsia="宋体" w:cs="Times New Roman"/>
      <w:kern w:val="1"/>
      <w:sz w:val="21"/>
      <w:shd w:val="clear" w:color="auto" w:fill="00007F"/>
    </w:rPr>
  </w:style>
  <w:style w:type="character" w:customStyle="1" w:styleId="95">
    <w:name w:val="font01"/>
    <w:basedOn w:val="54"/>
    <w:autoRedefine/>
    <w:qFormat/>
    <w:uiPriority w:val="0"/>
    <w:rPr>
      <w:rFonts w:hint="eastAsia" w:ascii="宋体" w:hAnsi="宋体" w:eastAsia="宋体" w:cs="宋体"/>
      <w:color w:val="000000"/>
      <w:sz w:val="22"/>
      <w:szCs w:val="22"/>
      <w:u w:val="none"/>
    </w:rPr>
  </w:style>
  <w:style w:type="character" w:customStyle="1" w:styleId="96">
    <w:name w:val="hover29"/>
    <w:autoRedefine/>
    <w:qFormat/>
    <w:uiPriority w:val="0"/>
    <w:rPr>
      <w:rFonts w:ascii="Times New Roman" w:hAnsi="Times New Roman" w:eastAsia="宋体" w:cs="Times New Roman"/>
      <w:color w:val="FF0000"/>
    </w:rPr>
  </w:style>
  <w:style w:type="character" w:customStyle="1" w:styleId="97">
    <w:name w:val="无间隔 Char"/>
    <w:link w:val="98"/>
    <w:autoRedefine/>
    <w:qFormat/>
    <w:uiPriority w:val="0"/>
    <w:rPr>
      <w:rFonts w:ascii="Times New Roman" w:hAnsi="Times New Roman" w:eastAsia="宋体" w:cs="Times New Roman"/>
      <w:sz w:val="22"/>
      <w:lang w:val="en-US" w:eastAsia="zh-CN" w:bidi="ar-SA"/>
    </w:rPr>
  </w:style>
  <w:style w:type="paragraph" w:styleId="98">
    <w:name w:val="No Spacing"/>
    <w:link w:val="97"/>
    <w:autoRedefine/>
    <w:qFormat/>
    <w:uiPriority w:val="0"/>
    <w:rPr>
      <w:rFonts w:ascii="Times New Roman" w:hAnsi="Times New Roman" w:eastAsia="宋体" w:cs="Times New Roman"/>
      <w:sz w:val="22"/>
      <w:lang w:val="en-US" w:eastAsia="zh-CN" w:bidi="ar-SA"/>
    </w:rPr>
  </w:style>
  <w:style w:type="character" w:customStyle="1" w:styleId="99">
    <w:name w:val="标题 4 Char"/>
    <w:link w:val="5"/>
    <w:autoRedefine/>
    <w:qFormat/>
    <w:uiPriority w:val="0"/>
    <w:rPr>
      <w:rFonts w:ascii="Arial" w:hAnsi="Arial" w:eastAsia="黑体" w:cs="Times New Roman"/>
      <w:b/>
      <w:kern w:val="1"/>
      <w:sz w:val="28"/>
    </w:rPr>
  </w:style>
  <w:style w:type="character" w:customStyle="1" w:styleId="100">
    <w:name w:val="标题 7 Char"/>
    <w:link w:val="8"/>
    <w:autoRedefine/>
    <w:qFormat/>
    <w:uiPriority w:val="0"/>
    <w:rPr>
      <w:rFonts w:ascii="Times New Roman" w:hAnsi="Times New Roman" w:eastAsia="宋体" w:cs="Times New Roman"/>
      <w:b/>
      <w:kern w:val="1"/>
      <w:sz w:val="24"/>
    </w:rPr>
  </w:style>
  <w:style w:type="character" w:customStyle="1" w:styleId="101">
    <w:name w:val="正文文本缩进 3 Char"/>
    <w:link w:val="40"/>
    <w:autoRedefine/>
    <w:qFormat/>
    <w:uiPriority w:val="0"/>
    <w:rPr>
      <w:rFonts w:ascii="Times New Roman" w:hAnsi="Times New Roman" w:eastAsia="宋体" w:cs="Times New Roman"/>
      <w:kern w:val="1"/>
      <w:sz w:val="28"/>
    </w:rPr>
  </w:style>
  <w:style w:type="character" w:customStyle="1" w:styleId="102">
    <w:name w:val="正文文本 Char"/>
    <w:link w:val="21"/>
    <w:autoRedefine/>
    <w:qFormat/>
    <w:uiPriority w:val="0"/>
    <w:rPr>
      <w:rFonts w:ascii="宋体" w:hAnsi="宋体" w:eastAsia="宋体" w:cs="Times New Roman"/>
      <w:b/>
      <w:color w:val="000000"/>
      <w:kern w:val="1"/>
      <w:sz w:val="72"/>
    </w:rPr>
  </w:style>
  <w:style w:type="character" w:customStyle="1" w:styleId="103">
    <w:name w:val="content"/>
    <w:autoRedefine/>
    <w:qFormat/>
    <w:uiPriority w:val="0"/>
    <w:rPr>
      <w:rFonts w:ascii="Times New Roman" w:hAnsi="Times New Roman" w:eastAsia="宋体" w:cs="Times New Roman"/>
    </w:rPr>
  </w:style>
  <w:style w:type="character" w:customStyle="1" w:styleId="104">
    <w:name w:val="正文文本缩进 Char"/>
    <w:link w:val="23"/>
    <w:autoRedefine/>
    <w:qFormat/>
    <w:uiPriority w:val="0"/>
    <w:rPr>
      <w:rFonts w:ascii="Times New Roman" w:hAnsi="Times New Roman" w:eastAsia="宋体" w:cs="Times New Roman"/>
      <w:kern w:val="1"/>
      <w:sz w:val="21"/>
    </w:rPr>
  </w:style>
  <w:style w:type="character" w:customStyle="1" w:styleId="105">
    <w:name w:val="hover28"/>
    <w:autoRedefine/>
    <w:qFormat/>
    <w:uiPriority w:val="0"/>
    <w:rPr>
      <w:rFonts w:ascii="Times New Roman" w:hAnsi="Times New Roman" w:eastAsia="宋体" w:cs="Times New Roman"/>
      <w:color w:val="FF0000"/>
    </w:rPr>
  </w:style>
  <w:style w:type="character" w:customStyle="1" w:styleId="106">
    <w:name w:val="页脚 Char"/>
    <w:link w:val="33"/>
    <w:autoRedefine/>
    <w:qFormat/>
    <w:uiPriority w:val="0"/>
    <w:rPr>
      <w:rFonts w:ascii="Times New Roman" w:hAnsi="Times New Roman" w:eastAsia="宋体" w:cs="Times New Roman"/>
      <w:sz w:val="18"/>
    </w:rPr>
  </w:style>
  <w:style w:type="character" w:customStyle="1" w:styleId="107">
    <w:name w:val="正文文本缩进 2 Char"/>
    <w:link w:val="31"/>
    <w:autoRedefine/>
    <w:qFormat/>
    <w:uiPriority w:val="0"/>
    <w:rPr>
      <w:rFonts w:ascii="宋体" w:hAnsi="宋体" w:eastAsia="新宋体" w:cs="Times New Roman"/>
      <w:kern w:val="1"/>
      <w:sz w:val="24"/>
    </w:rPr>
  </w:style>
  <w:style w:type="character" w:customStyle="1" w:styleId="108">
    <w:name w:val="f12"/>
    <w:autoRedefine/>
    <w:qFormat/>
    <w:uiPriority w:val="0"/>
    <w:rPr>
      <w:rFonts w:ascii="Times New Roman" w:hAnsi="Times New Roman" w:eastAsia="宋体" w:cs="Times New Roman"/>
    </w:rPr>
  </w:style>
  <w:style w:type="character" w:customStyle="1" w:styleId="109">
    <w:name w:val="标题 5 Char"/>
    <w:link w:val="6"/>
    <w:autoRedefine/>
    <w:qFormat/>
    <w:uiPriority w:val="0"/>
    <w:rPr>
      <w:rFonts w:ascii="Times New Roman" w:hAnsi="Times New Roman" w:eastAsia="宋体" w:cs="Times New Roman"/>
      <w:b/>
      <w:kern w:val="1"/>
      <w:sz w:val="28"/>
    </w:rPr>
  </w:style>
  <w:style w:type="character" w:customStyle="1" w:styleId="110">
    <w:name w:val="标题 9 Char"/>
    <w:link w:val="10"/>
    <w:autoRedefine/>
    <w:qFormat/>
    <w:uiPriority w:val="0"/>
    <w:rPr>
      <w:rFonts w:ascii="Arial" w:hAnsi="Arial" w:eastAsia="黑体" w:cs="Times New Roman"/>
      <w:kern w:val="1"/>
      <w:sz w:val="21"/>
    </w:rPr>
  </w:style>
  <w:style w:type="character" w:customStyle="1" w:styleId="111">
    <w:name w:val="c-icon14"/>
    <w:autoRedefine/>
    <w:qFormat/>
    <w:uiPriority w:val="0"/>
    <w:rPr>
      <w:rFonts w:ascii="Times New Roman" w:hAnsi="Times New Roman" w:eastAsia="宋体" w:cs="Times New Roman"/>
    </w:rPr>
  </w:style>
  <w:style w:type="character" w:customStyle="1" w:styleId="112">
    <w:name w:val="Char Char1"/>
    <w:link w:val="113"/>
    <w:autoRedefine/>
    <w:qFormat/>
    <w:uiPriority w:val="0"/>
    <w:rPr>
      <w:rFonts w:ascii="Times New Roman" w:hAnsi="Times New Roman" w:eastAsia="宋体" w:cs="Times New Roman"/>
      <w:kern w:val="1"/>
      <w:sz w:val="21"/>
      <w:lang w:val="en-US" w:eastAsia="zh-CN"/>
    </w:rPr>
  </w:style>
  <w:style w:type="paragraph" w:customStyle="1" w:styleId="113">
    <w:name w:val="Char"/>
    <w:basedOn w:val="1"/>
    <w:link w:val="112"/>
    <w:autoRedefine/>
    <w:qFormat/>
    <w:uiPriority w:val="0"/>
    <w:pPr>
      <w:widowControl/>
      <w:spacing w:after="160" w:line="240" w:lineRule="exact"/>
      <w:jc w:val="left"/>
    </w:pPr>
    <w:rPr>
      <w:color w:val="auto"/>
      <w:kern w:val="1"/>
    </w:rPr>
  </w:style>
  <w:style w:type="character" w:customStyle="1" w:styleId="114">
    <w:name w:val="纯文本 Char1"/>
    <w:autoRedefine/>
    <w:qFormat/>
    <w:uiPriority w:val="0"/>
    <w:rPr>
      <w:rFonts w:ascii="宋体" w:hAnsi="宋体" w:eastAsia="宋体" w:cs="Times New Roman"/>
      <w:kern w:val="0"/>
    </w:rPr>
  </w:style>
  <w:style w:type="character" w:customStyle="1" w:styleId="115">
    <w:name w:val="font21"/>
    <w:autoRedefine/>
    <w:qFormat/>
    <w:uiPriority w:val="0"/>
    <w:rPr>
      <w:rFonts w:ascii="Calibri" w:hAnsi="Calibri" w:eastAsia="宋体" w:cs="Times New Roman"/>
      <w:color w:val="000000"/>
      <w:sz w:val="21"/>
      <w:u w:val="none"/>
    </w:rPr>
  </w:style>
  <w:style w:type="paragraph" w:customStyle="1" w:styleId="116">
    <w:name w:val="可研正文"/>
    <w:basedOn w:val="1"/>
    <w:autoRedefine/>
    <w:qFormat/>
    <w:uiPriority w:val="0"/>
    <w:pPr>
      <w:spacing w:line="360" w:lineRule="auto"/>
      <w:ind w:firstLine="200" w:firstLineChars="200"/>
    </w:pPr>
    <w:rPr>
      <w:rFonts w:eastAsia="仿宋_GB2312"/>
      <w:bCs/>
      <w:sz w:val="28"/>
    </w:rPr>
  </w:style>
  <w:style w:type="paragraph" w:customStyle="1" w:styleId="117">
    <w:name w:val="Body Text 2*"/>
    <w:basedOn w:val="1"/>
    <w:autoRedefine/>
    <w:qFormat/>
    <w:uiPriority w:val="0"/>
    <w:pPr>
      <w:spacing w:line="300" w:lineRule="auto"/>
      <w:jc w:val="center"/>
    </w:pPr>
    <w:rPr>
      <w:rFonts w:ascii="宋体" w:hAnsi="宋体"/>
      <w:kern w:val="1"/>
      <w:sz w:val="24"/>
    </w:rPr>
  </w:style>
  <w:style w:type="paragraph" w:customStyle="1" w:styleId="118">
    <w:name w:val="_Style 3"/>
    <w:basedOn w:val="1"/>
    <w:autoRedefine/>
    <w:qFormat/>
    <w:uiPriority w:val="0"/>
    <w:pPr>
      <w:spacing w:line="360" w:lineRule="auto"/>
      <w:ind w:firstLine="420" w:firstLineChars="200"/>
    </w:pPr>
    <w:rPr>
      <w:kern w:val="2"/>
      <w:szCs w:val="24"/>
    </w:rPr>
  </w:style>
  <w:style w:type="paragraph" w:customStyle="1" w:styleId="119">
    <w:name w:val="标题 7 New"/>
    <w:basedOn w:val="1"/>
    <w:next w:val="1"/>
    <w:autoRedefine/>
    <w:qFormat/>
    <w:uiPriority w:val="0"/>
    <w:pPr>
      <w:keepNext/>
      <w:keepLines/>
      <w:widowControl/>
      <w:tabs>
        <w:tab w:val="left" w:pos="2520"/>
      </w:tabs>
      <w:spacing w:before="240" w:after="64" w:line="317" w:lineRule="auto"/>
      <w:ind w:left="1296" w:hanging="1296"/>
      <w:jc w:val="left"/>
      <w:outlineLvl w:val="6"/>
    </w:pPr>
    <w:rPr>
      <w:b/>
      <w:sz w:val="24"/>
    </w:rPr>
  </w:style>
  <w:style w:type="paragraph" w:customStyle="1" w:styleId="120">
    <w:name w:val="样式"/>
    <w:basedOn w:val="1"/>
    <w:autoRedefine/>
    <w:qFormat/>
    <w:uiPriority w:val="0"/>
    <w:pPr>
      <w:spacing w:before="120" w:after="120" w:line="360" w:lineRule="auto"/>
    </w:pPr>
    <w:rPr>
      <w:rFonts w:ascii="宋体" w:hAnsi="宋体"/>
      <w:kern w:val="1"/>
      <w:sz w:val="24"/>
    </w:rPr>
  </w:style>
  <w:style w:type="paragraph" w:customStyle="1" w:styleId="121">
    <w:name w:val="Char Char Char"/>
    <w:basedOn w:val="1"/>
    <w:autoRedefine/>
    <w:qFormat/>
    <w:uiPriority w:val="0"/>
    <w:rPr>
      <w:rFonts w:ascii="Tahoma" w:hAnsi="Tahoma"/>
      <w:kern w:val="1"/>
      <w:sz w:val="24"/>
    </w:rPr>
  </w:style>
  <w:style w:type="paragraph" w:customStyle="1" w:styleId="122">
    <w:name w:val="样式 正文（首行缩进两字） + 首行缩进:  2 字符"/>
    <w:basedOn w:val="14"/>
    <w:autoRedefine/>
    <w:qFormat/>
    <w:uiPriority w:val="0"/>
    <w:pPr>
      <w:spacing w:line="460" w:lineRule="exact"/>
      <w:ind w:firstLine="536"/>
    </w:pPr>
    <w:rPr>
      <w:spacing w:val="12"/>
      <w:sz w:val="24"/>
    </w:rPr>
  </w:style>
  <w:style w:type="paragraph" w:customStyle="1" w:styleId="123">
    <w:name w:val="Body text|4"/>
    <w:basedOn w:val="1"/>
    <w:autoRedefine/>
    <w:qFormat/>
    <w:uiPriority w:val="0"/>
    <w:pPr>
      <w:ind w:hanging="2000"/>
    </w:pPr>
    <w:rPr>
      <w:sz w:val="20"/>
      <w:u w:val="single"/>
      <w:lang w:val="zh-CN"/>
    </w:rPr>
  </w:style>
  <w:style w:type="paragraph" w:styleId="124">
    <w:name w:val="List Paragraph"/>
    <w:basedOn w:val="1"/>
    <w:autoRedefine/>
    <w:qFormat/>
    <w:uiPriority w:val="34"/>
    <w:pPr>
      <w:ind w:firstLine="420" w:firstLineChars="200"/>
    </w:pPr>
  </w:style>
  <w:style w:type="paragraph" w:customStyle="1" w:styleId="125">
    <w:name w:val="Char Char Char Char Char Char Char"/>
    <w:basedOn w:val="1"/>
    <w:autoRedefine/>
    <w:qFormat/>
    <w:uiPriority w:val="0"/>
    <w:rPr>
      <w:rFonts w:ascii="Tahoma" w:hAnsi="Tahoma"/>
      <w:kern w:val="1"/>
      <w:sz w:val="24"/>
    </w:rPr>
  </w:style>
  <w:style w:type="paragraph" w:customStyle="1" w:styleId="126">
    <w:name w:val="居中"/>
    <w:basedOn w:val="1"/>
    <w:autoRedefine/>
    <w:qFormat/>
    <w:uiPriority w:val="0"/>
    <w:pPr>
      <w:spacing w:line="260" w:lineRule="exact"/>
      <w:jc w:val="center"/>
    </w:pPr>
    <w:rPr>
      <w:kern w:val="1"/>
    </w:rPr>
  </w:style>
  <w:style w:type="paragraph" w:customStyle="1" w:styleId="127">
    <w:name w:val="ÕýÎÄ"/>
    <w:autoRedefine/>
    <w:qFormat/>
    <w:uiPriority w:val="0"/>
    <w:pPr>
      <w:widowControl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Body text|2"/>
    <w:basedOn w:val="1"/>
    <w:autoRedefine/>
    <w:qFormat/>
    <w:uiPriority w:val="0"/>
    <w:pPr>
      <w:spacing w:after="120"/>
    </w:pPr>
    <w:rPr>
      <w:rFonts w:ascii="宋体" w:hAnsi="宋体" w:cs="宋体"/>
      <w:sz w:val="17"/>
      <w:szCs w:val="17"/>
      <w:lang w:val="zh-TW" w:eastAsia="zh-TW" w:bidi="zh-TW"/>
    </w:rPr>
  </w:style>
  <w:style w:type="paragraph" w:customStyle="1" w:styleId="129">
    <w:name w:val="默认段落字体 Para Char Char Char Char Char Char Char"/>
    <w:basedOn w:val="1"/>
    <w:autoRedefine/>
    <w:qFormat/>
    <w:uiPriority w:val="0"/>
    <w:rPr>
      <w:rFonts w:ascii="Tahoma" w:hAnsi="Tahoma"/>
      <w:b/>
      <w:kern w:val="1"/>
      <w:sz w:val="24"/>
    </w:rPr>
  </w:style>
  <w:style w:type="paragraph" w:customStyle="1" w:styleId="130">
    <w:name w:val="默认段落字体 Para Char Char Char Char Char Char Char Char Char1 Char Char Char Char"/>
    <w:basedOn w:val="1"/>
    <w:autoRedefine/>
    <w:qFormat/>
    <w:uiPriority w:val="0"/>
    <w:rPr>
      <w:rFonts w:ascii="Tahoma" w:hAnsi="Tahoma"/>
      <w:sz w:val="24"/>
    </w:rPr>
  </w:style>
  <w:style w:type="paragraph" w:customStyle="1" w:styleId="131">
    <w:name w:val="item1.1"/>
    <w:basedOn w:val="1"/>
    <w:autoRedefine/>
    <w:qFormat/>
    <w:uiPriority w:val="0"/>
    <w:pPr>
      <w:spacing w:line="480" w:lineRule="exact"/>
    </w:pPr>
    <w:rPr>
      <w:rFonts w:ascii="宋体" w:hAnsi="宋体"/>
      <w:kern w:val="1"/>
      <w:sz w:val="28"/>
    </w:rPr>
  </w:style>
  <w:style w:type="paragraph" w:customStyle="1" w:styleId="132">
    <w:name w:val="首行缩进"/>
    <w:basedOn w:val="1"/>
    <w:autoRedefine/>
    <w:qFormat/>
    <w:uiPriority w:val="0"/>
    <w:pPr>
      <w:spacing w:line="360" w:lineRule="auto"/>
      <w:ind w:firstLine="480" w:firstLineChars="200"/>
    </w:pPr>
    <w:rPr>
      <w:sz w:val="24"/>
      <w:lang w:val="zh-CN"/>
    </w:rPr>
  </w:style>
  <w:style w:type="paragraph" w:customStyle="1" w:styleId="133">
    <w:name w:val="样式 (符号) 宋体"/>
    <w:basedOn w:val="1"/>
    <w:autoRedefine/>
    <w:qFormat/>
    <w:uiPriority w:val="0"/>
    <w:pPr>
      <w:ind w:firstLine="420"/>
    </w:pPr>
    <w:rPr>
      <w:kern w:val="1"/>
    </w:rPr>
  </w:style>
  <w:style w:type="paragraph" w:customStyle="1" w:styleId="134">
    <w:name w:val="Char3"/>
    <w:basedOn w:val="1"/>
    <w:autoRedefine/>
    <w:qFormat/>
    <w:uiPriority w:val="0"/>
    <w:pPr>
      <w:tabs>
        <w:tab w:val="left" w:pos="360"/>
      </w:tabs>
    </w:pPr>
    <w:rPr>
      <w:kern w:val="1"/>
      <w:sz w:val="24"/>
    </w:rPr>
  </w:style>
  <w:style w:type="paragraph" w:customStyle="1" w:styleId="135">
    <w:name w:val="Char Char7 Char"/>
    <w:basedOn w:val="1"/>
    <w:autoRedefine/>
    <w:qFormat/>
    <w:uiPriority w:val="0"/>
    <w:pPr>
      <w:tabs>
        <w:tab w:val="left" w:pos="425"/>
      </w:tabs>
      <w:ind w:left="420" w:firstLine="270"/>
    </w:pPr>
    <w:rPr>
      <w:rFonts w:ascii="宋体" w:hAnsi="宋体"/>
      <w:color w:val="5E5E5E"/>
    </w:rPr>
  </w:style>
  <w:style w:type="paragraph" w:customStyle="1" w:styleId="13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7">
    <w:name w:val="Char2"/>
    <w:basedOn w:val="1"/>
    <w:autoRedefine/>
    <w:qFormat/>
    <w:uiPriority w:val="0"/>
    <w:pPr>
      <w:jc w:val="center"/>
    </w:pPr>
    <w:rPr>
      <w:kern w:val="1"/>
      <w:sz w:val="24"/>
    </w:rPr>
  </w:style>
  <w:style w:type="paragraph" w:customStyle="1" w:styleId="138">
    <w:name w:val="标题1"/>
    <w:basedOn w:val="35"/>
    <w:autoRedefine/>
    <w:qFormat/>
    <w:uiPriority w:val="0"/>
    <w:pPr>
      <w:widowControl/>
      <w:tabs>
        <w:tab w:val="clear" w:pos="9127"/>
      </w:tabs>
      <w:spacing w:before="120" w:after="120" w:line="420" w:lineRule="exact"/>
      <w:ind w:left="0" w:firstLine="0"/>
    </w:pPr>
    <w:rPr>
      <w:rFonts w:ascii="宋体" w:hAnsi="宋体" w:eastAsia="宋体"/>
      <w:kern w:val="0"/>
      <w:sz w:val="44"/>
    </w:rPr>
  </w:style>
  <w:style w:type="paragraph" w:customStyle="1" w:styleId="139">
    <w:name w:val="_Style 136"/>
    <w:autoRedefine/>
    <w:qFormat/>
    <w:uiPriority w:val="0"/>
    <w:rPr>
      <w:rFonts w:ascii="Times New Roman" w:hAnsi="Times New Roman" w:eastAsia="宋体" w:cs="Times New Roman"/>
      <w:color w:val="000000"/>
      <w:kern w:val="1"/>
      <w:sz w:val="21"/>
      <w:lang w:val="en-US" w:eastAsia="zh-CN" w:bidi="ar-SA"/>
    </w:rPr>
  </w:style>
  <w:style w:type="paragraph" w:customStyle="1" w:styleId="140">
    <w:name w:val="4"/>
    <w:basedOn w:val="1"/>
    <w:next w:val="27"/>
    <w:autoRedefine/>
    <w:qFormat/>
    <w:uiPriority w:val="0"/>
    <w:pPr>
      <w:spacing w:line="520" w:lineRule="exact"/>
    </w:pPr>
    <w:rPr>
      <w:rFonts w:ascii="宋体" w:hAnsi="Courier New"/>
      <w:color w:val="auto"/>
      <w:kern w:val="2"/>
    </w:rPr>
  </w:style>
  <w:style w:type="paragraph" w:customStyle="1" w:styleId="141">
    <w:name w:val="样式 首行缩进:  2 字符"/>
    <w:basedOn w:val="1"/>
    <w:autoRedefine/>
    <w:qFormat/>
    <w:uiPriority w:val="0"/>
    <w:pPr>
      <w:ind w:firstLine="420"/>
    </w:pPr>
    <w:rPr>
      <w:kern w:val="1"/>
    </w:rPr>
  </w:style>
  <w:style w:type="paragraph" w:customStyle="1" w:styleId="142">
    <w:name w:val="PlainText"/>
    <w:basedOn w:val="1"/>
    <w:autoRedefine/>
    <w:qFormat/>
    <w:uiPriority w:val="0"/>
    <w:pPr>
      <w:jc w:val="left"/>
    </w:pPr>
    <w:rPr>
      <w:rFonts w:hAnsi="Courier New"/>
    </w:rPr>
  </w:style>
  <w:style w:type="paragraph" w:customStyle="1" w:styleId="143">
    <w:name w:val="Char Char Char1"/>
    <w:basedOn w:val="1"/>
    <w:autoRedefine/>
    <w:qFormat/>
    <w:uiPriority w:val="0"/>
    <w:rPr>
      <w:kern w:val="1"/>
    </w:rPr>
  </w:style>
  <w:style w:type="paragraph" w:customStyle="1" w:styleId="144">
    <w:name w:val="文档正文"/>
    <w:basedOn w:val="1"/>
    <w:autoRedefine/>
    <w:qFormat/>
    <w:uiPriority w:val="0"/>
    <w:pPr>
      <w:spacing w:line="480" w:lineRule="atLeast"/>
      <w:ind w:firstLine="567"/>
    </w:pPr>
    <w:rPr>
      <w:rFonts w:ascii="仿宋_GB2312" w:hAnsi="仿宋_GB2312" w:eastAsia="仿宋"/>
      <w:sz w:val="28"/>
    </w:rPr>
  </w:style>
  <w:style w:type="paragraph" w:customStyle="1" w:styleId="145">
    <w:name w:val="*正文"/>
    <w:basedOn w:val="1"/>
    <w:autoRedefine/>
    <w:qFormat/>
    <w:uiPriority w:val="0"/>
    <w:pPr>
      <w:spacing w:line="360" w:lineRule="auto"/>
      <w:ind w:firstLine="200" w:firstLineChars="200"/>
    </w:pPr>
    <w:rPr>
      <w:rFonts w:ascii="宋体" w:hAnsi="宋体"/>
      <w:sz w:val="24"/>
    </w:rPr>
  </w:style>
  <w:style w:type="paragraph" w:customStyle="1" w:styleId="146">
    <w:name w:val="样式1"/>
    <w:basedOn w:val="35"/>
    <w:autoRedefine/>
    <w:qFormat/>
    <w:uiPriority w:val="0"/>
    <w:pPr>
      <w:spacing w:line="360" w:lineRule="exact"/>
      <w:ind w:firstLine="200" w:firstLineChars="200"/>
    </w:pPr>
    <w:rPr>
      <w:rFonts w:ascii="Arial" w:hAnsi="Arial" w:eastAsia="宋体"/>
    </w:rPr>
  </w:style>
  <w:style w:type="paragraph" w:customStyle="1" w:styleId="147">
    <w:name w:val="xl24"/>
    <w:basedOn w:val="1"/>
    <w:autoRedefine/>
    <w:qFormat/>
    <w:uiPriority w:val="0"/>
    <w:pPr>
      <w:widowControl/>
      <w:spacing w:before="100" w:beforeAutospacing="1" w:after="100" w:afterAutospacing="1"/>
      <w:jc w:val="right"/>
    </w:pPr>
    <w:rPr>
      <w:rFonts w:ascii="宋体" w:hAnsi="宋体"/>
      <w:sz w:val="24"/>
    </w:rPr>
  </w:style>
  <w:style w:type="paragraph" w:customStyle="1" w:styleId="148">
    <w:name w:val="+正文"/>
    <w:basedOn w:val="1"/>
    <w:autoRedefine/>
    <w:qFormat/>
    <w:uiPriority w:val="0"/>
    <w:pPr>
      <w:spacing w:line="360" w:lineRule="auto"/>
      <w:ind w:firstLine="200"/>
    </w:pPr>
    <w:rPr>
      <w:kern w:val="1"/>
      <w:sz w:val="24"/>
    </w:rPr>
  </w:style>
  <w:style w:type="paragraph" w:customStyle="1" w:styleId="149">
    <w:name w:val="Body text|1"/>
    <w:basedOn w:val="1"/>
    <w:autoRedefine/>
    <w:qFormat/>
    <w:uiPriority w:val="0"/>
    <w:pPr>
      <w:spacing w:line="374" w:lineRule="auto"/>
      <w:ind w:firstLine="400"/>
    </w:pPr>
    <w:rPr>
      <w:rFonts w:ascii="宋体" w:hAnsi="宋体" w:cs="宋体"/>
      <w:sz w:val="28"/>
      <w:szCs w:val="28"/>
      <w:lang w:val="zh-TW" w:eastAsia="zh-TW" w:bidi="zh-TW"/>
    </w:rPr>
  </w:style>
  <w:style w:type="paragraph" w:customStyle="1" w:styleId="150">
    <w:name w:val="Char Char2 Char Char"/>
    <w:basedOn w:val="1"/>
    <w:autoRedefine/>
    <w:qFormat/>
    <w:uiPriority w:val="0"/>
    <w:rPr>
      <w:kern w:val="1"/>
    </w:rPr>
  </w:style>
  <w:style w:type="paragraph" w:customStyle="1" w:styleId="151">
    <w:name w:val="样式 首行缩进: 2 字符"/>
    <w:basedOn w:val="1"/>
    <w:autoRedefine/>
    <w:qFormat/>
    <w:uiPriority w:val="0"/>
    <w:pPr>
      <w:ind w:firstLine="420"/>
    </w:pPr>
    <w:rPr>
      <w:kern w:val="1"/>
    </w:rPr>
  </w:style>
  <w:style w:type="paragraph" w:customStyle="1" w:styleId="152">
    <w:name w:val="No Spacing*"/>
    <w:autoRedefine/>
    <w:qFormat/>
    <w:uiPriority w:val="0"/>
    <w:rPr>
      <w:rFonts w:ascii="Times New Roman" w:hAnsi="Times New Roman" w:eastAsia="宋体" w:cs="Times New Roman"/>
      <w:color w:val="000000"/>
      <w:sz w:val="22"/>
      <w:lang w:val="en-US" w:eastAsia="zh-CN" w:bidi="ar-SA"/>
    </w:rPr>
  </w:style>
  <w:style w:type="paragraph" w:customStyle="1" w:styleId="153">
    <w:name w:val="标准文件_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customStyle="1" w:styleId="154">
    <w:name w:val="标书正文"/>
    <w:basedOn w:val="1"/>
    <w:autoRedefine/>
    <w:qFormat/>
    <w:uiPriority w:val="0"/>
    <w:pPr>
      <w:tabs>
        <w:tab w:val="left" w:pos="600"/>
      </w:tabs>
      <w:spacing w:line="480" w:lineRule="atLeast"/>
      <w:ind w:firstLine="480"/>
    </w:pPr>
    <w:rPr>
      <w:kern w:val="1"/>
      <w:sz w:val="24"/>
    </w:rPr>
  </w:style>
  <w:style w:type="paragraph" w:customStyle="1" w:styleId="155">
    <w:name w:val="Table Text"/>
    <w:basedOn w:val="1"/>
    <w:autoRedefine/>
    <w:semiHidden/>
    <w:qFormat/>
    <w:uiPriority w:val="0"/>
    <w:rPr>
      <w:rFonts w:ascii="宋体" w:hAnsi="宋体" w:cs="宋体"/>
      <w:sz w:val="23"/>
      <w:szCs w:val="23"/>
      <w:lang w:eastAsia="en-US"/>
    </w:rPr>
  </w:style>
  <w:style w:type="table" w:customStyle="1" w:styleId="1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30100</Words>
  <Characters>31990</Characters>
  <Lines>255</Lines>
  <Paragraphs>72</Paragraphs>
  <TotalTime>311</TotalTime>
  <ScaleCrop>false</ScaleCrop>
  <LinksUpToDate>false</LinksUpToDate>
  <CharactersWithSpaces>33754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2020-11-17T14:21:00Z</dcterms:created>
  <dc:creator>成套</dc:creator>
  <cp:lastModifiedBy>Miss Yogert</cp:lastModifiedBy>
  <cp:lastPrinted>2024-05-11T01:58:05Z</cp:lastPrinted>
  <dcterms:modified xsi:type="dcterms:W3CDTF">2024-05-11T02:33:28Z</dcterms:modified>
  <dc:title>生产资料市场一期一阶段</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4A43F7A8D40B4CD681C772F2C84CF636_13</vt:lpwstr>
  </property>
</Properties>
</file>