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250" w:line="312" w:lineRule="auto"/>
      </w:pPr>
      <w:r>
        <w:drawing>
          <wp:inline distT="0" distB="0" distL="114300" distR="114300">
            <wp:extent cx="1274445" cy="1015365"/>
            <wp:effectExtent l="0" t="0" r="19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1274445" cy="1015365"/>
                    </a:xfrm>
                    <a:prstGeom prst="rect">
                      <a:avLst/>
                    </a:prstGeom>
                    <a:noFill/>
                    <a:ln>
                      <a:noFill/>
                    </a:ln>
                  </pic:spPr>
                </pic:pic>
              </a:graphicData>
            </a:graphic>
          </wp:inline>
        </w:drawing>
      </w:r>
    </w:p>
    <w:p>
      <w:pPr>
        <w:spacing w:beforeLines="250" w:line="312" w:lineRule="auto"/>
        <w:jc w:val="center"/>
        <w:rPr>
          <w:rFonts w:hint="eastAsia" w:ascii="宋体" w:hAnsi="宋体" w:eastAsia="宋体" w:cs="宋体"/>
          <w:b/>
          <w:sz w:val="44"/>
          <w:szCs w:val="44"/>
          <w:lang w:eastAsia="zh-CN"/>
        </w:rPr>
      </w:pPr>
      <w:r>
        <w:rPr>
          <w:rFonts w:hint="eastAsia" w:ascii="宋体" w:hAnsi="宋体" w:cs="宋体"/>
          <w:b/>
          <w:sz w:val="44"/>
          <w:szCs w:val="44"/>
          <w:lang w:eastAsia="zh-CN"/>
        </w:rPr>
        <w:t>衢州理工学校智能制造产教融合——零件测绘实训室建设项目</w:t>
      </w:r>
    </w:p>
    <w:p>
      <w:pPr>
        <w:spacing w:beforeLines="250" w:line="312" w:lineRule="auto"/>
        <w:jc w:val="center"/>
        <w:rPr>
          <w:rFonts w:ascii="宋体" w:hAnsi="宋体" w:cs="宋体"/>
          <w:b/>
          <w:sz w:val="44"/>
          <w:szCs w:val="44"/>
        </w:rPr>
      </w:pPr>
    </w:p>
    <w:p>
      <w:pPr>
        <w:spacing w:beforeLines="250" w:line="312" w:lineRule="auto"/>
        <w:jc w:val="center"/>
        <w:rPr>
          <w:rFonts w:ascii="宋体" w:hAnsi="宋体" w:cs="宋体"/>
          <w:b/>
          <w:sz w:val="72"/>
          <w:szCs w:val="72"/>
        </w:rPr>
      </w:pPr>
      <w:r>
        <w:rPr>
          <w:rFonts w:hint="eastAsia" w:ascii="宋体" w:hAnsi="宋体" w:cs="宋体"/>
          <w:b/>
          <w:sz w:val="72"/>
          <w:szCs w:val="72"/>
        </w:rPr>
        <w:t>招标文件</w:t>
      </w:r>
    </w:p>
    <w:p>
      <w:pPr>
        <w:spacing w:line="312" w:lineRule="auto"/>
        <w:ind w:firstLine="2560" w:firstLineChars="800"/>
        <w:rPr>
          <w:rFonts w:ascii="宋体" w:hAnsi="宋体" w:cs="宋体"/>
          <w:sz w:val="32"/>
          <w:szCs w:val="32"/>
        </w:rPr>
      </w:pPr>
      <w:r>
        <w:rPr>
          <w:rFonts w:hint="eastAsia" w:ascii="宋体" w:hAnsi="宋体" w:cs="宋体"/>
          <w:sz w:val="32"/>
          <w:szCs w:val="32"/>
        </w:rPr>
        <w:t>项目编号：</w:t>
      </w:r>
      <w:r>
        <w:rPr>
          <w:rFonts w:hint="eastAsia" w:ascii="宋体" w:hAnsi="宋体" w:cs="宋体"/>
          <w:sz w:val="32"/>
          <w:szCs w:val="32"/>
          <w:lang w:eastAsia="zh-CN"/>
        </w:rPr>
        <w:t>kxqz202111</w:t>
      </w:r>
      <w:r>
        <w:rPr>
          <w:rFonts w:hint="eastAsia" w:ascii="宋体" w:hAnsi="宋体" w:cs="宋体"/>
          <w:sz w:val="32"/>
          <w:szCs w:val="32"/>
        </w:rPr>
        <w:t xml:space="preserve"> </w:t>
      </w:r>
    </w:p>
    <w:p>
      <w:pPr>
        <w:spacing w:line="312" w:lineRule="auto"/>
        <w:ind w:firstLine="2240" w:firstLineChars="700"/>
        <w:rPr>
          <w:rFonts w:ascii="宋体" w:hAnsi="宋体" w:cs="宋体"/>
          <w:sz w:val="32"/>
          <w:szCs w:val="32"/>
        </w:rPr>
      </w:pPr>
    </w:p>
    <w:p>
      <w:pPr>
        <w:pStyle w:val="19"/>
        <w:ind w:left="560" w:firstLine="640"/>
        <w:rPr>
          <w:rFonts w:ascii="宋体" w:hAnsi="宋体" w:cs="宋体"/>
          <w:sz w:val="32"/>
          <w:szCs w:val="32"/>
        </w:rPr>
      </w:pPr>
    </w:p>
    <w:p>
      <w:pPr>
        <w:pStyle w:val="19"/>
        <w:ind w:left="560" w:firstLine="640"/>
        <w:rPr>
          <w:rFonts w:ascii="宋体" w:hAnsi="宋体" w:cs="宋体"/>
          <w:sz w:val="32"/>
          <w:szCs w:val="32"/>
        </w:rPr>
      </w:pPr>
    </w:p>
    <w:p>
      <w:pPr>
        <w:spacing w:line="312" w:lineRule="auto"/>
        <w:rPr>
          <w:rFonts w:ascii="宋体" w:hAnsi="宋体" w:cs="宋体"/>
          <w:sz w:val="32"/>
          <w:szCs w:val="32"/>
        </w:rPr>
      </w:pPr>
    </w:p>
    <w:p>
      <w:pPr>
        <w:pStyle w:val="8"/>
      </w:pPr>
    </w:p>
    <w:p>
      <w:pPr>
        <w:spacing w:line="312" w:lineRule="auto"/>
        <w:rPr>
          <w:rFonts w:hint="eastAsia" w:ascii="宋体" w:hAnsi="宋体" w:eastAsia="宋体" w:cs="宋体"/>
          <w:sz w:val="32"/>
          <w:szCs w:val="32"/>
          <w:lang w:eastAsia="zh-CN"/>
        </w:rPr>
      </w:pPr>
      <w:r>
        <w:rPr>
          <w:rFonts w:hint="eastAsia" w:ascii="宋体" w:hAnsi="宋体" w:cs="宋体"/>
          <w:sz w:val="32"/>
          <w:szCs w:val="32"/>
        </w:rPr>
        <w:t>招 标  人：</w:t>
      </w:r>
      <w:r>
        <w:rPr>
          <w:rFonts w:hint="eastAsia" w:ascii="宋体" w:hAnsi="宋体" w:cs="宋体"/>
          <w:sz w:val="32"/>
          <w:szCs w:val="32"/>
          <w:lang w:eastAsia="zh-CN"/>
        </w:rPr>
        <w:t>浙江省衢州理工学校</w:t>
      </w:r>
    </w:p>
    <w:p>
      <w:pPr>
        <w:spacing w:line="312" w:lineRule="auto"/>
        <w:rPr>
          <w:rFonts w:ascii="宋体" w:hAnsi="宋体" w:cs="宋体"/>
          <w:sz w:val="32"/>
          <w:szCs w:val="32"/>
        </w:rPr>
      </w:pPr>
    </w:p>
    <w:p>
      <w:pPr>
        <w:spacing w:line="312" w:lineRule="auto"/>
        <w:rPr>
          <w:rFonts w:ascii="宋体" w:hAnsi="宋体" w:cs="宋体"/>
          <w:sz w:val="32"/>
          <w:szCs w:val="32"/>
        </w:rPr>
      </w:pPr>
      <w:r>
        <w:rPr>
          <w:rFonts w:hint="eastAsia" w:ascii="宋体" w:hAnsi="宋体" w:cs="宋体"/>
          <w:sz w:val="32"/>
          <w:szCs w:val="32"/>
        </w:rPr>
        <w:t>招标代理机构：浙江科信联合工程项目管理咨询有限公司</w:t>
      </w:r>
    </w:p>
    <w:p>
      <w:pPr>
        <w:spacing w:line="312" w:lineRule="auto"/>
        <w:jc w:val="center"/>
        <w:rPr>
          <w:rFonts w:ascii="宋体" w:hAnsi="宋体" w:cs="宋体"/>
          <w:sz w:val="32"/>
          <w:szCs w:val="32"/>
        </w:rPr>
      </w:pPr>
    </w:p>
    <w:p>
      <w:pPr>
        <w:spacing w:line="312" w:lineRule="auto"/>
        <w:jc w:val="center"/>
        <w:rPr>
          <w:rFonts w:ascii="宋体" w:hAnsi="宋体" w:cs="宋体"/>
          <w:sz w:val="32"/>
          <w:szCs w:val="32"/>
        </w:rPr>
        <w:sectPr>
          <w:headerReference r:id="rId3" w:type="default"/>
          <w:footerReference r:id="rId4" w:type="default"/>
          <w:pgSz w:w="11906" w:h="16838"/>
          <w:pgMar w:top="1553" w:right="1553" w:bottom="1553" w:left="1553" w:header="851" w:footer="992" w:gutter="397"/>
          <w:cols w:space="720" w:num="1"/>
          <w:docGrid w:linePitch="312" w:charSpace="0"/>
        </w:sectPr>
      </w:pPr>
      <w:r>
        <w:rPr>
          <w:rFonts w:hint="eastAsia" w:ascii="宋体" w:hAnsi="宋体" w:cs="宋体"/>
          <w:sz w:val="32"/>
          <w:szCs w:val="32"/>
        </w:rPr>
        <w:t>二〇二一年</w:t>
      </w:r>
      <w:r>
        <w:rPr>
          <w:rFonts w:hint="eastAsia" w:ascii="宋体" w:hAnsi="宋体" w:cs="宋体"/>
          <w:sz w:val="32"/>
          <w:szCs w:val="32"/>
          <w:lang w:val="en-US" w:eastAsia="zh-CN"/>
        </w:rPr>
        <w:t>八</w:t>
      </w:r>
      <w:r>
        <w:rPr>
          <w:rFonts w:hint="eastAsia" w:ascii="宋体" w:hAnsi="宋体" w:cs="宋体"/>
          <w:sz w:val="32"/>
          <w:szCs w:val="32"/>
        </w:rPr>
        <w:t>月</w:t>
      </w:r>
    </w:p>
    <w:p>
      <w:pPr>
        <w:pStyle w:val="12"/>
        <w:keepNext w:val="0"/>
        <w:keepLines w:val="0"/>
        <w:pageBreakBefore w:val="0"/>
        <w:widowControl w:val="0"/>
        <w:tabs>
          <w:tab w:val="right" w:leader="dot" w:pos="8400"/>
        </w:tabs>
        <w:kinsoku/>
        <w:wordWrap/>
        <w:overflowPunct/>
        <w:topLinePunct w:val="0"/>
        <w:autoSpaceDE/>
        <w:autoSpaceDN/>
        <w:bidi w:val="0"/>
        <w:snapToGrid/>
        <w:spacing w:beforeLines="10" w:line="360" w:lineRule="auto"/>
        <w:jc w:val="center"/>
        <w:rPr>
          <w:rFonts w:hint="eastAsia" w:ascii="Calibri" w:hAnsi="宋体" w:eastAsia="宋体" w:cs="Times New Roman"/>
          <w:b/>
          <w:caps/>
          <w:kern w:val="2"/>
          <w:sz w:val="44"/>
          <w:szCs w:val="44"/>
          <w:lang w:val="en-US" w:eastAsia="zh-CN" w:bidi="ar-SA"/>
        </w:rPr>
      </w:pPr>
      <w:r>
        <w:rPr>
          <w:rFonts w:hint="eastAsia" w:ascii="Calibri" w:hAnsi="宋体" w:eastAsia="宋体" w:cs="Times New Roman"/>
          <w:b/>
          <w:caps/>
          <w:kern w:val="2"/>
          <w:sz w:val="44"/>
          <w:szCs w:val="44"/>
          <w:lang w:val="en-US" w:eastAsia="zh-CN" w:bidi="ar-SA"/>
        </w:rPr>
        <w:t>目  录</w:t>
      </w:r>
    </w:p>
    <w:p>
      <w:pPr>
        <w:pStyle w:val="16"/>
        <w:tabs>
          <w:tab w:val="right" w:leader="dot" w:pos="8800"/>
          <w:tab w:val="clear" w:pos="8364"/>
        </w:tabs>
      </w:pPr>
      <w:r>
        <w:rPr>
          <w:rFonts w:hint="eastAsia" w:ascii="宋体" w:hAnsi="宋体" w:cs="宋体"/>
          <w:bCs/>
          <w:sz w:val="24"/>
          <w:szCs w:val="24"/>
          <w:highlight w:val="none"/>
        </w:rPr>
        <w:fldChar w:fldCharType="begin"/>
      </w:r>
      <w:r>
        <w:rPr>
          <w:rFonts w:hint="eastAsia" w:ascii="宋体" w:hAnsi="宋体" w:cs="宋体"/>
          <w:bCs/>
          <w:sz w:val="24"/>
          <w:szCs w:val="24"/>
          <w:highlight w:val="none"/>
        </w:rPr>
        <w:instrText xml:space="preserve"> TOC \o "1-2" \h \z \u </w:instrText>
      </w:r>
      <w:r>
        <w:rPr>
          <w:rFonts w:hint="eastAsia" w:ascii="宋体" w:hAnsi="宋体" w:cs="宋体"/>
          <w:bCs/>
          <w:sz w:val="24"/>
          <w:szCs w:val="24"/>
          <w:highlight w:val="none"/>
        </w:rPr>
        <w:fldChar w:fldCharType="separate"/>
      </w:r>
      <w:r>
        <w:rPr>
          <w:rFonts w:hint="eastAsia" w:ascii="宋体" w:hAnsi="宋体" w:cs="宋体"/>
          <w:bCs/>
          <w:szCs w:val="24"/>
          <w:highlight w:val="none"/>
        </w:rPr>
        <w:fldChar w:fldCharType="begin"/>
      </w:r>
      <w:r>
        <w:rPr>
          <w:rFonts w:hint="eastAsia" w:ascii="宋体" w:hAnsi="宋体" w:cs="宋体"/>
          <w:bCs/>
          <w:szCs w:val="24"/>
          <w:highlight w:val="none"/>
        </w:rPr>
        <w:instrText xml:space="preserve"> HYPERLINK \l _Toc27274 </w:instrText>
      </w:r>
      <w:r>
        <w:rPr>
          <w:rFonts w:hint="eastAsia" w:ascii="宋体" w:hAnsi="宋体" w:cs="宋体"/>
          <w:bCs/>
          <w:szCs w:val="24"/>
          <w:highlight w:val="none"/>
        </w:rPr>
        <w:fldChar w:fldCharType="separate"/>
      </w:r>
      <w:r>
        <w:rPr>
          <w:rFonts w:hint="eastAsia" w:hAnsi="宋体"/>
          <w:szCs w:val="30"/>
        </w:rPr>
        <w:t>第一部分  招标公告</w:t>
      </w:r>
      <w:r>
        <w:tab/>
      </w:r>
      <w:r>
        <w:fldChar w:fldCharType="begin"/>
      </w:r>
      <w:r>
        <w:instrText xml:space="preserve"> PAGEREF _Toc27274 \h </w:instrText>
      </w:r>
      <w:r>
        <w:fldChar w:fldCharType="separate"/>
      </w:r>
      <w:r>
        <w:t>1</w:t>
      </w:r>
      <w:r>
        <w:fldChar w:fldCharType="end"/>
      </w:r>
      <w:r>
        <w:rPr>
          <w:rFonts w:hint="eastAsia" w:ascii="宋体" w:hAnsi="宋体" w:cs="宋体"/>
          <w:bCs/>
          <w:szCs w:val="24"/>
          <w:highlight w:val="none"/>
        </w:rPr>
        <w:fldChar w:fldCharType="end"/>
      </w:r>
    </w:p>
    <w:p>
      <w:pPr>
        <w:pStyle w:val="16"/>
        <w:tabs>
          <w:tab w:val="right" w:leader="dot" w:pos="8800"/>
          <w:tab w:val="clear" w:pos="8364"/>
        </w:tabs>
      </w:pPr>
      <w:r>
        <w:rPr>
          <w:rFonts w:hint="eastAsia" w:ascii="宋体" w:hAnsi="宋体" w:cs="宋体"/>
          <w:bCs/>
          <w:szCs w:val="24"/>
          <w:highlight w:val="none"/>
        </w:rPr>
        <w:fldChar w:fldCharType="begin"/>
      </w:r>
      <w:r>
        <w:rPr>
          <w:rFonts w:hint="eastAsia" w:ascii="宋体" w:hAnsi="宋体" w:cs="宋体"/>
          <w:bCs/>
          <w:szCs w:val="24"/>
          <w:highlight w:val="none"/>
        </w:rPr>
        <w:instrText xml:space="preserve"> HYPERLINK \l _Toc183 </w:instrText>
      </w:r>
      <w:r>
        <w:rPr>
          <w:rFonts w:hint="eastAsia" w:ascii="宋体" w:hAnsi="宋体" w:cs="宋体"/>
          <w:bCs/>
          <w:szCs w:val="24"/>
          <w:highlight w:val="none"/>
        </w:rPr>
        <w:fldChar w:fldCharType="separate"/>
      </w:r>
      <w:r>
        <w:rPr>
          <w:rFonts w:hint="eastAsia" w:hAnsi="宋体"/>
          <w:szCs w:val="30"/>
        </w:rPr>
        <w:t>第二部分  投标人须知</w:t>
      </w:r>
      <w:r>
        <w:tab/>
      </w:r>
      <w:r>
        <w:fldChar w:fldCharType="begin"/>
      </w:r>
      <w:r>
        <w:instrText xml:space="preserve"> PAGEREF _Toc183 \h </w:instrText>
      </w:r>
      <w:r>
        <w:fldChar w:fldCharType="separate"/>
      </w:r>
      <w:r>
        <w:t>4</w:t>
      </w:r>
      <w:r>
        <w:fldChar w:fldCharType="end"/>
      </w:r>
      <w:r>
        <w:rPr>
          <w:rFonts w:hint="eastAsia" w:ascii="宋体" w:hAnsi="宋体" w:cs="宋体"/>
          <w:bCs/>
          <w:szCs w:val="24"/>
          <w:highlight w:val="none"/>
        </w:rPr>
        <w:fldChar w:fldCharType="end"/>
      </w:r>
    </w:p>
    <w:p>
      <w:pPr>
        <w:pStyle w:val="16"/>
        <w:tabs>
          <w:tab w:val="right" w:leader="dot" w:pos="8800"/>
          <w:tab w:val="clear" w:pos="8364"/>
        </w:tabs>
      </w:pPr>
      <w:r>
        <w:rPr>
          <w:rFonts w:hint="eastAsia" w:ascii="宋体" w:hAnsi="宋体" w:cs="宋体"/>
          <w:bCs/>
          <w:szCs w:val="24"/>
          <w:highlight w:val="none"/>
        </w:rPr>
        <w:fldChar w:fldCharType="begin"/>
      </w:r>
      <w:r>
        <w:rPr>
          <w:rFonts w:hint="eastAsia" w:ascii="宋体" w:hAnsi="宋体" w:cs="宋体"/>
          <w:bCs/>
          <w:szCs w:val="24"/>
          <w:highlight w:val="none"/>
        </w:rPr>
        <w:instrText xml:space="preserve"> HYPERLINK \l _Toc5694 </w:instrText>
      </w:r>
      <w:r>
        <w:rPr>
          <w:rFonts w:hint="eastAsia" w:ascii="宋体" w:hAnsi="宋体" w:cs="宋体"/>
          <w:bCs/>
          <w:szCs w:val="24"/>
          <w:highlight w:val="none"/>
        </w:rPr>
        <w:fldChar w:fldCharType="separate"/>
      </w:r>
      <w:r>
        <w:rPr>
          <w:rFonts w:hint="eastAsia"/>
        </w:rPr>
        <w:t>第三部分</w:t>
      </w:r>
      <w:r>
        <w:rPr>
          <w:rFonts w:hint="eastAsia"/>
          <w:lang w:val="en-US" w:eastAsia="zh-CN"/>
        </w:rPr>
        <w:t xml:space="preserve">  </w:t>
      </w:r>
      <w:r>
        <w:rPr>
          <w:rFonts w:hint="eastAsia"/>
        </w:rPr>
        <w:t>采购内容及需求</w:t>
      </w:r>
      <w:r>
        <w:tab/>
      </w:r>
      <w:r>
        <w:fldChar w:fldCharType="begin"/>
      </w:r>
      <w:r>
        <w:instrText xml:space="preserve"> PAGEREF _Toc5694 \h </w:instrText>
      </w:r>
      <w:r>
        <w:fldChar w:fldCharType="separate"/>
      </w:r>
      <w:r>
        <w:t>20</w:t>
      </w:r>
      <w:r>
        <w:fldChar w:fldCharType="end"/>
      </w:r>
      <w:r>
        <w:rPr>
          <w:rFonts w:hint="eastAsia" w:ascii="宋体" w:hAnsi="宋体" w:cs="宋体"/>
          <w:bCs/>
          <w:szCs w:val="24"/>
          <w:highlight w:val="none"/>
        </w:rPr>
        <w:fldChar w:fldCharType="end"/>
      </w:r>
    </w:p>
    <w:p>
      <w:pPr>
        <w:pStyle w:val="16"/>
        <w:tabs>
          <w:tab w:val="right" w:leader="dot" w:pos="8800"/>
          <w:tab w:val="clear" w:pos="8364"/>
        </w:tabs>
      </w:pPr>
      <w:r>
        <w:rPr>
          <w:rFonts w:hint="eastAsia" w:ascii="宋体" w:hAnsi="宋体" w:cs="宋体"/>
          <w:bCs/>
          <w:szCs w:val="24"/>
          <w:highlight w:val="none"/>
        </w:rPr>
        <w:fldChar w:fldCharType="begin"/>
      </w:r>
      <w:r>
        <w:rPr>
          <w:rFonts w:hint="eastAsia" w:ascii="宋体" w:hAnsi="宋体" w:cs="宋体"/>
          <w:bCs/>
          <w:szCs w:val="24"/>
          <w:highlight w:val="none"/>
        </w:rPr>
        <w:instrText xml:space="preserve"> HYPERLINK \l _Toc10494 </w:instrText>
      </w:r>
      <w:r>
        <w:rPr>
          <w:rFonts w:hint="eastAsia" w:ascii="宋体" w:hAnsi="宋体" w:cs="宋体"/>
          <w:bCs/>
          <w:szCs w:val="24"/>
          <w:highlight w:val="none"/>
        </w:rPr>
        <w:fldChar w:fldCharType="separate"/>
      </w:r>
      <w:r>
        <w:rPr>
          <w:rFonts w:hint="eastAsia"/>
        </w:rPr>
        <w:t>第四部分  合同文本</w:t>
      </w:r>
      <w:r>
        <w:tab/>
      </w:r>
      <w:r>
        <w:fldChar w:fldCharType="begin"/>
      </w:r>
      <w:r>
        <w:instrText xml:space="preserve"> PAGEREF _Toc10494 \h </w:instrText>
      </w:r>
      <w:r>
        <w:fldChar w:fldCharType="separate"/>
      </w:r>
      <w:r>
        <w:t>32</w:t>
      </w:r>
      <w:r>
        <w:fldChar w:fldCharType="end"/>
      </w:r>
      <w:r>
        <w:rPr>
          <w:rFonts w:hint="eastAsia" w:ascii="宋体" w:hAnsi="宋体" w:cs="宋体"/>
          <w:bCs/>
          <w:szCs w:val="24"/>
          <w:highlight w:val="none"/>
        </w:rPr>
        <w:fldChar w:fldCharType="end"/>
      </w:r>
    </w:p>
    <w:p>
      <w:pPr>
        <w:pStyle w:val="16"/>
        <w:tabs>
          <w:tab w:val="right" w:leader="dot" w:pos="8800"/>
          <w:tab w:val="clear" w:pos="8364"/>
        </w:tabs>
      </w:pPr>
      <w:r>
        <w:rPr>
          <w:rFonts w:hint="eastAsia" w:ascii="宋体" w:hAnsi="宋体" w:cs="宋体"/>
          <w:bCs/>
          <w:szCs w:val="24"/>
          <w:highlight w:val="none"/>
        </w:rPr>
        <w:fldChar w:fldCharType="begin"/>
      </w:r>
      <w:r>
        <w:rPr>
          <w:rFonts w:hint="eastAsia" w:ascii="宋体" w:hAnsi="宋体" w:cs="宋体"/>
          <w:bCs/>
          <w:szCs w:val="24"/>
          <w:highlight w:val="none"/>
        </w:rPr>
        <w:instrText xml:space="preserve"> HYPERLINK \l _Toc12804 </w:instrText>
      </w:r>
      <w:r>
        <w:rPr>
          <w:rFonts w:hint="eastAsia" w:ascii="宋体" w:hAnsi="宋体" w:cs="宋体"/>
          <w:bCs/>
          <w:szCs w:val="24"/>
          <w:highlight w:val="none"/>
        </w:rPr>
        <w:fldChar w:fldCharType="separate"/>
      </w:r>
      <w:r>
        <w:rPr>
          <w:rFonts w:hint="eastAsia"/>
        </w:rPr>
        <w:t>第五部分  投标文件部分格式文件</w:t>
      </w:r>
      <w:r>
        <w:tab/>
      </w:r>
      <w:r>
        <w:fldChar w:fldCharType="begin"/>
      </w:r>
      <w:r>
        <w:instrText xml:space="preserve"> PAGEREF _Toc12804 \h </w:instrText>
      </w:r>
      <w:r>
        <w:fldChar w:fldCharType="separate"/>
      </w:r>
      <w:r>
        <w:t>36</w:t>
      </w:r>
      <w:r>
        <w:fldChar w:fldCharType="end"/>
      </w:r>
      <w:r>
        <w:rPr>
          <w:rFonts w:hint="eastAsia" w:ascii="宋体" w:hAnsi="宋体" w:cs="宋体"/>
          <w:bCs/>
          <w:szCs w:val="24"/>
          <w:highlight w:val="none"/>
        </w:rPr>
        <w:fldChar w:fldCharType="end"/>
      </w:r>
    </w:p>
    <w:p>
      <w:pPr>
        <w:pStyle w:val="16"/>
        <w:tabs>
          <w:tab w:val="right" w:leader="dot" w:pos="8800"/>
          <w:tab w:val="clear" w:pos="8364"/>
        </w:tabs>
      </w:pPr>
      <w:r>
        <w:rPr>
          <w:rFonts w:hint="eastAsia" w:ascii="宋体" w:hAnsi="宋体" w:cs="宋体"/>
          <w:bCs/>
          <w:szCs w:val="24"/>
          <w:highlight w:val="none"/>
        </w:rPr>
        <w:fldChar w:fldCharType="begin"/>
      </w:r>
      <w:r>
        <w:rPr>
          <w:rFonts w:hint="eastAsia" w:ascii="宋体" w:hAnsi="宋体" w:cs="宋体"/>
          <w:bCs/>
          <w:szCs w:val="24"/>
          <w:highlight w:val="none"/>
        </w:rPr>
        <w:instrText xml:space="preserve"> HYPERLINK \l _Toc19470 </w:instrText>
      </w:r>
      <w:r>
        <w:rPr>
          <w:rFonts w:hint="eastAsia" w:ascii="宋体" w:hAnsi="宋体" w:cs="宋体"/>
          <w:bCs/>
          <w:szCs w:val="24"/>
          <w:highlight w:val="none"/>
        </w:rPr>
        <w:fldChar w:fldCharType="separate"/>
      </w:r>
      <w:r>
        <w:rPr>
          <w:rFonts w:hint="eastAsia"/>
        </w:rPr>
        <w:t>第六部分  评分办法</w:t>
      </w:r>
      <w:r>
        <w:tab/>
      </w:r>
      <w:r>
        <w:fldChar w:fldCharType="begin"/>
      </w:r>
      <w:r>
        <w:instrText xml:space="preserve"> PAGEREF _Toc19470 \h </w:instrText>
      </w:r>
      <w:r>
        <w:fldChar w:fldCharType="separate"/>
      </w:r>
      <w:r>
        <w:t>65</w:t>
      </w:r>
      <w:r>
        <w:fldChar w:fldCharType="end"/>
      </w:r>
      <w:r>
        <w:rPr>
          <w:rFonts w:hint="eastAsia" w:ascii="宋体" w:hAnsi="宋体" w:cs="宋体"/>
          <w:bCs/>
          <w:szCs w:val="24"/>
          <w:highlight w:val="none"/>
        </w:rPr>
        <w:fldChar w:fldCharType="end"/>
      </w:r>
    </w:p>
    <w:p>
      <w:pPr>
        <w:pStyle w:val="17"/>
        <w:tabs>
          <w:tab w:val="right" w:leader="dot" w:pos="8800"/>
          <w:tab w:val="clear" w:pos="8364"/>
        </w:tabs>
      </w:pPr>
    </w:p>
    <w:p>
      <w:pPr>
        <w:keepNext w:val="0"/>
        <w:keepLines w:val="0"/>
        <w:pageBreakBefore w:val="0"/>
        <w:widowControl w:val="0"/>
        <w:tabs>
          <w:tab w:val="right" w:leader="dot" w:pos="8400"/>
          <w:tab w:val="right" w:leader="dot" w:pos="8960"/>
        </w:tabs>
        <w:kinsoku/>
        <w:wordWrap/>
        <w:overflowPunct/>
        <w:topLinePunct w:val="0"/>
        <w:autoSpaceDE/>
        <w:autoSpaceDN/>
        <w:bidi w:val="0"/>
        <w:adjustRightInd/>
        <w:snapToGrid/>
        <w:jc w:val="center"/>
        <w:textAlignment w:val="auto"/>
        <w:rPr>
          <w:rFonts w:hAnsi="宋体"/>
          <w:b/>
          <w:sz w:val="36"/>
        </w:rPr>
      </w:pPr>
      <w:r>
        <w:rPr>
          <w:rFonts w:hint="eastAsia" w:ascii="宋体" w:hAnsi="宋体" w:cs="宋体"/>
          <w:bCs/>
          <w:szCs w:val="24"/>
          <w:highlight w:val="none"/>
        </w:rPr>
        <w:fldChar w:fldCharType="end"/>
      </w:r>
      <w:bookmarkStart w:id="0" w:name="_Toc32624"/>
    </w:p>
    <w:p>
      <w:pPr>
        <w:jc w:val="center"/>
        <w:rPr>
          <w:rFonts w:hAnsi="宋体"/>
          <w:b/>
          <w:sz w:val="36"/>
        </w:rPr>
      </w:pPr>
    </w:p>
    <w:p>
      <w:pPr>
        <w:jc w:val="left"/>
        <w:rPr>
          <w:rFonts w:hAnsi="宋体"/>
          <w:b/>
          <w:sz w:val="36"/>
        </w:rPr>
      </w:pPr>
    </w:p>
    <w:p>
      <w:pPr>
        <w:pStyle w:val="2"/>
        <w:outlineLvl w:val="9"/>
        <w:rPr>
          <w:rFonts w:hAnsi="宋体"/>
          <w:b/>
          <w:sz w:val="36"/>
        </w:rPr>
      </w:pPr>
    </w:p>
    <w:p>
      <w:pPr>
        <w:rPr>
          <w:rFonts w:hAnsi="宋体"/>
          <w:b/>
          <w:sz w:val="36"/>
        </w:rPr>
      </w:pPr>
    </w:p>
    <w:p>
      <w:pPr>
        <w:pStyle w:val="2"/>
        <w:outlineLvl w:val="9"/>
        <w:rPr>
          <w:rFonts w:hAnsi="宋体"/>
          <w:b/>
          <w:sz w:val="36"/>
        </w:rPr>
      </w:pPr>
    </w:p>
    <w:p>
      <w:pPr>
        <w:rPr>
          <w:rFonts w:hAnsi="宋体"/>
          <w:b/>
          <w:sz w:val="36"/>
        </w:rPr>
      </w:pPr>
    </w:p>
    <w:p>
      <w:pPr>
        <w:pStyle w:val="2"/>
        <w:outlineLvl w:val="9"/>
        <w:rPr>
          <w:rFonts w:hAnsi="宋体"/>
          <w:b/>
          <w:sz w:val="36"/>
        </w:rPr>
      </w:pPr>
    </w:p>
    <w:p>
      <w:pPr>
        <w:rPr>
          <w:rFonts w:hAnsi="宋体"/>
          <w:b/>
          <w:sz w:val="36"/>
        </w:rPr>
      </w:pPr>
    </w:p>
    <w:p>
      <w:pPr>
        <w:pStyle w:val="2"/>
        <w:outlineLvl w:val="9"/>
        <w:rPr>
          <w:rFonts w:hAnsi="宋体"/>
          <w:b/>
          <w:sz w:val="36"/>
        </w:rPr>
      </w:pPr>
    </w:p>
    <w:p>
      <w:pPr>
        <w:rPr>
          <w:rFonts w:hAnsi="宋体"/>
          <w:b/>
          <w:sz w:val="36"/>
        </w:rPr>
      </w:pPr>
    </w:p>
    <w:p>
      <w:pPr>
        <w:pStyle w:val="2"/>
        <w:outlineLvl w:val="9"/>
      </w:pPr>
    </w:p>
    <w:p>
      <w:pPr>
        <w:jc w:val="left"/>
        <w:rPr>
          <w:rFonts w:hAnsi="宋体"/>
          <w:b/>
          <w:sz w:val="36"/>
        </w:rPr>
      </w:pPr>
    </w:p>
    <w:p>
      <w:pPr>
        <w:jc w:val="left"/>
        <w:rPr>
          <w:rFonts w:hAnsi="宋体"/>
          <w:b/>
          <w:sz w:val="36"/>
        </w:rPr>
      </w:pPr>
    </w:p>
    <w:p>
      <w:pPr>
        <w:jc w:val="left"/>
        <w:rPr>
          <w:rFonts w:hAnsi="宋体"/>
          <w:b/>
          <w:sz w:val="36"/>
        </w:rPr>
      </w:pPr>
    </w:p>
    <w:p>
      <w:pPr>
        <w:jc w:val="left"/>
        <w:rPr>
          <w:rFonts w:hAnsi="宋体"/>
          <w:b/>
          <w:sz w:val="36"/>
        </w:rPr>
      </w:pPr>
    </w:p>
    <w:p>
      <w:pPr>
        <w:jc w:val="center"/>
        <w:rPr>
          <w:rFonts w:hAnsi="宋体"/>
          <w:b/>
          <w:sz w:val="36"/>
        </w:rPr>
      </w:pPr>
    </w:p>
    <w:p>
      <w:pPr>
        <w:jc w:val="center"/>
        <w:rPr>
          <w:rFonts w:hAnsi="宋体"/>
          <w:b/>
          <w:sz w:val="36"/>
        </w:rPr>
      </w:pPr>
    </w:p>
    <w:p>
      <w:pPr>
        <w:jc w:val="center"/>
        <w:rPr>
          <w:rFonts w:hAnsi="宋体"/>
          <w:b/>
          <w:sz w:val="36"/>
        </w:rPr>
      </w:pPr>
    </w:p>
    <w:p>
      <w:pPr>
        <w:jc w:val="center"/>
        <w:rPr>
          <w:rFonts w:hAnsi="宋体"/>
          <w:b/>
          <w:sz w:val="36"/>
        </w:rPr>
      </w:pPr>
    </w:p>
    <w:p>
      <w:pPr>
        <w:jc w:val="center"/>
        <w:rPr>
          <w:rFonts w:hAnsi="宋体"/>
          <w:b/>
          <w:sz w:val="36"/>
        </w:rPr>
      </w:pPr>
    </w:p>
    <w:p>
      <w:pPr>
        <w:jc w:val="center"/>
        <w:rPr>
          <w:rFonts w:hAnsi="宋体"/>
          <w:b/>
          <w:sz w:val="36"/>
        </w:rPr>
        <w:sectPr>
          <w:headerReference r:id="rId5" w:type="default"/>
          <w:footerReference r:id="rId6" w:type="default"/>
          <w:pgSz w:w="11906" w:h="16838"/>
          <w:pgMar w:top="1531" w:right="1553" w:bottom="1531" w:left="1553" w:header="851" w:footer="850" w:gutter="0"/>
          <w:pgNumType w:start="1"/>
          <w:cols w:space="720" w:num="1"/>
          <w:docGrid w:linePitch="381" w:charSpace="0"/>
        </w:sectPr>
      </w:pPr>
    </w:p>
    <w:p>
      <w:pPr>
        <w:pStyle w:val="2"/>
      </w:pPr>
    </w:p>
    <w:p>
      <w:pPr>
        <w:jc w:val="center"/>
        <w:outlineLvl w:val="0"/>
        <w:rPr>
          <w:rFonts w:ascii="宋体" w:hAnsi="宋体" w:cs="宋体"/>
          <w:sz w:val="30"/>
          <w:szCs w:val="30"/>
        </w:rPr>
      </w:pPr>
      <w:bookmarkStart w:id="1" w:name="_Toc27274"/>
      <w:r>
        <w:rPr>
          <w:rFonts w:hint="eastAsia" w:hAnsi="宋体"/>
          <w:b/>
          <w:sz w:val="30"/>
          <w:szCs w:val="30"/>
        </w:rPr>
        <w:t>第一部分  招标公告</w:t>
      </w:r>
      <w:bookmarkEnd w:id="0"/>
      <w:bookmarkEnd w:id="1"/>
    </w:p>
    <w:p>
      <w:pPr>
        <w:pStyle w:val="25"/>
        <w:widowControl/>
        <w:snapToGrid w:val="0"/>
        <w:rPr>
          <w:rStyle w:val="26"/>
          <w:rFonts w:hAnsi="宋体" w:cs="宋体"/>
          <w:sz w:val="21"/>
          <w:szCs w:val="21"/>
        </w:rPr>
      </w:pPr>
      <w:bookmarkStart w:id="2" w:name="_Toc31506"/>
      <w:bookmarkStart w:id="3" w:name="_Toc225840107"/>
    </w:p>
    <w:p>
      <w:pPr>
        <w:pBdr>
          <w:top w:val="single" w:color="000000" w:sz="4" w:space="1"/>
          <w:left w:val="single" w:color="000000" w:sz="4" w:space="4"/>
          <w:bottom w:val="single" w:color="000000" w:sz="4" w:space="1"/>
          <w:right w:val="single" w:color="000000" w:sz="4" w:space="4"/>
        </w:pBdr>
        <w:snapToGrid w:val="0"/>
        <w:spacing w:line="400" w:lineRule="exact"/>
        <w:ind w:firstLine="420" w:firstLineChars="200"/>
        <w:textAlignment w:val="baseline"/>
        <w:rPr>
          <w:rStyle w:val="26"/>
          <w:rFonts w:ascii="宋体" w:hAnsi="宋体" w:cs="宋体"/>
          <w:sz w:val="21"/>
          <w:szCs w:val="21"/>
        </w:rPr>
      </w:pPr>
      <w:r>
        <w:rPr>
          <w:rStyle w:val="26"/>
          <w:rFonts w:hint="eastAsia" w:ascii="宋体" w:hAnsi="宋体" w:cs="宋体"/>
          <w:sz w:val="21"/>
          <w:szCs w:val="21"/>
          <w:u w:val="single"/>
        </w:rPr>
        <w:t>衢州理工学校智能制造产教融合——零件测绘实训室建设项目</w:t>
      </w:r>
      <w:r>
        <w:rPr>
          <w:rStyle w:val="26"/>
          <w:rFonts w:hint="eastAsia" w:ascii="宋体" w:hAnsi="宋体" w:cs="宋体"/>
          <w:sz w:val="21"/>
          <w:szCs w:val="21"/>
        </w:rPr>
        <w:t>招标项目的潜在投标人应在</w:t>
      </w:r>
      <w:r>
        <w:rPr>
          <w:rStyle w:val="26"/>
          <w:rFonts w:hint="eastAsia" w:ascii="宋体" w:hAnsi="宋体" w:cs="宋体"/>
          <w:sz w:val="21"/>
          <w:szCs w:val="21"/>
          <w:u w:val="single" w:color="000000"/>
        </w:rPr>
        <w:t>浙江政府采购网在线获取</w:t>
      </w:r>
      <w:r>
        <w:rPr>
          <w:rStyle w:val="26"/>
          <w:rFonts w:hint="eastAsia" w:ascii="宋体" w:hAnsi="宋体" w:cs="宋体"/>
          <w:sz w:val="21"/>
          <w:szCs w:val="21"/>
        </w:rPr>
        <w:t>招标文件，并于</w:t>
      </w:r>
      <w:r>
        <w:rPr>
          <w:rStyle w:val="26"/>
          <w:rFonts w:hint="eastAsia" w:ascii="宋体" w:hAnsi="宋体" w:cs="宋体"/>
          <w:sz w:val="21"/>
          <w:szCs w:val="21"/>
          <w:u w:val="single" w:color="000000"/>
        </w:rPr>
        <w:t xml:space="preserve">2021 </w:t>
      </w:r>
      <w:r>
        <w:rPr>
          <w:rStyle w:val="26"/>
          <w:rFonts w:hint="eastAsia" w:ascii="宋体" w:hAnsi="宋体" w:cs="宋体"/>
          <w:bCs/>
          <w:sz w:val="21"/>
          <w:szCs w:val="21"/>
          <w:u w:val="single" w:color="000000"/>
        </w:rPr>
        <w:t xml:space="preserve">年 </w:t>
      </w:r>
      <w:r>
        <w:rPr>
          <w:rStyle w:val="26"/>
          <w:rFonts w:hint="eastAsia" w:ascii="宋体" w:hAnsi="宋体" w:cs="宋体"/>
          <w:bCs/>
          <w:sz w:val="21"/>
          <w:szCs w:val="21"/>
          <w:u w:val="single" w:color="000000"/>
          <w:lang w:val="en-US"/>
        </w:rPr>
        <w:t>9</w:t>
      </w:r>
      <w:r>
        <w:rPr>
          <w:rStyle w:val="26"/>
          <w:rFonts w:hint="eastAsia" w:ascii="宋体" w:hAnsi="宋体" w:cs="宋体"/>
          <w:bCs/>
          <w:sz w:val="21"/>
          <w:szCs w:val="21"/>
          <w:u w:val="single" w:color="000000"/>
        </w:rPr>
        <w:t xml:space="preserve">月 </w:t>
      </w:r>
      <w:r>
        <w:rPr>
          <w:rStyle w:val="26"/>
          <w:rFonts w:hint="eastAsia" w:ascii="宋体" w:hAnsi="宋体" w:cs="宋体"/>
          <w:bCs/>
          <w:sz w:val="21"/>
          <w:szCs w:val="21"/>
          <w:u w:val="single" w:color="000000"/>
          <w:lang w:val="en-US"/>
        </w:rPr>
        <w:t xml:space="preserve">16 </w:t>
      </w:r>
      <w:r>
        <w:rPr>
          <w:rStyle w:val="26"/>
          <w:rFonts w:hint="eastAsia" w:ascii="宋体" w:hAnsi="宋体" w:cs="宋体"/>
          <w:bCs/>
          <w:sz w:val="21"/>
          <w:szCs w:val="21"/>
          <w:u w:val="single" w:color="000000"/>
        </w:rPr>
        <w:t>日 09 点 30 分（</w:t>
      </w:r>
      <w:r>
        <w:rPr>
          <w:rStyle w:val="26"/>
          <w:rFonts w:hint="eastAsia" w:ascii="宋体" w:hAnsi="宋体" w:cs="宋体"/>
          <w:bCs/>
          <w:sz w:val="21"/>
          <w:szCs w:val="21"/>
        </w:rPr>
        <w:t>北京时间）前递交投标文件</w:t>
      </w:r>
      <w:r>
        <w:rPr>
          <w:rStyle w:val="26"/>
          <w:rFonts w:hint="eastAsia" w:ascii="宋体" w:hAnsi="宋体" w:cs="宋体"/>
          <w:sz w:val="21"/>
          <w:szCs w:val="21"/>
        </w:rPr>
        <w:t>。</w:t>
      </w:r>
    </w:p>
    <w:p>
      <w:pPr>
        <w:pStyle w:val="27"/>
        <w:widowControl/>
        <w:snapToGrid w:val="0"/>
        <w:spacing w:line="400" w:lineRule="exact"/>
        <w:ind w:left="0" w:firstLine="0"/>
        <w:outlineLvl w:val="1"/>
        <w:rPr>
          <w:rStyle w:val="26"/>
          <w:rFonts w:ascii="宋体" w:hAnsi="宋体" w:eastAsia="宋体" w:cs="宋体"/>
          <w:b w:val="0"/>
          <w:sz w:val="21"/>
          <w:szCs w:val="21"/>
        </w:rPr>
      </w:pPr>
      <w:bookmarkStart w:id="4" w:name="_Toc6890"/>
      <w:r>
        <w:rPr>
          <w:rStyle w:val="26"/>
          <w:rFonts w:hint="eastAsia" w:ascii="宋体" w:hAnsi="宋体" w:eastAsia="宋体" w:cs="宋体"/>
          <w:b w:val="0"/>
          <w:sz w:val="21"/>
          <w:szCs w:val="21"/>
        </w:rPr>
        <w:t>一、项目基本情况</w:t>
      </w:r>
      <w:bookmarkEnd w:id="4"/>
    </w:p>
    <w:p>
      <w:pPr>
        <w:pStyle w:val="27"/>
        <w:widowControl/>
        <w:snapToGrid w:val="0"/>
        <w:spacing w:line="400" w:lineRule="exact"/>
        <w:ind w:left="0" w:firstLine="420" w:firstLineChars="200"/>
        <w:outlineLvl w:val="2"/>
        <w:rPr>
          <w:rStyle w:val="26"/>
          <w:rFonts w:ascii="宋体" w:hAnsi="宋体" w:eastAsia="宋体" w:cs="宋体"/>
          <w:b w:val="0"/>
          <w:bCs/>
          <w:sz w:val="21"/>
          <w:szCs w:val="21"/>
        </w:rPr>
      </w:pPr>
      <w:r>
        <w:rPr>
          <w:rStyle w:val="26"/>
          <w:rFonts w:hint="eastAsia" w:ascii="宋体" w:hAnsi="宋体" w:eastAsia="宋体" w:cs="宋体"/>
          <w:b w:val="0"/>
          <w:bCs/>
          <w:sz w:val="21"/>
          <w:szCs w:val="21"/>
        </w:rPr>
        <w:t>1.项目编号：kxqz202111</w:t>
      </w:r>
    </w:p>
    <w:p>
      <w:pPr>
        <w:pStyle w:val="27"/>
        <w:widowControl/>
        <w:snapToGrid w:val="0"/>
        <w:spacing w:line="400" w:lineRule="exact"/>
        <w:ind w:left="0" w:firstLine="420" w:firstLineChars="200"/>
        <w:outlineLvl w:val="2"/>
        <w:rPr>
          <w:rStyle w:val="26"/>
          <w:rFonts w:ascii="宋体" w:hAnsi="宋体" w:eastAsia="宋体" w:cs="宋体"/>
          <w:b w:val="0"/>
          <w:bCs/>
          <w:sz w:val="21"/>
          <w:szCs w:val="21"/>
        </w:rPr>
      </w:pPr>
      <w:r>
        <w:rPr>
          <w:rStyle w:val="26"/>
          <w:rFonts w:hint="eastAsia" w:ascii="宋体" w:hAnsi="宋体" w:eastAsia="宋体" w:cs="宋体"/>
          <w:b w:val="0"/>
          <w:bCs/>
          <w:sz w:val="21"/>
          <w:szCs w:val="21"/>
        </w:rPr>
        <w:t>2.项目名称：衢州理工学校智能制造产教融合——零件测绘实训室建设项目</w:t>
      </w:r>
    </w:p>
    <w:p>
      <w:pPr>
        <w:snapToGrid w:val="0"/>
        <w:spacing w:line="400" w:lineRule="exact"/>
        <w:ind w:firstLine="420" w:firstLineChars="200"/>
        <w:textAlignment w:val="baseline"/>
        <w:outlineLvl w:val="2"/>
        <w:rPr>
          <w:rStyle w:val="26"/>
          <w:rFonts w:ascii="宋体" w:hAnsi="宋体" w:cs="宋体"/>
          <w:sz w:val="21"/>
          <w:szCs w:val="21"/>
        </w:rPr>
      </w:pPr>
      <w:r>
        <w:rPr>
          <w:rStyle w:val="26"/>
          <w:rFonts w:hint="eastAsia" w:ascii="宋体" w:hAnsi="宋体" w:cs="宋体"/>
          <w:sz w:val="21"/>
          <w:szCs w:val="21"/>
        </w:rPr>
        <w:t>3.招标方式：公开招标</w:t>
      </w:r>
    </w:p>
    <w:p>
      <w:pPr>
        <w:snapToGrid w:val="0"/>
        <w:spacing w:line="400" w:lineRule="exact"/>
        <w:ind w:firstLine="420" w:firstLineChars="200"/>
        <w:textAlignment w:val="baseline"/>
        <w:outlineLvl w:val="2"/>
        <w:rPr>
          <w:rStyle w:val="26"/>
          <w:rFonts w:ascii="宋体" w:hAnsi="宋体" w:cs="宋体"/>
          <w:sz w:val="21"/>
          <w:szCs w:val="21"/>
        </w:rPr>
      </w:pPr>
      <w:r>
        <w:rPr>
          <w:rStyle w:val="26"/>
          <w:rFonts w:hint="eastAsia" w:ascii="宋体" w:hAnsi="宋体" w:cs="宋体"/>
          <w:sz w:val="21"/>
          <w:szCs w:val="21"/>
        </w:rPr>
        <w:t>4.预算金额：</w:t>
      </w:r>
      <w:r>
        <w:rPr>
          <w:rStyle w:val="26"/>
          <w:rFonts w:hint="eastAsia" w:ascii="宋体" w:hAnsi="宋体" w:cs="宋体"/>
          <w:sz w:val="21"/>
          <w:szCs w:val="21"/>
          <w:lang w:val="en-US"/>
        </w:rPr>
        <w:t>150</w:t>
      </w:r>
      <w:r>
        <w:rPr>
          <w:rStyle w:val="26"/>
          <w:rFonts w:hint="eastAsia" w:ascii="宋体" w:hAnsi="宋体" w:cs="宋体"/>
          <w:sz w:val="21"/>
          <w:szCs w:val="21"/>
        </w:rPr>
        <w:t>万元</w:t>
      </w:r>
    </w:p>
    <w:p>
      <w:pPr>
        <w:snapToGrid w:val="0"/>
        <w:spacing w:line="400" w:lineRule="exact"/>
        <w:ind w:firstLine="420" w:firstLineChars="200"/>
        <w:textAlignment w:val="baseline"/>
        <w:outlineLvl w:val="2"/>
        <w:rPr>
          <w:rStyle w:val="26"/>
          <w:rFonts w:ascii="宋体" w:hAnsi="宋体" w:cs="宋体"/>
          <w:sz w:val="21"/>
          <w:szCs w:val="21"/>
        </w:rPr>
      </w:pPr>
      <w:r>
        <w:rPr>
          <w:rStyle w:val="26"/>
          <w:rFonts w:hint="eastAsia" w:ascii="宋体" w:hAnsi="宋体" w:cs="宋体"/>
          <w:sz w:val="21"/>
          <w:szCs w:val="21"/>
        </w:rPr>
        <w:t>5.最高限价：</w:t>
      </w:r>
      <w:r>
        <w:rPr>
          <w:rStyle w:val="26"/>
          <w:rFonts w:hint="eastAsia" w:ascii="宋体" w:hAnsi="宋体" w:cs="宋体"/>
          <w:sz w:val="21"/>
          <w:szCs w:val="21"/>
          <w:lang w:val="en-US"/>
        </w:rPr>
        <w:t>150</w:t>
      </w:r>
      <w:r>
        <w:rPr>
          <w:rStyle w:val="26"/>
          <w:rFonts w:hint="eastAsia" w:ascii="宋体" w:hAnsi="宋体" w:cs="宋体"/>
          <w:sz w:val="21"/>
          <w:szCs w:val="21"/>
        </w:rPr>
        <w:t>万元</w:t>
      </w:r>
    </w:p>
    <w:p>
      <w:pPr>
        <w:snapToGrid w:val="0"/>
        <w:spacing w:line="400" w:lineRule="exact"/>
        <w:ind w:firstLine="420" w:firstLineChars="200"/>
        <w:textAlignment w:val="baseline"/>
        <w:outlineLvl w:val="2"/>
        <w:rPr>
          <w:rStyle w:val="26"/>
          <w:rFonts w:ascii="宋体" w:hAnsi="宋体" w:cs="宋体"/>
          <w:sz w:val="21"/>
          <w:szCs w:val="21"/>
        </w:rPr>
      </w:pPr>
      <w:r>
        <w:rPr>
          <w:rStyle w:val="26"/>
          <w:rFonts w:hint="eastAsia" w:ascii="宋体" w:hAnsi="宋体" w:cs="宋体"/>
          <w:sz w:val="21"/>
          <w:szCs w:val="21"/>
        </w:rPr>
        <w:t>6.采购需求：</w:t>
      </w:r>
    </w:p>
    <w:tbl>
      <w:tblPr>
        <w:tblStyle w:val="20"/>
        <w:tblW w:w="8998"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
        <w:gridCol w:w="1438"/>
        <w:gridCol w:w="705"/>
        <w:gridCol w:w="705"/>
        <w:gridCol w:w="1335"/>
        <w:gridCol w:w="2962"/>
        <w:gridCol w:w="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标项</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采购内容</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数量</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单位</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最高限价</w:t>
            </w:r>
          </w:p>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（万元）</w:t>
            </w:r>
          </w:p>
        </w:tc>
        <w:tc>
          <w:tcPr>
            <w:tcW w:w="296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简要技术要求、用途</w:t>
            </w:r>
          </w:p>
        </w:tc>
        <w:tc>
          <w:tcPr>
            <w:tcW w:w="92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一</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bCs/>
                <w:sz w:val="21"/>
                <w:szCs w:val="21"/>
              </w:rPr>
              <w:t>衢州理工学校智能制造产教融合——零件测绘实训室建设项目</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1</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rPr>
              <w:t>批</w:t>
            </w:r>
          </w:p>
        </w:tc>
        <w:tc>
          <w:tcPr>
            <w:tcW w:w="13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r>
              <w:rPr>
                <w:rStyle w:val="26"/>
                <w:rFonts w:hint="eastAsia" w:ascii="宋体" w:hAnsi="宋体" w:cs="宋体"/>
                <w:kern w:val="0"/>
                <w:sz w:val="21"/>
                <w:szCs w:val="21"/>
                <w:lang w:val="en-US"/>
              </w:rPr>
              <w:t>150</w:t>
            </w:r>
            <w:r>
              <w:rPr>
                <w:rStyle w:val="26"/>
                <w:rFonts w:hint="eastAsia" w:ascii="宋体" w:hAnsi="宋体" w:cs="宋体"/>
                <w:kern w:val="0"/>
                <w:sz w:val="21"/>
                <w:szCs w:val="21"/>
              </w:rPr>
              <w:t>万元</w:t>
            </w:r>
          </w:p>
        </w:tc>
        <w:tc>
          <w:tcPr>
            <w:tcW w:w="2962"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textAlignment w:val="baseline"/>
              <w:rPr>
                <w:rStyle w:val="26"/>
                <w:rFonts w:hint="default" w:ascii="宋体" w:hAnsi="宋体" w:cs="宋体"/>
                <w:kern w:val="0"/>
                <w:sz w:val="21"/>
                <w:szCs w:val="21"/>
                <w:lang w:val="en-US"/>
              </w:rPr>
            </w:pPr>
            <w:r>
              <w:rPr>
                <w:rStyle w:val="26"/>
                <w:rFonts w:hint="eastAsia" w:ascii="宋体" w:hAnsi="宋体" w:cs="宋体"/>
                <w:kern w:val="0"/>
                <w:sz w:val="21"/>
                <w:szCs w:val="21"/>
                <w:lang w:val="en-US"/>
              </w:rPr>
              <w:t>详见采购内容及需求</w:t>
            </w:r>
          </w:p>
        </w:tc>
        <w:tc>
          <w:tcPr>
            <w:tcW w:w="92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baseline"/>
              <w:rPr>
                <w:rStyle w:val="26"/>
                <w:rFonts w:ascii="宋体" w:hAnsi="宋体" w:cs="宋体"/>
                <w:kern w:val="0"/>
                <w:sz w:val="21"/>
                <w:szCs w:val="21"/>
              </w:rPr>
            </w:pPr>
          </w:p>
        </w:tc>
      </w:tr>
    </w:tbl>
    <w:p>
      <w:pPr>
        <w:snapToGrid w:val="0"/>
        <w:spacing w:line="400" w:lineRule="exact"/>
        <w:ind w:firstLine="420" w:firstLineChars="200"/>
        <w:textAlignment w:val="baseline"/>
        <w:outlineLvl w:val="2"/>
        <w:rPr>
          <w:rStyle w:val="26"/>
          <w:rFonts w:hint="default" w:ascii="宋体" w:hAnsi="宋体" w:cs="宋体"/>
          <w:sz w:val="21"/>
          <w:szCs w:val="21"/>
          <w:u w:val="single" w:color="000000"/>
          <w:lang w:val="en-US"/>
        </w:rPr>
      </w:pPr>
      <w:r>
        <w:rPr>
          <w:rStyle w:val="26"/>
          <w:rFonts w:hint="eastAsia" w:ascii="宋体" w:hAnsi="宋体" w:cs="宋体"/>
          <w:sz w:val="21"/>
          <w:szCs w:val="21"/>
        </w:rPr>
        <w:t>7.合同履</w:t>
      </w:r>
      <w:r>
        <w:rPr>
          <w:rStyle w:val="26"/>
          <w:rFonts w:hint="eastAsia" w:ascii="宋体" w:hAnsi="宋体" w:cs="宋体"/>
          <w:sz w:val="21"/>
          <w:szCs w:val="21"/>
          <w:lang w:val="en-US"/>
        </w:rPr>
        <w:t>约</w:t>
      </w:r>
      <w:r>
        <w:rPr>
          <w:rStyle w:val="26"/>
          <w:rFonts w:hint="eastAsia" w:ascii="宋体" w:hAnsi="宋体" w:cs="宋体"/>
          <w:sz w:val="21"/>
          <w:szCs w:val="21"/>
        </w:rPr>
        <w:t>期限：</w:t>
      </w:r>
      <w:r>
        <w:rPr>
          <w:rStyle w:val="26"/>
          <w:rFonts w:hint="eastAsia" w:ascii="宋体" w:hAnsi="宋体" w:cs="宋体"/>
          <w:sz w:val="21"/>
          <w:szCs w:val="21"/>
          <w:lang w:val="en-US" w:eastAsia="zh-CN"/>
        </w:rPr>
        <w:t>合同签订后45日历天内完成所有设备配送安装并验收完成。</w:t>
      </w:r>
    </w:p>
    <w:p>
      <w:pPr>
        <w:pStyle w:val="27"/>
        <w:widowControl/>
        <w:snapToGrid w:val="0"/>
        <w:spacing w:line="400" w:lineRule="exact"/>
        <w:ind w:left="0" w:firstLine="0"/>
        <w:outlineLvl w:val="1"/>
        <w:rPr>
          <w:rStyle w:val="26"/>
          <w:rFonts w:ascii="宋体" w:hAnsi="宋体" w:eastAsia="宋体" w:cs="宋体"/>
          <w:b w:val="0"/>
          <w:bCs/>
          <w:sz w:val="21"/>
          <w:szCs w:val="21"/>
        </w:rPr>
      </w:pPr>
      <w:bookmarkStart w:id="5" w:name="_Toc2081"/>
      <w:r>
        <w:rPr>
          <w:rStyle w:val="26"/>
          <w:rFonts w:hint="eastAsia" w:ascii="宋体" w:hAnsi="宋体" w:eastAsia="宋体" w:cs="宋体"/>
          <w:b w:val="0"/>
          <w:bCs/>
          <w:sz w:val="21"/>
          <w:szCs w:val="21"/>
        </w:rPr>
        <w:t>二、申请人的资格要求：</w:t>
      </w:r>
      <w:bookmarkEnd w:id="5"/>
    </w:p>
    <w:p>
      <w:pPr>
        <w:snapToGrid w:val="0"/>
        <w:spacing w:line="400" w:lineRule="exact"/>
        <w:ind w:right="-20" w:firstLine="420" w:firstLineChars="200"/>
        <w:textAlignment w:val="baseline"/>
        <w:outlineLvl w:val="2"/>
        <w:rPr>
          <w:rStyle w:val="26"/>
          <w:rFonts w:ascii="宋体" w:hAnsi="宋体" w:cs="宋体"/>
          <w:sz w:val="21"/>
          <w:szCs w:val="21"/>
        </w:rPr>
      </w:pPr>
      <w:r>
        <w:rPr>
          <w:rStyle w:val="26"/>
          <w:rFonts w:hint="eastAsia" w:ascii="宋体" w:hAnsi="宋体" w:cs="宋体"/>
          <w:sz w:val="21"/>
          <w:szCs w:val="21"/>
        </w:rPr>
        <w:t>1.基本条件：</w:t>
      </w:r>
    </w:p>
    <w:p>
      <w:pPr>
        <w:snapToGrid w:val="0"/>
        <w:spacing w:line="400" w:lineRule="exact"/>
        <w:ind w:right="-20" w:firstLine="420" w:firstLineChars="200"/>
        <w:textAlignment w:val="baseline"/>
        <w:rPr>
          <w:rStyle w:val="26"/>
          <w:rFonts w:ascii="宋体" w:hAnsi="宋体" w:cs="宋体"/>
          <w:sz w:val="21"/>
          <w:szCs w:val="21"/>
        </w:rPr>
      </w:pPr>
      <w:r>
        <w:rPr>
          <w:rStyle w:val="26"/>
          <w:rFonts w:hint="eastAsia" w:ascii="宋体" w:hAnsi="宋体" w:cs="宋体"/>
          <w:sz w:val="21"/>
          <w:szCs w:val="21"/>
        </w:rPr>
        <w:t>（1）符合《中华人民共和国政府采购法》第二十二条规定的合格投标人：1）具有独立承担民事责任的能力或根据《关于规范政府采购投标人资格设定及资格审查的通知》 （浙财采监[2013]24 号）第 6 条规定接受金融、保险、通讯等特定行业的全国性企业所设立的区域性分支机构以及个体工商户、个人独资企业、合伙企业（应依法办理了工商、税务和社保登记手续，并且获得总公司（总机构）授权或能够提供房产权证或其他有效财产证明材料（在投标文件中提供相关材料），能证明其具备实际承担责任的能力和法定的缔结合同能力，可以独立参加政府采购活动，由单位负责人签署相关文件材料）；2）具有良好的商业信誉和健全的财务会计制度；3）具有履行合同所必需的设备和专业技术能力；4）有依法缴纳税收和社会保障资金的良好记录；5）参加政府采购活动前三年内（新成立不满三年的公司自成立之日起算）在经营活动中没有重大违法记录；6）法律、行政法规规定的其他条件。</w:t>
      </w:r>
    </w:p>
    <w:p>
      <w:pPr>
        <w:snapToGrid w:val="0"/>
        <w:spacing w:line="400" w:lineRule="exact"/>
        <w:ind w:right="-20" w:firstLine="420" w:firstLineChars="200"/>
        <w:textAlignment w:val="baseline"/>
        <w:rPr>
          <w:rStyle w:val="26"/>
          <w:rFonts w:ascii="宋体" w:hAnsi="宋体" w:cs="宋体"/>
          <w:sz w:val="21"/>
          <w:szCs w:val="21"/>
        </w:rPr>
      </w:pPr>
      <w:r>
        <w:rPr>
          <w:rStyle w:val="26"/>
          <w:rFonts w:hint="eastAsia" w:ascii="宋体" w:hAnsi="宋体" w:cs="宋体"/>
          <w:sz w:val="21"/>
          <w:szCs w:val="21"/>
        </w:rPr>
        <w:t>（2）投标人未被列入失信被执行人名单、重大税收违法案件当事人名单、政府采购严重违法失信行为记录名单，信用信息以信用中国网站（www.creditchina.gov.cn）、中国政府采购网（www.ccgp.gov.cn）公布为准。</w:t>
      </w:r>
    </w:p>
    <w:p>
      <w:pPr>
        <w:snapToGrid w:val="0"/>
        <w:spacing w:line="400" w:lineRule="exact"/>
        <w:ind w:right="-20" w:firstLine="420" w:firstLineChars="200"/>
        <w:textAlignment w:val="baseline"/>
        <w:rPr>
          <w:rStyle w:val="26"/>
          <w:rFonts w:ascii="宋体" w:hAnsi="宋体" w:cs="宋体"/>
          <w:sz w:val="21"/>
          <w:szCs w:val="21"/>
        </w:rPr>
      </w:pPr>
      <w:r>
        <w:rPr>
          <w:rStyle w:val="26"/>
          <w:rFonts w:hint="eastAsia" w:ascii="宋体" w:hAnsi="宋体" w:cs="宋体"/>
          <w:sz w:val="21"/>
          <w:szCs w:val="21"/>
        </w:rPr>
        <w:t>（3）单位负责人为同一人或者存在直接控股、管理关系的不同投标人，不得参加同一合同项下的政府采购活动。</w:t>
      </w:r>
    </w:p>
    <w:p>
      <w:pPr>
        <w:snapToGrid w:val="0"/>
        <w:spacing w:line="400" w:lineRule="exact"/>
        <w:ind w:right="-20" w:firstLine="420" w:firstLineChars="200"/>
        <w:textAlignment w:val="baseline"/>
        <w:outlineLvl w:val="2"/>
        <w:rPr>
          <w:rStyle w:val="26"/>
          <w:rFonts w:ascii="宋体" w:hAnsi="宋体" w:cs="宋体"/>
          <w:sz w:val="21"/>
          <w:szCs w:val="21"/>
        </w:rPr>
      </w:pPr>
      <w:r>
        <w:rPr>
          <w:rStyle w:val="26"/>
          <w:rFonts w:hint="eastAsia" w:ascii="宋体" w:hAnsi="宋体" w:cs="宋体"/>
          <w:sz w:val="21"/>
          <w:szCs w:val="21"/>
        </w:rPr>
        <w:t>2.特定资格条件：</w:t>
      </w:r>
      <w:r>
        <w:rPr>
          <w:rFonts w:hint="eastAsia" w:ascii="宋体" w:hAnsi="宋体" w:cs="宋体"/>
          <w:snapToGrid w:val="0"/>
          <w:kern w:val="10"/>
          <w:sz w:val="21"/>
          <w:szCs w:val="21"/>
        </w:rPr>
        <w:t>本项目</w:t>
      </w:r>
      <w:r>
        <w:rPr>
          <w:rFonts w:hint="eastAsia" w:ascii="宋体" w:hAnsi="宋体" w:cs="宋体"/>
          <w:snapToGrid w:val="0"/>
          <w:kern w:val="10"/>
          <w:sz w:val="21"/>
          <w:szCs w:val="21"/>
          <w:lang w:val="en-US" w:eastAsia="zh-CN"/>
        </w:rPr>
        <w:t>专门面向中小企业</w:t>
      </w:r>
      <w:r>
        <w:rPr>
          <w:rStyle w:val="26"/>
          <w:rFonts w:hint="eastAsia" w:ascii="宋体" w:hAnsi="宋体" w:cs="宋体"/>
          <w:sz w:val="21"/>
          <w:szCs w:val="21"/>
        </w:rPr>
        <w:t>。</w:t>
      </w:r>
    </w:p>
    <w:p>
      <w:pPr>
        <w:snapToGrid w:val="0"/>
        <w:spacing w:line="400" w:lineRule="exact"/>
        <w:ind w:right="-20" w:firstLine="420" w:firstLineChars="200"/>
        <w:textAlignment w:val="baseline"/>
        <w:outlineLvl w:val="2"/>
        <w:rPr>
          <w:rStyle w:val="26"/>
          <w:rFonts w:ascii="宋体" w:hAnsi="宋体" w:cs="宋体"/>
          <w:sz w:val="21"/>
          <w:szCs w:val="21"/>
        </w:rPr>
      </w:pPr>
      <w:r>
        <w:rPr>
          <w:rStyle w:val="26"/>
          <w:rFonts w:hint="eastAsia" w:ascii="宋体" w:hAnsi="宋体" w:cs="宋体"/>
          <w:sz w:val="21"/>
          <w:szCs w:val="21"/>
        </w:rPr>
        <w:t>3.本项目不接受联合体投标。</w:t>
      </w:r>
    </w:p>
    <w:p>
      <w:pPr>
        <w:snapToGrid w:val="0"/>
        <w:spacing w:line="400" w:lineRule="exact"/>
        <w:textAlignment w:val="baseline"/>
        <w:outlineLvl w:val="1"/>
        <w:rPr>
          <w:rStyle w:val="26"/>
          <w:rFonts w:ascii="宋体" w:hAnsi="宋体" w:cs="宋体"/>
          <w:b/>
          <w:bCs/>
          <w:sz w:val="21"/>
          <w:szCs w:val="21"/>
        </w:rPr>
      </w:pPr>
      <w:bookmarkStart w:id="6" w:name="_Toc18919"/>
      <w:r>
        <w:rPr>
          <w:rStyle w:val="26"/>
          <w:rFonts w:hint="eastAsia" w:ascii="宋体" w:hAnsi="宋体" w:cs="宋体"/>
          <w:b/>
          <w:bCs/>
          <w:sz w:val="21"/>
          <w:szCs w:val="21"/>
        </w:rPr>
        <w:t>三、获取招标文件</w:t>
      </w:r>
      <w:bookmarkEnd w:id="6"/>
    </w:p>
    <w:p>
      <w:pPr>
        <w:snapToGrid w:val="0"/>
        <w:spacing w:line="400" w:lineRule="exact"/>
        <w:ind w:firstLine="420" w:firstLineChars="200"/>
        <w:textAlignment w:val="baseline"/>
        <w:rPr>
          <w:rStyle w:val="26"/>
          <w:rFonts w:ascii="宋体" w:hAnsi="宋体" w:cs="宋体"/>
          <w:sz w:val="21"/>
          <w:szCs w:val="21"/>
        </w:rPr>
      </w:pPr>
      <w:r>
        <w:rPr>
          <w:rStyle w:val="26"/>
          <w:rFonts w:hint="eastAsia" w:ascii="宋体" w:hAnsi="宋体" w:cs="宋体"/>
          <w:sz w:val="21"/>
          <w:szCs w:val="21"/>
        </w:rPr>
        <w:t>1.时间：公告发布之日起至投标截止时间前；</w:t>
      </w:r>
    </w:p>
    <w:p>
      <w:pPr>
        <w:snapToGrid w:val="0"/>
        <w:spacing w:line="400" w:lineRule="exact"/>
        <w:ind w:firstLine="420" w:firstLineChars="200"/>
        <w:textAlignment w:val="baseline"/>
        <w:rPr>
          <w:rStyle w:val="26"/>
          <w:rFonts w:ascii="宋体" w:hAnsi="宋体" w:cs="宋体"/>
          <w:sz w:val="21"/>
          <w:szCs w:val="21"/>
          <w:u w:val="single" w:color="000000"/>
        </w:rPr>
      </w:pPr>
      <w:r>
        <w:rPr>
          <w:rStyle w:val="26"/>
          <w:rFonts w:hint="eastAsia" w:ascii="宋体" w:hAnsi="宋体" w:cs="宋体"/>
          <w:sz w:val="21"/>
          <w:szCs w:val="21"/>
        </w:rPr>
        <w:t>2.地点：通过“政府采购云平台（www.zcygov.cn）”实行在线投标响应； </w:t>
      </w:r>
    </w:p>
    <w:p>
      <w:pPr>
        <w:pStyle w:val="25"/>
        <w:widowControl/>
        <w:snapToGrid w:val="0"/>
        <w:spacing w:line="400" w:lineRule="exact"/>
        <w:ind w:firstLine="420" w:firstLineChars="200"/>
        <w:rPr>
          <w:rStyle w:val="26"/>
          <w:rFonts w:hAnsi="宋体" w:cs="宋体"/>
          <w:sz w:val="21"/>
          <w:szCs w:val="21"/>
        </w:rPr>
      </w:pPr>
      <w:r>
        <w:rPr>
          <w:rStyle w:val="26"/>
          <w:rFonts w:hint="eastAsia" w:hAnsi="宋体" w:cs="宋体"/>
          <w:sz w:val="21"/>
          <w:szCs w:val="21"/>
        </w:rPr>
        <w:t>3.方式：潜在投标人登陆政采云平台，在线申请获取招标文件（进入“项目采购”应用，在获取招标文件菜单中选择项目，点击潜在供应商获取招标文件并报名，本项目招标文件不收取工本费；仅需浏览招标文件的投标人可点击“游客，浏览招标文件”直接下载招标文件浏览）； </w:t>
      </w:r>
    </w:p>
    <w:p>
      <w:pPr>
        <w:snapToGrid w:val="0"/>
        <w:spacing w:line="400" w:lineRule="exact"/>
        <w:ind w:firstLine="420" w:firstLineChars="200"/>
        <w:textAlignment w:val="baseline"/>
        <w:rPr>
          <w:rStyle w:val="26"/>
          <w:rFonts w:ascii="宋体" w:hAnsi="宋体" w:cs="宋体"/>
          <w:sz w:val="21"/>
          <w:szCs w:val="21"/>
        </w:rPr>
      </w:pPr>
      <w:r>
        <w:rPr>
          <w:rStyle w:val="26"/>
          <w:rFonts w:hint="eastAsia" w:ascii="宋体" w:hAnsi="宋体" w:cs="宋体"/>
          <w:sz w:val="21"/>
          <w:szCs w:val="21"/>
        </w:rPr>
        <w:t>4.售价：/</w:t>
      </w:r>
    </w:p>
    <w:p>
      <w:pPr>
        <w:pStyle w:val="25"/>
        <w:widowControl/>
        <w:snapToGrid w:val="0"/>
        <w:spacing w:line="400" w:lineRule="exact"/>
        <w:ind w:firstLine="420" w:firstLineChars="200"/>
        <w:rPr>
          <w:rStyle w:val="26"/>
          <w:rFonts w:hAnsi="宋体" w:cs="宋体"/>
          <w:sz w:val="21"/>
          <w:szCs w:val="21"/>
        </w:rPr>
      </w:pPr>
      <w:r>
        <w:rPr>
          <w:rStyle w:val="26"/>
          <w:rFonts w:hint="eastAsia" w:hAnsi="宋体" w:cs="宋体"/>
          <w:sz w:val="21"/>
          <w:szCs w:val="21"/>
        </w:rPr>
        <w:t>5.提示：招标公告附件内的招标文件（或采购需求）仅供阅览使用，投标人只有在“政府采购云平台”完成获取招标文件申请并下载了招标文件后才视作依法获取招标文件（法律法规所指的投标人获取招标文件时间以投标人完成获取招标文件申请后下载招标文件的时间为准）。</w:t>
      </w:r>
    </w:p>
    <w:p>
      <w:pPr>
        <w:pStyle w:val="25"/>
        <w:widowControl/>
        <w:snapToGrid w:val="0"/>
        <w:spacing w:line="400" w:lineRule="exact"/>
        <w:ind w:firstLine="420" w:firstLineChars="200"/>
        <w:rPr>
          <w:rStyle w:val="26"/>
          <w:rFonts w:hAnsi="宋体" w:cs="宋体"/>
          <w:sz w:val="21"/>
          <w:szCs w:val="21"/>
        </w:rPr>
      </w:pPr>
      <w:r>
        <w:rPr>
          <w:rStyle w:val="26"/>
          <w:rFonts w:hint="eastAsia" w:hAnsi="宋体" w:cs="宋体"/>
          <w:sz w:val="21"/>
          <w:szCs w:val="21"/>
        </w:rPr>
        <w:t>注：请投标人按上述要求获取招标文件，如未在“政采云”系统内完成相关流程，引起的投标无效责任自负。</w:t>
      </w:r>
    </w:p>
    <w:p>
      <w:pPr>
        <w:pStyle w:val="27"/>
        <w:widowControl/>
        <w:snapToGrid w:val="0"/>
        <w:spacing w:line="400" w:lineRule="exact"/>
        <w:ind w:left="0" w:firstLine="0"/>
        <w:outlineLvl w:val="1"/>
        <w:rPr>
          <w:rStyle w:val="26"/>
          <w:rFonts w:ascii="宋体" w:hAnsi="宋体" w:eastAsia="宋体" w:cs="宋体"/>
          <w:b w:val="0"/>
          <w:bCs/>
          <w:sz w:val="21"/>
          <w:szCs w:val="21"/>
        </w:rPr>
      </w:pPr>
      <w:bookmarkStart w:id="7" w:name="_Toc6911"/>
      <w:r>
        <w:rPr>
          <w:rStyle w:val="26"/>
          <w:rFonts w:hint="eastAsia" w:ascii="宋体" w:hAnsi="宋体" w:eastAsia="宋体" w:cs="宋体"/>
          <w:b w:val="0"/>
          <w:bCs/>
          <w:sz w:val="21"/>
          <w:szCs w:val="21"/>
        </w:rPr>
        <w:t>四、提交投标文件截止时间、开标时间和地点</w:t>
      </w:r>
      <w:bookmarkEnd w:id="7"/>
    </w:p>
    <w:p>
      <w:pPr>
        <w:snapToGrid w:val="0"/>
        <w:spacing w:line="400" w:lineRule="exact"/>
        <w:ind w:firstLine="420" w:firstLineChars="200"/>
        <w:textAlignment w:val="baseline"/>
        <w:rPr>
          <w:rStyle w:val="26"/>
          <w:rFonts w:ascii="宋体" w:hAnsi="宋体" w:cs="宋体"/>
          <w:sz w:val="21"/>
          <w:szCs w:val="21"/>
        </w:rPr>
      </w:pPr>
      <w:r>
        <w:rPr>
          <w:rStyle w:val="26"/>
          <w:rFonts w:hint="eastAsia" w:ascii="宋体" w:hAnsi="宋体" w:cs="宋体"/>
          <w:sz w:val="21"/>
          <w:szCs w:val="21"/>
        </w:rPr>
        <w:t>1.时间：</w:t>
      </w:r>
      <w:r>
        <w:rPr>
          <w:rStyle w:val="26"/>
          <w:rFonts w:hint="eastAsia" w:ascii="宋体" w:hAnsi="宋体" w:cs="宋体"/>
          <w:sz w:val="21"/>
          <w:szCs w:val="21"/>
          <w:u w:val="single" w:color="000000"/>
        </w:rPr>
        <w:t>2021年</w:t>
      </w:r>
      <w:r>
        <w:rPr>
          <w:rStyle w:val="26"/>
          <w:rFonts w:hint="eastAsia" w:ascii="宋体" w:hAnsi="宋体" w:cs="宋体"/>
          <w:sz w:val="21"/>
          <w:szCs w:val="21"/>
          <w:u w:val="single" w:color="000000"/>
          <w:lang w:val="en-US"/>
        </w:rPr>
        <w:t>9</w:t>
      </w:r>
      <w:r>
        <w:rPr>
          <w:rStyle w:val="26"/>
          <w:rFonts w:hint="eastAsia" w:ascii="宋体" w:hAnsi="宋体" w:cs="宋体"/>
          <w:sz w:val="21"/>
          <w:szCs w:val="21"/>
          <w:u w:val="single" w:color="000000"/>
        </w:rPr>
        <w:t>月</w:t>
      </w:r>
      <w:r>
        <w:rPr>
          <w:rStyle w:val="26"/>
          <w:rFonts w:hint="eastAsia" w:ascii="宋体" w:hAnsi="宋体" w:cs="宋体"/>
          <w:sz w:val="21"/>
          <w:szCs w:val="21"/>
          <w:u w:val="single" w:color="000000"/>
          <w:lang w:val="en-US"/>
        </w:rPr>
        <w:t>16</w:t>
      </w:r>
      <w:r>
        <w:rPr>
          <w:rStyle w:val="26"/>
          <w:rFonts w:hint="eastAsia" w:ascii="宋体" w:hAnsi="宋体" w:cs="宋体"/>
          <w:sz w:val="21"/>
          <w:szCs w:val="21"/>
          <w:u w:val="single" w:color="000000"/>
        </w:rPr>
        <w:t>日09点30分</w:t>
      </w:r>
      <w:r>
        <w:rPr>
          <w:rStyle w:val="26"/>
          <w:rFonts w:hint="eastAsia" w:ascii="宋体" w:hAnsi="宋体" w:cs="宋体"/>
          <w:sz w:val="21"/>
          <w:szCs w:val="21"/>
        </w:rPr>
        <w:t>（北京时间）</w:t>
      </w:r>
    </w:p>
    <w:p>
      <w:pPr>
        <w:pStyle w:val="27"/>
        <w:widowControl/>
        <w:snapToGrid w:val="0"/>
        <w:spacing w:line="400" w:lineRule="exact"/>
        <w:ind w:left="0" w:firstLine="420" w:firstLineChars="200"/>
        <w:rPr>
          <w:rStyle w:val="26"/>
          <w:rFonts w:ascii="宋体" w:hAnsi="宋体" w:eastAsia="宋体" w:cs="宋体"/>
          <w:b w:val="0"/>
          <w:sz w:val="21"/>
          <w:szCs w:val="21"/>
        </w:rPr>
      </w:pPr>
      <w:r>
        <w:rPr>
          <w:rStyle w:val="26"/>
          <w:rFonts w:hint="eastAsia" w:ascii="宋体" w:hAnsi="宋体" w:eastAsia="宋体" w:cs="宋体"/>
          <w:b w:val="0"/>
          <w:sz w:val="21"/>
          <w:szCs w:val="21"/>
        </w:rPr>
        <w:t>2.地点：衢江区公共资源交易中心</w:t>
      </w:r>
      <w:r>
        <w:rPr>
          <w:rStyle w:val="26"/>
          <w:rFonts w:hint="eastAsia" w:ascii="宋体" w:hAnsi="宋体" w:eastAsia="宋体" w:cs="宋体"/>
          <w:b w:val="0"/>
          <w:sz w:val="21"/>
          <w:szCs w:val="21"/>
          <w:lang w:val="en-US"/>
        </w:rPr>
        <w:t>2</w:t>
      </w:r>
      <w:r>
        <w:rPr>
          <w:rStyle w:val="26"/>
          <w:rFonts w:hint="eastAsia" w:ascii="宋体" w:hAnsi="宋体" w:eastAsia="宋体" w:cs="宋体"/>
          <w:b w:val="0"/>
          <w:sz w:val="21"/>
          <w:szCs w:val="21"/>
        </w:rPr>
        <w:t>号开标厅（衢江区振兴东路268号）。</w:t>
      </w:r>
    </w:p>
    <w:p>
      <w:pPr>
        <w:pStyle w:val="27"/>
        <w:widowControl/>
        <w:snapToGrid w:val="0"/>
        <w:spacing w:line="400" w:lineRule="exact"/>
        <w:ind w:left="0" w:firstLine="0"/>
        <w:outlineLvl w:val="1"/>
        <w:rPr>
          <w:rStyle w:val="26"/>
          <w:rFonts w:ascii="宋体" w:hAnsi="宋体" w:eastAsia="宋体" w:cs="宋体"/>
          <w:b w:val="0"/>
          <w:bCs/>
          <w:sz w:val="21"/>
          <w:szCs w:val="21"/>
        </w:rPr>
      </w:pPr>
      <w:bookmarkStart w:id="8" w:name="_Toc3179"/>
      <w:r>
        <w:rPr>
          <w:rStyle w:val="26"/>
          <w:rFonts w:hint="eastAsia" w:ascii="宋体" w:hAnsi="宋体" w:eastAsia="宋体" w:cs="宋体"/>
          <w:b w:val="0"/>
          <w:bCs/>
          <w:sz w:val="21"/>
          <w:szCs w:val="21"/>
        </w:rPr>
        <w:t>五、公告期限</w:t>
      </w:r>
      <w:bookmarkEnd w:id="8"/>
    </w:p>
    <w:p>
      <w:pPr>
        <w:snapToGrid w:val="0"/>
        <w:spacing w:line="400" w:lineRule="exact"/>
        <w:ind w:firstLine="420" w:firstLineChars="200"/>
        <w:textAlignment w:val="baseline"/>
        <w:rPr>
          <w:rStyle w:val="26"/>
          <w:rFonts w:ascii="宋体" w:hAnsi="宋体" w:cs="宋体"/>
          <w:kern w:val="0"/>
          <w:sz w:val="21"/>
          <w:szCs w:val="21"/>
        </w:rPr>
      </w:pPr>
      <w:r>
        <w:rPr>
          <w:rStyle w:val="26"/>
          <w:rFonts w:hint="eastAsia" w:ascii="宋体" w:hAnsi="宋体" w:cs="宋体"/>
          <w:kern w:val="0"/>
          <w:sz w:val="21"/>
          <w:szCs w:val="21"/>
        </w:rPr>
        <w:t>自本公告发布之日起5个工作日。</w:t>
      </w:r>
    </w:p>
    <w:p>
      <w:pPr>
        <w:snapToGrid w:val="0"/>
        <w:spacing w:line="400" w:lineRule="exact"/>
        <w:textAlignment w:val="baseline"/>
        <w:outlineLvl w:val="1"/>
        <w:rPr>
          <w:rStyle w:val="26"/>
          <w:rFonts w:ascii="宋体" w:hAnsi="宋体" w:cs="宋体"/>
          <w:b/>
          <w:bCs/>
          <w:sz w:val="21"/>
          <w:szCs w:val="21"/>
        </w:rPr>
      </w:pPr>
      <w:bookmarkStart w:id="9" w:name="_Toc21051"/>
      <w:r>
        <w:rPr>
          <w:rStyle w:val="26"/>
          <w:rFonts w:hint="eastAsia" w:ascii="宋体" w:hAnsi="宋体" w:cs="宋体"/>
          <w:b/>
          <w:bCs/>
          <w:kern w:val="0"/>
          <w:sz w:val="21"/>
          <w:szCs w:val="21"/>
        </w:rPr>
        <w:t>六、</w:t>
      </w:r>
      <w:r>
        <w:rPr>
          <w:rStyle w:val="26"/>
          <w:rFonts w:hint="eastAsia" w:ascii="宋体" w:hAnsi="宋体" w:cs="宋体"/>
          <w:b/>
          <w:bCs/>
          <w:sz w:val="21"/>
          <w:szCs w:val="21"/>
        </w:rPr>
        <w:t>其他补充事宜</w:t>
      </w:r>
      <w:bookmarkEnd w:id="9"/>
    </w:p>
    <w:p>
      <w:pPr>
        <w:snapToGrid w:val="0"/>
        <w:spacing w:line="400" w:lineRule="exact"/>
        <w:ind w:firstLine="369" w:firstLineChars="176"/>
        <w:textAlignment w:val="baseline"/>
        <w:rPr>
          <w:rStyle w:val="26"/>
          <w:rFonts w:ascii="宋体" w:hAnsi="宋体" w:cs="宋体"/>
          <w:bCs/>
          <w:sz w:val="21"/>
          <w:szCs w:val="21"/>
        </w:rPr>
      </w:pPr>
      <w:r>
        <w:rPr>
          <w:rStyle w:val="26"/>
          <w:rFonts w:hint="eastAsia" w:ascii="宋体" w:hAnsi="宋体" w:cs="宋体"/>
          <w:bCs/>
          <w:sz w:val="21"/>
          <w:szCs w:val="21"/>
        </w:rPr>
        <w:t>1.</w:t>
      </w:r>
      <w:r>
        <w:rPr>
          <w:rStyle w:val="26"/>
          <w:rFonts w:hint="eastAsia" w:ascii="宋体" w:hAnsi="宋体" w:cs="宋体"/>
          <w:bCs/>
          <w:sz w:val="21"/>
          <w:szCs w:val="21"/>
          <w:u w:val="single" w:color="000000"/>
        </w:rPr>
        <w:t>本项目通过“政府采购云平台（www.zcygov.cn）”实行在线投标响应（电子投标），投标人应先安装“</w:t>
      </w:r>
      <w:r>
        <w:rPr>
          <w:rStyle w:val="26"/>
          <w:rFonts w:hint="eastAsia" w:ascii="宋体" w:hAnsi="宋体" w:cs="宋体"/>
          <w:bCs/>
          <w:sz w:val="21"/>
          <w:szCs w:val="21"/>
          <w:u w:val="single" w:color="000000"/>
          <w:lang w:val="en-US"/>
        </w:rPr>
        <w:tab/>
      </w:r>
      <w:r>
        <w:rPr>
          <w:rStyle w:val="26"/>
          <w:rFonts w:hint="eastAsia" w:ascii="宋体" w:hAnsi="宋体" w:cs="宋体"/>
          <w:bCs/>
          <w:sz w:val="21"/>
          <w:szCs w:val="21"/>
          <w:u w:val="single" w:color="000000"/>
        </w:rPr>
        <w:t>”，并按照本招标文件和“政府采购云平台”的要求，通过“政采云电子交易客户端”编制并加密投标文件。投标人未按规定加密的投标文件，“政府采购云平台”将予以拒收</w:t>
      </w:r>
      <w:r>
        <w:rPr>
          <w:rStyle w:val="26"/>
          <w:rFonts w:hint="eastAsia" w:ascii="宋体" w:hAnsi="宋体" w:cs="宋体"/>
          <w:bCs/>
          <w:sz w:val="21"/>
          <w:szCs w:val="21"/>
        </w:rPr>
        <w:t>。</w:t>
      </w:r>
    </w:p>
    <w:p>
      <w:pPr>
        <w:snapToGrid w:val="0"/>
        <w:spacing w:line="400" w:lineRule="exact"/>
        <w:ind w:firstLine="369" w:firstLineChars="176"/>
        <w:textAlignment w:val="baseline"/>
        <w:rPr>
          <w:rStyle w:val="26"/>
          <w:rFonts w:ascii="宋体" w:hAnsi="宋体" w:cs="宋体"/>
          <w:bCs/>
          <w:sz w:val="21"/>
          <w:szCs w:val="21"/>
          <w:u w:val="single" w:color="000000"/>
        </w:rPr>
      </w:pPr>
      <w:r>
        <w:rPr>
          <w:rStyle w:val="26"/>
          <w:rFonts w:hint="eastAsia" w:ascii="宋体" w:hAnsi="宋体" w:cs="宋体"/>
          <w:bCs/>
          <w:sz w:val="21"/>
          <w:szCs w:val="21"/>
        </w:rPr>
        <w:t>“政采云电子交易客户端”请自行前往“浙江政府采购网-下载专区-电子交易客户端”进行下载；电子投标具体操作流程详见本公告附件《投标人项目采购-电子招投标操作指南》；通过“政府采购云平台”参与在线投标时如遇平台技术问题详询400-881-7190。</w:t>
      </w:r>
    </w:p>
    <w:p>
      <w:pPr>
        <w:snapToGrid w:val="0"/>
        <w:spacing w:line="400" w:lineRule="exact"/>
        <w:ind w:firstLine="369" w:firstLineChars="176"/>
        <w:textAlignment w:val="baseline"/>
        <w:rPr>
          <w:rStyle w:val="26"/>
          <w:rFonts w:ascii="宋体" w:hAnsi="宋体" w:cs="宋体"/>
          <w:bCs/>
          <w:sz w:val="21"/>
          <w:szCs w:val="21"/>
        </w:rPr>
      </w:pPr>
      <w:r>
        <w:rPr>
          <w:rStyle w:val="26"/>
          <w:rFonts w:hint="eastAsia" w:ascii="宋体" w:hAnsi="宋体" w:cs="宋体"/>
          <w:bCs/>
          <w:sz w:val="21"/>
          <w:szCs w:val="21"/>
        </w:rPr>
        <w:t>2.</w:t>
      </w:r>
      <w:r>
        <w:rPr>
          <w:rStyle w:val="26"/>
          <w:rFonts w:hint="eastAsia" w:ascii="宋体" w:hAnsi="宋体" w:cs="宋体"/>
          <w:bCs/>
          <w:sz w:val="21"/>
          <w:szCs w:val="21"/>
          <w:u w:val="single" w:color="000000"/>
        </w:rPr>
        <w:t>为确保网上操作合法、有效和安全，投标人应当在投标截止时间前完成在“政府采购云平台”的身份认证，确保在电子投标过程中能够对相关数据电文进行加密和使用电子签章</w:t>
      </w:r>
      <w:r>
        <w:rPr>
          <w:rStyle w:val="26"/>
          <w:rFonts w:hint="eastAsia" w:ascii="宋体" w:hAnsi="宋体" w:cs="宋体"/>
          <w:bCs/>
          <w:sz w:val="21"/>
          <w:szCs w:val="21"/>
        </w:rPr>
        <w:t>。使用“政采云电子交易客户端”需要提前申领CA数字证书，申领流程请自行前往“浙江政府采购网-下载专区-电子交易客户端-CA驱动和申领流程”进行查阅；</w:t>
      </w:r>
    </w:p>
    <w:p>
      <w:pPr>
        <w:snapToGrid w:val="0"/>
        <w:spacing w:line="400" w:lineRule="exact"/>
        <w:ind w:firstLine="369" w:firstLineChars="176"/>
        <w:textAlignment w:val="baseline"/>
        <w:rPr>
          <w:rStyle w:val="26"/>
          <w:rFonts w:ascii="宋体" w:hAnsi="宋体" w:cs="宋体"/>
          <w:bCs/>
          <w:sz w:val="21"/>
          <w:szCs w:val="21"/>
        </w:rPr>
      </w:pPr>
      <w:r>
        <w:rPr>
          <w:rStyle w:val="26"/>
          <w:rFonts w:hint="eastAsia" w:ascii="宋体" w:hAnsi="宋体" w:cs="宋体"/>
          <w:bCs/>
          <w:sz w:val="21"/>
          <w:szCs w:val="21"/>
        </w:rPr>
        <w:t>3.</w:t>
      </w:r>
      <w:r>
        <w:rPr>
          <w:rStyle w:val="26"/>
          <w:rFonts w:hint="eastAsia" w:ascii="宋体" w:hAnsi="宋体" w:cs="宋体"/>
          <w:bCs/>
          <w:sz w:val="21"/>
          <w:szCs w:val="21"/>
          <w:u w:val="single" w:color="000000"/>
        </w:rPr>
        <w:t>投标人应当在投标截止时间前，将生成的“电子加密投标文件”上传递交至“政府采购云平台”。投标截止时间以后上传递交的投标文件将被“政府采购云平台”拒收。</w:t>
      </w:r>
    </w:p>
    <w:p>
      <w:pPr>
        <w:snapToGrid w:val="0"/>
        <w:spacing w:line="400" w:lineRule="exact"/>
        <w:ind w:firstLine="369" w:firstLineChars="176"/>
        <w:textAlignment w:val="baseline"/>
        <w:rPr>
          <w:rStyle w:val="26"/>
          <w:rFonts w:ascii="宋体" w:hAnsi="宋体" w:cs="宋体"/>
          <w:bCs/>
          <w:sz w:val="21"/>
          <w:szCs w:val="21"/>
        </w:rPr>
      </w:pPr>
      <w:r>
        <w:rPr>
          <w:rStyle w:val="26"/>
          <w:rFonts w:hint="eastAsia" w:ascii="宋体" w:hAnsi="宋体" w:cs="宋体"/>
          <w:bCs/>
          <w:sz w:val="21"/>
          <w:szCs w:val="21"/>
        </w:rPr>
        <w:t>4.</w:t>
      </w:r>
      <w:r>
        <w:rPr>
          <w:rStyle w:val="26"/>
          <w:rFonts w:hint="eastAsia" w:ascii="宋体" w:hAnsi="宋体" w:cs="宋体"/>
          <w:bCs/>
          <w:sz w:val="21"/>
          <w:szCs w:val="21"/>
          <w:u w:val="single" w:color="000000"/>
        </w:rPr>
        <w:t>投标人在“政府采购云平台”完成“电子加密投标文件”的上传递交后，还可以（EMS或顺丰邮寄形式）在投标截止时间前递交以介质（U盘）存储的数据电文形式的“备份投标文件”，“备份投标文件”应当密封包装并在包装上标注投标项目名称、投标单位名称并加盖公章</w:t>
      </w:r>
      <w:r>
        <w:rPr>
          <w:rStyle w:val="26"/>
          <w:rFonts w:hint="eastAsia" w:ascii="宋体" w:hAnsi="宋体" w:cs="宋体"/>
          <w:bCs/>
          <w:sz w:val="21"/>
          <w:szCs w:val="21"/>
        </w:rPr>
        <w:t>。</w:t>
      </w:r>
    </w:p>
    <w:p>
      <w:pPr>
        <w:snapToGrid w:val="0"/>
        <w:spacing w:line="400" w:lineRule="exact"/>
        <w:ind w:firstLine="369" w:firstLineChars="176"/>
        <w:textAlignment w:val="baseline"/>
        <w:rPr>
          <w:rStyle w:val="26"/>
          <w:rFonts w:ascii="宋体" w:hAnsi="宋体" w:cs="宋体"/>
          <w:bCs/>
          <w:sz w:val="21"/>
          <w:szCs w:val="21"/>
        </w:rPr>
      </w:pPr>
      <w:r>
        <w:rPr>
          <w:rStyle w:val="26"/>
          <w:rFonts w:hint="eastAsia" w:ascii="宋体" w:hAnsi="宋体" w:cs="宋体"/>
          <w:bCs/>
          <w:sz w:val="21"/>
          <w:szCs w:val="21"/>
        </w:rPr>
        <w:t>5.通过“政府采购云平台”上传递交的“电子加密投标文件”无法按时解密，投标人递交了备份投标文件的，以备份投标文件为依据，否则视为投标文件撤回。通过“政府采购云平台”上传递交的“电子加密投标文件”已按时解密的，“备份投标文件”自动失效。投标人仅递交备份投标文件的，投标无效。</w:t>
      </w:r>
    </w:p>
    <w:p>
      <w:pPr>
        <w:pStyle w:val="28"/>
        <w:widowControl/>
        <w:snapToGrid w:val="0"/>
        <w:spacing w:line="400" w:lineRule="exact"/>
        <w:rPr>
          <w:rStyle w:val="26"/>
          <w:rFonts w:ascii="宋体" w:hAnsi="宋体" w:cs="宋体"/>
          <w:sz w:val="21"/>
          <w:szCs w:val="21"/>
        </w:rPr>
      </w:pPr>
      <w:r>
        <w:rPr>
          <w:rStyle w:val="26"/>
          <w:rFonts w:hint="eastAsia" w:ascii="宋体" w:hAnsi="宋体" w:cs="宋体"/>
          <w:sz w:val="21"/>
          <w:szCs w:val="21"/>
        </w:rPr>
        <w:t>6.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7"/>
        <w:widowControl/>
        <w:snapToGrid w:val="0"/>
        <w:spacing w:line="400" w:lineRule="exact"/>
        <w:ind w:left="0" w:firstLine="0"/>
        <w:outlineLvl w:val="1"/>
        <w:rPr>
          <w:rStyle w:val="26"/>
          <w:rFonts w:ascii="宋体" w:hAnsi="宋体" w:eastAsia="宋体" w:cs="宋体"/>
          <w:b w:val="0"/>
          <w:sz w:val="21"/>
          <w:szCs w:val="21"/>
        </w:rPr>
      </w:pPr>
      <w:bookmarkStart w:id="10" w:name="_Toc6659"/>
      <w:r>
        <w:rPr>
          <w:rStyle w:val="26"/>
          <w:rFonts w:hint="eastAsia" w:ascii="宋体" w:hAnsi="宋体" w:eastAsia="宋体" w:cs="宋体"/>
          <w:b w:val="0"/>
          <w:sz w:val="21"/>
          <w:szCs w:val="21"/>
        </w:rPr>
        <w:t>七、对本次招标提出询问，请按以下方式联系。</w:t>
      </w:r>
      <w:bookmarkEnd w:id="10"/>
    </w:p>
    <w:p>
      <w:pPr>
        <w:widowControl/>
        <w:snapToGrid w:val="0"/>
        <w:spacing w:line="400" w:lineRule="exact"/>
        <w:jc w:val="left"/>
        <w:textAlignment w:val="baseline"/>
        <w:outlineLvl w:val="2"/>
        <w:rPr>
          <w:rStyle w:val="26"/>
          <w:rFonts w:ascii="宋体" w:hAnsi="宋体" w:cs="宋体"/>
          <w:sz w:val="21"/>
          <w:szCs w:val="21"/>
        </w:rPr>
      </w:pPr>
      <w:r>
        <w:rPr>
          <w:rStyle w:val="26"/>
          <w:rFonts w:hint="eastAsia" w:ascii="宋体" w:hAnsi="宋体" w:cs="宋体"/>
          <w:sz w:val="21"/>
          <w:szCs w:val="21"/>
        </w:rPr>
        <w:t>1.采购人信息</w:t>
      </w:r>
    </w:p>
    <w:p>
      <w:pPr>
        <w:snapToGrid w:val="0"/>
        <w:spacing w:line="400" w:lineRule="exact"/>
        <w:textAlignment w:val="baseline"/>
        <w:rPr>
          <w:rStyle w:val="26"/>
          <w:rFonts w:ascii="宋体" w:hAnsi="宋体" w:cs="宋体"/>
          <w:bCs/>
          <w:sz w:val="21"/>
          <w:szCs w:val="21"/>
        </w:rPr>
      </w:pPr>
      <w:r>
        <w:rPr>
          <w:rStyle w:val="26"/>
          <w:rFonts w:hint="eastAsia" w:ascii="宋体" w:hAnsi="宋体" w:cs="宋体"/>
          <w:bCs/>
          <w:sz w:val="21"/>
          <w:szCs w:val="21"/>
        </w:rPr>
        <w:t>采购人： 浙江省衢州理工学校</w:t>
      </w:r>
    </w:p>
    <w:p>
      <w:pPr>
        <w:snapToGrid w:val="0"/>
        <w:spacing w:line="400" w:lineRule="exact"/>
        <w:textAlignment w:val="baseline"/>
        <w:rPr>
          <w:rStyle w:val="26"/>
          <w:rFonts w:ascii="宋体" w:hAnsi="宋体" w:cs="宋体"/>
          <w:bCs/>
          <w:sz w:val="21"/>
          <w:szCs w:val="21"/>
        </w:rPr>
      </w:pPr>
      <w:r>
        <w:rPr>
          <w:rStyle w:val="26"/>
          <w:rFonts w:hint="eastAsia" w:ascii="宋体" w:hAnsi="宋体" w:cs="宋体"/>
          <w:bCs/>
          <w:sz w:val="21"/>
          <w:szCs w:val="21"/>
        </w:rPr>
        <w:t>地址：</w:t>
      </w:r>
      <w:r>
        <w:rPr>
          <w:rStyle w:val="26"/>
          <w:rFonts w:hint="eastAsia" w:ascii="宋体" w:hAnsi="宋体" w:cs="宋体"/>
          <w:bCs/>
          <w:sz w:val="21"/>
          <w:szCs w:val="21"/>
        </w:rPr>
        <w:fldChar w:fldCharType="begin"/>
      </w:r>
      <w:r>
        <w:rPr>
          <w:rStyle w:val="26"/>
          <w:rFonts w:hint="eastAsia" w:ascii="宋体" w:hAnsi="宋体" w:cs="宋体"/>
          <w:bCs/>
          <w:sz w:val="21"/>
          <w:szCs w:val="21"/>
        </w:rPr>
        <w:instrText xml:space="preserve"> HYPERLINK "https://map.baidu.com/search/?querytype=s&amp;da_src=shareurl&amp;wd=%E6%B5%99%E6%B1%9F%E7%9C%81%E8%A1%A2%E5%B7%9E%E7%90%86%E5%B7%A5%E5%AD%A6%E6%A0%A1" \t "https://www.xizexiao.com/school/_blank" </w:instrText>
      </w:r>
      <w:r>
        <w:rPr>
          <w:rStyle w:val="26"/>
          <w:rFonts w:hint="eastAsia" w:ascii="宋体" w:hAnsi="宋体" w:cs="宋体"/>
          <w:bCs/>
          <w:sz w:val="21"/>
          <w:szCs w:val="21"/>
        </w:rPr>
        <w:fldChar w:fldCharType="separate"/>
      </w:r>
      <w:r>
        <w:rPr>
          <w:rStyle w:val="26"/>
          <w:rFonts w:hint="eastAsia" w:ascii="宋体" w:hAnsi="宋体" w:cs="宋体"/>
          <w:bCs/>
          <w:sz w:val="21"/>
          <w:szCs w:val="21"/>
        </w:rPr>
        <w:t>衢州智造新城芳桂北路1号</w:t>
      </w:r>
      <w:r>
        <w:rPr>
          <w:rStyle w:val="26"/>
          <w:rFonts w:hint="eastAsia" w:ascii="宋体" w:hAnsi="宋体" w:cs="宋体"/>
          <w:bCs/>
          <w:sz w:val="21"/>
          <w:szCs w:val="21"/>
        </w:rPr>
        <w:fldChar w:fldCharType="end"/>
      </w:r>
      <w:r>
        <w:rPr>
          <w:rStyle w:val="26"/>
          <w:rFonts w:hint="eastAsia" w:ascii="宋体" w:hAnsi="宋体" w:cs="宋体"/>
          <w:bCs/>
          <w:sz w:val="21"/>
          <w:szCs w:val="21"/>
          <w:lang w:val="en-US"/>
        </w:rPr>
        <w:t xml:space="preserve"> </w:t>
      </w:r>
    </w:p>
    <w:p>
      <w:pPr>
        <w:snapToGrid w:val="0"/>
        <w:spacing w:line="400" w:lineRule="exact"/>
        <w:textAlignment w:val="baseline"/>
        <w:rPr>
          <w:rStyle w:val="26"/>
          <w:rFonts w:ascii="宋体" w:hAnsi="宋体" w:cs="宋体"/>
          <w:bCs/>
          <w:sz w:val="21"/>
          <w:szCs w:val="21"/>
        </w:rPr>
      </w:pPr>
      <w:r>
        <w:rPr>
          <w:rStyle w:val="26"/>
          <w:rFonts w:hint="eastAsia" w:ascii="宋体" w:hAnsi="宋体" w:cs="宋体"/>
          <w:bCs/>
          <w:sz w:val="21"/>
          <w:szCs w:val="21"/>
        </w:rPr>
        <w:t>联系人：</w:t>
      </w:r>
      <w:r>
        <w:rPr>
          <w:rStyle w:val="26"/>
          <w:rFonts w:hint="eastAsia" w:ascii="宋体" w:hAnsi="宋体" w:cs="宋体"/>
          <w:bCs/>
          <w:sz w:val="21"/>
          <w:szCs w:val="21"/>
          <w:lang w:val="en-US"/>
        </w:rPr>
        <w:t>王老师</w:t>
      </w:r>
    </w:p>
    <w:p>
      <w:pPr>
        <w:snapToGrid w:val="0"/>
        <w:spacing w:line="400" w:lineRule="exact"/>
        <w:textAlignment w:val="baseline"/>
        <w:rPr>
          <w:rStyle w:val="26"/>
          <w:rFonts w:hint="default" w:ascii="宋体" w:hAnsi="宋体" w:cs="宋体"/>
          <w:bCs/>
          <w:sz w:val="21"/>
          <w:szCs w:val="21"/>
          <w:lang w:val="en-US"/>
        </w:rPr>
      </w:pPr>
      <w:r>
        <w:rPr>
          <w:rStyle w:val="26"/>
          <w:rFonts w:hint="eastAsia" w:ascii="宋体" w:hAnsi="宋体" w:cs="宋体"/>
          <w:bCs/>
          <w:sz w:val="21"/>
          <w:szCs w:val="21"/>
        </w:rPr>
        <w:t>联系电话：</w:t>
      </w:r>
      <w:r>
        <w:rPr>
          <w:rStyle w:val="26"/>
          <w:rFonts w:hint="eastAsia" w:ascii="宋体" w:hAnsi="宋体" w:cs="宋体"/>
          <w:bCs/>
          <w:sz w:val="21"/>
          <w:szCs w:val="21"/>
          <w:lang w:val="en-US"/>
        </w:rPr>
        <w:t>13616709248</w:t>
      </w:r>
    </w:p>
    <w:p>
      <w:pPr>
        <w:snapToGrid w:val="0"/>
        <w:spacing w:line="400" w:lineRule="exact"/>
        <w:textAlignment w:val="baseline"/>
        <w:rPr>
          <w:rStyle w:val="26"/>
          <w:rFonts w:ascii="宋体" w:hAnsi="宋体" w:cs="宋体"/>
          <w:bCs/>
          <w:sz w:val="21"/>
          <w:szCs w:val="21"/>
        </w:rPr>
      </w:pPr>
      <w:r>
        <w:rPr>
          <w:rStyle w:val="26"/>
          <w:rFonts w:hint="eastAsia" w:ascii="宋体" w:hAnsi="宋体" w:cs="宋体"/>
          <w:bCs/>
          <w:sz w:val="21"/>
          <w:szCs w:val="21"/>
        </w:rPr>
        <w:t>质疑联系人：</w:t>
      </w:r>
      <w:r>
        <w:rPr>
          <w:rStyle w:val="26"/>
          <w:rFonts w:hint="eastAsia" w:ascii="宋体" w:hAnsi="宋体" w:cs="宋体"/>
          <w:bCs/>
          <w:sz w:val="21"/>
          <w:szCs w:val="21"/>
          <w:lang w:val="en-US"/>
        </w:rPr>
        <w:t>周老师</w:t>
      </w:r>
      <w:r>
        <w:rPr>
          <w:rStyle w:val="26"/>
          <w:rFonts w:hint="eastAsia" w:ascii="宋体" w:hAnsi="宋体" w:cs="宋体"/>
          <w:bCs/>
          <w:sz w:val="21"/>
          <w:szCs w:val="21"/>
        </w:rPr>
        <w:t xml:space="preserve">                 </w:t>
      </w:r>
    </w:p>
    <w:p>
      <w:pPr>
        <w:snapToGrid w:val="0"/>
        <w:spacing w:line="400" w:lineRule="exact"/>
        <w:textAlignment w:val="baseline"/>
        <w:rPr>
          <w:rStyle w:val="26"/>
          <w:rFonts w:ascii="宋体" w:hAnsi="宋体" w:cs="宋体"/>
          <w:bCs/>
          <w:sz w:val="21"/>
          <w:szCs w:val="21"/>
        </w:rPr>
      </w:pPr>
      <w:r>
        <w:rPr>
          <w:rStyle w:val="26"/>
          <w:rFonts w:hint="eastAsia" w:ascii="宋体" w:hAnsi="宋体" w:cs="宋体"/>
          <w:bCs/>
          <w:sz w:val="21"/>
          <w:szCs w:val="21"/>
        </w:rPr>
        <w:t xml:space="preserve">联系方式： </w:t>
      </w:r>
      <w:r>
        <w:rPr>
          <w:rStyle w:val="26"/>
          <w:rFonts w:hint="eastAsia" w:ascii="宋体" w:hAnsi="宋体" w:cs="宋体"/>
          <w:bCs/>
          <w:sz w:val="21"/>
          <w:szCs w:val="21"/>
          <w:lang w:val="en-US"/>
        </w:rPr>
        <w:t>13587102553</w:t>
      </w:r>
    </w:p>
    <w:p>
      <w:pPr>
        <w:snapToGrid w:val="0"/>
        <w:spacing w:line="400" w:lineRule="exact"/>
        <w:ind w:left="300" w:hanging="300"/>
        <w:jc w:val="left"/>
        <w:textAlignment w:val="baseline"/>
        <w:outlineLvl w:val="2"/>
        <w:rPr>
          <w:rStyle w:val="26"/>
          <w:rFonts w:ascii="宋体" w:hAnsi="宋体" w:cs="宋体"/>
          <w:sz w:val="21"/>
          <w:szCs w:val="21"/>
        </w:rPr>
      </w:pPr>
      <w:r>
        <w:rPr>
          <w:rStyle w:val="26"/>
          <w:rFonts w:hint="eastAsia" w:ascii="宋体" w:hAnsi="宋体" w:cs="宋体"/>
          <w:sz w:val="21"/>
          <w:szCs w:val="21"/>
        </w:rPr>
        <w:t>2.采购代理机构信息</w:t>
      </w:r>
    </w:p>
    <w:p>
      <w:pPr>
        <w:snapToGrid w:val="0"/>
        <w:spacing w:line="400" w:lineRule="exact"/>
        <w:textAlignment w:val="baseline"/>
        <w:rPr>
          <w:rStyle w:val="26"/>
          <w:rFonts w:ascii="宋体" w:hAnsi="宋体" w:cs="宋体"/>
          <w:sz w:val="21"/>
          <w:szCs w:val="21"/>
        </w:rPr>
      </w:pPr>
      <w:r>
        <w:rPr>
          <w:rStyle w:val="26"/>
          <w:rFonts w:hint="eastAsia" w:ascii="宋体" w:hAnsi="宋体" w:cs="宋体"/>
          <w:sz w:val="21"/>
          <w:szCs w:val="21"/>
        </w:rPr>
        <w:t>名 称：浙江科信联合工程项目管理咨询有限公司</w:t>
      </w:r>
    </w:p>
    <w:p>
      <w:pPr>
        <w:snapToGrid w:val="0"/>
        <w:spacing w:line="400" w:lineRule="exact"/>
        <w:textAlignment w:val="baseline"/>
        <w:rPr>
          <w:rStyle w:val="26"/>
          <w:rFonts w:ascii="宋体" w:hAnsi="宋体" w:cs="宋体"/>
          <w:sz w:val="21"/>
          <w:szCs w:val="21"/>
        </w:rPr>
      </w:pPr>
      <w:r>
        <w:rPr>
          <w:rStyle w:val="26"/>
          <w:rFonts w:hint="eastAsia" w:ascii="宋体" w:hAnsi="宋体" w:cs="宋体"/>
          <w:sz w:val="21"/>
          <w:szCs w:val="21"/>
        </w:rPr>
        <w:t>地　址：衢州市柯城区白云北大道509号印象西城508室</w:t>
      </w:r>
    </w:p>
    <w:p>
      <w:pPr>
        <w:pStyle w:val="25"/>
        <w:widowControl/>
        <w:snapToGrid w:val="0"/>
        <w:spacing w:line="400" w:lineRule="exact"/>
        <w:rPr>
          <w:rStyle w:val="26"/>
          <w:rFonts w:hAnsi="宋体" w:cs="宋体"/>
          <w:sz w:val="21"/>
          <w:szCs w:val="21"/>
        </w:rPr>
      </w:pPr>
      <w:r>
        <w:rPr>
          <w:rStyle w:val="26"/>
          <w:rFonts w:hint="eastAsia" w:hAnsi="宋体" w:cs="宋体"/>
          <w:sz w:val="21"/>
          <w:szCs w:val="21"/>
        </w:rPr>
        <w:t>项目联系人：符丽秀</w:t>
      </w:r>
    </w:p>
    <w:p>
      <w:pPr>
        <w:snapToGrid w:val="0"/>
        <w:spacing w:line="400" w:lineRule="exact"/>
        <w:textAlignment w:val="baseline"/>
        <w:rPr>
          <w:rStyle w:val="26"/>
          <w:rFonts w:ascii="宋体" w:hAnsi="宋体" w:cs="宋体"/>
          <w:sz w:val="21"/>
          <w:szCs w:val="21"/>
        </w:rPr>
      </w:pPr>
      <w:r>
        <w:rPr>
          <w:rStyle w:val="26"/>
          <w:rFonts w:hint="eastAsia" w:ascii="宋体" w:hAnsi="宋体" w:cs="宋体"/>
          <w:sz w:val="21"/>
          <w:szCs w:val="21"/>
        </w:rPr>
        <w:t>联系方式：0570-3392897、18367087956</w:t>
      </w:r>
    </w:p>
    <w:p>
      <w:pPr>
        <w:snapToGrid w:val="0"/>
        <w:spacing w:line="400" w:lineRule="exact"/>
        <w:textAlignment w:val="baseline"/>
        <w:rPr>
          <w:rStyle w:val="26"/>
          <w:rFonts w:ascii="宋体" w:hAnsi="宋体" w:cs="宋体"/>
          <w:sz w:val="21"/>
          <w:szCs w:val="21"/>
        </w:rPr>
      </w:pPr>
      <w:r>
        <w:rPr>
          <w:rStyle w:val="26"/>
          <w:rFonts w:hint="eastAsia" w:ascii="宋体" w:hAnsi="宋体" w:cs="宋体"/>
          <w:sz w:val="21"/>
          <w:szCs w:val="21"/>
        </w:rPr>
        <w:t>质疑联系人：毛红娟</w:t>
      </w:r>
    </w:p>
    <w:p>
      <w:pPr>
        <w:snapToGrid w:val="0"/>
        <w:spacing w:line="400" w:lineRule="exact"/>
        <w:textAlignment w:val="baseline"/>
        <w:rPr>
          <w:rStyle w:val="26"/>
          <w:rFonts w:ascii="宋体" w:hAnsi="宋体" w:cs="宋体"/>
          <w:sz w:val="21"/>
          <w:szCs w:val="21"/>
        </w:rPr>
      </w:pPr>
      <w:r>
        <w:rPr>
          <w:rStyle w:val="26"/>
          <w:rFonts w:hint="eastAsia" w:ascii="宋体" w:hAnsi="宋体" w:cs="宋体"/>
          <w:sz w:val="21"/>
          <w:szCs w:val="21"/>
        </w:rPr>
        <w:t>联系方式：0570-3392898</w:t>
      </w:r>
    </w:p>
    <w:p>
      <w:pPr>
        <w:snapToGrid w:val="0"/>
        <w:spacing w:line="400" w:lineRule="exact"/>
        <w:textAlignment w:val="baseline"/>
        <w:outlineLvl w:val="2"/>
        <w:rPr>
          <w:rStyle w:val="26"/>
          <w:rFonts w:ascii="宋体" w:hAnsi="宋体" w:cs="宋体"/>
          <w:sz w:val="21"/>
          <w:szCs w:val="21"/>
        </w:rPr>
      </w:pPr>
      <w:r>
        <w:rPr>
          <w:rStyle w:val="26"/>
          <w:rFonts w:hint="eastAsia" w:ascii="宋体" w:hAnsi="宋体" w:cs="宋体"/>
          <w:sz w:val="21"/>
          <w:szCs w:val="21"/>
        </w:rPr>
        <w:t>3.同级政府采购监督管理部门名称：衢州市衢江区政府采购管理办公室</w:t>
      </w:r>
    </w:p>
    <w:p>
      <w:pPr>
        <w:snapToGrid w:val="0"/>
        <w:spacing w:line="400" w:lineRule="exact"/>
        <w:textAlignment w:val="baseline"/>
        <w:rPr>
          <w:rStyle w:val="26"/>
          <w:rFonts w:ascii="宋体" w:hAnsi="宋体" w:cs="宋体"/>
          <w:sz w:val="21"/>
          <w:szCs w:val="21"/>
        </w:rPr>
      </w:pPr>
      <w:r>
        <w:rPr>
          <w:rStyle w:val="26"/>
          <w:rFonts w:hint="eastAsia" w:ascii="宋体" w:hAnsi="宋体" w:cs="宋体"/>
          <w:sz w:val="21"/>
          <w:szCs w:val="21"/>
        </w:rPr>
        <w:t>联系人：杨女士</w:t>
      </w:r>
    </w:p>
    <w:p>
      <w:pPr>
        <w:snapToGrid w:val="0"/>
        <w:spacing w:line="400" w:lineRule="exact"/>
        <w:textAlignment w:val="baseline"/>
        <w:rPr>
          <w:rStyle w:val="26"/>
          <w:rFonts w:ascii="宋体" w:hAnsi="宋体" w:cs="宋体"/>
          <w:sz w:val="21"/>
          <w:szCs w:val="21"/>
        </w:rPr>
      </w:pPr>
      <w:r>
        <w:rPr>
          <w:rStyle w:val="26"/>
          <w:rFonts w:hint="eastAsia" w:ascii="宋体" w:hAnsi="宋体" w:cs="宋体"/>
          <w:sz w:val="21"/>
          <w:szCs w:val="21"/>
        </w:rPr>
        <w:t>监督投诉电话：0570-8762709</w:t>
      </w:r>
    </w:p>
    <w:p>
      <w:pPr>
        <w:snapToGrid w:val="0"/>
        <w:spacing w:line="400" w:lineRule="exact"/>
        <w:jc w:val="right"/>
        <w:textAlignment w:val="baseline"/>
        <w:rPr>
          <w:rStyle w:val="26"/>
          <w:rFonts w:ascii="宋体" w:hAnsi="宋体" w:cs="宋体"/>
          <w:sz w:val="21"/>
          <w:szCs w:val="21"/>
        </w:rPr>
      </w:pPr>
    </w:p>
    <w:p>
      <w:pPr>
        <w:snapToGrid w:val="0"/>
        <w:spacing w:line="400" w:lineRule="exact"/>
        <w:jc w:val="right"/>
        <w:textAlignment w:val="baseline"/>
        <w:rPr>
          <w:rStyle w:val="26"/>
          <w:rFonts w:ascii="宋体" w:hAnsi="宋体" w:cs="宋体"/>
          <w:sz w:val="21"/>
          <w:szCs w:val="21"/>
        </w:rPr>
      </w:pPr>
      <w:r>
        <w:rPr>
          <w:rStyle w:val="26"/>
          <w:rFonts w:hint="eastAsia" w:ascii="宋体" w:hAnsi="宋体" w:cs="宋体"/>
          <w:sz w:val="21"/>
          <w:szCs w:val="21"/>
        </w:rPr>
        <w:t xml:space="preserve"> 2021年</w:t>
      </w:r>
      <w:r>
        <w:rPr>
          <w:rStyle w:val="26"/>
          <w:rFonts w:hint="eastAsia" w:ascii="宋体" w:hAnsi="宋体" w:cs="宋体"/>
          <w:sz w:val="21"/>
          <w:szCs w:val="21"/>
          <w:lang w:val="en-US"/>
        </w:rPr>
        <w:t>8</w:t>
      </w:r>
      <w:r>
        <w:rPr>
          <w:rStyle w:val="26"/>
          <w:rFonts w:hint="eastAsia" w:ascii="宋体" w:hAnsi="宋体" w:cs="宋体"/>
          <w:sz w:val="21"/>
          <w:szCs w:val="21"/>
        </w:rPr>
        <w:t>月</w:t>
      </w:r>
      <w:r>
        <w:rPr>
          <w:rStyle w:val="26"/>
          <w:rFonts w:hint="eastAsia" w:ascii="宋体" w:hAnsi="宋体" w:cs="宋体"/>
          <w:sz w:val="21"/>
          <w:szCs w:val="21"/>
          <w:lang w:val="en-US"/>
        </w:rPr>
        <w:t>26</w:t>
      </w:r>
      <w:r>
        <w:rPr>
          <w:rStyle w:val="26"/>
          <w:rFonts w:hint="eastAsia" w:ascii="宋体" w:hAnsi="宋体" w:cs="宋体"/>
          <w:sz w:val="21"/>
          <w:szCs w:val="21"/>
        </w:rPr>
        <w:t>日</w:t>
      </w:r>
    </w:p>
    <w:p>
      <w:pPr>
        <w:pStyle w:val="11"/>
        <w:pageBreakBefore/>
        <w:adjustRightInd w:val="0"/>
        <w:snapToGrid w:val="0"/>
        <w:spacing w:line="360" w:lineRule="auto"/>
        <w:jc w:val="center"/>
        <w:outlineLvl w:val="0"/>
        <w:rPr>
          <w:rFonts w:hAnsi="宋体"/>
          <w:b/>
          <w:sz w:val="30"/>
          <w:szCs w:val="30"/>
        </w:rPr>
      </w:pPr>
      <w:bookmarkStart w:id="11" w:name="_Toc183"/>
      <w:r>
        <w:rPr>
          <w:rFonts w:hint="eastAsia" w:hAnsi="宋体"/>
          <w:b/>
          <w:sz w:val="30"/>
          <w:szCs w:val="30"/>
        </w:rPr>
        <w:t>第二部分  投标人须知</w:t>
      </w:r>
      <w:bookmarkEnd w:id="2"/>
      <w:bookmarkEnd w:id="11"/>
    </w:p>
    <w:p>
      <w:pPr>
        <w:pStyle w:val="3"/>
        <w:numPr>
          <w:ilvl w:val="0"/>
          <w:numId w:val="0"/>
        </w:numPr>
        <w:ind w:left="560"/>
        <w:jc w:val="center"/>
        <w:rPr>
          <w:rFonts w:ascii="宋体" w:hAnsi="宋体" w:eastAsia="宋体"/>
          <w:sz w:val="32"/>
        </w:rPr>
      </w:pPr>
      <w:bookmarkStart w:id="12" w:name="_Toc13669"/>
      <w:bookmarkStart w:id="13" w:name="_Toc32187"/>
      <w:bookmarkStart w:id="14" w:name="_Toc16117"/>
      <w:bookmarkStart w:id="15" w:name="_Toc23609"/>
      <w:bookmarkStart w:id="16" w:name="_Toc522530040"/>
      <w:bookmarkStart w:id="17" w:name="_Toc519670190"/>
      <w:r>
        <w:rPr>
          <w:rFonts w:hint="eastAsia" w:ascii="宋体" w:hAnsi="宋体" w:eastAsia="宋体"/>
          <w:sz w:val="32"/>
        </w:rPr>
        <w:t>前 附 表</w:t>
      </w:r>
      <w:bookmarkEnd w:id="12"/>
      <w:bookmarkEnd w:id="13"/>
      <w:bookmarkEnd w:id="14"/>
      <w:bookmarkEnd w:id="15"/>
      <w:bookmarkEnd w:id="16"/>
      <w:bookmarkEnd w:id="17"/>
    </w:p>
    <w:tbl>
      <w:tblPr>
        <w:tblStyle w:val="20"/>
        <w:tblW w:w="9242"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06"/>
        <w:gridCol w:w="7208"/>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87" w:hRule="atLeast"/>
          <w:tblHeade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b/>
                <w:sz w:val="21"/>
                <w:szCs w:val="21"/>
              </w:rPr>
            </w:pPr>
            <w:r>
              <w:rPr>
                <w:rFonts w:hint="eastAsia" w:ascii="宋体" w:hAnsi="宋体" w:cs="宋体"/>
                <w:b/>
                <w:sz w:val="21"/>
                <w:szCs w:val="21"/>
              </w:rPr>
              <w:t>序号</w:t>
            </w:r>
          </w:p>
        </w:tc>
        <w:tc>
          <w:tcPr>
            <w:tcW w:w="1306" w:type="dxa"/>
            <w:noWrap/>
            <w:vAlign w:val="center"/>
          </w:tcPr>
          <w:p>
            <w:pPr>
              <w:keepLines w:val="0"/>
              <w:pageBreakBefore w:val="0"/>
              <w:kinsoku/>
              <w:wordWrap/>
              <w:overflowPunct/>
              <w:topLinePunct w:val="0"/>
              <w:bidi w:val="0"/>
              <w:spacing w:line="360" w:lineRule="exact"/>
              <w:jc w:val="center"/>
              <w:textAlignment w:val="auto"/>
              <w:rPr>
                <w:rFonts w:ascii="宋体" w:hAnsi="宋体" w:cs="宋体"/>
                <w:b/>
                <w:sz w:val="21"/>
                <w:szCs w:val="21"/>
              </w:rPr>
            </w:pPr>
            <w:r>
              <w:rPr>
                <w:rFonts w:hint="eastAsia" w:ascii="宋体" w:hAnsi="宋体" w:cs="宋体"/>
                <w:b/>
                <w:sz w:val="21"/>
                <w:szCs w:val="21"/>
              </w:rPr>
              <w:t>名称</w:t>
            </w:r>
          </w:p>
        </w:tc>
        <w:tc>
          <w:tcPr>
            <w:tcW w:w="720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b/>
                <w:sz w:val="21"/>
                <w:szCs w:val="21"/>
              </w:rPr>
            </w:pPr>
            <w:r>
              <w:rPr>
                <w:rFonts w:hint="eastAsia" w:ascii="宋体" w:hAnsi="宋体" w:cs="宋体"/>
                <w:b/>
                <w:sz w:val="21"/>
                <w:szCs w:val="21"/>
              </w:rPr>
              <w:t>内  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1</w:t>
            </w:r>
          </w:p>
        </w:tc>
        <w:tc>
          <w:tcPr>
            <w:tcW w:w="1306" w:type="dxa"/>
            <w:noWrap/>
            <w:vAlign w:val="center"/>
          </w:tcPr>
          <w:p>
            <w:pPr>
              <w:keepLines w:val="0"/>
              <w:pageBreakBefore w:val="0"/>
              <w:kinsoku/>
              <w:wordWrap/>
              <w:overflowPunct/>
              <w:topLinePunct w:val="0"/>
              <w:bidi w:val="0"/>
              <w:spacing w:line="360" w:lineRule="exact"/>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是否允许分包</w:t>
            </w:r>
          </w:p>
        </w:tc>
        <w:tc>
          <w:tcPr>
            <w:tcW w:w="7208" w:type="dxa"/>
            <w:noWrap/>
            <w:vAlign w:val="center"/>
          </w:tcPr>
          <w:p>
            <w:pPr>
              <w:keepLines w:val="0"/>
              <w:pageBreakBefore w:val="0"/>
              <w:kinsoku/>
              <w:wordWrap/>
              <w:overflowPunct/>
              <w:topLinePunct w:val="0"/>
              <w:bidi w:val="0"/>
              <w:spacing w:line="3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不允许</w:t>
            </w:r>
          </w:p>
          <w:p>
            <w:pPr>
              <w:keepLines w:val="0"/>
              <w:pageBreakBefore w:val="0"/>
              <w:kinsoku/>
              <w:wordWrap/>
              <w:overflowPunct/>
              <w:topLinePunct w:val="0"/>
              <w:bidi w:val="0"/>
              <w:spacing w:line="3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允许  分包内容要求：  分包金额要求：</w:t>
            </w:r>
          </w:p>
          <w:p>
            <w:pPr>
              <w:keepLines w:val="0"/>
              <w:pageBreakBefore w:val="0"/>
              <w:kinsoku/>
              <w:wordWrap/>
              <w:overflowPunct/>
              <w:topLinePunct w:val="0"/>
              <w:bidi w:val="0"/>
              <w:spacing w:line="36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 xml:space="preserve"> 接受分包的第三人资质要求：</w:t>
            </w:r>
            <w:r>
              <w:rPr>
                <w:rFonts w:hint="eastAsia" w:ascii="宋体" w:hAnsi="宋体" w:eastAsia="宋体" w:cs="宋体"/>
                <w:sz w:val="21"/>
                <w:szCs w:val="21"/>
                <w:highlight w:val="none"/>
                <w:lang w:val="en-US"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2</w:t>
            </w:r>
          </w:p>
        </w:tc>
        <w:tc>
          <w:tcPr>
            <w:tcW w:w="1306" w:type="dxa"/>
            <w:noWrap/>
            <w:vAlign w:val="center"/>
          </w:tcPr>
          <w:p>
            <w:pPr>
              <w:keepLines w:val="0"/>
              <w:pageBreakBefore w:val="0"/>
              <w:kinsoku/>
              <w:wordWrap/>
              <w:overflowPunct/>
              <w:topLinePunct w:val="0"/>
              <w:bidi w:val="0"/>
              <w:spacing w:line="360" w:lineRule="exact"/>
              <w:jc w:val="center"/>
              <w:textAlignment w:val="auto"/>
              <w:rPr>
                <w:rFonts w:hint="eastAsia" w:ascii="宋体" w:hAnsi="宋体" w:eastAsia="宋体" w:cs="宋体"/>
                <w:spacing w:val="-2"/>
                <w:kern w:val="0"/>
                <w:position w:val="-3"/>
                <w:sz w:val="21"/>
                <w:szCs w:val="21"/>
                <w:highlight w:val="none"/>
              </w:rPr>
            </w:pPr>
            <w:r>
              <w:rPr>
                <w:rFonts w:hint="eastAsia" w:ascii="宋体" w:hAnsi="宋体" w:eastAsia="宋体" w:cs="宋体"/>
                <w:spacing w:val="-2"/>
                <w:kern w:val="0"/>
                <w:position w:val="-3"/>
                <w:sz w:val="21"/>
                <w:szCs w:val="21"/>
                <w:highlight w:val="none"/>
              </w:rPr>
              <w:t>踏勘现场</w:t>
            </w:r>
          </w:p>
        </w:tc>
        <w:tc>
          <w:tcPr>
            <w:tcW w:w="7208" w:type="dxa"/>
            <w:noWrap/>
            <w:vAlign w:val="center"/>
          </w:tcPr>
          <w:p>
            <w:pPr>
              <w:keepLines w:val="0"/>
              <w:pageBreakBefore w:val="0"/>
              <w:kinsoku/>
              <w:wordWrap/>
              <w:overflowPunct/>
              <w:topLinePunct w:val="0"/>
              <w:bidi w:val="0"/>
              <w:spacing w:line="3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FE"/>
            </w:r>
            <w:r>
              <w:rPr>
                <w:rFonts w:hint="eastAsia" w:ascii="宋体" w:hAnsi="宋体" w:eastAsia="宋体" w:cs="宋体"/>
                <w:sz w:val="21"/>
                <w:szCs w:val="21"/>
                <w:highlight w:val="none"/>
              </w:rPr>
              <w:t>不组织    投标人如有需要可自行前往踏勘，联系方式见招标公告。</w:t>
            </w:r>
          </w:p>
          <w:p>
            <w:pPr>
              <w:keepLines w:val="0"/>
              <w:pageBreakBefore w:val="0"/>
              <w:kinsoku/>
              <w:wordWrap/>
              <w:overflowPunct/>
              <w:topLinePunct w:val="0"/>
              <w:bidi w:val="0"/>
              <w:spacing w:line="360" w:lineRule="exac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eastAsia="宋体" w:cs="宋体"/>
                <w:sz w:val="21"/>
                <w:szCs w:val="21"/>
                <w:highlight w:val="none"/>
              </w:rPr>
              <w:t xml:space="preserve">统一组织  踏勘时间：      踏勘集中地点：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highlight w:val="none"/>
              </w:rPr>
            </w:pPr>
            <w:r>
              <w:rPr>
                <w:rFonts w:hint="eastAsia" w:ascii="宋体" w:hAnsi="宋体" w:cs="宋体"/>
                <w:sz w:val="21"/>
                <w:szCs w:val="21"/>
                <w:highlight w:val="none"/>
              </w:rPr>
              <w:t>3</w:t>
            </w:r>
          </w:p>
        </w:tc>
        <w:tc>
          <w:tcPr>
            <w:tcW w:w="1306"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pacing w:val="-2"/>
                <w:kern w:val="0"/>
                <w:position w:val="-3"/>
                <w:sz w:val="21"/>
                <w:szCs w:val="21"/>
                <w:highlight w:val="none"/>
              </w:rPr>
            </w:pPr>
            <w:r>
              <w:rPr>
                <w:rFonts w:hint="eastAsia" w:ascii="宋体" w:hAnsi="宋体" w:cs="宋体"/>
                <w:spacing w:val="-2"/>
                <w:kern w:val="0"/>
                <w:position w:val="-3"/>
                <w:sz w:val="21"/>
                <w:szCs w:val="21"/>
                <w:highlight w:val="none"/>
              </w:rPr>
              <w:t>投标预备答疑会</w:t>
            </w:r>
          </w:p>
        </w:tc>
        <w:tc>
          <w:tcPr>
            <w:tcW w:w="7208" w:type="dxa"/>
            <w:noWrap/>
            <w:vAlign w:val="center"/>
          </w:tcPr>
          <w:p>
            <w:pPr>
              <w:keepLines w:val="0"/>
              <w:pageBreakBefore w:val="0"/>
              <w:kinsoku/>
              <w:wordWrap/>
              <w:overflowPunct/>
              <w:topLinePunct w:val="0"/>
              <w:bidi w:val="0"/>
              <w:spacing w:line="360" w:lineRule="exact"/>
              <w:textAlignment w:val="auto"/>
              <w:rPr>
                <w:rFonts w:ascii="宋体" w:hAnsi="宋体" w:cs="宋体"/>
                <w:spacing w:val="-2"/>
                <w:kern w:val="0"/>
                <w:position w:val="-3"/>
                <w:sz w:val="21"/>
                <w:szCs w:val="21"/>
                <w:highlight w:val="none"/>
              </w:rPr>
            </w:pPr>
            <w:r>
              <w:rPr>
                <w:rFonts w:hint="eastAsia" w:ascii="宋体" w:hAnsi="宋体" w:cs="宋体"/>
                <w:spacing w:val="-2"/>
                <w:kern w:val="0"/>
                <w:position w:val="-3"/>
                <w:sz w:val="21"/>
                <w:szCs w:val="21"/>
                <w:highlight w:val="none"/>
              </w:rPr>
              <w:sym w:font="Wingdings" w:char="F0FE"/>
            </w:r>
            <w:r>
              <w:rPr>
                <w:rFonts w:hint="eastAsia" w:ascii="宋体" w:hAnsi="宋体" w:cs="宋体"/>
                <w:spacing w:val="-2"/>
                <w:kern w:val="0"/>
                <w:position w:val="-3"/>
                <w:sz w:val="21"/>
                <w:szCs w:val="21"/>
                <w:highlight w:val="none"/>
              </w:rPr>
              <w:t>不召开</w:t>
            </w:r>
          </w:p>
          <w:p>
            <w:pPr>
              <w:keepLines w:val="0"/>
              <w:pageBreakBefore w:val="0"/>
              <w:kinsoku/>
              <w:wordWrap/>
              <w:overflowPunct/>
              <w:topLinePunct w:val="0"/>
              <w:bidi w:val="0"/>
              <w:spacing w:line="360" w:lineRule="exact"/>
              <w:textAlignment w:val="auto"/>
              <w:rPr>
                <w:rFonts w:ascii="宋体" w:hAnsi="宋体" w:cs="宋体"/>
                <w:spacing w:val="-2"/>
                <w:kern w:val="0"/>
                <w:position w:val="-3"/>
                <w:sz w:val="21"/>
                <w:szCs w:val="21"/>
                <w:highlight w:val="none"/>
              </w:rPr>
            </w:pPr>
            <w:r>
              <w:rPr>
                <w:rFonts w:hint="eastAsia" w:ascii="宋体" w:hAnsi="宋体" w:cs="宋体"/>
                <w:spacing w:val="-2"/>
                <w:kern w:val="0"/>
                <w:position w:val="-3"/>
                <w:sz w:val="21"/>
                <w:szCs w:val="21"/>
                <w:highlight w:val="none"/>
              </w:rPr>
              <w:t>□召开  召开时间：      召开地点：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4</w:t>
            </w:r>
          </w:p>
        </w:tc>
        <w:tc>
          <w:tcPr>
            <w:tcW w:w="1306"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kern w:val="0"/>
                <w:position w:val="-3"/>
                <w:sz w:val="21"/>
                <w:szCs w:val="21"/>
              </w:rPr>
              <w:t>是否</w:t>
            </w:r>
            <w:r>
              <w:rPr>
                <w:rFonts w:hint="eastAsia" w:ascii="宋体" w:hAnsi="宋体" w:cs="宋体"/>
                <w:spacing w:val="-2"/>
                <w:kern w:val="0"/>
                <w:position w:val="-3"/>
                <w:sz w:val="21"/>
                <w:szCs w:val="21"/>
              </w:rPr>
              <w:t>接</w:t>
            </w:r>
            <w:r>
              <w:rPr>
                <w:rFonts w:hint="eastAsia" w:ascii="宋体" w:hAnsi="宋体" w:cs="宋体"/>
                <w:kern w:val="0"/>
                <w:position w:val="-3"/>
                <w:sz w:val="21"/>
                <w:szCs w:val="21"/>
              </w:rPr>
              <w:t>受</w:t>
            </w:r>
            <w:r>
              <w:rPr>
                <w:rFonts w:hint="eastAsia" w:ascii="宋体" w:hAnsi="宋体" w:cs="宋体"/>
                <w:spacing w:val="-2"/>
                <w:kern w:val="0"/>
                <w:position w:val="-3"/>
                <w:sz w:val="21"/>
                <w:szCs w:val="21"/>
              </w:rPr>
              <w:t>联</w:t>
            </w:r>
            <w:r>
              <w:rPr>
                <w:rFonts w:hint="eastAsia" w:ascii="宋体" w:hAnsi="宋体" w:cs="宋体"/>
                <w:kern w:val="0"/>
                <w:position w:val="-3"/>
                <w:sz w:val="21"/>
                <w:szCs w:val="21"/>
              </w:rPr>
              <w:t>合</w:t>
            </w:r>
            <w:r>
              <w:rPr>
                <w:rFonts w:hint="eastAsia" w:ascii="宋体" w:hAnsi="宋体" w:cs="宋体"/>
                <w:spacing w:val="-2"/>
                <w:kern w:val="0"/>
                <w:position w:val="-3"/>
                <w:sz w:val="21"/>
                <w:szCs w:val="21"/>
              </w:rPr>
              <w:t>体</w:t>
            </w:r>
            <w:r>
              <w:rPr>
                <w:rFonts w:hint="eastAsia" w:ascii="宋体" w:hAnsi="宋体" w:cs="宋体"/>
                <w:kern w:val="0"/>
                <w:position w:val="-3"/>
                <w:sz w:val="21"/>
                <w:szCs w:val="21"/>
              </w:rPr>
              <w:t>投标</w:t>
            </w:r>
          </w:p>
        </w:tc>
        <w:tc>
          <w:tcPr>
            <w:tcW w:w="7208" w:type="dxa"/>
            <w:noWrap/>
            <w:vAlign w:val="center"/>
          </w:tcPr>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z w:val="21"/>
                <w:szCs w:val="21"/>
                <w:lang w:val="zh-CN"/>
              </w:rPr>
            </w:pPr>
            <w:r>
              <w:rPr>
                <w:rFonts w:hint="eastAsia" w:ascii="宋体" w:hAnsi="宋体" w:cs="宋体"/>
                <w:sz w:val="21"/>
                <w:szCs w:val="21"/>
              </w:rPr>
              <w:sym w:font="Wingdings" w:char="F0FE"/>
            </w:r>
            <w:r>
              <w:rPr>
                <w:rFonts w:hint="eastAsia" w:ascii="宋体" w:hAnsi="宋体" w:cs="宋体"/>
                <w:sz w:val="21"/>
                <w:szCs w:val="21"/>
                <w:lang w:val="zh-CN"/>
              </w:rPr>
              <w:t>否。</w:t>
            </w:r>
          </w:p>
          <w:p>
            <w:pPr>
              <w:keepLines w:val="0"/>
              <w:pageBreakBefore w:val="0"/>
              <w:kinsoku/>
              <w:wordWrap/>
              <w:overflowPunct/>
              <w:topLinePunct w:val="0"/>
              <w:bidi w:val="0"/>
              <w:spacing w:line="360" w:lineRule="exact"/>
              <w:textAlignment w:val="auto"/>
              <w:rPr>
                <w:rFonts w:ascii="宋体" w:hAnsi="宋体" w:cs="宋体"/>
                <w:sz w:val="21"/>
                <w:szCs w:val="21"/>
              </w:rPr>
            </w:pPr>
            <w:r>
              <w:rPr>
                <w:rFonts w:hint="eastAsia" w:ascii="宋体" w:hAnsi="宋体" w:cs="宋体"/>
                <w:sz w:val="21"/>
                <w:szCs w:val="21"/>
              </w:rPr>
              <w:t>□是。</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5</w:t>
            </w:r>
          </w:p>
        </w:tc>
        <w:tc>
          <w:tcPr>
            <w:tcW w:w="1306" w:type="dxa"/>
            <w:noWrap/>
            <w:vAlign w:val="center"/>
          </w:tcPr>
          <w:p>
            <w:pPr>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1"/>
                <w:szCs w:val="21"/>
              </w:rPr>
            </w:pPr>
            <w:r>
              <w:rPr>
                <w:rFonts w:hint="eastAsia" w:ascii="宋体" w:hAnsi="宋体" w:eastAsia="宋体" w:cs="宋体"/>
                <w:kern w:val="0"/>
                <w:position w:val="-5"/>
                <w:sz w:val="21"/>
                <w:szCs w:val="21"/>
              </w:rPr>
              <w:t>投标</w:t>
            </w:r>
            <w:r>
              <w:rPr>
                <w:rFonts w:hint="eastAsia" w:ascii="宋体" w:hAnsi="宋体" w:eastAsia="宋体" w:cs="宋体"/>
                <w:spacing w:val="-2"/>
                <w:kern w:val="0"/>
                <w:position w:val="-5"/>
                <w:sz w:val="21"/>
                <w:szCs w:val="21"/>
              </w:rPr>
              <w:t>文</w:t>
            </w:r>
            <w:r>
              <w:rPr>
                <w:rFonts w:hint="eastAsia" w:ascii="宋体" w:hAnsi="宋体" w:eastAsia="宋体" w:cs="宋体"/>
                <w:kern w:val="0"/>
                <w:position w:val="-5"/>
                <w:sz w:val="21"/>
                <w:szCs w:val="21"/>
              </w:rPr>
              <w:t>件</w:t>
            </w:r>
            <w:r>
              <w:rPr>
                <w:rFonts w:hint="eastAsia" w:ascii="宋体" w:hAnsi="宋体" w:eastAsia="宋体" w:cs="宋体"/>
                <w:spacing w:val="-2"/>
                <w:kern w:val="0"/>
                <w:position w:val="-5"/>
                <w:sz w:val="21"/>
                <w:szCs w:val="21"/>
              </w:rPr>
              <w:t>份</w:t>
            </w:r>
            <w:r>
              <w:rPr>
                <w:rFonts w:hint="eastAsia" w:ascii="宋体" w:hAnsi="宋体" w:eastAsia="宋体" w:cs="宋体"/>
                <w:kern w:val="0"/>
                <w:position w:val="-5"/>
                <w:sz w:val="21"/>
                <w:szCs w:val="21"/>
              </w:rPr>
              <w:t>数</w:t>
            </w:r>
          </w:p>
        </w:tc>
        <w:tc>
          <w:tcPr>
            <w:tcW w:w="7208" w:type="dxa"/>
            <w:noWrap/>
            <w:vAlign w:val="center"/>
          </w:tcPr>
          <w:p>
            <w:pPr>
              <w:keepLines w:val="0"/>
              <w:pageBreakBefore w:val="0"/>
              <w:numPr>
                <w:ilvl w:val="0"/>
                <w:numId w:val="3"/>
              </w:numPr>
              <w:kinsoku/>
              <w:wordWrap/>
              <w:overflowPunct/>
              <w:topLinePunct w:val="0"/>
              <w:autoSpaceDE/>
              <w:autoSpaceDN/>
              <w:bidi w:val="0"/>
              <w:adjustRightInd/>
              <w:snapToGrid/>
              <w:spacing w:line="3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“电子加密投标文件”：在线上传递交、一份。</w:t>
            </w:r>
          </w:p>
          <w:p>
            <w:pPr>
              <w:keepLines w:val="0"/>
              <w:pageBreakBefore w:val="0"/>
              <w:numPr>
                <w:ilvl w:val="0"/>
                <w:numId w:val="3"/>
              </w:numPr>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“备份投标文件”：</w:t>
            </w:r>
            <w:r>
              <w:rPr>
                <w:rFonts w:hint="eastAsia" w:ascii="宋体" w:hAnsi="宋体" w:eastAsia="宋体" w:cs="宋体"/>
                <w:sz w:val="21"/>
                <w:szCs w:val="21"/>
                <w:lang w:val="en-US" w:eastAsia="zh-CN"/>
              </w:rPr>
              <w:t>电子U盘</w:t>
            </w:r>
            <w:r>
              <w:rPr>
                <w:rFonts w:hint="eastAsia" w:ascii="宋体" w:hAnsi="宋体" w:eastAsia="宋体" w:cs="宋体"/>
                <w:sz w:val="21"/>
                <w:szCs w:val="21"/>
              </w:rPr>
              <w:t>密封包装后于投标截止时间前</w:t>
            </w:r>
            <w:r>
              <w:rPr>
                <w:rFonts w:hint="eastAsia" w:ascii="宋体" w:hAnsi="宋体" w:eastAsia="宋体" w:cs="宋体"/>
                <w:sz w:val="21"/>
                <w:szCs w:val="21"/>
                <w:lang w:val="en-US" w:eastAsia="zh-CN"/>
              </w:rPr>
              <w:t>邮寄</w:t>
            </w:r>
            <w:r>
              <w:rPr>
                <w:rFonts w:hint="eastAsia" w:ascii="宋体" w:hAnsi="宋体" w:eastAsia="宋体" w:cs="宋体"/>
                <w:sz w:val="21"/>
                <w:szCs w:val="21"/>
              </w:rPr>
              <w:t>递交一份，递交地址：</w:t>
            </w:r>
            <w:r>
              <w:rPr>
                <w:rFonts w:hint="eastAsia" w:ascii="宋体" w:hAnsi="宋体" w:eastAsia="宋体" w:cs="宋体"/>
                <w:sz w:val="21"/>
                <w:szCs w:val="21"/>
                <w:lang w:val="en-US" w:eastAsia="zh-CN"/>
              </w:rPr>
              <w:t>浙江科信联合工程项目管理咨询有限公司（衢州市白云北大道509号印象西城508室），联系人：符丽秀，联系电话：18367087956</w:t>
            </w:r>
            <w:r>
              <w:rPr>
                <w:rFonts w:hint="eastAsia" w:ascii="宋体" w:hAnsi="宋体" w:eastAsia="宋体" w:cs="宋体"/>
                <w:sz w:val="21"/>
                <w:szCs w:val="21"/>
              </w:rPr>
              <w:t>。</w:t>
            </w:r>
          </w:p>
          <w:p>
            <w:pPr>
              <w:pStyle w:val="2"/>
              <w:keepLines w:val="0"/>
              <w:pageBreakBefore w:val="0"/>
              <w:numPr>
                <w:ilvl w:val="0"/>
                <w:numId w:val="3"/>
              </w:numPr>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sz w:val="21"/>
                <w:szCs w:val="21"/>
              </w:rPr>
            </w:pPr>
            <w:bookmarkStart w:id="18" w:name="_Toc13352"/>
            <w:r>
              <w:rPr>
                <w:rFonts w:hint="eastAsia" w:ascii="宋体" w:hAnsi="宋体" w:eastAsia="宋体" w:cs="宋体"/>
                <w:sz w:val="21"/>
                <w:szCs w:val="21"/>
                <w:lang w:val="en-US" w:eastAsia="zh-CN"/>
              </w:rPr>
              <w:t>“演示视频”：</w:t>
            </w:r>
            <w:r>
              <w:rPr>
                <w:rFonts w:hint="eastAsia" w:ascii="宋体" w:hAnsi="宋体" w:eastAsia="宋体" w:cs="宋体"/>
                <w:sz w:val="21"/>
                <w:szCs w:val="21"/>
              </w:rPr>
              <w:t>U盘</w:t>
            </w:r>
            <w:r>
              <w:rPr>
                <w:rFonts w:hint="eastAsia" w:ascii="宋体" w:hAnsi="宋体" w:eastAsia="宋体" w:cs="宋体"/>
                <w:sz w:val="21"/>
                <w:szCs w:val="21"/>
                <w:lang w:val="en-US" w:eastAsia="zh-CN"/>
              </w:rPr>
              <w:t>或光盘</w:t>
            </w:r>
            <w:r>
              <w:rPr>
                <w:rFonts w:hint="eastAsia" w:ascii="宋体" w:hAnsi="宋体" w:eastAsia="宋体" w:cs="宋体"/>
                <w:sz w:val="21"/>
                <w:szCs w:val="21"/>
              </w:rPr>
              <w:t>密封包装后在</w:t>
            </w:r>
            <w:r>
              <w:rPr>
                <w:rFonts w:hint="eastAsia" w:ascii="宋体" w:hAnsi="宋体" w:cs="宋体"/>
                <w:sz w:val="21"/>
                <w:szCs w:val="21"/>
                <w:lang w:val="en-US" w:eastAsia="zh-CN"/>
              </w:rPr>
              <w:t>2021年 9 月15日  17：30时前</w:t>
            </w:r>
            <w:r>
              <w:rPr>
                <w:rFonts w:hint="eastAsia" w:ascii="宋体" w:hAnsi="宋体" w:eastAsia="宋体" w:cs="宋体"/>
                <w:sz w:val="21"/>
                <w:szCs w:val="21"/>
              </w:rPr>
              <w:t>邮寄至</w:t>
            </w:r>
            <w:r>
              <w:rPr>
                <w:rFonts w:hint="eastAsia" w:ascii="宋体" w:hAnsi="宋体" w:eastAsia="宋体" w:cs="宋体"/>
                <w:sz w:val="21"/>
                <w:szCs w:val="21"/>
                <w:lang w:val="en-US" w:eastAsia="zh-CN"/>
              </w:rPr>
              <w:t>浙江科信联合工程项目管理咨询有限公司（衢州市白云北大道509号印象西城508室），联系人：符丽秀，联系电话：18367087956</w:t>
            </w:r>
            <w:r>
              <w:rPr>
                <w:rFonts w:hint="eastAsia" w:ascii="宋体" w:hAnsi="宋体" w:eastAsia="宋体" w:cs="宋体"/>
                <w:sz w:val="21"/>
                <w:szCs w:val="21"/>
              </w:rPr>
              <w:t>。</w:t>
            </w:r>
            <w:bookmarkEnd w:id="18"/>
          </w:p>
          <w:p>
            <w:pPr>
              <w:rPr>
                <w:rFonts w:hint="eastAsia" w:ascii="宋体" w:hAnsi="宋体" w:eastAsia="宋体" w:cs="宋体"/>
                <w:sz w:val="21"/>
                <w:szCs w:val="21"/>
              </w:rPr>
            </w:pPr>
            <w:r>
              <w:rPr>
                <w:rFonts w:hint="eastAsia" w:ascii="宋体" w:hAnsi="宋体" w:eastAsia="宋体" w:cs="宋体"/>
                <w:b/>
                <w:bCs/>
                <w:sz w:val="21"/>
                <w:szCs w:val="21"/>
                <w:lang w:val="en-US" w:eastAsia="zh-CN"/>
              </w:rPr>
              <w:t>备注：逾期送达或未按规定密封包装则视为放弃递交。</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6</w:t>
            </w:r>
          </w:p>
        </w:tc>
        <w:tc>
          <w:tcPr>
            <w:tcW w:w="1306" w:type="dxa"/>
            <w:noWrap/>
            <w:vAlign w:val="center"/>
          </w:tcPr>
          <w:p>
            <w:pPr>
              <w:keepLines w:val="0"/>
              <w:pageBreakBefore w:val="0"/>
              <w:kinsoku/>
              <w:wordWrap/>
              <w:overflowPunct/>
              <w:topLinePunct w:val="0"/>
              <w:autoSpaceDE w:val="0"/>
              <w:autoSpaceDN w:val="0"/>
              <w:bidi w:val="0"/>
              <w:adjustRightInd w:val="0"/>
              <w:spacing w:line="360" w:lineRule="exact"/>
              <w:ind w:right="-20"/>
              <w:jc w:val="center"/>
              <w:textAlignment w:val="auto"/>
              <w:rPr>
                <w:rFonts w:ascii="宋体" w:hAnsi="宋体" w:cs="宋体"/>
                <w:kern w:val="0"/>
                <w:sz w:val="21"/>
                <w:szCs w:val="21"/>
              </w:rPr>
            </w:pPr>
            <w:r>
              <w:rPr>
                <w:rFonts w:hint="eastAsia" w:ascii="宋体" w:hAnsi="宋体" w:cs="宋体"/>
                <w:kern w:val="0"/>
                <w:position w:val="-5"/>
                <w:sz w:val="21"/>
                <w:szCs w:val="21"/>
              </w:rPr>
              <w:t>投标文件的组成和编制</w:t>
            </w:r>
          </w:p>
        </w:tc>
        <w:tc>
          <w:tcPr>
            <w:tcW w:w="7208" w:type="dxa"/>
            <w:noWrap/>
            <w:vAlign w:val="center"/>
          </w:tcPr>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z w:val="21"/>
                <w:szCs w:val="21"/>
              </w:rPr>
            </w:pPr>
            <w:r>
              <w:rPr>
                <w:rFonts w:hint="eastAsia" w:ascii="宋体" w:hAnsi="宋体" w:cs="宋体"/>
                <w:sz w:val="21"/>
                <w:szCs w:val="21"/>
              </w:rPr>
              <w:t>完整的《投标文件》由“资格文件”、“商务技术文件”和“报价文件”三个部分组成。</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kern w:val="0"/>
                <w:sz w:val="21"/>
                <w:szCs w:val="21"/>
              </w:rPr>
            </w:pPr>
            <w:r>
              <w:rPr>
                <w:rFonts w:hint="eastAsia" w:ascii="宋体" w:hAnsi="宋体" w:cs="宋体"/>
                <w:sz w:val="21"/>
                <w:szCs w:val="21"/>
              </w:rPr>
              <w:t>投标人应先安装“政采云电子交易客户端”，并按照本招标文件和“政府采购云平台”的要求，通过“政采云电子交易客户端”编制并加密投标文件。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7</w:t>
            </w:r>
          </w:p>
        </w:tc>
        <w:tc>
          <w:tcPr>
            <w:tcW w:w="1306" w:type="dxa"/>
            <w:noWrap/>
            <w:vAlign w:val="center"/>
          </w:tcPr>
          <w:p>
            <w:pPr>
              <w:keepLines w:val="0"/>
              <w:pageBreakBefore w:val="0"/>
              <w:kinsoku/>
              <w:wordWrap/>
              <w:overflowPunct/>
              <w:topLinePunct w:val="0"/>
              <w:autoSpaceDE w:val="0"/>
              <w:autoSpaceDN w:val="0"/>
              <w:bidi w:val="0"/>
              <w:adjustRightInd w:val="0"/>
              <w:spacing w:line="360" w:lineRule="exact"/>
              <w:ind w:right="-20"/>
              <w:jc w:val="center"/>
              <w:textAlignment w:val="auto"/>
              <w:rPr>
                <w:rFonts w:ascii="宋体" w:hAnsi="宋体" w:cs="宋体"/>
                <w:kern w:val="0"/>
                <w:position w:val="-3"/>
                <w:sz w:val="21"/>
                <w:szCs w:val="21"/>
              </w:rPr>
            </w:pPr>
            <w:r>
              <w:rPr>
                <w:rFonts w:hint="eastAsia" w:ascii="宋体" w:hAnsi="宋体" w:cs="宋体"/>
                <w:kern w:val="0"/>
                <w:position w:val="-5"/>
                <w:sz w:val="21"/>
                <w:szCs w:val="21"/>
              </w:rPr>
              <w:t>投标文件的签章</w:t>
            </w:r>
          </w:p>
        </w:tc>
        <w:tc>
          <w:tcPr>
            <w:tcW w:w="7208" w:type="dxa"/>
            <w:noWrap/>
            <w:vAlign w:val="center"/>
          </w:tcPr>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kern w:val="0"/>
                <w:position w:val="-2"/>
                <w:sz w:val="21"/>
                <w:szCs w:val="21"/>
              </w:rPr>
            </w:pPr>
            <w:r>
              <w:rPr>
                <w:rFonts w:hint="eastAsia" w:ascii="宋体" w:hAnsi="宋体" w:cs="宋体"/>
                <w:sz w:val="21"/>
                <w:szCs w:val="21"/>
              </w:rPr>
              <w:t>电子签章</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8</w:t>
            </w:r>
          </w:p>
        </w:tc>
        <w:tc>
          <w:tcPr>
            <w:tcW w:w="1306" w:type="dxa"/>
            <w:noWrap/>
            <w:vAlign w:val="center"/>
          </w:tcPr>
          <w:p>
            <w:pPr>
              <w:keepLines w:val="0"/>
              <w:pageBreakBefore w:val="0"/>
              <w:kinsoku/>
              <w:wordWrap/>
              <w:overflowPunct/>
              <w:topLinePunct w:val="0"/>
              <w:autoSpaceDE w:val="0"/>
              <w:autoSpaceDN w:val="0"/>
              <w:bidi w:val="0"/>
              <w:adjustRightInd w:val="0"/>
              <w:spacing w:line="360" w:lineRule="exact"/>
              <w:ind w:right="-20"/>
              <w:jc w:val="center"/>
              <w:textAlignment w:val="auto"/>
              <w:rPr>
                <w:rFonts w:ascii="宋体" w:hAnsi="宋体" w:cs="宋体"/>
                <w:kern w:val="0"/>
                <w:sz w:val="21"/>
                <w:szCs w:val="21"/>
              </w:rPr>
            </w:pPr>
            <w:r>
              <w:rPr>
                <w:rFonts w:hint="eastAsia" w:ascii="宋体" w:hAnsi="宋体" w:cs="宋体"/>
                <w:kern w:val="0"/>
                <w:position w:val="-3"/>
                <w:sz w:val="21"/>
                <w:szCs w:val="21"/>
              </w:rPr>
              <w:t>投标</w:t>
            </w:r>
            <w:r>
              <w:rPr>
                <w:rFonts w:hint="eastAsia" w:ascii="宋体" w:hAnsi="宋体" w:cs="宋体"/>
                <w:spacing w:val="-2"/>
                <w:kern w:val="0"/>
                <w:position w:val="-3"/>
                <w:sz w:val="21"/>
                <w:szCs w:val="21"/>
              </w:rPr>
              <w:t>文</w:t>
            </w:r>
            <w:r>
              <w:rPr>
                <w:rFonts w:hint="eastAsia" w:ascii="宋体" w:hAnsi="宋体" w:cs="宋体"/>
                <w:kern w:val="0"/>
                <w:position w:val="-3"/>
                <w:sz w:val="21"/>
                <w:szCs w:val="21"/>
              </w:rPr>
              <w:t>件</w:t>
            </w:r>
            <w:r>
              <w:rPr>
                <w:rFonts w:hint="eastAsia" w:ascii="宋体" w:hAnsi="宋体" w:cs="宋体"/>
                <w:spacing w:val="-2"/>
                <w:kern w:val="0"/>
                <w:position w:val="-3"/>
                <w:sz w:val="21"/>
                <w:szCs w:val="21"/>
              </w:rPr>
              <w:t>有</w:t>
            </w:r>
            <w:r>
              <w:rPr>
                <w:rFonts w:hint="eastAsia" w:ascii="宋体" w:hAnsi="宋体" w:cs="宋体"/>
                <w:kern w:val="0"/>
                <w:position w:val="-3"/>
                <w:sz w:val="21"/>
                <w:szCs w:val="21"/>
              </w:rPr>
              <w:t>效期</w:t>
            </w:r>
          </w:p>
        </w:tc>
        <w:tc>
          <w:tcPr>
            <w:tcW w:w="7208" w:type="dxa"/>
            <w:noWrap/>
            <w:vAlign w:val="center"/>
          </w:tcPr>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kern w:val="0"/>
                <w:sz w:val="21"/>
                <w:szCs w:val="21"/>
              </w:rPr>
            </w:pPr>
            <w:r>
              <w:rPr>
                <w:rFonts w:hint="eastAsia" w:ascii="宋体" w:hAnsi="宋体" w:cs="宋体"/>
                <w:kern w:val="0"/>
                <w:position w:val="-2"/>
                <w:sz w:val="21"/>
                <w:szCs w:val="21"/>
              </w:rPr>
              <w:t>自投</w:t>
            </w:r>
            <w:r>
              <w:rPr>
                <w:rFonts w:hint="eastAsia" w:ascii="宋体" w:hAnsi="宋体" w:cs="宋体"/>
                <w:spacing w:val="-2"/>
                <w:kern w:val="0"/>
                <w:position w:val="-2"/>
                <w:sz w:val="21"/>
                <w:szCs w:val="21"/>
              </w:rPr>
              <w:t>标</w:t>
            </w:r>
            <w:r>
              <w:rPr>
                <w:rFonts w:hint="eastAsia" w:ascii="宋体" w:hAnsi="宋体" w:cs="宋体"/>
                <w:kern w:val="0"/>
                <w:position w:val="-2"/>
                <w:sz w:val="21"/>
                <w:szCs w:val="21"/>
              </w:rPr>
              <w:t>截</w:t>
            </w:r>
            <w:r>
              <w:rPr>
                <w:rFonts w:hint="eastAsia" w:ascii="宋体" w:hAnsi="宋体" w:cs="宋体"/>
                <w:spacing w:val="-2"/>
                <w:kern w:val="0"/>
                <w:position w:val="-2"/>
                <w:sz w:val="21"/>
                <w:szCs w:val="21"/>
              </w:rPr>
              <w:t>止</w:t>
            </w:r>
            <w:r>
              <w:rPr>
                <w:rFonts w:hint="eastAsia" w:ascii="宋体" w:hAnsi="宋体" w:cs="宋体"/>
                <w:kern w:val="0"/>
                <w:position w:val="-2"/>
                <w:sz w:val="21"/>
                <w:szCs w:val="21"/>
              </w:rPr>
              <w:t>时</w:t>
            </w:r>
            <w:r>
              <w:rPr>
                <w:rFonts w:hint="eastAsia" w:ascii="宋体" w:hAnsi="宋体" w:cs="宋体"/>
                <w:spacing w:val="-2"/>
                <w:kern w:val="0"/>
                <w:position w:val="-2"/>
                <w:sz w:val="21"/>
                <w:szCs w:val="21"/>
              </w:rPr>
              <w:t>间</w:t>
            </w:r>
            <w:r>
              <w:rPr>
                <w:rFonts w:hint="eastAsia" w:ascii="宋体" w:hAnsi="宋体" w:cs="宋体"/>
                <w:kern w:val="0"/>
                <w:position w:val="-2"/>
                <w:sz w:val="21"/>
                <w:szCs w:val="21"/>
              </w:rPr>
              <w:t>起不少于</w:t>
            </w:r>
            <w:r>
              <w:rPr>
                <w:rFonts w:hint="eastAsia" w:ascii="宋体" w:hAnsi="宋体" w:cs="宋体"/>
                <w:spacing w:val="-2"/>
                <w:kern w:val="0"/>
                <w:position w:val="-2"/>
                <w:sz w:val="21"/>
                <w:szCs w:val="21"/>
              </w:rPr>
              <w:t>90天。</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9</w:t>
            </w:r>
          </w:p>
        </w:tc>
        <w:tc>
          <w:tcPr>
            <w:tcW w:w="1306" w:type="dxa"/>
            <w:noWrap/>
            <w:vAlign w:val="center"/>
          </w:tcPr>
          <w:p>
            <w:pPr>
              <w:keepLines w:val="0"/>
              <w:pageBreakBefore w:val="0"/>
              <w:kinsoku/>
              <w:wordWrap/>
              <w:overflowPunct/>
              <w:topLinePunct w:val="0"/>
              <w:autoSpaceDE w:val="0"/>
              <w:autoSpaceDN w:val="0"/>
              <w:bidi w:val="0"/>
              <w:adjustRightInd w:val="0"/>
              <w:spacing w:line="360" w:lineRule="exact"/>
              <w:ind w:right="-20"/>
              <w:jc w:val="center"/>
              <w:textAlignment w:val="auto"/>
              <w:rPr>
                <w:rFonts w:ascii="宋体" w:hAnsi="宋体" w:cs="宋体"/>
                <w:kern w:val="0"/>
                <w:sz w:val="21"/>
                <w:szCs w:val="21"/>
              </w:rPr>
            </w:pPr>
            <w:r>
              <w:rPr>
                <w:rFonts w:hint="eastAsia" w:ascii="宋体" w:hAnsi="宋体" w:cs="宋体"/>
                <w:kern w:val="0"/>
                <w:position w:val="-3"/>
                <w:sz w:val="21"/>
                <w:szCs w:val="21"/>
              </w:rPr>
              <w:t>投标文件的形式</w:t>
            </w:r>
          </w:p>
        </w:tc>
        <w:tc>
          <w:tcPr>
            <w:tcW w:w="7208" w:type="dxa"/>
            <w:noWrap/>
            <w:vAlign w:val="center"/>
          </w:tcPr>
          <w:p>
            <w:pPr>
              <w:keepLines w:val="0"/>
              <w:pageBreakBefore w:val="0"/>
              <w:kinsoku/>
              <w:wordWrap/>
              <w:overflowPunct/>
              <w:topLinePunct w:val="0"/>
              <w:bidi w:val="0"/>
              <w:spacing w:line="360" w:lineRule="exact"/>
              <w:textAlignment w:val="auto"/>
              <w:rPr>
                <w:rFonts w:ascii="宋体" w:hAnsi="宋体" w:cs="宋体"/>
                <w:sz w:val="21"/>
                <w:szCs w:val="21"/>
              </w:rPr>
            </w:pPr>
            <w:r>
              <w:rPr>
                <w:rFonts w:hint="eastAsia" w:ascii="宋体" w:hAnsi="宋体" w:cs="宋体"/>
                <w:sz w:val="21"/>
                <w:szCs w:val="21"/>
              </w:rPr>
              <w:t>☑电子投标文件（包括“电子加密投标文件”和“备份投标文件”，在投标文件编制完成后同时生成）；</w:t>
            </w:r>
          </w:p>
          <w:p>
            <w:pPr>
              <w:keepLines w:val="0"/>
              <w:pageBreakBefore w:val="0"/>
              <w:kinsoku/>
              <w:wordWrap/>
              <w:overflowPunct/>
              <w:topLinePunct w:val="0"/>
              <w:bidi w:val="0"/>
              <w:spacing w:line="360" w:lineRule="exact"/>
              <w:textAlignment w:val="auto"/>
              <w:rPr>
                <w:rFonts w:ascii="宋体" w:hAnsi="宋体" w:cs="宋体"/>
                <w:sz w:val="21"/>
                <w:szCs w:val="21"/>
              </w:rPr>
            </w:pPr>
            <w:r>
              <w:rPr>
                <w:rFonts w:hint="eastAsia" w:ascii="宋体" w:hAnsi="宋体" w:cs="宋体"/>
                <w:sz w:val="21"/>
                <w:szCs w:val="21"/>
              </w:rPr>
              <w:t>（1）“电子加密投标文件”是指通过“政采云电子交易客户端”完成投标文件编制后生成并加密的数据电文形式的投标文件。</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kern w:val="0"/>
                <w:sz w:val="21"/>
                <w:szCs w:val="21"/>
              </w:rPr>
            </w:pPr>
            <w:r>
              <w:rPr>
                <w:rFonts w:hint="eastAsia" w:ascii="宋体" w:hAnsi="宋体" w:cs="宋体"/>
                <w:sz w:val="21"/>
                <w:szCs w:val="21"/>
              </w:rPr>
              <w:t>（2）“备份投标文件”是指与“电子加密投标文件”同时生成的数据电文形式的电子文件（备份标书），其他方式编制的备份投标文件视为无效备份投标文件。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10</w:t>
            </w:r>
          </w:p>
        </w:tc>
        <w:tc>
          <w:tcPr>
            <w:tcW w:w="1306" w:type="dxa"/>
            <w:noWrap/>
            <w:vAlign w:val="center"/>
          </w:tcPr>
          <w:p>
            <w:pPr>
              <w:keepLines w:val="0"/>
              <w:pageBreakBefore w:val="0"/>
              <w:kinsoku/>
              <w:wordWrap/>
              <w:overflowPunct/>
              <w:topLinePunct w:val="0"/>
              <w:autoSpaceDE w:val="0"/>
              <w:autoSpaceDN w:val="0"/>
              <w:bidi w:val="0"/>
              <w:adjustRightInd w:val="0"/>
              <w:spacing w:line="360" w:lineRule="exact"/>
              <w:ind w:right="-20"/>
              <w:jc w:val="center"/>
              <w:textAlignment w:val="auto"/>
              <w:rPr>
                <w:rFonts w:ascii="宋体" w:hAnsi="宋体" w:cs="宋体"/>
                <w:kern w:val="0"/>
                <w:position w:val="-3"/>
                <w:sz w:val="21"/>
                <w:szCs w:val="21"/>
              </w:rPr>
            </w:pPr>
            <w:r>
              <w:rPr>
                <w:rFonts w:hint="eastAsia" w:ascii="宋体" w:hAnsi="宋体" w:cs="宋体"/>
                <w:kern w:val="0"/>
                <w:position w:val="-3"/>
                <w:sz w:val="21"/>
                <w:szCs w:val="21"/>
              </w:rPr>
              <w:t>投标样品</w:t>
            </w:r>
          </w:p>
        </w:tc>
        <w:tc>
          <w:tcPr>
            <w:tcW w:w="7208" w:type="dxa"/>
            <w:noWrap/>
            <w:vAlign w:val="center"/>
          </w:tcPr>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z w:val="21"/>
                <w:szCs w:val="21"/>
                <w:lang w:val="zh-CN"/>
              </w:rPr>
            </w:pPr>
            <w:r>
              <w:rPr>
                <w:rFonts w:hint="eastAsia" w:ascii="宋体" w:hAnsi="宋体" w:cs="宋体"/>
                <w:snapToGrid w:val="0"/>
                <w:kern w:val="10"/>
                <w:sz w:val="21"/>
                <w:szCs w:val="21"/>
              </w:rPr>
              <w:t>1、本项目是否需要样品：</w:t>
            </w:r>
            <w:r>
              <w:rPr>
                <w:rFonts w:hint="eastAsia" w:ascii="宋体" w:hAnsi="宋体" w:cs="宋体"/>
                <w:sz w:val="21"/>
                <w:szCs w:val="21"/>
              </w:rPr>
              <w:sym w:font="Wingdings" w:char="00FE"/>
            </w:r>
            <w:r>
              <w:rPr>
                <w:rFonts w:hint="eastAsia" w:ascii="宋体" w:hAnsi="宋体" w:cs="宋体"/>
                <w:sz w:val="21"/>
                <w:szCs w:val="21"/>
                <w:lang w:val="zh-CN"/>
              </w:rPr>
              <w:t>否；</w:t>
            </w:r>
            <w:r>
              <w:rPr>
                <w:rFonts w:hint="eastAsia" w:ascii="宋体" w:hAnsi="宋体" w:cs="宋体"/>
                <w:sz w:val="21"/>
                <w:szCs w:val="21"/>
              </w:rPr>
              <w:t>□是，详见第三部分要求。</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napToGrid w:val="0"/>
                <w:kern w:val="10"/>
                <w:sz w:val="21"/>
                <w:szCs w:val="21"/>
              </w:rPr>
            </w:pPr>
            <w:r>
              <w:rPr>
                <w:rFonts w:hint="eastAsia" w:ascii="宋体" w:hAnsi="宋体" w:cs="宋体"/>
                <w:snapToGrid w:val="0"/>
                <w:kern w:val="10"/>
                <w:sz w:val="21"/>
                <w:szCs w:val="21"/>
              </w:rPr>
              <w:t>2、样品标识：</w:t>
            </w:r>
            <w:r>
              <w:rPr>
                <w:rFonts w:hint="eastAsia" w:ascii="宋体" w:hAnsi="宋体" w:cs="宋体"/>
                <w:sz w:val="21"/>
                <w:szCs w:val="21"/>
              </w:rPr>
              <w:t>□</w:t>
            </w:r>
            <w:r>
              <w:rPr>
                <w:rFonts w:hint="eastAsia" w:ascii="宋体" w:hAnsi="宋体" w:cs="宋体"/>
                <w:sz w:val="21"/>
                <w:szCs w:val="21"/>
                <w:lang w:val="zh-CN"/>
              </w:rPr>
              <w:t>明标；</w:t>
            </w:r>
            <w:r>
              <w:rPr>
                <w:rFonts w:hint="eastAsia" w:ascii="宋体" w:hAnsi="宋体" w:cs="宋体"/>
                <w:sz w:val="21"/>
                <w:szCs w:val="21"/>
              </w:rPr>
              <w:t>□暗标。</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napToGrid w:val="0"/>
                <w:kern w:val="10"/>
                <w:sz w:val="21"/>
                <w:szCs w:val="21"/>
              </w:rPr>
            </w:pPr>
            <w:r>
              <w:rPr>
                <w:rFonts w:hint="eastAsia" w:ascii="宋体" w:hAnsi="宋体" w:cs="宋体"/>
                <w:snapToGrid w:val="0"/>
                <w:kern w:val="10"/>
                <w:sz w:val="21"/>
                <w:szCs w:val="21"/>
              </w:rPr>
              <w:t xml:space="preserve">3、样品送至地点：衢江区公共资源交易中心     号开标厅（衢江区振兴东路268号）。      </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napToGrid w:val="0"/>
                <w:kern w:val="10"/>
                <w:sz w:val="21"/>
                <w:szCs w:val="21"/>
              </w:rPr>
            </w:pPr>
            <w:r>
              <w:rPr>
                <w:rFonts w:hint="eastAsia" w:ascii="宋体" w:hAnsi="宋体" w:cs="宋体"/>
                <w:snapToGrid w:val="0"/>
                <w:kern w:val="10"/>
                <w:sz w:val="21"/>
                <w:szCs w:val="21"/>
              </w:rPr>
              <w:t>4、中标人样品处理：</w:t>
            </w:r>
            <w:r>
              <w:rPr>
                <w:rFonts w:hint="eastAsia" w:ascii="宋体" w:hAnsi="宋体" w:cs="宋体"/>
                <w:sz w:val="21"/>
                <w:szCs w:val="21"/>
              </w:rPr>
              <w:t>□退还；□封存至验收；□抵扣采购数量。</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napToGrid w:val="0"/>
                <w:kern w:val="10"/>
                <w:sz w:val="21"/>
                <w:szCs w:val="21"/>
                <w:u w:val="single"/>
              </w:rPr>
            </w:pPr>
            <w:r>
              <w:rPr>
                <w:rFonts w:hint="eastAsia" w:ascii="宋体" w:hAnsi="宋体" w:cs="宋体"/>
                <w:snapToGrid w:val="0"/>
                <w:kern w:val="10"/>
                <w:sz w:val="21"/>
                <w:szCs w:val="21"/>
              </w:rPr>
              <w:t>5、样品退还时间：</w:t>
            </w:r>
            <w:r>
              <w:rPr>
                <w:rFonts w:hint="eastAsia" w:ascii="宋体" w:hAnsi="宋体" w:cs="宋体"/>
                <w:snapToGrid w:val="0"/>
                <w:kern w:val="10"/>
                <w:sz w:val="21"/>
                <w:szCs w:val="21"/>
                <w:u w:val="single"/>
              </w:rPr>
              <w:t xml:space="preserve">（另行通知） </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napToGrid w:val="0"/>
                <w:kern w:val="10"/>
                <w:sz w:val="21"/>
                <w:szCs w:val="21"/>
              </w:rPr>
            </w:pPr>
            <w:r>
              <w:rPr>
                <w:rFonts w:hint="eastAsia" w:ascii="宋体" w:hAnsi="宋体" w:cs="宋体"/>
                <w:b/>
                <w:bCs/>
                <w:snapToGrid w:val="0"/>
                <w:kern w:val="10"/>
                <w:sz w:val="21"/>
                <w:szCs w:val="21"/>
              </w:rPr>
              <w:t xml:space="preserve">6、样品密封：投标人将所有样品装袋密封，加贴密封条，并在封套的封口处加盖投标人公章。所有提供的样品不能出现公司名称或与公司有关的商标和标记。 密封袋上均应：1）写明招标人名称；2）写明投标人名称；3）写明投标项目名称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11</w:t>
            </w:r>
          </w:p>
        </w:tc>
        <w:tc>
          <w:tcPr>
            <w:tcW w:w="1306" w:type="dxa"/>
            <w:noWrap/>
            <w:vAlign w:val="center"/>
          </w:tcPr>
          <w:p>
            <w:pPr>
              <w:keepLines w:val="0"/>
              <w:pageBreakBefore w:val="0"/>
              <w:kinsoku/>
              <w:wordWrap/>
              <w:overflowPunct/>
              <w:topLinePunct w:val="0"/>
              <w:autoSpaceDE w:val="0"/>
              <w:autoSpaceDN w:val="0"/>
              <w:bidi w:val="0"/>
              <w:adjustRightInd w:val="0"/>
              <w:spacing w:line="360" w:lineRule="exact"/>
              <w:ind w:right="-20"/>
              <w:jc w:val="center"/>
              <w:textAlignment w:val="auto"/>
              <w:rPr>
                <w:rFonts w:ascii="宋体" w:hAnsi="宋体" w:cs="宋体"/>
                <w:kern w:val="0"/>
                <w:position w:val="-3"/>
                <w:sz w:val="21"/>
                <w:szCs w:val="21"/>
              </w:rPr>
            </w:pPr>
            <w:r>
              <w:rPr>
                <w:rFonts w:hint="eastAsia" w:ascii="宋体" w:hAnsi="宋体" w:cs="宋体"/>
                <w:kern w:val="0"/>
                <w:position w:val="-3"/>
                <w:sz w:val="21"/>
                <w:szCs w:val="21"/>
              </w:rPr>
              <w:t>履约保证金</w:t>
            </w:r>
          </w:p>
        </w:tc>
        <w:tc>
          <w:tcPr>
            <w:tcW w:w="7208" w:type="dxa"/>
            <w:noWrap/>
            <w:vAlign w:val="center"/>
          </w:tcPr>
          <w:p>
            <w:pPr>
              <w:keepLines w:val="0"/>
              <w:pageBreakBefore w:val="0"/>
              <w:kinsoku/>
              <w:wordWrap/>
              <w:overflowPunct/>
              <w:topLinePunct w:val="0"/>
              <w:autoSpaceDE w:val="0"/>
              <w:autoSpaceDN w:val="0"/>
              <w:bidi w:val="0"/>
              <w:adjustRightInd w:val="0"/>
              <w:spacing w:line="360" w:lineRule="exact"/>
              <w:ind w:right="-20"/>
              <w:textAlignment w:val="auto"/>
              <w:rPr>
                <w:rFonts w:hint="eastAsia" w:ascii="宋体" w:hAnsi="宋体" w:cs="宋体"/>
                <w:snapToGrid w:val="0"/>
                <w:kern w:val="10"/>
                <w:sz w:val="21"/>
                <w:szCs w:val="21"/>
                <w:lang w:val="en-US" w:eastAsia="zh-CN"/>
              </w:rPr>
            </w:pPr>
            <w:r>
              <w:rPr>
                <w:rFonts w:hint="eastAsia" w:ascii="宋体" w:hAnsi="宋体" w:cs="宋体"/>
                <w:snapToGrid w:val="0"/>
                <w:kern w:val="10"/>
                <w:sz w:val="21"/>
                <w:szCs w:val="21"/>
                <w:lang w:val="en-US" w:eastAsia="zh-CN"/>
              </w:rPr>
              <w:t>本项目是否缴纳履约保证金：</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z w:val="21"/>
                <w:szCs w:val="21"/>
                <w:lang w:val="zh-CN"/>
              </w:rPr>
            </w:pPr>
            <w:r>
              <w:rPr>
                <w:rFonts w:hint="eastAsia" w:ascii="宋体" w:hAnsi="宋体" w:cs="宋体"/>
                <w:sz w:val="21"/>
                <w:szCs w:val="21"/>
              </w:rPr>
              <w:sym w:font="Wingdings" w:char="00A8"/>
            </w:r>
            <w:r>
              <w:rPr>
                <w:rFonts w:hint="eastAsia" w:ascii="宋体" w:hAnsi="宋体" w:cs="宋体"/>
                <w:sz w:val="21"/>
                <w:szCs w:val="21"/>
                <w:lang w:val="zh-CN"/>
              </w:rPr>
              <w:t>否。</w:t>
            </w:r>
          </w:p>
          <w:p>
            <w:pPr>
              <w:pStyle w:val="2"/>
              <w:jc w:val="both"/>
              <w:rPr>
                <w:rFonts w:ascii="宋体" w:hAnsi="宋体" w:cs="宋体"/>
                <w:snapToGrid w:val="0"/>
                <w:kern w:val="10"/>
                <w:sz w:val="21"/>
                <w:szCs w:val="21"/>
              </w:rPr>
            </w:pPr>
            <w:bookmarkStart w:id="19" w:name="_Toc7148"/>
            <w:r>
              <w:rPr>
                <w:rFonts w:hint="eastAsia" w:ascii="宋体" w:hAnsi="宋体" w:cs="宋体"/>
                <w:b w:val="0"/>
                <w:bCs/>
                <w:sz w:val="21"/>
                <w:szCs w:val="21"/>
                <w:lang w:eastAsia="zh-CN"/>
              </w:rPr>
              <w:t>☑</w:t>
            </w:r>
            <w:r>
              <w:rPr>
                <w:rFonts w:hint="eastAsia" w:ascii="宋体" w:hAnsi="宋体" w:cs="宋体"/>
                <w:b w:val="0"/>
                <w:bCs/>
                <w:sz w:val="21"/>
                <w:szCs w:val="21"/>
              </w:rPr>
              <w:t>是。</w:t>
            </w:r>
            <w:r>
              <w:rPr>
                <w:rFonts w:hint="eastAsia" w:ascii="宋体" w:hAnsi="宋体" w:cs="宋体"/>
                <w:b w:val="0"/>
                <w:bCs/>
                <w:snapToGrid w:val="0"/>
                <w:kern w:val="10"/>
                <w:sz w:val="21"/>
                <w:szCs w:val="21"/>
              </w:rPr>
              <w:t>签订合同后7日内，成交供应商须交纳中标价</w:t>
            </w:r>
            <w:r>
              <w:rPr>
                <w:rFonts w:hint="eastAsia" w:ascii="宋体" w:hAnsi="宋体" w:cs="宋体"/>
                <w:b w:val="0"/>
                <w:bCs/>
                <w:snapToGrid w:val="0"/>
                <w:kern w:val="10"/>
                <w:sz w:val="21"/>
                <w:szCs w:val="21"/>
                <w:lang w:val="en-US" w:eastAsia="zh-CN"/>
              </w:rPr>
              <w:t>2.5</w:t>
            </w:r>
            <w:r>
              <w:rPr>
                <w:rFonts w:hint="eastAsia" w:ascii="宋体" w:hAnsi="宋体" w:cs="宋体"/>
                <w:b w:val="0"/>
                <w:bCs/>
                <w:snapToGrid w:val="0"/>
                <w:kern w:val="10"/>
                <w:sz w:val="21"/>
                <w:szCs w:val="21"/>
              </w:rPr>
              <w:t>%的履约保证金，履约保证金缴纳形式包括支票/汇票/电汇/银行保函/保险公司保函，该保证金在规定存续期间不计息。</w:t>
            </w:r>
            <w:bookmarkEnd w:id="19"/>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99" w:hRule="atLeast"/>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12</w:t>
            </w:r>
          </w:p>
        </w:tc>
        <w:tc>
          <w:tcPr>
            <w:tcW w:w="1306" w:type="dxa"/>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r>
              <w:rPr>
                <w:rFonts w:hint="eastAsia" w:ascii="宋体" w:hAnsi="宋体" w:cs="宋体"/>
                <w:sz w:val="21"/>
                <w:szCs w:val="21"/>
              </w:rPr>
              <w:t>招标代理服务费</w:t>
            </w:r>
          </w:p>
        </w:tc>
        <w:tc>
          <w:tcPr>
            <w:tcW w:w="7208" w:type="dxa"/>
            <w:noWrap/>
            <w:vAlign w:val="center"/>
          </w:tcPr>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z w:val="21"/>
                <w:szCs w:val="21"/>
              </w:rPr>
            </w:pPr>
            <w:r>
              <w:rPr>
                <w:rFonts w:hint="eastAsia" w:ascii="宋体" w:hAnsi="宋体" w:cs="宋体"/>
                <w:sz w:val="21"/>
                <w:szCs w:val="21"/>
              </w:rPr>
              <w:t xml:space="preserve">1、本项目根据每个标项中标价，参照原国家计委关于印发《招标代理服务收费管理暂行办法》的通知（计价格[2002]1980号）的收费标准向 </w:t>
            </w:r>
            <w:r>
              <w:rPr>
                <w:rFonts w:hint="eastAsia" w:ascii="宋体" w:hAnsi="宋体" w:cs="宋体"/>
                <w:sz w:val="21"/>
                <w:szCs w:val="21"/>
                <w:u w:val="single"/>
              </w:rPr>
              <w:t>中标人</w:t>
            </w:r>
            <w:r>
              <w:rPr>
                <w:rFonts w:hint="eastAsia" w:ascii="宋体" w:hAnsi="宋体" w:cs="宋体"/>
                <w:sz w:val="21"/>
                <w:szCs w:val="21"/>
              </w:rPr>
              <w:t xml:space="preserve"> 收取招标代理服务费，不足2000元按照2000元计取。</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z w:val="21"/>
                <w:szCs w:val="21"/>
              </w:rPr>
            </w:pPr>
            <w:r>
              <w:rPr>
                <w:rFonts w:hint="eastAsia" w:ascii="宋体" w:hAnsi="宋体" w:cs="宋体"/>
                <w:sz w:val="21"/>
                <w:szCs w:val="21"/>
              </w:rPr>
              <w:t>1）收款单位（户名）：浙江科信联合工程项目管理咨询有限公司衢州分公司</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z w:val="21"/>
                <w:szCs w:val="21"/>
              </w:rPr>
            </w:pPr>
            <w:r>
              <w:rPr>
                <w:rFonts w:hint="eastAsia" w:ascii="宋体" w:hAnsi="宋体" w:cs="宋体"/>
                <w:sz w:val="21"/>
                <w:szCs w:val="21"/>
              </w:rPr>
              <w:t>2）开  户：浦发银行宁波高新区支行</w:t>
            </w:r>
          </w:p>
          <w:p>
            <w:pPr>
              <w:keepLines w:val="0"/>
              <w:pageBreakBefore w:val="0"/>
              <w:kinsoku/>
              <w:wordWrap/>
              <w:overflowPunct/>
              <w:topLinePunct w:val="0"/>
              <w:autoSpaceDE w:val="0"/>
              <w:autoSpaceDN w:val="0"/>
              <w:bidi w:val="0"/>
              <w:adjustRightInd w:val="0"/>
              <w:spacing w:line="360" w:lineRule="exact"/>
              <w:ind w:right="-20"/>
              <w:textAlignment w:val="auto"/>
              <w:rPr>
                <w:rFonts w:ascii="宋体" w:hAnsi="宋体" w:cs="宋体"/>
                <w:sz w:val="21"/>
                <w:szCs w:val="21"/>
              </w:rPr>
            </w:pPr>
            <w:r>
              <w:rPr>
                <w:rFonts w:hint="eastAsia" w:ascii="宋体" w:hAnsi="宋体" w:cs="宋体"/>
                <w:sz w:val="21"/>
                <w:szCs w:val="21"/>
              </w:rPr>
              <w:t>3）账  号：2007189956015</w:t>
            </w:r>
          </w:p>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2、以上费用均不在报价中单列，请投标人在报价中予以考虑。</w:t>
            </w:r>
          </w:p>
          <w:p>
            <w:pPr>
              <w:keepLines w:val="0"/>
              <w:pageBreakBefore w:val="0"/>
              <w:kinsoku/>
              <w:wordWrap/>
              <w:overflowPunct/>
              <w:topLinePunct w:val="0"/>
              <w:bidi w:val="0"/>
              <w:adjustRightInd w:val="0"/>
              <w:snapToGrid w:val="0"/>
              <w:spacing w:line="360" w:lineRule="exact"/>
              <w:textAlignment w:val="auto"/>
              <w:rPr>
                <w:rFonts w:ascii="宋体" w:hAnsi="宋体" w:cs="宋体"/>
                <w:b/>
                <w:sz w:val="21"/>
                <w:szCs w:val="21"/>
              </w:rPr>
            </w:pPr>
            <w:r>
              <w:rPr>
                <w:rFonts w:hint="eastAsia" w:ascii="宋体" w:hAnsi="宋体" w:cs="宋体"/>
                <w:sz w:val="21"/>
                <w:szCs w:val="21"/>
              </w:rPr>
              <w:t>3、结算方式及时间为：在领取中标通知书时由中标人一次性向招标代理机构付清。</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728" w:type="dxa"/>
            <w:noWrap/>
            <w:vAlign w:val="center"/>
          </w:tcPr>
          <w:p>
            <w:pPr>
              <w:keepLines w:val="0"/>
              <w:pageBreakBefore w:val="0"/>
              <w:kinsoku/>
              <w:wordWrap/>
              <w:overflowPunct/>
              <w:topLinePunct w:val="0"/>
              <w:bidi w:val="0"/>
              <w:spacing w:line="360" w:lineRule="exact"/>
              <w:jc w:val="center"/>
              <w:textAlignment w:val="auto"/>
              <w:rPr>
                <w:rFonts w:hint="eastAsia" w:ascii="宋体" w:hAnsi="宋体" w:cs="宋体"/>
                <w:sz w:val="21"/>
                <w:szCs w:val="21"/>
              </w:rPr>
            </w:pPr>
            <w:r>
              <w:rPr>
                <w:rFonts w:hint="eastAsia" w:ascii="宋体" w:hAnsi="宋体" w:cs="宋体"/>
                <w:sz w:val="21"/>
                <w:szCs w:val="21"/>
              </w:rPr>
              <w:t>13</w:t>
            </w:r>
          </w:p>
        </w:tc>
        <w:tc>
          <w:tcPr>
            <w:tcW w:w="1306" w:type="dxa"/>
            <w:noWrap/>
            <w:vAlign w:val="center"/>
          </w:tcPr>
          <w:p>
            <w:pPr>
              <w:keepLines w:val="0"/>
              <w:pageBreakBefore w:val="0"/>
              <w:kinsoku/>
              <w:wordWrap/>
              <w:overflowPunct/>
              <w:topLinePunct w:val="0"/>
              <w:bidi w:val="0"/>
              <w:spacing w:line="360" w:lineRule="exact"/>
              <w:jc w:val="center"/>
              <w:textAlignment w:val="auto"/>
              <w:rPr>
                <w:rFonts w:hint="eastAsia" w:ascii="宋体" w:hAnsi="宋体" w:cs="宋体"/>
                <w:sz w:val="21"/>
                <w:szCs w:val="21"/>
              </w:rPr>
            </w:pPr>
            <w:r>
              <w:rPr>
                <w:rFonts w:hint="eastAsia" w:ascii="宋体" w:hAnsi="宋体" w:cs="宋体"/>
                <w:sz w:val="21"/>
                <w:szCs w:val="21"/>
              </w:rPr>
              <w:t>▲</w:t>
            </w:r>
            <w:r>
              <w:rPr>
                <w:rFonts w:hint="eastAsia" w:ascii="宋体" w:hAnsi="宋体" w:cs="宋体"/>
                <w:b/>
                <w:bCs/>
                <w:sz w:val="21"/>
                <w:szCs w:val="21"/>
              </w:rPr>
              <w:t>本项目需要落实的政府采购政策</w:t>
            </w:r>
          </w:p>
        </w:tc>
        <w:tc>
          <w:tcPr>
            <w:tcW w:w="7208" w:type="dxa"/>
            <w:noWrap/>
            <w:vAlign w:val="center"/>
          </w:tcPr>
          <w:p>
            <w:pPr>
              <w:keepLines w:val="0"/>
              <w:pageBreakBefore w:val="0"/>
              <w:kinsoku/>
              <w:wordWrap/>
              <w:overflowPunct/>
              <w:topLinePunct w:val="0"/>
              <w:bidi w:val="0"/>
              <w:adjustRightInd w:val="0"/>
              <w:snapToGrid w:val="0"/>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节能环保要求：</w:t>
            </w:r>
          </w:p>
          <w:p>
            <w:pPr>
              <w:keepLines w:val="0"/>
              <w:pageBreakBefore w:val="0"/>
              <w:kinsoku/>
              <w:wordWrap/>
              <w:overflowPunct/>
              <w:topLinePunct w:val="0"/>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根据财政部、国家发展改革委、生态环境部、国家市场监管总局《关于调整优化节能产品、环境标志产品政府采购执行机制的通知》财库〔2019〕9号文件规定，对政府采购节能产品、环境标志产品实施品目清单管理，依据品目清单和认证证书实施政府优先采购和强制采购。</w:t>
            </w:r>
          </w:p>
          <w:p>
            <w:pPr>
              <w:keepLines w:val="0"/>
              <w:pageBreakBefore w:val="0"/>
              <w:kinsoku/>
              <w:wordWrap/>
              <w:overflowPunct/>
              <w:topLinePunct w:val="0"/>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本次采购对属于节能产品政府采购品目清单规定的政府强制采购产品范围内的产品实施强制采购。投标人应当在响应文件中提供国家确定的认证机构出具的、处于有效期之内的节能产品认证证书（复制件）。</w:t>
            </w:r>
          </w:p>
          <w:p>
            <w:pPr>
              <w:keepLines w:val="0"/>
              <w:pageBreakBefore w:val="0"/>
              <w:kinsoku/>
              <w:wordWrap/>
              <w:overflowPunct/>
              <w:topLinePunct w:val="0"/>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本次采购对属于品目清单范围但不属于政府强制采购产品的，实施优先采购，具体按评审办法。投标人在响应文件中提供国家确定的认证机构出具的、处于有效期之内的节能产品或环境标志产品认证证书（复制件）。</w:t>
            </w:r>
          </w:p>
          <w:p>
            <w:pPr>
              <w:keepLines w:val="0"/>
              <w:pageBreakBefore w:val="0"/>
              <w:kinsoku/>
              <w:wordWrap/>
              <w:overflowPunct/>
              <w:topLinePunct w:val="0"/>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节能产品政府采购品目清单，以财政部、国家发改委发布的最新一期节能产品政府采购品目清单为准。环境标志产品政府采购品目清单，以财政部、生态环境部发布的最新一期环境标志产品政府采购品目清单为准。国家确定的认证机构以国家市场监管总局发布的参与实施政府采购节能产品、环境标志产品认证机构名录为准。</w:t>
            </w:r>
          </w:p>
          <w:p>
            <w:pPr>
              <w:keepLines w:val="0"/>
              <w:pageBreakBefore w:val="0"/>
              <w:numPr>
                <w:ilvl w:val="0"/>
                <w:numId w:val="4"/>
              </w:numPr>
              <w:kinsoku/>
              <w:wordWrap/>
              <w:overflowPunct/>
              <w:topLinePunct w:val="0"/>
              <w:bidi w:val="0"/>
              <w:adjustRightInd w:val="0"/>
              <w:snapToGrid w:val="0"/>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促进中小企业发展政策</w:t>
            </w:r>
            <w:r>
              <w:rPr>
                <w:rFonts w:hint="eastAsia" w:ascii="宋体" w:hAnsi="宋体" w:cs="宋体"/>
                <w:b/>
                <w:sz w:val="21"/>
                <w:szCs w:val="21"/>
                <w:lang w:eastAsia="zh-CN"/>
              </w:rPr>
              <w:t>（</w:t>
            </w:r>
            <w:r>
              <w:rPr>
                <w:rFonts w:hint="eastAsia" w:ascii="宋体" w:hAnsi="宋体" w:cs="宋体"/>
                <w:b/>
                <w:sz w:val="21"/>
                <w:szCs w:val="21"/>
                <w:lang w:val="en-US" w:eastAsia="zh-CN"/>
              </w:rPr>
              <w:t>专门面向中小企业的项目不享受政策价格扣除</w:t>
            </w:r>
            <w:r>
              <w:rPr>
                <w:rFonts w:hint="eastAsia" w:ascii="宋体" w:hAnsi="宋体" w:cs="宋体"/>
                <w:b/>
                <w:sz w:val="21"/>
                <w:szCs w:val="21"/>
                <w:lang w:eastAsia="zh-CN"/>
              </w:rPr>
              <w:t>）</w:t>
            </w:r>
            <w:r>
              <w:rPr>
                <w:rFonts w:hint="eastAsia" w:ascii="宋体" w:hAnsi="宋体" w:eastAsia="宋体" w:cs="宋体"/>
                <w:b/>
                <w:bCs/>
                <w:sz w:val="21"/>
                <w:szCs w:val="21"/>
                <w:lang w:val="en-US" w:eastAsia="zh-CN"/>
              </w:rPr>
              <w:t>：</w:t>
            </w:r>
            <w:bookmarkStart w:id="20" w:name="bookmark3"/>
            <w:bookmarkStart w:id="21" w:name="bookmark5"/>
            <w:bookmarkStart w:id="22" w:name="bookmark4"/>
          </w:p>
          <w:p>
            <w:pPr>
              <w:pStyle w:val="2"/>
              <w:keepLines w:val="0"/>
              <w:pageBreakBefore w:val="0"/>
              <w:numPr>
                <w:ilvl w:val="0"/>
                <w:numId w:val="5"/>
              </w:numPr>
              <w:kinsoku/>
              <w:wordWrap/>
              <w:overflowPunct/>
              <w:topLinePunct w:val="0"/>
              <w:bidi w:val="0"/>
              <w:spacing w:line="360" w:lineRule="exact"/>
              <w:jc w:val="both"/>
              <w:textAlignment w:val="auto"/>
              <w:rPr>
                <w:rFonts w:hint="eastAsia" w:ascii="宋体" w:hAnsi="宋体" w:eastAsia="宋体" w:cs="宋体"/>
                <w:sz w:val="21"/>
                <w:szCs w:val="21"/>
                <w:lang w:eastAsia="zh-CN"/>
              </w:rPr>
            </w:pPr>
            <w:bookmarkStart w:id="23" w:name="_Toc18731"/>
            <w:r>
              <w:rPr>
                <w:rFonts w:hint="eastAsia" w:ascii="宋体" w:hAnsi="宋体" w:cs="宋体"/>
                <w:snapToGrid w:val="0"/>
                <w:kern w:val="10"/>
                <w:sz w:val="21"/>
                <w:szCs w:val="21"/>
              </w:rPr>
              <w:t>本项目是否</w:t>
            </w:r>
            <w:r>
              <w:rPr>
                <w:rFonts w:hint="eastAsia" w:ascii="宋体" w:hAnsi="宋体" w:cs="宋体"/>
                <w:snapToGrid w:val="0"/>
                <w:kern w:val="10"/>
                <w:sz w:val="21"/>
                <w:szCs w:val="21"/>
                <w:lang w:val="en-US" w:eastAsia="zh-CN"/>
              </w:rPr>
              <w:t>专门面向中小企业</w:t>
            </w:r>
            <w:r>
              <w:rPr>
                <w:rFonts w:hint="eastAsia" w:ascii="宋体" w:hAnsi="宋体" w:cs="宋体"/>
                <w:snapToGrid w:val="0"/>
                <w:kern w:val="10"/>
                <w:sz w:val="21"/>
                <w:szCs w:val="21"/>
              </w:rPr>
              <w:t>：</w:t>
            </w:r>
            <w:r>
              <w:rPr>
                <w:rFonts w:hint="eastAsia" w:ascii="宋体" w:hAnsi="宋体" w:cs="宋体"/>
                <w:sz w:val="21"/>
                <w:szCs w:val="21"/>
              </w:rPr>
              <w:sym w:font="Wingdings" w:char="00A8"/>
            </w:r>
            <w:r>
              <w:rPr>
                <w:rFonts w:hint="eastAsia" w:ascii="宋体" w:hAnsi="宋体" w:cs="宋体"/>
                <w:sz w:val="21"/>
                <w:szCs w:val="21"/>
                <w:lang w:val="zh-CN"/>
              </w:rPr>
              <w:t>否；</w:t>
            </w:r>
            <w:r>
              <w:rPr>
                <w:rFonts w:hint="eastAsia" w:ascii="宋体" w:hAnsi="宋体" w:cs="宋体"/>
                <w:sz w:val="21"/>
                <w:szCs w:val="21"/>
                <w:lang w:eastAsia="zh-CN"/>
              </w:rPr>
              <w:t>☑</w:t>
            </w:r>
            <w:r>
              <w:rPr>
                <w:rFonts w:hint="eastAsia" w:ascii="宋体" w:hAnsi="宋体" w:cs="宋体"/>
                <w:sz w:val="21"/>
                <w:szCs w:val="21"/>
              </w:rPr>
              <w:t>是。</w:t>
            </w:r>
            <w:bookmarkEnd w:id="23"/>
          </w:p>
          <w:p>
            <w:pPr>
              <w:pStyle w:val="2"/>
              <w:keepLines w:val="0"/>
              <w:pageBreakBefore w:val="0"/>
              <w:numPr>
                <w:ilvl w:val="0"/>
                <w:numId w:val="0"/>
              </w:numPr>
              <w:kinsoku/>
              <w:wordWrap/>
              <w:overflowPunct/>
              <w:topLinePunct w:val="0"/>
              <w:bidi w:val="0"/>
              <w:spacing w:line="360" w:lineRule="exact"/>
              <w:jc w:val="both"/>
              <w:textAlignment w:val="auto"/>
              <w:rPr>
                <w:rFonts w:hint="eastAsia" w:ascii="宋体" w:hAnsi="宋体" w:eastAsia="宋体" w:cs="宋体"/>
                <w:b w:val="0"/>
                <w:bCs/>
                <w:sz w:val="21"/>
                <w:szCs w:val="21"/>
                <w:lang w:eastAsia="zh-CN"/>
              </w:rPr>
            </w:pPr>
            <w:bookmarkStart w:id="24" w:name="_Toc8637"/>
            <w:r>
              <w:rPr>
                <w:rFonts w:hint="eastAsia" w:ascii="宋体" w:hAnsi="宋体" w:eastAsia="宋体" w:cs="宋体"/>
                <w:b w:val="0"/>
                <w:bCs/>
                <w:sz w:val="21"/>
                <w:szCs w:val="21"/>
                <w:lang w:val="en-US" w:eastAsia="zh-CN"/>
              </w:rPr>
              <w:t>根据</w:t>
            </w:r>
            <w:r>
              <w:rPr>
                <w:rFonts w:hint="default" w:ascii="宋体" w:hAnsi="宋体" w:eastAsia="宋体" w:cs="宋体"/>
                <w:b w:val="0"/>
                <w:bCs/>
                <w:sz w:val="21"/>
                <w:szCs w:val="21"/>
                <w:lang w:val="en-US" w:eastAsia="zh-CN"/>
              </w:rPr>
              <w:t>财政部工业和信息化部关于《政府釆购促进中小企业发展管理办法》</w:t>
            </w:r>
            <w:bookmarkEnd w:id="20"/>
            <w:bookmarkEnd w:id="21"/>
            <w:bookmarkEnd w:id="22"/>
            <w:r>
              <w:rPr>
                <w:rFonts w:hint="eastAsia" w:ascii="宋体" w:hAnsi="宋体" w:eastAsia="宋体" w:cs="宋体"/>
                <w:b w:val="0"/>
                <w:bCs/>
                <w:sz w:val="21"/>
                <w:szCs w:val="21"/>
              </w:rPr>
              <w:t>（财库〔2020〕46号）</w:t>
            </w:r>
            <w:r>
              <w:rPr>
                <w:rFonts w:hint="eastAsia" w:ascii="宋体" w:hAnsi="宋体" w:eastAsia="宋体" w:cs="宋体"/>
                <w:b w:val="0"/>
                <w:bCs/>
                <w:sz w:val="21"/>
                <w:szCs w:val="21"/>
                <w:lang w:val="en-US" w:eastAsia="zh-CN"/>
              </w:rPr>
              <w:t>文件规定，</w:t>
            </w:r>
            <w:r>
              <w:rPr>
                <w:rFonts w:hint="eastAsia" w:ascii="宋体" w:hAnsi="宋体" w:eastAsia="宋体" w:cs="宋体"/>
                <w:b w:val="0"/>
                <w:bCs/>
                <w:sz w:val="21"/>
                <w:szCs w:val="21"/>
              </w:rPr>
              <w:t>在政府采购活动中，供应商提供的货物、工程或者服务符合下列情形的，享受中小企业扶持政策</w:t>
            </w:r>
            <w:bookmarkStart w:id="25" w:name="bookmark9"/>
            <w:r>
              <w:rPr>
                <w:rFonts w:hint="eastAsia" w:ascii="宋体" w:hAnsi="宋体" w:eastAsia="宋体" w:cs="宋体"/>
                <w:b w:val="0"/>
                <w:bCs/>
                <w:sz w:val="21"/>
                <w:szCs w:val="21"/>
                <w:lang w:eastAsia="zh-CN"/>
              </w:rPr>
              <w:t>：</w:t>
            </w:r>
            <w:bookmarkEnd w:id="24"/>
          </w:p>
          <w:bookmarkEnd w:id="25"/>
          <w:p>
            <w:pPr>
              <w:keepLines w:val="0"/>
              <w:pageBreakBefore w:val="0"/>
              <w:kinsoku/>
              <w:wordWrap/>
              <w:overflowPunct/>
              <w:topLinePunct w:val="0"/>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一</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采购金额</w:t>
            </w:r>
            <w:r>
              <w:rPr>
                <w:rFonts w:hint="eastAsia" w:ascii="宋体" w:hAnsi="宋体" w:eastAsia="宋体" w:cs="宋体"/>
                <w:sz w:val="21"/>
                <w:szCs w:val="21"/>
              </w:rPr>
              <w:t>200万元以下的货物和服务采购项目、400万元以下的工程采购项目，适宜由中小企业提供的，采购人应当专门面向中小企业采购。 超过200万元的货物和服务采购项目、超过 400万元的工程采购项目中适宜由中小企业提供的，预留该部分采购项目预算总额的30%以上专门面向中小企业采购， 其中预留给小微企业的比例不低于60%。以联合体形式参加政府采购活动，联合体各方均为中小企业的，联合体视同中小企业。其中，联合体各方均为小微企业的，联合体视同小微企业。</w:t>
            </w:r>
          </w:p>
          <w:p>
            <w:pPr>
              <w:keepLines w:val="0"/>
              <w:pageBreakBefore w:val="0"/>
              <w:numPr>
                <w:ilvl w:val="0"/>
                <w:numId w:val="0"/>
              </w:numPr>
              <w:kinsoku/>
              <w:wordWrap/>
              <w:overflowPunct/>
              <w:topLinePunct w:val="0"/>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二</w:t>
            </w:r>
            <w:r>
              <w:rPr>
                <w:rFonts w:hint="eastAsia" w:ascii="宋体" w:hAnsi="宋体" w:eastAsia="宋体" w:cs="宋体"/>
                <w:sz w:val="21"/>
                <w:szCs w:val="21"/>
                <w:lang w:eastAsia="zh-CN"/>
              </w:rPr>
              <w:t>）</w:t>
            </w:r>
            <w:r>
              <w:rPr>
                <w:rFonts w:hint="eastAsia" w:ascii="宋体" w:hAnsi="宋体" w:eastAsia="宋体" w:cs="宋体"/>
                <w:sz w:val="21"/>
                <w:szCs w:val="21"/>
              </w:rPr>
              <w:t>在货物采购项目中，货物由中小企业制造，即货物由中小企业生产且使用该中小企业商号或者注册商标；</w:t>
            </w:r>
          </w:p>
          <w:p>
            <w:pPr>
              <w:keepLines w:val="0"/>
              <w:pageBreakBefore w:val="0"/>
              <w:numPr>
                <w:ilvl w:val="0"/>
                <w:numId w:val="0"/>
              </w:numPr>
              <w:kinsoku/>
              <w:wordWrap/>
              <w:overflowPunct/>
              <w:topLinePunct w:val="0"/>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三</w:t>
            </w:r>
            <w:r>
              <w:rPr>
                <w:rFonts w:hint="eastAsia" w:ascii="宋体" w:hAnsi="宋体" w:eastAsia="宋体" w:cs="宋体"/>
                <w:sz w:val="21"/>
                <w:szCs w:val="21"/>
                <w:lang w:eastAsia="zh-CN"/>
              </w:rPr>
              <w:t>）</w:t>
            </w:r>
            <w:r>
              <w:rPr>
                <w:rFonts w:hint="eastAsia" w:ascii="宋体" w:hAnsi="宋体" w:eastAsia="宋体" w:cs="宋体"/>
                <w:sz w:val="21"/>
                <w:szCs w:val="21"/>
              </w:rPr>
              <w:t>在工程采购项目中，工程由中小企业承建，即工程施工单位为中小企业；</w:t>
            </w:r>
            <w:bookmarkStart w:id="26" w:name="bookmark11"/>
          </w:p>
          <w:p>
            <w:pPr>
              <w:keepLines w:val="0"/>
              <w:pageBreakBefore w:val="0"/>
              <w:numPr>
                <w:ilvl w:val="0"/>
                <w:numId w:val="0"/>
              </w:numPr>
              <w:kinsoku/>
              <w:wordWrap/>
              <w:overflowPunct/>
              <w:topLinePunct w:val="0"/>
              <w:bidi w:val="0"/>
              <w:adjustRightInd w:val="0"/>
              <w:snapToGrid w:val="0"/>
              <w:spacing w:line="360" w:lineRule="exact"/>
              <w:ind w:leftChars="0"/>
              <w:textAlignment w:val="auto"/>
              <w:rPr>
                <w:rFonts w:hint="eastAsia" w:ascii="宋体" w:hAnsi="宋体" w:eastAsia="宋体" w:cs="宋体"/>
                <w:sz w:val="21"/>
                <w:szCs w:val="21"/>
              </w:rPr>
            </w:pPr>
            <w:r>
              <w:rPr>
                <w:rFonts w:hint="eastAsia" w:ascii="宋体" w:hAnsi="宋体" w:eastAsia="宋体" w:cs="宋体"/>
                <w:sz w:val="21"/>
                <w:szCs w:val="21"/>
              </w:rPr>
              <w:t>（</w:t>
            </w:r>
            <w:bookmarkEnd w:id="26"/>
            <w:r>
              <w:rPr>
                <w:rFonts w:hint="eastAsia" w:ascii="宋体" w:hAnsi="宋体" w:eastAsia="宋体" w:cs="宋体"/>
                <w:sz w:val="21"/>
                <w:szCs w:val="21"/>
                <w:lang w:val="en-US" w:eastAsia="zh-CN"/>
              </w:rPr>
              <w:t>四</w:t>
            </w:r>
            <w:r>
              <w:rPr>
                <w:rFonts w:hint="eastAsia" w:ascii="宋体" w:hAnsi="宋体" w:eastAsia="宋体" w:cs="宋体"/>
                <w:sz w:val="21"/>
                <w:szCs w:val="21"/>
              </w:rPr>
              <w:t>）在服务采购项目中，服务由中小企业承接，即提供服务的人员为中小企业依照《中华人民共和国劳动合同法》 订立劳动合同的从业人员。</w:t>
            </w:r>
          </w:p>
          <w:p>
            <w:pPr>
              <w:keepLines w:val="0"/>
              <w:pageBreakBefore w:val="0"/>
              <w:kinsoku/>
              <w:wordWrap/>
              <w:overflowPunct/>
              <w:topLinePunct w:val="0"/>
              <w:bidi w:val="0"/>
              <w:adjustRightInd w:val="0"/>
              <w:snapToGrid w:val="0"/>
              <w:spacing w:line="360" w:lineRule="exact"/>
              <w:textAlignment w:val="auto"/>
              <w:rPr>
                <w:rFonts w:hint="eastAsia" w:ascii="宋体" w:hAnsi="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五</w:t>
            </w:r>
            <w:r>
              <w:rPr>
                <w:rFonts w:hint="eastAsia" w:ascii="宋体" w:hAnsi="宋体" w:eastAsia="宋体" w:cs="宋体"/>
                <w:sz w:val="21"/>
                <w:szCs w:val="21"/>
                <w:lang w:eastAsia="zh-CN"/>
              </w:rPr>
              <w:t>）</w:t>
            </w:r>
            <w:r>
              <w:rPr>
                <w:rFonts w:hint="eastAsia" w:ascii="宋体" w:hAnsi="宋体" w:eastAsia="宋体" w:cs="宋体"/>
                <w:sz w:val="21"/>
                <w:szCs w:val="21"/>
              </w:rPr>
              <w:t>在货物采购项目中，供应商提供的货物既有中小企业制造货物，也有大型企业制造货物的，不享受中小企业扶持政策。</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28" w:type="dxa"/>
            <w:vMerge w:val="restart"/>
            <w:noWrap/>
            <w:vAlign w:val="center"/>
          </w:tcPr>
          <w:p>
            <w:pPr>
              <w:keepLines w:val="0"/>
              <w:pageBreakBefore w:val="0"/>
              <w:kinsoku/>
              <w:wordWrap/>
              <w:overflowPunct/>
              <w:topLinePunct w:val="0"/>
              <w:bidi w:val="0"/>
              <w:spacing w:line="360" w:lineRule="exact"/>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14</w:t>
            </w:r>
          </w:p>
        </w:tc>
        <w:tc>
          <w:tcPr>
            <w:tcW w:w="1306" w:type="dxa"/>
            <w:vMerge w:val="restart"/>
            <w:noWrap/>
            <w:vAlign w:val="center"/>
          </w:tcPr>
          <w:p>
            <w:pPr>
              <w:keepLines w:val="0"/>
              <w:pageBreakBefore w:val="0"/>
              <w:kinsoku/>
              <w:wordWrap/>
              <w:overflowPunct/>
              <w:topLinePunct w:val="0"/>
              <w:bidi w:val="0"/>
              <w:adjustRightInd w:val="0"/>
              <w:snapToGrid w:val="0"/>
              <w:spacing w:line="360" w:lineRule="exact"/>
              <w:jc w:val="center"/>
              <w:textAlignment w:val="auto"/>
              <w:rPr>
                <w:rFonts w:ascii="宋体" w:hAnsi="宋体" w:cs="宋体"/>
                <w:sz w:val="21"/>
                <w:szCs w:val="21"/>
              </w:rPr>
            </w:pPr>
            <w:r>
              <w:rPr>
                <w:rFonts w:hint="eastAsia" w:ascii="宋体" w:hAnsi="宋体" w:cs="宋体"/>
                <w:sz w:val="21"/>
                <w:szCs w:val="21"/>
              </w:rPr>
              <w:t>其他注意事项</w:t>
            </w:r>
          </w:p>
        </w:tc>
        <w:tc>
          <w:tcPr>
            <w:tcW w:w="7208" w:type="dxa"/>
            <w:noWrap/>
            <w:vAlign w:val="center"/>
          </w:tcPr>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招标文件中部分加“▲”的条款，属于招标文件的实质性要求和条件，着重提醒各投标人注意，并认真查看招标文件中的每一个条款及要求，因误读招标文件而造成的后果，招标人概不负责。</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8" w:type="dxa"/>
            <w:vMerge w:val="continue"/>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p>
        </w:tc>
        <w:tc>
          <w:tcPr>
            <w:tcW w:w="1306" w:type="dxa"/>
            <w:vMerge w:val="continue"/>
            <w:noWrap/>
            <w:vAlign w:val="center"/>
          </w:tcPr>
          <w:p>
            <w:pPr>
              <w:keepLines w:val="0"/>
              <w:pageBreakBefore w:val="0"/>
              <w:kinsoku/>
              <w:wordWrap/>
              <w:overflowPunct/>
              <w:topLinePunct w:val="0"/>
              <w:bidi w:val="0"/>
              <w:spacing w:line="360" w:lineRule="exact"/>
              <w:textAlignment w:val="auto"/>
              <w:rPr>
                <w:rFonts w:ascii="宋体" w:hAnsi="宋体" w:cs="宋体"/>
                <w:sz w:val="21"/>
                <w:szCs w:val="21"/>
              </w:rPr>
            </w:pPr>
          </w:p>
        </w:tc>
        <w:tc>
          <w:tcPr>
            <w:tcW w:w="7208" w:type="dxa"/>
            <w:noWrap/>
            <w:vAlign w:val="center"/>
          </w:tcPr>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以上内容如有变化将另行通知，如通知其中某一项内容发生变化，其余未提及的内容将不作变动。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28" w:type="dxa"/>
            <w:vMerge w:val="continue"/>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p>
        </w:tc>
        <w:tc>
          <w:tcPr>
            <w:tcW w:w="1306" w:type="dxa"/>
            <w:vMerge w:val="continue"/>
            <w:noWrap/>
            <w:vAlign w:val="center"/>
          </w:tcPr>
          <w:p>
            <w:pPr>
              <w:keepLines w:val="0"/>
              <w:pageBreakBefore w:val="0"/>
              <w:kinsoku/>
              <w:wordWrap/>
              <w:overflowPunct/>
              <w:topLinePunct w:val="0"/>
              <w:bidi w:val="0"/>
              <w:spacing w:line="360" w:lineRule="exact"/>
              <w:textAlignment w:val="auto"/>
              <w:rPr>
                <w:rFonts w:ascii="宋体" w:hAnsi="宋体" w:cs="宋体"/>
                <w:sz w:val="21"/>
                <w:szCs w:val="21"/>
              </w:rPr>
            </w:pPr>
          </w:p>
        </w:tc>
        <w:tc>
          <w:tcPr>
            <w:tcW w:w="7208" w:type="dxa"/>
            <w:noWrap/>
            <w:vAlign w:val="center"/>
          </w:tcPr>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根据浙江省财政厅文件浙财采监[2015]13号文件《关于印发浙江省政府采购活动现场组织管理办法的通知》要求，本项目按浙江省政府采购活动现场组织管理办法实施。</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p>
        </w:tc>
        <w:tc>
          <w:tcPr>
            <w:tcW w:w="1306" w:type="dxa"/>
            <w:vMerge w:val="continue"/>
            <w:noWrap/>
            <w:vAlign w:val="center"/>
          </w:tcPr>
          <w:p>
            <w:pPr>
              <w:keepLines w:val="0"/>
              <w:pageBreakBefore w:val="0"/>
              <w:kinsoku/>
              <w:wordWrap/>
              <w:overflowPunct/>
              <w:topLinePunct w:val="0"/>
              <w:bidi w:val="0"/>
              <w:spacing w:line="360" w:lineRule="exact"/>
              <w:textAlignment w:val="auto"/>
              <w:rPr>
                <w:rFonts w:ascii="宋体" w:hAnsi="宋体" w:cs="宋体"/>
                <w:sz w:val="21"/>
                <w:szCs w:val="21"/>
              </w:rPr>
            </w:pPr>
          </w:p>
        </w:tc>
        <w:tc>
          <w:tcPr>
            <w:tcW w:w="7208" w:type="dxa"/>
            <w:noWrap/>
            <w:vAlign w:val="center"/>
          </w:tcPr>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http://www.zjzfcg.gov.cn）/）中小企业信用融资栏目了解相关信息。</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vMerge w:val="continue"/>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p>
        </w:tc>
        <w:tc>
          <w:tcPr>
            <w:tcW w:w="1306" w:type="dxa"/>
            <w:vMerge w:val="continue"/>
            <w:noWrap/>
            <w:vAlign w:val="center"/>
          </w:tcPr>
          <w:p>
            <w:pPr>
              <w:keepLines w:val="0"/>
              <w:pageBreakBefore w:val="0"/>
              <w:kinsoku/>
              <w:wordWrap/>
              <w:overflowPunct/>
              <w:topLinePunct w:val="0"/>
              <w:bidi w:val="0"/>
              <w:spacing w:line="360" w:lineRule="exact"/>
              <w:textAlignment w:val="auto"/>
              <w:rPr>
                <w:rFonts w:ascii="宋体" w:hAnsi="宋体" w:cs="宋体"/>
                <w:sz w:val="21"/>
                <w:szCs w:val="21"/>
              </w:rPr>
            </w:pPr>
          </w:p>
        </w:tc>
        <w:tc>
          <w:tcPr>
            <w:tcW w:w="7208" w:type="dxa"/>
            <w:noWrap/>
            <w:vAlign w:val="center"/>
          </w:tcPr>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根据《关于在政府采购活动中查询及使用信用记录有关问题的通知》财库[2016]125号的规定：</w:t>
            </w:r>
          </w:p>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1）采购人或采购代理机构将对本项目投标人的信用记录进行查询。查询渠道为信用中国网站（www.creditchina.gov.cn）、中国政府采购网（www.ccgp.gov.cn）；</w:t>
            </w:r>
          </w:p>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2）截止时点：提交投标文件（响应文件）截止时间前3年内；</w:t>
            </w:r>
          </w:p>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3）查询记录和证据的留存：信用信息查询记录和证据以网页截图等方式留存。</w:t>
            </w:r>
          </w:p>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4）使用规则：被列入失信被执行人、重大税收违法案件当事人名单、政府采购严重违法失信行为记录名单及其它不符合《中华人民共和国政府采购法》第二十二条规定条件的，其投标将被拒绝。</w:t>
            </w:r>
          </w:p>
          <w:p>
            <w:pPr>
              <w:keepLines w:val="0"/>
              <w:pageBreakBefore w:val="0"/>
              <w:kinsoku/>
              <w:wordWrap/>
              <w:overflowPunct/>
              <w:topLinePunct w:val="0"/>
              <w:bidi w:val="0"/>
              <w:adjustRightInd w:val="0"/>
              <w:snapToGrid w:val="0"/>
              <w:spacing w:line="360" w:lineRule="exact"/>
              <w:textAlignment w:val="auto"/>
              <w:rPr>
                <w:rFonts w:ascii="宋体" w:hAnsi="宋体" w:cs="宋体"/>
                <w:sz w:val="21"/>
                <w:szCs w:val="21"/>
              </w:rPr>
            </w:pPr>
            <w:r>
              <w:rPr>
                <w:rFonts w:hint="eastAsia" w:ascii="宋体" w:hAnsi="宋体" w:cs="宋体"/>
                <w:sz w:val="21"/>
                <w:szCs w:val="21"/>
              </w:rPr>
              <w:t>5）联合体成员任意一方存在不良信用记录的，视同联合体存在不良信用记录。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28" w:type="dxa"/>
            <w:vMerge w:val="continue"/>
            <w:noWrap/>
            <w:vAlign w:val="center"/>
          </w:tcPr>
          <w:p>
            <w:pPr>
              <w:keepLines w:val="0"/>
              <w:pageBreakBefore w:val="0"/>
              <w:kinsoku/>
              <w:wordWrap/>
              <w:overflowPunct/>
              <w:topLinePunct w:val="0"/>
              <w:bidi w:val="0"/>
              <w:spacing w:line="360" w:lineRule="exact"/>
              <w:jc w:val="center"/>
              <w:textAlignment w:val="auto"/>
              <w:rPr>
                <w:rFonts w:ascii="宋体" w:hAnsi="宋体" w:cs="宋体"/>
                <w:sz w:val="21"/>
                <w:szCs w:val="21"/>
              </w:rPr>
            </w:pPr>
          </w:p>
        </w:tc>
        <w:tc>
          <w:tcPr>
            <w:tcW w:w="1306" w:type="dxa"/>
            <w:vMerge w:val="continue"/>
            <w:noWrap/>
            <w:vAlign w:val="center"/>
          </w:tcPr>
          <w:p>
            <w:pPr>
              <w:keepLines w:val="0"/>
              <w:pageBreakBefore w:val="0"/>
              <w:kinsoku/>
              <w:wordWrap/>
              <w:overflowPunct/>
              <w:topLinePunct w:val="0"/>
              <w:bidi w:val="0"/>
              <w:spacing w:line="360" w:lineRule="exact"/>
              <w:textAlignment w:val="auto"/>
              <w:rPr>
                <w:rFonts w:ascii="宋体" w:hAnsi="宋体" w:cs="宋体"/>
                <w:sz w:val="21"/>
                <w:szCs w:val="21"/>
              </w:rPr>
            </w:pPr>
          </w:p>
        </w:tc>
        <w:tc>
          <w:tcPr>
            <w:tcW w:w="7208" w:type="dxa"/>
            <w:noWrap/>
            <w:vAlign w:val="center"/>
          </w:tcPr>
          <w:p>
            <w:pPr>
              <w:keepLines w:val="0"/>
              <w:pageBreakBefore w:val="0"/>
              <w:kinsoku/>
              <w:wordWrap/>
              <w:overflowPunct/>
              <w:topLinePunct w:val="0"/>
              <w:bidi w:val="0"/>
              <w:adjustRightInd w:val="0"/>
              <w:snapToGrid w:val="0"/>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取得衢州市政府采购合同的供应商，均可凭政府采购合同及应收款收益权，向银行申请质押融资。申请质押融资在合同签订后七个工作日内将合同向同级政府采购监管部门备案。</w:t>
            </w:r>
          </w:p>
        </w:tc>
      </w:tr>
      <w:bookmarkEnd w:id="3"/>
    </w:tbl>
    <w:p>
      <w:pPr>
        <w:adjustRightInd w:val="0"/>
        <w:snapToGrid w:val="0"/>
        <w:spacing w:line="360" w:lineRule="auto"/>
        <w:jc w:val="center"/>
        <w:outlineLvl w:val="9"/>
        <w:rPr>
          <w:rFonts w:ascii="宋体" w:hAnsi="宋体"/>
          <w:b/>
          <w:sz w:val="32"/>
        </w:rPr>
      </w:pPr>
      <w:bookmarkStart w:id="27" w:name="_Toc233618972"/>
      <w:bookmarkStart w:id="28" w:name="_Toc522530041"/>
      <w:bookmarkStart w:id="29" w:name="_Toc994"/>
    </w:p>
    <w:p>
      <w:pPr>
        <w:adjustRightInd w:val="0"/>
        <w:snapToGrid w:val="0"/>
        <w:spacing w:line="360" w:lineRule="auto"/>
        <w:jc w:val="center"/>
        <w:outlineLvl w:val="9"/>
        <w:rPr>
          <w:rFonts w:ascii="宋体" w:hAnsi="宋体"/>
          <w:b/>
          <w:sz w:val="32"/>
        </w:rPr>
      </w:pPr>
    </w:p>
    <w:p>
      <w:pPr>
        <w:adjustRightInd w:val="0"/>
        <w:snapToGrid w:val="0"/>
        <w:spacing w:line="360" w:lineRule="auto"/>
        <w:jc w:val="center"/>
        <w:outlineLvl w:val="9"/>
        <w:rPr>
          <w:rFonts w:ascii="宋体" w:hAnsi="宋体"/>
          <w:b/>
          <w:sz w:val="32"/>
        </w:rPr>
      </w:pPr>
    </w:p>
    <w:p>
      <w:pPr>
        <w:adjustRightInd w:val="0"/>
        <w:snapToGrid w:val="0"/>
        <w:spacing w:line="360" w:lineRule="auto"/>
        <w:jc w:val="center"/>
        <w:outlineLvl w:val="9"/>
        <w:rPr>
          <w:rFonts w:ascii="宋体" w:hAnsi="宋体"/>
          <w:b/>
          <w:sz w:val="32"/>
        </w:rPr>
      </w:pPr>
    </w:p>
    <w:p>
      <w:pPr>
        <w:pStyle w:val="2"/>
        <w:rPr>
          <w:rFonts w:ascii="宋体" w:hAnsi="宋体"/>
          <w:b/>
          <w:sz w:val="32"/>
        </w:rPr>
      </w:pPr>
    </w:p>
    <w:p>
      <w:pPr>
        <w:rPr>
          <w:rFonts w:ascii="宋体" w:hAnsi="宋体"/>
          <w:b/>
          <w:sz w:val="32"/>
        </w:rPr>
      </w:pPr>
    </w:p>
    <w:p>
      <w:pPr>
        <w:pStyle w:val="2"/>
        <w:rPr>
          <w:rFonts w:ascii="宋体" w:hAnsi="宋体"/>
          <w:b/>
          <w:sz w:val="32"/>
        </w:rPr>
      </w:pPr>
    </w:p>
    <w:p>
      <w:pPr>
        <w:rPr>
          <w:rFonts w:ascii="宋体" w:hAnsi="宋体"/>
          <w:b/>
          <w:sz w:val="32"/>
        </w:rPr>
      </w:pPr>
    </w:p>
    <w:p>
      <w:pPr>
        <w:pStyle w:val="2"/>
      </w:pPr>
    </w:p>
    <w:p>
      <w:pPr>
        <w:adjustRightInd w:val="0"/>
        <w:snapToGrid w:val="0"/>
        <w:spacing w:line="360" w:lineRule="auto"/>
        <w:jc w:val="center"/>
        <w:outlineLvl w:val="9"/>
        <w:rPr>
          <w:rFonts w:ascii="宋体" w:hAnsi="宋体"/>
          <w:b/>
          <w:sz w:val="32"/>
        </w:rPr>
      </w:pPr>
    </w:p>
    <w:p>
      <w:pPr>
        <w:adjustRightInd w:val="0"/>
        <w:snapToGrid w:val="0"/>
        <w:spacing w:line="360" w:lineRule="auto"/>
        <w:jc w:val="center"/>
        <w:outlineLvl w:val="9"/>
        <w:rPr>
          <w:rFonts w:ascii="宋体" w:hAnsi="宋体"/>
          <w:b/>
          <w:sz w:val="32"/>
        </w:rPr>
      </w:pPr>
    </w:p>
    <w:p>
      <w:pPr>
        <w:adjustRightInd w:val="0"/>
        <w:snapToGrid w:val="0"/>
        <w:spacing w:line="360" w:lineRule="auto"/>
        <w:jc w:val="both"/>
        <w:outlineLvl w:val="1"/>
        <w:rPr>
          <w:rFonts w:hint="eastAsia" w:ascii="宋体" w:hAnsi="宋体"/>
          <w:b/>
          <w:sz w:val="30"/>
          <w:szCs w:val="30"/>
        </w:rPr>
      </w:pPr>
      <w:bookmarkStart w:id="30" w:name="_Toc14269"/>
      <w:bookmarkStart w:id="31" w:name="_Toc1850"/>
    </w:p>
    <w:p>
      <w:pPr>
        <w:bidi w:val="0"/>
        <w:jc w:val="center"/>
        <w:rPr>
          <w:b/>
          <w:bCs/>
        </w:rPr>
      </w:pPr>
      <w:r>
        <w:rPr>
          <w:rFonts w:hint="eastAsia"/>
          <w:b/>
          <w:bCs/>
        </w:rPr>
        <w:t>一、总 则</w:t>
      </w:r>
      <w:bookmarkEnd w:id="27"/>
      <w:bookmarkEnd w:id="28"/>
      <w:bookmarkEnd w:id="29"/>
      <w:bookmarkEnd w:id="30"/>
      <w:bookmarkEnd w:id="31"/>
    </w:p>
    <w:p>
      <w:pPr>
        <w:pStyle w:val="11"/>
        <w:keepNext w:val="0"/>
        <w:keepLines w:val="0"/>
        <w:pageBreakBefore w:val="0"/>
        <w:widowControl w:val="0"/>
        <w:kinsoku/>
        <w:wordWrap/>
        <w:overflowPunct/>
        <w:topLinePunct w:val="0"/>
        <w:bidi w:val="0"/>
        <w:adjustRightInd w:val="0"/>
        <w:snapToGrid w:val="0"/>
        <w:spacing w:line="290" w:lineRule="exact"/>
        <w:textAlignment w:val="auto"/>
        <w:outlineLvl w:val="2"/>
        <w:rPr>
          <w:rFonts w:hAnsi="宋体" w:cs="宋体"/>
          <w:b/>
          <w:szCs w:val="21"/>
        </w:rPr>
      </w:pPr>
      <w:bookmarkStart w:id="32" w:name="_Hlt74730295"/>
      <w:bookmarkEnd w:id="32"/>
      <w:bookmarkStart w:id="33" w:name="_Hlt74714665"/>
      <w:bookmarkEnd w:id="33"/>
      <w:bookmarkStart w:id="34" w:name="_Hlt74730208"/>
      <w:bookmarkStart w:id="35" w:name="_Hlt74730112"/>
      <w:r>
        <w:rPr>
          <w:rFonts w:hint="eastAsia" w:hAnsi="宋体" w:cs="宋体"/>
          <w:b/>
          <w:szCs w:val="21"/>
        </w:rPr>
        <w:t>（一）实施依据</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本次招标工作按照《中华人民共和国政府采购法》等政府采购有关法律、法规、规章、文件的规定组织和实施。</w:t>
      </w:r>
    </w:p>
    <w:p>
      <w:pPr>
        <w:pStyle w:val="11"/>
        <w:keepNext w:val="0"/>
        <w:keepLines w:val="0"/>
        <w:pageBreakBefore w:val="0"/>
        <w:widowControl w:val="0"/>
        <w:kinsoku/>
        <w:wordWrap/>
        <w:overflowPunct/>
        <w:topLinePunct w:val="0"/>
        <w:bidi w:val="0"/>
        <w:adjustRightInd w:val="0"/>
        <w:snapToGrid w:val="0"/>
        <w:spacing w:line="290" w:lineRule="exact"/>
        <w:textAlignment w:val="auto"/>
        <w:outlineLvl w:val="2"/>
        <w:rPr>
          <w:rFonts w:hAnsi="宋体" w:cs="宋体"/>
          <w:b/>
          <w:szCs w:val="21"/>
        </w:rPr>
      </w:pPr>
      <w:bookmarkStart w:id="36" w:name="_Toc91899873"/>
      <w:r>
        <w:rPr>
          <w:rFonts w:hint="eastAsia" w:hAnsi="宋体" w:cs="宋体"/>
          <w:b/>
          <w:szCs w:val="21"/>
        </w:rPr>
        <w:t>（二）采购方式</w:t>
      </w:r>
      <w:bookmarkEnd w:id="36"/>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公开招标。</w:t>
      </w:r>
      <w:bookmarkEnd w:id="34"/>
      <w:bookmarkEnd w:id="35"/>
      <w:bookmarkStart w:id="37" w:name="_Hlt68516771"/>
      <w:bookmarkEnd w:id="37"/>
      <w:bookmarkStart w:id="38" w:name="_Hlt74388212"/>
      <w:bookmarkEnd w:id="38"/>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b/>
          <w:kern w:val="0"/>
          <w:sz w:val="21"/>
          <w:szCs w:val="21"/>
          <w:lang w:val="zh-CN"/>
        </w:rPr>
      </w:pPr>
      <w:bookmarkStart w:id="39" w:name="_Toc91899877"/>
      <w:bookmarkStart w:id="40" w:name="_Hlt74730303"/>
      <w:r>
        <w:rPr>
          <w:rFonts w:hint="eastAsia" w:ascii="宋体" w:hAnsi="宋体" w:cs="宋体"/>
          <w:b/>
          <w:sz w:val="21"/>
          <w:szCs w:val="21"/>
        </w:rPr>
        <w:t>（三）</w:t>
      </w:r>
      <w:r>
        <w:rPr>
          <w:rFonts w:hint="eastAsia" w:ascii="宋体" w:hAnsi="宋体" w:cs="宋体"/>
          <w:b/>
          <w:kern w:val="0"/>
          <w:sz w:val="21"/>
          <w:szCs w:val="21"/>
          <w:lang w:val="zh-CN"/>
        </w:rPr>
        <w:t>定义</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招标（采购）人：是指依法进行政府采购的国家机关、事业单位、团体组织，见本项目“招标公告”；</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招标（采购）代理机构：受招标人委托，在委托的范围内办理政府采购事宜并组织招标活动的机构，见本项目“招标公告”；</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投标人（投标人）：是指参加本政府采购项目投标的投标人；</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中标人：是指经评审获得本项目最终合同签订资格的投标人。</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买方（甲方）：是指合同签订的一方，一般与招标人、用户相同；</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卖方（乙方）：是指合同签订的另一方，一般与中标人相同；</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制造商：包括是指拥有投标产品自主知识产权的单位；</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本招标文件中可享受中小企业政策功能的评标价格扣除的投标人：是指监狱企业或符合中小企业划分标准（详见《关于印发中小企业划型标准规定的通知》工信部联企业〔2011〕300号）的</w:t>
      </w:r>
      <w:r>
        <w:rPr>
          <w:rFonts w:hint="eastAsia" w:ascii="宋体" w:hAnsi="宋体" w:cs="宋体"/>
          <w:sz w:val="21"/>
          <w:szCs w:val="21"/>
          <w:lang w:val="en-US" w:eastAsia="zh-CN"/>
        </w:rPr>
        <w:t>中、</w:t>
      </w:r>
      <w:r>
        <w:rPr>
          <w:rFonts w:hint="eastAsia" w:ascii="宋体" w:hAnsi="宋体" w:cs="宋体"/>
          <w:sz w:val="21"/>
          <w:szCs w:val="21"/>
        </w:rPr>
        <w:t>小、微企业，同时该企业提供的货物、承担的工程或者服务是由本企业制造或者由其他小、微企业（监狱企业）制造（提供），本项所称货物不包括使用大型企业注册商标的货物；</w:t>
      </w:r>
    </w:p>
    <w:p>
      <w:pPr>
        <w:keepNext w:val="0"/>
        <w:keepLines w:val="0"/>
        <w:pageBreakBefore w:val="0"/>
        <w:widowControl w:val="0"/>
        <w:kinsoku/>
        <w:wordWrap/>
        <w:overflowPunct/>
        <w:topLinePunct w:val="0"/>
        <w:bidi w:val="0"/>
        <w:spacing w:line="290" w:lineRule="exact"/>
        <w:ind w:firstLine="420" w:firstLineChars="200"/>
        <w:textAlignment w:val="auto"/>
        <w:rPr>
          <w:rFonts w:hint="eastAsia" w:ascii="宋体" w:hAnsi="宋体" w:cs="宋体"/>
          <w:sz w:val="21"/>
          <w:szCs w:val="21"/>
        </w:rPr>
      </w:pPr>
      <w:r>
        <w:rPr>
          <w:rFonts w:hint="eastAsia" w:ascii="宋体" w:hAnsi="宋体" w:cs="宋体"/>
          <w:sz w:val="21"/>
          <w:szCs w:val="21"/>
        </w:rPr>
        <w:t>监狱企业：是指由司法部认定的为罪犯、戒毒人员提供生产项目和劳动对象，且全部产权属于司法 部监狱管理局、戒毒管理局、直属煤矿管理局，各省、自治区、直辖市监狱管理局、戒毒管理局，各地 （设区的市）监狱、强制隔离戒毒所、戒毒康复所，以及新疆生产建设兵团监狱管理局、戒毒管理局的企业。</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残疾人福利性单位：符合《财政部民政部中国残疾人联合会关于促进残疾人就业政府采购政策的通知》（财库〔2017〕 141 号）的规定单位；</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政府采购监管部门：</w:t>
      </w:r>
      <w:r>
        <w:rPr>
          <w:rStyle w:val="26"/>
          <w:rFonts w:hint="eastAsia" w:ascii="宋体" w:hAnsi="宋体" w:cs="宋体"/>
          <w:sz w:val="21"/>
          <w:szCs w:val="21"/>
        </w:rPr>
        <w:t>衢州市衢江区政府采购管理办公室</w:t>
      </w:r>
      <w:r>
        <w:rPr>
          <w:rFonts w:hint="eastAsia" w:ascii="宋体" w:hAnsi="宋体" w:cs="宋体"/>
          <w:sz w:val="21"/>
          <w:szCs w:val="21"/>
        </w:rPr>
        <w:t>；</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kern w:val="0"/>
          <w:sz w:val="21"/>
          <w:szCs w:val="21"/>
          <w:lang w:val="zh-CN"/>
        </w:rPr>
      </w:pPr>
      <w:r>
        <w:rPr>
          <w:rFonts w:hint="eastAsia" w:ascii="宋体" w:hAnsi="宋体" w:cs="宋体"/>
          <w:kern w:val="0"/>
          <w:sz w:val="21"/>
          <w:szCs w:val="21"/>
          <w:lang w:val="zh-CN"/>
        </w:rPr>
        <w:t>产品（货物）：系指按招标文件规定，须向招标人提供的一切设备及配套备品备件、工具、手册及其他有关技术资料和材料；</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kern w:val="0"/>
          <w:sz w:val="21"/>
          <w:szCs w:val="21"/>
          <w:lang w:val="zh-CN"/>
        </w:rPr>
      </w:pPr>
      <w:r>
        <w:rPr>
          <w:rFonts w:hint="eastAsia" w:ascii="宋体" w:hAnsi="宋体" w:cs="宋体"/>
          <w:kern w:val="0"/>
          <w:sz w:val="21"/>
          <w:szCs w:val="21"/>
          <w:lang w:val="zh-CN"/>
        </w:rP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产品应符合国家节能环保要求；投标人在投标文件中提供相关证明材料。</w:t>
      </w:r>
    </w:p>
    <w:p>
      <w:pPr>
        <w:keepNext w:val="0"/>
        <w:keepLines w:val="0"/>
        <w:pageBreakBefore w:val="0"/>
        <w:widowControl w:val="0"/>
        <w:tabs>
          <w:tab w:val="left" w:pos="0"/>
        </w:tabs>
        <w:kinsoku/>
        <w:wordWrap/>
        <w:overflowPunct/>
        <w:topLinePunct w:val="0"/>
        <w:autoSpaceDE w:val="0"/>
        <w:autoSpaceDN w:val="0"/>
        <w:bidi w:val="0"/>
        <w:adjustRightInd w:val="0"/>
        <w:spacing w:line="290" w:lineRule="exact"/>
        <w:ind w:firstLine="420" w:firstLineChars="200"/>
        <w:textAlignment w:val="auto"/>
        <w:rPr>
          <w:rFonts w:ascii="宋体" w:hAnsi="宋体" w:cs="宋体"/>
          <w:sz w:val="21"/>
          <w:szCs w:val="21"/>
          <w:lang w:val="zh-CN"/>
        </w:rPr>
      </w:pPr>
      <w:r>
        <w:rPr>
          <w:rFonts w:hint="eastAsia" w:ascii="宋体" w:hAnsi="宋体" w:cs="宋体"/>
          <w:sz w:val="21"/>
          <w:szCs w:val="21"/>
          <w:lang w:val="zh-CN"/>
        </w:rPr>
        <w:t>服务：</w:t>
      </w:r>
      <w:r>
        <w:rPr>
          <w:rFonts w:hint="eastAsia" w:ascii="宋体" w:hAnsi="宋体" w:cs="宋体"/>
          <w:kern w:val="0"/>
          <w:sz w:val="21"/>
          <w:szCs w:val="21"/>
          <w:lang w:val="zh-CN"/>
        </w:rPr>
        <w:t>系指按招标文件规定，须向招标人提供</w:t>
      </w:r>
      <w:r>
        <w:rPr>
          <w:rFonts w:hint="eastAsia" w:ascii="宋体" w:hAnsi="宋体" w:cs="宋体"/>
          <w:sz w:val="21"/>
          <w:szCs w:val="21"/>
          <w:lang w:val="zh-CN"/>
        </w:rPr>
        <w:t xml:space="preserve">的与供货有关的辅助服务，如运输、保险、培训安装、调试、验收、技术支持和交付使用后质保期内应履行的售后服务等义务； </w:t>
      </w:r>
    </w:p>
    <w:p>
      <w:pPr>
        <w:keepNext w:val="0"/>
        <w:keepLines w:val="0"/>
        <w:pageBreakBefore w:val="0"/>
        <w:widowControl w:val="0"/>
        <w:tabs>
          <w:tab w:val="left" w:pos="0"/>
        </w:tabs>
        <w:kinsoku/>
        <w:wordWrap/>
        <w:overflowPunct/>
        <w:topLinePunct w:val="0"/>
        <w:autoSpaceDE w:val="0"/>
        <w:autoSpaceDN w:val="0"/>
        <w:bidi w:val="0"/>
        <w:adjustRightInd w:val="0"/>
        <w:spacing w:line="290" w:lineRule="exact"/>
        <w:ind w:firstLine="420" w:firstLineChars="200"/>
        <w:textAlignment w:val="auto"/>
        <w:rPr>
          <w:rFonts w:ascii="宋体" w:hAnsi="宋体" w:cs="宋体"/>
          <w:kern w:val="0"/>
          <w:sz w:val="21"/>
          <w:szCs w:val="21"/>
          <w:lang w:val="zh-CN"/>
        </w:rPr>
      </w:pPr>
      <w:r>
        <w:rPr>
          <w:rFonts w:hint="eastAsia" w:ascii="宋体" w:hAnsi="宋体" w:cs="宋体"/>
          <w:kern w:val="0"/>
          <w:sz w:val="21"/>
          <w:szCs w:val="21"/>
          <w:lang w:val="zh-CN"/>
        </w:rPr>
        <w:t>培训：系指按招标文件规定，向招标人提供操作使用培训、系统管理培训和其他相关培训等。</w:t>
      </w:r>
    </w:p>
    <w:p>
      <w:pPr>
        <w:keepNext w:val="0"/>
        <w:keepLines w:val="0"/>
        <w:pageBreakBefore w:val="0"/>
        <w:widowControl w:val="0"/>
        <w:tabs>
          <w:tab w:val="left" w:pos="0"/>
        </w:tabs>
        <w:kinsoku/>
        <w:wordWrap/>
        <w:overflowPunct/>
        <w:topLinePunct w:val="0"/>
        <w:autoSpaceDE w:val="0"/>
        <w:autoSpaceDN w:val="0"/>
        <w:bidi w:val="0"/>
        <w:adjustRightInd w:val="0"/>
        <w:spacing w:line="290" w:lineRule="exact"/>
        <w:ind w:firstLine="420" w:firstLineChars="200"/>
        <w:textAlignment w:val="auto"/>
        <w:rPr>
          <w:rFonts w:ascii="宋体" w:hAnsi="宋体" w:cs="宋体"/>
          <w:kern w:val="0"/>
          <w:sz w:val="21"/>
          <w:szCs w:val="21"/>
          <w:lang w:val="zh-CN"/>
        </w:rPr>
      </w:pPr>
      <w:r>
        <w:rPr>
          <w:rFonts w:hint="eastAsia" w:ascii="宋体" w:hAnsi="宋体" w:cs="宋体"/>
          <w:kern w:val="0"/>
          <w:sz w:val="21"/>
          <w:szCs w:val="21"/>
          <w:lang w:val="zh-CN"/>
        </w:rPr>
        <w:t>书面形式：包括纸质文件、电子邮件、传真、信函、电报等。</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lang w:val="zh-CN"/>
        </w:rPr>
      </w:pPr>
      <w:r>
        <w:rPr>
          <w:rFonts w:hint="eastAsia" w:ascii="宋体" w:hAnsi="宋体" w:cs="宋体"/>
          <w:sz w:val="21"/>
          <w:szCs w:val="21"/>
          <w:lang w:val="zh-CN"/>
        </w:rPr>
        <w:t>实质性响应:系指投标文件符合招标文件规定的实质性内容、条件和规定。</w:t>
      </w:r>
    </w:p>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宋体" w:hAnsi="宋体" w:cs="宋体"/>
          <w:sz w:val="21"/>
          <w:szCs w:val="21"/>
          <w:lang w:val="zh-CN"/>
        </w:rPr>
      </w:pPr>
      <w:r>
        <w:rPr>
          <w:rFonts w:hint="eastAsia" w:ascii="宋体" w:hAnsi="宋体" w:cs="宋体"/>
          <w:sz w:val="21"/>
          <w:szCs w:val="21"/>
          <w:lang w:val="zh-CN"/>
        </w:rPr>
        <w:t>重大偏离或保留：系指将会影响到招标文件规定的服务范围、质量标准，或会给合同中规定的招标人的权利和投标人的责任造成实质性限制，而纠正这些偏离或保留将对其他提交了实质性响应的投标文件的投标人产生不公平影响的。</w:t>
      </w:r>
    </w:p>
    <w:p>
      <w:pPr>
        <w:keepNext w:val="0"/>
        <w:keepLines w:val="0"/>
        <w:pageBreakBefore w:val="0"/>
        <w:widowControl w:val="0"/>
        <w:tabs>
          <w:tab w:val="left" w:pos="0"/>
        </w:tabs>
        <w:kinsoku/>
        <w:wordWrap/>
        <w:overflowPunct/>
        <w:topLinePunct w:val="0"/>
        <w:autoSpaceDE w:val="0"/>
        <w:autoSpaceDN w:val="0"/>
        <w:bidi w:val="0"/>
        <w:adjustRightInd w:val="0"/>
        <w:spacing w:line="360" w:lineRule="exact"/>
        <w:ind w:firstLine="420" w:firstLineChars="200"/>
        <w:textAlignment w:val="auto"/>
        <w:rPr>
          <w:rFonts w:ascii="宋体" w:hAnsi="宋体" w:cs="宋体"/>
          <w:kern w:val="0"/>
          <w:sz w:val="21"/>
          <w:szCs w:val="21"/>
        </w:rPr>
      </w:pPr>
      <w:r>
        <w:rPr>
          <w:rFonts w:hint="eastAsia" w:ascii="宋体" w:hAnsi="宋体" w:cs="宋体"/>
          <w:sz w:val="21"/>
          <w:szCs w:val="21"/>
          <w:lang w:val="zh-CN"/>
        </w:rPr>
        <w:t>细微偏离：系指投标文件对招标文件的非实质性内容存在不完全响应或不响应。</w:t>
      </w:r>
    </w:p>
    <w:p>
      <w:pPr>
        <w:pStyle w:val="11"/>
        <w:keepNext w:val="0"/>
        <w:keepLines w:val="0"/>
        <w:pageBreakBefore w:val="0"/>
        <w:widowControl w:val="0"/>
        <w:kinsoku/>
        <w:wordWrap/>
        <w:overflowPunct/>
        <w:topLinePunct w:val="0"/>
        <w:bidi w:val="0"/>
        <w:adjustRightInd w:val="0"/>
        <w:snapToGrid w:val="0"/>
        <w:spacing w:line="360" w:lineRule="exact"/>
        <w:textAlignment w:val="auto"/>
        <w:outlineLvl w:val="2"/>
        <w:rPr>
          <w:rFonts w:hAnsi="宋体" w:cs="宋体"/>
          <w:b/>
          <w:szCs w:val="21"/>
        </w:rPr>
      </w:pPr>
      <w:r>
        <w:rPr>
          <w:rFonts w:hint="eastAsia" w:hAnsi="宋体" w:cs="宋体"/>
          <w:b/>
          <w:szCs w:val="21"/>
        </w:rPr>
        <w:t>（四）投标费用</w:t>
      </w:r>
    </w:p>
    <w:p>
      <w:pPr>
        <w:keepNext w:val="0"/>
        <w:keepLines w:val="0"/>
        <w:pageBreakBefore w:val="0"/>
        <w:widowControl w:val="0"/>
        <w:kinsoku/>
        <w:wordWrap/>
        <w:overflowPunct/>
        <w:topLinePunct w:val="0"/>
        <w:bidi w:val="0"/>
        <w:adjustRightInd w:val="0"/>
        <w:snapToGrid w:val="0"/>
        <w:spacing w:line="360" w:lineRule="exact"/>
        <w:ind w:firstLine="457" w:firstLineChars="218"/>
        <w:textAlignment w:val="auto"/>
        <w:rPr>
          <w:rFonts w:ascii="宋体" w:hAnsi="宋体" w:cs="宋体"/>
          <w:kern w:val="0"/>
          <w:position w:val="-5"/>
          <w:sz w:val="21"/>
          <w:szCs w:val="21"/>
        </w:rPr>
      </w:pPr>
      <w:r>
        <w:rPr>
          <w:rFonts w:hint="eastAsia" w:ascii="宋体" w:hAnsi="宋体" w:cs="宋体"/>
          <w:kern w:val="0"/>
          <w:position w:val="-5"/>
          <w:sz w:val="21"/>
          <w:szCs w:val="21"/>
        </w:rPr>
        <w:t>无论招投标过程中的做法和结果如何，投标人自行承担招投标活动中所发生的全部费用。</w:t>
      </w:r>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b/>
          <w:sz w:val="21"/>
          <w:szCs w:val="21"/>
        </w:rPr>
      </w:pPr>
      <w:r>
        <w:rPr>
          <w:rFonts w:hint="eastAsia" w:ascii="宋体" w:hAnsi="宋体" w:cs="宋体"/>
          <w:b/>
          <w:sz w:val="21"/>
          <w:szCs w:val="21"/>
        </w:rPr>
        <w:t>（五）语言文字</w:t>
      </w:r>
    </w:p>
    <w:bookmarkEnd w:id="39"/>
    <w:bookmarkEnd w:id="40"/>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bookmarkStart w:id="41" w:name="_Hlt74729768"/>
      <w:bookmarkEnd w:id="41"/>
      <w:bookmarkStart w:id="42" w:name="_Hlt75236290"/>
      <w:bookmarkEnd w:id="42"/>
      <w:bookmarkStart w:id="43" w:name="_Hlt68072990"/>
      <w:bookmarkEnd w:id="43"/>
      <w:bookmarkStart w:id="44" w:name="_Hlt68057669"/>
      <w:bookmarkEnd w:id="44"/>
      <w:bookmarkStart w:id="45" w:name="_Hlt74707468"/>
      <w:bookmarkEnd w:id="45"/>
      <w:bookmarkStart w:id="46" w:name="_Toc91899879"/>
      <w:r>
        <w:rPr>
          <w:rFonts w:hint="eastAsia" w:ascii="宋体" w:hAnsi="宋体" w:cs="宋体"/>
          <w:sz w:val="21"/>
          <w:szCs w:val="21"/>
        </w:rPr>
        <w:t>1、招标投标有关的语言使用中文。</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2、外文专用术语应附有中文注释。招投标文件及相关往来文件中有外文资料的（如质疑函、进口产品厂商授权书等），资料提供方应当将其翻译为中文，注明翻译人员姓名、工作单位、联系方式等信息，并对译文的完整性、客观性、真实性负责。</w:t>
      </w:r>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sz w:val="21"/>
          <w:szCs w:val="21"/>
        </w:rPr>
      </w:pPr>
      <w:r>
        <w:rPr>
          <w:rFonts w:hint="eastAsia" w:ascii="宋体" w:hAnsi="宋体" w:cs="宋体"/>
          <w:b/>
          <w:sz w:val="21"/>
          <w:szCs w:val="21"/>
        </w:rPr>
        <w:t>（六）计量单位</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招标文件有明确规定的，适用招标文件规定的计量单位；招标文件没有规定的，应采用中华人民共和国法定计量单位，否则视同未响应。</w:t>
      </w:r>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sz w:val="21"/>
          <w:szCs w:val="21"/>
        </w:rPr>
      </w:pPr>
      <w:r>
        <w:rPr>
          <w:rFonts w:hint="eastAsia" w:ascii="宋体" w:hAnsi="宋体" w:cs="宋体"/>
          <w:b/>
          <w:sz w:val="21"/>
          <w:szCs w:val="21"/>
        </w:rPr>
        <w:t>（七）转包与分包</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本项目不允许转包。本须知“前附表”规定允许分包的，投标人应当在投标文件载明分包的具体情况，应符合招标人在本须知“前附表”规定的分包内容、分包金额和接受分包的第三人资质要求等限制条件。</w:t>
      </w:r>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b/>
          <w:sz w:val="21"/>
          <w:szCs w:val="21"/>
        </w:rPr>
      </w:pPr>
      <w:r>
        <w:rPr>
          <w:rFonts w:hint="eastAsia" w:ascii="宋体" w:hAnsi="宋体" w:cs="宋体"/>
          <w:b/>
          <w:sz w:val="21"/>
          <w:szCs w:val="21"/>
        </w:rPr>
        <w:t>（八）踏勘现场</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1、若本须知“前附表”规定统一组织的，投标人应按规定的时间、地点准时出席，否则将不予单独安排；</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2、投标人踏勘现场发生的费用自理。</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3、除招标人的原因外，投标人自行负责在踏勘现场中可能发生的人员伤亡和财产损失。</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4、招标人在踏勘现场中介绍的场地和相关的周边环境情况，投标人在编制投标文件时参考，招标人不对投标人据此作出的判断和决策负责。</w:t>
      </w:r>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b/>
          <w:sz w:val="21"/>
          <w:szCs w:val="21"/>
        </w:rPr>
      </w:pPr>
      <w:r>
        <w:rPr>
          <w:rFonts w:hint="eastAsia" w:ascii="宋体" w:hAnsi="宋体" w:cs="宋体"/>
          <w:b/>
          <w:sz w:val="21"/>
          <w:szCs w:val="21"/>
        </w:rPr>
        <w:t>（九）投标预备会（答疑会）</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1、若本须知“前附表”规定召开答疑会的，招标人将按规定的时间、地点准时召开答疑会，澄清投标人提出的问题，投标人应按规定准时出席，否则将不予单独安排答疑。</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2、投标人应在答疑会时间的前一天，以书面形式将提出的问题送达招标人，以便招标人在会议期间澄清。</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3、答疑会后，招标人将按规定对投标人所提问题进行书面澄清答复。</w:t>
      </w:r>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sz w:val="21"/>
          <w:szCs w:val="21"/>
        </w:rPr>
      </w:pPr>
      <w:r>
        <w:rPr>
          <w:rFonts w:hint="eastAsia" w:ascii="宋体" w:hAnsi="宋体" w:cs="宋体"/>
          <w:b/>
          <w:sz w:val="21"/>
          <w:szCs w:val="21"/>
        </w:rPr>
        <w:t>（十）对投标人的限制</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1、单位负责人（指法定代表人或者法律、行政法规规定代表单位行使职权的主要负责人）为同一人或者存在直接控股、管理关系的不同投标人不得分别参加同一合同项下的采购活动。违反本条规定的，相关投标均无效；</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2、为本项目提供过整体设计、规范编制或者项目管理、监理、检测等服务的投标人，不得再参加该采购项目的其他采购活动（不包括为该项目提供整体设计、规范编制或者项目管理、监理、检测等服务）；</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3、以联合体形式参加政府采购活动的，联合体各方不得再单独参加或者与其他投标人另外组成联合体参加同一合同项下的政府采购活动；</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4、为证明投标人拥有的业绩、荣誉、知识产权、项目案例等而在投标文件中提供的证明材料必须为投标人自身所有。不同法人、其他组织的资料与投标人无关。</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5、投标人之间的利害关系：</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（1）法定代表人或负责人或实际控制人是夫妻关系；</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（2）法定代表人或负责人或实际控制人是直系血亲关系；</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（3）法定代表人或负责人或实际控制人存在三代以内旁系血亲关系；</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（4）法定代表人或负责人或实际控制人存在近姻亲关系；</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（5）法定代表人或负责人或实际控制人存在股份控制或实际控制关系；</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（6）存在共同直接或间接投资设立子公司、联营企业和合营企业情况；</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 xml:space="preserve">（7）存在分级代理或代销关系、同一生产制造商关系、管理关系、重要业务（占主营业务收入50%以上）或重要财务往来关系（如融资）等其他实质性控制关系； 如投标人之间存在以上利害关系并且存在影响政府采购公平竞争的行为的相关投标人的投标均无效。 </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6、采购人若有核心产品，请根据采购项目实际需求确定核心产品，并在采购文件第三部分“项目技术及服务要求”中明确标注，若没有则不需要确定及注明。</w:t>
      </w:r>
    </w:p>
    <w:p>
      <w:pPr>
        <w:keepNext w:val="0"/>
        <w:keepLines w:val="0"/>
        <w:pageBreakBefore w:val="0"/>
        <w:widowControl w:val="0"/>
        <w:kinsoku/>
        <w:wordWrap/>
        <w:overflowPunct/>
        <w:topLinePunct w:val="0"/>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 xml:space="preserve">（1）采用最低评标价法的采购项目，提供相同品牌产品（含核心产品）的不同投标人参加同一合同项下投标的，以其中通过资格审查、符合性审查且报价最低的参加评标；报价相同的，随机抽取方式确定，其他投标无效。 </w:t>
      </w:r>
    </w:p>
    <w:p>
      <w:pPr>
        <w:keepNext w:val="0"/>
        <w:keepLines w:val="0"/>
        <w:pageBreakBefore w:val="0"/>
        <w:widowControl w:val="0"/>
        <w:kinsoku/>
        <w:wordWrap/>
        <w:overflowPunct/>
        <w:topLinePunct w:val="0"/>
        <w:bidi w:val="0"/>
        <w:spacing w:line="290" w:lineRule="exact"/>
        <w:ind w:firstLine="525" w:firstLineChars="250"/>
        <w:textAlignment w:val="auto"/>
        <w:rPr>
          <w:rFonts w:ascii="宋体" w:hAnsi="宋体" w:cs="宋体"/>
          <w:sz w:val="21"/>
          <w:szCs w:val="21"/>
        </w:rPr>
      </w:pPr>
      <w:r>
        <w:rPr>
          <w:rFonts w:hint="eastAsia" w:ascii="宋体" w:hAnsi="宋体" w:cs="宋体"/>
          <w:sz w:val="21"/>
          <w:szCs w:val="21"/>
        </w:rPr>
        <w:t>（2）使用综合评分法的采购项目，提供相同品牌产品（含核心产品）且通过资格审查、符合性审查的不同投标人参加同一合同项下投标的，按一家投标人计算，评审后得分最高的同品牌（含核心产品） 投标人获得中标人推荐资格；评审得分相同的，随机抽取方式确定，其他同品牌投标人不作为中标候选人。</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7、因特殊情况指定单一品牌采购的或本须知“前附表”规定投标人中标后提供制造商授权的，制造商授权文件将不再作为实质性响应条款，投标人可在中标后取得制造商针对该项目的授权文件。如制造商无故不予授权的，招标人可在中标人作出保证供货且保证产品质量和售后服务的承诺后授予其合同，招标人将在合同的验收、结算和违约责任中补充增加相应的制约性条款；</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8、招标公告中明确专门面向中小微企业采购的项目，只能由中小企业或微型企业参加。</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9、投标截止前被“信用中国”网站(</w:t>
      </w:r>
      <w:r>
        <w:fldChar w:fldCharType="begin"/>
      </w:r>
      <w:r>
        <w:instrText xml:space="preserve"> HYPERLINK "http://www.creditchina.gov.cn" </w:instrText>
      </w:r>
      <w:r>
        <w:fldChar w:fldCharType="separate"/>
      </w:r>
      <w:r>
        <w:rPr>
          <w:rFonts w:hint="eastAsia" w:ascii="宋体" w:hAnsi="宋体" w:cs="宋体"/>
          <w:sz w:val="21"/>
          <w:szCs w:val="21"/>
        </w:rPr>
        <w:t>www.creditchina.gov.cn</w:t>
      </w:r>
      <w:r>
        <w:rPr>
          <w:rFonts w:hint="eastAsia" w:ascii="宋体" w:hAnsi="宋体" w:cs="宋体"/>
          <w:sz w:val="21"/>
          <w:szCs w:val="21"/>
        </w:rPr>
        <w:fldChar w:fldCharType="end"/>
      </w:r>
      <w:r>
        <w:rPr>
          <w:rFonts w:hint="eastAsia" w:ascii="宋体" w:hAnsi="宋体" w:cs="宋体"/>
          <w:sz w:val="21"/>
          <w:szCs w:val="21"/>
        </w:rPr>
        <w:t>)列入失信被执行人、重大税收违法案件当事人名单或被“中国政府采购网”(</w:t>
      </w:r>
      <w:r>
        <w:fldChar w:fldCharType="begin"/>
      </w:r>
      <w:r>
        <w:instrText xml:space="preserve"> HYPERLINK "http://www.ccgp.gov.cn" </w:instrText>
      </w:r>
      <w:r>
        <w:fldChar w:fldCharType="separate"/>
      </w:r>
      <w:r>
        <w:rPr>
          <w:rFonts w:hint="eastAsia" w:ascii="宋体" w:hAnsi="宋体" w:cs="宋体"/>
          <w:sz w:val="21"/>
          <w:szCs w:val="21"/>
        </w:rPr>
        <w:t>www.ccgp.gov.cn</w:t>
      </w:r>
      <w:r>
        <w:rPr>
          <w:rFonts w:hint="eastAsia" w:ascii="宋体" w:hAnsi="宋体" w:cs="宋体"/>
          <w:sz w:val="21"/>
          <w:szCs w:val="21"/>
        </w:rPr>
        <w:fldChar w:fldCharType="end"/>
      </w:r>
      <w:r>
        <w:rPr>
          <w:rFonts w:hint="eastAsia" w:ascii="宋体" w:hAnsi="宋体" w:cs="宋体"/>
          <w:sz w:val="21"/>
          <w:szCs w:val="21"/>
        </w:rPr>
        <w:t>)列入政府采购严重违法失信行为记录名单等存在不良信用记录的投标人将被拒绝参加本项目采购活动。具体以投标截止当日招标代理机构在上述两个网站上查询到的信息为准。</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两个以上的自然人、法人或者其他组织组成一个联合体，以一个投标人的身份共同参加政府采购活动的，将对所有联合体成员进行信用记录查询，联合体成员存在不良信用记录的，视同联合体存在不良信用记录。</w:t>
      </w:r>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b/>
          <w:sz w:val="21"/>
          <w:szCs w:val="21"/>
        </w:rPr>
      </w:pPr>
      <w:r>
        <w:rPr>
          <w:rFonts w:hint="eastAsia" w:ascii="宋体" w:hAnsi="宋体" w:cs="宋体"/>
          <w:b/>
          <w:sz w:val="21"/>
          <w:szCs w:val="21"/>
        </w:rPr>
        <w:t>（十一）质疑与投诉</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投标人认为招标文件、招标过程或中标结果使自己的合法权益受到损害的，应当在知道或者应知其权益受到损害之日起七个工作日内，以书面形式向招标人、招标代理机构提出质疑，逾期提出的，招标人与招标代理机构可以不予受理、答复。“知道或者应知其权益受到损害之日”是指：</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（1）对招标文件提出质疑的，为招标公告期限届满之日（公告期限为公告发布后5个工作日，不含发布当日）；</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（2）对采购过程提出质疑的，为各招标程序环节结束之日；</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（3）对评标结果提出质疑的，为中标结果公告期限届满之日（公告期限为公告发布后1个工作日，不含发布当日）。</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质疑、投诉应当采用书面形式，其中质疑书、投诉书均应当明确阐述招标文件、招标过程或者中标结果中使自己合法权益受到损害的实质性内容，并提供相关事实、依据和证据及其来源或线索，便于有关单位调查、答复和处理。</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质疑（投诉）函应载明质疑（投诉）人全称、地址、邮编、传真、联系人、联系电话，电子邮箱；联系人必须为投标人的在职职工，须提供法定代表人授权文件、法定代表人及联系人的身份证复印件、以及投标人为该联系人缴纳的社保凭证，联系人为法定代表人的须提供法定代表人资格证明及身份证复印件；质疑（投诉）函必须有联系人署名且加盖公章，否则不予受理（一式三份）。</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4、质疑、投诉函以电子邮件或传真形式提交的，还须在提交后以邮寄的方式提交质疑书纸质原件，以实际收到原件之日作为收到质疑之日。</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5、未按上述要求提供的质疑（投诉）函，采购组织机构有权不予受理。</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6、质疑投标人对招标人、招标代理机构的答复不满意或者招标人、招标代理机构未在规定时间内作出答复的，可以在答复期满后十五个工作日内向同级采购监管部门投诉。</w:t>
      </w:r>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sz w:val="21"/>
          <w:szCs w:val="21"/>
        </w:rPr>
      </w:pPr>
      <w:r>
        <w:rPr>
          <w:rFonts w:hint="eastAsia" w:ascii="宋体" w:hAnsi="宋体" w:cs="宋体"/>
          <w:b/>
          <w:sz w:val="21"/>
          <w:szCs w:val="21"/>
        </w:rPr>
        <w:t>（十二）其他注意事项</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见本须知“前附表”，同时还需注意以下事项：</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1、法定代表人授权代表须为</w:t>
      </w:r>
      <w:r>
        <w:rPr>
          <w:rFonts w:hint="eastAsia" w:ascii="宋体" w:hAnsi="宋体" w:cs="宋体"/>
          <w:b/>
          <w:bCs/>
          <w:sz w:val="21"/>
          <w:szCs w:val="21"/>
        </w:rPr>
        <w:t>投标人</w:t>
      </w:r>
      <w:r>
        <w:rPr>
          <w:rFonts w:hint="eastAsia" w:ascii="宋体" w:hAnsi="宋体" w:cs="宋体"/>
          <w:b/>
          <w:sz w:val="21"/>
          <w:szCs w:val="21"/>
        </w:rPr>
        <w:t>在职职工</w:t>
      </w:r>
      <w:r>
        <w:rPr>
          <w:rFonts w:hint="eastAsia" w:ascii="宋体" w:hAnsi="宋体" w:cs="宋体"/>
          <w:sz w:val="21"/>
          <w:szCs w:val="21"/>
        </w:rPr>
        <w:t>，投标人须在投标文件中提供附有该授权代表为投标人</w:t>
      </w:r>
      <w:r>
        <w:rPr>
          <w:rFonts w:hint="eastAsia" w:ascii="宋体" w:hAnsi="宋体" w:cs="宋体"/>
          <w:b/>
          <w:sz w:val="21"/>
          <w:szCs w:val="21"/>
        </w:rPr>
        <w:t>在职员工相关证明文件（如投标人为该员工缴纳的社保记录或劳务合同等）</w:t>
      </w:r>
      <w:r>
        <w:rPr>
          <w:rFonts w:hint="eastAsia" w:ascii="宋体" w:hAnsi="宋体" w:cs="宋体"/>
          <w:sz w:val="21"/>
          <w:szCs w:val="21"/>
        </w:rPr>
        <w:t>的《法定代表人授权书》。</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2、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3、▲投标人对所投标项内的采购内容必须全部进行投标。</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4、不论招标人、招标代理机构向投标人发送的资料文件，还是投标人提出的问题，均采用书面形式，任何口头提问及答复一律无效。</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5、若明确本项目为资格入围项目的，若出现有效投标人少于或等于入围需求家数时，将采用“末位淘汰制”，淘汰评审结果排名最后一名的投标人，其他有效投标人获得入围资格。只有二家及以下有效投标人的则重新组织招标。</w:t>
      </w:r>
    </w:p>
    <w:p>
      <w:pPr>
        <w:keepNext w:val="0"/>
        <w:keepLines w:val="0"/>
        <w:pageBreakBefore w:val="0"/>
        <w:widowControl w:val="0"/>
        <w:kinsoku/>
        <w:wordWrap/>
        <w:overflowPunct/>
        <w:topLinePunct w:val="0"/>
        <w:bidi w:val="0"/>
        <w:adjustRightInd w:val="0"/>
        <w:snapToGrid w:val="0"/>
        <w:spacing w:line="290" w:lineRule="exact"/>
        <w:ind w:firstLine="460" w:firstLineChars="218"/>
        <w:textAlignment w:val="auto"/>
        <w:rPr>
          <w:rFonts w:ascii="宋体" w:hAnsi="宋体" w:cs="宋体"/>
          <w:b/>
          <w:sz w:val="21"/>
          <w:szCs w:val="21"/>
        </w:rPr>
      </w:pPr>
      <w:r>
        <w:rPr>
          <w:rFonts w:hint="eastAsia" w:ascii="宋体" w:hAnsi="宋体" w:cs="宋体"/>
          <w:b/>
          <w:sz w:val="21"/>
          <w:szCs w:val="21"/>
        </w:rPr>
        <w:t>6、招标文件中所涉及的产品品牌或型号均为建议性要求或为档次选择要求或为代替部分技术指标描述，投标人可以选择其他品牌型号的产品参加投标，但投标产品须具有相当于或优于招标文件要求的指标、性能、档次。否则，评审小组将可能对其作出不利的评审。</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7、▲投标人应保证所投产品整体或其任一部分，均免受第三方提出的侵犯其专利权、商标权、著作权或其他知识产权的起诉。投标人应承担由此可能产生的一切法律责任和费用。</w:t>
      </w:r>
    </w:p>
    <w:p>
      <w:pPr>
        <w:keepNext w:val="0"/>
        <w:keepLines w:val="0"/>
        <w:pageBreakBefore w:val="0"/>
        <w:widowControl w:val="0"/>
        <w:kinsoku/>
        <w:wordWrap/>
        <w:overflowPunct/>
        <w:topLinePunct w:val="0"/>
        <w:bidi w:val="0"/>
        <w:adjustRightInd w:val="0"/>
        <w:snapToGrid w:val="0"/>
        <w:spacing w:line="290" w:lineRule="exact"/>
        <w:ind w:firstLine="457" w:firstLineChars="218"/>
        <w:textAlignment w:val="auto"/>
        <w:rPr>
          <w:rFonts w:ascii="宋体" w:hAnsi="宋体" w:cs="宋体"/>
          <w:sz w:val="21"/>
          <w:szCs w:val="21"/>
        </w:rPr>
      </w:pPr>
      <w:r>
        <w:rPr>
          <w:rFonts w:hint="eastAsia" w:ascii="宋体" w:hAnsi="宋体" w:cs="宋体"/>
          <w:sz w:val="21"/>
          <w:szCs w:val="21"/>
        </w:rPr>
        <w:t>8、若本须知“前附表”规定允许进口产品投标且该货物需从中华人民共和国境外提供的，货物的最终用户须为招标人，投标人应委托招标人指定机构或者经招标人同意后自行委托具有进出口代理权的机构办理相关进口事宜，并承担因此产生的所有费用。</w:t>
      </w:r>
    </w:p>
    <w:p>
      <w:pPr>
        <w:keepNext w:val="0"/>
        <w:keepLines w:val="0"/>
        <w:pageBreakBefore w:val="0"/>
        <w:widowControl w:val="0"/>
        <w:kinsoku/>
        <w:wordWrap/>
        <w:overflowPunct/>
        <w:topLinePunct w:val="0"/>
        <w:bidi w:val="0"/>
        <w:adjustRightInd w:val="0"/>
        <w:snapToGrid w:val="0"/>
        <w:spacing w:line="290" w:lineRule="exact"/>
        <w:textAlignment w:val="auto"/>
        <w:outlineLvl w:val="2"/>
        <w:rPr>
          <w:rFonts w:ascii="宋体" w:hAnsi="宋体" w:cs="宋体"/>
          <w:b/>
          <w:sz w:val="21"/>
          <w:szCs w:val="21"/>
        </w:rPr>
      </w:pPr>
      <w:r>
        <w:rPr>
          <w:rFonts w:hint="eastAsia" w:ascii="宋体" w:hAnsi="宋体" w:cs="宋体"/>
          <w:b/>
          <w:sz w:val="21"/>
          <w:szCs w:val="21"/>
        </w:rPr>
        <w:t>（十三）保密</w:t>
      </w:r>
    </w:p>
    <w:p>
      <w:pPr>
        <w:keepNext w:val="0"/>
        <w:keepLines w:val="0"/>
        <w:pageBreakBefore w:val="0"/>
        <w:widowControl w:val="0"/>
        <w:kinsoku/>
        <w:wordWrap/>
        <w:overflowPunct/>
        <w:topLinePunct w:val="0"/>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参与招标投标活动的各方应对招标文件和投标文件中的商业和技术等秘密保密，违者应对此造成的后果承担法律责任。</w:t>
      </w:r>
    </w:p>
    <w:bookmarkEnd w:id="46"/>
    <w:p>
      <w:pPr>
        <w:keepNext w:val="0"/>
        <w:keepLines w:val="0"/>
        <w:pageBreakBefore w:val="0"/>
        <w:widowControl w:val="0"/>
        <w:kinsoku/>
        <w:wordWrap/>
        <w:overflowPunct/>
        <w:topLinePunct w:val="0"/>
        <w:bidi w:val="0"/>
        <w:adjustRightInd w:val="0"/>
        <w:snapToGrid w:val="0"/>
        <w:spacing w:line="290" w:lineRule="exact"/>
        <w:jc w:val="center"/>
        <w:textAlignment w:val="auto"/>
        <w:outlineLvl w:val="9"/>
        <w:rPr>
          <w:rFonts w:ascii="宋体" w:hAnsi="宋体" w:cs="宋体"/>
          <w:b/>
          <w:sz w:val="21"/>
          <w:szCs w:val="21"/>
        </w:rPr>
      </w:pPr>
      <w:bookmarkStart w:id="47" w:name="_Toc9352"/>
      <w:bookmarkStart w:id="48" w:name="_Toc233618973"/>
      <w:bookmarkStart w:id="49" w:name="_Toc522530042"/>
    </w:p>
    <w:p>
      <w:pPr>
        <w:pageBreakBefore w:val="0"/>
        <w:kinsoku/>
        <w:wordWrap/>
        <w:overflowPunct/>
        <w:topLinePunct w:val="0"/>
        <w:bidi w:val="0"/>
        <w:adjustRightInd w:val="0"/>
        <w:snapToGrid w:val="0"/>
        <w:spacing w:line="290" w:lineRule="exact"/>
        <w:jc w:val="center"/>
        <w:textAlignment w:val="auto"/>
        <w:outlineLvl w:val="1"/>
        <w:rPr>
          <w:rFonts w:ascii="宋体" w:hAnsi="宋体"/>
          <w:b/>
          <w:sz w:val="30"/>
          <w:szCs w:val="30"/>
        </w:rPr>
      </w:pPr>
      <w:bookmarkStart w:id="50" w:name="_Toc16200"/>
      <w:bookmarkStart w:id="51" w:name="_Toc2228"/>
      <w:bookmarkStart w:id="52" w:name="_Toc3400"/>
      <w:r>
        <w:rPr>
          <w:rFonts w:hint="eastAsia" w:ascii="宋体" w:hAnsi="宋体"/>
          <w:b/>
          <w:sz w:val="30"/>
          <w:szCs w:val="30"/>
        </w:rPr>
        <w:t>二、招标文件</w:t>
      </w:r>
      <w:bookmarkEnd w:id="47"/>
      <w:bookmarkEnd w:id="48"/>
      <w:bookmarkEnd w:id="49"/>
      <w:bookmarkEnd w:id="50"/>
      <w:bookmarkEnd w:id="51"/>
      <w:bookmarkEnd w:id="52"/>
    </w:p>
    <w:p>
      <w:pPr>
        <w:pStyle w:val="11"/>
        <w:keepNext w:val="0"/>
        <w:keepLines w:val="0"/>
        <w:pageBreakBefore w:val="0"/>
        <w:widowControl w:val="0"/>
        <w:kinsoku/>
        <w:wordWrap/>
        <w:overflowPunct/>
        <w:topLinePunct w:val="0"/>
        <w:autoSpaceDE/>
        <w:autoSpaceDN/>
        <w:bidi w:val="0"/>
        <w:adjustRightInd w:val="0"/>
        <w:snapToGrid w:val="0"/>
        <w:spacing w:line="290" w:lineRule="exact"/>
        <w:textAlignment w:val="auto"/>
        <w:outlineLvl w:val="2"/>
        <w:rPr>
          <w:rFonts w:hAnsi="宋体" w:cs="宋体"/>
          <w:b/>
          <w:szCs w:val="21"/>
        </w:rPr>
      </w:pPr>
      <w:bookmarkStart w:id="53" w:name="_Toc91899880"/>
      <w:bookmarkStart w:id="54" w:name="_Hlt74730307"/>
      <w:r>
        <w:rPr>
          <w:rFonts w:hint="eastAsia" w:hAnsi="宋体" w:cs="宋体"/>
          <w:b/>
          <w:szCs w:val="21"/>
        </w:rPr>
        <w:t>（一）招标文件的</w:t>
      </w:r>
      <w:bookmarkEnd w:id="53"/>
      <w:r>
        <w:rPr>
          <w:rFonts w:hint="eastAsia" w:hAnsi="宋体" w:cs="宋体"/>
          <w:b/>
          <w:szCs w:val="21"/>
        </w:rPr>
        <w:t>组成</w:t>
      </w:r>
    </w:p>
    <w:bookmarkEnd w:id="54"/>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 招标文件包括下列文件及附件</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第一部分  招标公告</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第二部分  投标人须知</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第三部分  项目技术及服务要求</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第四部分  合同文本</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第五部分  投标文件部分格式文件</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第六部分  评分办法</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补充文件（如果有，包括相关的补充、更正、澄清公告和文件）</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其他附件（如果有，如图纸等）</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2、投标人应认真审阅上述招标文件组成中所有的内容。如果投标人编制的投标文件没有从实质上响应招标文件的要求，其投标文件将被拒绝。</w:t>
      </w:r>
    </w:p>
    <w:p>
      <w:pPr>
        <w:pStyle w:val="11"/>
        <w:keepNext w:val="0"/>
        <w:keepLines w:val="0"/>
        <w:pageBreakBefore w:val="0"/>
        <w:widowControl w:val="0"/>
        <w:kinsoku/>
        <w:wordWrap/>
        <w:overflowPunct/>
        <w:topLinePunct w:val="0"/>
        <w:autoSpaceDE/>
        <w:autoSpaceDN/>
        <w:bidi w:val="0"/>
        <w:adjustRightInd w:val="0"/>
        <w:snapToGrid w:val="0"/>
        <w:spacing w:line="290" w:lineRule="exact"/>
        <w:textAlignment w:val="auto"/>
        <w:outlineLvl w:val="2"/>
        <w:rPr>
          <w:rFonts w:hAnsi="宋体" w:cs="宋体"/>
          <w:b/>
          <w:szCs w:val="21"/>
        </w:rPr>
      </w:pPr>
      <w:r>
        <w:rPr>
          <w:rFonts w:hint="eastAsia" w:hAnsi="宋体" w:cs="宋体"/>
          <w:b/>
          <w:szCs w:val="21"/>
        </w:rPr>
        <w:t>（二）招标文件的解释</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1、投标人一旦参与本次招标活动，即被视为接受了本招标文件的所有内容，如有任何异议，均应在答疑截止时间前提出。</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招标文件澄清、答复、修改、补充等书面内容均作为招标文件的补充文件，是招标文件的组成部分，将以传真、网上公告、电子邮件等形式书面告知所有购买招标文件的投标人，并对所有投标人均有约束力。当招标文件与补充文件就同一内容的表述不一致时，以最后发出的书面文件为准。</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3、招标文件的解释权归招标人、招标代理机构所有。</w:t>
      </w:r>
    </w:p>
    <w:p>
      <w:pPr>
        <w:keepNext w:val="0"/>
        <w:keepLines w:val="0"/>
        <w:pageBreakBefore w:val="0"/>
        <w:widowControl w:val="0"/>
        <w:tabs>
          <w:tab w:val="left" w:pos="3780"/>
        </w:tabs>
        <w:kinsoku/>
        <w:wordWrap/>
        <w:overflowPunct/>
        <w:topLinePunct w:val="0"/>
        <w:autoSpaceDE/>
        <w:autoSpaceDN/>
        <w:bidi w:val="0"/>
        <w:spacing w:line="290" w:lineRule="exact"/>
        <w:textAlignment w:val="auto"/>
        <w:outlineLvl w:val="2"/>
        <w:rPr>
          <w:rFonts w:ascii="宋体" w:hAnsi="宋体" w:cs="宋体"/>
          <w:b/>
          <w:sz w:val="21"/>
          <w:szCs w:val="21"/>
        </w:rPr>
      </w:pPr>
      <w:r>
        <w:rPr>
          <w:rFonts w:hint="eastAsia" w:ascii="宋体" w:hAnsi="宋体" w:cs="宋体"/>
          <w:b/>
          <w:sz w:val="21"/>
          <w:szCs w:val="21"/>
        </w:rPr>
        <w:t>（三）招标文件的澄清</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投标人对招标文件如有疑问要求澄清，或认为有必要与招标人、招标代理机构进行技术交流的，投标人需将书面资料（《（项目名称）询问函》）在招标公告规定的询问截止时间前（对补充文件如有疑问要求澄清的，应在24小时内）以书面形式送达至招标代理机构，并与招标代理机构进行确认。招标代理机构有权对逾期收到疑问将不予受理、答复。</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2、投标人要求澄清的资料应写明投标人全称、地址、邮编、传真、联系人、联系电话、电子邮箱、询疑日期并加盖投标人公章。</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 如有必要，招标人和招标代理机构对投标人所有要求澄清的问题都予以书面解答，澄清答复的文件为招标补充文件，作为招标文件的组成部分。</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4、 投标人在招标文件规定的询疑截止时间前内未对招标文件提出疑问的，招标代理机构将视其对招标文件无异议。</w:t>
      </w:r>
    </w:p>
    <w:p>
      <w:pPr>
        <w:pStyle w:val="11"/>
        <w:keepNext w:val="0"/>
        <w:keepLines w:val="0"/>
        <w:pageBreakBefore w:val="0"/>
        <w:widowControl w:val="0"/>
        <w:kinsoku/>
        <w:wordWrap/>
        <w:overflowPunct/>
        <w:topLinePunct w:val="0"/>
        <w:autoSpaceDE/>
        <w:autoSpaceDN/>
        <w:bidi w:val="0"/>
        <w:adjustRightInd w:val="0"/>
        <w:snapToGrid w:val="0"/>
        <w:spacing w:line="290" w:lineRule="exact"/>
        <w:textAlignment w:val="auto"/>
        <w:outlineLvl w:val="2"/>
        <w:rPr>
          <w:rFonts w:hAnsi="宋体" w:cs="宋体"/>
          <w:b/>
          <w:szCs w:val="21"/>
        </w:rPr>
      </w:pPr>
      <w:r>
        <w:rPr>
          <w:rFonts w:hint="eastAsia" w:hAnsi="宋体" w:cs="宋体"/>
          <w:b/>
          <w:szCs w:val="21"/>
        </w:rPr>
        <w:t>（四）招标文件的修改</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1、由于各种原因招标人可能在投标截止时间前以澄清、答复、修改、补充文件的形式修改完善招标文件。</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澄清、答复、修改、补充文件发出后，原则上不改变招标文件规定的投标截止时间及开标时间。投标人如认为澄清、答复、修改、补充文件内容影响投标文件编制，须延长投标截止时间的，必须在收到澄清、答复、修改、补充文件后 24 小时内将意见和理由以书面形式向招标代理机构提出，否则，招标代理机构视投标人完全接受并有足够的时间编制投标文件且按规定时间进行投标。</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3、投标人在收到澄清、答复、修改、补充文件后，应在 24 小时内以书面形式向招标代理机构确认已收到该澄清、答复、修改、补充文件，逾期未确认的招标代理机构有权视其已收到。对澄清、答复、修改、补充文件如有疑问要求澄清，应在 24 小时内将书面送达招标代理机构，并与招标代理机构进行确认，逾期提出的，招标代理机构可不予受理。如有必要，招标代理机构将以书面形式回复询疑人。</w:t>
      </w:r>
    </w:p>
    <w:p>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outlineLvl w:val="9"/>
        <w:rPr>
          <w:rFonts w:ascii="宋体" w:hAnsi="宋体" w:cs="宋体"/>
          <w:b/>
          <w:sz w:val="21"/>
          <w:szCs w:val="21"/>
        </w:rPr>
      </w:pPr>
      <w:bookmarkStart w:id="55" w:name="_Toc522530043"/>
      <w:bookmarkStart w:id="56" w:name="_Toc20674"/>
      <w:bookmarkStart w:id="57" w:name="_Toc233618974"/>
      <w:bookmarkStart w:id="58" w:name="_Toc91899884"/>
    </w:p>
    <w:p>
      <w:pPr>
        <w:pageBreakBefore w:val="0"/>
        <w:kinsoku/>
        <w:wordWrap/>
        <w:overflowPunct/>
        <w:topLinePunct w:val="0"/>
        <w:bidi w:val="0"/>
        <w:adjustRightInd w:val="0"/>
        <w:snapToGrid w:val="0"/>
        <w:spacing w:line="290" w:lineRule="exact"/>
        <w:jc w:val="center"/>
        <w:textAlignment w:val="auto"/>
        <w:outlineLvl w:val="1"/>
        <w:rPr>
          <w:rFonts w:ascii="宋体" w:hAnsi="宋体"/>
          <w:b/>
          <w:sz w:val="30"/>
          <w:szCs w:val="30"/>
        </w:rPr>
      </w:pPr>
      <w:bookmarkStart w:id="59" w:name="_Toc26708"/>
      <w:bookmarkStart w:id="60" w:name="_Toc4628"/>
      <w:bookmarkStart w:id="61" w:name="_Toc20946"/>
      <w:r>
        <w:rPr>
          <w:rFonts w:hint="eastAsia" w:ascii="宋体" w:hAnsi="宋体"/>
          <w:b/>
          <w:sz w:val="30"/>
          <w:szCs w:val="30"/>
        </w:rPr>
        <w:t>三、投标文件</w:t>
      </w:r>
      <w:bookmarkEnd w:id="55"/>
      <w:bookmarkEnd w:id="56"/>
      <w:bookmarkEnd w:id="57"/>
      <w:bookmarkEnd w:id="58"/>
      <w:bookmarkEnd w:id="59"/>
      <w:bookmarkEnd w:id="60"/>
      <w:bookmarkEnd w:id="61"/>
    </w:p>
    <w:p>
      <w:pPr>
        <w:pStyle w:val="29"/>
        <w:pageBreakBefore w:val="0"/>
        <w:kinsoku/>
        <w:wordWrap/>
        <w:overflowPunct/>
        <w:topLinePunct w:val="0"/>
        <w:autoSpaceDE/>
        <w:autoSpaceDN/>
        <w:bidi w:val="0"/>
        <w:adjustRightInd w:val="0"/>
        <w:snapToGrid w:val="0"/>
        <w:spacing w:line="290" w:lineRule="exact"/>
        <w:ind w:firstLine="0" w:firstLineChars="0"/>
        <w:textAlignment w:val="auto"/>
        <w:outlineLvl w:val="2"/>
        <w:rPr>
          <w:rFonts w:ascii="宋体" w:hAnsi="宋体"/>
          <w:kern w:val="0"/>
          <w:sz w:val="21"/>
          <w:szCs w:val="21"/>
          <w:lang w:val="zh-CN"/>
        </w:rPr>
      </w:pPr>
      <w:r>
        <w:rPr>
          <w:rFonts w:hint="eastAsia" w:ascii="宋体" w:hAnsi="宋体"/>
          <w:b/>
          <w:sz w:val="21"/>
          <w:szCs w:val="21"/>
        </w:rPr>
        <w:t>（一）投标文件的编制</w:t>
      </w:r>
    </w:p>
    <w:p>
      <w:pPr>
        <w:pageBreakBefore w:val="0"/>
        <w:kinsoku/>
        <w:wordWrap/>
        <w:overflowPunct/>
        <w:topLinePunct w:val="0"/>
        <w:autoSpaceDE/>
        <w:autoSpaceDN/>
        <w:bidi w:val="0"/>
        <w:spacing w:line="290" w:lineRule="exact"/>
        <w:ind w:firstLine="422" w:firstLineChars="200"/>
        <w:textAlignment w:val="auto"/>
        <w:rPr>
          <w:rFonts w:ascii="宋体" w:hAnsi="宋体" w:cs="Arial"/>
          <w:b/>
          <w:sz w:val="21"/>
          <w:szCs w:val="21"/>
        </w:rPr>
      </w:pPr>
      <w:r>
        <w:rPr>
          <w:rFonts w:hint="eastAsia" w:ascii="宋体" w:hAnsi="宋体" w:cs="Arial"/>
          <w:b/>
          <w:kern w:val="0"/>
          <w:sz w:val="21"/>
          <w:szCs w:val="21"/>
        </w:rPr>
        <w:t>1、</w:t>
      </w:r>
      <w:r>
        <w:rPr>
          <w:rFonts w:hint="eastAsia" w:ascii="宋体" w:hAnsi="宋体" w:cs="Arial"/>
          <w:b/>
          <w:sz w:val="21"/>
          <w:szCs w:val="21"/>
        </w:rPr>
        <w:t>本项目通过“政府采购云平台（</w:t>
      </w:r>
      <w:r>
        <w:rPr>
          <w:rFonts w:ascii="宋体" w:hAnsi="宋体" w:cs="Arial"/>
          <w:b/>
          <w:sz w:val="21"/>
          <w:szCs w:val="21"/>
        </w:rPr>
        <w:t>www.</w:t>
      </w:r>
      <w:r>
        <w:rPr>
          <w:rFonts w:hint="eastAsia" w:ascii="宋体" w:hAnsi="宋体" w:cs="Arial"/>
          <w:b/>
          <w:sz w:val="21"/>
          <w:szCs w:val="21"/>
        </w:rPr>
        <w:t>zcy</w:t>
      </w:r>
      <w:r>
        <w:rPr>
          <w:rFonts w:ascii="宋体" w:hAnsi="宋体" w:cs="Arial"/>
          <w:b/>
          <w:sz w:val="21"/>
          <w:szCs w:val="21"/>
        </w:rPr>
        <w:t>gov.cn</w:t>
      </w:r>
      <w:r>
        <w:rPr>
          <w:rFonts w:hint="eastAsia" w:ascii="宋体" w:hAnsi="宋体" w:cs="Arial"/>
          <w:b/>
          <w:sz w:val="21"/>
          <w:szCs w:val="21"/>
        </w:rPr>
        <w:t>）”实行在线投标响应（电子投标）。投标人应通过“政采云电子交易客户端”，并按照本招标文件和“政府采购云平台”的要求编制并加密投标文件并进行关联定位。</w:t>
      </w:r>
    </w:p>
    <w:p>
      <w:pPr>
        <w:pageBreakBefore w:val="0"/>
        <w:kinsoku/>
        <w:wordWrap/>
        <w:overflowPunct/>
        <w:topLinePunct w:val="0"/>
        <w:autoSpaceDE/>
        <w:autoSpaceDN/>
        <w:bidi w:val="0"/>
        <w:spacing w:line="290" w:lineRule="exact"/>
        <w:ind w:firstLine="369" w:firstLineChars="175"/>
        <w:textAlignment w:val="auto"/>
        <w:rPr>
          <w:rFonts w:ascii="宋体" w:hAnsi="宋体" w:cs="Arial"/>
          <w:b/>
          <w:kern w:val="0"/>
          <w:sz w:val="21"/>
          <w:szCs w:val="21"/>
        </w:rPr>
      </w:pPr>
      <w:r>
        <w:rPr>
          <w:rFonts w:hint="eastAsia" w:ascii="宋体" w:hAnsi="宋体" w:cs="Arial"/>
          <w:b/>
          <w:kern w:val="0"/>
          <w:sz w:val="21"/>
          <w:szCs w:val="21"/>
        </w:rPr>
        <w:t>2、投标人应当按照</w:t>
      </w:r>
      <w:r>
        <w:rPr>
          <w:rFonts w:ascii="宋体" w:hAnsi="宋体" w:cs="Arial"/>
          <w:b/>
          <w:kern w:val="0"/>
          <w:sz w:val="21"/>
          <w:szCs w:val="21"/>
        </w:rPr>
        <w:t>本</w:t>
      </w:r>
      <w:r>
        <w:rPr>
          <w:rFonts w:hint="eastAsia" w:ascii="宋体" w:hAnsi="宋体" w:cs="Arial"/>
          <w:b/>
          <w:kern w:val="0"/>
          <w:sz w:val="21"/>
          <w:szCs w:val="21"/>
        </w:rPr>
        <w:t>章节 “投标文件组成”规定的内容及顺序在“政采云电子交易客户端”编制投标文件。其中《资格文件》和《商务技术文件》中不得出现本项目投标报价，如因投标人原因提前泄露投标报价，是投标人的责任。</w:t>
      </w:r>
    </w:p>
    <w:p>
      <w:pPr>
        <w:pageBreakBefore w:val="0"/>
        <w:kinsoku/>
        <w:wordWrap/>
        <w:overflowPunct/>
        <w:topLinePunct w:val="0"/>
        <w:autoSpaceDE/>
        <w:autoSpaceDN/>
        <w:bidi w:val="0"/>
        <w:spacing w:line="290" w:lineRule="exact"/>
        <w:ind w:firstLine="369" w:firstLineChars="175"/>
        <w:textAlignment w:val="auto"/>
        <w:rPr>
          <w:rFonts w:ascii="宋体" w:hAnsi="宋体"/>
          <w:b/>
          <w:sz w:val="21"/>
          <w:szCs w:val="21"/>
        </w:rPr>
      </w:pPr>
      <w:r>
        <w:rPr>
          <w:rFonts w:hint="eastAsia" w:ascii="宋体" w:hAnsi="宋体"/>
          <w:b/>
          <w:sz w:val="21"/>
          <w:szCs w:val="21"/>
        </w:rPr>
        <w:t>3、本文件《第五部分  投标文件部分格式文件》中有</w:t>
      </w:r>
      <w:r>
        <w:rPr>
          <w:rFonts w:ascii="宋体" w:hAnsi="宋体"/>
          <w:b/>
          <w:sz w:val="21"/>
          <w:szCs w:val="21"/>
        </w:rPr>
        <w:t>提供格式的，</w:t>
      </w:r>
      <w:r>
        <w:rPr>
          <w:rFonts w:hint="eastAsia" w:ascii="宋体" w:hAnsi="宋体"/>
          <w:b/>
          <w:sz w:val="21"/>
          <w:szCs w:val="21"/>
        </w:rPr>
        <w:t>投标人须参</w:t>
      </w:r>
      <w:r>
        <w:rPr>
          <w:rFonts w:ascii="宋体" w:hAnsi="宋体"/>
          <w:b/>
          <w:sz w:val="21"/>
          <w:szCs w:val="21"/>
        </w:rPr>
        <w:t>照格式</w:t>
      </w:r>
      <w:r>
        <w:rPr>
          <w:rFonts w:hint="eastAsia" w:ascii="宋体" w:hAnsi="宋体"/>
          <w:b/>
          <w:sz w:val="21"/>
          <w:szCs w:val="21"/>
        </w:rPr>
        <w:t>进行编制（格式中要求提供相关证明材料的还需后附相关证明材料），并按格式要求在指定位置根据要求进行签章，否则视为未提供；本文件《第五部分  投标文件部分格式文件》</w:t>
      </w:r>
      <w:r>
        <w:rPr>
          <w:rFonts w:ascii="宋体" w:hAnsi="宋体"/>
          <w:b/>
          <w:sz w:val="21"/>
          <w:szCs w:val="21"/>
        </w:rPr>
        <w:t>未提供格式的，请各投标单位自行拟定格式</w:t>
      </w:r>
      <w:r>
        <w:rPr>
          <w:rFonts w:hint="eastAsia" w:ascii="宋体" w:hAnsi="宋体"/>
          <w:b/>
          <w:sz w:val="21"/>
          <w:szCs w:val="21"/>
        </w:rPr>
        <w:t>，并加盖单位公章并由法定代表人或其授权代表签署（签字或盖章），否则视为未提供。</w:t>
      </w:r>
    </w:p>
    <w:p>
      <w:pPr>
        <w:pageBreakBefore w:val="0"/>
        <w:kinsoku/>
        <w:wordWrap/>
        <w:overflowPunct/>
        <w:topLinePunct w:val="0"/>
        <w:autoSpaceDE/>
        <w:autoSpaceDN/>
        <w:bidi w:val="0"/>
        <w:spacing w:line="290" w:lineRule="exact"/>
        <w:ind w:firstLine="367" w:firstLineChars="175"/>
        <w:textAlignment w:val="auto"/>
        <w:rPr>
          <w:rFonts w:ascii="宋体" w:hAnsi="宋体" w:cs="Arial"/>
          <w:kern w:val="0"/>
          <w:sz w:val="21"/>
          <w:szCs w:val="21"/>
        </w:rPr>
      </w:pPr>
      <w:r>
        <w:rPr>
          <w:rFonts w:ascii="宋体" w:hAnsi="宋体" w:cs="Arial"/>
          <w:kern w:val="0"/>
          <w:sz w:val="21"/>
          <w:szCs w:val="21"/>
        </w:rPr>
        <w:t>4</w:t>
      </w:r>
      <w:r>
        <w:rPr>
          <w:rFonts w:hint="eastAsia" w:ascii="宋体" w:hAnsi="宋体" w:cs="Arial"/>
          <w:kern w:val="0"/>
          <w:sz w:val="21"/>
          <w:szCs w:val="21"/>
        </w:rPr>
        <w:t>、</w:t>
      </w:r>
      <w:r>
        <w:rPr>
          <w:rFonts w:ascii="宋体" w:hAnsi="宋体" w:cs="Arial"/>
          <w:kern w:val="0"/>
          <w:sz w:val="21"/>
          <w:szCs w:val="21"/>
        </w:rPr>
        <w:t>《投标文件》内容不完整、编排混乱导致《投标文件》被误读、漏读或者查找不到相关内容的，是</w:t>
      </w:r>
      <w:r>
        <w:rPr>
          <w:rFonts w:hint="eastAsia" w:ascii="宋体" w:hAnsi="宋体" w:cs="Arial"/>
          <w:kern w:val="0"/>
          <w:sz w:val="21"/>
          <w:szCs w:val="21"/>
        </w:rPr>
        <w:t>投标人</w:t>
      </w:r>
      <w:r>
        <w:rPr>
          <w:rFonts w:ascii="宋体" w:hAnsi="宋体" w:cs="Arial"/>
          <w:kern w:val="0"/>
          <w:sz w:val="21"/>
          <w:szCs w:val="21"/>
        </w:rPr>
        <w:t>的责任。</w:t>
      </w:r>
    </w:p>
    <w:p>
      <w:pPr>
        <w:pageBreakBefore w:val="0"/>
        <w:kinsoku/>
        <w:wordWrap/>
        <w:overflowPunct/>
        <w:topLinePunct w:val="0"/>
        <w:autoSpaceDE/>
        <w:autoSpaceDN/>
        <w:bidi w:val="0"/>
        <w:spacing w:line="290" w:lineRule="exact"/>
        <w:ind w:firstLine="420" w:firstLineChars="200"/>
        <w:textAlignment w:val="auto"/>
        <w:rPr>
          <w:rFonts w:ascii="宋体" w:hAnsi="宋体" w:cs="Arial"/>
          <w:kern w:val="0"/>
          <w:sz w:val="21"/>
          <w:szCs w:val="21"/>
        </w:rPr>
      </w:pPr>
      <w:r>
        <w:rPr>
          <w:rFonts w:ascii="宋体" w:hAnsi="宋体" w:cs="Arial"/>
          <w:kern w:val="0"/>
          <w:sz w:val="21"/>
          <w:szCs w:val="21"/>
        </w:rPr>
        <w:t>5</w:t>
      </w:r>
      <w:r>
        <w:rPr>
          <w:rFonts w:hint="eastAsia" w:ascii="宋体" w:hAnsi="宋体" w:cs="Arial"/>
          <w:kern w:val="0"/>
          <w:sz w:val="21"/>
          <w:szCs w:val="21"/>
        </w:rPr>
        <w:t>、《</w:t>
      </w:r>
      <w:r>
        <w:rPr>
          <w:rFonts w:ascii="宋体" w:hAnsi="宋体" w:cs="Arial"/>
          <w:kern w:val="0"/>
          <w:sz w:val="21"/>
          <w:szCs w:val="21"/>
        </w:rPr>
        <w:t>投标文件</w:t>
      </w:r>
      <w:r>
        <w:rPr>
          <w:rFonts w:hint="eastAsia" w:ascii="宋体" w:hAnsi="宋体" w:cs="Arial"/>
          <w:kern w:val="0"/>
          <w:sz w:val="21"/>
          <w:szCs w:val="21"/>
        </w:rPr>
        <w:t>》</w:t>
      </w:r>
      <w:r>
        <w:rPr>
          <w:rFonts w:ascii="宋体" w:hAnsi="宋体" w:cs="Arial"/>
          <w:kern w:val="0"/>
          <w:sz w:val="21"/>
          <w:szCs w:val="21"/>
        </w:rPr>
        <w:t>因字迹潦草或表达不清所引起的后果由</w:t>
      </w:r>
      <w:r>
        <w:rPr>
          <w:rFonts w:hint="eastAsia" w:ascii="宋体" w:hAnsi="宋体" w:cs="Arial"/>
          <w:kern w:val="0"/>
          <w:sz w:val="21"/>
          <w:szCs w:val="21"/>
        </w:rPr>
        <w:t>投标人</w:t>
      </w:r>
      <w:r>
        <w:rPr>
          <w:rFonts w:ascii="宋体" w:hAnsi="宋体" w:cs="Arial"/>
          <w:kern w:val="0"/>
          <w:sz w:val="21"/>
          <w:szCs w:val="21"/>
        </w:rPr>
        <w:t>负责。</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Arial"/>
          <w:kern w:val="0"/>
          <w:sz w:val="21"/>
          <w:szCs w:val="21"/>
        </w:rPr>
      </w:pPr>
      <w:r>
        <w:rPr>
          <w:rFonts w:ascii="宋体" w:hAnsi="宋体" w:cs="Arial"/>
          <w:kern w:val="0"/>
          <w:sz w:val="21"/>
          <w:szCs w:val="21"/>
        </w:rPr>
        <w:t>6</w:t>
      </w:r>
      <w:r>
        <w:rPr>
          <w:rFonts w:hint="eastAsia" w:ascii="宋体" w:hAnsi="宋体" w:cs="Arial"/>
          <w:kern w:val="0"/>
          <w:sz w:val="21"/>
          <w:szCs w:val="21"/>
        </w:rPr>
        <w:t>、投标人</w:t>
      </w:r>
      <w:r>
        <w:rPr>
          <w:rFonts w:ascii="宋体" w:hAnsi="宋体" w:cs="Arial"/>
          <w:kern w:val="0"/>
          <w:sz w:val="21"/>
          <w:szCs w:val="21"/>
        </w:rPr>
        <w:t>没有按照本</w:t>
      </w:r>
      <w:r>
        <w:rPr>
          <w:rFonts w:hint="eastAsia" w:ascii="宋体" w:hAnsi="宋体" w:cs="Arial"/>
          <w:kern w:val="0"/>
          <w:sz w:val="21"/>
          <w:szCs w:val="21"/>
        </w:rPr>
        <w:t>章节 “投标文件组成”</w:t>
      </w:r>
      <w:r>
        <w:rPr>
          <w:rFonts w:ascii="宋体" w:hAnsi="宋体" w:cs="Arial"/>
          <w:kern w:val="0"/>
          <w:sz w:val="21"/>
          <w:szCs w:val="21"/>
        </w:rPr>
        <w:t>要求提供全部资料，</w:t>
      </w:r>
      <w:r>
        <w:rPr>
          <w:rFonts w:hint="eastAsia" w:ascii="宋体" w:hAnsi="宋体" w:cs="Arial"/>
          <w:kern w:val="0"/>
          <w:sz w:val="21"/>
          <w:szCs w:val="21"/>
        </w:rPr>
        <w:t>或者没有仔细阅读招标文件，</w:t>
      </w:r>
      <w:r>
        <w:rPr>
          <w:rFonts w:ascii="宋体" w:hAnsi="宋体" w:cs="Arial"/>
          <w:kern w:val="0"/>
          <w:sz w:val="21"/>
          <w:szCs w:val="21"/>
        </w:rPr>
        <w:t>或者没有对招标文件在各方面的要求作出实质性响应是</w:t>
      </w:r>
      <w:r>
        <w:rPr>
          <w:rFonts w:hint="eastAsia" w:ascii="宋体" w:hAnsi="宋体" w:cs="Arial"/>
          <w:kern w:val="0"/>
          <w:sz w:val="21"/>
          <w:szCs w:val="21"/>
        </w:rPr>
        <w:t>投标人</w:t>
      </w:r>
      <w:r>
        <w:rPr>
          <w:rFonts w:ascii="宋体" w:hAnsi="宋体" w:cs="Arial"/>
          <w:kern w:val="0"/>
          <w:sz w:val="21"/>
          <w:szCs w:val="21"/>
        </w:rPr>
        <w:t>的风险</w:t>
      </w:r>
      <w:r>
        <w:rPr>
          <w:rFonts w:hint="eastAsia" w:ascii="宋体" w:hAnsi="宋体" w:cs="Arial"/>
          <w:kern w:val="0"/>
          <w:sz w:val="21"/>
          <w:szCs w:val="21"/>
        </w:rPr>
        <w:t>，由此造成的一切后果由投标人自行承担。</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7、投标文件必须按招标文件提供的格式签字或盖章。授权代表签字的，投标文件应附法定代表人签署的授权委托书。</w:t>
      </w:r>
    </w:p>
    <w:p>
      <w:pPr>
        <w:pStyle w:val="4"/>
        <w:pageBreakBefore w:val="0"/>
        <w:numPr>
          <w:ilvl w:val="0"/>
          <w:numId w:val="0"/>
        </w:numPr>
        <w:kinsoku/>
        <w:wordWrap/>
        <w:overflowPunct/>
        <w:topLinePunct w:val="0"/>
        <w:autoSpaceDE/>
        <w:autoSpaceDN/>
        <w:bidi w:val="0"/>
        <w:spacing w:before="0" w:after="0" w:line="290" w:lineRule="exact"/>
        <w:ind w:left="720" w:hanging="720"/>
        <w:jc w:val="both"/>
        <w:textAlignment w:val="auto"/>
        <w:rPr>
          <w:rFonts w:ascii="宋体" w:hAnsi="宋体"/>
          <w:sz w:val="21"/>
          <w:szCs w:val="21"/>
        </w:rPr>
      </w:pPr>
      <w:r>
        <w:rPr>
          <w:rFonts w:hint="eastAsia" w:hAnsi="宋体"/>
          <w:sz w:val="21"/>
          <w:szCs w:val="21"/>
        </w:rPr>
        <w:t>（二）</w:t>
      </w:r>
      <w:r>
        <w:rPr>
          <w:rFonts w:hint="eastAsia" w:ascii="宋体" w:hAnsi="宋体"/>
          <w:sz w:val="21"/>
          <w:szCs w:val="21"/>
        </w:rPr>
        <w:t>投标文件的签章</w:t>
      </w:r>
    </w:p>
    <w:p>
      <w:pPr>
        <w:pageBreakBefore w:val="0"/>
        <w:kinsoku/>
        <w:wordWrap/>
        <w:overflowPunct/>
        <w:topLinePunct w:val="0"/>
        <w:autoSpaceDE/>
        <w:autoSpaceDN/>
        <w:bidi w:val="0"/>
        <w:spacing w:line="290" w:lineRule="exact"/>
        <w:ind w:firstLine="422" w:firstLineChars="200"/>
        <w:textAlignment w:val="auto"/>
        <w:rPr>
          <w:rFonts w:ascii="宋体" w:hAnsi="宋体" w:cs="Arial"/>
          <w:b/>
          <w:sz w:val="21"/>
          <w:szCs w:val="21"/>
        </w:rPr>
      </w:pPr>
      <w:r>
        <w:rPr>
          <w:rFonts w:hint="eastAsia" w:ascii="宋体" w:hAnsi="宋体" w:cs="Arial"/>
          <w:b/>
          <w:sz w:val="21"/>
          <w:szCs w:val="21"/>
        </w:rPr>
        <w:t>1、《投标文件》的签章：见《前附表》；</w:t>
      </w:r>
    </w:p>
    <w:p>
      <w:pPr>
        <w:pageBreakBefore w:val="0"/>
        <w:kinsoku/>
        <w:wordWrap/>
        <w:overflowPunct/>
        <w:topLinePunct w:val="0"/>
        <w:autoSpaceDE/>
        <w:autoSpaceDN/>
        <w:bidi w:val="0"/>
        <w:spacing w:line="290" w:lineRule="exact"/>
        <w:ind w:firstLine="422" w:firstLineChars="200"/>
        <w:textAlignment w:val="auto"/>
        <w:rPr>
          <w:rFonts w:ascii="宋体" w:hAnsi="宋体" w:cs="Arial"/>
          <w:b/>
          <w:sz w:val="21"/>
          <w:szCs w:val="21"/>
        </w:rPr>
      </w:pPr>
      <w:r>
        <w:rPr>
          <w:rFonts w:hint="eastAsia" w:ascii="宋体" w:hAnsi="宋体" w:cs="Arial"/>
          <w:b/>
          <w:sz w:val="21"/>
          <w:szCs w:val="21"/>
        </w:rPr>
        <w:t>2、《投标文件》应由投标人法定代表人或其授权代表签字（或盖章），并时加盖投标人公章。</w:t>
      </w:r>
    </w:p>
    <w:p>
      <w:pPr>
        <w:pageBreakBefore w:val="0"/>
        <w:kinsoku/>
        <w:wordWrap/>
        <w:overflowPunct/>
        <w:topLinePunct w:val="0"/>
        <w:autoSpaceDE/>
        <w:autoSpaceDN/>
        <w:bidi w:val="0"/>
        <w:spacing w:line="290" w:lineRule="exact"/>
        <w:ind w:firstLine="422" w:firstLineChars="200"/>
        <w:textAlignment w:val="auto"/>
        <w:rPr>
          <w:rFonts w:ascii="宋体" w:hAnsi="宋体" w:cs="Arial"/>
          <w:b/>
          <w:sz w:val="21"/>
          <w:szCs w:val="21"/>
        </w:rPr>
      </w:pPr>
      <w:r>
        <w:rPr>
          <w:rFonts w:hint="eastAsia" w:ascii="宋体" w:hAnsi="宋体" w:cs="Arial"/>
          <w:b/>
          <w:sz w:val="21"/>
          <w:szCs w:val="21"/>
        </w:rPr>
        <w:t>3、电子签章操作指南详见采购公告附件《供应商项目采购-电子招投标操作指南》。</w:t>
      </w:r>
    </w:p>
    <w:p>
      <w:pPr>
        <w:pStyle w:val="11"/>
        <w:pageBreakBefore w:val="0"/>
        <w:kinsoku/>
        <w:wordWrap/>
        <w:overflowPunct/>
        <w:topLinePunct w:val="0"/>
        <w:autoSpaceDE/>
        <w:autoSpaceDN/>
        <w:bidi w:val="0"/>
        <w:adjustRightInd w:val="0"/>
        <w:snapToGrid w:val="0"/>
        <w:spacing w:line="290" w:lineRule="exact"/>
        <w:textAlignment w:val="auto"/>
        <w:outlineLvl w:val="2"/>
        <w:rPr>
          <w:rFonts w:hAnsi="宋体"/>
          <w:b/>
          <w:szCs w:val="21"/>
        </w:rPr>
      </w:pPr>
      <w:r>
        <w:rPr>
          <w:rFonts w:hint="eastAsia" w:hAnsi="宋体"/>
          <w:b/>
          <w:szCs w:val="21"/>
        </w:rPr>
        <w:t>（三）投标文件的组成</w:t>
      </w:r>
    </w:p>
    <w:p>
      <w:pPr>
        <w:pStyle w:val="11"/>
        <w:pageBreakBefore w:val="0"/>
        <w:kinsoku/>
        <w:wordWrap/>
        <w:overflowPunct/>
        <w:topLinePunct w:val="0"/>
        <w:autoSpaceDE/>
        <w:autoSpaceDN/>
        <w:bidi w:val="0"/>
        <w:adjustRightInd w:val="0"/>
        <w:snapToGrid w:val="0"/>
        <w:spacing w:line="290" w:lineRule="exact"/>
        <w:ind w:firstLine="422" w:firstLineChars="200"/>
        <w:textAlignment w:val="auto"/>
        <w:rPr>
          <w:rFonts w:hAnsi="宋体"/>
          <w:b/>
          <w:szCs w:val="21"/>
          <w:highlight w:val="none"/>
        </w:rPr>
      </w:pPr>
      <w:r>
        <w:rPr>
          <w:rFonts w:hint="eastAsia" w:hAnsi="宋体"/>
          <w:b/>
          <w:szCs w:val="21"/>
          <w:highlight w:val="none"/>
        </w:rPr>
        <w:t>1、资格文件</w:t>
      </w:r>
    </w:p>
    <w:p>
      <w:pPr>
        <w:pageBreakBefore w:val="0"/>
        <w:tabs>
          <w:tab w:val="left" w:pos="3780"/>
        </w:tabs>
        <w:kinsoku/>
        <w:wordWrap/>
        <w:overflowPunct/>
        <w:topLinePunct w:val="0"/>
        <w:autoSpaceDE/>
        <w:autoSpaceDN/>
        <w:bidi w:val="0"/>
        <w:spacing w:line="290" w:lineRule="exact"/>
        <w:ind w:firstLine="420" w:firstLineChars="200"/>
        <w:textAlignment w:val="auto"/>
        <w:rPr>
          <w:rFonts w:hint="eastAsia" w:ascii="宋体" w:hAnsi="宋体" w:eastAsia="宋体" w:cs="宋体"/>
          <w:sz w:val="21"/>
          <w:szCs w:val="21"/>
          <w:highlight w:val="none"/>
          <w:lang w:eastAsia="zh-CN"/>
        </w:rPr>
      </w:pPr>
      <w:r>
        <w:rPr>
          <w:rFonts w:hint="eastAsia" w:ascii="宋体" w:hAnsi="宋体" w:cs="宋体"/>
          <w:sz w:val="21"/>
          <w:szCs w:val="21"/>
          <w:highlight w:val="none"/>
        </w:rPr>
        <w:t>（1）资格审查材料（按第五部分格式一要求提供）</w:t>
      </w:r>
      <w:r>
        <w:rPr>
          <w:rFonts w:hint="eastAsia" w:ascii="宋体" w:hAnsi="宋体" w:cs="宋体"/>
          <w:sz w:val="21"/>
          <w:szCs w:val="21"/>
          <w:highlight w:val="none"/>
          <w:lang w:eastAsia="zh-CN"/>
        </w:rPr>
        <w:t>；</w:t>
      </w:r>
    </w:p>
    <w:p>
      <w:pPr>
        <w:pageBreakBefore w:val="0"/>
        <w:tabs>
          <w:tab w:val="left" w:pos="3780"/>
        </w:tabs>
        <w:kinsoku/>
        <w:wordWrap/>
        <w:overflowPunct/>
        <w:topLinePunct w:val="0"/>
        <w:autoSpaceDE/>
        <w:autoSpaceDN/>
        <w:bidi w:val="0"/>
        <w:spacing w:line="290" w:lineRule="exact"/>
        <w:ind w:firstLine="420" w:firstLineChars="200"/>
        <w:textAlignment w:val="auto"/>
        <w:rPr>
          <w:rFonts w:hint="eastAsia" w:ascii="宋体" w:hAnsi="宋体" w:cs="宋体"/>
          <w:sz w:val="21"/>
          <w:szCs w:val="21"/>
          <w:highlight w:val="none"/>
          <w:lang w:eastAsia="zh-CN"/>
        </w:rPr>
      </w:pPr>
      <w:r>
        <w:rPr>
          <w:rFonts w:hint="eastAsia" w:ascii="宋体" w:hAnsi="宋体" w:cs="宋体"/>
          <w:b w:val="0"/>
          <w:bCs w:val="0"/>
          <w:sz w:val="21"/>
          <w:szCs w:val="21"/>
          <w:highlight w:val="none"/>
          <w:lang w:eastAsia="zh-CN"/>
        </w:rPr>
        <w:t>（</w:t>
      </w:r>
      <w:r>
        <w:rPr>
          <w:rFonts w:hint="eastAsia" w:ascii="宋体" w:hAnsi="宋体" w:cs="宋体"/>
          <w:b w:val="0"/>
          <w:bCs w:val="0"/>
          <w:sz w:val="21"/>
          <w:szCs w:val="21"/>
          <w:highlight w:val="none"/>
          <w:lang w:val="en-US" w:eastAsia="zh-CN"/>
        </w:rPr>
        <w:t>2</w:t>
      </w:r>
      <w:r>
        <w:rPr>
          <w:rFonts w:hint="eastAsia" w:ascii="宋体" w:hAnsi="宋体" w:cs="宋体"/>
          <w:b w:val="0"/>
          <w:bCs w:val="0"/>
          <w:sz w:val="21"/>
          <w:szCs w:val="21"/>
          <w:highlight w:val="none"/>
          <w:lang w:eastAsia="zh-CN"/>
        </w:rPr>
        <w:t>）</w:t>
      </w:r>
      <w:r>
        <w:rPr>
          <w:rFonts w:hint="eastAsia" w:ascii="宋体" w:hAnsi="宋体" w:cs="宋体"/>
          <w:b w:val="0"/>
          <w:bCs w:val="0"/>
          <w:sz w:val="21"/>
          <w:szCs w:val="21"/>
          <w:highlight w:val="none"/>
        </w:rPr>
        <w:t>法定代表人身份证明或附有法定代表人身份证明及授权代表为投标人在职员工的证明文件（投标人为其缴纳的社保记录或劳务合同等）的授权委托书（格式见第五部分格式八）</w:t>
      </w:r>
      <w:r>
        <w:rPr>
          <w:rFonts w:hint="eastAsia" w:ascii="宋体" w:hAnsi="宋体" w:cs="宋体"/>
          <w:sz w:val="21"/>
          <w:szCs w:val="21"/>
          <w:highlight w:val="none"/>
          <w:lang w:eastAsia="zh-CN"/>
        </w:rPr>
        <w:t>。</w:t>
      </w:r>
    </w:p>
    <w:p>
      <w:pPr>
        <w:pStyle w:val="2"/>
        <w:ind w:firstLine="420" w:firstLineChars="200"/>
        <w:jc w:val="both"/>
        <w:rPr>
          <w:rFonts w:hint="eastAsia"/>
          <w:lang w:eastAsia="zh-CN"/>
        </w:rPr>
      </w:pPr>
      <w:bookmarkStart w:id="62" w:name="_Toc17877"/>
      <w:r>
        <w:rPr>
          <w:rFonts w:hint="eastAsia" w:ascii="宋体" w:hAnsi="宋体" w:cs="宋体"/>
          <w:b w:val="0"/>
          <w:bCs w:val="0"/>
          <w:sz w:val="21"/>
          <w:szCs w:val="21"/>
          <w:highlight w:val="none"/>
          <w:lang w:eastAsia="zh-CN"/>
        </w:rPr>
        <w:t>（</w:t>
      </w:r>
      <w:r>
        <w:rPr>
          <w:rFonts w:hint="eastAsia" w:ascii="宋体" w:hAnsi="宋体" w:cs="宋体"/>
          <w:b w:val="0"/>
          <w:bCs w:val="0"/>
          <w:sz w:val="21"/>
          <w:szCs w:val="21"/>
          <w:highlight w:val="none"/>
          <w:lang w:val="en-US" w:eastAsia="zh-CN"/>
        </w:rPr>
        <w:t>3</w:t>
      </w:r>
      <w:r>
        <w:rPr>
          <w:rFonts w:hint="eastAsia" w:ascii="宋体" w:hAnsi="宋体" w:cs="宋体"/>
          <w:b w:val="0"/>
          <w:bCs w:val="0"/>
          <w:sz w:val="21"/>
          <w:szCs w:val="21"/>
          <w:highlight w:val="none"/>
          <w:lang w:eastAsia="zh-CN"/>
        </w:rPr>
        <w:t>）</w:t>
      </w:r>
      <w:r>
        <w:rPr>
          <w:rFonts w:hint="eastAsia" w:ascii="宋体" w:hAnsi="宋体" w:cs="宋体"/>
          <w:b w:val="0"/>
          <w:bCs w:val="0"/>
          <w:sz w:val="21"/>
          <w:szCs w:val="21"/>
          <w:highlight w:val="none"/>
          <w:lang w:val="en-US" w:eastAsia="zh-CN"/>
        </w:rPr>
        <w:t>中小</w:t>
      </w:r>
      <w:bookmarkStart w:id="197" w:name="_GoBack"/>
      <w:bookmarkEnd w:id="197"/>
      <w:r>
        <w:rPr>
          <w:rFonts w:hint="eastAsia" w:ascii="宋体" w:hAnsi="宋体" w:cs="宋体"/>
          <w:b w:val="0"/>
          <w:bCs w:val="0"/>
          <w:sz w:val="21"/>
          <w:szCs w:val="21"/>
          <w:highlight w:val="none"/>
          <w:lang w:eastAsia="zh-CN"/>
        </w:rPr>
        <w:t>企业/监狱企业声明函/残疾人福利性单位声明函（如为小微（监狱）企业且提供的是本企业或其他小微（监狱）企业制造的货物的投标人填写，格式见第五部分格式九）</w:t>
      </w:r>
      <w:bookmarkEnd w:id="62"/>
      <w:r>
        <w:rPr>
          <w:rFonts w:hint="eastAsia" w:ascii="宋体" w:hAnsi="宋体" w:cs="宋体"/>
          <w:b w:val="0"/>
          <w:bCs w:val="0"/>
          <w:sz w:val="21"/>
          <w:szCs w:val="21"/>
          <w:highlight w:val="none"/>
          <w:lang w:eastAsia="zh-CN"/>
        </w:rPr>
        <w:t>。</w:t>
      </w:r>
    </w:p>
    <w:p>
      <w:pPr>
        <w:pStyle w:val="11"/>
        <w:pageBreakBefore w:val="0"/>
        <w:kinsoku/>
        <w:wordWrap/>
        <w:overflowPunct/>
        <w:topLinePunct w:val="0"/>
        <w:autoSpaceDE/>
        <w:autoSpaceDN/>
        <w:bidi w:val="0"/>
        <w:adjustRightInd w:val="0"/>
        <w:snapToGrid w:val="0"/>
        <w:spacing w:line="290" w:lineRule="exact"/>
        <w:ind w:firstLine="422" w:firstLineChars="200"/>
        <w:textAlignment w:val="auto"/>
        <w:rPr>
          <w:rFonts w:hAnsi="宋体"/>
          <w:b/>
          <w:szCs w:val="21"/>
          <w:highlight w:val="none"/>
        </w:rPr>
      </w:pPr>
      <w:r>
        <w:rPr>
          <w:rFonts w:hint="eastAsia" w:hAnsi="宋体"/>
          <w:b/>
          <w:szCs w:val="21"/>
          <w:highlight w:val="none"/>
        </w:rPr>
        <w:t>2、商务技术文件</w:t>
      </w:r>
    </w:p>
    <w:p>
      <w:pPr>
        <w:pageBreakBefore w:val="0"/>
        <w:kinsoku/>
        <w:wordWrap/>
        <w:overflowPunct/>
        <w:topLinePunct w:val="0"/>
        <w:autoSpaceDE/>
        <w:autoSpaceDN/>
        <w:bidi w:val="0"/>
        <w:spacing w:line="290" w:lineRule="exact"/>
        <w:textAlignment w:val="auto"/>
        <w:rPr>
          <w:highlight w:val="none"/>
        </w:rPr>
      </w:pPr>
      <w:r>
        <w:rPr>
          <w:rFonts w:hint="eastAsia" w:hAnsi="宋体"/>
          <w:b/>
          <w:sz w:val="21"/>
          <w:szCs w:val="21"/>
          <w:highlight w:val="none"/>
        </w:rPr>
        <w:t>2.1商务部分</w:t>
      </w:r>
    </w:p>
    <w:p>
      <w:pPr>
        <w:pageBreakBefore w:val="0"/>
        <w:tabs>
          <w:tab w:val="left" w:pos="3780"/>
        </w:tabs>
        <w:kinsoku/>
        <w:wordWrap/>
        <w:overflowPunct/>
        <w:topLinePunct w:val="0"/>
        <w:autoSpaceDE/>
        <w:autoSpaceDN/>
        <w:bidi w:val="0"/>
        <w:spacing w:line="290" w:lineRule="exact"/>
        <w:ind w:firstLine="420" w:firstLineChars="200"/>
        <w:textAlignment w:val="auto"/>
        <w:rPr>
          <w:rFonts w:hint="eastAsia" w:ascii="宋体" w:hAnsi="宋体" w:eastAsia="宋体" w:cs="宋体"/>
          <w:sz w:val="21"/>
          <w:szCs w:val="21"/>
          <w:highlight w:val="none"/>
          <w:lang w:eastAsia="zh-CN"/>
        </w:rPr>
      </w:pPr>
      <w:r>
        <w:rPr>
          <w:rFonts w:hint="eastAsia" w:ascii="宋体" w:hAnsi="宋体" w:cs="宋体"/>
          <w:sz w:val="21"/>
          <w:szCs w:val="21"/>
          <w:highlight w:val="none"/>
        </w:rPr>
        <w:t>（1）自评分表</w:t>
      </w:r>
      <w:r>
        <w:rPr>
          <w:rFonts w:hint="eastAsia" w:ascii="宋体" w:hAnsi="宋体" w:cs="宋体"/>
          <w:sz w:val="21"/>
          <w:szCs w:val="21"/>
          <w:highlight w:val="none"/>
          <w:lang w:eastAsia="zh-CN"/>
        </w:rPr>
        <w:t>；</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Arial"/>
          <w:kern w:val="0"/>
          <w:sz w:val="21"/>
          <w:szCs w:val="21"/>
          <w:highlight w:val="none"/>
        </w:rPr>
      </w:pPr>
      <w:r>
        <w:rPr>
          <w:rFonts w:hint="eastAsia" w:ascii="宋体" w:hAnsi="宋体" w:cs="宋体"/>
          <w:sz w:val="21"/>
          <w:szCs w:val="21"/>
          <w:highlight w:val="none"/>
        </w:rPr>
        <w:t>（2）</w:t>
      </w:r>
      <w:r>
        <w:rPr>
          <w:rFonts w:hint="eastAsia" w:ascii="宋体" w:hAnsi="宋体" w:cs="Arial"/>
          <w:kern w:val="0"/>
          <w:sz w:val="21"/>
          <w:szCs w:val="21"/>
          <w:highlight w:val="none"/>
        </w:rPr>
        <w:t>投标声明函（格式见第五部分格式二）；</w:t>
      </w:r>
    </w:p>
    <w:p>
      <w:pPr>
        <w:pageBreakBefore w:val="0"/>
        <w:tabs>
          <w:tab w:val="left" w:pos="3780"/>
        </w:tabs>
        <w:kinsoku/>
        <w:wordWrap/>
        <w:overflowPunct/>
        <w:topLinePunct w:val="0"/>
        <w:autoSpaceDE/>
        <w:autoSpaceDN/>
        <w:bidi w:val="0"/>
        <w:spacing w:line="290" w:lineRule="exact"/>
        <w:ind w:firstLine="420" w:firstLineChars="200"/>
        <w:textAlignment w:val="auto"/>
        <w:rPr>
          <w:rFonts w:hint="eastAsia" w:ascii="宋体" w:hAnsi="宋体" w:eastAsia="宋体" w:cs="Arial"/>
          <w:kern w:val="0"/>
          <w:sz w:val="21"/>
          <w:szCs w:val="21"/>
          <w:highlight w:val="none"/>
          <w:lang w:eastAsia="zh-CN"/>
        </w:rPr>
      </w:pPr>
      <w:r>
        <w:rPr>
          <w:rFonts w:hint="eastAsia" w:ascii="宋体" w:hAnsi="宋体" w:cs="Arial"/>
          <w:kern w:val="0"/>
          <w:sz w:val="21"/>
          <w:szCs w:val="21"/>
          <w:highlight w:val="none"/>
        </w:rPr>
        <w:t>（3）</w:t>
      </w:r>
      <w:r>
        <w:rPr>
          <w:rFonts w:hint="eastAsia" w:ascii="宋体" w:hAnsi="宋体" w:cs="宋体"/>
          <w:sz w:val="21"/>
          <w:szCs w:val="21"/>
          <w:highlight w:val="none"/>
          <w:lang w:val="en-US" w:eastAsia="zh-CN"/>
        </w:rPr>
        <w:t>技术指标响应</w:t>
      </w:r>
      <w:r>
        <w:rPr>
          <w:rFonts w:hint="eastAsia" w:ascii="宋体" w:hAnsi="宋体" w:cs="宋体"/>
          <w:sz w:val="21"/>
          <w:szCs w:val="21"/>
          <w:highlight w:val="none"/>
          <w:lang w:eastAsia="zh-CN"/>
        </w:rPr>
        <w:t>；</w:t>
      </w:r>
    </w:p>
    <w:p>
      <w:pPr>
        <w:pageBreakBefore w:val="0"/>
        <w:kinsoku/>
        <w:wordWrap/>
        <w:overflowPunct/>
        <w:topLinePunct w:val="0"/>
        <w:autoSpaceDE/>
        <w:autoSpaceDN/>
        <w:bidi w:val="0"/>
        <w:spacing w:line="290" w:lineRule="exact"/>
        <w:ind w:firstLine="420" w:firstLineChars="200"/>
        <w:textAlignment w:val="auto"/>
        <w:rPr>
          <w:rFonts w:hint="eastAsia"/>
          <w:highlight w:val="none"/>
          <w:lang w:eastAsia="zh-CN"/>
        </w:rPr>
      </w:pPr>
      <w:r>
        <w:rPr>
          <w:rFonts w:hint="eastAsia" w:ascii="宋体" w:hAnsi="宋体" w:cs="Arial"/>
          <w:kern w:val="0"/>
          <w:sz w:val="21"/>
          <w:szCs w:val="21"/>
          <w:highlight w:val="none"/>
        </w:rPr>
        <w:t>（4）</w:t>
      </w:r>
      <w:r>
        <w:rPr>
          <w:rFonts w:hint="eastAsia" w:ascii="宋体" w:hAnsi="宋体" w:cs="宋体"/>
          <w:sz w:val="21"/>
          <w:szCs w:val="21"/>
          <w:highlight w:val="none"/>
          <w:lang w:val="en-US" w:eastAsia="zh-CN"/>
        </w:rPr>
        <w:t>投标人业绩</w:t>
      </w:r>
      <w:r>
        <w:rPr>
          <w:rFonts w:hint="eastAsia" w:ascii="宋体" w:hAnsi="宋体" w:cs="Arial"/>
          <w:kern w:val="0"/>
          <w:sz w:val="21"/>
          <w:szCs w:val="21"/>
          <w:highlight w:val="none"/>
        </w:rPr>
        <w:t>（格式见第五部分格式</w:t>
      </w:r>
      <w:r>
        <w:rPr>
          <w:rFonts w:hint="eastAsia" w:ascii="宋体" w:hAnsi="宋体" w:cs="Arial"/>
          <w:kern w:val="0"/>
          <w:sz w:val="21"/>
          <w:szCs w:val="21"/>
          <w:highlight w:val="none"/>
          <w:lang w:eastAsia="zh-CN"/>
        </w:rPr>
        <w:t>三</w:t>
      </w:r>
      <w:r>
        <w:rPr>
          <w:rFonts w:hint="eastAsia" w:ascii="宋体" w:hAnsi="宋体" w:cs="Arial"/>
          <w:kern w:val="0"/>
          <w:sz w:val="21"/>
          <w:szCs w:val="21"/>
          <w:highlight w:val="none"/>
        </w:rPr>
        <w:t>）</w:t>
      </w:r>
      <w:r>
        <w:rPr>
          <w:rFonts w:hint="eastAsia" w:ascii="宋体" w:hAnsi="宋体" w:cs="Arial"/>
          <w:kern w:val="0"/>
          <w:sz w:val="21"/>
          <w:szCs w:val="21"/>
          <w:highlight w:val="none"/>
          <w:lang w:eastAsia="zh-CN"/>
        </w:rPr>
        <w:t>；</w:t>
      </w:r>
    </w:p>
    <w:p>
      <w:pPr>
        <w:pageBreakBefore w:val="0"/>
        <w:kinsoku/>
        <w:wordWrap/>
        <w:overflowPunct/>
        <w:topLinePunct w:val="0"/>
        <w:autoSpaceDE/>
        <w:autoSpaceDN/>
        <w:bidi w:val="0"/>
        <w:spacing w:line="290" w:lineRule="exact"/>
        <w:ind w:firstLine="420" w:firstLineChars="200"/>
        <w:textAlignment w:val="auto"/>
        <w:rPr>
          <w:rFonts w:hint="default" w:ascii="宋体" w:hAnsi="宋体" w:eastAsia="宋体" w:cs="Arial"/>
          <w:kern w:val="0"/>
          <w:sz w:val="21"/>
          <w:szCs w:val="21"/>
          <w:highlight w:val="none"/>
          <w:lang w:val="en-US" w:eastAsia="zh-CN"/>
        </w:rPr>
      </w:pPr>
      <w:r>
        <w:rPr>
          <w:rFonts w:hint="eastAsia" w:ascii="宋体" w:hAnsi="宋体" w:cs="Arial"/>
          <w:kern w:val="0"/>
          <w:sz w:val="21"/>
          <w:szCs w:val="21"/>
          <w:highlight w:val="none"/>
        </w:rPr>
        <w:t>（5）</w:t>
      </w:r>
      <w:r>
        <w:rPr>
          <w:rFonts w:hint="eastAsia" w:ascii="宋体" w:hAnsi="宋体" w:cs="Arial"/>
          <w:kern w:val="0"/>
          <w:sz w:val="21"/>
          <w:szCs w:val="21"/>
          <w:highlight w:val="none"/>
          <w:lang w:val="en-US" w:eastAsia="zh-CN"/>
        </w:rPr>
        <w:t>产品质量保证</w:t>
      </w:r>
    </w:p>
    <w:p>
      <w:pPr>
        <w:pageBreakBefore w:val="0"/>
        <w:kinsoku/>
        <w:wordWrap/>
        <w:overflowPunct/>
        <w:topLinePunct w:val="0"/>
        <w:autoSpaceDE/>
        <w:autoSpaceDN/>
        <w:bidi w:val="0"/>
        <w:spacing w:line="290" w:lineRule="exact"/>
        <w:ind w:firstLine="420" w:firstLineChars="200"/>
        <w:textAlignment w:val="auto"/>
        <w:rPr>
          <w:rFonts w:hint="eastAsia" w:eastAsia="宋体"/>
          <w:highlight w:val="none"/>
          <w:lang w:eastAsia="zh-CN"/>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6</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服务团队情况表</w:t>
      </w:r>
      <w:r>
        <w:rPr>
          <w:rFonts w:hint="eastAsia" w:ascii="宋体" w:hAnsi="宋体" w:cs="Arial"/>
          <w:kern w:val="0"/>
          <w:sz w:val="21"/>
          <w:szCs w:val="21"/>
          <w:highlight w:val="none"/>
        </w:rPr>
        <w:t>（格式见第五部分格式</w:t>
      </w:r>
      <w:r>
        <w:rPr>
          <w:rFonts w:hint="eastAsia" w:ascii="宋体" w:hAnsi="宋体" w:cs="Arial"/>
          <w:kern w:val="0"/>
          <w:sz w:val="21"/>
          <w:szCs w:val="21"/>
          <w:highlight w:val="none"/>
          <w:lang w:eastAsia="zh-CN"/>
        </w:rPr>
        <w:t>四</w:t>
      </w:r>
      <w:r>
        <w:rPr>
          <w:rFonts w:hint="eastAsia" w:ascii="宋体" w:hAnsi="宋体" w:cs="Arial"/>
          <w:kern w:val="0"/>
          <w:sz w:val="21"/>
          <w:szCs w:val="21"/>
          <w:highlight w:val="none"/>
        </w:rPr>
        <w:t>）</w:t>
      </w:r>
      <w:r>
        <w:rPr>
          <w:rFonts w:hint="eastAsia" w:ascii="宋体" w:hAnsi="宋体" w:cs="Arial"/>
          <w:kern w:val="0"/>
          <w:sz w:val="21"/>
          <w:szCs w:val="21"/>
          <w:highlight w:val="none"/>
          <w:lang w:eastAsia="zh-CN"/>
        </w:rPr>
        <w:t>；</w:t>
      </w:r>
    </w:p>
    <w:p>
      <w:pPr>
        <w:pStyle w:val="19"/>
        <w:pageBreakBefore w:val="0"/>
        <w:kinsoku/>
        <w:wordWrap/>
        <w:overflowPunct/>
        <w:topLinePunct w:val="0"/>
        <w:autoSpaceDE/>
        <w:autoSpaceDN/>
        <w:bidi w:val="0"/>
        <w:spacing w:line="290" w:lineRule="exact"/>
        <w:ind w:left="0" w:leftChars="0"/>
        <w:textAlignment w:val="auto"/>
        <w:rPr>
          <w:rFonts w:hint="eastAsia" w:ascii="宋体" w:hAnsi="宋体" w:eastAsia="宋体" w:cs="宋体"/>
          <w:szCs w:val="21"/>
          <w:highlight w:val="none"/>
          <w:lang w:eastAsia="zh-CN"/>
        </w:rPr>
      </w:pPr>
      <w:r>
        <w:rPr>
          <w:rFonts w:hint="eastAsia" w:ascii="宋体" w:hAnsi="宋体" w:cs="Arial"/>
          <w:kern w:val="0"/>
          <w:sz w:val="21"/>
          <w:szCs w:val="21"/>
          <w:highlight w:val="none"/>
        </w:rPr>
        <w:t>（7）</w:t>
      </w:r>
      <w:r>
        <w:rPr>
          <w:rFonts w:hint="eastAsia" w:ascii="宋体" w:hAnsi="宋体" w:eastAsia="宋体" w:cs="宋体"/>
          <w:szCs w:val="21"/>
          <w:highlight w:val="none"/>
        </w:rPr>
        <w:t>其他商务文件或说明（如有）</w:t>
      </w:r>
      <w:r>
        <w:rPr>
          <w:rFonts w:hint="eastAsia" w:ascii="宋体" w:hAnsi="宋体" w:eastAsia="宋体" w:cs="宋体"/>
          <w:szCs w:val="21"/>
          <w:highlight w:val="none"/>
          <w:lang w:eastAsia="zh-CN"/>
        </w:rPr>
        <w:t>。</w:t>
      </w:r>
    </w:p>
    <w:p>
      <w:pPr>
        <w:pageBreakBefore w:val="0"/>
        <w:kinsoku/>
        <w:wordWrap/>
        <w:overflowPunct/>
        <w:topLinePunct w:val="0"/>
        <w:autoSpaceDE/>
        <w:autoSpaceDN/>
        <w:bidi w:val="0"/>
        <w:spacing w:line="290" w:lineRule="exact"/>
        <w:ind w:firstLine="632" w:firstLineChars="300"/>
        <w:textAlignment w:val="auto"/>
        <w:rPr>
          <w:rFonts w:hAnsi="宋体"/>
          <w:b/>
          <w:sz w:val="21"/>
          <w:szCs w:val="21"/>
          <w:highlight w:val="none"/>
        </w:rPr>
      </w:pPr>
      <w:r>
        <w:rPr>
          <w:rFonts w:hint="eastAsia" w:hAnsi="宋体"/>
          <w:b/>
          <w:sz w:val="21"/>
          <w:szCs w:val="21"/>
          <w:highlight w:val="none"/>
        </w:rPr>
        <w:t>2.2技术部分</w:t>
      </w:r>
    </w:p>
    <w:p>
      <w:pPr>
        <w:pageBreakBefore w:val="0"/>
        <w:kinsoku/>
        <w:wordWrap/>
        <w:overflowPunct/>
        <w:topLinePunct w:val="0"/>
        <w:autoSpaceDE/>
        <w:autoSpaceDN/>
        <w:bidi w:val="0"/>
        <w:spacing w:line="290" w:lineRule="exact"/>
        <w:ind w:firstLine="420" w:firstLineChars="200"/>
        <w:textAlignment w:val="auto"/>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根据评分内容编写</w:t>
      </w:r>
      <w:r>
        <w:rPr>
          <w:rFonts w:hint="eastAsia" w:ascii="宋体" w:hAnsi="宋体" w:cs="宋体"/>
          <w:sz w:val="21"/>
          <w:szCs w:val="21"/>
          <w:highlight w:val="none"/>
          <w:lang w:eastAsia="zh-CN"/>
        </w:rPr>
        <w:t>；</w:t>
      </w:r>
    </w:p>
    <w:p>
      <w:pPr>
        <w:pStyle w:val="19"/>
        <w:pageBreakBefore w:val="0"/>
        <w:kinsoku/>
        <w:wordWrap/>
        <w:overflowPunct/>
        <w:topLinePunct w:val="0"/>
        <w:autoSpaceDE/>
        <w:autoSpaceDN/>
        <w:bidi w:val="0"/>
        <w:spacing w:line="290" w:lineRule="exact"/>
        <w:ind w:left="0" w:leftChars="0" w:firstLine="420" w:firstLineChars="200"/>
        <w:textAlignment w:val="auto"/>
        <w:rPr>
          <w:rFonts w:ascii="宋体" w:hAnsi="宋体" w:eastAsia="宋体" w:cs="宋体"/>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2</w:t>
      </w:r>
      <w:r>
        <w:rPr>
          <w:rFonts w:hint="eastAsia" w:ascii="宋体" w:hAnsi="宋体" w:cs="宋体"/>
          <w:sz w:val="21"/>
          <w:szCs w:val="21"/>
          <w:highlight w:val="none"/>
          <w:lang w:eastAsia="zh-CN"/>
        </w:rPr>
        <w:t>）</w:t>
      </w:r>
      <w:r>
        <w:rPr>
          <w:rFonts w:hint="eastAsia" w:ascii="宋体" w:hAnsi="宋体" w:eastAsia="宋体" w:cs="宋体"/>
          <w:szCs w:val="21"/>
          <w:highlight w:val="none"/>
        </w:rPr>
        <w:t>其他技术文件或说明（如有）。</w:t>
      </w:r>
    </w:p>
    <w:p>
      <w:pPr>
        <w:pStyle w:val="11"/>
        <w:pageBreakBefore w:val="0"/>
        <w:kinsoku/>
        <w:wordWrap/>
        <w:overflowPunct/>
        <w:topLinePunct w:val="0"/>
        <w:autoSpaceDE/>
        <w:autoSpaceDN/>
        <w:bidi w:val="0"/>
        <w:adjustRightInd w:val="0"/>
        <w:snapToGrid w:val="0"/>
        <w:spacing w:line="290" w:lineRule="exact"/>
        <w:ind w:firstLine="422" w:firstLineChars="200"/>
        <w:textAlignment w:val="auto"/>
        <w:rPr>
          <w:rFonts w:hAnsi="宋体"/>
          <w:b/>
          <w:szCs w:val="21"/>
          <w:highlight w:val="none"/>
        </w:rPr>
      </w:pPr>
      <w:r>
        <w:rPr>
          <w:rFonts w:hint="eastAsia" w:hAnsi="宋体"/>
          <w:b/>
          <w:szCs w:val="21"/>
          <w:highlight w:val="none"/>
        </w:rPr>
        <w:t>3、报价文件</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highlight w:val="none"/>
        </w:rPr>
      </w:pPr>
      <w:r>
        <w:rPr>
          <w:rFonts w:hint="eastAsia" w:ascii="宋体" w:hAnsi="宋体" w:cs="宋体"/>
          <w:sz w:val="21"/>
          <w:szCs w:val="21"/>
          <w:highlight w:val="none"/>
        </w:rPr>
        <w:t>（1）开标一览表（格式见第五部分格式六）；</w:t>
      </w:r>
    </w:p>
    <w:p>
      <w:pPr>
        <w:pageBreakBefore w:val="0"/>
        <w:tabs>
          <w:tab w:val="left" w:pos="3780"/>
        </w:tabs>
        <w:kinsoku/>
        <w:wordWrap/>
        <w:overflowPunct/>
        <w:topLinePunct w:val="0"/>
        <w:autoSpaceDE/>
        <w:autoSpaceDN/>
        <w:bidi w:val="0"/>
        <w:spacing w:line="290" w:lineRule="exact"/>
        <w:ind w:firstLine="420" w:firstLineChars="200"/>
        <w:textAlignment w:val="auto"/>
        <w:rPr>
          <w:rFonts w:hint="eastAsia" w:ascii="宋体" w:hAnsi="宋体" w:cs="宋体"/>
          <w:b w:val="0"/>
          <w:bCs w:val="0"/>
          <w:sz w:val="21"/>
          <w:szCs w:val="21"/>
          <w:highlight w:val="none"/>
        </w:rPr>
      </w:pPr>
      <w:r>
        <w:rPr>
          <w:rFonts w:hint="eastAsia" w:ascii="宋体" w:hAnsi="宋体" w:cs="宋体"/>
          <w:b w:val="0"/>
          <w:bCs w:val="0"/>
          <w:sz w:val="21"/>
          <w:szCs w:val="21"/>
          <w:highlight w:val="none"/>
        </w:rPr>
        <w:t>（2）报价明细表（格式见第五部分格式七）；</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sz w:val="21"/>
          <w:szCs w:val="21"/>
          <w:highlight w:val="none"/>
          <w:u w:val="single"/>
        </w:rPr>
      </w:pPr>
      <w:r>
        <w:rPr>
          <w:rFonts w:hint="eastAsia" w:ascii="宋体" w:hAnsi="宋体"/>
          <w:sz w:val="21"/>
          <w:szCs w:val="21"/>
          <w:highlight w:val="none"/>
          <w:u w:val="single"/>
          <w:lang w:val="zh-CN"/>
        </w:rPr>
        <w:t>投标文件中所需的各种证书、证件、证明资料</w:t>
      </w:r>
      <w:r>
        <w:rPr>
          <w:rFonts w:hint="eastAsia" w:ascii="宋体" w:hAnsi="宋体"/>
          <w:sz w:val="21"/>
          <w:szCs w:val="21"/>
          <w:highlight w:val="none"/>
          <w:u w:val="single"/>
        </w:rPr>
        <w:t>等</w:t>
      </w:r>
      <w:r>
        <w:rPr>
          <w:rFonts w:hint="eastAsia" w:ascii="宋体" w:hAnsi="宋体"/>
          <w:sz w:val="21"/>
          <w:szCs w:val="21"/>
          <w:highlight w:val="none"/>
          <w:u w:val="single"/>
          <w:lang w:val="zh-CN"/>
        </w:rPr>
        <w:t>如是复印件，须在复印件上加盖有效公章。</w:t>
      </w:r>
    </w:p>
    <w:p>
      <w:pPr>
        <w:pStyle w:val="29"/>
        <w:pageBreakBefore w:val="0"/>
        <w:kinsoku/>
        <w:wordWrap/>
        <w:overflowPunct/>
        <w:topLinePunct w:val="0"/>
        <w:autoSpaceDE/>
        <w:autoSpaceDN/>
        <w:bidi w:val="0"/>
        <w:adjustRightInd w:val="0"/>
        <w:snapToGrid w:val="0"/>
        <w:spacing w:line="290" w:lineRule="exact"/>
        <w:ind w:firstLine="0" w:firstLineChars="0"/>
        <w:textAlignment w:val="auto"/>
        <w:rPr>
          <w:rFonts w:ascii="宋体" w:hAnsi="宋体"/>
          <w:b/>
          <w:sz w:val="21"/>
          <w:szCs w:val="21"/>
          <w:highlight w:val="none"/>
        </w:rPr>
      </w:pPr>
      <w:r>
        <w:rPr>
          <w:rFonts w:hint="eastAsia" w:ascii="宋体" w:hAnsi="宋体"/>
          <w:b/>
          <w:sz w:val="21"/>
          <w:szCs w:val="21"/>
          <w:highlight w:val="none"/>
        </w:rPr>
        <w:t>（四）投标报价</w:t>
      </w:r>
    </w:p>
    <w:p>
      <w:pPr>
        <w:pageBreakBefore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highlight w:val="none"/>
        </w:rPr>
      </w:pPr>
      <w:r>
        <w:rPr>
          <w:rFonts w:hint="eastAsia" w:ascii="宋体" w:hAnsi="宋体"/>
          <w:sz w:val="21"/>
          <w:szCs w:val="21"/>
          <w:highlight w:val="none"/>
        </w:rPr>
        <w:t>1、报价组成</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highlight w:val="none"/>
        </w:rPr>
        <w:t>投标人应根据《开标一览表》填写相关内容。《开标一览表》是报价的唯一载体。投</w:t>
      </w:r>
      <w:r>
        <w:rPr>
          <w:rFonts w:hint="eastAsia" w:ascii="宋体" w:hAnsi="宋体" w:cs="宋体"/>
          <w:sz w:val="21"/>
          <w:szCs w:val="21"/>
        </w:rPr>
        <w:t>标报价是履行合同的最终价格，</w:t>
      </w:r>
      <w:r>
        <w:rPr>
          <w:rFonts w:hint="eastAsia" w:ascii="宋体" w:hAnsi="宋体" w:cs="宋体"/>
          <w:sz w:val="21"/>
          <w:szCs w:val="21"/>
          <w:lang w:val="zh-CN"/>
        </w:rPr>
        <w:t>有关本项目实施所需的货款、</w:t>
      </w:r>
      <w:r>
        <w:rPr>
          <w:rFonts w:hint="eastAsia" w:ascii="宋体" w:hAnsi="宋体" w:cs="宋体"/>
          <w:sz w:val="21"/>
          <w:szCs w:val="21"/>
          <w:lang w:val="zh-CN" w:eastAsia="zh-CN"/>
        </w:rPr>
        <w:t>旧设备拆除（如有）、系统软件服务费用、</w:t>
      </w:r>
      <w:r>
        <w:rPr>
          <w:rFonts w:hint="eastAsia" w:ascii="宋体" w:hAnsi="宋体" w:cs="宋体"/>
          <w:sz w:val="21"/>
          <w:szCs w:val="21"/>
          <w:lang w:val="zh-CN"/>
        </w:rPr>
        <w:t>标准附件、备品备件、专用工具、包装、运输、装卸、保险、税金、货到检查以及安装、调试、培训、保修等一切税金和费用等</w:t>
      </w:r>
      <w:r>
        <w:rPr>
          <w:rFonts w:hint="eastAsia" w:ascii="宋体" w:hAnsi="宋体" w:cs="宋体"/>
          <w:sz w:val="21"/>
          <w:szCs w:val="21"/>
        </w:rPr>
        <w:t>招标文件及合同明示或者暗示的所有责任、义务和风险。</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若本须知“前附表”规定允许进口产品投标的，投标报价还应包括：</w:t>
      </w:r>
    </w:p>
    <w:p>
      <w:pPr>
        <w:pageBreakBefore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w:t>
      </w:r>
      <w:r>
        <w:rPr>
          <w:rFonts w:ascii="宋体" w:hAnsi="宋体"/>
          <w:sz w:val="21"/>
          <w:szCs w:val="21"/>
        </w:rPr>
        <w:t>投标截止时间前已经进口的货物</w:t>
      </w:r>
      <w:r>
        <w:rPr>
          <w:rFonts w:hint="eastAsia" w:ascii="宋体" w:hAnsi="宋体"/>
          <w:sz w:val="21"/>
          <w:szCs w:val="21"/>
        </w:rPr>
        <w:t>：货物在从关境外进口时已交纳或应交纳的全部关税、增值税和其它税；</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需从中华人民共和国境外提供的货物：货物在从关境外进口时已交纳或应交纳的全部关税、增值税和其它税（本须知“前附表”规定可办理免税的除外）以及委托具有进出口代理权的机构办理进口事宜所需的所有费用。</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本须知“前附表”即使明确可免关税，如因国家（海关）政策等原因导致无法免关税的，关税由招标人承担；如因投标人原因导致无法办理的，合同价不予调整，关税由投标人承担，报价范围按前款（1）条执行。</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产品及服务须达到招标文件规定的质量标准及使用要求。</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2、其它费用处理</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招标文件未列明，而投标人认为必需的费用也需列入报价。投标人在投标报价中应充分考虑所有可能发生的费用，否则招标人将视投标</w:t>
      </w:r>
      <w:r>
        <w:rPr>
          <w:rFonts w:hint="eastAsia" w:ascii="宋体" w:hAnsi="宋体" w:cs="宋体"/>
          <w:sz w:val="21"/>
          <w:szCs w:val="21"/>
          <w:lang w:val="en-US" w:eastAsia="zh-CN"/>
        </w:rPr>
        <w:t>报价</w:t>
      </w:r>
      <w:r>
        <w:rPr>
          <w:rFonts w:hint="eastAsia" w:ascii="宋体" w:hAnsi="宋体" w:cs="宋体"/>
          <w:sz w:val="21"/>
          <w:szCs w:val="21"/>
        </w:rPr>
        <w:t>中已包括所有费用。</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3、投标货币</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投标文件中价格全部采用人民币报价。</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若本须知“前附表”规定允许进口产品投标的，投标人应将外币金额折算为人民币金额，并由投标人承担汇率变动风险。</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报价应是唯一的，不接受有选择的报价。</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4、投标人对在合同执行中，除上述费用及招标文件规定的由中标人负责的工作范围以外需要招标人协调或提供便利的工作应当在投标文件中说明。</w:t>
      </w:r>
      <w:bookmarkStart w:id="63" w:name="_Hlt75236011"/>
      <w:bookmarkEnd w:id="63"/>
    </w:p>
    <w:p>
      <w:pPr>
        <w:pageBreakBefore w:val="0"/>
        <w:kinsoku/>
        <w:wordWrap/>
        <w:overflowPunct/>
        <w:topLinePunct w:val="0"/>
        <w:autoSpaceDE/>
        <w:autoSpaceDN/>
        <w:bidi w:val="0"/>
        <w:adjustRightInd w:val="0"/>
        <w:snapToGrid w:val="0"/>
        <w:spacing w:line="290" w:lineRule="exact"/>
        <w:ind w:firstLine="420" w:firstLineChars="200"/>
        <w:textAlignment w:val="auto"/>
        <w:rPr>
          <w:rFonts w:ascii="宋体" w:hAnsi="宋体"/>
          <w:b/>
          <w:sz w:val="21"/>
          <w:szCs w:val="21"/>
        </w:rPr>
      </w:pPr>
      <w:r>
        <w:rPr>
          <w:rFonts w:hint="eastAsia" w:ascii="宋体" w:hAnsi="宋体"/>
          <w:sz w:val="21"/>
          <w:szCs w:val="21"/>
        </w:rPr>
        <w:t>5、</w:t>
      </w:r>
      <w:r>
        <w:rPr>
          <w:rFonts w:hint="eastAsia" w:ascii="宋体" w:hAnsi="宋体"/>
          <w:sz w:val="21"/>
          <w:szCs w:val="21"/>
          <w:u w:val="single"/>
        </w:rPr>
        <w:t>报价是中标的一个重要因素，但最低报价不是中标的唯一依据。</w:t>
      </w:r>
    </w:p>
    <w:p>
      <w:pPr>
        <w:pStyle w:val="29"/>
        <w:pageBreakBefore w:val="0"/>
        <w:kinsoku/>
        <w:wordWrap/>
        <w:overflowPunct/>
        <w:topLinePunct w:val="0"/>
        <w:autoSpaceDE/>
        <w:autoSpaceDN/>
        <w:bidi w:val="0"/>
        <w:adjustRightInd w:val="0"/>
        <w:snapToGrid w:val="0"/>
        <w:spacing w:line="290" w:lineRule="exact"/>
        <w:ind w:firstLine="0" w:firstLineChars="0"/>
        <w:textAlignment w:val="auto"/>
        <w:rPr>
          <w:rFonts w:ascii="宋体" w:hAnsi="宋体"/>
          <w:b/>
          <w:sz w:val="21"/>
          <w:szCs w:val="21"/>
        </w:rPr>
      </w:pPr>
      <w:bookmarkStart w:id="64" w:name="_Toc91899887"/>
      <w:r>
        <w:rPr>
          <w:rFonts w:hint="eastAsia" w:ascii="宋体" w:hAnsi="宋体"/>
          <w:b/>
          <w:sz w:val="21"/>
          <w:szCs w:val="21"/>
        </w:rPr>
        <w:t>（五）投标有效期</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1、投标文件合格投递后，自投标截止日期起，至前附表规定的日期内有效。合同签订后，投标文件作为合同附件，投标文件有效期同合同有效期。</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2、 招标人如因故推迟投标截止时间，将以书面形式通知所有投标人。在这种情况下，招标人与投标人以前在投标截止期方面的全部权利、责任和义务，将适用于延长至新的投标截止期。</w:t>
      </w:r>
    </w:p>
    <w:p>
      <w:pPr>
        <w:pageBreakBefore w:val="0"/>
        <w:tabs>
          <w:tab w:val="left" w:pos="3780"/>
        </w:tabs>
        <w:kinsoku/>
        <w:wordWrap/>
        <w:overflowPunct/>
        <w:topLinePunct w:val="0"/>
        <w:autoSpaceDE/>
        <w:autoSpaceDN/>
        <w:bidi w:val="0"/>
        <w:spacing w:line="290" w:lineRule="exact"/>
        <w:ind w:firstLine="420" w:firstLineChars="200"/>
        <w:textAlignment w:val="auto"/>
        <w:rPr>
          <w:rFonts w:ascii="宋体" w:hAnsi="宋体" w:cs="宋体"/>
          <w:sz w:val="21"/>
          <w:szCs w:val="21"/>
        </w:rPr>
      </w:pPr>
      <w:r>
        <w:rPr>
          <w:rFonts w:hint="eastAsia" w:ascii="宋体" w:hAnsi="宋体" w:cs="宋体"/>
          <w:sz w:val="21"/>
          <w:szCs w:val="21"/>
        </w:rPr>
        <w:t>3、投标人可拒绝接受延期要求。同意延长有效期的投标人不能修改投标文件。</w:t>
      </w:r>
    </w:p>
    <w:p>
      <w:pPr>
        <w:pageBreakBefore w:val="0"/>
        <w:tabs>
          <w:tab w:val="left" w:pos="3780"/>
        </w:tabs>
        <w:kinsoku/>
        <w:wordWrap/>
        <w:overflowPunct/>
        <w:topLinePunct w:val="0"/>
        <w:autoSpaceDE/>
        <w:autoSpaceDN/>
        <w:bidi w:val="0"/>
        <w:spacing w:line="290" w:lineRule="exact"/>
        <w:ind w:firstLine="422" w:firstLineChars="200"/>
        <w:textAlignment w:val="auto"/>
        <w:rPr>
          <w:rFonts w:ascii="宋体" w:hAnsi="宋体" w:cs="宋体"/>
          <w:b/>
          <w:sz w:val="21"/>
          <w:szCs w:val="21"/>
        </w:rPr>
      </w:pPr>
      <w:r>
        <w:rPr>
          <w:rFonts w:hint="eastAsia" w:ascii="宋体" w:hAnsi="宋体" w:cs="宋体"/>
          <w:b/>
          <w:sz w:val="21"/>
          <w:szCs w:val="21"/>
        </w:rPr>
        <w:t>4、投标截止后，在投标有效期内，投标人不能撤销投标文件。投标人强行撤销投标文件的，应按采购预算金额的2%赔偿对采购组织机构造成的损失。</w:t>
      </w:r>
    </w:p>
    <w:bookmarkEnd w:id="64"/>
    <w:p>
      <w:pPr>
        <w:pageBreakBefore w:val="0"/>
        <w:kinsoku/>
        <w:wordWrap/>
        <w:overflowPunct/>
        <w:topLinePunct w:val="0"/>
        <w:bidi w:val="0"/>
        <w:adjustRightInd w:val="0"/>
        <w:snapToGrid w:val="0"/>
        <w:spacing w:line="290" w:lineRule="exact"/>
        <w:jc w:val="center"/>
        <w:textAlignment w:val="auto"/>
        <w:outlineLvl w:val="9"/>
        <w:rPr>
          <w:rFonts w:ascii="宋体" w:hAnsi="宋体"/>
          <w:b/>
          <w:sz w:val="32"/>
        </w:rPr>
      </w:pPr>
      <w:bookmarkStart w:id="65" w:name="_Toc522530044"/>
      <w:bookmarkStart w:id="66" w:name="_Toc19525"/>
      <w:bookmarkStart w:id="67" w:name="_Toc91899892"/>
    </w:p>
    <w:p>
      <w:pPr>
        <w:pageBreakBefore w:val="0"/>
        <w:kinsoku/>
        <w:wordWrap/>
        <w:overflowPunct/>
        <w:topLinePunct w:val="0"/>
        <w:bidi w:val="0"/>
        <w:adjustRightInd w:val="0"/>
        <w:snapToGrid w:val="0"/>
        <w:spacing w:line="290" w:lineRule="exact"/>
        <w:jc w:val="center"/>
        <w:textAlignment w:val="auto"/>
        <w:outlineLvl w:val="1"/>
        <w:rPr>
          <w:rFonts w:ascii="宋体" w:hAnsi="宋体"/>
          <w:b/>
          <w:sz w:val="30"/>
          <w:szCs w:val="30"/>
        </w:rPr>
      </w:pPr>
      <w:bookmarkStart w:id="68" w:name="_Toc7434"/>
      <w:bookmarkStart w:id="69" w:name="_Toc19025"/>
      <w:bookmarkStart w:id="70" w:name="_Toc21883"/>
      <w:r>
        <w:rPr>
          <w:rFonts w:hint="eastAsia" w:ascii="宋体" w:hAnsi="宋体"/>
          <w:b/>
          <w:sz w:val="30"/>
          <w:szCs w:val="30"/>
        </w:rPr>
        <w:t>四、投 标</w:t>
      </w:r>
      <w:bookmarkEnd w:id="65"/>
      <w:bookmarkEnd w:id="66"/>
      <w:bookmarkEnd w:id="68"/>
      <w:bookmarkEnd w:id="69"/>
      <w:bookmarkEnd w:id="70"/>
    </w:p>
    <w:p>
      <w:pPr>
        <w:pStyle w:val="29"/>
        <w:keepNext w:val="0"/>
        <w:keepLines w:val="0"/>
        <w:pageBreakBefore w:val="0"/>
        <w:widowControl w:val="0"/>
        <w:kinsoku/>
        <w:wordWrap/>
        <w:overflowPunct/>
        <w:topLinePunct w:val="0"/>
        <w:autoSpaceDE/>
        <w:autoSpaceDN/>
        <w:bidi w:val="0"/>
        <w:adjustRightInd w:val="0"/>
        <w:snapToGrid w:val="0"/>
        <w:spacing w:line="290" w:lineRule="exact"/>
        <w:ind w:firstLine="0" w:firstLineChars="0"/>
        <w:textAlignment w:val="auto"/>
        <w:rPr>
          <w:rFonts w:ascii="宋体" w:hAnsi="宋体"/>
          <w:bCs/>
          <w:sz w:val="21"/>
          <w:szCs w:val="21"/>
        </w:rPr>
      </w:pPr>
      <w:r>
        <w:rPr>
          <w:rFonts w:hint="eastAsia" w:ascii="宋体" w:hAnsi="宋体"/>
          <w:bCs/>
          <w:sz w:val="21"/>
          <w:szCs w:val="21"/>
        </w:rPr>
        <w:t>（一）投标文件的上传和递交</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1、“电子加密投标文件”的上传、递交：</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a.投标人应在投标截止时间前将“电子加密投标文件”成功上传递交至“政府采购云平台”，否则投标无效。</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b.“电子加密投标文件”成功上传递交后，投标人可自行打印投标文件接收回执。</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2、“备份投标文件”的密封包装、递交：</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a.投标人在“政府采购云平台”完成“电子加密投标文件”的上传递交后，还可以（EMS或顺丰邮寄形式）在投标截止时间前递交以介质（U盘）存储的 “备份投标文件”（一份）；</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b.“备份投标文件”应当密封包装，并在包装上标注投标项目名称、投标单位名称并加盖公章。没有密封包装、文件到付邮费或者逾期邮寄送达至投标地点的“备份投标文件”将不予接收；</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c.通过“政府采购云平台”成功上传递交的“电子加密投标文件”已按时解密的，“备份投标文件”自动失效。投标截止时间前，投标人仅递交了“备份投标文件”而未将“电子加密投标文件”成功上传至“政府采购云平台”的，投标无效。</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d.电子备份投标文件，由投标人决定是否递交，并自行承担不递交电子备份投标文件的风险。</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3、招标人如因故推迟投标截止时间，将以书面形式通知所有投标人。在这种情况下，招标人与投标人以前在投标截止期方面的全部权利、责任和义务，将适用于延长至新的投标截止期。</w:t>
      </w:r>
    </w:p>
    <w:p>
      <w:pPr>
        <w:pStyle w:val="29"/>
        <w:keepNext w:val="0"/>
        <w:keepLines w:val="0"/>
        <w:pageBreakBefore w:val="0"/>
        <w:widowControl w:val="0"/>
        <w:kinsoku/>
        <w:wordWrap/>
        <w:overflowPunct/>
        <w:topLinePunct w:val="0"/>
        <w:autoSpaceDE/>
        <w:autoSpaceDN/>
        <w:bidi w:val="0"/>
        <w:adjustRightInd w:val="0"/>
        <w:snapToGrid w:val="0"/>
        <w:spacing w:line="290" w:lineRule="exact"/>
        <w:ind w:firstLine="0" w:firstLineChars="0"/>
        <w:textAlignment w:val="auto"/>
        <w:rPr>
          <w:rFonts w:ascii="宋体" w:hAnsi="宋体"/>
          <w:bCs/>
          <w:sz w:val="21"/>
          <w:szCs w:val="21"/>
        </w:rPr>
      </w:pPr>
      <w:r>
        <w:rPr>
          <w:rFonts w:hint="eastAsia" w:ascii="宋体" w:hAnsi="宋体"/>
          <w:bCs/>
          <w:sz w:val="21"/>
          <w:szCs w:val="21"/>
        </w:rPr>
        <w:t>（二）“电子加密投标文件”解密和异常情况处理</w:t>
      </w:r>
    </w:p>
    <w:p>
      <w:pPr>
        <w:keepNext w:val="0"/>
        <w:keepLines w:val="0"/>
        <w:pageBreakBefore w:val="0"/>
        <w:widowControl w:val="0"/>
        <w:kinsoku/>
        <w:wordWrap/>
        <w:overflowPunct/>
        <w:topLinePunct w:val="0"/>
        <w:autoSpaceDE/>
        <w:autoSpaceDN/>
        <w:bidi w:val="0"/>
        <w:spacing w:line="290" w:lineRule="exact"/>
        <w:ind w:firstLine="422" w:firstLineChars="200"/>
        <w:textAlignment w:val="auto"/>
        <w:rPr>
          <w:rFonts w:ascii="宋体" w:hAnsi="宋体" w:cs="宋体"/>
          <w:b/>
          <w:bCs/>
          <w:sz w:val="21"/>
          <w:szCs w:val="21"/>
        </w:rPr>
      </w:pPr>
      <w:r>
        <w:rPr>
          <w:rFonts w:hint="eastAsia" w:ascii="宋体" w:hAnsi="宋体" w:cs="宋体"/>
          <w:b/>
          <w:bCs/>
          <w:sz w:val="21"/>
          <w:szCs w:val="21"/>
        </w:rPr>
        <w:t>（1）开标后，采购组织机构将向各投标人发出“电子加密投标文件”的解密通知，各投标人代表应当在接到解密通知后30分钟内自行完成“电子加密投标文件”的在线解密。</w:t>
      </w:r>
    </w:p>
    <w:p>
      <w:pPr>
        <w:keepNext w:val="0"/>
        <w:keepLines w:val="0"/>
        <w:pageBreakBefore w:val="0"/>
        <w:widowControl w:val="0"/>
        <w:kinsoku/>
        <w:wordWrap/>
        <w:overflowPunct/>
        <w:topLinePunct w:val="0"/>
        <w:autoSpaceDE/>
        <w:autoSpaceDN/>
        <w:bidi w:val="0"/>
        <w:spacing w:line="290" w:lineRule="exact"/>
        <w:ind w:firstLine="422" w:firstLineChars="200"/>
        <w:textAlignment w:val="auto"/>
        <w:rPr>
          <w:rFonts w:ascii="宋体" w:hAnsi="宋体" w:cs="宋体"/>
          <w:b/>
          <w:bCs/>
          <w:sz w:val="21"/>
          <w:szCs w:val="21"/>
        </w:rPr>
      </w:pPr>
      <w:r>
        <w:rPr>
          <w:rFonts w:hint="eastAsia" w:ascii="宋体" w:hAnsi="宋体" w:cs="宋体"/>
          <w:b/>
          <w:bCs/>
          <w:sz w:val="21"/>
          <w:szCs w:val="21"/>
        </w:rPr>
        <w:t>（2）通过“政府采购云平台”成功上传递交的“电子加密投标文件”无法按时解密，投标人如按规定递交了“备份投标文件”的，以“备份投标文件”为依据（由采购组织机构按“政府采购云平台”操作规范将“备份投标文件”上传至“政府采购云平台”，上传成功后，“电子加密投标文件”自动失效），否则视为投标文件撤回。</w:t>
      </w:r>
    </w:p>
    <w:p>
      <w:pPr>
        <w:pStyle w:val="29"/>
        <w:keepNext w:val="0"/>
        <w:keepLines w:val="0"/>
        <w:pageBreakBefore w:val="0"/>
        <w:widowControl w:val="0"/>
        <w:kinsoku/>
        <w:wordWrap/>
        <w:overflowPunct/>
        <w:topLinePunct w:val="0"/>
        <w:autoSpaceDE/>
        <w:autoSpaceDN/>
        <w:bidi w:val="0"/>
        <w:adjustRightInd w:val="0"/>
        <w:snapToGrid w:val="0"/>
        <w:spacing w:line="290" w:lineRule="exact"/>
        <w:ind w:firstLine="422"/>
        <w:textAlignment w:val="auto"/>
        <w:rPr>
          <w:rFonts w:ascii="宋体" w:hAnsi="宋体" w:cs="宋体"/>
          <w:b/>
          <w:bCs/>
          <w:sz w:val="21"/>
          <w:szCs w:val="21"/>
        </w:rPr>
      </w:pPr>
      <w:r>
        <w:rPr>
          <w:rFonts w:hint="eastAsia" w:ascii="宋体" w:hAnsi="宋体" w:cs="宋体"/>
          <w:b/>
          <w:bCs/>
          <w:sz w:val="21"/>
          <w:szCs w:val="21"/>
        </w:rPr>
        <w:t>（3）投标截止时间前，投标人仅递交了“备份投标文件”而未将电子加密投标文件上传至“政府采购云平台”的，投标无效。</w:t>
      </w:r>
    </w:p>
    <w:p>
      <w:pPr>
        <w:pStyle w:val="29"/>
        <w:keepNext w:val="0"/>
        <w:keepLines w:val="0"/>
        <w:pageBreakBefore w:val="0"/>
        <w:widowControl w:val="0"/>
        <w:kinsoku/>
        <w:wordWrap/>
        <w:overflowPunct/>
        <w:topLinePunct w:val="0"/>
        <w:autoSpaceDE/>
        <w:autoSpaceDN/>
        <w:bidi w:val="0"/>
        <w:adjustRightInd w:val="0"/>
        <w:snapToGrid w:val="0"/>
        <w:spacing w:line="290" w:lineRule="exact"/>
        <w:ind w:firstLine="0" w:firstLineChars="0"/>
        <w:textAlignment w:val="auto"/>
        <w:rPr>
          <w:rFonts w:ascii="宋体" w:hAnsi="宋体"/>
          <w:bCs/>
          <w:sz w:val="21"/>
          <w:szCs w:val="21"/>
        </w:rPr>
      </w:pPr>
      <w:r>
        <w:rPr>
          <w:rFonts w:hint="eastAsia" w:ascii="宋体" w:hAnsi="宋体"/>
          <w:bCs/>
          <w:sz w:val="21"/>
          <w:szCs w:val="21"/>
        </w:rPr>
        <w:t>（三）投标文件的修改与撤回</w:t>
      </w:r>
    </w:p>
    <w:p>
      <w:pPr>
        <w:keepNext w:val="0"/>
        <w:keepLines w:val="0"/>
        <w:pageBreakBefore w:val="0"/>
        <w:widowControl w:val="0"/>
        <w:kinsoku/>
        <w:wordWrap/>
        <w:overflowPunct/>
        <w:topLinePunct w:val="0"/>
        <w:autoSpaceDE/>
        <w:autoSpaceDN/>
        <w:bidi w:val="0"/>
        <w:spacing w:line="290" w:lineRule="exact"/>
        <w:ind w:firstLine="373" w:firstLineChars="177"/>
        <w:textAlignment w:val="auto"/>
        <w:rPr>
          <w:rFonts w:ascii="宋体" w:hAnsi="宋体" w:cs="Arial"/>
          <w:kern w:val="0"/>
          <w:sz w:val="21"/>
          <w:szCs w:val="21"/>
        </w:rPr>
      </w:pPr>
      <w:r>
        <w:rPr>
          <w:rFonts w:hint="eastAsia" w:ascii="宋体" w:hAnsi="宋体" w:cs="Arial"/>
          <w:b/>
          <w:kern w:val="0"/>
          <w:sz w:val="21"/>
          <w:szCs w:val="21"/>
        </w:rPr>
        <w:t>1、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keepNext w:val="0"/>
        <w:keepLines w:val="0"/>
        <w:pageBreakBefore w:val="0"/>
        <w:widowControl w:val="0"/>
        <w:kinsoku/>
        <w:wordWrap/>
        <w:overflowPunct/>
        <w:topLinePunct w:val="0"/>
        <w:autoSpaceDE/>
        <w:autoSpaceDN/>
        <w:bidi w:val="0"/>
        <w:spacing w:line="290" w:lineRule="exact"/>
        <w:ind w:firstLine="373" w:firstLineChars="177"/>
        <w:textAlignment w:val="auto"/>
        <w:rPr>
          <w:rFonts w:ascii="宋体" w:hAnsi="宋体" w:cs="Arial"/>
          <w:b/>
          <w:kern w:val="0"/>
          <w:sz w:val="21"/>
          <w:szCs w:val="21"/>
        </w:rPr>
      </w:pPr>
      <w:r>
        <w:rPr>
          <w:rFonts w:hint="eastAsia" w:ascii="宋体" w:hAnsi="宋体" w:cs="Arial"/>
          <w:b/>
          <w:kern w:val="0"/>
          <w:sz w:val="21"/>
          <w:szCs w:val="21"/>
        </w:rPr>
        <w:t>2、</w:t>
      </w:r>
      <w:r>
        <w:rPr>
          <w:rFonts w:ascii="宋体" w:hAnsi="宋体" w:cs="Arial"/>
          <w:b/>
          <w:kern w:val="0"/>
          <w:sz w:val="21"/>
          <w:szCs w:val="21"/>
        </w:rPr>
        <w:t>投标截止时间后，</w:t>
      </w:r>
      <w:r>
        <w:rPr>
          <w:rFonts w:hint="eastAsia" w:ascii="宋体" w:hAnsi="宋体" w:cs="Arial"/>
          <w:b/>
          <w:kern w:val="0"/>
          <w:sz w:val="21"/>
          <w:szCs w:val="21"/>
        </w:rPr>
        <w:t>投标人</w:t>
      </w:r>
      <w:r>
        <w:rPr>
          <w:rFonts w:ascii="宋体" w:hAnsi="宋体" w:cs="Arial"/>
          <w:b/>
          <w:kern w:val="0"/>
          <w:sz w:val="21"/>
          <w:szCs w:val="21"/>
        </w:rPr>
        <w:t>不得撤回、修改《投标文件》</w:t>
      </w:r>
      <w:r>
        <w:rPr>
          <w:rFonts w:hint="eastAsia" w:ascii="宋体" w:hAnsi="宋体" w:cs="Arial"/>
          <w:b/>
          <w:kern w:val="0"/>
          <w:sz w:val="21"/>
          <w:szCs w:val="21"/>
        </w:rPr>
        <w:t>。</w:t>
      </w:r>
    </w:p>
    <w:bookmarkEnd w:id="67"/>
    <w:p>
      <w:pPr>
        <w:pStyle w:val="29"/>
        <w:keepNext w:val="0"/>
        <w:keepLines w:val="0"/>
        <w:pageBreakBefore w:val="0"/>
        <w:widowControl w:val="0"/>
        <w:kinsoku/>
        <w:wordWrap/>
        <w:overflowPunct/>
        <w:topLinePunct w:val="0"/>
        <w:autoSpaceDE/>
        <w:autoSpaceDN/>
        <w:bidi w:val="0"/>
        <w:adjustRightInd w:val="0"/>
        <w:snapToGrid w:val="0"/>
        <w:spacing w:line="290" w:lineRule="exact"/>
        <w:ind w:firstLine="0" w:firstLineChars="0"/>
        <w:textAlignment w:val="auto"/>
        <w:rPr>
          <w:rFonts w:ascii="宋体" w:hAnsi="宋体"/>
          <w:b/>
          <w:sz w:val="21"/>
          <w:szCs w:val="21"/>
        </w:rPr>
      </w:pPr>
      <w:r>
        <w:rPr>
          <w:rFonts w:hint="eastAsia" w:ascii="宋体" w:hAnsi="宋体"/>
          <w:b/>
          <w:sz w:val="21"/>
          <w:szCs w:val="21"/>
        </w:rPr>
        <w:t>（四）投标样品的递交与退还</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1、投标人应按本须知“前附表”及“第三部分 项目技术及服务要求”的要求提供样品。</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2、样品为投标文件的补充，仅作辅助评标用，但其应能真实反应投标货物的参数性能指标，所提供样品与投标文件不符以投标文件为准。</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ascii="宋体" w:hAnsi="宋体"/>
          <w:sz w:val="21"/>
          <w:szCs w:val="21"/>
        </w:rPr>
        <w:t>3</w:t>
      </w:r>
      <w:r>
        <w:rPr>
          <w:rFonts w:hint="eastAsia" w:ascii="宋体" w:hAnsi="宋体"/>
          <w:sz w:val="21"/>
          <w:szCs w:val="21"/>
        </w:rPr>
        <w:t xml:space="preserve">、本须知“前附表”规定样品标识为“明标”的，投标人须在样品本体明显位置标注“项目（标项）；投标人全称；样品总件数-第几件”（A项目，标项B，XX公司 </w:t>
      </w:r>
      <w:r>
        <w:rPr>
          <w:rFonts w:ascii="宋体" w:hAnsi="宋体"/>
          <w:sz w:val="21"/>
          <w:szCs w:val="21"/>
        </w:rPr>
        <w:t>16</w:t>
      </w:r>
      <w:r>
        <w:rPr>
          <w:rFonts w:hint="eastAsia" w:ascii="宋体" w:hAnsi="宋体"/>
          <w:sz w:val="21"/>
          <w:szCs w:val="21"/>
        </w:rPr>
        <w:t>-</w:t>
      </w:r>
      <w:r>
        <w:rPr>
          <w:rFonts w:ascii="宋体" w:hAnsi="宋体"/>
          <w:sz w:val="21"/>
          <w:szCs w:val="21"/>
        </w:rPr>
        <w:t>1</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ascii="宋体" w:hAnsi="宋体"/>
          <w:sz w:val="21"/>
          <w:szCs w:val="21"/>
        </w:rPr>
        <w:t>4</w:t>
      </w:r>
      <w:r>
        <w:rPr>
          <w:rFonts w:hint="eastAsia" w:ascii="宋体" w:hAnsi="宋体"/>
          <w:sz w:val="21"/>
          <w:szCs w:val="21"/>
        </w:rPr>
        <w:t>、本须知“前附表”规定样品标识为“暗标”的，投标人样品任何地方均不得出现投标人信息，否则视同未提交样品。</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ascii="宋体" w:hAnsi="宋体"/>
          <w:sz w:val="21"/>
          <w:szCs w:val="21"/>
        </w:rPr>
        <w:t>5</w:t>
      </w:r>
      <w:r>
        <w:rPr>
          <w:rFonts w:hint="eastAsia" w:ascii="宋体" w:hAnsi="宋体"/>
          <w:sz w:val="21"/>
          <w:szCs w:val="21"/>
        </w:rPr>
        <w:t>、投标人样品应于开标结束前到达本须知“前附表”规定的地点，否则视为未提交样品。</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ascii="宋体" w:hAnsi="宋体"/>
          <w:sz w:val="21"/>
          <w:szCs w:val="21"/>
        </w:rPr>
        <w:t>6</w:t>
      </w:r>
      <w:r>
        <w:rPr>
          <w:rFonts w:hint="eastAsia" w:ascii="宋体" w:hAnsi="宋体"/>
          <w:sz w:val="21"/>
          <w:szCs w:val="21"/>
        </w:rPr>
        <w:t>、投标人样品应于本须知“前附表”规定的时间取回。</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7、本须知“前附表”规定中标样品“封存至验收”或“抵扣采购数量”的，中标人应将样品运送至招标人指定地点，期间应保证到达目的地的样品与评标样品完全一致。</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ascii="宋体" w:hAnsi="宋体"/>
          <w:sz w:val="21"/>
          <w:szCs w:val="21"/>
        </w:rPr>
        <w:t>8</w:t>
      </w:r>
      <w:r>
        <w:rPr>
          <w:rFonts w:hint="eastAsia" w:ascii="宋体" w:hAnsi="宋体"/>
          <w:sz w:val="21"/>
          <w:szCs w:val="21"/>
        </w:rPr>
        <w:t>、样品制作、安装、运输、拆除等递交、退还样品所需要费用由投标人自行承担。</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ascii="宋体" w:hAnsi="宋体"/>
          <w:sz w:val="21"/>
          <w:szCs w:val="21"/>
        </w:rPr>
        <w:t>9</w:t>
      </w:r>
      <w:r>
        <w:rPr>
          <w:rFonts w:hint="eastAsia" w:ascii="宋体" w:hAnsi="宋体"/>
          <w:sz w:val="21"/>
          <w:szCs w:val="21"/>
        </w:rPr>
        <w:t>、样品的包装应方便样品运输、保存并二次包装，否则投标人取回样品时需自行携带包装。</w:t>
      </w:r>
    </w:p>
    <w:p>
      <w:pPr>
        <w:pageBreakBefore w:val="0"/>
        <w:kinsoku/>
        <w:wordWrap/>
        <w:overflowPunct/>
        <w:topLinePunct w:val="0"/>
        <w:autoSpaceDE/>
        <w:autoSpaceDN/>
        <w:bidi w:val="0"/>
        <w:adjustRightInd w:val="0"/>
        <w:snapToGrid w:val="0"/>
        <w:spacing w:line="290" w:lineRule="exact"/>
        <w:jc w:val="center"/>
        <w:textAlignment w:val="auto"/>
        <w:outlineLvl w:val="1"/>
        <w:rPr>
          <w:rFonts w:ascii="宋体" w:hAnsi="宋体"/>
          <w:b/>
          <w:sz w:val="30"/>
          <w:szCs w:val="30"/>
        </w:rPr>
      </w:pPr>
      <w:bookmarkStart w:id="71" w:name="_Toc6430"/>
      <w:bookmarkStart w:id="72" w:name="_Toc3371"/>
      <w:bookmarkStart w:id="73" w:name="_Toc91899897"/>
      <w:bookmarkStart w:id="74" w:name="_Toc4576"/>
      <w:bookmarkStart w:id="75" w:name="_Toc233618976"/>
      <w:bookmarkStart w:id="76" w:name="_Toc522530045"/>
      <w:bookmarkStart w:id="77" w:name="_Toc27407"/>
      <w:r>
        <w:rPr>
          <w:rFonts w:hint="eastAsia" w:ascii="宋体" w:hAnsi="宋体"/>
          <w:b/>
          <w:sz w:val="30"/>
          <w:szCs w:val="30"/>
        </w:rPr>
        <w:t>五、开 标</w:t>
      </w:r>
      <w:bookmarkEnd w:id="71"/>
      <w:bookmarkEnd w:id="72"/>
      <w:bookmarkEnd w:id="73"/>
      <w:bookmarkEnd w:id="74"/>
      <w:bookmarkEnd w:id="75"/>
      <w:bookmarkEnd w:id="76"/>
      <w:bookmarkEnd w:id="77"/>
    </w:p>
    <w:p>
      <w:pPr>
        <w:pStyle w:val="4"/>
        <w:pageBreakBefore w:val="0"/>
        <w:numPr>
          <w:ilvl w:val="0"/>
          <w:numId w:val="0"/>
        </w:numPr>
        <w:kinsoku/>
        <w:wordWrap/>
        <w:overflowPunct/>
        <w:topLinePunct w:val="0"/>
        <w:autoSpaceDE/>
        <w:autoSpaceDN/>
        <w:bidi w:val="0"/>
        <w:adjustRightInd/>
        <w:snapToGrid/>
        <w:spacing w:before="0" w:after="0" w:line="290" w:lineRule="exact"/>
        <w:ind w:left="720" w:hanging="720"/>
        <w:jc w:val="both"/>
        <w:textAlignment w:val="auto"/>
        <w:rPr>
          <w:rFonts w:ascii="宋体" w:hAnsi="宋体"/>
          <w:sz w:val="21"/>
          <w:szCs w:val="21"/>
        </w:rPr>
      </w:pPr>
      <w:r>
        <w:rPr>
          <w:rFonts w:hint="eastAsia" w:ascii="宋体" w:hAnsi="宋体" w:cs="宋体"/>
          <w:sz w:val="21"/>
          <w:szCs w:val="21"/>
        </w:rPr>
        <w:t>（一）</w:t>
      </w:r>
      <w:r>
        <w:rPr>
          <w:rFonts w:hint="eastAsia" w:ascii="宋体" w:hAnsi="宋体"/>
          <w:sz w:val="21"/>
          <w:szCs w:val="21"/>
        </w:rPr>
        <w:t>开标</w:t>
      </w:r>
      <w:r>
        <w:rPr>
          <w:rFonts w:hint="eastAsia" w:ascii="宋体" w:hAnsi="宋体" w:cs="宋体"/>
          <w:sz w:val="21"/>
          <w:szCs w:val="21"/>
        </w:rPr>
        <w:t>形式</w:t>
      </w:r>
    </w:p>
    <w:p>
      <w:pPr>
        <w:pageBreakBefore w:val="0"/>
        <w:kinsoku/>
        <w:wordWrap/>
        <w:overflowPunct/>
        <w:topLinePunct w:val="0"/>
        <w:autoSpaceDE/>
        <w:autoSpaceDN/>
        <w:bidi w:val="0"/>
        <w:adjustRightInd/>
        <w:snapToGrid/>
        <w:spacing w:line="290" w:lineRule="exact"/>
        <w:ind w:firstLine="373" w:firstLineChars="177"/>
        <w:textAlignment w:val="auto"/>
        <w:rPr>
          <w:rFonts w:ascii="宋体" w:hAnsi="宋体"/>
          <w:b/>
          <w:sz w:val="21"/>
          <w:szCs w:val="21"/>
        </w:rPr>
      </w:pPr>
      <w:r>
        <w:rPr>
          <w:rFonts w:hint="eastAsia" w:ascii="宋体" w:hAnsi="宋体"/>
          <w:b/>
          <w:sz w:val="21"/>
          <w:szCs w:val="21"/>
        </w:rPr>
        <w:t>1、 采购组织机构将按照招标文件规定的时间通过“政府采购云平台”组织开标、开启投标文件，所有投标人均应当准时在线参加。</w:t>
      </w:r>
    </w:p>
    <w:p>
      <w:pPr>
        <w:pStyle w:val="4"/>
        <w:pageBreakBefore w:val="0"/>
        <w:numPr>
          <w:ilvl w:val="0"/>
          <w:numId w:val="0"/>
        </w:numPr>
        <w:kinsoku/>
        <w:wordWrap/>
        <w:overflowPunct/>
        <w:topLinePunct w:val="0"/>
        <w:autoSpaceDE/>
        <w:autoSpaceDN/>
        <w:bidi w:val="0"/>
        <w:adjustRightInd/>
        <w:snapToGrid/>
        <w:spacing w:before="0" w:after="0" w:line="290" w:lineRule="exact"/>
        <w:ind w:left="720" w:hanging="720"/>
        <w:jc w:val="both"/>
        <w:textAlignment w:val="auto"/>
        <w:rPr>
          <w:rFonts w:ascii="宋体" w:hAnsi="宋体"/>
          <w:sz w:val="21"/>
          <w:szCs w:val="21"/>
        </w:rPr>
      </w:pPr>
      <w:r>
        <w:rPr>
          <w:rFonts w:hint="eastAsia" w:ascii="宋体" w:hAnsi="宋体" w:cs="宋体"/>
          <w:sz w:val="21"/>
          <w:szCs w:val="21"/>
        </w:rPr>
        <w:t>（二）</w:t>
      </w:r>
      <w:r>
        <w:rPr>
          <w:rFonts w:ascii="宋体" w:hAnsi="宋体"/>
          <w:sz w:val="21"/>
          <w:szCs w:val="21"/>
        </w:rPr>
        <w:t>开标准备</w:t>
      </w:r>
    </w:p>
    <w:p>
      <w:pPr>
        <w:pageBreakBefore w:val="0"/>
        <w:kinsoku/>
        <w:wordWrap/>
        <w:overflowPunct/>
        <w:topLinePunct w:val="0"/>
        <w:autoSpaceDE/>
        <w:autoSpaceDN/>
        <w:bidi w:val="0"/>
        <w:adjustRightInd/>
        <w:snapToGrid/>
        <w:spacing w:line="290" w:lineRule="exact"/>
        <w:ind w:firstLine="369" w:firstLineChars="176"/>
        <w:textAlignment w:val="auto"/>
        <w:rPr>
          <w:rFonts w:ascii="宋体" w:hAnsi="宋体" w:cs="Arial"/>
          <w:kern w:val="0"/>
          <w:sz w:val="21"/>
          <w:szCs w:val="21"/>
        </w:rPr>
      </w:pPr>
      <w:r>
        <w:rPr>
          <w:rFonts w:hint="eastAsia" w:ascii="宋体" w:hAnsi="宋体" w:cs="Arial"/>
          <w:kern w:val="0"/>
          <w:sz w:val="21"/>
          <w:szCs w:val="21"/>
        </w:rPr>
        <w:t>1、开标的准备工作由采购组织机构负责落实；</w:t>
      </w:r>
    </w:p>
    <w:p>
      <w:pPr>
        <w:pageBreakBefore w:val="0"/>
        <w:kinsoku/>
        <w:wordWrap/>
        <w:overflowPunct/>
        <w:topLinePunct w:val="0"/>
        <w:autoSpaceDE/>
        <w:autoSpaceDN/>
        <w:bidi w:val="0"/>
        <w:adjustRightInd/>
        <w:snapToGrid/>
        <w:spacing w:line="290" w:lineRule="exact"/>
        <w:ind w:firstLine="369" w:firstLineChars="176"/>
        <w:textAlignment w:val="auto"/>
        <w:rPr>
          <w:rFonts w:ascii="宋体" w:hAnsi="宋体" w:cs="Arial"/>
          <w:kern w:val="0"/>
          <w:sz w:val="21"/>
          <w:szCs w:val="21"/>
        </w:rPr>
      </w:pPr>
      <w:r>
        <w:rPr>
          <w:rFonts w:hint="eastAsia" w:ascii="宋体" w:hAnsi="宋体" w:cs="Arial"/>
          <w:kern w:val="0"/>
          <w:sz w:val="21"/>
          <w:szCs w:val="21"/>
        </w:rPr>
        <w:t>2、</w:t>
      </w:r>
      <w:r>
        <w:rPr>
          <w:rFonts w:hint="eastAsia" w:ascii="宋体" w:hAnsi="宋体"/>
          <w:b/>
          <w:sz w:val="21"/>
          <w:szCs w:val="21"/>
        </w:rPr>
        <w:t>采购组织机构将按照招标文件规定的时间通过“政府采购云平台”组织开标、开启投标文件，所有投标人均应当准时在线参加。</w:t>
      </w:r>
      <w:r>
        <w:rPr>
          <w:rFonts w:hint="eastAsia" w:ascii="宋体" w:hAnsi="宋体" w:cs="Arial"/>
          <w:b/>
          <w:kern w:val="0"/>
          <w:sz w:val="21"/>
          <w:szCs w:val="21"/>
        </w:rPr>
        <w:t>投标人</w:t>
      </w:r>
      <w:r>
        <w:rPr>
          <w:rFonts w:ascii="宋体" w:hAnsi="宋体" w:cs="Arial"/>
          <w:b/>
          <w:kern w:val="0"/>
          <w:sz w:val="21"/>
          <w:szCs w:val="21"/>
        </w:rPr>
        <w:t>如不</w:t>
      </w:r>
      <w:r>
        <w:rPr>
          <w:rFonts w:hint="eastAsia" w:ascii="宋体" w:hAnsi="宋体" w:cs="Arial"/>
          <w:b/>
          <w:kern w:val="0"/>
          <w:sz w:val="21"/>
          <w:szCs w:val="21"/>
        </w:rPr>
        <w:t>参加</w:t>
      </w:r>
      <w:r>
        <w:rPr>
          <w:rFonts w:ascii="宋体" w:hAnsi="宋体" w:cs="Arial"/>
          <w:b/>
          <w:kern w:val="0"/>
          <w:sz w:val="21"/>
          <w:szCs w:val="21"/>
        </w:rPr>
        <w:t>开标大会的，</w:t>
      </w:r>
      <w:r>
        <w:rPr>
          <w:rFonts w:hint="eastAsia" w:ascii="宋体" w:hAnsi="宋体" w:cs="Arial"/>
          <w:b/>
          <w:kern w:val="0"/>
          <w:sz w:val="21"/>
          <w:szCs w:val="21"/>
        </w:rPr>
        <w:t>视同认可开标结果，</w:t>
      </w:r>
      <w:r>
        <w:rPr>
          <w:rFonts w:ascii="宋体" w:hAnsi="宋体" w:cs="Arial"/>
          <w:b/>
          <w:kern w:val="0"/>
          <w:sz w:val="21"/>
          <w:szCs w:val="21"/>
        </w:rPr>
        <w:t>事后不得对采购相关人员、开标过程和开标结果提出异议</w:t>
      </w:r>
      <w:r>
        <w:rPr>
          <w:rFonts w:hint="eastAsia" w:ascii="宋体" w:hAnsi="宋体" w:cs="Arial"/>
          <w:b/>
          <w:kern w:val="0"/>
          <w:sz w:val="21"/>
          <w:szCs w:val="21"/>
        </w:rPr>
        <w:t>，同时投标人因未在线参加开标而导致投标文件无法按时解密等一切后果由投标人自己承担。</w:t>
      </w:r>
    </w:p>
    <w:p>
      <w:pPr>
        <w:pStyle w:val="4"/>
        <w:pageBreakBefore w:val="0"/>
        <w:numPr>
          <w:ilvl w:val="0"/>
          <w:numId w:val="0"/>
        </w:numPr>
        <w:kinsoku/>
        <w:wordWrap/>
        <w:overflowPunct/>
        <w:topLinePunct w:val="0"/>
        <w:autoSpaceDE/>
        <w:autoSpaceDN/>
        <w:bidi w:val="0"/>
        <w:adjustRightInd/>
        <w:snapToGrid/>
        <w:spacing w:before="0" w:after="0" w:line="290" w:lineRule="exact"/>
        <w:ind w:left="720" w:hanging="720"/>
        <w:jc w:val="both"/>
        <w:textAlignment w:val="auto"/>
        <w:rPr>
          <w:rFonts w:ascii="宋体" w:hAnsi="宋体"/>
          <w:sz w:val="21"/>
          <w:szCs w:val="21"/>
        </w:rPr>
      </w:pPr>
      <w:r>
        <w:rPr>
          <w:rFonts w:hint="eastAsia" w:ascii="宋体" w:hAnsi="宋体" w:cs="宋体"/>
          <w:sz w:val="21"/>
          <w:szCs w:val="21"/>
        </w:rPr>
        <w:t>（三）</w:t>
      </w:r>
      <w:r>
        <w:rPr>
          <w:rFonts w:ascii="宋体" w:hAnsi="宋体"/>
          <w:sz w:val="21"/>
          <w:szCs w:val="21"/>
        </w:rPr>
        <w:t>开标</w:t>
      </w:r>
      <w:r>
        <w:rPr>
          <w:rFonts w:hint="eastAsia" w:ascii="宋体" w:hAnsi="宋体"/>
          <w:sz w:val="21"/>
          <w:szCs w:val="21"/>
        </w:rPr>
        <w:t>流程（两阶段）</w:t>
      </w:r>
    </w:p>
    <w:p>
      <w:pPr>
        <w:pageBreakBefore w:val="0"/>
        <w:kinsoku/>
        <w:wordWrap/>
        <w:overflowPunct/>
        <w:topLinePunct w:val="0"/>
        <w:autoSpaceDE/>
        <w:autoSpaceDN/>
        <w:bidi w:val="0"/>
        <w:adjustRightInd/>
        <w:snapToGrid/>
        <w:spacing w:line="290" w:lineRule="exact"/>
        <w:ind w:firstLine="373" w:firstLineChars="177"/>
        <w:jc w:val="left"/>
        <w:textAlignment w:val="auto"/>
        <w:rPr>
          <w:rFonts w:ascii="宋体" w:hAnsi="宋体" w:cs="Arial"/>
          <w:b/>
          <w:kern w:val="0"/>
          <w:sz w:val="21"/>
          <w:szCs w:val="21"/>
        </w:rPr>
      </w:pPr>
      <w:r>
        <w:rPr>
          <w:rFonts w:hint="eastAsia" w:ascii="宋体" w:hAnsi="宋体" w:cs="Arial"/>
          <w:b/>
          <w:kern w:val="0"/>
          <w:sz w:val="21"/>
          <w:szCs w:val="21"/>
        </w:rPr>
        <w:t>1、开标第一阶段</w:t>
      </w:r>
    </w:p>
    <w:p>
      <w:pPr>
        <w:pageBreakBefore w:val="0"/>
        <w:kinsoku/>
        <w:wordWrap/>
        <w:overflowPunct/>
        <w:topLinePunct w:val="0"/>
        <w:autoSpaceDE/>
        <w:autoSpaceDN/>
        <w:bidi w:val="0"/>
        <w:adjustRightInd/>
        <w:snapToGrid/>
        <w:spacing w:line="290" w:lineRule="exact"/>
        <w:ind w:firstLine="371" w:firstLineChars="177"/>
        <w:jc w:val="left"/>
        <w:textAlignment w:val="auto"/>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1</w:t>
      </w:r>
      <w:r>
        <w:rPr>
          <w:rFonts w:hint="eastAsia" w:ascii="宋体" w:hAnsi="宋体" w:cs="Arial"/>
          <w:kern w:val="0"/>
          <w:sz w:val="21"/>
          <w:szCs w:val="21"/>
        </w:rPr>
        <w:t>）向各投标人发出电子加密投标文件【开始解密】通知，由投标人按招标文件规定的时间内自行进行投标文件解密。投标人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pageBreakBefore w:val="0"/>
        <w:kinsoku/>
        <w:wordWrap/>
        <w:overflowPunct/>
        <w:topLinePunct w:val="0"/>
        <w:autoSpaceDE/>
        <w:autoSpaceDN/>
        <w:bidi w:val="0"/>
        <w:adjustRightInd/>
        <w:snapToGrid/>
        <w:spacing w:line="290" w:lineRule="exact"/>
        <w:ind w:firstLine="371" w:firstLineChars="177"/>
        <w:jc w:val="left"/>
        <w:textAlignment w:val="auto"/>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2</w:t>
      </w:r>
      <w:r>
        <w:rPr>
          <w:rFonts w:hint="eastAsia" w:ascii="宋体" w:hAnsi="宋体" w:cs="Arial"/>
          <w:kern w:val="0"/>
          <w:sz w:val="21"/>
          <w:szCs w:val="21"/>
        </w:rPr>
        <w:t>）</w:t>
      </w:r>
      <w:r>
        <w:rPr>
          <w:rFonts w:hint="eastAsia" w:ascii="宋体" w:hAnsi="宋体" w:cs="Arial"/>
          <w:b/>
          <w:bCs/>
          <w:kern w:val="0"/>
          <w:sz w:val="21"/>
          <w:szCs w:val="21"/>
        </w:rPr>
        <w:t>投标文件解密结束。</w:t>
      </w:r>
      <w:r>
        <w:rPr>
          <w:rFonts w:hint="eastAsia" w:ascii="宋体" w:hAnsi="宋体" w:cs="Arial"/>
          <w:kern w:val="0"/>
          <w:sz w:val="21"/>
          <w:szCs w:val="21"/>
        </w:rPr>
        <w:t>开启投标文件，进入资格审查；</w:t>
      </w:r>
    </w:p>
    <w:p>
      <w:pPr>
        <w:pageBreakBefore w:val="0"/>
        <w:kinsoku/>
        <w:wordWrap/>
        <w:overflowPunct/>
        <w:topLinePunct w:val="0"/>
        <w:autoSpaceDE/>
        <w:autoSpaceDN/>
        <w:bidi w:val="0"/>
        <w:adjustRightInd/>
        <w:snapToGrid/>
        <w:spacing w:line="290" w:lineRule="exact"/>
        <w:ind w:firstLine="371" w:firstLineChars="177"/>
        <w:jc w:val="left"/>
        <w:textAlignment w:val="auto"/>
        <w:rPr>
          <w:rFonts w:ascii="宋体" w:hAnsi="宋体" w:cs="Arial"/>
          <w:kern w:val="0"/>
          <w:sz w:val="21"/>
          <w:szCs w:val="21"/>
        </w:rPr>
      </w:pPr>
      <w:r>
        <w:rPr>
          <w:rFonts w:hint="eastAsia" w:ascii="宋体" w:hAnsi="宋体" w:cs="Arial"/>
          <w:kern w:val="0"/>
          <w:sz w:val="21"/>
          <w:szCs w:val="21"/>
        </w:rPr>
        <w:t>（3）开启资格审查通过的投标人的商务技术文件进入符合性审查、商务技术评审；</w:t>
      </w:r>
    </w:p>
    <w:p>
      <w:pPr>
        <w:pageBreakBefore w:val="0"/>
        <w:kinsoku/>
        <w:wordWrap/>
        <w:overflowPunct/>
        <w:topLinePunct w:val="0"/>
        <w:autoSpaceDE/>
        <w:autoSpaceDN/>
        <w:bidi w:val="0"/>
        <w:adjustRightInd/>
        <w:snapToGrid/>
        <w:spacing w:line="290" w:lineRule="exact"/>
        <w:ind w:firstLine="371" w:firstLineChars="177"/>
        <w:jc w:val="left"/>
        <w:textAlignment w:val="auto"/>
        <w:rPr>
          <w:rFonts w:ascii="宋体" w:hAnsi="宋体" w:cs="Arial"/>
          <w:kern w:val="0"/>
          <w:sz w:val="21"/>
          <w:szCs w:val="21"/>
        </w:rPr>
      </w:pPr>
      <w:r>
        <w:rPr>
          <w:rFonts w:hint="eastAsia" w:ascii="宋体" w:hAnsi="宋体" w:cs="Arial"/>
          <w:kern w:val="0"/>
          <w:sz w:val="21"/>
          <w:szCs w:val="21"/>
        </w:rPr>
        <w:t>（4）第一阶段开标结束。</w:t>
      </w:r>
    </w:p>
    <w:p>
      <w:pPr>
        <w:pageBreakBefore w:val="0"/>
        <w:kinsoku/>
        <w:wordWrap/>
        <w:overflowPunct/>
        <w:topLinePunct w:val="0"/>
        <w:autoSpaceDE/>
        <w:autoSpaceDN/>
        <w:bidi w:val="0"/>
        <w:adjustRightInd/>
        <w:snapToGrid/>
        <w:spacing w:line="290" w:lineRule="exact"/>
        <w:ind w:firstLine="373" w:firstLineChars="177"/>
        <w:jc w:val="left"/>
        <w:textAlignment w:val="auto"/>
        <w:rPr>
          <w:rFonts w:ascii="宋体" w:hAnsi="宋体" w:cs="Arial"/>
          <w:b/>
          <w:kern w:val="0"/>
          <w:sz w:val="21"/>
          <w:szCs w:val="21"/>
        </w:rPr>
      </w:pPr>
      <w:r>
        <w:rPr>
          <w:rFonts w:hint="eastAsia" w:ascii="宋体" w:hAnsi="宋体" w:cs="Arial"/>
          <w:b/>
          <w:kern w:val="0"/>
          <w:sz w:val="21"/>
          <w:szCs w:val="21"/>
        </w:rPr>
        <w:t>备注：开标大会的第一阶段结束后，采购人或采购代理机构将对依法对投标人的资格进行审查，资格审查结束后进入符合性审查和商务技术的评审工作，具体见本章节“投标人资格审查”相关规定。</w:t>
      </w:r>
    </w:p>
    <w:p>
      <w:pPr>
        <w:pageBreakBefore w:val="0"/>
        <w:kinsoku/>
        <w:wordWrap/>
        <w:overflowPunct/>
        <w:topLinePunct w:val="0"/>
        <w:autoSpaceDE/>
        <w:autoSpaceDN/>
        <w:bidi w:val="0"/>
        <w:adjustRightInd/>
        <w:snapToGrid/>
        <w:spacing w:line="290" w:lineRule="exact"/>
        <w:ind w:firstLine="373" w:firstLineChars="177"/>
        <w:jc w:val="left"/>
        <w:textAlignment w:val="auto"/>
        <w:rPr>
          <w:rFonts w:ascii="宋体" w:hAnsi="宋体" w:cs="Arial"/>
          <w:b/>
          <w:kern w:val="0"/>
          <w:sz w:val="21"/>
          <w:szCs w:val="21"/>
        </w:rPr>
      </w:pPr>
      <w:r>
        <w:rPr>
          <w:rFonts w:hint="eastAsia" w:ascii="宋体" w:hAnsi="宋体" w:cs="Arial"/>
          <w:b/>
          <w:kern w:val="0"/>
          <w:sz w:val="21"/>
          <w:szCs w:val="21"/>
        </w:rPr>
        <w:t>2、开标大会第二阶段</w:t>
      </w:r>
    </w:p>
    <w:p>
      <w:pPr>
        <w:pageBreakBefore w:val="0"/>
        <w:kinsoku/>
        <w:wordWrap/>
        <w:overflowPunct/>
        <w:topLinePunct w:val="0"/>
        <w:autoSpaceDE/>
        <w:autoSpaceDN/>
        <w:bidi w:val="0"/>
        <w:adjustRightInd/>
        <w:snapToGrid/>
        <w:spacing w:line="290" w:lineRule="exact"/>
        <w:ind w:firstLine="371" w:firstLineChars="177"/>
        <w:jc w:val="left"/>
        <w:textAlignment w:val="auto"/>
        <w:rPr>
          <w:rFonts w:ascii="宋体" w:hAnsi="宋体" w:cs="Arial"/>
          <w:kern w:val="0"/>
          <w:sz w:val="21"/>
          <w:szCs w:val="21"/>
        </w:rPr>
      </w:pPr>
      <w:r>
        <w:rPr>
          <w:rFonts w:hint="eastAsia" w:ascii="宋体" w:hAnsi="宋体" w:cs="Arial"/>
          <w:kern w:val="0"/>
          <w:sz w:val="21"/>
          <w:szCs w:val="21"/>
        </w:rPr>
        <w:t>（1）符合性审查、商务技术评审结束后，举行开标大会第二阶段会议。</w:t>
      </w:r>
      <w:r>
        <w:rPr>
          <w:rFonts w:ascii="宋体" w:hAnsi="宋体" w:cs="Arial"/>
          <w:kern w:val="0"/>
          <w:sz w:val="21"/>
          <w:szCs w:val="21"/>
        </w:rPr>
        <w:t>公布经商务技术评审</w:t>
      </w:r>
      <w:r>
        <w:rPr>
          <w:rFonts w:hint="eastAsia" w:ascii="宋体" w:hAnsi="宋体" w:cs="Arial"/>
          <w:kern w:val="0"/>
          <w:sz w:val="21"/>
          <w:szCs w:val="21"/>
        </w:rPr>
        <w:t>后有效投标人的</w:t>
      </w:r>
      <w:r>
        <w:rPr>
          <w:rFonts w:ascii="宋体" w:hAnsi="宋体" w:cs="Arial"/>
          <w:kern w:val="0"/>
          <w:sz w:val="21"/>
          <w:szCs w:val="21"/>
        </w:rPr>
        <w:t>名单，同时公布</w:t>
      </w:r>
      <w:r>
        <w:rPr>
          <w:rFonts w:hint="eastAsia" w:ascii="宋体" w:hAnsi="宋体" w:cs="Arial"/>
          <w:kern w:val="0"/>
          <w:sz w:val="21"/>
          <w:szCs w:val="21"/>
        </w:rPr>
        <w:t>其</w:t>
      </w:r>
      <w:r>
        <w:rPr>
          <w:rFonts w:ascii="宋体" w:hAnsi="宋体" w:cs="Arial"/>
          <w:kern w:val="0"/>
          <w:sz w:val="21"/>
          <w:szCs w:val="21"/>
        </w:rPr>
        <w:t>商务技术</w:t>
      </w:r>
      <w:r>
        <w:rPr>
          <w:rFonts w:hint="eastAsia" w:ascii="宋体" w:hAnsi="宋体" w:cs="Arial"/>
          <w:kern w:val="0"/>
          <w:sz w:val="21"/>
          <w:szCs w:val="21"/>
        </w:rPr>
        <w:t>部分</w:t>
      </w:r>
      <w:r>
        <w:rPr>
          <w:rFonts w:ascii="宋体" w:hAnsi="宋体" w:cs="Arial"/>
          <w:kern w:val="0"/>
          <w:sz w:val="21"/>
          <w:szCs w:val="21"/>
        </w:rPr>
        <w:t>得分情况</w:t>
      </w:r>
      <w:r>
        <w:rPr>
          <w:rFonts w:hint="eastAsia" w:ascii="宋体" w:hAnsi="宋体" w:cs="Arial"/>
          <w:kern w:val="0"/>
          <w:sz w:val="21"/>
          <w:szCs w:val="21"/>
        </w:rPr>
        <w:t>。</w:t>
      </w:r>
    </w:p>
    <w:p>
      <w:pPr>
        <w:pageBreakBefore w:val="0"/>
        <w:kinsoku/>
        <w:wordWrap/>
        <w:overflowPunct/>
        <w:topLinePunct w:val="0"/>
        <w:autoSpaceDE/>
        <w:autoSpaceDN/>
        <w:bidi w:val="0"/>
        <w:adjustRightInd/>
        <w:snapToGrid/>
        <w:spacing w:line="290" w:lineRule="exact"/>
        <w:ind w:firstLine="371" w:firstLineChars="177"/>
        <w:jc w:val="left"/>
        <w:textAlignment w:val="auto"/>
        <w:rPr>
          <w:rFonts w:ascii="宋体" w:hAnsi="宋体" w:cs="Arial"/>
          <w:kern w:val="0"/>
          <w:sz w:val="21"/>
          <w:szCs w:val="21"/>
        </w:rPr>
      </w:pPr>
      <w:r>
        <w:rPr>
          <w:rFonts w:hint="eastAsia" w:ascii="宋体" w:hAnsi="宋体" w:cs="Arial"/>
          <w:kern w:val="0"/>
          <w:sz w:val="21"/>
          <w:szCs w:val="21"/>
        </w:rPr>
        <w:t>（2）开启符合性审查、商务技术评审有效投标人的《报价文件》</w:t>
      </w:r>
      <w:r>
        <w:rPr>
          <w:rFonts w:ascii="宋体" w:hAnsi="宋体" w:cs="Arial"/>
          <w:kern w:val="0"/>
          <w:sz w:val="21"/>
          <w:szCs w:val="21"/>
        </w:rPr>
        <w:t>。唱标结束后，由</w:t>
      </w:r>
      <w:r>
        <w:rPr>
          <w:rFonts w:hint="eastAsia" w:ascii="宋体" w:hAnsi="宋体" w:cs="Arial"/>
          <w:kern w:val="0"/>
          <w:sz w:val="21"/>
          <w:szCs w:val="21"/>
        </w:rPr>
        <w:t>评审小组</w:t>
      </w:r>
      <w:r>
        <w:rPr>
          <w:rFonts w:ascii="宋体" w:hAnsi="宋体" w:cs="Arial"/>
          <w:kern w:val="0"/>
          <w:sz w:val="21"/>
          <w:szCs w:val="21"/>
        </w:rPr>
        <w:t>对报价的合理性、准确性等进行审查核实</w:t>
      </w:r>
      <w:r>
        <w:rPr>
          <w:rFonts w:hint="eastAsia" w:ascii="宋体" w:hAnsi="宋体" w:cs="Arial"/>
          <w:kern w:val="0"/>
          <w:sz w:val="21"/>
          <w:szCs w:val="21"/>
        </w:rPr>
        <w:t>。</w:t>
      </w:r>
    </w:p>
    <w:p>
      <w:pPr>
        <w:pageBreakBefore w:val="0"/>
        <w:kinsoku/>
        <w:wordWrap/>
        <w:overflowPunct/>
        <w:topLinePunct w:val="0"/>
        <w:autoSpaceDE/>
        <w:autoSpaceDN/>
        <w:bidi w:val="0"/>
        <w:adjustRightInd/>
        <w:snapToGrid/>
        <w:spacing w:line="290" w:lineRule="exact"/>
        <w:ind w:firstLine="371" w:firstLineChars="177"/>
        <w:jc w:val="left"/>
        <w:textAlignment w:val="auto"/>
        <w:rPr>
          <w:rFonts w:ascii="宋体" w:hAnsi="宋体" w:cs="Arial"/>
          <w:kern w:val="0"/>
          <w:sz w:val="21"/>
          <w:szCs w:val="21"/>
        </w:rPr>
      </w:pPr>
      <w:r>
        <w:rPr>
          <w:rFonts w:hint="eastAsia" w:ascii="宋体" w:hAnsi="宋体" w:cs="Arial"/>
          <w:kern w:val="0"/>
          <w:sz w:val="21"/>
          <w:szCs w:val="21"/>
        </w:rPr>
        <w:t>（3）评审结束后公布中标候选人名单，及采购人最终确定中标人名单的时间和公告方式等。</w:t>
      </w:r>
    </w:p>
    <w:p>
      <w:pPr>
        <w:pageBreakBefore w:val="0"/>
        <w:kinsoku/>
        <w:wordWrap/>
        <w:overflowPunct/>
        <w:topLinePunct w:val="0"/>
        <w:autoSpaceDE/>
        <w:autoSpaceDN/>
        <w:bidi w:val="0"/>
        <w:adjustRightInd/>
        <w:snapToGrid/>
        <w:spacing w:line="290" w:lineRule="exact"/>
        <w:ind w:firstLine="373" w:firstLineChars="177"/>
        <w:jc w:val="left"/>
        <w:textAlignment w:val="auto"/>
        <w:rPr>
          <w:rFonts w:ascii="宋体" w:hAnsi="宋体" w:cs="Arial"/>
          <w:b/>
          <w:kern w:val="0"/>
          <w:sz w:val="21"/>
          <w:szCs w:val="21"/>
        </w:rPr>
      </w:pPr>
      <w:r>
        <w:rPr>
          <w:rFonts w:hint="eastAsia" w:ascii="宋体" w:hAnsi="宋体" w:cs="Arial"/>
          <w:b/>
          <w:kern w:val="0"/>
          <w:sz w:val="21"/>
          <w:szCs w:val="21"/>
        </w:rPr>
        <w:t>特别说明：如遇“政府采购云平台”电子化开标或评审程序调整的，按调整后程序执行。</w:t>
      </w:r>
    </w:p>
    <w:p>
      <w:pPr>
        <w:pStyle w:val="3"/>
        <w:pageBreakBefore w:val="0"/>
        <w:numPr>
          <w:ilvl w:val="0"/>
          <w:numId w:val="0"/>
        </w:numPr>
        <w:kinsoku/>
        <w:wordWrap/>
        <w:overflowPunct/>
        <w:topLinePunct w:val="0"/>
        <w:autoSpaceDE/>
        <w:autoSpaceDN/>
        <w:bidi w:val="0"/>
        <w:adjustRightInd/>
        <w:snapToGrid/>
        <w:spacing w:line="290" w:lineRule="exact"/>
        <w:textAlignment w:val="auto"/>
        <w:rPr>
          <w:rFonts w:ascii="宋体" w:hAnsi="宋体" w:eastAsia="宋体"/>
          <w:szCs w:val="21"/>
        </w:rPr>
      </w:pPr>
      <w:bookmarkStart w:id="78" w:name="_Toc11953"/>
      <w:bookmarkStart w:id="79" w:name="_Toc24550037"/>
      <w:bookmarkStart w:id="80" w:name="_Toc27914"/>
      <w:bookmarkStart w:id="81" w:name="_Toc33194393"/>
      <w:bookmarkStart w:id="82" w:name="_Toc6485"/>
      <w:r>
        <w:rPr>
          <w:rFonts w:hint="eastAsia" w:ascii="宋体" w:hAnsi="宋体" w:eastAsia="宋体" w:cs="宋体"/>
          <w:szCs w:val="21"/>
        </w:rPr>
        <w:t>（四）</w:t>
      </w:r>
      <w:r>
        <w:rPr>
          <w:rFonts w:hint="eastAsia" w:ascii="宋体" w:hAnsi="宋体" w:eastAsia="宋体"/>
          <w:szCs w:val="21"/>
        </w:rPr>
        <w:t>投标人资格审查</w:t>
      </w:r>
      <w:bookmarkEnd w:id="78"/>
      <w:bookmarkEnd w:id="79"/>
      <w:bookmarkEnd w:id="80"/>
      <w:bookmarkEnd w:id="81"/>
      <w:bookmarkEnd w:id="82"/>
    </w:p>
    <w:p>
      <w:pPr>
        <w:pageBreakBefore w:val="0"/>
        <w:kinsoku/>
        <w:wordWrap/>
        <w:overflowPunct/>
        <w:topLinePunct w:val="0"/>
        <w:autoSpaceDE/>
        <w:autoSpaceDN/>
        <w:bidi w:val="0"/>
        <w:adjustRightInd/>
        <w:snapToGrid/>
        <w:spacing w:line="290" w:lineRule="exact"/>
        <w:ind w:firstLine="373" w:firstLineChars="177"/>
        <w:textAlignment w:val="auto"/>
        <w:rPr>
          <w:rFonts w:ascii="宋体" w:hAnsi="宋体"/>
          <w:sz w:val="21"/>
          <w:szCs w:val="21"/>
        </w:rPr>
      </w:pPr>
      <w:r>
        <w:rPr>
          <w:rFonts w:hint="eastAsia" w:ascii="宋体" w:hAnsi="宋体"/>
          <w:b/>
          <w:sz w:val="21"/>
          <w:szCs w:val="21"/>
        </w:rPr>
        <w:t>1、开标大会第一阶段结束后，首先依法对各投标人的资格进行审查，审查各投标人的资格是否满足招标文件的要求。</w:t>
      </w:r>
      <w:r>
        <w:rPr>
          <w:rFonts w:ascii="宋体" w:hAnsi="宋体"/>
          <w:sz w:val="21"/>
          <w:szCs w:val="21"/>
        </w:rPr>
        <w:t>对</w:t>
      </w:r>
      <w:r>
        <w:rPr>
          <w:rFonts w:hint="eastAsia" w:ascii="宋体" w:hAnsi="宋体"/>
          <w:sz w:val="21"/>
          <w:szCs w:val="21"/>
        </w:rPr>
        <w:t>投标人</w:t>
      </w:r>
      <w:r>
        <w:rPr>
          <w:rFonts w:ascii="宋体" w:hAnsi="宋体"/>
          <w:sz w:val="21"/>
          <w:szCs w:val="21"/>
        </w:rPr>
        <w:t>所</w:t>
      </w:r>
      <w:r>
        <w:rPr>
          <w:rFonts w:hint="eastAsia" w:ascii="宋体" w:hAnsi="宋体"/>
          <w:sz w:val="21"/>
          <w:szCs w:val="21"/>
        </w:rPr>
        <w:t>提交</w:t>
      </w:r>
      <w:r>
        <w:rPr>
          <w:rFonts w:ascii="宋体" w:hAnsi="宋体"/>
          <w:sz w:val="21"/>
          <w:szCs w:val="21"/>
        </w:rPr>
        <w:t>的资格证明材料仅负审核的责任。如发现</w:t>
      </w:r>
      <w:r>
        <w:rPr>
          <w:rFonts w:hint="eastAsia" w:ascii="宋体" w:hAnsi="宋体"/>
          <w:sz w:val="21"/>
          <w:szCs w:val="21"/>
        </w:rPr>
        <w:t>投标人</w:t>
      </w:r>
      <w:r>
        <w:rPr>
          <w:rFonts w:ascii="宋体" w:hAnsi="宋体"/>
          <w:sz w:val="21"/>
          <w:szCs w:val="21"/>
        </w:rPr>
        <w:t>所提</w:t>
      </w:r>
      <w:r>
        <w:rPr>
          <w:rFonts w:hint="eastAsia" w:ascii="宋体" w:hAnsi="宋体"/>
          <w:sz w:val="21"/>
          <w:szCs w:val="21"/>
        </w:rPr>
        <w:t>交</w:t>
      </w:r>
      <w:r>
        <w:rPr>
          <w:rFonts w:ascii="宋体" w:hAnsi="宋体"/>
          <w:sz w:val="21"/>
          <w:szCs w:val="21"/>
        </w:rPr>
        <w:t>的资格证明材料不合法或</w:t>
      </w:r>
      <w:r>
        <w:rPr>
          <w:rFonts w:hint="eastAsia" w:ascii="宋体" w:hAnsi="宋体"/>
          <w:sz w:val="21"/>
          <w:szCs w:val="21"/>
        </w:rPr>
        <w:t>与事实不符</w:t>
      </w:r>
      <w:r>
        <w:rPr>
          <w:rFonts w:ascii="宋体" w:hAnsi="宋体"/>
          <w:sz w:val="21"/>
          <w:szCs w:val="21"/>
        </w:rPr>
        <w:t>，可取消</w:t>
      </w:r>
      <w:r>
        <w:rPr>
          <w:rFonts w:hint="eastAsia" w:ascii="宋体" w:hAnsi="宋体"/>
          <w:sz w:val="21"/>
          <w:szCs w:val="21"/>
        </w:rPr>
        <w:t>其</w:t>
      </w:r>
      <w:r>
        <w:rPr>
          <w:rFonts w:ascii="宋体" w:hAnsi="宋体"/>
          <w:sz w:val="21"/>
          <w:szCs w:val="21"/>
        </w:rPr>
        <w:t>中标资格并追究</w:t>
      </w:r>
      <w:r>
        <w:rPr>
          <w:rFonts w:hint="eastAsia" w:ascii="宋体" w:hAnsi="宋体"/>
          <w:sz w:val="21"/>
          <w:szCs w:val="21"/>
        </w:rPr>
        <w:t>投标人</w:t>
      </w:r>
      <w:r>
        <w:rPr>
          <w:rFonts w:ascii="宋体" w:hAnsi="宋体"/>
          <w:sz w:val="21"/>
          <w:szCs w:val="21"/>
        </w:rPr>
        <w:t>的法律责任。</w:t>
      </w:r>
    </w:p>
    <w:p>
      <w:pPr>
        <w:pageBreakBefore w:val="0"/>
        <w:kinsoku/>
        <w:wordWrap/>
        <w:overflowPunct/>
        <w:topLinePunct w:val="0"/>
        <w:autoSpaceDE/>
        <w:autoSpaceDN/>
        <w:bidi w:val="0"/>
        <w:adjustRightInd/>
        <w:snapToGrid/>
        <w:spacing w:line="290" w:lineRule="exact"/>
        <w:ind w:firstLine="373" w:firstLineChars="177"/>
        <w:textAlignment w:val="auto"/>
        <w:rPr>
          <w:rFonts w:ascii="宋体" w:hAnsi="宋体" w:cs="Arial"/>
          <w:b/>
          <w:kern w:val="0"/>
          <w:sz w:val="21"/>
          <w:szCs w:val="21"/>
        </w:rPr>
      </w:pPr>
      <w:r>
        <w:rPr>
          <w:rFonts w:hint="eastAsia" w:ascii="宋体" w:hAnsi="宋体"/>
          <w:b/>
          <w:sz w:val="21"/>
          <w:szCs w:val="21"/>
        </w:rPr>
        <w:t>2、投标人提交的资格证明材料无法证明其符合招标文件规定的“投标人资格要求”的，</w:t>
      </w:r>
      <w:r>
        <w:rPr>
          <w:rFonts w:hint="eastAsia" w:ascii="宋体" w:hAnsi="宋体" w:cs="Arial"/>
          <w:b/>
          <w:kern w:val="0"/>
          <w:sz w:val="21"/>
          <w:szCs w:val="21"/>
        </w:rPr>
        <w:t>将对其作资格审查不通过处理（无效投标），并不再将其投标文件提交进行后续评审。</w:t>
      </w:r>
    </w:p>
    <w:p>
      <w:pPr>
        <w:pageBreakBefore w:val="0"/>
        <w:kinsoku/>
        <w:wordWrap/>
        <w:overflowPunct/>
        <w:topLinePunct w:val="0"/>
        <w:autoSpaceDE/>
        <w:autoSpaceDN/>
        <w:bidi w:val="0"/>
        <w:adjustRightInd/>
        <w:snapToGrid/>
        <w:spacing w:line="290" w:lineRule="exact"/>
        <w:ind w:firstLine="373" w:firstLineChars="177"/>
        <w:textAlignment w:val="auto"/>
        <w:rPr>
          <w:rFonts w:ascii="宋体" w:hAnsi="宋体" w:cs="Arial"/>
          <w:b/>
          <w:kern w:val="0"/>
          <w:sz w:val="21"/>
          <w:szCs w:val="21"/>
        </w:rPr>
      </w:pPr>
      <w:r>
        <w:rPr>
          <w:rFonts w:hint="eastAsia" w:ascii="宋体" w:hAnsi="宋体" w:cs="Arial"/>
          <w:b/>
          <w:kern w:val="0"/>
          <w:sz w:val="21"/>
          <w:szCs w:val="21"/>
        </w:rPr>
        <w:t>3、单位负责人为同一人或者存在直接控股、管理关系的不同投标人参加同一合同项下的政府采购活动的，相关投标人均作资格无效处理。</w:t>
      </w:r>
    </w:p>
    <w:p>
      <w:pPr>
        <w:pageBreakBefore w:val="0"/>
        <w:kinsoku/>
        <w:wordWrap/>
        <w:overflowPunct/>
        <w:topLinePunct w:val="0"/>
        <w:bidi w:val="0"/>
        <w:adjustRightInd w:val="0"/>
        <w:snapToGrid w:val="0"/>
        <w:spacing w:line="290" w:lineRule="exact"/>
        <w:jc w:val="center"/>
        <w:textAlignment w:val="auto"/>
        <w:outlineLvl w:val="1"/>
        <w:rPr>
          <w:rFonts w:ascii="宋体" w:hAnsi="宋体"/>
          <w:b/>
          <w:sz w:val="30"/>
          <w:szCs w:val="30"/>
        </w:rPr>
      </w:pPr>
      <w:bookmarkStart w:id="83" w:name="_Hlt75236101"/>
      <w:bookmarkEnd w:id="83"/>
      <w:bookmarkStart w:id="84" w:name="_Toc233618977"/>
      <w:bookmarkStart w:id="85" w:name="_Toc8424"/>
      <w:bookmarkStart w:id="86" w:name="_Toc7099"/>
      <w:bookmarkStart w:id="87" w:name="_Toc91899902"/>
      <w:bookmarkStart w:id="88" w:name="_Toc29851"/>
      <w:bookmarkStart w:id="89" w:name="_Toc7515"/>
      <w:bookmarkStart w:id="90" w:name="_Toc522530046"/>
      <w:r>
        <w:rPr>
          <w:rFonts w:hint="eastAsia" w:ascii="宋体" w:hAnsi="宋体"/>
          <w:b/>
          <w:sz w:val="30"/>
          <w:szCs w:val="30"/>
        </w:rPr>
        <w:t>六、评 标</w:t>
      </w:r>
      <w:bookmarkEnd w:id="84"/>
      <w:bookmarkEnd w:id="85"/>
      <w:bookmarkEnd w:id="86"/>
      <w:bookmarkEnd w:id="87"/>
      <w:bookmarkEnd w:id="88"/>
      <w:bookmarkEnd w:id="89"/>
      <w:bookmarkEnd w:id="90"/>
    </w:p>
    <w:p>
      <w:pPr>
        <w:pStyle w:val="11"/>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hAnsi="宋体"/>
          <w:b/>
          <w:szCs w:val="21"/>
        </w:rPr>
      </w:pPr>
      <w:bookmarkStart w:id="91" w:name="_Toc91899903"/>
      <w:r>
        <w:rPr>
          <w:rFonts w:hint="eastAsia" w:hAnsi="宋体"/>
          <w:b/>
          <w:szCs w:val="21"/>
        </w:rPr>
        <w:t>（一）评标组织</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本项目评审小组由5人(含)以上单数的人员组成，负责对投标文件进行审查、质询、评审和比较等。评</w:t>
      </w:r>
      <w:r>
        <w:rPr>
          <w:rFonts w:hint="eastAsia" w:ascii="宋体" w:hAnsi="宋体" w:eastAsia="宋体"/>
          <w:sz w:val="21"/>
          <w:szCs w:val="21"/>
        </w:rPr>
        <w:t>审小组由依法随机抽取采购咨询专家</w:t>
      </w:r>
      <w:r>
        <w:rPr>
          <w:rFonts w:hint="eastAsia" w:ascii="宋体" w:hAnsi="宋体"/>
          <w:sz w:val="21"/>
          <w:szCs w:val="21"/>
        </w:rPr>
        <w:t>组成。</w:t>
      </w:r>
      <w:r>
        <w:rPr>
          <w:rFonts w:hint="eastAsia" w:ascii="宋体" w:hAnsi="宋体" w:cs="Arial"/>
          <w:kern w:val="0"/>
          <w:sz w:val="21"/>
          <w:szCs w:val="21"/>
        </w:rPr>
        <w:t>评审小组成员名单在评审结果（采购结果）公告前保密。</w:t>
      </w:r>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b/>
          <w:sz w:val="21"/>
          <w:szCs w:val="21"/>
        </w:rPr>
      </w:pPr>
      <w:r>
        <w:rPr>
          <w:rFonts w:hint="eastAsia" w:ascii="宋体" w:hAnsi="宋体"/>
          <w:b/>
          <w:sz w:val="21"/>
          <w:szCs w:val="21"/>
        </w:rPr>
        <w:t>（二）评标原则</w:t>
      </w:r>
    </w:p>
    <w:p>
      <w:pPr>
        <w:pStyle w:val="11"/>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hAnsi="宋体"/>
          <w:szCs w:val="21"/>
        </w:rPr>
      </w:pPr>
      <w:r>
        <w:rPr>
          <w:rFonts w:hint="eastAsia" w:hAnsi="宋体"/>
          <w:szCs w:val="21"/>
        </w:rPr>
        <w:t>1、竞争优选；</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2、公平、公正、科学合理</w:t>
      </w:r>
      <w:r>
        <w:rPr>
          <w:rFonts w:hint="eastAsia" w:ascii="宋体" w:hAnsi="宋体"/>
          <w:sz w:val="21"/>
          <w:szCs w:val="21"/>
          <w:lang w:val="zh-CN"/>
        </w:rPr>
        <w:t>；</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lang w:val="zh-CN"/>
        </w:rPr>
      </w:pPr>
      <w:r>
        <w:rPr>
          <w:rFonts w:hint="eastAsia" w:ascii="宋体" w:hAnsi="宋体"/>
          <w:sz w:val="21"/>
          <w:szCs w:val="21"/>
          <w:lang w:val="zh-CN"/>
        </w:rPr>
        <w:t>3、</w:t>
      </w:r>
      <w:r>
        <w:rPr>
          <w:rFonts w:hint="eastAsia" w:ascii="宋体" w:hAnsi="宋体"/>
          <w:sz w:val="21"/>
          <w:szCs w:val="21"/>
        </w:rPr>
        <w:t>价格合理，方案、产品先进可行；</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lang w:val="zh-CN"/>
        </w:rPr>
      </w:pPr>
      <w:r>
        <w:rPr>
          <w:rFonts w:hint="eastAsia" w:ascii="宋体" w:hAnsi="宋体"/>
          <w:sz w:val="21"/>
          <w:szCs w:val="21"/>
          <w:lang w:val="zh-CN"/>
        </w:rPr>
        <w:t>4、反对不正当竞争。</w:t>
      </w:r>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b/>
          <w:sz w:val="21"/>
          <w:szCs w:val="21"/>
        </w:rPr>
      </w:pPr>
      <w:r>
        <w:rPr>
          <w:rFonts w:hint="eastAsia" w:ascii="宋体" w:hAnsi="宋体"/>
          <w:b/>
          <w:sz w:val="21"/>
          <w:szCs w:val="21"/>
        </w:rPr>
        <w:t>（三）评标纪律</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评审小组成员要严格遵守评标纪律、保密、回避等相关规定，依法独立履行评标职责，客观、公正、审慎参与评标工作；</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1、严格遵守评标时间，因突发情况确实不能按时参加评标的，应事先告知招标组织机构；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2、服从招标组织机构的现场管理，主动出示身份证明，进入评标区域后应主动寄存移动通讯工具，按要求佩戴工作牌；</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3、与投标人或评审小组其他成员存在利害关系的，要主动回避，自觉签订《政府采购评审人员廉洁自律承诺书》；</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4、保持评标现场安静，不在评标现场随意走动，因发生不可预见情况确需与外界联系或暂时离开评标现场的，应向现场监督员说明情况，征得同意后在监控区域内进行相关活动，并应接受相关工作人员的监督；</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5、自觉遵守职业道德，尊重招标人代表和投标人代表，配合招标组织机构回答投标人代表提出的有关异议；</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ascii="宋体" w:hAnsi="宋体"/>
          <w:sz w:val="21"/>
          <w:szCs w:val="21"/>
        </w:rPr>
        <w:t>6</w:t>
      </w:r>
      <w:r>
        <w:rPr>
          <w:rFonts w:hint="eastAsia" w:ascii="宋体" w:hAnsi="宋体"/>
          <w:sz w:val="21"/>
          <w:szCs w:val="21"/>
        </w:rPr>
        <w:t>、</w:t>
      </w:r>
      <w:r>
        <w:rPr>
          <w:rFonts w:ascii="宋体" w:hAnsi="宋体"/>
          <w:sz w:val="21"/>
          <w:szCs w:val="21"/>
        </w:rPr>
        <w:t>不得将评标过程、结果和</w:t>
      </w:r>
      <w:r>
        <w:rPr>
          <w:rFonts w:hint="eastAsia" w:ascii="宋体" w:hAnsi="宋体"/>
          <w:sz w:val="21"/>
          <w:szCs w:val="21"/>
        </w:rPr>
        <w:t>投标人</w:t>
      </w:r>
      <w:r>
        <w:rPr>
          <w:rFonts w:ascii="宋体" w:hAnsi="宋体"/>
          <w:sz w:val="21"/>
          <w:szCs w:val="21"/>
        </w:rPr>
        <w:t>的商业秘密透露给任何单位和个人。未公告评标结果前不准泄露评标结果，不准将评标资料带出会场</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ascii="宋体" w:hAnsi="宋体"/>
          <w:sz w:val="21"/>
          <w:szCs w:val="21"/>
        </w:rPr>
        <w:t>7、评标过程中，涉及到相关法律法规不清楚之处的，由招标人监管部门或请示权威部门作出法定解释，涉及到</w:t>
      </w:r>
      <w:r>
        <w:rPr>
          <w:rFonts w:hint="eastAsia" w:ascii="宋体" w:hAnsi="宋体"/>
          <w:sz w:val="21"/>
          <w:szCs w:val="21"/>
        </w:rPr>
        <w:t>招标</w:t>
      </w:r>
      <w:r>
        <w:rPr>
          <w:rFonts w:ascii="宋体" w:hAnsi="宋体"/>
          <w:sz w:val="21"/>
          <w:szCs w:val="21"/>
        </w:rPr>
        <w:t>文件的由编制招标文件的机构和部门负责解释。</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lang w:val="zh-CN"/>
        </w:rPr>
      </w:pPr>
      <w:r>
        <w:rPr>
          <w:rFonts w:ascii="宋体" w:hAnsi="宋体"/>
          <w:sz w:val="21"/>
          <w:szCs w:val="21"/>
        </w:rPr>
        <w:t>8、</w:t>
      </w:r>
      <w:r>
        <w:rPr>
          <w:rFonts w:hint="eastAsia" w:ascii="宋体" w:hAnsi="宋体"/>
          <w:sz w:val="21"/>
          <w:szCs w:val="21"/>
        </w:rPr>
        <w:t>如</w:t>
      </w:r>
      <w:r>
        <w:rPr>
          <w:rFonts w:ascii="宋体" w:hAnsi="宋体"/>
          <w:sz w:val="21"/>
          <w:szCs w:val="21"/>
        </w:rPr>
        <w:t>实行暗标评审的，其投标文件和产品样品的评审编号和编号保管，由监督人员负责；在评标委员</w:t>
      </w:r>
      <w:r>
        <w:rPr>
          <w:rFonts w:hint="eastAsia" w:ascii="宋体" w:hAnsi="宋体"/>
          <w:sz w:val="21"/>
          <w:szCs w:val="21"/>
        </w:rPr>
        <w:t>评分完成</w:t>
      </w:r>
      <w:r>
        <w:rPr>
          <w:rFonts w:ascii="宋体" w:hAnsi="宋体"/>
          <w:sz w:val="21"/>
          <w:szCs w:val="21"/>
        </w:rPr>
        <w:t>后，再将</w:t>
      </w:r>
      <w:r>
        <w:rPr>
          <w:rFonts w:hint="eastAsia" w:ascii="宋体" w:hAnsi="宋体"/>
          <w:sz w:val="21"/>
          <w:szCs w:val="21"/>
        </w:rPr>
        <w:t>投标人</w:t>
      </w:r>
      <w:r>
        <w:rPr>
          <w:rFonts w:ascii="宋体" w:hAnsi="宋体"/>
          <w:sz w:val="21"/>
          <w:szCs w:val="21"/>
        </w:rPr>
        <w:t>的投标文件和提供的产品样品编号交评委。</w:t>
      </w:r>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b/>
          <w:sz w:val="21"/>
          <w:szCs w:val="21"/>
        </w:rPr>
      </w:pPr>
      <w:r>
        <w:rPr>
          <w:rFonts w:hint="eastAsia" w:ascii="宋体" w:hAnsi="宋体"/>
          <w:b/>
          <w:sz w:val="21"/>
          <w:szCs w:val="21"/>
        </w:rPr>
        <w:t>（四） 评标程序</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1、在评标专家中推选评审小组组长，优先推选资深专家为组长；</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评审小组组长召集成员认真阅读招标文件以及相关补充、质疑、答复文件、项目书面说明等材料，熟悉招标项目的基本概况、质量要求、数量、主要技术标准或服务需求，合同主要条款，投标文件无效情形，评标方法、评标依据、评标标准等；</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3、</w:t>
      </w:r>
      <w:r>
        <w:rPr>
          <w:rFonts w:hint="eastAsia" w:ascii="宋体" w:hAnsi="宋体"/>
          <w:b/>
          <w:sz w:val="21"/>
          <w:szCs w:val="21"/>
          <w:u w:val="single"/>
        </w:rPr>
        <w:t>资格审查</w:t>
      </w:r>
      <w:r>
        <w:rPr>
          <w:rFonts w:hint="eastAsia" w:ascii="宋体" w:hAnsi="宋体"/>
          <w:sz w:val="21"/>
          <w:szCs w:val="21"/>
        </w:rPr>
        <w:t>，按照招标文件要求对投标人逐一进行资格审查；</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4、</w:t>
      </w:r>
      <w:r>
        <w:rPr>
          <w:rFonts w:hint="eastAsia" w:ascii="宋体" w:hAnsi="宋体"/>
          <w:b/>
          <w:sz w:val="21"/>
          <w:szCs w:val="21"/>
          <w:u w:val="single"/>
        </w:rPr>
        <w:t>商务技术文件的符合性审查</w:t>
      </w:r>
      <w:r>
        <w:rPr>
          <w:rFonts w:hint="eastAsia" w:ascii="宋体" w:hAnsi="宋体"/>
          <w:sz w:val="21"/>
          <w:szCs w:val="21"/>
        </w:rPr>
        <w:t>，评审小组对通过资格审查的各投标文件商务、技术部分的有效性、完整性和响应程度等进行审查，确定是否对招标文件作出实质性响应；</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5、</w:t>
      </w:r>
      <w:r>
        <w:rPr>
          <w:rFonts w:hint="eastAsia" w:ascii="宋体" w:hAnsi="宋体"/>
          <w:b/>
          <w:sz w:val="21"/>
          <w:szCs w:val="21"/>
          <w:u w:val="single"/>
        </w:rPr>
        <w:t>商务技术评分</w:t>
      </w:r>
      <w:r>
        <w:rPr>
          <w:rFonts w:hint="eastAsia" w:ascii="宋体" w:hAnsi="宋体"/>
          <w:sz w:val="21"/>
          <w:szCs w:val="21"/>
        </w:rPr>
        <w:t>，评审小组按招标文件规定的评标方法和评标标准，依法独立对投标文件商务、技术部分进行评估、比较，并给予评价或打分，不受任何单位和个人的干预；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6、评标人员对各投标文件非实质性内容有疑议或异议，或者审查发现明显的文字或计算错误等，及时向评审小组组长提出。经评审小组商议认为需要投标人作出必要澄清或说明的，应通知该投标人代表以书面</w:t>
      </w:r>
      <w:r>
        <w:rPr>
          <w:rFonts w:hint="eastAsia" w:ascii="宋体" w:hAnsi="宋体" w:cs="Arial"/>
          <w:kern w:val="0"/>
          <w:sz w:val="21"/>
          <w:szCs w:val="21"/>
        </w:rPr>
        <w:t>（或通过“政府采购云平台”在线答复）</w:t>
      </w:r>
      <w:r>
        <w:rPr>
          <w:rFonts w:hint="eastAsia" w:ascii="宋体" w:hAnsi="宋体"/>
          <w:sz w:val="21"/>
          <w:szCs w:val="21"/>
        </w:rPr>
        <w:t>形式作出澄清或说明，</w:t>
      </w:r>
      <w:r>
        <w:rPr>
          <w:rFonts w:hint="eastAsia" w:ascii="宋体" w:hAnsi="宋体" w:cs="Arial"/>
          <w:kern w:val="0"/>
          <w:sz w:val="21"/>
          <w:szCs w:val="21"/>
        </w:rPr>
        <w:t>投标人的澄清、说明或者补正不得超出投标文件的范围或者改变投标文件的实质性内容。</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7、评审小组对商务、技术部分评审结果进行确认，现场监督员对评审结果签署监督意见。如发现分项评分超出评分标准范围、客观评分不一致以及存在评分畸高、畸低情形的，应由相关人员当场改正或作出说明；拒不改正又不作说明的，由现场监督员如实记载后存入项目档案资料；</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8、</w:t>
      </w:r>
      <w:r>
        <w:rPr>
          <w:rFonts w:hint="eastAsia" w:ascii="宋体" w:hAnsi="宋体"/>
          <w:b/>
          <w:sz w:val="21"/>
          <w:szCs w:val="21"/>
          <w:u w:val="single"/>
        </w:rPr>
        <w:t>报价文件的符合性审查</w:t>
      </w:r>
      <w:r>
        <w:rPr>
          <w:rFonts w:hint="eastAsia" w:ascii="宋体" w:hAnsi="宋体"/>
          <w:sz w:val="21"/>
          <w:szCs w:val="21"/>
        </w:rPr>
        <w:t>，对开启的投标文件报价部分的进行有效性、完整性和响应程度等进行审查，确定是否对招标文件作出实质性响应；</w:t>
      </w:r>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b/>
          <w:sz w:val="21"/>
          <w:szCs w:val="21"/>
          <w:lang w:val="zh-CN"/>
        </w:rPr>
      </w:pPr>
      <w:r>
        <w:rPr>
          <w:rFonts w:hint="eastAsia" w:ascii="宋体" w:hAnsi="宋体"/>
          <w:b/>
          <w:sz w:val="21"/>
          <w:szCs w:val="21"/>
        </w:rPr>
        <w:t>（五）</w:t>
      </w:r>
      <w:r>
        <w:rPr>
          <w:rFonts w:hint="eastAsia" w:ascii="宋体" w:hAnsi="宋体"/>
          <w:b/>
          <w:sz w:val="21"/>
          <w:szCs w:val="21"/>
          <w:lang w:val="zh-CN"/>
        </w:rPr>
        <w:t>投标文件的鉴定</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lang w:val="zh-CN"/>
        </w:rPr>
      </w:pPr>
      <w:r>
        <w:rPr>
          <w:rFonts w:hint="eastAsia" w:ascii="宋体" w:hAnsi="宋体"/>
          <w:sz w:val="21"/>
          <w:szCs w:val="21"/>
          <w:lang w:val="zh-CN"/>
        </w:rPr>
        <w:t>1、评审小组将审查每份投标文件是否实质上响应了招标文件的要求。重大偏离和保留、细微偏离由评审小组鉴定。如发现投标文件与招标文件要求有重大偏离和保留，其投标文件将被作无效标处理。投标人不得通过修正或撤消不符合招标文件要求的重大偏离和保留从而使其投标文件实质性响应招标文件要求。但允许投标文件在实质性满足招标文件要求的前提下出现的细微偏差，在详细评审时可按评分办法对细微偏差做出不利于该投标人的评审。</w:t>
      </w:r>
    </w:p>
    <w:p>
      <w:pPr>
        <w:pStyle w:val="11"/>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jc w:val="left"/>
        <w:textAlignment w:val="auto"/>
        <w:rPr>
          <w:rFonts w:hAnsi="宋体"/>
          <w:szCs w:val="21"/>
        </w:rPr>
      </w:pPr>
      <w:r>
        <w:rPr>
          <w:rFonts w:hint="eastAsia" w:hAnsi="宋体"/>
          <w:b/>
          <w:szCs w:val="21"/>
        </w:rPr>
        <w:t>2、无效标情形</w:t>
      </w:r>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sz w:val="21"/>
          <w:szCs w:val="21"/>
        </w:rPr>
      </w:pPr>
      <w:bookmarkStart w:id="92" w:name="_Hlk33211013"/>
      <w:r>
        <w:rPr>
          <w:rFonts w:hint="eastAsia" w:ascii="宋体" w:hAnsi="宋体"/>
          <w:sz w:val="21"/>
          <w:szCs w:val="21"/>
        </w:rPr>
        <w:t>（一）商务、技术文件符合性审查中，存在</w:t>
      </w:r>
      <w:r>
        <w:rPr>
          <w:rFonts w:ascii="宋体" w:hAnsi="宋体"/>
          <w:sz w:val="21"/>
          <w:szCs w:val="21"/>
        </w:rPr>
        <w:t>下列情形之一的，</w:t>
      </w:r>
      <w:r>
        <w:rPr>
          <w:rFonts w:hint="eastAsia" w:ascii="宋体" w:hAnsi="宋体"/>
          <w:sz w:val="21"/>
          <w:szCs w:val="21"/>
        </w:rPr>
        <w:t>经评审小组按少数服从多数原则认定后作无效标处理</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bookmarkStart w:id="93" w:name="_Toc33194396"/>
      <w:r>
        <w:rPr>
          <w:rFonts w:hint="eastAsia" w:ascii="宋体" w:hAnsi="宋体"/>
          <w:sz w:val="21"/>
          <w:szCs w:val="21"/>
        </w:rPr>
        <w:t>（1）投标文件未有效授权，法定代表人授权委托书等填写不完整或有涂改的；</w:t>
      </w:r>
      <w:bookmarkEnd w:id="93"/>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）投标文件没有对本招标文件作出实质性响应的，或不满足（不响应）本招标文件中标注“▲”的实质性要求条款的，或存在招标文件中明确规定的其他无效标情形的；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）投标文件存在一个或一个以上备选（替代）投标方案的；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）仅提交“备份投标文件”的；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）文件组成内容不齐全，本招标文件规定必须提供而未提供的（属于资格审查范围的除外）；</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）投标文件标注的响应或偏离情况与事实不符，或提供了虚假材料的；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7</w:t>
      </w:r>
      <w:r>
        <w:rPr>
          <w:rFonts w:hint="eastAsia" w:ascii="宋体" w:hAnsi="宋体"/>
          <w:sz w:val="21"/>
          <w:szCs w:val="21"/>
        </w:rPr>
        <w:t>）不响应或擅自改变本招标文件要求或投标文件有采购人不能接受的附加条件的；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8</w:t>
      </w:r>
      <w:r>
        <w:rPr>
          <w:rFonts w:hint="eastAsia" w:ascii="宋体" w:hAnsi="宋体"/>
          <w:sz w:val="21"/>
          <w:szCs w:val="21"/>
        </w:rPr>
        <w:t>）参加同一合同项下政府采购活动的不同投标人之间存在利害关系并且存在影响政府采购公平竞争行为的；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bookmarkStart w:id="94" w:name="_Toc33194397"/>
      <w:r>
        <w:rPr>
          <w:rFonts w:hint="eastAsia" w:ascii="宋体" w:hAnsi="宋体"/>
          <w:sz w:val="21"/>
          <w:szCs w:val="21"/>
        </w:rPr>
        <w:t>（9）招标人拟采购的产品如属于品目清单范围内的强制采购品目的，投标人未</w:t>
      </w:r>
      <w:bookmarkEnd w:id="94"/>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bookmarkStart w:id="95" w:name="_Toc33194398"/>
      <w:r>
        <w:rPr>
          <w:rFonts w:hint="eastAsia" w:ascii="宋体" w:hAnsi="宋体"/>
          <w:sz w:val="21"/>
          <w:szCs w:val="21"/>
        </w:rPr>
        <w:t>能在响应文件中提供国家确定的认证机构出具的、处于有效期之内的该产品节能产品、环境标志产品认证证书；</w:t>
      </w:r>
      <w:bookmarkEnd w:id="95"/>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w:t>
      </w:r>
      <w:r>
        <w:rPr>
          <w:rFonts w:ascii="宋体" w:hAnsi="宋体"/>
          <w:sz w:val="21"/>
          <w:szCs w:val="21"/>
        </w:rPr>
        <w:t>0</w:t>
      </w:r>
      <w:r>
        <w:rPr>
          <w:rFonts w:hint="eastAsia" w:ascii="宋体" w:hAnsi="宋体"/>
          <w:sz w:val="21"/>
          <w:szCs w:val="21"/>
        </w:rPr>
        <w:t>）违反国家或政府部门相关法律、法规、文件规定的。</w:t>
      </w:r>
      <w:bookmarkEnd w:id="92"/>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sz w:val="21"/>
          <w:szCs w:val="21"/>
        </w:rPr>
      </w:pPr>
      <w:r>
        <w:rPr>
          <w:rFonts w:hint="eastAsia" w:ascii="宋体" w:hAnsi="宋体"/>
          <w:sz w:val="21"/>
          <w:szCs w:val="21"/>
        </w:rPr>
        <w:t>（二）报价文件符合性审查中，存在</w:t>
      </w:r>
      <w:r>
        <w:rPr>
          <w:rFonts w:ascii="宋体" w:hAnsi="宋体"/>
          <w:sz w:val="21"/>
          <w:szCs w:val="21"/>
        </w:rPr>
        <w:t>下列情形之一的，</w:t>
      </w:r>
      <w:r>
        <w:rPr>
          <w:rFonts w:hint="eastAsia" w:ascii="宋体" w:hAnsi="宋体"/>
          <w:sz w:val="21"/>
          <w:szCs w:val="21"/>
        </w:rPr>
        <w:t>经评审小组认定后作无效标处理</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（1）投标文件没有对本招标文件作出实质性响应的，或不满足（不响应）本招标文件中标注“▲”的实质性要求条款的，或存在招标文件中明确规定的其他无效标情形的；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（2）投标文件存在一个或一个以上备选（替代）投标方案的；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（3）未按照招标文件标明的币种报价的，或者投标报价涵盖的内容不符合招标文件要求的；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（4）《开标一览表》内容与《投标报价明细表》内容不一致且拒不接受修正的；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（5）投标报价具有选择性，唱标价格与《投标文件》承诺的优惠（折扣）后价格不一致的；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（6）投标报价超过采购预算（或最高限价）的；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（7）仅提交“备份投标文件”的；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（8）投标文件组成内容不齐全，本招标文件规定必须提供而未提供的（属于资格审查范围的除外）；</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（9）投标文件标注的响应或偏离情况与事实不符，或提供了虚假材料的；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（10）不响应或擅自改变本招标文件要求或投标文件有采购人不能接受的附加条件的；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w:t>
      </w:r>
      <w:r>
        <w:rPr>
          <w:rFonts w:ascii="宋体" w:hAnsi="宋体"/>
          <w:sz w:val="21"/>
          <w:szCs w:val="21"/>
        </w:rPr>
        <w:t>1</w:t>
      </w:r>
      <w:r>
        <w:rPr>
          <w:rFonts w:hint="eastAsia" w:ascii="宋体" w:hAnsi="宋体"/>
          <w:sz w:val="21"/>
          <w:szCs w:val="21"/>
        </w:rPr>
        <w:t>）评审委员会认为投标人报价明显低于其他合格投标人的报价，有可能影响产品质量或者不能诚信履约的，应当要求其在合理时间内提供书面说明，必要时提供相关证明材料；投标人不能证明其报价合理性的；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w:t>
      </w:r>
      <w:r>
        <w:rPr>
          <w:rFonts w:ascii="宋体" w:hAnsi="宋体"/>
          <w:sz w:val="21"/>
          <w:szCs w:val="21"/>
        </w:rPr>
        <w:t>2</w:t>
      </w:r>
      <w:r>
        <w:rPr>
          <w:rFonts w:hint="eastAsia" w:ascii="宋体" w:hAnsi="宋体"/>
          <w:sz w:val="21"/>
          <w:szCs w:val="21"/>
        </w:rPr>
        <w:t>）违反国家或政府部门相关法律、法规、文件规定的。</w:t>
      </w:r>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sz w:val="21"/>
          <w:szCs w:val="21"/>
        </w:rPr>
      </w:pPr>
      <w:r>
        <w:rPr>
          <w:rFonts w:hint="eastAsia" w:ascii="宋体" w:hAnsi="宋体"/>
          <w:b/>
          <w:sz w:val="21"/>
          <w:szCs w:val="21"/>
        </w:rPr>
        <w:t>3、投标报价的错误修正</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评审小组将对确定为实质上响应招标文件要求的投标文件报价部分进行校核，看其在投标报价方面是否有计算、累计或表达上的错误，修正错误的原则及顺序如下：</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（1）投标文件中开标一览表(报价表)内容与投标文件中明细表内容不一致的，以开标一览表为准；</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（2）投标文件的大写金额和小写金额不一致的，以大写金额为准；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）如分项价格或单价有遗报，应视作已含在投标</w:t>
      </w:r>
      <w:r>
        <w:rPr>
          <w:rFonts w:hint="eastAsia" w:ascii="宋体" w:hAnsi="宋体"/>
          <w:sz w:val="21"/>
          <w:szCs w:val="21"/>
          <w:lang w:val="en-US" w:eastAsia="zh-CN"/>
        </w:rPr>
        <w:t>报价</w:t>
      </w:r>
      <w:r>
        <w:rPr>
          <w:rFonts w:hint="eastAsia" w:ascii="宋体" w:hAnsi="宋体"/>
          <w:sz w:val="21"/>
          <w:szCs w:val="21"/>
        </w:rPr>
        <w:t>中；其投标</w:t>
      </w:r>
      <w:r>
        <w:rPr>
          <w:rFonts w:hint="eastAsia" w:ascii="宋体" w:hAnsi="宋体"/>
          <w:sz w:val="21"/>
          <w:szCs w:val="21"/>
          <w:lang w:val="en-US" w:eastAsia="zh-CN"/>
        </w:rPr>
        <w:t>报价</w:t>
      </w:r>
      <w:r>
        <w:rPr>
          <w:rFonts w:hint="eastAsia" w:ascii="宋体" w:hAnsi="宋体"/>
          <w:sz w:val="21"/>
          <w:szCs w:val="21"/>
        </w:rPr>
        <w:t>不予调整。其分项价或单价由评审小组在投标</w:t>
      </w:r>
      <w:r>
        <w:rPr>
          <w:rFonts w:hint="eastAsia" w:ascii="宋体" w:hAnsi="宋体"/>
          <w:sz w:val="21"/>
          <w:szCs w:val="21"/>
          <w:lang w:val="en-US" w:eastAsia="zh-CN"/>
        </w:rPr>
        <w:t>报价</w:t>
      </w:r>
      <w:r>
        <w:rPr>
          <w:rFonts w:hint="eastAsia" w:ascii="宋体" w:hAnsi="宋体"/>
          <w:sz w:val="21"/>
          <w:szCs w:val="21"/>
        </w:rPr>
        <w:t>不变的前提下根据合理的原则对其予以确定；</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）如有多报、重报，其投标</w:t>
      </w:r>
      <w:r>
        <w:rPr>
          <w:rFonts w:hint="eastAsia" w:ascii="宋体" w:hAnsi="宋体"/>
          <w:sz w:val="21"/>
          <w:szCs w:val="21"/>
          <w:lang w:val="en-US" w:eastAsia="zh-CN"/>
        </w:rPr>
        <w:t>报价</w:t>
      </w:r>
      <w:r>
        <w:rPr>
          <w:rFonts w:hint="eastAsia" w:ascii="宋体" w:hAnsi="宋体"/>
          <w:sz w:val="21"/>
          <w:szCs w:val="21"/>
        </w:rPr>
        <w:t>在评标过程中不予调整。如其中标，其合同价按其投标单价予以调整；</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）单价金额小数点有明显错位的，应以总价为准，并修改单价。</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按上述修正错误的原则，调整或修正投标文件的投标报价。经投标人确认后，调整后的投标报价对投标人起约束作用。如果投标人不接受或者投标人在评标结束之前不能到场确认的，评审小组将把调整或修正后的投标报价作为该投标人的投标报价，进入商务报价评标，但不接受修正的投标人最终将丧失其中标候选人资格。</w:t>
      </w:r>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b/>
          <w:sz w:val="21"/>
          <w:szCs w:val="21"/>
        </w:rPr>
      </w:pPr>
      <w:r>
        <w:rPr>
          <w:rFonts w:hint="eastAsia" w:ascii="宋体" w:hAnsi="宋体"/>
          <w:b/>
          <w:sz w:val="21"/>
          <w:szCs w:val="21"/>
        </w:rPr>
        <w:t>4、废标</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在招标采购中，出现下列情形之一的，本项目废标：</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（1）符合专业条件的投标人或者对招标文件作实质响应的投标人不足三家的；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（2）出现影响采购公正的违法、违规行为的；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（3）投标人的报价均超过了采购预算，采购人不能支付的；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（4）因重大变故，采购任务取消的。</w:t>
      </w:r>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b/>
          <w:sz w:val="21"/>
          <w:szCs w:val="21"/>
        </w:rPr>
      </w:pPr>
      <w:r>
        <w:rPr>
          <w:rFonts w:hint="eastAsia" w:ascii="宋体" w:hAnsi="宋体"/>
          <w:b/>
          <w:sz w:val="21"/>
          <w:szCs w:val="21"/>
        </w:rPr>
        <w:t>5、可中止电子交易活动的情形</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rFonts w:ascii="宋体" w:hAnsi="宋体"/>
          <w:b/>
          <w:bCs/>
          <w:sz w:val="21"/>
          <w:szCs w:val="21"/>
        </w:rPr>
      </w:pPr>
      <w:r>
        <w:rPr>
          <w:rFonts w:hint="eastAsia" w:ascii="宋体" w:hAnsi="宋体"/>
          <w:b/>
          <w:bCs/>
          <w:sz w:val="21"/>
          <w:szCs w:val="21"/>
        </w:rPr>
        <w:t>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（1）电子交易平台发生故障而无法登录访问的；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（4）病毒发作导致不能进行正常操作的；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290" w:lineRule="exact"/>
        <w:ind w:firstLine="422" w:firstLineChars="200"/>
        <w:textAlignment w:val="auto"/>
        <w:rPr>
          <w:b/>
          <w:bCs/>
          <w:sz w:val="21"/>
          <w:szCs w:val="21"/>
        </w:rPr>
      </w:pPr>
      <w:r>
        <w:rPr>
          <w:rFonts w:hint="eastAsia" w:ascii="宋体" w:hAnsi="宋体"/>
          <w:b/>
          <w:bCs/>
          <w:sz w:val="21"/>
          <w:szCs w:val="21"/>
        </w:rPr>
        <w:t>出现前款规定情形，不影响采购公平、公正性的，采购组织机构可以待上述情形消除后继续组织电子交易活动；影响或可能影响采购公平、公正性的，应当重新采购。</w:t>
      </w:r>
    </w:p>
    <w:p>
      <w:pPr>
        <w:pStyle w:val="29"/>
        <w:keepNext w:val="0"/>
        <w:keepLines w:val="0"/>
        <w:pageBreakBefore w:val="0"/>
        <w:widowControl w:val="0"/>
        <w:kinsoku/>
        <w:wordWrap/>
        <w:overflowPunct/>
        <w:topLinePunct w:val="0"/>
        <w:autoSpaceDE/>
        <w:autoSpaceDN/>
        <w:bidi w:val="0"/>
        <w:adjustRightInd w:val="0"/>
        <w:snapToGrid w:val="0"/>
        <w:spacing w:line="290" w:lineRule="exact"/>
        <w:ind w:firstLine="0" w:firstLineChars="0"/>
        <w:textAlignment w:val="auto"/>
        <w:rPr>
          <w:rFonts w:ascii="宋体" w:hAnsi="宋体"/>
          <w:sz w:val="21"/>
          <w:szCs w:val="21"/>
        </w:rPr>
      </w:pPr>
      <w:r>
        <w:rPr>
          <w:rFonts w:hint="eastAsia" w:ascii="宋体" w:hAnsi="宋体"/>
          <w:b/>
          <w:sz w:val="21"/>
          <w:szCs w:val="21"/>
        </w:rPr>
        <w:t>（六）投标文件的澄清、说明或补正</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hint="eastAsia" w:ascii="Calibri Light" w:hAnsi="Calibri Light"/>
          <w:sz w:val="21"/>
          <w:szCs w:val="21"/>
        </w:rPr>
        <w:t>1、对于投标文件中含义不明确、同类问题表述不一致或者有明显文字和计算错误的内容，评审小组将以书面形式（或通过“政府采购云平台”在线询标）的形式要求投标人在规定的时间内作出必要的澄清、说明或者补正，投标人澄清、说明或补正时间为30分钟。</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hint="eastAsia" w:ascii="Calibri Light" w:hAnsi="Calibri Light"/>
          <w:sz w:val="21"/>
          <w:szCs w:val="21"/>
        </w:rPr>
        <w:t>2、投标人的澄清、说明或者补正应当采用书面（或通过“政府采购云平台”在线答复）形式提交，并加盖公章，或者由法定代表人或其授权的代表签字。投标人的澄清、说明或者补正不得超出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b/>
          <w:sz w:val="21"/>
          <w:szCs w:val="21"/>
        </w:rPr>
      </w:pPr>
      <w:r>
        <w:rPr>
          <w:rFonts w:hint="eastAsia" w:ascii="宋体" w:hAnsi="宋体"/>
          <w:b/>
          <w:sz w:val="21"/>
          <w:szCs w:val="21"/>
        </w:rPr>
        <w:t>（七）评分办法</w:t>
      </w:r>
    </w:p>
    <w:bookmarkEnd w:id="91"/>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bookmarkStart w:id="96" w:name="_Toc86216994"/>
      <w:r>
        <w:rPr>
          <w:rFonts w:hint="eastAsia" w:ascii="Calibri Light" w:hAnsi="Calibri Light"/>
          <w:sz w:val="21"/>
          <w:szCs w:val="21"/>
        </w:rPr>
        <w:t>详见“第六部分  评分办法”。</w:t>
      </w:r>
    </w:p>
    <w:p>
      <w:pPr>
        <w:pStyle w:val="29"/>
        <w:keepNext w:val="0"/>
        <w:keepLines w:val="0"/>
        <w:pageBreakBefore w:val="0"/>
        <w:widowControl w:val="0"/>
        <w:kinsoku/>
        <w:wordWrap/>
        <w:overflowPunct/>
        <w:topLinePunct w:val="0"/>
        <w:autoSpaceDE/>
        <w:autoSpaceDN/>
        <w:bidi w:val="0"/>
        <w:adjustRightInd w:val="0"/>
        <w:snapToGrid w:val="0"/>
        <w:spacing w:line="290" w:lineRule="exact"/>
        <w:ind w:firstLine="0" w:firstLineChars="0"/>
        <w:textAlignment w:val="auto"/>
        <w:rPr>
          <w:rFonts w:ascii="宋体" w:hAnsi="宋体"/>
          <w:b/>
          <w:sz w:val="21"/>
          <w:szCs w:val="21"/>
        </w:rPr>
      </w:pPr>
      <w:r>
        <w:rPr>
          <w:rFonts w:hint="eastAsia" w:ascii="宋体" w:hAnsi="宋体"/>
          <w:b/>
          <w:sz w:val="21"/>
          <w:szCs w:val="21"/>
        </w:rPr>
        <w:t>（八）评标内容的保密</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hint="eastAsia" w:ascii="Calibri Light" w:hAnsi="Calibri Light"/>
          <w:sz w:val="21"/>
          <w:szCs w:val="21"/>
        </w:rPr>
        <w:t>1、公开开标后，直到公告中标单位止，凡属于审查、澄清、评价和比较投标的所有资料，都不向投标人或与评标无关的其他人泄露。</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hint="eastAsia" w:ascii="Calibri Light" w:hAnsi="Calibri Light"/>
          <w:sz w:val="21"/>
          <w:szCs w:val="21"/>
        </w:rPr>
        <w:t>2、 在投标文件的审查、澄清、评价和比较以及确定中标人过程中，投标人对招标人、招标代理机构和评审小组施加影响的任何行为，都将导致取消资格。</w:t>
      </w:r>
    </w:p>
    <w:p>
      <w:pPr>
        <w:pageBreakBefore w:val="0"/>
        <w:kinsoku/>
        <w:wordWrap/>
        <w:overflowPunct/>
        <w:topLinePunct w:val="0"/>
        <w:bidi w:val="0"/>
        <w:adjustRightInd w:val="0"/>
        <w:snapToGrid w:val="0"/>
        <w:spacing w:line="290" w:lineRule="exact"/>
        <w:jc w:val="center"/>
        <w:textAlignment w:val="auto"/>
        <w:outlineLvl w:val="9"/>
        <w:rPr>
          <w:rFonts w:ascii="宋体" w:hAnsi="宋体"/>
          <w:b/>
          <w:sz w:val="21"/>
          <w:szCs w:val="21"/>
        </w:rPr>
      </w:pPr>
      <w:bookmarkStart w:id="97" w:name="_Toc233618978"/>
      <w:bookmarkStart w:id="98" w:name="_Toc522530047"/>
      <w:bookmarkStart w:id="99" w:name="_Toc23416"/>
    </w:p>
    <w:p>
      <w:pPr>
        <w:pageBreakBefore w:val="0"/>
        <w:kinsoku/>
        <w:wordWrap/>
        <w:overflowPunct/>
        <w:topLinePunct w:val="0"/>
        <w:bidi w:val="0"/>
        <w:adjustRightInd w:val="0"/>
        <w:snapToGrid w:val="0"/>
        <w:spacing w:line="290" w:lineRule="exact"/>
        <w:jc w:val="center"/>
        <w:textAlignment w:val="auto"/>
        <w:outlineLvl w:val="1"/>
        <w:rPr>
          <w:rFonts w:ascii="宋体" w:hAnsi="宋体"/>
          <w:b/>
          <w:sz w:val="30"/>
          <w:szCs w:val="30"/>
        </w:rPr>
      </w:pPr>
      <w:bookmarkStart w:id="100" w:name="_Toc18142"/>
      <w:bookmarkStart w:id="101" w:name="_Toc7723"/>
      <w:bookmarkStart w:id="102" w:name="_Toc14988"/>
      <w:r>
        <w:rPr>
          <w:rFonts w:hint="eastAsia" w:ascii="宋体" w:hAnsi="宋体"/>
          <w:b/>
          <w:sz w:val="30"/>
          <w:szCs w:val="30"/>
        </w:rPr>
        <w:t>七、定 标</w:t>
      </w:r>
      <w:bookmarkEnd w:id="96"/>
      <w:bookmarkEnd w:id="97"/>
      <w:bookmarkEnd w:id="98"/>
      <w:bookmarkEnd w:id="99"/>
      <w:bookmarkEnd w:id="100"/>
      <w:bookmarkEnd w:id="101"/>
      <w:bookmarkEnd w:id="102"/>
    </w:p>
    <w:p>
      <w:pPr>
        <w:pStyle w:val="8"/>
        <w:keepNext w:val="0"/>
        <w:keepLines w:val="0"/>
        <w:pageBreakBefore w:val="0"/>
        <w:widowControl w:val="0"/>
        <w:tabs>
          <w:tab w:val="left" w:pos="1440"/>
        </w:tabs>
        <w:kinsoku/>
        <w:wordWrap/>
        <w:overflowPunct/>
        <w:topLinePunct w:val="0"/>
        <w:autoSpaceDE/>
        <w:autoSpaceDN/>
        <w:bidi w:val="0"/>
        <w:adjustRightInd w:val="0"/>
        <w:snapToGrid w:val="0"/>
        <w:spacing w:line="290" w:lineRule="exact"/>
        <w:ind w:firstLine="0"/>
        <w:textAlignment w:val="auto"/>
        <w:rPr>
          <w:rFonts w:ascii="宋体" w:hAnsi="宋体" w:eastAsia="宋体"/>
          <w:b/>
          <w:sz w:val="21"/>
          <w:szCs w:val="21"/>
        </w:rPr>
      </w:pPr>
      <w:r>
        <w:rPr>
          <w:rFonts w:hint="eastAsia" w:ascii="宋体" w:hAnsi="宋体" w:eastAsia="宋体"/>
          <w:b/>
          <w:sz w:val="21"/>
          <w:szCs w:val="21"/>
        </w:rPr>
        <w:t>（一）定标</w:t>
      </w:r>
      <w:r>
        <w:rPr>
          <w:rFonts w:ascii="宋体" w:hAnsi="宋体" w:eastAsia="宋体"/>
          <w:b/>
          <w:sz w:val="21"/>
          <w:szCs w:val="21"/>
        </w:rPr>
        <w:tab/>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评审小组根据以下规定确定投标人排名并推荐中标候选人。</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1、评审小组根据各投标人的综合得分（商务技术分与报价得分之和）从高到低依次进行排名排序。特殊情形按以下原则处理：</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（1）综合得分相同的，按投标报价低的优先原则确定排名；</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（2）综合得分和投标报价均相同的，按商务技术得分从高到低确定排名；</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（3）综合得分、投标报价和商务技术得分均相同的由评审小组全体成员记名投票按少数服从多数的原则确定排名。</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2、根据最终得分排序，通过书面评审报告的形式，向采购人推荐排名第一的投标人为中标候选人。</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3、评审结束后，采购代理机构将通过“政府采购云平台”起草评审报告，评审小组成员应当在评审报告上签字，对自己的评审意见承担法律责任。对评审报告有异议的，应当在评审报告上签署不同意见，并说明理由，否则视为同意评审报告。</w:t>
      </w:r>
    </w:p>
    <w:p>
      <w:pPr>
        <w:pStyle w:val="8"/>
        <w:keepNext w:val="0"/>
        <w:keepLines w:val="0"/>
        <w:pageBreakBefore w:val="0"/>
        <w:widowControl w:val="0"/>
        <w:tabs>
          <w:tab w:val="left" w:pos="1440"/>
        </w:tabs>
        <w:kinsoku/>
        <w:wordWrap/>
        <w:overflowPunct/>
        <w:topLinePunct w:val="0"/>
        <w:autoSpaceDE/>
        <w:autoSpaceDN/>
        <w:bidi w:val="0"/>
        <w:adjustRightInd w:val="0"/>
        <w:snapToGrid w:val="0"/>
        <w:spacing w:line="290" w:lineRule="exact"/>
        <w:ind w:firstLine="0"/>
        <w:textAlignment w:val="auto"/>
        <w:rPr>
          <w:rFonts w:ascii="宋体" w:hAnsi="宋体" w:eastAsia="宋体"/>
          <w:b/>
          <w:sz w:val="21"/>
          <w:szCs w:val="21"/>
        </w:rPr>
      </w:pPr>
      <w:r>
        <w:rPr>
          <w:rFonts w:hint="eastAsia" w:ascii="宋体" w:hAnsi="宋体" w:eastAsia="宋体"/>
          <w:b/>
          <w:sz w:val="21"/>
          <w:szCs w:val="21"/>
        </w:rPr>
        <w:t>（二）招标结果公告</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在招标人确认招标结果后招标代理机构按相关政府采购规定将招标结果发布在原招标公告发布媒体。公告有效期为</w:t>
      </w:r>
      <w:r>
        <w:rPr>
          <w:rFonts w:ascii="宋体" w:hAnsi="宋体"/>
          <w:sz w:val="21"/>
          <w:szCs w:val="21"/>
        </w:rPr>
        <w:t>1</w:t>
      </w:r>
      <w:r>
        <w:rPr>
          <w:rFonts w:hint="eastAsia" w:ascii="宋体" w:hAnsi="宋体"/>
          <w:sz w:val="21"/>
          <w:szCs w:val="21"/>
        </w:rPr>
        <w:t>个工作日。招标人、招标代理机构及评审小组对未中标的投标人不作落标原因解释。</w:t>
      </w:r>
    </w:p>
    <w:p>
      <w:pPr>
        <w:pStyle w:val="8"/>
        <w:keepNext w:val="0"/>
        <w:keepLines w:val="0"/>
        <w:pageBreakBefore w:val="0"/>
        <w:widowControl w:val="0"/>
        <w:tabs>
          <w:tab w:val="left" w:pos="1440"/>
        </w:tabs>
        <w:kinsoku/>
        <w:wordWrap/>
        <w:overflowPunct/>
        <w:topLinePunct w:val="0"/>
        <w:autoSpaceDE/>
        <w:autoSpaceDN/>
        <w:bidi w:val="0"/>
        <w:adjustRightInd w:val="0"/>
        <w:snapToGrid w:val="0"/>
        <w:spacing w:line="290" w:lineRule="exact"/>
        <w:ind w:firstLine="0"/>
        <w:textAlignment w:val="auto"/>
        <w:rPr>
          <w:rFonts w:ascii="宋体" w:hAnsi="宋体" w:eastAsia="宋体"/>
          <w:b/>
          <w:sz w:val="21"/>
          <w:szCs w:val="21"/>
        </w:rPr>
      </w:pPr>
      <w:bookmarkStart w:id="103" w:name="_Hlt75236103"/>
      <w:bookmarkEnd w:id="103"/>
      <w:bookmarkStart w:id="104" w:name="_Toc86216995"/>
      <w:bookmarkStart w:id="105" w:name="_Toc91899910"/>
      <w:r>
        <w:rPr>
          <w:rFonts w:hint="eastAsia" w:ascii="宋体" w:hAnsi="宋体" w:eastAsia="宋体"/>
          <w:b/>
          <w:sz w:val="21"/>
          <w:szCs w:val="21"/>
        </w:rPr>
        <w:t>（三）中标通知书</w:t>
      </w:r>
      <w:r>
        <w:rPr>
          <w:rFonts w:ascii="宋体" w:hAnsi="宋体" w:eastAsia="宋体"/>
          <w:b/>
          <w:sz w:val="21"/>
          <w:szCs w:val="21"/>
        </w:rPr>
        <w:tab/>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宋体" w:hAnsi="宋体"/>
          <w:sz w:val="21"/>
          <w:szCs w:val="21"/>
        </w:rPr>
      </w:pPr>
      <w:r>
        <w:rPr>
          <w:rFonts w:hint="eastAsia" w:ascii="宋体" w:hAnsi="宋体"/>
          <w:sz w:val="21"/>
          <w:szCs w:val="21"/>
        </w:rPr>
        <w:t>在公告中标结果的同时，招标人或者招标代理机构应当向中标人发出中标通知书。</w:t>
      </w:r>
    </w:p>
    <w:p>
      <w:pPr>
        <w:pageBreakBefore w:val="0"/>
        <w:kinsoku/>
        <w:wordWrap/>
        <w:overflowPunct/>
        <w:topLinePunct w:val="0"/>
        <w:bidi w:val="0"/>
        <w:adjustRightInd w:val="0"/>
        <w:snapToGrid w:val="0"/>
        <w:spacing w:line="290" w:lineRule="exact"/>
        <w:jc w:val="center"/>
        <w:textAlignment w:val="auto"/>
        <w:outlineLvl w:val="9"/>
        <w:rPr>
          <w:rFonts w:ascii="宋体" w:hAnsi="宋体"/>
          <w:b/>
          <w:sz w:val="32"/>
        </w:rPr>
      </w:pPr>
      <w:bookmarkStart w:id="106" w:name="_Toc522530048"/>
      <w:bookmarkStart w:id="107" w:name="_Toc15506"/>
      <w:bookmarkStart w:id="108" w:name="_Toc233618979"/>
    </w:p>
    <w:p>
      <w:pPr>
        <w:pageBreakBefore w:val="0"/>
        <w:kinsoku/>
        <w:wordWrap/>
        <w:overflowPunct/>
        <w:topLinePunct w:val="0"/>
        <w:bidi w:val="0"/>
        <w:adjustRightInd w:val="0"/>
        <w:snapToGrid w:val="0"/>
        <w:spacing w:line="290" w:lineRule="exact"/>
        <w:jc w:val="center"/>
        <w:textAlignment w:val="auto"/>
        <w:outlineLvl w:val="1"/>
        <w:rPr>
          <w:rFonts w:ascii="宋体" w:hAnsi="宋体"/>
          <w:b/>
          <w:sz w:val="30"/>
          <w:szCs w:val="30"/>
        </w:rPr>
      </w:pPr>
      <w:bookmarkStart w:id="109" w:name="_Toc857"/>
      <w:bookmarkStart w:id="110" w:name="_Toc16060"/>
      <w:bookmarkStart w:id="111" w:name="_Toc15906"/>
      <w:r>
        <w:rPr>
          <w:rFonts w:hint="eastAsia" w:ascii="宋体" w:hAnsi="宋体"/>
          <w:b/>
          <w:sz w:val="30"/>
          <w:szCs w:val="30"/>
        </w:rPr>
        <w:t>八、</w:t>
      </w:r>
      <w:bookmarkEnd w:id="104"/>
      <w:r>
        <w:rPr>
          <w:rFonts w:hint="eastAsia" w:ascii="宋体" w:hAnsi="宋体"/>
          <w:b/>
          <w:sz w:val="30"/>
          <w:szCs w:val="30"/>
        </w:rPr>
        <w:t>合同签订及其他</w:t>
      </w:r>
      <w:bookmarkEnd w:id="106"/>
      <w:bookmarkEnd w:id="107"/>
      <w:bookmarkEnd w:id="108"/>
      <w:bookmarkEnd w:id="109"/>
      <w:bookmarkEnd w:id="110"/>
      <w:bookmarkEnd w:id="111"/>
    </w:p>
    <w:bookmarkEnd w:id="105"/>
    <w:p>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ascii="宋体" w:hAnsi="宋体"/>
          <w:b/>
          <w:sz w:val="21"/>
          <w:szCs w:val="21"/>
        </w:rPr>
      </w:pPr>
      <w:r>
        <w:rPr>
          <w:rFonts w:hint="eastAsia" w:ascii="宋体" w:hAnsi="宋体"/>
          <w:b/>
          <w:sz w:val="21"/>
          <w:szCs w:val="21"/>
        </w:rPr>
        <w:t>（一）合同的签订</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hint="eastAsia" w:ascii="Calibri Light" w:hAnsi="Calibri Light"/>
          <w:sz w:val="21"/>
          <w:szCs w:val="21"/>
        </w:rPr>
        <w:t>中标人接到中标通知书后按规定的日期、时间、地点，由法定代表人或其授权代表与招标人代表按照“第四部分 合同文本”内容签订《采购合同》。</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hint="eastAsia" w:ascii="Calibri Light" w:hAnsi="Calibri Light"/>
          <w:sz w:val="21"/>
          <w:szCs w:val="21"/>
        </w:rPr>
        <w:t>所签订的合同不得对招标文件和中标人投标文件作实质性修改。招标人不得向中标投标人提出任何不合理的要求，作为签订合同的条件，不得与中标人私下订立背离合同实质性内容的协议。</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ascii="Calibri Light" w:hAnsi="Calibri Light"/>
          <w:sz w:val="21"/>
          <w:szCs w:val="21"/>
        </w:rPr>
        <w:t>招标文件及补充文件、中标人的投标文件及投标修改文件、评标过程中有关澄清文件和中标通知书均作为合同附件。</w:t>
      </w:r>
    </w:p>
    <w:p>
      <w:pPr>
        <w:keepNext w:val="0"/>
        <w:keepLines w:val="0"/>
        <w:pageBreakBefore w:val="0"/>
        <w:widowControl w:val="0"/>
        <w:tabs>
          <w:tab w:val="left" w:pos="3780"/>
        </w:tabs>
        <w:kinsoku/>
        <w:wordWrap/>
        <w:overflowPunct/>
        <w:topLinePunct w:val="0"/>
        <w:autoSpaceDE/>
        <w:autoSpaceDN/>
        <w:bidi w:val="0"/>
        <w:spacing w:line="290" w:lineRule="exact"/>
        <w:ind w:firstLine="422" w:firstLineChars="200"/>
        <w:textAlignment w:val="auto"/>
        <w:rPr>
          <w:rFonts w:ascii="宋体" w:hAnsi="宋体" w:cs="宋体"/>
          <w:b/>
          <w:sz w:val="21"/>
          <w:szCs w:val="21"/>
        </w:rPr>
      </w:pPr>
      <w:r>
        <w:rPr>
          <w:rFonts w:hint="eastAsia" w:ascii="宋体" w:hAnsi="宋体" w:cs="宋体"/>
          <w:b/>
          <w:sz w:val="21"/>
          <w:szCs w:val="21"/>
        </w:rPr>
        <w:t>中标后，投标人拒绝签订合同的，采购人可以按照评审报告推荐的中标或者成交候选人名单排序，确定下一候选人为中标或者成交投标人，也可以重新开展政府采购活动。投标人中标或者成交后拒绝签订合同的，应按采购预算金额的2%对采购人进行赔偿；赔偿金额不足以弥补采购人损失的，投标人应继续承担超过部分的损失。</w:t>
      </w:r>
    </w:p>
    <w:p>
      <w:pPr>
        <w:keepNext w:val="0"/>
        <w:keepLines w:val="0"/>
        <w:pageBreakBefore w:val="0"/>
        <w:widowControl w:val="0"/>
        <w:tabs>
          <w:tab w:val="left" w:pos="3780"/>
        </w:tabs>
        <w:kinsoku/>
        <w:wordWrap/>
        <w:overflowPunct/>
        <w:topLinePunct w:val="0"/>
        <w:autoSpaceDE/>
        <w:autoSpaceDN/>
        <w:bidi w:val="0"/>
        <w:spacing w:line="290" w:lineRule="exact"/>
        <w:ind w:firstLine="422" w:firstLineChars="200"/>
        <w:textAlignment w:val="auto"/>
        <w:rPr>
          <w:rFonts w:ascii="宋体" w:hAnsi="宋体" w:cs="宋体"/>
          <w:b/>
          <w:sz w:val="21"/>
          <w:szCs w:val="21"/>
        </w:rPr>
      </w:pPr>
      <w:r>
        <w:rPr>
          <w:rFonts w:hint="eastAsia" w:ascii="宋体" w:hAnsi="宋体" w:cs="宋体"/>
          <w:b/>
          <w:sz w:val="21"/>
          <w:szCs w:val="21"/>
        </w:rPr>
        <w:t>存在下列行为的，采购代理机构将其失信行为上报政府采购主管部门，由主管部门按有关规定对其违法失信行为记录进行公开：</w:t>
      </w:r>
    </w:p>
    <w:p>
      <w:pPr>
        <w:keepNext w:val="0"/>
        <w:keepLines w:val="0"/>
        <w:pageBreakBefore w:val="0"/>
        <w:widowControl w:val="0"/>
        <w:tabs>
          <w:tab w:val="left" w:pos="3780"/>
        </w:tabs>
        <w:kinsoku/>
        <w:wordWrap/>
        <w:overflowPunct/>
        <w:topLinePunct w:val="0"/>
        <w:autoSpaceDE/>
        <w:autoSpaceDN/>
        <w:bidi w:val="0"/>
        <w:spacing w:line="290" w:lineRule="exact"/>
        <w:ind w:firstLine="422" w:firstLineChars="200"/>
        <w:textAlignment w:val="auto"/>
        <w:rPr>
          <w:rFonts w:ascii="宋体" w:hAnsi="宋体" w:cs="宋体"/>
          <w:b/>
          <w:sz w:val="21"/>
          <w:szCs w:val="21"/>
        </w:rPr>
      </w:pPr>
      <w:r>
        <w:rPr>
          <w:rFonts w:hint="eastAsia" w:ascii="宋体" w:hAnsi="宋体" w:cs="宋体"/>
          <w:b/>
          <w:sz w:val="21"/>
          <w:szCs w:val="21"/>
        </w:rPr>
        <w:t>（1）中标或者成交后，拒绝签订政府采购合同的；</w:t>
      </w:r>
    </w:p>
    <w:p>
      <w:pPr>
        <w:keepNext w:val="0"/>
        <w:keepLines w:val="0"/>
        <w:pageBreakBefore w:val="0"/>
        <w:widowControl w:val="0"/>
        <w:tabs>
          <w:tab w:val="left" w:pos="3780"/>
        </w:tabs>
        <w:kinsoku/>
        <w:wordWrap/>
        <w:overflowPunct/>
        <w:topLinePunct w:val="0"/>
        <w:autoSpaceDE/>
        <w:autoSpaceDN/>
        <w:bidi w:val="0"/>
        <w:spacing w:line="290" w:lineRule="exact"/>
        <w:ind w:firstLine="422" w:firstLineChars="200"/>
        <w:textAlignment w:val="auto"/>
        <w:rPr>
          <w:rFonts w:ascii="宋体" w:hAnsi="宋体" w:cs="宋体"/>
          <w:b/>
          <w:sz w:val="21"/>
          <w:szCs w:val="21"/>
        </w:rPr>
      </w:pPr>
      <w:r>
        <w:rPr>
          <w:rFonts w:hint="eastAsia" w:ascii="宋体" w:hAnsi="宋体" w:cs="宋体"/>
          <w:b/>
          <w:sz w:val="21"/>
          <w:szCs w:val="21"/>
        </w:rPr>
        <w:t>（2）投标有效期内撤销投标文件的。</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hint="eastAsia" w:ascii="Calibri Light" w:hAnsi="Calibri Light"/>
          <w:sz w:val="21"/>
          <w:szCs w:val="21"/>
        </w:rPr>
        <w:t>如签订合同并生效后，投标人无故拒绝或延期合格交货的，除按照合同条款处罚外，列入不良行为记录一次，并给予通报。</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hint="eastAsia" w:ascii="Calibri Light" w:hAnsi="Calibri Light"/>
          <w:sz w:val="21"/>
          <w:szCs w:val="21"/>
        </w:rPr>
        <w:t xml:space="preserve">中标人因制造商原因无法供货导致无法签订合同的视为“中标后无正当理由不与招标人签订合同”。 </w:t>
      </w:r>
    </w:p>
    <w:p>
      <w:pPr>
        <w:keepNext w:val="0"/>
        <w:keepLines w:val="0"/>
        <w:pageBreakBefore w:val="0"/>
        <w:widowControl w:val="0"/>
        <w:tabs>
          <w:tab w:val="left" w:pos="0"/>
        </w:tabs>
        <w:kinsoku/>
        <w:wordWrap/>
        <w:overflowPunct/>
        <w:topLinePunct w:val="0"/>
        <w:autoSpaceDE/>
        <w:autoSpaceDN/>
        <w:bidi w:val="0"/>
        <w:spacing w:line="290" w:lineRule="exact"/>
        <w:textAlignment w:val="auto"/>
        <w:rPr>
          <w:rFonts w:ascii="宋体" w:hAnsi="宋体"/>
          <w:b/>
          <w:sz w:val="21"/>
          <w:szCs w:val="21"/>
        </w:rPr>
      </w:pPr>
      <w:r>
        <w:rPr>
          <w:rFonts w:hint="eastAsia" w:ascii="宋体" w:hAnsi="宋体"/>
          <w:b/>
          <w:sz w:val="21"/>
          <w:szCs w:val="21"/>
        </w:rPr>
        <w:t>（二）</w:t>
      </w:r>
      <w:r>
        <w:rPr>
          <w:rFonts w:ascii="宋体" w:hAnsi="宋体"/>
          <w:b/>
          <w:sz w:val="21"/>
          <w:szCs w:val="21"/>
        </w:rPr>
        <w:t>售后服务考核</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ascii="Calibri Light" w:hAnsi="Calibri Light"/>
          <w:sz w:val="21"/>
          <w:szCs w:val="21"/>
        </w:rPr>
        <w:t>将</w:t>
      </w:r>
      <w:r>
        <w:rPr>
          <w:rFonts w:hint="eastAsia" w:ascii="Calibri Light" w:hAnsi="Calibri Light"/>
          <w:sz w:val="21"/>
          <w:szCs w:val="21"/>
        </w:rPr>
        <w:t>参照有关法律法规</w:t>
      </w:r>
      <w:r>
        <w:rPr>
          <w:rFonts w:ascii="Calibri Light" w:hAnsi="Calibri Light"/>
          <w:sz w:val="21"/>
          <w:szCs w:val="21"/>
        </w:rPr>
        <w:t>，对</w:t>
      </w:r>
      <w:r>
        <w:rPr>
          <w:rFonts w:hint="eastAsia" w:ascii="Calibri Light" w:hAnsi="Calibri Light"/>
          <w:sz w:val="21"/>
          <w:szCs w:val="21"/>
        </w:rPr>
        <w:t>投标人</w:t>
      </w:r>
      <w:r>
        <w:rPr>
          <w:rFonts w:ascii="Calibri Light" w:hAnsi="Calibri Light"/>
          <w:sz w:val="21"/>
          <w:szCs w:val="21"/>
        </w:rPr>
        <w:t>进行考核，发现弄虚作假，偷工减料，以次充好，达不到国家、行业有关标准和技术文件规定的，一经查实</w:t>
      </w:r>
      <w:r>
        <w:rPr>
          <w:rFonts w:hint="eastAsia" w:ascii="Calibri Light" w:hAnsi="Calibri Light"/>
          <w:sz w:val="21"/>
          <w:szCs w:val="21"/>
        </w:rPr>
        <w:t>，招标人</w:t>
      </w:r>
      <w:r>
        <w:rPr>
          <w:rFonts w:ascii="Calibri Light" w:hAnsi="Calibri Light"/>
          <w:sz w:val="21"/>
          <w:szCs w:val="21"/>
        </w:rPr>
        <w:t>将视情况终止合同。</w:t>
      </w:r>
    </w:p>
    <w:p>
      <w:pPr>
        <w:keepNext w:val="0"/>
        <w:keepLines w:val="0"/>
        <w:pageBreakBefore w:val="0"/>
        <w:widowControl w:val="0"/>
        <w:tabs>
          <w:tab w:val="left" w:pos="0"/>
        </w:tabs>
        <w:kinsoku/>
        <w:wordWrap/>
        <w:overflowPunct/>
        <w:topLinePunct w:val="0"/>
        <w:autoSpaceDE/>
        <w:autoSpaceDN/>
        <w:bidi w:val="0"/>
        <w:spacing w:line="290" w:lineRule="exact"/>
        <w:textAlignment w:val="auto"/>
        <w:rPr>
          <w:rFonts w:ascii="宋体" w:hAnsi="宋体"/>
          <w:b/>
          <w:sz w:val="21"/>
          <w:szCs w:val="21"/>
        </w:rPr>
      </w:pPr>
      <w:r>
        <w:rPr>
          <w:rFonts w:hint="eastAsia" w:ascii="宋体" w:hAnsi="宋体"/>
          <w:b/>
          <w:sz w:val="21"/>
          <w:szCs w:val="21"/>
        </w:rPr>
        <w:t>（三）招标代理服务费</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textAlignment w:val="auto"/>
        <w:rPr>
          <w:rFonts w:ascii="Calibri Light" w:hAnsi="Calibri Light"/>
          <w:sz w:val="21"/>
          <w:szCs w:val="21"/>
        </w:rPr>
      </w:pPr>
      <w:r>
        <w:rPr>
          <w:rFonts w:hint="eastAsia" w:ascii="Calibri Light" w:hAnsi="Calibri Light"/>
          <w:sz w:val="21"/>
          <w:szCs w:val="21"/>
        </w:rPr>
        <w:t>本次招标代理服务费按本须知“前附表”规定收取。</w:t>
      </w:r>
    </w:p>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Calibri Light" w:hAnsi="Calibri Light"/>
          <w:sz w:val="21"/>
          <w:szCs w:val="21"/>
        </w:rPr>
        <w:sectPr>
          <w:footerReference r:id="rId7" w:type="default"/>
          <w:pgSz w:w="11906" w:h="16838"/>
          <w:pgMar w:top="1531" w:right="1553" w:bottom="1531" w:left="1553" w:header="851" w:footer="850" w:gutter="0"/>
          <w:pgNumType w:fmt="decimal" w:start="1"/>
          <w:cols w:space="720" w:num="1"/>
          <w:docGrid w:linePitch="381" w:charSpace="0"/>
        </w:sectPr>
      </w:pPr>
    </w:p>
    <w:p>
      <w:pPr>
        <w:pStyle w:val="2"/>
        <w:bidi w:val="0"/>
        <w:rPr>
          <w:rFonts w:hint="eastAsia" w:ascii="宋体" w:hAnsi="宋体" w:eastAsia="宋体" w:cs="宋体"/>
          <w:b/>
          <w:sz w:val="21"/>
          <w:szCs w:val="21"/>
        </w:rPr>
      </w:pPr>
      <w:bookmarkStart w:id="112" w:name="_Toc226106516"/>
      <w:bookmarkStart w:id="113" w:name="_Toc226106467"/>
      <w:bookmarkStart w:id="114" w:name="_Toc226521904"/>
      <w:bookmarkStart w:id="115" w:name="_Toc5694"/>
      <w:bookmarkStart w:id="116" w:name="_Toc225840109"/>
      <w:r>
        <w:rPr>
          <w:rFonts w:hint="eastAsia"/>
        </w:rPr>
        <w:t>第三部分</w:t>
      </w:r>
      <w:r>
        <w:rPr>
          <w:rFonts w:hint="eastAsia"/>
          <w:lang w:val="en-US" w:eastAsia="zh-CN"/>
        </w:rPr>
        <w:t xml:space="preserve">  </w:t>
      </w:r>
      <w:r>
        <w:rPr>
          <w:rFonts w:hint="eastAsia"/>
        </w:rPr>
        <w:t>采购内容及需求</w:t>
      </w:r>
      <w:bookmarkEnd w:id="112"/>
      <w:bookmarkEnd w:id="113"/>
      <w:bookmarkEnd w:id="114"/>
      <w:bookmarkEnd w:id="115"/>
      <w:bookmarkEnd w:id="116"/>
      <w:bookmarkStart w:id="117" w:name="_Toc7420"/>
      <w:bookmarkStart w:id="118" w:name="_Toc15453"/>
    </w:p>
    <w:p>
      <w:pPr>
        <w:pStyle w:val="2"/>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sz w:val="21"/>
          <w:szCs w:val="21"/>
          <w:lang w:val="en-US" w:eastAsia="zh-CN"/>
        </w:rPr>
      </w:pPr>
      <w:bookmarkStart w:id="119" w:name="_Toc19006"/>
      <w:r>
        <w:rPr>
          <w:rFonts w:hint="eastAsia" w:ascii="宋体" w:hAnsi="宋体" w:eastAsia="宋体" w:cs="宋体"/>
          <w:b/>
          <w:sz w:val="21"/>
          <w:szCs w:val="21"/>
          <w:lang w:val="en-US" w:eastAsia="zh-CN"/>
        </w:rPr>
        <w:t>一、项目概况及商务需求</w:t>
      </w:r>
      <w:bookmarkEnd w:id="119"/>
    </w:p>
    <w:p>
      <w:pPr>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1、项目名称：衢州理工学校智能制造产教融合——零件测绘实训室建设项目。</w:t>
      </w:r>
    </w:p>
    <w:p>
      <w:pPr>
        <w:pStyle w:val="2"/>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lang w:val="en-US" w:eastAsia="zh-CN"/>
        </w:rPr>
      </w:pPr>
      <w:bookmarkStart w:id="120" w:name="_Toc22306"/>
      <w:r>
        <w:rPr>
          <w:rFonts w:hint="eastAsia" w:ascii="宋体" w:hAnsi="宋体" w:eastAsia="宋体" w:cs="宋体"/>
          <w:b w:val="0"/>
          <w:bCs w:val="0"/>
          <w:sz w:val="21"/>
          <w:szCs w:val="21"/>
          <w:lang w:val="en-US" w:eastAsia="zh-CN"/>
        </w:rPr>
        <w:t>2、供货地点、时间：具体设备配送、存放及安装地点和时间由采购人指定。</w:t>
      </w:r>
      <w:bookmarkEnd w:id="120"/>
    </w:p>
    <w:p>
      <w:pPr>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3、合同履约期限：合同签订后45日历天内完成所有设备配送安装并验收完成。</w:t>
      </w:r>
    </w:p>
    <w:p>
      <w:pPr>
        <w:keepNext w:val="0"/>
        <w:keepLines w:val="0"/>
        <w:pageBreakBefore w:val="0"/>
        <w:widowControl w:val="0"/>
        <w:kinsoku/>
        <w:wordWrap/>
        <w:overflowPunct/>
        <w:topLinePunct w:val="0"/>
        <w:autoSpaceDE/>
        <w:autoSpaceDN/>
        <w:bidi w:val="0"/>
        <w:snapToGrid/>
        <w:spacing w:line="440" w:lineRule="exact"/>
        <w:ind w:right="-179" w:rightChars="-64"/>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4、质保期要求及售后服务保障：本项目要求质保期为三年（从项目验收合格之日起计算）。中标人需对设备进行终身免费维修和维护，如需更换设备在质保期内负责免费更换（质保期外更换设备应按成本价收取设备费用，不得额外收取其他费用），</w:t>
      </w:r>
      <w:r>
        <w:rPr>
          <w:rFonts w:hint="eastAsia" w:ascii="宋体" w:hAnsi="宋体" w:eastAsia="宋体" w:cs="宋体"/>
          <w:b/>
          <w:bCs/>
          <w:color w:val="auto"/>
          <w:sz w:val="21"/>
          <w:szCs w:val="21"/>
          <w:highlight w:val="none"/>
          <w:lang w:val="en-US" w:eastAsia="zh-CN"/>
        </w:rPr>
        <w:t>软件部分需提供一年免费升级服务</w:t>
      </w:r>
      <w:r>
        <w:rPr>
          <w:rFonts w:hint="eastAsia" w:ascii="宋体" w:hAnsi="宋体" w:cs="宋体"/>
          <w:b/>
          <w:bCs/>
          <w:color w:val="auto"/>
          <w:sz w:val="21"/>
          <w:szCs w:val="21"/>
          <w:highlight w:val="none"/>
          <w:lang w:val="en-US" w:eastAsia="zh-CN"/>
        </w:rPr>
        <w:t>，如后期采购单位需升级软件，软件升级费用不得高于当期市场合同价格的20%，跨版本升级（如从2012版升至2016版），如需额外收取跨版本费用，每跨一个版本都不得高于当期市场合同价格的5%。</w:t>
      </w:r>
      <w:r>
        <w:rPr>
          <w:rFonts w:hint="eastAsia" w:ascii="宋体" w:hAnsi="宋体" w:eastAsia="宋体" w:cs="宋体"/>
          <w:b/>
          <w:bCs/>
          <w:color w:val="auto"/>
          <w:sz w:val="21"/>
          <w:szCs w:val="21"/>
          <w:lang w:val="en-US" w:eastAsia="zh-CN"/>
        </w:rPr>
        <w:t>设备安装并验收完成后</w:t>
      </w:r>
      <w:r>
        <w:rPr>
          <w:rFonts w:hint="eastAsia" w:ascii="宋体" w:hAnsi="宋体" w:cs="宋体"/>
          <w:b/>
          <w:bCs/>
          <w:color w:val="auto"/>
          <w:sz w:val="21"/>
          <w:szCs w:val="21"/>
          <w:lang w:val="en-US" w:eastAsia="zh-CN"/>
        </w:rPr>
        <w:t>在三年质保期内</w:t>
      </w:r>
      <w:r>
        <w:rPr>
          <w:rFonts w:hint="eastAsia" w:ascii="宋体" w:hAnsi="宋体" w:eastAsia="宋体" w:cs="宋体"/>
          <w:b/>
          <w:bCs/>
          <w:color w:val="auto"/>
          <w:sz w:val="21"/>
          <w:szCs w:val="21"/>
          <w:lang w:val="en-US" w:eastAsia="zh-CN"/>
        </w:rPr>
        <w:t>中标人需对采购单位人员进行</w:t>
      </w:r>
      <w:r>
        <w:rPr>
          <w:rFonts w:hint="eastAsia" w:ascii="宋体" w:hAnsi="宋体" w:cs="宋体"/>
          <w:b/>
          <w:bCs/>
          <w:color w:val="auto"/>
          <w:sz w:val="21"/>
          <w:szCs w:val="21"/>
          <w:lang w:val="en-US" w:eastAsia="zh-CN"/>
        </w:rPr>
        <w:t>免费</w:t>
      </w:r>
      <w:r>
        <w:rPr>
          <w:rFonts w:hint="eastAsia" w:ascii="宋体" w:hAnsi="宋体" w:eastAsia="宋体" w:cs="宋体"/>
          <w:b/>
          <w:bCs/>
          <w:color w:val="auto"/>
          <w:sz w:val="21"/>
          <w:szCs w:val="21"/>
          <w:lang w:val="en-US" w:eastAsia="zh-CN"/>
        </w:rPr>
        <w:t>现场培训、技术指导（如设备使用、技术维护、软件管理应用</w:t>
      </w:r>
      <w:r>
        <w:rPr>
          <w:rFonts w:hint="eastAsia" w:ascii="宋体" w:hAnsi="宋体" w:cs="宋体"/>
          <w:b/>
          <w:bCs/>
          <w:color w:val="auto"/>
          <w:sz w:val="21"/>
          <w:szCs w:val="21"/>
          <w:lang w:val="en-US" w:eastAsia="zh-CN"/>
        </w:rPr>
        <w:t>、竞赛操作</w:t>
      </w:r>
      <w:r>
        <w:rPr>
          <w:rFonts w:hint="eastAsia" w:ascii="宋体" w:hAnsi="宋体" w:eastAsia="宋体" w:cs="宋体"/>
          <w:b/>
          <w:bCs/>
          <w:color w:val="auto"/>
          <w:sz w:val="21"/>
          <w:szCs w:val="21"/>
          <w:lang w:val="en-US" w:eastAsia="zh-CN"/>
        </w:rPr>
        <w:t>等采购单位</w:t>
      </w:r>
      <w:r>
        <w:rPr>
          <w:rFonts w:hint="eastAsia" w:ascii="宋体" w:hAnsi="宋体" w:cs="宋体"/>
          <w:b/>
          <w:bCs/>
          <w:color w:val="auto"/>
          <w:sz w:val="21"/>
          <w:szCs w:val="21"/>
          <w:lang w:val="en-US" w:eastAsia="zh-CN"/>
        </w:rPr>
        <w:t>所需的所有</w:t>
      </w:r>
      <w:r>
        <w:rPr>
          <w:rFonts w:hint="eastAsia" w:ascii="宋体" w:hAnsi="宋体" w:eastAsia="宋体" w:cs="宋体"/>
          <w:b/>
          <w:bCs/>
          <w:color w:val="auto"/>
          <w:sz w:val="21"/>
          <w:szCs w:val="21"/>
          <w:lang w:val="en-US" w:eastAsia="zh-CN"/>
        </w:rPr>
        <w:t>培训</w:t>
      </w:r>
      <w:r>
        <w:rPr>
          <w:rFonts w:hint="eastAsia" w:ascii="宋体" w:hAnsi="宋体" w:cs="宋体"/>
          <w:b/>
          <w:bCs/>
          <w:color w:val="auto"/>
          <w:sz w:val="21"/>
          <w:szCs w:val="21"/>
          <w:lang w:val="en-US" w:eastAsia="zh-CN"/>
        </w:rPr>
        <w:t>，每年不得少于三次，具体时间、内容由采购单位确定</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w:t>
      </w:r>
      <w:r>
        <w:rPr>
          <w:rFonts w:hint="eastAsia" w:ascii="宋体" w:hAnsi="宋体" w:eastAsia="宋体" w:cs="宋体"/>
          <w:b/>
          <w:bCs/>
          <w:color w:val="auto"/>
          <w:sz w:val="21"/>
          <w:szCs w:val="21"/>
          <w:lang w:val="en-US" w:eastAsia="zh-CN"/>
        </w:rPr>
        <w:t>并提供软件文档资料。在使用过程中发生问题需</w:t>
      </w:r>
      <w:r>
        <w:rPr>
          <w:rFonts w:hint="eastAsia" w:ascii="宋体" w:hAnsi="宋体" w:cs="宋体"/>
          <w:b/>
          <w:bCs/>
          <w:color w:val="auto"/>
          <w:sz w:val="21"/>
          <w:szCs w:val="21"/>
        </w:rPr>
        <w:t>提供7×24技术支持热线，</w:t>
      </w:r>
      <w:r>
        <w:rPr>
          <w:rFonts w:hint="eastAsia" w:ascii="宋体" w:hAnsi="宋体" w:cs="宋体"/>
          <w:b/>
          <w:bCs/>
          <w:color w:val="auto"/>
          <w:sz w:val="21"/>
          <w:szCs w:val="21"/>
          <w:u w:val="none"/>
          <w:lang w:val="en-US" w:eastAsia="zh-CN"/>
        </w:rPr>
        <w:t>30分钟内</w:t>
      </w:r>
      <w:r>
        <w:rPr>
          <w:rFonts w:hint="eastAsia" w:ascii="宋体" w:hAnsi="宋体" w:cs="宋体"/>
          <w:b/>
          <w:bCs/>
          <w:color w:val="auto"/>
          <w:sz w:val="21"/>
          <w:szCs w:val="21"/>
          <w:u w:val="none"/>
        </w:rPr>
        <w:t>电</w:t>
      </w:r>
      <w:r>
        <w:rPr>
          <w:rFonts w:hint="eastAsia" w:ascii="宋体" w:hAnsi="宋体" w:cs="宋体"/>
          <w:b/>
          <w:bCs/>
          <w:color w:val="auto"/>
          <w:sz w:val="21"/>
          <w:szCs w:val="21"/>
        </w:rPr>
        <w:t>话响应，</w:t>
      </w:r>
      <w:r>
        <w:rPr>
          <w:rFonts w:hint="eastAsia" w:ascii="宋体" w:hAnsi="宋体" w:cs="宋体"/>
          <w:b/>
          <w:bCs/>
          <w:color w:val="auto"/>
          <w:sz w:val="21"/>
          <w:szCs w:val="21"/>
          <w:u w:val="none"/>
          <w:lang w:val="en-US" w:eastAsia="zh-CN"/>
        </w:rPr>
        <w:t>4小时内上门技术服务，24</w:t>
      </w:r>
      <w:r>
        <w:rPr>
          <w:rFonts w:hint="eastAsia" w:ascii="宋体" w:hAnsi="宋体" w:cs="宋体"/>
          <w:b/>
          <w:bCs/>
          <w:color w:val="auto"/>
          <w:sz w:val="21"/>
          <w:szCs w:val="21"/>
          <w:u w:val="none"/>
        </w:rPr>
        <w:t>小时内解决问题；不能当场修复的，必须采取提供备品、备件或备机等措施，</w:t>
      </w:r>
      <w:r>
        <w:rPr>
          <w:rFonts w:hint="eastAsia" w:ascii="宋体" w:hAnsi="宋体" w:eastAsia="宋体" w:cs="宋体"/>
          <w:b/>
          <w:bCs/>
          <w:color w:val="auto"/>
          <w:sz w:val="21"/>
          <w:szCs w:val="21"/>
          <w:lang w:val="en-US" w:eastAsia="zh-CN"/>
        </w:rPr>
        <w:t>以保证采购单位的正常使用。</w:t>
      </w:r>
    </w:p>
    <w:p>
      <w:pPr>
        <w:keepNext w:val="0"/>
        <w:keepLines w:val="0"/>
        <w:pageBreakBefore w:val="0"/>
        <w:widowControl w:val="0"/>
        <w:kinsoku/>
        <w:wordWrap/>
        <w:overflowPunct/>
        <w:topLinePunct w:val="0"/>
        <w:autoSpaceDE/>
        <w:autoSpaceDN/>
        <w:bidi w:val="0"/>
        <w:snapToGrid/>
        <w:spacing w:line="440" w:lineRule="exact"/>
        <w:ind w:right="-179" w:rightChars="-64"/>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二、</w:t>
      </w:r>
      <w:r>
        <w:rPr>
          <w:rFonts w:hint="default" w:ascii="宋体" w:hAnsi="宋体" w:eastAsia="宋体" w:cs="宋体"/>
          <w:b/>
          <w:bCs/>
          <w:sz w:val="21"/>
          <w:szCs w:val="21"/>
          <w:lang w:val="en-US" w:eastAsia="zh-CN"/>
        </w:rPr>
        <w:t>实训室布局图</w:t>
      </w:r>
    </w:p>
    <w:p>
      <w:pPr>
        <w:keepNext w:val="0"/>
        <w:keepLines w:val="0"/>
        <w:pageBreakBefore w:val="0"/>
        <w:widowControl w:val="0"/>
        <w:kinsoku/>
        <w:wordWrap/>
        <w:overflowPunct/>
        <w:topLinePunct w:val="0"/>
        <w:autoSpaceDE/>
        <w:autoSpaceDN/>
        <w:bidi w:val="0"/>
        <w:snapToGrid/>
        <w:spacing w:line="440" w:lineRule="exact"/>
        <w:ind w:right="-179" w:rightChars="-64"/>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设备摆放应如图距离所放置。采购单位有其他要求按采购单位要求实施。</w:t>
      </w:r>
    </w:p>
    <w:p>
      <w:pPr>
        <w:keepNext w:val="0"/>
        <w:keepLines w:val="0"/>
        <w:pageBreakBefore w:val="0"/>
        <w:widowControl w:val="0"/>
        <w:kinsoku/>
        <w:wordWrap/>
        <w:overflowPunct/>
        <w:topLinePunct w:val="0"/>
        <w:autoSpaceDE/>
        <w:autoSpaceDN/>
        <w:bidi w:val="0"/>
        <w:snapToGrid/>
        <w:spacing w:line="240" w:lineRule="auto"/>
        <w:ind w:right="-179" w:rightChars="-64"/>
        <w:textAlignment w:val="auto"/>
        <w:rPr>
          <w:rFonts w:hint="eastAsia" w:ascii="宋体" w:hAnsi="宋体" w:eastAsia="宋体" w:cs="宋体"/>
          <w:b w:val="0"/>
          <w:bCs w:val="0"/>
          <w:sz w:val="21"/>
          <w:szCs w:val="21"/>
          <w:lang w:val="en-US" w:eastAsia="zh-CN"/>
        </w:rPr>
      </w:pPr>
      <w:r>
        <w:rPr>
          <w:rFonts w:hint="default"/>
          <w:lang w:val="en-US" w:eastAsia="zh-CN"/>
        </w:rPr>
        <w:drawing>
          <wp:inline distT="0" distB="0" distL="114300" distR="114300">
            <wp:extent cx="5487670" cy="1754505"/>
            <wp:effectExtent l="0" t="0" r="17780" b="17145"/>
            <wp:docPr id="4" name="图片 4" descr="8e5d7b15a02ab333fce11bee9db5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e5d7b15a02ab333fce11bee9db5aad"/>
                    <pic:cNvPicPr>
                      <a:picLocks noChangeAspect="1"/>
                    </pic:cNvPicPr>
                  </pic:nvPicPr>
                  <pic:blipFill>
                    <a:blip r:embed="rId16"/>
                    <a:stretch>
                      <a:fillRect/>
                    </a:stretch>
                  </pic:blipFill>
                  <pic:spPr>
                    <a:xfrm>
                      <a:off x="0" y="0"/>
                      <a:ext cx="5487670" cy="1754505"/>
                    </a:xfrm>
                    <a:prstGeom prst="rect">
                      <a:avLst/>
                    </a:prstGeom>
                  </pic:spPr>
                </pic:pic>
              </a:graphicData>
            </a:graphic>
          </wp:inline>
        </w:drawing>
      </w:r>
    </w:p>
    <w:p>
      <w:pPr>
        <w:pStyle w:val="9"/>
        <w:numPr>
          <w:ilvl w:val="0"/>
          <w:numId w:val="0"/>
        </w:numPr>
        <w:ind w:leftChars="0" w:right="-683" w:rightChars="-244"/>
        <w:rPr>
          <w:rFonts w:hint="eastAsia" w:ascii="宋体" w:hAnsi="宋体" w:eastAsia="宋体" w:cs="宋体"/>
          <w:sz w:val="21"/>
          <w:szCs w:val="21"/>
          <w:lang w:val="en-US" w:eastAsia="zh-CN"/>
        </w:rPr>
      </w:pPr>
      <w:r>
        <w:rPr>
          <w:rFonts w:hint="default"/>
          <w:lang w:val="en-US" w:eastAsia="zh-CN"/>
        </w:rPr>
        <w:drawing>
          <wp:inline distT="0" distB="0" distL="114300" distR="114300">
            <wp:extent cx="5528310" cy="1922780"/>
            <wp:effectExtent l="0" t="0" r="15240" b="1270"/>
            <wp:docPr id="2" name="图片 2" descr="8d97e653caffad883a9e3f71b9b1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d97e653caffad883a9e3f71b9b156e"/>
                    <pic:cNvPicPr>
                      <a:picLocks noChangeAspect="1"/>
                    </pic:cNvPicPr>
                  </pic:nvPicPr>
                  <pic:blipFill>
                    <a:blip r:embed="rId17"/>
                    <a:stretch>
                      <a:fillRect/>
                    </a:stretch>
                  </pic:blipFill>
                  <pic:spPr>
                    <a:xfrm>
                      <a:off x="0" y="0"/>
                      <a:ext cx="5528310" cy="1922780"/>
                    </a:xfrm>
                    <a:prstGeom prst="rect">
                      <a:avLst/>
                    </a:prstGeom>
                  </pic:spPr>
                </pic:pic>
              </a:graphicData>
            </a:graphic>
          </wp:inline>
        </w:drawing>
      </w:r>
    </w:p>
    <w:p>
      <w:pPr>
        <w:rPr>
          <w:rFonts w:hint="eastAsia" w:ascii="宋体" w:hAnsi="宋体" w:cs="宋体"/>
          <w:b/>
          <w:sz w:val="30"/>
          <w:szCs w:val="30"/>
        </w:rPr>
      </w:pPr>
    </w:p>
    <w:p>
      <w:pPr>
        <w:numPr>
          <w:ilvl w:val="0"/>
          <w:numId w:val="6"/>
        </w:numPr>
        <w:rPr>
          <w:rFonts w:hint="default"/>
          <w:lang w:val="en-US" w:eastAsia="zh-CN"/>
        </w:rPr>
      </w:pPr>
      <w:r>
        <w:rPr>
          <w:rFonts w:hint="eastAsia"/>
          <w:b/>
          <w:bCs/>
          <w:sz w:val="21"/>
          <w:szCs w:val="21"/>
          <w:lang w:val="en-US" w:eastAsia="zh-CN"/>
        </w:rPr>
        <w:t>技术参数</w:t>
      </w:r>
    </w:p>
    <w:p>
      <w:pPr>
        <w:pStyle w:val="9"/>
        <w:widowControl w:val="0"/>
        <w:numPr>
          <w:ilvl w:val="0"/>
          <w:numId w:val="0"/>
        </w:numPr>
        <w:ind w:right="-683" w:rightChars="-244"/>
        <w:jc w:val="both"/>
        <w:rPr>
          <w:rFonts w:hint="default"/>
          <w:lang w:val="en-US" w:eastAsia="zh-CN"/>
        </w:rPr>
      </w:pPr>
    </w:p>
    <w:tbl>
      <w:tblPr>
        <w:tblStyle w:val="21"/>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7246"/>
        <w:gridCol w:w="485"/>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7246" w:type="dxa"/>
            <w:vAlign w:val="center"/>
          </w:tcPr>
          <w:p>
            <w:pPr>
              <w:spacing w:line="360" w:lineRule="auto"/>
              <w:jc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rPr>
              <w:t>技术参数</w:t>
            </w:r>
          </w:p>
        </w:tc>
        <w:tc>
          <w:tcPr>
            <w:tcW w:w="485"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数量</w:t>
            </w:r>
          </w:p>
        </w:tc>
        <w:tc>
          <w:tcPr>
            <w:tcW w:w="655"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926"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8"/>
                <w:szCs w:val="28"/>
                <w:vertAlign w:val="baseline"/>
                <w:lang w:val="en-US" w:eastAsia="zh-CN"/>
              </w:rPr>
              <w:t>一、零部件测绘教师实训平台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w:t>
            </w:r>
          </w:p>
        </w:tc>
        <w:tc>
          <w:tcPr>
            <w:tcW w:w="7246" w:type="dxa"/>
            <w:vAlign w:val="center"/>
          </w:tcPr>
          <w:p>
            <w:pPr>
              <w:keepNext w:val="0"/>
              <w:keepLines w:val="0"/>
              <w:widowControl/>
              <w:numPr>
                <w:ilvl w:val="0"/>
                <w:numId w:val="0"/>
              </w:numPr>
              <w:suppressLineNumbers w:val="0"/>
              <w:spacing w:line="240" w:lineRule="auto"/>
              <w:jc w:val="left"/>
              <w:textAlignment w:val="center"/>
              <w:rPr>
                <w:rFonts w:hint="eastAsia" w:ascii="宋体" w:hAnsi="宋体" w:eastAsia="宋体" w:cs="宋体"/>
                <w:b/>
                <w:bCs/>
                <w:sz w:val="21"/>
                <w:szCs w:val="21"/>
                <w:lang w:eastAsia="zh-CN"/>
              </w:rPr>
            </w:pPr>
            <w:r>
              <w:rPr>
                <w:rFonts w:hint="eastAsia" w:ascii="宋体" w:hAnsi="宋体" w:eastAsia="宋体" w:cs="宋体"/>
                <w:b/>
                <w:bCs/>
                <w:sz w:val="21"/>
                <w:szCs w:val="21"/>
              </w:rPr>
              <w:t>实木桌</w:t>
            </w:r>
            <w:r>
              <w:rPr>
                <w:rFonts w:hint="eastAsia" w:ascii="宋体" w:hAnsi="宋体" w:eastAsia="宋体" w:cs="宋体"/>
                <w:b/>
                <w:bCs/>
                <w:sz w:val="21"/>
                <w:szCs w:val="21"/>
                <w:lang w:eastAsia="zh-CN"/>
              </w:rPr>
              <w:t>：</w:t>
            </w:r>
          </w:p>
          <w:p>
            <w:pPr>
              <w:pStyle w:val="9"/>
              <w:numPr>
                <w:ilvl w:val="0"/>
                <w:numId w:val="7"/>
              </w:numPr>
              <w:ind w:left="-958" w:leftChars="-342" w:right="-683" w:rightChars="-244" w:firstLine="676" w:firstLineChars="322"/>
              <w:jc w:val="left"/>
              <w:rPr>
                <w:rFonts w:hint="eastAsia" w:ascii="宋体" w:hAnsi="宋体" w:eastAsia="宋体" w:cs="宋体"/>
                <w:sz w:val="21"/>
                <w:szCs w:val="21"/>
                <w:lang w:eastAsia="zh-CN"/>
              </w:rPr>
            </w:pPr>
            <w:r>
              <w:rPr>
                <w:rFonts w:hint="eastAsia" w:ascii="宋体" w:hAnsi="宋体" w:eastAsia="宋体" w:cs="宋体"/>
                <w:sz w:val="21"/>
                <w:szCs w:val="21"/>
              </w:rPr>
              <w:t>规格型号：2100</w:t>
            </w:r>
            <w:r>
              <w:rPr>
                <w:rFonts w:hint="eastAsia" w:ascii="宋体" w:hAnsi="宋体" w:eastAsia="宋体" w:cs="宋体"/>
                <w:sz w:val="21"/>
                <w:szCs w:val="21"/>
                <w:lang w:eastAsia="zh-CN"/>
              </w:rPr>
              <w:t>×</w:t>
            </w:r>
            <w:r>
              <w:rPr>
                <w:rFonts w:hint="eastAsia" w:ascii="宋体" w:hAnsi="宋体" w:eastAsia="宋体" w:cs="宋体"/>
                <w:sz w:val="21"/>
                <w:szCs w:val="21"/>
              </w:rPr>
              <w:t>750</w:t>
            </w:r>
            <w:r>
              <w:rPr>
                <w:rFonts w:hint="eastAsia" w:ascii="宋体" w:hAnsi="宋体" w:eastAsia="宋体" w:cs="宋体"/>
                <w:sz w:val="21"/>
                <w:szCs w:val="21"/>
                <w:lang w:eastAsia="zh-CN"/>
              </w:rPr>
              <w:t>×</w:t>
            </w:r>
            <w:r>
              <w:rPr>
                <w:rFonts w:hint="eastAsia" w:ascii="宋体" w:hAnsi="宋体" w:eastAsia="宋体" w:cs="宋体"/>
                <w:sz w:val="21"/>
                <w:szCs w:val="21"/>
              </w:rPr>
              <w:t>800mm</w:t>
            </w:r>
            <w:r>
              <w:rPr>
                <w:rFonts w:hint="eastAsia" w:ascii="宋体" w:hAnsi="宋体" w:eastAsia="宋体" w:cs="宋体"/>
                <w:sz w:val="21"/>
                <w:szCs w:val="21"/>
                <w:lang w:eastAsia="zh-CN"/>
              </w:rPr>
              <w:t>；</w:t>
            </w:r>
          </w:p>
          <w:p>
            <w:pPr>
              <w:pStyle w:val="6"/>
              <w:spacing w:line="240" w:lineRule="auto"/>
              <w:jc w:val="left"/>
              <w:rPr>
                <w:rFonts w:hint="eastAsia" w:ascii="宋体" w:hAnsi="宋体" w:eastAsia="宋体" w:cs="宋体"/>
                <w:sz w:val="21"/>
                <w:szCs w:val="21"/>
              </w:rPr>
            </w:pPr>
            <w:r>
              <w:rPr>
                <w:rFonts w:hint="eastAsia" w:ascii="宋体" w:hAnsi="宋体" w:eastAsia="宋体" w:cs="宋体"/>
                <w:sz w:val="21"/>
                <w:szCs w:val="21"/>
              </w:rPr>
              <w:t>A:工作台整体台面为实木台面板（厚度50mm），表面高分子油漆材料喷涂，圆边桌角处理，桌面浅蓝色。</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B:工作台右部采用五抽屉吊柜带中控锁，吊柜尺寸为566</w:t>
            </w:r>
            <w:r>
              <w:rPr>
                <w:rFonts w:hint="eastAsia" w:ascii="宋体" w:hAnsi="宋体" w:eastAsia="宋体" w:cs="宋体"/>
                <w:sz w:val="21"/>
                <w:szCs w:val="21"/>
                <w:lang w:eastAsia="zh-CN"/>
              </w:rPr>
              <w:t>×</w:t>
            </w:r>
            <w:r>
              <w:rPr>
                <w:rFonts w:hint="eastAsia" w:ascii="宋体" w:hAnsi="宋体" w:eastAsia="宋体" w:cs="宋体"/>
                <w:sz w:val="21"/>
                <w:szCs w:val="21"/>
              </w:rPr>
              <w:t>700</w:t>
            </w:r>
            <w:r>
              <w:rPr>
                <w:rFonts w:hint="eastAsia" w:ascii="宋体" w:hAnsi="宋体" w:eastAsia="宋体" w:cs="宋体"/>
                <w:sz w:val="21"/>
                <w:szCs w:val="21"/>
                <w:lang w:eastAsia="zh-CN"/>
              </w:rPr>
              <w:t>×</w:t>
            </w:r>
            <w:r>
              <w:rPr>
                <w:rFonts w:hint="eastAsia" w:ascii="宋体" w:hAnsi="宋体" w:eastAsia="宋体" w:cs="宋体"/>
                <w:sz w:val="21"/>
                <w:szCs w:val="21"/>
              </w:rPr>
              <w:t>750mm（长宽高），三个抽屉为尺寸566×700×100mm（长宽高），一个抽屉为尺寸566×700×150mm（长宽高），一个抽屉为尺寸566×700×175mm（长宽高），采用优质钢制三节滚珠静音滑轨，每付承重50KG,两抽屉自带固定互锁，抽屉为全宽铝合金把手并附有标识牌框，左部吊柜可放电脑主机箱，尺寸为566</w:t>
            </w:r>
            <w:r>
              <w:rPr>
                <w:rFonts w:hint="eastAsia" w:ascii="宋体" w:hAnsi="宋体" w:eastAsia="宋体" w:cs="宋体"/>
                <w:sz w:val="21"/>
                <w:szCs w:val="21"/>
                <w:lang w:eastAsia="zh-CN"/>
              </w:rPr>
              <w:t>×</w:t>
            </w:r>
            <w:r>
              <w:rPr>
                <w:rFonts w:hint="eastAsia" w:ascii="宋体" w:hAnsi="宋体" w:eastAsia="宋体" w:cs="宋体"/>
                <w:sz w:val="21"/>
                <w:szCs w:val="21"/>
              </w:rPr>
              <w:t>700</w:t>
            </w:r>
            <w:r>
              <w:rPr>
                <w:rFonts w:hint="eastAsia" w:ascii="宋体" w:hAnsi="宋体" w:eastAsia="宋体" w:cs="宋体"/>
                <w:sz w:val="21"/>
                <w:szCs w:val="21"/>
                <w:lang w:eastAsia="zh-CN"/>
              </w:rPr>
              <w:t>×</w:t>
            </w:r>
            <w:r>
              <w:rPr>
                <w:rFonts w:hint="eastAsia" w:ascii="宋体" w:hAnsi="宋体" w:eastAsia="宋体" w:cs="宋体"/>
                <w:sz w:val="21"/>
                <w:szCs w:val="21"/>
              </w:rPr>
              <w:t>750mm（长宽高），前侧门四角有圆形10mm散热孔，立柜后侧铁板封闭，并预留穿线孔、槽。</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C:紧固的工作台框架，采用优质一级冷轧钢板，钢板厚度达到1.2mm，承重部分1.5-2.0冷轧钢板，可使工作台整体承重1000</w:t>
            </w:r>
            <w:r>
              <w:rPr>
                <w:rFonts w:hint="eastAsia" w:ascii="宋体" w:hAnsi="宋体" w:eastAsia="宋体" w:cs="宋体"/>
                <w:sz w:val="21"/>
                <w:szCs w:val="21"/>
                <w:highlight w:val="none"/>
              </w:rPr>
              <w:t>KG，整体灰褐色，桌腿上预留插座安装孔</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安装六孔插座</w:t>
            </w:r>
            <w:r>
              <w:rPr>
                <w:rFonts w:hint="eastAsia" w:ascii="宋体" w:hAnsi="宋体" w:eastAsia="宋体" w:cs="宋体"/>
                <w:sz w:val="21"/>
                <w:szCs w:val="21"/>
                <w:highlight w:val="none"/>
              </w:rPr>
              <w:t>。</w:t>
            </w:r>
          </w:p>
        </w:tc>
        <w:tc>
          <w:tcPr>
            <w:tcW w:w="485"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w:t>
            </w:r>
          </w:p>
        </w:tc>
        <w:tc>
          <w:tcPr>
            <w:tcW w:w="655"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2</w:t>
            </w:r>
          </w:p>
        </w:tc>
        <w:tc>
          <w:tcPr>
            <w:tcW w:w="7246" w:type="dxa"/>
            <w:vAlign w:val="center"/>
          </w:tcPr>
          <w:p>
            <w:pPr>
              <w:pStyle w:val="6"/>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实训方凳 ：</w:t>
            </w:r>
          </w:p>
          <w:p>
            <w:pPr>
              <w:pStyle w:val="6"/>
              <w:numPr>
                <w:ilvl w:val="0"/>
                <w:numId w:val="0"/>
              </w:numPr>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钢木方凳，凳面为三聚氰胺外饰面板厚度不少于18mm，凳腿部件材质为喷塑钢架（四根），横撑两根，厚度不大于1.0mm，配尼龙管塞，尺寸规格不大于:340*240*420mm长*宽*高</w:t>
            </w:r>
          </w:p>
        </w:tc>
        <w:tc>
          <w:tcPr>
            <w:tcW w:w="485"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655"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3</w:t>
            </w:r>
          </w:p>
        </w:tc>
        <w:tc>
          <w:tcPr>
            <w:tcW w:w="7246" w:type="dxa"/>
            <w:vAlign w:val="center"/>
          </w:tcPr>
          <w:p>
            <w:pPr>
              <w:spacing w:line="24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智能多媒体教学触控一体机：</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配套86英寸教学触控一体机；</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基本配置要求：</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1.内置一体化设计，内部功能模块连接线不可见。</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铝合金面框，弧形转角采用无尖锐边缘连接。</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触摸框前拆式设计，支持无工具拆卸触摸框。</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屏幕表面采用防眩光全钢化玻璃，防划防撞且有效保证观看效果</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 电源要求：AC 210V±20%，100～240V宽电压。</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 整机经过产品可靠性检验，MTBF大于80000小时。</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 设备自带嵌入式安卓操作系统，可实现白板书写、PPT课件播放、多媒体播放、网页浏览，与内置/外接电脑后形成双系统冗余。</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 整机只需连接一根网线，即可实现Windows及Android系统同时联网</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9.屏幕尺寸86英寸，分辨率：1920*1080</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10.配件 壁挂架 触摸笔。</w:t>
            </w:r>
          </w:p>
          <w:p>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配套绿板：4米*1.31米，优质防锈热镀锌钢板，厚度0.20mm。</w:t>
            </w:r>
          </w:p>
        </w:tc>
        <w:tc>
          <w:tcPr>
            <w:tcW w:w="485"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655"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4</w:t>
            </w:r>
          </w:p>
        </w:tc>
        <w:tc>
          <w:tcPr>
            <w:tcW w:w="7246"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教学终端设备</w:t>
            </w:r>
            <w:r>
              <w:rPr>
                <w:rFonts w:hint="eastAsia" w:ascii="宋体" w:hAnsi="宋体" w:eastAsia="宋体" w:cs="宋体"/>
                <w:b/>
                <w:bCs/>
                <w:sz w:val="21"/>
                <w:szCs w:val="21"/>
                <w:lang w:val="en-US" w:eastAsia="zh-CN"/>
              </w:rPr>
              <w:t>：</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1、I5-9400F，内存容量4GB，硬盘容量1TB，显存容量2GB独显，显示器尺寸21.5WLCd，Win10系统</w:t>
            </w:r>
          </w:p>
          <w:p>
            <w:pPr>
              <w:pStyle w:val="6"/>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计算机配备一套办公软件（按本项目数量标配）</w:t>
            </w:r>
          </w:p>
          <w:p>
            <w:pPr>
              <w:pStyle w:val="6"/>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2、正版Office 2019教育版办公软件，文件格式可生成.wps/.et/.dps等文件格式；支持格式包括且不限于doc、docx、xls、xlsx、ppt、pptx；同时产品原有文件格式也能被其他Office对应模块打开；</w:t>
            </w:r>
          </w:p>
          <w:p>
            <w:pPr>
              <w:pStyle w:val="6"/>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3、交付时提供：产品介质光盘和软件产权归属为采购人的原厂正版授权许可原件</w:t>
            </w:r>
            <w:r>
              <w:rPr>
                <w:rFonts w:hint="eastAsia" w:ascii="宋体" w:hAnsi="宋体" w:cs="宋体"/>
                <w:sz w:val="21"/>
                <w:szCs w:val="21"/>
                <w:lang w:val="en-US" w:eastAsia="zh-CN"/>
              </w:rPr>
              <w:t>；</w:t>
            </w:r>
          </w:p>
          <w:p>
            <w:pPr>
              <w:pStyle w:val="6"/>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4、教学终端配备一套</w:t>
            </w:r>
            <w:r>
              <w:rPr>
                <w:rFonts w:hint="eastAsia" w:ascii="宋体" w:hAnsi="宋体" w:eastAsia="宋体" w:cs="宋体"/>
                <w:color w:val="000000"/>
                <w:sz w:val="21"/>
                <w:szCs w:val="21"/>
                <w:lang w:val="en-US" w:eastAsia="zh-CN"/>
              </w:rPr>
              <w:t>电子教室软件</w:t>
            </w:r>
            <w:r>
              <w:rPr>
                <w:rFonts w:hint="eastAsia" w:ascii="宋体" w:hAnsi="宋体" w:eastAsia="宋体" w:cs="宋体"/>
                <w:sz w:val="21"/>
                <w:szCs w:val="21"/>
                <w:lang w:val="en-US" w:eastAsia="zh-CN"/>
              </w:rPr>
              <w:t>（按本项目计算机数量标配）</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课堂教学</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屏幕广播：将教师机屏幕和教师讲话实时广播给单一、部分或全体学生，可选择全屏或窗口方式。窗口模式下或教师机与学生机分辨率不同情况下，学生机可以以不同的窗口方式接收广播。</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屏幕广播速度增强：屏幕广播时支持多种画面质量的调节，根据网络的不同选择最好的效果进行教学。</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屏幕笔：教师教学使用的辅助工具，突出显示项目、添加注释，添加批注等等。</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分组教学：教师分派组长执行指定的功能，组长代替教师进行小组教学，小组不需要再临时创建，可以直接使用既有分组信息，教师可以监控每个分组的教学过程，以了解分组教学的进度。</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分组讨论：教师可以创建多个小组进行讨论活动，并可任意选择分组加入讨论活动。同组师生支持多种方式进行交流，包括文字，表情，图片等。</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屏幕监视：教师机可以监视单一、部分、全体学生机的屏幕，教师机每屏可监视多个学生屏幕（最多36个）。可以控制教师机监控的同屏幕各窗口间、屏幕与屏幕间的切换速度。可手动或自动循环监视。</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多频道教学：支持多达32个频道的划分，一个教师可对单个班级或多个班级同时上课；多个教师可同时对多个班级进行不同内容的教学。</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教学评测</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随堂小考：教师启动快速的单题考试或随堂调查，限定考试时间，学生答题后立即给出结果，结果显示学生答案柱状图分析和答题时间，可作为抢答依据。</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课堂管理</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签到：提供学生名单管理工具，为软件和考试模块提供实名验证。提供点名功能，支持保留学生多次登录记录、考勤统计、签到信息的导出与对比。</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班级模型：有单独的管理界面，实现对班级模型的统一管理，并能够导入、导出，调用不同网络教室中的班级模型。</w:t>
            </w:r>
          </w:p>
          <w:p>
            <w:pPr>
              <w:pStyle w:val="6"/>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上网限制：设定学生访问网站的黑名单或白名单，对学生可以访问的Internet站点进行管理。支持多浏览器限制，如QQ、IE、谷歌、360、遨游等浏览器。</w:t>
            </w:r>
          </w:p>
        </w:tc>
        <w:tc>
          <w:tcPr>
            <w:tcW w:w="485" w:type="dxa"/>
            <w:vAlign w:val="center"/>
          </w:tcPr>
          <w:p>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1</w:t>
            </w:r>
          </w:p>
          <w:p>
            <w:pPr>
              <w:pStyle w:val="9"/>
              <w:numPr>
                <w:ilvl w:val="0"/>
                <w:numId w:val="0"/>
              </w:numPr>
              <w:ind w:left="291" w:leftChars="104" w:right="-683" w:rightChars="-244" w:firstLine="0" w:firstLineChars="0"/>
              <w:rPr>
                <w:rFonts w:hint="eastAsia" w:ascii="宋体" w:hAnsi="宋体" w:eastAsia="宋体" w:cs="宋体"/>
                <w:kern w:val="2"/>
                <w:sz w:val="21"/>
                <w:szCs w:val="21"/>
                <w:lang w:val="en-US" w:eastAsia="zh-CN" w:bidi="ar-SA"/>
              </w:rPr>
            </w:pPr>
          </w:p>
        </w:tc>
        <w:tc>
          <w:tcPr>
            <w:tcW w:w="655"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5</w:t>
            </w:r>
          </w:p>
        </w:tc>
        <w:tc>
          <w:tcPr>
            <w:tcW w:w="7246" w:type="dxa"/>
            <w:vAlign w:val="center"/>
          </w:tcPr>
          <w:p>
            <w:pPr>
              <w:spacing w:line="240" w:lineRule="auto"/>
              <w:jc w:val="left"/>
              <w:rPr>
                <w:rFonts w:hint="eastAsia" w:ascii="宋体" w:hAnsi="宋体" w:eastAsia="宋体" w:cs="宋体"/>
                <w:b/>
                <w:bCs/>
                <w:sz w:val="21"/>
                <w:szCs w:val="21"/>
                <w:lang w:val="en-US"/>
              </w:rPr>
            </w:pPr>
            <w:r>
              <w:rPr>
                <w:rFonts w:hint="eastAsia" w:ascii="宋体" w:hAnsi="宋体" w:cs="宋体"/>
                <w:b/>
                <w:bCs/>
                <w:sz w:val="21"/>
                <w:szCs w:val="21"/>
                <w:lang w:val="en-US" w:eastAsia="zh-CN"/>
              </w:rPr>
              <w:t>教学终端输出设备</w:t>
            </w:r>
            <w:r>
              <w:rPr>
                <w:rFonts w:hint="eastAsia" w:ascii="宋体" w:hAnsi="宋体" w:eastAsia="宋体" w:cs="宋体"/>
                <w:b/>
                <w:bCs/>
                <w:sz w:val="21"/>
                <w:szCs w:val="21"/>
                <w:lang w:val="en-US" w:eastAsia="zh-CN"/>
              </w:rPr>
              <w:t>：</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黑白激光多功能一体机（打印、复印、扫描、传真、有线网络、双面打印）</w:t>
            </w:r>
          </w:p>
        </w:tc>
        <w:tc>
          <w:tcPr>
            <w:tcW w:w="485"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w:t>
            </w:r>
          </w:p>
        </w:tc>
        <w:tc>
          <w:tcPr>
            <w:tcW w:w="655"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6</w:t>
            </w:r>
          </w:p>
        </w:tc>
        <w:tc>
          <w:tcPr>
            <w:tcW w:w="7246" w:type="dxa"/>
            <w:vAlign w:val="center"/>
          </w:tcPr>
          <w:p>
            <w:pPr>
              <w:spacing w:line="240" w:lineRule="auto"/>
              <w:jc w:val="left"/>
              <w:rPr>
                <w:rFonts w:hint="eastAsia" w:ascii="宋体" w:hAnsi="宋体" w:eastAsia="宋体" w:cs="宋体"/>
                <w:b/>
                <w:bCs/>
                <w:sz w:val="21"/>
                <w:szCs w:val="21"/>
                <w:lang w:eastAsia="zh-CN"/>
              </w:rPr>
            </w:pPr>
            <w:r>
              <w:rPr>
                <w:rFonts w:hint="eastAsia" w:ascii="宋体" w:hAnsi="宋体" w:eastAsia="宋体" w:cs="宋体"/>
                <w:b/>
                <w:bCs/>
                <w:sz w:val="21"/>
                <w:szCs w:val="21"/>
              </w:rPr>
              <w:t>信息化三维模型处理系统</w:t>
            </w:r>
            <w:r>
              <w:rPr>
                <w:rFonts w:hint="eastAsia" w:ascii="宋体" w:hAnsi="宋体" w:eastAsia="宋体" w:cs="宋体"/>
                <w:b/>
                <w:bCs/>
                <w:sz w:val="21"/>
                <w:szCs w:val="21"/>
                <w:lang w:eastAsia="zh-CN"/>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（1）本地服务端具有中、英、法、日、德、俄、韩等12种语言版本，在安装界面可选。</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（2）支持z3、dwg、igs、stp、stl、vda、prt、catpart等主流格式的三维文件导入与导出，满足不同三维软件的数据共享。</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3）本地服务端提供对造型的分析功能，可以对开放边、平面进行分析操作，并且具有曲面修复和缝合功能，可以进行间隙和破面的修补工作。对于存在间隙或破面的不封闭实体或曲面，在符合专业级修补标准的前提下，可以迅速修复。</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4）本地服务端支持对导入的模型进行编辑，支持DE移动、对齐移动面、跟进标注移动、DE面偏移、等DE直接编辑，可以对特征进行简化和替换操作，也可以对造型进行复制、镜像等造型变换，专业化的工具满足多样化的需求。</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★（5）终端可以查看模型的爆炸视图，完美继承本地服务端的爆炸图设置，提供滑动条供用户选择爆炸的距离。</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（6）终端支持查看模型的装配树，装配树显示当前模型的所有装配零件，可显示与隐藏任意零件，便于查看装配关系等信息。</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7）配套立体化三维模型库：不需要安装任何APP或者插件，通过手机等移动端设备直接扫描二维码查看三维模型，并且支持该模型的任意旋转、缩放、立体化渲染、动态剖切及智能测量等功能。可从任意角度查看模型，页面内置7种标准视角。</w:t>
            </w:r>
          </w:p>
          <w:p>
            <w:pPr>
              <w:pStyle w:val="6"/>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（8）为方便查看内部结构，终端支持对模型进行剖切查看，提供六面包络体，拖动六面体任意面即可剖切，还可以同时剖切不同方向的面。</w:t>
            </w:r>
          </w:p>
        </w:tc>
        <w:tc>
          <w:tcPr>
            <w:tcW w:w="485"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w:t>
            </w:r>
          </w:p>
        </w:tc>
        <w:tc>
          <w:tcPr>
            <w:tcW w:w="655"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7</w:t>
            </w:r>
          </w:p>
        </w:tc>
        <w:tc>
          <w:tcPr>
            <w:tcW w:w="7246" w:type="dxa"/>
            <w:vAlign w:val="center"/>
          </w:tcPr>
          <w:p>
            <w:pPr>
              <w:spacing w:line="24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机械CAD教育版软件 ：</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1.文件格式：支持dwg、dxf及dwt的文件保存格式，支持输出wmf、sat、bmp、jpg、png、tif格式的数据。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2.自动保存：软件可在设定的自动保存时间点自动保存相应格式的临时文件，可设定临时文件的储存位置。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3.手势精灵：通过鼠标连续运行轨迹的差异来识别用户输入的命令。例如，按住鼠标右键在绘图区域画出字母“E”，系统则自动执行ERASE 命令。</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4.智能语音：可在图纸中创建、播放和删除语音注释。</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5.OLE对象：可将Office软件中的内容复制后直接粘贴到软件中，软件绘制的图形也可以直接粘贴到Office中。</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6.扩展工具：“扩展工具”菜单中，具备“图层工具”的二级菜单，可实现对图层的增强编辑。“图块工具”下，提供“批量修改属性值”功能，可修改指定属性块中的属性值。</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7.激活加密：支持网络授权（软加密），使用网络激活号激活许可服务器，并通过网络许可配置程序动态监控和管理网络许可证的分配。</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8.在线更新：“帮助”菜单中提供“检查更新”功能，支持在线更新。</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9.图纸设置：软件共提供GB、ISO、ANSI、DIN、JIS、BSI、CSN、GOST 8种常用的国家标准，用户可以通过自定义来创建符合特定要求的尺寸来生成自己的图幅，便于用户使用。</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10.多图幅设置：可在同一个绘图环境中绘制多个不同标准、不同比例的图幅，多图框建立以后，标注、符号标注等会自动适应图框的比例内容。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11.更换标准：图纸建立多标准的图框后会产生不同标准，当选择某种标准时，所执行的操作都以选择的标准为基础。</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12.智能标注：智能标注功能会因选择实体的对象不同，自动进行长度、直径或半径标注。标注过程中根据命令的提示可以在不同标注方式中任意选择。图层管理：自动生成常用图层并通过数字自由切换,提高绘图效率。</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13.创建视图：参考了国际通用的标注形式，提供了强大剖切线标注功能，如剖面符号、剖面标签、附加剖面符号、显示箭头、平面线等。对零部件的局部进行放大，使零部件的局部图形更清晰。</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14.系列化零件设计系统：系列化零件设计系统是软件中特有的一项功能，是对参数化国标图库的一种有益补充。支持一张图纸的完整信息，如：图形、各种标注、图框、文字等。利用它可以进行复杂零件的参数化设计。</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15.超级符号库：软件所提供的超级符号库中包括4种符合国家标注符号内容，包括液压气动符号库、电器符号库、机构运动符号库、金属结构件。除此之外，软件允许用户建立自己的符号库系统，用户再次需要属于的符号内容时，可调用用户自己建立的符号库中的图形，并且支持在调用进行比例调节。</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16.系统维护工具：该工具可以实现样式配置、词句库维护、自定义标题栏、自定义附加栏、自定义参数栏、自定义图样代号栏、自定义更改栏、超级属性块定义、自定义明细表表头、自定义明细表表体、不规则表格提取配置、2D规则表格提取配置、样式库同步工具配置等。</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17.其他要求：</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（1）满足教育部职业技能大赛中职组“零部件测绘与CAD成图技术”赛项比赛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，保证学校能用此产品参加大赛，须提供大赛证明文件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（2）满足中等职业学校职业能力大赛（学生技术技能类）“零部件测绘与CAD成图技术”赛项比赛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，保证学校能用此产品参加大赛，须提供大赛证明文件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r>
              <w:rPr>
                <w:rFonts w:hint="eastAsia" w:ascii="宋体" w:hAnsi="宋体" w:eastAsia="宋体" w:cs="宋体"/>
                <w:kern w:val="0"/>
                <w:sz w:val="21"/>
                <w:szCs w:val="21"/>
                <w:lang w:val="en-US" w:eastAsia="zh-CN" w:bidi="ar-SA"/>
              </w:rPr>
              <w:t>满足“振兴杯”全国青年职业技能大赛</w:t>
            </w:r>
            <w:r>
              <w:rPr>
                <w:rFonts w:hint="eastAsia" w:ascii="宋体" w:hAnsi="宋体" w:eastAsia="宋体" w:cs="宋体"/>
                <w:sz w:val="21"/>
                <w:szCs w:val="21"/>
              </w:rPr>
              <w:t>“</w:t>
            </w:r>
            <w:r>
              <w:rPr>
                <w:rFonts w:hint="eastAsia" w:ascii="宋体" w:hAnsi="宋体" w:eastAsia="宋体" w:cs="宋体"/>
                <w:kern w:val="0"/>
                <w:sz w:val="21"/>
                <w:szCs w:val="21"/>
                <w:lang w:val="en-US" w:eastAsia="zh-CN" w:bidi="ar-SA"/>
              </w:rPr>
              <w:t>车工”等类似</w:t>
            </w:r>
            <w:r>
              <w:rPr>
                <w:rFonts w:hint="eastAsia" w:ascii="宋体" w:hAnsi="宋体" w:eastAsia="宋体" w:cs="宋体"/>
                <w:kern w:val="0"/>
                <w:sz w:val="21"/>
                <w:szCs w:val="21"/>
              </w:rPr>
              <w:t>赛项</w:t>
            </w:r>
            <w:r>
              <w:rPr>
                <w:rFonts w:hint="eastAsia" w:ascii="宋体" w:hAnsi="宋体" w:eastAsia="宋体" w:cs="宋体"/>
                <w:kern w:val="0"/>
                <w:sz w:val="21"/>
                <w:szCs w:val="21"/>
                <w:lang w:val="en-US" w:eastAsia="zh-CN"/>
              </w:rPr>
              <w:t>商务技术要求</w:t>
            </w:r>
            <w:r>
              <w:rPr>
                <w:rFonts w:hint="eastAsia" w:ascii="宋体" w:hAnsi="宋体" w:eastAsia="宋体" w:cs="宋体"/>
                <w:kern w:val="0"/>
                <w:sz w:val="21"/>
                <w:szCs w:val="21"/>
              </w:rPr>
              <w:t>，保证学校能用此产品参加大赛</w:t>
            </w:r>
            <w:r>
              <w:rPr>
                <w:rFonts w:hint="eastAsia" w:ascii="宋体" w:hAnsi="宋体" w:eastAsia="宋体" w:cs="宋体"/>
                <w:kern w:val="0"/>
                <w:sz w:val="21"/>
                <w:szCs w:val="21"/>
                <w:lang w:eastAsia="zh-CN"/>
              </w:rPr>
              <w:t>，</w:t>
            </w:r>
            <w:r>
              <w:rPr>
                <w:rFonts w:hint="eastAsia" w:ascii="宋体" w:hAnsi="宋体" w:eastAsia="宋体" w:cs="宋体"/>
                <w:sz w:val="21"/>
                <w:szCs w:val="21"/>
              </w:rPr>
              <w:t>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tc>
        <w:tc>
          <w:tcPr>
            <w:tcW w:w="485" w:type="dxa"/>
            <w:vAlign w:val="center"/>
          </w:tcPr>
          <w:p>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p>
            <w:pPr>
              <w:pStyle w:val="9"/>
              <w:numPr>
                <w:ilvl w:val="0"/>
                <w:numId w:val="0"/>
              </w:numPr>
              <w:ind w:left="291" w:leftChars="104" w:right="-683" w:rightChars="-244" w:firstLine="0" w:firstLineChars="0"/>
              <w:rPr>
                <w:rFonts w:hint="eastAsia" w:ascii="宋体" w:hAnsi="宋体" w:eastAsia="宋体" w:cs="宋体"/>
                <w:kern w:val="2"/>
                <w:sz w:val="21"/>
                <w:szCs w:val="21"/>
                <w:lang w:val="en-US" w:eastAsia="zh-CN" w:bidi="ar-SA"/>
              </w:rPr>
            </w:pPr>
          </w:p>
        </w:tc>
        <w:tc>
          <w:tcPr>
            <w:tcW w:w="655" w:type="dxa"/>
            <w:vAlign w:val="center"/>
          </w:tcPr>
          <w:p>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节点</w:t>
            </w:r>
          </w:p>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8</w:t>
            </w:r>
          </w:p>
        </w:tc>
        <w:tc>
          <w:tcPr>
            <w:tcW w:w="7246" w:type="dxa"/>
            <w:vAlign w:val="center"/>
          </w:tcPr>
          <w:p>
            <w:pPr>
              <w:pStyle w:val="6"/>
              <w:spacing w:line="240" w:lineRule="auto"/>
              <w:jc w:val="left"/>
              <w:rPr>
                <w:rFonts w:hint="eastAsia" w:ascii="宋体" w:hAnsi="宋体" w:eastAsia="宋体" w:cs="宋体"/>
                <w:sz w:val="21"/>
                <w:szCs w:val="21"/>
                <w:lang w:val="en-US" w:eastAsia="zh-CN"/>
              </w:rPr>
            </w:pPr>
            <w:r>
              <w:rPr>
                <w:rFonts w:hint="eastAsia" w:ascii="宋体" w:hAnsi="宋体" w:eastAsia="宋体" w:cs="宋体"/>
                <w:b/>
                <w:bCs/>
                <w:sz w:val="21"/>
                <w:szCs w:val="21"/>
              </w:rPr>
              <w:t>三维平台设计软件</w:t>
            </w:r>
            <w:r>
              <w:rPr>
                <w:rFonts w:hint="eastAsia" w:ascii="宋体" w:hAnsi="宋体" w:eastAsia="宋体" w:cs="宋体"/>
                <w:b/>
                <w:bCs/>
                <w:sz w:val="21"/>
                <w:szCs w:val="21"/>
                <w:lang w:eastAsia="zh-CN"/>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实体曲面混合建模：要求软件可以做到实体与曲面的混合建模，提高软件建模的灵活度。</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数据接口：支持双向数据的导入导出，根据不同的格式，如：Catia V4、Catia V5/V6、NX(Unigraphics)、Creo(Pro/E)、Parasolid、SAT、STEP、DWG/DXF、IGES、等，原有数据中的装配信息、层信息、组信息和颜色信息都一一转换，输入数据时可以通过智能过滤器把原始数据进行优化。还要支持通用格式的批量导入；高效的协助使用者进行数据的转换，无任何数据损失，交换方式便利、迅速。</w:t>
            </w:r>
          </w:p>
          <w:p>
            <w:pPr>
              <w:spacing w:line="240" w:lineRule="auto"/>
              <w:jc w:val="left"/>
              <w:rPr>
                <w:rFonts w:hint="eastAsia" w:ascii="宋体" w:hAnsi="宋体" w:eastAsia="宋体" w:cs="宋体"/>
                <w:b/>
                <w:bCs/>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多文档形式：一个造型文档中包含多个文件造型，各文档之间可自由切换并编辑。</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角色设置：提供多种角色，根据使用者能力的不同，自行进行适合自己角色配置。同时在软件中个角色可以进行自由的切换。</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二维到三维：可直接复制/粘贴DWG中的二维轮廓到软件的草图或工程图中，并可以直接使用该轮廓进行编辑及建模操作。</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矢量图转换：可以将*.jpg、*.png、等格式图片，在软件中转换成草图线框形式。</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破面修补：提供曲面修补的功能，导入实体出现破面、丢失面的情况时，在符合专业级修补标准的前提下，可以一键对有问题的面进行修补，从而快速的修复模型。</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浮雕建模：可以使图片在模型表面形成凹凸的建模造型，并且可以直接用于后续CAM编程加工。</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装配功能：装配树能够生动的高亮显示个体零件以方便修改；对于多文档文件的装配可实现一个及批量零件的插入。具备自上向下、自下向上或同时以两种方式构建装配，可即刻修改出现的问题。</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钣金设计：包含对钣金的基本设置，如折弯、加强筋、百叶窗、展开等；支持直接对钣金进行拉伸、放样，钣金的运算与基本造型在系统内部保持一致，允许对钣金件执行普通造型的任意操作，例如增料除料等。</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焊件设计：提供固连各型材的焊接件设计功能，可生成iso以及ansi inch等标准的焊接结构构件、三角形和多边形等类型的脚撑板、用于封闭结构构件的开放端口的顶端盖、连续的或间隙性的焊缝。</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rPr>
              <w:t>模具设计：可根据产品结构自行区分型芯与型腔区域，生成不同的颜色标记；可以通过参数化设计流道、滑块、镶块、冷却管道等结构设计；具有模具标准件库，需包含模架及定位环、唧嘴、浇口、流道、水路、滑块头、限位块、导柱等各种模具标准件；用户还可以自己定义符合实际使用标准的自定义标准件库。简化分模设计步骤。</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逆向工程：可根据点云数据，逆向生成三角网格面或NURBS曲面，对其进行光顺处理之后可以直接进行实体操作，方便快捷。</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14.</w:t>
            </w:r>
            <w:r>
              <w:rPr>
                <w:rFonts w:hint="eastAsia" w:ascii="宋体" w:hAnsi="宋体" w:eastAsia="宋体" w:cs="宋体"/>
                <w:sz w:val="21"/>
                <w:szCs w:val="21"/>
              </w:rPr>
              <w:t>多种加工方式：钻孔、2轴铣削、3轴铣削、多轴加工、车削等加工方式。</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智能策略加工：支持钻孔、2轴智能加工，根据模型及给定的毛坯，自行进行加工刀具的选择，保证合理的切削工艺直接计算出加工轨迹。同时支持自行更改某个刀路的参数 。</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16.</w:t>
            </w:r>
            <w:r>
              <w:rPr>
                <w:rFonts w:hint="eastAsia" w:ascii="宋体" w:hAnsi="宋体" w:eastAsia="宋体" w:cs="宋体"/>
                <w:sz w:val="21"/>
                <w:szCs w:val="21"/>
              </w:rPr>
              <w:t>仿真：系统具有线架仿真和实体仿真功能，用户能及时看到加工的仿真效果。系统支持对刀轨整体分析，以及具体刀轨运动的分析，实体仿真允许考虑刀具补偿，以模拟实际加工过程。提供3种检查形式：碰撞、过切、余量检查，碰撞和过切检查将分析结果直接用颜色标示于刀轨。可以在真正加工之前将问题暴露出来，避免实际加工时类似问题的发生。在仿真过程中可显示刀具夹持器和各种不同的刀轨显示模式。</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17.</w:t>
            </w:r>
            <w:r>
              <w:rPr>
                <w:rFonts w:hint="eastAsia" w:ascii="宋体" w:hAnsi="宋体" w:eastAsia="宋体" w:cs="宋体"/>
                <w:sz w:val="21"/>
                <w:szCs w:val="21"/>
              </w:rPr>
              <w:t>轨迹输出：独立输出NC、CL、XML/HTML、工序/刀具清单以及工艺电子表格，生成的CL文件符合ISO-4343标准。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后置处理：软件自带常用的机床后置系统，如FANUC、KND、SIEMENS等；开放性高，客户可根据自己的机床系统进行简单的格式编辑。</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智能辅助教学系统：在软件内实现一边指导，一边操作的学习。学生可以一边观看演示一边操作学习，最终完成建模；方便学生课下自行学习。</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技术支持与服务：经过国家权威部门审定，并经过广泛应用证明，系统实用、可靠；在全国有多家技术支持机构，可以提供高质量的培训及服务。</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其他要求：</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满足中职组“零部件测绘与CAD成图技术”赛项技能大赛比赛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，须提供相应证明文件资料</w:t>
            </w:r>
            <w:r>
              <w:rPr>
                <w:rFonts w:hint="eastAsia" w:ascii="宋体" w:hAnsi="宋体" w:eastAsia="宋体" w:cs="宋体"/>
                <w:sz w:val="21"/>
                <w:szCs w:val="21"/>
                <w:lang w:val="en-US" w:eastAsia="zh-CN"/>
              </w:rPr>
              <w:t>或承诺函</w:t>
            </w:r>
            <w:r>
              <w:rPr>
                <w:rFonts w:hint="eastAsia" w:ascii="宋体" w:hAnsi="宋体" w:eastAsia="宋体" w:cs="宋体"/>
                <w:sz w:val="21"/>
                <w:szCs w:val="21"/>
              </w:rPr>
              <w:t>，保证学校能用此产品参加大赛。</w:t>
            </w:r>
          </w:p>
        </w:tc>
        <w:tc>
          <w:tcPr>
            <w:tcW w:w="485" w:type="dxa"/>
            <w:vAlign w:val="center"/>
          </w:tcPr>
          <w:p>
            <w:pPr>
              <w:pStyle w:val="9"/>
              <w:numPr>
                <w:ilvl w:val="0"/>
                <w:numId w:val="0"/>
              </w:numPr>
              <w:ind w:left="0" w:leftChars="0" w:right="-683" w:rightChars="-244"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 xml:space="preserve"> 1</w:t>
            </w:r>
          </w:p>
        </w:tc>
        <w:tc>
          <w:tcPr>
            <w:tcW w:w="655"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9</w:t>
            </w:r>
          </w:p>
        </w:tc>
        <w:tc>
          <w:tcPr>
            <w:tcW w:w="7246"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机械工程识图能力评价系统：</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1.软件架构：软件应采用B/S架构，只需在一台电脑安装，学生机通过浏览器即可使用；应支持互联网或校园局域网双模式访问系统，可部署进校园网。</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2.权限与角色：软件需包含管理、教师和学生三种权限且分别满足不同权限下的功能，可进行管理、教学、实训和无纸化考试。</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★3.管理员端功能：管理员账号需能够设置其所属院系和班级，导入账号时可单个或批量进行；可设置账号使用期限；查看软件所含图纸和题目；根据需求自行创建题目，题目可分类。</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4.教师端管理功能：教师端可管理多个班级、查看软件内置和自建的题目，含试题搜索、积分排行和统计数据功能。</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5.教师端能力评价：教师端可发布能力评价考试。专项识图应支持随机和手动两种抽题模式，组卷方案可根据得分率抽取且可保存。零件图识图能力和装配图识图能力题型应能够按单选和多选两种模式进行答题，多选题应可设置两种得分方式：“部分对给一半分”和“只有全对才给分”；考试内容可快速复用、试卷可分享；考试后可导出成绩单、查看试卷详情。</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6.教师端数据统计：教师端应有班级统计、学生统计和查看错题榜功能。班级统计含考试情况和各分类题目统计；学生统计含实训次数和学生学习报告。评价结束后，教师能够通过查看学生“答题卡”查看考生的评价答题情况，同时软件应提供错题排行榜统计等完整的可视化数据功能。</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7.学生端功能：学生端能力实训需含自由实训、计时实训和标准能力实训至少3种训练方式；可完成教师发布的能力评价考试任务；查看实训和评价的错题情况；有错题重做和收藏题目功能；学生答题时可记录答题内容，中途退出账号再次进入后，依然可以继续答题；可查看训练、考试和整体能力情况。</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8.答题页面：学生答题界面应包含两种操作模式，同时可以设置自动换题，页面放大预览功能</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9.专项识图：软件需包含基础制图能力、投影基础识读能力、图样基础识读能力、标准件与常用件识读能力，同时应能够按照知识应用能力的不同来区分知识范围，便于学生在识图过程中能够掌握识图基础知识。</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10.零件图识图：零件图识图能力应包含轴套类、轮盘盖类、箱体类、叉架类、其他类；题目属性应包含结构形状、表达方法、尺寸分析、技术要求题目</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11.装配图识图：零件图识图能力应包含阀类、泵类、减速器类和功能部件类，案例图纸应不少于包含20套；题目属性包含设计基础、视图表达、配合关系、装配基准、调试方法，题目数量应不少于730道。</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12.图纸跳转功能：装配图识图过程中应能够点击装配图明细表打开相应零件图查看零件图纸；点击零件图图名可以打开从属装配图查看零件在装配图中所在位置。</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13.3D模型：为图纸识图过程中能够读懂图纸结构，零件图识图与装配图识图中应含3D资源不少于180个，可通过放大、缩小、旋转和实时剖切进行查看。（定标前提供演示）</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★14.共享功能：教师可将自己创建的考试任务分享给其他教师账号；学生可将答题结果通过二维码分享给他人。</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15.积分排行：学生练习和自测过程中应可以积累积分，并且可以查看所在班级和年级中的排名情况。</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16.自由实训：学生结合自身实际情况，可自行从题库中抽取所需题目进行不限制时间的训练，并支持实时反馈答题情况。</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17.计时实训：学生可自定义实训的题目范围和数量，自行设置实训时长。结束实训后可查看所有题目和只看错题。</w:t>
            </w:r>
          </w:p>
          <w:p>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18.标准能力实训：即软件为学生提供一种模拟考试的实训情景。学生可自行设置实训时长，软件按照一定比例自动从题库内随机抽取实训题目，答题时间截止后软件可自动结束实训。</w:t>
            </w:r>
          </w:p>
        </w:tc>
        <w:tc>
          <w:tcPr>
            <w:tcW w:w="485"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w:t>
            </w:r>
          </w:p>
        </w:tc>
        <w:tc>
          <w:tcPr>
            <w:tcW w:w="655"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10</w:t>
            </w:r>
          </w:p>
        </w:tc>
        <w:tc>
          <w:tcPr>
            <w:tcW w:w="7246"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《典型机械零件》测绘装置：</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《典型机械零件》测绘套件，其材质为铝合金件</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（1）测绘箱子尺寸不小于：370*340*130mm;</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基础零件测绘装置：基础零件测绘装置主要包含南机轴、轴套、端盖、法兰盘、连杆、支架、阀体、箱体等机构。了解机械机构中常用的四大类零件，认识基础零件的误差和配合精度，为机械专业零部件测量与测绘提供测规范化测量对象；</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（3）配套高等教育出版社出版的《零部件测绘实训手册》教材；</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（4）采用铝镁压铸工艺，经喷砂处理，产品精度高，质量好；</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（5）零部件主要部位进行数控加工，加工面精度高和表面粗糙度合理；</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对于每个单体零件进行三维数字化设计，组成立体化三维零件模型库；不需要安装任何APP或者插件，通过手机等移动端设备直接扫描二维码查看三维模型，并且支持该模型的任意旋转、缩放、立体化渲染、动态剖切及智能测量等功能。</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（7）终端可以查看模型的爆炸视图，完美继承本地服务端的爆炸图设置，提供滑动条供用户选择爆炸的距离。</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（8）终端支持查看模型的装配树，装配树显示当前模型的所有装配零件，可显示与隐藏任意零件，便于查看装配关系等信息。</w:t>
            </w:r>
          </w:p>
        </w:tc>
        <w:tc>
          <w:tcPr>
            <w:tcW w:w="48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65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default" w:ascii="宋体" w:hAnsi="宋体" w:eastAsia="宋体" w:cs="宋体"/>
                <w:b/>
                <w:bCs/>
                <w:sz w:val="21"/>
                <w:szCs w:val="21"/>
                <w:vertAlign w:val="baseline"/>
                <w:lang w:val="en-US" w:eastAsia="zh-CN"/>
              </w:rPr>
            </w:pPr>
            <w:r>
              <w:rPr>
                <w:rFonts w:hint="eastAsia" w:ascii="宋体" w:hAnsi="宋体" w:cs="宋体"/>
                <w:b/>
                <w:bCs/>
                <w:sz w:val="21"/>
                <w:szCs w:val="21"/>
                <w:vertAlign w:val="baseline"/>
                <w:lang w:val="en-US" w:eastAsia="zh-CN"/>
              </w:rPr>
              <w:t>11</w:t>
            </w:r>
          </w:p>
        </w:tc>
        <w:tc>
          <w:tcPr>
            <w:tcW w:w="7246"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《零部件拆装与测量》工具套装 </w:t>
            </w:r>
            <w:r>
              <w:rPr>
                <w:rFonts w:hint="eastAsia" w:ascii="宋体" w:hAnsi="宋体" w:eastAsia="宋体" w:cs="宋体"/>
                <w:sz w:val="21"/>
                <w:szCs w:val="21"/>
                <w:lang w:val="en-US" w:eastAsia="zh-CN"/>
              </w:rPr>
              <w:t xml:space="preserve">  </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产品适用于基础零件、千斤顶、偏心机构、平口钳、凸轮机构、齿轮泵、减速器、蜗轮减速器标准件、典型零件、联接与配合、台虎钳、阀体、联轴器、注塑模具、尾座顶尖等零部件的折装与测量。</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拆装与测量工具整箱装置，箱体尺寸≥360mm*260mm*120mm，箱子内置泡沫模子，模子根据不同的拆装工具和测量工具形状大小进行挖槽设计，将工具嵌合其中，方便取用；</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拆卸工具：活络扳手、内卡簧钳、外卡簧钳、橡胶锤、十字螺丝刀、紫铜棒、尖嘴钳、内六角扳手。</w:t>
            </w:r>
          </w:p>
          <w:p>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测量工具：游标卡尺、中心距卡尺（数显）、钢直尺、螺纹样板公制60°、螺纹样板英制55°、半径规R1-R25、角度尺、外径千分尺0-50mm。</w:t>
            </w:r>
          </w:p>
        </w:tc>
        <w:tc>
          <w:tcPr>
            <w:tcW w:w="485"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5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4"/>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eastAsia" w:ascii="宋体" w:hAnsi="宋体" w:eastAsia="宋体" w:cs="宋体"/>
                <w:sz w:val="21"/>
                <w:szCs w:val="21"/>
                <w:lang w:val="en-US" w:eastAsia="zh-CN"/>
              </w:rPr>
            </w:pPr>
            <w:r>
              <w:rPr>
                <w:rFonts w:hint="eastAsia" w:ascii="宋体" w:hAnsi="宋体" w:cs="宋体"/>
                <w:b/>
                <w:bCs/>
                <w:i w:val="0"/>
                <w:color w:val="000000"/>
                <w:kern w:val="0"/>
                <w:sz w:val="28"/>
                <w:szCs w:val="28"/>
                <w:u w:val="none"/>
                <w:lang w:val="en-US" w:eastAsia="zh-CN" w:bidi="ar"/>
              </w:rPr>
              <w:t>二、</w:t>
            </w:r>
            <w:r>
              <w:rPr>
                <w:rFonts w:hint="eastAsia" w:ascii="宋体" w:hAnsi="宋体" w:eastAsia="宋体" w:cs="宋体"/>
                <w:b/>
                <w:bCs/>
                <w:i w:val="0"/>
                <w:color w:val="000000"/>
                <w:kern w:val="0"/>
                <w:sz w:val="28"/>
                <w:szCs w:val="28"/>
                <w:u w:val="none"/>
                <w:lang w:val="en-US" w:eastAsia="zh-CN" w:bidi="ar"/>
              </w:rPr>
              <w:t>双工位零部件测绘综合实训平台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w:t>
            </w:r>
          </w:p>
        </w:tc>
        <w:tc>
          <w:tcPr>
            <w:tcW w:w="7246" w:type="dxa"/>
            <w:vAlign w:val="center"/>
          </w:tcPr>
          <w:p>
            <w:pPr>
              <w:keepNext w:val="0"/>
              <w:keepLines w:val="0"/>
              <w:widowControl/>
              <w:numPr>
                <w:ilvl w:val="0"/>
                <w:numId w:val="0"/>
              </w:numPr>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双工位零件测绘桌：</w:t>
            </w:r>
            <w:r>
              <w:rPr>
                <w:rFonts w:hint="eastAsia" w:ascii="宋体" w:hAnsi="宋体" w:eastAsia="宋体" w:cs="宋体"/>
                <w:sz w:val="21"/>
                <w:szCs w:val="21"/>
                <w:lang w:val="en-US" w:eastAsia="zh-CN"/>
              </w:rPr>
              <w:t xml:space="preserve">    </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一种高端改进型零部件测绘与CAD成图技术教学、实训、竞赛和技能高考的综合实训装置，集课堂教学、计算机制图、手工绘图和零部件测量与测绘于一体的“四合一”实训室</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★（1）测绘桌整体尺寸为1750x680x780（长宽高）。每套测绘桌分两个学生工位和一个公共测量工位，单工位尺寸为685x680x780（长宽高）；大理石尺寸为380x680x</w:t>
            </w:r>
            <w:r>
              <w:rPr>
                <w:rFonts w:hint="eastAsia" w:ascii="宋体" w:hAnsi="宋体" w:eastAsia="宋体" w:cs="宋体"/>
                <w:sz w:val="21"/>
                <w:szCs w:val="21"/>
                <w:lang w:val="en-US" w:eastAsia="zh-CN"/>
              </w:rPr>
              <w:t>3</w:t>
            </w:r>
            <w:r>
              <w:rPr>
                <w:rFonts w:hint="eastAsia" w:ascii="宋体" w:hAnsi="宋体" w:eastAsia="宋体" w:cs="宋体"/>
                <w:sz w:val="21"/>
                <w:szCs w:val="21"/>
              </w:rPr>
              <w:t>0mm（长宽厚），大理石下部定制抽屉支架：四边钢板围成凹槽，把大理石平板放在其中，起到固定大理石平板的作用，有效防止大理石平板移动；在大理石放置架下方开有孔，可以用手或工具作为支撑，便于大理石平板取出，方便更换；大理石抽屉支架通过轴承导轨拉出200mm，方便零件测绘；学生工位台面为实木面板（厚度30mm），圆边桌角处理，测绘桌整体颜色深灰色，桌面原木色。</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（2）每个工位配套透明pvc胶垫。</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（3）公共测量桌采用中间一层抽屉、立柜带中控锁配置，下部立柜可放两台电脑主机箱，柜门框内尺寸不小于412x650x468mm，柜门框不小于452x650x518（长宽高）；抽屉外尺寸不小于452x580x150mm  ，抽屉面板框内尺寸不小于412x580x110mm（长宽高），采用优质钢制三节滚珠静音滑轨，每付承重约55KG,抽屉自带固定互锁，抽屉配塑料拉手(全宽铝合金把手并附有标识牌框),柜门上部冲有开机按键槽，下部冲有圆形9mm散热孔（四角冲有圆形10mm散热孔），柜内底部并预留穿线孔、槽。</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（4）紧固的工作台框架，采用优质一级冷轧钢板，钢板厚度达到1.2mm，承重部分1.5-2.0mm冷轧钢板，可使工作台整体承重800KG,经酸洗、磷化仿静电喷塑处理，整体深灰色，桌面板前部下方预留有穿线孔、槽。</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（5）零部件测绘实训台左右两侧由冲床预留置物孔洞，通过安装不锈钢挂架方便放置常用工具、可折叠手工绘图板和量具等，承载量可达20KG。</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6）测绘桌左右两侧学生工位桌面前部安装可升降电脑显示器（自动翻板升降，可升、降、停并有防夹手功能）为钢制电动升降器，便于整个工作台在课堂教学、CAD制图、零部件测量与测绘和手工绘图等新课堂教学环节间切换；每工位采用中间一层抽屉 。</w:t>
            </w:r>
          </w:p>
          <w:p>
            <w:pPr>
              <w:keepNext w:val="0"/>
              <w:keepLines w:val="0"/>
              <w:widowControl/>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rPr>
              <w:t>）装置配电源插座，用于电脑供电及其他设备用电</w:t>
            </w:r>
            <w:r>
              <w:rPr>
                <w:rFonts w:hint="eastAsia" w:ascii="宋体" w:hAnsi="宋体" w:eastAsia="宋体" w:cs="宋体"/>
                <w:sz w:val="21"/>
                <w:szCs w:val="21"/>
                <w:lang w:eastAsia="zh-CN"/>
              </w:rPr>
              <w:t>。</w:t>
            </w:r>
          </w:p>
        </w:tc>
        <w:tc>
          <w:tcPr>
            <w:tcW w:w="48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65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2</w:t>
            </w:r>
          </w:p>
        </w:tc>
        <w:tc>
          <w:tcPr>
            <w:tcW w:w="7246" w:type="dxa"/>
            <w:vAlign w:val="center"/>
          </w:tcPr>
          <w:p>
            <w:pPr>
              <w:keepNext w:val="0"/>
              <w:keepLines w:val="0"/>
              <w:widowControl/>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实训方凳</w:t>
            </w:r>
            <w:r>
              <w:rPr>
                <w:rFonts w:hint="eastAsia" w:ascii="宋体" w:hAnsi="宋体" w:eastAsia="宋体" w:cs="宋体"/>
                <w:sz w:val="21"/>
                <w:szCs w:val="21"/>
                <w:lang w:val="en-US" w:eastAsia="zh-CN"/>
              </w:rPr>
              <w:t xml:space="preserve"> ： </w:t>
            </w:r>
          </w:p>
          <w:p>
            <w:pPr>
              <w:pStyle w:val="6"/>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rPr>
              <w:t>钢木方凳，凳面为三聚氰胺外饰面板厚度不少于18mm，凳腿部件材质为喷塑钢架（四根），横撑两根，厚度不大于1.0mm，配尼龙管塞，尺寸规格不大于:340*240*420mm长*宽*高</w:t>
            </w:r>
          </w:p>
        </w:tc>
        <w:tc>
          <w:tcPr>
            <w:tcW w:w="485" w:type="dxa"/>
            <w:vAlign w:val="center"/>
          </w:tcPr>
          <w:p>
            <w:pPr>
              <w:keepNext w:val="0"/>
              <w:keepLines w:val="0"/>
              <w:widowControl/>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5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3</w:t>
            </w:r>
          </w:p>
        </w:tc>
        <w:tc>
          <w:tcPr>
            <w:tcW w:w="7246" w:type="dxa"/>
            <w:vAlign w:val="center"/>
          </w:tcPr>
          <w:p>
            <w:pPr>
              <w:keepNext w:val="0"/>
              <w:keepLines w:val="0"/>
              <w:widowControl/>
              <w:numPr>
                <w:ilvl w:val="0"/>
                <w:numId w:val="0"/>
              </w:numPr>
              <w:suppressLineNumbers w:val="0"/>
              <w:spacing w:line="240" w:lineRule="auto"/>
              <w:jc w:val="both"/>
              <w:textAlignment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教学终端设备：</w:t>
            </w:r>
          </w:p>
          <w:p>
            <w:pPr>
              <w:keepNext w:val="0"/>
              <w:keepLines w:val="0"/>
              <w:widowControl/>
              <w:numPr>
                <w:ilvl w:val="0"/>
                <w:numId w:val="0"/>
              </w:numPr>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I5-9400F，内存容量4GB，硬盘容量1TB，显存容量2GB独显，显示器尺寸21.5WLCd，Win10系统</w:t>
            </w:r>
          </w:p>
        </w:tc>
        <w:tc>
          <w:tcPr>
            <w:tcW w:w="485" w:type="dxa"/>
            <w:vAlign w:val="center"/>
          </w:tcPr>
          <w:p>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48</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5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4</w:t>
            </w:r>
          </w:p>
        </w:tc>
        <w:tc>
          <w:tcPr>
            <w:tcW w:w="7246" w:type="dxa"/>
            <w:vAlign w:val="center"/>
          </w:tcPr>
          <w:p>
            <w:pPr>
              <w:keepNext w:val="0"/>
              <w:keepLines w:val="0"/>
              <w:widowControl/>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机械CAD教育版软件</w:t>
            </w:r>
            <w:r>
              <w:rPr>
                <w:rFonts w:hint="eastAsia" w:ascii="宋体" w:hAnsi="宋体" w:eastAsia="宋体" w:cs="宋体"/>
                <w:sz w:val="21"/>
                <w:szCs w:val="21"/>
                <w:lang w:val="en-US" w:eastAsia="zh-CN"/>
              </w:rPr>
              <w:t xml:space="preserve"> ：  </w:t>
            </w:r>
          </w:p>
          <w:p>
            <w:pPr>
              <w:spacing w:line="240" w:lineRule="auto"/>
              <w:rPr>
                <w:rFonts w:hint="eastAsia" w:ascii="宋体" w:hAnsi="宋体" w:eastAsia="宋体" w:cs="宋体"/>
                <w:sz w:val="21"/>
                <w:szCs w:val="21"/>
              </w:rPr>
            </w:pPr>
            <w:r>
              <w:rPr>
                <w:rFonts w:hint="eastAsia" w:ascii="宋体" w:hAnsi="宋体" w:eastAsia="宋体" w:cs="宋体"/>
                <w:sz w:val="21"/>
                <w:szCs w:val="21"/>
              </w:rPr>
              <w:t>1.文件格式：支持dwg、dxf及dwt的文件保存格式，支持输出wmf、sat、bmp、jpg、png、tif格式的数据。</w:t>
            </w:r>
          </w:p>
          <w:p>
            <w:pPr>
              <w:spacing w:line="240" w:lineRule="auto"/>
              <w:rPr>
                <w:rFonts w:hint="eastAsia" w:ascii="宋体" w:hAnsi="宋体" w:eastAsia="宋体" w:cs="宋体"/>
                <w:sz w:val="21"/>
                <w:szCs w:val="21"/>
              </w:rPr>
            </w:pPr>
            <w:r>
              <w:rPr>
                <w:rFonts w:hint="eastAsia" w:ascii="宋体" w:hAnsi="宋体" w:eastAsia="宋体" w:cs="宋体"/>
                <w:sz w:val="21"/>
                <w:szCs w:val="21"/>
              </w:rPr>
              <w:t>2.自动保存：软件可在设定的自动保存时间点自动保存相应格式的临时文件，可设定临时文件的储存位置。</w:t>
            </w:r>
          </w:p>
          <w:p>
            <w:pPr>
              <w:spacing w:line="240" w:lineRule="auto"/>
              <w:rPr>
                <w:rFonts w:hint="eastAsia" w:ascii="宋体" w:hAnsi="宋体" w:eastAsia="宋体" w:cs="宋体"/>
                <w:sz w:val="21"/>
                <w:szCs w:val="21"/>
              </w:rPr>
            </w:pPr>
            <w:r>
              <w:rPr>
                <w:rFonts w:hint="eastAsia" w:ascii="宋体" w:hAnsi="宋体" w:eastAsia="宋体" w:cs="宋体"/>
                <w:sz w:val="21"/>
                <w:szCs w:val="21"/>
              </w:rPr>
              <w:t>3.手势精灵：通过鼠标连续运行轨迹的差异来识别用户输入的命令。例如，按住鼠标右键在绘图区域画出字母“E”，系统则自动执行ERASE 命令。</w:t>
            </w:r>
          </w:p>
          <w:p>
            <w:pPr>
              <w:spacing w:line="240" w:lineRule="auto"/>
              <w:rPr>
                <w:rFonts w:hint="eastAsia" w:ascii="宋体" w:hAnsi="宋体" w:eastAsia="宋体" w:cs="宋体"/>
                <w:sz w:val="21"/>
                <w:szCs w:val="21"/>
              </w:rPr>
            </w:pPr>
            <w:r>
              <w:rPr>
                <w:rFonts w:hint="eastAsia" w:ascii="宋体" w:hAnsi="宋体" w:eastAsia="宋体" w:cs="宋体"/>
                <w:sz w:val="21"/>
                <w:szCs w:val="21"/>
              </w:rPr>
              <w:t>4.智能语音：可在图纸中创建、播放和删除语音注释。</w:t>
            </w:r>
          </w:p>
          <w:p>
            <w:pPr>
              <w:spacing w:line="240" w:lineRule="auto"/>
              <w:rPr>
                <w:rFonts w:hint="eastAsia" w:ascii="宋体" w:hAnsi="宋体" w:eastAsia="宋体" w:cs="宋体"/>
                <w:sz w:val="21"/>
                <w:szCs w:val="21"/>
              </w:rPr>
            </w:pPr>
            <w:r>
              <w:rPr>
                <w:rFonts w:hint="eastAsia" w:ascii="宋体" w:hAnsi="宋体" w:eastAsia="宋体" w:cs="宋体"/>
                <w:sz w:val="21"/>
                <w:szCs w:val="21"/>
              </w:rPr>
              <w:t>5.OLE对象：可将Office软件中的内容复制后直接粘贴到软件中，软件绘制的图形也可以直接粘贴到Office中。</w:t>
            </w:r>
          </w:p>
          <w:p>
            <w:pPr>
              <w:spacing w:line="240" w:lineRule="auto"/>
              <w:rPr>
                <w:rFonts w:hint="eastAsia" w:ascii="宋体" w:hAnsi="宋体" w:eastAsia="宋体" w:cs="宋体"/>
                <w:sz w:val="21"/>
                <w:szCs w:val="21"/>
              </w:rPr>
            </w:pPr>
            <w:r>
              <w:rPr>
                <w:rFonts w:hint="eastAsia" w:ascii="宋体" w:hAnsi="宋体" w:eastAsia="宋体" w:cs="宋体"/>
                <w:sz w:val="21"/>
                <w:szCs w:val="21"/>
              </w:rPr>
              <w:t>6.扩展工具：“扩展工具”菜单中，具备“图层工具”的二级菜单，可实现对图层的增强编辑。“图块工具”下，提供“批量修改属性值”功能，可修改指定属性块中的属性值。</w:t>
            </w:r>
          </w:p>
          <w:p>
            <w:pPr>
              <w:spacing w:line="240" w:lineRule="auto"/>
              <w:rPr>
                <w:rFonts w:hint="eastAsia" w:ascii="宋体" w:hAnsi="宋体" w:eastAsia="宋体" w:cs="宋体"/>
                <w:sz w:val="21"/>
                <w:szCs w:val="21"/>
              </w:rPr>
            </w:pPr>
            <w:r>
              <w:rPr>
                <w:rFonts w:hint="eastAsia" w:ascii="宋体" w:hAnsi="宋体" w:eastAsia="宋体" w:cs="宋体"/>
                <w:sz w:val="21"/>
                <w:szCs w:val="21"/>
              </w:rPr>
              <w:t>7.激活加密：支持网络授权（软加密），使用网络激活号激活许可服务器，并通过网络许可配置程序动态监控和管理网络许可证的分配。</w:t>
            </w:r>
          </w:p>
          <w:p>
            <w:pPr>
              <w:spacing w:line="240" w:lineRule="auto"/>
              <w:rPr>
                <w:rFonts w:hint="eastAsia" w:ascii="宋体" w:hAnsi="宋体" w:eastAsia="宋体" w:cs="宋体"/>
                <w:sz w:val="21"/>
                <w:szCs w:val="21"/>
              </w:rPr>
            </w:pPr>
            <w:r>
              <w:rPr>
                <w:rFonts w:hint="eastAsia" w:ascii="宋体" w:hAnsi="宋体" w:eastAsia="宋体" w:cs="宋体"/>
                <w:sz w:val="21"/>
                <w:szCs w:val="21"/>
              </w:rPr>
              <w:t>8.在线更新：“帮助”菜单中提供“检查更新”功能，支持在线更新。</w:t>
            </w:r>
          </w:p>
          <w:p>
            <w:pPr>
              <w:spacing w:line="240" w:lineRule="auto"/>
              <w:rPr>
                <w:rFonts w:hint="eastAsia" w:ascii="宋体" w:hAnsi="宋体" w:eastAsia="宋体" w:cs="宋体"/>
                <w:sz w:val="21"/>
                <w:szCs w:val="21"/>
              </w:rPr>
            </w:pPr>
            <w:r>
              <w:rPr>
                <w:rFonts w:hint="eastAsia" w:ascii="宋体" w:hAnsi="宋体" w:eastAsia="宋体" w:cs="宋体"/>
                <w:sz w:val="21"/>
                <w:szCs w:val="21"/>
              </w:rPr>
              <w:t>9.图纸设置：软件共提供GB、ISO、ANSI、DIN、JIS、BSI、CSN、GOST 8种常用的国家标准，用户可以通过自定义来创建符合特定要求的尺寸来生成自己的图幅，便于用户使用。</w:t>
            </w:r>
          </w:p>
          <w:p>
            <w:pPr>
              <w:spacing w:line="240" w:lineRule="auto"/>
              <w:rPr>
                <w:rFonts w:hint="eastAsia" w:ascii="宋体" w:hAnsi="宋体" w:eastAsia="宋体" w:cs="宋体"/>
                <w:sz w:val="21"/>
                <w:szCs w:val="21"/>
              </w:rPr>
            </w:pPr>
            <w:r>
              <w:rPr>
                <w:rFonts w:hint="eastAsia" w:ascii="宋体" w:hAnsi="宋体" w:eastAsia="宋体" w:cs="宋体"/>
                <w:sz w:val="21"/>
                <w:szCs w:val="21"/>
              </w:rPr>
              <w:t>10.多图幅设置：可在同一个绘图环境中绘制多个不同标准、不同比例的图幅，多图框建立以后，标注、符号标注等会自动适应图框的比例内容。</w:t>
            </w:r>
          </w:p>
          <w:p>
            <w:pPr>
              <w:spacing w:line="240" w:lineRule="auto"/>
              <w:rPr>
                <w:rFonts w:hint="eastAsia" w:ascii="宋体" w:hAnsi="宋体" w:eastAsia="宋体" w:cs="宋体"/>
                <w:sz w:val="21"/>
                <w:szCs w:val="21"/>
              </w:rPr>
            </w:pPr>
            <w:r>
              <w:rPr>
                <w:rFonts w:hint="eastAsia" w:ascii="宋体" w:hAnsi="宋体" w:eastAsia="宋体" w:cs="宋体"/>
                <w:sz w:val="21"/>
                <w:szCs w:val="21"/>
              </w:rPr>
              <w:t>11.更换标准：图纸建立多标准的图框后会产生不同标准，当选择某种标准时，所执行的操作都以选择的标准为基础。</w:t>
            </w:r>
          </w:p>
          <w:p>
            <w:pPr>
              <w:spacing w:line="240" w:lineRule="auto"/>
              <w:rPr>
                <w:rFonts w:hint="eastAsia" w:ascii="宋体" w:hAnsi="宋体" w:eastAsia="宋体" w:cs="宋体"/>
                <w:sz w:val="21"/>
                <w:szCs w:val="21"/>
              </w:rPr>
            </w:pPr>
            <w:r>
              <w:rPr>
                <w:rFonts w:hint="eastAsia" w:ascii="宋体" w:hAnsi="宋体" w:eastAsia="宋体" w:cs="宋体"/>
                <w:sz w:val="21"/>
                <w:szCs w:val="21"/>
              </w:rPr>
              <w:t>12.智能标注：智能标注功能会因选择实体的对象不同，自动进行长度、直径或半径标注。标注过程中根据命令的提示可以在不同标注方式中任意选择。图层管理：自动生成常用图层并通过数字自由切换,提高绘图效率。</w:t>
            </w:r>
          </w:p>
          <w:p>
            <w:pPr>
              <w:spacing w:line="240" w:lineRule="auto"/>
              <w:rPr>
                <w:rFonts w:hint="eastAsia" w:ascii="宋体" w:hAnsi="宋体" w:eastAsia="宋体" w:cs="宋体"/>
                <w:sz w:val="21"/>
                <w:szCs w:val="21"/>
              </w:rPr>
            </w:pPr>
            <w:r>
              <w:rPr>
                <w:rFonts w:hint="eastAsia" w:ascii="宋体" w:hAnsi="宋体" w:eastAsia="宋体" w:cs="宋体"/>
                <w:sz w:val="21"/>
                <w:szCs w:val="21"/>
              </w:rPr>
              <w:t>13.创建视图：参考了国际通用的标注形式，提供了强大剖切线标注功能，如剖面符号、剖面标签、附加剖面符号、显示箭头、平面线等。对零部件的局部进行放大，使零部件的局部图形更清晰。</w:t>
            </w:r>
          </w:p>
          <w:p>
            <w:pPr>
              <w:spacing w:line="240" w:lineRule="auto"/>
              <w:rPr>
                <w:rFonts w:hint="eastAsia" w:ascii="宋体" w:hAnsi="宋体" w:eastAsia="宋体" w:cs="宋体"/>
                <w:sz w:val="21"/>
                <w:szCs w:val="21"/>
              </w:rPr>
            </w:pPr>
            <w:r>
              <w:rPr>
                <w:rFonts w:hint="eastAsia" w:ascii="宋体" w:hAnsi="宋体" w:eastAsia="宋体" w:cs="宋体"/>
                <w:sz w:val="21"/>
                <w:szCs w:val="21"/>
              </w:rPr>
              <w:t>14.系列化零件设计系统：系列化零件设计系统是软件中特有的一项功能，是对参数化国标图库的一种有益补充。支持一张图纸的完整信息，如：图形、各种标注、图框、文字等。利用它可以进行复杂零件的参数化设计。</w:t>
            </w:r>
          </w:p>
          <w:p>
            <w:pPr>
              <w:spacing w:line="240" w:lineRule="auto"/>
              <w:rPr>
                <w:rFonts w:hint="eastAsia" w:ascii="宋体" w:hAnsi="宋体" w:eastAsia="宋体" w:cs="宋体"/>
                <w:sz w:val="21"/>
                <w:szCs w:val="21"/>
              </w:rPr>
            </w:pPr>
            <w:r>
              <w:rPr>
                <w:rFonts w:hint="eastAsia" w:ascii="宋体" w:hAnsi="宋体" w:eastAsia="宋体" w:cs="宋体"/>
                <w:sz w:val="21"/>
                <w:szCs w:val="21"/>
              </w:rPr>
              <w:t>15.超级符号库：软件所提供的超级符号库中包括4种符合国家标注符号内容，包括液压气动符号库、电器符号库、机构运动符号库、金属结构件。除此之外，软件允许用户建立自己的符号库系统，用户再次需要属于的符号内容时，可调用用户自己建立的符号库中的图形，并且支持在调用进行比例调节。</w:t>
            </w:r>
          </w:p>
          <w:p>
            <w:pPr>
              <w:spacing w:line="240" w:lineRule="auto"/>
              <w:rPr>
                <w:rFonts w:hint="eastAsia" w:ascii="宋体" w:hAnsi="宋体" w:eastAsia="宋体" w:cs="宋体"/>
                <w:sz w:val="21"/>
                <w:szCs w:val="21"/>
              </w:rPr>
            </w:pPr>
            <w:r>
              <w:rPr>
                <w:rFonts w:hint="eastAsia" w:ascii="宋体" w:hAnsi="宋体" w:eastAsia="宋体" w:cs="宋体"/>
                <w:sz w:val="21"/>
                <w:szCs w:val="21"/>
              </w:rPr>
              <w:t>16.系统维护工具：该工具可以实现样式配置、词句库维护、自定义标题栏、自定义附加栏、自定义参数栏、自定义图样代号栏、自定义更改栏、超级属性块定义、自定义明细表表头、自定义明细表表体、不规则表格提取配置、2D规则表格提取配置、样式库同步工具配置等。</w:t>
            </w:r>
          </w:p>
          <w:p>
            <w:pPr>
              <w:spacing w:line="240" w:lineRule="auto"/>
              <w:rPr>
                <w:rFonts w:hint="eastAsia" w:ascii="宋体" w:hAnsi="宋体" w:eastAsia="宋体" w:cs="宋体"/>
                <w:sz w:val="21"/>
                <w:szCs w:val="21"/>
              </w:rPr>
            </w:pPr>
            <w:r>
              <w:rPr>
                <w:rFonts w:hint="eastAsia" w:ascii="宋体" w:hAnsi="宋体" w:eastAsia="宋体" w:cs="宋体"/>
                <w:sz w:val="21"/>
                <w:szCs w:val="21"/>
              </w:rPr>
              <w:t>17.其他要求：</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（1）满足教育部职业技能大赛中职组“零部件测绘与CAD成图技术”赛项比赛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，保证学校能用此产品参加大赛，须提供大赛证明文件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（2）满足中等职业学校职业能力大赛（学生技术技能类）“零部件测绘与CAD成图技术”赛项比赛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，保证学校能用此产品参加大赛，须提供大赛证明文件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p>
            <w:pPr>
              <w:pStyle w:val="9"/>
              <w:ind w:left="-22" w:leftChars="-8" w:firstLine="16" w:firstLineChars="8"/>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kern w:val="0"/>
                <w:sz w:val="21"/>
                <w:szCs w:val="21"/>
                <w:lang w:val="en-US" w:eastAsia="zh-CN" w:bidi="ar-SA"/>
              </w:rPr>
              <w:t>满足“振兴杯”全国青年职业技能大赛</w:t>
            </w:r>
            <w:r>
              <w:rPr>
                <w:rFonts w:hint="eastAsia" w:ascii="宋体" w:hAnsi="宋体" w:eastAsia="宋体" w:cs="宋体"/>
                <w:sz w:val="21"/>
                <w:szCs w:val="21"/>
              </w:rPr>
              <w:t>“</w:t>
            </w:r>
            <w:r>
              <w:rPr>
                <w:rFonts w:hint="eastAsia" w:ascii="宋体" w:hAnsi="宋体" w:eastAsia="宋体" w:cs="宋体"/>
                <w:kern w:val="0"/>
                <w:sz w:val="21"/>
                <w:szCs w:val="21"/>
                <w:lang w:val="en-US" w:eastAsia="zh-CN" w:bidi="ar-SA"/>
              </w:rPr>
              <w:t>车工”等类似</w:t>
            </w:r>
            <w:r>
              <w:rPr>
                <w:rFonts w:hint="eastAsia" w:ascii="宋体" w:hAnsi="宋体" w:eastAsia="宋体" w:cs="宋体"/>
                <w:kern w:val="0"/>
                <w:sz w:val="21"/>
                <w:szCs w:val="21"/>
              </w:rPr>
              <w:t>赛项</w:t>
            </w:r>
            <w:r>
              <w:rPr>
                <w:rFonts w:hint="eastAsia" w:ascii="宋体" w:hAnsi="宋体" w:eastAsia="宋体" w:cs="宋体"/>
                <w:kern w:val="0"/>
                <w:sz w:val="21"/>
                <w:szCs w:val="21"/>
                <w:lang w:val="en-US" w:eastAsia="zh-CN"/>
              </w:rPr>
              <w:t>商务技术要求</w:t>
            </w:r>
            <w:r>
              <w:rPr>
                <w:rFonts w:hint="eastAsia" w:ascii="宋体" w:hAnsi="宋体" w:eastAsia="宋体" w:cs="宋体"/>
                <w:kern w:val="0"/>
                <w:sz w:val="21"/>
                <w:szCs w:val="21"/>
              </w:rPr>
              <w:t>，保证学校能用此产品参加大赛</w:t>
            </w:r>
            <w:r>
              <w:rPr>
                <w:rFonts w:hint="eastAsia" w:ascii="宋体" w:hAnsi="宋体" w:eastAsia="宋体" w:cs="宋体"/>
                <w:kern w:val="0"/>
                <w:sz w:val="21"/>
                <w:szCs w:val="21"/>
                <w:lang w:eastAsia="zh-CN"/>
              </w:rPr>
              <w:t>，</w:t>
            </w:r>
            <w:r>
              <w:rPr>
                <w:rFonts w:hint="eastAsia" w:ascii="宋体" w:hAnsi="宋体" w:eastAsia="宋体" w:cs="宋体"/>
                <w:sz w:val="21"/>
                <w:szCs w:val="21"/>
              </w:rPr>
              <w:t>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tc>
        <w:tc>
          <w:tcPr>
            <w:tcW w:w="48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w:t>
            </w:r>
          </w:p>
        </w:tc>
        <w:tc>
          <w:tcPr>
            <w:tcW w:w="65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5</w:t>
            </w:r>
          </w:p>
        </w:tc>
        <w:tc>
          <w:tcPr>
            <w:tcW w:w="7246" w:type="dxa"/>
            <w:vAlign w:val="center"/>
          </w:tcPr>
          <w:p>
            <w:pPr>
              <w:pStyle w:val="6"/>
              <w:spacing w:line="240" w:lineRule="auto"/>
              <w:rPr>
                <w:rFonts w:hint="eastAsia" w:ascii="宋体" w:hAnsi="宋体" w:eastAsia="宋体" w:cs="宋体"/>
                <w:sz w:val="21"/>
                <w:szCs w:val="21"/>
                <w:lang w:val="en-US" w:eastAsia="zh-CN"/>
              </w:rPr>
            </w:pPr>
            <w:r>
              <w:rPr>
                <w:rFonts w:hint="eastAsia" w:ascii="宋体" w:hAnsi="宋体" w:eastAsia="宋体" w:cs="宋体"/>
                <w:b/>
                <w:bCs/>
                <w:sz w:val="21"/>
                <w:szCs w:val="21"/>
              </w:rPr>
              <w:t>三维平台设计软件</w:t>
            </w:r>
            <w:r>
              <w:rPr>
                <w:rFonts w:hint="eastAsia" w:ascii="宋体" w:hAnsi="宋体" w:eastAsia="宋体" w:cs="宋体"/>
                <w:b/>
                <w:bCs/>
                <w:sz w:val="21"/>
                <w:szCs w:val="21"/>
                <w:lang w:eastAsia="zh-CN"/>
              </w:rPr>
              <w:t>：</w:t>
            </w:r>
            <w:r>
              <w:rPr>
                <w:rFonts w:hint="eastAsia" w:ascii="宋体" w:hAnsi="宋体" w:eastAsia="宋体" w:cs="宋体"/>
                <w:sz w:val="21"/>
                <w:szCs w:val="21"/>
                <w:lang w:val="en-US" w:eastAsia="zh-CN"/>
              </w:rPr>
              <w:t xml:space="preserve">   </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实体曲面混合建模：要求软件可以做到实体与曲面的混合建模，提高软件建模的灵活度。</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数据接口：支持双向数据的导入导出，根据不同的格式，如：Catia V4、Catia V5/V6、NX(Unigraphics)、Creo(Pro/E)、Parasolid、SAT、STEP、DWG/DXF、IGES、等，原有数据中的装配信息、层信息、组信息和颜色信息都一一转换，输入数据时可以通过智能过滤器把原始数据进行优化。还要支持通用格式的批量导入；高效的协助使用者进行数据的转换，无任何数据损失，交换方式便利、迅速。</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多文档形式：一个造型文档中包含多个文件造型，各文档之间可自由切换并编辑。</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角色设置：提供多种角色，根据使用者能力的不同，自行进行适合自己角色配置。同时在软件中个角色可以进行自由的切换。</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二维到三维：可直接复制/粘贴DWG中的二维轮廓到软件的草图或工程图中，并可以直接使用该轮廓进行编辑及建模操作。</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矢量图转换：可以将*.jpg、*.png、等格式图片，在软件中转换成草图线框形式。</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破面修补：提供曲面修补的功能，导入实体出现破面、丢失面的情况时，在符合专业级修补标准的前提下，可以一键对有问题的面进行修补，从而快速的修复模型。</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浮雕建模：可以使图片在模型表面形成凹凸的建模造型，并且可以直接用于后续CAM编程加工。</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装配功能：装配树能够生动的高亮显示个体零件以方便修改；对于多文档文件的装配可实现一个及批量零件的插入。具备自上向下、自下向上或同时以两种方式构建装配，可即刻修改出现的问题。</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钣金设计：包含对钣金的基本设置，如折弯、加强筋、百叶窗、展开等；支持直接对钣金进行拉伸、放样，钣金的运算与基本造型在系统内部保持一致，允许对钣金件执行普通造型的任意操作，例如增料除料等。</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焊件设计：提供固连各型材的焊接件设计功能，可生成iso以及ansi inch等标准的焊接结构构件、三角形和多边形等类型的脚撑板、用于封闭结构构件的开放端口的顶端盖、连续的或间隙性的焊缝。</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rPr>
              <w:t>模具设计：可根据产品结构自行区分型芯与型腔区域，生成不同的颜色标记；可以通过参数化设计流道、滑块、镶块、冷却管道等结构设计；具有模具标准件库，需包含模架及定位环、唧嘴、浇口、流道、水路、滑块头、限位块、导柱等各种模具标准件；用户还可以自己定义符合实际使用标准的自定义标准件库。简化分模设计步骤。</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逆向工程：可根据点云数据，逆向生成三角网格面或NURBS曲面，对其进行光顺处理之后可以直接进行实体操作，方便快捷。</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14.</w:t>
            </w:r>
            <w:r>
              <w:rPr>
                <w:rFonts w:hint="eastAsia" w:ascii="宋体" w:hAnsi="宋体" w:eastAsia="宋体" w:cs="宋体"/>
                <w:sz w:val="21"/>
                <w:szCs w:val="21"/>
              </w:rPr>
              <w:t>多种加工方式：钻孔、2轴铣削、3轴铣削、多轴加工、车削等加工方式。</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智能策略加工：支持钻孔、2轴智能加工，根据模型及给定的毛坯，自行进行加工刀具的选择，保证合理的切削工艺直接计算出加工轨迹。同时支持自行更改某个刀路的参数 。</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16.</w:t>
            </w:r>
            <w:r>
              <w:rPr>
                <w:rFonts w:hint="eastAsia" w:ascii="宋体" w:hAnsi="宋体" w:eastAsia="宋体" w:cs="宋体"/>
                <w:sz w:val="21"/>
                <w:szCs w:val="21"/>
              </w:rPr>
              <w:t>仿真：系统具有线架仿真和实体仿真功能，用户能及时看到加工的仿真效果。系统支持对刀轨整体分析，以及具体刀轨运动的分析，实体仿真允许考虑刀具补偿，以模拟实际加工过程。提供3种检查形式：碰撞、过切、余量检查，碰撞和过切检查将分析结果直接用颜色标示于刀轨。可以在真正加工之前将问题暴露出来，避免实际加工时类似问题的发生。在仿真过程中可显示刀具夹持器和各种不同的刀轨显示模式。</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17.</w:t>
            </w:r>
            <w:r>
              <w:rPr>
                <w:rFonts w:hint="eastAsia" w:ascii="宋体" w:hAnsi="宋体" w:eastAsia="宋体" w:cs="宋体"/>
                <w:sz w:val="21"/>
                <w:szCs w:val="21"/>
              </w:rPr>
              <w:t>轨迹输出：独立输出NC、CL、XML/HTML、工序/刀具清单以及工艺电子表格，生成的CL文件符合ISO-4343标准。</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后置处理：软件自带常用的机床后置系统，如FANUC、KND、SIEMENS等；开放性高，客户可根据自己的机床系统进行简单的格式编辑。</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智能辅助教学系统：在软件内实现一边指导，一边操作的学习。学生可以一边观看演示一边操作学习，最终完成建模；方便学生课下自行学习。</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技术支持与服务：经过国家权威部门审定，并经过广泛应用证明，系统实用、可靠；在全国有多家技术支持机构，可以提供高质量的培训及服务。</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 xml:space="preserve">其他要求： </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满足中职组“零部件测绘与CAD成图技术”赛项技能大赛比赛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，须提供相应证明文件资料，保证学校能用此产品参加大赛。</w:t>
            </w:r>
          </w:p>
        </w:tc>
        <w:tc>
          <w:tcPr>
            <w:tcW w:w="485" w:type="dxa"/>
            <w:vAlign w:val="center"/>
          </w:tcPr>
          <w:p>
            <w:pPr>
              <w:pStyle w:val="6"/>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5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6</w:t>
            </w:r>
          </w:p>
        </w:tc>
        <w:tc>
          <w:tcPr>
            <w:tcW w:w="7246" w:type="dxa"/>
            <w:vAlign w:val="center"/>
          </w:tcPr>
          <w:p>
            <w:pPr>
              <w:keepNext w:val="0"/>
              <w:keepLines w:val="0"/>
              <w:widowControl/>
              <w:numPr>
                <w:ilvl w:val="0"/>
                <w:numId w:val="0"/>
              </w:numPr>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《典型机械零件》测绘装置</w:t>
            </w:r>
            <w:r>
              <w:rPr>
                <w:rFonts w:hint="eastAsia" w:ascii="宋体" w:hAnsi="宋体" w:eastAsia="宋体" w:cs="宋体"/>
                <w:sz w:val="21"/>
                <w:szCs w:val="21"/>
                <w:lang w:val="en-US" w:eastAsia="zh-CN"/>
              </w:rPr>
              <w:t xml:space="preserve">   </w:t>
            </w:r>
          </w:p>
          <w:p>
            <w:pPr>
              <w:keepNext w:val="0"/>
              <w:keepLines w:val="0"/>
              <w:widowControl/>
              <w:numPr>
                <w:ilvl w:val="0"/>
                <w:numId w:val="0"/>
              </w:numPr>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《典型机械零件》测绘套件，其材质为铝合金件</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（1）测绘箱子尺寸不小于：370*340*130mm;</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基础零件测绘装置：基础零件测绘装置主要包含南机轴、轴套、端盖、法兰盘、连杆、支架、阀体、箱体等机构。了解机械机构中常用的四大类零件，认识基础零件的误差和配合精度，为机械专业零部件测量与测绘提供测规范化测量对象；</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（3）配套高等教育出版社出版的《零部件测绘实训手册》教材；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（4）采用铝镁压铸工艺，经喷砂处理，产品精度高，质量好；</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（5）零部件主要部位进行数控加工，加工面精度高和表面粗糙度合理；</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6）对于每个单体零件进行三维数字化设计，组成立体化三维零件模型库；不需要安装任何APP或者插件，通过手机等移动端设备直接扫描二维码查看三维模型，并且支持该模型的任意旋转、缩放、立体化渲染、动态剖切及智能测量等功能。</w:t>
            </w:r>
            <w:r>
              <w:rPr>
                <w:rFonts w:hint="eastAsia" w:ascii="宋体" w:hAnsi="宋体" w:eastAsia="宋体" w:cs="宋体"/>
                <w:b/>
                <w:bCs/>
                <w:sz w:val="21"/>
                <w:szCs w:val="21"/>
                <w:lang w:val="en-US" w:eastAsia="zh-CN"/>
              </w:rPr>
              <w:t>（</w:t>
            </w:r>
            <w:r>
              <w:rPr>
                <w:rFonts w:hint="eastAsia" w:ascii="宋体" w:hAnsi="宋体" w:cs="宋体"/>
                <w:b/>
                <w:bCs/>
                <w:sz w:val="21"/>
                <w:szCs w:val="21"/>
                <w:lang w:val="en-US" w:eastAsia="zh-CN"/>
              </w:rPr>
              <w:t>投标时</w:t>
            </w:r>
            <w:r>
              <w:rPr>
                <w:rFonts w:hint="eastAsia" w:ascii="宋体" w:hAnsi="宋体" w:eastAsia="宋体" w:cs="宋体"/>
                <w:b/>
                <w:bCs/>
                <w:sz w:val="21"/>
                <w:szCs w:val="21"/>
                <w:lang w:val="en-US" w:eastAsia="zh-CN"/>
              </w:rPr>
              <w:t>提供演示）</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（7）终端可以查看模型的爆炸视图，完美继承本地服务端的爆炸图设置，提供滑动条供用户选择爆炸的距离。</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（8）终端支持查看模型的装配树，装配树显示当前模型的所有装配零件，可显示与隐藏任意零件，便于查看装配关系等信息。</w:t>
            </w:r>
          </w:p>
        </w:tc>
        <w:tc>
          <w:tcPr>
            <w:tcW w:w="48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65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7</w:t>
            </w:r>
          </w:p>
        </w:tc>
        <w:tc>
          <w:tcPr>
            <w:tcW w:w="7246" w:type="dxa"/>
            <w:vAlign w:val="center"/>
          </w:tcPr>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《零部件拆装与测量》工具套装   </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产品适用于基础零件、千斤顶、偏心机构、平口钳、凸轮机构、齿轮泵、减速器、蜗轮减速器标准件、典型零件、联接与配合、台虎钳、阀体、联轴器、注塑模具、尾座顶尖等零部件的折装与测量。</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拆装与测量工具整箱装置，箱体尺寸≥360mm*260mm*120mm，箱子内置泡沫模子，模子根据不同的拆装工具和测量工具形状大小进行挖槽设计，将工具嵌合其中，方便取用；</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拆卸工具：活络扳手、内卡簧钳、外卡簧钳、橡胶锤、十字螺丝刀、紫铜棒、尖嘴钳、内六角扳手。</w:t>
            </w:r>
          </w:p>
          <w:p>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测量工具：游标卡尺、中心距卡尺（数显）、钢直尺、螺纹样板公制60°、螺纹样板英制55°、半径规R1-R25、角度尺、外径千分尺0-50mm。</w:t>
            </w:r>
          </w:p>
        </w:tc>
        <w:tc>
          <w:tcPr>
            <w:tcW w:w="48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655"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4"/>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eastAsia"/>
                <w:b/>
                <w:bCs/>
                <w:sz w:val="28"/>
                <w:szCs w:val="28"/>
                <w:lang w:val="en-US" w:eastAsia="zh-CN"/>
              </w:rPr>
            </w:pPr>
            <w:r>
              <w:rPr>
                <w:rFonts w:hint="eastAsia" w:ascii="宋体" w:hAnsi="宋体" w:cs="宋体"/>
                <w:b/>
                <w:bCs/>
                <w:i w:val="0"/>
                <w:color w:val="000000"/>
                <w:kern w:val="0"/>
                <w:sz w:val="28"/>
                <w:szCs w:val="28"/>
                <w:u w:val="none"/>
                <w:lang w:val="en-US" w:eastAsia="zh-CN" w:bidi="ar"/>
              </w:rPr>
              <w:t>三、</w:t>
            </w:r>
            <w:r>
              <w:rPr>
                <w:rFonts w:hint="eastAsia" w:ascii="宋体" w:hAnsi="宋体" w:eastAsia="宋体" w:cs="宋体"/>
                <w:b/>
                <w:bCs/>
                <w:i w:val="0"/>
                <w:color w:val="000000"/>
                <w:kern w:val="0"/>
                <w:sz w:val="28"/>
                <w:szCs w:val="28"/>
                <w:u w:val="none"/>
                <w:lang w:val="en-US" w:eastAsia="zh-CN" w:bidi="ar"/>
              </w:rPr>
              <w:t>实训室辅材配置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1</w:t>
            </w:r>
          </w:p>
        </w:tc>
        <w:tc>
          <w:tcPr>
            <w:tcW w:w="7246" w:type="dxa"/>
            <w:vAlign w:val="center"/>
          </w:tcPr>
          <w:p>
            <w:pPr>
              <w:snapToGrid w:val="0"/>
              <w:spacing w:line="240" w:lineRule="auto"/>
              <w:jc w:val="both"/>
              <w:rPr>
                <w:rFonts w:hint="eastAsia" w:ascii="宋体" w:hAnsi="宋体" w:cs="宋体"/>
                <w:b/>
                <w:bCs/>
                <w:color w:val="000000"/>
                <w:kern w:val="0"/>
                <w:sz w:val="21"/>
                <w:szCs w:val="21"/>
              </w:rPr>
            </w:pPr>
            <w:r>
              <w:rPr>
                <w:rFonts w:hint="eastAsia" w:ascii="宋体" w:hAnsi="宋体" w:eastAsia="宋体" w:cs="宋体"/>
                <w:b/>
                <w:bCs/>
                <w:i w:val="0"/>
                <w:iCs w:val="0"/>
                <w:color w:val="000000"/>
                <w:kern w:val="0"/>
                <w:sz w:val="21"/>
                <w:szCs w:val="21"/>
                <w:u w:val="none"/>
                <w:lang w:val="en-US" w:eastAsia="zh-CN" w:bidi="ar"/>
              </w:rPr>
              <w:t>实训讨论桌</w:t>
            </w:r>
            <w:r>
              <w:rPr>
                <w:rFonts w:hint="eastAsia" w:ascii="宋体" w:hAnsi="宋体" w:cs="宋体"/>
                <w:b/>
                <w:bCs/>
                <w:i w:val="0"/>
                <w:iCs w:val="0"/>
                <w:color w:val="000000"/>
                <w:kern w:val="0"/>
                <w:sz w:val="21"/>
                <w:szCs w:val="21"/>
                <w:u w:val="none"/>
                <w:lang w:val="en-US" w:eastAsia="zh-CN" w:bidi="ar"/>
              </w:rPr>
              <w:t>：</w:t>
            </w:r>
          </w:p>
          <w:p>
            <w:pPr>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cs="宋体"/>
                <w:color w:val="000000"/>
                <w:kern w:val="0"/>
                <w:sz w:val="21"/>
                <w:szCs w:val="21"/>
              </w:rPr>
              <w:t>材质：钢木结构</w:t>
            </w:r>
            <w:r>
              <w:rPr>
                <w:rFonts w:hint="eastAsia" w:ascii="宋体" w:hAnsi="宋体" w:cs="宋体"/>
                <w:color w:val="000000"/>
                <w:kern w:val="0"/>
                <w:sz w:val="21"/>
                <w:szCs w:val="21"/>
                <w:lang w:val="en-US" w:eastAsia="zh-CN"/>
              </w:rPr>
              <w:t xml:space="preserve"> </w:t>
            </w:r>
            <w:r>
              <w:rPr>
                <w:rFonts w:hint="eastAsia" w:ascii="宋体" w:hAnsi="宋体" w:cs="宋体"/>
                <w:color w:val="000000"/>
                <w:kern w:val="0"/>
                <w:sz w:val="21"/>
                <w:szCs w:val="21"/>
              </w:rPr>
              <w:t>尺寸：2.4</w:t>
            </w:r>
            <w:r>
              <w:rPr>
                <w:rFonts w:hint="eastAsia" w:ascii="宋体" w:hAnsi="宋体" w:cs="宋体"/>
                <w:color w:val="000000"/>
                <w:kern w:val="0"/>
                <w:sz w:val="21"/>
                <w:szCs w:val="21"/>
                <w:lang w:val="en-US" w:eastAsia="zh-CN"/>
              </w:rPr>
              <w:t>m</w:t>
            </w:r>
            <w:r>
              <w:rPr>
                <w:rFonts w:hint="eastAsia" w:ascii="宋体" w:hAnsi="宋体" w:cs="宋体"/>
                <w:color w:val="000000"/>
                <w:kern w:val="0"/>
                <w:sz w:val="21"/>
                <w:szCs w:val="21"/>
              </w:rPr>
              <w:t>*1.2m</w:t>
            </w:r>
            <w:r>
              <w:rPr>
                <w:rFonts w:hint="eastAsia" w:ascii="宋体" w:hAnsi="宋体" w:cs="宋体"/>
                <w:color w:val="000000"/>
                <w:kern w:val="0"/>
                <w:sz w:val="21"/>
                <w:szCs w:val="21"/>
                <w:lang w:val="en-US" w:eastAsia="zh-CN"/>
              </w:rPr>
              <w:t>*0.75m。</w:t>
            </w:r>
          </w:p>
        </w:tc>
        <w:tc>
          <w:tcPr>
            <w:tcW w:w="48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2</w:t>
            </w:r>
          </w:p>
        </w:tc>
        <w:tc>
          <w:tcPr>
            <w:tcW w:w="65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2</w:t>
            </w:r>
          </w:p>
        </w:tc>
        <w:tc>
          <w:tcPr>
            <w:tcW w:w="7246" w:type="dxa"/>
            <w:vAlign w:val="center"/>
          </w:tcPr>
          <w:p>
            <w:pPr>
              <w:snapToGrid w:val="0"/>
              <w:spacing w:line="240" w:lineRule="auto"/>
              <w:jc w:val="both"/>
              <w:rPr>
                <w:rFonts w:hint="eastAsia" w:ascii="宋体" w:hAnsi="宋体" w:cs="宋体"/>
                <w:b/>
                <w:bCs/>
                <w:color w:val="000000"/>
                <w:kern w:val="0"/>
                <w:sz w:val="21"/>
                <w:szCs w:val="21"/>
              </w:rPr>
            </w:pPr>
            <w:r>
              <w:rPr>
                <w:rFonts w:hint="eastAsia" w:ascii="宋体" w:hAnsi="宋体" w:eastAsia="宋体" w:cs="宋体"/>
                <w:b/>
                <w:bCs/>
                <w:i w:val="0"/>
                <w:iCs w:val="0"/>
                <w:color w:val="000000"/>
                <w:kern w:val="0"/>
                <w:sz w:val="21"/>
                <w:szCs w:val="21"/>
                <w:u w:val="none"/>
                <w:lang w:val="en-US" w:eastAsia="zh-CN" w:bidi="ar"/>
              </w:rPr>
              <w:t>靠椅</w:t>
            </w:r>
            <w:r>
              <w:rPr>
                <w:rFonts w:hint="eastAsia" w:ascii="宋体" w:hAnsi="宋体" w:cs="宋体"/>
                <w:b/>
                <w:bCs/>
                <w:i w:val="0"/>
                <w:iCs w:val="0"/>
                <w:color w:val="000000"/>
                <w:kern w:val="0"/>
                <w:sz w:val="21"/>
                <w:szCs w:val="21"/>
                <w:u w:val="none"/>
                <w:lang w:val="en-US" w:eastAsia="zh-CN" w:bidi="ar"/>
              </w:rPr>
              <w:t>：</w:t>
            </w:r>
          </w:p>
          <w:p>
            <w:pPr>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cs="宋体"/>
                <w:color w:val="000000"/>
                <w:kern w:val="0"/>
                <w:sz w:val="21"/>
                <w:szCs w:val="21"/>
              </w:rPr>
              <w:t>扶手类型：固定扶手 面料材质：网布局 材质：人造板</w:t>
            </w:r>
            <w:r>
              <w:rPr>
                <w:rFonts w:hint="eastAsia" w:ascii="宋体" w:hAnsi="宋体" w:cs="宋体"/>
                <w:color w:val="000000"/>
                <w:kern w:val="0"/>
                <w:sz w:val="21"/>
                <w:szCs w:val="21"/>
                <w:lang w:eastAsia="zh-CN"/>
              </w:rPr>
              <w:t>。</w:t>
            </w:r>
          </w:p>
        </w:tc>
        <w:tc>
          <w:tcPr>
            <w:tcW w:w="48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20</w:t>
            </w:r>
          </w:p>
        </w:tc>
        <w:tc>
          <w:tcPr>
            <w:tcW w:w="65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3</w:t>
            </w:r>
          </w:p>
        </w:tc>
        <w:tc>
          <w:tcPr>
            <w:tcW w:w="7246" w:type="dxa"/>
            <w:vAlign w:val="center"/>
          </w:tcPr>
          <w:p>
            <w:pPr>
              <w:spacing w:line="240" w:lineRule="auto"/>
              <w:rPr>
                <w:rFonts w:hint="eastAsia"/>
                <w:b/>
                <w:bCs/>
                <w:sz w:val="21"/>
                <w:szCs w:val="21"/>
                <w:lang w:val="en-US" w:eastAsia="zh-CN"/>
              </w:rPr>
            </w:pPr>
            <w:r>
              <w:rPr>
                <w:rFonts w:hint="eastAsia"/>
                <w:b/>
                <w:bCs/>
                <w:sz w:val="21"/>
                <w:szCs w:val="21"/>
                <w:lang w:val="en-US" w:eastAsia="zh-CN"/>
              </w:rPr>
              <w:t>零部件展示柜：</w:t>
            </w:r>
          </w:p>
          <w:p>
            <w:pPr>
              <w:spacing w:line="240" w:lineRule="auto"/>
              <w:rPr>
                <w:rFonts w:hint="eastAsia" w:ascii="宋体" w:hAnsi="宋体" w:eastAsia="宋体" w:cs="宋体"/>
                <w:sz w:val="21"/>
                <w:szCs w:val="21"/>
                <w:lang w:eastAsia="zh-CN"/>
              </w:rPr>
            </w:pPr>
            <w:r>
              <w:rPr>
                <w:rFonts w:hint="eastAsia" w:ascii="宋体" w:hAnsi="宋体" w:eastAsia="宋体" w:cs="宋体"/>
                <w:sz w:val="21"/>
                <w:szCs w:val="21"/>
              </w:rPr>
              <w:t>展示柜尺寸：颜色分类:</w:t>
            </w:r>
            <w:r>
              <w:rPr>
                <w:rFonts w:hint="eastAsia" w:ascii="宋体" w:hAnsi="宋体" w:cs="宋体"/>
                <w:sz w:val="21"/>
                <w:szCs w:val="21"/>
                <w:lang w:val="en-US" w:eastAsia="zh-CN"/>
              </w:rPr>
              <w:t>120</w:t>
            </w:r>
            <w:r>
              <w:rPr>
                <w:rFonts w:hint="eastAsia" w:ascii="宋体" w:hAnsi="宋体" w:eastAsia="宋体" w:cs="宋体"/>
                <w:sz w:val="21"/>
                <w:szCs w:val="21"/>
              </w:rPr>
              <w:t>0*</w:t>
            </w:r>
            <w:r>
              <w:rPr>
                <w:rFonts w:hint="eastAsia" w:ascii="宋体" w:hAnsi="宋体" w:cs="宋体"/>
                <w:sz w:val="21"/>
                <w:szCs w:val="21"/>
                <w:lang w:val="en-US" w:eastAsia="zh-CN"/>
              </w:rPr>
              <w:t>55</w:t>
            </w:r>
            <w:r>
              <w:rPr>
                <w:rFonts w:hint="eastAsia" w:ascii="宋体" w:hAnsi="宋体" w:eastAsia="宋体" w:cs="宋体"/>
                <w:sz w:val="21"/>
                <w:szCs w:val="21"/>
              </w:rPr>
              <w:t>0*9</w:t>
            </w:r>
            <w:r>
              <w:rPr>
                <w:rFonts w:hint="eastAsia" w:ascii="宋体" w:hAnsi="宋体" w:cs="宋体"/>
                <w:sz w:val="21"/>
                <w:szCs w:val="21"/>
                <w:lang w:val="en-US" w:eastAsia="zh-CN"/>
              </w:rPr>
              <w:t>0</w:t>
            </w:r>
            <w:r>
              <w:rPr>
                <w:rFonts w:hint="eastAsia" w:ascii="宋体" w:hAnsi="宋体" w:eastAsia="宋体" w:cs="宋体"/>
                <w:sz w:val="21"/>
                <w:szCs w:val="21"/>
              </w:rPr>
              <w:t>0mm 茶色SPT</w:t>
            </w:r>
            <w:r>
              <w:rPr>
                <w:rFonts w:hint="eastAsia" w:ascii="宋体" w:hAnsi="宋体" w:cs="宋体"/>
                <w:sz w:val="21"/>
                <w:szCs w:val="21"/>
                <w:lang w:eastAsia="zh-CN"/>
              </w:rPr>
              <w:t>；</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b/>
                <w:kern w:val="0"/>
                <w:sz w:val="21"/>
                <w:szCs w:val="21"/>
                <w:highlight w:val="none"/>
                <w:vertAlign w:val="baseline"/>
                <w:lang w:val="en-US" w:eastAsia="zh-CN" w:bidi="ar-SA"/>
              </w:rPr>
            </w:pPr>
            <w:r>
              <w:rPr>
                <w:rFonts w:hint="eastAsia" w:ascii="宋体" w:hAnsi="宋体" w:eastAsia="宋体" w:cs="宋体"/>
                <w:sz w:val="21"/>
                <w:szCs w:val="21"/>
              </w:rPr>
              <w:t>材质：UV板、镜面玻璃、钛合金型材</w:t>
            </w:r>
            <w:r>
              <w:rPr>
                <w:rFonts w:hint="eastAsia" w:ascii="宋体" w:hAnsi="宋体" w:cs="宋体"/>
                <w:sz w:val="21"/>
                <w:szCs w:val="21"/>
                <w:lang w:eastAsia="zh-CN"/>
              </w:rPr>
              <w:t>。</w:t>
            </w:r>
          </w:p>
        </w:tc>
        <w:tc>
          <w:tcPr>
            <w:tcW w:w="48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4</w:t>
            </w:r>
          </w:p>
        </w:tc>
        <w:tc>
          <w:tcPr>
            <w:tcW w:w="65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4</w:t>
            </w:r>
          </w:p>
        </w:tc>
        <w:tc>
          <w:tcPr>
            <w:tcW w:w="7246" w:type="dxa"/>
            <w:vAlign w:val="top"/>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b/>
                <w:bCs/>
                <w:sz w:val="21"/>
                <w:szCs w:val="21"/>
              </w:rPr>
            </w:pPr>
            <w:r>
              <w:rPr>
                <w:rFonts w:hint="eastAsia" w:ascii="宋体" w:hAnsi="宋体" w:eastAsia="宋体" w:cs="宋体"/>
                <w:b/>
                <w:bCs/>
                <w:i w:val="0"/>
                <w:color w:val="000000"/>
                <w:kern w:val="0"/>
                <w:sz w:val="21"/>
                <w:szCs w:val="21"/>
                <w:u w:val="none"/>
                <w:lang w:val="en-US" w:eastAsia="zh-CN" w:bidi="ar"/>
              </w:rPr>
              <w:t>测绘装置存放货架</w:t>
            </w:r>
            <w:r>
              <w:rPr>
                <w:rFonts w:hint="eastAsia" w:ascii="宋体" w:hAnsi="宋体" w:cs="宋体"/>
                <w:b/>
                <w:bCs/>
                <w:i w:val="0"/>
                <w:color w:val="000000"/>
                <w:kern w:val="0"/>
                <w:sz w:val="21"/>
                <w:szCs w:val="21"/>
                <w:u w:val="none"/>
                <w:lang w:val="en-US" w:eastAsia="zh-CN" w:bidi="ar"/>
              </w:rPr>
              <w:t>：</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b/>
                <w:kern w:val="0"/>
                <w:sz w:val="21"/>
                <w:szCs w:val="21"/>
                <w:highlight w:val="none"/>
                <w:vertAlign w:val="baseline"/>
                <w:lang w:val="en-US" w:eastAsia="zh-CN" w:bidi="ar-SA"/>
              </w:rPr>
            </w:pPr>
            <w:r>
              <w:rPr>
                <w:rFonts w:hint="eastAsia" w:ascii="宋体" w:hAnsi="宋体" w:eastAsia="宋体" w:cs="宋体"/>
                <w:sz w:val="21"/>
                <w:szCs w:val="21"/>
              </w:rPr>
              <w:t>仓库仓储货架金属五金货架中型重型置物架展示架≥200Kg承重高≥2000*宽1500*深500mm四层</w:t>
            </w:r>
            <w:r>
              <w:rPr>
                <w:rFonts w:hint="eastAsia" w:ascii="宋体" w:hAnsi="宋体" w:cs="宋体"/>
                <w:sz w:val="21"/>
                <w:szCs w:val="21"/>
                <w:lang w:eastAsia="zh-CN"/>
              </w:rPr>
              <w:t>。</w:t>
            </w:r>
          </w:p>
        </w:tc>
        <w:tc>
          <w:tcPr>
            <w:tcW w:w="48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2</w:t>
            </w:r>
          </w:p>
        </w:tc>
        <w:tc>
          <w:tcPr>
            <w:tcW w:w="65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5</w:t>
            </w:r>
          </w:p>
        </w:tc>
        <w:tc>
          <w:tcPr>
            <w:tcW w:w="7246" w:type="dxa"/>
            <w:vAlign w:val="center"/>
          </w:tcPr>
          <w:p>
            <w:pPr>
              <w:spacing w:line="240" w:lineRule="auto"/>
              <w:rPr>
                <w:rFonts w:hint="eastAsia" w:ascii="宋体" w:hAnsi="宋体" w:cs="宋体"/>
                <w:b/>
                <w:bCs/>
                <w:sz w:val="21"/>
                <w:szCs w:val="21"/>
                <w:lang w:eastAsia="zh-CN"/>
              </w:rPr>
            </w:pPr>
            <w:r>
              <w:rPr>
                <w:rFonts w:hint="eastAsia" w:ascii="宋体" w:hAnsi="宋体" w:eastAsia="宋体" w:cs="宋体"/>
                <w:b/>
                <w:bCs/>
                <w:i w:val="0"/>
                <w:color w:val="000000"/>
                <w:kern w:val="0"/>
                <w:sz w:val="21"/>
                <w:szCs w:val="21"/>
                <w:u w:val="none"/>
                <w:lang w:val="en-US" w:eastAsia="zh-CN" w:bidi="ar"/>
              </w:rPr>
              <w:t>实训室</w:t>
            </w:r>
            <w:r>
              <w:rPr>
                <w:rFonts w:hint="eastAsia" w:ascii="宋体" w:hAnsi="宋体" w:cs="宋体"/>
                <w:b/>
                <w:bCs/>
                <w:i w:val="0"/>
                <w:color w:val="000000"/>
                <w:kern w:val="0"/>
                <w:sz w:val="21"/>
                <w:szCs w:val="21"/>
                <w:u w:val="none"/>
                <w:lang w:val="en-US" w:eastAsia="zh-CN" w:bidi="ar"/>
              </w:rPr>
              <w:t>布线：</w:t>
            </w:r>
          </w:p>
          <w:p>
            <w:pPr>
              <w:spacing w:line="240" w:lineRule="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eastAsia="宋体" w:cs="宋体"/>
                <w:sz w:val="21"/>
                <w:szCs w:val="21"/>
              </w:rPr>
              <w:t>网络布线要求：</w:t>
            </w:r>
            <w:r>
              <w:rPr>
                <w:rFonts w:hint="eastAsia" w:ascii="宋体" w:hAnsi="宋体" w:cs="宋体"/>
                <w:sz w:val="21"/>
                <w:szCs w:val="21"/>
                <w:lang w:val="en-US" w:eastAsia="zh-CN"/>
              </w:rPr>
              <w:t>采用线槽地面布线方式，</w:t>
            </w:r>
            <w:r>
              <w:rPr>
                <w:rFonts w:hint="eastAsia" w:ascii="宋体" w:hAnsi="宋体" w:eastAsia="宋体" w:cs="宋体"/>
                <w:sz w:val="21"/>
                <w:szCs w:val="21"/>
              </w:rPr>
              <w:t>超六类双绞线及品牌水晶头 ，配套插座,电源布线：屏蔽处理，强弱电分离；</w:t>
            </w:r>
          </w:p>
          <w:p>
            <w:pPr>
              <w:spacing w:line="240" w:lineRule="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eastAsia="宋体" w:cs="宋体"/>
                <w:sz w:val="21"/>
                <w:szCs w:val="21"/>
              </w:rPr>
              <w:t>千兆网络交换机：交换容量48G，包转发率35Mpps。固定端口：</w:t>
            </w:r>
            <w:r>
              <w:rPr>
                <w:rFonts w:hint="eastAsia" w:ascii="宋体" w:hAnsi="宋体" w:cs="宋体"/>
                <w:sz w:val="21"/>
                <w:szCs w:val="21"/>
                <w:lang w:val="en-US" w:eastAsia="zh-CN"/>
              </w:rPr>
              <w:t>72</w:t>
            </w:r>
            <w:r>
              <w:rPr>
                <w:rFonts w:hint="eastAsia" w:ascii="宋体" w:hAnsi="宋体" w:eastAsia="宋体" w:cs="宋体"/>
                <w:sz w:val="21"/>
                <w:szCs w:val="21"/>
              </w:rPr>
              <w:t>.10/100/1000Base-T以太网端口；</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eastAsia="宋体" w:cs="宋体"/>
                <w:sz w:val="21"/>
                <w:szCs w:val="21"/>
              </w:rPr>
              <w:t>网络机柜20U，玻璃前门:带锁；后门:全封闭后门，侧门:全钢侧门,可快速装，SPCC优质冷轧钢板制作。表面处理:脱脂、酸洗、磷化、静电喷塑,可安全接地。</w:t>
            </w:r>
          </w:p>
        </w:tc>
        <w:tc>
          <w:tcPr>
            <w:tcW w:w="48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1</w:t>
            </w:r>
          </w:p>
        </w:tc>
        <w:tc>
          <w:tcPr>
            <w:tcW w:w="65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6</w:t>
            </w:r>
          </w:p>
        </w:tc>
        <w:tc>
          <w:tcPr>
            <w:tcW w:w="7246" w:type="dxa"/>
            <w:vAlign w:val="center"/>
          </w:tcPr>
          <w:p>
            <w:pPr>
              <w:spacing w:line="240" w:lineRule="auto"/>
              <w:rPr>
                <w:rFonts w:hint="eastAsia" w:ascii="宋体" w:hAnsi="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文化建设</w:t>
            </w:r>
            <w:r>
              <w:rPr>
                <w:rFonts w:hint="eastAsia" w:ascii="宋体" w:hAnsi="宋体" w:cs="宋体"/>
                <w:b/>
                <w:bCs/>
                <w:i w:val="0"/>
                <w:color w:val="000000"/>
                <w:kern w:val="0"/>
                <w:sz w:val="21"/>
                <w:szCs w:val="21"/>
                <w:u w:val="none"/>
                <w:lang w:val="en-US" w:eastAsia="zh-CN" w:bidi="ar"/>
              </w:rPr>
              <w:t>：</w:t>
            </w:r>
          </w:p>
          <w:p>
            <w:pPr>
              <w:spacing w:line="24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（1）铺设格栅吊顶，210㎡，采用黑色铝合金格栅，表面工艺为抗油污滚涂板，每片厚度1cm,每个格栅大小为15*15cm，顶灯镶嵌于格栅内，与格栅融为一体，亮度适宜，简洁美观。</w:t>
            </w:r>
          </w:p>
          <w:p>
            <w:pPr>
              <w:spacing w:line="24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（2）实训室门口文化建设：包含学校logo、实训室名称，采用微软雅黑或其他适宜字体，两个投影射灯、两块授牌、门口文化图案设计制作与安装等,均采用亚克力贴面。</w:t>
            </w:r>
          </w:p>
          <w:p>
            <w:pPr>
              <w:spacing w:line="24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（3）后墙面造型文化元素采用亚克力贴面对文化墙进行文化墙设计制作，增强文化氛围，门口墙面设计制作彩色图案射灯及铜牌授牌、立体字等。</w:t>
            </w:r>
          </w:p>
          <w:p>
            <w:pPr>
              <w:spacing w:line="240" w:lineRule="auto"/>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lang w:val="en-US" w:eastAsia="zh-CN"/>
              </w:rPr>
              <w:t>（4）实训室挂图，机械零部件测绘实训室挂图系列采用亚克力双面夹层。</w:t>
            </w:r>
          </w:p>
        </w:tc>
        <w:tc>
          <w:tcPr>
            <w:tcW w:w="48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1</w:t>
            </w:r>
          </w:p>
        </w:tc>
        <w:tc>
          <w:tcPr>
            <w:tcW w:w="655"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批</w:t>
            </w:r>
          </w:p>
        </w:tc>
      </w:tr>
    </w:tbl>
    <w:p>
      <w:pPr>
        <w:pStyle w:val="9"/>
        <w:widowControl w:val="0"/>
        <w:numPr>
          <w:ilvl w:val="0"/>
          <w:numId w:val="0"/>
        </w:numPr>
        <w:ind w:right="-683" w:rightChars="-244"/>
        <w:jc w:val="both"/>
        <w:rPr>
          <w:rFonts w:hint="default"/>
          <w:lang w:val="en-US" w:eastAsia="zh-CN"/>
        </w:rPr>
        <w:sectPr>
          <w:footerReference r:id="rId10" w:type="first"/>
          <w:headerReference r:id="rId8" w:type="default"/>
          <w:footerReference r:id="rId9" w:type="default"/>
          <w:pgSz w:w="11906" w:h="16838"/>
          <w:pgMar w:top="1553" w:right="1553" w:bottom="1553" w:left="1553" w:header="851" w:footer="850" w:gutter="0"/>
          <w:pgNumType w:fmt="decimal"/>
          <w:cols w:space="720" w:num="1"/>
          <w:titlePg/>
          <w:docGrid w:linePitch="381" w:charSpace="0"/>
        </w:sectPr>
      </w:pPr>
    </w:p>
    <w:p>
      <w:pPr>
        <w:pStyle w:val="2"/>
        <w:bidi w:val="0"/>
      </w:pPr>
      <w:bookmarkStart w:id="121" w:name="_Toc10494"/>
      <w:r>
        <w:rPr>
          <w:rFonts w:hint="eastAsia"/>
        </w:rPr>
        <w:t>第四部分  合同文本</w:t>
      </w:r>
      <w:bookmarkEnd w:id="121"/>
    </w:p>
    <w:p>
      <w:pPr>
        <w:pStyle w:val="11"/>
        <w:keepNext w:val="0"/>
        <w:keepLines w:val="0"/>
        <w:pageBreakBefore w:val="0"/>
        <w:widowControl w:val="0"/>
        <w:kinsoku/>
        <w:wordWrap/>
        <w:overflowPunct/>
        <w:topLinePunct w:val="0"/>
        <w:autoSpaceDE/>
        <w:autoSpaceDN/>
        <w:bidi w:val="0"/>
        <w:adjustRightInd/>
        <w:snapToGrid w:val="0"/>
        <w:spacing w:line="400" w:lineRule="exact"/>
        <w:textAlignment w:val="auto"/>
        <w:rPr>
          <w:rFonts w:hAnsi="宋体" w:cs="宋体"/>
          <w:szCs w:val="21"/>
        </w:rPr>
      </w:pPr>
      <w:r>
        <w:rPr>
          <w:rFonts w:hint="eastAsia" w:hAnsi="宋体" w:cs="宋体"/>
          <w:szCs w:val="21"/>
        </w:rPr>
        <w:t xml:space="preserve">项目名称：                     </w:t>
      </w:r>
    </w:p>
    <w:p>
      <w:pPr>
        <w:pStyle w:val="11"/>
        <w:keepNext w:val="0"/>
        <w:keepLines w:val="0"/>
        <w:pageBreakBefore w:val="0"/>
        <w:widowControl w:val="0"/>
        <w:kinsoku/>
        <w:wordWrap/>
        <w:overflowPunct/>
        <w:topLinePunct w:val="0"/>
        <w:autoSpaceDE/>
        <w:autoSpaceDN/>
        <w:bidi w:val="0"/>
        <w:adjustRightInd/>
        <w:snapToGrid w:val="0"/>
        <w:spacing w:line="400" w:lineRule="exact"/>
        <w:textAlignment w:val="auto"/>
        <w:rPr>
          <w:rFonts w:hAnsi="宋体" w:cs="宋体"/>
          <w:b/>
          <w:szCs w:val="21"/>
        </w:rPr>
      </w:pPr>
      <w:r>
        <w:rPr>
          <w:rFonts w:hint="eastAsia" w:hAnsi="宋体" w:cs="宋体"/>
          <w:szCs w:val="21"/>
        </w:rPr>
        <w:t>项目编号：</w:t>
      </w:r>
    </w:p>
    <w:p>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sz w:val="21"/>
          <w:szCs w:val="21"/>
        </w:rPr>
      </w:pPr>
      <w:r>
        <w:rPr>
          <w:rFonts w:hint="eastAsia" w:ascii="宋体" w:hAnsi="宋体" w:cs="宋体"/>
          <w:sz w:val="21"/>
          <w:szCs w:val="21"/>
        </w:rPr>
        <w:t>甲方：（买方）</w:t>
      </w:r>
    </w:p>
    <w:p>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sz w:val="21"/>
          <w:szCs w:val="21"/>
        </w:rPr>
      </w:pPr>
      <w:r>
        <w:rPr>
          <w:rFonts w:hint="eastAsia" w:ascii="宋体" w:hAnsi="宋体" w:cs="宋体"/>
          <w:sz w:val="21"/>
          <w:szCs w:val="21"/>
        </w:rPr>
        <w:t>乙方：（卖方）</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sz w:val="21"/>
          <w:szCs w:val="21"/>
        </w:rPr>
      </w:pPr>
      <w:r>
        <w:rPr>
          <w:rFonts w:hint="eastAsia" w:ascii="宋体" w:hAnsi="宋体" w:cs="宋体"/>
          <w:sz w:val="21"/>
          <w:szCs w:val="21"/>
        </w:rPr>
        <w:t>根据《中华人民共和国民法典》等相关规定，甲乙双方就</w:t>
      </w:r>
      <w:r>
        <w:rPr>
          <w:rFonts w:hint="eastAsia" w:ascii="宋体" w:hAnsi="宋体" w:cs="宋体"/>
          <w:sz w:val="21"/>
          <w:szCs w:val="21"/>
          <w:u w:val="single"/>
          <w:lang w:val="en-US" w:eastAsia="zh-CN"/>
        </w:rPr>
        <w:t xml:space="preserve">      </w:t>
      </w:r>
      <w:r>
        <w:rPr>
          <w:rFonts w:hint="eastAsia" w:ascii="宋体" w:hAnsi="宋体" w:cs="宋体"/>
          <w:sz w:val="21"/>
          <w:szCs w:val="21"/>
        </w:rPr>
        <w:t>项目（项目编号：</w:t>
      </w:r>
      <w:r>
        <w:rPr>
          <w:rFonts w:hint="eastAsia" w:ascii="宋体" w:hAnsi="宋体" w:cs="宋体"/>
          <w:sz w:val="21"/>
          <w:szCs w:val="21"/>
          <w:lang w:val="en-US" w:eastAsia="zh-CN"/>
        </w:rPr>
        <w:t xml:space="preserve">   </w:t>
      </w:r>
      <w:r>
        <w:rPr>
          <w:rFonts w:hint="eastAsia" w:ascii="宋体" w:hAnsi="宋体" w:cs="宋体"/>
          <w:sz w:val="21"/>
          <w:szCs w:val="21"/>
        </w:rPr>
        <w:t xml:space="preserve"> ）协商达成一致，确立本合同，以明确双方的权利和义务，确保甲乙双方共同执行。</w:t>
      </w:r>
    </w:p>
    <w:p>
      <w:pPr>
        <w:keepNext w:val="0"/>
        <w:keepLines w:val="0"/>
        <w:pageBreakBefore w:val="0"/>
        <w:widowControl w:val="0"/>
        <w:kinsoku/>
        <w:wordWrap/>
        <w:overflowPunct/>
        <w:topLinePunct w:val="0"/>
        <w:autoSpaceDE/>
        <w:autoSpaceDN/>
        <w:bidi w:val="0"/>
        <w:adjustRightInd/>
        <w:spacing w:line="400" w:lineRule="exact"/>
        <w:textAlignment w:val="auto"/>
        <w:outlineLvl w:val="1"/>
        <w:rPr>
          <w:rFonts w:ascii="宋体" w:hAnsi="宋体" w:cs="宋体"/>
          <w:sz w:val="21"/>
          <w:szCs w:val="21"/>
        </w:rPr>
      </w:pPr>
      <w:bookmarkStart w:id="122" w:name="_Toc12355"/>
      <w:r>
        <w:rPr>
          <w:rFonts w:hint="eastAsia" w:ascii="宋体" w:hAnsi="宋体" w:cs="宋体"/>
          <w:sz w:val="21"/>
          <w:szCs w:val="21"/>
        </w:rPr>
        <w:t>一、采购清单及合同价格（金额单位：元）</w:t>
      </w:r>
      <w:bookmarkEnd w:id="122"/>
    </w:p>
    <w:tbl>
      <w:tblPr>
        <w:tblStyle w:val="20"/>
        <w:tblW w:w="9092" w:type="dxa"/>
        <w:jc w:val="center"/>
        <w:tblLayout w:type="fixed"/>
        <w:tblCellMar>
          <w:top w:w="0" w:type="dxa"/>
          <w:left w:w="108" w:type="dxa"/>
          <w:bottom w:w="0" w:type="dxa"/>
          <w:right w:w="108" w:type="dxa"/>
        </w:tblCellMar>
      </w:tblPr>
      <w:tblGrid>
        <w:gridCol w:w="897"/>
        <w:gridCol w:w="2368"/>
        <w:gridCol w:w="1418"/>
        <w:gridCol w:w="1515"/>
        <w:gridCol w:w="1515"/>
        <w:gridCol w:w="1379"/>
      </w:tblGrid>
      <w:tr>
        <w:tblPrEx>
          <w:tblCellMar>
            <w:top w:w="0" w:type="dxa"/>
            <w:left w:w="108" w:type="dxa"/>
            <w:bottom w:w="0" w:type="dxa"/>
            <w:right w:w="108" w:type="dxa"/>
          </w:tblCellMar>
        </w:tblPrEx>
        <w:trPr>
          <w:trHeight w:val="405" w:hRule="atLeast"/>
          <w:jc w:val="center"/>
        </w:trPr>
        <w:tc>
          <w:tcPr>
            <w:tcW w:w="9092"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b/>
                <w:bCs/>
                <w:sz w:val="21"/>
                <w:szCs w:val="21"/>
              </w:rPr>
            </w:pPr>
            <w:r>
              <w:rPr>
                <w:rFonts w:hint="eastAsia" w:ascii="宋体" w:hAnsi="宋体" w:cs="宋体"/>
                <w:b/>
                <w:bCs/>
                <w:kern w:val="0"/>
                <w:sz w:val="21"/>
                <w:szCs w:val="21"/>
                <w:lang w:val="en-US" w:eastAsia="zh-CN"/>
              </w:rPr>
              <w:t>项目采购</w:t>
            </w:r>
            <w:r>
              <w:rPr>
                <w:rFonts w:hint="eastAsia" w:ascii="宋体" w:hAnsi="宋体" w:cs="宋体"/>
                <w:b/>
                <w:bCs/>
                <w:kern w:val="0"/>
                <w:sz w:val="21"/>
                <w:szCs w:val="21"/>
              </w:rPr>
              <w:t>数量汇总表</w:t>
            </w:r>
          </w:p>
        </w:tc>
      </w:tr>
      <w:tr>
        <w:tblPrEx>
          <w:tblCellMar>
            <w:top w:w="0" w:type="dxa"/>
            <w:left w:w="108" w:type="dxa"/>
            <w:bottom w:w="0" w:type="dxa"/>
            <w:right w:w="108" w:type="dxa"/>
          </w:tblCellMar>
        </w:tblPrEx>
        <w:trPr>
          <w:trHeight w:val="285" w:hRule="atLeast"/>
          <w:jc w:val="center"/>
        </w:trPr>
        <w:tc>
          <w:tcPr>
            <w:tcW w:w="8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r>
              <w:rPr>
                <w:rFonts w:hint="eastAsia" w:ascii="宋体" w:hAnsi="宋体" w:cs="宋体"/>
                <w:kern w:val="0"/>
                <w:sz w:val="21"/>
                <w:szCs w:val="21"/>
              </w:rPr>
              <w:t>序号</w:t>
            </w:r>
          </w:p>
        </w:tc>
        <w:tc>
          <w:tcPr>
            <w:tcW w:w="2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hint="default" w:ascii="宋体" w:hAnsi="宋体" w:eastAsia="宋体" w:cs="宋体"/>
                <w:sz w:val="21"/>
                <w:szCs w:val="21"/>
                <w:lang w:val="en-US" w:eastAsia="zh-CN"/>
              </w:rPr>
            </w:pPr>
            <w:r>
              <w:rPr>
                <w:rFonts w:hint="eastAsia" w:ascii="宋体" w:hAnsi="宋体" w:cs="宋体"/>
                <w:kern w:val="0"/>
                <w:sz w:val="21"/>
                <w:szCs w:val="21"/>
                <w:lang w:val="en-US" w:eastAsia="zh-CN"/>
              </w:rPr>
              <w:t>采购品目</w:t>
            </w: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hint="default" w:ascii="宋体" w:hAnsi="宋体" w:eastAsia="宋体" w:cs="宋体"/>
                <w:sz w:val="21"/>
                <w:szCs w:val="21"/>
                <w:lang w:val="en-US" w:eastAsia="zh-CN"/>
              </w:rPr>
            </w:pPr>
            <w:r>
              <w:rPr>
                <w:rFonts w:hint="eastAsia" w:ascii="宋体" w:hAnsi="宋体" w:cs="宋体"/>
                <w:kern w:val="0"/>
                <w:sz w:val="21"/>
                <w:szCs w:val="21"/>
                <w:lang w:val="en-US" w:eastAsia="zh-CN"/>
              </w:rPr>
              <w:t>规格型号</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hint="default" w:ascii="宋体" w:hAnsi="宋体" w:eastAsia="宋体" w:cs="宋体"/>
                <w:sz w:val="21"/>
                <w:szCs w:val="21"/>
                <w:lang w:val="en-US" w:eastAsia="zh-CN"/>
              </w:rPr>
            </w:pPr>
            <w:r>
              <w:rPr>
                <w:rFonts w:hint="eastAsia" w:ascii="宋体" w:hAnsi="宋体" w:cs="宋体"/>
                <w:kern w:val="0"/>
                <w:sz w:val="21"/>
                <w:szCs w:val="21"/>
                <w:lang w:val="en-US" w:eastAsia="zh-CN"/>
              </w:rPr>
              <w:t>数量/单位</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z w:val="21"/>
                <w:szCs w:val="21"/>
                <w:lang w:eastAsia="zh-CN"/>
              </w:rPr>
            </w:pPr>
            <w:r>
              <w:rPr>
                <w:rFonts w:hint="eastAsia" w:ascii="宋体" w:hAnsi="宋体" w:cs="宋体"/>
                <w:kern w:val="0"/>
                <w:sz w:val="21"/>
                <w:szCs w:val="21"/>
                <w:lang w:val="en-US" w:eastAsia="zh-CN"/>
              </w:rPr>
              <w:t>单价（元）</w:t>
            </w:r>
          </w:p>
        </w:tc>
        <w:tc>
          <w:tcPr>
            <w:tcW w:w="1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z w:val="21"/>
                <w:szCs w:val="21"/>
                <w:lang w:eastAsia="zh-CN"/>
              </w:rPr>
            </w:pPr>
            <w:r>
              <w:rPr>
                <w:rFonts w:hint="eastAsia" w:ascii="宋体" w:hAnsi="宋体" w:cs="宋体"/>
                <w:kern w:val="0"/>
                <w:sz w:val="21"/>
                <w:szCs w:val="21"/>
                <w:lang w:val="en-US" w:eastAsia="zh-CN"/>
              </w:rPr>
              <w:t>总价（元）</w:t>
            </w:r>
          </w:p>
        </w:tc>
      </w:tr>
      <w:tr>
        <w:tblPrEx>
          <w:tblCellMar>
            <w:top w:w="0" w:type="dxa"/>
            <w:left w:w="108" w:type="dxa"/>
            <w:bottom w:w="0" w:type="dxa"/>
            <w:right w:w="108" w:type="dxa"/>
          </w:tblCellMar>
        </w:tblPrEx>
        <w:trPr>
          <w:trHeight w:val="300" w:hRule="atLeast"/>
          <w:jc w:val="center"/>
        </w:trPr>
        <w:tc>
          <w:tcPr>
            <w:tcW w:w="8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r>
              <w:rPr>
                <w:rFonts w:hint="eastAsia" w:ascii="宋体" w:hAnsi="宋体" w:cs="宋体"/>
                <w:kern w:val="0"/>
                <w:sz w:val="21"/>
                <w:szCs w:val="21"/>
              </w:rPr>
              <w:t>1</w:t>
            </w:r>
          </w:p>
        </w:tc>
        <w:tc>
          <w:tcPr>
            <w:tcW w:w="2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left"/>
              <w:textAlignment w:val="center"/>
              <w:rPr>
                <w:rFonts w:ascii="宋体" w:hAnsi="宋体" w:cs="宋体"/>
                <w:sz w:val="21"/>
                <w:szCs w:val="21"/>
              </w:rPr>
            </w:pP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r>
      <w:tr>
        <w:tblPrEx>
          <w:tblCellMar>
            <w:top w:w="0" w:type="dxa"/>
            <w:left w:w="108" w:type="dxa"/>
            <w:bottom w:w="0" w:type="dxa"/>
            <w:right w:w="108" w:type="dxa"/>
          </w:tblCellMar>
        </w:tblPrEx>
        <w:trPr>
          <w:trHeight w:val="285" w:hRule="atLeast"/>
          <w:jc w:val="center"/>
        </w:trPr>
        <w:tc>
          <w:tcPr>
            <w:tcW w:w="8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r>
              <w:rPr>
                <w:rFonts w:hint="eastAsia" w:ascii="宋体" w:hAnsi="宋体" w:cs="宋体"/>
                <w:kern w:val="0"/>
                <w:sz w:val="21"/>
                <w:szCs w:val="21"/>
              </w:rPr>
              <w:t>2</w:t>
            </w:r>
          </w:p>
        </w:tc>
        <w:tc>
          <w:tcPr>
            <w:tcW w:w="2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left"/>
              <w:textAlignment w:val="center"/>
              <w:rPr>
                <w:rFonts w:ascii="宋体" w:hAnsi="宋体" w:cs="宋体"/>
                <w:sz w:val="21"/>
                <w:szCs w:val="21"/>
              </w:rPr>
            </w:pP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r>
      <w:tr>
        <w:tblPrEx>
          <w:tblCellMar>
            <w:top w:w="0" w:type="dxa"/>
            <w:left w:w="108" w:type="dxa"/>
            <w:bottom w:w="0" w:type="dxa"/>
            <w:right w:w="108" w:type="dxa"/>
          </w:tblCellMar>
        </w:tblPrEx>
        <w:trPr>
          <w:trHeight w:val="285" w:hRule="atLeast"/>
          <w:jc w:val="center"/>
        </w:trPr>
        <w:tc>
          <w:tcPr>
            <w:tcW w:w="8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r>
              <w:rPr>
                <w:rFonts w:hint="eastAsia" w:ascii="宋体" w:hAnsi="宋体" w:cs="宋体"/>
                <w:kern w:val="0"/>
                <w:sz w:val="21"/>
                <w:szCs w:val="21"/>
              </w:rPr>
              <w:t>3</w:t>
            </w:r>
          </w:p>
        </w:tc>
        <w:tc>
          <w:tcPr>
            <w:tcW w:w="2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left"/>
              <w:textAlignment w:val="center"/>
              <w:rPr>
                <w:rFonts w:ascii="宋体" w:hAnsi="宋体" w:cs="宋体"/>
                <w:sz w:val="21"/>
                <w:szCs w:val="21"/>
              </w:rPr>
            </w:pP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r>
      <w:tr>
        <w:tblPrEx>
          <w:tblCellMar>
            <w:top w:w="0" w:type="dxa"/>
            <w:left w:w="108" w:type="dxa"/>
            <w:bottom w:w="0" w:type="dxa"/>
            <w:right w:w="108" w:type="dxa"/>
          </w:tblCellMar>
        </w:tblPrEx>
        <w:trPr>
          <w:trHeight w:val="90" w:hRule="atLeast"/>
          <w:jc w:val="center"/>
        </w:trPr>
        <w:tc>
          <w:tcPr>
            <w:tcW w:w="46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r>
              <w:rPr>
                <w:rFonts w:hint="eastAsia" w:ascii="宋体" w:hAnsi="宋体" w:cs="宋体"/>
                <w:sz w:val="21"/>
                <w:szCs w:val="21"/>
                <w:lang w:val="en-US" w:eastAsia="zh-CN"/>
              </w:rPr>
              <w:t>合计</w:t>
            </w: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5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c>
          <w:tcPr>
            <w:tcW w:w="1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r>
      <w:tr>
        <w:tblPrEx>
          <w:tblCellMar>
            <w:top w:w="0" w:type="dxa"/>
            <w:left w:w="108" w:type="dxa"/>
            <w:bottom w:w="0" w:type="dxa"/>
            <w:right w:w="108" w:type="dxa"/>
          </w:tblCellMar>
        </w:tblPrEx>
        <w:trPr>
          <w:trHeight w:val="285" w:hRule="atLeast"/>
          <w:jc w:val="center"/>
        </w:trPr>
        <w:tc>
          <w:tcPr>
            <w:tcW w:w="326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sz w:val="21"/>
                <w:szCs w:val="21"/>
                <w:lang w:eastAsia="zh-CN"/>
              </w:rPr>
            </w:pPr>
            <w:r>
              <w:rPr>
                <w:rFonts w:hint="eastAsia" w:ascii="宋体" w:hAnsi="宋体" w:cs="宋体"/>
                <w:sz w:val="21"/>
                <w:szCs w:val="21"/>
                <w:lang w:eastAsia="zh-CN"/>
              </w:rPr>
              <w:t>合同价格</w:t>
            </w:r>
          </w:p>
        </w:tc>
        <w:tc>
          <w:tcPr>
            <w:tcW w:w="5827"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400" w:lineRule="exact"/>
              <w:rPr>
                <w:rFonts w:ascii="宋体" w:hAnsi="宋体" w:cs="宋体"/>
                <w:sz w:val="21"/>
                <w:szCs w:val="21"/>
              </w:rPr>
            </w:pPr>
            <w:r>
              <w:rPr>
                <w:rFonts w:hint="eastAsia" w:ascii="宋体" w:hAnsi="宋体" w:cs="宋体"/>
                <w:sz w:val="21"/>
                <w:szCs w:val="21"/>
              </w:rPr>
              <w:t>（小写）：</w:t>
            </w:r>
          </w:p>
          <w:p>
            <w:pPr>
              <w:keepNext w:val="0"/>
              <w:keepLines w:val="0"/>
              <w:pageBreakBefore w:val="0"/>
              <w:widowControl/>
              <w:kinsoku/>
              <w:wordWrap/>
              <w:overflowPunct/>
              <w:topLinePunct w:val="0"/>
              <w:autoSpaceDE/>
              <w:autoSpaceDN/>
              <w:bidi w:val="0"/>
              <w:spacing w:line="400" w:lineRule="exact"/>
              <w:textAlignment w:val="center"/>
              <w:rPr>
                <w:rFonts w:ascii="宋体" w:hAnsi="宋体" w:cs="宋体"/>
                <w:sz w:val="21"/>
                <w:szCs w:val="21"/>
              </w:rPr>
            </w:pPr>
            <w:r>
              <w:rPr>
                <w:rFonts w:hint="eastAsia" w:ascii="宋体" w:hAnsi="宋体" w:cs="宋体"/>
                <w:sz w:val="21"/>
                <w:szCs w:val="21"/>
              </w:rPr>
              <w:t>（大写）：</w:t>
            </w:r>
          </w:p>
        </w:tc>
      </w:tr>
      <w:tr>
        <w:tblPrEx>
          <w:tblCellMar>
            <w:top w:w="0" w:type="dxa"/>
            <w:left w:w="108" w:type="dxa"/>
            <w:bottom w:w="0" w:type="dxa"/>
            <w:right w:w="108" w:type="dxa"/>
          </w:tblCellMar>
        </w:tblPrEx>
        <w:trPr>
          <w:trHeight w:val="297" w:hRule="atLeast"/>
          <w:jc w:val="center"/>
        </w:trPr>
        <w:tc>
          <w:tcPr>
            <w:tcW w:w="326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400" w:lineRule="exact"/>
              <w:jc w:val="center"/>
              <w:rPr>
                <w:rFonts w:ascii="宋体" w:hAnsi="宋体" w:cs="宋体"/>
                <w:sz w:val="21"/>
                <w:szCs w:val="21"/>
              </w:rPr>
            </w:pPr>
            <w:r>
              <w:rPr>
                <w:rFonts w:hint="eastAsia" w:ascii="宋体" w:hAnsi="宋体" w:cs="宋体"/>
                <w:sz w:val="21"/>
                <w:szCs w:val="21"/>
              </w:rPr>
              <w:t>项目负责人：</w:t>
            </w:r>
          </w:p>
        </w:tc>
        <w:tc>
          <w:tcPr>
            <w:tcW w:w="5827"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r>
      <w:tr>
        <w:tblPrEx>
          <w:tblCellMar>
            <w:top w:w="0" w:type="dxa"/>
            <w:left w:w="108" w:type="dxa"/>
            <w:bottom w:w="0" w:type="dxa"/>
            <w:right w:w="108" w:type="dxa"/>
          </w:tblCellMar>
        </w:tblPrEx>
        <w:trPr>
          <w:trHeight w:val="342" w:hRule="atLeast"/>
          <w:jc w:val="center"/>
        </w:trPr>
        <w:tc>
          <w:tcPr>
            <w:tcW w:w="326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400" w:lineRule="exact"/>
              <w:jc w:val="center"/>
              <w:rPr>
                <w:rFonts w:ascii="宋体" w:hAnsi="宋体" w:cs="宋体"/>
                <w:sz w:val="21"/>
                <w:szCs w:val="21"/>
              </w:rPr>
            </w:pPr>
            <w:r>
              <w:rPr>
                <w:rFonts w:hint="eastAsia" w:ascii="宋体" w:hAnsi="宋体" w:cs="宋体"/>
                <w:sz w:val="21"/>
                <w:szCs w:val="21"/>
              </w:rPr>
              <w:t>合同履约期限：</w:t>
            </w:r>
          </w:p>
        </w:tc>
        <w:tc>
          <w:tcPr>
            <w:tcW w:w="5827"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pacing w:line="400" w:lineRule="exact"/>
              <w:jc w:val="center"/>
              <w:textAlignment w:val="center"/>
              <w:rPr>
                <w:rFonts w:ascii="宋体" w:hAnsi="宋体" w:cs="宋体"/>
                <w:sz w:val="21"/>
                <w:szCs w:val="21"/>
              </w:rPr>
            </w:pPr>
          </w:p>
        </w:tc>
      </w:tr>
    </w:tbl>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hAnsi="宋体" w:cs="宋体"/>
          <w:szCs w:val="21"/>
          <w:highlight w:val="none"/>
          <w:lang w:val="zh-CN"/>
        </w:rPr>
      </w:pPr>
      <w:r>
        <w:rPr>
          <w:rFonts w:hint="eastAsia" w:hAnsi="宋体" w:cs="宋体"/>
          <w:szCs w:val="21"/>
        </w:rPr>
        <w:t>注：合同总价包括</w:t>
      </w:r>
      <w:r>
        <w:rPr>
          <w:rFonts w:hint="eastAsia" w:hAnsi="宋体" w:cs="宋体"/>
          <w:szCs w:val="21"/>
          <w:highlight w:val="none"/>
        </w:rPr>
        <w:t>项目实施所需的</w:t>
      </w:r>
      <w:r>
        <w:rPr>
          <w:rFonts w:hint="eastAsia" w:hAnsi="宋体" w:cs="宋体"/>
          <w:szCs w:val="21"/>
          <w:highlight w:val="none"/>
          <w:lang w:val="zh-CN"/>
        </w:rPr>
        <w:t>货款、</w:t>
      </w:r>
      <w:r>
        <w:rPr>
          <w:rFonts w:hint="eastAsia" w:hAnsi="宋体" w:cs="宋体"/>
          <w:szCs w:val="21"/>
          <w:highlight w:val="none"/>
          <w:lang w:val="en-US" w:eastAsia="zh-CN"/>
        </w:rPr>
        <w:t>旧设备拆除（如有）、系统软件服务费用、</w:t>
      </w:r>
      <w:r>
        <w:rPr>
          <w:rFonts w:hint="eastAsia" w:hAnsi="宋体" w:cs="宋体"/>
          <w:szCs w:val="21"/>
          <w:highlight w:val="none"/>
          <w:lang w:val="zh-CN"/>
        </w:rPr>
        <w:t>标准附件、备品备件、专用工具、包装、运输、装卸、保险、税金、货到检查以及安装、调试、培训、保修等一切税金和费用等均计入报价，招标人不</w:t>
      </w:r>
      <w:r>
        <w:rPr>
          <w:rFonts w:hint="eastAsia" w:hAnsi="宋体" w:cs="宋体"/>
          <w:szCs w:val="21"/>
          <w:highlight w:val="none"/>
          <w:lang w:val="en-US" w:eastAsia="zh-CN"/>
        </w:rPr>
        <w:t>再</w:t>
      </w:r>
      <w:r>
        <w:rPr>
          <w:rFonts w:hint="eastAsia" w:hAnsi="宋体" w:cs="宋体"/>
          <w:szCs w:val="21"/>
          <w:highlight w:val="none"/>
          <w:lang w:val="zh-CN"/>
        </w:rPr>
        <w:t>支付额外费用。</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cs="宋体"/>
          <w:b/>
          <w:snapToGrid w:val="0"/>
          <w:kern w:val="0"/>
          <w:szCs w:val="21"/>
          <w:highlight w:val="none"/>
        </w:rPr>
      </w:pPr>
      <w:bookmarkStart w:id="123" w:name="_Toc12434"/>
      <w:r>
        <w:rPr>
          <w:rFonts w:hint="eastAsia" w:hAnsi="宋体" w:cs="宋体"/>
          <w:b/>
          <w:snapToGrid w:val="0"/>
          <w:kern w:val="0"/>
          <w:szCs w:val="21"/>
          <w:highlight w:val="none"/>
        </w:rPr>
        <w:t>二、技术资料</w:t>
      </w:r>
      <w:bookmarkEnd w:id="123"/>
    </w:p>
    <w:p>
      <w:pPr>
        <w:keepNext w:val="0"/>
        <w:keepLines w:val="0"/>
        <w:pageBreakBefore w:val="0"/>
        <w:widowControl w:val="0"/>
        <w:kinsoku/>
        <w:wordWrap/>
        <w:overflowPunct/>
        <w:topLinePunct w:val="0"/>
        <w:autoSpaceDE/>
        <w:autoSpaceDN/>
        <w:bidi w:val="0"/>
        <w:adjustRightInd w:val="0"/>
        <w:snapToGrid/>
        <w:spacing w:line="400" w:lineRule="exact"/>
        <w:ind w:firstLine="437"/>
        <w:jc w:val="left"/>
        <w:textAlignment w:val="auto"/>
        <w:rPr>
          <w:rFonts w:ascii="宋体" w:hAnsi="宋体" w:cs="宋体"/>
          <w:sz w:val="21"/>
          <w:szCs w:val="21"/>
        </w:rPr>
      </w:pPr>
      <w:r>
        <w:rPr>
          <w:rFonts w:hint="eastAsia" w:ascii="宋体" w:hAnsi="宋体" w:cs="宋体"/>
          <w:sz w:val="21"/>
          <w:szCs w:val="21"/>
        </w:rPr>
        <w:t>1、乙方应按</w:t>
      </w:r>
      <w:r>
        <w:rPr>
          <w:rFonts w:hint="eastAsia" w:ascii="宋体" w:hAnsi="宋体" w:cs="宋体"/>
          <w:sz w:val="21"/>
          <w:szCs w:val="21"/>
          <w:lang w:eastAsia="zh-CN"/>
        </w:rPr>
        <w:t>采购</w:t>
      </w:r>
      <w:r>
        <w:rPr>
          <w:rFonts w:hint="eastAsia" w:ascii="宋体" w:hAnsi="宋体" w:cs="宋体"/>
          <w:sz w:val="21"/>
          <w:szCs w:val="21"/>
        </w:rPr>
        <w:t>文件规定的时间向甲方提供使用货物的有关技术资料。</w:t>
      </w:r>
    </w:p>
    <w:p>
      <w:pPr>
        <w:keepNext w:val="0"/>
        <w:keepLines w:val="0"/>
        <w:pageBreakBefore w:val="0"/>
        <w:widowControl w:val="0"/>
        <w:kinsoku/>
        <w:wordWrap/>
        <w:overflowPunct/>
        <w:topLinePunct w:val="0"/>
        <w:autoSpaceDE/>
        <w:autoSpaceDN/>
        <w:bidi w:val="0"/>
        <w:adjustRightInd w:val="0"/>
        <w:snapToGrid/>
        <w:spacing w:line="400" w:lineRule="exact"/>
        <w:ind w:firstLine="437"/>
        <w:jc w:val="left"/>
        <w:textAlignment w:val="auto"/>
        <w:rPr>
          <w:rFonts w:ascii="宋体" w:hAnsi="宋体" w:cs="宋体"/>
          <w:sz w:val="21"/>
          <w:szCs w:val="21"/>
        </w:rPr>
      </w:pPr>
      <w:r>
        <w:rPr>
          <w:rFonts w:hint="eastAsia" w:ascii="宋体" w:hAnsi="宋体" w:cs="宋体"/>
          <w:sz w:val="21"/>
          <w:szCs w:val="21"/>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cs="宋体"/>
          <w:b/>
          <w:snapToGrid w:val="0"/>
          <w:kern w:val="0"/>
          <w:szCs w:val="21"/>
        </w:rPr>
      </w:pPr>
      <w:bookmarkStart w:id="124" w:name="_Toc1853"/>
      <w:r>
        <w:rPr>
          <w:rFonts w:hint="eastAsia" w:hAnsi="宋体" w:cs="宋体"/>
          <w:b/>
          <w:snapToGrid w:val="0"/>
          <w:kern w:val="0"/>
          <w:szCs w:val="21"/>
        </w:rPr>
        <w:t>三、知识产权</w:t>
      </w:r>
      <w:bookmarkEnd w:id="124"/>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hint="eastAsia" w:ascii="宋体" w:hAnsi="宋体" w:cs="宋体"/>
          <w:spacing w:val="-6"/>
          <w:sz w:val="21"/>
          <w:szCs w:val="21"/>
        </w:rPr>
      </w:pPr>
      <w:r>
        <w:rPr>
          <w:rFonts w:hint="eastAsia" w:ascii="宋体" w:hAnsi="宋体" w:cs="宋体"/>
          <w:spacing w:val="-6"/>
          <w:sz w:val="21"/>
          <w:szCs w:val="21"/>
        </w:rPr>
        <w:t>乙方应保证所提供的货物或其任何一部分均不会侵犯任何第三方的知识产权。</w:t>
      </w:r>
      <w:r>
        <w:rPr>
          <w:rFonts w:hint="eastAsia" w:ascii="宋体" w:hAnsi="宋体" w:cs="宋体"/>
          <w:spacing w:val="-6"/>
          <w:sz w:val="21"/>
          <w:szCs w:val="21"/>
          <w:lang w:val="en-US" w:eastAsia="zh-CN"/>
        </w:rPr>
        <w:t>乙方</w:t>
      </w:r>
      <w:r>
        <w:rPr>
          <w:rFonts w:hint="eastAsia" w:ascii="宋体" w:hAnsi="宋体" w:cs="宋体"/>
          <w:spacing w:val="-6"/>
          <w:sz w:val="21"/>
          <w:szCs w:val="21"/>
        </w:rPr>
        <w:t>需对产品的著作权、知识产权及所有权负责，并保证不伤害</w:t>
      </w:r>
      <w:r>
        <w:rPr>
          <w:rFonts w:hint="eastAsia" w:ascii="宋体" w:hAnsi="宋体" w:cs="宋体"/>
          <w:spacing w:val="-6"/>
          <w:sz w:val="21"/>
          <w:szCs w:val="21"/>
          <w:lang w:val="en-US" w:eastAsia="zh-CN"/>
        </w:rPr>
        <w:t>甲方</w:t>
      </w:r>
      <w:r>
        <w:rPr>
          <w:rFonts w:hint="eastAsia" w:ascii="宋体" w:hAnsi="宋体" w:cs="宋体"/>
          <w:spacing w:val="-6"/>
          <w:sz w:val="21"/>
          <w:szCs w:val="21"/>
        </w:rPr>
        <w:t>的利益。在法律范围内，所有文字、商标和技术侵权造成的相关费用，</w:t>
      </w:r>
      <w:r>
        <w:rPr>
          <w:rFonts w:hint="eastAsia" w:ascii="宋体" w:hAnsi="宋体" w:cs="宋体"/>
          <w:spacing w:val="-6"/>
          <w:sz w:val="21"/>
          <w:szCs w:val="21"/>
          <w:lang w:val="en-US" w:eastAsia="zh-CN"/>
        </w:rPr>
        <w:t>甲方</w:t>
      </w:r>
      <w:r>
        <w:rPr>
          <w:rFonts w:hint="eastAsia" w:ascii="宋体" w:hAnsi="宋体" w:cs="宋体"/>
          <w:spacing w:val="-6"/>
          <w:sz w:val="21"/>
          <w:szCs w:val="21"/>
        </w:rPr>
        <w:t>概不负责。</w:t>
      </w:r>
    </w:p>
    <w:p>
      <w:pPr>
        <w:pStyle w:val="19"/>
        <w:keepNext w:val="0"/>
        <w:keepLines w:val="0"/>
        <w:pageBreakBefore w:val="0"/>
        <w:widowControl w:val="0"/>
        <w:kinsoku/>
        <w:wordWrap/>
        <w:overflowPunct/>
        <w:topLinePunct w:val="0"/>
        <w:autoSpaceDE/>
        <w:autoSpaceDN/>
        <w:bidi w:val="0"/>
        <w:snapToGrid/>
        <w:spacing w:line="400" w:lineRule="exact"/>
        <w:ind w:left="0" w:leftChars="0" w:firstLine="0" w:firstLineChars="0"/>
        <w:textAlignment w:val="auto"/>
        <w:outlineLvl w:val="1"/>
        <w:rPr>
          <w:rFonts w:hint="eastAsia" w:ascii="宋体" w:hAnsi="宋体" w:eastAsia="宋体" w:cs="宋体"/>
          <w:b/>
          <w:bCs/>
          <w:kern w:val="2"/>
          <w:sz w:val="21"/>
          <w:szCs w:val="21"/>
          <w:lang w:val="en-US" w:eastAsia="zh-CN" w:bidi="ar-SA"/>
        </w:rPr>
      </w:pPr>
      <w:bookmarkStart w:id="125" w:name="_Toc56917322"/>
      <w:bookmarkStart w:id="126" w:name="_Toc28327"/>
      <w:r>
        <w:rPr>
          <w:rFonts w:hint="eastAsia" w:ascii="宋体" w:hAnsi="宋体" w:eastAsia="宋体" w:cs="宋体"/>
          <w:b/>
          <w:bCs/>
          <w:kern w:val="2"/>
          <w:sz w:val="21"/>
          <w:szCs w:val="21"/>
          <w:lang w:val="en-US" w:eastAsia="zh-CN" w:bidi="ar-SA"/>
        </w:rPr>
        <w:t>四、风险责任</w:t>
      </w:r>
      <w:bookmarkEnd w:id="125"/>
      <w:bookmarkEnd w:id="126"/>
    </w:p>
    <w:p>
      <w:pPr>
        <w:pStyle w:val="19"/>
        <w:keepNext w:val="0"/>
        <w:keepLines w:val="0"/>
        <w:pageBreakBefore w:val="0"/>
        <w:widowControl w:val="0"/>
        <w:kinsoku/>
        <w:wordWrap/>
        <w:overflowPunct/>
        <w:topLinePunct w:val="0"/>
        <w:autoSpaceDE/>
        <w:autoSpaceDN/>
        <w:bidi w:val="0"/>
        <w:snapToGrid/>
        <w:spacing w:line="400" w:lineRule="exact"/>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执行本合同的过程中，确因在现有水平和条件下难以克服的技术困难，导致部分或全部失败所造成的损失，风险责任由乙方全部承担。</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int="eastAsia" w:ascii="宋体" w:hAnsi="宋体" w:eastAsia="宋体" w:cs="宋体"/>
          <w:b/>
          <w:bCs/>
          <w:kern w:val="2"/>
          <w:sz w:val="21"/>
          <w:szCs w:val="21"/>
          <w:lang w:val="en-US" w:eastAsia="zh-CN" w:bidi="ar-SA"/>
        </w:rPr>
      </w:pPr>
      <w:bookmarkStart w:id="127" w:name="_Toc24471"/>
      <w:r>
        <w:rPr>
          <w:rFonts w:hint="eastAsia" w:hAnsi="宋体" w:cs="宋体"/>
          <w:b/>
          <w:bCs/>
          <w:kern w:val="2"/>
          <w:sz w:val="21"/>
          <w:szCs w:val="21"/>
          <w:lang w:val="en-US" w:eastAsia="zh-CN" w:bidi="ar-SA"/>
        </w:rPr>
        <w:t>五</w:t>
      </w:r>
      <w:r>
        <w:rPr>
          <w:rFonts w:hint="eastAsia" w:ascii="宋体" w:hAnsi="宋体" w:eastAsia="宋体" w:cs="宋体"/>
          <w:b/>
          <w:bCs/>
          <w:kern w:val="2"/>
          <w:sz w:val="21"/>
          <w:szCs w:val="21"/>
          <w:lang w:val="en-US" w:eastAsia="zh-CN" w:bidi="ar-SA"/>
        </w:rPr>
        <w:t>、产权担保</w:t>
      </w:r>
      <w:bookmarkEnd w:id="127"/>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pacing w:val="-6"/>
          <w:sz w:val="21"/>
          <w:szCs w:val="21"/>
        </w:rPr>
      </w:pPr>
      <w:r>
        <w:rPr>
          <w:rFonts w:hint="eastAsia" w:ascii="宋体" w:hAnsi="宋体" w:cs="宋体"/>
          <w:spacing w:val="-6"/>
          <w:sz w:val="21"/>
          <w:szCs w:val="21"/>
        </w:rPr>
        <w:t>乙方保证所交付的货物的所有权完全属于乙方且无任何抵押、查封等产权瑕疵。</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cs="宋体"/>
          <w:b/>
          <w:snapToGrid w:val="0"/>
          <w:kern w:val="0"/>
          <w:szCs w:val="21"/>
          <w:highlight w:val="none"/>
        </w:rPr>
      </w:pPr>
      <w:bookmarkStart w:id="128" w:name="_Toc6895"/>
      <w:r>
        <w:rPr>
          <w:rFonts w:hint="eastAsia" w:hAnsi="宋体" w:cs="宋体"/>
          <w:b/>
          <w:snapToGrid w:val="0"/>
          <w:kern w:val="0"/>
          <w:szCs w:val="21"/>
          <w:highlight w:val="none"/>
          <w:lang w:eastAsia="zh-CN"/>
        </w:rPr>
        <w:t>六</w:t>
      </w:r>
      <w:r>
        <w:rPr>
          <w:rFonts w:hint="eastAsia" w:hAnsi="宋体" w:cs="宋体"/>
          <w:b/>
          <w:snapToGrid w:val="0"/>
          <w:kern w:val="0"/>
          <w:szCs w:val="21"/>
          <w:highlight w:val="none"/>
        </w:rPr>
        <w:t>、转包或分包</w:t>
      </w:r>
      <w:bookmarkEnd w:id="128"/>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z w:val="21"/>
          <w:szCs w:val="21"/>
          <w:highlight w:val="none"/>
        </w:rPr>
      </w:pPr>
      <w:r>
        <w:rPr>
          <w:rFonts w:hint="eastAsia" w:ascii="宋体" w:hAnsi="宋体" w:cs="宋体"/>
          <w:sz w:val="21"/>
          <w:szCs w:val="21"/>
          <w:highlight w:val="none"/>
        </w:rPr>
        <w:t>本合同范围的货物，应由乙方直接供应，不得转让他人供应，否则，甲方有权解除合同，并追究乙方的违约责任。</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cs="宋体"/>
          <w:b/>
          <w:snapToGrid w:val="0"/>
          <w:kern w:val="0"/>
          <w:szCs w:val="21"/>
        </w:rPr>
      </w:pPr>
      <w:bookmarkStart w:id="129" w:name="_Toc29533"/>
      <w:r>
        <w:rPr>
          <w:rFonts w:hint="eastAsia" w:hAnsi="宋体" w:cs="宋体"/>
          <w:b/>
          <w:snapToGrid w:val="0"/>
          <w:kern w:val="0"/>
          <w:szCs w:val="21"/>
          <w:lang w:eastAsia="zh-CN"/>
        </w:rPr>
        <w:t>七</w:t>
      </w:r>
      <w:r>
        <w:rPr>
          <w:rFonts w:hint="eastAsia" w:hAnsi="宋体" w:cs="宋体"/>
          <w:b/>
          <w:snapToGrid w:val="0"/>
          <w:kern w:val="0"/>
          <w:szCs w:val="21"/>
        </w:rPr>
        <w:t>、交货期、交货方式及交货地点</w:t>
      </w:r>
      <w:bookmarkEnd w:id="129"/>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z w:val="21"/>
          <w:szCs w:val="21"/>
        </w:rPr>
      </w:pPr>
      <w:r>
        <w:rPr>
          <w:rFonts w:hint="eastAsia" w:ascii="宋体" w:hAnsi="宋体" w:cs="宋体"/>
          <w:sz w:val="21"/>
          <w:szCs w:val="21"/>
        </w:rPr>
        <w:t>1、交货及安装时间：</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hint="default" w:ascii="宋体" w:hAnsi="宋体" w:eastAsia="宋体" w:cs="宋体"/>
          <w:sz w:val="21"/>
          <w:szCs w:val="21"/>
          <w:lang w:val="en-US" w:eastAsia="zh-CN"/>
        </w:rPr>
      </w:pPr>
      <w:r>
        <w:rPr>
          <w:rFonts w:hint="eastAsia" w:ascii="宋体" w:hAnsi="宋体" w:cs="宋体"/>
          <w:sz w:val="21"/>
          <w:szCs w:val="21"/>
        </w:rPr>
        <w:t>2、交货地点：</w:t>
      </w:r>
      <w:r>
        <w:rPr>
          <w:rFonts w:hint="eastAsia" w:ascii="宋体" w:hAnsi="宋体" w:cs="宋体"/>
          <w:sz w:val="21"/>
          <w:szCs w:val="21"/>
          <w:lang w:val="en-US" w:eastAsia="zh-CN"/>
        </w:rPr>
        <w:t xml:space="preserve"> </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cs="宋体"/>
          <w:b/>
          <w:snapToGrid w:val="0"/>
          <w:kern w:val="0"/>
          <w:szCs w:val="21"/>
        </w:rPr>
      </w:pPr>
      <w:bookmarkStart w:id="130" w:name="_Toc27616"/>
      <w:r>
        <w:rPr>
          <w:rFonts w:hint="eastAsia" w:hAnsi="宋体" w:cs="宋体"/>
          <w:b/>
          <w:snapToGrid w:val="0"/>
          <w:kern w:val="0"/>
          <w:szCs w:val="21"/>
          <w:lang w:eastAsia="zh-CN"/>
        </w:rPr>
        <w:t>八</w:t>
      </w:r>
      <w:r>
        <w:rPr>
          <w:rFonts w:hint="eastAsia" w:hAnsi="宋体" w:cs="宋体"/>
          <w:b/>
          <w:snapToGrid w:val="0"/>
          <w:kern w:val="0"/>
          <w:szCs w:val="21"/>
        </w:rPr>
        <w:t>、货款支付</w:t>
      </w:r>
      <w:bookmarkEnd w:id="130"/>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宋体" w:hAnsi="宋体" w:eastAsia="宋体" w:cs="宋体"/>
          <w:sz w:val="30"/>
          <w:szCs w:val="30"/>
          <w:highlight w:val="none"/>
          <w:lang w:val="en-US" w:eastAsia="zh-CN"/>
        </w:rPr>
      </w:pPr>
      <w:r>
        <w:rPr>
          <w:rFonts w:hint="eastAsia" w:ascii="宋体" w:hAnsi="宋体" w:cs="宋体"/>
          <w:sz w:val="21"/>
          <w:szCs w:val="21"/>
          <w:highlight w:val="none"/>
        </w:rPr>
        <w:t>1、合同签订</w:t>
      </w:r>
      <w:r>
        <w:rPr>
          <w:rFonts w:hint="eastAsia" w:ascii="宋体" w:hAnsi="宋体" w:cs="宋体"/>
          <w:sz w:val="21"/>
          <w:szCs w:val="21"/>
          <w:highlight w:val="none"/>
          <w:lang w:val="en-US" w:eastAsia="zh-CN"/>
        </w:rPr>
        <w:t>后7</w:t>
      </w:r>
      <w:r>
        <w:rPr>
          <w:rFonts w:hint="eastAsia" w:ascii="宋体" w:hAnsi="宋体" w:cs="宋体"/>
          <w:sz w:val="21"/>
          <w:szCs w:val="21"/>
          <w:highlight w:val="none"/>
        </w:rPr>
        <w:t>日内需向甲</w:t>
      </w:r>
      <w:r>
        <w:rPr>
          <w:rFonts w:hint="eastAsia" w:ascii="宋体" w:hAnsi="宋体" w:cs="宋体"/>
          <w:sz w:val="21"/>
          <w:szCs w:val="21"/>
          <w:highlight w:val="none"/>
          <w:lang w:val="en-US" w:eastAsia="zh-CN"/>
        </w:rPr>
        <w:t>方</w:t>
      </w:r>
      <w:r>
        <w:rPr>
          <w:rFonts w:hint="eastAsia" w:ascii="宋体" w:hAnsi="宋体" w:cs="宋体"/>
          <w:sz w:val="21"/>
          <w:szCs w:val="21"/>
          <w:highlight w:val="none"/>
        </w:rPr>
        <w:t>缴纳成交金额的</w:t>
      </w:r>
      <w:r>
        <w:rPr>
          <w:rFonts w:hint="eastAsia" w:ascii="宋体" w:hAnsi="宋体" w:cs="宋体"/>
          <w:sz w:val="21"/>
          <w:szCs w:val="21"/>
          <w:highlight w:val="none"/>
          <w:lang w:val="en-US" w:eastAsia="zh-CN"/>
        </w:rPr>
        <w:t>2.5</w:t>
      </w:r>
      <w:r>
        <w:rPr>
          <w:rFonts w:hint="eastAsia" w:ascii="宋体" w:hAnsi="宋体" w:cs="宋体"/>
          <w:sz w:val="21"/>
          <w:szCs w:val="21"/>
          <w:highlight w:val="none"/>
        </w:rPr>
        <w:t>%作为履约保证金</w:t>
      </w:r>
      <w:r>
        <w:rPr>
          <w:rFonts w:hint="eastAsia" w:ascii="宋体" w:hAnsi="宋体" w:cs="宋体"/>
          <w:sz w:val="21"/>
          <w:szCs w:val="21"/>
          <w:lang w:eastAsia="zh-CN"/>
        </w:rPr>
        <w:t>（</w:t>
      </w:r>
      <w:r>
        <w:rPr>
          <w:rFonts w:hint="eastAsia" w:ascii="宋体" w:hAnsi="宋体" w:cs="宋体"/>
          <w:sz w:val="21"/>
          <w:szCs w:val="21"/>
          <w:lang w:val="en-US" w:eastAsia="zh-CN"/>
        </w:rPr>
        <w:t>即</w:t>
      </w:r>
      <w:r>
        <w:rPr>
          <w:rFonts w:hint="eastAsia" w:ascii="宋体" w:hAnsi="宋体" w:cs="宋体"/>
          <w:sz w:val="21"/>
          <w:szCs w:val="21"/>
          <w:u w:val="single"/>
          <w:lang w:val="en-US" w:eastAsia="zh-CN"/>
        </w:rPr>
        <w:t xml:space="preserve">      </w:t>
      </w:r>
      <w:r>
        <w:rPr>
          <w:rFonts w:hint="eastAsia" w:ascii="宋体" w:hAnsi="宋体" w:cs="宋体"/>
          <w:sz w:val="21"/>
          <w:szCs w:val="21"/>
          <w:lang w:val="en-US" w:eastAsia="zh-CN"/>
        </w:rPr>
        <w:t>元</w:t>
      </w:r>
      <w:r>
        <w:rPr>
          <w:rFonts w:hint="eastAsia" w:ascii="宋体" w:hAnsi="宋体" w:cs="宋体"/>
          <w:sz w:val="21"/>
          <w:szCs w:val="21"/>
          <w:lang w:eastAsia="zh-CN"/>
        </w:rPr>
        <w:t>）</w:t>
      </w:r>
      <w:r>
        <w:rPr>
          <w:rFonts w:hint="eastAsia" w:ascii="宋体" w:hAnsi="宋体" w:cs="宋体"/>
          <w:sz w:val="21"/>
          <w:szCs w:val="21"/>
          <w:lang w:val="en-US" w:eastAsia="zh-CN"/>
        </w:rPr>
        <w:t>后</w:t>
      </w:r>
      <w:r>
        <w:rPr>
          <w:rFonts w:hint="eastAsia" w:ascii="宋体" w:hAnsi="宋体" w:cs="宋体"/>
          <w:sz w:val="21"/>
          <w:szCs w:val="21"/>
          <w:highlight w:val="none"/>
        </w:rPr>
        <w:t>，</w:t>
      </w:r>
      <w:r>
        <w:rPr>
          <w:rFonts w:hint="eastAsia" w:ascii="宋体" w:hAnsi="宋体" w:cs="宋体"/>
          <w:sz w:val="21"/>
          <w:szCs w:val="21"/>
          <w:highlight w:val="none"/>
          <w:lang w:val="en-US" w:eastAsia="zh-CN"/>
        </w:rPr>
        <w:t>乙方按照甲方的要求将货物送达指定地点并安装调试完成</w:t>
      </w:r>
      <w:r>
        <w:rPr>
          <w:rFonts w:hint="eastAsia" w:ascii="宋体" w:hAnsi="宋体" w:cs="宋体"/>
          <w:sz w:val="21"/>
          <w:szCs w:val="21"/>
          <w:highlight w:val="none"/>
        </w:rPr>
        <w:t>，</w:t>
      </w:r>
      <w:r>
        <w:rPr>
          <w:rFonts w:hint="eastAsia" w:ascii="宋体" w:hAnsi="宋体" w:cs="宋体"/>
          <w:sz w:val="21"/>
          <w:szCs w:val="21"/>
          <w:highlight w:val="none"/>
          <w:lang w:val="en-US" w:eastAsia="zh-CN"/>
        </w:rPr>
        <w:t>并通过采购组织小组验收合格后，甲方根据乙方所提供的完整的发票和项目验收单在</w:t>
      </w:r>
      <w:r>
        <w:rPr>
          <w:rFonts w:hint="eastAsia" w:ascii="宋体" w:hAnsi="宋体" w:cs="宋体"/>
          <w:sz w:val="21"/>
          <w:szCs w:val="21"/>
          <w:highlight w:val="none"/>
        </w:rPr>
        <w:t>一个月内支付至</w:t>
      </w:r>
      <w:r>
        <w:rPr>
          <w:rFonts w:hint="eastAsia" w:ascii="宋体" w:hAnsi="宋体" w:cs="宋体"/>
          <w:sz w:val="21"/>
          <w:szCs w:val="21"/>
          <w:highlight w:val="none"/>
          <w:lang w:val="en-US" w:eastAsia="zh-CN"/>
        </w:rPr>
        <w:t>合同价款</w:t>
      </w:r>
      <w:r>
        <w:rPr>
          <w:rFonts w:hint="eastAsia" w:ascii="宋体" w:hAnsi="宋体" w:cs="宋体"/>
          <w:sz w:val="21"/>
          <w:szCs w:val="21"/>
          <w:highlight w:val="none"/>
        </w:rPr>
        <w:t>的</w:t>
      </w:r>
      <w:r>
        <w:rPr>
          <w:rFonts w:hint="eastAsia" w:ascii="宋体" w:hAnsi="宋体" w:cs="宋体"/>
          <w:sz w:val="21"/>
          <w:szCs w:val="21"/>
          <w:highlight w:val="none"/>
          <w:lang w:val="en-US" w:eastAsia="zh-CN"/>
        </w:rPr>
        <w:t>97</w:t>
      </w:r>
      <w:r>
        <w:rPr>
          <w:rFonts w:hint="eastAsia" w:ascii="宋体" w:hAnsi="宋体" w:cs="宋体"/>
          <w:sz w:val="21"/>
          <w:szCs w:val="21"/>
          <w:highlight w:val="none"/>
        </w:rPr>
        <w:t>%；</w:t>
      </w:r>
      <w:r>
        <w:rPr>
          <w:rFonts w:hint="eastAsia" w:ascii="宋体" w:hAnsi="宋体" w:cs="宋体"/>
          <w:sz w:val="21"/>
          <w:szCs w:val="21"/>
          <w:highlight w:val="none"/>
          <w:lang w:val="en-US" w:eastAsia="zh-CN"/>
        </w:rPr>
        <w:t>余款3%留作质量保证金的</w:t>
      </w:r>
      <w:r>
        <w:rPr>
          <w:rFonts w:hint="eastAsia" w:ascii="宋体" w:hAnsi="宋体" w:cs="宋体"/>
          <w:sz w:val="21"/>
          <w:szCs w:val="21"/>
          <w:highlight w:val="none"/>
        </w:rPr>
        <w:t>，待质保期满后无息退回。</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ascii="宋体" w:hAnsi="宋体" w:cs="宋体"/>
          <w:sz w:val="21"/>
          <w:szCs w:val="21"/>
          <w:highlight w:val="none"/>
        </w:rPr>
      </w:pPr>
      <w:r>
        <w:rPr>
          <w:rFonts w:hint="eastAsia" w:ascii="宋体" w:hAnsi="宋体" w:cs="宋体"/>
          <w:sz w:val="21"/>
          <w:szCs w:val="21"/>
          <w:highlight w:val="none"/>
        </w:rPr>
        <w:t>2、以上合同款的具体支付时间以审核及支付时间为准。</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ascii="宋体" w:hAnsi="宋体" w:cs="宋体"/>
          <w:sz w:val="21"/>
          <w:szCs w:val="21"/>
        </w:rPr>
      </w:pPr>
      <w:r>
        <w:rPr>
          <w:rFonts w:hint="eastAsia" w:ascii="宋体" w:hAnsi="宋体" w:cs="宋体"/>
          <w:sz w:val="21"/>
          <w:szCs w:val="21"/>
        </w:rPr>
        <w:t>3、当采购数量与实际使用数量不一致时，供应商应根据实际使用量供货，合同的最终结算金额按实际使用量乘以成交单价进行计算。</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ascii="宋体" w:hAnsi="宋体" w:cs="宋体"/>
          <w:b/>
          <w:snapToGrid w:val="0"/>
          <w:kern w:val="0"/>
          <w:sz w:val="21"/>
          <w:szCs w:val="21"/>
        </w:rPr>
      </w:pPr>
      <w:bookmarkStart w:id="131" w:name="_Toc22883"/>
      <w:r>
        <w:rPr>
          <w:rFonts w:hint="eastAsia" w:ascii="宋体" w:hAnsi="宋体" w:cs="宋体"/>
          <w:b/>
          <w:snapToGrid w:val="0"/>
          <w:kern w:val="0"/>
          <w:sz w:val="21"/>
          <w:szCs w:val="21"/>
          <w:lang w:eastAsia="zh-CN"/>
        </w:rPr>
        <w:t>九</w:t>
      </w:r>
      <w:r>
        <w:rPr>
          <w:rFonts w:hint="eastAsia" w:ascii="宋体" w:hAnsi="宋体" w:cs="宋体"/>
          <w:b/>
          <w:snapToGrid w:val="0"/>
          <w:kern w:val="0"/>
          <w:sz w:val="21"/>
          <w:szCs w:val="21"/>
        </w:rPr>
        <w:t>、税费</w:t>
      </w:r>
      <w:bookmarkEnd w:id="131"/>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z w:val="21"/>
          <w:szCs w:val="21"/>
        </w:rPr>
      </w:pPr>
      <w:r>
        <w:rPr>
          <w:rFonts w:hint="eastAsia" w:ascii="宋体" w:hAnsi="宋体" w:cs="宋体"/>
          <w:sz w:val="21"/>
          <w:szCs w:val="21"/>
        </w:rPr>
        <w:t>本合同执行中相关的一切税费均由乙方承担。</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cs="宋体"/>
          <w:snapToGrid w:val="0"/>
          <w:kern w:val="0"/>
          <w:szCs w:val="21"/>
        </w:rPr>
      </w:pPr>
      <w:bookmarkStart w:id="132" w:name="_Toc13928"/>
      <w:r>
        <w:rPr>
          <w:rFonts w:hint="eastAsia" w:hAnsi="宋体" w:cs="宋体"/>
          <w:b/>
          <w:snapToGrid w:val="0"/>
          <w:kern w:val="0"/>
          <w:szCs w:val="21"/>
          <w:lang w:eastAsia="zh-CN"/>
        </w:rPr>
        <w:t>十</w:t>
      </w:r>
      <w:r>
        <w:rPr>
          <w:rFonts w:hint="eastAsia" w:hAnsi="宋体" w:cs="宋体"/>
          <w:b/>
          <w:snapToGrid w:val="0"/>
          <w:kern w:val="0"/>
          <w:szCs w:val="21"/>
        </w:rPr>
        <w:t>、质量保证及售后服务</w:t>
      </w:r>
      <w:bookmarkEnd w:id="132"/>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z w:val="21"/>
          <w:szCs w:val="21"/>
        </w:rPr>
      </w:pPr>
      <w:r>
        <w:rPr>
          <w:rFonts w:hint="eastAsia" w:ascii="宋体" w:hAnsi="宋体" w:cs="宋体"/>
          <w:sz w:val="21"/>
          <w:szCs w:val="21"/>
        </w:rPr>
        <w:t>1、乙方保证本合同中所供应的商品是最新生产的符合国家技术规格和质量标准的出厂原装合格产品。如发生所供商品与合同不符，甲方（使用方）有权拒收或退货，由此产生的一切责任和后果由乙方承担。</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z w:val="21"/>
          <w:szCs w:val="21"/>
        </w:rPr>
      </w:pPr>
      <w:r>
        <w:rPr>
          <w:rFonts w:hint="eastAsia" w:ascii="宋体" w:hAnsi="宋体" w:cs="宋体"/>
          <w:sz w:val="21"/>
          <w:szCs w:val="21"/>
        </w:rPr>
        <w:t>2、乙方</w:t>
      </w:r>
      <w:r>
        <w:rPr>
          <w:rFonts w:hint="eastAsia" w:ascii="宋体" w:hAnsi="宋体" w:eastAsia="宋体" w:cs="宋体"/>
          <w:b w:val="0"/>
          <w:bCs w:val="0"/>
          <w:sz w:val="21"/>
          <w:szCs w:val="21"/>
          <w:lang w:val="en-US" w:eastAsia="zh-CN"/>
        </w:rPr>
        <w:t>需对设备进行终身免费维修和维护，如需更换设备在质保期内负责免费更换（质保期外更换设备应按成本价收取设备费用，不得额外收取其他费用），软件部分需提供一年免费升级服务，如后期采购单位需升级软件，软件升级费用不得高于当期市场合同价格的20%，跨版本升级（如从2012版升至2016版），如需额外收取跨版本费用，每跨一个版本都不得高于当期市场合同价格的5%。设备安装并验收完成后在三年质保期内中标人需对采购单位人员进行免费现场培训、技术指导（如设备使用、技术维护、软件管理应用、竞赛操作等采购单位所需的所有培训，每年不得少于三次，具体时间、内容由采购单位确定），并提供软件文档资料</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乙方</w:t>
      </w:r>
      <w:r>
        <w:rPr>
          <w:rFonts w:hint="eastAsia" w:ascii="宋体" w:hAnsi="宋体" w:cs="宋体"/>
          <w:sz w:val="21"/>
          <w:szCs w:val="21"/>
        </w:rPr>
        <w:t>提供的货物在质保期内因货物本身的质量问题发生故障，乙方应负责免费更换。对达不到技术要求者，根据实际情况，经双方协商，可按以下办法处理：</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z w:val="21"/>
          <w:szCs w:val="21"/>
        </w:rPr>
      </w:pPr>
      <w:r>
        <w:rPr>
          <w:rFonts w:hint="eastAsia" w:ascii="宋体" w:hAnsi="宋体" w:cs="宋体"/>
          <w:sz w:val="21"/>
          <w:szCs w:val="21"/>
        </w:rPr>
        <w:t>⑴更换：由乙方承担所发生的全部费用。</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z w:val="21"/>
          <w:szCs w:val="21"/>
        </w:rPr>
      </w:pPr>
      <w:r>
        <w:rPr>
          <w:rFonts w:hint="eastAsia" w:ascii="宋体" w:hAnsi="宋体" w:cs="宋体"/>
          <w:sz w:val="21"/>
          <w:szCs w:val="21"/>
        </w:rPr>
        <w:t>⑵贬值处理：由甲乙双方合议定价。</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z w:val="21"/>
          <w:szCs w:val="21"/>
        </w:rPr>
      </w:pPr>
      <w:r>
        <w:rPr>
          <w:rFonts w:hint="eastAsia" w:ascii="宋体" w:hAnsi="宋体" w:cs="宋体"/>
          <w:sz w:val="21"/>
          <w:szCs w:val="21"/>
        </w:rPr>
        <w:t>⑶退货处理：乙方应退还甲方支付的合同款，同时应承担该货物的直接费用（运输、保险、检验、货款利息及银行手续费等）。</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cs="宋体"/>
          <w:sz w:val="21"/>
          <w:szCs w:val="21"/>
        </w:rPr>
      </w:pPr>
      <w:r>
        <w:rPr>
          <w:rFonts w:hint="eastAsia" w:ascii="宋体" w:hAnsi="宋体" w:cs="宋体"/>
          <w:sz w:val="21"/>
          <w:szCs w:val="21"/>
        </w:rPr>
        <w:t>3、在质保期内，乙方应对货物出现的质量及安全问题负责处理解决并承担一切费用。</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4、上述的货物在质保期内免费保修，因人为因素出现的故障不在免费保修范围内。超过保修期的机器设备，终生维修，维修时只收部件成本费。</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hint="default" w:ascii="宋体" w:hAnsi="宋体" w:eastAsia="宋体"/>
          <w:sz w:val="21"/>
          <w:szCs w:val="21"/>
          <w:highlight w:val="none"/>
          <w:lang w:val="en-US" w:eastAsia="zh-CN"/>
        </w:rPr>
      </w:pPr>
      <w:r>
        <w:rPr>
          <w:rFonts w:hint="eastAsia" w:ascii="宋体" w:hAnsi="宋体"/>
          <w:sz w:val="21"/>
          <w:szCs w:val="21"/>
        </w:rPr>
        <w:t>5、本项目质保期</w:t>
      </w:r>
      <w:r>
        <w:rPr>
          <w:rFonts w:hint="eastAsia" w:ascii="宋体" w:hAnsi="宋体"/>
          <w:sz w:val="21"/>
          <w:szCs w:val="21"/>
          <w:highlight w:val="none"/>
        </w:rPr>
        <w:t>为</w:t>
      </w:r>
      <w:r>
        <w:rPr>
          <w:rFonts w:hint="eastAsia" w:ascii="宋体" w:hAnsi="宋体"/>
          <w:sz w:val="21"/>
          <w:szCs w:val="21"/>
          <w:highlight w:val="none"/>
          <w:u w:val="single"/>
          <w:lang w:val="en-US" w:eastAsia="zh-CN"/>
        </w:rPr>
        <w:t xml:space="preserve"> 三  </w:t>
      </w:r>
      <w:r>
        <w:rPr>
          <w:rFonts w:hint="eastAsia" w:ascii="宋体" w:hAnsi="宋体"/>
          <w:sz w:val="21"/>
          <w:szCs w:val="21"/>
          <w:highlight w:val="none"/>
        </w:rPr>
        <w:t>年。</w:t>
      </w:r>
      <w:r>
        <w:rPr>
          <w:rFonts w:hint="eastAsia" w:ascii="宋体" w:hAnsi="宋体"/>
          <w:sz w:val="21"/>
          <w:szCs w:val="21"/>
          <w:highlight w:val="none"/>
          <w:lang w:val="en-US" w:eastAsia="zh-CN"/>
        </w:rPr>
        <w:t>软件免费升级一年。</w:t>
      </w:r>
    </w:p>
    <w:p>
      <w:pPr>
        <w:keepNext w:val="0"/>
        <w:keepLines w:val="0"/>
        <w:pageBreakBefore w:val="0"/>
        <w:widowControl w:val="0"/>
        <w:kinsoku/>
        <w:wordWrap/>
        <w:overflowPunct/>
        <w:topLinePunct w:val="0"/>
        <w:autoSpaceDE/>
        <w:autoSpaceDN/>
        <w:bidi w:val="0"/>
        <w:snapToGrid/>
        <w:spacing w:line="400" w:lineRule="exact"/>
        <w:ind w:right="-179" w:rightChars="-64" w:firstLine="420" w:firstLineChars="200"/>
        <w:textAlignment w:val="auto"/>
        <w:rPr>
          <w:rFonts w:ascii="宋体" w:hAnsi="宋体" w:cs="宋体"/>
          <w:sz w:val="21"/>
          <w:szCs w:val="21"/>
        </w:rPr>
      </w:pPr>
      <w:r>
        <w:rPr>
          <w:rFonts w:hint="eastAsia" w:ascii="宋体" w:hAnsi="宋体" w:cs="宋体"/>
          <w:sz w:val="21"/>
          <w:szCs w:val="21"/>
        </w:rPr>
        <w:t>6、提供7×24技术支持热线，</w:t>
      </w:r>
      <w:r>
        <w:rPr>
          <w:rFonts w:hint="eastAsia" w:ascii="宋体" w:hAnsi="宋体" w:cs="宋体"/>
          <w:sz w:val="21"/>
          <w:szCs w:val="21"/>
          <w:u w:val="single"/>
          <w:lang w:val="en-US" w:eastAsia="zh-CN"/>
        </w:rPr>
        <w:t xml:space="preserve">   </w:t>
      </w:r>
      <w:r>
        <w:rPr>
          <w:rFonts w:hint="eastAsia" w:ascii="宋体" w:hAnsi="宋体" w:cs="宋体"/>
          <w:sz w:val="21"/>
          <w:szCs w:val="21"/>
        </w:rPr>
        <w:t>小时电话响应，</w:t>
      </w:r>
      <w:r>
        <w:rPr>
          <w:rFonts w:hint="eastAsia" w:ascii="宋体" w:hAnsi="宋体" w:cs="宋体"/>
          <w:sz w:val="21"/>
          <w:szCs w:val="21"/>
          <w:u w:val="single"/>
          <w:lang w:val="en-US" w:eastAsia="zh-CN"/>
        </w:rPr>
        <w:t xml:space="preserve">   </w:t>
      </w:r>
      <w:r>
        <w:rPr>
          <w:rFonts w:hint="eastAsia" w:ascii="宋体" w:hAnsi="宋体" w:cs="宋体"/>
          <w:sz w:val="21"/>
          <w:szCs w:val="21"/>
        </w:rPr>
        <w:t>小时内解决问题；不能当场修复的，必须采取提供备品、备件或备机等措施，以保证采购单位的正常使用。</w:t>
      </w:r>
    </w:p>
    <w:p>
      <w:pPr>
        <w:keepNext w:val="0"/>
        <w:keepLines w:val="0"/>
        <w:pageBreakBefore w:val="0"/>
        <w:widowControl w:val="0"/>
        <w:kinsoku/>
        <w:wordWrap/>
        <w:overflowPunct/>
        <w:topLinePunct w:val="0"/>
        <w:autoSpaceDE/>
        <w:autoSpaceDN/>
        <w:bidi w:val="0"/>
        <w:snapToGrid/>
        <w:spacing w:line="400" w:lineRule="exact"/>
        <w:ind w:right="-179" w:rightChars="-64" w:firstLine="420" w:firstLineChars="200"/>
        <w:textAlignment w:val="auto"/>
        <w:rPr>
          <w:rFonts w:ascii="宋体" w:hAnsi="宋体" w:cs="宋体"/>
          <w:sz w:val="21"/>
          <w:szCs w:val="21"/>
        </w:rPr>
      </w:pPr>
      <w:r>
        <w:rPr>
          <w:rFonts w:hint="eastAsia" w:ascii="宋体" w:hAnsi="宋体"/>
          <w:sz w:val="21"/>
          <w:szCs w:val="21"/>
        </w:rPr>
        <w:t>7、</w:t>
      </w:r>
      <w:r>
        <w:rPr>
          <w:rFonts w:hint="eastAsia" w:ascii="宋体" w:hAnsi="宋体" w:cs="宋体"/>
          <w:sz w:val="21"/>
          <w:szCs w:val="21"/>
        </w:rPr>
        <w:t>质保期内上门维修，必须出具和填写原厂维修服务单，服务单应包括：用户姓名、联系方式、报修时间、上门时间、完成维修时间、报修设备信息、维修情况等内容，并由用户签字。</w:t>
      </w:r>
    </w:p>
    <w:p>
      <w:pPr>
        <w:pStyle w:val="39"/>
        <w:keepNext w:val="0"/>
        <w:keepLines w:val="0"/>
        <w:pageBreakBefore w:val="0"/>
        <w:widowControl w:val="0"/>
        <w:kinsoku/>
        <w:wordWrap/>
        <w:overflowPunct/>
        <w:topLinePunct w:val="0"/>
        <w:autoSpaceDE/>
        <w:autoSpaceDN/>
        <w:bidi w:val="0"/>
        <w:snapToGrid/>
        <w:spacing w:line="400" w:lineRule="exact"/>
        <w:ind w:firstLine="367" w:firstLineChars="175"/>
        <w:textAlignment w:val="auto"/>
        <w:rPr>
          <w:rFonts w:ascii="宋体" w:hAnsi="宋体" w:cs="宋体"/>
          <w:sz w:val="21"/>
          <w:szCs w:val="21"/>
        </w:rPr>
      </w:pPr>
      <w:r>
        <w:rPr>
          <w:rFonts w:hint="eastAsia" w:ascii="宋体" w:hAnsi="宋体" w:cs="宋体"/>
          <w:sz w:val="21"/>
          <w:szCs w:val="21"/>
        </w:rPr>
        <w:t>8、甲方在乙方出现以下情况之一时，将扣除（部分扣除）质量保证金。</w:t>
      </w:r>
    </w:p>
    <w:p>
      <w:pPr>
        <w:keepNext w:val="0"/>
        <w:keepLines w:val="0"/>
        <w:pageBreakBefore w:val="0"/>
        <w:widowControl w:val="0"/>
        <w:kinsoku/>
        <w:wordWrap/>
        <w:overflowPunct/>
        <w:topLinePunct w:val="0"/>
        <w:autoSpaceDE/>
        <w:autoSpaceDN/>
        <w:bidi w:val="0"/>
        <w:snapToGrid/>
        <w:spacing w:line="400" w:lineRule="exact"/>
        <w:ind w:right="-179" w:rightChars="-64" w:firstLine="420" w:firstLineChars="200"/>
        <w:textAlignment w:val="auto"/>
        <w:rPr>
          <w:rFonts w:ascii="宋体" w:hAnsi="宋体" w:cs="宋体"/>
          <w:sz w:val="21"/>
          <w:szCs w:val="21"/>
          <w:highlight w:val="none"/>
        </w:rPr>
      </w:pPr>
      <w:r>
        <w:rPr>
          <w:rFonts w:hint="eastAsia" w:ascii="宋体" w:hAnsi="宋体"/>
          <w:sz w:val="21"/>
          <w:szCs w:val="21"/>
        </w:rPr>
        <w:t>⑴</w:t>
      </w:r>
      <w:r>
        <w:rPr>
          <w:rFonts w:hint="eastAsia" w:ascii="宋体" w:hAnsi="宋体" w:cs="宋体"/>
          <w:sz w:val="21"/>
          <w:szCs w:val="21"/>
        </w:rPr>
        <w:t>在质保期内，乙方没有提供上门维修的</w:t>
      </w:r>
      <w:r>
        <w:rPr>
          <w:rFonts w:hint="eastAsia" w:ascii="宋体" w:hAnsi="宋体" w:cs="宋体"/>
          <w:sz w:val="21"/>
          <w:szCs w:val="21"/>
          <w:highlight w:val="none"/>
        </w:rPr>
        <w:t>，扣除质量保证金。</w:t>
      </w:r>
    </w:p>
    <w:p>
      <w:pPr>
        <w:keepNext w:val="0"/>
        <w:keepLines w:val="0"/>
        <w:pageBreakBefore w:val="0"/>
        <w:widowControl w:val="0"/>
        <w:kinsoku/>
        <w:wordWrap/>
        <w:overflowPunct/>
        <w:topLinePunct w:val="0"/>
        <w:autoSpaceDE/>
        <w:autoSpaceDN/>
        <w:bidi w:val="0"/>
        <w:snapToGrid/>
        <w:spacing w:line="400" w:lineRule="exact"/>
        <w:ind w:right="-179" w:rightChars="-64" w:firstLine="420" w:firstLineChars="200"/>
        <w:textAlignment w:val="auto"/>
        <w:rPr>
          <w:rFonts w:ascii="宋体" w:hAnsi="宋体" w:cs="宋体"/>
          <w:sz w:val="21"/>
          <w:szCs w:val="21"/>
          <w:highlight w:val="none"/>
        </w:rPr>
      </w:pPr>
      <w:r>
        <w:rPr>
          <w:rFonts w:hint="eastAsia" w:ascii="宋体" w:hAnsi="宋体"/>
          <w:sz w:val="21"/>
          <w:szCs w:val="21"/>
          <w:highlight w:val="none"/>
        </w:rPr>
        <w:t>⑵</w:t>
      </w:r>
      <w:r>
        <w:rPr>
          <w:rFonts w:hint="eastAsia" w:ascii="宋体" w:hAnsi="宋体" w:cs="宋体"/>
          <w:sz w:val="21"/>
          <w:szCs w:val="21"/>
          <w:highlight w:val="none"/>
        </w:rPr>
        <w:t>在质保期内，乙方没有在承诺的售后服务时间内上门服务的，每次扣除</w:t>
      </w:r>
      <w:r>
        <w:rPr>
          <w:rFonts w:hint="eastAsia" w:ascii="宋体" w:hAnsi="宋体" w:cs="宋体"/>
          <w:sz w:val="21"/>
          <w:szCs w:val="21"/>
          <w:highlight w:val="none"/>
          <w:lang w:val="en-US" w:eastAsia="zh-CN"/>
        </w:rPr>
        <w:t>2000元</w:t>
      </w:r>
      <w:r>
        <w:rPr>
          <w:rFonts w:hint="eastAsia" w:ascii="宋体" w:hAnsi="宋体" w:cs="宋体"/>
          <w:sz w:val="21"/>
          <w:szCs w:val="21"/>
          <w:highlight w:val="none"/>
        </w:rPr>
        <w:t>的质量保证金。</w:t>
      </w:r>
    </w:p>
    <w:p>
      <w:pPr>
        <w:keepNext w:val="0"/>
        <w:keepLines w:val="0"/>
        <w:pageBreakBefore w:val="0"/>
        <w:widowControl w:val="0"/>
        <w:kinsoku/>
        <w:wordWrap/>
        <w:overflowPunct/>
        <w:topLinePunct w:val="0"/>
        <w:autoSpaceDE/>
        <w:autoSpaceDN/>
        <w:bidi w:val="0"/>
        <w:snapToGrid/>
        <w:spacing w:line="400" w:lineRule="exact"/>
        <w:ind w:right="-179" w:rightChars="-64" w:firstLine="420" w:firstLineChars="200"/>
        <w:textAlignment w:val="auto"/>
        <w:rPr>
          <w:rFonts w:ascii="宋体" w:hAnsi="宋体" w:cs="宋体"/>
          <w:sz w:val="21"/>
          <w:szCs w:val="21"/>
          <w:highlight w:val="none"/>
        </w:rPr>
      </w:pPr>
      <w:r>
        <w:rPr>
          <w:rFonts w:hint="eastAsia" w:ascii="宋体" w:hAnsi="宋体" w:cs="宋体"/>
          <w:sz w:val="21"/>
          <w:szCs w:val="21"/>
          <w:highlight w:val="none"/>
        </w:rPr>
        <w:t>(3)在质保期内，乙方没有在承诺的售后服务时间内修好设备，又没有提供备品、备件或备机等措施的，每次扣除</w:t>
      </w:r>
      <w:r>
        <w:rPr>
          <w:rFonts w:hint="eastAsia" w:ascii="宋体" w:hAnsi="宋体" w:cs="宋体"/>
          <w:sz w:val="21"/>
          <w:szCs w:val="21"/>
          <w:highlight w:val="none"/>
          <w:lang w:val="en-US" w:eastAsia="zh-CN"/>
        </w:rPr>
        <w:t>2000元</w:t>
      </w:r>
      <w:r>
        <w:rPr>
          <w:rFonts w:hint="eastAsia" w:ascii="宋体" w:hAnsi="宋体" w:cs="宋体"/>
          <w:sz w:val="21"/>
          <w:szCs w:val="21"/>
          <w:highlight w:val="none"/>
        </w:rPr>
        <w:t>的质量保证金。</w:t>
      </w:r>
    </w:p>
    <w:p>
      <w:pPr>
        <w:keepNext w:val="0"/>
        <w:keepLines w:val="0"/>
        <w:pageBreakBefore w:val="0"/>
        <w:widowControl w:val="0"/>
        <w:kinsoku/>
        <w:wordWrap/>
        <w:overflowPunct/>
        <w:topLinePunct w:val="0"/>
        <w:autoSpaceDE/>
        <w:autoSpaceDN/>
        <w:bidi w:val="0"/>
        <w:snapToGrid/>
        <w:spacing w:line="400" w:lineRule="exact"/>
        <w:ind w:right="-179" w:rightChars="-64" w:firstLine="420" w:firstLineChars="200"/>
        <w:textAlignment w:val="auto"/>
        <w:rPr>
          <w:rFonts w:ascii="宋体" w:hAnsi="宋体" w:cs="宋体"/>
          <w:sz w:val="21"/>
          <w:szCs w:val="21"/>
          <w:highlight w:val="none"/>
        </w:rPr>
      </w:pPr>
      <w:r>
        <w:rPr>
          <w:rFonts w:hint="eastAsia" w:ascii="宋体" w:hAnsi="宋体" w:cs="宋体"/>
          <w:sz w:val="21"/>
          <w:szCs w:val="21"/>
          <w:highlight w:val="none"/>
        </w:rPr>
        <w:t>(4)在质保期内，乙方以各种理由乱收费的，按收费额的5倍扣除质量保证金。</w:t>
      </w:r>
    </w:p>
    <w:p>
      <w:pPr>
        <w:pStyle w:val="11"/>
        <w:keepNext w:val="0"/>
        <w:keepLines w:val="0"/>
        <w:pageBreakBefore w:val="0"/>
        <w:widowControl w:val="0"/>
        <w:kinsoku/>
        <w:wordWrap/>
        <w:overflowPunct/>
        <w:topLinePunct w:val="0"/>
        <w:autoSpaceDE/>
        <w:autoSpaceDN/>
        <w:bidi w:val="0"/>
        <w:adjustRightInd w:val="0"/>
        <w:snapToGrid/>
        <w:spacing w:line="400" w:lineRule="exact"/>
        <w:textAlignment w:val="auto"/>
        <w:outlineLvl w:val="1"/>
        <w:rPr>
          <w:rFonts w:hAnsi="宋体"/>
          <w:b/>
          <w:snapToGrid w:val="0"/>
          <w:kern w:val="0"/>
          <w:szCs w:val="21"/>
          <w:highlight w:val="none"/>
        </w:rPr>
      </w:pPr>
      <w:bookmarkStart w:id="133" w:name="_Toc28314"/>
      <w:r>
        <w:rPr>
          <w:rFonts w:hint="eastAsia" w:hAnsi="宋体"/>
          <w:b/>
          <w:snapToGrid w:val="0"/>
          <w:kern w:val="0"/>
          <w:szCs w:val="21"/>
          <w:highlight w:val="none"/>
        </w:rPr>
        <w:t>十</w:t>
      </w:r>
      <w:r>
        <w:rPr>
          <w:rFonts w:hint="eastAsia" w:hAnsi="宋体"/>
          <w:b/>
          <w:snapToGrid w:val="0"/>
          <w:kern w:val="0"/>
          <w:szCs w:val="21"/>
          <w:highlight w:val="none"/>
          <w:lang w:eastAsia="zh-CN"/>
        </w:rPr>
        <w:t>一</w:t>
      </w:r>
      <w:r>
        <w:rPr>
          <w:rFonts w:hint="eastAsia" w:hAnsi="宋体"/>
          <w:b/>
          <w:snapToGrid w:val="0"/>
          <w:kern w:val="0"/>
          <w:szCs w:val="21"/>
          <w:highlight w:val="none"/>
          <w:lang w:val="en-US" w:eastAsia="zh-CN"/>
        </w:rPr>
        <w:t xml:space="preserve"> </w:t>
      </w:r>
      <w:r>
        <w:rPr>
          <w:rFonts w:hint="eastAsia" w:hAnsi="宋体"/>
          <w:b/>
          <w:snapToGrid w:val="0"/>
          <w:kern w:val="0"/>
          <w:szCs w:val="21"/>
          <w:highlight w:val="none"/>
        </w:rPr>
        <w:t>、调试和验收</w:t>
      </w:r>
      <w:bookmarkEnd w:id="133"/>
    </w:p>
    <w:p>
      <w:pPr>
        <w:keepNext w:val="0"/>
        <w:keepLines w:val="0"/>
        <w:pageBreakBefore w:val="0"/>
        <w:widowControl w:val="0"/>
        <w:kinsoku/>
        <w:wordWrap/>
        <w:overflowPunct/>
        <w:topLinePunct w:val="0"/>
        <w:autoSpaceDE/>
        <w:autoSpaceDN/>
        <w:bidi w:val="0"/>
        <w:adjustRightInd w:val="0"/>
        <w:snapToGrid/>
        <w:spacing w:line="400" w:lineRule="exact"/>
        <w:ind w:firstLine="435"/>
        <w:textAlignment w:val="auto"/>
        <w:rPr>
          <w:rFonts w:hAnsi="宋体"/>
          <w:snapToGrid w:val="0"/>
          <w:kern w:val="0"/>
          <w:sz w:val="21"/>
          <w:szCs w:val="21"/>
        </w:rPr>
      </w:pPr>
      <w:r>
        <w:rPr>
          <w:rFonts w:hint="eastAsia" w:ascii="宋体" w:hAnsi="宋体"/>
          <w:sz w:val="21"/>
          <w:szCs w:val="21"/>
        </w:rPr>
        <w:t>1、甲方对乙方提交的货物依据</w:t>
      </w:r>
      <w:r>
        <w:rPr>
          <w:rFonts w:hint="eastAsia" w:ascii="宋体" w:hAnsi="宋体"/>
          <w:sz w:val="21"/>
          <w:szCs w:val="21"/>
          <w:lang w:eastAsia="zh-CN"/>
        </w:rPr>
        <w:t>采购</w:t>
      </w:r>
      <w:r>
        <w:rPr>
          <w:rFonts w:hint="eastAsia" w:ascii="宋体" w:hAnsi="宋体"/>
          <w:sz w:val="21"/>
          <w:szCs w:val="21"/>
        </w:rPr>
        <w:t>文件上的技术规格要求和国家有关质量标准进行现场验收。货到后，甲方需在五个工作日内验收。</w:t>
      </w:r>
    </w:p>
    <w:p>
      <w:pPr>
        <w:pStyle w:val="11"/>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Ansi="宋体"/>
          <w:szCs w:val="21"/>
        </w:rPr>
      </w:pPr>
      <w:r>
        <w:rPr>
          <w:rFonts w:hint="eastAsia" w:hAnsi="宋体"/>
          <w:szCs w:val="21"/>
        </w:rPr>
        <w:t>2、乙方交货前应对产品作出全面检查和对验收文件进行整理，并列出清单，作为甲方收货验收和使用的技术条件依据，检验的结果应随货物交甲方。</w:t>
      </w:r>
    </w:p>
    <w:p>
      <w:pPr>
        <w:keepNext w:val="0"/>
        <w:keepLines w:val="0"/>
        <w:pageBreakBefore w:val="0"/>
        <w:widowControl w:val="0"/>
        <w:kinsoku/>
        <w:wordWrap/>
        <w:overflowPunct/>
        <w:topLinePunct w:val="0"/>
        <w:autoSpaceDE/>
        <w:autoSpaceDN/>
        <w:bidi w:val="0"/>
        <w:adjustRightInd w:val="0"/>
        <w:snapToGrid/>
        <w:spacing w:line="400" w:lineRule="exact"/>
        <w:ind w:firstLine="435"/>
        <w:textAlignment w:val="auto"/>
        <w:rPr>
          <w:rFonts w:ascii="宋体" w:hAnsi="宋体"/>
          <w:sz w:val="21"/>
          <w:szCs w:val="21"/>
        </w:rPr>
      </w:pPr>
      <w:r>
        <w:rPr>
          <w:rFonts w:hint="eastAsia" w:ascii="宋体" w:hAnsi="宋体"/>
          <w:sz w:val="21"/>
          <w:szCs w:val="21"/>
        </w:rPr>
        <w:t>3、甲方对乙方提供的货物在使用前进行调试时，乙方需负责安装并培训甲方的使用操作人员，并协助甲方一起调试，直到符合技术要求，甲方才做最终验收。</w:t>
      </w:r>
    </w:p>
    <w:p>
      <w:pPr>
        <w:keepNext w:val="0"/>
        <w:keepLines w:val="0"/>
        <w:pageBreakBefore w:val="0"/>
        <w:widowControl w:val="0"/>
        <w:kinsoku/>
        <w:wordWrap/>
        <w:overflowPunct/>
        <w:topLinePunct w:val="0"/>
        <w:autoSpaceDE/>
        <w:autoSpaceDN/>
        <w:bidi w:val="0"/>
        <w:adjustRightInd w:val="0"/>
        <w:snapToGrid/>
        <w:spacing w:line="400" w:lineRule="exact"/>
        <w:ind w:firstLine="435"/>
        <w:textAlignment w:val="auto"/>
        <w:rPr>
          <w:rFonts w:ascii="宋体" w:hAnsi="宋体"/>
          <w:sz w:val="21"/>
          <w:szCs w:val="21"/>
        </w:rPr>
      </w:pPr>
      <w:r>
        <w:rPr>
          <w:rFonts w:hint="eastAsia" w:ascii="宋体" w:hAnsi="宋体"/>
          <w:sz w:val="21"/>
          <w:szCs w:val="21"/>
        </w:rPr>
        <w:t>4、对技术复杂的货物，甲方应请国家认可的专业检测机构参与验收，并由其出具质量检测报告。</w:t>
      </w:r>
    </w:p>
    <w:p>
      <w:pPr>
        <w:keepNext w:val="0"/>
        <w:keepLines w:val="0"/>
        <w:pageBreakBefore w:val="0"/>
        <w:widowControl w:val="0"/>
        <w:kinsoku/>
        <w:wordWrap/>
        <w:overflowPunct/>
        <w:topLinePunct w:val="0"/>
        <w:autoSpaceDE/>
        <w:autoSpaceDN/>
        <w:bidi w:val="0"/>
        <w:adjustRightInd w:val="0"/>
        <w:snapToGrid/>
        <w:spacing w:line="400" w:lineRule="exact"/>
        <w:ind w:firstLine="435"/>
        <w:textAlignment w:val="auto"/>
        <w:rPr>
          <w:rFonts w:ascii="宋体" w:hAnsi="宋体"/>
          <w:sz w:val="21"/>
          <w:szCs w:val="21"/>
        </w:rPr>
      </w:pPr>
      <w:r>
        <w:rPr>
          <w:rFonts w:hint="eastAsia" w:ascii="宋体" w:hAnsi="宋体"/>
          <w:sz w:val="21"/>
          <w:szCs w:val="21"/>
        </w:rPr>
        <w:t>5、验收时乙方必须在现场，验收完毕后作出验收结果报告，验收费用由乙方负责。</w:t>
      </w:r>
    </w:p>
    <w:p>
      <w:pPr>
        <w:pStyle w:val="11"/>
        <w:keepNext w:val="0"/>
        <w:keepLines w:val="0"/>
        <w:pageBreakBefore w:val="0"/>
        <w:widowControl w:val="0"/>
        <w:kinsoku/>
        <w:wordWrap/>
        <w:overflowPunct/>
        <w:topLinePunct w:val="0"/>
        <w:autoSpaceDE/>
        <w:autoSpaceDN/>
        <w:bidi w:val="0"/>
        <w:adjustRightInd w:val="0"/>
        <w:snapToGrid/>
        <w:spacing w:line="400" w:lineRule="exact"/>
        <w:textAlignment w:val="auto"/>
        <w:outlineLvl w:val="1"/>
        <w:rPr>
          <w:rFonts w:hAnsi="宋体"/>
          <w:b/>
          <w:snapToGrid w:val="0"/>
          <w:kern w:val="0"/>
          <w:szCs w:val="21"/>
        </w:rPr>
      </w:pPr>
      <w:bookmarkStart w:id="134" w:name="_Toc22638"/>
      <w:r>
        <w:rPr>
          <w:rFonts w:hint="eastAsia" w:hAnsi="宋体"/>
          <w:b/>
          <w:snapToGrid w:val="0"/>
          <w:kern w:val="0"/>
          <w:szCs w:val="21"/>
        </w:rPr>
        <w:t>十</w:t>
      </w:r>
      <w:r>
        <w:rPr>
          <w:rFonts w:hint="eastAsia" w:hAnsi="宋体"/>
          <w:b/>
          <w:snapToGrid w:val="0"/>
          <w:kern w:val="0"/>
          <w:szCs w:val="21"/>
          <w:lang w:eastAsia="zh-CN"/>
        </w:rPr>
        <w:t>二</w:t>
      </w:r>
      <w:r>
        <w:rPr>
          <w:rFonts w:hint="eastAsia" w:hAnsi="宋体"/>
          <w:b/>
          <w:snapToGrid w:val="0"/>
          <w:kern w:val="0"/>
          <w:szCs w:val="21"/>
        </w:rPr>
        <w:t>、货物包装</w:t>
      </w:r>
      <w:bookmarkEnd w:id="134"/>
    </w:p>
    <w:p>
      <w:pPr>
        <w:keepNext w:val="0"/>
        <w:keepLines w:val="0"/>
        <w:pageBreakBefore w:val="0"/>
        <w:widowControl w:val="0"/>
        <w:kinsoku/>
        <w:wordWrap/>
        <w:overflowPunct/>
        <w:topLinePunct w:val="0"/>
        <w:autoSpaceDE/>
        <w:autoSpaceDN/>
        <w:bidi w:val="0"/>
        <w:adjustRightInd w:val="0"/>
        <w:snapToGrid/>
        <w:spacing w:line="400" w:lineRule="exact"/>
        <w:ind w:firstLine="435"/>
        <w:textAlignment w:val="auto"/>
        <w:rPr>
          <w:rFonts w:ascii="宋体" w:hAnsi="宋体"/>
          <w:sz w:val="21"/>
          <w:szCs w:val="21"/>
        </w:rPr>
      </w:pPr>
      <w:r>
        <w:rPr>
          <w:rFonts w:hint="eastAsia" w:ascii="宋体" w:hAnsi="宋体"/>
          <w:sz w:val="21"/>
          <w:szCs w:val="21"/>
        </w:rPr>
        <w:t>1、乙方应在货物发运前对其进行满足运输距离、防潮、防震、防锈和防破损装卸等要求包装，以保证货物安全运达甲方指定地点。</w:t>
      </w:r>
    </w:p>
    <w:p>
      <w:pPr>
        <w:keepNext w:val="0"/>
        <w:keepLines w:val="0"/>
        <w:pageBreakBefore w:val="0"/>
        <w:widowControl w:val="0"/>
        <w:kinsoku/>
        <w:wordWrap/>
        <w:overflowPunct/>
        <w:topLinePunct w:val="0"/>
        <w:autoSpaceDE/>
        <w:autoSpaceDN/>
        <w:bidi w:val="0"/>
        <w:adjustRightInd w:val="0"/>
        <w:snapToGrid/>
        <w:spacing w:line="400" w:lineRule="exact"/>
        <w:ind w:firstLine="435"/>
        <w:textAlignment w:val="auto"/>
        <w:rPr>
          <w:rFonts w:ascii="宋体" w:hAnsi="宋体"/>
          <w:sz w:val="21"/>
          <w:szCs w:val="21"/>
        </w:rPr>
      </w:pPr>
      <w:r>
        <w:rPr>
          <w:rFonts w:hint="eastAsia" w:ascii="宋体" w:hAnsi="宋体"/>
          <w:sz w:val="21"/>
          <w:szCs w:val="21"/>
        </w:rPr>
        <w:t>2、使用说明书、质量检验证明书、随配附件和工具以及清单一并附于货物内。</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b/>
          <w:snapToGrid w:val="0"/>
          <w:kern w:val="0"/>
          <w:szCs w:val="21"/>
        </w:rPr>
      </w:pPr>
      <w:bookmarkStart w:id="135" w:name="_Toc9000"/>
      <w:r>
        <w:rPr>
          <w:rFonts w:hint="eastAsia" w:hAnsi="宋体"/>
          <w:b/>
          <w:snapToGrid w:val="0"/>
          <w:kern w:val="0"/>
          <w:szCs w:val="21"/>
        </w:rPr>
        <w:t>十</w:t>
      </w:r>
      <w:r>
        <w:rPr>
          <w:rFonts w:hint="eastAsia" w:hAnsi="宋体"/>
          <w:b/>
          <w:snapToGrid w:val="0"/>
          <w:kern w:val="0"/>
          <w:szCs w:val="21"/>
          <w:lang w:eastAsia="zh-CN"/>
        </w:rPr>
        <w:t>三</w:t>
      </w:r>
      <w:r>
        <w:rPr>
          <w:rFonts w:hint="eastAsia" w:hAnsi="宋体"/>
          <w:b/>
          <w:snapToGrid w:val="0"/>
          <w:kern w:val="0"/>
          <w:szCs w:val="21"/>
        </w:rPr>
        <w:t>、违约责任</w:t>
      </w:r>
      <w:bookmarkEnd w:id="135"/>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1、甲方无正当理由拒收货物的，甲方向乙方偿付拒收货款总值的百分之五违约金。</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2、甲方无故逾期验收和办理货款支付手续的,甲方应按逾期付款总额每日万分之五向乙方支付违约金。</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 xml:space="preserve">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4、乙方所交的货物品种、型号、规格、技术参数、质量不符合合同规定及</w:t>
      </w:r>
      <w:r>
        <w:rPr>
          <w:rFonts w:hint="eastAsia" w:ascii="宋体" w:hAnsi="宋体"/>
          <w:sz w:val="21"/>
          <w:szCs w:val="21"/>
          <w:lang w:eastAsia="zh-CN"/>
        </w:rPr>
        <w:t>采购</w:t>
      </w:r>
      <w:r>
        <w:rPr>
          <w:rFonts w:hint="eastAsia" w:ascii="宋体" w:hAnsi="宋体"/>
          <w:sz w:val="21"/>
          <w:szCs w:val="21"/>
        </w:rPr>
        <w:t>文件规定标准的，甲方有权拒收该货物，乙方愿意更换货物但逾期交货的，按乙方逾期交货处理。乙方拒绝更换货物的，甲方可单方面解除合同。</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b/>
          <w:snapToGrid w:val="0"/>
          <w:kern w:val="0"/>
          <w:szCs w:val="21"/>
        </w:rPr>
      </w:pPr>
      <w:bookmarkStart w:id="136" w:name="_Toc11274"/>
      <w:r>
        <w:rPr>
          <w:rFonts w:hint="eastAsia" w:hAnsi="宋体"/>
          <w:b/>
          <w:snapToGrid w:val="0"/>
          <w:kern w:val="0"/>
          <w:szCs w:val="21"/>
        </w:rPr>
        <w:t>十</w:t>
      </w:r>
      <w:r>
        <w:rPr>
          <w:rFonts w:hint="eastAsia" w:hAnsi="宋体"/>
          <w:b/>
          <w:snapToGrid w:val="0"/>
          <w:kern w:val="0"/>
          <w:szCs w:val="21"/>
          <w:lang w:eastAsia="zh-CN"/>
        </w:rPr>
        <w:t>四</w:t>
      </w:r>
      <w:r>
        <w:rPr>
          <w:rFonts w:hint="eastAsia" w:hAnsi="宋体"/>
          <w:b/>
          <w:snapToGrid w:val="0"/>
          <w:kern w:val="0"/>
          <w:szCs w:val="21"/>
        </w:rPr>
        <w:t>、不可抗力事件处理</w:t>
      </w:r>
      <w:bookmarkEnd w:id="136"/>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1、在合同有效期内，任何一方因不可抗力事件导致不能履行合同，则合同履行期可延长，其延长期与不可抗力影响期相同。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2、不可抗力事件发生后，应立即通知对方，并寄送有关权威机构出具的证明。</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b/>
          <w:snapToGrid w:val="0"/>
          <w:kern w:val="0"/>
          <w:szCs w:val="21"/>
        </w:rPr>
      </w:pPr>
      <w:bookmarkStart w:id="137" w:name="_Toc4383"/>
      <w:r>
        <w:rPr>
          <w:rFonts w:hint="eastAsia" w:hAnsi="宋体"/>
          <w:b/>
          <w:snapToGrid w:val="0"/>
          <w:kern w:val="0"/>
          <w:szCs w:val="21"/>
        </w:rPr>
        <w:t>十</w:t>
      </w:r>
      <w:r>
        <w:rPr>
          <w:rFonts w:hint="eastAsia" w:hAnsi="宋体"/>
          <w:b/>
          <w:snapToGrid w:val="0"/>
          <w:kern w:val="0"/>
          <w:szCs w:val="21"/>
          <w:lang w:eastAsia="zh-CN"/>
        </w:rPr>
        <w:t>五</w:t>
      </w:r>
      <w:r>
        <w:rPr>
          <w:rFonts w:hint="eastAsia" w:hAnsi="宋体"/>
          <w:b/>
          <w:snapToGrid w:val="0"/>
          <w:kern w:val="0"/>
          <w:szCs w:val="21"/>
        </w:rPr>
        <w:t>、诉讼</w:t>
      </w:r>
      <w:bookmarkEnd w:id="137"/>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双方在执行合同中所发生的一切争议，应通过协商解决。如协商不成，可向甲方所在地法院起诉。</w:t>
      </w:r>
    </w:p>
    <w:p>
      <w:pPr>
        <w:pStyle w:val="11"/>
        <w:keepNext w:val="0"/>
        <w:keepLines w:val="0"/>
        <w:pageBreakBefore w:val="0"/>
        <w:widowControl w:val="0"/>
        <w:kinsoku/>
        <w:wordWrap/>
        <w:overflowPunct/>
        <w:topLinePunct w:val="0"/>
        <w:autoSpaceDE/>
        <w:autoSpaceDN/>
        <w:bidi w:val="0"/>
        <w:adjustRightInd w:val="0"/>
        <w:snapToGrid/>
        <w:spacing w:line="400" w:lineRule="exact"/>
        <w:jc w:val="left"/>
        <w:textAlignment w:val="auto"/>
        <w:outlineLvl w:val="1"/>
        <w:rPr>
          <w:rFonts w:hAnsi="宋体"/>
          <w:b/>
          <w:snapToGrid w:val="0"/>
          <w:kern w:val="0"/>
          <w:szCs w:val="21"/>
        </w:rPr>
      </w:pPr>
      <w:bookmarkStart w:id="138" w:name="_Toc29154"/>
      <w:r>
        <w:rPr>
          <w:rFonts w:hint="eastAsia" w:hAnsi="宋体"/>
          <w:b/>
          <w:snapToGrid w:val="0"/>
          <w:kern w:val="0"/>
          <w:szCs w:val="21"/>
        </w:rPr>
        <w:t>十</w:t>
      </w:r>
      <w:r>
        <w:rPr>
          <w:rFonts w:hint="eastAsia" w:hAnsi="宋体"/>
          <w:b/>
          <w:snapToGrid w:val="0"/>
          <w:kern w:val="0"/>
          <w:szCs w:val="21"/>
          <w:lang w:eastAsia="zh-CN"/>
        </w:rPr>
        <w:t>六</w:t>
      </w:r>
      <w:r>
        <w:rPr>
          <w:rFonts w:hint="eastAsia" w:hAnsi="宋体"/>
          <w:b/>
          <w:snapToGrid w:val="0"/>
          <w:kern w:val="0"/>
          <w:szCs w:val="21"/>
        </w:rPr>
        <w:t>、合同生效及其它</w:t>
      </w:r>
      <w:bookmarkEnd w:id="138"/>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1、合同经甲、乙双方签字并加盖单位公章后生效。</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2、合同执行中涉及采购资金和采购内容修改或补充的，须签书面补充协议，方可作为主合同不可分割的一部分。</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highlight w:val="none"/>
        </w:rPr>
      </w:pPr>
      <w:r>
        <w:rPr>
          <w:rFonts w:hint="eastAsia" w:ascii="宋体" w:hAnsi="宋体"/>
          <w:sz w:val="21"/>
          <w:szCs w:val="21"/>
          <w:highlight w:val="none"/>
        </w:rPr>
        <w:t>3、</w:t>
      </w:r>
      <w:r>
        <w:rPr>
          <w:rFonts w:hint="eastAsia" w:ascii="宋体" w:hAnsi="宋体"/>
          <w:sz w:val="21"/>
          <w:szCs w:val="21"/>
          <w:highlight w:val="none"/>
          <w:lang w:eastAsia="zh-CN"/>
        </w:rPr>
        <w:t>采购文件</w:t>
      </w:r>
      <w:r>
        <w:rPr>
          <w:rFonts w:hint="eastAsia" w:ascii="宋体" w:hAnsi="宋体"/>
          <w:sz w:val="21"/>
          <w:szCs w:val="21"/>
          <w:highlight w:val="none"/>
        </w:rPr>
        <w:t>、</w:t>
      </w:r>
      <w:r>
        <w:rPr>
          <w:rFonts w:hint="eastAsia" w:ascii="宋体" w:hAnsi="宋体"/>
          <w:sz w:val="21"/>
          <w:szCs w:val="21"/>
          <w:highlight w:val="none"/>
          <w:lang w:eastAsia="zh-CN"/>
        </w:rPr>
        <w:t>采购</w:t>
      </w:r>
      <w:r>
        <w:rPr>
          <w:rFonts w:hint="eastAsia" w:ascii="宋体" w:hAnsi="宋体"/>
          <w:sz w:val="21"/>
          <w:szCs w:val="21"/>
          <w:highlight w:val="none"/>
        </w:rPr>
        <w:t>响应文件与本合同具有同等法律效力。</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4、本合同未尽事宜，遵照《合同法》有关条文执行。</w:t>
      </w:r>
    </w:p>
    <w:p>
      <w:pPr>
        <w:keepNext w:val="0"/>
        <w:keepLines w:val="0"/>
        <w:pageBreakBefore w:val="0"/>
        <w:widowControl w:val="0"/>
        <w:kinsoku/>
        <w:wordWrap/>
        <w:overflowPunct/>
        <w:topLinePunct w:val="0"/>
        <w:autoSpaceDE/>
        <w:autoSpaceDN/>
        <w:bidi w:val="0"/>
        <w:adjustRightInd w:val="0"/>
        <w:snapToGrid/>
        <w:spacing w:line="400" w:lineRule="exact"/>
        <w:ind w:firstLine="435"/>
        <w:jc w:val="left"/>
        <w:textAlignment w:val="auto"/>
        <w:rPr>
          <w:rFonts w:ascii="宋体" w:hAnsi="宋体"/>
          <w:sz w:val="21"/>
          <w:szCs w:val="21"/>
        </w:rPr>
      </w:pPr>
      <w:r>
        <w:rPr>
          <w:rFonts w:hint="eastAsia" w:ascii="宋体" w:hAnsi="宋体"/>
          <w:sz w:val="21"/>
          <w:szCs w:val="21"/>
        </w:rPr>
        <w:t>5、本合同一式陆份，具有同等法律效力，甲、乙方各执三份。</w:t>
      </w:r>
    </w:p>
    <w:p>
      <w:pPr>
        <w:pStyle w:val="39"/>
        <w:keepNext w:val="0"/>
        <w:keepLines w:val="0"/>
        <w:pageBreakBefore w:val="0"/>
        <w:kinsoku/>
        <w:wordWrap/>
        <w:overflowPunct/>
        <w:topLinePunct w:val="0"/>
        <w:autoSpaceDE/>
        <w:autoSpaceDN/>
        <w:bidi w:val="0"/>
        <w:spacing w:line="400" w:lineRule="exact"/>
        <w:rPr>
          <w:rFonts w:ascii="宋体" w:hAnsi="宋体"/>
          <w:b/>
          <w:sz w:val="21"/>
          <w:szCs w:val="21"/>
        </w:rPr>
      </w:pPr>
    </w:p>
    <w:p>
      <w:pPr>
        <w:pStyle w:val="11"/>
        <w:keepNext w:val="0"/>
        <w:keepLines w:val="0"/>
        <w:pageBreakBefore w:val="0"/>
        <w:kinsoku/>
        <w:wordWrap/>
        <w:overflowPunct/>
        <w:topLinePunct w:val="0"/>
        <w:autoSpaceDE/>
        <w:autoSpaceDN/>
        <w:bidi w:val="0"/>
        <w:adjustRightInd w:val="0"/>
        <w:spacing w:line="400" w:lineRule="exact"/>
        <w:jc w:val="left"/>
        <w:rPr>
          <w:rFonts w:hAnsi="宋体"/>
          <w:snapToGrid w:val="0"/>
          <w:kern w:val="0"/>
          <w:szCs w:val="21"/>
        </w:rPr>
      </w:pPr>
      <w:r>
        <w:rPr>
          <w:rFonts w:hint="eastAsia" w:hAnsi="宋体"/>
          <w:snapToGrid w:val="0"/>
          <w:kern w:val="0"/>
          <w:szCs w:val="21"/>
        </w:rPr>
        <w:t xml:space="preserve">甲方（盖章）：                          乙方（盖章）： </w:t>
      </w:r>
    </w:p>
    <w:p>
      <w:pPr>
        <w:pStyle w:val="11"/>
        <w:keepNext w:val="0"/>
        <w:keepLines w:val="0"/>
        <w:pageBreakBefore w:val="0"/>
        <w:kinsoku/>
        <w:wordWrap/>
        <w:overflowPunct/>
        <w:topLinePunct w:val="0"/>
        <w:autoSpaceDE/>
        <w:autoSpaceDN/>
        <w:bidi w:val="0"/>
        <w:adjustRightInd w:val="0"/>
        <w:spacing w:line="400" w:lineRule="exact"/>
        <w:jc w:val="left"/>
        <w:rPr>
          <w:rFonts w:hAnsi="宋体"/>
          <w:snapToGrid w:val="0"/>
          <w:kern w:val="0"/>
          <w:szCs w:val="21"/>
        </w:rPr>
      </w:pPr>
      <w:r>
        <w:rPr>
          <w:rFonts w:hint="eastAsia" w:hAnsi="宋体"/>
          <w:snapToGrid w:val="0"/>
          <w:kern w:val="0"/>
          <w:szCs w:val="21"/>
        </w:rPr>
        <w:t>地址：                                  地址：</w:t>
      </w:r>
    </w:p>
    <w:p>
      <w:pPr>
        <w:pStyle w:val="11"/>
        <w:keepNext w:val="0"/>
        <w:keepLines w:val="0"/>
        <w:pageBreakBefore w:val="0"/>
        <w:kinsoku/>
        <w:wordWrap/>
        <w:overflowPunct/>
        <w:topLinePunct w:val="0"/>
        <w:autoSpaceDE/>
        <w:autoSpaceDN/>
        <w:bidi w:val="0"/>
        <w:adjustRightInd w:val="0"/>
        <w:spacing w:line="400" w:lineRule="exact"/>
        <w:jc w:val="left"/>
        <w:rPr>
          <w:rFonts w:hAnsi="宋体"/>
          <w:snapToGrid w:val="0"/>
          <w:kern w:val="0"/>
          <w:szCs w:val="21"/>
        </w:rPr>
      </w:pPr>
      <w:r>
        <w:rPr>
          <w:rFonts w:hint="eastAsia" w:hAnsi="宋体"/>
          <w:snapToGrid w:val="0"/>
          <w:kern w:val="0"/>
          <w:szCs w:val="21"/>
        </w:rPr>
        <w:t>法定（授权）代表人：                    法定（授权）代表人：</w:t>
      </w:r>
    </w:p>
    <w:p>
      <w:pPr>
        <w:pStyle w:val="11"/>
        <w:keepNext w:val="0"/>
        <w:keepLines w:val="0"/>
        <w:pageBreakBefore w:val="0"/>
        <w:kinsoku/>
        <w:wordWrap/>
        <w:overflowPunct/>
        <w:topLinePunct w:val="0"/>
        <w:autoSpaceDE/>
        <w:autoSpaceDN/>
        <w:bidi w:val="0"/>
        <w:adjustRightInd w:val="0"/>
        <w:spacing w:line="400" w:lineRule="exact"/>
        <w:jc w:val="left"/>
        <w:rPr>
          <w:rFonts w:hAnsi="宋体"/>
          <w:snapToGrid w:val="0"/>
          <w:kern w:val="0"/>
          <w:szCs w:val="21"/>
        </w:rPr>
      </w:pPr>
      <w:r>
        <w:rPr>
          <w:rFonts w:hint="eastAsia" w:hAnsi="宋体"/>
          <w:snapToGrid w:val="0"/>
          <w:kern w:val="0"/>
          <w:szCs w:val="21"/>
        </w:rPr>
        <w:t xml:space="preserve">联系电话：                              联系电话：         </w:t>
      </w:r>
    </w:p>
    <w:p>
      <w:pPr>
        <w:pStyle w:val="11"/>
        <w:keepNext w:val="0"/>
        <w:keepLines w:val="0"/>
        <w:pageBreakBefore w:val="0"/>
        <w:kinsoku/>
        <w:wordWrap/>
        <w:overflowPunct/>
        <w:topLinePunct w:val="0"/>
        <w:autoSpaceDE/>
        <w:autoSpaceDN/>
        <w:bidi w:val="0"/>
        <w:adjustRightInd w:val="0"/>
        <w:spacing w:line="400" w:lineRule="exact"/>
        <w:jc w:val="left"/>
        <w:rPr>
          <w:rFonts w:hAnsi="宋体"/>
          <w:snapToGrid w:val="0"/>
          <w:kern w:val="0"/>
          <w:szCs w:val="21"/>
        </w:rPr>
      </w:pPr>
      <w:r>
        <w:rPr>
          <w:rFonts w:hint="eastAsia" w:hAnsi="宋体"/>
          <w:snapToGrid w:val="0"/>
          <w:kern w:val="0"/>
          <w:szCs w:val="21"/>
        </w:rPr>
        <w:t xml:space="preserve">                                        开户银行及账号：</w:t>
      </w:r>
    </w:p>
    <w:p>
      <w:pPr>
        <w:pStyle w:val="11"/>
        <w:keepNext w:val="0"/>
        <w:keepLines w:val="0"/>
        <w:pageBreakBefore w:val="0"/>
        <w:kinsoku/>
        <w:wordWrap/>
        <w:overflowPunct/>
        <w:topLinePunct w:val="0"/>
        <w:autoSpaceDE/>
        <w:autoSpaceDN/>
        <w:bidi w:val="0"/>
        <w:adjustRightInd w:val="0"/>
        <w:spacing w:line="400" w:lineRule="exact"/>
        <w:jc w:val="left"/>
        <w:rPr>
          <w:rFonts w:hAnsi="宋体"/>
          <w:snapToGrid w:val="0"/>
          <w:kern w:val="0"/>
          <w:szCs w:val="21"/>
        </w:rPr>
      </w:pPr>
      <w:r>
        <w:rPr>
          <w:rFonts w:hint="eastAsia" w:hAnsi="宋体"/>
          <w:snapToGrid w:val="0"/>
          <w:kern w:val="0"/>
          <w:szCs w:val="21"/>
        </w:rPr>
        <w:t xml:space="preserve">                                        合同签订日期：    年   月   日</w:t>
      </w:r>
    </w:p>
    <w:p>
      <w:pPr>
        <w:pStyle w:val="11"/>
        <w:snapToGrid w:val="0"/>
        <w:spacing w:line="380" w:lineRule="exact"/>
        <w:jc w:val="center"/>
        <w:rPr>
          <w:rFonts w:hAnsi="宋体"/>
          <w:b/>
          <w:sz w:val="36"/>
        </w:rPr>
      </w:pPr>
    </w:p>
    <w:p>
      <w:pPr>
        <w:pStyle w:val="12"/>
      </w:pPr>
    </w:p>
    <w:p/>
    <w:p>
      <w:pPr>
        <w:pStyle w:val="9"/>
      </w:pPr>
    </w:p>
    <w:p>
      <w:pPr>
        <w:pStyle w:val="9"/>
      </w:pPr>
    </w:p>
    <w:p>
      <w:pPr>
        <w:pStyle w:val="9"/>
      </w:pPr>
    </w:p>
    <w:p>
      <w:pPr>
        <w:pStyle w:val="9"/>
      </w:pPr>
    </w:p>
    <w:p>
      <w:pPr>
        <w:pStyle w:val="11"/>
        <w:snapToGrid w:val="0"/>
        <w:spacing w:line="380" w:lineRule="exact"/>
        <w:jc w:val="center"/>
        <w:rPr>
          <w:rFonts w:hAnsi="宋体"/>
          <w:b/>
          <w:sz w:val="36"/>
        </w:rPr>
      </w:pPr>
    </w:p>
    <w:p>
      <w:pPr>
        <w:pStyle w:val="2"/>
        <w:bidi w:val="0"/>
      </w:pPr>
      <w:bookmarkStart w:id="139" w:name="_Toc12804"/>
      <w:r>
        <w:rPr>
          <w:rFonts w:hint="eastAsia"/>
        </w:rPr>
        <w:t>第五部分  投标文件部分格式文件</w:t>
      </w:r>
      <w:bookmarkEnd w:id="139"/>
    </w:p>
    <w:p>
      <w:pPr>
        <w:pStyle w:val="11"/>
        <w:adjustRightInd w:val="0"/>
        <w:snapToGrid w:val="0"/>
        <w:spacing w:line="360" w:lineRule="auto"/>
        <w:jc w:val="center"/>
        <w:outlineLvl w:val="9"/>
        <w:rPr>
          <w:rFonts w:hAnsi="宋体"/>
          <w:b/>
          <w:sz w:val="28"/>
          <w:szCs w:val="22"/>
          <w:lang w:val="zh-CN"/>
        </w:rPr>
      </w:pPr>
      <w:bookmarkStart w:id="140" w:name="_Toc8130"/>
      <w:bookmarkStart w:id="141" w:name="_Toc2553"/>
      <w:bookmarkStart w:id="142" w:name="_Toc519670202"/>
      <w:bookmarkStart w:id="143" w:name="_Toc522530052"/>
      <w:bookmarkStart w:id="144" w:name="_Toc233618990"/>
    </w:p>
    <w:p>
      <w:pPr>
        <w:pStyle w:val="11"/>
        <w:adjustRightInd w:val="0"/>
        <w:snapToGrid w:val="0"/>
        <w:spacing w:line="360" w:lineRule="auto"/>
        <w:jc w:val="center"/>
        <w:outlineLvl w:val="1"/>
        <w:rPr>
          <w:rFonts w:hAnsi="宋体"/>
          <w:b/>
          <w:sz w:val="28"/>
          <w:szCs w:val="22"/>
        </w:rPr>
      </w:pPr>
      <w:bookmarkStart w:id="145" w:name="_Toc3084"/>
      <w:bookmarkStart w:id="146" w:name="_Toc21263"/>
      <w:r>
        <w:rPr>
          <w:rFonts w:hint="eastAsia" w:hAnsi="宋体"/>
          <w:b/>
          <w:sz w:val="28"/>
          <w:szCs w:val="22"/>
          <w:lang w:val="zh-CN"/>
        </w:rPr>
        <w:t>格式</w:t>
      </w:r>
      <w:r>
        <w:rPr>
          <w:rFonts w:hint="eastAsia" w:hAnsi="宋体"/>
          <w:b/>
          <w:sz w:val="28"/>
          <w:szCs w:val="22"/>
        </w:rPr>
        <w:t>一：资格审查资料</w:t>
      </w:r>
      <w:bookmarkEnd w:id="140"/>
      <w:bookmarkEnd w:id="141"/>
      <w:bookmarkEnd w:id="145"/>
      <w:bookmarkEnd w:id="146"/>
    </w:p>
    <w:p>
      <w:pPr>
        <w:spacing w:line="500" w:lineRule="exact"/>
        <w:jc w:val="center"/>
        <w:rPr>
          <w:rFonts w:ascii="宋体" w:hAnsi="宋体" w:cs="宋体"/>
          <w:b/>
          <w:sz w:val="30"/>
          <w:szCs w:val="30"/>
        </w:rPr>
      </w:pPr>
      <w:r>
        <w:rPr>
          <w:rFonts w:ascii="宋体" w:hAnsi="宋体" w:cs="宋体"/>
          <w:b/>
          <w:sz w:val="30"/>
          <w:szCs w:val="30"/>
        </w:rPr>
        <w:t>资格审查资料</w:t>
      </w:r>
    </w:p>
    <w:p>
      <w:pPr>
        <w:autoSpaceDE w:val="0"/>
        <w:autoSpaceDN w:val="0"/>
        <w:adjustRightInd w:val="0"/>
        <w:snapToGrid w:val="0"/>
        <w:spacing w:line="300" w:lineRule="auto"/>
        <w:ind w:firstLine="560" w:firstLineChars="200"/>
        <w:jc w:val="left"/>
        <w:rPr>
          <w:rFonts w:ascii="Arial" w:hAnsi="Arial" w:cs="Arial"/>
          <w:kern w:val="0"/>
          <w:szCs w:val="21"/>
        </w:rPr>
      </w:pPr>
    </w:p>
    <w:p>
      <w:pPr>
        <w:pStyle w:val="11"/>
        <w:snapToGrid w:val="0"/>
        <w:spacing w:line="400" w:lineRule="exact"/>
        <w:ind w:firstLine="480" w:firstLineChars="200"/>
        <w:rPr>
          <w:rFonts w:hAnsi="宋体"/>
          <w:sz w:val="24"/>
          <w:szCs w:val="24"/>
        </w:rPr>
      </w:pPr>
      <w:r>
        <w:rPr>
          <w:rFonts w:hAnsi="宋体"/>
          <w:sz w:val="24"/>
          <w:szCs w:val="24"/>
        </w:rPr>
        <w:t>（一）资格审查须知</w:t>
      </w:r>
    </w:p>
    <w:p>
      <w:pPr>
        <w:pStyle w:val="11"/>
        <w:snapToGrid w:val="0"/>
        <w:spacing w:line="400" w:lineRule="exact"/>
        <w:ind w:firstLine="480" w:firstLineChars="200"/>
        <w:rPr>
          <w:rFonts w:hAnsi="宋体"/>
          <w:sz w:val="24"/>
          <w:szCs w:val="24"/>
        </w:rPr>
      </w:pPr>
      <w:r>
        <w:rPr>
          <w:rFonts w:hAnsi="宋体"/>
          <w:sz w:val="24"/>
          <w:szCs w:val="24"/>
        </w:rPr>
        <w:t>1、投标人必须认真填写招标文件规定的所有表格，并对其真实性负责，</w:t>
      </w:r>
      <w:r>
        <w:rPr>
          <w:rFonts w:hint="eastAsia" w:hAnsi="宋体"/>
          <w:sz w:val="24"/>
          <w:szCs w:val="24"/>
        </w:rPr>
        <w:t>采购人</w:t>
      </w:r>
      <w:r>
        <w:rPr>
          <w:rFonts w:hAnsi="宋体"/>
          <w:sz w:val="24"/>
          <w:szCs w:val="24"/>
        </w:rPr>
        <w:t>有权对其进行调查核实和要求澄清。</w:t>
      </w:r>
    </w:p>
    <w:p>
      <w:pPr>
        <w:pStyle w:val="11"/>
        <w:snapToGrid w:val="0"/>
        <w:spacing w:line="400" w:lineRule="exact"/>
        <w:ind w:firstLine="480" w:firstLineChars="200"/>
        <w:rPr>
          <w:rFonts w:hAnsi="宋体"/>
          <w:sz w:val="24"/>
          <w:szCs w:val="24"/>
        </w:rPr>
      </w:pPr>
      <w:r>
        <w:rPr>
          <w:rFonts w:hAnsi="宋体"/>
          <w:sz w:val="24"/>
          <w:szCs w:val="24"/>
        </w:rPr>
        <w:t>2、资格审查按通过和不通过两种方式进行评定，投标人的资格等方面的要求作为资格审查通过的强制性资格条件，经核实有一项不符合要求，则投标人的资格为不通过，不通过的投标人对其投标文件不进行后续评审。</w:t>
      </w:r>
    </w:p>
    <w:p>
      <w:pPr>
        <w:pStyle w:val="11"/>
        <w:snapToGrid w:val="0"/>
        <w:spacing w:line="400" w:lineRule="exact"/>
        <w:ind w:firstLine="480" w:firstLineChars="200"/>
        <w:rPr>
          <w:rFonts w:hAnsi="宋体"/>
          <w:sz w:val="24"/>
          <w:szCs w:val="24"/>
        </w:rPr>
      </w:pPr>
      <w:r>
        <w:rPr>
          <w:rFonts w:hAnsi="宋体"/>
          <w:sz w:val="24"/>
          <w:szCs w:val="24"/>
        </w:rPr>
        <w:t>（二）资格审查资料格式</w:t>
      </w:r>
    </w:p>
    <w:p>
      <w:pPr>
        <w:pStyle w:val="11"/>
        <w:snapToGrid w:val="0"/>
        <w:spacing w:line="400" w:lineRule="exact"/>
        <w:ind w:firstLine="480" w:firstLineChars="200"/>
        <w:rPr>
          <w:rFonts w:hAnsi="宋体"/>
          <w:sz w:val="24"/>
          <w:szCs w:val="24"/>
        </w:rPr>
      </w:pPr>
      <w:r>
        <w:rPr>
          <w:rFonts w:hint="eastAsia" w:hAnsi="宋体"/>
          <w:sz w:val="24"/>
          <w:szCs w:val="24"/>
        </w:rPr>
        <w:t>表1：强制性资格条件</w:t>
      </w:r>
    </w:p>
    <w:p>
      <w:pPr>
        <w:pStyle w:val="11"/>
        <w:snapToGrid w:val="0"/>
        <w:spacing w:line="400" w:lineRule="exact"/>
        <w:ind w:firstLine="480" w:firstLineChars="200"/>
        <w:rPr>
          <w:rFonts w:hAnsi="宋体"/>
          <w:sz w:val="24"/>
          <w:szCs w:val="24"/>
        </w:rPr>
      </w:pPr>
      <w:r>
        <w:rPr>
          <w:rFonts w:hint="eastAsia" w:hAnsi="宋体"/>
          <w:sz w:val="24"/>
          <w:szCs w:val="24"/>
        </w:rPr>
        <w:t>表2：具有履行合同所必需的专业服务（技术）能力的承诺函</w:t>
      </w:r>
    </w:p>
    <w:p>
      <w:pPr>
        <w:pStyle w:val="11"/>
        <w:snapToGrid w:val="0"/>
        <w:spacing w:line="400" w:lineRule="exact"/>
        <w:ind w:firstLine="480" w:firstLineChars="200"/>
        <w:rPr>
          <w:rFonts w:hAnsi="宋体"/>
          <w:sz w:val="24"/>
          <w:szCs w:val="24"/>
        </w:rPr>
      </w:pPr>
      <w:r>
        <w:rPr>
          <w:rFonts w:hint="eastAsia" w:hAnsi="宋体"/>
          <w:sz w:val="24"/>
          <w:szCs w:val="24"/>
        </w:rPr>
        <w:t>表3：没有重大违法记录承诺函</w:t>
      </w:r>
    </w:p>
    <w:bookmarkEnd w:id="142"/>
    <w:p>
      <w:pPr>
        <w:pStyle w:val="11"/>
        <w:snapToGrid w:val="0"/>
        <w:spacing w:line="400" w:lineRule="exact"/>
        <w:ind w:firstLine="480" w:firstLineChars="200"/>
        <w:rPr>
          <w:rFonts w:hAnsi="宋体"/>
          <w:sz w:val="24"/>
          <w:szCs w:val="24"/>
        </w:rPr>
      </w:pPr>
      <w:r>
        <w:rPr>
          <w:rFonts w:hint="eastAsia" w:hAnsi="宋体"/>
          <w:sz w:val="24"/>
          <w:szCs w:val="24"/>
        </w:rPr>
        <w:t>表4：无违法失信的声明函</w:t>
      </w:r>
    </w:p>
    <w:p>
      <w:pPr>
        <w:pStyle w:val="11"/>
        <w:snapToGrid w:val="0"/>
        <w:spacing w:line="400" w:lineRule="exact"/>
        <w:ind w:firstLine="480" w:firstLineChars="200"/>
        <w:rPr>
          <w:rFonts w:hAnsi="宋体"/>
          <w:sz w:val="24"/>
          <w:szCs w:val="24"/>
        </w:rPr>
      </w:pPr>
      <w:r>
        <w:rPr>
          <w:rFonts w:hint="eastAsia" w:hAnsi="宋体"/>
          <w:sz w:val="24"/>
          <w:szCs w:val="24"/>
        </w:rPr>
        <w:t>表5：非联合体的声明函</w:t>
      </w:r>
    </w:p>
    <w:p/>
    <w:p>
      <w:pPr>
        <w:pStyle w:val="10"/>
        <w:ind w:left="0" w:leftChars="0"/>
      </w:pPr>
    </w:p>
    <w:p/>
    <w:p>
      <w:pPr>
        <w:pStyle w:val="19"/>
        <w:ind w:left="56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firstLine="210"/>
      </w:pPr>
    </w:p>
    <w:p>
      <w:pPr>
        <w:pStyle w:val="7"/>
        <w:ind w:left="0" w:leftChars="0" w:firstLine="0" w:firstLineChars="0"/>
      </w:pPr>
    </w:p>
    <w:p>
      <w:pPr>
        <w:spacing w:line="340" w:lineRule="exact"/>
        <w:rPr>
          <w:rFonts w:ascii="Arial" w:hAnsi="Arial" w:cs="Arial"/>
        </w:rPr>
      </w:pPr>
      <w:r>
        <w:rPr>
          <w:rFonts w:ascii="宋体" w:hAnsi="宋体" w:cs="宋体"/>
          <w:b/>
          <w:sz w:val="30"/>
          <w:szCs w:val="30"/>
        </w:rPr>
        <w:t>表1：强制性资格条件</w:t>
      </w:r>
    </w:p>
    <w:p>
      <w:pPr>
        <w:spacing w:line="340" w:lineRule="exact"/>
        <w:jc w:val="center"/>
        <w:rPr>
          <w:rFonts w:ascii="宋体" w:hAnsi="宋体"/>
          <w:kern w:val="0"/>
        </w:rPr>
      </w:pPr>
      <w:r>
        <w:rPr>
          <w:rFonts w:ascii="宋体" w:hAnsi="宋体" w:cs="宋体"/>
          <w:b/>
          <w:sz w:val="30"/>
          <w:szCs w:val="30"/>
        </w:rPr>
        <w:t>强制性资格条件表</w:t>
      </w:r>
    </w:p>
    <w:tbl>
      <w:tblPr>
        <w:tblStyle w:val="20"/>
        <w:tblW w:w="9359" w:type="dxa"/>
        <w:tblInd w:w="0" w:type="dxa"/>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Layout w:type="fixed"/>
        <w:tblCellMar>
          <w:top w:w="0" w:type="dxa"/>
          <w:left w:w="108" w:type="dxa"/>
          <w:bottom w:w="0" w:type="dxa"/>
          <w:right w:w="108" w:type="dxa"/>
        </w:tblCellMar>
      </w:tblPr>
      <w:tblGrid>
        <w:gridCol w:w="675"/>
        <w:gridCol w:w="2607"/>
        <w:gridCol w:w="2605"/>
        <w:gridCol w:w="3472"/>
      </w:tblGrid>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341" w:hRule="atLeast"/>
        </w:trPr>
        <w:tc>
          <w:tcPr>
            <w:tcW w:w="675" w:type="dxa"/>
            <w:noWrap/>
            <w:vAlign w:val="center"/>
          </w:tcPr>
          <w:p>
            <w:pPr>
              <w:jc w:val="center"/>
              <w:rPr>
                <w:rFonts w:ascii="宋体" w:hAnsi="宋体"/>
                <w:b/>
                <w:sz w:val="20"/>
              </w:rPr>
            </w:pPr>
            <w:r>
              <w:rPr>
                <w:rFonts w:hint="eastAsia" w:ascii="宋体" w:hAnsi="宋体"/>
                <w:b/>
                <w:sz w:val="20"/>
              </w:rPr>
              <w:t>序号</w:t>
            </w:r>
          </w:p>
        </w:tc>
        <w:tc>
          <w:tcPr>
            <w:tcW w:w="2607" w:type="dxa"/>
            <w:noWrap/>
            <w:vAlign w:val="center"/>
          </w:tcPr>
          <w:p>
            <w:pPr>
              <w:jc w:val="center"/>
              <w:rPr>
                <w:rFonts w:ascii="宋体" w:hAnsi="宋体"/>
                <w:b/>
                <w:sz w:val="20"/>
              </w:rPr>
            </w:pPr>
            <w:r>
              <w:rPr>
                <w:rFonts w:hint="eastAsia" w:ascii="宋体" w:hAnsi="宋体"/>
                <w:b/>
                <w:sz w:val="20"/>
              </w:rPr>
              <w:t>资格条件要求</w:t>
            </w:r>
          </w:p>
        </w:tc>
        <w:tc>
          <w:tcPr>
            <w:tcW w:w="6077" w:type="dxa"/>
            <w:gridSpan w:val="2"/>
            <w:noWrap/>
            <w:vAlign w:val="center"/>
          </w:tcPr>
          <w:p>
            <w:pPr>
              <w:jc w:val="center"/>
              <w:rPr>
                <w:rFonts w:ascii="宋体" w:hAnsi="宋体"/>
                <w:b/>
                <w:sz w:val="20"/>
              </w:rPr>
            </w:pPr>
            <w:r>
              <w:rPr>
                <w:rFonts w:hint="eastAsia" w:ascii="宋体" w:hAnsi="宋体"/>
                <w:b/>
                <w:sz w:val="20"/>
              </w:rPr>
              <w:t>要求提供的证明材料</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2218" w:hRule="atLeast"/>
        </w:trPr>
        <w:tc>
          <w:tcPr>
            <w:tcW w:w="675" w:type="dxa"/>
            <w:noWrap/>
            <w:vAlign w:val="center"/>
          </w:tcPr>
          <w:p>
            <w:pPr>
              <w:jc w:val="center"/>
              <w:rPr>
                <w:rFonts w:ascii="宋体" w:hAnsi="宋体"/>
                <w:sz w:val="20"/>
              </w:rPr>
            </w:pPr>
            <w:r>
              <w:rPr>
                <w:rFonts w:hint="eastAsia" w:ascii="宋体" w:hAnsi="宋体"/>
                <w:sz w:val="20"/>
              </w:rPr>
              <w:t>1</w:t>
            </w:r>
          </w:p>
        </w:tc>
        <w:tc>
          <w:tcPr>
            <w:tcW w:w="2607" w:type="dxa"/>
            <w:noWrap/>
            <w:vAlign w:val="center"/>
          </w:tcPr>
          <w:p>
            <w:pPr>
              <w:rPr>
                <w:rFonts w:ascii="宋体" w:hAnsi="宋体"/>
                <w:sz w:val="20"/>
              </w:rPr>
            </w:pPr>
            <w:r>
              <w:rPr>
                <w:rFonts w:hint="eastAsia" w:ascii="宋体" w:hAnsi="宋体"/>
                <w:sz w:val="20"/>
                <w:lang w:val="zh-CN"/>
              </w:rPr>
              <w:t>具有独立承担民事责任的能力</w:t>
            </w:r>
          </w:p>
        </w:tc>
        <w:tc>
          <w:tcPr>
            <w:tcW w:w="6077" w:type="dxa"/>
            <w:gridSpan w:val="2"/>
            <w:noWrap/>
            <w:vAlign w:val="center"/>
          </w:tcPr>
          <w:p>
            <w:pPr>
              <w:rPr>
                <w:rFonts w:ascii="宋体" w:hAnsi="宋体"/>
                <w:sz w:val="20"/>
                <w:lang w:val="zh-CN"/>
              </w:rPr>
            </w:pPr>
            <w:r>
              <w:rPr>
                <w:rFonts w:hint="eastAsia" w:ascii="宋体" w:hAnsi="宋体"/>
                <w:sz w:val="20"/>
                <w:lang w:val="zh-CN"/>
              </w:rPr>
              <w:t>1）如</w:t>
            </w:r>
            <w:r>
              <w:rPr>
                <w:rFonts w:hint="eastAsia" w:ascii="宋体" w:hAnsi="宋体"/>
                <w:sz w:val="20"/>
              </w:rPr>
              <w:t>投标</w:t>
            </w:r>
            <w:r>
              <w:rPr>
                <w:rFonts w:hint="eastAsia" w:ascii="宋体" w:hAnsi="宋体"/>
                <w:sz w:val="20"/>
                <w:lang w:val="zh-CN"/>
              </w:rPr>
              <w:t>人是企业（包括合伙企业），提供在工商部门注册的有效“企业法人营业执照”或“营业执照”；</w:t>
            </w:r>
          </w:p>
          <w:p>
            <w:pPr>
              <w:rPr>
                <w:rFonts w:ascii="宋体" w:hAnsi="宋体"/>
                <w:sz w:val="20"/>
                <w:lang w:val="zh-CN"/>
              </w:rPr>
            </w:pPr>
            <w:r>
              <w:rPr>
                <w:rFonts w:hint="eastAsia" w:ascii="宋体" w:hAnsi="宋体"/>
                <w:sz w:val="20"/>
                <w:lang w:val="zh-CN"/>
              </w:rPr>
              <w:t>2）如</w:t>
            </w:r>
            <w:r>
              <w:rPr>
                <w:rFonts w:hint="eastAsia" w:ascii="宋体" w:hAnsi="宋体"/>
                <w:sz w:val="20"/>
              </w:rPr>
              <w:t>投标</w:t>
            </w:r>
            <w:r>
              <w:rPr>
                <w:rFonts w:hint="eastAsia" w:ascii="宋体" w:hAnsi="宋体"/>
                <w:sz w:val="20"/>
                <w:lang w:val="zh-CN"/>
              </w:rPr>
              <w:t>人是事业单位，提供有效的“事业单位法人证书”；</w:t>
            </w:r>
          </w:p>
          <w:p>
            <w:pPr>
              <w:rPr>
                <w:rFonts w:ascii="宋体" w:hAnsi="宋体"/>
                <w:sz w:val="20"/>
                <w:lang w:val="zh-CN"/>
              </w:rPr>
            </w:pPr>
            <w:r>
              <w:rPr>
                <w:rFonts w:hint="eastAsia" w:ascii="宋体" w:hAnsi="宋体"/>
                <w:sz w:val="20"/>
                <w:lang w:val="zh-CN"/>
              </w:rPr>
              <w:t>3）如</w:t>
            </w:r>
            <w:r>
              <w:rPr>
                <w:rFonts w:hint="eastAsia" w:ascii="宋体" w:hAnsi="宋体"/>
                <w:sz w:val="20"/>
              </w:rPr>
              <w:t>投标</w:t>
            </w:r>
            <w:r>
              <w:rPr>
                <w:rFonts w:hint="eastAsia" w:ascii="宋体" w:hAnsi="宋体"/>
                <w:sz w:val="20"/>
                <w:lang w:val="zh-CN"/>
              </w:rPr>
              <w:t>人是非企业专业服务机构的，提供执业许可证等证明文件；</w:t>
            </w:r>
          </w:p>
          <w:p>
            <w:pPr>
              <w:rPr>
                <w:rFonts w:ascii="宋体" w:hAnsi="宋体"/>
                <w:sz w:val="20"/>
                <w:lang w:val="zh-CN"/>
              </w:rPr>
            </w:pPr>
            <w:r>
              <w:rPr>
                <w:rFonts w:hint="eastAsia" w:ascii="宋体" w:hAnsi="宋体"/>
                <w:sz w:val="20"/>
                <w:lang w:val="zh-CN"/>
              </w:rPr>
              <w:t>4）如</w:t>
            </w:r>
            <w:r>
              <w:rPr>
                <w:rFonts w:hint="eastAsia" w:ascii="宋体" w:hAnsi="宋体"/>
                <w:sz w:val="20"/>
              </w:rPr>
              <w:t>投标</w:t>
            </w:r>
            <w:r>
              <w:rPr>
                <w:rFonts w:hint="eastAsia" w:ascii="宋体" w:hAnsi="宋体"/>
                <w:sz w:val="20"/>
                <w:lang w:val="zh-CN"/>
              </w:rPr>
              <w:t>人是个体工商户，提供有效的“个体工商户营业执照”；</w:t>
            </w:r>
          </w:p>
          <w:p>
            <w:pPr>
              <w:rPr>
                <w:rFonts w:ascii="宋体" w:hAnsi="宋体"/>
                <w:sz w:val="20"/>
                <w:lang w:val="zh-CN"/>
              </w:rPr>
            </w:pPr>
            <w:r>
              <w:rPr>
                <w:rFonts w:hint="eastAsia" w:ascii="宋体" w:hAnsi="宋体"/>
                <w:sz w:val="20"/>
                <w:lang w:val="zh-CN"/>
              </w:rPr>
              <w:t>5）如</w:t>
            </w:r>
            <w:r>
              <w:rPr>
                <w:rFonts w:hint="eastAsia" w:ascii="宋体" w:hAnsi="宋体"/>
                <w:sz w:val="20"/>
              </w:rPr>
              <w:t>投标</w:t>
            </w:r>
            <w:r>
              <w:rPr>
                <w:rFonts w:hint="eastAsia" w:ascii="宋体" w:hAnsi="宋体"/>
                <w:sz w:val="20"/>
                <w:lang w:val="zh-CN"/>
              </w:rPr>
              <w:t>人是自然人，提供有效的自然人身份证明。</w:t>
            </w:r>
          </w:p>
          <w:p>
            <w:pPr>
              <w:rPr>
                <w:rFonts w:ascii="宋体" w:hAnsi="宋体"/>
                <w:sz w:val="20"/>
                <w:lang w:val="zh-CN"/>
              </w:rPr>
            </w:pPr>
            <w:r>
              <w:rPr>
                <w:rFonts w:hint="eastAsia" w:ascii="宋体" w:hAnsi="宋体"/>
                <w:sz w:val="20"/>
                <w:lang w:val="zh-CN"/>
              </w:rPr>
              <w:t xml:space="preserve">注：具体资格要求详见“第一部分 </w:t>
            </w:r>
            <w:r>
              <w:rPr>
                <w:rFonts w:hint="eastAsia" w:ascii="宋体" w:hAnsi="宋体"/>
                <w:sz w:val="20"/>
              </w:rPr>
              <w:t>招标</w:t>
            </w:r>
            <w:r>
              <w:rPr>
                <w:rFonts w:hint="eastAsia" w:ascii="宋体" w:hAnsi="宋体"/>
                <w:sz w:val="20"/>
                <w:lang w:val="zh-CN"/>
              </w:rPr>
              <w:t>公告”中“四、投标人资格要求”。</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2478" w:hRule="atLeast"/>
        </w:trPr>
        <w:tc>
          <w:tcPr>
            <w:tcW w:w="675" w:type="dxa"/>
            <w:noWrap/>
            <w:vAlign w:val="center"/>
          </w:tcPr>
          <w:p>
            <w:pPr>
              <w:jc w:val="center"/>
              <w:rPr>
                <w:rFonts w:ascii="宋体" w:hAnsi="宋体"/>
                <w:sz w:val="20"/>
              </w:rPr>
            </w:pPr>
            <w:r>
              <w:rPr>
                <w:rFonts w:hint="eastAsia" w:ascii="宋体" w:hAnsi="宋体"/>
                <w:sz w:val="20"/>
              </w:rPr>
              <w:t>2</w:t>
            </w:r>
          </w:p>
        </w:tc>
        <w:tc>
          <w:tcPr>
            <w:tcW w:w="2607" w:type="dxa"/>
            <w:noWrap/>
            <w:vAlign w:val="center"/>
          </w:tcPr>
          <w:p>
            <w:pPr>
              <w:rPr>
                <w:rFonts w:ascii="宋体" w:hAnsi="宋体"/>
                <w:sz w:val="20"/>
              </w:rPr>
            </w:pPr>
            <w:r>
              <w:rPr>
                <w:rFonts w:hint="eastAsia" w:ascii="宋体" w:hAnsi="宋体"/>
                <w:sz w:val="20"/>
                <w:lang w:val="zh-CN"/>
              </w:rPr>
              <w:t>具有良好的商业信誉和健全的财务会计制度</w:t>
            </w:r>
          </w:p>
        </w:tc>
        <w:tc>
          <w:tcPr>
            <w:tcW w:w="6077" w:type="dxa"/>
            <w:gridSpan w:val="2"/>
            <w:noWrap/>
            <w:vAlign w:val="center"/>
          </w:tcPr>
          <w:p>
            <w:pPr>
              <w:rPr>
                <w:rFonts w:ascii="宋体" w:hAnsi="宋体"/>
                <w:sz w:val="20"/>
                <w:lang w:val="zh-CN"/>
              </w:rPr>
            </w:pPr>
            <w:r>
              <w:rPr>
                <w:rFonts w:hint="eastAsia" w:ascii="宋体" w:hAnsi="宋体"/>
                <w:sz w:val="20"/>
                <w:lang w:val="zh-CN"/>
              </w:rPr>
              <w:t>1）投标人是法人的，应提供上一年度经第三方审计的财务报告或投标人出具的财务报告（表）（若投标时间为1-6月，上一年度财务审计报告还未完成的，须提供再上一年度的财务审计报告或财务报告（表））或开标前三个月内其基本开户银行出具的资信证明并加盖公章，或财政部门认可的采购专业担保机构出具的投标担保函；</w:t>
            </w:r>
          </w:p>
          <w:p>
            <w:pPr>
              <w:rPr>
                <w:rFonts w:ascii="宋体" w:hAnsi="宋体"/>
                <w:sz w:val="20"/>
                <w:lang w:val="zh-CN"/>
              </w:rPr>
            </w:pPr>
            <w:r>
              <w:rPr>
                <w:rFonts w:hint="eastAsia" w:ascii="宋体" w:hAnsi="宋体"/>
                <w:sz w:val="20"/>
                <w:lang w:val="zh-CN"/>
              </w:rPr>
              <w:t>2）部分其他组织和自然人没有财务状况报告的，可以提供银行出具的资信证明；</w:t>
            </w:r>
          </w:p>
          <w:p>
            <w:pPr>
              <w:rPr>
                <w:rFonts w:ascii="宋体" w:hAnsi="宋体"/>
                <w:sz w:val="20"/>
              </w:rPr>
            </w:pPr>
            <w:r>
              <w:rPr>
                <w:rFonts w:hint="eastAsia" w:ascii="宋体" w:hAnsi="宋体"/>
                <w:sz w:val="20"/>
                <w:lang w:val="zh-CN"/>
              </w:rPr>
              <w:t>3）银行资信证明应能说明投标人与银行之间业务往来正常，企业信誉良好等，</w:t>
            </w:r>
            <w:r>
              <w:rPr>
                <w:rFonts w:hint="eastAsia" w:ascii="宋体" w:hAnsi="宋体"/>
                <w:b/>
                <w:sz w:val="20"/>
                <w:lang w:val="zh-CN"/>
              </w:rPr>
              <w:t>银行出具的存款证明不能替代银行资信证明。</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544" w:hRule="atLeast"/>
        </w:trPr>
        <w:tc>
          <w:tcPr>
            <w:tcW w:w="675" w:type="dxa"/>
            <w:noWrap/>
            <w:vAlign w:val="center"/>
          </w:tcPr>
          <w:p>
            <w:pPr>
              <w:jc w:val="center"/>
              <w:rPr>
                <w:rFonts w:ascii="宋体" w:hAnsi="宋体"/>
                <w:sz w:val="20"/>
              </w:rPr>
            </w:pPr>
            <w:r>
              <w:rPr>
                <w:rFonts w:hint="eastAsia" w:ascii="宋体" w:hAnsi="宋体"/>
                <w:sz w:val="20"/>
              </w:rPr>
              <w:t>3</w:t>
            </w:r>
          </w:p>
        </w:tc>
        <w:tc>
          <w:tcPr>
            <w:tcW w:w="2607" w:type="dxa"/>
            <w:noWrap/>
            <w:vAlign w:val="center"/>
          </w:tcPr>
          <w:p>
            <w:pPr>
              <w:rPr>
                <w:rFonts w:ascii="宋体" w:hAnsi="宋体"/>
                <w:sz w:val="20"/>
              </w:rPr>
            </w:pPr>
            <w:r>
              <w:rPr>
                <w:rFonts w:hint="eastAsia" w:ascii="宋体" w:hAnsi="宋体"/>
                <w:sz w:val="20"/>
                <w:lang w:val="zh-CN"/>
              </w:rPr>
              <w:t>具有履行合同所必需的设备和专业技术能力</w:t>
            </w:r>
          </w:p>
        </w:tc>
        <w:tc>
          <w:tcPr>
            <w:tcW w:w="6077" w:type="dxa"/>
            <w:gridSpan w:val="2"/>
            <w:noWrap/>
            <w:vAlign w:val="center"/>
          </w:tcPr>
          <w:p>
            <w:pPr>
              <w:rPr>
                <w:rFonts w:ascii="宋体" w:hAnsi="宋体"/>
                <w:sz w:val="20"/>
                <w:lang w:val="zh-CN"/>
              </w:rPr>
            </w:pPr>
            <w:r>
              <w:rPr>
                <w:rFonts w:hint="eastAsia" w:ascii="宋体" w:hAnsi="宋体"/>
                <w:sz w:val="20"/>
                <w:lang w:val="zh-CN"/>
              </w:rPr>
              <w:t>具有履行合同所必需的设备和专业技术能力的承诺函，</w:t>
            </w:r>
            <w:r>
              <w:rPr>
                <w:rFonts w:hint="eastAsia" w:ascii="宋体" w:hAnsi="宋体"/>
                <w:sz w:val="20"/>
              </w:rPr>
              <w:t>详见表2。</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3225" w:hRule="atLeast"/>
        </w:trPr>
        <w:tc>
          <w:tcPr>
            <w:tcW w:w="675" w:type="dxa"/>
            <w:noWrap/>
            <w:vAlign w:val="center"/>
          </w:tcPr>
          <w:p>
            <w:pPr>
              <w:jc w:val="center"/>
              <w:rPr>
                <w:rFonts w:ascii="宋体" w:hAnsi="宋体"/>
                <w:sz w:val="20"/>
              </w:rPr>
            </w:pPr>
            <w:r>
              <w:rPr>
                <w:rFonts w:hint="eastAsia" w:ascii="宋体" w:hAnsi="宋体"/>
                <w:sz w:val="20"/>
              </w:rPr>
              <w:t>4</w:t>
            </w:r>
          </w:p>
        </w:tc>
        <w:tc>
          <w:tcPr>
            <w:tcW w:w="2607" w:type="dxa"/>
            <w:noWrap/>
            <w:vAlign w:val="center"/>
          </w:tcPr>
          <w:p>
            <w:pPr>
              <w:rPr>
                <w:rFonts w:ascii="宋体" w:hAnsi="宋体"/>
                <w:sz w:val="20"/>
              </w:rPr>
            </w:pPr>
            <w:r>
              <w:rPr>
                <w:rFonts w:hint="eastAsia" w:ascii="宋体" w:hAnsi="宋体"/>
                <w:sz w:val="20"/>
              </w:rPr>
              <w:t>有依法缴纳税收和社会保障资金的良好记录</w:t>
            </w:r>
          </w:p>
        </w:tc>
        <w:tc>
          <w:tcPr>
            <w:tcW w:w="6077" w:type="dxa"/>
            <w:gridSpan w:val="2"/>
            <w:noWrap/>
            <w:vAlign w:val="center"/>
          </w:tcPr>
          <w:p>
            <w:pPr>
              <w:rPr>
                <w:rFonts w:ascii="宋体" w:hAnsi="宋体"/>
                <w:sz w:val="20"/>
                <w:lang w:val="zh-CN"/>
              </w:rPr>
            </w:pPr>
            <w:r>
              <w:rPr>
                <w:rFonts w:hint="eastAsia" w:ascii="宋体" w:hAnsi="宋体"/>
                <w:sz w:val="20"/>
                <w:lang w:val="zh-CN"/>
              </w:rPr>
              <w:t>1）最近六个月任意一月</w:t>
            </w:r>
            <w:r>
              <w:rPr>
                <w:rFonts w:hint="eastAsia" w:ascii="宋体" w:hAnsi="宋体"/>
                <w:b/>
                <w:sz w:val="20"/>
                <w:lang w:val="zh-CN"/>
              </w:rPr>
              <w:t>依法缴纳税收的证明材料</w:t>
            </w:r>
            <w:r>
              <w:rPr>
                <w:rFonts w:hint="eastAsia" w:ascii="宋体" w:hAnsi="宋体"/>
                <w:sz w:val="20"/>
                <w:lang w:val="zh-CN"/>
              </w:rPr>
              <w:t>指投标人参加政府采购活动前最近六个月任意一月内依法缴纳税收的凭据（完税证明或</w:t>
            </w:r>
            <w:r>
              <w:rPr>
                <w:rFonts w:ascii="宋体" w:hAnsi="宋体"/>
                <w:sz w:val="20"/>
                <w:lang w:val="zh-CN"/>
              </w:rPr>
              <w:t>纳税证明</w:t>
            </w:r>
            <w:r>
              <w:rPr>
                <w:rFonts w:hint="eastAsia" w:ascii="宋体" w:hAnsi="宋体"/>
                <w:sz w:val="20"/>
                <w:lang w:val="zh-CN"/>
              </w:rPr>
              <w:t>或银行电子缴税付款凭证等）；</w:t>
            </w:r>
          </w:p>
          <w:p>
            <w:pPr>
              <w:rPr>
                <w:rFonts w:ascii="宋体" w:hAnsi="宋体"/>
                <w:sz w:val="20"/>
                <w:lang w:val="zh-CN"/>
              </w:rPr>
            </w:pPr>
            <w:r>
              <w:rPr>
                <w:rFonts w:hint="eastAsia" w:ascii="宋体" w:hAnsi="宋体"/>
                <w:sz w:val="20"/>
                <w:lang w:val="zh-CN"/>
              </w:rPr>
              <w:t>2）依法免税的投标人，应提供相应文件证明其依法免税；</w:t>
            </w:r>
          </w:p>
          <w:p>
            <w:pPr>
              <w:rPr>
                <w:rFonts w:ascii="宋体" w:hAnsi="宋体"/>
                <w:sz w:val="20"/>
                <w:lang w:val="zh-CN"/>
              </w:rPr>
            </w:pPr>
            <w:r>
              <w:rPr>
                <w:rFonts w:hint="eastAsia" w:ascii="宋体" w:hAnsi="宋体"/>
                <w:sz w:val="20"/>
                <w:lang w:val="zh-CN"/>
              </w:rPr>
              <w:t>3）最近六个月任意一月</w:t>
            </w:r>
            <w:r>
              <w:rPr>
                <w:rFonts w:hint="eastAsia" w:ascii="宋体" w:hAnsi="宋体"/>
                <w:b/>
                <w:sz w:val="20"/>
                <w:lang w:val="zh-CN"/>
              </w:rPr>
              <w:t>依法缴纳社会保障资金的证明材料</w:t>
            </w:r>
            <w:r>
              <w:rPr>
                <w:rFonts w:hint="eastAsia" w:ascii="宋体" w:hAnsi="宋体"/>
                <w:sz w:val="20"/>
                <w:lang w:val="zh-CN"/>
              </w:rPr>
              <w:t>指投标人参加政府采购活动前最近六个月任意一月内依法缴纳社会保险的凭据（社保缴费专用收据或银行电子缴税付款凭证或社会保险缴纳清单等）；</w:t>
            </w:r>
          </w:p>
          <w:p>
            <w:pPr>
              <w:rPr>
                <w:rFonts w:ascii="宋体" w:hAnsi="宋体"/>
                <w:sz w:val="20"/>
                <w:lang w:val="zh-CN"/>
              </w:rPr>
            </w:pPr>
            <w:r>
              <w:rPr>
                <w:rFonts w:hint="eastAsia" w:ascii="宋体" w:hAnsi="宋体"/>
                <w:sz w:val="20"/>
                <w:lang w:val="zh-CN"/>
              </w:rPr>
              <w:t>4）依法不需要缴纳社会保障资金的投标人，应提供相应文件证明其依法不需要缴纳社会保障资金；</w:t>
            </w:r>
          </w:p>
          <w:p>
            <w:pPr>
              <w:rPr>
                <w:rFonts w:ascii="宋体" w:hAnsi="宋体"/>
                <w:sz w:val="20"/>
                <w:lang w:val="zh-CN"/>
              </w:rPr>
            </w:pPr>
            <w:r>
              <w:rPr>
                <w:rFonts w:hint="eastAsia" w:ascii="宋体" w:hAnsi="宋体"/>
                <w:sz w:val="20"/>
                <w:lang w:val="zh-CN"/>
              </w:rPr>
              <w:t>5）投标人因新注册成立等原因无法提供相关材料的，应在投标文件中提交如实的情况说明。</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619" w:hRule="atLeast"/>
        </w:trPr>
        <w:tc>
          <w:tcPr>
            <w:tcW w:w="675" w:type="dxa"/>
            <w:noWrap/>
            <w:vAlign w:val="center"/>
          </w:tcPr>
          <w:p>
            <w:pPr>
              <w:jc w:val="center"/>
              <w:rPr>
                <w:rFonts w:ascii="宋体" w:hAnsi="宋体"/>
                <w:sz w:val="20"/>
              </w:rPr>
            </w:pPr>
            <w:r>
              <w:rPr>
                <w:rFonts w:hint="eastAsia" w:ascii="宋体" w:hAnsi="宋体"/>
                <w:sz w:val="20"/>
              </w:rPr>
              <w:t>5</w:t>
            </w:r>
          </w:p>
        </w:tc>
        <w:tc>
          <w:tcPr>
            <w:tcW w:w="5212" w:type="dxa"/>
            <w:gridSpan w:val="2"/>
            <w:noWrap/>
            <w:vAlign w:val="center"/>
          </w:tcPr>
          <w:p>
            <w:pPr>
              <w:rPr>
                <w:rFonts w:ascii="宋体" w:hAnsi="宋体"/>
                <w:sz w:val="20"/>
              </w:rPr>
            </w:pPr>
            <w:r>
              <w:rPr>
                <w:rFonts w:hint="eastAsia" w:ascii="宋体" w:hAnsi="宋体"/>
                <w:sz w:val="20"/>
                <w:lang w:val="zh-CN"/>
              </w:rPr>
              <w:t>参加政府采购活动前三年内（新成立不满三年的公司自成立之日起算）在经营活动中没有重大违法记录</w:t>
            </w:r>
          </w:p>
        </w:tc>
        <w:tc>
          <w:tcPr>
            <w:tcW w:w="3472" w:type="dxa"/>
            <w:noWrap/>
            <w:vAlign w:val="center"/>
          </w:tcPr>
          <w:p>
            <w:pPr>
              <w:rPr>
                <w:rFonts w:ascii="宋体" w:hAnsi="宋体"/>
                <w:sz w:val="20"/>
              </w:rPr>
            </w:pPr>
            <w:r>
              <w:rPr>
                <w:rFonts w:hint="eastAsia" w:ascii="宋体" w:hAnsi="宋体"/>
                <w:sz w:val="20"/>
              </w:rPr>
              <w:t>没有重大违法记录承诺函，详见表3。</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75" w:type="dxa"/>
            <w:noWrap/>
            <w:vAlign w:val="center"/>
          </w:tcPr>
          <w:p>
            <w:pPr>
              <w:jc w:val="center"/>
              <w:rPr>
                <w:rFonts w:ascii="宋体" w:hAnsi="宋体"/>
                <w:sz w:val="20"/>
              </w:rPr>
            </w:pPr>
            <w:r>
              <w:rPr>
                <w:rFonts w:hint="eastAsia" w:ascii="宋体" w:hAnsi="宋体"/>
                <w:sz w:val="20"/>
              </w:rPr>
              <w:t>6</w:t>
            </w:r>
          </w:p>
        </w:tc>
        <w:tc>
          <w:tcPr>
            <w:tcW w:w="5212" w:type="dxa"/>
            <w:gridSpan w:val="2"/>
            <w:noWrap/>
            <w:vAlign w:val="center"/>
          </w:tcPr>
          <w:p>
            <w:pPr>
              <w:rPr>
                <w:rFonts w:ascii="宋体" w:hAnsi="宋体"/>
                <w:sz w:val="20"/>
              </w:rPr>
            </w:pPr>
            <w:r>
              <w:rPr>
                <w:rFonts w:hint="eastAsia" w:ascii="宋体" w:hAnsi="宋体"/>
                <w:sz w:val="20"/>
                <w:lang w:val="zh-CN"/>
              </w:rPr>
              <w:t>参加政府采购活动前</w:t>
            </w:r>
            <w:r>
              <w:rPr>
                <w:rFonts w:hint="eastAsia" w:ascii="宋体" w:hAnsi="宋体"/>
                <w:sz w:val="20"/>
              </w:rPr>
              <w:t>未被“信用中国”网站(www.creditchina.gov.cn)列入失信被执行人、重大税收违法案件当事人名单；未被“中国政府采购网”(www.ccgp.gov.cn)列入政府采购严重违法失信行为记录名单。</w:t>
            </w:r>
          </w:p>
        </w:tc>
        <w:tc>
          <w:tcPr>
            <w:tcW w:w="3472" w:type="dxa"/>
            <w:noWrap/>
            <w:vAlign w:val="center"/>
          </w:tcPr>
          <w:p>
            <w:pPr>
              <w:widowControl/>
              <w:jc w:val="left"/>
              <w:rPr>
                <w:rFonts w:hint="eastAsia" w:eastAsia="宋体"/>
                <w:lang w:eastAsia="zh-CN"/>
              </w:rPr>
            </w:pPr>
            <w:r>
              <w:rPr>
                <w:rFonts w:hint="eastAsia" w:ascii="宋体" w:hAnsi="宋体" w:cs="宋体"/>
                <w:kern w:val="0"/>
                <w:sz w:val="20"/>
              </w:rPr>
              <w:t>无违法失信的声明函，</w:t>
            </w:r>
            <w:r>
              <w:rPr>
                <w:rFonts w:hint="eastAsia" w:ascii="宋体" w:hAnsi="宋体"/>
                <w:sz w:val="20"/>
              </w:rPr>
              <w:t>详见表4</w:t>
            </w:r>
            <w:r>
              <w:rPr>
                <w:rFonts w:hint="eastAsia" w:ascii="宋体" w:hAnsi="宋体"/>
                <w:sz w:val="20"/>
                <w:lang w:eastAsia="zh-CN"/>
              </w:rPr>
              <w:t>。</w:t>
            </w:r>
          </w:p>
          <w:p>
            <w:pPr>
              <w:rPr>
                <w:rFonts w:ascii="宋体" w:hAnsi="宋体"/>
                <w:sz w:val="20"/>
              </w:rPr>
            </w:pP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421" w:hRule="atLeast"/>
        </w:trPr>
        <w:tc>
          <w:tcPr>
            <w:tcW w:w="675" w:type="dxa"/>
            <w:noWrap/>
            <w:vAlign w:val="center"/>
          </w:tcPr>
          <w:p>
            <w:pPr>
              <w:jc w:val="center"/>
              <w:rPr>
                <w:rFonts w:ascii="宋体" w:hAnsi="宋体"/>
                <w:sz w:val="20"/>
              </w:rPr>
            </w:pPr>
            <w:r>
              <w:rPr>
                <w:rFonts w:hint="eastAsia" w:ascii="宋体" w:hAnsi="宋体"/>
                <w:sz w:val="20"/>
              </w:rPr>
              <w:t>7</w:t>
            </w:r>
          </w:p>
        </w:tc>
        <w:tc>
          <w:tcPr>
            <w:tcW w:w="5212" w:type="dxa"/>
            <w:gridSpan w:val="2"/>
            <w:noWrap/>
            <w:vAlign w:val="center"/>
          </w:tcPr>
          <w:p>
            <w:pPr>
              <w:widowControl/>
              <w:jc w:val="left"/>
              <w:rPr>
                <w:rFonts w:ascii="宋体" w:hAnsi="宋体"/>
                <w:sz w:val="20"/>
                <w:lang w:val="zh-CN"/>
              </w:rPr>
            </w:pPr>
            <w:r>
              <w:rPr>
                <w:rFonts w:hint="eastAsia" w:ascii="宋体" w:hAnsi="宋体" w:cs="宋体"/>
                <w:kern w:val="0"/>
                <w:sz w:val="20"/>
              </w:rPr>
              <w:t>非联合体。</w:t>
            </w:r>
          </w:p>
        </w:tc>
        <w:tc>
          <w:tcPr>
            <w:tcW w:w="3472" w:type="dxa"/>
            <w:noWrap/>
            <w:vAlign w:val="center"/>
          </w:tcPr>
          <w:p>
            <w:pPr>
              <w:widowControl/>
              <w:jc w:val="left"/>
              <w:rPr>
                <w:rFonts w:ascii="宋体" w:hAnsi="宋体"/>
                <w:sz w:val="20"/>
              </w:rPr>
            </w:pPr>
            <w:r>
              <w:rPr>
                <w:rFonts w:hint="eastAsia" w:ascii="宋体" w:hAnsi="宋体" w:cs="宋体"/>
                <w:kern w:val="0"/>
                <w:sz w:val="20"/>
              </w:rPr>
              <w:t>非联合体的声明函，</w:t>
            </w:r>
            <w:r>
              <w:rPr>
                <w:rFonts w:hint="eastAsia" w:ascii="宋体" w:hAnsi="宋体"/>
                <w:sz w:val="20"/>
              </w:rPr>
              <w:t>详见表5</w:t>
            </w:r>
            <w:r>
              <w:rPr>
                <w:rFonts w:hint="eastAsia" w:ascii="宋体" w:hAnsi="宋体" w:cs="宋体"/>
                <w:kern w:val="0"/>
                <w:sz w:val="20"/>
              </w:rPr>
              <w:t>。</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421" w:hRule="atLeast"/>
        </w:trPr>
        <w:tc>
          <w:tcPr>
            <w:tcW w:w="675" w:type="dxa"/>
            <w:noWrap/>
            <w:vAlign w:val="center"/>
          </w:tcPr>
          <w:p>
            <w:pPr>
              <w:jc w:val="center"/>
              <w:rPr>
                <w:rFonts w:ascii="宋体" w:hAnsi="宋体"/>
                <w:sz w:val="20"/>
              </w:rPr>
            </w:pPr>
            <w:r>
              <w:rPr>
                <w:rFonts w:hint="eastAsia" w:ascii="宋体" w:hAnsi="宋体"/>
                <w:sz w:val="20"/>
              </w:rPr>
              <w:t>8</w:t>
            </w:r>
          </w:p>
        </w:tc>
        <w:tc>
          <w:tcPr>
            <w:tcW w:w="5212" w:type="dxa"/>
            <w:gridSpan w:val="2"/>
            <w:noWrap/>
            <w:vAlign w:val="center"/>
          </w:tcPr>
          <w:p>
            <w:pPr>
              <w:widowControl/>
              <w:jc w:val="left"/>
              <w:rPr>
                <w:rFonts w:ascii="宋体" w:hAnsi="宋体" w:cs="宋体"/>
                <w:kern w:val="0"/>
                <w:sz w:val="20"/>
              </w:rPr>
            </w:pPr>
            <w:r>
              <w:rPr>
                <w:rFonts w:hint="eastAsia" w:ascii="宋体" w:hAnsi="宋体" w:cs="宋体"/>
                <w:kern w:val="0"/>
                <w:sz w:val="20"/>
              </w:rPr>
              <w:t>供应商为中小企业</w:t>
            </w:r>
          </w:p>
        </w:tc>
        <w:tc>
          <w:tcPr>
            <w:tcW w:w="3472" w:type="dxa"/>
            <w:noWrap/>
            <w:vAlign w:val="center"/>
          </w:tcPr>
          <w:p>
            <w:pPr>
              <w:widowControl/>
              <w:jc w:val="left"/>
              <w:rPr>
                <w:rFonts w:hint="default" w:ascii="宋体" w:hAnsi="宋体" w:eastAsia="宋体" w:cs="宋体"/>
                <w:kern w:val="0"/>
                <w:sz w:val="20"/>
                <w:lang w:val="en-US" w:eastAsia="zh-CN"/>
              </w:rPr>
            </w:pPr>
            <w:r>
              <w:rPr>
                <w:rFonts w:hint="eastAsia" w:ascii="宋体" w:hAnsi="宋体" w:cs="宋体"/>
                <w:kern w:val="0"/>
                <w:sz w:val="20"/>
              </w:rPr>
              <w:t>《中小企业声明函》</w:t>
            </w:r>
            <w:r>
              <w:rPr>
                <w:rFonts w:hint="eastAsia" w:ascii="宋体" w:hAnsi="宋体" w:cs="宋体"/>
                <w:kern w:val="0"/>
                <w:sz w:val="20"/>
                <w:lang w:eastAsia="zh-CN"/>
              </w:rPr>
              <w:t>，</w:t>
            </w:r>
            <w:r>
              <w:rPr>
                <w:rFonts w:hint="eastAsia" w:ascii="宋体" w:hAnsi="宋体" w:cs="宋体"/>
                <w:kern w:val="0"/>
                <w:sz w:val="20"/>
                <w:lang w:val="en-US" w:eastAsia="zh-CN"/>
              </w:rPr>
              <w:t>详见格式九。</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421" w:hRule="atLeast"/>
        </w:trPr>
        <w:tc>
          <w:tcPr>
            <w:tcW w:w="675" w:type="dxa"/>
            <w:noWrap/>
            <w:vAlign w:val="center"/>
          </w:tcPr>
          <w:p>
            <w:pPr>
              <w:jc w:val="center"/>
              <w:rPr>
                <w:rFonts w:hint="default" w:ascii="宋体" w:hAnsi="宋体" w:eastAsia="宋体" w:cs="Times New Roman"/>
                <w:kern w:val="2"/>
                <w:sz w:val="20"/>
                <w:lang w:val="en-US" w:eastAsia="zh-CN" w:bidi="ar-SA"/>
              </w:rPr>
            </w:pPr>
            <w:r>
              <w:rPr>
                <w:rFonts w:hint="eastAsia" w:ascii="宋体" w:hAnsi="宋体" w:cs="Times New Roman"/>
                <w:kern w:val="2"/>
                <w:sz w:val="20"/>
                <w:lang w:val="en-US" w:eastAsia="zh-CN" w:bidi="ar-SA"/>
              </w:rPr>
              <w:t>9</w:t>
            </w:r>
          </w:p>
        </w:tc>
        <w:tc>
          <w:tcPr>
            <w:tcW w:w="5212" w:type="dxa"/>
            <w:gridSpan w:val="2"/>
            <w:noWrap/>
            <w:vAlign w:val="center"/>
          </w:tcPr>
          <w:p>
            <w:pPr>
              <w:widowControl/>
              <w:jc w:val="left"/>
              <w:rPr>
                <w:rFonts w:hint="eastAsia" w:ascii="宋体" w:hAnsi="宋体" w:eastAsia="宋体" w:cs="宋体"/>
                <w:kern w:val="0"/>
                <w:sz w:val="20"/>
                <w:lang w:val="en-US" w:eastAsia="zh-CN" w:bidi="ar-SA"/>
              </w:rPr>
            </w:pPr>
            <w:r>
              <w:rPr>
                <w:rFonts w:hint="eastAsia" w:ascii="宋体" w:hAnsi="宋体" w:cs="宋体"/>
                <w:kern w:val="0"/>
                <w:sz w:val="20"/>
              </w:rPr>
              <w:t>投标人认为需要提供的其他资料</w:t>
            </w:r>
          </w:p>
        </w:tc>
        <w:tc>
          <w:tcPr>
            <w:tcW w:w="3472" w:type="dxa"/>
            <w:noWrap/>
            <w:vAlign w:val="center"/>
          </w:tcPr>
          <w:p>
            <w:pPr>
              <w:widowControl/>
              <w:jc w:val="left"/>
              <w:rPr>
                <w:rFonts w:hint="eastAsia" w:ascii="宋体" w:hAnsi="宋体" w:eastAsia="宋体" w:cs="宋体"/>
                <w:kern w:val="0"/>
                <w:sz w:val="20"/>
                <w:lang w:val="en-US" w:eastAsia="zh-CN" w:bidi="ar-SA"/>
              </w:rPr>
            </w:pPr>
            <w:r>
              <w:rPr>
                <w:rFonts w:hint="eastAsia" w:ascii="宋体" w:hAnsi="宋体" w:cs="宋体"/>
                <w:kern w:val="0"/>
                <w:sz w:val="20"/>
              </w:rPr>
              <w:t>投标人认为需要提供的其他资料</w:t>
            </w:r>
            <w:r>
              <w:rPr>
                <w:rFonts w:hint="eastAsia" w:ascii="宋体" w:hAnsi="宋体" w:cs="宋体"/>
                <w:kern w:val="0"/>
                <w:sz w:val="20"/>
                <w:lang w:eastAsia="zh-CN"/>
              </w:rPr>
              <w:t>。</w:t>
            </w:r>
          </w:p>
        </w:tc>
      </w:tr>
    </w:tbl>
    <w:p>
      <w:pPr>
        <w:rPr>
          <w:rFonts w:ascii="宋体" w:hAnsi="宋体"/>
          <w:sz w:val="24"/>
        </w:rPr>
      </w:pPr>
    </w:p>
    <w:p>
      <w:pPr>
        <w:pStyle w:val="30"/>
        <w:ind w:left="560" w:firstLine="480"/>
        <w:rPr>
          <w:rFonts w:ascii="宋体" w:hAnsi="宋体"/>
          <w:sz w:val="24"/>
        </w:rPr>
      </w:pPr>
    </w:p>
    <w:p>
      <w:pPr>
        <w:rPr>
          <w:rFonts w:ascii="宋体" w:hAnsi="宋体"/>
          <w:sz w:val="24"/>
        </w:rPr>
      </w:pPr>
      <w:r>
        <w:rPr>
          <w:rFonts w:hint="eastAsia" w:ascii="宋体" w:hAnsi="宋体"/>
          <w:sz w:val="24"/>
        </w:rPr>
        <w:t>表2</w:t>
      </w:r>
      <w:r>
        <w:rPr>
          <w:rFonts w:ascii="宋体" w:hAnsi="宋体"/>
          <w:sz w:val="24"/>
        </w:rPr>
        <w:t>：</w:t>
      </w:r>
      <w:r>
        <w:rPr>
          <w:rFonts w:hint="eastAsia" w:ascii="宋体" w:hAnsi="宋体"/>
          <w:sz w:val="24"/>
        </w:rPr>
        <w:t>具有履行合同所必需的专业服务（技术）能力的承诺函</w:t>
      </w:r>
    </w:p>
    <w:p>
      <w:pPr>
        <w:adjustRightInd w:val="0"/>
        <w:snapToGrid w:val="0"/>
        <w:spacing w:line="360" w:lineRule="auto"/>
        <w:rPr>
          <w:rFonts w:ascii="宋体" w:hAnsi="宋体"/>
          <w:b/>
          <w:bCs/>
          <w:sz w:val="24"/>
          <w:szCs w:val="24"/>
        </w:rPr>
      </w:pPr>
    </w:p>
    <w:p>
      <w:pPr>
        <w:jc w:val="center"/>
        <w:rPr>
          <w:rFonts w:ascii="宋体" w:hAnsi="宋体"/>
          <w:b/>
          <w:sz w:val="32"/>
        </w:rPr>
      </w:pPr>
      <w:bookmarkStart w:id="147" w:name="_Toc21481"/>
      <w:r>
        <w:rPr>
          <w:rFonts w:hint="eastAsia" w:ascii="宋体" w:hAnsi="宋体"/>
          <w:b/>
          <w:sz w:val="32"/>
        </w:rPr>
        <w:t>具有履行合同所必需的专业服务（技术）能力的承诺函</w:t>
      </w:r>
      <w:bookmarkEnd w:id="147"/>
    </w:p>
    <w:p>
      <w:pPr>
        <w:spacing w:line="360" w:lineRule="auto"/>
        <w:rPr>
          <w:rFonts w:ascii="宋体" w:hAnsi="宋体"/>
        </w:rPr>
      </w:pPr>
    </w:p>
    <w:p>
      <w:pPr>
        <w:widowControl/>
        <w:adjustRightInd w:val="0"/>
        <w:snapToGrid w:val="0"/>
        <w:spacing w:line="360" w:lineRule="auto"/>
        <w:jc w:val="left"/>
        <w:rPr>
          <w:rFonts w:ascii="宋体" w:hAnsi="宋体" w:cs="宋体"/>
          <w:kern w:val="0"/>
          <w:sz w:val="24"/>
        </w:rPr>
      </w:pPr>
      <w:r>
        <w:rPr>
          <w:rFonts w:hint="eastAsia" w:ascii="宋体" w:hAnsi="宋体" w:cs="宋体"/>
          <w:kern w:val="0"/>
          <w:sz w:val="24"/>
          <w:u w:val="single"/>
        </w:rPr>
        <w:t xml:space="preserve">（采购人）                   </w:t>
      </w:r>
      <w:r>
        <w:rPr>
          <w:rFonts w:hint="eastAsia" w:ascii="宋体" w:hAnsi="宋体" w:cs="宋体"/>
          <w:kern w:val="0"/>
          <w:sz w:val="24"/>
        </w:rPr>
        <w:t>：</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我方</w:t>
      </w:r>
      <w:r>
        <w:rPr>
          <w:rFonts w:hint="eastAsia" w:ascii="宋体" w:hAnsi="宋体" w:cs="宋体"/>
          <w:kern w:val="0"/>
          <w:sz w:val="24"/>
          <w:u w:val="single"/>
        </w:rPr>
        <w:t xml:space="preserve"> （投标人）          </w:t>
      </w:r>
      <w:r>
        <w:rPr>
          <w:rFonts w:hint="eastAsia" w:ascii="宋体" w:hAnsi="宋体" w:cs="宋体"/>
          <w:kern w:val="0"/>
          <w:sz w:val="24"/>
        </w:rPr>
        <w:t>承诺具有履行合同所必需的专业服务（技术）能力。如有虚假，采购人可取消我方任何资格（投标/中标/签订合同），我方对此无任何异议。</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特此承诺！</w:t>
      </w:r>
    </w:p>
    <w:p>
      <w:pPr>
        <w:widowControl/>
        <w:adjustRightInd w:val="0"/>
        <w:snapToGrid w:val="0"/>
        <w:spacing w:line="360" w:lineRule="auto"/>
        <w:ind w:firstLine="480" w:firstLineChars="200"/>
        <w:jc w:val="left"/>
        <w:rPr>
          <w:rFonts w:ascii="宋体" w:hAnsi="宋体" w:cs="宋体"/>
          <w:kern w:val="0"/>
          <w:sz w:val="24"/>
        </w:rPr>
      </w:pPr>
    </w:p>
    <w:p>
      <w:pPr>
        <w:adjustRightInd w:val="0"/>
        <w:snapToGrid w:val="0"/>
        <w:spacing w:line="360" w:lineRule="auto"/>
        <w:rPr>
          <w:rFonts w:ascii="宋体" w:hAnsi="宋体" w:cs="宋体"/>
          <w:kern w:val="0"/>
          <w:sz w:val="24"/>
        </w:rPr>
      </w:pPr>
      <w:r>
        <w:rPr>
          <w:rFonts w:hint="eastAsia" w:ascii="宋体" w:hAnsi="宋体" w:cs="宋体"/>
          <w:kern w:val="0"/>
          <w:sz w:val="24"/>
          <w:lang w:val="zh-CN"/>
        </w:rPr>
        <w:t>法定/授权代表：</w:t>
      </w:r>
      <w:r>
        <w:rPr>
          <w:rFonts w:hint="eastAsia" w:ascii="宋体" w:hAnsi="宋体" w:cs="宋体"/>
          <w:kern w:val="0"/>
          <w:sz w:val="24"/>
          <w:u w:val="single"/>
          <w:lang w:val="zh-CN"/>
        </w:rPr>
        <w:t xml:space="preserve">（签字或盖章） </w:t>
      </w:r>
    </w:p>
    <w:p>
      <w:pPr>
        <w:adjustRightInd w:val="0"/>
        <w:snapToGrid w:val="0"/>
        <w:spacing w:line="360" w:lineRule="auto"/>
        <w:rPr>
          <w:rFonts w:ascii="宋体" w:hAnsi="宋体" w:cs="宋体"/>
          <w:kern w:val="0"/>
          <w:sz w:val="24"/>
          <w:u w:val="single"/>
          <w:lang w:val="zh-CN"/>
        </w:rPr>
      </w:pPr>
      <w:r>
        <w:rPr>
          <w:rFonts w:hint="eastAsia" w:ascii="宋体" w:hAnsi="宋体" w:cs="宋体"/>
          <w:kern w:val="0"/>
          <w:sz w:val="24"/>
          <w:lang w:val="zh-CN"/>
        </w:rPr>
        <w:t>投标人：</w:t>
      </w:r>
      <w:r>
        <w:rPr>
          <w:rFonts w:hint="eastAsia" w:ascii="宋体" w:hAnsi="宋体" w:cs="宋体"/>
          <w:kern w:val="0"/>
          <w:sz w:val="24"/>
          <w:u w:val="single"/>
          <w:lang w:val="zh-CN"/>
        </w:rPr>
        <w:t xml:space="preserve">（全称加盖公章）       </w:t>
      </w:r>
    </w:p>
    <w:p>
      <w:pPr>
        <w:adjustRightInd w:val="0"/>
        <w:snapToGrid w:val="0"/>
        <w:spacing w:line="360" w:lineRule="auto"/>
        <w:rPr>
          <w:rFonts w:ascii="宋体" w:hAnsi="宋体"/>
          <w:b/>
          <w:bCs/>
          <w:sz w:val="24"/>
          <w:szCs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sz w:val="24"/>
          <w:szCs w:val="24"/>
        </w:rPr>
        <w:t>年 月 日</w:t>
      </w:r>
    </w:p>
    <w:p>
      <w:pPr>
        <w:adjustRightInd w:val="0"/>
        <w:snapToGrid w:val="0"/>
        <w:spacing w:line="360" w:lineRule="auto"/>
        <w:rPr>
          <w:rFonts w:ascii="宋体" w:hAnsi="宋体"/>
          <w:b/>
          <w:bCs/>
          <w:sz w:val="24"/>
          <w:szCs w:val="24"/>
        </w:rPr>
      </w:pPr>
    </w:p>
    <w:p>
      <w:pPr>
        <w:pStyle w:val="19"/>
        <w:ind w:left="560"/>
      </w:pPr>
    </w:p>
    <w:p>
      <w:pPr>
        <w:rPr>
          <w:rFonts w:ascii="宋体" w:hAnsi="宋体"/>
          <w:sz w:val="24"/>
        </w:rPr>
      </w:pPr>
      <w:r>
        <w:rPr>
          <w:rFonts w:hint="eastAsia" w:ascii="宋体" w:hAnsi="宋体"/>
          <w:sz w:val="24"/>
        </w:rPr>
        <w:t>表3</w:t>
      </w:r>
      <w:r>
        <w:rPr>
          <w:rFonts w:ascii="宋体" w:hAnsi="宋体"/>
          <w:sz w:val="24"/>
        </w:rPr>
        <w:t xml:space="preserve">：没有重大违法记录承诺函 </w:t>
      </w:r>
    </w:p>
    <w:p>
      <w:pPr>
        <w:rPr>
          <w:rFonts w:ascii="宋体" w:hAnsi="宋体"/>
          <w:b/>
          <w:sz w:val="32"/>
        </w:rPr>
      </w:pPr>
    </w:p>
    <w:p>
      <w:pPr>
        <w:jc w:val="center"/>
        <w:rPr>
          <w:rFonts w:ascii="宋体" w:hAnsi="宋体"/>
          <w:b/>
          <w:sz w:val="32"/>
        </w:rPr>
      </w:pPr>
      <w:r>
        <w:rPr>
          <w:rFonts w:ascii="宋体" w:hAnsi="宋体"/>
          <w:b/>
          <w:sz w:val="32"/>
        </w:rPr>
        <w:t>没有重大违法记录承诺函</w:t>
      </w:r>
    </w:p>
    <w:p>
      <w:pPr>
        <w:spacing w:line="360" w:lineRule="auto"/>
        <w:rPr>
          <w:rFonts w:ascii="宋体" w:hAnsi="宋体"/>
          <w:sz w:val="24"/>
          <w:szCs w:val="24"/>
          <w:u w:val="single"/>
        </w:rPr>
      </w:pPr>
    </w:p>
    <w:p>
      <w:pPr>
        <w:spacing w:line="360" w:lineRule="auto"/>
        <w:rPr>
          <w:rFonts w:ascii="宋体" w:hAnsi="宋体"/>
          <w:sz w:val="24"/>
          <w:szCs w:val="24"/>
          <w:u w:val="single"/>
        </w:rPr>
      </w:pPr>
      <w:r>
        <w:rPr>
          <w:rFonts w:ascii="宋体" w:hAnsi="宋体"/>
          <w:sz w:val="24"/>
          <w:szCs w:val="24"/>
          <w:u w:val="single"/>
        </w:rPr>
        <w:t>（采购人）</w:t>
      </w:r>
      <w:r>
        <w:rPr>
          <w:rFonts w:ascii="宋体" w:hAnsi="宋体"/>
          <w:sz w:val="24"/>
          <w:szCs w:val="24"/>
        </w:rPr>
        <w:t>：</w:t>
      </w:r>
    </w:p>
    <w:p>
      <w:pPr>
        <w:spacing w:line="360" w:lineRule="auto"/>
        <w:ind w:firstLine="480" w:firstLineChars="200"/>
        <w:rPr>
          <w:rFonts w:ascii="宋体" w:hAnsi="宋体"/>
          <w:sz w:val="24"/>
          <w:szCs w:val="24"/>
        </w:rPr>
      </w:pPr>
      <w:r>
        <w:rPr>
          <w:rFonts w:ascii="宋体" w:hAnsi="宋体"/>
          <w:sz w:val="24"/>
          <w:szCs w:val="24"/>
        </w:rPr>
        <w:t>我方</w:t>
      </w:r>
      <w:r>
        <w:rPr>
          <w:rFonts w:hint="eastAsia" w:ascii="宋体" w:hAnsi="宋体"/>
          <w:sz w:val="24"/>
          <w:szCs w:val="24"/>
          <w:u w:val="single"/>
        </w:rPr>
        <w:t xml:space="preserve">（投标人）            </w:t>
      </w:r>
      <w:r>
        <w:rPr>
          <w:rFonts w:ascii="宋体" w:hAnsi="宋体"/>
          <w:sz w:val="24"/>
          <w:szCs w:val="24"/>
        </w:rPr>
        <w:t>具有良好的商业信誉，在参加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r>
        <w:rPr>
          <w:rFonts w:hint="eastAsia" w:ascii="宋体" w:hAnsi="宋体"/>
          <w:sz w:val="24"/>
          <w:szCs w:val="24"/>
        </w:rPr>
        <w:t>。</w:t>
      </w:r>
      <w:r>
        <w:rPr>
          <w:rFonts w:ascii="宋体" w:hAnsi="宋体"/>
          <w:sz w:val="24"/>
          <w:szCs w:val="24"/>
        </w:rPr>
        <w:t xml:space="preserve">如有虚假，采购人可取消我方任何资格（投标/中标/签订合同），我方对此无任何异议。 </w:t>
      </w:r>
    </w:p>
    <w:p>
      <w:pPr>
        <w:spacing w:line="360" w:lineRule="auto"/>
        <w:ind w:firstLine="480" w:firstLineChars="200"/>
        <w:rPr>
          <w:rFonts w:ascii="宋体" w:hAnsi="宋体"/>
          <w:sz w:val="24"/>
          <w:szCs w:val="24"/>
        </w:rPr>
      </w:pPr>
      <w:r>
        <w:rPr>
          <w:rFonts w:ascii="宋体" w:hAnsi="宋体"/>
          <w:sz w:val="24"/>
          <w:szCs w:val="24"/>
        </w:rPr>
        <w:t xml:space="preserve">特此承诺！ </w:t>
      </w:r>
    </w:p>
    <w:p>
      <w:pPr>
        <w:spacing w:line="360" w:lineRule="auto"/>
        <w:rPr>
          <w:rFonts w:ascii="宋体" w:hAnsi="宋体"/>
          <w:sz w:val="24"/>
          <w:szCs w:val="24"/>
        </w:rPr>
      </w:pPr>
    </w:p>
    <w:p>
      <w:pPr>
        <w:adjustRightInd w:val="0"/>
        <w:snapToGrid w:val="0"/>
        <w:spacing w:line="360" w:lineRule="auto"/>
        <w:rPr>
          <w:rFonts w:ascii="宋体" w:hAnsi="宋体" w:cs="宋体"/>
          <w:kern w:val="0"/>
          <w:sz w:val="24"/>
        </w:rPr>
      </w:pPr>
      <w:r>
        <w:rPr>
          <w:rFonts w:hint="eastAsia" w:ascii="宋体" w:hAnsi="宋体" w:cs="宋体"/>
          <w:kern w:val="0"/>
          <w:sz w:val="24"/>
          <w:lang w:val="zh-CN"/>
        </w:rPr>
        <w:t>法定/授权代表：</w:t>
      </w:r>
      <w:r>
        <w:rPr>
          <w:rFonts w:hint="eastAsia" w:ascii="宋体" w:hAnsi="宋体" w:cs="宋体"/>
          <w:kern w:val="0"/>
          <w:sz w:val="24"/>
          <w:u w:val="single"/>
          <w:lang w:val="zh-CN"/>
        </w:rPr>
        <w:t xml:space="preserve">（签字或盖章） </w:t>
      </w:r>
    </w:p>
    <w:p>
      <w:pPr>
        <w:adjustRightInd w:val="0"/>
        <w:snapToGrid w:val="0"/>
        <w:spacing w:line="360" w:lineRule="auto"/>
        <w:rPr>
          <w:rFonts w:ascii="宋体" w:hAnsi="宋体" w:cs="宋体"/>
          <w:kern w:val="0"/>
          <w:sz w:val="24"/>
          <w:u w:val="single"/>
          <w:lang w:val="zh-CN"/>
        </w:rPr>
      </w:pPr>
      <w:r>
        <w:rPr>
          <w:rFonts w:hint="eastAsia" w:ascii="宋体" w:hAnsi="宋体" w:cs="宋体"/>
          <w:kern w:val="0"/>
          <w:sz w:val="24"/>
          <w:lang w:val="zh-CN"/>
        </w:rPr>
        <w:t>投标人：</w:t>
      </w:r>
      <w:r>
        <w:rPr>
          <w:rFonts w:hint="eastAsia" w:ascii="宋体" w:hAnsi="宋体" w:cs="宋体"/>
          <w:kern w:val="0"/>
          <w:sz w:val="24"/>
          <w:u w:val="single"/>
          <w:lang w:val="zh-CN"/>
        </w:rPr>
        <w:t xml:space="preserve">（全称加盖公章）       </w:t>
      </w:r>
    </w:p>
    <w:p>
      <w:pPr>
        <w:adjustRightInd w:val="0"/>
        <w:snapToGrid w:val="0"/>
        <w:spacing w:line="360" w:lineRule="auto"/>
        <w:rPr>
          <w:rFonts w:ascii="宋体" w:hAnsi="宋体"/>
          <w:sz w:val="24"/>
        </w:rPr>
      </w:pPr>
      <w:r>
        <w:rPr>
          <w:rFonts w:hint="eastAsia" w:ascii="宋体" w:hAnsi="宋体" w:cs="宋体"/>
          <w:kern w:val="0"/>
          <w:sz w:val="24"/>
          <w:lang w:val="zh-CN"/>
        </w:rPr>
        <w:t>日期</w:t>
      </w:r>
      <w:r>
        <w:rPr>
          <w:rFonts w:hint="eastAsia" w:ascii="宋体" w:hAnsi="宋体" w:cs="宋体"/>
          <w:kern w:val="0"/>
          <w:sz w:val="24"/>
        </w:rPr>
        <w:t xml:space="preserve">： </w:t>
      </w:r>
      <w:r>
        <w:rPr>
          <w:rFonts w:hint="eastAsia" w:ascii="宋体" w:hAnsi="宋体"/>
          <w:sz w:val="24"/>
          <w:szCs w:val="24"/>
        </w:rPr>
        <w:t>年 月 日</w:t>
      </w:r>
      <w:bookmarkStart w:id="148" w:name="_Toc8165"/>
    </w:p>
    <w:p>
      <w:pPr>
        <w:widowControl/>
        <w:spacing w:line="312" w:lineRule="auto"/>
        <w:jc w:val="left"/>
        <w:rPr>
          <w:rFonts w:ascii="宋体" w:hAnsi="宋体"/>
          <w:sz w:val="24"/>
        </w:rPr>
      </w:pPr>
    </w:p>
    <w:p>
      <w:pPr>
        <w:widowControl/>
        <w:spacing w:line="312" w:lineRule="auto"/>
        <w:jc w:val="left"/>
        <w:rPr>
          <w:rFonts w:ascii="宋体" w:hAnsi="宋体"/>
          <w:b/>
          <w:sz w:val="32"/>
          <w:szCs w:val="22"/>
        </w:rPr>
      </w:pPr>
      <w:r>
        <w:rPr>
          <w:rFonts w:hint="eastAsia" w:ascii="宋体" w:hAnsi="宋体"/>
          <w:sz w:val="24"/>
        </w:rPr>
        <w:t>表4</w:t>
      </w:r>
      <w:r>
        <w:rPr>
          <w:rFonts w:ascii="宋体" w:hAnsi="宋体"/>
          <w:sz w:val="24"/>
        </w:rPr>
        <w:t>：</w:t>
      </w:r>
      <w:r>
        <w:rPr>
          <w:rFonts w:hint="eastAsia" w:ascii="宋体" w:hAnsi="宋体"/>
          <w:sz w:val="24"/>
          <w:szCs w:val="22"/>
        </w:rPr>
        <w:t>无违法失信的声明函</w:t>
      </w:r>
    </w:p>
    <w:p>
      <w:pPr>
        <w:spacing w:line="312" w:lineRule="auto"/>
        <w:jc w:val="center"/>
        <w:rPr>
          <w:rFonts w:ascii="宋体" w:hAnsi="宋体"/>
          <w:b/>
          <w:sz w:val="32"/>
          <w:szCs w:val="22"/>
        </w:rPr>
      </w:pPr>
      <w:r>
        <w:rPr>
          <w:rFonts w:hint="eastAsia" w:ascii="宋体" w:hAnsi="宋体"/>
          <w:b/>
          <w:sz w:val="32"/>
          <w:szCs w:val="22"/>
        </w:rPr>
        <w:t xml:space="preserve">无违法失信的声明函 </w:t>
      </w:r>
    </w:p>
    <w:p>
      <w:pPr>
        <w:spacing w:line="312" w:lineRule="auto"/>
      </w:pPr>
      <w:r>
        <w:rPr>
          <w:rFonts w:ascii="宋体" w:hAnsi="宋体"/>
          <w:sz w:val="24"/>
          <w:szCs w:val="24"/>
          <w:u w:val="single"/>
        </w:rPr>
        <w:t>（采购人）</w:t>
      </w:r>
      <w:r>
        <w:rPr>
          <w:rFonts w:ascii="宋体" w:hAnsi="宋体"/>
          <w:sz w:val="24"/>
          <w:szCs w:val="24"/>
        </w:rPr>
        <w:t>：</w:t>
      </w:r>
    </w:p>
    <w:p>
      <w:pPr>
        <w:spacing w:line="312" w:lineRule="auto"/>
        <w:ind w:firstLine="480" w:firstLineChars="200"/>
        <w:rPr>
          <w:rFonts w:ascii="宋体" w:hAnsi="宋体"/>
          <w:sz w:val="24"/>
          <w:szCs w:val="24"/>
        </w:rPr>
      </w:pPr>
      <w:r>
        <w:rPr>
          <w:rFonts w:hint="eastAsia" w:ascii="宋体" w:hAnsi="宋体"/>
          <w:sz w:val="24"/>
          <w:szCs w:val="24"/>
        </w:rPr>
        <w:t>截至</w:t>
      </w:r>
      <w:r>
        <w:rPr>
          <w:rFonts w:hint="eastAsia" w:ascii="宋体" w:hAnsi="宋体"/>
          <w:sz w:val="24"/>
          <w:szCs w:val="24"/>
          <w:u w:val="single"/>
        </w:rPr>
        <w:t>（项目名称）（项目编号）</w:t>
      </w:r>
      <w:r>
        <w:rPr>
          <w:rFonts w:hint="eastAsia" w:ascii="宋体" w:hAnsi="宋体"/>
          <w:sz w:val="24"/>
          <w:szCs w:val="24"/>
        </w:rPr>
        <w:t xml:space="preserve">响应文件提交截止时间，往前追溯三年，期间未被列入失信被执行人名单、重大税收违法案件当事人名单、政府采购严重违法失信行为记录名单。 </w:t>
      </w:r>
    </w:p>
    <w:p>
      <w:pPr>
        <w:spacing w:line="312" w:lineRule="auto"/>
        <w:ind w:firstLine="480" w:firstLineChars="200"/>
        <w:rPr>
          <w:rFonts w:ascii="宋体" w:hAnsi="宋体"/>
          <w:sz w:val="24"/>
          <w:szCs w:val="24"/>
        </w:rPr>
      </w:pPr>
      <w:r>
        <w:rPr>
          <w:rFonts w:hint="eastAsia" w:ascii="宋体" w:hAnsi="宋体"/>
          <w:sz w:val="24"/>
          <w:szCs w:val="24"/>
        </w:rPr>
        <w:t xml:space="preserve">本公司对上述声明的真实性负责。如有虚假，愿意承担相应责任，对此无任何异议。 </w:t>
      </w:r>
    </w:p>
    <w:p>
      <w:pPr>
        <w:spacing w:line="312" w:lineRule="auto"/>
        <w:ind w:firstLine="480" w:firstLineChars="200"/>
        <w:rPr>
          <w:rFonts w:ascii="宋体" w:hAnsi="宋体"/>
          <w:sz w:val="24"/>
          <w:szCs w:val="24"/>
        </w:rPr>
      </w:pPr>
      <w:r>
        <w:rPr>
          <w:rFonts w:hint="eastAsia" w:ascii="宋体" w:hAnsi="宋体"/>
          <w:sz w:val="24"/>
          <w:szCs w:val="24"/>
        </w:rPr>
        <w:t xml:space="preserve">特此声明！ </w:t>
      </w:r>
    </w:p>
    <w:p>
      <w:pPr>
        <w:spacing w:line="312" w:lineRule="auto"/>
        <w:ind w:firstLine="480" w:firstLineChars="200"/>
        <w:rPr>
          <w:rFonts w:ascii="宋体" w:hAnsi="宋体"/>
          <w:sz w:val="24"/>
          <w:szCs w:val="24"/>
        </w:rPr>
      </w:pPr>
      <w:r>
        <w:rPr>
          <w:rFonts w:hint="eastAsia" w:ascii="宋体" w:hAnsi="宋体"/>
          <w:sz w:val="24"/>
          <w:szCs w:val="24"/>
        </w:rPr>
        <w:t xml:space="preserve">供应商全称： </w:t>
      </w:r>
    </w:p>
    <w:p>
      <w:pPr>
        <w:spacing w:line="312" w:lineRule="auto"/>
        <w:ind w:firstLine="480" w:firstLineChars="200"/>
        <w:rPr>
          <w:rFonts w:ascii="宋体" w:hAnsi="宋体"/>
          <w:sz w:val="24"/>
          <w:szCs w:val="24"/>
        </w:rPr>
      </w:pPr>
      <w:r>
        <w:rPr>
          <w:rFonts w:hint="eastAsia" w:ascii="宋体" w:hAnsi="宋体"/>
          <w:sz w:val="24"/>
          <w:szCs w:val="24"/>
        </w:rPr>
        <w:t xml:space="preserve">（盖单位公章） </w:t>
      </w:r>
    </w:p>
    <w:p>
      <w:pPr>
        <w:spacing w:line="312" w:lineRule="auto"/>
        <w:ind w:firstLine="480" w:firstLineChars="200"/>
        <w:rPr>
          <w:rFonts w:ascii="宋体" w:hAnsi="宋体"/>
          <w:sz w:val="24"/>
          <w:szCs w:val="24"/>
        </w:rPr>
      </w:pPr>
      <w:r>
        <w:rPr>
          <w:rFonts w:hint="eastAsia" w:ascii="宋体" w:hAnsi="宋体"/>
          <w:sz w:val="24"/>
          <w:szCs w:val="24"/>
        </w:rPr>
        <w:t>日期：年 月 日</w:t>
      </w:r>
    </w:p>
    <w:p>
      <w:pPr>
        <w:widowControl/>
        <w:spacing w:line="312" w:lineRule="auto"/>
        <w:jc w:val="left"/>
        <w:rPr>
          <w:rFonts w:ascii="宋体" w:hAnsi="宋体"/>
          <w:sz w:val="24"/>
        </w:rPr>
      </w:pPr>
    </w:p>
    <w:p>
      <w:pPr>
        <w:widowControl/>
        <w:spacing w:line="312" w:lineRule="auto"/>
        <w:jc w:val="left"/>
        <w:rPr>
          <w:rFonts w:ascii="宋体" w:hAnsi="宋体"/>
          <w:sz w:val="24"/>
        </w:rPr>
      </w:pPr>
    </w:p>
    <w:p>
      <w:pPr>
        <w:widowControl/>
        <w:spacing w:line="312" w:lineRule="auto"/>
        <w:jc w:val="left"/>
        <w:rPr>
          <w:rFonts w:ascii="宋体" w:hAnsi="宋体"/>
          <w:sz w:val="24"/>
        </w:rPr>
      </w:pPr>
    </w:p>
    <w:p>
      <w:pPr>
        <w:widowControl/>
        <w:spacing w:line="312" w:lineRule="auto"/>
        <w:jc w:val="left"/>
        <w:rPr>
          <w:rFonts w:ascii="宋体" w:hAnsi="宋体"/>
          <w:sz w:val="24"/>
        </w:rPr>
      </w:pPr>
    </w:p>
    <w:p>
      <w:pPr>
        <w:widowControl/>
        <w:spacing w:line="312" w:lineRule="auto"/>
        <w:jc w:val="left"/>
        <w:rPr>
          <w:rFonts w:ascii="宋体" w:hAnsi="宋体"/>
          <w:sz w:val="24"/>
        </w:rPr>
      </w:pPr>
    </w:p>
    <w:p>
      <w:pPr>
        <w:widowControl/>
        <w:spacing w:line="312" w:lineRule="auto"/>
        <w:jc w:val="left"/>
        <w:rPr>
          <w:rFonts w:ascii="宋体" w:hAnsi="宋体"/>
          <w:sz w:val="24"/>
        </w:rPr>
      </w:pPr>
    </w:p>
    <w:p>
      <w:pPr>
        <w:widowControl/>
        <w:spacing w:line="312" w:lineRule="auto"/>
        <w:jc w:val="left"/>
        <w:rPr>
          <w:rFonts w:ascii="宋体" w:hAnsi="宋体"/>
          <w:sz w:val="24"/>
        </w:rPr>
      </w:pPr>
    </w:p>
    <w:p>
      <w:pPr>
        <w:widowControl/>
        <w:spacing w:line="312" w:lineRule="auto"/>
        <w:jc w:val="left"/>
        <w:rPr>
          <w:rFonts w:ascii="宋体" w:hAnsi="宋体"/>
          <w:sz w:val="24"/>
        </w:rPr>
      </w:pPr>
    </w:p>
    <w:p>
      <w:pPr>
        <w:widowControl/>
        <w:spacing w:line="312" w:lineRule="auto"/>
        <w:jc w:val="left"/>
        <w:rPr>
          <w:rFonts w:ascii="宋体" w:hAnsi="宋体"/>
          <w:sz w:val="24"/>
        </w:rPr>
      </w:pPr>
    </w:p>
    <w:p>
      <w:pPr>
        <w:widowControl/>
        <w:spacing w:line="312" w:lineRule="auto"/>
        <w:jc w:val="left"/>
        <w:rPr>
          <w:rFonts w:ascii="宋体" w:hAnsi="宋体"/>
          <w:sz w:val="24"/>
          <w:szCs w:val="22"/>
        </w:rPr>
      </w:pPr>
      <w:r>
        <w:rPr>
          <w:rFonts w:hint="eastAsia" w:ascii="宋体" w:hAnsi="宋体"/>
          <w:sz w:val="24"/>
        </w:rPr>
        <w:t>表5</w:t>
      </w:r>
      <w:r>
        <w:rPr>
          <w:rFonts w:ascii="宋体" w:hAnsi="宋体"/>
          <w:sz w:val="24"/>
        </w:rPr>
        <w:t>：</w:t>
      </w:r>
      <w:r>
        <w:rPr>
          <w:rFonts w:hint="eastAsia" w:ascii="宋体" w:hAnsi="宋体"/>
          <w:sz w:val="24"/>
        </w:rPr>
        <w:t>非联合体的声明函</w:t>
      </w:r>
    </w:p>
    <w:p>
      <w:pPr>
        <w:spacing w:line="312" w:lineRule="auto"/>
        <w:jc w:val="center"/>
        <w:rPr>
          <w:rFonts w:ascii="宋体" w:hAnsi="宋体"/>
          <w:b/>
          <w:sz w:val="32"/>
          <w:szCs w:val="22"/>
        </w:rPr>
      </w:pPr>
      <w:r>
        <w:rPr>
          <w:rFonts w:hint="eastAsia" w:ascii="宋体" w:hAnsi="宋体"/>
          <w:b/>
          <w:sz w:val="32"/>
          <w:szCs w:val="22"/>
        </w:rPr>
        <w:t xml:space="preserve">非联合体的声明函 </w:t>
      </w:r>
    </w:p>
    <w:p>
      <w:pPr>
        <w:spacing w:line="312" w:lineRule="auto"/>
        <w:ind w:firstLine="480" w:firstLineChars="200"/>
        <w:rPr>
          <w:rFonts w:ascii="宋体" w:hAnsi="宋体"/>
          <w:sz w:val="24"/>
          <w:szCs w:val="24"/>
          <w:u w:val="single"/>
        </w:rPr>
      </w:pPr>
      <w:r>
        <w:rPr>
          <w:rFonts w:hint="eastAsia" w:ascii="宋体" w:hAnsi="宋体"/>
          <w:sz w:val="24"/>
          <w:szCs w:val="24"/>
          <w:u w:val="single"/>
        </w:rPr>
        <w:t>（采购人）：</w:t>
      </w:r>
    </w:p>
    <w:p>
      <w:pPr>
        <w:spacing w:line="312" w:lineRule="auto"/>
        <w:ind w:firstLine="480" w:firstLineChars="200"/>
        <w:rPr>
          <w:rFonts w:ascii="宋体" w:hAnsi="宋体"/>
          <w:sz w:val="24"/>
          <w:szCs w:val="24"/>
        </w:rPr>
      </w:pPr>
      <w:r>
        <w:rPr>
          <w:rFonts w:hint="eastAsia" w:ascii="宋体" w:hAnsi="宋体"/>
          <w:sz w:val="24"/>
          <w:szCs w:val="24"/>
        </w:rPr>
        <w:t>我方</w:t>
      </w:r>
      <w:r>
        <w:rPr>
          <w:rFonts w:hint="eastAsia" w:ascii="宋体" w:hAnsi="宋体"/>
          <w:sz w:val="24"/>
          <w:szCs w:val="24"/>
          <w:u w:val="single"/>
        </w:rPr>
        <w:t xml:space="preserve"> （供应商） </w:t>
      </w:r>
      <w:r>
        <w:rPr>
          <w:rFonts w:hint="eastAsia" w:ascii="宋体" w:hAnsi="宋体"/>
          <w:sz w:val="24"/>
          <w:szCs w:val="24"/>
        </w:rPr>
        <w:t>独立参加</w:t>
      </w:r>
      <w:r>
        <w:rPr>
          <w:rFonts w:hint="eastAsia" w:ascii="宋体" w:hAnsi="宋体"/>
          <w:sz w:val="24"/>
          <w:szCs w:val="24"/>
          <w:u w:val="single"/>
        </w:rPr>
        <w:t>（项目名称）（项目编号）</w:t>
      </w:r>
      <w:r>
        <w:rPr>
          <w:rFonts w:hint="eastAsia" w:ascii="宋体" w:hAnsi="宋体"/>
          <w:sz w:val="24"/>
          <w:szCs w:val="24"/>
        </w:rPr>
        <w:t xml:space="preserve">政府采购活动，未与其他单位组成联合体。 </w:t>
      </w:r>
    </w:p>
    <w:p>
      <w:pPr>
        <w:spacing w:line="312" w:lineRule="auto"/>
        <w:ind w:firstLine="480" w:firstLineChars="200"/>
        <w:rPr>
          <w:rFonts w:ascii="宋体" w:hAnsi="宋体"/>
          <w:sz w:val="24"/>
          <w:szCs w:val="24"/>
        </w:rPr>
      </w:pPr>
      <w:r>
        <w:rPr>
          <w:rFonts w:hint="eastAsia" w:ascii="宋体" w:hAnsi="宋体"/>
          <w:sz w:val="24"/>
          <w:szCs w:val="24"/>
        </w:rPr>
        <w:t xml:space="preserve">本公司对上述声明的真实性负责。如有虚假，将依法承担相应责任。 </w:t>
      </w:r>
    </w:p>
    <w:p>
      <w:pPr>
        <w:spacing w:line="312" w:lineRule="auto"/>
        <w:ind w:firstLine="480" w:firstLineChars="200"/>
        <w:rPr>
          <w:rFonts w:ascii="宋体" w:hAnsi="宋体"/>
          <w:sz w:val="24"/>
          <w:szCs w:val="24"/>
        </w:rPr>
      </w:pPr>
      <w:r>
        <w:rPr>
          <w:rFonts w:hint="eastAsia" w:ascii="宋体" w:hAnsi="宋体"/>
          <w:sz w:val="24"/>
          <w:szCs w:val="24"/>
        </w:rPr>
        <w:t xml:space="preserve">特此声明！ </w:t>
      </w:r>
    </w:p>
    <w:p>
      <w:pPr>
        <w:spacing w:line="312" w:lineRule="auto"/>
        <w:ind w:firstLine="480" w:firstLineChars="200"/>
        <w:rPr>
          <w:rFonts w:ascii="宋体" w:hAnsi="宋体"/>
          <w:sz w:val="24"/>
          <w:szCs w:val="24"/>
        </w:rPr>
      </w:pPr>
      <w:r>
        <w:rPr>
          <w:rFonts w:hint="eastAsia" w:ascii="宋体" w:hAnsi="宋体"/>
          <w:sz w:val="24"/>
          <w:szCs w:val="24"/>
        </w:rPr>
        <w:t xml:space="preserve">供应商全称： （盖单位公章） </w:t>
      </w:r>
    </w:p>
    <w:p>
      <w:pPr>
        <w:spacing w:line="312" w:lineRule="auto"/>
        <w:ind w:firstLine="480" w:firstLineChars="200"/>
        <w:rPr>
          <w:rFonts w:hint="eastAsia" w:ascii="宋体" w:hAnsi="宋体"/>
          <w:sz w:val="24"/>
          <w:szCs w:val="24"/>
        </w:rPr>
      </w:pPr>
      <w:r>
        <w:rPr>
          <w:rFonts w:hint="eastAsia" w:ascii="宋体" w:hAnsi="宋体"/>
          <w:sz w:val="24"/>
          <w:szCs w:val="24"/>
        </w:rPr>
        <w:t>日期：年 月 日</w:t>
      </w:r>
    </w:p>
    <w:p>
      <w:pPr>
        <w:spacing w:line="312" w:lineRule="auto"/>
        <w:ind w:firstLine="480" w:firstLineChars="200"/>
        <w:rPr>
          <w:rFonts w:ascii="宋体" w:hAnsi="宋体"/>
          <w:sz w:val="24"/>
          <w:szCs w:val="24"/>
        </w:rPr>
      </w:pPr>
      <w:r>
        <w:rPr>
          <w:rFonts w:hint="eastAsia" w:ascii="宋体" w:hAnsi="宋体"/>
          <w:sz w:val="24"/>
          <w:szCs w:val="24"/>
        </w:rPr>
        <w:br w:type="textWrapping"/>
      </w:r>
    </w:p>
    <w:p>
      <w:pPr>
        <w:pStyle w:val="11"/>
        <w:adjustRightInd w:val="0"/>
        <w:snapToGrid w:val="0"/>
        <w:spacing w:line="360" w:lineRule="auto"/>
        <w:jc w:val="center"/>
        <w:outlineLvl w:val="1"/>
        <w:rPr>
          <w:rFonts w:hAnsi="宋体"/>
          <w:b/>
          <w:sz w:val="28"/>
          <w:szCs w:val="22"/>
        </w:rPr>
      </w:pPr>
      <w:bookmarkStart w:id="149" w:name="_Toc3578"/>
      <w:bookmarkStart w:id="150" w:name="_Toc13614"/>
      <w:bookmarkStart w:id="151" w:name="_Toc29067"/>
      <w:r>
        <w:rPr>
          <w:rFonts w:hint="eastAsia" w:hAnsi="宋体"/>
          <w:b/>
          <w:sz w:val="28"/>
          <w:szCs w:val="22"/>
        </w:rPr>
        <w:t>格式二：投标声明函</w:t>
      </w:r>
      <w:bookmarkEnd w:id="143"/>
      <w:bookmarkEnd w:id="148"/>
      <w:bookmarkEnd w:id="149"/>
      <w:bookmarkEnd w:id="150"/>
      <w:bookmarkEnd w:id="151"/>
    </w:p>
    <w:p>
      <w:pPr>
        <w:adjustRightInd w:val="0"/>
        <w:snapToGrid w:val="0"/>
        <w:spacing w:line="360" w:lineRule="auto"/>
        <w:rPr>
          <w:rFonts w:ascii="宋体" w:hAnsi="宋体"/>
          <w:sz w:val="24"/>
          <w:highlight w:val="none"/>
          <w:u w:val="single"/>
        </w:rPr>
      </w:pPr>
      <w:r>
        <w:rPr>
          <w:rFonts w:hint="eastAsia" w:ascii="宋体" w:hAnsi="宋体"/>
          <w:sz w:val="24"/>
          <w:highlight w:val="none"/>
          <w:u w:val="single"/>
          <w:lang w:eastAsia="zh-CN"/>
        </w:rPr>
        <w:t>（</w:t>
      </w:r>
      <w:r>
        <w:rPr>
          <w:rFonts w:hint="eastAsia" w:ascii="宋体" w:hAnsi="宋体"/>
          <w:sz w:val="24"/>
          <w:highlight w:val="none"/>
          <w:u w:val="single"/>
          <w:lang w:val="en-US" w:eastAsia="zh-CN"/>
        </w:rPr>
        <w:t>采购人</w:t>
      </w:r>
      <w:r>
        <w:rPr>
          <w:rFonts w:hint="eastAsia" w:ascii="宋体" w:hAnsi="宋体"/>
          <w:sz w:val="24"/>
          <w:highlight w:val="none"/>
          <w:u w:val="single"/>
          <w:lang w:eastAsia="zh-CN"/>
        </w:rPr>
        <w:t>）</w:t>
      </w:r>
      <w:r>
        <w:rPr>
          <w:rFonts w:hint="eastAsia" w:ascii="宋体" w:hAnsi="宋体"/>
          <w:sz w:val="24"/>
          <w:highlight w:val="none"/>
          <w:u w:val="single"/>
        </w:rPr>
        <w:t>：</w:t>
      </w:r>
    </w:p>
    <w:p>
      <w:pPr>
        <w:adjustRightInd w:val="0"/>
        <w:snapToGrid w:val="0"/>
        <w:spacing w:line="360" w:lineRule="auto"/>
        <w:rPr>
          <w:rFonts w:ascii="宋体" w:hAnsi="宋体"/>
          <w:b/>
          <w:sz w:val="30"/>
        </w:rPr>
      </w:pPr>
      <w:r>
        <w:rPr>
          <w:rFonts w:hint="eastAsia" w:ascii="宋体" w:hAnsi="宋体"/>
          <w:sz w:val="24"/>
        </w:rPr>
        <w:t>浙江科信联合工程项目管理咨询有限公司：</w:t>
      </w:r>
    </w:p>
    <w:p>
      <w:pPr>
        <w:pStyle w:val="11"/>
        <w:adjustRightInd w:val="0"/>
        <w:snapToGrid w:val="0"/>
        <w:spacing w:line="360" w:lineRule="auto"/>
        <w:ind w:firstLine="480" w:firstLineChars="200"/>
        <w:rPr>
          <w:rFonts w:hAnsi="宋体"/>
          <w:sz w:val="24"/>
        </w:rPr>
      </w:pPr>
      <w:r>
        <w:rPr>
          <w:rFonts w:hint="eastAsia" w:hAnsi="宋体"/>
          <w:sz w:val="24"/>
        </w:rPr>
        <w:t>本单位自愿参加</w:t>
      </w:r>
      <w:r>
        <w:rPr>
          <w:rFonts w:hint="eastAsia" w:hAnsi="宋体"/>
          <w:sz w:val="24"/>
          <w:u w:val="single"/>
        </w:rPr>
        <w:t>（项目名称）</w:t>
      </w:r>
      <w:r>
        <w:rPr>
          <w:rFonts w:hint="eastAsia" w:hAnsi="宋体"/>
          <w:sz w:val="24"/>
          <w:szCs w:val="24"/>
          <w:u w:val="single"/>
        </w:rPr>
        <w:t>（项目编号 ）</w:t>
      </w:r>
      <w:r>
        <w:rPr>
          <w:rFonts w:hint="eastAsia" w:hAnsi="宋体"/>
          <w:sz w:val="24"/>
        </w:rPr>
        <w:t>的投标，并保证投标文件中所列举的投报价文件及相关资料和公司基本情况资料是真实的、合法的，我方：</w:t>
      </w:r>
    </w:p>
    <w:p>
      <w:pPr>
        <w:adjustRightInd w:val="0"/>
        <w:snapToGrid w:val="0"/>
        <w:spacing w:line="360" w:lineRule="auto"/>
        <w:ind w:firstLine="480"/>
        <w:rPr>
          <w:rFonts w:ascii="宋体" w:hAnsi="宋体"/>
          <w:kern w:val="0"/>
          <w:sz w:val="24"/>
        </w:rPr>
      </w:pPr>
      <w:bookmarkStart w:id="152" w:name="_Toc522530053"/>
      <w:r>
        <w:rPr>
          <w:rFonts w:hint="eastAsia" w:ascii="宋体" w:hAnsi="宋体"/>
          <w:kern w:val="0"/>
          <w:sz w:val="24"/>
        </w:rPr>
        <w:t>1、已详细阅读全部招标文件，包括招标文件补充文件（（如果有，包括相关的补充、更正、澄清公告和文件））、参考资料及有关附件，确认无误。我方完全理解并接受招标文件的各项规定和要求。</w:t>
      </w:r>
    </w:p>
    <w:p>
      <w:pPr>
        <w:adjustRightInd w:val="0"/>
        <w:snapToGrid w:val="0"/>
        <w:spacing w:line="360" w:lineRule="auto"/>
        <w:ind w:firstLine="480"/>
        <w:rPr>
          <w:rFonts w:ascii="宋体" w:hAnsi="宋体"/>
          <w:kern w:val="0"/>
          <w:sz w:val="24"/>
        </w:rPr>
      </w:pPr>
      <w:r>
        <w:rPr>
          <w:rFonts w:hint="eastAsia" w:ascii="宋体" w:hAnsi="宋体"/>
          <w:kern w:val="0"/>
          <w:sz w:val="24"/>
        </w:rPr>
        <w:t>2、同意提供按照贵方可能要求的与投标有关的一切数据或资料等。若贵方需要，我方愿意提供我方作出的一切承诺的证明材料。</w:t>
      </w:r>
    </w:p>
    <w:p>
      <w:pPr>
        <w:adjustRightInd w:val="0"/>
        <w:snapToGrid w:val="0"/>
        <w:spacing w:line="360" w:lineRule="auto"/>
        <w:ind w:firstLine="480"/>
        <w:rPr>
          <w:rFonts w:ascii="宋体" w:hAnsi="宋体"/>
          <w:kern w:val="0"/>
          <w:sz w:val="24"/>
        </w:rPr>
      </w:pPr>
      <w:r>
        <w:rPr>
          <w:rFonts w:hint="eastAsia" w:ascii="宋体" w:hAnsi="宋体"/>
          <w:kern w:val="0"/>
          <w:sz w:val="24"/>
        </w:rPr>
        <w:t>3、中标或者成交后，按采购文件规定与采购人签订合同。拒绝签订合同的，承诺按采购预算金额的2%对采购人进行赔偿；赔偿金额不足以弥补采购人损失的，承诺继续承担超过部分的损失。</w:t>
      </w:r>
    </w:p>
    <w:p>
      <w:pPr>
        <w:adjustRightInd w:val="0"/>
        <w:snapToGrid w:val="0"/>
        <w:spacing w:line="360" w:lineRule="auto"/>
        <w:ind w:firstLine="480"/>
        <w:rPr>
          <w:rFonts w:ascii="宋体" w:hAnsi="宋体"/>
          <w:kern w:val="0"/>
          <w:sz w:val="24"/>
        </w:rPr>
      </w:pPr>
      <w:r>
        <w:rPr>
          <w:rFonts w:hint="eastAsia" w:ascii="宋体" w:hAnsi="宋体"/>
          <w:kern w:val="0"/>
          <w:sz w:val="24"/>
        </w:rPr>
        <w:t>4、同意在招标文件中投标人须知规定的开标日期起遵守本投标书中的承诺且在投标有效期满之前均具有约束力。</w:t>
      </w:r>
    </w:p>
    <w:p>
      <w:pPr>
        <w:adjustRightInd w:val="0"/>
        <w:snapToGrid w:val="0"/>
        <w:spacing w:line="360" w:lineRule="auto"/>
        <w:ind w:firstLine="480"/>
        <w:rPr>
          <w:rFonts w:ascii="宋体" w:hAnsi="宋体"/>
          <w:kern w:val="0"/>
          <w:sz w:val="24"/>
        </w:rPr>
      </w:pPr>
      <w:r>
        <w:rPr>
          <w:rFonts w:hint="eastAsia" w:ascii="宋体" w:hAnsi="宋体"/>
          <w:kern w:val="0"/>
          <w:sz w:val="24"/>
        </w:rPr>
        <w:t>5、投标有效期内不撤销投标文件；强行撤销的，承诺按采购预算金额的2%赔偿对采购组织机构造成损失；</w:t>
      </w:r>
    </w:p>
    <w:p>
      <w:pPr>
        <w:adjustRightInd w:val="0"/>
        <w:snapToGrid w:val="0"/>
        <w:spacing w:line="360" w:lineRule="auto"/>
        <w:ind w:firstLine="480"/>
        <w:rPr>
          <w:rFonts w:ascii="宋体" w:hAnsi="宋体"/>
          <w:kern w:val="0"/>
          <w:sz w:val="24"/>
        </w:rPr>
      </w:pPr>
      <w:r>
        <w:rPr>
          <w:rFonts w:hint="eastAsia" w:ascii="宋体" w:hAnsi="宋体"/>
          <w:kern w:val="0"/>
          <w:sz w:val="24"/>
        </w:rPr>
        <w:t>6、中标或者成交后，按采购文件规定的采购代理服务费标准，承诺在签订合同前向采购代理机构支付采购代理服务费。</w:t>
      </w:r>
    </w:p>
    <w:p>
      <w:pPr>
        <w:adjustRightInd w:val="0"/>
        <w:snapToGrid w:val="0"/>
        <w:spacing w:line="360" w:lineRule="auto"/>
        <w:ind w:firstLine="480"/>
        <w:rPr>
          <w:rFonts w:ascii="宋体" w:hAnsi="宋体"/>
          <w:kern w:val="0"/>
          <w:sz w:val="24"/>
        </w:rPr>
      </w:pPr>
      <w:r>
        <w:rPr>
          <w:rFonts w:hint="eastAsia" w:ascii="宋体" w:hAnsi="宋体"/>
          <w:kern w:val="0"/>
          <w:sz w:val="24"/>
        </w:rPr>
        <w:t>7、完全理解贵方不一定要接受最低价的投标。</w:t>
      </w:r>
    </w:p>
    <w:p>
      <w:pPr>
        <w:adjustRightInd w:val="0"/>
        <w:snapToGrid w:val="0"/>
        <w:spacing w:line="360" w:lineRule="auto"/>
        <w:ind w:firstLine="480"/>
        <w:rPr>
          <w:rFonts w:ascii="宋体" w:hAnsi="宋体"/>
          <w:kern w:val="0"/>
          <w:sz w:val="24"/>
        </w:rPr>
      </w:pPr>
      <w:r>
        <w:rPr>
          <w:rFonts w:hint="eastAsia" w:ascii="宋体" w:hAnsi="宋体"/>
          <w:kern w:val="0"/>
          <w:sz w:val="24"/>
        </w:rPr>
        <w:t>8、单位、法定代表人、本项目授权代表及本项目负责人在参加本项目前三年内（以法院判决书生效日期为准）均无行贿犯罪记录。</w:t>
      </w:r>
    </w:p>
    <w:p>
      <w:pPr>
        <w:adjustRightInd w:val="0"/>
        <w:snapToGrid w:val="0"/>
        <w:spacing w:line="360" w:lineRule="auto"/>
        <w:ind w:firstLine="480"/>
        <w:rPr>
          <w:rFonts w:ascii="宋体" w:hAnsi="宋体"/>
          <w:kern w:val="0"/>
          <w:sz w:val="24"/>
        </w:rPr>
      </w:pPr>
      <w:r>
        <w:rPr>
          <w:rFonts w:hint="eastAsia" w:ascii="宋体" w:hAnsi="宋体"/>
          <w:kern w:val="0"/>
          <w:sz w:val="24"/>
        </w:rPr>
        <w:t>9、如有列情形之一的，我方愿意被取消中标资格（如中标），同时继续承担其他一切法律后果，并不再寻求任何旨在减轻或免除法律责任的解释：</w:t>
      </w:r>
    </w:p>
    <w:p>
      <w:pPr>
        <w:adjustRightInd w:val="0"/>
        <w:snapToGrid w:val="0"/>
        <w:spacing w:line="360" w:lineRule="auto"/>
        <w:ind w:firstLine="480"/>
        <w:rPr>
          <w:rFonts w:ascii="宋体" w:hAnsi="宋体"/>
          <w:kern w:val="0"/>
          <w:sz w:val="24"/>
        </w:rPr>
      </w:pPr>
      <w:r>
        <w:rPr>
          <w:rFonts w:hint="eastAsia" w:ascii="宋体" w:hAnsi="宋体"/>
          <w:kern w:val="0"/>
          <w:sz w:val="24"/>
        </w:rPr>
        <w:t>(1)提供虚假材料（承诺）谋取中标、成交的；</w:t>
      </w:r>
    </w:p>
    <w:p>
      <w:pPr>
        <w:adjustRightInd w:val="0"/>
        <w:snapToGrid w:val="0"/>
        <w:spacing w:line="360" w:lineRule="auto"/>
        <w:ind w:firstLine="480"/>
        <w:rPr>
          <w:rFonts w:ascii="宋体" w:hAnsi="宋体"/>
          <w:kern w:val="0"/>
          <w:sz w:val="24"/>
        </w:rPr>
      </w:pPr>
      <w:r>
        <w:rPr>
          <w:rFonts w:hint="eastAsia" w:ascii="宋体" w:hAnsi="宋体"/>
          <w:kern w:val="0"/>
          <w:sz w:val="24"/>
        </w:rPr>
        <w:t>(2)采取不正当手段诋毁、排挤其他投标人的；</w:t>
      </w:r>
    </w:p>
    <w:p>
      <w:pPr>
        <w:adjustRightInd w:val="0"/>
        <w:snapToGrid w:val="0"/>
        <w:spacing w:line="360" w:lineRule="auto"/>
        <w:ind w:firstLine="480"/>
        <w:rPr>
          <w:rFonts w:ascii="宋体" w:hAnsi="宋体"/>
          <w:kern w:val="0"/>
          <w:sz w:val="24"/>
        </w:rPr>
      </w:pPr>
      <w:r>
        <w:rPr>
          <w:rFonts w:hint="eastAsia" w:ascii="宋体" w:hAnsi="宋体"/>
          <w:kern w:val="0"/>
          <w:sz w:val="24"/>
        </w:rPr>
        <w:t>(3)与招标人、其它投标人或者招标代理机构恶意串通的；</w:t>
      </w:r>
    </w:p>
    <w:p>
      <w:pPr>
        <w:adjustRightInd w:val="0"/>
        <w:snapToGrid w:val="0"/>
        <w:spacing w:line="360" w:lineRule="auto"/>
        <w:ind w:firstLine="480"/>
        <w:rPr>
          <w:rFonts w:ascii="宋体" w:hAnsi="宋体"/>
          <w:kern w:val="0"/>
          <w:sz w:val="24"/>
        </w:rPr>
      </w:pPr>
      <w:r>
        <w:rPr>
          <w:rFonts w:hint="eastAsia" w:ascii="宋体" w:hAnsi="宋体"/>
          <w:kern w:val="0"/>
          <w:sz w:val="24"/>
        </w:rPr>
        <w:t>(4)向招标人、招标代理机构行贿或者提供其他不正当利益的；</w:t>
      </w:r>
    </w:p>
    <w:p>
      <w:pPr>
        <w:adjustRightInd w:val="0"/>
        <w:snapToGrid w:val="0"/>
        <w:spacing w:line="360" w:lineRule="auto"/>
        <w:ind w:firstLine="480"/>
        <w:rPr>
          <w:rFonts w:ascii="宋体" w:hAnsi="宋体"/>
          <w:kern w:val="0"/>
          <w:sz w:val="24"/>
        </w:rPr>
      </w:pPr>
      <w:r>
        <w:rPr>
          <w:rFonts w:hint="eastAsia" w:ascii="宋体" w:hAnsi="宋体"/>
          <w:kern w:val="0"/>
          <w:sz w:val="24"/>
        </w:rPr>
        <w:t>(5)在招标采购过程中与招标人进行协商谈判的；</w:t>
      </w:r>
    </w:p>
    <w:p>
      <w:pPr>
        <w:adjustRightInd w:val="0"/>
        <w:snapToGrid w:val="0"/>
        <w:spacing w:line="360" w:lineRule="auto"/>
        <w:ind w:firstLine="480"/>
        <w:rPr>
          <w:rFonts w:ascii="宋体" w:hAnsi="宋体"/>
          <w:kern w:val="0"/>
          <w:sz w:val="24"/>
        </w:rPr>
      </w:pPr>
      <w:r>
        <w:rPr>
          <w:rFonts w:hint="eastAsia" w:ascii="宋体" w:hAnsi="宋体"/>
          <w:kern w:val="0"/>
          <w:sz w:val="24"/>
        </w:rPr>
        <w:t>(6)拒绝有关部门监督检查或提供虚假情况的。</w:t>
      </w:r>
    </w:p>
    <w:p>
      <w:pPr>
        <w:adjustRightInd w:val="0"/>
        <w:snapToGrid w:val="0"/>
        <w:spacing w:line="360" w:lineRule="auto"/>
        <w:ind w:firstLine="480"/>
        <w:rPr>
          <w:rFonts w:ascii="宋体" w:hAnsi="宋体"/>
          <w:kern w:val="0"/>
          <w:sz w:val="24"/>
        </w:rPr>
      </w:pPr>
    </w:p>
    <w:p>
      <w:pPr>
        <w:adjustRightInd w:val="0"/>
        <w:snapToGrid w:val="0"/>
        <w:spacing w:line="360" w:lineRule="auto"/>
        <w:ind w:firstLine="480"/>
        <w:rPr>
          <w:rFonts w:ascii="宋体" w:hAnsi="宋体"/>
          <w:kern w:val="0"/>
          <w:sz w:val="24"/>
        </w:rPr>
      </w:pPr>
    </w:p>
    <w:p>
      <w:pPr>
        <w:adjustRightInd w:val="0"/>
        <w:snapToGrid w:val="0"/>
        <w:spacing w:line="360" w:lineRule="auto"/>
        <w:ind w:firstLine="480"/>
        <w:rPr>
          <w:rFonts w:ascii="宋体" w:hAnsi="宋体"/>
          <w:kern w:val="0"/>
          <w:sz w:val="24"/>
        </w:rPr>
      </w:pPr>
    </w:p>
    <w:p>
      <w:pPr>
        <w:adjustRightInd w:val="0"/>
        <w:snapToGrid w:val="0"/>
        <w:spacing w:line="360" w:lineRule="auto"/>
        <w:ind w:firstLine="480"/>
        <w:rPr>
          <w:rFonts w:ascii="宋体" w:hAnsi="宋体"/>
          <w:kern w:val="0"/>
          <w:sz w:val="24"/>
        </w:rPr>
      </w:pPr>
      <w:r>
        <w:rPr>
          <w:rFonts w:hint="eastAsia" w:ascii="宋体" w:hAnsi="宋体"/>
          <w:kern w:val="0"/>
          <w:sz w:val="24"/>
        </w:rPr>
        <w:t xml:space="preserve">法定（授权）代表人（签字或盖章）：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投标人盖章：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联系电话（手机及座机）：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传真：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电子邮件：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纳税人识别号：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开户银行：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银行账号：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联系地址：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邮政编码：                     </w:t>
      </w:r>
    </w:p>
    <w:p>
      <w:pPr>
        <w:adjustRightInd w:val="0"/>
        <w:snapToGrid w:val="0"/>
        <w:spacing w:line="360" w:lineRule="auto"/>
        <w:ind w:firstLine="480"/>
        <w:rPr>
          <w:rFonts w:ascii="宋体" w:hAnsi="宋体"/>
          <w:kern w:val="0"/>
          <w:sz w:val="24"/>
        </w:rPr>
      </w:pPr>
      <w:r>
        <w:rPr>
          <w:rFonts w:hint="eastAsia" w:ascii="宋体" w:hAnsi="宋体"/>
          <w:kern w:val="0"/>
          <w:sz w:val="24"/>
        </w:rPr>
        <w:t xml:space="preserve">日    期：        年  </w:t>
      </w:r>
      <w:r>
        <w:rPr>
          <w:rFonts w:hint="eastAsia" w:ascii="宋体" w:hAnsi="宋体"/>
          <w:kern w:val="0"/>
          <w:sz w:val="24"/>
        </w:rPr>
        <w:tab/>
      </w:r>
      <w:r>
        <w:rPr>
          <w:rFonts w:hint="eastAsia" w:ascii="宋体" w:hAnsi="宋体"/>
          <w:kern w:val="0"/>
          <w:sz w:val="24"/>
        </w:rPr>
        <w:t xml:space="preserve"> 月    日</w:t>
      </w:r>
    </w:p>
    <w:p>
      <w:pPr>
        <w:adjustRightInd w:val="0"/>
        <w:snapToGrid w:val="0"/>
        <w:spacing w:line="360" w:lineRule="auto"/>
        <w:ind w:firstLine="480"/>
        <w:rPr>
          <w:rFonts w:ascii="宋体" w:hAnsi="宋体"/>
          <w:kern w:val="0"/>
          <w:sz w:val="24"/>
        </w:rPr>
      </w:pPr>
    </w:p>
    <w:p>
      <w:pPr>
        <w:adjustRightInd w:val="0"/>
        <w:snapToGrid w:val="0"/>
        <w:spacing w:line="360" w:lineRule="auto"/>
        <w:ind w:firstLine="480"/>
        <w:rPr>
          <w:rFonts w:ascii="宋体" w:hAnsi="宋体"/>
          <w:kern w:val="0"/>
          <w:sz w:val="24"/>
        </w:rPr>
      </w:pPr>
    </w:p>
    <w:p>
      <w:pPr>
        <w:adjustRightInd w:val="0"/>
        <w:snapToGrid w:val="0"/>
        <w:spacing w:line="360" w:lineRule="auto"/>
        <w:rPr>
          <w:rFonts w:ascii="宋体" w:hAnsi="宋体"/>
        </w:rPr>
        <w:sectPr>
          <w:pgSz w:w="11906" w:h="16838"/>
          <w:pgMar w:top="1553" w:right="1553" w:bottom="1553" w:left="1553" w:header="851" w:footer="850" w:gutter="0"/>
          <w:pgNumType w:fmt="decimal"/>
          <w:cols w:space="720" w:num="1"/>
          <w:titlePg/>
          <w:docGrid w:linePitch="381" w:charSpace="0"/>
        </w:sectPr>
      </w:pPr>
      <w:r>
        <w:rPr>
          <w:rFonts w:hint="eastAsia" w:ascii="宋体" w:hAnsi="宋体"/>
          <w:b/>
          <w:kern w:val="0"/>
          <w:sz w:val="24"/>
          <w:lang w:val="zh-CN"/>
        </w:rPr>
        <w:t>注：未按照本投标声明函要求填报的将被视为非实质性响应，从而可能导致该投标文件被拒绝。</w:t>
      </w:r>
    </w:p>
    <w:bookmarkEnd w:id="144"/>
    <w:bookmarkEnd w:id="152"/>
    <w:p>
      <w:pPr>
        <w:pStyle w:val="11"/>
        <w:adjustRightInd w:val="0"/>
        <w:snapToGrid w:val="0"/>
        <w:spacing w:line="360" w:lineRule="auto"/>
        <w:jc w:val="center"/>
        <w:outlineLvl w:val="1"/>
        <w:rPr>
          <w:rFonts w:hAnsi="宋体"/>
          <w:b/>
          <w:kern w:val="0"/>
          <w:sz w:val="30"/>
          <w:lang w:val="zh-CN"/>
        </w:rPr>
      </w:pPr>
      <w:bookmarkStart w:id="153" w:name="_Toc24430"/>
      <w:bookmarkStart w:id="154" w:name="_Toc17439"/>
      <w:bookmarkStart w:id="155" w:name="_Toc522530054"/>
      <w:bookmarkStart w:id="156" w:name="_Toc30611"/>
      <w:bookmarkStart w:id="157" w:name="_Toc10253"/>
      <w:bookmarkStart w:id="158" w:name="_Toc354859632"/>
      <w:bookmarkStart w:id="159" w:name="_Toc354859551"/>
      <w:bookmarkStart w:id="160" w:name="_Toc391277571"/>
      <w:bookmarkStart w:id="161" w:name="_Toc354859475"/>
      <w:bookmarkStart w:id="162" w:name="_Toc233618991"/>
      <w:r>
        <w:rPr>
          <w:rFonts w:hint="eastAsia" w:hAnsi="宋体"/>
          <w:b/>
          <w:kern w:val="0"/>
          <w:sz w:val="30"/>
          <w:lang w:val="zh-CN"/>
        </w:rPr>
        <w:t>格式</w:t>
      </w:r>
      <w:r>
        <w:rPr>
          <w:rFonts w:hint="eastAsia" w:hAnsi="宋体"/>
          <w:b/>
          <w:kern w:val="0"/>
          <w:sz w:val="30"/>
        </w:rPr>
        <w:t>三</w:t>
      </w:r>
      <w:r>
        <w:rPr>
          <w:rFonts w:hint="eastAsia" w:hAnsi="宋体"/>
          <w:b/>
          <w:kern w:val="0"/>
          <w:sz w:val="30"/>
          <w:lang w:val="zh-CN"/>
        </w:rPr>
        <w:t>：以往业绩情况表</w:t>
      </w:r>
      <w:bookmarkEnd w:id="153"/>
      <w:bookmarkEnd w:id="154"/>
      <w:bookmarkEnd w:id="155"/>
      <w:bookmarkEnd w:id="156"/>
      <w:bookmarkEnd w:id="157"/>
    </w:p>
    <w:p>
      <w:pPr>
        <w:adjustRightInd w:val="0"/>
        <w:snapToGrid w:val="0"/>
        <w:spacing w:line="360" w:lineRule="auto"/>
        <w:jc w:val="center"/>
        <w:rPr>
          <w:rFonts w:ascii="宋体" w:hAnsi="宋体"/>
          <w:b/>
          <w:sz w:val="24"/>
        </w:rPr>
      </w:pPr>
      <w:r>
        <w:rPr>
          <w:rFonts w:hint="eastAsia" w:ascii="宋体" w:hAnsi="宋体"/>
          <w:b/>
          <w:sz w:val="24"/>
          <w:lang w:val="zh-CN"/>
        </w:rPr>
        <w:t>以往</w:t>
      </w:r>
      <w:r>
        <w:rPr>
          <w:rFonts w:hint="eastAsia" w:ascii="宋体" w:hAnsi="宋体"/>
          <w:b/>
          <w:sz w:val="24"/>
        </w:rPr>
        <w:t>业绩情况汇总表</w:t>
      </w:r>
    </w:p>
    <w:tbl>
      <w:tblPr>
        <w:tblStyle w:val="20"/>
        <w:tblW w:w="924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54"/>
        <w:gridCol w:w="2501"/>
        <w:gridCol w:w="2606"/>
        <w:gridCol w:w="1109"/>
        <w:gridCol w:w="1366"/>
        <w:gridCol w:w="1106"/>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序号</w:t>
            </w:r>
          </w:p>
        </w:tc>
        <w:tc>
          <w:tcPr>
            <w:tcW w:w="2501"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项目名称</w:t>
            </w:r>
          </w:p>
        </w:tc>
        <w:tc>
          <w:tcPr>
            <w:tcW w:w="2606" w:type="dxa"/>
            <w:noWrap/>
            <w:vAlign w:val="center"/>
          </w:tcPr>
          <w:p>
            <w:pPr>
              <w:autoSpaceDE w:val="0"/>
              <w:autoSpaceDN w:val="0"/>
              <w:adjustRightInd w:val="0"/>
              <w:jc w:val="center"/>
              <w:rPr>
                <w:rFonts w:ascii="宋体" w:hAnsi="宋体"/>
                <w:b/>
                <w:kern w:val="0"/>
                <w:sz w:val="24"/>
              </w:rPr>
            </w:pPr>
            <w:r>
              <w:rPr>
                <w:rFonts w:hint="eastAsia" w:ascii="宋体" w:hAnsi="宋体"/>
                <w:b/>
                <w:sz w:val="24"/>
              </w:rPr>
              <w:t>合同内容及规模</w:t>
            </w:r>
          </w:p>
        </w:tc>
        <w:tc>
          <w:tcPr>
            <w:tcW w:w="1109"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合同价</w:t>
            </w:r>
          </w:p>
        </w:tc>
        <w:tc>
          <w:tcPr>
            <w:tcW w:w="1366"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签订日期</w:t>
            </w:r>
          </w:p>
        </w:tc>
        <w:tc>
          <w:tcPr>
            <w:tcW w:w="1106"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备注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1</w:t>
            </w:r>
          </w:p>
        </w:tc>
        <w:tc>
          <w:tcPr>
            <w:tcW w:w="2501" w:type="dxa"/>
            <w:noWrap/>
            <w:vAlign w:val="center"/>
          </w:tcPr>
          <w:p>
            <w:pPr>
              <w:autoSpaceDE w:val="0"/>
              <w:autoSpaceDN w:val="0"/>
              <w:adjustRightInd w:val="0"/>
              <w:rPr>
                <w:rFonts w:ascii="宋体" w:hAnsi="宋体"/>
                <w:kern w:val="0"/>
                <w:sz w:val="24"/>
              </w:rPr>
            </w:pPr>
          </w:p>
        </w:tc>
        <w:tc>
          <w:tcPr>
            <w:tcW w:w="2606" w:type="dxa"/>
            <w:noWrap/>
            <w:vAlign w:val="center"/>
          </w:tcPr>
          <w:p>
            <w:pPr>
              <w:autoSpaceDE w:val="0"/>
              <w:autoSpaceDN w:val="0"/>
              <w:adjustRightInd w:val="0"/>
              <w:rPr>
                <w:rFonts w:ascii="宋体" w:hAnsi="宋体"/>
                <w:kern w:val="0"/>
                <w:sz w:val="24"/>
              </w:rPr>
            </w:pPr>
          </w:p>
        </w:tc>
        <w:tc>
          <w:tcPr>
            <w:tcW w:w="1109" w:type="dxa"/>
            <w:noWrap/>
            <w:vAlign w:val="center"/>
          </w:tcPr>
          <w:p>
            <w:pPr>
              <w:autoSpaceDE w:val="0"/>
              <w:autoSpaceDN w:val="0"/>
              <w:adjustRightInd w:val="0"/>
              <w:rPr>
                <w:rFonts w:ascii="宋体" w:hAnsi="宋体"/>
                <w:kern w:val="0"/>
                <w:sz w:val="24"/>
              </w:rPr>
            </w:pPr>
          </w:p>
        </w:tc>
        <w:tc>
          <w:tcPr>
            <w:tcW w:w="1366" w:type="dxa"/>
            <w:noWrap/>
            <w:vAlign w:val="center"/>
          </w:tcPr>
          <w:p>
            <w:pPr>
              <w:autoSpaceDE w:val="0"/>
              <w:autoSpaceDN w:val="0"/>
              <w:adjustRightInd w:val="0"/>
              <w:rPr>
                <w:rFonts w:ascii="宋体" w:hAnsi="宋体"/>
                <w:kern w:val="0"/>
                <w:sz w:val="24"/>
              </w:rPr>
            </w:pPr>
          </w:p>
        </w:tc>
        <w:tc>
          <w:tcPr>
            <w:tcW w:w="1106"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2</w:t>
            </w:r>
          </w:p>
        </w:tc>
        <w:tc>
          <w:tcPr>
            <w:tcW w:w="2501" w:type="dxa"/>
            <w:noWrap/>
            <w:vAlign w:val="center"/>
          </w:tcPr>
          <w:p>
            <w:pPr>
              <w:autoSpaceDE w:val="0"/>
              <w:autoSpaceDN w:val="0"/>
              <w:adjustRightInd w:val="0"/>
              <w:rPr>
                <w:rFonts w:ascii="宋体" w:hAnsi="宋体"/>
                <w:kern w:val="0"/>
                <w:sz w:val="24"/>
              </w:rPr>
            </w:pPr>
          </w:p>
        </w:tc>
        <w:tc>
          <w:tcPr>
            <w:tcW w:w="2606" w:type="dxa"/>
            <w:noWrap/>
            <w:vAlign w:val="center"/>
          </w:tcPr>
          <w:p>
            <w:pPr>
              <w:autoSpaceDE w:val="0"/>
              <w:autoSpaceDN w:val="0"/>
              <w:adjustRightInd w:val="0"/>
              <w:rPr>
                <w:rFonts w:ascii="宋体" w:hAnsi="宋体"/>
                <w:kern w:val="0"/>
                <w:sz w:val="24"/>
              </w:rPr>
            </w:pPr>
          </w:p>
        </w:tc>
        <w:tc>
          <w:tcPr>
            <w:tcW w:w="1109" w:type="dxa"/>
            <w:noWrap/>
            <w:vAlign w:val="center"/>
          </w:tcPr>
          <w:p>
            <w:pPr>
              <w:autoSpaceDE w:val="0"/>
              <w:autoSpaceDN w:val="0"/>
              <w:adjustRightInd w:val="0"/>
              <w:rPr>
                <w:rFonts w:ascii="宋体" w:hAnsi="宋体"/>
                <w:kern w:val="0"/>
                <w:sz w:val="24"/>
              </w:rPr>
            </w:pPr>
          </w:p>
        </w:tc>
        <w:tc>
          <w:tcPr>
            <w:tcW w:w="1366" w:type="dxa"/>
            <w:noWrap/>
            <w:vAlign w:val="center"/>
          </w:tcPr>
          <w:p>
            <w:pPr>
              <w:autoSpaceDE w:val="0"/>
              <w:autoSpaceDN w:val="0"/>
              <w:adjustRightInd w:val="0"/>
              <w:rPr>
                <w:rFonts w:ascii="宋体" w:hAnsi="宋体"/>
                <w:kern w:val="0"/>
                <w:sz w:val="24"/>
              </w:rPr>
            </w:pPr>
          </w:p>
        </w:tc>
        <w:tc>
          <w:tcPr>
            <w:tcW w:w="1106"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3</w:t>
            </w:r>
          </w:p>
        </w:tc>
        <w:tc>
          <w:tcPr>
            <w:tcW w:w="2501" w:type="dxa"/>
            <w:noWrap/>
            <w:vAlign w:val="center"/>
          </w:tcPr>
          <w:p>
            <w:pPr>
              <w:autoSpaceDE w:val="0"/>
              <w:autoSpaceDN w:val="0"/>
              <w:adjustRightInd w:val="0"/>
              <w:rPr>
                <w:rFonts w:ascii="宋体" w:hAnsi="宋体"/>
                <w:kern w:val="0"/>
                <w:sz w:val="24"/>
              </w:rPr>
            </w:pPr>
          </w:p>
        </w:tc>
        <w:tc>
          <w:tcPr>
            <w:tcW w:w="2606" w:type="dxa"/>
            <w:noWrap/>
            <w:vAlign w:val="center"/>
          </w:tcPr>
          <w:p>
            <w:pPr>
              <w:autoSpaceDE w:val="0"/>
              <w:autoSpaceDN w:val="0"/>
              <w:adjustRightInd w:val="0"/>
              <w:rPr>
                <w:rFonts w:ascii="宋体" w:hAnsi="宋体"/>
                <w:kern w:val="0"/>
                <w:sz w:val="24"/>
              </w:rPr>
            </w:pPr>
          </w:p>
        </w:tc>
        <w:tc>
          <w:tcPr>
            <w:tcW w:w="1109" w:type="dxa"/>
            <w:noWrap/>
            <w:vAlign w:val="center"/>
          </w:tcPr>
          <w:p>
            <w:pPr>
              <w:autoSpaceDE w:val="0"/>
              <w:autoSpaceDN w:val="0"/>
              <w:adjustRightInd w:val="0"/>
              <w:rPr>
                <w:rFonts w:ascii="宋体" w:hAnsi="宋体"/>
                <w:kern w:val="0"/>
                <w:sz w:val="24"/>
              </w:rPr>
            </w:pPr>
          </w:p>
        </w:tc>
        <w:tc>
          <w:tcPr>
            <w:tcW w:w="1366" w:type="dxa"/>
            <w:noWrap/>
            <w:vAlign w:val="center"/>
          </w:tcPr>
          <w:p>
            <w:pPr>
              <w:autoSpaceDE w:val="0"/>
              <w:autoSpaceDN w:val="0"/>
              <w:adjustRightInd w:val="0"/>
              <w:rPr>
                <w:rFonts w:ascii="宋体" w:hAnsi="宋体"/>
                <w:kern w:val="0"/>
                <w:sz w:val="24"/>
              </w:rPr>
            </w:pPr>
          </w:p>
        </w:tc>
        <w:tc>
          <w:tcPr>
            <w:tcW w:w="1106"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2501" w:type="dxa"/>
            <w:noWrap/>
            <w:vAlign w:val="center"/>
          </w:tcPr>
          <w:p>
            <w:pPr>
              <w:autoSpaceDE w:val="0"/>
              <w:autoSpaceDN w:val="0"/>
              <w:adjustRightInd w:val="0"/>
              <w:rPr>
                <w:rFonts w:ascii="宋体" w:hAnsi="宋体"/>
                <w:kern w:val="0"/>
                <w:sz w:val="24"/>
              </w:rPr>
            </w:pPr>
          </w:p>
        </w:tc>
        <w:tc>
          <w:tcPr>
            <w:tcW w:w="2606" w:type="dxa"/>
            <w:noWrap/>
            <w:vAlign w:val="center"/>
          </w:tcPr>
          <w:p>
            <w:pPr>
              <w:autoSpaceDE w:val="0"/>
              <w:autoSpaceDN w:val="0"/>
              <w:adjustRightInd w:val="0"/>
              <w:rPr>
                <w:rFonts w:ascii="宋体" w:hAnsi="宋体"/>
                <w:kern w:val="0"/>
                <w:sz w:val="24"/>
              </w:rPr>
            </w:pPr>
          </w:p>
        </w:tc>
        <w:tc>
          <w:tcPr>
            <w:tcW w:w="1109" w:type="dxa"/>
            <w:noWrap/>
            <w:vAlign w:val="center"/>
          </w:tcPr>
          <w:p>
            <w:pPr>
              <w:autoSpaceDE w:val="0"/>
              <w:autoSpaceDN w:val="0"/>
              <w:adjustRightInd w:val="0"/>
              <w:rPr>
                <w:rFonts w:ascii="宋体" w:hAnsi="宋体"/>
                <w:kern w:val="0"/>
                <w:sz w:val="24"/>
              </w:rPr>
            </w:pPr>
          </w:p>
        </w:tc>
        <w:tc>
          <w:tcPr>
            <w:tcW w:w="1366" w:type="dxa"/>
            <w:noWrap/>
            <w:vAlign w:val="center"/>
          </w:tcPr>
          <w:p>
            <w:pPr>
              <w:autoSpaceDE w:val="0"/>
              <w:autoSpaceDN w:val="0"/>
              <w:adjustRightInd w:val="0"/>
              <w:rPr>
                <w:rFonts w:ascii="宋体" w:hAnsi="宋体"/>
                <w:kern w:val="0"/>
                <w:sz w:val="24"/>
              </w:rPr>
            </w:pPr>
          </w:p>
        </w:tc>
        <w:tc>
          <w:tcPr>
            <w:tcW w:w="1106"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2501" w:type="dxa"/>
            <w:noWrap/>
            <w:vAlign w:val="center"/>
          </w:tcPr>
          <w:p>
            <w:pPr>
              <w:autoSpaceDE w:val="0"/>
              <w:autoSpaceDN w:val="0"/>
              <w:adjustRightInd w:val="0"/>
              <w:rPr>
                <w:rFonts w:ascii="宋体" w:hAnsi="宋体"/>
                <w:kern w:val="0"/>
                <w:sz w:val="24"/>
              </w:rPr>
            </w:pPr>
          </w:p>
        </w:tc>
        <w:tc>
          <w:tcPr>
            <w:tcW w:w="2606" w:type="dxa"/>
            <w:noWrap/>
            <w:vAlign w:val="center"/>
          </w:tcPr>
          <w:p>
            <w:pPr>
              <w:autoSpaceDE w:val="0"/>
              <w:autoSpaceDN w:val="0"/>
              <w:adjustRightInd w:val="0"/>
              <w:rPr>
                <w:rFonts w:ascii="宋体" w:hAnsi="宋体"/>
                <w:kern w:val="0"/>
                <w:sz w:val="24"/>
              </w:rPr>
            </w:pPr>
          </w:p>
        </w:tc>
        <w:tc>
          <w:tcPr>
            <w:tcW w:w="1109" w:type="dxa"/>
            <w:noWrap/>
            <w:vAlign w:val="center"/>
          </w:tcPr>
          <w:p>
            <w:pPr>
              <w:autoSpaceDE w:val="0"/>
              <w:autoSpaceDN w:val="0"/>
              <w:adjustRightInd w:val="0"/>
              <w:rPr>
                <w:rFonts w:ascii="宋体" w:hAnsi="宋体"/>
                <w:kern w:val="0"/>
                <w:sz w:val="24"/>
              </w:rPr>
            </w:pPr>
          </w:p>
        </w:tc>
        <w:tc>
          <w:tcPr>
            <w:tcW w:w="1366" w:type="dxa"/>
            <w:noWrap/>
            <w:vAlign w:val="center"/>
          </w:tcPr>
          <w:p>
            <w:pPr>
              <w:autoSpaceDE w:val="0"/>
              <w:autoSpaceDN w:val="0"/>
              <w:adjustRightInd w:val="0"/>
              <w:rPr>
                <w:rFonts w:ascii="宋体" w:hAnsi="宋体"/>
                <w:kern w:val="0"/>
                <w:sz w:val="24"/>
              </w:rPr>
            </w:pPr>
          </w:p>
        </w:tc>
        <w:tc>
          <w:tcPr>
            <w:tcW w:w="1106"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2501" w:type="dxa"/>
            <w:noWrap/>
            <w:vAlign w:val="center"/>
          </w:tcPr>
          <w:p>
            <w:pPr>
              <w:autoSpaceDE w:val="0"/>
              <w:autoSpaceDN w:val="0"/>
              <w:adjustRightInd w:val="0"/>
              <w:rPr>
                <w:rFonts w:ascii="宋体" w:hAnsi="宋体"/>
                <w:kern w:val="0"/>
                <w:sz w:val="24"/>
              </w:rPr>
            </w:pPr>
          </w:p>
        </w:tc>
        <w:tc>
          <w:tcPr>
            <w:tcW w:w="2606" w:type="dxa"/>
            <w:noWrap/>
            <w:vAlign w:val="center"/>
          </w:tcPr>
          <w:p>
            <w:pPr>
              <w:autoSpaceDE w:val="0"/>
              <w:autoSpaceDN w:val="0"/>
              <w:adjustRightInd w:val="0"/>
              <w:rPr>
                <w:rFonts w:ascii="宋体" w:hAnsi="宋体"/>
                <w:kern w:val="0"/>
                <w:sz w:val="24"/>
              </w:rPr>
            </w:pPr>
          </w:p>
        </w:tc>
        <w:tc>
          <w:tcPr>
            <w:tcW w:w="1109" w:type="dxa"/>
            <w:noWrap/>
            <w:vAlign w:val="center"/>
          </w:tcPr>
          <w:p>
            <w:pPr>
              <w:autoSpaceDE w:val="0"/>
              <w:autoSpaceDN w:val="0"/>
              <w:adjustRightInd w:val="0"/>
              <w:rPr>
                <w:rFonts w:ascii="宋体" w:hAnsi="宋体"/>
                <w:kern w:val="0"/>
                <w:sz w:val="24"/>
              </w:rPr>
            </w:pPr>
          </w:p>
        </w:tc>
        <w:tc>
          <w:tcPr>
            <w:tcW w:w="1366" w:type="dxa"/>
            <w:noWrap/>
            <w:vAlign w:val="center"/>
          </w:tcPr>
          <w:p>
            <w:pPr>
              <w:autoSpaceDE w:val="0"/>
              <w:autoSpaceDN w:val="0"/>
              <w:adjustRightInd w:val="0"/>
              <w:rPr>
                <w:rFonts w:ascii="宋体" w:hAnsi="宋体"/>
                <w:kern w:val="0"/>
                <w:sz w:val="24"/>
              </w:rPr>
            </w:pPr>
          </w:p>
        </w:tc>
        <w:tc>
          <w:tcPr>
            <w:tcW w:w="1106"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2501" w:type="dxa"/>
            <w:noWrap/>
            <w:vAlign w:val="center"/>
          </w:tcPr>
          <w:p>
            <w:pPr>
              <w:autoSpaceDE w:val="0"/>
              <w:autoSpaceDN w:val="0"/>
              <w:adjustRightInd w:val="0"/>
              <w:rPr>
                <w:rFonts w:ascii="宋体" w:hAnsi="宋体"/>
                <w:kern w:val="0"/>
                <w:sz w:val="24"/>
              </w:rPr>
            </w:pPr>
          </w:p>
        </w:tc>
        <w:tc>
          <w:tcPr>
            <w:tcW w:w="2606" w:type="dxa"/>
            <w:noWrap/>
            <w:vAlign w:val="center"/>
          </w:tcPr>
          <w:p>
            <w:pPr>
              <w:autoSpaceDE w:val="0"/>
              <w:autoSpaceDN w:val="0"/>
              <w:adjustRightInd w:val="0"/>
              <w:rPr>
                <w:rFonts w:ascii="宋体" w:hAnsi="宋体"/>
                <w:kern w:val="0"/>
                <w:sz w:val="24"/>
              </w:rPr>
            </w:pPr>
          </w:p>
        </w:tc>
        <w:tc>
          <w:tcPr>
            <w:tcW w:w="1109" w:type="dxa"/>
            <w:noWrap/>
            <w:vAlign w:val="center"/>
          </w:tcPr>
          <w:p>
            <w:pPr>
              <w:autoSpaceDE w:val="0"/>
              <w:autoSpaceDN w:val="0"/>
              <w:adjustRightInd w:val="0"/>
              <w:rPr>
                <w:rFonts w:ascii="宋体" w:hAnsi="宋体"/>
                <w:kern w:val="0"/>
                <w:sz w:val="24"/>
              </w:rPr>
            </w:pPr>
          </w:p>
        </w:tc>
        <w:tc>
          <w:tcPr>
            <w:tcW w:w="1366" w:type="dxa"/>
            <w:noWrap/>
            <w:vAlign w:val="center"/>
          </w:tcPr>
          <w:p>
            <w:pPr>
              <w:autoSpaceDE w:val="0"/>
              <w:autoSpaceDN w:val="0"/>
              <w:adjustRightInd w:val="0"/>
              <w:rPr>
                <w:rFonts w:ascii="宋体" w:hAnsi="宋体"/>
                <w:kern w:val="0"/>
                <w:sz w:val="24"/>
              </w:rPr>
            </w:pPr>
          </w:p>
        </w:tc>
        <w:tc>
          <w:tcPr>
            <w:tcW w:w="1106"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2501" w:type="dxa"/>
            <w:noWrap/>
            <w:vAlign w:val="center"/>
          </w:tcPr>
          <w:p>
            <w:pPr>
              <w:autoSpaceDE w:val="0"/>
              <w:autoSpaceDN w:val="0"/>
              <w:adjustRightInd w:val="0"/>
              <w:rPr>
                <w:rFonts w:ascii="宋体" w:hAnsi="宋体"/>
                <w:kern w:val="0"/>
                <w:sz w:val="24"/>
              </w:rPr>
            </w:pPr>
          </w:p>
        </w:tc>
        <w:tc>
          <w:tcPr>
            <w:tcW w:w="2606" w:type="dxa"/>
            <w:noWrap/>
            <w:vAlign w:val="center"/>
          </w:tcPr>
          <w:p>
            <w:pPr>
              <w:autoSpaceDE w:val="0"/>
              <w:autoSpaceDN w:val="0"/>
              <w:adjustRightInd w:val="0"/>
              <w:rPr>
                <w:rFonts w:ascii="宋体" w:hAnsi="宋体"/>
                <w:kern w:val="0"/>
                <w:sz w:val="24"/>
              </w:rPr>
            </w:pPr>
          </w:p>
        </w:tc>
        <w:tc>
          <w:tcPr>
            <w:tcW w:w="1109" w:type="dxa"/>
            <w:noWrap/>
            <w:vAlign w:val="center"/>
          </w:tcPr>
          <w:p>
            <w:pPr>
              <w:autoSpaceDE w:val="0"/>
              <w:autoSpaceDN w:val="0"/>
              <w:adjustRightInd w:val="0"/>
              <w:rPr>
                <w:rFonts w:ascii="宋体" w:hAnsi="宋体"/>
                <w:kern w:val="0"/>
                <w:sz w:val="24"/>
              </w:rPr>
            </w:pPr>
          </w:p>
        </w:tc>
        <w:tc>
          <w:tcPr>
            <w:tcW w:w="1366" w:type="dxa"/>
            <w:noWrap/>
            <w:vAlign w:val="center"/>
          </w:tcPr>
          <w:p>
            <w:pPr>
              <w:autoSpaceDE w:val="0"/>
              <w:autoSpaceDN w:val="0"/>
              <w:adjustRightInd w:val="0"/>
              <w:rPr>
                <w:rFonts w:ascii="宋体" w:hAnsi="宋体"/>
                <w:kern w:val="0"/>
                <w:sz w:val="24"/>
              </w:rPr>
            </w:pPr>
          </w:p>
        </w:tc>
        <w:tc>
          <w:tcPr>
            <w:tcW w:w="1106"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c>
          <w:tcPr>
            <w:tcW w:w="554"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2501" w:type="dxa"/>
            <w:noWrap/>
            <w:vAlign w:val="center"/>
          </w:tcPr>
          <w:p>
            <w:pPr>
              <w:autoSpaceDE w:val="0"/>
              <w:autoSpaceDN w:val="0"/>
              <w:adjustRightInd w:val="0"/>
              <w:rPr>
                <w:rFonts w:ascii="宋体" w:hAnsi="宋体"/>
                <w:kern w:val="0"/>
                <w:sz w:val="24"/>
              </w:rPr>
            </w:pPr>
          </w:p>
        </w:tc>
        <w:tc>
          <w:tcPr>
            <w:tcW w:w="2606" w:type="dxa"/>
            <w:noWrap/>
            <w:vAlign w:val="center"/>
          </w:tcPr>
          <w:p>
            <w:pPr>
              <w:autoSpaceDE w:val="0"/>
              <w:autoSpaceDN w:val="0"/>
              <w:adjustRightInd w:val="0"/>
              <w:rPr>
                <w:rFonts w:ascii="宋体" w:hAnsi="宋体"/>
                <w:kern w:val="0"/>
                <w:sz w:val="24"/>
              </w:rPr>
            </w:pPr>
          </w:p>
        </w:tc>
        <w:tc>
          <w:tcPr>
            <w:tcW w:w="1109" w:type="dxa"/>
            <w:noWrap/>
            <w:vAlign w:val="center"/>
          </w:tcPr>
          <w:p>
            <w:pPr>
              <w:autoSpaceDE w:val="0"/>
              <w:autoSpaceDN w:val="0"/>
              <w:adjustRightInd w:val="0"/>
              <w:rPr>
                <w:rFonts w:ascii="宋体" w:hAnsi="宋体"/>
                <w:kern w:val="0"/>
                <w:sz w:val="24"/>
              </w:rPr>
            </w:pPr>
          </w:p>
        </w:tc>
        <w:tc>
          <w:tcPr>
            <w:tcW w:w="1366" w:type="dxa"/>
            <w:noWrap/>
            <w:vAlign w:val="center"/>
          </w:tcPr>
          <w:p>
            <w:pPr>
              <w:autoSpaceDE w:val="0"/>
              <w:autoSpaceDN w:val="0"/>
              <w:adjustRightInd w:val="0"/>
              <w:rPr>
                <w:rFonts w:ascii="宋体" w:hAnsi="宋体"/>
                <w:kern w:val="0"/>
                <w:sz w:val="24"/>
              </w:rPr>
            </w:pPr>
          </w:p>
        </w:tc>
        <w:tc>
          <w:tcPr>
            <w:tcW w:w="1106" w:type="dxa"/>
            <w:noWrap/>
            <w:vAlign w:val="center"/>
          </w:tcPr>
          <w:p>
            <w:pPr>
              <w:autoSpaceDE w:val="0"/>
              <w:autoSpaceDN w:val="0"/>
              <w:adjustRightInd w:val="0"/>
              <w:rPr>
                <w:rFonts w:ascii="宋体" w:hAnsi="宋体"/>
                <w:kern w:val="0"/>
                <w:sz w:val="24"/>
              </w:rPr>
            </w:pPr>
          </w:p>
        </w:tc>
      </w:tr>
    </w:tbl>
    <w:p>
      <w:pPr>
        <w:adjustRightInd w:val="0"/>
        <w:snapToGrid w:val="0"/>
        <w:spacing w:line="360" w:lineRule="auto"/>
        <w:rPr>
          <w:rFonts w:ascii="宋体" w:hAnsi="宋体"/>
          <w:b/>
          <w:sz w:val="24"/>
        </w:rPr>
      </w:pPr>
      <w:r>
        <w:rPr>
          <w:rFonts w:hint="eastAsia" w:ascii="宋体" w:hAnsi="宋体"/>
          <w:b/>
          <w:kern w:val="0"/>
          <w:sz w:val="24"/>
        </w:rPr>
        <w:t>注：本表后附对应的业绩详细情况表及评分办法中要求的证明材料。</w:t>
      </w:r>
    </w:p>
    <w:p>
      <w:pPr>
        <w:pStyle w:val="11"/>
        <w:adjustRightInd w:val="0"/>
        <w:snapToGrid w:val="0"/>
        <w:spacing w:line="360" w:lineRule="auto"/>
        <w:outlineLvl w:val="9"/>
        <w:rPr>
          <w:rFonts w:hAnsi="宋体"/>
          <w:b/>
          <w:sz w:val="28"/>
        </w:rPr>
      </w:pPr>
      <w:bookmarkStart w:id="163" w:name="_Toc522530055"/>
    </w:p>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adjustRightInd w:val="0"/>
        <w:snapToGrid w:val="0"/>
        <w:spacing w:line="360" w:lineRule="auto"/>
        <w:ind w:firstLine="562" w:firstLineChars="200"/>
        <w:jc w:val="center"/>
        <w:rPr>
          <w:rFonts w:ascii="宋体" w:hAnsi="宋体"/>
          <w:b/>
          <w:szCs w:val="22"/>
        </w:rPr>
      </w:pPr>
      <w:bookmarkStart w:id="164" w:name="_Toc25910"/>
      <w:r>
        <w:rPr>
          <w:rFonts w:hint="eastAsia" w:hAnsi="宋体"/>
          <w:b/>
        </w:rPr>
        <w:t>格式四：</w:t>
      </w:r>
      <w:r>
        <w:rPr>
          <w:rFonts w:hint="eastAsia" w:ascii="宋体" w:hAnsi="宋体"/>
          <w:b/>
          <w:szCs w:val="22"/>
        </w:rPr>
        <w:t>拟投入本项目的服务团队情况表</w:t>
      </w:r>
    </w:p>
    <w:p>
      <w:pPr>
        <w:adjustRightInd w:val="0"/>
        <w:snapToGrid w:val="0"/>
        <w:jc w:val="center"/>
        <w:rPr>
          <w:rFonts w:ascii="宋体" w:hAnsi="宋体"/>
          <w:b/>
          <w:sz w:val="24"/>
        </w:rPr>
      </w:pPr>
      <w:r>
        <w:rPr>
          <w:rFonts w:hint="eastAsia" w:ascii="宋体" w:hAnsi="宋体"/>
          <w:b/>
          <w:sz w:val="24"/>
        </w:rPr>
        <w:t>（一）拟投入本项目的服务团队人员汇总表</w:t>
      </w:r>
    </w:p>
    <w:tbl>
      <w:tblPr>
        <w:tblStyle w:val="20"/>
        <w:tblW w:w="9365" w:type="dxa"/>
        <w:tblInd w:w="-142"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50"/>
        <w:gridCol w:w="1894"/>
        <w:gridCol w:w="2397"/>
        <w:gridCol w:w="1555"/>
        <w:gridCol w:w="105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17"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序号</w:t>
            </w:r>
          </w:p>
        </w:tc>
        <w:tc>
          <w:tcPr>
            <w:tcW w:w="1050"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姓名</w:t>
            </w:r>
          </w:p>
        </w:tc>
        <w:tc>
          <w:tcPr>
            <w:tcW w:w="1894"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相关专业认证（如评分需要）</w:t>
            </w:r>
          </w:p>
        </w:tc>
        <w:tc>
          <w:tcPr>
            <w:tcW w:w="2397"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在本单位工作年限</w:t>
            </w:r>
          </w:p>
        </w:tc>
        <w:tc>
          <w:tcPr>
            <w:tcW w:w="1555"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在本项目中拟担任职务或分工情况</w:t>
            </w:r>
          </w:p>
        </w:tc>
        <w:tc>
          <w:tcPr>
            <w:tcW w:w="1052" w:type="dxa"/>
            <w:noWrap/>
            <w:vAlign w:val="center"/>
          </w:tcPr>
          <w:p>
            <w:pPr>
              <w:autoSpaceDE w:val="0"/>
              <w:autoSpaceDN w:val="0"/>
              <w:adjustRightInd w:val="0"/>
              <w:jc w:val="center"/>
              <w:rPr>
                <w:rFonts w:ascii="宋体" w:hAnsi="宋体"/>
                <w:b/>
                <w:kern w:val="0"/>
                <w:sz w:val="24"/>
              </w:rPr>
            </w:pPr>
            <w:r>
              <w:rPr>
                <w:rFonts w:hint="eastAsia" w:ascii="宋体" w:hAnsi="宋体"/>
                <w:b/>
                <w:kern w:val="0"/>
                <w:sz w:val="24"/>
              </w:rPr>
              <w:t>备注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17"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1</w:t>
            </w:r>
          </w:p>
        </w:tc>
        <w:tc>
          <w:tcPr>
            <w:tcW w:w="1050" w:type="dxa"/>
            <w:noWrap/>
            <w:vAlign w:val="center"/>
          </w:tcPr>
          <w:p>
            <w:pPr>
              <w:autoSpaceDE w:val="0"/>
              <w:autoSpaceDN w:val="0"/>
              <w:adjustRightInd w:val="0"/>
              <w:rPr>
                <w:rFonts w:ascii="宋体" w:hAnsi="宋体"/>
                <w:kern w:val="0"/>
                <w:sz w:val="24"/>
              </w:rPr>
            </w:pPr>
          </w:p>
        </w:tc>
        <w:tc>
          <w:tcPr>
            <w:tcW w:w="1894" w:type="dxa"/>
            <w:noWrap/>
            <w:vAlign w:val="center"/>
          </w:tcPr>
          <w:p>
            <w:pPr>
              <w:autoSpaceDE w:val="0"/>
              <w:autoSpaceDN w:val="0"/>
              <w:adjustRightInd w:val="0"/>
              <w:rPr>
                <w:rFonts w:ascii="宋体" w:hAnsi="宋体"/>
                <w:kern w:val="0"/>
                <w:sz w:val="24"/>
              </w:rPr>
            </w:pPr>
          </w:p>
        </w:tc>
        <w:tc>
          <w:tcPr>
            <w:tcW w:w="2397" w:type="dxa"/>
            <w:noWrap/>
            <w:vAlign w:val="center"/>
          </w:tcPr>
          <w:p>
            <w:pPr>
              <w:autoSpaceDE w:val="0"/>
              <w:autoSpaceDN w:val="0"/>
              <w:adjustRightInd w:val="0"/>
              <w:rPr>
                <w:rFonts w:ascii="宋体" w:hAnsi="宋体"/>
                <w:kern w:val="0"/>
                <w:sz w:val="24"/>
              </w:rPr>
            </w:pPr>
          </w:p>
        </w:tc>
        <w:tc>
          <w:tcPr>
            <w:tcW w:w="1555" w:type="dxa"/>
            <w:noWrap/>
            <w:vAlign w:val="center"/>
          </w:tcPr>
          <w:p>
            <w:pPr>
              <w:autoSpaceDE w:val="0"/>
              <w:autoSpaceDN w:val="0"/>
              <w:adjustRightInd w:val="0"/>
              <w:rPr>
                <w:rFonts w:ascii="宋体" w:hAnsi="宋体"/>
                <w:kern w:val="0"/>
                <w:sz w:val="24"/>
              </w:rPr>
            </w:pPr>
            <w:r>
              <w:rPr>
                <w:rFonts w:hint="eastAsia" w:ascii="宋体" w:hAnsi="宋体"/>
                <w:kern w:val="0"/>
                <w:sz w:val="24"/>
              </w:rPr>
              <w:t>项目负责人</w:t>
            </w:r>
          </w:p>
        </w:tc>
        <w:tc>
          <w:tcPr>
            <w:tcW w:w="1052"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417"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2</w:t>
            </w:r>
          </w:p>
        </w:tc>
        <w:tc>
          <w:tcPr>
            <w:tcW w:w="1050" w:type="dxa"/>
            <w:noWrap/>
            <w:vAlign w:val="center"/>
          </w:tcPr>
          <w:p>
            <w:pPr>
              <w:autoSpaceDE w:val="0"/>
              <w:autoSpaceDN w:val="0"/>
              <w:adjustRightInd w:val="0"/>
              <w:rPr>
                <w:rFonts w:ascii="宋体" w:hAnsi="宋体"/>
                <w:kern w:val="0"/>
                <w:sz w:val="24"/>
              </w:rPr>
            </w:pPr>
          </w:p>
        </w:tc>
        <w:tc>
          <w:tcPr>
            <w:tcW w:w="1894" w:type="dxa"/>
            <w:noWrap/>
            <w:vAlign w:val="center"/>
          </w:tcPr>
          <w:p>
            <w:pPr>
              <w:autoSpaceDE w:val="0"/>
              <w:autoSpaceDN w:val="0"/>
              <w:adjustRightInd w:val="0"/>
              <w:rPr>
                <w:rFonts w:ascii="宋体" w:hAnsi="宋体"/>
                <w:kern w:val="0"/>
                <w:sz w:val="24"/>
              </w:rPr>
            </w:pPr>
          </w:p>
        </w:tc>
        <w:tc>
          <w:tcPr>
            <w:tcW w:w="2397" w:type="dxa"/>
            <w:noWrap/>
            <w:vAlign w:val="center"/>
          </w:tcPr>
          <w:p>
            <w:pPr>
              <w:autoSpaceDE w:val="0"/>
              <w:autoSpaceDN w:val="0"/>
              <w:adjustRightInd w:val="0"/>
              <w:rPr>
                <w:rFonts w:ascii="宋体" w:hAnsi="宋体"/>
                <w:kern w:val="0"/>
                <w:sz w:val="24"/>
              </w:rPr>
            </w:pPr>
          </w:p>
        </w:tc>
        <w:tc>
          <w:tcPr>
            <w:tcW w:w="1555" w:type="dxa"/>
            <w:noWrap/>
            <w:vAlign w:val="center"/>
          </w:tcPr>
          <w:p>
            <w:pPr>
              <w:autoSpaceDE w:val="0"/>
              <w:autoSpaceDN w:val="0"/>
              <w:adjustRightInd w:val="0"/>
              <w:rPr>
                <w:rFonts w:ascii="宋体" w:hAnsi="宋体"/>
                <w:kern w:val="0"/>
                <w:sz w:val="24"/>
              </w:rPr>
            </w:pPr>
          </w:p>
        </w:tc>
        <w:tc>
          <w:tcPr>
            <w:tcW w:w="1052"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17"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1050" w:type="dxa"/>
            <w:noWrap/>
            <w:vAlign w:val="center"/>
          </w:tcPr>
          <w:p>
            <w:pPr>
              <w:autoSpaceDE w:val="0"/>
              <w:autoSpaceDN w:val="0"/>
              <w:adjustRightInd w:val="0"/>
              <w:rPr>
                <w:rFonts w:ascii="宋体" w:hAnsi="宋体"/>
                <w:kern w:val="0"/>
                <w:sz w:val="24"/>
              </w:rPr>
            </w:pPr>
          </w:p>
        </w:tc>
        <w:tc>
          <w:tcPr>
            <w:tcW w:w="1894" w:type="dxa"/>
            <w:noWrap/>
            <w:vAlign w:val="center"/>
          </w:tcPr>
          <w:p>
            <w:pPr>
              <w:autoSpaceDE w:val="0"/>
              <w:autoSpaceDN w:val="0"/>
              <w:adjustRightInd w:val="0"/>
              <w:rPr>
                <w:rFonts w:ascii="宋体" w:hAnsi="宋体"/>
                <w:kern w:val="0"/>
                <w:sz w:val="24"/>
              </w:rPr>
            </w:pPr>
          </w:p>
        </w:tc>
        <w:tc>
          <w:tcPr>
            <w:tcW w:w="2397" w:type="dxa"/>
            <w:noWrap/>
            <w:vAlign w:val="center"/>
          </w:tcPr>
          <w:p>
            <w:pPr>
              <w:autoSpaceDE w:val="0"/>
              <w:autoSpaceDN w:val="0"/>
              <w:adjustRightInd w:val="0"/>
              <w:rPr>
                <w:rFonts w:ascii="宋体" w:hAnsi="宋体"/>
                <w:kern w:val="0"/>
                <w:sz w:val="24"/>
              </w:rPr>
            </w:pPr>
          </w:p>
        </w:tc>
        <w:tc>
          <w:tcPr>
            <w:tcW w:w="1555" w:type="dxa"/>
            <w:noWrap/>
            <w:vAlign w:val="center"/>
          </w:tcPr>
          <w:p>
            <w:pPr>
              <w:autoSpaceDE w:val="0"/>
              <w:autoSpaceDN w:val="0"/>
              <w:adjustRightInd w:val="0"/>
              <w:rPr>
                <w:rFonts w:ascii="宋体" w:hAnsi="宋体"/>
                <w:kern w:val="0"/>
                <w:sz w:val="24"/>
              </w:rPr>
            </w:pPr>
          </w:p>
        </w:tc>
        <w:tc>
          <w:tcPr>
            <w:tcW w:w="1052" w:type="dxa"/>
            <w:noWrap/>
            <w:vAlign w:val="center"/>
          </w:tcPr>
          <w:p>
            <w:pPr>
              <w:autoSpaceDE w:val="0"/>
              <w:autoSpaceDN w:val="0"/>
              <w:adjustRightInd w:val="0"/>
              <w:rPr>
                <w:rFonts w:ascii="宋体" w:hAnsi="宋体"/>
                <w:kern w:val="0"/>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365" w:type="dxa"/>
            <w:gridSpan w:val="6"/>
            <w:noWrap/>
            <w:vAlign w:val="center"/>
          </w:tcPr>
          <w:p>
            <w:pPr>
              <w:autoSpaceDE w:val="0"/>
              <w:autoSpaceDN w:val="0"/>
              <w:adjustRightInd w:val="0"/>
              <w:rPr>
                <w:rFonts w:ascii="宋体" w:hAnsi="宋体"/>
                <w:b/>
                <w:kern w:val="0"/>
                <w:sz w:val="24"/>
              </w:rPr>
            </w:pPr>
            <w:r>
              <w:rPr>
                <w:rFonts w:hint="eastAsia" w:ascii="宋体" w:hAnsi="宋体"/>
                <w:b/>
                <w:kern w:val="0"/>
                <w:sz w:val="24"/>
              </w:rPr>
              <w:t>其他说明：（如有）</w:t>
            </w:r>
          </w:p>
        </w:tc>
      </w:tr>
    </w:tbl>
    <w:p>
      <w:pPr>
        <w:adjustRightInd w:val="0"/>
        <w:snapToGrid w:val="0"/>
        <w:rPr>
          <w:rFonts w:ascii="宋体" w:hAnsi="宋体"/>
          <w:b/>
          <w:sz w:val="24"/>
        </w:rPr>
      </w:pPr>
      <w:r>
        <w:rPr>
          <w:rFonts w:hint="eastAsia" w:ascii="宋体" w:hAnsi="宋体"/>
          <w:b/>
          <w:kern w:val="0"/>
          <w:sz w:val="24"/>
        </w:rPr>
        <w:t>注：本表后附对应的人员详细情况表及其为投标人正式员工的证明文件（投标人为其缴纳的社保记录文件）。</w:t>
      </w:r>
    </w:p>
    <w:p>
      <w:pPr>
        <w:pStyle w:val="3"/>
        <w:numPr>
          <w:ilvl w:val="0"/>
          <w:numId w:val="0"/>
        </w:numPr>
        <w:jc w:val="center"/>
        <w:outlineLvl w:val="9"/>
        <w:rPr>
          <w:rFonts w:hAnsi="宋体"/>
          <w:b/>
          <w:sz w:val="28"/>
        </w:rPr>
      </w:pPr>
    </w:p>
    <w:bookmarkEnd w:id="163"/>
    <w:bookmarkEnd w:id="164"/>
    <w:p>
      <w:pPr>
        <w:adjustRightInd w:val="0"/>
        <w:snapToGrid w:val="0"/>
        <w:spacing w:line="360" w:lineRule="auto"/>
        <w:rPr>
          <w:rFonts w:hAnsi="宋体"/>
          <w:b/>
        </w:rPr>
      </w:pPr>
      <w:bookmarkStart w:id="165" w:name="_Toc522530057"/>
    </w:p>
    <w:p>
      <w:pPr>
        <w:pStyle w:val="19"/>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7"/>
        <w:rPr>
          <w:rFonts w:hAnsi="宋体"/>
          <w:b/>
        </w:rPr>
      </w:pPr>
    </w:p>
    <w:p>
      <w:pPr>
        <w:pStyle w:val="11"/>
        <w:adjustRightInd w:val="0"/>
        <w:snapToGrid w:val="0"/>
        <w:spacing w:line="360" w:lineRule="auto"/>
        <w:ind w:firstLine="2811" w:firstLineChars="1000"/>
        <w:outlineLvl w:val="1"/>
        <w:rPr>
          <w:rFonts w:hAnsi="宋体"/>
          <w:b/>
          <w:sz w:val="28"/>
        </w:rPr>
      </w:pPr>
      <w:bookmarkStart w:id="166" w:name="_Toc17047"/>
      <w:bookmarkStart w:id="167" w:name="_Toc3889"/>
      <w:bookmarkStart w:id="168" w:name="_Toc31958"/>
      <w:r>
        <w:rPr>
          <w:rFonts w:hint="eastAsia" w:hAnsi="宋体"/>
          <w:b/>
          <w:sz w:val="28"/>
          <w:szCs w:val="28"/>
        </w:rPr>
        <w:t>格式</w:t>
      </w:r>
      <w:bookmarkEnd w:id="165"/>
      <w:bookmarkStart w:id="169" w:name="_Toc8841"/>
      <w:bookmarkStart w:id="170" w:name="_Toc522530058"/>
      <w:r>
        <w:rPr>
          <w:rFonts w:hint="eastAsia" w:hAnsi="宋体"/>
          <w:b/>
          <w:sz w:val="28"/>
          <w:szCs w:val="28"/>
        </w:rPr>
        <w:t>五：技术</w:t>
      </w:r>
      <w:r>
        <w:rPr>
          <w:rFonts w:hint="eastAsia" w:hAnsi="宋体"/>
          <w:b/>
          <w:sz w:val="28"/>
        </w:rPr>
        <w:t>偏离表</w:t>
      </w:r>
      <w:bookmarkEnd w:id="166"/>
      <w:bookmarkEnd w:id="167"/>
      <w:bookmarkEnd w:id="168"/>
    </w:p>
    <w:tbl>
      <w:tblPr>
        <w:tblStyle w:val="20"/>
        <w:tblW w:w="8757"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974"/>
        <w:gridCol w:w="1753"/>
        <w:gridCol w:w="2014"/>
        <w:gridCol w:w="221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802" w:type="dxa"/>
            <w:noWrap/>
            <w:vAlign w:val="center"/>
          </w:tcPr>
          <w:p>
            <w:pPr>
              <w:adjustRightInd w:val="0"/>
              <w:snapToGrid w:val="0"/>
              <w:jc w:val="center"/>
              <w:rPr>
                <w:rFonts w:ascii="宋体" w:hAnsi="宋体"/>
                <w:b/>
                <w:sz w:val="24"/>
              </w:rPr>
            </w:pPr>
            <w:r>
              <w:rPr>
                <w:rFonts w:hint="eastAsia" w:ascii="宋体" w:hAnsi="宋体"/>
                <w:b/>
                <w:sz w:val="24"/>
              </w:rPr>
              <w:t>序号</w:t>
            </w:r>
          </w:p>
        </w:tc>
        <w:tc>
          <w:tcPr>
            <w:tcW w:w="1974" w:type="dxa"/>
            <w:noWrap/>
            <w:vAlign w:val="center"/>
          </w:tcPr>
          <w:p>
            <w:pPr>
              <w:adjustRightInd w:val="0"/>
              <w:snapToGrid w:val="0"/>
              <w:jc w:val="center"/>
              <w:rPr>
                <w:rFonts w:ascii="宋体" w:hAnsi="宋体"/>
                <w:b/>
                <w:sz w:val="24"/>
              </w:rPr>
            </w:pPr>
            <w:r>
              <w:rPr>
                <w:rFonts w:hint="eastAsia" w:ascii="宋体" w:hAnsi="宋体"/>
                <w:b/>
                <w:sz w:val="24"/>
              </w:rPr>
              <w:t>招标文件要求</w:t>
            </w:r>
          </w:p>
        </w:tc>
        <w:tc>
          <w:tcPr>
            <w:tcW w:w="1753" w:type="dxa"/>
            <w:noWrap/>
            <w:vAlign w:val="center"/>
          </w:tcPr>
          <w:p>
            <w:pPr>
              <w:adjustRightInd w:val="0"/>
              <w:snapToGrid w:val="0"/>
              <w:jc w:val="center"/>
              <w:rPr>
                <w:rFonts w:ascii="宋体" w:hAnsi="宋体"/>
                <w:b/>
                <w:sz w:val="24"/>
              </w:rPr>
            </w:pPr>
            <w:r>
              <w:rPr>
                <w:rFonts w:hint="eastAsia" w:ascii="宋体" w:hAnsi="宋体"/>
                <w:b/>
                <w:sz w:val="24"/>
              </w:rPr>
              <w:t>投标文件响应</w:t>
            </w:r>
          </w:p>
        </w:tc>
        <w:tc>
          <w:tcPr>
            <w:tcW w:w="2014" w:type="dxa"/>
            <w:noWrap/>
            <w:vAlign w:val="center"/>
          </w:tcPr>
          <w:p>
            <w:pPr>
              <w:adjustRightInd w:val="0"/>
              <w:snapToGrid w:val="0"/>
              <w:jc w:val="center"/>
              <w:rPr>
                <w:rFonts w:ascii="宋体" w:hAnsi="宋体"/>
                <w:b/>
                <w:sz w:val="24"/>
              </w:rPr>
            </w:pPr>
            <w:r>
              <w:rPr>
                <w:rFonts w:hint="eastAsia" w:ascii="宋体" w:hAnsi="宋体"/>
                <w:b/>
                <w:sz w:val="24"/>
              </w:rPr>
              <w:t>正/负/无偏离</w:t>
            </w:r>
          </w:p>
        </w:tc>
        <w:tc>
          <w:tcPr>
            <w:tcW w:w="2214" w:type="dxa"/>
            <w:noWrap/>
            <w:vAlign w:val="center"/>
          </w:tcPr>
          <w:p>
            <w:pPr>
              <w:adjustRightInd w:val="0"/>
              <w:snapToGrid w:val="0"/>
              <w:jc w:val="center"/>
              <w:rPr>
                <w:rFonts w:ascii="宋体" w:hAnsi="宋体"/>
                <w:b/>
                <w:sz w:val="24"/>
              </w:rPr>
            </w:pPr>
            <w:r>
              <w:rPr>
                <w:rFonts w:hint="eastAsia" w:ascii="宋体" w:hAnsi="宋体"/>
                <w:b/>
                <w:sz w:val="24"/>
              </w:rPr>
              <w:t>理由</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02"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1</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02"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2</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02"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3</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02"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02"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02"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02"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02"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02" w:type="dxa"/>
            <w:noWrap/>
            <w:vAlign w:val="center"/>
          </w:tcPr>
          <w:p>
            <w:pPr>
              <w:autoSpaceDE w:val="0"/>
              <w:autoSpaceDN w:val="0"/>
              <w:adjustRightInd w:val="0"/>
              <w:jc w:val="center"/>
              <w:rPr>
                <w:rFonts w:ascii="宋体" w:hAnsi="宋体"/>
                <w:kern w:val="0"/>
                <w:sz w:val="24"/>
              </w:rPr>
            </w:pPr>
            <w:r>
              <w:rPr>
                <w:rFonts w:hint="eastAsia" w:ascii="宋体" w:hAnsi="宋体"/>
                <w:kern w:val="0"/>
                <w:sz w:val="24"/>
              </w:rPr>
              <w:t>…</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518" w:hRule="atLeast"/>
          <w:jc w:val="center"/>
        </w:trPr>
        <w:tc>
          <w:tcPr>
            <w:tcW w:w="802" w:type="dxa"/>
            <w:noWrap/>
            <w:vAlign w:val="center"/>
          </w:tcPr>
          <w:p>
            <w:pPr>
              <w:adjustRightInd w:val="0"/>
              <w:snapToGrid w:val="0"/>
              <w:jc w:val="center"/>
              <w:rPr>
                <w:rFonts w:ascii="宋体" w:hAnsi="宋体"/>
                <w:sz w:val="24"/>
              </w:rPr>
            </w:pPr>
            <w:r>
              <w:rPr>
                <w:rFonts w:hint="eastAsia" w:ascii="宋体" w:hAnsi="宋体"/>
                <w:kern w:val="0"/>
                <w:sz w:val="24"/>
              </w:rPr>
              <w:t>…</w:t>
            </w:r>
          </w:p>
        </w:tc>
        <w:tc>
          <w:tcPr>
            <w:tcW w:w="1974" w:type="dxa"/>
            <w:noWrap/>
            <w:vAlign w:val="center"/>
          </w:tcPr>
          <w:p>
            <w:pPr>
              <w:adjustRightInd w:val="0"/>
              <w:snapToGrid w:val="0"/>
              <w:jc w:val="center"/>
              <w:rPr>
                <w:rFonts w:ascii="宋体" w:hAnsi="宋体"/>
                <w:sz w:val="24"/>
              </w:rPr>
            </w:pPr>
          </w:p>
        </w:tc>
        <w:tc>
          <w:tcPr>
            <w:tcW w:w="1753" w:type="dxa"/>
            <w:noWrap/>
            <w:vAlign w:val="center"/>
          </w:tcPr>
          <w:p>
            <w:pPr>
              <w:adjustRightInd w:val="0"/>
              <w:snapToGrid w:val="0"/>
              <w:jc w:val="center"/>
              <w:rPr>
                <w:rFonts w:ascii="宋体" w:hAnsi="宋体"/>
                <w:sz w:val="24"/>
              </w:rPr>
            </w:pPr>
          </w:p>
        </w:tc>
        <w:tc>
          <w:tcPr>
            <w:tcW w:w="2014" w:type="dxa"/>
            <w:noWrap/>
            <w:vAlign w:val="center"/>
          </w:tcPr>
          <w:p>
            <w:pPr>
              <w:adjustRightInd w:val="0"/>
              <w:snapToGrid w:val="0"/>
              <w:jc w:val="center"/>
              <w:rPr>
                <w:rFonts w:ascii="宋体" w:hAnsi="宋体"/>
                <w:sz w:val="24"/>
              </w:rPr>
            </w:pPr>
          </w:p>
        </w:tc>
        <w:tc>
          <w:tcPr>
            <w:tcW w:w="2214" w:type="dxa"/>
            <w:noWrap/>
            <w:vAlign w:val="center"/>
          </w:tcPr>
          <w:p>
            <w:pPr>
              <w:adjustRightInd w:val="0"/>
              <w:snapToGrid w:val="0"/>
              <w:jc w:val="center"/>
              <w:rPr>
                <w:rFonts w:ascii="宋体" w:hAnsi="宋体"/>
                <w:sz w:val="24"/>
              </w:rPr>
            </w:pPr>
          </w:p>
        </w:tc>
      </w:tr>
    </w:tbl>
    <w:p>
      <w:pPr>
        <w:autoSpaceDE w:val="0"/>
        <w:autoSpaceDN w:val="0"/>
        <w:adjustRightInd w:val="0"/>
        <w:spacing w:line="360" w:lineRule="auto"/>
        <w:ind w:firstLine="5160" w:firstLineChars="2150"/>
        <w:rPr>
          <w:rFonts w:ascii="宋体" w:hAnsi="宋体"/>
          <w:kern w:val="0"/>
          <w:sz w:val="24"/>
          <w:lang w:val="zh-CN"/>
        </w:rPr>
      </w:pPr>
    </w:p>
    <w:p>
      <w:pPr>
        <w:adjustRightInd w:val="0"/>
        <w:snapToGrid w:val="0"/>
        <w:spacing w:line="360" w:lineRule="auto"/>
        <w:rPr>
          <w:rFonts w:ascii="宋体" w:hAnsi="宋体"/>
          <w:bCs/>
          <w:kern w:val="0"/>
          <w:sz w:val="24"/>
          <w:szCs w:val="22"/>
        </w:rPr>
      </w:pPr>
      <w:r>
        <w:rPr>
          <w:rFonts w:hint="eastAsia" w:ascii="宋体" w:hAnsi="宋体"/>
          <w:b/>
          <w:kern w:val="0"/>
          <w:sz w:val="24"/>
          <w:lang w:val="zh-CN"/>
        </w:rPr>
        <w:t>注：</w:t>
      </w:r>
      <w:r>
        <w:rPr>
          <w:rFonts w:hint="eastAsia" w:ascii="宋体" w:hAnsi="宋体"/>
          <w:bCs/>
          <w:kern w:val="0"/>
          <w:sz w:val="24"/>
          <w:szCs w:val="22"/>
          <w:lang w:val="zh-CN"/>
        </w:rPr>
        <w:t>“技术偏离”是指对“第三部分项目技术及服务要求”中条款的偏离。</w:t>
      </w:r>
    </w:p>
    <w:p>
      <w:pPr>
        <w:adjustRightInd w:val="0"/>
        <w:snapToGrid w:val="0"/>
        <w:spacing w:line="360" w:lineRule="auto"/>
        <w:rPr>
          <w:rFonts w:ascii="宋体" w:hAnsi="宋体"/>
          <w:kern w:val="0"/>
          <w:sz w:val="24"/>
          <w:lang w:val="zh-CN"/>
        </w:rPr>
      </w:pPr>
    </w:p>
    <w:p>
      <w:pPr>
        <w:pStyle w:val="19"/>
        <w:ind w:left="560" w:firstLine="480"/>
        <w:rPr>
          <w:rFonts w:ascii="宋体" w:hAnsi="宋体"/>
          <w:kern w:val="0"/>
          <w:sz w:val="24"/>
          <w:lang w:val="zh-CN"/>
        </w:rPr>
      </w:pPr>
    </w:p>
    <w:p>
      <w:pPr>
        <w:pStyle w:val="7"/>
        <w:ind w:firstLine="210"/>
        <w:rPr>
          <w:lang w:val="zh-CN"/>
        </w:rPr>
      </w:pPr>
    </w:p>
    <w:p>
      <w:pPr>
        <w:adjustRightInd w:val="0"/>
        <w:snapToGrid w:val="0"/>
        <w:spacing w:line="360" w:lineRule="auto"/>
        <w:rPr>
          <w:rFonts w:ascii="宋体" w:hAnsi="宋体"/>
          <w:kern w:val="0"/>
          <w:sz w:val="24"/>
          <w:lang w:val="zh-CN"/>
        </w:rPr>
      </w:pPr>
    </w:p>
    <w:p>
      <w:pPr>
        <w:adjustRightInd w:val="0"/>
        <w:snapToGrid w:val="0"/>
        <w:spacing w:line="360" w:lineRule="auto"/>
        <w:rPr>
          <w:rFonts w:ascii="宋体" w:hAnsi="宋体"/>
          <w:kern w:val="0"/>
          <w:sz w:val="24"/>
        </w:rPr>
      </w:pPr>
      <w:r>
        <w:rPr>
          <w:rFonts w:hint="eastAsia" w:ascii="宋体" w:hAnsi="宋体"/>
          <w:kern w:val="0"/>
          <w:sz w:val="24"/>
          <w:lang w:val="zh-CN"/>
        </w:rPr>
        <w:t>法定/授权代表：</w:t>
      </w:r>
      <w:r>
        <w:rPr>
          <w:rFonts w:hint="eastAsia" w:ascii="宋体" w:hAnsi="宋体"/>
          <w:kern w:val="0"/>
          <w:sz w:val="24"/>
          <w:u w:val="single"/>
          <w:lang w:val="zh-CN"/>
        </w:rPr>
        <w:t xml:space="preserve">（签字或盖章） </w:t>
      </w:r>
    </w:p>
    <w:p>
      <w:pPr>
        <w:adjustRightInd w:val="0"/>
        <w:snapToGrid w:val="0"/>
        <w:spacing w:line="360" w:lineRule="auto"/>
        <w:rPr>
          <w:rFonts w:ascii="宋体" w:hAnsi="宋体"/>
          <w:kern w:val="0"/>
          <w:sz w:val="24"/>
          <w:u w:val="single"/>
          <w:lang w:val="zh-CN"/>
        </w:rPr>
      </w:pPr>
      <w:r>
        <w:rPr>
          <w:rFonts w:hint="eastAsia" w:ascii="宋体" w:hAnsi="宋体"/>
          <w:kern w:val="0"/>
          <w:sz w:val="24"/>
          <w:lang w:val="zh-CN"/>
        </w:rPr>
        <w:t>投标人：</w:t>
      </w:r>
      <w:r>
        <w:rPr>
          <w:rFonts w:hint="eastAsia" w:ascii="宋体" w:hAnsi="宋体"/>
          <w:kern w:val="0"/>
          <w:sz w:val="24"/>
          <w:u w:val="single"/>
          <w:lang w:val="zh-CN"/>
        </w:rPr>
        <w:t xml:space="preserve">（全称加盖公章）       </w:t>
      </w:r>
    </w:p>
    <w:p>
      <w:pPr>
        <w:adjustRightInd w:val="0"/>
        <w:snapToGrid w:val="0"/>
        <w:spacing w:line="360" w:lineRule="auto"/>
        <w:rPr>
          <w:rFonts w:ascii="宋体" w:hAnsi="宋体"/>
          <w:kern w:val="0"/>
          <w:sz w:val="24"/>
          <w:u w:val="single"/>
        </w:rPr>
      </w:pPr>
      <w:r>
        <w:rPr>
          <w:rFonts w:hint="eastAsia" w:ascii="宋体" w:hAnsi="宋体"/>
          <w:kern w:val="0"/>
          <w:sz w:val="24"/>
          <w:lang w:val="zh-CN"/>
        </w:rPr>
        <w:t>日期</w:t>
      </w:r>
      <w:r>
        <w:rPr>
          <w:rFonts w:hint="eastAsia" w:ascii="宋体" w:hAnsi="宋体"/>
          <w:kern w:val="0"/>
          <w:sz w:val="24"/>
        </w:rPr>
        <w:t xml:space="preserve">： </w:t>
      </w:r>
      <w:r>
        <w:rPr>
          <w:rFonts w:hint="eastAsia" w:ascii="宋体" w:hAnsi="宋体"/>
          <w:kern w:val="0"/>
          <w:sz w:val="24"/>
          <w:lang w:val="en-US" w:eastAsia="zh-CN"/>
        </w:rPr>
        <w:t xml:space="preserve">  </w:t>
      </w:r>
      <w:r>
        <w:rPr>
          <w:rFonts w:hint="eastAsia" w:ascii="宋体" w:hAnsi="宋体"/>
          <w:kern w:val="0"/>
          <w:sz w:val="24"/>
          <w:lang w:val="zh-CN"/>
        </w:rPr>
        <w:t>年</w:t>
      </w:r>
      <w:r>
        <w:rPr>
          <w:rFonts w:hint="eastAsia" w:ascii="宋体" w:hAnsi="宋体"/>
          <w:kern w:val="0"/>
          <w:sz w:val="24"/>
          <w:u w:val="none"/>
          <w:lang w:val="en-US" w:eastAsia="zh-CN"/>
        </w:rPr>
        <w:t xml:space="preserve">    </w:t>
      </w:r>
      <w:r>
        <w:rPr>
          <w:rFonts w:hint="eastAsia" w:ascii="宋体" w:hAnsi="宋体"/>
          <w:kern w:val="0"/>
          <w:sz w:val="24"/>
          <w:lang w:val="zh-CN"/>
        </w:rPr>
        <w:t>月</w:t>
      </w:r>
      <w:r>
        <w:rPr>
          <w:rFonts w:hint="eastAsia" w:ascii="宋体" w:hAnsi="宋体"/>
          <w:kern w:val="0"/>
          <w:sz w:val="24"/>
          <w:lang w:val="en-US" w:eastAsia="zh-CN"/>
        </w:rPr>
        <w:t xml:space="preserve">   </w:t>
      </w:r>
      <w:r>
        <w:rPr>
          <w:rFonts w:hint="eastAsia" w:ascii="宋体" w:hAnsi="宋体"/>
          <w:kern w:val="0"/>
          <w:sz w:val="24"/>
          <w:lang w:val="zh-CN"/>
        </w:rPr>
        <w:t>日</w:t>
      </w:r>
    </w:p>
    <w:p>
      <w:pPr>
        <w:autoSpaceDE w:val="0"/>
        <w:autoSpaceDN w:val="0"/>
        <w:adjustRightInd w:val="0"/>
        <w:spacing w:line="360" w:lineRule="auto"/>
        <w:rPr>
          <w:rFonts w:ascii="宋体" w:hAnsi="宋体"/>
          <w:kern w:val="0"/>
          <w:sz w:val="24"/>
        </w:rPr>
      </w:pPr>
    </w:p>
    <w:p>
      <w:pPr>
        <w:rPr>
          <w:rFonts w:hAnsi="宋体"/>
          <w:b/>
        </w:rPr>
      </w:pPr>
    </w:p>
    <w:p>
      <w:pPr>
        <w:pStyle w:val="2"/>
        <w:outlineLvl w:val="9"/>
      </w:pPr>
    </w:p>
    <w:p>
      <w:pPr>
        <w:pStyle w:val="19"/>
        <w:ind w:left="560" w:firstLine="56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7"/>
        <w:ind w:firstLine="280"/>
        <w:rPr>
          <w:rFonts w:hAnsi="宋体"/>
          <w:b/>
          <w:sz w:val="28"/>
        </w:rPr>
      </w:pPr>
    </w:p>
    <w:p>
      <w:pPr>
        <w:pStyle w:val="3"/>
        <w:numPr>
          <w:ilvl w:val="0"/>
          <w:numId w:val="0"/>
        </w:numPr>
        <w:jc w:val="center"/>
        <w:rPr>
          <w:rFonts w:ascii="宋体" w:hAnsi="宋体" w:eastAsia="宋体"/>
          <w:sz w:val="28"/>
        </w:rPr>
      </w:pPr>
      <w:bookmarkStart w:id="171" w:name="_Toc19050"/>
      <w:bookmarkStart w:id="172" w:name="_Toc9832"/>
      <w:bookmarkStart w:id="173" w:name="_Toc21332"/>
      <w:r>
        <w:rPr>
          <w:rFonts w:hint="eastAsia" w:ascii="宋体" w:hAnsi="宋体" w:eastAsia="宋体"/>
          <w:b/>
          <w:sz w:val="28"/>
          <w:szCs w:val="22"/>
        </w:rPr>
        <w:t>格式六</w:t>
      </w:r>
      <w:r>
        <w:rPr>
          <w:rFonts w:hint="eastAsia" w:hAnsi="宋体"/>
          <w:b/>
          <w:sz w:val="28"/>
        </w:rPr>
        <w:t>：</w:t>
      </w:r>
      <w:r>
        <w:rPr>
          <w:rFonts w:hint="eastAsia" w:ascii="宋体" w:hAnsi="宋体" w:eastAsia="宋体"/>
          <w:b/>
          <w:sz w:val="28"/>
          <w:szCs w:val="22"/>
        </w:rPr>
        <w:t>开标一览表</w:t>
      </w:r>
      <w:bookmarkEnd w:id="158"/>
      <w:bookmarkEnd w:id="159"/>
      <w:bookmarkEnd w:id="160"/>
      <w:bookmarkEnd w:id="161"/>
      <w:bookmarkEnd w:id="162"/>
      <w:bookmarkEnd w:id="169"/>
      <w:bookmarkEnd w:id="170"/>
      <w:bookmarkEnd w:id="171"/>
      <w:bookmarkEnd w:id="172"/>
      <w:bookmarkEnd w:id="173"/>
    </w:p>
    <w:p>
      <w:pPr>
        <w:adjustRightInd w:val="0"/>
        <w:snapToGrid w:val="0"/>
        <w:spacing w:line="360" w:lineRule="auto"/>
        <w:rPr>
          <w:rFonts w:ascii="宋体" w:hAnsi="宋体"/>
          <w:sz w:val="24"/>
          <w:highlight w:val="none"/>
          <w:u w:val="single"/>
        </w:rPr>
      </w:pPr>
      <w:r>
        <w:rPr>
          <w:rFonts w:hint="eastAsia" w:ascii="宋体" w:hAnsi="宋体"/>
          <w:sz w:val="24"/>
          <w:highlight w:val="none"/>
          <w:u w:val="single"/>
          <w:lang w:eastAsia="zh-CN"/>
        </w:rPr>
        <w:t>（</w:t>
      </w:r>
      <w:r>
        <w:rPr>
          <w:rFonts w:hint="eastAsia" w:ascii="宋体" w:hAnsi="宋体"/>
          <w:sz w:val="24"/>
          <w:highlight w:val="none"/>
          <w:u w:val="single"/>
          <w:lang w:val="en-US" w:eastAsia="zh-CN"/>
        </w:rPr>
        <w:t>采购人</w:t>
      </w:r>
      <w:r>
        <w:rPr>
          <w:rFonts w:hint="eastAsia" w:ascii="宋体" w:hAnsi="宋体"/>
          <w:sz w:val="24"/>
          <w:highlight w:val="none"/>
          <w:u w:val="single"/>
          <w:lang w:eastAsia="zh-CN"/>
        </w:rPr>
        <w:t>）</w:t>
      </w:r>
      <w:r>
        <w:rPr>
          <w:rFonts w:hint="eastAsia" w:ascii="宋体" w:hAnsi="宋体"/>
          <w:sz w:val="24"/>
          <w:highlight w:val="none"/>
          <w:u w:val="single"/>
        </w:rPr>
        <w:t>：</w:t>
      </w:r>
    </w:p>
    <w:p>
      <w:pPr>
        <w:adjustRightInd w:val="0"/>
        <w:snapToGrid w:val="0"/>
        <w:spacing w:line="360" w:lineRule="auto"/>
        <w:rPr>
          <w:rFonts w:ascii="宋体" w:hAnsi="宋体"/>
          <w:sz w:val="24"/>
          <w:szCs w:val="22"/>
        </w:rPr>
      </w:pPr>
      <w:r>
        <w:rPr>
          <w:rFonts w:hint="eastAsia" w:ascii="宋体" w:hAnsi="宋体"/>
          <w:sz w:val="24"/>
          <w:szCs w:val="22"/>
        </w:rPr>
        <w:t>浙江科信联合工程项目管理咨询有限公司：</w:t>
      </w:r>
    </w:p>
    <w:p>
      <w:pPr>
        <w:spacing w:beforeLines="10" w:line="312" w:lineRule="auto"/>
        <w:ind w:firstLine="480" w:firstLineChars="200"/>
        <w:rPr>
          <w:rFonts w:ascii="宋体" w:hAnsi="宋体"/>
          <w:kern w:val="0"/>
          <w:sz w:val="24"/>
          <w:lang w:val="zh-CN"/>
        </w:rPr>
      </w:pPr>
      <w:r>
        <w:rPr>
          <w:rFonts w:hint="eastAsia" w:ascii="宋体" w:hAnsi="宋体"/>
          <w:kern w:val="0"/>
          <w:sz w:val="24"/>
          <w:lang w:val="zh-CN"/>
        </w:rPr>
        <w:t>按贵方招标文件要求，如你方接受本投标文件，我方承诺按照如下开标一览表的价格完成</w:t>
      </w:r>
      <w:r>
        <w:rPr>
          <w:rFonts w:hint="eastAsia" w:ascii="宋体" w:hAnsi="宋体"/>
          <w:sz w:val="24"/>
          <w:u w:val="single"/>
        </w:rPr>
        <w:t>（项目名称）</w:t>
      </w:r>
      <w:r>
        <w:rPr>
          <w:rFonts w:hint="eastAsia" w:ascii="宋体" w:hAnsi="宋体"/>
          <w:sz w:val="24"/>
          <w:szCs w:val="24"/>
          <w:u w:val="single"/>
        </w:rPr>
        <w:t>（项目编号）</w:t>
      </w:r>
      <w:r>
        <w:rPr>
          <w:rFonts w:hint="eastAsia" w:ascii="宋体" w:hAnsi="宋体"/>
          <w:kern w:val="0"/>
          <w:sz w:val="24"/>
          <w:lang w:val="zh-CN"/>
        </w:rPr>
        <w:t>的实施。</w:t>
      </w:r>
    </w:p>
    <w:p>
      <w:pPr>
        <w:adjustRightInd w:val="0"/>
        <w:snapToGrid w:val="0"/>
        <w:spacing w:line="360" w:lineRule="auto"/>
        <w:ind w:right="480"/>
        <w:jc w:val="center"/>
        <w:rPr>
          <w:rFonts w:ascii="宋体" w:hAnsi="宋体"/>
          <w:b/>
          <w:kern w:val="0"/>
          <w:sz w:val="24"/>
          <w:lang w:val="zh-CN"/>
        </w:rPr>
      </w:pPr>
      <w:r>
        <w:rPr>
          <w:rFonts w:hint="eastAsia" w:ascii="宋体" w:hAnsi="宋体"/>
          <w:b/>
          <w:kern w:val="0"/>
          <w:sz w:val="24"/>
          <w:lang w:val="zh-CN"/>
        </w:rPr>
        <w:t xml:space="preserve">                                              货币单位：人民币元</w:t>
      </w:r>
    </w:p>
    <w:tbl>
      <w:tblPr>
        <w:tblStyle w:val="20"/>
        <w:tblW w:w="7889" w:type="dxa"/>
        <w:jc w:val="center"/>
        <w:tblLayout w:type="fixed"/>
        <w:tblCellMar>
          <w:top w:w="0" w:type="dxa"/>
          <w:left w:w="108" w:type="dxa"/>
          <w:bottom w:w="0" w:type="dxa"/>
          <w:right w:w="108" w:type="dxa"/>
        </w:tblCellMar>
      </w:tblPr>
      <w:tblGrid>
        <w:gridCol w:w="897"/>
        <w:gridCol w:w="4208"/>
        <w:gridCol w:w="2784"/>
      </w:tblGrid>
      <w:tr>
        <w:tblPrEx>
          <w:tblCellMar>
            <w:top w:w="0" w:type="dxa"/>
            <w:left w:w="108" w:type="dxa"/>
            <w:bottom w:w="0" w:type="dxa"/>
            <w:right w:w="108" w:type="dxa"/>
          </w:tblCellMar>
        </w:tblPrEx>
        <w:trPr>
          <w:trHeight w:val="405" w:hRule="atLeast"/>
          <w:jc w:val="center"/>
        </w:trPr>
        <w:tc>
          <w:tcPr>
            <w:tcW w:w="7889"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sz w:val="21"/>
                <w:szCs w:val="21"/>
                <w:highlight w:val="none"/>
              </w:rPr>
            </w:pPr>
            <w:r>
              <w:rPr>
                <w:rFonts w:hint="eastAsia" w:ascii="宋体" w:hAnsi="宋体" w:cs="宋体"/>
                <w:b/>
                <w:bCs/>
                <w:kern w:val="0"/>
                <w:sz w:val="21"/>
                <w:szCs w:val="21"/>
                <w:highlight w:val="none"/>
                <w:lang w:val="en-US" w:eastAsia="zh-CN"/>
              </w:rPr>
              <w:t>项目采购</w:t>
            </w:r>
            <w:r>
              <w:rPr>
                <w:rFonts w:hint="eastAsia" w:ascii="宋体" w:hAnsi="宋体" w:cs="宋体"/>
                <w:b/>
                <w:bCs/>
                <w:kern w:val="0"/>
                <w:sz w:val="21"/>
                <w:szCs w:val="21"/>
                <w:highlight w:val="none"/>
              </w:rPr>
              <w:t>数量汇总表</w:t>
            </w:r>
          </w:p>
        </w:tc>
      </w:tr>
      <w:tr>
        <w:tblPrEx>
          <w:tblCellMar>
            <w:top w:w="0" w:type="dxa"/>
            <w:left w:w="108" w:type="dxa"/>
            <w:bottom w:w="0" w:type="dxa"/>
            <w:right w:w="108" w:type="dxa"/>
          </w:tblCellMar>
        </w:tblPrEx>
        <w:trPr>
          <w:trHeight w:val="285" w:hRule="atLeast"/>
          <w:jc w:val="center"/>
        </w:trPr>
        <w:tc>
          <w:tcPr>
            <w:tcW w:w="8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highlight w:val="none"/>
              </w:rPr>
            </w:pPr>
            <w:r>
              <w:rPr>
                <w:rFonts w:hint="eastAsia" w:ascii="宋体" w:hAnsi="宋体" w:cs="宋体"/>
                <w:kern w:val="0"/>
                <w:sz w:val="21"/>
                <w:szCs w:val="21"/>
                <w:highlight w:val="none"/>
              </w:rPr>
              <w:t>序号</w:t>
            </w:r>
          </w:p>
        </w:tc>
        <w:tc>
          <w:tcPr>
            <w:tcW w:w="4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sz w:val="21"/>
                <w:szCs w:val="21"/>
                <w:highlight w:val="none"/>
                <w:lang w:val="en-US" w:eastAsia="zh-CN"/>
              </w:rPr>
            </w:pPr>
            <w:r>
              <w:rPr>
                <w:rFonts w:hint="eastAsia" w:ascii="宋体" w:hAnsi="宋体" w:cs="宋体"/>
                <w:kern w:val="0"/>
                <w:sz w:val="21"/>
                <w:szCs w:val="21"/>
                <w:highlight w:val="none"/>
                <w:lang w:val="en-US" w:eastAsia="zh-CN"/>
              </w:rPr>
              <w:t>采购品目</w:t>
            </w:r>
          </w:p>
        </w:tc>
        <w:tc>
          <w:tcPr>
            <w:tcW w:w="27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价格（元）</w:t>
            </w:r>
          </w:p>
        </w:tc>
      </w:tr>
      <w:tr>
        <w:tblPrEx>
          <w:tblCellMar>
            <w:top w:w="0" w:type="dxa"/>
            <w:left w:w="108" w:type="dxa"/>
            <w:bottom w:w="0" w:type="dxa"/>
            <w:right w:w="108" w:type="dxa"/>
          </w:tblCellMar>
        </w:tblPrEx>
        <w:trPr>
          <w:trHeight w:val="300" w:hRule="atLeast"/>
          <w:jc w:val="center"/>
        </w:trPr>
        <w:tc>
          <w:tcPr>
            <w:tcW w:w="8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highlight w:val="none"/>
              </w:rPr>
            </w:pPr>
            <w:r>
              <w:rPr>
                <w:rFonts w:hint="eastAsia" w:ascii="宋体" w:hAnsi="宋体" w:cs="宋体"/>
                <w:kern w:val="0"/>
                <w:sz w:val="21"/>
                <w:szCs w:val="21"/>
                <w:highlight w:val="none"/>
              </w:rPr>
              <w:t>1</w:t>
            </w:r>
          </w:p>
        </w:tc>
        <w:tc>
          <w:tcPr>
            <w:tcW w:w="420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 w:val="21"/>
                <w:szCs w:val="21"/>
                <w:highlight w:val="none"/>
              </w:rPr>
            </w:pPr>
            <w:r>
              <w:rPr>
                <w:rFonts w:hint="eastAsia" w:ascii="宋体" w:hAnsi="宋体" w:cs="宋体"/>
                <w:sz w:val="21"/>
                <w:szCs w:val="21"/>
                <w:highlight w:val="none"/>
                <w:lang w:val="en-US" w:eastAsia="zh-CN"/>
              </w:rPr>
              <w:t>零部件测绘教师实训平台</w:t>
            </w:r>
          </w:p>
        </w:tc>
        <w:tc>
          <w:tcPr>
            <w:tcW w:w="27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highlight w:val="none"/>
              </w:rPr>
            </w:pPr>
          </w:p>
        </w:tc>
      </w:tr>
      <w:tr>
        <w:tblPrEx>
          <w:tblCellMar>
            <w:top w:w="0" w:type="dxa"/>
            <w:left w:w="108" w:type="dxa"/>
            <w:bottom w:w="0" w:type="dxa"/>
            <w:right w:w="108" w:type="dxa"/>
          </w:tblCellMar>
        </w:tblPrEx>
        <w:trPr>
          <w:trHeight w:val="285" w:hRule="atLeast"/>
          <w:jc w:val="center"/>
        </w:trPr>
        <w:tc>
          <w:tcPr>
            <w:tcW w:w="8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highlight w:val="none"/>
              </w:rPr>
            </w:pPr>
            <w:r>
              <w:rPr>
                <w:rFonts w:hint="eastAsia" w:ascii="宋体" w:hAnsi="宋体" w:cs="宋体"/>
                <w:kern w:val="0"/>
                <w:sz w:val="21"/>
                <w:szCs w:val="21"/>
                <w:highlight w:val="none"/>
              </w:rPr>
              <w:t>2</w:t>
            </w:r>
          </w:p>
        </w:tc>
        <w:tc>
          <w:tcPr>
            <w:tcW w:w="420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 w:val="21"/>
                <w:szCs w:val="21"/>
                <w:highlight w:val="none"/>
              </w:rPr>
            </w:pPr>
            <w:r>
              <w:rPr>
                <w:rFonts w:hint="eastAsia" w:ascii="宋体" w:hAnsi="宋体" w:cs="宋体"/>
                <w:sz w:val="21"/>
                <w:szCs w:val="21"/>
                <w:highlight w:val="none"/>
              </w:rPr>
              <w:t>双工位零部件测绘综合实训平台</w:t>
            </w:r>
          </w:p>
        </w:tc>
        <w:tc>
          <w:tcPr>
            <w:tcW w:w="27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highlight w:val="none"/>
              </w:rPr>
            </w:pPr>
          </w:p>
        </w:tc>
      </w:tr>
      <w:tr>
        <w:tblPrEx>
          <w:tblCellMar>
            <w:top w:w="0" w:type="dxa"/>
            <w:left w:w="108" w:type="dxa"/>
            <w:bottom w:w="0" w:type="dxa"/>
            <w:right w:w="108" w:type="dxa"/>
          </w:tblCellMar>
        </w:tblPrEx>
        <w:trPr>
          <w:trHeight w:val="285" w:hRule="atLeast"/>
          <w:jc w:val="center"/>
        </w:trPr>
        <w:tc>
          <w:tcPr>
            <w:tcW w:w="8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rPr>
            </w:pPr>
            <w:r>
              <w:rPr>
                <w:rFonts w:hint="eastAsia" w:ascii="宋体" w:hAnsi="宋体" w:cs="宋体"/>
                <w:kern w:val="0"/>
                <w:sz w:val="21"/>
                <w:szCs w:val="21"/>
              </w:rPr>
              <w:t>3</w:t>
            </w:r>
          </w:p>
        </w:tc>
        <w:tc>
          <w:tcPr>
            <w:tcW w:w="420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 w:val="21"/>
                <w:szCs w:val="21"/>
              </w:rPr>
            </w:pPr>
            <w:r>
              <w:rPr>
                <w:rFonts w:hint="eastAsia" w:ascii="宋体" w:hAnsi="宋体" w:cs="宋体"/>
                <w:sz w:val="21"/>
                <w:szCs w:val="21"/>
                <w:lang w:val="en-US" w:eastAsia="zh-CN"/>
              </w:rPr>
              <w:t>实训室辅材配置</w:t>
            </w:r>
          </w:p>
        </w:tc>
        <w:tc>
          <w:tcPr>
            <w:tcW w:w="27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rPr>
            </w:pPr>
          </w:p>
        </w:tc>
      </w:tr>
      <w:tr>
        <w:tblPrEx>
          <w:tblCellMar>
            <w:top w:w="0" w:type="dxa"/>
            <w:left w:w="108" w:type="dxa"/>
            <w:bottom w:w="0" w:type="dxa"/>
            <w:right w:w="108" w:type="dxa"/>
          </w:tblCellMar>
        </w:tblPrEx>
        <w:trPr>
          <w:trHeight w:val="285" w:hRule="atLeast"/>
          <w:jc w:val="center"/>
        </w:trPr>
        <w:tc>
          <w:tcPr>
            <w:tcW w:w="510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投标报价</w:t>
            </w:r>
          </w:p>
        </w:tc>
        <w:tc>
          <w:tcPr>
            <w:tcW w:w="278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sz w:val="21"/>
                <w:szCs w:val="21"/>
              </w:rPr>
            </w:pPr>
            <w:r>
              <w:rPr>
                <w:rFonts w:hint="eastAsia" w:ascii="宋体" w:hAnsi="宋体" w:cs="宋体"/>
                <w:sz w:val="21"/>
                <w:szCs w:val="21"/>
              </w:rPr>
              <w:t>（小写）：</w:t>
            </w:r>
          </w:p>
          <w:p>
            <w:pPr>
              <w:widowControl/>
              <w:textAlignment w:val="center"/>
              <w:rPr>
                <w:rFonts w:ascii="宋体" w:hAnsi="宋体" w:cs="宋体"/>
                <w:sz w:val="21"/>
                <w:szCs w:val="21"/>
              </w:rPr>
            </w:pPr>
            <w:r>
              <w:rPr>
                <w:rFonts w:hint="eastAsia" w:ascii="宋体" w:hAnsi="宋体" w:cs="宋体"/>
                <w:sz w:val="21"/>
                <w:szCs w:val="21"/>
              </w:rPr>
              <w:t>（大写）：</w:t>
            </w:r>
          </w:p>
        </w:tc>
      </w:tr>
      <w:tr>
        <w:tblPrEx>
          <w:tblCellMar>
            <w:top w:w="0" w:type="dxa"/>
            <w:left w:w="108" w:type="dxa"/>
            <w:bottom w:w="0" w:type="dxa"/>
            <w:right w:w="108" w:type="dxa"/>
          </w:tblCellMar>
        </w:tblPrEx>
        <w:trPr>
          <w:trHeight w:val="297" w:hRule="atLeast"/>
          <w:jc w:val="center"/>
        </w:trPr>
        <w:tc>
          <w:tcPr>
            <w:tcW w:w="510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1"/>
                <w:szCs w:val="21"/>
              </w:rPr>
            </w:pPr>
            <w:r>
              <w:rPr>
                <w:rFonts w:hint="eastAsia" w:ascii="宋体" w:hAnsi="宋体" w:cs="宋体"/>
                <w:sz w:val="21"/>
                <w:szCs w:val="21"/>
              </w:rPr>
              <w:t>项目负责人：</w:t>
            </w:r>
          </w:p>
        </w:tc>
        <w:tc>
          <w:tcPr>
            <w:tcW w:w="27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rPr>
            </w:pPr>
          </w:p>
        </w:tc>
      </w:tr>
      <w:tr>
        <w:tblPrEx>
          <w:tblCellMar>
            <w:top w:w="0" w:type="dxa"/>
            <w:left w:w="108" w:type="dxa"/>
            <w:bottom w:w="0" w:type="dxa"/>
            <w:right w:w="108" w:type="dxa"/>
          </w:tblCellMar>
        </w:tblPrEx>
        <w:trPr>
          <w:trHeight w:val="342" w:hRule="atLeast"/>
          <w:jc w:val="center"/>
        </w:trPr>
        <w:tc>
          <w:tcPr>
            <w:tcW w:w="510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1"/>
                <w:szCs w:val="21"/>
              </w:rPr>
            </w:pPr>
            <w:r>
              <w:rPr>
                <w:rFonts w:hint="eastAsia" w:ascii="宋体" w:hAnsi="宋体" w:cs="宋体"/>
                <w:sz w:val="21"/>
                <w:szCs w:val="21"/>
                <w:lang w:val="en-US" w:eastAsia="zh-CN"/>
              </w:rPr>
              <w:t xml:space="preserve"> </w:t>
            </w:r>
            <w:r>
              <w:rPr>
                <w:rFonts w:hint="eastAsia" w:ascii="宋体" w:hAnsi="宋体" w:cs="宋体"/>
                <w:sz w:val="21"/>
                <w:szCs w:val="21"/>
              </w:rPr>
              <w:t>履约期限：</w:t>
            </w:r>
          </w:p>
        </w:tc>
        <w:tc>
          <w:tcPr>
            <w:tcW w:w="27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rPr>
            </w:pPr>
          </w:p>
        </w:tc>
      </w:tr>
      <w:tr>
        <w:tblPrEx>
          <w:tblCellMar>
            <w:top w:w="0" w:type="dxa"/>
            <w:left w:w="108" w:type="dxa"/>
            <w:bottom w:w="0" w:type="dxa"/>
            <w:right w:w="108" w:type="dxa"/>
          </w:tblCellMar>
        </w:tblPrEx>
        <w:trPr>
          <w:trHeight w:val="342" w:hRule="atLeast"/>
          <w:jc w:val="center"/>
        </w:trPr>
        <w:tc>
          <w:tcPr>
            <w:tcW w:w="7889"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1"/>
                <w:szCs w:val="21"/>
              </w:rPr>
            </w:pPr>
            <w:r>
              <w:rPr>
                <w:rFonts w:hint="eastAsia" w:ascii="宋体" w:hAnsi="宋体"/>
                <w:sz w:val="21"/>
                <w:szCs w:val="21"/>
              </w:rPr>
              <w:t>本报价已包含招标文件“第二部分 投标人须知 \三、投标文件\（三）投标报价”要求的全部内容。</w:t>
            </w:r>
          </w:p>
        </w:tc>
      </w:tr>
    </w:tbl>
    <w:p>
      <w:pPr>
        <w:adjustRightInd w:val="0"/>
        <w:snapToGrid w:val="0"/>
        <w:spacing w:line="360" w:lineRule="auto"/>
        <w:rPr>
          <w:rFonts w:ascii="宋体" w:hAnsi="宋体"/>
          <w:kern w:val="0"/>
          <w:sz w:val="24"/>
        </w:rPr>
      </w:pPr>
    </w:p>
    <w:p>
      <w:pPr>
        <w:adjustRightInd w:val="0"/>
        <w:snapToGrid w:val="0"/>
        <w:spacing w:line="360" w:lineRule="auto"/>
        <w:rPr>
          <w:rFonts w:ascii="宋体" w:hAnsi="宋体"/>
          <w:kern w:val="0"/>
          <w:sz w:val="24"/>
        </w:rPr>
      </w:pPr>
      <w:r>
        <w:rPr>
          <w:rFonts w:hint="eastAsia" w:ascii="宋体" w:hAnsi="宋体"/>
          <w:kern w:val="0"/>
          <w:sz w:val="24"/>
          <w:lang w:val="zh-CN"/>
        </w:rPr>
        <w:t>法定/授权代表：</w:t>
      </w:r>
      <w:r>
        <w:rPr>
          <w:rFonts w:hint="eastAsia" w:ascii="宋体" w:hAnsi="宋体"/>
          <w:kern w:val="0"/>
          <w:sz w:val="24"/>
          <w:u w:val="single"/>
          <w:lang w:val="zh-CN"/>
        </w:rPr>
        <w:t xml:space="preserve">（签字或盖章） </w:t>
      </w:r>
    </w:p>
    <w:p>
      <w:pPr>
        <w:adjustRightInd w:val="0"/>
        <w:snapToGrid w:val="0"/>
        <w:spacing w:line="360" w:lineRule="auto"/>
        <w:rPr>
          <w:rFonts w:ascii="宋体" w:hAnsi="宋体"/>
          <w:kern w:val="0"/>
          <w:sz w:val="24"/>
          <w:u w:val="single"/>
          <w:lang w:val="zh-CN"/>
        </w:rPr>
      </w:pPr>
      <w:r>
        <w:rPr>
          <w:rFonts w:hint="eastAsia" w:ascii="宋体" w:hAnsi="宋体"/>
          <w:kern w:val="0"/>
          <w:sz w:val="24"/>
          <w:lang w:val="zh-CN"/>
        </w:rPr>
        <w:t>投标人：</w:t>
      </w:r>
      <w:r>
        <w:rPr>
          <w:rFonts w:hint="eastAsia" w:ascii="宋体" w:hAnsi="宋体"/>
          <w:kern w:val="0"/>
          <w:sz w:val="24"/>
          <w:u w:val="single"/>
          <w:lang w:val="zh-CN"/>
        </w:rPr>
        <w:t xml:space="preserve">（全称加盖公章）       </w:t>
      </w:r>
    </w:p>
    <w:p>
      <w:pPr>
        <w:adjustRightInd w:val="0"/>
        <w:snapToGrid w:val="0"/>
        <w:spacing w:line="360" w:lineRule="auto"/>
        <w:rPr>
          <w:rFonts w:ascii="宋体" w:hAnsi="宋体"/>
          <w:kern w:val="0"/>
          <w:sz w:val="24"/>
          <w:u w:val="single"/>
        </w:rPr>
      </w:pPr>
      <w:r>
        <w:rPr>
          <w:rFonts w:hint="eastAsia" w:ascii="宋体" w:hAnsi="宋体"/>
          <w:kern w:val="0"/>
          <w:sz w:val="24"/>
          <w:lang w:val="zh-CN"/>
        </w:rPr>
        <w:t>日期</w:t>
      </w:r>
      <w:r>
        <w:rPr>
          <w:rFonts w:hint="eastAsia" w:ascii="宋体" w:hAnsi="宋体"/>
          <w:kern w:val="0"/>
          <w:sz w:val="24"/>
        </w:rPr>
        <w:t xml:space="preserve">： </w:t>
      </w:r>
      <w:r>
        <w:rPr>
          <w:rFonts w:hint="eastAsia" w:ascii="宋体" w:hAnsi="宋体"/>
          <w:kern w:val="0"/>
          <w:sz w:val="24"/>
          <w:lang w:val="zh-CN"/>
        </w:rPr>
        <w:t>年</w:t>
      </w:r>
      <w:r>
        <w:rPr>
          <w:rFonts w:hint="eastAsia" w:ascii="宋体" w:hAnsi="宋体"/>
          <w:kern w:val="0"/>
          <w:sz w:val="24"/>
          <w:u w:val="none"/>
        </w:rPr>
        <w:tab/>
      </w:r>
      <w:r>
        <w:rPr>
          <w:rFonts w:hint="eastAsia" w:ascii="宋体" w:hAnsi="宋体"/>
          <w:kern w:val="0"/>
          <w:sz w:val="24"/>
          <w:lang w:val="zh-CN"/>
        </w:rPr>
        <w:t>月</w:t>
      </w:r>
      <w:r>
        <w:rPr>
          <w:rFonts w:hint="eastAsia" w:ascii="宋体" w:hAnsi="宋体"/>
          <w:kern w:val="0"/>
          <w:sz w:val="24"/>
          <w:lang w:val="en-US" w:eastAsia="zh-CN"/>
        </w:rPr>
        <w:t xml:space="preserve">   </w:t>
      </w:r>
      <w:r>
        <w:rPr>
          <w:rFonts w:hint="eastAsia" w:ascii="宋体" w:hAnsi="宋体"/>
          <w:kern w:val="0"/>
          <w:sz w:val="24"/>
          <w:lang w:val="zh-CN"/>
        </w:rPr>
        <w:t>日</w:t>
      </w:r>
    </w:p>
    <w:p>
      <w:pPr>
        <w:pStyle w:val="11"/>
        <w:adjustRightInd w:val="0"/>
        <w:snapToGrid w:val="0"/>
        <w:spacing w:line="360" w:lineRule="auto"/>
        <w:ind w:firstLine="602" w:firstLineChars="200"/>
        <w:jc w:val="center"/>
        <w:outlineLvl w:val="1"/>
        <w:rPr>
          <w:rFonts w:hAnsi="宋体"/>
          <w:b/>
          <w:sz w:val="28"/>
        </w:rPr>
      </w:pPr>
      <w:r>
        <w:rPr>
          <w:rFonts w:hAnsi="宋体"/>
          <w:b/>
          <w:sz w:val="30"/>
        </w:rPr>
        <w:br w:type="page"/>
      </w:r>
      <w:bookmarkStart w:id="174" w:name="_Toc522530059"/>
      <w:bookmarkStart w:id="175" w:name="_Toc3479"/>
      <w:bookmarkStart w:id="176" w:name="_Toc22395"/>
      <w:bookmarkStart w:id="177" w:name="_Toc16773"/>
      <w:bookmarkStart w:id="178" w:name="_Toc18776"/>
      <w:r>
        <w:rPr>
          <w:rFonts w:hint="eastAsia" w:hAnsi="宋体"/>
          <w:b/>
          <w:sz w:val="30"/>
        </w:rPr>
        <w:t>格式七：</w:t>
      </w:r>
      <w:r>
        <w:rPr>
          <w:rFonts w:hint="eastAsia" w:hAnsi="宋体"/>
          <w:b/>
          <w:sz w:val="28"/>
        </w:rPr>
        <w:t>报价明细表</w:t>
      </w:r>
      <w:bookmarkEnd w:id="174"/>
      <w:bookmarkEnd w:id="175"/>
      <w:bookmarkEnd w:id="176"/>
      <w:bookmarkEnd w:id="177"/>
      <w:bookmarkEnd w:id="178"/>
    </w:p>
    <w:p>
      <w:pPr>
        <w:adjustRightInd w:val="0"/>
        <w:snapToGrid w:val="0"/>
        <w:spacing w:line="360" w:lineRule="auto"/>
        <w:ind w:firstLine="482" w:firstLineChars="200"/>
        <w:rPr>
          <w:rFonts w:ascii="宋体" w:hAnsi="宋体"/>
          <w:b/>
          <w:sz w:val="24"/>
        </w:rPr>
      </w:pPr>
      <w:r>
        <w:rPr>
          <w:rFonts w:hint="eastAsia" w:ascii="宋体" w:hAnsi="宋体"/>
          <w:b/>
          <w:sz w:val="24"/>
        </w:rPr>
        <w:t>项目名称：</w:t>
      </w:r>
    </w:p>
    <w:p>
      <w:pPr>
        <w:adjustRightInd w:val="0"/>
        <w:snapToGrid w:val="0"/>
        <w:spacing w:line="360" w:lineRule="auto"/>
        <w:ind w:firstLine="482" w:firstLineChars="200"/>
        <w:rPr>
          <w:rFonts w:ascii="宋体" w:hAnsi="宋体"/>
          <w:b/>
          <w:sz w:val="24"/>
        </w:rPr>
      </w:pPr>
      <w:r>
        <w:rPr>
          <w:rFonts w:hint="eastAsia" w:ascii="宋体" w:hAnsi="宋体"/>
          <w:b/>
          <w:sz w:val="24"/>
        </w:rPr>
        <w:t>项目编号：</w:t>
      </w:r>
    </w:p>
    <w:p>
      <w:pPr>
        <w:adjustRightInd w:val="0"/>
        <w:snapToGrid w:val="0"/>
        <w:spacing w:line="360" w:lineRule="auto"/>
        <w:ind w:firstLine="482" w:firstLineChars="200"/>
        <w:rPr>
          <w:rFonts w:ascii="宋体" w:hAnsi="宋体"/>
          <w:b/>
          <w:sz w:val="24"/>
        </w:rPr>
      </w:pPr>
      <w:r>
        <w:rPr>
          <w:rFonts w:hint="eastAsia" w:ascii="宋体" w:hAnsi="宋体"/>
          <w:b/>
          <w:sz w:val="24"/>
        </w:rPr>
        <w:t>单位：人民币元</w:t>
      </w:r>
    </w:p>
    <w:tbl>
      <w:tblPr>
        <w:tblStyle w:val="21"/>
        <w:tblW w:w="8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5579"/>
        <w:gridCol w:w="491"/>
        <w:gridCol w:w="614"/>
        <w:gridCol w:w="709"/>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5579" w:type="dxa"/>
            <w:vAlign w:val="center"/>
          </w:tcPr>
          <w:p>
            <w:pPr>
              <w:spacing w:line="360" w:lineRule="auto"/>
              <w:jc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rPr>
              <w:t>技术参数</w:t>
            </w:r>
          </w:p>
        </w:tc>
        <w:tc>
          <w:tcPr>
            <w:tcW w:w="491"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数量</w:t>
            </w:r>
          </w:p>
        </w:tc>
        <w:tc>
          <w:tcPr>
            <w:tcW w:w="614"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单位</w:t>
            </w:r>
          </w:p>
        </w:tc>
        <w:tc>
          <w:tcPr>
            <w:tcW w:w="709" w:type="dxa"/>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单价</w:t>
            </w:r>
          </w:p>
        </w:tc>
        <w:tc>
          <w:tcPr>
            <w:tcW w:w="641" w:type="dxa"/>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574"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一、零部件测绘教师实训平台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w:t>
            </w:r>
          </w:p>
        </w:tc>
        <w:tc>
          <w:tcPr>
            <w:tcW w:w="5579" w:type="dxa"/>
            <w:vAlign w:val="center"/>
          </w:tcPr>
          <w:p>
            <w:pPr>
              <w:keepNext w:val="0"/>
              <w:keepLines w:val="0"/>
              <w:widowControl/>
              <w:numPr>
                <w:ilvl w:val="0"/>
                <w:numId w:val="0"/>
              </w:numPr>
              <w:suppressLineNumbers w:val="0"/>
              <w:spacing w:line="240" w:lineRule="auto"/>
              <w:jc w:val="left"/>
              <w:textAlignment w:val="center"/>
              <w:rPr>
                <w:rFonts w:hint="eastAsia" w:ascii="宋体" w:hAnsi="宋体" w:eastAsia="宋体" w:cs="宋体"/>
                <w:b/>
                <w:bCs/>
                <w:sz w:val="21"/>
                <w:szCs w:val="21"/>
                <w:lang w:eastAsia="zh-CN"/>
              </w:rPr>
            </w:pPr>
            <w:r>
              <w:rPr>
                <w:rFonts w:hint="eastAsia" w:ascii="宋体" w:hAnsi="宋体" w:eastAsia="宋体" w:cs="宋体"/>
                <w:b/>
                <w:bCs/>
                <w:sz w:val="21"/>
                <w:szCs w:val="21"/>
              </w:rPr>
              <w:t>实木桌</w:t>
            </w:r>
            <w:r>
              <w:rPr>
                <w:rFonts w:hint="eastAsia" w:ascii="宋体" w:hAnsi="宋体" w:eastAsia="宋体" w:cs="宋体"/>
                <w:b/>
                <w:bCs/>
                <w:sz w:val="21"/>
                <w:szCs w:val="21"/>
                <w:lang w:eastAsia="zh-CN"/>
              </w:rPr>
              <w:t>：</w:t>
            </w:r>
          </w:p>
          <w:p>
            <w:pPr>
              <w:pStyle w:val="9"/>
              <w:numPr>
                <w:ilvl w:val="0"/>
                <w:numId w:val="7"/>
              </w:numPr>
              <w:ind w:left="-958" w:leftChars="-342" w:right="-683" w:rightChars="-244" w:firstLine="676" w:firstLineChars="322"/>
              <w:jc w:val="left"/>
              <w:rPr>
                <w:rFonts w:hint="eastAsia" w:ascii="宋体" w:hAnsi="宋体" w:eastAsia="宋体" w:cs="宋体"/>
                <w:sz w:val="21"/>
                <w:szCs w:val="21"/>
                <w:lang w:eastAsia="zh-CN"/>
              </w:rPr>
            </w:pPr>
            <w:r>
              <w:rPr>
                <w:rFonts w:hint="eastAsia" w:ascii="宋体" w:hAnsi="宋体" w:eastAsia="宋体" w:cs="宋体"/>
                <w:sz w:val="21"/>
                <w:szCs w:val="21"/>
              </w:rPr>
              <w:t>规格型号：2100</w:t>
            </w:r>
            <w:r>
              <w:rPr>
                <w:rFonts w:hint="eastAsia" w:ascii="宋体" w:hAnsi="宋体" w:eastAsia="宋体" w:cs="宋体"/>
                <w:sz w:val="21"/>
                <w:szCs w:val="21"/>
                <w:lang w:eastAsia="zh-CN"/>
              </w:rPr>
              <w:t>×</w:t>
            </w:r>
            <w:r>
              <w:rPr>
                <w:rFonts w:hint="eastAsia" w:ascii="宋体" w:hAnsi="宋体" w:eastAsia="宋体" w:cs="宋体"/>
                <w:sz w:val="21"/>
                <w:szCs w:val="21"/>
              </w:rPr>
              <w:t>750</w:t>
            </w:r>
            <w:r>
              <w:rPr>
                <w:rFonts w:hint="eastAsia" w:ascii="宋体" w:hAnsi="宋体" w:eastAsia="宋体" w:cs="宋体"/>
                <w:sz w:val="21"/>
                <w:szCs w:val="21"/>
                <w:lang w:eastAsia="zh-CN"/>
              </w:rPr>
              <w:t>×</w:t>
            </w:r>
            <w:r>
              <w:rPr>
                <w:rFonts w:hint="eastAsia" w:ascii="宋体" w:hAnsi="宋体" w:eastAsia="宋体" w:cs="宋体"/>
                <w:sz w:val="21"/>
                <w:szCs w:val="21"/>
              </w:rPr>
              <w:t>800mm</w:t>
            </w:r>
            <w:r>
              <w:rPr>
                <w:rFonts w:hint="eastAsia" w:ascii="宋体" w:hAnsi="宋体" w:eastAsia="宋体" w:cs="宋体"/>
                <w:sz w:val="21"/>
                <w:szCs w:val="21"/>
                <w:lang w:eastAsia="zh-CN"/>
              </w:rPr>
              <w:t>；</w:t>
            </w:r>
          </w:p>
          <w:p>
            <w:pPr>
              <w:pStyle w:val="6"/>
              <w:spacing w:line="240" w:lineRule="auto"/>
              <w:jc w:val="left"/>
              <w:rPr>
                <w:rFonts w:hint="eastAsia" w:ascii="宋体" w:hAnsi="宋体" w:eastAsia="宋体" w:cs="宋体"/>
                <w:sz w:val="21"/>
                <w:szCs w:val="21"/>
              </w:rPr>
            </w:pPr>
            <w:r>
              <w:rPr>
                <w:rFonts w:hint="eastAsia" w:ascii="宋体" w:hAnsi="宋体" w:eastAsia="宋体" w:cs="宋体"/>
                <w:sz w:val="21"/>
                <w:szCs w:val="21"/>
              </w:rPr>
              <w:t>A:工作台整体台面为实木台面板（厚度50mm），表面高分子油漆材料喷涂，圆边桌角处理，桌面浅蓝色。</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B:工作台右部采用五抽屉吊柜带中控锁，吊柜尺寸为566</w:t>
            </w:r>
            <w:r>
              <w:rPr>
                <w:rFonts w:hint="eastAsia" w:ascii="宋体" w:hAnsi="宋体" w:eastAsia="宋体" w:cs="宋体"/>
                <w:sz w:val="21"/>
                <w:szCs w:val="21"/>
                <w:lang w:eastAsia="zh-CN"/>
              </w:rPr>
              <w:t>×</w:t>
            </w:r>
            <w:r>
              <w:rPr>
                <w:rFonts w:hint="eastAsia" w:ascii="宋体" w:hAnsi="宋体" w:eastAsia="宋体" w:cs="宋体"/>
                <w:sz w:val="21"/>
                <w:szCs w:val="21"/>
              </w:rPr>
              <w:t>700</w:t>
            </w:r>
            <w:r>
              <w:rPr>
                <w:rFonts w:hint="eastAsia" w:ascii="宋体" w:hAnsi="宋体" w:eastAsia="宋体" w:cs="宋体"/>
                <w:sz w:val="21"/>
                <w:szCs w:val="21"/>
                <w:lang w:eastAsia="zh-CN"/>
              </w:rPr>
              <w:t>×</w:t>
            </w:r>
            <w:r>
              <w:rPr>
                <w:rFonts w:hint="eastAsia" w:ascii="宋体" w:hAnsi="宋体" w:eastAsia="宋体" w:cs="宋体"/>
                <w:sz w:val="21"/>
                <w:szCs w:val="21"/>
              </w:rPr>
              <w:t>750mm（长宽高），三个抽屉为尺寸566×700×100mm（长宽高），一个抽屉为尺寸566×700×150mm（长宽高），一个抽屉为尺寸566×700×175mm（长宽高），采用优质钢制三节滚珠静音滑轨，每付承重50KG,两抽屉自带固定互锁，抽屉为全宽铝合金把手并附有标识牌框，左部吊柜可放电脑主机箱，尺寸为566</w:t>
            </w:r>
            <w:r>
              <w:rPr>
                <w:rFonts w:hint="eastAsia" w:ascii="宋体" w:hAnsi="宋体" w:eastAsia="宋体" w:cs="宋体"/>
                <w:sz w:val="21"/>
                <w:szCs w:val="21"/>
                <w:lang w:eastAsia="zh-CN"/>
              </w:rPr>
              <w:t>×</w:t>
            </w:r>
            <w:r>
              <w:rPr>
                <w:rFonts w:hint="eastAsia" w:ascii="宋体" w:hAnsi="宋体" w:eastAsia="宋体" w:cs="宋体"/>
                <w:sz w:val="21"/>
                <w:szCs w:val="21"/>
              </w:rPr>
              <w:t>700</w:t>
            </w:r>
            <w:r>
              <w:rPr>
                <w:rFonts w:hint="eastAsia" w:ascii="宋体" w:hAnsi="宋体" w:eastAsia="宋体" w:cs="宋体"/>
                <w:sz w:val="21"/>
                <w:szCs w:val="21"/>
                <w:lang w:eastAsia="zh-CN"/>
              </w:rPr>
              <w:t>×</w:t>
            </w:r>
            <w:r>
              <w:rPr>
                <w:rFonts w:hint="eastAsia" w:ascii="宋体" w:hAnsi="宋体" w:eastAsia="宋体" w:cs="宋体"/>
                <w:sz w:val="21"/>
                <w:szCs w:val="21"/>
              </w:rPr>
              <w:t>750mm（长宽高），前侧门四角有圆形10mm散热孔，立柜后侧铁板封闭，并预留穿线孔、槽。</w:t>
            </w:r>
          </w:p>
          <w:p>
            <w:pPr>
              <w:spacing w:line="240" w:lineRule="auto"/>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rPr>
              <w:t>C:紧固的工作台框架，采用优质一级冷轧钢板，钢板厚度达到1.2mm，承重部分1.5-2.0冷轧钢板，可使工作台整体承重1000</w:t>
            </w:r>
            <w:r>
              <w:rPr>
                <w:rFonts w:hint="eastAsia" w:ascii="宋体" w:hAnsi="宋体" w:eastAsia="宋体" w:cs="宋体"/>
                <w:sz w:val="21"/>
                <w:szCs w:val="21"/>
                <w:highlight w:val="none"/>
              </w:rPr>
              <w:t>KG，整体灰褐色，桌腿上预留插座安装孔</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安装六孔插座</w:t>
            </w:r>
            <w:r>
              <w:rPr>
                <w:rFonts w:hint="eastAsia" w:ascii="宋体" w:hAnsi="宋体" w:eastAsia="宋体" w:cs="宋体"/>
                <w:sz w:val="21"/>
                <w:szCs w:val="21"/>
                <w:highlight w:val="none"/>
              </w:rPr>
              <w:t>。</w:t>
            </w:r>
          </w:p>
        </w:tc>
        <w:tc>
          <w:tcPr>
            <w:tcW w:w="491"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w:t>
            </w:r>
          </w:p>
        </w:tc>
        <w:tc>
          <w:tcPr>
            <w:tcW w:w="614"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张</w:t>
            </w:r>
          </w:p>
        </w:tc>
        <w:tc>
          <w:tcPr>
            <w:tcW w:w="709" w:type="dxa"/>
            <w:vAlign w:val="center"/>
          </w:tcPr>
          <w:p>
            <w:pPr>
              <w:pStyle w:val="9"/>
              <w:numPr>
                <w:ilvl w:val="0"/>
                <w:numId w:val="0"/>
              </w:numPr>
              <w:ind w:left="218" w:leftChars="0" w:right="-683" w:rightChars="-244" w:hanging="218" w:hangingChars="104"/>
              <w:rPr>
                <w:rFonts w:hint="eastAsia" w:ascii="宋体" w:hAnsi="宋体" w:cs="宋体"/>
                <w:sz w:val="21"/>
                <w:szCs w:val="21"/>
                <w:lang w:val="en-US" w:eastAsia="zh-CN"/>
              </w:rPr>
            </w:pPr>
          </w:p>
        </w:tc>
        <w:tc>
          <w:tcPr>
            <w:tcW w:w="641" w:type="dxa"/>
            <w:vAlign w:val="center"/>
          </w:tcPr>
          <w:p>
            <w:pPr>
              <w:pStyle w:val="9"/>
              <w:numPr>
                <w:ilvl w:val="0"/>
                <w:numId w:val="0"/>
              </w:numPr>
              <w:ind w:left="218" w:leftChars="0" w:right="-683" w:rightChars="-244" w:hanging="218" w:hangingChars="104"/>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2</w:t>
            </w:r>
          </w:p>
        </w:tc>
        <w:tc>
          <w:tcPr>
            <w:tcW w:w="5579" w:type="dxa"/>
            <w:vAlign w:val="center"/>
          </w:tcPr>
          <w:p>
            <w:pPr>
              <w:pStyle w:val="6"/>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实训方凳 ：</w:t>
            </w:r>
          </w:p>
          <w:p>
            <w:pPr>
              <w:pStyle w:val="6"/>
              <w:numPr>
                <w:ilvl w:val="0"/>
                <w:numId w:val="0"/>
              </w:numPr>
              <w:spacing w:line="24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钢木方凳，凳面为三聚氰胺外饰面板厚度不少于18mm，凳腿部件材质为喷塑钢架（四根），横撑两根，厚度不大于1.0mm，配尼龙管塞，尺寸规格不大于:340*240*420mm长*宽*高</w:t>
            </w:r>
          </w:p>
        </w:tc>
        <w:tc>
          <w:tcPr>
            <w:tcW w:w="491"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614"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把</w:t>
            </w:r>
          </w:p>
        </w:tc>
        <w:tc>
          <w:tcPr>
            <w:tcW w:w="709" w:type="dxa"/>
            <w:vAlign w:val="center"/>
          </w:tcPr>
          <w:p>
            <w:pPr>
              <w:pStyle w:val="9"/>
              <w:numPr>
                <w:ilvl w:val="0"/>
                <w:numId w:val="0"/>
              </w:numPr>
              <w:ind w:left="218" w:leftChars="0" w:right="-683" w:rightChars="-244" w:hanging="218" w:hangingChars="104"/>
              <w:rPr>
                <w:rFonts w:hint="eastAsia" w:ascii="宋体" w:hAnsi="宋体" w:eastAsia="宋体" w:cs="宋体"/>
                <w:sz w:val="21"/>
                <w:szCs w:val="21"/>
                <w:lang w:val="en-US" w:eastAsia="zh-CN"/>
              </w:rPr>
            </w:pPr>
          </w:p>
        </w:tc>
        <w:tc>
          <w:tcPr>
            <w:tcW w:w="641" w:type="dxa"/>
            <w:vAlign w:val="center"/>
          </w:tcPr>
          <w:p>
            <w:pPr>
              <w:pStyle w:val="9"/>
              <w:numPr>
                <w:ilvl w:val="0"/>
                <w:numId w:val="0"/>
              </w:numPr>
              <w:ind w:left="218" w:leftChars="0" w:right="-683" w:rightChars="-244" w:hanging="218" w:hangingChars="104"/>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3</w:t>
            </w:r>
          </w:p>
        </w:tc>
        <w:tc>
          <w:tcPr>
            <w:tcW w:w="5579" w:type="dxa"/>
            <w:vAlign w:val="center"/>
          </w:tcPr>
          <w:p>
            <w:pPr>
              <w:spacing w:line="24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智能多媒体教学触控一体机：</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配套86英寸教学触控一体机；</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基本配置要求：</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1.内置一体化设计，内部功能模块连接线不可见。</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铝合金面框，弧形转角采用无尖锐边缘连接。</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触摸框前拆式设计，支持无工具拆卸触摸框。</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屏幕表面采用防眩光全钢化玻璃，防划防撞且有效保证观看效果</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 电源要求：AC 210V±20%，100～240V宽电压。</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 整机经过产品可靠性检验，MTBF大于80000小时。</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 设备自带嵌入式安卓操作系统，可实现白板书写、PPT课件播放、多媒体播放、网页浏览，与内置/外接电脑后形成双系统冗余。</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 整机只需连接一根网线，即可实现Windows及Android系统同时联网</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9.屏幕尺寸86英寸，分辨率：1920*1080</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10.配件 壁挂架 触摸笔。</w:t>
            </w:r>
          </w:p>
          <w:p>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配套绿板：4米*1.31米，优质防锈热镀锌钢板，厚度0.20mm。</w:t>
            </w:r>
          </w:p>
        </w:tc>
        <w:tc>
          <w:tcPr>
            <w:tcW w:w="491"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614"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709" w:type="dxa"/>
            <w:vAlign w:val="center"/>
          </w:tcPr>
          <w:p>
            <w:pPr>
              <w:pStyle w:val="9"/>
              <w:numPr>
                <w:ilvl w:val="0"/>
                <w:numId w:val="0"/>
              </w:numPr>
              <w:ind w:left="218" w:leftChars="0" w:right="-683" w:rightChars="-244" w:hanging="218" w:hangingChars="104"/>
              <w:rPr>
                <w:rFonts w:hint="eastAsia" w:ascii="宋体" w:hAnsi="宋体" w:eastAsia="宋体" w:cs="宋体"/>
                <w:sz w:val="21"/>
                <w:szCs w:val="21"/>
                <w:lang w:val="en-US" w:eastAsia="zh-CN"/>
              </w:rPr>
            </w:pPr>
          </w:p>
        </w:tc>
        <w:tc>
          <w:tcPr>
            <w:tcW w:w="641" w:type="dxa"/>
            <w:vAlign w:val="center"/>
          </w:tcPr>
          <w:p>
            <w:pPr>
              <w:pStyle w:val="9"/>
              <w:numPr>
                <w:ilvl w:val="0"/>
                <w:numId w:val="0"/>
              </w:numPr>
              <w:ind w:left="218" w:leftChars="0" w:right="-683" w:rightChars="-244" w:hanging="218" w:hangingChars="104"/>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4</w:t>
            </w:r>
          </w:p>
        </w:tc>
        <w:tc>
          <w:tcPr>
            <w:tcW w:w="5579"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教学终端设备</w:t>
            </w:r>
            <w:r>
              <w:rPr>
                <w:rFonts w:hint="eastAsia" w:ascii="宋体" w:hAnsi="宋体" w:eastAsia="宋体" w:cs="宋体"/>
                <w:b/>
                <w:bCs/>
                <w:sz w:val="21"/>
                <w:szCs w:val="21"/>
                <w:lang w:val="en-US" w:eastAsia="zh-CN"/>
              </w:rPr>
              <w:t>：</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1、I5-9400F，内存容量4GB，硬盘容量1TB，显存容量2GB独显，显示器尺寸21.5WLCd，Win10系统</w:t>
            </w:r>
          </w:p>
          <w:p>
            <w:pPr>
              <w:pStyle w:val="6"/>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计算机配备一套办公软件（按本项目数量标配）</w:t>
            </w:r>
          </w:p>
          <w:p>
            <w:pPr>
              <w:pStyle w:val="6"/>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2、正版Office 2019教育版办公软件，文件格式可生成.wps/.et/.dps等文件格式；支持格式包括且不限于doc、docx、xls、xlsx、ppt、pptx；同时产品原有文件格式也能被其他Office对应模块打开；</w:t>
            </w:r>
          </w:p>
          <w:p>
            <w:pPr>
              <w:pStyle w:val="6"/>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3、交付时提供：产品介质光盘和软件产权归属为采购人的原厂正版授权许可原件</w:t>
            </w:r>
            <w:r>
              <w:rPr>
                <w:rFonts w:hint="eastAsia" w:ascii="宋体" w:hAnsi="宋体" w:cs="宋体"/>
                <w:sz w:val="21"/>
                <w:szCs w:val="21"/>
                <w:lang w:val="en-US" w:eastAsia="zh-CN"/>
              </w:rPr>
              <w:t>；</w:t>
            </w:r>
          </w:p>
          <w:p>
            <w:pPr>
              <w:pStyle w:val="6"/>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4、教学终端配备一套</w:t>
            </w:r>
            <w:r>
              <w:rPr>
                <w:rFonts w:hint="eastAsia" w:ascii="宋体" w:hAnsi="宋体" w:eastAsia="宋体" w:cs="宋体"/>
                <w:color w:val="000000"/>
                <w:sz w:val="21"/>
                <w:szCs w:val="21"/>
                <w:lang w:val="en-US" w:eastAsia="zh-CN"/>
              </w:rPr>
              <w:t>电子教室软件</w:t>
            </w:r>
            <w:r>
              <w:rPr>
                <w:rFonts w:hint="eastAsia" w:ascii="宋体" w:hAnsi="宋体" w:eastAsia="宋体" w:cs="宋体"/>
                <w:sz w:val="21"/>
                <w:szCs w:val="21"/>
                <w:lang w:val="en-US" w:eastAsia="zh-CN"/>
              </w:rPr>
              <w:t>（按本项目计算机数量标配）</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课堂教学</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屏幕广播：将教师机屏幕和教师讲话实时广播给单一、部分或全体学生，可选择全屏或窗口方式。窗口模式下或教师机与学生机分辨率不同情况下，学生机可以以不同的窗口方式接收广播。</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屏幕广播速度增强：屏幕广播时支持多种画面质量的调节，根据网络的不同选择最好的效果进行教学。</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屏幕笔：教师教学使用的辅助工具，突出显示项目、添加注释，添加批注等等。</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分组教学：教师分派组长执行指定的功能，组长代替教师进行小组教学，小组不需要再临时创建，可以直接使用既有分组信息，教师可以监控每个分组的教学过程，以了解分组教学的进度。</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分组讨论：教师可以创建多个小组进行讨论活动，并可任意选择分组加入讨论活动。同组师生支持多种方式进行交流，包括文字，表情，图片等。</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屏幕监视：教师机可以监视单一、部分、全体学生机的屏幕，教师机每屏可监视多个学生屏幕（最多36个）。可以控制教师机监控的同屏幕各窗口间、屏幕与屏幕间的切换速度。可手动或自动循环监视。</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多频道教学：支持多达32个频道的划分，一个教师可对单个班级或多个班级同时上课；多个教师可同时对多个班级进行不同内容的教学。</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教学评测</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随堂小考：教师启动快速的单题考试或随堂调查，限定考试时间，学生答题后立即给出结果，结果显示学生答案柱状图分析和答题时间，可作为抢答依据。</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课堂管理</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rPr>
              <w:t>签到：提供学生名单管理工具，为软件和考试模块提供实名验证。提供点名功能，支持保留学生多次登录记录、考勤统计、签到信息的导出与对比。</w:t>
            </w:r>
          </w:p>
          <w:p>
            <w:pPr>
              <w:keepNext w:val="0"/>
              <w:keepLines w:val="0"/>
              <w:suppressLineNumbers w:val="0"/>
              <w:spacing w:before="0" w:beforeAutospacing="0" w:after="0" w:afterAutospacing="0" w:line="240" w:lineRule="auto"/>
              <w:ind w:left="0" w:right="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班级模型：有单独的管理界面，实现对班级模型的统一管理，并能够导入、导出，调用不同网络教室中的班级模型。</w:t>
            </w:r>
          </w:p>
          <w:p>
            <w:pPr>
              <w:pStyle w:val="6"/>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上网限制：设定学生访问网站的黑名单或白名单，对学生可以访问的Internet站点进行管理。支持多浏览器限制，如QQ、IE、谷歌、360、遨游等浏览器。</w:t>
            </w:r>
          </w:p>
        </w:tc>
        <w:tc>
          <w:tcPr>
            <w:tcW w:w="491" w:type="dxa"/>
            <w:vAlign w:val="center"/>
          </w:tcPr>
          <w:p>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1</w:t>
            </w:r>
          </w:p>
          <w:p>
            <w:pPr>
              <w:pStyle w:val="9"/>
              <w:numPr>
                <w:ilvl w:val="0"/>
                <w:numId w:val="0"/>
              </w:numPr>
              <w:ind w:left="291" w:leftChars="104" w:right="-683" w:rightChars="-244" w:firstLine="0" w:firstLineChars="0"/>
              <w:rPr>
                <w:rFonts w:hint="eastAsia" w:ascii="宋体" w:hAnsi="宋体" w:eastAsia="宋体" w:cs="宋体"/>
                <w:kern w:val="2"/>
                <w:sz w:val="21"/>
                <w:szCs w:val="21"/>
                <w:lang w:val="en-US" w:eastAsia="zh-CN" w:bidi="ar-SA"/>
              </w:rPr>
            </w:pPr>
          </w:p>
        </w:tc>
        <w:tc>
          <w:tcPr>
            <w:tcW w:w="614"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709" w:type="dxa"/>
            <w:vAlign w:val="center"/>
          </w:tcPr>
          <w:p>
            <w:pPr>
              <w:pStyle w:val="9"/>
              <w:numPr>
                <w:ilvl w:val="0"/>
                <w:numId w:val="0"/>
              </w:numPr>
              <w:ind w:left="218" w:leftChars="0" w:right="-683" w:rightChars="-244" w:hanging="218" w:hangingChars="104"/>
              <w:rPr>
                <w:rFonts w:hint="eastAsia" w:ascii="宋体" w:hAnsi="宋体" w:eastAsia="宋体" w:cs="宋体"/>
                <w:sz w:val="21"/>
                <w:szCs w:val="21"/>
                <w:lang w:val="en-US" w:eastAsia="zh-CN"/>
              </w:rPr>
            </w:pPr>
          </w:p>
        </w:tc>
        <w:tc>
          <w:tcPr>
            <w:tcW w:w="641" w:type="dxa"/>
            <w:vAlign w:val="center"/>
          </w:tcPr>
          <w:p>
            <w:pPr>
              <w:pStyle w:val="9"/>
              <w:numPr>
                <w:ilvl w:val="0"/>
                <w:numId w:val="0"/>
              </w:numPr>
              <w:ind w:left="218" w:leftChars="0" w:right="-683" w:rightChars="-244" w:hanging="218" w:hangingChars="104"/>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5</w:t>
            </w:r>
          </w:p>
        </w:tc>
        <w:tc>
          <w:tcPr>
            <w:tcW w:w="5579" w:type="dxa"/>
            <w:vAlign w:val="center"/>
          </w:tcPr>
          <w:p>
            <w:pPr>
              <w:spacing w:line="240" w:lineRule="auto"/>
              <w:jc w:val="left"/>
              <w:rPr>
                <w:rFonts w:hint="eastAsia" w:ascii="宋体" w:hAnsi="宋体" w:eastAsia="宋体" w:cs="宋体"/>
                <w:b/>
                <w:bCs/>
                <w:sz w:val="21"/>
                <w:szCs w:val="21"/>
                <w:lang w:val="en-US"/>
              </w:rPr>
            </w:pPr>
            <w:r>
              <w:rPr>
                <w:rFonts w:hint="eastAsia" w:ascii="宋体" w:hAnsi="宋体" w:cs="宋体"/>
                <w:b/>
                <w:bCs/>
                <w:sz w:val="21"/>
                <w:szCs w:val="21"/>
                <w:lang w:val="en-US" w:eastAsia="zh-CN"/>
              </w:rPr>
              <w:t>教学终端输出设备</w:t>
            </w:r>
            <w:r>
              <w:rPr>
                <w:rFonts w:hint="eastAsia" w:ascii="宋体" w:hAnsi="宋体" w:eastAsia="宋体" w:cs="宋体"/>
                <w:b/>
                <w:bCs/>
                <w:sz w:val="21"/>
                <w:szCs w:val="21"/>
                <w:lang w:val="en-US" w:eastAsia="zh-CN"/>
              </w:rPr>
              <w:t>：</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黑白激光多功能一体机（打印、复印、扫描、传真、有线网络、双面打印）</w:t>
            </w:r>
          </w:p>
        </w:tc>
        <w:tc>
          <w:tcPr>
            <w:tcW w:w="491"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w:t>
            </w:r>
          </w:p>
        </w:tc>
        <w:tc>
          <w:tcPr>
            <w:tcW w:w="614"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c>
          <w:tcPr>
            <w:tcW w:w="709" w:type="dxa"/>
            <w:vAlign w:val="center"/>
          </w:tcPr>
          <w:p>
            <w:pPr>
              <w:pStyle w:val="9"/>
              <w:numPr>
                <w:ilvl w:val="0"/>
                <w:numId w:val="0"/>
              </w:numPr>
              <w:ind w:left="218" w:leftChars="0" w:right="-683" w:rightChars="-244" w:hanging="218" w:hangingChars="104"/>
              <w:rPr>
                <w:rFonts w:hint="eastAsia" w:ascii="宋体" w:hAnsi="宋体" w:cs="宋体"/>
                <w:sz w:val="21"/>
                <w:szCs w:val="21"/>
                <w:lang w:val="en-US" w:eastAsia="zh-CN"/>
              </w:rPr>
            </w:pPr>
          </w:p>
        </w:tc>
        <w:tc>
          <w:tcPr>
            <w:tcW w:w="641" w:type="dxa"/>
            <w:vAlign w:val="center"/>
          </w:tcPr>
          <w:p>
            <w:pPr>
              <w:pStyle w:val="9"/>
              <w:numPr>
                <w:ilvl w:val="0"/>
                <w:numId w:val="0"/>
              </w:numPr>
              <w:ind w:left="218" w:leftChars="0" w:right="-683" w:rightChars="-244" w:hanging="218" w:hangingChars="104"/>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6</w:t>
            </w:r>
          </w:p>
        </w:tc>
        <w:tc>
          <w:tcPr>
            <w:tcW w:w="5579" w:type="dxa"/>
            <w:vAlign w:val="center"/>
          </w:tcPr>
          <w:p>
            <w:pPr>
              <w:spacing w:line="240" w:lineRule="auto"/>
              <w:jc w:val="left"/>
              <w:rPr>
                <w:rFonts w:hint="eastAsia" w:ascii="宋体" w:hAnsi="宋体" w:eastAsia="宋体" w:cs="宋体"/>
                <w:b/>
                <w:bCs/>
                <w:sz w:val="21"/>
                <w:szCs w:val="21"/>
                <w:lang w:eastAsia="zh-CN"/>
              </w:rPr>
            </w:pPr>
            <w:r>
              <w:rPr>
                <w:rFonts w:hint="eastAsia" w:ascii="宋体" w:hAnsi="宋体" w:eastAsia="宋体" w:cs="宋体"/>
                <w:b/>
                <w:bCs/>
                <w:sz w:val="21"/>
                <w:szCs w:val="21"/>
              </w:rPr>
              <w:t>信息化三维模型处理系统</w:t>
            </w:r>
            <w:r>
              <w:rPr>
                <w:rFonts w:hint="eastAsia" w:ascii="宋体" w:hAnsi="宋体" w:eastAsia="宋体" w:cs="宋体"/>
                <w:b/>
                <w:bCs/>
                <w:sz w:val="21"/>
                <w:szCs w:val="21"/>
                <w:lang w:eastAsia="zh-CN"/>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（1）本地服务端具有中、英、法、日、德、俄、韩等12种语言版本，在安装界面可选。</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（2）支持z3、dwg、igs、stp、stl、vda、prt、catpart等主流格式的三维文件导入与导出，满足不同三维软件的数据共享。</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3）本地服务端提供对造型的分析功能，可以对开放边、平面进行分析操作，并且具有曲面修复和缝合功能，可以进行间隙和破面的修补工作。对于存在间隙或破面的不封闭实体或曲面，在符合专业级修补标准的前提下，可以迅速修复。</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4）本地服务端支持对导入的模型进行编辑，支持DE移动、对齐移动面、跟进标注移动、DE面偏移、等DE直接编辑，可以对特征进行简化和替换操作，也可以对造型进行复制、镜像等造型变换，专业化的工具满足多样化的需求。</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★（5）终端可以查看模型的爆炸视图，完美继承本地服务端的爆炸图设置，提供滑动条供用户选择爆炸的距离。</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（6）终端支持查看模型的装配树，装配树显示当前模型的所有装配零件，可显示与隐藏任意零件，便于查看装配关系等信息。</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7）配套立体化三维模型库：不需要安装任何APP或者插件，通过手机等移动端设备直接扫描二维码查看三维模型，并且支持该模型的任意旋转、缩放、立体化渲染、动态剖切及智能测量等功能。可从任意角度查看模型，页面内置7种标准视角。</w:t>
            </w:r>
          </w:p>
          <w:p>
            <w:pPr>
              <w:pStyle w:val="6"/>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（8）为方便查看内部结构，终端支持对模型进行剖切查看，提供六面包络体，拖动六面体任意面即可剖切，还可以同时剖切不同方向的面。</w:t>
            </w:r>
          </w:p>
        </w:tc>
        <w:tc>
          <w:tcPr>
            <w:tcW w:w="491"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w:t>
            </w:r>
          </w:p>
        </w:tc>
        <w:tc>
          <w:tcPr>
            <w:tcW w:w="614"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c>
          <w:tcPr>
            <w:tcW w:w="709" w:type="dxa"/>
            <w:vAlign w:val="center"/>
          </w:tcPr>
          <w:p>
            <w:pPr>
              <w:pStyle w:val="9"/>
              <w:numPr>
                <w:ilvl w:val="0"/>
                <w:numId w:val="0"/>
              </w:numPr>
              <w:ind w:left="218" w:leftChars="0" w:right="-683" w:rightChars="-244" w:hanging="218" w:hangingChars="104"/>
              <w:rPr>
                <w:rFonts w:hint="eastAsia" w:ascii="宋体" w:hAnsi="宋体" w:cs="宋体"/>
                <w:sz w:val="21"/>
                <w:szCs w:val="21"/>
                <w:lang w:val="en-US" w:eastAsia="zh-CN"/>
              </w:rPr>
            </w:pPr>
          </w:p>
        </w:tc>
        <w:tc>
          <w:tcPr>
            <w:tcW w:w="641" w:type="dxa"/>
            <w:vAlign w:val="center"/>
          </w:tcPr>
          <w:p>
            <w:pPr>
              <w:pStyle w:val="9"/>
              <w:numPr>
                <w:ilvl w:val="0"/>
                <w:numId w:val="0"/>
              </w:numPr>
              <w:ind w:left="218" w:leftChars="0" w:right="-683" w:rightChars="-244" w:hanging="218" w:hangingChars="104"/>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7</w:t>
            </w:r>
          </w:p>
        </w:tc>
        <w:tc>
          <w:tcPr>
            <w:tcW w:w="5579" w:type="dxa"/>
            <w:vAlign w:val="center"/>
          </w:tcPr>
          <w:p>
            <w:pPr>
              <w:spacing w:line="24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机械CAD教育版软件 ：</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1.文件格式：支持dwg、dxf及dwt的文件保存格式，支持输出wmf、sat、bmp、jpg、png、tif格式的数据。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2.自动保存：软件可在设定的自动保存时间点自动保存相应格式的临时文件，可设定临时文件的储存位置。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3.手势精灵：通过鼠标连续运行轨迹的差异来识别用户输入的命令。例如，按住鼠标右键在绘图区域画出字母“E”，系统则自动执行ERASE 命令。</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4.智能语音：可在图纸中创建、播放和删除语音注释。</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5.OLE对象：可将Office软件中的内容复制后直接粘贴到软件中，软件绘制的图形也可以直接粘贴到Office中。</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6.扩展工具：“扩展工具”菜单中，具备“图层工具”的二级菜单，可实现对图层的增强编辑。“图块工具”下，提供“批量修改属性值”功能，可修改指定属性块中的属性值。</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7.激活加密：支持网络授权（软加密），使用网络激活号激活许可服务器，并通过网络许可配置程序动态监控和管理网络许可证的分配。</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8.在线更新：“帮助”菜单中提供“检查更新”功能，支持在线更新。</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9.图纸设置：软件共提供GB、ISO、ANSI、DIN、JIS、BSI、CSN、GOST 8种常用的国家标准，用户可以通过自定义来创建符合特定要求的尺寸来生成自己的图幅，便于用户使用。</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10.多图幅设置：可在同一个绘图环境中绘制多个不同标准、不同比例的图幅，多图框建立以后，标注、符号标注等会自动适应图框的比例内容。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11.更换标准：图纸建立多标准的图框后会产生不同标准，当选择某种标准时，所执行的操作都以选择的标准为基础。</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12.智能标注：智能标注功能会因选择实体的对象不同，自动进行长度、直径或半径标注。标注过程中根据命令的提示可以在不同标注方式中任意选择。图层管理：自动生成常用图层并通过数字自由切换,提高绘图效率。</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13.创建视图：参考了国际通用的标注形式，提供了强大剖切线标注功能，如剖面符号、剖面标签、附加剖面符号、显示箭头、平面线等。对零部件的局部进行放大，使零部件的局部图形更清晰。</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14.系列化零件设计系统：系列化零件设计系统是软件中特有的一项功能，是对参数化国标图库的一种有益补充。支持一张图纸的完整信息，如：图形、各种标注、图框、文字等。利用它可以进行复杂零件的参数化设计。</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15.超级符号库：软件所提供的超级符号库中包括4种符合国家标注符号内容，包括液压气动符号库、电器符号库、机构运动符号库、金属结构件。除此之外，软件允许用户建立自己的符号库系统，用户再次需要属于的符号内容时，可调用用户自己建立的符号库中的图形，并且支持在调用进行比例调节。</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16.系统维护工具：该工具可以实现样式配置、词句库维护、自定义标题栏、自定义附加栏、自定义参数栏、自定义图样代号栏、自定义更改栏、超级属性块定义、自定义明细表表头、自定义明细表表体、不规则表格提取配置、2D规则表格提取配置、样式库同步工具配置等。</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17.其他要求：</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（1）满足教育部职业技能大赛中职组“零部件测绘与CAD成图技术”赛项比赛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，保证学校能用此产品参加大赛，须提供大赛证明文件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（2）满足中等职业学校职业能力大赛（学生技术技能类）“零部件测绘与CAD成图技术”赛项比赛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，保证学校能用此产品参加大赛，须提供大赛证明文件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r>
              <w:rPr>
                <w:rFonts w:hint="eastAsia" w:ascii="宋体" w:hAnsi="宋体" w:eastAsia="宋体" w:cs="宋体"/>
                <w:kern w:val="0"/>
                <w:sz w:val="21"/>
                <w:szCs w:val="21"/>
                <w:lang w:val="en-US" w:eastAsia="zh-CN" w:bidi="ar-SA"/>
              </w:rPr>
              <w:t>满足“振兴杯”全国青年职业技能大赛</w:t>
            </w:r>
            <w:r>
              <w:rPr>
                <w:rFonts w:hint="eastAsia" w:ascii="宋体" w:hAnsi="宋体" w:eastAsia="宋体" w:cs="宋体"/>
                <w:sz w:val="21"/>
                <w:szCs w:val="21"/>
              </w:rPr>
              <w:t>“</w:t>
            </w:r>
            <w:r>
              <w:rPr>
                <w:rFonts w:hint="eastAsia" w:ascii="宋体" w:hAnsi="宋体" w:eastAsia="宋体" w:cs="宋体"/>
                <w:kern w:val="0"/>
                <w:sz w:val="21"/>
                <w:szCs w:val="21"/>
                <w:lang w:val="en-US" w:eastAsia="zh-CN" w:bidi="ar-SA"/>
              </w:rPr>
              <w:t>车工”等类似</w:t>
            </w:r>
            <w:r>
              <w:rPr>
                <w:rFonts w:hint="eastAsia" w:ascii="宋体" w:hAnsi="宋体" w:eastAsia="宋体" w:cs="宋体"/>
                <w:kern w:val="0"/>
                <w:sz w:val="21"/>
                <w:szCs w:val="21"/>
              </w:rPr>
              <w:t>赛项</w:t>
            </w:r>
            <w:r>
              <w:rPr>
                <w:rFonts w:hint="eastAsia" w:ascii="宋体" w:hAnsi="宋体" w:eastAsia="宋体" w:cs="宋体"/>
                <w:kern w:val="0"/>
                <w:sz w:val="21"/>
                <w:szCs w:val="21"/>
                <w:lang w:val="en-US" w:eastAsia="zh-CN"/>
              </w:rPr>
              <w:t>商务技术要求</w:t>
            </w:r>
            <w:r>
              <w:rPr>
                <w:rFonts w:hint="eastAsia" w:ascii="宋体" w:hAnsi="宋体" w:eastAsia="宋体" w:cs="宋体"/>
                <w:kern w:val="0"/>
                <w:sz w:val="21"/>
                <w:szCs w:val="21"/>
              </w:rPr>
              <w:t>，保证学校能用此产品参加大赛</w:t>
            </w:r>
            <w:r>
              <w:rPr>
                <w:rFonts w:hint="eastAsia" w:ascii="宋体" w:hAnsi="宋体" w:eastAsia="宋体" w:cs="宋体"/>
                <w:kern w:val="0"/>
                <w:sz w:val="21"/>
                <w:szCs w:val="21"/>
                <w:lang w:eastAsia="zh-CN"/>
              </w:rPr>
              <w:t>，</w:t>
            </w:r>
            <w:r>
              <w:rPr>
                <w:rFonts w:hint="eastAsia" w:ascii="宋体" w:hAnsi="宋体" w:eastAsia="宋体" w:cs="宋体"/>
                <w:sz w:val="21"/>
                <w:szCs w:val="21"/>
              </w:rPr>
              <w:t>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tc>
        <w:tc>
          <w:tcPr>
            <w:tcW w:w="491" w:type="dxa"/>
            <w:vAlign w:val="center"/>
          </w:tcPr>
          <w:p>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p>
            <w:pPr>
              <w:pStyle w:val="9"/>
              <w:numPr>
                <w:ilvl w:val="0"/>
                <w:numId w:val="0"/>
              </w:numPr>
              <w:ind w:left="291" w:leftChars="104" w:right="-683" w:rightChars="-244" w:firstLine="0" w:firstLineChars="0"/>
              <w:rPr>
                <w:rFonts w:hint="eastAsia" w:ascii="宋体" w:hAnsi="宋体" w:eastAsia="宋体" w:cs="宋体"/>
                <w:kern w:val="2"/>
                <w:sz w:val="21"/>
                <w:szCs w:val="21"/>
                <w:lang w:val="en-US" w:eastAsia="zh-CN" w:bidi="ar-SA"/>
              </w:rPr>
            </w:pPr>
          </w:p>
        </w:tc>
        <w:tc>
          <w:tcPr>
            <w:tcW w:w="614" w:type="dxa"/>
            <w:vAlign w:val="center"/>
          </w:tcPr>
          <w:p>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节点</w:t>
            </w:r>
          </w:p>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p>
        </w:tc>
        <w:tc>
          <w:tcPr>
            <w:tcW w:w="709"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p>
        </w:tc>
        <w:tc>
          <w:tcPr>
            <w:tcW w:w="641"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8</w:t>
            </w:r>
          </w:p>
        </w:tc>
        <w:tc>
          <w:tcPr>
            <w:tcW w:w="5579" w:type="dxa"/>
            <w:vAlign w:val="center"/>
          </w:tcPr>
          <w:p>
            <w:pPr>
              <w:pStyle w:val="6"/>
              <w:spacing w:line="240" w:lineRule="auto"/>
              <w:jc w:val="left"/>
              <w:rPr>
                <w:rFonts w:hint="eastAsia" w:ascii="宋体" w:hAnsi="宋体" w:eastAsia="宋体" w:cs="宋体"/>
                <w:sz w:val="21"/>
                <w:szCs w:val="21"/>
                <w:lang w:val="en-US" w:eastAsia="zh-CN"/>
              </w:rPr>
            </w:pPr>
            <w:r>
              <w:rPr>
                <w:rFonts w:hint="eastAsia" w:ascii="宋体" w:hAnsi="宋体" w:eastAsia="宋体" w:cs="宋体"/>
                <w:b/>
                <w:bCs/>
                <w:sz w:val="21"/>
                <w:szCs w:val="21"/>
              </w:rPr>
              <w:t>三维平台设计软件</w:t>
            </w:r>
            <w:r>
              <w:rPr>
                <w:rFonts w:hint="eastAsia" w:ascii="宋体" w:hAnsi="宋体" w:eastAsia="宋体" w:cs="宋体"/>
                <w:b/>
                <w:bCs/>
                <w:sz w:val="21"/>
                <w:szCs w:val="21"/>
                <w:lang w:eastAsia="zh-CN"/>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实体曲面混合建模：要求软件可以做到实体与曲面的混合建模，提高软件建模的灵活度。</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数据接口：支持双向数据的导入导出，根据不同的格式，如：Catia V4、Catia V5/V6、NX(Unigraphics)、Creo(Pro/E)、Parasolid、SAT、STEP、DWG/DXF、IGES、等，原有数据中的装配信息、层信息、组信息和颜色信息都一一转换，输入数据时可以通过智能过滤器把原始数据进行优化。还要支持通用格式的批量导入；高效的协助使用者进行数据的转换，无任何数据损失，交换方式便利、迅速。</w:t>
            </w:r>
          </w:p>
          <w:p>
            <w:pPr>
              <w:spacing w:line="240" w:lineRule="auto"/>
              <w:jc w:val="left"/>
              <w:rPr>
                <w:rFonts w:hint="eastAsia" w:ascii="宋体" w:hAnsi="宋体" w:eastAsia="宋体" w:cs="宋体"/>
                <w:b/>
                <w:bCs/>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多文档形式：一个造型文档中包含多个文件造型，各文档之间可自由切换并编辑。</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角色设置：提供多种角色，根据使用者能力的不同，自行进行适合自己角色配置。同时在软件中个角色可以进行自由的切换。</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二维到三维：可直接复制/粘贴DWG中的二维轮廓到软件的草图或工程图中，并可以直接使用该轮廓进行编辑及建模操作。</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矢量图转换：可以将*.jpg、*.png、等格式图片，在软件中转换成草图线框形式。</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破面修补：提供曲面修补的功能，导入实体出现破面、丢失面的情况时，在符合专业级修补标准的前提下，可以一键对有问题的面进行修补，从而快速的修复模型。</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浮雕建模：可以使图片在模型表面形成凹凸的建模造型，并且可以直接用于后续CAM编程加工。</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装配功能：装配树能够生动的高亮显示个体零件以方便修改；对于多文档文件的装配可实现一个及批量零件的插入。具备自上向下、自下向上或同时以两种方式构建装配，可即刻修改出现的问题。</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钣金设计：包含对钣金的基本设置，如折弯、加强筋、百叶窗、展开等；支持直接对钣金进行拉伸、放样，钣金的运算与基本造型在系统内部保持一致，允许对钣金件执行普通造型的任意操作，例如增料除料等。</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焊件设计：提供固连各型材的焊接件设计功能，可生成iso以及ansi inch等标准的焊接结构构件、三角形和多边形等类型的脚撑板、用于封闭结构构件的开放端口的顶端盖、连续的或间隙性的焊缝。</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rPr>
              <w:t>模具设计：可根据产品结构自行区分型芯与型腔区域，生成不同的颜色标记；可以通过参数化设计流道、滑块、镶块、冷却管道等结构设计；具有模具标准件库，需包含模架及定位环、唧嘴、浇口、流道、水路、滑块头、限位块、导柱等各种模具标准件；用户还可以自己定义符合实际使用标准的自定义标准件库。简化分模设计步骤。</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逆向工程：可根据点云数据，逆向生成三角网格面或NURBS曲面，对其进行光顺处理之后可以直接进行实体操作，方便快捷。</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14.</w:t>
            </w:r>
            <w:r>
              <w:rPr>
                <w:rFonts w:hint="eastAsia" w:ascii="宋体" w:hAnsi="宋体" w:eastAsia="宋体" w:cs="宋体"/>
                <w:sz w:val="21"/>
                <w:szCs w:val="21"/>
              </w:rPr>
              <w:t>多种加工方式：钻孔、2轴铣削、3轴铣削、多轴加工、车削等加工方式。</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智能策略加工：支持钻孔、2轴智能加工，根据模型及给定的毛坯，自行进行加工刀具的选择，保证合理的切削工艺直接计算出加工轨迹。同时支持自行更改某个刀路的参数 。</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16.</w:t>
            </w:r>
            <w:r>
              <w:rPr>
                <w:rFonts w:hint="eastAsia" w:ascii="宋体" w:hAnsi="宋体" w:eastAsia="宋体" w:cs="宋体"/>
                <w:sz w:val="21"/>
                <w:szCs w:val="21"/>
              </w:rPr>
              <w:t>仿真：系统具有线架仿真和实体仿真功能，用户能及时看到加工的仿真效果。系统支持对刀轨整体分析，以及具体刀轨运动的分析，实体仿真允许考虑刀具补偿，以模拟实际加工过程。提供3种检查形式：碰撞、过切、余量检查，碰撞和过切检查将分析结果直接用颜色标示于刀轨。可以在真正加工之前将问题暴露出来，避免实际加工时类似问题的发生。在仿真过程中可显示刀具夹持器和各种不同的刀轨显示模式。</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17.</w:t>
            </w:r>
            <w:r>
              <w:rPr>
                <w:rFonts w:hint="eastAsia" w:ascii="宋体" w:hAnsi="宋体" w:eastAsia="宋体" w:cs="宋体"/>
                <w:sz w:val="21"/>
                <w:szCs w:val="21"/>
              </w:rPr>
              <w:t>轨迹输出：独立输出NC、CL、XML/HTML、工序/刀具清单以及工艺电子表格，生成的CL文件符合ISO-4343标准。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后置处理：软件自带常用的机床后置系统，如FANUC、KND、SIEMENS等；开放性高，客户可根据自己的机床系统进行简单的格式编辑。</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智能辅助教学系统：在软件内实现一边指导，一边操作的学习。学生可以一边观看演示一边操作学习，最终完成建模；方便学生课下自行学习。</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技术支持与服务：经过国家权威部门审定，并经过广泛应用证明，系统实用、可靠；在全国有多家技术支持机构，可以提供高质量的培训及服务。</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其他要求：</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满足中职组“零部件测绘与CAD成图技术”赛项技能大赛比赛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，须提供相应证明文件资料</w:t>
            </w:r>
            <w:r>
              <w:rPr>
                <w:rFonts w:hint="eastAsia" w:ascii="宋体" w:hAnsi="宋体" w:eastAsia="宋体" w:cs="宋体"/>
                <w:sz w:val="21"/>
                <w:szCs w:val="21"/>
                <w:lang w:val="en-US" w:eastAsia="zh-CN"/>
              </w:rPr>
              <w:t>或承诺函</w:t>
            </w:r>
            <w:r>
              <w:rPr>
                <w:rFonts w:hint="eastAsia" w:ascii="宋体" w:hAnsi="宋体" w:eastAsia="宋体" w:cs="宋体"/>
                <w:sz w:val="21"/>
                <w:szCs w:val="21"/>
              </w:rPr>
              <w:t>，保证学校能用此产品参加大赛。</w:t>
            </w:r>
          </w:p>
        </w:tc>
        <w:tc>
          <w:tcPr>
            <w:tcW w:w="491" w:type="dxa"/>
            <w:vAlign w:val="center"/>
          </w:tcPr>
          <w:p>
            <w:pPr>
              <w:pStyle w:val="9"/>
              <w:numPr>
                <w:ilvl w:val="0"/>
                <w:numId w:val="0"/>
              </w:numPr>
              <w:ind w:left="0" w:leftChars="0" w:right="-683" w:rightChars="-244"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 xml:space="preserve"> 1</w:t>
            </w:r>
          </w:p>
        </w:tc>
        <w:tc>
          <w:tcPr>
            <w:tcW w:w="614"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节点</w:t>
            </w:r>
          </w:p>
        </w:tc>
        <w:tc>
          <w:tcPr>
            <w:tcW w:w="709" w:type="dxa"/>
            <w:vAlign w:val="center"/>
          </w:tcPr>
          <w:p>
            <w:pPr>
              <w:pStyle w:val="9"/>
              <w:numPr>
                <w:ilvl w:val="0"/>
                <w:numId w:val="0"/>
              </w:numPr>
              <w:ind w:left="218" w:leftChars="0" w:right="-683" w:rightChars="-244" w:hanging="218" w:hangingChars="104"/>
              <w:rPr>
                <w:rFonts w:hint="eastAsia" w:ascii="宋体" w:hAnsi="宋体" w:eastAsia="宋体" w:cs="宋体"/>
                <w:sz w:val="21"/>
                <w:szCs w:val="21"/>
                <w:lang w:val="en-US" w:eastAsia="zh-CN"/>
              </w:rPr>
            </w:pPr>
          </w:p>
        </w:tc>
        <w:tc>
          <w:tcPr>
            <w:tcW w:w="641" w:type="dxa"/>
            <w:vAlign w:val="center"/>
          </w:tcPr>
          <w:p>
            <w:pPr>
              <w:pStyle w:val="9"/>
              <w:numPr>
                <w:ilvl w:val="0"/>
                <w:numId w:val="0"/>
              </w:numPr>
              <w:ind w:left="218" w:leftChars="0" w:right="-683" w:rightChars="-244" w:hanging="218" w:hangingChars="104"/>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9</w:t>
            </w:r>
          </w:p>
        </w:tc>
        <w:tc>
          <w:tcPr>
            <w:tcW w:w="5579"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机械工程识图能力评价系统：</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1.软件架构：软件应采用B/S架构，只需在一台电脑安装，学生机通过浏览器即可使用；应支持互联网或校园局域网双模式访问系统，可部署进校园网。</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2.权限与角色：软件需包含管理、教师和学生三种权限且分别满足不同权限下的功能，可进行管理、教学、实训和无纸化考试。</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★3.管理员端功能：管理员账号需能够设置其所属院系和班级，导入账号时可单个或批量进行；可设置账号使用期限；查看软件所含图纸和题目；根据需求自行创建题目，题目可分类。</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4.教师端管理功能：教师端可管理多个班级、查看软件内置和自建的题目，含试题搜索、积分排行和统计数据功能。</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5.教师端能力评价：教师端可发布能力评价考试。专项识图应支持随机和手动两种抽题模式，组卷方案可根据得分率抽取且可保存。零件图识图能力和装配图识图能力题型应能够按单选和多选两种模式进行答题，多选题应可设置两种得分方式：“部分对给一半分”和“只有全对才给分”；考试内容可快速复用、试卷可分享；考试后可导出成绩单、查看试卷详情。</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6.教师端数据统计：教师端应有班级统计、学生统计和查看错题榜功能。班级统计含考试情况和各分类题目统计；学生统计含实训次数和学生学习报告。评价结束后，教师能够通过查看学生“答题卡”查看考生的评价答题情况，同时软件应提供错题排行榜统计等完整的可视化数据功能。</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7.学生端功能：学生端能力实训需含自由实训、计时实训和标准能力实训至少3种训练方式；可完成教师发布的能力评价考试任务；查看实训和评价的错题情况；有错题重做和收藏题目功能；学生答题时可记录答题内容，中途退出账号再次进入后，依然可以继续答题；可查看训练、考试和整体能力情况。</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8.答题页面：学生答题界面应包含两种操作模式，同时可以设置自动换题，页面放大预览功能</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9.专项识图：软件需包含基础制图能力、投影基础识读能力、图样基础识读能力、标准件与常用件识读能力，同时应能够按照知识应用能力的不同来区分知识范围，便于学生在识图过程中能够掌握识图基础知识。</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10.零件图识图：零件图识图能力应包含轴套类、轮盘盖类、箱体类、叉架类、其他类；题目属性应包含结构形状、表达方法、尺寸分析、技术要求题目</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11.装配图识图：零件图识图能力应包含阀类、泵类、减速器类和功能部件类，案例图纸应不少于包含20套；题目属性包含设计基础、视图表达、配合关系、装配基准、调试方法，题目数量应不少于730道。</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12.图纸跳转功能：装配图识图过程中应能够点击装配图明细表打开相应零件图查看零件图纸；点击零件图图名可以打开从属装配图查看零件在装配图中所在位置。</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13.3D模型：为图纸识图过程中能够读懂图纸结构，零件图识图与装配图识图中应含3D资源不少于180个，可通过放大、缩小、旋转和实时剖切进行查看。（定标前提供演示）</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★14.共享功能：教师可将自己创建的考试任务分享给其他教师账号；学生可将答题结果通过二维码分享给他人。</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15.积分排行：学生练习和自测过程中应可以积累积分，并且可以查看所在班级和年级中的排名情况。</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16.自由实训：学生结合自身实际情况，可自行从题库中抽取所需题目进行不限制时间的训练，并支持实时反馈答题情况。</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rPr>
            </w:pPr>
            <w:r>
              <w:rPr>
                <w:rFonts w:hint="eastAsia" w:ascii="宋体" w:hAnsi="宋体" w:eastAsia="宋体" w:cs="宋体"/>
                <w:sz w:val="21"/>
                <w:szCs w:val="21"/>
              </w:rPr>
              <w:t>17.计时实训：学生可自定义实训的题目范围和数量，自行设置实训时长。结束实训后可查看所有题目和只看错题。</w:t>
            </w:r>
          </w:p>
          <w:p>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18.标准能力实训：即软件为学生提供一种模拟考试的实训情景。学生可自行设置实训时长，软件按照一定比例自动从题库内随机抽取实训题目，答题时间截止后软件可自动结束实训。</w:t>
            </w:r>
          </w:p>
        </w:tc>
        <w:tc>
          <w:tcPr>
            <w:tcW w:w="491" w:type="dxa"/>
            <w:vAlign w:val="center"/>
          </w:tcPr>
          <w:p>
            <w:pPr>
              <w:pStyle w:val="9"/>
              <w:numPr>
                <w:ilvl w:val="0"/>
                <w:numId w:val="0"/>
              </w:numPr>
              <w:ind w:right="-683" w:rightChars="-24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w:t>
            </w:r>
          </w:p>
        </w:tc>
        <w:tc>
          <w:tcPr>
            <w:tcW w:w="614" w:type="dxa"/>
            <w:vAlign w:val="center"/>
          </w:tcPr>
          <w:p>
            <w:pPr>
              <w:pStyle w:val="9"/>
              <w:numPr>
                <w:ilvl w:val="0"/>
                <w:numId w:val="0"/>
              </w:numPr>
              <w:ind w:left="218" w:leftChars="0" w:right="-683" w:rightChars="-244" w:hanging="218" w:hangingChars="104"/>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c>
          <w:tcPr>
            <w:tcW w:w="709" w:type="dxa"/>
            <w:vAlign w:val="center"/>
          </w:tcPr>
          <w:p>
            <w:pPr>
              <w:pStyle w:val="9"/>
              <w:numPr>
                <w:ilvl w:val="0"/>
                <w:numId w:val="0"/>
              </w:numPr>
              <w:ind w:left="218" w:leftChars="0" w:right="-683" w:rightChars="-244" w:hanging="218" w:hangingChars="104"/>
              <w:rPr>
                <w:rFonts w:hint="eastAsia" w:ascii="宋体" w:hAnsi="宋体" w:cs="宋体"/>
                <w:sz w:val="21"/>
                <w:szCs w:val="21"/>
                <w:lang w:val="en-US" w:eastAsia="zh-CN"/>
              </w:rPr>
            </w:pPr>
          </w:p>
        </w:tc>
        <w:tc>
          <w:tcPr>
            <w:tcW w:w="641" w:type="dxa"/>
            <w:vAlign w:val="center"/>
          </w:tcPr>
          <w:p>
            <w:pPr>
              <w:pStyle w:val="9"/>
              <w:numPr>
                <w:ilvl w:val="0"/>
                <w:numId w:val="0"/>
              </w:numPr>
              <w:ind w:left="218" w:leftChars="0" w:right="-683" w:rightChars="-244" w:hanging="218" w:hangingChars="104"/>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10</w:t>
            </w:r>
          </w:p>
        </w:tc>
        <w:tc>
          <w:tcPr>
            <w:tcW w:w="5579"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《典型机械零件》测绘装置：</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《典型机械零件》测绘套件，其材质为铝合金件</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（1）测绘箱子尺寸不小于：370*340*130mm;</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基础零件测绘装置：基础零件测绘装置主要包含南机轴、轴套、端盖、法兰盘、连杆、支架、阀体、箱体等机构。了解机械机构中常用的四大类零件，认识基础零件的误差和配合精度，为机械专业零部件测量与测绘提供测规范化测量对象；</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（3）配套高等教育出版社出版的《零部件测绘实训手册》教材；</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（4）采用铝镁压铸工艺，经喷砂处理，产品精度高，质量好；</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（5）零部件主要部位进行数控加工，加工面精度高和表面粗糙度合理；</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对于每个单体零件进行三维数字化设计，组成立体化三维零件模型库；不需要安装任何APP或者插件，通过手机等移动端设备直接扫描二维码查看三维模型，并且支持该模型的任意旋转、缩放、立体化渲染、动态剖切及智能测量等功能。</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投标时提供视频演示</w:t>
            </w:r>
            <w:r>
              <w:rPr>
                <w:rFonts w:hint="eastAsia" w:ascii="宋体" w:hAnsi="宋体" w:eastAsia="宋体" w:cs="宋体"/>
                <w:b/>
                <w:bCs/>
                <w:sz w:val="21"/>
                <w:szCs w:val="21"/>
              </w:rPr>
              <w:t>）</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（7）终端可以查看模型的爆炸视图，完美继承本地服务端的爆炸图设置，提供滑动条供用户选择爆炸的距离。</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（8）终端支持查看模型的装配树，装配树显示当前模型的所有装配零件，可显示与隐藏任意零件，便于查看装配关系等信息。</w:t>
            </w:r>
          </w:p>
        </w:tc>
        <w:tc>
          <w:tcPr>
            <w:tcW w:w="49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614"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kern w:val="2"/>
                <w:sz w:val="21"/>
                <w:szCs w:val="21"/>
                <w:vertAlign w:val="baseline"/>
                <w:lang w:val="en-US" w:eastAsia="zh-CN" w:bidi="ar-SA"/>
              </w:rPr>
            </w:pPr>
            <w:r>
              <w:rPr>
                <w:rFonts w:hint="eastAsia" w:ascii="宋体" w:hAnsi="宋体" w:cs="宋体"/>
                <w:b/>
                <w:bCs/>
                <w:sz w:val="21"/>
                <w:szCs w:val="21"/>
                <w:vertAlign w:val="baseline"/>
                <w:lang w:val="en-US" w:eastAsia="zh-CN"/>
              </w:rPr>
              <w:t>11</w:t>
            </w:r>
          </w:p>
        </w:tc>
        <w:tc>
          <w:tcPr>
            <w:tcW w:w="5579"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《零部件拆装与测量》工具套装 </w:t>
            </w:r>
            <w:r>
              <w:rPr>
                <w:rFonts w:hint="eastAsia" w:ascii="宋体" w:hAnsi="宋体" w:eastAsia="宋体" w:cs="宋体"/>
                <w:sz w:val="21"/>
                <w:szCs w:val="21"/>
                <w:lang w:val="en-US" w:eastAsia="zh-CN"/>
              </w:rPr>
              <w:t xml:space="preserve">  </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产品适用于基础零件、千斤顶、偏心机构、平口钳、凸轮机构、齿轮泵、减速器、蜗轮减速器标准件、典型零件、联接与配合、台虎钳、阀体、联轴器、注塑模具、尾座顶尖等零部件的折装与测量。</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拆装与测量工具整箱装置，箱体尺寸≥360mm*260mm*120mm，箱子内置泡沫模子，模子根据不同的拆装工具和测量工具形状大小进行挖槽设计，将工具嵌合其中，方便取用；</w:t>
            </w:r>
          </w:p>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拆卸工具：活络扳手、内卡簧钳、外卡簧钳、橡胶锤、十字螺丝刀、紫铜棒、尖嘴钳、内六角扳手。</w:t>
            </w:r>
          </w:p>
          <w:p>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测量工具：游标卡尺、中心距卡尺（数显）、钢直尺、螺纹样板公制60°、螺纹样板英制55°、半径规R1-R25、角度尺、外径千分尺0-50mm。</w:t>
            </w:r>
          </w:p>
        </w:tc>
        <w:tc>
          <w:tcPr>
            <w:tcW w:w="491" w:type="dxa"/>
            <w:vAlign w:val="center"/>
          </w:tcPr>
          <w:p>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kern w:val="2"/>
                <w:sz w:val="21"/>
                <w:szCs w:val="21"/>
                <w:lang w:val="en-US" w:eastAsia="zh-CN" w:bidi="ar-SA"/>
              </w:rPr>
            </w:pPr>
          </w:p>
        </w:tc>
        <w:tc>
          <w:tcPr>
            <w:tcW w:w="614"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套</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4" w:type="dxa"/>
            <w:gridSpan w:val="4"/>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default" w:ascii="宋体" w:hAnsi="宋体" w:eastAsia="宋体" w:cs="宋体"/>
                <w:sz w:val="21"/>
                <w:szCs w:val="21"/>
                <w:lang w:val="en-US" w:eastAsia="zh-CN"/>
              </w:rPr>
            </w:pPr>
            <w:r>
              <w:rPr>
                <w:rFonts w:hint="eastAsia" w:ascii="宋体" w:hAnsi="宋体" w:cs="宋体"/>
                <w:b/>
                <w:bCs/>
                <w:sz w:val="21"/>
                <w:szCs w:val="21"/>
                <w:lang w:val="en-US" w:eastAsia="zh-CN"/>
              </w:rPr>
              <w:t>合计</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4" w:type="dxa"/>
            <w:gridSpan w:val="6"/>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eastAsia" w:ascii="宋体" w:hAnsi="宋体" w:cs="宋体"/>
                <w:b/>
                <w:bCs/>
                <w:i w:val="0"/>
                <w:color w:val="000000"/>
                <w:kern w:val="0"/>
                <w:sz w:val="28"/>
                <w:szCs w:val="28"/>
                <w:u w:val="none"/>
                <w:lang w:val="en-US" w:eastAsia="zh-CN" w:bidi="ar"/>
              </w:rPr>
            </w:pPr>
            <w:r>
              <w:rPr>
                <w:rFonts w:hint="eastAsia" w:ascii="宋体" w:hAnsi="宋体" w:cs="宋体"/>
                <w:b/>
                <w:bCs/>
                <w:i w:val="0"/>
                <w:color w:val="000000"/>
                <w:kern w:val="0"/>
                <w:sz w:val="28"/>
                <w:szCs w:val="28"/>
                <w:u w:val="none"/>
                <w:lang w:val="en-US" w:eastAsia="zh-CN" w:bidi="ar"/>
              </w:rPr>
              <w:t>二、</w:t>
            </w:r>
            <w:r>
              <w:rPr>
                <w:rFonts w:hint="eastAsia" w:ascii="宋体" w:hAnsi="宋体" w:eastAsia="宋体" w:cs="宋体"/>
                <w:b/>
                <w:bCs/>
                <w:i w:val="0"/>
                <w:color w:val="000000"/>
                <w:kern w:val="0"/>
                <w:sz w:val="28"/>
                <w:szCs w:val="28"/>
                <w:u w:val="none"/>
                <w:lang w:val="en-US" w:eastAsia="zh-CN" w:bidi="ar"/>
              </w:rPr>
              <w:t>双工位零部件测绘综合实训平台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w:t>
            </w:r>
          </w:p>
        </w:tc>
        <w:tc>
          <w:tcPr>
            <w:tcW w:w="5579" w:type="dxa"/>
            <w:vAlign w:val="center"/>
          </w:tcPr>
          <w:p>
            <w:pPr>
              <w:keepNext w:val="0"/>
              <w:keepLines w:val="0"/>
              <w:widowControl/>
              <w:numPr>
                <w:ilvl w:val="0"/>
                <w:numId w:val="0"/>
              </w:numPr>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双工位零件测绘桌：</w:t>
            </w:r>
            <w:r>
              <w:rPr>
                <w:rFonts w:hint="eastAsia" w:ascii="宋体" w:hAnsi="宋体" w:eastAsia="宋体" w:cs="宋体"/>
                <w:sz w:val="21"/>
                <w:szCs w:val="21"/>
                <w:lang w:val="en-US" w:eastAsia="zh-CN"/>
              </w:rPr>
              <w:t xml:space="preserve">    </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一种高端改进型零部件测绘与CAD成图技术教学、实训、竞赛和技能高考的综合实训装置，集课堂教学、计算机制图、手工绘图和零部件测量与测绘于一体的“四合一”实训室</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★（1）测绘桌整体尺寸为1750x680x780（长宽高）。每套测绘桌分两个学生工位和一个公共测量工位，单工位尺寸为685x680x780（长宽高）；大理石尺寸为380x680x</w:t>
            </w:r>
            <w:r>
              <w:rPr>
                <w:rFonts w:hint="eastAsia" w:ascii="宋体" w:hAnsi="宋体" w:eastAsia="宋体" w:cs="宋体"/>
                <w:sz w:val="21"/>
                <w:szCs w:val="21"/>
                <w:lang w:val="en-US" w:eastAsia="zh-CN"/>
              </w:rPr>
              <w:t>3</w:t>
            </w:r>
            <w:r>
              <w:rPr>
                <w:rFonts w:hint="eastAsia" w:ascii="宋体" w:hAnsi="宋体" w:eastAsia="宋体" w:cs="宋体"/>
                <w:sz w:val="21"/>
                <w:szCs w:val="21"/>
              </w:rPr>
              <w:t>0mm（长宽厚），大理石下部定制抽屉支架：四边钢板围成凹槽，把大理石平板放在其中，起到固定大理石平板的作用，有效防止大理石平板移动；在大理石放置架下方开有孔，可以用手或工具作为支撑，便于大理石平板取出，方便更换；大理石抽屉支架通过轴承导轨拉出200mm，方便零件测绘；学生工位台面为实木面板（厚度30mm），圆边桌角处理，测绘桌整体颜色深灰色，桌面原木色。</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（2）每个工位配套透明pvc胶垫。</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（3）公共测量桌采用中间一层抽屉、立柜带中控锁配置，下部立柜可放两台电脑主机箱，柜门框内尺寸不小于412x650x468mm，柜门框不小于452x650x518（长宽高）；抽屉外尺寸不小于452x580x150mm  ，抽屉面板框内尺寸不小于412x580x110mm（长宽高），采用优质钢制三节滚珠静音滑轨，每付承重约55KG,抽屉自带固定互锁，抽屉配塑料拉手(全宽铝合金把手并附有标识牌框),柜门上部冲有开机按键槽，下部冲有圆形9mm散热孔（四角冲有圆形10mm散热孔），柜内底部并预留穿线孔、槽。</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（4）紧固的工作台框架，采用优质一级冷轧钢板，钢板厚度达到1.2mm，承重部分1.5-2.0mm冷轧钢板，可使工作台整体承重800KG,经酸洗、磷化仿静电喷塑处理，整体深灰色，桌面板前部下方预留有穿线孔、槽。</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（5）零部件测绘实训台左右两侧由冲床预留置物孔洞，通过安装不锈钢挂架方便放置常用工具、可折叠手工绘图板和量具等，承载量可达20KG。</w:t>
            </w:r>
          </w:p>
          <w:p>
            <w:pPr>
              <w:keepNext w:val="0"/>
              <w:keepLines w:val="0"/>
              <w:widowControl/>
              <w:suppressLineNumbers w:val="0"/>
              <w:spacing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6）测绘桌左右两侧学生工位桌面前部安装可升降电脑显示器（自动翻板升降，可升、降、停并有防夹手功能）为钢制电动升降器，便于整个工作台在课堂教学、CAD制图、零部件测量与测绘和手工绘图等新课堂教学环节间切换；每工位采用中间一层抽屉 。</w:t>
            </w:r>
          </w:p>
          <w:p>
            <w:pPr>
              <w:keepNext w:val="0"/>
              <w:keepLines w:val="0"/>
              <w:widowControl/>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rPr>
              <w:t>）装置配电源插座，用于电脑供电及其他设备用电</w:t>
            </w:r>
            <w:r>
              <w:rPr>
                <w:rFonts w:hint="eastAsia" w:ascii="宋体" w:hAnsi="宋体" w:eastAsia="宋体" w:cs="宋体"/>
                <w:sz w:val="21"/>
                <w:szCs w:val="21"/>
                <w:lang w:eastAsia="zh-CN"/>
              </w:rPr>
              <w:t>。</w:t>
            </w:r>
          </w:p>
        </w:tc>
        <w:tc>
          <w:tcPr>
            <w:tcW w:w="49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614"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2</w:t>
            </w:r>
          </w:p>
        </w:tc>
        <w:tc>
          <w:tcPr>
            <w:tcW w:w="5579" w:type="dxa"/>
            <w:vAlign w:val="center"/>
          </w:tcPr>
          <w:p>
            <w:pPr>
              <w:keepNext w:val="0"/>
              <w:keepLines w:val="0"/>
              <w:widowControl/>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实训方凳</w:t>
            </w:r>
            <w:r>
              <w:rPr>
                <w:rFonts w:hint="eastAsia" w:ascii="宋体" w:hAnsi="宋体" w:eastAsia="宋体" w:cs="宋体"/>
                <w:sz w:val="21"/>
                <w:szCs w:val="21"/>
                <w:lang w:val="en-US" w:eastAsia="zh-CN"/>
              </w:rPr>
              <w:t xml:space="preserve"> ： </w:t>
            </w:r>
          </w:p>
          <w:p>
            <w:pPr>
              <w:pStyle w:val="6"/>
              <w:numPr>
                <w:ilvl w:val="0"/>
                <w:numId w:val="0"/>
              </w:numPr>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钢木方凳，凳面为三聚氰胺外饰面板厚度不少于18mm，凳腿部件材质为喷塑钢架（四根），横撑两根，厚度不大于1.0mm，配尼龙管塞，尺寸规格不大于:340*240*420mm长*宽*高</w:t>
            </w:r>
          </w:p>
        </w:tc>
        <w:tc>
          <w:tcPr>
            <w:tcW w:w="491" w:type="dxa"/>
            <w:vAlign w:val="center"/>
          </w:tcPr>
          <w:p>
            <w:pPr>
              <w:keepNext w:val="0"/>
              <w:keepLines w:val="0"/>
              <w:widowControl/>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14"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把</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3</w:t>
            </w:r>
          </w:p>
        </w:tc>
        <w:tc>
          <w:tcPr>
            <w:tcW w:w="5579" w:type="dxa"/>
            <w:vAlign w:val="center"/>
          </w:tcPr>
          <w:p>
            <w:pPr>
              <w:keepNext w:val="0"/>
              <w:keepLines w:val="0"/>
              <w:widowControl/>
              <w:numPr>
                <w:ilvl w:val="0"/>
                <w:numId w:val="0"/>
              </w:numPr>
              <w:suppressLineNumbers w:val="0"/>
              <w:spacing w:line="240" w:lineRule="auto"/>
              <w:jc w:val="both"/>
              <w:textAlignment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教学终端设备：</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I5-9400F，内存容量4GB，硬盘容量1TB，显存容量2GB独显，显示器尺寸21.5WLCd，Win10系统</w:t>
            </w:r>
          </w:p>
        </w:tc>
        <w:tc>
          <w:tcPr>
            <w:tcW w:w="491" w:type="dxa"/>
            <w:vAlign w:val="center"/>
          </w:tcPr>
          <w:p>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48</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14"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4</w:t>
            </w:r>
          </w:p>
        </w:tc>
        <w:tc>
          <w:tcPr>
            <w:tcW w:w="5579" w:type="dxa"/>
            <w:vAlign w:val="center"/>
          </w:tcPr>
          <w:p>
            <w:pPr>
              <w:keepNext w:val="0"/>
              <w:keepLines w:val="0"/>
              <w:widowControl/>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机械CAD教育版软件</w:t>
            </w:r>
            <w:r>
              <w:rPr>
                <w:rFonts w:hint="eastAsia" w:ascii="宋体" w:hAnsi="宋体" w:eastAsia="宋体" w:cs="宋体"/>
                <w:sz w:val="21"/>
                <w:szCs w:val="21"/>
                <w:lang w:val="en-US" w:eastAsia="zh-CN"/>
              </w:rPr>
              <w:t xml:space="preserve"> ：  </w:t>
            </w:r>
          </w:p>
          <w:p>
            <w:pPr>
              <w:spacing w:line="240" w:lineRule="auto"/>
              <w:rPr>
                <w:rFonts w:hint="eastAsia" w:ascii="宋体" w:hAnsi="宋体" w:eastAsia="宋体" w:cs="宋体"/>
                <w:sz w:val="21"/>
                <w:szCs w:val="21"/>
              </w:rPr>
            </w:pPr>
            <w:r>
              <w:rPr>
                <w:rFonts w:hint="eastAsia" w:ascii="宋体" w:hAnsi="宋体" w:eastAsia="宋体" w:cs="宋体"/>
                <w:sz w:val="21"/>
                <w:szCs w:val="21"/>
              </w:rPr>
              <w:t>1.文件格式：支持dwg、dxf及dwt的文件保存格式，支持输出wmf、sat、bmp、jpg、png、tif格式的数据。</w:t>
            </w:r>
          </w:p>
          <w:p>
            <w:pPr>
              <w:spacing w:line="240" w:lineRule="auto"/>
              <w:rPr>
                <w:rFonts w:hint="eastAsia" w:ascii="宋体" w:hAnsi="宋体" w:eastAsia="宋体" w:cs="宋体"/>
                <w:sz w:val="21"/>
                <w:szCs w:val="21"/>
              </w:rPr>
            </w:pPr>
            <w:r>
              <w:rPr>
                <w:rFonts w:hint="eastAsia" w:ascii="宋体" w:hAnsi="宋体" w:eastAsia="宋体" w:cs="宋体"/>
                <w:sz w:val="21"/>
                <w:szCs w:val="21"/>
              </w:rPr>
              <w:t>2.自动保存：软件可在设定的自动保存时间点自动保存相应格式的临时文件，可设定临时文件的储存位置。</w:t>
            </w:r>
          </w:p>
          <w:p>
            <w:pPr>
              <w:spacing w:line="240" w:lineRule="auto"/>
              <w:rPr>
                <w:rFonts w:hint="eastAsia" w:ascii="宋体" w:hAnsi="宋体" w:eastAsia="宋体" w:cs="宋体"/>
                <w:sz w:val="21"/>
                <w:szCs w:val="21"/>
              </w:rPr>
            </w:pPr>
            <w:r>
              <w:rPr>
                <w:rFonts w:hint="eastAsia" w:ascii="宋体" w:hAnsi="宋体" w:eastAsia="宋体" w:cs="宋体"/>
                <w:sz w:val="21"/>
                <w:szCs w:val="21"/>
              </w:rPr>
              <w:t>3.手势精灵：通过鼠标连续运行轨迹的差异来识别用户输入的命令。例如，按住鼠标右键在绘图区域画出字母“E”，系统则自动执行ERASE 命令。</w:t>
            </w:r>
          </w:p>
          <w:p>
            <w:pPr>
              <w:spacing w:line="240" w:lineRule="auto"/>
              <w:rPr>
                <w:rFonts w:hint="eastAsia" w:ascii="宋体" w:hAnsi="宋体" w:eastAsia="宋体" w:cs="宋体"/>
                <w:sz w:val="21"/>
                <w:szCs w:val="21"/>
              </w:rPr>
            </w:pPr>
            <w:r>
              <w:rPr>
                <w:rFonts w:hint="eastAsia" w:ascii="宋体" w:hAnsi="宋体" w:eastAsia="宋体" w:cs="宋体"/>
                <w:sz w:val="21"/>
                <w:szCs w:val="21"/>
              </w:rPr>
              <w:t>4.智能语音：可在图纸中创建、播放和删除语音注释。</w:t>
            </w:r>
          </w:p>
          <w:p>
            <w:pPr>
              <w:spacing w:line="240" w:lineRule="auto"/>
              <w:rPr>
                <w:rFonts w:hint="eastAsia" w:ascii="宋体" w:hAnsi="宋体" w:eastAsia="宋体" w:cs="宋体"/>
                <w:sz w:val="21"/>
                <w:szCs w:val="21"/>
              </w:rPr>
            </w:pPr>
            <w:r>
              <w:rPr>
                <w:rFonts w:hint="eastAsia" w:ascii="宋体" w:hAnsi="宋体" w:eastAsia="宋体" w:cs="宋体"/>
                <w:sz w:val="21"/>
                <w:szCs w:val="21"/>
              </w:rPr>
              <w:t>5.OLE对象：可将Office软件中的内容复制后直接粘贴到软件中，软件绘制的图形也可以直接粘贴到Office中。</w:t>
            </w:r>
          </w:p>
          <w:p>
            <w:pPr>
              <w:spacing w:line="240" w:lineRule="auto"/>
              <w:rPr>
                <w:rFonts w:hint="eastAsia" w:ascii="宋体" w:hAnsi="宋体" w:eastAsia="宋体" w:cs="宋体"/>
                <w:sz w:val="21"/>
                <w:szCs w:val="21"/>
              </w:rPr>
            </w:pPr>
            <w:r>
              <w:rPr>
                <w:rFonts w:hint="eastAsia" w:ascii="宋体" w:hAnsi="宋体" w:eastAsia="宋体" w:cs="宋体"/>
                <w:sz w:val="21"/>
                <w:szCs w:val="21"/>
              </w:rPr>
              <w:t>6.扩展工具：“扩展工具”菜单中，具备“图层工具”的二级菜单，可实现对图层的增强编辑。“图块工具”下，提供“批量修改属性值”功能，可修改指定属性块中的属性值。</w:t>
            </w:r>
          </w:p>
          <w:p>
            <w:pPr>
              <w:spacing w:line="240" w:lineRule="auto"/>
              <w:rPr>
                <w:rFonts w:hint="eastAsia" w:ascii="宋体" w:hAnsi="宋体" w:eastAsia="宋体" w:cs="宋体"/>
                <w:sz w:val="21"/>
                <w:szCs w:val="21"/>
              </w:rPr>
            </w:pPr>
            <w:r>
              <w:rPr>
                <w:rFonts w:hint="eastAsia" w:ascii="宋体" w:hAnsi="宋体" w:eastAsia="宋体" w:cs="宋体"/>
                <w:sz w:val="21"/>
                <w:szCs w:val="21"/>
              </w:rPr>
              <w:t>7.激活加密：支持网络授权（软加密），使用网络激活号激活许可服务器，并通过网络许可配置程序动态监控和管理网络许可证的分配。</w:t>
            </w:r>
          </w:p>
          <w:p>
            <w:pPr>
              <w:spacing w:line="240" w:lineRule="auto"/>
              <w:rPr>
                <w:rFonts w:hint="eastAsia" w:ascii="宋体" w:hAnsi="宋体" w:eastAsia="宋体" w:cs="宋体"/>
                <w:sz w:val="21"/>
                <w:szCs w:val="21"/>
              </w:rPr>
            </w:pPr>
            <w:r>
              <w:rPr>
                <w:rFonts w:hint="eastAsia" w:ascii="宋体" w:hAnsi="宋体" w:eastAsia="宋体" w:cs="宋体"/>
                <w:sz w:val="21"/>
                <w:szCs w:val="21"/>
              </w:rPr>
              <w:t>8.在线更新：“帮助”菜单中提供“检查更新”功能，支持在线更新。</w:t>
            </w:r>
          </w:p>
          <w:p>
            <w:pPr>
              <w:spacing w:line="240" w:lineRule="auto"/>
              <w:rPr>
                <w:rFonts w:hint="eastAsia" w:ascii="宋体" w:hAnsi="宋体" w:eastAsia="宋体" w:cs="宋体"/>
                <w:sz w:val="21"/>
                <w:szCs w:val="21"/>
              </w:rPr>
            </w:pPr>
            <w:r>
              <w:rPr>
                <w:rFonts w:hint="eastAsia" w:ascii="宋体" w:hAnsi="宋体" w:eastAsia="宋体" w:cs="宋体"/>
                <w:sz w:val="21"/>
                <w:szCs w:val="21"/>
              </w:rPr>
              <w:t>9.图纸设置：软件共提供GB、ISO、ANSI、DIN、JIS、BSI、CSN、GOST 8种常用的国家标准，用户可以通过自定义来创建符合特定要求的尺寸来生成自己的图幅，便于用户使用。</w:t>
            </w:r>
          </w:p>
          <w:p>
            <w:pPr>
              <w:spacing w:line="240" w:lineRule="auto"/>
              <w:rPr>
                <w:rFonts w:hint="eastAsia" w:ascii="宋体" w:hAnsi="宋体" w:eastAsia="宋体" w:cs="宋体"/>
                <w:sz w:val="21"/>
                <w:szCs w:val="21"/>
              </w:rPr>
            </w:pPr>
            <w:r>
              <w:rPr>
                <w:rFonts w:hint="eastAsia" w:ascii="宋体" w:hAnsi="宋体" w:eastAsia="宋体" w:cs="宋体"/>
                <w:sz w:val="21"/>
                <w:szCs w:val="21"/>
              </w:rPr>
              <w:t>10.多图幅设置：可在同一个绘图环境中绘制多个不同标准、不同比例的图幅，多图框建立以后，标注、符号标注等会自动适应图框的比例内容。</w:t>
            </w:r>
          </w:p>
          <w:p>
            <w:pPr>
              <w:spacing w:line="240" w:lineRule="auto"/>
              <w:rPr>
                <w:rFonts w:hint="eastAsia" w:ascii="宋体" w:hAnsi="宋体" w:eastAsia="宋体" w:cs="宋体"/>
                <w:sz w:val="21"/>
                <w:szCs w:val="21"/>
              </w:rPr>
            </w:pPr>
            <w:r>
              <w:rPr>
                <w:rFonts w:hint="eastAsia" w:ascii="宋体" w:hAnsi="宋体" w:eastAsia="宋体" w:cs="宋体"/>
                <w:sz w:val="21"/>
                <w:szCs w:val="21"/>
              </w:rPr>
              <w:t>11.更换标准：图纸建立多标准的图框后会产生不同标准，当选择某种标准时，所执行的操作都以选择的标准为基础。</w:t>
            </w:r>
          </w:p>
          <w:p>
            <w:pPr>
              <w:spacing w:line="240" w:lineRule="auto"/>
              <w:rPr>
                <w:rFonts w:hint="eastAsia" w:ascii="宋体" w:hAnsi="宋体" w:eastAsia="宋体" w:cs="宋体"/>
                <w:sz w:val="21"/>
                <w:szCs w:val="21"/>
              </w:rPr>
            </w:pPr>
            <w:r>
              <w:rPr>
                <w:rFonts w:hint="eastAsia" w:ascii="宋体" w:hAnsi="宋体" w:eastAsia="宋体" w:cs="宋体"/>
                <w:sz w:val="21"/>
                <w:szCs w:val="21"/>
              </w:rPr>
              <w:t>12.智能标注：智能标注功能会因选择实体的对象不同，自动进行长度、直径或半径标注。标注过程中根据命令的提示可以在不同标注方式中任意选择。图层管理：自动生成常用图层并通过数字自由切换,提高绘图效率。</w:t>
            </w:r>
          </w:p>
          <w:p>
            <w:pPr>
              <w:spacing w:line="240" w:lineRule="auto"/>
              <w:rPr>
                <w:rFonts w:hint="eastAsia" w:ascii="宋体" w:hAnsi="宋体" w:eastAsia="宋体" w:cs="宋体"/>
                <w:sz w:val="21"/>
                <w:szCs w:val="21"/>
              </w:rPr>
            </w:pPr>
            <w:r>
              <w:rPr>
                <w:rFonts w:hint="eastAsia" w:ascii="宋体" w:hAnsi="宋体" w:eastAsia="宋体" w:cs="宋体"/>
                <w:sz w:val="21"/>
                <w:szCs w:val="21"/>
              </w:rPr>
              <w:t>13.创建视图：参考了国际通用的标注形式，提供了强大剖切线标注功能，如剖面符号、剖面标签、附加剖面符号、显示箭头、平面线等。对零部件的局部进行放大，使零部件的局部图形更清晰。</w:t>
            </w:r>
          </w:p>
          <w:p>
            <w:pPr>
              <w:spacing w:line="240" w:lineRule="auto"/>
              <w:rPr>
                <w:rFonts w:hint="eastAsia" w:ascii="宋体" w:hAnsi="宋体" w:eastAsia="宋体" w:cs="宋体"/>
                <w:sz w:val="21"/>
                <w:szCs w:val="21"/>
              </w:rPr>
            </w:pPr>
            <w:r>
              <w:rPr>
                <w:rFonts w:hint="eastAsia" w:ascii="宋体" w:hAnsi="宋体" w:eastAsia="宋体" w:cs="宋体"/>
                <w:sz w:val="21"/>
                <w:szCs w:val="21"/>
              </w:rPr>
              <w:t>14.系列化零件设计系统：系列化零件设计系统是软件中特有的一项功能，是对参数化国标图库的一种有益补充。支持一张图纸的完整信息，如：图形、各种标注、图框、文字等。利用它可以进行复杂零件的参数化设计。</w:t>
            </w:r>
          </w:p>
          <w:p>
            <w:pPr>
              <w:spacing w:line="240" w:lineRule="auto"/>
              <w:rPr>
                <w:rFonts w:hint="eastAsia" w:ascii="宋体" w:hAnsi="宋体" w:eastAsia="宋体" w:cs="宋体"/>
                <w:sz w:val="21"/>
                <w:szCs w:val="21"/>
              </w:rPr>
            </w:pPr>
            <w:r>
              <w:rPr>
                <w:rFonts w:hint="eastAsia" w:ascii="宋体" w:hAnsi="宋体" w:eastAsia="宋体" w:cs="宋体"/>
                <w:sz w:val="21"/>
                <w:szCs w:val="21"/>
              </w:rPr>
              <w:t>15.超级符号库：软件所提供的超级符号库中包括4种符合国家标注符号内容，包括液压气动符号库、电器符号库、机构运动符号库、金属结构件。除此之外，软件允许用户建立自己的符号库系统，用户再次需要属于的符号内容时，可调用用户自己建立的符号库中的图形，并且支持在调用进行比例调节。</w:t>
            </w:r>
          </w:p>
          <w:p>
            <w:pPr>
              <w:spacing w:line="240" w:lineRule="auto"/>
              <w:rPr>
                <w:rFonts w:hint="eastAsia" w:ascii="宋体" w:hAnsi="宋体" w:eastAsia="宋体" w:cs="宋体"/>
                <w:sz w:val="21"/>
                <w:szCs w:val="21"/>
              </w:rPr>
            </w:pPr>
            <w:r>
              <w:rPr>
                <w:rFonts w:hint="eastAsia" w:ascii="宋体" w:hAnsi="宋体" w:eastAsia="宋体" w:cs="宋体"/>
                <w:sz w:val="21"/>
                <w:szCs w:val="21"/>
              </w:rPr>
              <w:t>16.系统维护工具：该工具可以实现样式配置、词句库维护、自定义标题栏、自定义附加栏、自定义参数栏、自定义图样代号栏、自定义更改栏、超级属性块定义、自定义明细表表头、自定义明细表表体、不规则表格提取配置、2D规则表格提取配置、样式库同步工具配置等。</w:t>
            </w:r>
          </w:p>
          <w:p>
            <w:pPr>
              <w:spacing w:line="240" w:lineRule="auto"/>
              <w:rPr>
                <w:rFonts w:hint="eastAsia" w:ascii="宋体" w:hAnsi="宋体" w:eastAsia="宋体" w:cs="宋体"/>
                <w:sz w:val="21"/>
                <w:szCs w:val="21"/>
              </w:rPr>
            </w:pPr>
            <w:r>
              <w:rPr>
                <w:rFonts w:hint="eastAsia" w:ascii="宋体" w:hAnsi="宋体" w:eastAsia="宋体" w:cs="宋体"/>
                <w:sz w:val="21"/>
                <w:szCs w:val="21"/>
              </w:rPr>
              <w:t>17.其他要求：</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（1）满足教育部职业技能大赛中职组“零部件测绘与CAD成图技术”赛项比赛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，保证学校能用此产品参加大赛，须提供大赛证明文件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（2）满足中等职业学校职业能力大赛（学生技术技能类）“零部件测绘与CAD成图技术”赛项比赛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，保证学校能用此产品参加大赛，须提供大赛证明文件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p>
            <w:pPr>
              <w:pStyle w:val="9"/>
              <w:ind w:left="-22" w:leftChars="-8" w:right="-683" w:rightChars="-244" w:firstLine="16" w:firstLineChars="8"/>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kern w:val="0"/>
                <w:sz w:val="21"/>
                <w:szCs w:val="21"/>
                <w:lang w:val="en-US" w:eastAsia="zh-CN" w:bidi="ar-SA"/>
              </w:rPr>
              <w:t>满足“振兴杯”全国青年职业技能大赛</w:t>
            </w:r>
            <w:r>
              <w:rPr>
                <w:rFonts w:hint="eastAsia" w:ascii="宋体" w:hAnsi="宋体" w:eastAsia="宋体" w:cs="宋体"/>
                <w:sz w:val="21"/>
                <w:szCs w:val="21"/>
              </w:rPr>
              <w:t>“</w:t>
            </w:r>
            <w:r>
              <w:rPr>
                <w:rFonts w:hint="eastAsia" w:ascii="宋体" w:hAnsi="宋体" w:eastAsia="宋体" w:cs="宋体"/>
                <w:kern w:val="0"/>
                <w:sz w:val="21"/>
                <w:szCs w:val="21"/>
                <w:lang w:val="en-US" w:eastAsia="zh-CN" w:bidi="ar-SA"/>
              </w:rPr>
              <w:t>车工”等类似</w:t>
            </w:r>
            <w:r>
              <w:rPr>
                <w:rFonts w:hint="eastAsia" w:ascii="宋体" w:hAnsi="宋体" w:eastAsia="宋体" w:cs="宋体"/>
                <w:kern w:val="0"/>
                <w:sz w:val="21"/>
                <w:szCs w:val="21"/>
              </w:rPr>
              <w:t>赛项</w:t>
            </w:r>
            <w:r>
              <w:rPr>
                <w:rFonts w:hint="eastAsia" w:ascii="宋体" w:hAnsi="宋体" w:eastAsia="宋体" w:cs="宋体"/>
                <w:kern w:val="0"/>
                <w:sz w:val="21"/>
                <w:szCs w:val="21"/>
                <w:lang w:val="en-US" w:eastAsia="zh-CN"/>
              </w:rPr>
              <w:t>商务技术要求</w:t>
            </w:r>
            <w:r>
              <w:rPr>
                <w:rFonts w:hint="eastAsia" w:ascii="宋体" w:hAnsi="宋体" w:eastAsia="宋体" w:cs="宋体"/>
                <w:kern w:val="0"/>
                <w:sz w:val="21"/>
                <w:szCs w:val="21"/>
              </w:rPr>
              <w:t>，保证学校能用此产品参加大赛</w:t>
            </w:r>
            <w:r>
              <w:rPr>
                <w:rFonts w:hint="eastAsia" w:ascii="宋体" w:hAnsi="宋体" w:eastAsia="宋体" w:cs="宋体"/>
                <w:kern w:val="0"/>
                <w:sz w:val="21"/>
                <w:szCs w:val="21"/>
                <w:lang w:eastAsia="zh-CN"/>
              </w:rPr>
              <w:t>，</w:t>
            </w:r>
            <w:r>
              <w:rPr>
                <w:rFonts w:hint="eastAsia" w:ascii="宋体" w:hAnsi="宋体" w:eastAsia="宋体" w:cs="宋体"/>
                <w:sz w:val="21"/>
                <w:szCs w:val="21"/>
              </w:rPr>
              <w:t>须提供大赛证明文件</w:t>
            </w:r>
            <w:r>
              <w:rPr>
                <w:rFonts w:hint="eastAsia" w:ascii="宋体" w:hAnsi="宋体" w:eastAsia="宋体" w:cs="宋体"/>
                <w:sz w:val="21"/>
                <w:szCs w:val="21"/>
                <w:lang w:val="en-US" w:eastAsia="zh-CN"/>
              </w:rPr>
              <w:t>或承诺函</w:t>
            </w:r>
            <w:r>
              <w:rPr>
                <w:rFonts w:hint="eastAsia" w:ascii="宋体" w:hAnsi="宋体" w:eastAsia="宋体" w:cs="宋体"/>
                <w:sz w:val="21"/>
                <w:szCs w:val="21"/>
              </w:rPr>
              <w:t>。</w:t>
            </w:r>
          </w:p>
        </w:tc>
        <w:tc>
          <w:tcPr>
            <w:tcW w:w="49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w:t>
            </w:r>
          </w:p>
        </w:tc>
        <w:tc>
          <w:tcPr>
            <w:tcW w:w="614"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节点</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5</w:t>
            </w:r>
          </w:p>
        </w:tc>
        <w:tc>
          <w:tcPr>
            <w:tcW w:w="5579" w:type="dxa"/>
            <w:vAlign w:val="center"/>
          </w:tcPr>
          <w:p>
            <w:pPr>
              <w:pStyle w:val="6"/>
              <w:spacing w:line="240" w:lineRule="auto"/>
              <w:rPr>
                <w:rFonts w:hint="eastAsia" w:ascii="宋体" w:hAnsi="宋体" w:eastAsia="宋体" w:cs="宋体"/>
                <w:sz w:val="21"/>
                <w:szCs w:val="21"/>
                <w:lang w:val="en-US" w:eastAsia="zh-CN"/>
              </w:rPr>
            </w:pPr>
            <w:r>
              <w:rPr>
                <w:rFonts w:hint="eastAsia" w:ascii="宋体" w:hAnsi="宋体" w:eastAsia="宋体" w:cs="宋体"/>
                <w:b/>
                <w:bCs/>
                <w:sz w:val="21"/>
                <w:szCs w:val="21"/>
              </w:rPr>
              <w:t>三维平台设计软件</w:t>
            </w:r>
            <w:r>
              <w:rPr>
                <w:rFonts w:hint="eastAsia" w:ascii="宋体" w:hAnsi="宋体" w:eastAsia="宋体" w:cs="宋体"/>
                <w:b/>
                <w:bCs/>
                <w:sz w:val="21"/>
                <w:szCs w:val="21"/>
                <w:lang w:eastAsia="zh-CN"/>
              </w:rPr>
              <w:t>：</w:t>
            </w:r>
            <w:r>
              <w:rPr>
                <w:rFonts w:hint="eastAsia" w:ascii="宋体" w:hAnsi="宋体" w:eastAsia="宋体" w:cs="宋体"/>
                <w:sz w:val="21"/>
                <w:szCs w:val="21"/>
                <w:lang w:val="en-US" w:eastAsia="zh-CN"/>
              </w:rPr>
              <w:t xml:space="preserve">   </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实体曲面混合建模：要求软件可以做到实体与曲面的混合建模，提高软件建模的灵活度。</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数据接口：支持双向数据的导入导出，根据不同的格式，如：Catia V4、Catia V5/V6、NX(Unigraphics)、Creo(Pro/E)、Parasolid、SAT、STEP、DWG/DXF、IGES、等，原有数据中的装配信息、层信息、组信息和颜色信息都一一转换，输入数据时可以通过智能过滤器把原始数据进行优化。还要支持通用格式的批量导入；高效的协助使用者进行数据的转换，无任何数据损失，交换方式便利、迅速。</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多文档形式：一个造型文档中包含多个文件造型，各文档之间可自由切换并编辑。</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角色设置：提供多种角色，根据使用者能力的不同，自行进行适合自己角色配置。同时在软件中个角色可以进行自由的切换。</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二维到三维：可直接复制/粘贴DWG中的二维轮廓到软件的草图或工程图中，并可以直接使用该轮廓进行编辑及建模操作。</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矢量图转换：可以将*.jpg、*.png、等格式图片，在软件中转换成草图线框形式。</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破面修补：提供曲面修补的功能，导入实体出现破面、丢失面的情况时，在符合专业级修补标准的前提下，可以一键对有问题的面进行修补，从而快速的修复模型。</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浮雕建模：可以使图片在模型表面形成凹凸的建模造型，并且可以直接用于后续CAM编程加工。</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装配功能：装配树能够生动的高亮显示个体零件以方便修改；对于多文档文件的装配可实现一个及批量零件的插入。具备自上向下、自下向上或同时以两种方式构建装配，可即刻修改出现的问题。</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钣金设计：包含对钣金的基本设置，如折弯、加强筋、百叶窗、展开等；支持直接对钣金进行拉伸、放样，钣金的运算与基本造型在系统内部保持一致，允许对钣金件执行普通造型的任意操作，例如增料除料等。</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焊件设计：提供固连各型材的焊接件设计功能，可生成iso以及ansi inch等标准的焊接结构构件、三角形和多边形等类型的脚撑板、用于封闭结构构件的开放端口的顶端盖、连续的或间隙性的焊缝。</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rPr>
              <w:t>模具设计：可根据产品结构自行区分型芯与型腔区域，生成不同的颜色标记；可以通过参数化设计流道、滑块、镶块、冷却管道等结构设计；具有模具标准件库，需包含模架及定位环、唧嘴、浇口、流道、水路、滑块头、限位块、导柱等各种模具标准件；用户还可以自己定义符合实际使用标准的自定义标准件库。简化分模设计步骤。</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逆向工程：可根据点云数据，逆向生成三角网格面或NURBS曲面，对其进行光顺处理之后可以直接进行实体操作，方便快捷。</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14.</w:t>
            </w:r>
            <w:r>
              <w:rPr>
                <w:rFonts w:hint="eastAsia" w:ascii="宋体" w:hAnsi="宋体" w:eastAsia="宋体" w:cs="宋体"/>
                <w:sz w:val="21"/>
                <w:szCs w:val="21"/>
              </w:rPr>
              <w:t>多种加工方式：钻孔、2轴铣削、3轴铣削、多轴加工、车削等加工方式。</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智能策略加工：支持钻孔、2轴智能加工，根据模型及给定的毛坯，自行进行加工刀具的选择，保证合理的切削工艺直接计算出加工轨迹。同时支持自行更改某个刀路的参数 。</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16.</w:t>
            </w:r>
            <w:r>
              <w:rPr>
                <w:rFonts w:hint="eastAsia" w:ascii="宋体" w:hAnsi="宋体" w:eastAsia="宋体" w:cs="宋体"/>
                <w:sz w:val="21"/>
                <w:szCs w:val="21"/>
              </w:rPr>
              <w:t>仿真：系统具有线架仿真和实体仿真功能，用户能及时看到加工的仿真效果。系统支持对刀轨整体分析，以及具体刀轨运动的分析，实体仿真允许考虑刀具补偿，以模拟实际加工过程。提供3种检查形式：碰撞、过切、余量检查，碰撞和过切检查将分析结果直接用颜色标示于刀轨。可以在真正加工之前将问题暴露出来，避免实际加工时类似问题的发生。在仿真过程中可显示刀具夹持器和各种不同的刀轨显示模式。</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17.</w:t>
            </w:r>
            <w:r>
              <w:rPr>
                <w:rFonts w:hint="eastAsia" w:ascii="宋体" w:hAnsi="宋体" w:eastAsia="宋体" w:cs="宋体"/>
                <w:sz w:val="21"/>
                <w:szCs w:val="21"/>
              </w:rPr>
              <w:t>轨迹输出：独立输出NC、CL、XML/HTML、工序/刀具清单以及工艺电子表格，生成的CL文件符合ISO-4343标准。</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后置处理：软件自带常用的机床后置系统，如FANUC、KND、SIEMENS等；开放性高，客户可根据自己的机床系统进行简单的格式编辑。</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智能辅助教学系统：在软件内实现一边指导，一边操作的学习。学生可以一边观看演示一边操作学习，最终完成建模；方便学生课下自行学习。</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技术支持与服务：经过国家权威部门审定，并经过广泛应用证明，系统实用、可靠；在全国有多家技术支持机构，可以提供高质量的培训及服务。</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 xml:space="preserve">其他要求： </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满足中职组“零部件测绘与CAD成图技术”赛项技能大赛比赛</w:t>
            </w:r>
            <w:r>
              <w:rPr>
                <w:rFonts w:hint="eastAsia" w:ascii="宋体" w:hAnsi="宋体" w:eastAsia="宋体" w:cs="宋体"/>
                <w:sz w:val="21"/>
                <w:szCs w:val="21"/>
                <w:lang w:val="en-US" w:eastAsia="zh-CN"/>
              </w:rPr>
              <w:t>商务技术要求</w:t>
            </w:r>
            <w:r>
              <w:rPr>
                <w:rFonts w:hint="eastAsia" w:ascii="宋体" w:hAnsi="宋体" w:eastAsia="宋体" w:cs="宋体"/>
                <w:sz w:val="21"/>
                <w:szCs w:val="21"/>
              </w:rPr>
              <w:t>，须提供相应证明文件资料，保证学校能用此产品参加大赛。</w:t>
            </w:r>
          </w:p>
        </w:tc>
        <w:tc>
          <w:tcPr>
            <w:tcW w:w="491" w:type="dxa"/>
            <w:vAlign w:val="center"/>
          </w:tcPr>
          <w:p>
            <w:pPr>
              <w:pStyle w:val="6"/>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14"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节点</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6</w:t>
            </w:r>
          </w:p>
        </w:tc>
        <w:tc>
          <w:tcPr>
            <w:tcW w:w="5579" w:type="dxa"/>
            <w:vAlign w:val="center"/>
          </w:tcPr>
          <w:p>
            <w:pPr>
              <w:keepNext w:val="0"/>
              <w:keepLines w:val="0"/>
              <w:widowControl/>
              <w:numPr>
                <w:ilvl w:val="0"/>
                <w:numId w:val="0"/>
              </w:numPr>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《典型机械零件》测绘装置   </w:t>
            </w:r>
          </w:p>
          <w:p>
            <w:pPr>
              <w:keepNext w:val="0"/>
              <w:keepLines w:val="0"/>
              <w:widowControl/>
              <w:numPr>
                <w:ilvl w:val="0"/>
                <w:numId w:val="0"/>
              </w:numPr>
              <w:suppressLineNumbers w:val="0"/>
              <w:spacing w:line="240" w:lineRule="auto"/>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《典型机械零件》测绘套件，其材质为铝合金件</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（1）测绘箱子尺寸不小于：370*340*130mm;</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基础零件测绘装置：基础零件测绘装置主要包含南机轴、轴套、端盖、法兰盘、连杆、支架、阀体、箱体等机构。了解机械机构中常用的四大类零件，认识基础零件的误差和配合精度，为机械专业零部件测量与测绘提供测规范化测量对象；</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（3）配套高等教育出版社出版的《零部件测绘实训手册》教材；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（4）采用铝镁压铸工艺，经喷砂处理，产品精度高，质量好；</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（5）零部件主要部位进行数控加工，加工面精度高和表面粗糙度合理；</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6）对于每个单体零件进行三维数字化设计，组成立体化三维零件模型库；不需要安装任何APP或者插件，通过手机等移动端设备直接扫描二维码查看三维模型，并且支持该模型的任意旋转、缩放、立体化渲染、动态剖切及智能测量等功能。</w:t>
            </w:r>
            <w:r>
              <w:rPr>
                <w:rFonts w:hint="eastAsia" w:ascii="宋体" w:hAnsi="宋体" w:eastAsia="宋体" w:cs="宋体"/>
                <w:b/>
                <w:bCs/>
                <w:sz w:val="21"/>
                <w:szCs w:val="21"/>
                <w:lang w:val="en-US" w:eastAsia="zh-CN"/>
              </w:rPr>
              <w:t>（</w:t>
            </w:r>
            <w:r>
              <w:rPr>
                <w:rFonts w:hint="eastAsia" w:ascii="宋体" w:hAnsi="宋体" w:cs="宋体"/>
                <w:b/>
                <w:bCs/>
                <w:sz w:val="21"/>
                <w:szCs w:val="21"/>
                <w:lang w:val="en-US" w:eastAsia="zh-CN"/>
              </w:rPr>
              <w:t>投标时</w:t>
            </w:r>
            <w:r>
              <w:rPr>
                <w:rFonts w:hint="eastAsia" w:ascii="宋体" w:hAnsi="宋体" w:eastAsia="宋体" w:cs="宋体"/>
                <w:b/>
                <w:bCs/>
                <w:sz w:val="21"/>
                <w:szCs w:val="21"/>
                <w:lang w:val="en-US" w:eastAsia="zh-CN"/>
              </w:rPr>
              <w:t>提供演示）</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（7）终端可以查看模型的爆炸视图，完美继承本地服务端的爆炸图设置，提供滑动条供用户选择爆炸的距离。</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（8）终端支持查看模型的装配树，装配树显示当前模型的所有装配零件，可显示与隐藏任意零件，便于查看装配关系等信息。</w:t>
            </w:r>
          </w:p>
          <w:p>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sz w:val="21"/>
                <w:szCs w:val="21"/>
                <w:lang w:val="en-US" w:eastAsia="zh-CN"/>
              </w:rPr>
            </w:pPr>
          </w:p>
        </w:tc>
        <w:tc>
          <w:tcPr>
            <w:tcW w:w="49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614"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7</w:t>
            </w:r>
          </w:p>
        </w:tc>
        <w:tc>
          <w:tcPr>
            <w:tcW w:w="5579" w:type="dxa"/>
            <w:vAlign w:val="center"/>
          </w:tcPr>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《零部件拆装与测量》工具套装   </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产品适用于基础零件、千斤顶、偏心机构、平口钳、凸轮机构、齿轮泵、减速器、蜗轮减速器标准件、典型零件、联接与配合、台虎钳、阀体、联轴器、注塑模具、尾座顶尖等零部件的折装与测量。</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拆装与测量工具整箱装置，箱体尺寸≥360mm*260mm*120mm，箱子内置泡沫模子，模子根据不同的拆装工具和测量工具形状大小进行挖槽设计，将工具嵌合其中，方便取用；</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拆卸工具：活络扳手、内卡簧钳、外卡簧钳、橡胶锤、十字螺丝刀、紫铜棒、尖嘴钳、内六角扳手。</w:t>
            </w:r>
          </w:p>
          <w:p>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测量工具：游标卡尺、中心距卡尺（数显）、钢直尺、螺纹样板公制60°、螺纹样板英制55°、半径规R1-R25、角度尺、外径千分尺0-50mm。</w:t>
            </w:r>
          </w:p>
        </w:tc>
        <w:tc>
          <w:tcPr>
            <w:tcW w:w="49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614"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4" w:type="dxa"/>
            <w:gridSpan w:val="4"/>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default" w:ascii="宋体" w:hAnsi="宋体" w:eastAsia="宋体" w:cs="宋体"/>
                <w:sz w:val="21"/>
                <w:szCs w:val="21"/>
                <w:lang w:val="en-US" w:eastAsia="zh-CN"/>
              </w:rPr>
            </w:pPr>
            <w:r>
              <w:rPr>
                <w:rFonts w:hint="eastAsia" w:ascii="宋体" w:hAnsi="宋体" w:cs="宋体"/>
                <w:b/>
                <w:bCs/>
                <w:sz w:val="21"/>
                <w:szCs w:val="21"/>
                <w:lang w:val="en-US" w:eastAsia="zh-CN"/>
              </w:rPr>
              <w:t>合计</w:t>
            </w:r>
          </w:p>
        </w:tc>
        <w:tc>
          <w:tcPr>
            <w:tcW w:w="709" w:type="dxa"/>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eastAsia" w:ascii="宋体" w:hAnsi="宋体" w:eastAsia="宋体" w:cs="宋体"/>
                <w:sz w:val="21"/>
                <w:szCs w:val="21"/>
                <w:lang w:val="en-US" w:eastAsia="zh-CN"/>
              </w:rPr>
            </w:pPr>
          </w:p>
        </w:tc>
        <w:tc>
          <w:tcPr>
            <w:tcW w:w="641" w:type="dxa"/>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4" w:type="dxa"/>
            <w:gridSpan w:val="6"/>
            <w:vAlign w:val="center"/>
          </w:tcPr>
          <w:p>
            <w:pPr>
              <w:keepNext w:val="0"/>
              <w:keepLines w:val="0"/>
              <w:widowControl/>
              <w:numPr>
                <w:ilvl w:val="0"/>
                <w:numId w:val="0"/>
              </w:numPr>
              <w:suppressLineNumbers w:val="0"/>
              <w:spacing w:line="240" w:lineRule="auto"/>
              <w:ind w:left="0" w:leftChars="0" w:firstLine="0" w:firstLineChars="0"/>
              <w:jc w:val="center"/>
              <w:textAlignment w:val="center"/>
              <w:rPr>
                <w:rFonts w:hint="eastAsia" w:ascii="宋体" w:hAnsi="宋体" w:cs="宋体"/>
                <w:b/>
                <w:bCs/>
                <w:i w:val="0"/>
                <w:color w:val="000000"/>
                <w:kern w:val="0"/>
                <w:sz w:val="28"/>
                <w:szCs w:val="28"/>
                <w:u w:val="none"/>
                <w:lang w:val="en-US" w:eastAsia="zh-CN" w:bidi="ar"/>
              </w:rPr>
            </w:pPr>
            <w:r>
              <w:rPr>
                <w:rFonts w:hint="eastAsia" w:ascii="宋体" w:hAnsi="宋体" w:cs="宋体"/>
                <w:b/>
                <w:bCs/>
                <w:i w:val="0"/>
                <w:color w:val="000000"/>
                <w:kern w:val="0"/>
                <w:sz w:val="28"/>
                <w:szCs w:val="28"/>
                <w:u w:val="none"/>
                <w:lang w:val="en-US" w:eastAsia="zh-CN" w:bidi="ar"/>
              </w:rPr>
              <w:t>三、</w:t>
            </w:r>
            <w:r>
              <w:rPr>
                <w:rFonts w:hint="eastAsia" w:ascii="宋体" w:hAnsi="宋体" w:eastAsia="宋体" w:cs="宋体"/>
                <w:b/>
                <w:bCs/>
                <w:i w:val="0"/>
                <w:color w:val="000000"/>
                <w:kern w:val="0"/>
                <w:sz w:val="28"/>
                <w:szCs w:val="28"/>
                <w:u w:val="none"/>
                <w:lang w:val="en-US" w:eastAsia="zh-CN" w:bidi="ar"/>
              </w:rPr>
              <w:t>实训室辅材配置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1</w:t>
            </w:r>
          </w:p>
        </w:tc>
        <w:tc>
          <w:tcPr>
            <w:tcW w:w="5579" w:type="dxa"/>
            <w:vAlign w:val="center"/>
          </w:tcPr>
          <w:p>
            <w:pPr>
              <w:snapToGrid w:val="0"/>
              <w:spacing w:line="240" w:lineRule="auto"/>
              <w:jc w:val="both"/>
              <w:rPr>
                <w:rFonts w:hint="eastAsia" w:ascii="宋体" w:hAnsi="宋体" w:cs="宋体"/>
                <w:b/>
                <w:bCs/>
                <w:color w:val="000000"/>
                <w:kern w:val="0"/>
                <w:sz w:val="21"/>
                <w:szCs w:val="21"/>
              </w:rPr>
            </w:pPr>
            <w:r>
              <w:rPr>
                <w:rFonts w:hint="eastAsia" w:ascii="宋体" w:hAnsi="宋体" w:eastAsia="宋体" w:cs="宋体"/>
                <w:b/>
                <w:bCs/>
                <w:i w:val="0"/>
                <w:iCs w:val="0"/>
                <w:color w:val="000000"/>
                <w:kern w:val="0"/>
                <w:sz w:val="21"/>
                <w:szCs w:val="21"/>
                <w:u w:val="none"/>
                <w:lang w:val="en-US" w:eastAsia="zh-CN" w:bidi="ar"/>
              </w:rPr>
              <w:t>实训讨论桌</w:t>
            </w:r>
            <w:r>
              <w:rPr>
                <w:rFonts w:hint="eastAsia" w:ascii="宋体" w:hAnsi="宋体" w:cs="宋体"/>
                <w:b/>
                <w:bCs/>
                <w:i w:val="0"/>
                <w:iCs w:val="0"/>
                <w:color w:val="000000"/>
                <w:kern w:val="0"/>
                <w:sz w:val="21"/>
                <w:szCs w:val="21"/>
                <w:u w:val="none"/>
                <w:lang w:val="en-US" w:eastAsia="zh-CN" w:bidi="ar"/>
              </w:rPr>
              <w:t>：</w:t>
            </w:r>
          </w:p>
          <w:p>
            <w:pPr>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cs="宋体"/>
                <w:color w:val="000000"/>
                <w:kern w:val="0"/>
                <w:sz w:val="21"/>
                <w:szCs w:val="21"/>
              </w:rPr>
              <w:t>材质：钢木结构</w:t>
            </w:r>
            <w:r>
              <w:rPr>
                <w:rFonts w:hint="eastAsia" w:ascii="宋体" w:hAnsi="宋体" w:cs="宋体"/>
                <w:color w:val="000000"/>
                <w:kern w:val="0"/>
                <w:sz w:val="21"/>
                <w:szCs w:val="21"/>
                <w:lang w:val="en-US" w:eastAsia="zh-CN"/>
              </w:rPr>
              <w:t xml:space="preserve"> </w:t>
            </w:r>
            <w:r>
              <w:rPr>
                <w:rFonts w:hint="eastAsia" w:ascii="宋体" w:hAnsi="宋体" w:cs="宋体"/>
                <w:color w:val="000000"/>
                <w:kern w:val="0"/>
                <w:sz w:val="21"/>
                <w:szCs w:val="21"/>
              </w:rPr>
              <w:t>尺寸：2.4</w:t>
            </w:r>
            <w:r>
              <w:rPr>
                <w:rFonts w:hint="eastAsia" w:ascii="宋体" w:hAnsi="宋体" w:cs="宋体"/>
                <w:color w:val="000000"/>
                <w:kern w:val="0"/>
                <w:sz w:val="21"/>
                <w:szCs w:val="21"/>
                <w:lang w:val="en-US" w:eastAsia="zh-CN"/>
              </w:rPr>
              <w:t>m</w:t>
            </w:r>
            <w:r>
              <w:rPr>
                <w:rFonts w:hint="eastAsia" w:ascii="宋体" w:hAnsi="宋体" w:cs="宋体"/>
                <w:color w:val="000000"/>
                <w:kern w:val="0"/>
                <w:sz w:val="21"/>
                <w:szCs w:val="21"/>
              </w:rPr>
              <w:t>*1.2m</w:t>
            </w:r>
            <w:r>
              <w:rPr>
                <w:rFonts w:hint="eastAsia" w:ascii="宋体" w:hAnsi="宋体" w:cs="宋体"/>
                <w:color w:val="000000"/>
                <w:kern w:val="0"/>
                <w:sz w:val="21"/>
                <w:szCs w:val="21"/>
                <w:lang w:val="en-US" w:eastAsia="zh-CN"/>
              </w:rPr>
              <w:t>*0.75m。</w:t>
            </w:r>
          </w:p>
        </w:tc>
        <w:tc>
          <w:tcPr>
            <w:tcW w:w="491"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2</w:t>
            </w:r>
          </w:p>
        </w:tc>
        <w:tc>
          <w:tcPr>
            <w:tcW w:w="614"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张</w:t>
            </w:r>
          </w:p>
        </w:tc>
        <w:tc>
          <w:tcPr>
            <w:tcW w:w="709" w:type="dxa"/>
            <w:vAlign w:val="center"/>
          </w:tcPr>
          <w:p>
            <w:pPr>
              <w:spacing w:line="240" w:lineRule="auto"/>
              <w:jc w:val="center"/>
              <w:rPr>
                <w:rFonts w:hint="eastAsia" w:ascii="宋体" w:hAnsi="宋体" w:cs="宋体"/>
                <w:sz w:val="21"/>
                <w:szCs w:val="21"/>
                <w:highlight w:val="none"/>
                <w:lang w:val="en-US" w:eastAsia="zh-CN"/>
              </w:rPr>
            </w:pPr>
          </w:p>
        </w:tc>
        <w:tc>
          <w:tcPr>
            <w:tcW w:w="641" w:type="dxa"/>
            <w:vAlign w:val="center"/>
          </w:tcPr>
          <w:p>
            <w:pPr>
              <w:spacing w:line="240" w:lineRule="auto"/>
              <w:jc w:val="center"/>
              <w:rPr>
                <w:rFonts w:hint="eastAsia" w:ascii="宋体" w:hAnsi="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2</w:t>
            </w:r>
          </w:p>
        </w:tc>
        <w:tc>
          <w:tcPr>
            <w:tcW w:w="5579" w:type="dxa"/>
            <w:vAlign w:val="center"/>
          </w:tcPr>
          <w:p>
            <w:pPr>
              <w:snapToGrid w:val="0"/>
              <w:spacing w:line="240" w:lineRule="auto"/>
              <w:jc w:val="both"/>
              <w:rPr>
                <w:rFonts w:hint="eastAsia" w:ascii="宋体" w:hAnsi="宋体" w:cs="宋体"/>
                <w:b/>
                <w:bCs/>
                <w:color w:val="000000"/>
                <w:kern w:val="0"/>
                <w:sz w:val="21"/>
                <w:szCs w:val="21"/>
              </w:rPr>
            </w:pPr>
            <w:r>
              <w:rPr>
                <w:rFonts w:hint="eastAsia" w:ascii="宋体" w:hAnsi="宋体" w:eastAsia="宋体" w:cs="宋体"/>
                <w:b/>
                <w:bCs/>
                <w:i w:val="0"/>
                <w:iCs w:val="0"/>
                <w:color w:val="000000"/>
                <w:kern w:val="0"/>
                <w:sz w:val="21"/>
                <w:szCs w:val="21"/>
                <w:u w:val="none"/>
                <w:lang w:val="en-US" w:eastAsia="zh-CN" w:bidi="ar"/>
              </w:rPr>
              <w:t>靠椅</w:t>
            </w:r>
            <w:r>
              <w:rPr>
                <w:rFonts w:hint="eastAsia" w:ascii="宋体" w:hAnsi="宋体" w:cs="宋体"/>
                <w:b/>
                <w:bCs/>
                <w:i w:val="0"/>
                <w:iCs w:val="0"/>
                <w:color w:val="000000"/>
                <w:kern w:val="0"/>
                <w:sz w:val="21"/>
                <w:szCs w:val="21"/>
                <w:u w:val="none"/>
                <w:lang w:val="en-US" w:eastAsia="zh-CN" w:bidi="ar"/>
              </w:rPr>
              <w:t>：</w:t>
            </w:r>
          </w:p>
          <w:p>
            <w:pPr>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cs="宋体"/>
                <w:color w:val="000000"/>
                <w:kern w:val="0"/>
                <w:sz w:val="21"/>
                <w:szCs w:val="21"/>
              </w:rPr>
              <w:t>扶手类型：固定扶手 面料材质：网布局 材质：人造板</w:t>
            </w:r>
            <w:r>
              <w:rPr>
                <w:rFonts w:hint="eastAsia" w:ascii="宋体" w:hAnsi="宋体" w:cs="宋体"/>
                <w:color w:val="000000"/>
                <w:kern w:val="0"/>
                <w:sz w:val="21"/>
                <w:szCs w:val="21"/>
                <w:lang w:eastAsia="zh-CN"/>
              </w:rPr>
              <w:t>。</w:t>
            </w:r>
          </w:p>
        </w:tc>
        <w:tc>
          <w:tcPr>
            <w:tcW w:w="491"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20</w:t>
            </w:r>
          </w:p>
        </w:tc>
        <w:tc>
          <w:tcPr>
            <w:tcW w:w="614"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把</w:t>
            </w:r>
          </w:p>
        </w:tc>
        <w:tc>
          <w:tcPr>
            <w:tcW w:w="709" w:type="dxa"/>
            <w:vAlign w:val="center"/>
          </w:tcPr>
          <w:p>
            <w:pPr>
              <w:spacing w:line="240" w:lineRule="auto"/>
              <w:jc w:val="center"/>
              <w:rPr>
                <w:rFonts w:hint="eastAsia" w:ascii="宋体" w:hAnsi="宋体" w:cs="宋体"/>
                <w:sz w:val="21"/>
                <w:szCs w:val="21"/>
                <w:highlight w:val="none"/>
                <w:lang w:val="en-US" w:eastAsia="zh-CN"/>
              </w:rPr>
            </w:pPr>
          </w:p>
        </w:tc>
        <w:tc>
          <w:tcPr>
            <w:tcW w:w="641" w:type="dxa"/>
            <w:vAlign w:val="center"/>
          </w:tcPr>
          <w:p>
            <w:pPr>
              <w:spacing w:line="240" w:lineRule="auto"/>
              <w:jc w:val="center"/>
              <w:rPr>
                <w:rFonts w:hint="eastAsia" w:ascii="宋体" w:hAnsi="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3</w:t>
            </w:r>
          </w:p>
        </w:tc>
        <w:tc>
          <w:tcPr>
            <w:tcW w:w="5579" w:type="dxa"/>
            <w:vAlign w:val="center"/>
          </w:tcPr>
          <w:p>
            <w:pPr>
              <w:spacing w:line="240" w:lineRule="auto"/>
              <w:rPr>
                <w:rFonts w:hint="eastAsia"/>
                <w:b/>
                <w:bCs/>
                <w:sz w:val="21"/>
                <w:szCs w:val="21"/>
                <w:lang w:val="en-US" w:eastAsia="zh-CN"/>
              </w:rPr>
            </w:pPr>
            <w:r>
              <w:rPr>
                <w:rFonts w:hint="eastAsia"/>
                <w:b/>
                <w:bCs/>
                <w:sz w:val="21"/>
                <w:szCs w:val="21"/>
                <w:lang w:val="en-US" w:eastAsia="zh-CN"/>
              </w:rPr>
              <w:t>零部件展示柜：</w:t>
            </w:r>
          </w:p>
          <w:p>
            <w:pPr>
              <w:spacing w:line="240" w:lineRule="auto"/>
              <w:rPr>
                <w:rFonts w:hint="eastAsia" w:ascii="宋体" w:hAnsi="宋体" w:eastAsia="宋体" w:cs="宋体"/>
                <w:sz w:val="21"/>
                <w:szCs w:val="21"/>
                <w:lang w:eastAsia="zh-CN"/>
              </w:rPr>
            </w:pPr>
            <w:r>
              <w:rPr>
                <w:rFonts w:hint="eastAsia" w:ascii="宋体" w:hAnsi="宋体" w:eastAsia="宋体" w:cs="宋体"/>
                <w:sz w:val="21"/>
                <w:szCs w:val="21"/>
              </w:rPr>
              <w:t>展示柜尺寸：颜色分类:</w:t>
            </w:r>
            <w:r>
              <w:rPr>
                <w:rFonts w:hint="eastAsia" w:ascii="宋体" w:hAnsi="宋体" w:cs="宋体"/>
                <w:sz w:val="21"/>
                <w:szCs w:val="21"/>
                <w:lang w:val="en-US" w:eastAsia="zh-CN"/>
              </w:rPr>
              <w:t>120</w:t>
            </w:r>
            <w:r>
              <w:rPr>
                <w:rFonts w:hint="eastAsia" w:ascii="宋体" w:hAnsi="宋体" w:eastAsia="宋体" w:cs="宋体"/>
                <w:sz w:val="21"/>
                <w:szCs w:val="21"/>
              </w:rPr>
              <w:t>0*</w:t>
            </w:r>
            <w:r>
              <w:rPr>
                <w:rFonts w:hint="eastAsia" w:ascii="宋体" w:hAnsi="宋体" w:cs="宋体"/>
                <w:sz w:val="21"/>
                <w:szCs w:val="21"/>
                <w:lang w:val="en-US" w:eastAsia="zh-CN"/>
              </w:rPr>
              <w:t>55</w:t>
            </w:r>
            <w:r>
              <w:rPr>
                <w:rFonts w:hint="eastAsia" w:ascii="宋体" w:hAnsi="宋体" w:eastAsia="宋体" w:cs="宋体"/>
                <w:sz w:val="21"/>
                <w:szCs w:val="21"/>
              </w:rPr>
              <w:t>0*9</w:t>
            </w:r>
            <w:r>
              <w:rPr>
                <w:rFonts w:hint="eastAsia" w:ascii="宋体" w:hAnsi="宋体" w:cs="宋体"/>
                <w:sz w:val="21"/>
                <w:szCs w:val="21"/>
                <w:lang w:val="en-US" w:eastAsia="zh-CN"/>
              </w:rPr>
              <w:t>0</w:t>
            </w:r>
            <w:r>
              <w:rPr>
                <w:rFonts w:hint="eastAsia" w:ascii="宋体" w:hAnsi="宋体" w:eastAsia="宋体" w:cs="宋体"/>
                <w:sz w:val="21"/>
                <w:szCs w:val="21"/>
              </w:rPr>
              <w:t>0mm 茶色SPT</w:t>
            </w:r>
            <w:r>
              <w:rPr>
                <w:rFonts w:hint="eastAsia" w:ascii="宋体" w:hAnsi="宋体" w:cs="宋体"/>
                <w:sz w:val="21"/>
                <w:szCs w:val="21"/>
                <w:lang w:eastAsia="zh-CN"/>
              </w:rPr>
              <w:t>；</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b/>
                <w:kern w:val="0"/>
                <w:sz w:val="21"/>
                <w:szCs w:val="21"/>
                <w:highlight w:val="none"/>
                <w:vertAlign w:val="baseline"/>
                <w:lang w:val="en-US" w:eastAsia="zh-CN" w:bidi="ar-SA"/>
              </w:rPr>
            </w:pPr>
            <w:r>
              <w:rPr>
                <w:rFonts w:hint="eastAsia" w:ascii="宋体" w:hAnsi="宋体" w:eastAsia="宋体" w:cs="宋体"/>
                <w:sz w:val="21"/>
                <w:szCs w:val="21"/>
              </w:rPr>
              <w:t>材质：UV板、镜面玻璃、钛合金型材</w:t>
            </w:r>
            <w:r>
              <w:rPr>
                <w:rFonts w:hint="eastAsia" w:ascii="宋体" w:hAnsi="宋体" w:cs="宋体"/>
                <w:sz w:val="21"/>
                <w:szCs w:val="21"/>
                <w:lang w:eastAsia="zh-CN"/>
              </w:rPr>
              <w:t>。</w:t>
            </w:r>
          </w:p>
        </w:tc>
        <w:tc>
          <w:tcPr>
            <w:tcW w:w="491"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4</w:t>
            </w:r>
          </w:p>
        </w:tc>
        <w:tc>
          <w:tcPr>
            <w:tcW w:w="614"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套</w:t>
            </w:r>
          </w:p>
        </w:tc>
        <w:tc>
          <w:tcPr>
            <w:tcW w:w="709" w:type="dxa"/>
            <w:vAlign w:val="center"/>
          </w:tcPr>
          <w:p>
            <w:pPr>
              <w:spacing w:line="240" w:lineRule="auto"/>
              <w:jc w:val="center"/>
              <w:rPr>
                <w:rFonts w:hint="eastAsia" w:ascii="宋体" w:hAnsi="宋体" w:eastAsia="宋体" w:cs="宋体"/>
                <w:sz w:val="21"/>
                <w:szCs w:val="21"/>
                <w:highlight w:val="none"/>
                <w:lang w:eastAsia="zh-CN"/>
              </w:rPr>
            </w:pPr>
          </w:p>
        </w:tc>
        <w:tc>
          <w:tcPr>
            <w:tcW w:w="641" w:type="dxa"/>
            <w:vAlign w:val="center"/>
          </w:tcPr>
          <w:p>
            <w:pPr>
              <w:spacing w:line="240" w:lineRule="auto"/>
              <w:jc w:val="center"/>
              <w:rPr>
                <w:rFonts w:hint="eastAsia" w:ascii="宋体" w:hAnsi="宋体" w:eastAsia="宋体" w:cs="宋体"/>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4</w:t>
            </w:r>
          </w:p>
        </w:tc>
        <w:tc>
          <w:tcPr>
            <w:tcW w:w="5579" w:type="dxa"/>
            <w:vAlign w:val="top"/>
          </w:tcPr>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b/>
                <w:bCs/>
                <w:sz w:val="21"/>
                <w:szCs w:val="21"/>
              </w:rPr>
            </w:pPr>
            <w:r>
              <w:rPr>
                <w:rFonts w:hint="eastAsia" w:ascii="宋体" w:hAnsi="宋体" w:eastAsia="宋体" w:cs="宋体"/>
                <w:b/>
                <w:bCs/>
                <w:i w:val="0"/>
                <w:color w:val="000000"/>
                <w:kern w:val="0"/>
                <w:sz w:val="21"/>
                <w:szCs w:val="21"/>
                <w:u w:val="none"/>
                <w:lang w:val="en-US" w:eastAsia="zh-CN" w:bidi="ar"/>
              </w:rPr>
              <w:t>测绘装置存放货架</w:t>
            </w:r>
            <w:r>
              <w:rPr>
                <w:rFonts w:hint="eastAsia" w:ascii="宋体" w:hAnsi="宋体" w:cs="宋体"/>
                <w:b/>
                <w:bCs/>
                <w:i w:val="0"/>
                <w:color w:val="000000"/>
                <w:kern w:val="0"/>
                <w:sz w:val="21"/>
                <w:szCs w:val="21"/>
                <w:u w:val="none"/>
                <w:lang w:val="en-US" w:eastAsia="zh-CN" w:bidi="ar"/>
              </w:rPr>
              <w:t>：</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b/>
                <w:kern w:val="0"/>
                <w:sz w:val="21"/>
                <w:szCs w:val="21"/>
                <w:highlight w:val="none"/>
                <w:vertAlign w:val="baseline"/>
                <w:lang w:val="en-US" w:eastAsia="zh-CN" w:bidi="ar-SA"/>
              </w:rPr>
            </w:pPr>
            <w:r>
              <w:rPr>
                <w:rFonts w:hint="eastAsia" w:ascii="宋体" w:hAnsi="宋体" w:eastAsia="宋体" w:cs="宋体"/>
                <w:sz w:val="21"/>
                <w:szCs w:val="21"/>
              </w:rPr>
              <w:t>仓库仓储货架金属五金货架中型重型置物架展示架≥200Kg承重高≥2000*宽1500*深500mm四层</w:t>
            </w:r>
            <w:r>
              <w:rPr>
                <w:rFonts w:hint="eastAsia" w:ascii="宋体" w:hAnsi="宋体" w:cs="宋体"/>
                <w:sz w:val="21"/>
                <w:szCs w:val="21"/>
                <w:lang w:eastAsia="zh-CN"/>
              </w:rPr>
              <w:t>。</w:t>
            </w:r>
          </w:p>
        </w:tc>
        <w:tc>
          <w:tcPr>
            <w:tcW w:w="491"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2</w:t>
            </w:r>
          </w:p>
        </w:tc>
        <w:tc>
          <w:tcPr>
            <w:tcW w:w="614"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709" w:type="dxa"/>
            <w:vAlign w:val="center"/>
          </w:tcPr>
          <w:p>
            <w:pPr>
              <w:spacing w:line="240" w:lineRule="auto"/>
              <w:jc w:val="center"/>
              <w:rPr>
                <w:rFonts w:hint="eastAsia" w:ascii="宋体" w:hAnsi="宋体" w:eastAsia="宋体" w:cs="宋体"/>
                <w:sz w:val="21"/>
                <w:szCs w:val="21"/>
                <w:highlight w:val="none"/>
                <w:lang w:val="en-US" w:eastAsia="zh-CN"/>
              </w:rPr>
            </w:pPr>
          </w:p>
        </w:tc>
        <w:tc>
          <w:tcPr>
            <w:tcW w:w="641" w:type="dxa"/>
            <w:vAlign w:val="center"/>
          </w:tcPr>
          <w:p>
            <w:pPr>
              <w:spacing w:line="240" w:lineRule="auto"/>
              <w:jc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5</w:t>
            </w:r>
          </w:p>
        </w:tc>
        <w:tc>
          <w:tcPr>
            <w:tcW w:w="5579" w:type="dxa"/>
            <w:vAlign w:val="center"/>
          </w:tcPr>
          <w:p>
            <w:pPr>
              <w:spacing w:line="240" w:lineRule="auto"/>
              <w:rPr>
                <w:rFonts w:hint="eastAsia" w:ascii="宋体" w:hAnsi="宋体" w:cs="宋体"/>
                <w:b/>
                <w:bCs/>
                <w:sz w:val="21"/>
                <w:szCs w:val="21"/>
                <w:lang w:eastAsia="zh-CN"/>
              </w:rPr>
            </w:pPr>
            <w:r>
              <w:rPr>
                <w:rFonts w:hint="eastAsia" w:ascii="宋体" w:hAnsi="宋体" w:eastAsia="宋体" w:cs="宋体"/>
                <w:b/>
                <w:bCs/>
                <w:i w:val="0"/>
                <w:color w:val="000000"/>
                <w:kern w:val="0"/>
                <w:sz w:val="21"/>
                <w:szCs w:val="21"/>
                <w:u w:val="none"/>
                <w:lang w:val="en-US" w:eastAsia="zh-CN" w:bidi="ar"/>
              </w:rPr>
              <w:t>实训室</w:t>
            </w:r>
            <w:r>
              <w:rPr>
                <w:rFonts w:hint="eastAsia" w:ascii="宋体" w:hAnsi="宋体" w:cs="宋体"/>
                <w:b/>
                <w:bCs/>
                <w:i w:val="0"/>
                <w:color w:val="000000"/>
                <w:kern w:val="0"/>
                <w:sz w:val="21"/>
                <w:szCs w:val="21"/>
                <w:u w:val="none"/>
                <w:lang w:val="en-US" w:eastAsia="zh-CN" w:bidi="ar"/>
              </w:rPr>
              <w:t>布线：</w:t>
            </w:r>
          </w:p>
          <w:p>
            <w:pPr>
              <w:spacing w:line="240" w:lineRule="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eastAsia="宋体" w:cs="宋体"/>
                <w:sz w:val="21"/>
                <w:szCs w:val="21"/>
              </w:rPr>
              <w:t>网络布线要求：</w:t>
            </w:r>
            <w:r>
              <w:rPr>
                <w:rFonts w:hint="eastAsia" w:ascii="宋体" w:hAnsi="宋体" w:cs="宋体"/>
                <w:sz w:val="21"/>
                <w:szCs w:val="21"/>
                <w:lang w:val="en-US" w:eastAsia="zh-CN"/>
              </w:rPr>
              <w:t>采用线槽地面布线方式，</w:t>
            </w:r>
            <w:r>
              <w:rPr>
                <w:rFonts w:hint="eastAsia" w:ascii="宋体" w:hAnsi="宋体" w:eastAsia="宋体" w:cs="宋体"/>
                <w:sz w:val="21"/>
                <w:szCs w:val="21"/>
              </w:rPr>
              <w:t>超六类双绞线及品牌水晶头 ，配套插座,电源布线：屏蔽处理，强弱电分离；</w:t>
            </w:r>
          </w:p>
          <w:p>
            <w:pPr>
              <w:spacing w:line="240" w:lineRule="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eastAsia="宋体" w:cs="宋体"/>
                <w:sz w:val="21"/>
                <w:szCs w:val="21"/>
              </w:rPr>
              <w:t>千兆网络交换机：业务性能：交换容量48G，包转发率35Mpps。固定端口：</w:t>
            </w:r>
            <w:r>
              <w:rPr>
                <w:rFonts w:hint="eastAsia" w:ascii="宋体" w:hAnsi="宋体" w:cs="宋体"/>
                <w:sz w:val="21"/>
                <w:szCs w:val="21"/>
                <w:lang w:val="en-US" w:eastAsia="zh-CN"/>
              </w:rPr>
              <w:t>72</w:t>
            </w:r>
            <w:r>
              <w:rPr>
                <w:rFonts w:hint="eastAsia" w:ascii="宋体" w:hAnsi="宋体" w:eastAsia="宋体" w:cs="宋体"/>
                <w:sz w:val="21"/>
                <w:szCs w:val="21"/>
              </w:rPr>
              <w:t>.10/100/1000Base-T以太网端口；</w:t>
            </w:r>
          </w:p>
          <w:p>
            <w:pPr>
              <w:keepNext w:val="0"/>
              <w:keepLines w:val="0"/>
              <w:widowControl/>
              <w:numPr>
                <w:ilvl w:val="0"/>
                <w:numId w:val="0"/>
              </w:numPr>
              <w:suppressLineNumbers w:val="0"/>
              <w:spacing w:line="240" w:lineRule="auto"/>
              <w:ind w:left="0" w:leftChars="0" w:firstLine="0" w:firstLineChars="0"/>
              <w:jc w:val="both"/>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eastAsia="宋体" w:cs="宋体"/>
                <w:sz w:val="21"/>
                <w:szCs w:val="21"/>
              </w:rPr>
              <w:t>网络机柜20U，玻璃前门:带锁；后门:全封闭后门，侧门:全钢侧门,可快速装，SPCC优质冷轧钢板制作。表面处理:脱脂、酸洗、磷化、静电喷塑,可安全接地。</w:t>
            </w:r>
          </w:p>
        </w:tc>
        <w:tc>
          <w:tcPr>
            <w:tcW w:w="491"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1</w:t>
            </w:r>
          </w:p>
        </w:tc>
        <w:tc>
          <w:tcPr>
            <w:tcW w:w="614"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项</w:t>
            </w:r>
          </w:p>
        </w:tc>
        <w:tc>
          <w:tcPr>
            <w:tcW w:w="709" w:type="dxa"/>
            <w:vAlign w:val="center"/>
          </w:tcPr>
          <w:p>
            <w:pPr>
              <w:spacing w:line="240" w:lineRule="auto"/>
              <w:jc w:val="center"/>
              <w:rPr>
                <w:rFonts w:hint="eastAsia" w:ascii="宋体" w:hAnsi="宋体" w:cs="宋体"/>
                <w:sz w:val="21"/>
                <w:szCs w:val="21"/>
                <w:highlight w:val="none"/>
                <w:lang w:val="en-US" w:eastAsia="zh-CN"/>
              </w:rPr>
            </w:pPr>
          </w:p>
        </w:tc>
        <w:tc>
          <w:tcPr>
            <w:tcW w:w="641" w:type="dxa"/>
            <w:vAlign w:val="center"/>
          </w:tcPr>
          <w:p>
            <w:pPr>
              <w:spacing w:line="240" w:lineRule="auto"/>
              <w:jc w:val="center"/>
              <w:rPr>
                <w:rFonts w:hint="eastAsia" w:ascii="宋体" w:hAnsi="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keepNext w:val="0"/>
              <w:keepLines w:val="0"/>
              <w:widowControl/>
              <w:suppressLineNumbers w:val="0"/>
              <w:spacing w:line="240" w:lineRule="auto"/>
              <w:jc w:val="center"/>
              <w:textAlignment w:val="center"/>
              <w:rPr>
                <w:rFonts w:hint="eastAsia" w:ascii="宋体" w:hAnsi="宋体" w:eastAsia="宋体" w:cs="宋体"/>
                <w:b/>
                <w:bCs/>
                <w:sz w:val="21"/>
                <w:szCs w:val="21"/>
                <w:vertAlign w:val="baseline"/>
                <w:lang w:val="en-US" w:eastAsia="zh-CN"/>
              </w:rPr>
            </w:pPr>
            <w:r>
              <w:rPr>
                <w:rFonts w:hint="eastAsia" w:ascii="宋体" w:hAnsi="宋体" w:cs="宋体"/>
                <w:i w:val="0"/>
                <w:color w:val="000000"/>
                <w:kern w:val="2"/>
                <w:sz w:val="21"/>
                <w:szCs w:val="21"/>
                <w:highlight w:val="none"/>
                <w:u w:val="none"/>
                <w:lang w:val="en-US" w:eastAsia="zh-CN" w:bidi="ar-SA"/>
              </w:rPr>
              <w:t>6</w:t>
            </w:r>
          </w:p>
        </w:tc>
        <w:tc>
          <w:tcPr>
            <w:tcW w:w="5579" w:type="dxa"/>
            <w:vAlign w:val="center"/>
          </w:tcPr>
          <w:p>
            <w:pPr>
              <w:spacing w:line="240" w:lineRule="auto"/>
              <w:rPr>
                <w:rFonts w:hint="eastAsia" w:ascii="宋体" w:hAnsi="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文化建设</w:t>
            </w:r>
            <w:r>
              <w:rPr>
                <w:rFonts w:hint="eastAsia" w:ascii="宋体" w:hAnsi="宋体" w:cs="宋体"/>
                <w:b/>
                <w:bCs/>
                <w:i w:val="0"/>
                <w:color w:val="000000"/>
                <w:kern w:val="0"/>
                <w:sz w:val="21"/>
                <w:szCs w:val="21"/>
                <w:u w:val="none"/>
                <w:lang w:val="en-US" w:eastAsia="zh-CN" w:bidi="ar"/>
              </w:rPr>
              <w:t>：</w:t>
            </w:r>
          </w:p>
          <w:p>
            <w:pPr>
              <w:spacing w:line="24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（1）铺设格栅吊顶，210㎡，采用黑色铝合金格栅，表面工艺为抗油污滚涂板，每片厚度1cm,每个格栅大小为15*15cm，顶灯镶嵌于格栅内，与格栅融为一体，亮度适宜，简洁美观。</w:t>
            </w:r>
          </w:p>
          <w:p>
            <w:pPr>
              <w:spacing w:line="24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（2）实训室门口文化建设：包含学校logo、实训室名称，采用微软雅黑或其他适宜字体，两个投影射灯、两块授牌、门口文化图案设计制作与安装等,均采用亚克力贴面。</w:t>
            </w:r>
          </w:p>
          <w:p>
            <w:pPr>
              <w:spacing w:line="24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（3）后墙面造型文化元素采用亚克力贴面对文化墙进行文化墙设计制作，增强文化氛围，门口墙面设计制作彩色图案射灯及铜牌授牌、立体字等。</w:t>
            </w:r>
          </w:p>
          <w:p>
            <w:pPr>
              <w:spacing w:line="240" w:lineRule="auto"/>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lang w:val="en-US" w:eastAsia="zh-CN"/>
              </w:rPr>
              <w:t>（4）实训室挂图，机械零部件测绘实训室挂图系列采用亚克力双面夹层。</w:t>
            </w:r>
          </w:p>
        </w:tc>
        <w:tc>
          <w:tcPr>
            <w:tcW w:w="491"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1</w:t>
            </w:r>
          </w:p>
        </w:tc>
        <w:tc>
          <w:tcPr>
            <w:tcW w:w="614"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批</w:t>
            </w:r>
          </w:p>
        </w:tc>
        <w:tc>
          <w:tcPr>
            <w:tcW w:w="709" w:type="dxa"/>
            <w:vAlign w:val="center"/>
          </w:tcPr>
          <w:p>
            <w:pPr>
              <w:spacing w:line="240" w:lineRule="auto"/>
              <w:jc w:val="center"/>
              <w:rPr>
                <w:rFonts w:hint="eastAsia" w:ascii="宋体" w:hAnsi="宋体" w:cs="宋体"/>
                <w:sz w:val="21"/>
                <w:szCs w:val="21"/>
                <w:highlight w:val="none"/>
                <w:lang w:val="en-US" w:eastAsia="zh-CN"/>
              </w:rPr>
            </w:pPr>
          </w:p>
        </w:tc>
        <w:tc>
          <w:tcPr>
            <w:tcW w:w="641" w:type="dxa"/>
            <w:vAlign w:val="center"/>
          </w:tcPr>
          <w:p>
            <w:pPr>
              <w:spacing w:line="240" w:lineRule="auto"/>
              <w:jc w:val="center"/>
              <w:rPr>
                <w:rFonts w:hint="eastAsia" w:ascii="宋体" w:hAnsi="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4" w:type="dxa"/>
            <w:gridSpan w:val="4"/>
            <w:vAlign w:val="center"/>
          </w:tcPr>
          <w:p>
            <w:pPr>
              <w:spacing w:line="240" w:lineRule="auto"/>
              <w:jc w:val="center"/>
              <w:rPr>
                <w:rFonts w:hint="default" w:ascii="宋体" w:hAnsi="宋体" w:cs="宋体"/>
                <w:sz w:val="21"/>
                <w:szCs w:val="21"/>
                <w:highlight w:val="none"/>
                <w:lang w:val="en-US" w:eastAsia="zh-CN"/>
              </w:rPr>
            </w:pPr>
            <w:r>
              <w:rPr>
                <w:rFonts w:hint="eastAsia" w:ascii="宋体" w:hAnsi="宋体" w:cs="宋体"/>
                <w:b/>
                <w:bCs/>
                <w:sz w:val="21"/>
                <w:szCs w:val="21"/>
                <w:highlight w:val="none"/>
                <w:lang w:val="en-US" w:eastAsia="zh-CN"/>
              </w:rPr>
              <w:t>合计</w:t>
            </w:r>
          </w:p>
        </w:tc>
        <w:tc>
          <w:tcPr>
            <w:tcW w:w="709" w:type="dxa"/>
            <w:vAlign w:val="center"/>
          </w:tcPr>
          <w:p>
            <w:pPr>
              <w:spacing w:line="240" w:lineRule="auto"/>
              <w:jc w:val="center"/>
              <w:rPr>
                <w:rFonts w:hint="eastAsia" w:ascii="宋体" w:hAnsi="宋体" w:cs="宋体"/>
                <w:sz w:val="21"/>
                <w:szCs w:val="21"/>
                <w:highlight w:val="none"/>
                <w:lang w:val="en-US" w:eastAsia="zh-CN"/>
              </w:rPr>
            </w:pPr>
          </w:p>
        </w:tc>
        <w:tc>
          <w:tcPr>
            <w:tcW w:w="641" w:type="dxa"/>
            <w:vAlign w:val="center"/>
          </w:tcPr>
          <w:p>
            <w:pPr>
              <w:spacing w:line="240" w:lineRule="auto"/>
              <w:jc w:val="center"/>
              <w:rPr>
                <w:rFonts w:hint="eastAsia" w:ascii="宋体" w:hAnsi="宋体" w:cs="宋体"/>
                <w:sz w:val="21"/>
                <w:szCs w:val="21"/>
                <w:highlight w:val="none"/>
                <w:lang w:val="en-US" w:eastAsia="zh-CN"/>
              </w:rPr>
            </w:pPr>
          </w:p>
        </w:tc>
      </w:tr>
    </w:tbl>
    <w:p>
      <w:pPr>
        <w:keepNext w:val="0"/>
        <w:keepLines w:val="0"/>
        <w:pageBreakBefore w:val="0"/>
        <w:widowControl w:val="0"/>
        <w:kinsoku/>
        <w:wordWrap/>
        <w:overflowPunct/>
        <w:topLinePunct w:val="0"/>
        <w:autoSpaceDE/>
        <w:autoSpaceDN/>
        <w:bidi w:val="0"/>
        <w:spacing w:line="260" w:lineRule="exact"/>
        <w:textAlignment w:val="auto"/>
        <w:rPr>
          <w:rFonts w:ascii="宋体" w:hAnsi="宋体"/>
          <w:sz w:val="21"/>
          <w:szCs w:val="21"/>
          <w:lang w:val="zh-CN"/>
        </w:rPr>
      </w:pPr>
      <w:r>
        <w:rPr>
          <w:rFonts w:ascii="宋体" w:hAnsi="宋体"/>
          <w:b/>
          <w:bCs/>
          <w:sz w:val="21"/>
          <w:szCs w:val="21"/>
        </w:rPr>
        <w:t>注：</w:t>
      </w:r>
      <w:r>
        <w:rPr>
          <w:rFonts w:hint="eastAsia" w:ascii="宋体" w:hAnsi="宋体"/>
          <w:bCs/>
          <w:sz w:val="21"/>
          <w:szCs w:val="21"/>
        </w:rPr>
        <w:t>1、</w:t>
      </w:r>
      <w:r>
        <w:rPr>
          <w:rFonts w:hint="eastAsia" w:ascii="宋体" w:hAnsi="宋体" w:cs="仿宋_GB2312"/>
          <w:kern w:val="0"/>
          <w:sz w:val="21"/>
          <w:szCs w:val="21"/>
          <w:lang w:val="zh-CN"/>
        </w:rPr>
        <w:t>有关本项目合同总价包括项目实施所需的货款、</w:t>
      </w:r>
      <w:r>
        <w:rPr>
          <w:rFonts w:hint="eastAsia" w:ascii="宋体" w:hAnsi="宋体" w:cs="仿宋_GB2312"/>
          <w:kern w:val="0"/>
          <w:sz w:val="21"/>
          <w:szCs w:val="21"/>
          <w:lang w:val="zh-CN" w:eastAsia="zh-CN"/>
        </w:rPr>
        <w:t>旧设备拆除（如有）、系统软件服务费用、</w:t>
      </w:r>
      <w:r>
        <w:rPr>
          <w:rFonts w:hint="eastAsia" w:ascii="宋体" w:hAnsi="宋体" w:cs="仿宋_GB2312"/>
          <w:kern w:val="0"/>
          <w:sz w:val="21"/>
          <w:szCs w:val="21"/>
          <w:lang w:val="zh-CN"/>
        </w:rPr>
        <w:t>标准附件、备品备件、专用工具、包装、运输、装卸、保险、税金、货到检查以及安装、调试、培训、保修等一切税金和费用等均计入报价，招标人不在支付额外费用。</w:t>
      </w:r>
    </w:p>
    <w:p>
      <w:pPr>
        <w:keepNext w:val="0"/>
        <w:keepLines w:val="0"/>
        <w:pageBreakBefore w:val="0"/>
        <w:widowControl w:val="0"/>
        <w:kinsoku/>
        <w:wordWrap/>
        <w:overflowPunct/>
        <w:topLinePunct w:val="0"/>
        <w:autoSpaceDE/>
        <w:autoSpaceDN/>
        <w:bidi w:val="0"/>
        <w:snapToGrid w:val="0"/>
        <w:spacing w:line="260" w:lineRule="exact"/>
        <w:ind w:firstLine="420" w:firstLineChars="200"/>
        <w:jc w:val="left"/>
        <w:textAlignment w:val="auto"/>
        <w:rPr>
          <w:rFonts w:ascii="宋体" w:hAnsi="宋体"/>
          <w:sz w:val="21"/>
          <w:szCs w:val="21"/>
          <w:lang w:val="zh-CN"/>
        </w:rPr>
      </w:pPr>
      <w:r>
        <w:rPr>
          <w:rFonts w:hint="eastAsia" w:ascii="宋体" w:hAnsi="宋体"/>
          <w:sz w:val="21"/>
          <w:szCs w:val="21"/>
          <w:lang w:val="zh-CN"/>
        </w:rPr>
        <w:t>2、报价一经涂改，应在涂改处加盖单位公章或者由法定代表人或授权委托人签字或盖章，否则其投标作无效标处理。</w:t>
      </w:r>
    </w:p>
    <w:p>
      <w:pPr>
        <w:keepNext w:val="0"/>
        <w:keepLines w:val="0"/>
        <w:pageBreakBefore w:val="0"/>
        <w:widowControl w:val="0"/>
        <w:kinsoku/>
        <w:wordWrap/>
        <w:overflowPunct/>
        <w:topLinePunct w:val="0"/>
        <w:autoSpaceDE/>
        <w:autoSpaceDN/>
        <w:bidi w:val="0"/>
        <w:snapToGrid w:val="0"/>
        <w:spacing w:line="260" w:lineRule="exact"/>
        <w:ind w:firstLine="420" w:firstLineChars="200"/>
        <w:jc w:val="left"/>
        <w:textAlignment w:val="auto"/>
        <w:rPr>
          <w:rFonts w:ascii="宋体" w:hAnsi="宋体"/>
          <w:sz w:val="21"/>
          <w:szCs w:val="21"/>
          <w:lang w:val="zh-CN"/>
        </w:rPr>
      </w:pPr>
      <w:r>
        <w:rPr>
          <w:rFonts w:hint="eastAsia" w:ascii="宋体" w:hAnsi="宋体"/>
          <w:sz w:val="21"/>
          <w:szCs w:val="21"/>
          <w:lang w:val="zh-CN"/>
        </w:rPr>
        <w:t>3、以上表格中各项可进一步细分，栏数不够可自加，要求按设备等相关内容细分项目及报价。</w:t>
      </w:r>
    </w:p>
    <w:p>
      <w:pPr>
        <w:keepNext w:val="0"/>
        <w:keepLines w:val="0"/>
        <w:pageBreakBefore w:val="0"/>
        <w:widowControl w:val="0"/>
        <w:kinsoku/>
        <w:wordWrap/>
        <w:overflowPunct/>
        <w:topLinePunct w:val="0"/>
        <w:autoSpaceDE/>
        <w:autoSpaceDN/>
        <w:bidi w:val="0"/>
        <w:snapToGrid w:val="0"/>
        <w:spacing w:line="260" w:lineRule="exact"/>
        <w:ind w:firstLine="420" w:firstLineChars="200"/>
        <w:jc w:val="left"/>
        <w:textAlignment w:val="auto"/>
        <w:rPr>
          <w:rFonts w:ascii="宋体" w:hAnsi="宋体" w:cs="宋体"/>
          <w:kern w:val="0"/>
          <w:sz w:val="21"/>
          <w:szCs w:val="21"/>
          <w:lang w:val="zh-CN"/>
        </w:rPr>
      </w:pPr>
      <w:r>
        <w:rPr>
          <w:rFonts w:hint="eastAsia" w:ascii="宋体" w:hAnsi="宋体"/>
          <w:sz w:val="21"/>
          <w:szCs w:val="21"/>
          <w:lang w:val="zh-CN"/>
        </w:rPr>
        <w:t>4、以上报价应与“开标一览表”中的“投标报价”相一致。</w:t>
      </w:r>
    </w:p>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ascii="宋体" w:hAnsi="宋体" w:cs="宋体"/>
          <w:kern w:val="0"/>
          <w:sz w:val="21"/>
          <w:szCs w:val="21"/>
        </w:rPr>
      </w:pPr>
      <w:r>
        <w:rPr>
          <w:rFonts w:hint="eastAsia" w:ascii="宋体" w:hAnsi="宋体" w:cs="宋体"/>
          <w:kern w:val="0"/>
          <w:sz w:val="21"/>
          <w:szCs w:val="21"/>
          <w:lang w:val="zh-CN"/>
        </w:rPr>
        <w:t>法定/授权代表：</w:t>
      </w:r>
      <w:r>
        <w:rPr>
          <w:rFonts w:hint="eastAsia" w:ascii="宋体" w:hAnsi="宋体" w:cs="宋体"/>
          <w:kern w:val="0"/>
          <w:sz w:val="21"/>
          <w:szCs w:val="21"/>
          <w:u w:val="single"/>
          <w:lang w:val="zh-CN"/>
        </w:rPr>
        <w:t xml:space="preserve">（签字或盖章） </w:t>
      </w:r>
    </w:p>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ascii="宋体" w:hAnsi="宋体" w:cs="宋体"/>
          <w:kern w:val="0"/>
          <w:sz w:val="21"/>
          <w:szCs w:val="21"/>
          <w:u w:val="single"/>
          <w:lang w:val="zh-CN"/>
        </w:rPr>
      </w:pPr>
      <w:r>
        <w:rPr>
          <w:rFonts w:hint="eastAsia" w:ascii="宋体" w:hAnsi="宋体" w:cs="宋体"/>
          <w:kern w:val="0"/>
          <w:sz w:val="21"/>
          <w:szCs w:val="21"/>
          <w:lang w:val="zh-CN"/>
        </w:rPr>
        <w:t>投标人：</w:t>
      </w:r>
      <w:r>
        <w:rPr>
          <w:rFonts w:hint="eastAsia" w:ascii="宋体" w:hAnsi="宋体" w:cs="宋体"/>
          <w:kern w:val="0"/>
          <w:sz w:val="21"/>
          <w:szCs w:val="21"/>
          <w:u w:val="single"/>
          <w:lang w:val="zh-CN"/>
        </w:rPr>
        <w:t xml:space="preserve">（全称加盖公章）       </w:t>
      </w:r>
    </w:p>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ascii="宋体" w:hAnsi="宋体" w:cs="宋体"/>
          <w:kern w:val="0"/>
          <w:sz w:val="21"/>
          <w:szCs w:val="21"/>
          <w:lang w:val="zh-CN"/>
        </w:rPr>
      </w:pPr>
      <w:r>
        <w:rPr>
          <w:rFonts w:hint="eastAsia" w:ascii="宋体" w:hAnsi="宋体" w:cs="宋体"/>
          <w:kern w:val="0"/>
          <w:sz w:val="21"/>
          <w:szCs w:val="21"/>
          <w:lang w:val="zh-CN"/>
        </w:rPr>
        <w:t>日期</w:t>
      </w:r>
      <w:r>
        <w:rPr>
          <w:rFonts w:hint="eastAsia" w:ascii="宋体" w:hAnsi="宋体" w:cs="宋体"/>
          <w:kern w:val="0"/>
          <w:sz w:val="21"/>
          <w:szCs w:val="21"/>
        </w:rPr>
        <w:t xml:space="preserve">： </w:t>
      </w:r>
      <w:r>
        <w:rPr>
          <w:rFonts w:hint="eastAsia" w:ascii="宋体" w:hAnsi="宋体" w:cs="宋体"/>
          <w:kern w:val="0"/>
          <w:sz w:val="21"/>
          <w:szCs w:val="21"/>
          <w:lang w:val="en-US" w:eastAsia="zh-CN"/>
        </w:rPr>
        <w:t xml:space="preserve"> </w:t>
      </w:r>
      <w:r>
        <w:rPr>
          <w:rFonts w:hint="eastAsia" w:ascii="宋体" w:hAnsi="宋体" w:cs="宋体"/>
          <w:kern w:val="0"/>
          <w:sz w:val="21"/>
          <w:szCs w:val="21"/>
          <w:lang w:val="zh-CN"/>
        </w:rPr>
        <w:t>年</w:t>
      </w:r>
      <w:r>
        <w:rPr>
          <w:rFonts w:hint="eastAsia" w:ascii="宋体" w:hAnsi="宋体" w:cs="宋体"/>
          <w:kern w:val="0"/>
          <w:sz w:val="21"/>
          <w:szCs w:val="21"/>
          <w:lang w:val="en-US" w:eastAsia="zh-CN"/>
        </w:rPr>
        <w:t xml:space="preserve">  </w:t>
      </w:r>
      <w:r>
        <w:rPr>
          <w:rFonts w:hint="eastAsia" w:ascii="宋体" w:hAnsi="宋体" w:cs="宋体"/>
          <w:kern w:val="0"/>
          <w:sz w:val="21"/>
          <w:szCs w:val="21"/>
          <w:lang w:val="zh-CN"/>
        </w:rPr>
        <w:t>月</w:t>
      </w:r>
      <w:r>
        <w:rPr>
          <w:rFonts w:hint="eastAsia" w:ascii="宋体" w:hAnsi="宋体" w:cs="宋体"/>
          <w:kern w:val="0"/>
          <w:sz w:val="21"/>
          <w:szCs w:val="21"/>
          <w:u w:val="none"/>
          <w:lang w:val="en-US" w:eastAsia="zh-CN"/>
        </w:rPr>
        <w:t xml:space="preserve">  </w:t>
      </w:r>
      <w:r>
        <w:rPr>
          <w:rFonts w:hint="eastAsia" w:ascii="宋体" w:hAnsi="宋体" w:cs="宋体"/>
          <w:kern w:val="0"/>
          <w:sz w:val="21"/>
          <w:szCs w:val="21"/>
          <w:lang w:val="zh-CN"/>
        </w:rPr>
        <w:t>日</w:t>
      </w:r>
    </w:p>
    <w:p>
      <w:pPr>
        <w:pStyle w:val="2"/>
        <w:rPr>
          <w:rFonts w:hint="eastAsia" w:ascii="宋体" w:hAnsi="宋体" w:cs="宋体"/>
          <w:kern w:val="0"/>
          <w:sz w:val="21"/>
          <w:szCs w:val="21"/>
          <w:lang w:val="zh-CN"/>
        </w:rPr>
      </w:pPr>
    </w:p>
    <w:p>
      <w:pPr>
        <w:rPr>
          <w:rFonts w:hint="eastAsia" w:ascii="宋体" w:hAnsi="宋体" w:cs="宋体"/>
          <w:kern w:val="0"/>
          <w:sz w:val="21"/>
          <w:szCs w:val="21"/>
          <w:lang w:val="zh-CN"/>
        </w:rPr>
      </w:pPr>
    </w:p>
    <w:p>
      <w:pPr>
        <w:pStyle w:val="2"/>
        <w:rPr>
          <w:rFonts w:hint="eastAsia" w:ascii="宋体" w:hAnsi="宋体" w:cs="宋体"/>
          <w:kern w:val="0"/>
          <w:sz w:val="21"/>
          <w:szCs w:val="21"/>
          <w:lang w:val="zh-CN"/>
        </w:rPr>
      </w:pPr>
    </w:p>
    <w:p>
      <w:pPr>
        <w:rPr>
          <w:rFonts w:hint="eastAsia" w:ascii="宋体" w:hAnsi="宋体" w:cs="宋体"/>
          <w:kern w:val="0"/>
          <w:sz w:val="21"/>
          <w:szCs w:val="21"/>
          <w:lang w:val="zh-CN"/>
        </w:rPr>
      </w:pPr>
    </w:p>
    <w:p>
      <w:pPr>
        <w:pStyle w:val="2"/>
        <w:rPr>
          <w:rFonts w:hint="eastAsia" w:ascii="宋体" w:hAnsi="宋体" w:cs="宋体"/>
          <w:kern w:val="0"/>
          <w:sz w:val="21"/>
          <w:szCs w:val="21"/>
          <w:lang w:val="zh-CN"/>
        </w:rPr>
      </w:pPr>
    </w:p>
    <w:p>
      <w:pPr>
        <w:rPr>
          <w:rFonts w:hint="eastAsia" w:ascii="宋体" w:hAnsi="宋体" w:cs="宋体"/>
          <w:kern w:val="0"/>
          <w:sz w:val="21"/>
          <w:szCs w:val="21"/>
          <w:lang w:val="zh-CN"/>
        </w:rPr>
      </w:pPr>
    </w:p>
    <w:p>
      <w:pPr>
        <w:pStyle w:val="2"/>
        <w:rPr>
          <w:rFonts w:hint="eastAsia" w:ascii="宋体" w:hAnsi="宋体" w:cs="宋体"/>
          <w:kern w:val="0"/>
          <w:sz w:val="21"/>
          <w:szCs w:val="21"/>
          <w:lang w:val="zh-CN"/>
        </w:rPr>
      </w:pPr>
    </w:p>
    <w:p>
      <w:pPr>
        <w:rPr>
          <w:rFonts w:hint="eastAsia" w:ascii="宋体" w:hAnsi="宋体" w:cs="宋体"/>
          <w:kern w:val="0"/>
          <w:sz w:val="21"/>
          <w:szCs w:val="21"/>
          <w:lang w:val="zh-CN"/>
        </w:rPr>
      </w:pPr>
    </w:p>
    <w:p>
      <w:pPr>
        <w:rPr>
          <w:lang w:val="zh-CN"/>
        </w:rPr>
      </w:pPr>
    </w:p>
    <w:p>
      <w:pPr>
        <w:pStyle w:val="11"/>
        <w:adjustRightInd w:val="0"/>
        <w:snapToGrid w:val="0"/>
        <w:spacing w:line="360" w:lineRule="auto"/>
        <w:outlineLvl w:val="1"/>
        <w:rPr>
          <w:rFonts w:hAnsi="宋体"/>
          <w:b/>
          <w:sz w:val="28"/>
        </w:rPr>
      </w:pPr>
      <w:bookmarkStart w:id="179" w:name="_Toc10291"/>
      <w:bookmarkStart w:id="180" w:name="_Toc7087"/>
      <w:bookmarkStart w:id="181" w:name="_Toc15127"/>
      <w:bookmarkStart w:id="182" w:name="_Toc2040"/>
      <w:r>
        <w:rPr>
          <w:rFonts w:hint="eastAsia" w:hAnsi="宋体"/>
          <w:b/>
          <w:kern w:val="0"/>
          <w:sz w:val="30"/>
          <w:lang w:val="zh-CN"/>
        </w:rPr>
        <w:t>格式</w:t>
      </w:r>
      <w:r>
        <w:rPr>
          <w:rFonts w:hint="eastAsia" w:hAnsi="宋体"/>
          <w:b/>
          <w:kern w:val="0"/>
          <w:sz w:val="30"/>
        </w:rPr>
        <w:t>八</w:t>
      </w:r>
      <w:r>
        <w:rPr>
          <w:rFonts w:hint="eastAsia" w:hAnsi="宋体"/>
          <w:b/>
          <w:kern w:val="0"/>
          <w:sz w:val="30"/>
          <w:lang w:val="zh-CN"/>
        </w:rPr>
        <w:t>：</w:t>
      </w:r>
      <w:r>
        <w:rPr>
          <w:rFonts w:hint="eastAsia" w:hAnsi="宋体"/>
          <w:b/>
          <w:sz w:val="28"/>
        </w:rPr>
        <w:t>法定代表人身份证明或法定代表人身份证明及授权委托书</w:t>
      </w:r>
      <w:bookmarkEnd w:id="179"/>
      <w:bookmarkEnd w:id="180"/>
      <w:bookmarkEnd w:id="181"/>
      <w:bookmarkEnd w:id="182"/>
    </w:p>
    <w:p>
      <w:pPr>
        <w:pStyle w:val="11"/>
        <w:adjustRightInd w:val="0"/>
        <w:snapToGrid w:val="0"/>
        <w:spacing w:line="360" w:lineRule="auto"/>
        <w:jc w:val="center"/>
        <w:rPr>
          <w:rFonts w:hAnsi="宋体"/>
          <w:b/>
          <w:sz w:val="28"/>
        </w:rPr>
      </w:pPr>
    </w:p>
    <w:p>
      <w:pPr>
        <w:pStyle w:val="11"/>
        <w:adjustRightInd w:val="0"/>
        <w:snapToGrid w:val="0"/>
        <w:spacing w:line="360" w:lineRule="auto"/>
        <w:jc w:val="center"/>
        <w:rPr>
          <w:rFonts w:hAnsi="宋体"/>
          <w:b/>
          <w:kern w:val="0"/>
          <w:sz w:val="30"/>
          <w:lang w:val="zh-CN"/>
        </w:rPr>
      </w:pPr>
      <w:r>
        <w:rPr>
          <w:rFonts w:hint="eastAsia" w:hAnsi="宋体"/>
          <w:b/>
          <w:sz w:val="28"/>
        </w:rPr>
        <w:t>3-1</w:t>
      </w:r>
      <w:r>
        <w:rPr>
          <w:rFonts w:hAnsi="宋体"/>
          <w:b/>
          <w:sz w:val="28"/>
        </w:rPr>
        <w:t>法定代表人身份证明</w:t>
      </w:r>
    </w:p>
    <w:p>
      <w:pPr>
        <w:adjustRightInd w:val="0"/>
        <w:snapToGrid w:val="0"/>
        <w:spacing w:line="360" w:lineRule="auto"/>
        <w:rPr>
          <w:rFonts w:ascii="宋体" w:hAnsi="宋体"/>
          <w:sz w:val="24"/>
        </w:rPr>
      </w:pPr>
    </w:p>
    <w:p>
      <w:pPr>
        <w:adjustRightInd w:val="0"/>
        <w:snapToGrid w:val="0"/>
        <w:spacing w:line="324" w:lineRule="auto"/>
        <w:ind w:firstLine="480" w:firstLineChars="200"/>
        <w:rPr>
          <w:rFonts w:ascii="宋体" w:hAnsi="宋体"/>
          <w:sz w:val="24"/>
          <w:u w:val="single"/>
        </w:rPr>
      </w:pPr>
      <w:r>
        <w:rPr>
          <w:rFonts w:ascii="宋体" w:hAnsi="宋体"/>
          <w:sz w:val="24"/>
        </w:rPr>
        <w:t>姓名：  性别：  年龄：  职务：</w:t>
      </w:r>
    </w:p>
    <w:p>
      <w:pPr>
        <w:adjustRightInd w:val="0"/>
        <w:snapToGrid w:val="0"/>
        <w:spacing w:line="324" w:lineRule="auto"/>
        <w:ind w:firstLine="480" w:firstLineChars="200"/>
        <w:rPr>
          <w:rFonts w:ascii="宋体" w:hAnsi="宋体"/>
          <w:sz w:val="24"/>
          <w:u w:val="single"/>
        </w:rPr>
      </w:pPr>
      <w:r>
        <w:rPr>
          <w:rFonts w:ascii="宋体" w:hAnsi="宋体"/>
          <w:sz w:val="24"/>
        </w:rPr>
        <w:t>身份证号码：系（投标人名称）的法定代表人。</w:t>
      </w:r>
    </w:p>
    <w:p>
      <w:pPr>
        <w:adjustRightInd w:val="0"/>
        <w:snapToGrid w:val="0"/>
        <w:spacing w:line="324" w:lineRule="auto"/>
        <w:ind w:firstLine="560"/>
        <w:rPr>
          <w:rFonts w:ascii="宋体" w:hAnsi="宋体"/>
          <w:sz w:val="24"/>
        </w:rPr>
      </w:pPr>
    </w:p>
    <w:p>
      <w:pPr>
        <w:adjustRightInd w:val="0"/>
        <w:snapToGrid w:val="0"/>
        <w:spacing w:line="324" w:lineRule="auto"/>
        <w:ind w:firstLine="480" w:firstLineChars="200"/>
        <w:rPr>
          <w:rFonts w:ascii="宋体" w:hAnsi="宋体"/>
          <w:sz w:val="24"/>
        </w:rPr>
      </w:pPr>
      <w:r>
        <w:rPr>
          <w:rFonts w:ascii="宋体" w:hAnsi="宋体"/>
          <w:sz w:val="24"/>
        </w:rPr>
        <w:t>特此证明。</w:t>
      </w:r>
    </w:p>
    <w:p>
      <w:pPr>
        <w:adjustRightInd w:val="0"/>
        <w:snapToGrid w:val="0"/>
        <w:spacing w:line="324" w:lineRule="auto"/>
        <w:rPr>
          <w:rFonts w:ascii="宋体" w:hAnsi="宋体"/>
          <w:sz w:val="24"/>
        </w:rPr>
      </w:pPr>
      <w:r>
        <w:rPr>
          <w:rFonts w:ascii="宋体" w:hAnsi="宋体"/>
          <w:sz w:val="24"/>
        </w:rPr>
        <w:t>附：法定代表人身份证复印件</w:t>
      </w:r>
    </w:p>
    <w:p>
      <w:pPr>
        <w:adjustRightInd w:val="0"/>
        <w:snapToGrid w:val="0"/>
        <w:spacing w:line="324" w:lineRule="auto"/>
        <w:rPr>
          <w:rFonts w:ascii="宋体" w:hAnsi="宋体"/>
          <w:sz w:val="24"/>
        </w:rPr>
      </w:pPr>
    </w:p>
    <w:p>
      <w:pPr>
        <w:adjustRightInd w:val="0"/>
        <w:snapToGrid w:val="0"/>
        <w:spacing w:line="324" w:lineRule="auto"/>
        <w:ind w:right="1200"/>
        <w:rPr>
          <w:rFonts w:ascii="宋体" w:hAnsi="宋体"/>
          <w:sz w:val="24"/>
        </w:rPr>
      </w:pPr>
      <w:r>
        <w:rPr>
          <w:rFonts w:ascii="宋体" w:hAnsi="宋体"/>
          <w:sz w:val="24"/>
        </w:rPr>
        <w:t>投标人：（</w:t>
      </w:r>
      <w:r>
        <w:rPr>
          <w:rFonts w:hint="eastAsia" w:ascii="宋体" w:hAnsi="宋体"/>
          <w:sz w:val="24"/>
        </w:rPr>
        <w:t>全称加</w:t>
      </w:r>
      <w:r>
        <w:rPr>
          <w:rFonts w:ascii="宋体" w:hAnsi="宋体"/>
          <w:sz w:val="24"/>
        </w:rPr>
        <w:t>盖</w:t>
      </w:r>
      <w:r>
        <w:rPr>
          <w:rFonts w:hint="eastAsia" w:ascii="宋体" w:hAnsi="宋体"/>
          <w:sz w:val="24"/>
        </w:rPr>
        <w:t>公</w:t>
      </w:r>
      <w:r>
        <w:rPr>
          <w:rFonts w:ascii="宋体" w:hAnsi="宋体"/>
          <w:sz w:val="24"/>
        </w:rPr>
        <w:t xml:space="preserve">章） </w:t>
      </w:r>
    </w:p>
    <w:p>
      <w:pPr>
        <w:adjustRightInd w:val="0"/>
        <w:snapToGrid w:val="0"/>
        <w:spacing w:line="324" w:lineRule="auto"/>
        <w:ind w:right="1200"/>
        <w:rPr>
          <w:rFonts w:ascii="宋体" w:hAnsi="宋体"/>
          <w:b/>
          <w:sz w:val="24"/>
        </w:rPr>
      </w:pPr>
      <w:r>
        <w:rPr>
          <w:rFonts w:ascii="宋体" w:hAnsi="宋体"/>
          <w:sz w:val="24"/>
        </w:rPr>
        <w:t>日期：   年    月    日</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8" w:hRule="atLeast"/>
          <w:jc w:val="center"/>
        </w:trPr>
        <w:tc>
          <w:tcPr>
            <w:tcW w:w="9242" w:type="dxa"/>
            <w:noWrap/>
            <w:vAlign w:val="center"/>
          </w:tcPr>
          <w:p>
            <w:pPr>
              <w:adjustRightInd w:val="0"/>
              <w:snapToGrid w:val="0"/>
              <w:spacing w:line="360" w:lineRule="auto"/>
              <w:jc w:val="center"/>
              <w:rPr>
                <w:rFonts w:ascii="宋体" w:hAnsi="宋体"/>
              </w:rPr>
            </w:pPr>
            <w:r>
              <w:rPr>
                <w:rFonts w:ascii="宋体" w:hAnsi="宋体"/>
              </w:rPr>
              <w:t>法定代表人</w:t>
            </w:r>
            <w:r>
              <w:rPr>
                <w:rFonts w:hint="eastAsia" w:ascii="宋体" w:hAnsi="宋体"/>
              </w:rPr>
              <w:t>身份证复印件粘贴处（正、反面）</w:t>
            </w:r>
          </w:p>
        </w:tc>
      </w:tr>
    </w:tbl>
    <w:p>
      <w:pPr>
        <w:spacing w:beforeLines="50" w:line="360" w:lineRule="auto"/>
        <w:jc w:val="center"/>
        <w:rPr>
          <w:rFonts w:ascii="宋体" w:hAnsi="宋体"/>
          <w:b/>
        </w:rPr>
      </w:pPr>
    </w:p>
    <w:p>
      <w:pPr>
        <w:spacing w:beforeLines="50" w:line="360" w:lineRule="auto"/>
        <w:jc w:val="center"/>
        <w:rPr>
          <w:rFonts w:ascii="宋体" w:hAnsi="宋体"/>
          <w:b/>
        </w:rPr>
      </w:pPr>
    </w:p>
    <w:p>
      <w:pPr>
        <w:spacing w:beforeLines="50" w:line="360" w:lineRule="auto"/>
        <w:jc w:val="center"/>
        <w:rPr>
          <w:rFonts w:ascii="宋体" w:hAnsi="宋体"/>
          <w:b/>
        </w:rPr>
      </w:pPr>
    </w:p>
    <w:p>
      <w:pPr>
        <w:spacing w:beforeLines="50" w:line="360" w:lineRule="auto"/>
        <w:jc w:val="center"/>
        <w:rPr>
          <w:rFonts w:ascii="宋体" w:hAnsi="宋体"/>
          <w:b/>
        </w:rPr>
      </w:pPr>
      <w:r>
        <w:rPr>
          <w:rFonts w:hint="eastAsia" w:ascii="宋体" w:hAnsi="宋体"/>
          <w:b/>
        </w:rPr>
        <w:t>3-2法定代表人</w:t>
      </w:r>
      <w:r>
        <w:rPr>
          <w:rFonts w:ascii="宋体" w:hAnsi="宋体"/>
          <w:b/>
        </w:rPr>
        <w:t>授权委托书</w:t>
      </w:r>
    </w:p>
    <w:p>
      <w:pPr>
        <w:spacing w:line="324" w:lineRule="auto"/>
        <w:rPr>
          <w:rFonts w:ascii="宋体" w:hAnsi="宋体"/>
          <w:kern w:val="0"/>
          <w:sz w:val="24"/>
          <w:highlight w:val="none"/>
          <w:u w:val="single"/>
        </w:rPr>
      </w:pPr>
      <w:r>
        <w:rPr>
          <w:rFonts w:hint="eastAsia" w:ascii="宋体" w:hAnsi="宋体"/>
          <w:sz w:val="24"/>
          <w:highlight w:val="none"/>
          <w:u w:val="single"/>
          <w:lang w:eastAsia="zh-CN"/>
        </w:rPr>
        <w:t>（</w:t>
      </w:r>
      <w:r>
        <w:rPr>
          <w:rFonts w:hint="eastAsia" w:ascii="宋体" w:hAnsi="宋体"/>
          <w:sz w:val="24"/>
          <w:highlight w:val="none"/>
          <w:u w:val="single"/>
          <w:lang w:val="en-US" w:eastAsia="zh-CN"/>
        </w:rPr>
        <w:t>采购人</w:t>
      </w:r>
      <w:r>
        <w:rPr>
          <w:rFonts w:hint="eastAsia" w:ascii="宋体" w:hAnsi="宋体"/>
          <w:sz w:val="24"/>
          <w:highlight w:val="none"/>
          <w:u w:val="single"/>
          <w:lang w:eastAsia="zh-CN"/>
        </w:rPr>
        <w:t>）</w:t>
      </w:r>
      <w:r>
        <w:rPr>
          <w:rFonts w:hint="eastAsia" w:ascii="宋体" w:hAnsi="宋体"/>
          <w:kern w:val="0"/>
          <w:sz w:val="24"/>
          <w:highlight w:val="none"/>
          <w:u w:val="single"/>
        </w:rPr>
        <w:t>：</w:t>
      </w:r>
    </w:p>
    <w:p>
      <w:pPr>
        <w:adjustRightInd w:val="0"/>
        <w:snapToGrid w:val="0"/>
        <w:spacing w:line="360" w:lineRule="auto"/>
        <w:rPr>
          <w:rFonts w:ascii="宋体" w:hAnsi="宋体"/>
          <w:sz w:val="24"/>
        </w:rPr>
      </w:pPr>
      <w:r>
        <w:rPr>
          <w:rFonts w:hint="eastAsia" w:ascii="宋体" w:hAnsi="宋体"/>
          <w:sz w:val="24"/>
        </w:rPr>
        <w:t>浙江科信联合工程项目管理咨询有限公司：</w:t>
      </w:r>
    </w:p>
    <w:p>
      <w:pPr>
        <w:adjustRightInd w:val="0"/>
        <w:snapToGrid w:val="0"/>
        <w:spacing w:line="312" w:lineRule="auto"/>
        <w:ind w:firstLine="480" w:firstLineChars="200"/>
        <w:rPr>
          <w:rFonts w:ascii="宋体" w:hAnsi="宋体"/>
          <w:sz w:val="24"/>
        </w:rPr>
      </w:pPr>
      <w:r>
        <w:rPr>
          <w:rFonts w:ascii="宋体" w:hAnsi="宋体"/>
          <w:sz w:val="24"/>
        </w:rPr>
        <w:t>本人</w:t>
      </w:r>
      <w:r>
        <w:rPr>
          <w:rFonts w:ascii="宋体" w:hAnsi="宋体"/>
          <w:sz w:val="24"/>
          <w:u w:val="single"/>
        </w:rPr>
        <w:t xml:space="preserve">      （姓名）</w:t>
      </w:r>
      <w:r>
        <w:rPr>
          <w:rFonts w:ascii="宋体" w:hAnsi="宋体"/>
          <w:sz w:val="24"/>
        </w:rPr>
        <w:t>系</w:t>
      </w:r>
      <w:r>
        <w:rPr>
          <w:rFonts w:ascii="宋体" w:hAnsi="宋体"/>
          <w:sz w:val="24"/>
          <w:u w:val="single"/>
        </w:rPr>
        <w:t xml:space="preserve">  （投标人名称）</w:t>
      </w:r>
      <w:r>
        <w:rPr>
          <w:rFonts w:ascii="宋体" w:hAnsi="宋体"/>
          <w:sz w:val="24"/>
        </w:rPr>
        <w:t>的法定代表人，现委托</w:t>
      </w:r>
      <w:r>
        <w:rPr>
          <w:rFonts w:ascii="宋体" w:hAnsi="宋体"/>
          <w:sz w:val="24"/>
          <w:u w:val="single"/>
        </w:rPr>
        <w:t xml:space="preserve">      （姓名）  </w:t>
      </w:r>
      <w:r>
        <w:rPr>
          <w:rFonts w:hint="eastAsia" w:ascii="宋体" w:hAnsi="宋体"/>
          <w:sz w:val="24"/>
          <w:u w:val="single"/>
        </w:rPr>
        <w:t>（职务）</w:t>
      </w:r>
      <w:r>
        <w:rPr>
          <w:rFonts w:ascii="宋体" w:hAnsi="宋体"/>
          <w:sz w:val="24"/>
        </w:rPr>
        <w:t>为我方</w:t>
      </w:r>
      <w:r>
        <w:rPr>
          <w:rFonts w:hint="eastAsia" w:ascii="宋体" w:hAnsi="宋体"/>
          <w:sz w:val="24"/>
        </w:rPr>
        <w:t>授权代表，以</w:t>
      </w:r>
      <w:r>
        <w:rPr>
          <w:rFonts w:ascii="宋体" w:hAnsi="宋体"/>
          <w:sz w:val="24"/>
        </w:rPr>
        <w:t>我方名义签署、澄清、说明、补正、递交、撤回、修改</w:t>
      </w:r>
      <w:r>
        <w:rPr>
          <w:rFonts w:hint="eastAsia" w:ascii="宋体" w:hAnsi="宋体"/>
          <w:sz w:val="24"/>
          <w:u w:val="single"/>
        </w:rPr>
        <w:t>（项目名称）（项目编号）</w:t>
      </w:r>
      <w:r>
        <w:rPr>
          <w:rFonts w:ascii="宋体" w:hAnsi="宋体"/>
          <w:sz w:val="24"/>
        </w:rPr>
        <w:t>投标文件、签订合同和处理有关事宜，其法律后果由我方承担。</w:t>
      </w:r>
    </w:p>
    <w:p>
      <w:pPr>
        <w:adjustRightInd w:val="0"/>
        <w:snapToGrid w:val="0"/>
        <w:spacing w:line="312" w:lineRule="auto"/>
        <w:ind w:firstLine="480" w:firstLineChars="200"/>
        <w:rPr>
          <w:rFonts w:ascii="宋体" w:hAnsi="宋体"/>
          <w:sz w:val="24"/>
        </w:rPr>
      </w:pPr>
      <w:r>
        <w:rPr>
          <w:rFonts w:hint="eastAsia" w:ascii="宋体" w:hAnsi="宋体"/>
          <w:sz w:val="24"/>
        </w:rPr>
        <w:t>在撤销授权的书面通知以前，本授权书一直有效。被授权人在授权书有效期内签署的所有文件不因授权的撤销而失效。</w:t>
      </w:r>
    </w:p>
    <w:p>
      <w:pPr>
        <w:adjustRightInd w:val="0"/>
        <w:snapToGrid w:val="0"/>
        <w:spacing w:line="312" w:lineRule="auto"/>
        <w:ind w:firstLine="480" w:firstLineChars="200"/>
        <w:rPr>
          <w:rFonts w:ascii="宋体" w:hAnsi="宋体"/>
          <w:sz w:val="24"/>
        </w:rPr>
      </w:pPr>
      <w:r>
        <w:rPr>
          <w:rFonts w:hint="eastAsia" w:ascii="宋体" w:hAnsi="宋体"/>
          <w:sz w:val="24"/>
        </w:rPr>
        <w:t>该授权代表</w:t>
      </w:r>
      <w:r>
        <w:rPr>
          <w:rFonts w:ascii="宋体" w:hAnsi="宋体"/>
          <w:sz w:val="24"/>
        </w:rPr>
        <w:t>无转委托权</w:t>
      </w:r>
      <w:r>
        <w:rPr>
          <w:rFonts w:hint="eastAsia" w:ascii="宋体" w:hAnsi="宋体"/>
          <w:sz w:val="24"/>
        </w:rPr>
        <w:t>，特此委托</w:t>
      </w:r>
    </w:p>
    <w:p>
      <w:pPr>
        <w:adjustRightInd w:val="0"/>
        <w:snapToGrid w:val="0"/>
        <w:spacing w:line="312" w:lineRule="auto"/>
        <w:ind w:firstLine="480" w:firstLineChars="200"/>
        <w:rPr>
          <w:rFonts w:ascii="宋体" w:hAnsi="宋体"/>
          <w:sz w:val="24"/>
        </w:rPr>
      </w:pPr>
      <w:r>
        <w:rPr>
          <w:rFonts w:ascii="宋体" w:hAnsi="宋体"/>
          <w:sz w:val="24"/>
        </w:rPr>
        <w:t>附：</w:t>
      </w:r>
    </w:p>
    <w:p>
      <w:pPr>
        <w:adjustRightInd w:val="0"/>
        <w:snapToGrid w:val="0"/>
        <w:spacing w:line="312" w:lineRule="auto"/>
        <w:ind w:firstLine="480" w:firstLineChars="200"/>
        <w:rPr>
          <w:rFonts w:ascii="宋体" w:hAnsi="宋体"/>
          <w:sz w:val="24"/>
        </w:rPr>
      </w:pPr>
      <w:r>
        <w:rPr>
          <w:rFonts w:hint="eastAsia" w:ascii="宋体" w:hAnsi="宋体"/>
          <w:sz w:val="24"/>
        </w:rPr>
        <w:t>1、</w:t>
      </w:r>
      <w:r>
        <w:rPr>
          <w:rFonts w:ascii="宋体" w:hAnsi="宋体"/>
          <w:sz w:val="24"/>
        </w:rPr>
        <w:t>委托代理人身份证复印件</w:t>
      </w:r>
    </w:p>
    <w:p>
      <w:pPr>
        <w:adjustRightInd w:val="0"/>
        <w:snapToGrid w:val="0"/>
        <w:spacing w:line="312" w:lineRule="auto"/>
        <w:ind w:firstLine="480" w:firstLineChars="200"/>
        <w:rPr>
          <w:rFonts w:ascii="宋体" w:hAnsi="宋体"/>
          <w:sz w:val="24"/>
        </w:rPr>
      </w:pPr>
      <w:r>
        <w:rPr>
          <w:rFonts w:ascii="宋体" w:hAnsi="宋体"/>
          <w:sz w:val="24"/>
        </w:rPr>
        <w:t>2</w:t>
      </w:r>
      <w:r>
        <w:rPr>
          <w:rFonts w:hint="eastAsia" w:ascii="宋体" w:hAnsi="宋体"/>
          <w:sz w:val="24"/>
        </w:rPr>
        <w:t>、授权代表为投标人在职员工的证明文件（投标人为其缴纳的社保记录或劳务合同等）。</w:t>
      </w:r>
    </w:p>
    <w:p>
      <w:pPr>
        <w:adjustRightInd w:val="0"/>
        <w:snapToGrid w:val="0"/>
        <w:spacing w:line="312" w:lineRule="auto"/>
        <w:rPr>
          <w:rFonts w:ascii="宋体" w:hAnsi="宋体"/>
          <w:sz w:val="24"/>
        </w:rPr>
      </w:pPr>
    </w:p>
    <w:p>
      <w:pPr>
        <w:adjustRightInd w:val="0"/>
        <w:snapToGrid w:val="0"/>
        <w:spacing w:line="312" w:lineRule="auto"/>
        <w:rPr>
          <w:rFonts w:ascii="宋体" w:hAnsi="宋体"/>
          <w:sz w:val="24"/>
        </w:rPr>
      </w:pPr>
      <w:r>
        <w:rPr>
          <w:rFonts w:ascii="宋体" w:hAnsi="宋体"/>
          <w:sz w:val="24"/>
        </w:rPr>
        <w:t>投标人：（</w:t>
      </w:r>
      <w:r>
        <w:rPr>
          <w:rFonts w:hint="eastAsia" w:ascii="宋体" w:hAnsi="宋体"/>
          <w:sz w:val="24"/>
        </w:rPr>
        <w:t>全称加</w:t>
      </w:r>
      <w:r>
        <w:rPr>
          <w:rFonts w:ascii="宋体" w:hAnsi="宋体"/>
          <w:sz w:val="24"/>
        </w:rPr>
        <w:t>盖</w:t>
      </w:r>
      <w:r>
        <w:rPr>
          <w:rFonts w:hint="eastAsia" w:ascii="宋体" w:hAnsi="宋体"/>
          <w:sz w:val="24"/>
        </w:rPr>
        <w:t>公</w:t>
      </w:r>
      <w:r>
        <w:rPr>
          <w:rFonts w:ascii="宋体" w:hAnsi="宋体"/>
          <w:sz w:val="24"/>
        </w:rPr>
        <w:t>章）</w:t>
      </w:r>
    </w:p>
    <w:p>
      <w:pPr>
        <w:adjustRightInd w:val="0"/>
        <w:snapToGrid w:val="0"/>
        <w:spacing w:line="312" w:lineRule="auto"/>
        <w:rPr>
          <w:rFonts w:ascii="宋体" w:hAnsi="宋体"/>
          <w:sz w:val="24"/>
        </w:rPr>
      </w:pPr>
      <w:r>
        <w:rPr>
          <w:rFonts w:ascii="宋体" w:hAnsi="宋体"/>
          <w:sz w:val="24"/>
        </w:rPr>
        <w:t>法定代表：（签字或盖章）</w:t>
      </w:r>
      <w:r>
        <w:rPr>
          <w:rFonts w:hint="eastAsia" w:ascii="宋体" w:hAnsi="宋体"/>
          <w:sz w:val="24"/>
        </w:rPr>
        <w:t xml:space="preserve">                        授权代表</w:t>
      </w:r>
      <w:r>
        <w:rPr>
          <w:rFonts w:ascii="宋体" w:hAnsi="宋体"/>
          <w:sz w:val="24"/>
        </w:rPr>
        <w:t>：（签字或盖章）</w:t>
      </w:r>
    </w:p>
    <w:p>
      <w:pPr>
        <w:adjustRightInd w:val="0"/>
        <w:snapToGrid w:val="0"/>
        <w:spacing w:line="360" w:lineRule="auto"/>
        <w:ind w:firstLine="5160" w:firstLineChars="2150"/>
        <w:rPr>
          <w:rFonts w:ascii="宋体" w:hAnsi="宋体"/>
          <w:sz w:val="24"/>
        </w:rPr>
      </w:pPr>
      <w:r>
        <w:rPr>
          <w:rFonts w:ascii="宋体" w:hAnsi="宋体"/>
          <w:sz w:val="24"/>
        </w:rPr>
        <w:t>日期：</w:t>
      </w:r>
      <w:r>
        <w:rPr>
          <w:rFonts w:hint="eastAsia" w:ascii="宋体" w:hAnsi="宋体"/>
          <w:sz w:val="24"/>
          <w:lang w:val="en-US" w:eastAsia="zh-CN"/>
        </w:rPr>
        <w:t xml:space="preserve">  </w:t>
      </w:r>
      <w:r>
        <w:rPr>
          <w:rFonts w:ascii="宋体" w:hAnsi="宋体"/>
          <w:sz w:val="24"/>
        </w:rPr>
        <w:t>年</w:t>
      </w:r>
      <w:r>
        <w:rPr>
          <w:rFonts w:hint="eastAsia" w:ascii="宋体" w:hAnsi="宋体"/>
          <w:sz w:val="24"/>
          <w:lang w:val="en-US" w:eastAsia="zh-CN"/>
        </w:rPr>
        <w:t xml:space="preserve">  </w:t>
      </w:r>
      <w:r>
        <w:rPr>
          <w:rFonts w:ascii="宋体" w:hAnsi="宋体"/>
          <w:sz w:val="24"/>
        </w:rPr>
        <w:t>月</w:t>
      </w:r>
      <w:r>
        <w:rPr>
          <w:rFonts w:hint="eastAsia" w:ascii="宋体" w:hAnsi="宋体"/>
          <w:sz w:val="24"/>
          <w:lang w:val="en-US" w:eastAsia="zh-CN"/>
        </w:rPr>
        <w:t xml:space="preserve">  </w:t>
      </w:r>
      <w:r>
        <w:rPr>
          <w:rFonts w:ascii="宋体" w:hAnsi="宋体"/>
          <w:sz w:val="24"/>
        </w:rPr>
        <w:t>日</w:t>
      </w:r>
    </w:p>
    <w:tbl>
      <w:tblPr>
        <w:tblStyle w:val="20"/>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3" w:hRule="atLeast"/>
          <w:jc w:val="center"/>
        </w:trPr>
        <w:tc>
          <w:tcPr>
            <w:tcW w:w="9460" w:type="dxa"/>
            <w:noWrap/>
            <w:vAlign w:val="center"/>
          </w:tcPr>
          <w:p>
            <w:pPr>
              <w:adjustRightInd w:val="0"/>
              <w:snapToGrid w:val="0"/>
              <w:spacing w:line="360" w:lineRule="auto"/>
              <w:jc w:val="center"/>
              <w:rPr>
                <w:rFonts w:ascii="宋体" w:hAnsi="宋体"/>
              </w:rPr>
            </w:pPr>
            <w:r>
              <w:rPr>
                <w:rFonts w:hint="eastAsia" w:ascii="宋体" w:hAnsi="宋体"/>
              </w:rPr>
              <w:t>授权代表身份证复印件粘贴处（正、反面）</w:t>
            </w:r>
          </w:p>
        </w:tc>
      </w:tr>
    </w:tbl>
    <w:p>
      <w:pPr>
        <w:adjustRightInd w:val="0"/>
        <w:snapToGrid w:val="0"/>
        <w:spacing w:line="312" w:lineRule="auto"/>
        <w:rPr>
          <w:rFonts w:ascii="宋体" w:hAnsi="宋体"/>
          <w:b/>
          <w:sz w:val="24"/>
        </w:rPr>
      </w:pPr>
      <w:r>
        <w:rPr>
          <w:rFonts w:hint="eastAsia" w:ascii="宋体" w:hAnsi="宋体"/>
          <w:b/>
          <w:sz w:val="24"/>
        </w:rPr>
        <w:t>注：如投标文件由授权代表签字或盖章的，投标文件必须附此授权委托书，否则视为无效投标文件。</w:t>
      </w:r>
    </w:p>
    <w:p>
      <w:pPr>
        <w:pStyle w:val="11"/>
        <w:adjustRightInd w:val="0"/>
        <w:snapToGrid w:val="0"/>
        <w:spacing w:line="360" w:lineRule="auto"/>
        <w:jc w:val="center"/>
        <w:outlineLvl w:val="9"/>
        <w:rPr>
          <w:rFonts w:hAnsi="宋体"/>
          <w:b/>
          <w:kern w:val="0"/>
          <w:sz w:val="30"/>
          <w:lang w:val="zh-CN"/>
        </w:rPr>
      </w:pPr>
    </w:p>
    <w:p>
      <w:pPr>
        <w:rPr>
          <w:rFonts w:hAnsi="宋体"/>
          <w:b/>
          <w:kern w:val="0"/>
          <w:sz w:val="30"/>
          <w:lang w:val="zh-CN"/>
        </w:rPr>
      </w:pPr>
    </w:p>
    <w:p>
      <w:pPr>
        <w:pStyle w:val="2"/>
        <w:rPr>
          <w:rFonts w:hAnsi="宋体"/>
          <w:b/>
          <w:kern w:val="0"/>
          <w:sz w:val="30"/>
          <w:lang w:val="zh-CN"/>
        </w:rPr>
      </w:pPr>
    </w:p>
    <w:p>
      <w:pPr>
        <w:rPr>
          <w:rFonts w:hAnsi="宋体"/>
          <w:b/>
          <w:kern w:val="0"/>
          <w:sz w:val="30"/>
          <w:lang w:val="zh-CN"/>
        </w:rPr>
      </w:pPr>
    </w:p>
    <w:p>
      <w:pPr>
        <w:pStyle w:val="2"/>
      </w:pPr>
    </w:p>
    <w:p>
      <w:pPr>
        <w:adjustRightInd w:val="0"/>
        <w:snapToGrid w:val="0"/>
        <w:spacing w:line="288" w:lineRule="auto"/>
        <w:jc w:val="center"/>
        <w:rPr>
          <w:rFonts w:ascii="宋体" w:hAnsi="宋体"/>
          <w:b/>
          <w:szCs w:val="22"/>
        </w:rPr>
      </w:pPr>
      <w:r>
        <w:rPr>
          <w:rFonts w:hint="eastAsia" w:ascii="宋体" w:hAnsi="宋体"/>
          <w:b/>
          <w:szCs w:val="22"/>
        </w:rPr>
        <w:t>格式九：小微企业/监狱企业/残疾人福利性单位声明函</w:t>
      </w:r>
    </w:p>
    <w:p>
      <w:pPr>
        <w:tabs>
          <w:tab w:val="left" w:pos="10440"/>
        </w:tabs>
        <w:ind w:left="567" w:right="152"/>
        <w:jc w:val="center"/>
        <w:rPr>
          <w:rFonts w:hint="eastAsia" w:ascii="宋体" w:hAnsi="宋体"/>
          <w:b/>
          <w:sz w:val="24"/>
          <w:szCs w:val="24"/>
        </w:rPr>
      </w:pPr>
      <w:bookmarkStart w:id="183" w:name="_Toc9531"/>
      <w:bookmarkStart w:id="184" w:name="_Toc16646"/>
      <w:bookmarkStart w:id="185" w:name="_Toc522530061"/>
    </w:p>
    <w:p>
      <w:pPr>
        <w:tabs>
          <w:tab w:val="left" w:pos="10440"/>
        </w:tabs>
        <w:ind w:left="567" w:right="152"/>
        <w:jc w:val="center"/>
        <w:rPr>
          <w:rFonts w:ascii="宋体" w:hAnsi="宋体"/>
          <w:b/>
          <w:sz w:val="24"/>
          <w:szCs w:val="24"/>
        </w:rPr>
      </w:pPr>
      <w:r>
        <w:rPr>
          <w:rFonts w:hint="eastAsia" w:ascii="宋体" w:hAnsi="宋体"/>
          <w:b/>
          <w:sz w:val="24"/>
          <w:szCs w:val="24"/>
          <w:lang w:eastAsia="zh-CN"/>
        </w:rPr>
        <w:t>（一）</w:t>
      </w:r>
      <w:r>
        <w:rPr>
          <w:rFonts w:hint="eastAsia" w:ascii="宋体" w:hAnsi="宋体"/>
          <w:b/>
          <w:sz w:val="24"/>
          <w:szCs w:val="24"/>
        </w:rPr>
        <w:t>中小企业声明函（货物）</w:t>
      </w:r>
    </w:p>
    <w:p>
      <w:pPr>
        <w:snapToGrid w:val="0"/>
        <w:spacing w:line="440" w:lineRule="exact"/>
        <w:ind w:firstLine="600" w:firstLineChars="250"/>
        <w:rPr>
          <w:rFonts w:ascii="宋体" w:hAnsi="宋体"/>
          <w:sz w:val="24"/>
          <w:szCs w:val="24"/>
        </w:rPr>
      </w:pPr>
    </w:p>
    <w:p>
      <w:pPr>
        <w:snapToGrid w:val="0"/>
        <w:spacing w:line="440" w:lineRule="exact"/>
        <w:ind w:firstLine="600" w:firstLineChars="250"/>
        <w:rPr>
          <w:rFonts w:ascii="宋体" w:hAnsi="宋体"/>
          <w:sz w:val="24"/>
          <w:szCs w:val="24"/>
        </w:rPr>
      </w:pPr>
      <w:r>
        <w:rPr>
          <w:rFonts w:ascii="宋体" w:hAnsi="宋体"/>
          <w:sz w:val="24"/>
          <w:szCs w:val="24"/>
        </w:rPr>
        <w:t>本公司郑重声明，根据《政府采购促进中小企业发展管理办法》（财库﹝2020﹞46 号）的规定，本公司 参加</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ascii="宋体" w:hAnsi="宋体"/>
          <w:sz w:val="24"/>
          <w:szCs w:val="24"/>
        </w:rPr>
        <w:t>（单位名称）的</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ascii="宋体" w:hAnsi="宋体"/>
          <w:sz w:val="24"/>
          <w:szCs w:val="24"/>
        </w:rPr>
        <w:t>（项目名称）采购活动，提供的货物全部由符合政策要求的中小企业制造。相关企业 （含联合体中的中小企业、签订分包意向协议的中小企业） 的具体情况如下：</w:t>
      </w:r>
    </w:p>
    <w:p>
      <w:pPr>
        <w:snapToGrid w:val="0"/>
        <w:spacing w:line="440" w:lineRule="exact"/>
        <w:ind w:firstLine="600" w:firstLineChars="250"/>
        <w:rPr>
          <w:rFonts w:ascii="宋体" w:hAnsi="宋体"/>
          <w:sz w:val="24"/>
          <w:szCs w:val="24"/>
        </w:rPr>
      </w:pPr>
      <w:r>
        <w:rPr>
          <w:rFonts w:ascii="宋体" w:hAnsi="宋体"/>
          <w:sz w:val="24"/>
          <w:szCs w:val="24"/>
        </w:rPr>
        <w:t>1</w:t>
      </w:r>
      <w:r>
        <w:rPr>
          <w:rFonts w:hint="eastAsia" w:ascii="宋体" w:hAnsi="宋体"/>
          <w:sz w:val="24"/>
          <w:szCs w:val="24"/>
          <w:lang w:eastAsia="zh-CN"/>
        </w:rPr>
        <w:t>、</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（标的名称） ，属于</w:t>
      </w:r>
      <w:r>
        <w:rPr>
          <w:rFonts w:hint="eastAsia" w:ascii="宋体" w:hAnsi="宋体"/>
          <w:sz w:val="24"/>
          <w:szCs w:val="24"/>
          <w:u w:val="single"/>
        </w:rPr>
        <w:t xml:space="preserve">                   </w:t>
      </w:r>
      <w:r>
        <w:rPr>
          <w:rFonts w:ascii="宋体" w:hAnsi="宋体"/>
          <w:sz w:val="24"/>
          <w:szCs w:val="24"/>
        </w:rPr>
        <w:t>（采购文件中明确的所属行业） 行业；制造商为</w:t>
      </w:r>
      <w:r>
        <w:rPr>
          <w:rFonts w:hint="eastAsia" w:ascii="宋体" w:hAnsi="宋体"/>
          <w:sz w:val="24"/>
          <w:szCs w:val="24"/>
          <w:u w:val="single"/>
        </w:rPr>
        <w:t xml:space="preserve">            </w:t>
      </w:r>
      <w:r>
        <w:rPr>
          <w:rFonts w:ascii="宋体" w:hAnsi="宋体"/>
          <w:sz w:val="24"/>
          <w:szCs w:val="24"/>
        </w:rPr>
        <w:t>（企业名称），从业人员</w:t>
      </w:r>
      <w:r>
        <w:rPr>
          <w:rFonts w:hint="eastAsia" w:ascii="宋体" w:hAnsi="宋体"/>
          <w:sz w:val="24"/>
          <w:szCs w:val="24"/>
          <w:u w:val="single"/>
        </w:rPr>
        <w:t xml:space="preserve">  </w:t>
      </w:r>
      <w:r>
        <w:rPr>
          <w:rFonts w:ascii="宋体" w:hAnsi="宋体"/>
          <w:sz w:val="24"/>
          <w:szCs w:val="24"/>
        </w:rPr>
        <w:t>人，营业收入为</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万元，资产总额为</w:t>
      </w:r>
      <w:r>
        <w:rPr>
          <w:rFonts w:hint="eastAsia" w:ascii="宋体" w:hAnsi="宋体"/>
          <w:sz w:val="24"/>
          <w:szCs w:val="24"/>
          <w:u w:val="single"/>
        </w:rPr>
        <w:t xml:space="preserve">  </w:t>
      </w:r>
      <w:r>
        <w:rPr>
          <w:rFonts w:ascii="宋体" w:hAnsi="宋体"/>
          <w:sz w:val="24"/>
          <w:szCs w:val="24"/>
        </w:rPr>
        <w:t xml:space="preserve">万元 ，属于（中型企业、小型企业、微型企业）； </w:t>
      </w:r>
    </w:p>
    <w:p>
      <w:pPr>
        <w:snapToGrid w:val="0"/>
        <w:spacing w:line="440" w:lineRule="exact"/>
        <w:ind w:firstLine="600" w:firstLineChars="250"/>
        <w:rPr>
          <w:rFonts w:ascii="宋体" w:hAnsi="宋体"/>
          <w:sz w:val="24"/>
          <w:szCs w:val="24"/>
        </w:rPr>
      </w:pPr>
      <w:r>
        <w:rPr>
          <w:rFonts w:ascii="宋体" w:hAnsi="宋体"/>
          <w:sz w:val="24"/>
          <w:szCs w:val="24"/>
        </w:rPr>
        <w:t>2</w:t>
      </w:r>
      <w:r>
        <w:rPr>
          <w:rFonts w:hint="eastAsia" w:ascii="宋体" w:hAnsi="宋体"/>
          <w:sz w:val="24"/>
          <w:szCs w:val="24"/>
          <w:lang w:eastAsia="zh-CN"/>
        </w:rPr>
        <w:t>、</w:t>
      </w:r>
      <w:r>
        <w:rPr>
          <w:rFonts w:hint="eastAsia" w:ascii="宋体" w:hAnsi="宋体"/>
          <w:sz w:val="24"/>
          <w:szCs w:val="24"/>
          <w:u w:val="single"/>
        </w:rPr>
        <w:t xml:space="preserve">         </w:t>
      </w:r>
      <w:r>
        <w:rPr>
          <w:rFonts w:ascii="宋体" w:hAnsi="宋体"/>
          <w:sz w:val="24"/>
          <w:szCs w:val="24"/>
        </w:rPr>
        <w:t>（标的名称） ，属于</w:t>
      </w:r>
      <w:r>
        <w:rPr>
          <w:rFonts w:hint="eastAsia" w:ascii="宋体" w:hAnsi="宋体"/>
          <w:sz w:val="24"/>
          <w:szCs w:val="24"/>
          <w:u w:val="single"/>
        </w:rPr>
        <w:t xml:space="preserve">                   </w:t>
      </w:r>
      <w:r>
        <w:rPr>
          <w:rFonts w:ascii="宋体" w:hAnsi="宋体"/>
          <w:sz w:val="24"/>
          <w:szCs w:val="24"/>
        </w:rPr>
        <w:t>（采购文件中明确的所属行业） 行业；制造商为</w:t>
      </w:r>
      <w:r>
        <w:rPr>
          <w:rFonts w:hint="eastAsia" w:ascii="宋体" w:hAnsi="宋体"/>
          <w:sz w:val="24"/>
          <w:szCs w:val="24"/>
          <w:u w:val="single"/>
        </w:rPr>
        <w:t xml:space="preserve">            </w:t>
      </w:r>
      <w:r>
        <w:rPr>
          <w:rFonts w:ascii="宋体" w:hAnsi="宋体"/>
          <w:sz w:val="24"/>
          <w:szCs w:val="24"/>
        </w:rPr>
        <w:t>（企业名称），从业人员</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ascii="宋体" w:hAnsi="宋体"/>
          <w:sz w:val="24"/>
          <w:szCs w:val="24"/>
        </w:rPr>
        <w:t>人，营业收入为</w:t>
      </w:r>
      <w:r>
        <w:rPr>
          <w:rFonts w:hint="eastAsia" w:ascii="宋体" w:hAnsi="宋体"/>
          <w:sz w:val="24"/>
          <w:szCs w:val="24"/>
          <w:u w:val="single"/>
        </w:rPr>
        <w:t xml:space="preserve">  </w:t>
      </w:r>
      <w:r>
        <w:rPr>
          <w:rFonts w:ascii="宋体" w:hAnsi="宋体"/>
          <w:sz w:val="24"/>
          <w:szCs w:val="24"/>
        </w:rPr>
        <w:t>万元，资产总额为</w:t>
      </w:r>
      <w:r>
        <w:rPr>
          <w:rFonts w:hint="eastAsia" w:ascii="宋体" w:hAnsi="宋体"/>
          <w:sz w:val="24"/>
          <w:szCs w:val="24"/>
          <w:u w:val="single"/>
        </w:rPr>
        <w:t xml:space="preserve">  </w:t>
      </w:r>
      <w:r>
        <w:rPr>
          <w:rFonts w:ascii="宋体" w:hAnsi="宋体"/>
          <w:sz w:val="24"/>
          <w:szCs w:val="24"/>
        </w:rPr>
        <w:t xml:space="preserve">万元，属于（中型企业、小型 企业、微型企业）； </w:t>
      </w:r>
    </w:p>
    <w:p>
      <w:pPr>
        <w:snapToGrid w:val="0"/>
        <w:spacing w:line="440" w:lineRule="exact"/>
        <w:ind w:firstLine="480" w:firstLineChars="200"/>
        <w:rPr>
          <w:rFonts w:ascii="宋体" w:hAnsi="宋体"/>
          <w:sz w:val="24"/>
          <w:szCs w:val="24"/>
        </w:rPr>
      </w:pPr>
      <w:r>
        <w:rPr>
          <w:rFonts w:ascii="宋体" w:hAnsi="宋体"/>
          <w:sz w:val="24"/>
          <w:szCs w:val="24"/>
        </w:rPr>
        <w:t>……</w:t>
      </w:r>
    </w:p>
    <w:p>
      <w:pPr>
        <w:snapToGrid w:val="0"/>
        <w:spacing w:line="440" w:lineRule="exact"/>
        <w:ind w:firstLine="480" w:firstLineChars="200"/>
        <w:rPr>
          <w:rFonts w:ascii="宋体" w:hAnsi="宋体"/>
          <w:sz w:val="24"/>
          <w:szCs w:val="24"/>
        </w:rPr>
      </w:pPr>
      <w:r>
        <w:rPr>
          <w:rFonts w:ascii="宋体" w:hAnsi="宋体"/>
          <w:sz w:val="24"/>
          <w:szCs w:val="24"/>
        </w:rPr>
        <w:t>以上企业，不属于大企业的分支机构，不存在控股股东为大企业的情形，也不存在与大企业的负责人为同一人的情形。</w:t>
      </w:r>
    </w:p>
    <w:p>
      <w:pPr>
        <w:snapToGrid w:val="0"/>
        <w:spacing w:line="440" w:lineRule="exact"/>
        <w:ind w:firstLine="480" w:firstLineChars="200"/>
        <w:rPr>
          <w:rFonts w:ascii="宋体" w:hAnsi="宋体"/>
          <w:sz w:val="24"/>
          <w:szCs w:val="24"/>
        </w:rPr>
      </w:pPr>
      <w:r>
        <w:rPr>
          <w:rFonts w:ascii="宋体" w:hAnsi="宋体"/>
          <w:sz w:val="24"/>
          <w:szCs w:val="24"/>
        </w:rPr>
        <w:t xml:space="preserve">本企业对上述声明内容的真实性负责。如有虚假，将依法承担相应责任。 </w:t>
      </w:r>
    </w:p>
    <w:p>
      <w:pPr>
        <w:snapToGrid w:val="0"/>
        <w:spacing w:line="440" w:lineRule="exact"/>
        <w:ind w:firstLine="600" w:firstLineChars="250"/>
        <w:rPr>
          <w:rFonts w:hint="eastAsia" w:ascii="宋体" w:hAnsi="宋体"/>
          <w:sz w:val="24"/>
          <w:szCs w:val="24"/>
        </w:rPr>
      </w:pPr>
      <w:r>
        <w:rPr>
          <w:rFonts w:hint="eastAsia" w:ascii="宋体" w:hAnsi="宋体"/>
          <w:sz w:val="24"/>
          <w:szCs w:val="24"/>
        </w:rPr>
        <w:t xml:space="preserve">                            </w:t>
      </w:r>
    </w:p>
    <w:p>
      <w:pPr>
        <w:snapToGrid w:val="0"/>
        <w:spacing w:line="440" w:lineRule="exact"/>
        <w:ind w:firstLine="4200" w:firstLineChars="1750"/>
        <w:rPr>
          <w:rFonts w:ascii="宋体" w:hAnsi="宋体"/>
          <w:sz w:val="24"/>
          <w:szCs w:val="24"/>
        </w:rPr>
      </w:pPr>
    </w:p>
    <w:p>
      <w:pPr>
        <w:snapToGrid w:val="0"/>
        <w:spacing w:line="440" w:lineRule="exact"/>
        <w:ind w:firstLine="4200" w:firstLineChars="1750"/>
        <w:rPr>
          <w:rFonts w:ascii="宋体" w:hAnsi="宋体"/>
          <w:sz w:val="24"/>
          <w:szCs w:val="24"/>
        </w:rPr>
      </w:pPr>
    </w:p>
    <w:p>
      <w:pPr>
        <w:snapToGrid w:val="0"/>
        <w:spacing w:line="440" w:lineRule="exact"/>
        <w:ind w:firstLine="4200" w:firstLineChars="1750"/>
        <w:rPr>
          <w:rFonts w:ascii="宋体" w:hAnsi="宋体"/>
          <w:sz w:val="24"/>
          <w:szCs w:val="24"/>
        </w:rPr>
      </w:pPr>
      <w:r>
        <w:rPr>
          <w:rFonts w:hint="eastAsia" w:ascii="宋体" w:hAnsi="宋体"/>
          <w:sz w:val="24"/>
          <w:szCs w:val="24"/>
          <w:lang w:eastAsia="zh-CN"/>
        </w:rPr>
        <w:t>单位名称</w:t>
      </w:r>
      <w:r>
        <w:rPr>
          <w:rFonts w:ascii="宋体" w:hAnsi="宋体"/>
          <w:sz w:val="24"/>
          <w:szCs w:val="24"/>
        </w:rPr>
        <w:t xml:space="preserve">（盖章）： </w:t>
      </w:r>
    </w:p>
    <w:p>
      <w:pPr>
        <w:rPr>
          <w:rFonts w:hint="eastAsia" w:ascii="宋体" w:hAnsi="宋体"/>
          <w:sz w:val="24"/>
          <w:szCs w:val="24"/>
        </w:rPr>
      </w:pPr>
      <w:r>
        <w:rPr>
          <w:rFonts w:hint="eastAsia" w:ascii="宋体" w:hAnsi="宋体"/>
          <w:sz w:val="24"/>
          <w:szCs w:val="24"/>
        </w:rPr>
        <w:t xml:space="preserve">                                    </w:t>
      </w:r>
    </w:p>
    <w:p>
      <w:pPr>
        <w:ind w:firstLine="4560" w:firstLineChars="1900"/>
        <w:rPr>
          <w:rFonts w:hint="default" w:eastAsiaTheme="minorEastAsia"/>
          <w:lang w:val="en-US" w:eastAsia="zh-CN"/>
        </w:rPr>
      </w:pPr>
      <w:r>
        <w:rPr>
          <w:rFonts w:ascii="宋体" w:hAnsi="宋体"/>
          <w:sz w:val="24"/>
          <w:szCs w:val="24"/>
        </w:rPr>
        <w:t>日 期：</w:t>
      </w:r>
      <w:r>
        <w:rPr>
          <w:rFonts w:hint="eastAsia" w:ascii="宋体" w:hAnsi="宋体"/>
          <w:sz w:val="24"/>
          <w:szCs w:val="24"/>
          <w:lang w:val="en-US" w:eastAsia="zh-CN"/>
        </w:rPr>
        <w:t xml:space="preserve">    年   月   日</w:t>
      </w:r>
    </w:p>
    <w:p>
      <w:pPr>
        <w:adjustRightInd w:val="0"/>
        <w:spacing w:line="500" w:lineRule="exact"/>
        <w:ind w:firstLine="471"/>
        <w:textAlignment w:val="baseline"/>
        <w:rPr>
          <w:rFonts w:hint="eastAsia" w:hAnsi="宋体"/>
          <w:b/>
          <w:sz w:val="24"/>
        </w:rPr>
      </w:pPr>
    </w:p>
    <w:p>
      <w:pPr>
        <w:adjustRightInd w:val="0"/>
        <w:spacing w:line="500" w:lineRule="exact"/>
        <w:ind w:firstLine="471"/>
        <w:textAlignment w:val="baseline"/>
        <w:rPr>
          <w:rFonts w:hint="eastAsia" w:hAnsi="宋体"/>
          <w:b/>
          <w:sz w:val="24"/>
        </w:rPr>
      </w:pPr>
    </w:p>
    <w:p>
      <w:pPr>
        <w:adjustRightInd w:val="0"/>
        <w:spacing w:line="500" w:lineRule="exact"/>
        <w:ind w:firstLine="471"/>
        <w:textAlignment w:val="baseline"/>
        <w:rPr>
          <w:rFonts w:hint="eastAsia" w:hAnsi="宋体"/>
          <w:b/>
          <w:sz w:val="24"/>
        </w:rPr>
      </w:pPr>
    </w:p>
    <w:p>
      <w:pPr>
        <w:adjustRightInd w:val="0"/>
        <w:spacing w:line="500" w:lineRule="exact"/>
        <w:ind w:firstLine="471"/>
        <w:textAlignment w:val="baseline"/>
        <w:rPr>
          <w:rFonts w:hint="eastAsia" w:hAnsi="宋体"/>
          <w:b/>
          <w:sz w:val="24"/>
        </w:rPr>
      </w:pPr>
      <w:r>
        <w:rPr>
          <w:rFonts w:hint="eastAsia" w:hAnsi="宋体"/>
          <w:b/>
          <w:sz w:val="24"/>
        </w:rPr>
        <w:t>注：1.</w:t>
      </w:r>
      <w:r>
        <w:rPr>
          <w:rFonts w:hAnsi="宋体"/>
          <w:b/>
          <w:sz w:val="24"/>
        </w:rPr>
        <w:t xml:space="preserve"> 从业人员、营业收入、资产总额填报上一年度数据，无上一年度数据的新成立企业可不填报。</w:t>
      </w: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spacing w:line="588" w:lineRule="exact"/>
        <w:jc w:val="center"/>
        <w:rPr>
          <w:rFonts w:hint="eastAsia" w:ascii="宋体" w:hAnsi="宋体" w:eastAsia="宋体" w:cs="宋体"/>
          <w:b/>
          <w:spacing w:val="6"/>
          <w:sz w:val="24"/>
          <w:szCs w:val="24"/>
        </w:rPr>
      </w:pPr>
      <w:r>
        <w:rPr>
          <w:rFonts w:hint="eastAsia" w:ascii="宋体" w:hAnsi="宋体" w:eastAsia="宋体" w:cs="宋体"/>
          <w:b/>
          <w:spacing w:val="6"/>
          <w:sz w:val="24"/>
          <w:szCs w:val="24"/>
          <w:lang w:eastAsia="zh-CN"/>
        </w:rPr>
        <w:t>（</w:t>
      </w:r>
      <w:r>
        <w:rPr>
          <w:rFonts w:hint="eastAsia" w:ascii="宋体" w:hAnsi="宋体" w:eastAsia="宋体" w:cs="宋体"/>
          <w:b/>
          <w:spacing w:val="6"/>
          <w:sz w:val="24"/>
          <w:szCs w:val="24"/>
          <w:lang w:val="en-US" w:eastAsia="zh-CN"/>
        </w:rPr>
        <w:t>二</w:t>
      </w:r>
      <w:r>
        <w:rPr>
          <w:rFonts w:hint="eastAsia" w:ascii="宋体" w:hAnsi="宋体" w:eastAsia="宋体" w:cs="宋体"/>
          <w:b/>
          <w:spacing w:val="6"/>
          <w:sz w:val="24"/>
          <w:szCs w:val="24"/>
          <w:lang w:eastAsia="zh-CN"/>
        </w:rPr>
        <w:t>）</w:t>
      </w:r>
      <w:r>
        <w:rPr>
          <w:rFonts w:hint="eastAsia" w:ascii="宋体" w:hAnsi="宋体" w:eastAsia="宋体" w:cs="宋体"/>
          <w:b/>
          <w:spacing w:val="6"/>
          <w:sz w:val="24"/>
          <w:szCs w:val="24"/>
        </w:rPr>
        <w:t xml:space="preserve"> 监狱企业声明函</w:t>
      </w:r>
    </w:p>
    <w:p>
      <w:pPr>
        <w:pStyle w:val="41"/>
        <w:jc w:val="center"/>
        <w:rPr>
          <w:rFonts w:hint="eastAsia" w:ascii="宋体" w:hAnsi="宋体" w:eastAsia="宋体" w:cs="宋体"/>
          <w:b/>
          <w:sz w:val="24"/>
          <w:szCs w:val="24"/>
          <w:lang w:val="en-GB"/>
        </w:rPr>
      </w:pPr>
    </w:p>
    <w:p>
      <w:pPr>
        <w:spacing w:line="560" w:lineRule="exact"/>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企业郑重声明，本企业为____（省、自治区、直辖市）监狱管理局（戒毒所）所属企业。本企业参加______单位的______项目采购活动提供本企业制造的货物，由本企业承担工程、提供服务，或者提供其他______（省、自治区、直辖市）监狱管理局（戒毒所）所属企业制造的货物。</w:t>
      </w:r>
    </w:p>
    <w:p>
      <w:pPr>
        <w:spacing w:line="560" w:lineRule="exact"/>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本企业对上述声明的真实性负责。如有虚假，将依法承担相应责任。</w:t>
      </w:r>
    </w:p>
    <w:p>
      <w:pPr>
        <w:spacing w:line="560" w:lineRule="exact"/>
        <w:ind w:firstLine="504" w:firstLineChars="200"/>
        <w:rPr>
          <w:rFonts w:hint="eastAsia" w:ascii="宋体" w:hAnsi="宋体" w:eastAsia="宋体" w:cs="宋体"/>
          <w:spacing w:val="6"/>
          <w:sz w:val="24"/>
          <w:szCs w:val="24"/>
        </w:rPr>
      </w:pPr>
    </w:p>
    <w:p>
      <w:pPr>
        <w:spacing w:line="560" w:lineRule="exact"/>
        <w:ind w:firstLine="504" w:firstLineChars="200"/>
        <w:rPr>
          <w:rFonts w:hint="eastAsia" w:ascii="宋体" w:hAnsi="宋体" w:eastAsia="宋体" w:cs="宋体"/>
          <w:spacing w:val="6"/>
          <w:sz w:val="24"/>
          <w:szCs w:val="24"/>
        </w:rPr>
      </w:pPr>
    </w:p>
    <w:p>
      <w:pPr>
        <w:tabs>
          <w:tab w:val="left" w:pos="4860"/>
        </w:tabs>
        <w:spacing w:line="560" w:lineRule="exact"/>
        <w:ind w:right="1560" w:firstLine="504" w:firstLineChars="200"/>
        <w:jc w:val="center"/>
        <w:rPr>
          <w:rFonts w:hint="eastAsia" w:ascii="宋体" w:hAnsi="宋体" w:eastAsia="宋体" w:cs="宋体"/>
          <w:spacing w:val="6"/>
          <w:sz w:val="24"/>
          <w:szCs w:val="24"/>
        </w:rPr>
      </w:pP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 xml:space="preserve">                        </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eastAsia="zh-CN"/>
        </w:rPr>
        <w:t>单位</w:t>
      </w:r>
      <w:r>
        <w:rPr>
          <w:rFonts w:hint="eastAsia" w:ascii="宋体" w:hAnsi="宋体" w:eastAsia="宋体" w:cs="宋体"/>
          <w:spacing w:val="6"/>
          <w:sz w:val="24"/>
          <w:szCs w:val="24"/>
        </w:rPr>
        <w:t xml:space="preserve">名称（盖章）： </w:t>
      </w:r>
    </w:p>
    <w:p>
      <w:pPr>
        <w:snapToGrid w:val="0"/>
        <w:spacing w:line="540" w:lineRule="exact"/>
        <w:ind w:firstLine="504" w:firstLineChars="200"/>
        <w:rPr>
          <w:rFonts w:hint="eastAsia" w:ascii="宋体" w:hAnsi="宋体" w:eastAsia="宋体" w:cs="宋体"/>
          <w:sz w:val="24"/>
          <w:szCs w:val="24"/>
        </w:rPr>
        <w:sectPr>
          <w:pgSz w:w="11906" w:h="16838"/>
          <w:pgMar w:top="1553" w:right="1553" w:bottom="1553" w:left="1553" w:header="851" w:footer="992" w:gutter="284"/>
          <w:pgNumType w:fmt="decimal"/>
          <w:cols w:space="720" w:num="1"/>
          <w:docGrid w:linePitch="312" w:charSpace="0"/>
        </w:sectPr>
      </w:pP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 xml:space="preserve">              </w:t>
      </w:r>
      <w:r>
        <w:rPr>
          <w:rFonts w:hint="eastAsia" w:ascii="宋体" w:hAnsi="宋体" w:eastAsia="宋体" w:cs="宋体"/>
          <w:spacing w:val="6"/>
          <w:sz w:val="24"/>
          <w:szCs w:val="24"/>
        </w:rPr>
        <w:t>日  期：</w:t>
      </w:r>
      <w:r>
        <w:rPr>
          <w:rFonts w:hint="eastAsia" w:ascii="宋体" w:hAnsi="宋体" w:eastAsia="宋体" w:cs="宋体"/>
          <w:sz w:val="24"/>
          <w:szCs w:val="24"/>
          <w:lang w:val="en-US" w:eastAsia="zh-CN"/>
        </w:rPr>
        <w:t xml:space="preserve">    年   月   </w:t>
      </w:r>
    </w:p>
    <w:p>
      <w:pPr>
        <w:tabs>
          <w:tab w:val="left" w:pos="10440"/>
        </w:tabs>
        <w:ind w:right="152"/>
        <w:jc w:val="both"/>
        <w:rPr>
          <w:rFonts w:hint="eastAsia" w:ascii="宋体" w:hAnsi="宋体" w:eastAsia="宋体" w:cs="宋体"/>
          <w:b/>
          <w:sz w:val="24"/>
          <w:szCs w:val="24"/>
          <w:lang w:val="en-US" w:eastAsia="zh-CN"/>
        </w:rPr>
      </w:pPr>
    </w:p>
    <w:p>
      <w:pPr>
        <w:spacing w:line="588" w:lineRule="exact"/>
        <w:jc w:val="center"/>
        <w:rPr>
          <w:rFonts w:hint="eastAsia" w:ascii="宋体" w:hAnsi="宋体" w:eastAsia="宋体" w:cs="宋体"/>
          <w:b/>
          <w:spacing w:val="6"/>
          <w:sz w:val="24"/>
          <w:szCs w:val="24"/>
        </w:rPr>
      </w:pPr>
      <w:r>
        <w:rPr>
          <w:rFonts w:hint="eastAsia" w:ascii="宋体" w:hAnsi="宋体" w:eastAsia="宋体" w:cs="宋体"/>
          <w:b/>
          <w:spacing w:val="6"/>
          <w:sz w:val="24"/>
          <w:szCs w:val="24"/>
          <w:lang w:eastAsia="zh-CN"/>
        </w:rPr>
        <w:t>（</w:t>
      </w:r>
      <w:r>
        <w:rPr>
          <w:rFonts w:hint="eastAsia" w:ascii="宋体" w:hAnsi="宋体" w:eastAsia="宋体" w:cs="宋体"/>
          <w:b/>
          <w:spacing w:val="6"/>
          <w:sz w:val="24"/>
          <w:szCs w:val="24"/>
          <w:lang w:val="en-US" w:eastAsia="zh-CN"/>
        </w:rPr>
        <w:t>三</w:t>
      </w:r>
      <w:r>
        <w:rPr>
          <w:rFonts w:hint="eastAsia" w:ascii="宋体" w:hAnsi="宋体" w:eastAsia="宋体" w:cs="宋体"/>
          <w:b/>
          <w:spacing w:val="6"/>
          <w:sz w:val="24"/>
          <w:szCs w:val="24"/>
          <w:lang w:eastAsia="zh-CN"/>
        </w:rPr>
        <w:t>）</w:t>
      </w:r>
      <w:r>
        <w:rPr>
          <w:rFonts w:hint="eastAsia" w:ascii="宋体" w:hAnsi="宋体" w:eastAsia="宋体" w:cs="宋体"/>
          <w:b/>
          <w:spacing w:val="6"/>
          <w:sz w:val="24"/>
          <w:szCs w:val="24"/>
        </w:rPr>
        <w:t xml:space="preserve"> 残疾人福利性单位声明函</w:t>
      </w:r>
    </w:p>
    <w:p>
      <w:pPr>
        <w:spacing w:line="588" w:lineRule="exact"/>
        <w:rPr>
          <w:rFonts w:hint="eastAsia" w:ascii="宋体" w:hAnsi="宋体" w:eastAsia="宋体" w:cs="宋体"/>
          <w:b/>
          <w:spacing w:val="6"/>
          <w:sz w:val="24"/>
          <w:szCs w:val="24"/>
        </w:rPr>
      </w:pP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单位的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pPr>
        <w:snapToGrid w:val="0"/>
        <w:spacing w:line="360" w:lineRule="auto"/>
        <w:ind w:firstLine="480" w:firstLineChars="200"/>
        <w:rPr>
          <w:rFonts w:hint="eastAsia" w:ascii="宋体" w:hAnsi="宋体" w:eastAsia="宋体" w:cs="宋体"/>
          <w:sz w:val="24"/>
          <w:szCs w:val="24"/>
        </w:rPr>
      </w:pPr>
    </w:p>
    <w:p>
      <w:pPr>
        <w:spacing w:line="588" w:lineRule="exact"/>
        <w:ind w:firstLine="504" w:firstLineChars="200"/>
        <w:rPr>
          <w:rFonts w:hint="eastAsia" w:ascii="宋体" w:hAnsi="宋体" w:eastAsia="宋体" w:cs="宋体"/>
          <w:spacing w:val="6"/>
          <w:sz w:val="24"/>
          <w:szCs w:val="24"/>
        </w:rPr>
      </w:pPr>
    </w:p>
    <w:p>
      <w:pPr>
        <w:pStyle w:val="2"/>
        <w:rPr>
          <w:rFonts w:hint="eastAsia" w:ascii="宋体" w:hAnsi="宋体" w:eastAsia="宋体" w:cs="宋体"/>
          <w:sz w:val="24"/>
          <w:szCs w:val="24"/>
        </w:rPr>
      </w:pPr>
    </w:p>
    <w:p>
      <w:pPr>
        <w:snapToGrid w:val="0"/>
        <w:spacing w:line="360" w:lineRule="auto"/>
        <w:ind w:firstLine="504" w:firstLineChars="200"/>
        <w:jc w:val="right"/>
        <w:rPr>
          <w:rFonts w:hint="eastAsia" w:ascii="宋体" w:hAnsi="宋体" w:eastAsia="宋体" w:cs="宋体"/>
          <w:spacing w:val="6"/>
          <w:sz w:val="24"/>
          <w:szCs w:val="24"/>
        </w:rPr>
      </w:pPr>
      <w:r>
        <w:rPr>
          <w:rFonts w:hint="eastAsia" w:ascii="宋体" w:hAnsi="宋体" w:eastAsia="宋体" w:cs="宋体"/>
          <w:spacing w:val="6"/>
          <w:sz w:val="24"/>
          <w:szCs w:val="24"/>
        </w:rPr>
        <w:t xml:space="preserve">  </w:t>
      </w:r>
    </w:p>
    <w:p>
      <w:pPr>
        <w:snapToGrid w:val="0"/>
        <w:spacing w:line="360" w:lineRule="auto"/>
        <w:ind w:firstLine="504" w:firstLineChars="200"/>
        <w:jc w:val="center"/>
        <w:rPr>
          <w:rFonts w:hint="eastAsia" w:ascii="宋体" w:hAnsi="宋体" w:eastAsia="宋体" w:cs="宋体"/>
          <w:sz w:val="24"/>
          <w:szCs w:val="24"/>
        </w:rPr>
      </w:pPr>
      <w:r>
        <w:rPr>
          <w:rFonts w:hint="eastAsia" w:ascii="宋体" w:hAnsi="宋体" w:eastAsia="宋体" w:cs="宋体"/>
          <w:spacing w:val="6"/>
          <w:sz w:val="24"/>
          <w:szCs w:val="24"/>
          <w:lang w:val="en-US" w:eastAsia="zh-CN"/>
        </w:rPr>
        <w:t xml:space="preserve">                       </w:t>
      </w:r>
      <w:r>
        <w:rPr>
          <w:rFonts w:hint="eastAsia" w:ascii="宋体" w:hAnsi="宋体" w:eastAsia="宋体" w:cs="宋体"/>
          <w:spacing w:val="6"/>
          <w:sz w:val="24"/>
          <w:szCs w:val="24"/>
        </w:rPr>
        <w:t xml:space="preserve"> </w:t>
      </w:r>
      <w:r>
        <w:rPr>
          <w:rFonts w:hint="eastAsia" w:ascii="宋体" w:hAnsi="宋体" w:eastAsia="宋体" w:cs="宋体"/>
          <w:sz w:val="24"/>
          <w:szCs w:val="24"/>
        </w:rPr>
        <w:t>单位名称（盖章）：</w:t>
      </w:r>
    </w:p>
    <w:p>
      <w:pPr>
        <w:pStyle w:val="42"/>
        <w:spacing w:line="54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kern w:val="2"/>
          <w:sz w:val="24"/>
          <w:szCs w:val="24"/>
          <w:lang w:val="en-US" w:eastAsia="zh-CN" w:bidi="ar-SA"/>
        </w:rPr>
        <w:t xml:space="preserve">   日  期：    年   月   日</w:t>
      </w:r>
    </w:p>
    <w:p>
      <w:pPr>
        <w:spacing w:line="588" w:lineRule="exact"/>
        <w:jc w:val="center"/>
        <w:rPr>
          <w:rFonts w:hint="eastAsia" w:ascii="宋体" w:hAnsi="宋体" w:eastAsia="宋体" w:cs="宋体"/>
          <w:bCs/>
          <w:sz w:val="24"/>
          <w:szCs w:val="24"/>
          <w:lang w:val="zh-CN"/>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00" w:lineRule="exact"/>
        <w:ind w:leftChars="0" w:right="0" w:rightChars="0"/>
        <w:jc w:val="both"/>
        <w:rPr>
          <w:rFonts w:hint="default" w:ascii="仿宋" w:hAnsi="仿宋" w:eastAsia="仿宋" w:cs="仿宋"/>
          <w:b w:val="0"/>
          <w:i w:val="0"/>
          <w:iCs w:val="0"/>
          <w:caps w:val="0"/>
          <w:color w:val="000000"/>
          <w:spacing w:val="0"/>
          <w:kern w:val="2"/>
          <w:sz w:val="27"/>
          <w:szCs w:val="27"/>
          <w:u w:val="none"/>
          <w:lang w:val="en-US" w:eastAsia="zh-CN" w:bidi="ar-SA"/>
        </w:rPr>
      </w:pPr>
    </w:p>
    <w:p>
      <w:pPr>
        <w:pStyle w:val="3"/>
        <w:numPr>
          <w:ilvl w:val="0"/>
          <w:numId w:val="0"/>
        </w:numPr>
        <w:rPr>
          <w:rFonts w:ascii="宋体" w:hAnsi="宋体" w:eastAsia="宋体"/>
          <w:sz w:val="28"/>
        </w:rPr>
      </w:pPr>
      <w:bookmarkStart w:id="186" w:name="_Toc9678"/>
      <w:r>
        <w:rPr>
          <w:rFonts w:hint="eastAsia" w:ascii="宋体" w:hAnsi="宋体" w:eastAsia="宋体"/>
          <w:sz w:val="28"/>
        </w:rPr>
        <w:t>投标文件封面</w:t>
      </w:r>
      <w:bookmarkEnd w:id="183"/>
      <w:bookmarkEnd w:id="184"/>
      <w:bookmarkEnd w:id="185"/>
      <w:bookmarkEnd w:id="186"/>
    </w:p>
    <w:p>
      <w:pPr>
        <w:tabs>
          <w:tab w:val="left" w:pos="4500"/>
        </w:tabs>
        <w:autoSpaceDE w:val="0"/>
        <w:autoSpaceDN w:val="0"/>
        <w:adjustRightInd w:val="0"/>
        <w:snapToGrid w:val="0"/>
        <w:spacing w:line="336" w:lineRule="auto"/>
        <w:jc w:val="center"/>
        <w:textAlignment w:val="bottom"/>
        <w:rPr>
          <w:rFonts w:ascii="宋体" w:hAnsi="宋体"/>
          <w:b/>
          <w:sz w:val="44"/>
          <w:szCs w:val="44"/>
        </w:rPr>
      </w:pPr>
    </w:p>
    <w:p>
      <w:pPr>
        <w:tabs>
          <w:tab w:val="left" w:pos="4500"/>
        </w:tabs>
        <w:autoSpaceDE w:val="0"/>
        <w:autoSpaceDN w:val="0"/>
        <w:adjustRightInd w:val="0"/>
        <w:snapToGrid w:val="0"/>
        <w:spacing w:line="336" w:lineRule="auto"/>
        <w:jc w:val="center"/>
        <w:textAlignment w:val="bottom"/>
        <w:rPr>
          <w:rFonts w:hint="eastAsia" w:ascii="宋体" w:hAnsi="宋体" w:eastAsia="宋体"/>
          <w:b/>
          <w:sz w:val="44"/>
          <w:szCs w:val="44"/>
          <w:lang w:eastAsia="zh-CN"/>
        </w:rPr>
      </w:pPr>
      <w:r>
        <w:rPr>
          <w:rFonts w:hint="eastAsia" w:ascii="宋体" w:hAnsi="宋体"/>
          <w:b/>
          <w:sz w:val="44"/>
          <w:szCs w:val="44"/>
          <w:lang w:eastAsia="zh-CN"/>
        </w:rPr>
        <w:t>衢州理工学校智能制造产教融合——零件测绘实训室建设项目</w:t>
      </w:r>
    </w:p>
    <w:p>
      <w:pPr>
        <w:spacing w:beforeLines="10" w:line="360" w:lineRule="auto"/>
        <w:jc w:val="center"/>
        <w:rPr>
          <w:rFonts w:hint="eastAsia" w:ascii="宋体" w:hAnsi="宋体" w:eastAsia="宋体"/>
          <w:b/>
          <w:sz w:val="32"/>
          <w:lang w:eastAsia="zh-CN"/>
        </w:rPr>
      </w:pPr>
      <w:r>
        <w:rPr>
          <w:rFonts w:hint="eastAsia" w:ascii="宋体" w:hAnsi="宋体"/>
          <w:b/>
          <w:sz w:val="32"/>
        </w:rPr>
        <w:t>项目编号：</w:t>
      </w:r>
      <w:r>
        <w:rPr>
          <w:rFonts w:hint="eastAsia" w:ascii="宋体" w:hAnsi="宋体"/>
          <w:b/>
          <w:sz w:val="32"/>
          <w:szCs w:val="22"/>
          <w:lang w:eastAsia="zh-CN"/>
        </w:rPr>
        <w:t>kxqz202111</w:t>
      </w:r>
    </w:p>
    <w:p>
      <w:pPr>
        <w:adjustRightInd w:val="0"/>
        <w:snapToGrid w:val="0"/>
        <w:spacing w:line="360" w:lineRule="auto"/>
        <w:jc w:val="center"/>
        <w:rPr>
          <w:rFonts w:ascii="宋体" w:hAnsi="宋体"/>
          <w:sz w:val="48"/>
          <w:szCs w:val="48"/>
        </w:rPr>
      </w:pPr>
    </w:p>
    <w:p>
      <w:pPr>
        <w:adjustRightInd w:val="0"/>
        <w:snapToGrid w:val="0"/>
        <w:spacing w:line="360" w:lineRule="auto"/>
        <w:jc w:val="center"/>
        <w:rPr>
          <w:rFonts w:ascii="宋体" w:hAnsi="宋体"/>
          <w:sz w:val="48"/>
          <w:szCs w:val="48"/>
        </w:rPr>
      </w:pPr>
    </w:p>
    <w:p>
      <w:pPr>
        <w:adjustRightInd w:val="0"/>
        <w:snapToGrid w:val="0"/>
        <w:spacing w:line="360" w:lineRule="auto"/>
        <w:jc w:val="center"/>
        <w:rPr>
          <w:rFonts w:ascii="宋体" w:hAnsi="宋体"/>
          <w:sz w:val="48"/>
          <w:szCs w:val="48"/>
        </w:rPr>
      </w:pPr>
      <w:r>
        <w:rPr>
          <w:rFonts w:hint="eastAsia" w:ascii="宋体" w:hAnsi="宋体"/>
          <w:sz w:val="48"/>
          <w:szCs w:val="48"/>
        </w:rPr>
        <w:t>投</w:t>
      </w:r>
    </w:p>
    <w:p>
      <w:pPr>
        <w:spacing w:line="360" w:lineRule="auto"/>
        <w:jc w:val="center"/>
        <w:rPr>
          <w:rFonts w:ascii="宋体" w:hAnsi="宋体"/>
          <w:sz w:val="48"/>
          <w:szCs w:val="48"/>
        </w:rPr>
      </w:pPr>
      <w:r>
        <w:rPr>
          <w:rFonts w:hint="eastAsia" w:ascii="宋体" w:hAnsi="宋体"/>
          <w:sz w:val="48"/>
          <w:szCs w:val="48"/>
        </w:rPr>
        <w:t>标</w:t>
      </w:r>
    </w:p>
    <w:p>
      <w:pPr>
        <w:spacing w:line="360" w:lineRule="auto"/>
        <w:jc w:val="center"/>
        <w:rPr>
          <w:rFonts w:ascii="宋体" w:hAnsi="宋体"/>
          <w:sz w:val="48"/>
          <w:szCs w:val="48"/>
        </w:rPr>
      </w:pPr>
      <w:r>
        <w:rPr>
          <w:rFonts w:hint="eastAsia" w:ascii="宋体" w:hAnsi="宋体"/>
          <w:sz w:val="48"/>
          <w:szCs w:val="48"/>
        </w:rPr>
        <w:t>文</w:t>
      </w:r>
    </w:p>
    <w:p>
      <w:pPr>
        <w:spacing w:line="360" w:lineRule="auto"/>
        <w:jc w:val="center"/>
        <w:rPr>
          <w:rFonts w:ascii="宋体" w:hAnsi="宋体"/>
          <w:sz w:val="48"/>
          <w:szCs w:val="48"/>
        </w:rPr>
      </w:pPr>
      <w:r>
        <w:rPr>
          <w:rFonts w:hint="eastAsia" w:ascii="宋体" w:hAnsi="宋体"/>
          <w:sz w:val="48"/>
          <w:szCs w:val="48"/>
        </w:rPr>
        <w:t>件</w:t>
      </w:r>
    </w:p>
    <w:p>
      <w:pPr>
        <w:spacing w:line="360" w:lineRule="auto"/>
        <w:jc w:val="center"/>
        <w:rPr>
          <w:rFonts w:hint="eastAsia" w:ascii="宋体" w:hAnsi="宋体" w:cs="Times New Roman"/>
          <w:sz w:val="48"/>
          <w:szCs w:val="48"/>
          <w:lang w:eastAsia="zh-CN"/>
        </w:rPr>
      </w:pPr>
      <w:r>
        <w:rPr>
          <w:rFonts w:hint="eastAsia" w:ascii="宋体" w:hAnsi="宋体" w:cs="Times New Roman"/>
          <w:sz w:val="48"/>
          <w:szCs w:val="48"/>
          <w:lang w:eastAsia="zh-CN"/>
        </w:rPr>
        <w:t>（报价文件</w:t>
      </w:r>
      <w:r>
        <w:rPr>
          <w:rFonts w:hint="eastAsia" w:ascii="宋体" w:hAnsi="宋体" w:cs="Times New Roman"/>
          <w:sz w:val="48"/>
          <w:szCs w:val="48"/>
          <w:lang w:val="en-US" w:eastAsia="zh-CN"/>
        </w:rPr>
        <w:t>/商务技术文件/资格文件</w:t>
      </w:r>
      <w:r>
        <w:rPr>
          <w:rFonts w:hint="eastAsia" w:ascii="宋体" w:hAnsi="宋体" w:cs="Times New Roman"/>
          <w:sz w:val="48"/>
          <w:szCs w:val="48"/>
          <w:lang w:eastAsia="zh-CN"/>
        </w:rPr>
        <w:t>）</w:t>
      </w:r>
    </w:p>
    <w:p>
      <w:pPr>
        <w:pStyle w:val="7"/>
        <w:ind w:firstLine="210"/>
      </w:pPr>
    </w:p>
    <w:p>
      <w:pPr>
        <w:spacing w:line="540" w:lineRule="exact"/>
        <w:ind w:firstLine="840" w:firstLineChars="300"/>
        <w:rPr>
          <w:rFonts w:ascii="宋体" w:hAnsi="宋体"/>
          <w:szCs w:val="28"/>
        </w:rPr>
      </w:pPr>
      <w:r>
        <w:rPr>
          <w:rFonts w:hint="eastAsia" w:ascii="宋体" w:hAnsi="宋体"/>
          <w:szCs w:val="28"/>
        </w:rPr>
        <w:t>投标人：（加盖公章）</w:t>
      </w:r>
    </w:p>
    <w:p>
      <w:pPr>
        <w:spacing w:line="540" w:lineRule="exact"/>
        <w:ind w:firstLine="840" w:firstLineChars="300"/>
        <w:rPr>
          <w:rFonts w:ascii="宋体" w:hAnsi="宋体"/>
          <w:szCs w:val="28"/>
        </w:rPr>
      </w:pPr>
      <w:r>
        <w:rPr>
          <w:rFonts w:hint="eastAsia" w:ascii="宋体" w:hAnsi="宋体"/>
          <w:szCs w:val="28"/>
        </w:rPr>
        <w:t>地址：</w:t>
      </w:r>
    </w:p>
    <w:p>
      <w:pPr>
        <w:spacing w:line="540" w:lineRule="exact"/>
        <w:ind w:firstLine="840" w:firstLineChars="300"/>
        <w:rPr>
          <w:rFonts w:ascii="宋体" w:hAnsi="宋体"/>
          <w:szCs w:val="28"/>
          <w:u w:val="single"/>
        </w:rPr>
      </w:pPr>
      <w:r>
        <w:rPr>
          <w:rFonts w:hint="eastAsia" w:ascii="宋体" w:hAnsi="宋体"/>
          <w:szCs w:val="28"/>
        </w:rPr>
        <w:t>日期：</w:t>
      </w:r>
    </w:p>
    <w:p>
      <w:pPr>
        <w:pStyle w:val="7"/>
        <w:ind w:firstLine="210"/>
      </w:pPr>
    </w:p>
    <w:p>
      <w:pPr>
        <w:pStyle w:val="7"/>
        <w:ind w:firstLine="210"/>
      </w:pPr>
    </w:p>
    <w:p>
      <w:pPr>
        <w:pStyle w:val="2"/>
        <w:bidi w:val="0"/>
      </w:pPr>
      <w:bookmarkStart w:id="187" w:name="_Toc19470"/>
      <w:r>
        <w:rPr>
          <w:rFonts w:hint="eastAsia"/>
        </w:rPr>
        <w:t>第六部分  评分办法</w:t>
      </w:r>
      <w:bookmarkEnd w:id="117"/>
      <w:bookmarkEnd w:id="118"/>
      <w:bookmarkEnd w:id="187"/>
    </w:p>
    <w:p>
      <w:pPr>
        <w:pStyle w:val="3"/>
        <w:numPr>
          <w:ilvl w:val="0"/>
          <w:numId w:val="0"/>
        </w:numPr>
        <w:spacing w:line="400" w:lineRule="exact"/>
        <w:rPr>
          <w:rFonts w:ascii="宋体" w:hAnsi="宋体" w:eastAsia="宋体" w:cs="宋体"/>
          <w:szCs w:val="21"/>
        </w:rPr>
      </w:pPr>
      <w:bookmarkStart w:id="188" w:name="_Toc9776"/>
      <w:bookmarkStart w:id="189" w:name="_Toc522530063"/>
      <w:bookmarkStart w:id="190" w:name="_Toc9720"/>
      <w:bookmarkStart w:id="191" w:name="_Toc28449"/>
      <w:r>
        <w:rPr>
          <w:rFonts w:hint="eastAsia" w:ascii="宋体" w:hAnsi="宋体" w:eastAsia="宋体" w:cs="宋体"/>
          <w:szCs w:val="21"/>
        </w:rPr>
        <w:t>一、评分办法</w:t>
      </w:r>
      <w:bookmarkEnd w:id="188"/>
      <w:bookmarkEnd w:id="189"/>
      <w:bookmarkEnd w:id="190"/>
      <w:bookmarkEnd w:id="191"/>
    </w:p>
    <w:p>
      <w:pPr>
        <w:spacing w:line="400" w:lineRule="exact"/>
        <w:ind w:firstLine="420" w:firstLineChars="200"/>
        <w:jc w:val="left"/>
        <w:rPr>
          <w:rFonts w:ascii="宋体" w:hAnsi="宋体" w:cs="宋体"/>
          <w:sz w:val="21"/>
          <w:szCs w:val="21"/>
          <w:u w:val="single"/>
        </w:rPr>
      </w:pPr>
      <w:r>
        <w:rPr>
          <w:rFonts w:hint="eastAsia" w:ascii="宋体" w:hAnsi="宋体" w:cs="宋体"/>
          <w:sz w:val="21"/>
          <w:szCs w:val="21"/>
        </w:rPr>
        <w:t>本项目评分采用：</w:t>
      </w:r>
      <w:r>
        <w:rPr>
          <w:rFonts w:hint="eastAsia" w:ascii="宋体" w:hAnsi="宋体" w:cs="宋体"/>
          <w:sz w:val="21"/>
          <w:szCs w:val="21"/>
          <w:u w:val="single"/>
        </w:rPr>
        <w:t>综合评分法。即在投标文件满足招标文件全部实质性要求的前提下，按照评审因素的量化指标评审得分从高到低的顺序推荐投标人为第一中标候选人的评分办法。</w:t>
      </w:r>
    </w:p>
    <w:p>
      <w:pPr>
        <w:spacing w:line="400" w:lineRule="exact"/>
        <w:ind w:firstLine="420" w:firstLineChars="200"/>
        <w:jc w:val="left"/>
        <w:rPr>
          <w:rFonts w:ascii="宋体" w:hAnsi="宋体" w:cs="宋体"/>
          <w:sz w:val="21"/>
          <w:szCs w:val="21"/>
        </w:rPr>
      </w:pPr>
      <w:r>
        <w:rPr>
          <w:rFonts w:hint="eastAsia" w:ascii="宋体" w:hAnsi="宋体" w:cs="宋体"/>
          <w:sz w:val="21"/>
          <w:szCs w:val="21"/>
        </w:rPr>
        <w:t>投标人的评审得分=商务技术分+价格分。</w:t>
      </w:r>
    </w:p>
    <w:p>
      <w:pPr>
        <w:spacing w:line="400" w:lineRule="exact"/>
        <w:ind w:firstLine="420" w:firstLineChars="200"/>
        <w:jc w:val="left"/>
        <w:rPr>
          <w:rFonts w:ascii="宋体" w:hAnsi="宋体" w:cs="宋体"/>
          <w:sz w:val="21"/>
          <w:szCs w:val="21"/>
          <w:u w:val="single"/>
        </w:rPr>
      </w:pPr>
      <w:r>
        <w:rPr>
          <w:rFonts w:hint="eastAsia" w:ascii="宋体" w:hAnsi="宋体" w:cs="宋体"/>
          <w:sz w:val="21"/>
          <w:szCs w:val="21"/>
        </w:rPr>
        <w:t>评分过程中采用四舍五入法，并保留小数2位。</w:t>
      </w:r>
    </w:p>
    <w:p>
      <w:pPr>
        <w:pStyle w:val="3"/>
        <w:numPr>
          <w:ilvl w:val="0"/>
          <w:numId w:val="0"/>
        </w:numPr>
        <w:spacing w:line="400" w:lineRule="exact"/>
        <w:rPr>
          <w:rFonts w:ascii="宋体" w:hAnsi="宋体" w:eastAsia="宋体" w:cs="宋体"/>
          <w:szCs w:val="21"/>
        </w:rPr>
      </w:pPr>
      <w:bookmarkStart w:id="192" w:name="_Toc522530064"/>
      <w:bookmarkStart w:id="193" w:name="_Toc17578"/>
      <w:bookmarkStart w:id="194" w:name="_Toc3693"/>
      <w:bookmarkStart w:id="195" w:name="_Toc27759"/>
      <w:r>
        <w:rPr>
          <w:rFonts w:hint="eastAsia" w:ascii="宋体" w:hAnsi="宋体" w:eastAsia="宋体" w:cs="宋体"/>
          <w:szCs w:val="21"/>
        </w:rPr>
        <w:t>二、评分细则</w:t>
      </w:r>
      <w:bookmarkEnd w:id="192"/>
      <w:bookmarkEnd w:id="193"/>
      <w:bookmarkEnd w:id="194"/>
      <w:bookmarkEnd w:id="195"/>
    </w:p>
    <w:p>
      <w:pPr>
        <w:numPr>
          <w:ilvl w:val="0"/>
          <w:numId w:val="8"/>
        </w:numPr>
        <w:adjustRightInd w:val="0"/>
        <w:spacing w:line="400" w:lineRule="exact"/>
        <w:outlineLvl w:val="2"/>
        <w:rPr>
          <w:rFonts w:ascii="宋体" w:hAnsi="宋体" w:cs="宋体"/>
          <w:b/>
          <w:sz w:val="21"/>
          <w:szCs w:val="21"/>
          <w:highlight w:val="none"/>
        </w:rPr>
      </w:pPr>
      <w:bookmarkStart w:id="196" w:name="EBfd9dabb758d7445da1b344286b0368d5"/>
      <w:r>
        <w:rPr>
          <w:rFonts w:hint="eastAsia" w:ascii="宋体" w:hAnsi="宋体" w:cs="宋体"/>
          <w:b/>
          <w:sz w:val="21"/>
          <w:szCs w:val="21"/>
          <w:highlight w:val="none"/>
        </w:rPr>
        <w:t>商务技术评分(</w:t>
      </w:r>
      <w:r>
        <w:rPr>
          <w:rFonts w:hint="eastAsia" w:ascii="宋体" w:hAnsi="宋体" w:cs="宋体"/>
          <w:b/>
          <w:bCs/>
          <w:sz w:val="21"/>
          <w:szCs w:val="21"/>
          <w:highlight w:val="none"/>
        </w:rPr>
        <w:t>70</w:t>
      </w:r>
      <w:r>
        <w:rPr>
          <w:rFonts w:hint="eastAsia" w:ascii="宋体" w:hAnsi="宋体" w:cs="宋体"/>
          <w:b/>
          <w:sz w:val="21"/>
          <w:szCs w:val="21"/>
          <w:highlight w:val="none"/>
        </w:rPr>
        <w:t>分)</w:t>
      </w:r>
      <w:r>
        <w:rPr>
          <w:rFonts w:hint="eastAsia" w:ascii="宋体" w:hAnsi="宋体" w:cs="宋体"/>
          <w:b/>
          <w:sz w:val="21"/>
          <w:szCs w:val="21"/>
          <w:highlight w:val="none"/>
          <w:lang w:eastAsia="zh-CN"/>
        </w:rPr>
        <w:t>、报价评分（</w:t>
      </w:r>
      <w:r>
        <w:rPr>
          <w:rFonts w:hint="eastAsia" w:ascii="宋体" w:hAnsi="宋体" w:cs="宋体"/>
          <w:b/>
          <w:sz w:val="21"/>
          <w:szCs w:val="21"/>
          <w:highlight w:val="none"/>
          <w:lang w:val="en-US" w:eastAsia="zh-CN"/>
        </w:rPr>
        <w:t>30分</w:t>
      </w:r>
      <w:r>
        <w:rPr>
          <w:rFonts w:hint="eastAsia" w:ascii="宋体" w:hAnsi="宋体" w:cs="宋体"/>
          <w:b/>
          <w:sz w:val="21"/>
          <w:szCs w:val="21"/>
          <w:highlight w:val="none"/>
          <w:lang w:eastAsia="zh-CN"/>
        </w:rPr>
        <w:t>）</w:t>
      </w:r>
    </w:p>
    <w:p>
      <w:pPr>
        <w:adjustRightInd w:val="0"/>
        <w:spacing w:line="400" w:lineRule="exact"/>
        <w:ind w:firstLine="632" w:firstLineChars="300"/>
        <w:rPr>
          <w:rFonts w:ascii="宋体" w:hAnsi="宋体" w:cs="宋体"/>
          <w:b/>
          <w:sz w:val="21"/>
          <w:szCs w:val="21"/>
        </w:rPr>
      </w:pPr>
      <w:r>
        <w:rPr>
          <w:rFonts w:hint="eastAsia" w:ascii="宋体" w:hAnsi="宋体" w:cs="宋体"/>
          <w:b/>
          <w:sz w:val="21"/>
          <w:szCs w:val="21"/>
        </w:rPr>
        <w:t>注：商务技术分均为总分70分，评分表内容均如下：</w:t>
      </w:r>
    </w:p>
    <w:tbl>
      <w:tblPr>
        <w:tblStyle w:val="20"/>
        <w:tblW w:w="9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04"/>
        <w:gridCol w:w="1121"/>
        <w:gridCol w:w="6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54" w:type="dxa"/>
            <w:noWrap/>
            <w:vAlign w:val="center"/>
          </w:tcPr>
          <w:p>
            <w:pPr>
              <w:spacing w:line="400" w:lineRule="exact"/>
              <w:jc w:val="center"/>
              <w:rPr>
                <w:rFonts w:hint="eastAsia" w:ascii="宋体" w:hAnsi="宋体" w:cs="宋体"/>
                <w:sz w:val="21"/>
                <w:szCs w:val="21"/>
              </w:rPr>
            </w:pPr>
            <w:r>
              <w:rPr>
                <w:rFonts w:hint="eastAsia" w:ascii="宋体" w:hAnsi="宋体" w:cs="宋体"/>
                <w:sz w:val="21"/>
                <w:szCs w:val="21"/>
              </w:rPr>
              <w:t>序号</w:t>
            </w:r>
          </w:p>
        </w:tc>
        <w:tc>
          <w:tcPr>
            <w:tcW w:w="1104" w:type="dxa"/>
            <w:noWrap/>
            <w:vAlign w:val="center"/>
          </w:tcPr>
          <w:p>
            <w:pPr>
              <w:spacing w:line="400" w:lineRule="exact"/>
              <w:jc w:val="left"/>
              <w:rPr>
                <w:rFonts w:hint="eastAsia" w:ascii="宋体" w:hAnsi="宋体" w:cs="宋体"/>
                <w:sz w:val="21"/>
                <w:szCs w:val="21"/>
              </w:rPr>
            </w:pPr>
            <w:r>
              <w:rPr>
                <w:rFonts w:hint="eastAsia" w:ascii="宋体" w:hAnsi="宋体" w:cs="宋体"/>
                <w:sz w:val="21"/>
                <w:szCs w:val="21"/>
              </w:rPr>
              <w:t>评分内容</w:t>
            </w:r>
          </w:p>
        </w:tc>
        <w:tc>
          <w:tcPr>
            <w:tcW w:w="1121" w:type="dxa"/>
            <w:noWrap/>
            <w:vAlign w:val="center"/>
          </w:tcPr>
          <w:p>
            <w:pPr>
              <w:spacing w:line="400" w:lineRule="exact"/>
              <w:jc w:val="left"/>
              <w:rPr>
                <w:rFonts w:hint="eastAsia" w:ascii="宋体" w:hAnsi="宋体" w:cs="宋体"/>
                <w:sz w:val="21"/>
                <w:szCs w:val="21"/>
              </w:rPr>
            </w:pPr>
            <w:r>
              <w:rPr>
                <w:rFonts w:hint="eastAsia" w:ascii="宋体" w:hAnsi="宋体" w:cs="宋体"/>
                <w:sz w:val="21"/>
                <w:szCs w:val="21"/>
              </w:rPr>
              <w:t>分数</w:t>
            </w:r>
          </w:p>
        </w:tc>
        <w:tc>
          <w:tcPr>
            <w:tcW w:w="6465" w:type="dxa"/>
            <w:noWrap/>
            <w:vAlign w:val="center"/>
          </w:tcPr>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评分要点及说明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54" w:type="dxa"/>
            <w:shd w:val="clear" w:color="auto" w:fill="auto"/>
            <w:noWrap/>
            <w:vAlign w:val="center"/>
          </w:tcPr>
          <w:p>
            <w:pPr>
              <w:spacing w:line="400" w:lineRule="exact"/>
              <w:jc w:val="center"/>
              <w:rPr>
                <w:rFonts w:hint="eastAsia" w:ascii="宋体" w:hAnsi="宋体" w:cs="宋体"/>
                <w:sz w:val="21"/>
                <w:szCs w:val="21"/>
              </w:rPr>
            </w:pPr>
            <w:r>
              <w:rPr>
                <w:rFonts w:hint="eastAsia" w:ascii="宋体" w:hAnsi="宋体" w:cs="宋体"/>
                <w:sz w:val="21"/>
                <w:szCs w:val="21"/>
                <w:lang w:val="en-US" w:eastAsia="zh-CN"/>
              </w:rPr>
              <w:t>1</w:t>
            </w:r>
          </w:p>
        </w:tc>
        <w:tc>
          <w:tcPr>
            <w:tcW w:w="1104" w:type="dxa"/>
            <w:shd w:val="clear" w:color="000000" w:fill="FFFFFF"/>
            <w:noWrap/>
            <w:vAlign w:val="center"/>
          </w:tcPr>
          <w:p>
            <w:pPr>
              <w:spacing w:line="400" w:lineRule="exact"/>
              <w:jc w:val="left"/>
              <w:rPr>
                <w:rFonts w:hint="eastAsia" w:ascii="宋体" w:hAnsi="宋体" w:cs="宋体"/>
                <w:sz w:val="21"/>
                <w:szCs w:val="21"/>
              </w:rPr>
            </w:pPr>
            <w:r>
              <w:rPr>
                <w:rFonts w:hint="eastAsia" w:ascii="宋体" w:hAnsi="宋体" w:cs="宋体"/>
                <w:sz w:val="21"/>
                <w:szCs w:val="21"/>
                <w:lang w:val="en-US" w:eastAsia="zh-CN"/>
              </w:rPr>
              <w:t>技术指标响应性</w:t>
            </w:r>
          </w:p>
        </w:tc>
        <w:tc>
          <w:tcPr>
            <w:tcW w:w="1121" w:type="dxa"/>
            <w:shd w:val="clear" w:color="auto" w:fill="auto"/>
            <w:noWrap/>
            <w:vAlign w:val="center"/>
          </w:tcPr>
          <w:p>
            <w:pPr>
              <w:spacing w:line="400" w:lineRule="exact"/>
              <w:jc w:val="left"/>
              <w:rPr>
                <w:rFonts w:hint="eastAsia" w:ascii="宋体" w:hAnsi="宋体" w:cs="宋体"/>
                <w:sz w:val="21"/>
                <w:szCs w:val="21"/>
              </w:rPr>
            </w:pPr>
            <w:r>
              <w:rPr>
                <w:rFonts w:hint="eastAsia" w:ascii="宋体" w:hAnsi="宋体" w:cs="宋体"/>
                <w:sz w:val="21"/>
                <w:szCs w:val="21"/>
                <w:lang w:val="en-US" w:eastAsia="zh-CN"/>
              </w:rPr>
              <w:t>0-15分</w:t>
            </w:r>
          </w:p>
        </w:tc>
        <w:tc>
          <w:tcPr>
            <w:tcW w:w="6465" w:type="dxa"/>
            <w:shd w:val="clear" w:color="000000" w:fill="FFFFFF"/>
            <w:noWrap/>
            <w:vAlign w:val="center"/>
          </w:tcPr>
          <w:p>
            <w:pPr>
              <w:spacing w:line="400" w:lineRule="exact"/>
              <w:jc w:val="left"/>
              <w:rPr>
                <w:rFonts w:hint="eastAsia" w:ascii="宋体" w:hAnsi="宋体" w:cs="宋体"/>
                <w:sz w:val="21"/>
                <w:szCs w:val="21"/>
              </w:rPr>
            </w:pPr>
            <w:r>
              <w:rPr>
                <w:rFonts w:hint="eastAsia" w:ascii="宋体" w:hAnsi="宋体" w:cs="宋体"/>
                <w:sz w:val="21"/>
                <w:szCs w:val="21"/>
              </w:rPr>
              <w:t>所投产品性能参数全部满足招标文件技术要求的得</w:t>
            </w:r>
            <w:r>
              <w:rPr>
                <w:rFonts w:hint="eastAsia" w:ascii="宋体" w:hAnsi="宋体" w:cs="宋体"/>
                <w:sz w:val="21"/>
                <w:szCs w:val="21"/>
                <w:lang w:val="en-US" w:eastAsia="zh-CN"/>
              </w:rPr>
              <w:t>15</w:t>
            </w:r>
            <w:r>
              <w:rPr>
                <w:rFonts w:hint="eastAsia" w:ascii="宋体" w:hAnsi="宋体" w:cs="宋体"/>
                <w:sz w:val="21"/>
                <w:szCs w:val="21"/>
              </w:rPr>
              <w:t>分；</w:t>
            </w:r>
          </w:p>
          <w:p>
            <w:pPr>
              <w:spacing w:line="400" w:lineRule="exact"/>
              <w:jc w:val="left"/>
              <w:rPr>
                <w:rFonts w:hint="eastAsia" w:ascii="宋体" w:hAnsi="宋体" w:cs="宋体"/>
                <w:sz w:val="21"/>
                <w:szCs w:val="21"/>
              </w:rPr>
            </w:pPr>
            <w:r>
              <w:rPr>
                <w:rFonts w:hint="eastAsia" w:ascii="宋体" w:hAnsi="宋体" w:cs="宋体"/>
                <w:sz w:val="21"/>
                <w:szCs w:val="21"/>
                <w:lang w:val="en-US" w:eastAsia="zh-CN"/>
              </w:rPr>
              <w:t>其中加“</w:t>
            </w:r>
            <w:r>
              <w:rPr>
                <w:rFonts w:hint="eastAsia" w:ascii="宋体" w:hAnsi="宋体" w:cs="宋体"/>
                <w:sz w:val="21"/>
                <w:szCs w:val="21"/>
              </w:rPr>
              <w:t>★</w:t>
            </w:r>
            <w:r>
              <w:rPr>
                <w:rFonts w:hint="eastAsia" w:ascii="宋体" w:hAnsi="宋体" w:cs="宋体"/>
                <w:sz w:val="21"/>
                <w:szCs w:val="21"/>
                <w:lang w:eastAsia="zh-CN"/>
              </w:rPr>
              <w:t>”</w:t>
            </w:r>
            <w:r>
              <w:rPr>
                <w:rFonts w:hint="eastAsia" w:ascii="宋体" w:hAnsi="宋体" w:cs="宋体"/>
                <w:sz w:val="21"/>
                <w:szCs w:val="21"/>
                <w:lang w:val="en-US" w:eastAsia="zh-CN"/>
              </w:rPr>
              <w:t>项为本项目重要条款，</w:t>
            </w:r>
            <w:r>
              <w:rPr>
                <w:rFonts w:hint="eastAsia" w:ascii="宋体" w:hAnsi="宋体" w:cs="宋体"/>
                <w:sz w:val="21"/>
                <w:szCs w:val="21"/>
              </w:rPr>
              <w:t>有负偏离的，每项扣2分，扣完为止</w:t>
            </w:r>
            <w:r>
              <w:rPr>
                <w:rFonts w:hint="eastAsia" w:ascii="宋体" w:hAnsi="宋体" w:cs="宋体"/>
                <w:sz w:val="21"/>
                <w:szCs w:val="21"/>
                <w:lang w:eastAsia="zh-CN"/>
              </w:rPr>
              <w:t>；</w:t>
            </w:r>
            <w:r>
              <w:rPr>
                <w:rFonts w:hint="eastAsia" w:ascii="宋体" w:hAnsi="宋体" w:cs="宋体"/>
                <w:sz w:val="21"/>
                <w:szCs w:val="21"/>
                <w:lang w:val="en-US" w:eastAsia="zh-CN"/>
              </w:rPr>
              <w:t>未加“</w:t>
            </w:r>
            <w:r>
              <w:rPr>
                <w:rFonts w:hint="eastAsia" w:ascii="宋体" w:hAnsi="宋体" w:cs="宋体"/>
                <w:sz w:val="21"/>
                <w:szCs w:val="21"/>
              </w:rPr>
              <w:t>★</w:t>
            </w:r>
            <w:r>
              <w:rPr>
                <w:rFonts w:hint="eastAsia" w:ascii="宋体" w:hAnsi="宋体" w:cs="宋体"/>
                <w:sz w:val="21"/>
                <w:szCs w:val="21"/>
                <w:lang w:eastAsia="zh-CN"/>
              </w:rPr>
              <w:t>”</w:t>
            </w:r>
            <w:r>
              <w:rPr>
                <w:rFonts w:hint="eastAsia" w:ascii="宋体" w:hAnsi="宋体" w:cs="宋体"/>
                <w:sz w:val="21"/>
                <w:szCs w:val="21"/>
                <w:lang w:val="en-US" w:eastAsia="zh-CN"/>
              </w:rPr>
              <w:t>项为一般性技术参数，有负偏离的，每项扣1分，扣完为止。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754" w:type="dxa"/>
            <w:noWrap/>
            <w:vAlign w:val="center"/>
          </w:tcPr>
          <w:p>
            <w:pPr>
              <w:spacing w:line="400" w:lineRule="exact"/>
              <w:jc w:val="center"/>
              <w:rPr>
                <w:rFonts w:hint="eastAsia" w:ascii="宋体" w:hAnsi="宋体" w:cs="宋体"/>
                <w:sz w:val="21"/>
                <w:szCs w:val="21"/>
              </w:rPr>
            </w:pPr>
            <w:r>
              <w:rPr>
                <w:rFonts w:hint="eastAsia" w:ascii="宋体" w:hAnsi="宋体" w:cs="宋体"/>
                <w:sz w:val="21"/>
                <w:szCs w:val="21"/>
                <w:lang w:val="en-US" w:eastAsia="zh-CN"/>
              </w:rPr>
              <w:t>2</w:t>
            </w:r>
          </w:p>
        </w:tc>
        <w:tc>
          <w:tcPr>
            <w:tcW w:w="1104" w:type="dxa"/>
            <w:noWrap/>
            <w:vAlign w:val="center"/>
          </w:tcPr>
          <w:p>
            <w:pPr>
              <w:spacing w:line="400" w:lineRule="exact"/>
              <w:jc w:val="left"/>
              <w:rPr>
                <w:rFonts w:hint="eastAsia" w:ascii="宋体" w:hAnsi="宋体" w:cs="宋体"/>
                <w:sz w:val="21"/>
                <w:szCs w:val="21"/>
              </w:rPr>
            </w:pPr>
            <w:r>
              <w:rPr>
                <w:rFonts w:hint="eastAsia" w:ascii="宋体" w:hAnsi="宋体" w:cs="宋体"/>
                <w:sz w:val="21"/>
                <w:szCs w:val="21"/>
                <w:lang w:val="en-US" w:eastAsia="zh-CN"/>
              </w:rPr>
              <w:t>认证证书</w:t>
            </w:r>
          </w:p>
        </w:tc>
        <w:tc>
          <w:tcPr>
            <w:tcW w:w="1121" w:type="dxa"/>
            <w:noWrap/>
            <w:vAlign w:val="center"/>
          </w:tcPr>
          <w:p>
            <w:pPr>
              <w:spacing w:line="400" w:lineRule="exact"/>
              <w:jc w:val="left"/>
              <w:rPr>
                <w:rFonts w:hint="eastAsia" w:ascii="宋体" w:hAnsi="宋体" w:cs="宋体"/>
                <w:sz w:val="21"/>
                <w:szCs w:val="21"/>
              </w:rPr>
            </w:pPr>
            <w:r>
              <w:rPr>
                <w:rFonts w:hint="eastAsia" w:ascii="宋体" w:hAnsi="宋体" w:cs="宋体"/>
                <w:sz w:val="21"/>
                <w:szCs w:val="21"/>
                <w:lang w:val="en-US" w:eastAsia="zh-CN"/>
              </w:rPr>
              <w:t>0-6分</w:t>
            </w:r>
          </w:p>
        </w:tc>
        <w:tc>
          <w:tcPr>
            <w:tcW w:w="6465" w:type="dxa"/>
            <w:noWrap/>
            <w:vAlign w:val="center"/>
          </w:tcPr>
          <w:p>
            <w:pPr>
              <w:spacing w:line="400" w:lineRule="exact"/>
              <w:ind w:firstLine="420" w:firstLineChars="200"/>
              <w:jc w:val="left"/>
              <w:rPr>
                <w:rFonts w:hint="default" w:ascii="宋体" w:hAnsi="宋体" w:cs="宋体"/>
                <w:sz w:val="21"/>
                <w:szCs w:val="21"/>
                <w:lang w:val="en-US"/>
              </w:rPr>
            </w:pPr>
            <w:r>
              <w:rPr>
                <w:rFonts w:hint="eastAsia" w:ascii="宋体" w:hAnsi="宋体" w:cs="宋体"/>
                <w:sz w:val="21"/>
                <w:szCs w:val="21"/>
                <w:lang w:val="en-US" w:eastAsia="zh-CN"/>
              </w:rPr>
              <w:t>投标单位获得ISO9001质量认证体系，ISO14001环境管理体系认证，ISO18001职业健康管理体系认证，认证范围包括：零件测绘实训产品内容；每</w:t>
            </w:r>
            <w:r>
              <w:rPr>
                <w:rFonts w:hint="eastAsia" w:ascii="宋体" w:hAnsi="宋体" w:cs="宋体"/>
                <w:sz w:val="21"/>
                <w:szCs w:val="21"/>
                <w:lang w:val="en-US" w:eastAsia="zh-Hans"/>
              </w:rPr>
              <w:t>有一个证书得</w:t>
            </w:r>
            <w:r>
              <w:rPr>
                <w:rFonts w:hint="eastAsia" w:ascii="宋体" w:hAnsi="宋体" w:cs="宋体"/>
                <w:sz w:val="21"/>
                <w:szCs w:val="21"/>
                <w:lang w:val="en-US" w:eastAsia="zh-CN"/>
              </w:rPr>
              <w:t>2</w:t>
            </w:r>
            <w:r>
              <w:rPr>
                <w:rFonts w:hint="eastAsia" w:ascii="宋体" w:hAnsi="宋体" w:cs="宋体"/>
                <w:sz w:val="21"/>
                <w:szCs w:val="21"/>
                <w:lang w:val="en-US" w:eastAsia="zh-Hans"/>
              </w:rPr>
              <w:t>分</w:t>
            </w:r>
            <w:r>
              <w:rPr>
                <w:rFonts w:hint="eastAsia" w:ascii="宋体" w:hAnsi="宋体" w:cs="宋体"/>
                <w:sz w:val="21"/>
                <w:szCs w:val="21"/>
                <w:lang w:val="en-US" w:eastAsia="zh-CN"/>
              </w:rPr>
              <w:t>，本项最高</w:t>
            </w:r>
            <w:r>
              <w:rPr>
                <w:rFonts w:hint="eastAsia" w:ascii="宋体" w:hAnsi="宋体" w:cs="宋体"/>
                <w:sz w:val="21"/>
                <w:szCs w:val="21"/>
                <w:lang w:val="en-US" w:eastAsia="zh-Hans"/>
              </w:rPr>
              <w:t>得</w:t>
            </w:r>
            <w:r>
              <w:rPr>
                <w:rFonts w:hint="eastAsia" w:ascii="宋体" w:hAnsi="宋体" w:cs="宋体"/>
                <w:sz w:val="21"/>
                <w:szCs w:val="21"/>
                <w:lang w:val="zh-CN" w:eastAsia="zh-Hans"/>
              </w:rPr>
              <w:t>6</w:t>
            </w:r>
            <w:r>
              <w:rPr>
                <w:rFonts w:hint="eastAsia" w:ascii="宋体" w:hAnsi="宋体" w:cs="宋体"/>
                <w:sz w:val="21"/>
                <w:szCs w:val="21"/>
                <w:lang w:val="en-US" w:eastAsia="zh-Hans"/>
              </w:rPr>
              <w:t>分</w:t>
            </w:r>
            <w:r>
              <w:rPr>
                <w:rFonts w:hint="eastAsia" w:ascii="宋体" w:hAnsi="宋体" w:cs="宋体"/>
                <w:sz w:val="21"/>
                <w:szCs w:val="21"/>
                <w:lang w:val="en-US" w:eastAsia="zh-CN"/>
              </w:rPr>
              <w:t>。</w:t>
            </w:r>
            <w:r>
              <w:rPr>
                <w:rFonts w:hint="eastAsia" w:ascii="宋体" w:hAnsi="宋体" w:cs="宋体"/>
                <w:sz w:val="21"/>
                <w:szCs w:val="21"/>
                <w:lang w:val="zh-CN" w:eastAsia="zh-CN"/>
              </w:rPr>
              <w:t>（投标文件中提供有效证书</w:t>
            </w:r>
            <w:r>
              <w:rPr>
                <w:rFonts w:hint="eastAsia" w:ascii="宋体" w:hAnsi="宋体" w:cs="宋体"/>
                <w:sz w:val="21"/>
                <w:szCs w:val="21"/>
                <w:lang w:val="en-US" w:eastAsia="zh-CN"/>
              </w:rPr>
              <w:t>复印件并加盖单位公章</w:t>
            </w:r>
            <w:r>
              <w:rPr>
                <w:rFonts w:hint="eastAsia" w:ascii="宋体" w:hAnsi="宋体" w:cs="宋体"/>
                <w:sz w:val="21"/>
                <w:szCs w:val="21"/>
                <w:lang w:val="zh-CN"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54" w:type="dxa"/>
            <w:noWrap/>
            <w:vAlign w:val="center"/>
          </w:tcPr>
          <w:p>
            <w:pPr>
              <w:spacing w:line="400" w:lineRule="exact"/>
              <w:jc w:val="center"/>
              <w:rPr>
                <w:rFonts w:hint="eastAsia" w:ascii="宋体" w:hAnsi="宋体" w:cs="宋体"/>
                <w:sz w:val="21"/>
                <w:szCs w:val="21"/>
              </w:rPr>
            </w:pPr>
            <w:r>
              <w:rPr>
                <w:rFonts w:hint="eastAsia" w:ascii="宋体" w:hAnsi="宋体" w:cs="宋体"/>
                <w:sz w:val="21"/>
                <w:szCs w:val="21"/>
                <w:lang w:val="en-US" w:eastAsia="zh-CN"/>
              </w:rPr>
              <w:t>3</w:t>
            </w:r>
          </w:p>
        </w:tc>
        <w:tc>
          <w:tcPr>
            <w:tcW w:w="1104" w:type="dxa"/>
            <w:noWrap/>
            <w:vAlign w:val="center"/>
          </w:tcPr>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投标人业绩</w:t>
            </w:r>
          </w:p>
        </w:tc>
        <w:tc>
          <w:tcPr>
            <w:tcW w:w="1121" w:type="dxa"/>
            <w:noWrap/>
            <w:vAlign w:val="center"/>
          </w:tcPr>
          <w:p>
            <w:pPr>
              <w:spacing w:line="400" w:lineRule="exact"/>
              <w:jc w:val="left"/>
              <w:rPr>
                <w:rFonts w:hint="eastAsia" w:ascii="宋体" w:hAnsi="宋体" w:cs="宋体"/>
                <w:sz w:val="21"/>
                <w:szCs w:val="21"/>
                <w:lang w:val="en-US" w:eastAsia="zh-CN"/>
              </w:rPr>
            </w:pPr>
            <w:r>
              <w:rPr>
                <w:rFonts w:hint="eastAsia" w:ascii="宋体" w:hAnsi="宋体" w:cs="宋体"/>
                <w:sz w:val="21"/>
                <w:szCs w:val="21"/>
              </w:rPr>
              <w:t>0-</w:t>
            </w:r>
            <w:r>
              <w:rPr>
                <w:rFonts w:hint="eastAsia" w:ascii="宋体" w:hAnsi="宋体" w:cs="宋体"/>
                <w:sz w:val="21"/>
                <w:szCs w:val="21"/>
                <w:lang w:val="en-US" w:eastAsia="zh-CN"/>
              </w:rPr>
              <w:t>5分</w:t>
            </w:r>
          </w:p>
        </w:tc>
        <w:tc>
          <w:tcPr>
            <w:tcW w:w="6465" w:type="dxa"/>
            <w:noWrap/>
            <w:vAlign w:val="center"/>
          </w:tcPr>
          <w:p>
            <w:pPr>
              <w:spacing w:line="400" w:lineRule="exact"/>
              <w:ind w:firstLine="420" w:firstLineChars="200"/>
              <w:jc w:val="left"/>
              <w:rPr>
                <w:rFonts w:hint="eastAsia" w:ascii="宋体" w:hAnsi="宋体" w:cs="宋体"/>
                <w:sz w:val="21"/>
                <w:szCs w:val="21"/>
                <w:lang w:val="en-US" w:eastAsia="zh-CN"/>
              </w:rPr>
            </w:pPr>
            <w:r>
              <w:rPr>
                <w:rFonts w:hint="eastAsia" w:ascii="宋体" w:hAnsi="宋体" w:cs="宋体"/>
                <w:sz w:val="21"/>
                <w:szCs w:val="21"/>
                <w:lang w:val="zh-CN" w:eastAsia="zh-CN"/>
              </w:rPr>
              <w:t>投标单位提供2018年1月1日</w:t>
            </w:r>
            <w:r>
              <w:rPr>
                <w:rFonts w:hint="eastAsia" w:ascii="宋体" w:hAnsi="宋体" w:cs="宋体"/>
                <w:sz w:val="21"/>
                <w:szCs w:val="21"/>
                <w:lang w:val="en-US" w:eastAsia="zh-CN"/>
              </w:rPr>
              <w:t>以来</w:t>
            </w:r>
            <w:r>
              <w:rPr>
                <w:rFonts w:hint="eastAsia" w:ascii="宋体" w:hAnsi="宋体" w:cs="宋体"/>
                <w:sz w:val="21"/>
                <w:szCs w:val="21"/>
                <w:lang w:val="zh-CN" w:eastAsia="zh-CN"/>
              </w:rPr>
              <w:t>具有同类</w:t>
            </w:r>
            <w:r>
              <w:rPr>
                <w:rFonts w:hint="eastAsia" w:ascii="宋体" w:hAnsi="宋体" w:cs="宋体"/>
                <w:sz w:val="21"/>
                <w:szCs w:val="21"/>
                <w:lang w:val="en-US" w:eastAsia="zh-CN"/>
              </w:rPr>
              <w:t>项目</w:t>
            </w:r>
            <w:r>
              <w:rPr>
                <w:rFonts w:hint="eastAsia" w:ascii="宋体" w:hAnsi="宋体" w:cs="宋体"/>
                <w:sz w:val="21"/>
                <w:szCs w:val="21"/>
                <w:lang w:val="zh-CN" w:eastAsia="zh-CN"/>
              </w:rPr>
              <w:t>业绩</w:t>
            </w:r>
            <w:r>
              <w:rPr>
                <w:rFonts w:hint="eastAsia" w:ascii="宋体" w:hAnsi="宋体" w:cs="宋体"/>
                <w:sz w:val="21"/>
                <w:szCs w:val="21"/>
                <w:lang w:val="en-US" w:eastAsia="zh-CN"/>
              </w:rPr>
              <w:t>的</w:t>
            </w:r>
            <w:r>
              <w:rPr>
                <w:rFonts w:hint="eastAsia" w:ascii="宋体" w:hAnsi="宋体" w:cs="宋体"/>
                <w:sz w:val="21"/>
                <w:szCs w:val="21"/>
                <w:lang w:val="zh-CN" w:eastAsia="zh-CN"/>
              </w:rPr>
              <w:t>每</w:t>
            </w:r>
            <w:r>
              <w:rPr>
                <w:rFonts w:hint="eastAsia" w:ascii="宋体" w:hAnsi="宋体" w:cs="宋体"/>
                <w:sz w:val="21"/>
                <w:szCs w:val="21"/>
                <w:lang w:val="en-US" w:eastAsia="zh-CN"/>
              </w:rPr>
              <w:t>有一个得</w:t>
            </w:r>
            <w:r>
              <w:rPr>
                <w:rFonts w:hint="eastAsia" w:ascii="宋体" w:hAnsi="宋体" w:cs="宋体"/>
                <w:sz w:val="21"/>
                <w:szCs w:val="21"/>
                <w:lang w:val="zh-CN" w:eastAsia="zh-CN"/>
              </w:rPr>
              <w:t>1分，</w:t>
            </w:r>
            <w:r>
              <w:rPr>
                <w:rFonts w:hint="eastAsia" w:ascii="宋体" w:hAnsi="宋体" w:cs="宋体"/>
                <w:sz w:val="21"/>
                <w:szCs w:val="21"/>
                <w:lang w:val="en-US" w:eastAsia="zh-CN"/>
              </w:rPr>
              <w:t>本项</w:t>
            </w:r>
            <w:r>
              <w:rPr>
                <w:rFonts w:hint="eastAsia" w:ascii="宋体" w:hAnsi="宋体" w:cs="宋体"/>
                <w:sz w:val="21"/>
                <w:szCs w:val="21"/>
                <w:lang w:val="zh-CN" w:eastAsia="zh-CN"/>
              </w:rPr>
              <w:t>最高得5分。（投标文件中提供</w:t>
            </w:r>
            <w:r>
              <w:rPr>
                <w:rFonts w:hint="eastAsia" w:ascii="宋体" w:hAnsi="宋体" w:cs="宋体"/>
                <w:sz w:val="21"/>
                <w:szCs w:val="21"/>
                <w:lang w:val="en-US" w:eastAsia="zh-CN"/>
              </w:rPr>
              <w:t>中标通知书和</w:t>
            </w:r>
            <w:r>
              <w:rPr>
                <w:rFonts w:hint="eastAsia" w:ascii="宋体" w:hAnsi="宋体" w:cs="宋体"/>
                <w:sz w:val="21"/>
                <w:szCs w:val="21"/>
                <w:lang w:val="zh-CN" w:eastAsia="zh-CN"/>
              </w:rPr>
              <w:t>合同</w:t>
            </w:r>
            <w:r>
              <w:rPr>
                <w:rFonts w:hint="eastAsia" w:ascii="宋体" w:hAnsi="宋体" w:cs="宋体"/>
                <w:sz w:val="21"/>
                <w:szCs w:val="21"/>
                <w:lang w:val="en-US" w:eastAsia="zh-CN"/>
              </w:rPr>
              <w:t>复印件并</w:t>
            </w:r>
            <w:r>
              <w:rPr>
                <w:rFonts w:hint="eastAsia" w:ascii="宋体" w:hAnsi="宋体" w:cs="宋体"/>
                <w:sz w:val="21"/>
                <w:szCs w:val="21"/>
                <w:lang w:val="zh-CN" w:eastAsia="zh-CN"/>
              </w:rPr>
              <w:t>加盖单位公章，</w:t>
            </w:r>
            <w:r>
              <w:rPr>
                <w:rFonts w:hint="eastAsia" w:ascii="宋体" w:hAnsi="宋体" w:cs="宋体"/>
                <w:sz w:val="21"/>
                <w:szCs w:val="21"/>
                <w:lang w:val="en-US" w:eastAsia="zh-CN"/>
              </w:rPr>
              <w:t>时间以合同签订时间为准，否则不得分</w:t>
            </w:r>
            <w:r>
              <w:rPr>
                <w:rFonts w:hint="eastAsia" w:ascii="宋体" w:hAnsi="宋体" w:cs="宋体"/>
                <w:sz w:val="21"/>
                <w:szCs w:val="21"/>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754" w:type="dxa"/>
            <w:noWrap/>
            <w:vAlign w:val="center"/>
          </w:tcPr>
          <w:p>
            <w:pPr>
              <w:spacing w:line="400" w:lineRule="exact"/>
              <w:jc w:val="center"/>
              <w:rPr>
                <w:rFonts w:hint="eastAsia" w:ascii="宋体" w:hAnsi="宋体" w:cs="宋体"/>
                <w:sz w:val="21"/>
                <w:szCs w:val="21"/>
              </w:rPr>
            </w:pPr>
            <w:r>
              <w:rPr>
                <w:rFonts w:hint="eastAsia" w:ascii="宋体" w:hAnsi="宋体" w:cs="宋体"/>
                <w:sz w:val="21"/>
                <w:szCs w:val="21"/>
                <w:lang w:val="en-US" w:eastAsia="zh-CN"/>
              </w:rPr>
              <w:t>4</w:t>
            </w:r>
          </w:p>
        </w:tc>
        <w:tc>
          <w:tcPr>
            <w:tcW w:w="1104" w:type="dxa"/>
            <w:noWrap/>
            <w:vAlign w:val="center"/>
          </w:tcPr>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产品质量保证</w:t>
            </w:r>
          </w:p>
        </w:tc>
        <w:tc>
          <w:tcPr>
            <w:tcW w:w="1121" w:type="dxa"/>
            <w:noWrap/>
            <w:vAlign w:val="center"/>
          </w:tcPr>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0-6分</w:t>
            </w:r>
          </w:p>
        </w:tc>
        <w:tc>
          <w:tcPr>
            <w:tcW w:w="6465" w:type="dxa"/>
            <w:noWrap/>
            <w:vAlign w:val="center"/>
          </w:tcPr>
          <w:p>
            <w:pPr>
              <w:spacing w:line="400" w:lineRule="exact"/>
              <w:ind w:firstLine="420" w:firstLineChars="200"/>
              <w:jc w:val="left"/>
              <w:rPr>
                <w:rFonts w:hint="default" w:ascii="宋体" w:hAnsi="宋体" w:cs="宋体"/>
                <w:sz w:val="21"/>
                <w:szCs w:val="21"/>
                <w:lang w:val="en-US" w:eastAsia="zh-CN"/>
              </w:rPr>
            </w:pPr>
            <w:r>
              <w:rPr>
                <w:rFonts w:hint="eastAsia" w:ascii="宋体" w:hAnsi="宋体" w:cs="宋体"/>
                <w:sz w:val="21"/>
                <w:szCs w:val="21"/>
                <w:lang w:val="en-US" w:eastAsia="zh-CN"/>
              </w:rPr>
              <w:t>1.</w:t>
            </w:r>
            <w:r>
              <w:rPr>
                <w:rFonts w:hint="eastAsia" w:ascii="宋体" w:hAnsi="宋体" w:cs="宋体"/>
                <w:sz w:val="21"/>
                <w:szCs w:val="21"/>
              </w:rPr>
              <w:t>投标单位所投</w:t>
            </w:r>
            <w:r>
              <w:rPr>
                <w:rFonts w:hint="eastAsia" w:ascii="宋体" w:hAnsi="宋体" w:cs="宋体"/>
                <w:sz w:val="21"/>
                <w:szCs w:val="21"/>
                <w:lang w:val="en-US" w:eastAsia="zh-CN"/>
              </w:rPr>
              <w:t>机械CAD教育版软件与</w:t>
            </w:r>
            <w:r>
              <w:rPr>
                <w:rFonts w:hint="eastAsia" w:ascii="宋体" w:hAnsi="宋体" w:cs="宋体"/>
                <w:sz w:val="21"/>
                <w:szCs w:val="21"/>
              </w:rPr>
              <w:t>三维平台设计软件</w:t>
            </w:r>
            <w:r>
              <w:rPr>
                <w:rFonts w:hint="eastAsia" w:ascii="宋体" w:hAnsi="宋体" w:cs="宋体"/>
                <w:sz w:val="21"/>
                <w:szCs w:val="21"/>
                <w:lang w:val="en-US" w:eastAsia="zh-CN"/>
              </w:rPr>
              <w:t>需能够满足</w:t>
            </w:r>
            <w:r>
              <w:rPr>
                <w:rFonts w:hint="eastAsia" w:ascii="宋体" w:hAnsi="宋体" w:cs="宋体"/>
                <w:sz w:val="21"/>
                <w:szCs w:val="21"/>
              </w:rPr>
              <w:t>中等职业学校“零部件测绘与CAD成图技术”</w:t>
            </w:r>
            <w:r>
              <w:rPr>
                <w:rFonts w:hint="eastAsia" w:ascii="宋体" w:hAnsi="宋体" w:cs="宋体"/>
                <w:sz w:val="21"/>
                <w:szCs w:val="21"/>
                <w:lang w:val="en-US" w:eastAsia="zh-CN"/>
              </w:rPr>
              <w:t>赛项技能比赛技术及商务</w:t>
            </w:r>
            <w:r>
              <w:rPr>
                <w:rFonts w:hint="eastAsia" w:ascii="宋体" w:hAnsi="宋体" w:cs="宋体"/>
                <w:sz w:val="21"/>
                <w:szCs w:val="21"/>
                <w:lang w:val="en-US" w:eastAsia="zh-Hans"/>
              </w:rPr>
              <w:t>要求</w:t>
            </w:r>
            <w:r>
              <w:rPr>
                <w:rFonts w:hint="eastAsia" w:ascii="宋体" w:hAnsi="宋体" w:cs="宋体"/>
                <w:sz w:val="21"/>
                <w:szCs w:val="21"/>
              </w:rPr>
              <w:t>，</w:t>
            </w:r>
            <w:r>
              <w:rPr>
                <w:rFonts w:hint="eastAsia" w:ascii="宋体" w:hAnsi="宋体" w:cs="宋体"/>
                <w:sz w:val="21"/>
                <w:szCs w:val="21"/>
                <w:lang w:val="en-US" w:eastAsia="zh-CN"/>
              </w:rPr>
              <w:t>能满足</w:t>
            </w:r>
            <w:r>
              <w:rPr>
                <w:rFonts w:hint="eastAsia" w:ascii="宋体" w:hAnsi="宋体" w:cs="宋体"/>
                <w:sz w:val="21"/>
                <w:szCs w:val="21"/>
              </w:rPr>
              <w:t>国家级</w:t>
            </w:r>
            <w:r>
              <w:rPr>
                <w:rFonts w:hint="eastAsia" w:ascii="宋体" w:hAnsi="宋体" w:cs="宋体"/>
                <w:sz w:val="21"/>
                <w:szCs w:val="21"/>
                <w:lang w:val="en-US" w:eastAsia="zh-CN"/>
              </w:rPr>
              <w:t>赛项</w:t>
            </w:r>
            <w:r>
              <w:rPr>
                <w:rFonts w:hint="eastAsia" w:ascii="宋体" w:hAnsi="宋体" w:cs="宋体"/>
                <w:sz w:val="21"/>
                <w:szCs w:val="21"/>
              </w:rPr>
              <w:t>的得</w:t>
            </w:r>
            <w:r>
              <w:rPr>
                <w:rFonts w:hint="eastAsia" w:ascii="宋体" w:hAnsi="宋体" w:cs="宋体"/>
                <w:sz w:val="21"/>
                <w:szCs w:val="21"/>
                <w:lang w:val="en-US" w:eastAsia="zh-CN"/>
              </w:rPr>
              <w:t>3</w:t>
            </w:r>
            <w:r>
              <w:rPr>
                <w:rFonts w:hint="eastAsia" w:ascii="宋体" w:hAnsi="宋体" w:cs="宋体"/>
                <w:sz w:val="21"/>
                <w:szCs w:val="21"/>
              </w:rPr>
              <w:t>分，</w:t>
            </w:r>
            <w:r>
              <w:rPr>
                <w:rFonts w:hint="eastAsia" w:ascii="宋体" w:hAnsi="宋体" w:cs="宋体"/>
                <w:sz w:val="21"/>
                <w:szCs w:val="21"/>
                <w:lang w:val="en-US" w:eastAsia="zh-CN"/>
              </w:rPr>
              <w:t>满足</w:t>
            </w:r>
            <w:r>
              <w:rPr>
                <w:rFonts w:hint="eastAsia" w:ascii="宋体" w:hAnsi="宋体" w:cs="宋体"/>
                <w:sz w:val="21"/>
                <w:szCs w:val="21"/>
              </w:rPr>
              <w:t>省级</w:t>
            </w:r>
            <w:r>
              <w:rPr>
                <w:rFonts w:hint="eastAsia" w:ascii="宋体" w:hAnsi="宋体" w:cs="宋体"/>
                <w:sz w:val="21"/>
                <w:szCs w:val="21"/>
                <w:lang w:val="en-US" w:eastAsia="zh-CN"/>
              </w:rPr>
              <w:t>赛项</w:t>
            </w:r>
            <w:r>
              <w:rPr>
                <w:rFonts w:hint="eastAsia" w:ascii="宋体" w:hAnsi="宋体" w:cs="宋体"/>
                <w:sz w:val="21"/>
                <w:szCs w:val="21"/>
              </w:rPr>
              <w:t>的得2分，</w:t>
            </w:r>
            <w:r>
              <w:rPr>
                <w:rFonts w:hint="eastAsia" w:ascii="宋体" w:hAnsi="宋体" w:cs="宋体"/>
                <w:sz w:val="21"/>
                <w:szCs w:val="21"/>
                <w:lang w:val="en-US" w:eastAsia="zh-CN"/>
              </w:rPr>
              <w:t>满足</w:t>
            </w:r>
            <w:r>
              <w:rPr>
                <w:rFonts w:hint="eastAsia" w:ascii="宋体" w:hAnsi="宋体" w:cs="宋体"/>
                <w:sz w:val="21"/>
                <w:szCs w:val="21"/>
              </w:rPr>
              <w:t>地市</w:t>
            </w:r>
            <w:r>
              <w:rPr>
                <w:rFonts w:hint="eastAsia" w:ascii="宋体" w:hAnsi="宋体" w:cs="宋体"/>
                <w:sz w:val="21"/>
                <w:szCs w:val="21"/>
                <w:lang w:val="en-US" w:eastAsia="zh-CN"/>
              </w:rPr>
              <w:t>区</w:t>
            </w:r>
            <w:r>
              <w:rPr>
                <w:rFonts w:hint="eastAsia" w:ascii="宋体" w:hAnsi="宋体" w:cs="宋体"/>
                <w:sz w:val="21"/>
                <w:szCs w:val="21"/>
              </w:rPr>
              <w:t>级</w:t>
            </w:r>
            <w:r>
              <w:rPr>
                <w:rFonts w:hint="eastAsia" w:ascii="宋体" w:hAnsi="宋体" w:cs="宋体"/>
                <w:sz w:val="21"/>
                <w:szCs w:val="21"/>
                <w:lang w:val="en-US" w:eastAsia="zh-CN"/>
              </w:rPr>
              <w:t>赛项</w:t>
            </w:r>
            <w:r>
              <w:rPr>
                <w:rFonts w:hint="eastAsia" w:ascii="宋体" w:hAnsi="宋体" w:cs="宋体"/>
                <w:sz w:val="21"/>
                <w:szCs w:val="21"/>
              </w:rPr>
              <w:t>的得1分</w:t>
            </w:r>
            <w:r>
              <w:rPr>
                <w:rFonts w:hint="eastAsia" w:ascii="宋体" w:hAnsi="宋体" w:cs="宋体"/>
                <w:sz w:val="21"/>
                <w:szCs w:val="21"/>
                <w:lang w:eastAsia="zh-CN"/>
              </w:rPr>
              <w:t>。（</w:t>
            </w:r>
            <w:r>
              <w:rPr>
                <w:rFonts w:hint="eastAsia" w:ascii="宋体" w:hAnsi="宋体" w:cs="宋体"/>
                <w:sz w:val="21"/>
                <w:szCs w:val="21"/>
                <w:lang w:val="en-US" w:eastAsia="zh-CN"/>
              </w:rPr>
              <w:t>须提供大赛规程技术证明资料或承诺中标后投标单位所投软件能够满足（</w:t>
            </w:r>
            <w:r>
              <w:rPr>
                <w:rFonts w:hint="eastAsia" w:ascii="宋体" w:hAnsi="宋体" w:cs="宋体"/>
                <w:sz w:val="21"/>
                <w:szCs w:val="21"/>
              </w:rPr>
              <w:t>国家级</w:t>
            </w:r>
            <w:r>
              <w:rPr>
                <w:rFonts w:hint="eastAsia" w:ascii="宋体" w:hAnsi="宋体" w:cs="宋体"/>
                <w:sz w:val="21"/>
                <w:szCs w:val="21"/>
                <w:lang w:val="en-US" w:eastAsia="zh-CN"/>
              </w:rPr>
              <w:t>/</w:t>
            </w:r>
            <w:r>
              <w:rPr>
                <w:rFonts w:hint="eastAsia" w:ascii="宋体" w:hAnsi="宋体" w:cs="宋体"/>
                <w:sz w:val="21"/>
                <w:szCs w:val="21"/>
              </w:rPr>
              <w:t>省级</w:t>
            </w:r>
            <w:r>
              <w:rPr>
                <w:rFonts w:hint="eastAsia" w:ascii="宋体" w:hAnsi="宋体" w:cs="宋体"/>
                <w:sz w:val="21"/>
                <w:szCs w:val="21"/>
                <w:lang w:val="en-US" w:eastAsia="zh-CN"/>
              </w:rPr>
              <w:t>/</w:t>
            </w:r>
            <w:r>
              <w:rPr>
                <w:rFonts w:hint="eastAsia" w:ascii="宋体" w:hAnsi="宋体" w:cs="宋体"/>
                <w:sz w:val="21"/>
                <w:szCs w:val="21"/>
              </w:rPr>
              <w:t>地市</w:t>
            </w:r>
            <w:r>
              <w:rPr>
                <w:rFonts w:hint="eastAsia" w:ascii="宋体" w:hAnsi="宋体" w:cs="宋体"/>
                <w:sz w:val="21"/>
                <w:szCs w:val="21"/>
                <w:lang w:val="en-US" w:eastAsia="zh-CN"/>
              </w:rPr>
              <w:t>区</w:t>
            </w:r>
            <w:r>
              <w:rPr>
                <w:rFonts w:hint="eastAsia" w:ascii="宋体" w:hAnsi="宋体" w:cs="宋体"/>
                <w:sz w:val="21"/>
                <w:szCs w:val="21"/>
              </w:rPr>
              <w:t>级</w:t>
            </w:r>
            <w:r>
              <w:rPr>
                <w:rFonts w:hint="eastAsia" w:ascii="宋体" w:hAnsi="宋体" w:cs="宋体"/>
                <w:sz w:val="21"/>
                <w:szCs w:val="21"/>
                <w:lang w:val="en-US" w:eastAsia="zh-CN"/>
              </w:rPr>
              <w:t>）赛项要求，承诺函格式自拟)。本项最高得3分。</w:t>
            </w:r>
          </w:p>
          <w:p>
            <w:pPr>
              <w:spacing w:line="400" w:lineRule="exact"/>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w:t>
            </w:r>
            <w:r>
              <w:rPr>
                <w:rFonts w:hint="eastAsia" w:ascii="宋体" w:hAnsi="宋体" w:cs="宋体"/>
                <w:sz w:val="21"/>
                <w:szCs w:val="21"/>
              </w:rPr>
              <w:t>投标单位所投</w:t>
            </w:r>
            <w:r>
              <w:rPr>
                <w:rFonts w:hint="eastAsia" w:ascii="宋体" w:hAnsi="宋体" w:cs="宋体"/>
                <w:sz w:val="21"/>
                <w:szCs w:val="21"/>
                <w:lang w:val="en-US" w:eastAsia="zh-CN"/>
              </w:rPr>
              <w:t>机械CAD教育版软件能满足第十七届“振兴杯”全国青年职业技能大赛</w:t>
            </w:r>
            <w:r>
              <w:rPr>
                <w:rFonts w:hint="eastAsia" w:ascii="宋体" w:hAnsi="宋体" w:cs="宋体"/>
                <w:sz w:val="21"/>
                <w:szCs w:val="21"/>
              </w:rPr>
              <w:t>“</w:t>
            </w:r>
            <w:r>
              <w:rPr>
                <w:rFonts w:hint="eastAsia" w:ascii="宋体" w:hAnsi="宋体" w:cs="宋体"/>
                <w:sz w:val="21"/>
                <w:szCs w:val="21"/>
                <w:lang w:val="en-US" w:eastAsia="zh-CN"/>
              </w:rPr>
              <w:t>车工</w:t>
            </w:r>
            <w:r>
              <w:rPr>
                <w:rFonts w:hint="default" w:ascii="宋体" w:hAnsi="宋体" w:cs="宋体"/>
                <w:sz w:val="21"/>
                <w:szCs w:val="21"/>
                <w:lang w:val="en-US" w:eastAsia="zh-CN"/>
              </w:rPr>
              <w:t>”</w:t>
            </w:r>
            <w:r>
              <w:rPr>
                <w:rFonts w:hint="eastAsia" w:ascii="宋体" w:hAnsi="宋体" w:cs="宋体"/>
                <w:sz w:val="21"/>
                <w:szCs w:val="21"/>
              </w:rPr>
              <w:t>赛项</w:t>
            </w:r>
            <w:r>
              <w:rPr>
                <w:rFonts w:hint="eastAsia" w:ascii="宋体" w:hAnsi="宋体" w:cs="宋体"/>
                <w:sz w:val="21"/>
                <w:szCs w:val="21"/>
                <w:lang w:val="en-US" w:eastAsia="zh-CN"/>
              </w:rPr>
              <w:t>技术及商务要求的得3</w:t>
            </w:r>
            <w:r>
              <w:rPr>
                <w:rFonts w:hint="eastAsia" w:ascii="宋体" w:hAnsi="宋体" w:cs="宋体"/>
                <w:sz w:val="21"/>
                <w:szCs w:val="21"/>
                <w:highlight w:val="none"/>
                <w:lang w:val="en-US" w:eastAsia="zh-CN"/>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须提供大赛规程技术证明资料或承诺</w:t>
            </w:r>
            <w:r>
              <w:rPr>
                <w:rFonts w:hint="eastAsia" w:ascii="宋体" w:hAnsi="宋体" w:cs="宋体"/>
                <w:sz w:val="21"/>
                <w:szCs w:val="21"/>
                <w:lang w:val="en-US" w:eastAsia="zh-CN"/>
              </w:rPr>
              <w:t>中标后投标单位所投软件能够满足（</w:t>
            </w:r>
            <w:r>
              <w:rPr>
                <w:rFonts w:hint="eastAsia" w:ascii="宋体" w:hAnsi="宋体" w:cs="宋体"/>
                <w:sz w:val="21"/>
                <w:szCs w:val="21"/>
              </w:rPr>
              <w:t>国家级</w:t>
            </w:r>
            <w:r>
              <w:rPr>
                <w:rFonts w:hint="eastAsia" w:ascii="宋体" w:hAnsi="宋体" w:cs="宋体"/>
                <w:sz w:val="21"/>
                <w:szCs w:val="21"/>
                <w:lang w:val="en-US" w:eastAsia="zh-CN"/>
              </w:rPr>
              <w:t>/</w:t>
            </w:r>
            <w:r>
              <w:rPr>
                <w:rFonts w:hint="eastAsia" w:ascii="宋体" w:hAnsi="宋体" w:cs="宋体"/>
                <w:sz w:val="21"/>
                <w:szCs w:val="21"/>
              </w:rPr>
              <w:t>省级</w:t>
            </w:r>
            <w:r>
              <w:rPr>
                <w:rFonts w:hint="eastAsia" w:ascii="宋体" w:hAnsi="宋体" w:cs="宋体"/>
                <w:sz w:val="21"/>
                <w:szCs w:val="21"/>
                <w:lang w:val="en-US" w:eastAsia="zh-CN"/>
              </w:rPr>
              <w:t>/</w:t>
            </w:r>
            <w:r>
              <w:rPr>
                <w:rFonts w:hint="eastAsia" w:ascii="宋体" w:hAnsi="宋体" w:cs="宋体"/>
                <w:sz w:val="21"/>
                <w:szCs w:val="21"/>
              </w:rPr>
              <w:t>地市</w:t>
            </w:r>
            <w:r>
              <w:rPr>
                <w:rFonts w:hint="eastAsia" w:ascii="宋体" w:hAnsi="宋体" w:cs="宋体"/>
                <w:sz w:val="21"/>
                <w:szCs w:val="21"/>
                <w:lang w:val="en-US" w:eastAsia="zh-CN"/>
              </w:rPr>
              <w:t>区</w:t>
            </w:r>
            <w:r>
              <w:rPr>
                <w:rFonts w:hint="eastAsia" w:ascii="宋体" w:hAnsi="宋体" w:cs="宋体"/>
                <w:sz w:val="21"/>
                <w:szCs w:val="21"/>
              </w:rPr>
              <w:t>级</w:t>
            </w:r>
            <w:r>
              <w:rPr>
                <w:rFonts w:hint="eastAsia" w:ascii="宋体" w:hAnsi="宋体" w:cs="宋体"/>
                <w:sz w:val="21"/>
                <w:szCs w:val="21"/>
                <w:lang w:val="en-US" w:eastAsia="zh-CN"/>
              </w:rPr>
              <w:t>）赛项要求，承诺函格式自拟)。本项最高得3分。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754" w:type="dxa"/>
            <w:noWrap/>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w:t>
            </w:r>
          </w:p>
        </w:tc>
        <w:tc>
          <w:tcPr>
            <w:tcW w:w="1104" w:type="dxa"/>
            <w:noWrap/>
            <w:vAlign w:val="center"/>
          </w:tcPr>
          <w:p>
            <w:pPr>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服务团队</w:t>
            </w:r>
          </w:p>
        </w:tc>
        <w:tc>
          <w:tcPr>
            <w:tcW w:w="1121" w:type="dxa"/>
            <w:noWrap/>
            <w:vAlign w:val="center"/>
          </w:tcPr>
          <w:p>
            <w:pPr>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0-4分</w:t>
            </w:r>
          </w:p>
        </w:tc>
        <w:tc>
          <w:tcPr>
            <w:tcW w:w="6465" w:type="dxa"/>
            <w:noWrap/>
            <w:vAlign w:val="center"/>
          </w:tcPr>
          <w:p>
            <w:pPr>
              <w:spacing w:line="400" w:lineRule="exact"/>
              <w:ind w:firstLine="420" w:firstLineChars="200"/>
              <w:jc w:val="left"/>
              <w:rPr>
                <w:rFonts w:hint="eastAsia" w:ascii="宋体" w:hAnsi="宋体" w:eastAsia="宋体" w:cs="宋体"/>
                <w:sz w:val="21"/>
                <w:szCs w:val="21"/>
                <w:lang w:eastAsia="zh-CN"/>
              </w:rPr>
            </w:pPr>
            <w:r>
              <w:rPr>
                <w:rFonts w:hint="eastAsia" w:ascii="宋体" w:hAnsi="宋体" w:cs="宋体"/>
                <w:sz w:val="21"/>
                <w:szCs w:val="21"/>
                <w:lang w:val="en-US" w:eastAsia="zh-CN"/>
              </w:rPr>
              <w:t>1.</w:t>
            </w:r>
            <w:r>
              <w:rPr>
                <w:rFonts w:hint="eastAsia" w:ascii="宋体" w:hAnsi="宋体" w:cs="宋体"/>
                <w:sz w:val="21"/>
                <w:szCs w:val="21"/>
                <w:lang w:val="en-US" w:eastAsia="zh-Hans"/>
              </w:rPr>
              <w:t>自</w:t>
            </w:r>
            <w:r>
              <w:rPr>
                <w:rFonts w:hint="eastAsia" w:ascii="宋体" w:hAnsi="宋体" w:cs="宋体"/>
                <w:sz w:val="21"/>
                <w:szCs w:val="21"/>
                <w:lang w:val="zh-CN" w:eastAsia="zh-CN"/>
              </w:rPr>
              <w:t>2018年1月1日</w:t>
            </w:r>
            <w:r>
              <w:rPr>
                <w:rFonts w:hint="eastAsia" w:ascii="宋体" w:hAnsi="宋体" w:cs="宋体"/>
                <w:sz w:val="21"/>
                <w:szCs w:val="21"/>
                <w:lang w:val="en-US" w:eastAsia="zh-CN"/>
              </w:rPr>
              <w:t>以来</w:t>
            </w:r>
            <w:r>
              <w:rPr>
                <w:rFonts w:hint="eastAsia" w:ascii="宋体" w:hAnsi="宋体" w:cs="宋体"/>
                <w:sz w:val="21"/>
                <w:szCs w:val="21"/>
              </w:rPr>
              <w:t>投标</w:t>
            </w:r>
            <w:r>
              <w:rPr>
                <w:rFonts w:hint="eastAsia" w:ascii="宋体" w:hAnsi="宋体" w:cs="宋体"/>
                <w:sz w:val="21"/>
                <w:szCs w:val="21"/>
                <w:lang w:val="en-US" w:eastAsia="zh-CN"/>
              </w:rPr>
              <w:t>单位所提供团队人</w:t>
            </w:r>
            <w:r>
              <w:rPr>
                <w:rFonts w:hint="eastAsia" w:ascii="宋体" w:hAnsi="宋体" w:cs="宋体"/>
                <w:sz w:val="21"/>
                <w:szCs w:val="21"/>
                <w:lang w:val="en-US" w:eastAsia="zh-Hans"/>
              </w:rPr>
              <w:t>员</w:t>
            </w:r>
            <w:r>
              <w:rPr>
                <w:rFonts w:hint="eastAsia" w:ascii="宋体" w:hAnsi="宋体" w:cs="宋体"/>
                <w:sz w:val="21"/>
                <w:szCs w:val="21"/>
                <w:lang w:val="en-US" w:eastAsia="zh-CN"/>
              </w:rPr>
              <w:t>中具有</w:t>
            </w:r>
            <w:r>
              <w:rPr>
                <w:rFonts w:hint="eastAsia" w:ascii="宋体" w:hAnsi="宋体" w:cs="宋体"/>
                <w:sz w:val="21"/>
                <w:szCs w:val="21"/>
              </w:rPr>
              <w:t>全国重点建设职业教育师资培训基地指导老师</w:t>
            </w:r>
            <w:r>
              <w:rPr>
                <w:rFonts w:hint="eastAsia" w:ascii="宋体" w:hAnsi="宋体" w:cs="宋体"/>
                <w:sz w:val="21"/>
                <w:szCs w:val="21"/>
                <w:lang w:val="en-US" w:eastAsia="zh-CN"/>
              </w:rPr>
              <w:t>证书的</w:t>
            </w:r>
            <w:r>
              <w:rPr>
                <w:rFonts w:hint="eastAsia" w:ascii="宋体" w:hAnsi="宋体" w:cs="宋体"/>
                <w:sz w:val="21"/>
                <w:szCs w:val="21"/>
                <w:lang w:val="en-US" w:eastAsia="zh-Hans"/>
              </w:rPr>
              <w:t>得</w:t>
            </w:r>
            <w:r>
              <w:rPr>
                <w:rFonts w:hint="eastAsia" w:ascii="宋体" w:hAnsi="宋体" w:cs="宋体"/>
                <w:sz w:val="21"/>
                <w:szCs w:val="21"/>
                <w:lang w:eastAsia="zh-Hans"/>
              </w:rPr>
              <w:t>2</w:t>
            </w:r>
            <w:r>
              <w:rPr>
                <w:rFonts w:hint="eastAsia" w:ascii="宋体" w:hAnsi="宋体" w:cs="宋体"/>
                <w:sz w:val="21"/>
                <w:szCs w:val="21"/>
                <w:lang w:val="en-US" w:eastAsia="zh-Hans"/>
              </w:rPr>
              <w:t>分</w:t>
            </w:r>
            <w:r>
              <w:rPr>
                <w:rFonts w:hint="eastAsia" w:ascii="宋体" w:hAnsi="宋体" w:cs="宋体"/>
                <w:sz w:val="21"/>
                <w:szCs w:val="21"/>
                <w:lang w:val="en-US" w:eastAsia="zh-CN"/>
              </w:rPr>
              <w:t>。</w:t>
            </w:r>
            <w:r>
              <w:rPr>
                <w:rFonts w:hint="eastAsia" w:ascii="宋体" w:hAnsi="宋体" w:cs="宋体"/>
                <w:sz w:val="21"/>
                <w:szCs w:val="21"/>
              </w:rPr>
              <w:t>（</w:t>
            </w:r>
            <w:r>
              <w:rPr>
                <w:rFonts w:hint="eastAsia" w:ascii="宋体" w:hAnsi="宋体" w:cs="宋体"/>
                <w:sz w:val="21"/>
                <w:szCs w:val="21"/>
                <w:lang w:val="en-US" w:eastAsia="zh-CN"/>
              </w:rPr>
              <w:t>须</w:t>
            </w:r>
            <w:r>
              <w:rPr>
                <w:rFonts w:hint="eastAsia" w:ascii="宋体" w:hAnsi="宋体" w:cs="宋体"/>
                <w:sz w:val="21"/>
                <w:szCs w:val="21"/>
              </w:rPr>
              <w:t>提供</w:t>
            </w:r>
            <w:r>
              <w:rPr>
                <w:rFonts w:hint="eastAsia" w:ascii="宋体" w:hAnsi="宋体" w:cs="宋体"/>
                <w:sz w:val="21"/>
                <w:szCs w:val="21"/>
                <w:lang w:val="en-US" w:eastAsia="zh-Hans"/>
              </w:rPr>
              <w:t>证书复印件和相关</w:t>
            </w:r>
            <w:r>
              <w:rPr>
                <w:rFonts w:hint="eastAsia" w:ascii="宋体" w:hAnsi="宋体" w:cs="宋体"/>
                <w:sz w:val="21"/>
                <w:szCs w:val="21"/>
              </w:rPr>
              <w:t>人员近三个月社保证明</w:t>
            </w:r>
            <w:r>
              <w:rPr>
                <w:rFonts w:hint="eastAsia" w:ascii="宋体" w:hAnsi="宋体" w:cs="宋体"/>
                <w:sz w:val="21"/>
                <w:szCs w:val="21"/>
                <w:lang w:val="en-US" w:eastAsia="zh-CN"/>
              </w:rPr>
              <w:t>并</w:t>
            </w:r>
            <w:r>
              <w:rPr>
                <w:rFonts w:hint="eastAsia" w:ascii="宋体" w:hAnsi="宋体" w:cs="宋体"/>
                <w:sz w:val="21"/>
                <w:szCs w:val="21"/>
              </w:rPr>
              <w:t>加盖公章）</w:t>
            </w:r>
            <w:r>
              <w:rPr>
                <w:rFonts w:hint="eastAsia" w:ascii="宋体" w:hAnsi="宋体" w:cs="宋体"/>
                <w:sz w:val="21"/>
                <w:szCs w:val="21"/>
                <w:lang w:eastAsia="zh-CN"/>
              </w:rPr>
              <w:t>。</w:t>
            </w:r>
          </w:p>
          <w:p>
            <w:pPr>
              <w:spacing w:line="400" w:lineRule="exact"/>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cs="宋体"/>
                <w:sz w:val="21"/>
                <w:szCs w:val="21"/>
                <w:lang w:val="en-US" w:eastAsia="zh-Hans"/>
              </w:rPr>
              <w:t>自</w:t>
            </w:r>
            <w:r>
              <w:rPr>
                <w:rFonts w:hint="eastAsia" w:ascii="宋体" w:hAnsi="宋体" w:cs="宋体"/>
                <w:sz w:val="21"/>
                <w:szCs w:val="21"/>
                <w:lang w:val="zh-CN" w:eastAsia="zh-CN"/>
              </w:rPr>
              <w:t>2018年1月1日</w:t>
            </w:r>
            <w:r>
              <w:rPr>
                <w:rFonts w:hint="eastAsia" w:ascii="宋体" w:hAnsi="宋体" w:cs="宋体"/>
                <w:sz w:val="21"/>
                <w:szCs w:val="21"/>
                <w:lang w:val="en-US" w:eastAsia="zh-CN"/>
              </w:rPr>
              <w:t>以来</w:t>
            </w:r>
            <w:r>
              <w:rPr>
                <w:rFonts w:hint="eastAsia" w:ascii="宋体" w:hAnsi="宋体" w:cs="宋体"/>
                <w:sz w:val="21"/>
                <w:szCs w:val="21"/>
              </w:rPr>
              <w:t>投标</w:t>
            </w:r>
            <w:r>
              <w:rPr>
                <w:rFonts w:hint="eastAsia" w:ascii="宋体" w:hAnsi="宋体" w:cs="宋体"/>
                <w:sz w:val="21"/>
                <w:szCs w:val="21"/>
                <w:lang w:val="en-US" w:eastAsia="zh-CN"/>
              </w:rPr>
              <w:t>单位所提供团队人</w:t>
            </w:r>
            <w:r>
              <w:rPr>
                <w:rFonts w:hint="eastAsia" w:ascii="宋体" w:hAnsi="宋体" w:cs="宋体"/>
                <w:sz w:val="21"/>
                <w:szCs w:val="21"/>
                <w:lang w:val="en-US" w:eastAsia="zh-Hans"/>
              </w:rPr>
              <w:t>员</w:t>
            </w:r>
            <w:r>
              <w:rPr>
                <w:rFonts w:hint="eastAsia" w:ascii="宋体" w:hAnsi="宋体" w:cs="宋体"/>
                <w:sz w:val="21"/>
                <w:szCs w:val="21"/>
                <w:lang w:val="en-US" w:eastAsia="zh-CN"/>
              </w:rPr>
              <w:t>中</w:t>
            </w:r>
            <w:r>
              <w:rPr>
                <w:rFonts w:hint="eastAsia" w:ascii="宋体" w:hAnsi="宋体" w:cs="宋体"/>
                <w:sz w:val="21"/>
                <w:szCs w:val="21"/>
                <w:lang w:val="en-US" w:eastAsia="zh-Hans"/>
              </w:rPr>
              <w:t>具有全国职业院校技能大赛专家或裁判证书</w:t>
            </w:r>
            <w:r>
              <w:rPr>
                <w:rFonts w:hint="eastAsia" w:ascii="宋体" w:hAnsi="宋体" w:cs="宋体"/>
                <w:sz w:val="21"/>
                <w:szCs w:val="21"/>
                <w:lang w:val="en-US" w:eastAsia="zh-CN"/>
              </w:rPr>
              <w:t>的</w:t>
            </w:r>
            <w:r>
              <w:rPr>
                <w:rFonts w:hint="eastAsia" w:ascii="宋体" w:hAnsi="宋体" w:cs="宋体"/>
                <w:sz w:val="21"/>
                <w:szCs w:val="21"/>
                <w:lang w:eastAsia="zh-Hans"/>
              </w:rPr>
              <w:t>，</w:t>
            </w:r>
            <w:r>
              <w:rPr>
                <w:rFonts w:hint="eastAsia" w:ascii="宋体" w:hAnsi="宋体" w:cs="宋体"/>
                <w:sz w:val="21"/>
                <w:szCs w:val="21"/>
                <w:lang w:val="en-US" w:eastAsia="zh-Hans"/>
              </w:rPr>
              <w:t>每提供一个得</w:t>
            </w:r>
            <w:r>
              <w:rPr>
                <w:rFonts w:hint="eastAsia" w:ascii="宋体" w:hAnsi="宋体" w:cs="宋体"/>
                <w:sz w:val="21"/>
                <w:szCs w:val="21"/>
                <w:lang w:eastAsia="zh-Hans"/>
              </w:rPr>
              <w:t>1</w:t>
            </w:r>
            <w:r>
              <w:rPr>
                <w:rFonts w:hint="eastAsia" w:ascii="宋体" w:hAnsi="宋体" w:cs="宋体"/>
                <w:sz w:val="21"/>
                <w:szCs w:val="21"/>
                <w:lang w:val="en-US" w:eastAsia="zh-Hans"/>
              </w:rPr>
              <w:t>分</w:t>
            </w:r>
            <w:r>
              <w:rPr>
                <w:rFonts w:hint="eastAsia" w:ascii="宋体" w:hAnsi="宋体" w:cs="宋体"/>
                <w:sz w:val="21"/>
                <w:szCs w:val="21"/>
                <w:lang w:eastAsia="zh-Hans"/>
              </w:rPr>
              <w:t>，</w:t>
            </w:r>
            <w:r>
              <w:rPr>
                <w:rFonts w:hint="eastAsia" w:ascii="宋体" w:hAnsi="宋体" w:cs="宋体"/>
                <w:sz w:val="21"/>
                <w:szCs w:val="21"/>
                <w:lang w:val="en-US" w:eastAsia="zh-CN"/>
              </w:rPr>
              <w:t>本项</w:t>
            </w:r>
            <w:r>
              <w:rPr>
                <w:rFonts w:hint="eastAsia" w:ascii="宋体" w:hAnsi="宋体" w:cs="宋体"/>
                <w:sz w:val="21"/>
                <w:szCs w:val="21"/>
                <w:lang w:val="en-US" w:eastAsia="zh-Hans"/>
              </w:rPr>
              <w:t>最</w:t>
            </w:r>
            <w:r>
              <w:rPr>
                <w:rFonts w:hint="eastAsia" w:ascii="宋体" w:hAnsi="宋体" w:cs="宋体"/>
                <w:sz w:val="21"/>
                <w:szCs w:val="21"/>
                <w:lang w:val="en-US" w:eastAsia="zh-CN"/>
              </w:rPr>
              <w:t>高得</w:t>
            </w:r>
            <w:r>
              <w:rPr>
                <w:rFonts w:hint="eastAsia" w:ascii="宋体" w:hAnsi="宋体" w:cs="宋体"/>
                <w:sz w:val="21"/>
                <w:szCs w:val="21"/>
                <w:lang w:eastAsia="zh-Hans"/>
              </w:rPr>
              <w:t>2</w:t>
            </w:r>
            <w:r>
              <w:rPr>
                <w:rFonts w:hint="eastAsia" w:ascii="宋体" w:hAnsi="宋体" w:cs="宋体"/>
                <w:sz w:val="21"/>
                <w:szCs w:val="21"/>
                <w:lang w:val="en-US" w:eastAsia="zh-Hans"/>
              </w:rPr>
              <w:t>分</w:t>
            </w:r>
            <w:r>
              <w:rPr>
                <w:rFonts w:hint="eastAsia" w:ascii="宋体" w:hAnsi="宋体" w:cs="宋体"/>
                <w:sz w:val="21"/>
                <w:szCs w:val="21"/>
                <w:lang w:val="en-US" w:eastAsia="zh-CN"/>
              </w:rPr>
              <w:t>。</w:t>
            </w:r>
            <w:r>
              <w:rPr>
                <w:rFonts w:hint="eastAsia" w:ascii="宋体" w:hAnsi="宋体" w:cs="宋体"/>
                <w:sz w:val="21"/>
                <w:szCs w:val="21"/>
                <w:lang w:eastAsia="zh-Hans"/>
              </w:rPr>
              <w:t>（</w:t>
            </w:r>
            <w:r>
              <w:rPr>
                <w:rFonts w:hint="eastAsia" w:ascii="宋体" w:hAnsi="宋体" w:cs="宋体"/>
                <w:sz w:val="21"/>
                <w:szCs w:val="21"/>
                <w:lang w:val="en-US" w:eastAsia="zh-CN"/>
              </w:rPr>
              <w:t>须</w:t>
            </w:r>
            <w:r>
              <w:rPr>
                <w:rFonts w:hint="eastAsia" w:ascii="宋体" w:hAnsi="宋体" w:cs="宋体"/>
                <w:sz w:val="21"/>
                <w:szCs w:val="21"/>
                <w:lang w:val="en-US" w:eastAsia="zh-Hans"/>
              </w:rPr>
              <w:t>提供聘书复印件和相关</w:t>
            </w:r>
            <w:r>
              <w:rPr>
                <w:rFonts w:hint="eastAsia" w:ascii="宋体" w:hAnsi="宋体" w:cs="宋体"/>
                <w:sz w:val="21"/>
                <w:szCs w:val="21"/>
              </w:rPr>
              <w:t>人员近三个月社保证明</w:t>
            </w:r>
            <w:r>
              <w:rPr>
                <w:rFonts w:hint="eastAsia" w:ascii="宋体" w:hAnsi="宋体" w:cs="宋体"/>
                <w:sz w:val="21"/>
                <w:szCs w:val="21"/>
                <w:lang w:val="en-US" w:eastAsia="zh-CN"/>
              </w:rPr>
              <w:t>并</w:t>
            </w:r>
            <w:r>
              <w:rPr>
                <w:rFonts w:hint="eastAsia" w:ascii="宋体" w:hAnsi="宋体" w:cs="宋体"/>
                <w:sz w:val="21"/>
                <w:szCs w:val="21"/>
                <w:lang w:val="en-US" w:eastAsia="zh-Hans"/>
              </w:rPr>
              <w:t>加盖单位公章</w:t>
            </w:r>
            <w:r>
              <w:rPr>
                <w:rFonts w:hint="eastAsia" w:ascii="宋体" w:hAnsi="宋体" w:cs="宋体"/>
                <w:sz w:val="21"/>
                <w:szCs w:val="21"/>
                <w:lang w:eastAsia="zh-Hans"/>
              </w:rPr>
              <w:t>）</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54" w:type="dxa"/>
            <w:noWrap/>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6</w:t>
            </w:r>
          </w:p>
        </w:tc>
        <w:tc>
          <w:tcPr>
            <w:tcW w:w="1104" w:type="dxa"/>
            <w:noWrap/>
            <w:vAlign w:val="center"/>
          </w:tcPr>
          <w:p>
            <w:pPr>
              <w:spacing w:line="400" w:lineRule="exact"/>
              <w:jc w:val="center"/>
              <w:rPr>
                <w:rFonts w:hint="default" w:ascii="宋体" w:hAnsi="宋体" w:eastAsia="宋体" w:cs="宋体"/>
                <w:kern w:val="2"/>
                <w:sz w:val="21"/>
                <w:szCs w:val="21"/>
                <w:lang w:val="en-US" w:eastAsia="zh-CN" w:bidi="ar-SA"/>
              </w:rPr>
            </w:pPr>
            <w:r>
              <w:rPr>
                <w:rFonts w:hint="eastAsia" w:ascii="宋体" w:hAnsi="宋体" w:cs="宋体"/>
                <w:sz w:val="21"/>
                <w:szCs w:val="21"/>
              </w:rPr>
              <w:t>演示</w:t>
            </w:r>
          </w:p>
        </w:tc>
        <w:tc>
          <w:tcPr>
            <w:tcW w:w="1121" w:type="dxa"/>
            <w:noWrap/>
            <w:vAlign w:val="center"/>
          </w:tcPr>
          <w:p>
            <w:pPr>
              <w:spacing w:line="400" w:lineRule="exact"/>
              <w:jc w:val="left"/>
              <w:rPr>
                <w:rFonts w:hint="default" w:ascii="宋体" w:hAnsi="宋体" w:eastAsia="宋体" w:cs="宋体"/>
                <w:kern w:val="2"/>
                <w:sz w:val="21"/>
                <w:szCs w:val="21"/>
                <w:lang w:val="en-US" w:eastAsia="zh-CN" w:bidi="ar-SA"/>
              </w:rPr>
            </w:pPr>
            <w:r>
              <w:rPr>
                <w:rFonts w:hint="eastAsia" w:ascii="宋体" w:hAnsi="宋体" w:cs="宋体"/>
                <w:sz w:val="21"/>
                <w:szCs w:val="21"/>
              </w:rPr>
              <w:t>0-1</w:t>
            </w:r>
            <w:r>
              <w:rPr>
                <w:rFonts w:hint="eastAsia" w:ascii="宋体" w:hAnsi="宋体" w:cs="宋体"/>
                <w:sz w:val="21"/>
                <w:szCs w:val="21"/>
                <w:lang w:val="en-US" w:eastAsia="zh-CN"/>
              </w:rPr>
              <w:t>8分</w:t>
            </w:r>
          </w:p>
        </w:tc>
        <w:tc>
          <w:tcPr>
            <w:tcW w:w="6465" w:type="dxa"/>
            <w:noWrap/>
            <w:vAlign w:val="center"/>
          </w:tcPr>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1、机械CAD教育版软件中“智能语音”功能演示（0-3分）；</w:t>
            </w:r>
          </w:p>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2、机械CAD教育版软件中“系列化零件设计系统”功能演示（0-3分）；</w:t>
            </w:r>
          </w:p>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3、三维平台设计软件中“</w:t>
            </w:r>
            <w:r>
              <w:rPr>
                <w:rFonts w:hint="eastAsia" w:ascii="宋体" w:hAnsi="宋体" w:cs="宋体"/>
                <w:sz w:val="21"/>
                <w:szCs w:val="21"/>
              </w:rPr>
              <w:t>二维到三维</w:t>
            </w:r>
            <w:r>
              <w:rPr>
                <w:rFonts w:hint="eastAsia" w:ascii="宋体" w:hAnsi="宋体" w:cs="宋体"/>
                <w:sz w:val="21"/>
                <w:szCs w:val="21"/>
                <w:lang w:val="en-US" w:eastAsia="zh-CN"/>
              </w:rPr>
              <w:t>”功能演示（0-3分）；</w:t>
            </w:r>
          </w:p>
          <w:p>
            <w:pPr>
              <w:spacing w:line="400" w:lineRule="exact"/>
              <w:jc w:val="left"/>
              <w:rPr>
                <w:rFonts w:hint="eastAsia" w:ascii="宋体" w:hAnsi="宋体" w:cs="宋体"/>
                <w:sz w:val="21"/>
                <w:szCs w:val="21"/>
                <w:lang w:val="en-US" w:eastAsia="zh-CN"/>
              </w:rPr>
            </w:pPr>
            <w:r>
              <w:rPr>
                <w:rFonts w:hint="eastAsia" w:ascii="宋体" w:hAnsi="宋体" w:cs="宋体"/>
                <w:sz w:val="21"/>
                <w:szCs w:val="21"/>
              </w:rPr>
              <w:t>4、三维平台设计</w:t>
            </w:r>
            <w:r>
              <w:rPr>
                <w:rFonts w:hint="eastAsia" w:ascii="宋体" w:hAnsi="宋体" w:cs="宋体"/>
                <w:sz w:val="21"/>
                <w:szCs w:val="21"/>
                <w:lang w:val="en-US" w:eastAsia="zh-CN"/>
              </w:rPr>
              <w:t>软件中“智能辅助教学系统”功能演示（0-3分）；</w:t>
            </w:r>
          </w:p>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5、机械工程识图能力实训评价软件中“装配图识图”功能演示（0-3分）；</w:t>
            </w:r>
          </w:p>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6、《典型机械零件》测绘套件中“第（6）条”功能演示（0-3分）；</w:t>
            </w:r>
          </w:p>
          <w:p>
            <w:pPr>
              <w:spacing w:line="320" w:lineRule="exact"/>
              <w:rPr>
                <w:rFonts w:hint="eastAsia" w:ascii="宋体" w:hAnsi="宋体" w:cs="宋体"/>
                <w:sz w:val="21"/>
                <w:szCs w:val="21"/>
              </w:rPr>
            </w:pPr>
            <w:r>
              <w:rPr>
                <w:rFonts w:hint="eastAsia" w:ascii="宋体" w:hAnsi="宋体" w:cs="宋体"/>
                <w:sz w:val="21"/>
                <w:szCs w:val="21"/>
                <w:lang w:val="en-US" w:eastAsia="zh-CN"/>
              </w:rPr>
              <w:t>评审小组根据</w:t>
            </w:r>
            <w:r>
              <w:rPr>
                <w:rFonts w:hint="eastAsia" w:ascii="宋体" w:hAnsi="宋体" w:cs="宋体"/>
                <w:sz w:val="21"/>
                <w:szCs w:val="21"/>
              </w:rPr>
              <w:t>各投标</w:t>
            </w:r>
            <w:r>
              <w:rPr>
                <w:rFonts w:hint="eastAsia" w:ascii="宋体" w:hAnsi="宋体" w:cs="宋体"/>
                <w:sz w:val="21"/>
                <w:szCs w:val="21"/>
                <w:lang w:val="en-US" w:eastAsia="zh-CN"/>
              </w:rPr>
              <w:t>单位产品</w:t>
            </w:r>
            <w:r>
              <w:rPr>
                <w:rFonts w:hint="eastAsia" w:ascii="宋体" w:hAnsi="宋体" w:cs="宋体"/>
                <w:sz w:val="21"/>
                <w:szCs w:val="21"/>
              </w:rPr>
              <w:t>功能</w:t>
            </w:r>
            <w:r>
              <w:rPr>
                <w:rFonts w:hint="eastAsia" w:ascii="宋体" w:hAnsi="宋体" w:cs="宋体"/>
                <w:sz w:val="21"/>
                <w:szCs w:val="21"/>
                <w:lang w:val="en-US" w:eastAsia="zh-CN"/>
              </w:rPr>
              <w:t>技术</w:t>
            </w:r>
            <w:r>
              <w:rPr>
                <w:rFonts w:hint="eastAsia" w:ascii="宋体" w:hAnsi="宋体" w:cs="宋体"/>
                <w:sz w:val="21"/>
                <w:szCs w:val="21"/>
              </w:rPr>
              <w:t>演示</w:t>
            </w:r>
            <w:r>
              <w:rPr>
                <w:rFonts w:hint="eastAsia" w:ascii="宋体" w:hAnsi="宋体" w:cs="宋体"/>
                <w:sz w:val="21"/>
                <w:szCs w:val="21"/>
                <w:lang w:val="en-US" w:eastAsia="zh-CN"/>
              </w:rPr>
              <w:t>进行酌情打分。</w:t>
            </w:r>
          </w:p>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演示视频要求： 根据评分要求逐一演示上述功能的实物操作视频录像，时长不超过8分钟。需同时配有详细的操作解说，同时实物产品需与投标产品相一致。视频录像可以是光盘或U盘形式递交。</w:t>
            </w:r>
          </w:p>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因光盘（U盘）损坏或格式不匹配导致无法读出的不得分。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54" w:type="dxa"/>
            <w:noWrap/>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7</w:t>
            </w:r>
          </w:p>
        </w:tc>
        <w:tc>
          <w:tcPr>
            <w:tcW w:w="1104" w:type="dxa"/>
            <w:noWrap/>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rPr>
              <w:t>项目实施方案</w:t>
            </w:r>
          </w:p>
        </w:tc>
        <w:tc>
          <w:tcPr>
            <w:tcW w:w="1121" w:type="dxa"/>
            <w:noWrap/>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rPr>
              <w:t>0-</w:t>
            </w:r>
            <w:r>
              <w:rPr>
                <w:rFonts w:hint="eastAsia" w:ascii="宋体" w:hAnsi="宋体" w:cs="宋体"/>
                <w:sz w:val="21"/>
                <w:szCs w:val="21"/>
                <w:lang w:val="en-US" w:eastAsia="zh-CN"/>
              </w:rPr>
              <w:t>4分</w:t>
            </w:r>
          </w:p>
        </w:tc>
        <w:tc>
          <w:tcPr>
            <w:tcW w:w="6465" w:type="dxa"/>
            <w:noWrap/>
            <w:vAlign w:val="center"/>
          </w:tcPr>
          <w:p>
            <w:pPr>
              <w:spacing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 w:val="21"/>
                <w:szCs w:val="21"/>
              </w:rPr>
              <w:t>根据各投标</w:t>
            </w:r>
            <w:r>
              <w:rPr>
                <w:rFonts w:hint="eastAsia" w:ascii="宋体" w:hAnsi="宋体" w:cs="宋体"/>
                <w:sz w:val="21"/>
                <w:szCs w:val="21"/>
                <w:lang w:val="en-US" w:eastAsia="zh-CN"/>
              </w:rPr>
              <w:t>单位</w:t>
            </w:r>
            <w:r>
              <w:rPr>
                <w:rFonts w:hint="eastAsia" w:ascii="宋体" w:hAnsi="宋体" w:cs="宋体"/>
                <w:sz w:val="21"/>
                <w:szCs w:val="21"/>
              </w:rPr>
              <w:t>就本项目提供的安装、调试、验收方案的合理性，由</w:t>
            </w:r>
            <w:r>
              <w:rPr>
                <w:rFonts w:hint="eastAsia" w:ascii="宋体" w:hAnsi="宋体" w:cs="宋体"/>
                <w:sz w:val="21"/>
                <w:szCs w:val="21"/>
                <w:lang w:val="en-US" w:eastAsia="zh-CN"/>
              </w:rPr>
              <w:t>评审小组进行酌情打分</w:t>
            </w:r>
            <w:r>
              <w:rPr>
                <w:rFonts w:hint="eastAsia" w:ascii="宋体" w:hAnsi="宋体" w:cs="宋体"/>
                <w:sz w:val="21"/>
                <w:szCs w:val="21"/>
              </w:rPr>
              <w:t>。</w:t>
            </w:r>
            <w:r>
              <w:rPr>
                <w:rFonts w:hint="eastAsia" w:ascii="宋体" w:hAnsi="宋体" w:cs="宋体"/>
                <w:sz w:val="21"/>
                <w:szCs w:val="21"/>
                <w:lang w:eastAsia="zh-CN"/>
              </w:rPr>
              <w:t>（</w:t>
            </w:r>
            <w:r>
              <w:rPr>
                <w:rFonts w:hint="eastAsia" w:ascii="宋体" w:hAnsi="宋体" w:cs="宋体"/>
                <w:sz w:val="21"/>
                <w:szCs w:val="21"/>
                <w:lang w:val="en-US" w:eastAsia="zh-CN"/>
              </w:rPr>
              <w:t>0-4分</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54" w:type="dxa"/>
            <w:noWrap/>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8</w:t>
            </w:r>
          </w:p>
        </w:tc>
        <w:tc>
          <w:tcPr>
            <w:tcW w:w="1104" w:type="dxa"/>
            <w:noWrap/>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技术培训方案</w:t>
            </w:r>
          </w:p>
        </w:tc>
        <w:tc>
          <w:tcPr>
            <w:tcW w:w="1121" w:type="dxa"/>
            <w:noWrap/>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0-7分</w:t>
            </w:r>
          </w:p>
        </w:tc>
        <w:tc>
          <w:tcPr>
            <w:tcW w:w="6465" w:type="dxa"/>
            <w:noWrap/>
            <w:vAlign w:val="center"/>
          </w:tcPr>
          <w:p>
            <w:pPr>
              <w:spacing w:line="400" w:lineRule="exact"/>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针对技术参数中须满足</w:t>
            </w:r>
            <w:r>
              <w:rPr>
                <w:rFonts w:hint="eastAsia" w:ascii="宋体" w:hAnsi="宋体" w:cs="宋体"/>
                <w:sz w:val="21"/>
                <w:szCs w:val="21"/>
                <w:lang w:val="en-US" w:eastAsia="zh-CN"/>
              </w:rPr>
              <w:t>院</w:t>
            </w:r>
            <w:r>
              <w:rPr>
                <w:rFonts w:hint="eastAsia" w:ascii="宋体" w:hAnsi="宋体" w:eastAsia="宋体" w:cs="宋体"/>
                <w:sz w:val="21"/>
                <w:szCs w:val="21"/>
                <w:lang w:val="en-US" w:eastAsia="zh-CN"/>
              </w:rPr>
              <w:t>校各类教学技术应用要求和赛项要求，拟定技术与培训方案。根据技术方案的科学性、成熟性、合理性和扩展性；培训方案与项目对应需求的满足程度等。</w:t>
            </w:r>
            <w:r>
              <w:rPr>
                <w:rFonts w:hint="eastAsia" w:ascii="宋体" w:hAnsi="宋体" w:cs="宋体"/>
                <w:sz w:val="21"/>
                <w:szCs w:val="21"/>
                <w:lang w:val="en-US" w:eastAsia="zh-CN"/>
              </w:rPr>
              <w:t>（0-7分）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54" w:type="dxa"/>
            <w:noWrap/>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9</w:t>
            </w:r>
          </w:p>
        </w:tc>
        <w:tc>
          <w:tcPr>
            <w:tcW w:w="1104" w:type="dxa"/>
            <w:noWrap/>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rPr>
              <w:t>售后服务方案</w:t>
            </w:r>
          </w:p>
        </w:tc>
        <w:tc>
          <w:tcPr>
            <w:tcW w:w="1121" w:type="dxa"/>
            <w:noWrap/>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rPr>
              <w:t>0-</w:t>
            </w:r>
            <w:r>
              <w:rPr>
                <w:rFonts w:hint="eastAsia" w:ascii="宋体" w:hAnsi="宋体" w:cs="宋体"/>
                <w:sz w:val="21"/>
                <w:szCs w:val="21"/>
                <w:lang w:val="en-US" w:eastAsia="zh-CN"/>
              </w:rPr>
              <w:t>3分</w:t>
            </w:r>
          </w:p>
        </w:tc>
        <w:tc>
          <w:tcPr>
            <w:tcW w:w="6465" w:type="dxa"/>
            <w:noWrap/>
            <w:vAlign w:val="center"/>
          </w:tcPr>
          <w:p>
            <w:pPr>
              <w:spacing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 w:val="21"/>
                <w:szCs w:val="21"/>
              </w:rPr>
              <w:t>根据投标</w:t>
            </w:r>
            <w:r>
              <w:rPr>
                <w:rFonts w:hint="eastAsia" w:ascii="宋体" w:hAnsi="宋体" w:cs="宋体"/>
                <w:sz w:val="21"/>
                <w:szCs w:val="21"/>
                <w:lang w:val="en-US" w:eastAsia="zh-CN"/>
              </w:rPr>
              <w:t>单位</w:t>
            </w:r>
            <w:r>
              <w:rPr>
                <w:rFonts w:hint="eastAsia" w:ascii="宋体" w:hAnsi="宋体" w:cs="宋体"/>
                <w:sz w:val="21"/>
                <w:szCs w:val="21"/>
              </w:rPr>
              <w:t>提供的售后服务承诺具体内容、售后服务体系、售后服务网点、维修及服务响应时间等，由</w:t>
            </w:r>
            <w:r>
              <w:rPr>
                <w:rFonts w:hint="eastAsia" w:ascii="宋体" w:hAnsi="宋体" w:cs="宋体"/>
                <w:sz w:val="21"/>
                <w:szCs w:val="21"/>
                <w:lang w:val="en-US" w:eastAsia="zh-CN"/>
              </w:rPr>
              <w:t>评审小组进行酌情打分</w:t>
            </w:r>
            <w:r>
              <w:rPr>
                <w:rFonts w:hint="eastAsia" w:ascii="宋体" w:hAnsi="宋体" w:cs="宋体"/>
                <w:sz w:val="21"/>
                <w:szCs w:val="21"/>
              </w:rPr>
              <w:t>。</w:t>
            </w:r>
            <w:r>
              <w:rPr>
                <w:rFonts w:hint="eastAsia" w:ascii="宋体" w:hAnsi="宋体" w:cs="宋体"/>
                <w:sz w:val="21"/>
                <w:szCs w:val="21"/>
                <w:lang w:eastAsia="zh-CN"/>
              </w:rPr>
              <w:t>（</w:t>
            </w:r>
            <w:r>
              <w:rPr>
                <w:rFonts w:hint="eastAsia" w:ascii="宋体" w:hAnsi="宋体" w:cs="宋体"/>
                <w:sz w:val="21"/>
                <w:szCs w:val="21"/>
                <w:lang w:val="en-US" w:eastAsia="zh-CN"/>
              </w:rPr>
              <w:t>0-3分</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54" w:type="dxa"/>
            <w:noWrap/>
            <w:vAlign w:val="center"/>
          </w:tcPr>
          <w:p>
            <w:pPr>
              <w:spacing w:line="400" w:lineRule="exact"/>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10</w:t>
            </w:r>
          </w:p>
        </w:tc>
        <w:tc>
          <w:tcPr>
            <w:tcW w:w="1104" w:type="dxa"/>
            <w:noWrap/>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合理化建议</w:t>
            </w:r>
          </w:p>
        </w:tc>
        <w:tc>
          <w:tcPr>
            <w:tcW w:w="1121" w:type="dxa"/>
            <w:noWrap/>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0-2分</w:t>
            </w:r>
          </w:p>
        </w:tc>
        <w:tc>
          <w:tcPr>
            <w:tcW w:w="6465" w:type="dxa"/>
            <w:noWrap/>
            <w:vAlign w:val="center"/>
          </w:tcPr>
          <w:p>
            <w:pPr>
              <w:spacing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各投标单位针对本项目提供合理化建议，</w:t>
            </w:r>
            <w:r>
              <w:rPr>
                <w:rFonts w:hint="eastAsia" w:ascii="宋体" w:hAnsi="宋体" w:cs="宋体"/>
                <w:sz w:val="21"/>
                <w:szCs w:val="21"/>
              </w:rPr>
              <w:t>由</w:t>
            </w:r>
            <w:r>
              <w:rPr>
                <w:rFonts w:hint="eastAsia" w:ascii="宋体" w:hAnsi="宋体" w:cs="宋体"/>
                <w:sz w:val="21"/>
                <w:szCs w:val="21"/>
                <w:lang w:val="en-US" w:eastAsia="zh-CN"/>
              </w:rPr>
              <w:t>评审小组进行酌情打分</w:t>
            </w:r>
            <w:r>
              <w:rPr>
                <w:rFonts w:hint="eastAsia" w:ascii="宋体" w:hAnsi="宋体" w:cs="宋体"/>
                <w:sz w:val="21"/>
                <w:szCs w:val="21"/>
              </w:rPr>
              <w:t>。</w:t>
            </w:r>
            <w:r>
              <w:rPr>
                <w:rFonts w:hint="eastAsia" w:ascii="宋体" w:hAnsi="宋体" w:cs="宋体"/>
                <w:sz w:val="21"/>
                <w:szCs w:val="21"/>
                <w:lang w:eastAsia="zh-CN"/>
              </w:rPr>
              <w:t>（</w:t>
            </w:r>
            <w:r>
              <w:rPr>
                <w:rFonts w:hint="eastAsia" w:ascii="宋体" w:hAnsi="宋体" w:cs="宋体"/>
                <w:sz w:val="21"/>
                <w:szCs w:val="21"/>
                <w:lang w:val="en-US" w:eastAsia="zh-CN"/>
              </w:rPr>
              <w:t>0-2分</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54" w:type="dxa"/>
            <w:noWrap/>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1104"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投标报价</w:t>
            </w:r>
          </w:p>
        </w:tc>
        <w:tc>
          <w:tcPr>
            <w:tcW w:w="1121"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0-30分</w:t>
            </w:r>
          </w:p>
        </w:tc>
        <w:tc>
          <w:tcPr>
            <w:tcW w:w="6465" w:type="dxa"/>
            <w:noWrap/>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rPr>
              <w:t>采用低价优先法计算，即满足招标文件要求且投标价格最低的投标报价为评标基准价，其价格分为满分。其他投标人的价格分按照下列公式计算（小数点保留两位）：投标报价得分=(评标基准价／投标报价)×30。</w:t>
            </w:r>
          </w:p>
        </w:tc>
      </w:tr>
      <w:bookmarkEnd w:id="196"/>
    </w:tbl>
    <w:p>
      <w:pPr>
        <w:spacing w:line="400" w:lineRule="exact"/>
        <w:ind w:firstLine="422" w:firstLineChars="200"/>
        <w:jc w:val="left"/>
        <w:rPr>
          <w:rFonts w:ascii="宋体" w:hAnsi="宋体" w:cs="宋体"/>
          <w:b/>
          <w:bCs/>
          <w:sz w:val="21"/>
          <w:szCs w:val="21"/>
        </w:rPr>
      </w:pPr>
      <w:r>
        <w:rPr>
          <w:rFonts w:hint="eastAsia" w:ascii="宋体" w:hAnsi="宋体" w:cs="宋体"/>
          <w:b/>
          <w:bCs/>
          <w:sz w:val="21"/>
          <w:szCs w:val="21"/>
        </w:rPr>
        <w:t>说明：上表所列为投标人的评分条件。</w:t>
      </w:r>
      <w:r>
        <w:rPr>
          <w:rFonts w:hint="eastAsia" w:ascii="宋体" w:hAnsi="宋体" w:cs="宋体"/>
          <w:b/>
          <w:bCs/>
          <w:sz w:val="21"/>
          <w:szCs w:val="21"/>
          <w:lang w:val="en-US" w:eastAsia="zh-CN"/>
        </w:rPr>
        <w:t>以上相关证明材料</w:t>
      </w:r>
      <w:r>
        <w:rPr>
          <w:rFonts w:hint="eastAsia" w:ascii="宋体" w:hAnsi="宋体" w:cs="宋体"/>
          <w:b/>
          <w:bCs/>
          <w:sz w:val="21"/>
          <w:szCs w:val="21"/>
          <w:lang w:val="zh-CN" w:eastAsia="zh-CN"/>
        </w:rPr>
        <w:t>提供有效证书</w:t>
      </w:r>
      <w:r>
        <w:rPr>
          <w:rFonts w:hint="eastAsia" w:ascii="宋体" w:hAnsi="宋体" w:cs="宋体"/>
          <w:b/>
          <w:bCs/>
          <w:sz w:val="21"/>
          <w:szCs w:val="21"/>
          <w:lang w:val="en-US" w:eastAsia="zh-CN"/>
        </w:rPr>
        <w:t>复印件编入投标文件中并加盖单位公章，</w:t>
      </w:r>
      <w:r>
        <w:rPr>
          <w:rFonts w:hint="eastAsia" w:ascii="宋体" w:hAnsi="宋体" w:cs="宋体"/>
          <w:b/>
          <w:bCs/>
          <w:sz w:val="21"/>
          <w:szCs w:val="21"/>
          <w:lang w:val="zh-CN" w:eastAsia="zh-CN"/>
        </w:rPr>
        <w:t>否则不得分。</w:t>
      </w:r>
    </w:p>
    <w:p>
      <w:pPr>
        <w:spacing w:line="400" w:lineRule="exact"/>
        <w:ind w:firstLine="422" w:firstLineChars="200"/>
        <w:jc w:val="left"/>
        <w:outlineLvl w:val="2"/>
        <w:rPr>
          <w:rFonts w:ascii="宋体" w:hAnsi="宋体" w:cs="宋体"/>
          <w:b/>
          <w:sz w:val="21"/>
          <w:szCs w:val="21"/>
        </w:rPr>
      </w:pPr>
      <w:r>
        <w:rPr>
          <w:rFonts w:hint="eastAsia" w:ascii="宋体" w:hAnsi="宋体" w:cs="宋体"/>
          <w:b/>
          <w:sz w:val="21"/>
          <w:szCs w:val="21"/>
        </w:rPr>
        <w:t>（二）价格评分</w:t>
      </w:r>
    </w:p>
    <w:p>
      <w:pPr>
        <w:spacing w:line="400" w:lineRule="exact"/>
        <w:ind w:firstLine="422" w:firstLineChars="200"/>
        <w:jc w:val="left"/>
        <w:rPr>
          <w:rFonts w:hint="eastAsia" w:ascii="宋体" w:hAnsi="宋体" w:eastAsia="宋体" w:cs="宋体"/>
          <w:b/>
          <w:sz w:val="21"/>
          <w:szCs w:val="21"/>
          <w:lang w:eastAsia="zh-CN"/>
        </w:rPr>
      </w:pPr>
      <w:r>
        <w:rPr>
          <w:rFonts w:hint="eastAsia" w:ascii="宋体" w:hAnsi="宋体" w:cs="宋体"/>
          <w:b/>
          <w:sz w:val="21"/>
          <w:szCs w:val="21"/>
        </w:rPr>
        <w:t>1、政策功能的评标价格扣除</w:t>
      </w:r>
      <w:r>
        <w:rPr>
          <w:rFonts w:hint="eastAsia" w:ascii="宋体" w:hAnsi="宋体" w:cs="宋体"/>
          <w:b/>
          <w:sz w:val="21"/>
          <w:szCs w:val="21"/>
          <w:lang w:eastAsia="zh-CN"/>
        </w:rPr>
        <w:t>（</w:t>
      </w:r>
      <w:r>
        <w:rPr>
          <w:rFonts w:hint="eastAsia" w:ascii="宋体" w:hAnsi="宋体" w:cs="宋体"/>
          <w:b/>
          <w:sz w:val="21"/>
          <w:szCs w:val="21"/>
          <w:lang w:val="en-US" w:eastAsia="zh-CN"/>
        </w:rPr>
        <w:t>专门面向中小企业的项目不享受政策价格扣除</w:t>
      </w:r>
      <w:r>
        <w:rPr>
          <w:rFonts w:hint="eastAsia" w:ascii="宋体" w:hAnsi="宋体" w:cs="宋体"/>
          <w:b/>
          <w:sz w:val="21"/>
          <w:szCs w:val="21"/>
          <w:lang w:eastAsia="zh-CN"/>
        </w:rPr>
        <w:t>）</w:t>
      </w:r>
    </w:p>
    <w:p>
      <w:pPr>
        <w:spacing w:line="400" w:lineRule="exact"/>
        <w:ind w:firstLine="420" w:firstLineChars="200"/>
        <w:jc w:val="left"/>
        <w:rPr>
          <w:rFonts w:ascii="宋体" w:hAnsi="宋体" w:cs="宋体"/>
          <w:sz w:val="21"/>
          <w:szCs w:val="21"/>
        </w:rPr>
      </w:pPr>
      <w:r>
        <w:rPr>
          <w:rFonts w:hint="eastAsia" w:ascii="宋体" w:hAnsi="宋体" w:cs="宋体"/>
          <w:sz w:val="21"/>
          <w:szCs w:val="21"/>
        </w:rPr>
        <w:t>（1）“评标价格”是指符合相关政策要求，按一定比例对投标报价进行政策功能的扣除后，仅用作价格分评分的价格（中标价及合同价仍以其投标报价为准）。</w:t>
      </w:r>
    </w:p>
    <w:p>
      <w:pPr>
        <w:spacing w:line="400" w:lineRule="exact"/>
        <w:ind w:firstLine="420" w:firstLineChars="200"/>
        <w:jc w:val="left"/>
        <w:rPr>
          <w:rFonts w:ascii="宋体" w:hAnsi="宋体" w:cs="宋体"/>
          <w:sz w:val="21"/>
          <w:szCs w:val="21"/>
        </w:rPr>
      </w:pPr>
      <w:r>
        <w:rPr>
          <w:rFonts w:hint="eastAsia" w:ascii="宋体" w:hAnsi="宋体" w:cs="宋体"/>
          <w:sz w:val="21"/>
          <w:szCs w:val="21"/>
        </w:rPr>
        <w:t>（2）投标人为小微（监狱）企业且提供的是本企业或其他小微（监狱）企业制造的货物，其评标价格为投标报价扣除6%，即投标报价*94%。</w:t>
      </w:r>
    </w:p>
    <w:p>
      <w:pPr>
        <w:spacing w:line="400" w:lineRule="exact"/>
        <w:ind w:firstLine="420" w:firstLineChars="200"/>
        <w:jc w:val="left"/>
        <w:rPr>
          <w:rFonts w:ascii="宋体" w:hAnsi="宋体" w:cs="宋体"/>
          <w:sz w:val="21"/>
          <w:szCs w:val="21"/>
        </w:rPr>
      </w:pPr>
      <w:r>
        <w:rPr>
          <w:rFonts w:hint="eastAsia" w:ascii="宋体" w:hAnsi="宋体" w:cs="宋体"/>
          <w:sz w:val="21"/>
          <w:szCs w:val="21"/>
        </w:rPr>
        <w:t>（3）残疾人福利性单位参加投标，视为小型、微型企业，享受小微企业政策扶持。 此项由评审小组集体核实后统一打分。</w:t>
      </w:r>
    </w:p>
    <w:p>
      <w:pPr>
        <w:spacing w:line="400" w:lineRule="exact"/>
        <w:ind w:firstLine="420" w:firstLineChars="200"/>
        <w:jc w:val="left"/>
        <w:rPr>
          <w:rFonts w:ascii="宋体" w:hAnsi="宋体" w:cs="宋体"/>
          <w:sz w:val="21"/>
          <w:szCs w:val="21"/>
        </w:rPr>
      </w:pPr>
      <w:r>
        <w:rPr>
          <w:rFonts w:hint="eastAsia" w:ascii="宋体" w:hAnsi="宋体" w:cs="宋体"/>
          <w:sz w:val="21"/>
          <w:szCs w:val="21"/>
        </w:rPr>
        <w:t>（4）联合体投标的，若其成员中有小微（监狱）企业，若其提供的是本企业或其他小微（监狱）企业制造的货物，且其协议合同金额占到联合体协议合同金额30%以上的，该联合体的评标价格为其投标价格扣除2%，即投标报价*98%；</w:t>
      </w:r>
    </w:p>
    <w:p>
      <w:pPr>
        <w:spacing w:line="400" w:lineRule="exact"/>
        <w:ind w:firstLine="420" w:firstLineChars="200"/>
        <w:jc w:val="left"/>
        <w:rPr>
          <w:rFonts w:ascii="宋体" w:hAnsi="宋体" w:cs="宋体"/>
          <w:sz w:val="21"/>
          <w:szCs w:val="21"/>
        </w:rPr>
      </w:pPr>
      <w:r>
        <w:rPr>
          <w:rFonts w:hint="eastAsia" w:ascii="宋体" w:hAnsi="宋体" w:cs="宋体"/>
          <w:sz w:val="21"/>
          <w:szCs w:val="21"/>
        </w:rPr>
        <w:t>（5）证明材料提供不全或无法证明的视为不符合政策功能的评标价格扣除要求，将不予评标价格的扣除</w:t>
      </w:r>
      <w:r>
        <w:rPr>
          <w:rFonts w:hint="eastAsia" w:ascii="宋体" w:hAnsi="宋体" w:cs="宋体"/>
          <w:sz w:val="21"/>
          <w:szCs w:val="21"/>
          <w:lang w:eastAsia="zh-CN"/>
        </w:rPr>
        <w:t>，小型和微型企业应提供《中小企业声明函》；监狱企业应提供《监狱企业声明函》；残疾人福利性单位应提供《残疾人福利性单位声明函》。以上材料未提供不享受报价优惠</w:t>
      </w:r>
      <w:r>
        <w:rPr>
          <w:rFonts w:hint="eastAsia" w:ascii="宋体" w:hAnsi="宋体" w:cs="宋体"/>
          <w:sz w:val="21"/>
          <w:szCs w:val="21"/>
        </w:rPr>
        <w:t>。</w:t>
      </w:r>
    </w:p>
    <w:p>
      <w:pPr>
        <w:spacing w:line="400" w:lineRule="exact"/>
        <w:ind w:firstLine="422" w:firstLineChars="200"/>
        <w:jc w:val="left"/>
        <w:rPr>
          <w:rFonts w:ascii="宋体" w:hAnsi="宋体" w:cs="宋体"/>
          <w:b/>
          <w:sz w:val="21"/>
          <w:szCs w:val="21"/>
        </w:rPr>
      </w:pPr>
      <w:r>
        <w:rPr>
          <w:rFonts w:hint="eastAsia" w:ascii="宋体" w:hAnsi="宋体" w:cs="宋体"/>
          <w:b/>
          <w:sz w:val="21"/>
          <w:szCs w:val="21"/>
        </w:rPr>
        <w:t xml:space="preserve">3、修改评标结果 </w:t>
      </w:r>
    </w:p>
    <w:p>
      <w:pPr>
        <w:spacing w:line="400" w:lineRule="exact"/>
        <w:ind w:firstLine="420" w:firstLineChars="200"/>
        <w:rPr>
          <w:rFonts w:ascii="宋体" w:hAnsi="宋体" w:cs="宋体"/>
          <w:sz w:val="21"/>
          <w:szCs w:val="21"/>
        </w:rPr>
      </w:pPr>
      <w:r>
        <w:rPr>
          <w:rFonts w:hint="eastAsia" w:ascii="宋体" w:hAnsi="宋体" w:cs="宋体"/>
          <w:sz w:val="21"/>
          <w:szCs w:val="21"/>
        </w:rPr>
        <w:t xml:space="preserve">评标结果汇总完成后，除下列情形外，任何人不得修改评标结果： </w:t>
      </w:r>
    </w:p>
    <w:p>
      <w:pPr>
        <w:spacing w:line="400" w:lineRule="exact"/>
        <w:ind w:firstLine="420" w:firstLineChars="200"/>
        <w:rPr>
          <w:rFonts w:ascii="宋体" w:hAnsi="宋体" w:cs="宋体"/>
          <w:sz w:val="21"/>
          <w:szCs w:val="21"/>
        </w:rPr>
      </w:pPr>
      <w:r>
        <w:rPr>
          <w:rFonts w:hint="eastAsia" w:ascii="宋体" w:hAnsi="宋体" w:cs="宋体"/>
          <w:sz w:val="21"/>
          <w:szCs w:val="21"/>
        </w:rPr>
        <w:t>（1）分值汇总计算错误的；</w:t>
      </w:r>
    </w:p>
    <w:p>
      <w:pPr>
        <w:spacing w:line="400" w:lineRule="exact"/>
        <w:ind w:firstLine="420" w:firstLineChars="200"/>
        <w:rPr>
          <w:rFonts w:ascii="宋体" w:hAnsi="宋体" w:cs="宋体"/>
          <w:sz w:val="21"/>
          <w:szCs w:val="21"/>
        </w:rPr>
      </w:pPr>
      <w:r>
        <w:rPr>
          <w:rFonts w:hint="eastAsia" w:ascii="宋体" w:hAnsi="宋体" w:cs="宋体"/>
          <w:sz w:val="21"/>
          <w:szCs w:val="21"/>
        </w:rPr>
        <w:t xml:space="preserve">（2）分项评分超出评分标准范围的； </w:t>
      </w:r>
    </w:p>
    <w:p>
      <w:pPr>
        <w:spacing w:line="400" w:lineRule="exact"/>
        <w:ind w:firstLine="420" w:firstLineChars="200"/>
        <w:rPr>
          <w:rFonts w:ascii="宋体" w:hAnsi="宋体" w:cs="宋体"/>
          <w:sz w:val="21"/>
          <w:szCs w:val="21"/>
        </w:rPr>
      </w:pPr>
      <w:r>
        <w:rPr>
          <w:rFonts w:hint="eastAsia" w:ascii="宋体" w:hAnsi="宋体" w:cs="宋体"/>
          <w:sz w:val="21"/>
          <w:szCs w:val="21"/>
        </w:rPr>
        <w:t xml:space="preserve">（3）评审小组成员对客观评审因素评分不一致的； </w:t>
      </w:r>
    </w:p>
    <w:p>
      <w:pPr>
        <w:spacing w:line="400" w:lineRule="exact"/>
        <w:ind w:firstLine="420" w:firstLineChars="200"/>
        <w:rPr>
          <w:rFonts w:ascii="宋体" w:hAnsi="宋体" w:cs="宋体"/>
          <w:sz w:val="21"/>
          <w:szCs w:val="21"/>
        </w:rPr>
      </w:pPr>
      <w:r>
        <w:rPr>
          <w:rFonts w:hint="eastAsia" w:ascii="宋体" w:hAnsi="宋体" w:cs="宋体"/>
          <w:sz w:val="21"/>
          <w:szCs w:val="21"/>
        </w:rPr>
        <w:t xml:space="preserve">（4）经评审小组认定评分畸高、畸低的。 </w:t>
      </w:r>
    </w:p>
    <w:p/>
    <w:p/>
    <w:sectPr>
      <w:footerReference r:id="rId13" w:type="first"/>
      <w:footerReference r:id="rId11" w:type="default"/>
      <w:footerReference r:id="rId12" w:type="even"/>
      <w:pgSz w:w="11906" w:h="16838"/>
      <w:pgMar w:top="1531" w:right="1553" w:bottom="1531" w:left="1553" w:header="851" w:footer="850" w:gutter="0"/>
      <w:pgNumType w:fmt="decimal"/>
      <w:cols w:space="720" w:num="1"/>
      <w:titlePg/>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uturaA Bk BT">
    <w:altName w:val="Arial"/>
    <w:panose1 w:val="00000000000000000000"/>
    <w:charset w:val="00"/>
    <w:family w:val="swiss"/>
    <w:pitch w:val="default"/>
    <w:sig w:usb0="00000000" w:usb1="00000000" w:usb2="00000000" w:usb3="00000000" w:csb0="0000001B" w:csb1="00000000"/>
  </w:font>
  <w:font w:name="Microsoft JhengHei UI">
    <w:panose1 w:val="020B0604030504040204"/>
    <w:charset w:val="88"/>
    <w:family w:val="swiss"/>
    <w:pitch w:val="default"/>
    <w:sig w:usb0="000002A7" w:usb1="28CF4400" w:usb2="00000016" w:usb3="00000000" w:csb0="00100009"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p>
    <w:pPr>
      <w:pStyle w:val="1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after="120"/>
      <w:ind w:firstLine="422"/>
      <w:jc w:val="center"/>
      <w:rPr>
        <w:b/>
        <w:color w:val="984806"/>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separate"/>
    </w:r>
    <w:r>
      <w:rPr>
        <w:rStyle w:val="23"/>
      </w:rPr>
      <w:t>1</w:t>
    </w:r>
    <w:r>
      <w:fldChar w:fldCharType="end"/>
    </w:r>
  </w:p>
  <w:p>
    <w:pPr>
      <w:pStyle w:val="14"/>
    </w:pPr>
  </w:p>
  <w:p/>
  <w:p/>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72CF61"/>
    <w:multiLevelType w:val="singleLevel"/>
    <w:tmpl w:val="9672CF61"/>
    <w:lvl w:ilvl="0" w:tentative="0">
      <w:start w:val="1"/>
      <w:numFmt w:val="chineseCounting"/>
      <w:suff w:val="nothing"/>
      <w:lvlText w:val="（%1）"/>
      <w:lvlJc w:val="left"/>
      <w:rPr>
        <w:rFonts w:hint="eastAsia"/>
      </w:rPr>
    </w:lvl>
  </w:abstractNum>
  <w:abstractNum w:abstractNumId="1">
    <w:nsid w:val="F674539E"/>
    <w:multiLevelType w:val="singleLevel"/>
    <w:tmpl w:val="F674539E"/>
    <w:lvl w:ilvl="0" w:tentative="0">
      <w:start w:val="1"/>
      <w:numFmt w:val="decimal"/>
      <w:suff w:val="nothing"/>
      <w:lvlText w:val="（%1）"/>
      <w:lvlJc w:val="left"/>
    </w:lvl>
  </w:abstractNum>
  <w:abstractNum w:abstractNumId="2">
    <w:nsid w:val="00000004"/>
    <w:multiLevelType w:val="multilevel"/>
    <w:tmpl w:val="00000004"/>
    <w:lvl w:ilvl="0" w:tentative="0">
      <w:start w:val="1"/>
      <w:numFmt w:val="chineseCountingThousand"/>
      <w:lvlText w:val="第%1章"/>
      <w:lvlJc w:val="center"/>
      <w:pPr>
        <w:tabs>
          <w:tab w:val="left" w:pos="-839"/>
        </w:tabs>
        <w:ind w:left="1320" w:hanging="1320"/>
      </w:pPr>
      <w:rPr>
        <w:rFonts w:hint="eastAsia" w:eastAsia="宋体"/>
        <w:b/>
        <w:i w:val="0"/>
        <w:color w:val="auto"/>
        <w:sz w:val="32"/>
      </w:rPr>
    </w:lvl>
    <w:lvl w:ilvl="1" w:tentative="0">
      <w:start w:val="1"/>
      <w:numFmt w:val="none"/>
      <w:lvlText w:val=" "/>
      <w:lvlJc w:val="left"/>
      <w:pPr>
        <w:tabs>
          <w:tab w:val="left" w:pos="576"/>
        </w:tabs>
        <w:ind w:left="576" w:hanging="576"/>
      </w:pPr>
      <w:rPr>
        <w:rFonts w:hint="eastAsia"/>
      </w:rPr>
    </w:lvl>
    <w:lvl w:ilvl="2" w:tentative="0">
      <w:start w:val="1"/>
      <w:numFmt w:val="none"/>
      <w:pStyle w:val="4"/>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00000006"/>
    <w:multiLevelType w:val="multilevel"/>
    <w:tmpl w:val="00000006"/>
    <w:lvl w:ilvl="0" w:tentative="0">
      <w:start w:val="1"/>
      <w:numFmt w:val="chineseCountingThousand"/>
      <w:pStyle w:val="3"/>
      <w:lvlText w:val="%1、"/>
      <w:lvlJc w:val="left"/>
      <w:pPr>
        <w:tabs>
          <w:tab w:val="left" w:pos="1110"/>
        </w:tabs>
        <w:ind w:left="492" w:firstLine="454"/>
      </w:pPr>
      <w:rPr>
        <w:rFonts w:hint="eastAsia" w:ascii="黑体" w:hAnsi="宋体" w:eastAsia="黑体"/>
        <w:b/>
        <w:i w:val="0"/>
        <w:caps w:val="0"/>
        <w:strike w:val="0"/>
        <w:dstrike w:val="0"/>
        <w:vanish w:val="0"/>
        <w:spacing w:val="0"/>
        <w:position w:val="0"/>
        <w:sz w:val="21"/>
        <w:u w:val="none"/>
        <w:vertAlign w:val="baseline"/>
      </w:rPr>
    </w:lvl>
    <w:lvl w:ilvl="1" w:tentative="0">
      <w:start w:val="1"/>
      <w:numFmt w:val="lowerLetter"/>
      <w:lvlText w:val="%2)"/>
      <w:lvlJc w:val="left"/>
      <w:pPr>
        <w:tabs>
          <w:tab w:val="left" w:pos="1149"/>
        </w:tabs>
        <w:ind w:left="1149" w:hanging="420"/>
      </w:pPr>
    </w:lvl>
    <w:lvl w:ilvl="2" w:tentative="0">
      <w:start w:val="2"/>
      <w:numFmt w:val="japaneseCounting"/>
      <w:lvlText w:val="(%3)"/>
      <w:lvlJc w:val="left"/>
      <w:pPr>
        <w:tabs>
          <w:tab w:val="left" w:pos="1569"/>
        </w:tabs>
        <w:ind w:left="1569" w:hanging="420"/>
      </w:pPr>
      <w:rPr>
        <w:rFonts w:hint="eastAsia"/>
      </w:rPr>
    </w:lvl>
    <w:lvl w:ilvl="3" w:tentative="0">
      <w:start w:val="1"/>
      <w:numFmt w:val="japaneseCounting"/>
      <w:lvlText w:val="（%4）"/>
      <w:lvlJc w:val="left"/>
      <w:pPr>
        <w:tabs>
          <w:tab w:val="left" w:pos="2289"/>
        </w:tabs>
        <w:ind w:left="2289" w:hanging="720"/>
      </w:pPr>
      <w:rPr>
        <w:rFonts w:hint="eastAsia"/>
      </w:rPr>
    </w:lvl>
    <w:lvl w:ilvl="4" w:tentative="0">
      <w:start w:val="3"/>
      <w:numFmt w:val="japaneseCounting"/>
      <w:lvlText w:val="%5、"/>
      <w:lvlJc w:val="left"/>
      <w:pPr>
        <w:tabs>
          <w:tab w:val="left" w:pos="2409"/>
        </w:tabs>
        <w:ind w:left="2409" w:hanging="420"/>
      </w:pPr>
      <w:rPr>
        <w:rFonts w:hint="eastAsia"/>
      </w:rPr>
    </w:lvl>
    <w:lvl w:ilvl="5" w:tentative="0">
      <w:start w:val="1"/>
      <w:numFmt w:val="decimal"/>
      <w:lvlText w:val="%6、"/>
      <w:lvlJc w:val="left"/>
      <w:pPr>
        <w:tabs>
          <w:tab w:val="left" w:pos="3144"/>
        </w:tabs>
        <w:ind w:left="3144" w:hanging="735"/>
      </w:pPr>
      <w:rPr>
        <w:rFonts w:hint="eastAsia"/>
      </w:rPr>
    </w:lvl>
    <w:lvl w:ilvl="6" w:tentative="0">
      <w:start w:val="1"/>
      <w:numFmt w:val="decimal"/>
      <w:lvlText w:val="%7."/>
      <w:lvlJc w:val="left"/>
      <w:pPr>
        <w:tabs>
          <w:tab w:val="left" w:pos="3249"/>
        </w:tabs>
        <w:ind w:left="3249" w:hanging="420"/>
      </w:pPr>
    </w:lvl>
    <w:lvl w:ilvl="7" w:tentative="0">
      <w:start w:val="1"/>
      <w:numFmt w:val="lowerLetter"/>
      <w:lvlText w:val="%8)"/>
      <w:lvlJc w:val="left"/>
      <w:pPr>
        <w:tabs>
          <w:tab w:val="left" w:pos="3669"/>
        </w:tabs>
        <w:ind w:left="3669" w:hanging="420"/>
      </w:pPr>
    </w:lvl>
    <w:lvl w:ilvl="8" w:tentative="0">
      <w:start w:val="1"/>
      <w:numFmt w:val="lowerRoman"/>
      <w:lvlText w:val="%9."/>
      <w:lvlJc w:val="right"/>
      <w:pPr>
        <w:tabs>
          <w:tab w:val="left" w:pos="4089"/>
        </w:tabs>
        <w:ind w:left="4089" w:hanging="420"/>
      </w:pPr>
    </w:lvl>
  </w:abstractNum>
  <w:abstractNum w:abstractNumId="4">
    <w:nsid w:val="12C57095"/>
    <w:multiLevelType w:val="singleLevel"/>
    <w:tmpl w:val="12C57095"/>
    <w:lvl w:ilvl="0" w:tentative="0">
      <w:start w:val="2"/>
      <w:numFmt w:val="decimal"/>
      <w:suff w:val="nothing"/>
      <w:lvlText w:val="%1、"/>
      <w:lvlJc w:val="left"/>
    </w:lvl>
  </w:abstractNum>
  <w:abstractNum w:abstractNumId="5">
    <w:nsid w:val="17E137F8"/>
    <w:multiLevelType w:val="singleLevel"/>
    <w:tmpl w:val="17E137F8"/>
    <w:lvl w:ilvl="0" w:tentative="0">
      <w:start w:val="1"/>
      <w:numFmt w:val="decimal"/>
      <w:suff w:val="nothing"/>
      <w:lvlText w:val="（%1）"/>
      <w:lvlJc w:val="left"/>
    </w:lvl>
  </w:abstractNum>
  <w:abstractNum w:abstractNumId="6">
    <w:nsid w:val="5A6D5175"/>
    <w:multiLevelType w:val="singleLevel"/>
    <w:tmpl w:val="5A6D5175"/>
    <w:lvl w:ilvl="0" w:tentative="0">
      <w:start w:val="3"/>
      <w:numFmt w:val="chineseCounting"/>
      <w:suff w:val="nothing"/>
      <w:lvlText w:val="%1、"/>
      <w:lvlJc w:val="left"/>
      <w:rPr>
        <w:rFonts w:hint="eastAsia"/>
      </w:rPr>
    </w:lvl>
  </w:abstractNum>
  <w:abstractNum w:abstractNumId="7">
    <w:nsid w:val="70F8F846"/>
    <w:multiLevelType w:val="singleLevel"/>
    <w:tmpl w:val="70F8F846"/>
    <w:lvl w:ilvl="0" w:tentative="0">
      <w:start w:val="1"/>
      <w:numFmt w:val="decimal"/>
      <w:suff w:val="nothing"/>
      <w:lvlText w:val="%1、"/>
      <w:lvlJc w:val="left"/>
    </w:lvl>
  </w:abstractNum>
  <w:num w:numId="1">
    <w:abstractNumId w:val="3"/>
  </w:num>
  <w:num w:numId="2">
    <w:abstractNumId w:val="2"/>
  </w:num>
  <w:num w:numId="3">
    <w:abstractNumId w:val="1"/>
  </w:num>
  <w:num w:numId="4">
    <w:abstractNumId w:val="4"/>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82"/>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2EF"/>
    <w:rsid w:val="000F1FE2"/>
    <w:rsid w:val="00123C08"/>
    <w:rsid w:val="00A872EF"/>
    <w:rsid w:val="00C672AE"/>
    <w:rsid w:val="00C84BDA"/>
    <w:rsid w:val="00CF3D09"/>
    <w:rsid w:val="00E928CA"/>
    <w:rsid w:val="00EB6786"/>
    <w:rsid w:val="00EF35FE"/>
    <w:rsid w:val="00FC34AF"/>
    <w:rsid w:val="01255F4D"/>
    <w:rsid w:val="013144CC"/>
    <w:rsid w:val="01886DD7"/>
    <w:rsid w:val="01D12D4C"/>
    <w:rsid w:val="01F23BEF"/>
    <w:rsid w:val="024617CF"/>
    <w:rsid w:val="026F66CC"/>
    <w:rsid w:val="02E40445"/>
    <w:rsid w:val="03154229"/>
    <w:rsid w:val="03286B82"/>
    <w:rsid w:val="033E2DB6"/>
    <w:rsid w:val="03BE0828"/>
    <w:rsid w:val="03D909A9"/>
    <w:rsid w:val="04565529"/>
    <w:rsid w:val="047357ED"/>
    <w:rsid w:val="04B57938"/>
    <w:rsid w:val="04DC2DEB"/>
    <w:rsid w:val="04EC233D"/>
    <w:rsid w:val="052B1343"/>
    <w:rsid w:val="05A5334E"/>
    <w:rsid w:val="05DA24B2"/>
    <w:rsid w:val="05DF3A00"/>
    <w:rsid w:val="05F51CCA"/>
    <w:rsid w:val="071C1475"/>
    <w:rsid w:val="0758466D"/>
    <w:rsid w:val="07626AA7"/>
    <w:rsid w:val="079741FF"/>
    <w:rsid w:val="07A40027"/>
    <w:rsid w:val="07FC54D3"/>
    <w:rsid w:val="0850094A"/>
    <w:rsid w:val="08764BC9"/>
    <w:rsid w:val="09512854"/>
    <w:rsid w:val="09785761"/>
    <w:rsid w:val="0A3D53B2"/>
    <w:rsid w:val="0A3D7B34"/>
    <w:rsid w:val="0A4A187B"/>
    <w:rsid w:val="0A772BC3"/>
    <w:rsid w:val="0AE70131"/>
    <w:rsid w:val="0B9455A6"/>
    <w:rsid w:val="0BBE1084"/>
    <w:rsid w:val="0BCA5669"/>
    <w:rsid w:val="0BF7568D"/>
    <w:rsid w:val="0C0A3677"/>
    <w:rsid w:val="0CE60D1E"/>
    <w:rsid w:val="0D207847"/>
    <w:rsid w:val="0D4142E3"/>
    <w:rsid w:val="0D4B5402"/>
    <w:rsid w:val="0DCF2E4B"/>
    <w:rsid w:val="0DF9739D"/>
    <w:rsid w:val="0E0115BF"/>
    <w:rsid w:val="0ECA15B5"/>
    <w:rsid w:val="0F2D33EC"/>
    <w:rsid w:val="0F771B01"/>
    <w:rsid w:val="0FDD05EC"/>
    <w:rsid w:val="101B20E3"/>
    <w:rsid w:val="101F4B09"/>
    <w:rsid w:val="103B793C"/>
    <w:rsid w:val="10627AD7"/>
    <w:rsid w:val="1081500E"/>
    <w:rsid w:val="111C37FA"/>
    <w:rsid w:val="111E7DB2"/>
    <w:rsid w:val="11B37774"/>
    <w:rsid w:val="11CB59FA"/>
    <w:rsid w:val="12555DDC"/>
    <w:rsid w:val="12D316E9"/>
    <w:rsid w:val="12D41EE0"/>
    <w:rsid w:val="13165142"/>
    <w:rsid w:val="13312BCF"/>
    <w:rsid w:val="13882E97"/>
    <w:rsid w:val="138906D8"/>
    <w:rsid w:val="13FA714B"/>
    <w:rsid w:val="140421D9"/>
    <w:rsid w:val="141F7B1D"/>
    <w:rsid w:val="1426494E"/>
    <w:rsid w:val="145615E8"/>
    <w:rsid w:val="145B1B4A"/>
    <w:rsid w:val="14E10C70"/>
    <w:rsid w:val="150E006B"/>
    <w:rsid w:val="15CA53D7"/>
    <w:rsid w:val="16343820"/>
    <w:rsid w:val="167622C6"/>
    <w:rsid w:val="16AA7292"/>
    <w:rsid w:val="16AF0A37"/>
    <w:rsid w:val="17876893"/>
    <w:rsid w:val="18597C98"/>
    <w:rsid w:val="18D666B9"/>
    <w:rsid w:val="19143213"/>
    <w:rsid w:val="194E1E2D"/>
    <w:rsid w:val="196360A9"/>
    <w:rsid w:val="198E013A"/>
    <w:rsid w:val="19EB1C0F"/>
    <w:rsid w:val="1A2B7E2D"/>
    <w:rsid w:val="1A8E406A"/>
    <w:rsid w:val="1ABE4226"/>
    <w:rsid w:val="1BD33BDE"/>
    <w:rsid w:val="1C9536AA"/>
    <w:rsid w:val="1CBE7D6F"/>
    <w:rsid w:val="1CDA0E83"/>
    <w:rsid w:val="1D086418"/>
    <w:rsid w:val="1D16038F"/>
    <w:rsid w:val="1D462E65"/>
    <w:rsid w:val="1D526E45"/>
    <w:rsid w:val="1DAC5DDD"/>
    <w:rsid w:val="1DC37F40"/>
    <w:rsid w:val="1E6433E1"/>
    <w:rsid w:val="1F1E04D1"/>
    <w:rsid w:val="1FF07903"/>
    <w:rsid w:val="1FF24DA0"/>
    <w:rsid w:val="205F0DE8"/>
    <w:rsid w:val="20953690"/>
    <w:rsid w:val="209E46EF"/>
    <w:rsid w:val="20C03CE3"/>
    <w:rsid w:val="21124BEC"/>
    <w:rsid w:val="21366F87"/>
    <w:rsid w:val="213B1DBA"/>
    <w:rsid w:val="21D80DF3"/>
    <w:rsid w:val="22000221"/>
    <w:rsid w:val="226052AE"/>
    <w:rsid w:val="227C62CE"/>
    <w:rsid w:val="23187DCD"/>
    <w:rsid w:val="237A2AD3"/>
    <w:rsid w:val="238763DD"/>
    <w:rsid w:val="238A660D"/>
    <w:rsid w:val="238D1B97"/>
    <w:rsid w:val="25222BD0"/>
    <w:rsid w:val="2547129B"/>
    <w:rsid w:val="257A0A17"/>
    <w:rsid w:val="25811378"/>
    <w:rsid w:val="25E6510D"/>
    <w:rsid w:val="25F30111"/>
    <w:rsid w:val="261F7E42"/>
    <w:rsid w:val="26737287"/>
    <w:rsid w:val="268401C6"/>
    <w:rsid w:val="26DC79E7"/>
    <w:rsid w:val="26E55B87"/>
    <w:rsid w:val="27364579"/>
    <w:rsid w:val="273A3580"/>
    <w:rsid w:val="27B869E5"/>
    <w:rsid w:val="27C712D9"/>
    <w:rsid w:val="27CB7894"/>
    <w:rsid w:val="27DB08A5"/>
    <w:rsid w:val="28000684"/>
    <w:rsid w:val="280F704A"/>
    <w:rsid w:val="28532066"/>
    <w:rsid w:val="28820A82"/>
    <w:rsid w:val="28A2312B"/>
    <w:rsid w:val="28CA54C8"/>
    <w:rsid w:val="2997142C"/>
    <w:rsid w:val="29A2622A"/>
    <w:rsid w:val="29DF10DB"/>
    <w:rsid w:val="2A003868"/>
    <w:rsid w:val="2A01475F"/>
    <w:rsid w:val="2A0E681D"/>
    <w:rsid w:val="2A81469C"/>
    <w:rsid w:val="2A844AEE"/>
    <w:rsid w:val="2A94140E"/>
    <w:rsid w:val="2A977093"/>
    <w:rsid w:val="2AB7120E"/>
    <w:rsid w:val="2AC100BF"/>
    <w:rsid w:val="2B324C85"/>
    <w:rsid w:val="2BB30127"/>
    <w:rsid w:val="2C581038"/>
    <w:rsid w:val="2C6C46D0"/>
    <w:rsid w:val="2C70521F"/>
    <w:rsid w:val="2C846177"/>
    <w:rsid w:val="2CA54619"/>
    <w:rsid w:val="2CB900BB"/>
    <w:rsid w:val="2CEF64FA"/>
    <w:rsid w:val="2D370C6F"/>
    <w:rsid w:val="2E010D82"/>
    <w:rsid w:val="2E0A2B6E"/>
    <w:rsid w:val="2E366DB2"/>
    <w:rsid w:val="2EC07063"/>
    <w:rsid w:val="2F534F2E"/>
    <w:rsid w:val="2F621054"/>
    <w:rsid w:val="2F9D2426"/>
    <w:rsid w:val="2FA03ABC"/>
    <w:rsid w:val="2FC7283E"/>
    <w:rsid w:val="306E32E6"/>
    <w:rsid w:val="30A855E2"/>
    <w:rsid w:val="30DA45B2"/>
    <w:rsid w:val="30DA6390"/>
    <w:rsid w:val="31EF0510"/>
    <w:rsid w:val="3245721C"/>
    <w:rsid w:val="326D522A"/>
    <w:rsid w:val="32966B9A"/>
    <w:rsid w:val="32C628E0"/>
    <w:rsid w:val="32CE7F3D"/>
    <w:rsid w:val="332C38B5"/>
    <w:rsid w:val="336C5C6A"/>
    <w:rsid w:val="3370248C"/>
    <w:rsid w:val="33712CA4"/>
    <w:rsid w:val="33807C57"/>
    <w:rsid w:val="34072D95"/>
    <w:rsid w:val="34DD5B08"/>
    <w:rsid w:val="35234674"/>
    <w:rsid w:val="359226C3"/>
    <w:rsid w:val="35B05956"/>
    <w:rsid w:val="35BD6E5F"/>
    <w:rsid w:val="36081B22"/>
    <w:rsid w:val="360831D6"/>
    <w:rsid w:val="36813630"/>
    <w:rsid w:val="371C7E72"/>
    <w:rsid w:val="374340BA"/>
    <w:rsid w:val="37512A70"/>
    <w:rsid w:val="37885DC5"/>
    <w:rsid w:val="37991861"/>
    <w:rsid w:val="37C26410"/>
    <w:rsid w:val="38254C0E"/>
    <w:rsid w:val="38470E18"/>
    <w:rsid w:val="387E7F8F"/>
    <w:rsid w:val="38C20AE8"/>
    <w:rsid w:val="38E42DA1"/>
    <w:rsid w:val="392814EB"/>
    <w:rsid w:val="39410DCD"/>
    <w:rsid w:val="39FA1685"/>
    <w:rsid w:val="3A150AE4"/>
    <w:rsid w:val="3AAE5667"/>
    <w:rsid w:val="3B9179B7"/>
    <w:rsid w:val="3BDF70AC"/>
    <w:rsid w:val="3BFF3632"/>
    <w:rsid w:val="3C297951"/>
    <w:rsid w:val="3CB551D0"/>
    <w:rsid w:val="3D3D6CCA"/>
    <w:rsid w:val="3DFE0A87"/>
    <w:rsid w:val="3E4853CA"/>
    <w:rsid w:val="3F14566E"/>
    <w:rsid w:val="3FA85F12"/>
    <w:rsid w:val="3FAF29A1"/>
    <w:rsid w:val="3FE239A9"/>
    <w:rsid w:val="3FF057ED"/>
    <w:rsid w:val="41327785"/>
    <w:rsid w:val="41430FF5"/>
    <w:rsid w:val="415B386A"/>
    <w:rsid w:val="43060EE4"/>
    <w:rsid w:val="433B651F"/>
    <w:rsid w:val="43433887"/>
    <w:rsid w:val="43581689"/>
    <w:rsid w:val="43BF33E1"/>
    <w:rsid w:val="43C00EC3"/>
    <w:rsid w:val="43CA2084"/>
    <w:rsid w:val="4404467C"/>
    <w:rsid w:val="44173704"/>
    <w:rsid w:val="44691F80"/>
    <w:rsid w:val="4476539B"/>
    <w:rsid w:val="44961EE8"/>
    <w:rsid w:val="460314D4"/>
    <w:rsid w:val="46284551"/>
    <w:rsid w:val="4682255D"/>
    <w:rsid w:val="47357679"/>
    <w:rsid w:val="476A7545"/>
    <w:rsid w:val="47B80206"/>
    <w:rsid w:val="47FE7B6A"/>
    <w:rsid w:val="481806BC"/>
    <w:rsid w:val="48682FDC"/>
    <w:rsid w:val="48FA0AFA"/>
    <w:rsid w:val="490F70DE"/>
    <w:rsid w:val="491E78D1"/>
    <w:rsid w:val="49232497"/>
    <w:rsid w:val="49704182"/>
    <w:rsid w:val="49AF010C"/>
    <w:rsid w:val="49EF3F1C"/>
    <w:rsid w:val="4A2C0723"/>
    <w:rsid w:val="4A3E5F6B"/>
    <w:rsid w:val="4A5B28CA"/>
    <w:rsid w:val="4A6C444F"/>
    <w:rsid w:val="4A703539"/>
    <w:rsid w:val="4A865CC7"/>
    <w:rsid w:val="4A9A2B62"/>
    <w:rsid w:val="4AD137C4"/>
    <w:rsid w:val="4ADB4A1F"/>
    <w:rsid w:val="4B1E0AB4"/>
    <w:rsid w:val="4B885D56"/>
    <w:rsid w:val="4BEB5A42"/>
    <w:rsid w:val="4C816C8A"/>
    <w:rsid w:val="4CCD19E8"/>
    <w:rsid w:val="4CD32A1D"/>
    <w:rsid w:val="4DAD2723"/>
    <w:rsid w:val="4DF225CE"/>
    <w:rsid w:val="4E237E61"/>
    <w:rsid w:val="4EC63E95"/>
    <w:rsid w:val="4EF05553"/>
    <w:rsid w:val="4F237720"/>
    <w:rsid w:val="4F8055AA"/>
    <w:rsid w:val="4F8F0A19"/>
    <w:rsid w:val="4FBF5C3D"/>
    <w:rsid w:val="507434BD"/>
    <w:rsid w:val="509C082E"/>
    <w:rsid w:val="51B6417B"/>
    <w:rsid w:val="51BC2E32"/>
    <w:rsid w:val="51FE43DA"/>
    <w:rsid w:val="51FE4DA8"/>
    <w:rsid w:val="521E2C7A"/>
    <w:rsid w:val="52885A4C"/>
    <w:rsid w:val="52BB278A"/>
    <w:rsid w:val="52D15212"/>
    <w:rsid w:val="52D80E96"/>
    <w:rsid w:val="5304406A"/>
    <w:rsid w:val="53CA3DAA"/>
    <w:rsid w:val="54964B16"/>
    <w:rsid w:val="54C71BB8"/>
    <w:rsid w:val="54E361ED"/>
    <w:rsid w:val="54E57081"/>
    <w:rsid w:val="54F31E66"/>
    <w:rsid w:val="551B6987"/>
    <w:rsid w:val="55D60715"/>
    <w:rsid w:val="562172C9"/>
    <w:rsid w:val="56AA6154"/>
    <w:rsid w:val="57225A07"/>
    <w:rsid w:val="57317A47"/>
    <w:rsid w:val="57A118C2"/>
    <w:rsid w:val="57A27D5B"/>
    <w:rsid w:val="57A61EB5"/>
    <w:rsid w:val="58117050"/>
    <w:rsid w:val="5816304A"/>
    <w:rsid w:val="581D76A1"/>
    <w:rsid w:val="584C7469"/>
    <w:rsid w:val="58635633"/>
    <w:rsid w:val="587239A0"/>
    <w:rsid w:val="58AF1D61"/>
    <w:rsid w:val="58CF4D7A"/>
    <w:rsid w:val="58DE5E3F"/>
    <w:rsid w:val="58F07CF3"/>
    <w:rsid w:val="5951611B"/>
    <w:rsid w:val="59596FAA"/>
    <w:rsid w:val="5A431DF0"/>
    <w:rsid w:val="5A630A49"/>
    <w:rsid w:val="5B361AFF"/>
    <w:rsid w:val="5B4009AD"/>
    <w:rsid w:val="5BD52A04"/>
    <w:rsid w:val="5C08357D"/>
    <w:rsid w:val="5C1613C7"/>
    <w:rsid w:val="5C5126D5"/>
    <w:rsid w:val="5CC515C5"/>
    <w:rsid w:val="5D2E50E9"/>
    <w:rsid w:val="5DEC5661"/>
    <w:rsid w:val="5E66419C"/>
    <w:rsid w:val="5EFF0A77"/>
    <w:rsid w:val="5F426AB0"/>
    <w:rsid w:val="5F6416C9"/>
    <w:rsid w:val="5F853F5B"/>
    <w:rsid w:val="5FCC3445"/>
    <w:rsid w:val="5FE72C48"/>
    <w:rsid w:val="60094118"/>
    <w:rsid w:val="603C302F"/>
    <w:rsid w:val="60441E52"/>
    <w:rsid w:val="60505BD2"/>
    <w:rsid w:val="607D04E9"/>
    <w:rsid w:val="609F2FA4"/>
    <w:rsid w:val="60B354B5"/>
    <w:rsid w:val="60E74931"/>
    <w:rsid w:val="60E92B1D"/>
    <w:rsid w:val="60F00C50"/>
    <w:rsid w:val="61640E3B"/>
    <w:rsid w:val="617D7AD7"/>
    <w:rsid w:val="61AA21AB"/>
    <w:rsid w:val="61CD74A7"/>
    <w:rsid w:val="6202063E"/>
    <w:rsid w:val="621E5E42"/>
    <w:rsid w:val="62963389"/>
    <w:rsid w:val="639D628D"/>
    <w:rsid w:val="639E00FC"/>
    <w:rsid w:val="63CF3FC3"/>
    <w:rsid w:val="63D3156F"/>
    <w:rsid w:val="64714D7E"/>
    <w:rsid w:val="64737EAC"/>
    <w:rsid w:val="648F53E9"/>
    <w:rsid w:val="65B760E9"/>
    <w:rsid w:val="66243E06"/>
    <w:rsid w:val="662D538B"/>
    <w:rsid w:val="66334FDA"/>
    <w:rsid w:val="66375D55"/>
    <w:rsid w:val="663E107B"/>
    <w:rsid w:val="666A6AF9"/>
    <w:rsid w:val="668543E8"/>
    <w:rsid w:val="668948EE"/>
    <w:rsid w:val="6691055F"/>
    <w:rsid w:val="66A7092D"/>
    <w:rsid w:val="66B024B5"/>
    <w:rsid w:val="66BF3FAD"/>
    <w:rsid w:val="66EE5207"/>
    <w:rsid w:val="66FC1B15"/>
    <w:rsid w:val="67006532"/>
    <w:rsid w:val="671F3E0F"/>
    <w:rsid w:val="673B49EE"/>
    <w:rsid w:val="67986A34"/>
    <w:rsid w:val="67A40AF2"/>
    <w:rsid w:val="67E5697C"/>
    <w:rsid w:val="67F7659C"/>
    <w:rsid w:val="689454A2"/>
    <w:rsid w:val="68973E53"/>
    <w:rsid w:val="68CA17BB"/>
    <w:rsid w:val="68CA17DB"/>
    <w:rsid w:val="69156A5A"/>
    <w:rsid w:val="6A10173F"/>
    <w:rsid w:val="6A994CE4"/>
    <w:rsid w:val="6AF52FF4"/>
    <w:rsid w:val="6AF93628"/>
    <w:rsid w:val="6B332026"/>
    <w:rsid w:val="6B660156"/>
    <w:rsid w:val="6BA4677B"/>
    <w:rsid w:val="6BEE3858"/>
    <w:rsid w:val="6C2823C9"/>
    <w:rsid w:val="6C4F4DB0"/>
    <w:rsid w:val="6C7C0D51"/>
    <w:rsid w:val="6D852730"/>
    <w:rsid w:val="6DE346C8"/>
    <w:rsid w:val="6DE64E01"/>
    <w:rsid w:val="6E3264F0"/>
    <w:rsid w:val="6E3E4A87"/>
    <w:rsid w:val="6EDA1475"/>
    <w:rsid w:val="6F0C2C5D"/>
    <w:rsid w:val="6F1D57B2"/>
    <w:rsid w:val="6F2D78B6"/>
    <w:rsid w:val="6F453B52"/>
    <w:rsid w:val="6F6B7566"/>
    <w:rsid w:val="6FB75F33"/>
    <w:rsid w:val="70221F35"/>
    <w:rsid w:val="70463A86"/>
    <w:rsid w:val="705C6A82"/>
    <w:rsid w:val="706502A1"/>
    <w:rsid w:val="7065310F"/>
    <w:rsid w:val="708F23C0"/>
    <w:rsid w:val="70C14883"/>
    <w:rsid w:val="70E02CF0"/>
    <w:rsid w:val="714976A7"/>
    <w:rsid w:val="719B45A2"/>
    <w:rsid w:val="71D75CE8"/>
    <w:rsid w:val="720706AE"/>
    <w:rsid w:val="723D3D15"/>
    <w:rsid w:val="72AF2096"/>
    <w:rsid w:val="72D10D9D"/>
    <w:rsid w:val="72D11755"/>
    <w:rsid w:val="733A080D"/>
    <w:rsid w:val="73621F41"/>
    <w:rsid w:val="73963EDE"/>
    <w:rsid w:val="73A25323"/>
    <w:rsid w:val="73DB49B2"/>
    <w:rsid w:val="74F51A14"/>
    <w:rsid w:val="752E70AC"/>
    <w:rsid w:val="75E629B4"/>
    <w:rsid w:val="75F25AC3"/>
    <w:rsid w:val="768660B8"/>
    <w:rsid w:val="769356D9"/>
    <w:rsid w:val="76FC3E60"/>
    <w:rsid w:val="773D254F"/>
    <w:rsid w:val="77993463"/>
    <w:rsid w:val="77C4087B"/>
    <w:rsid w:val="780A0F79"/>
    <w:rsid w:val="78121D63"/>
    <w:rsid w:val="785118A5"/>
    <w:rsid w:val="786E3458"/>
    <w:rsid w:val="788F7288"/>
    <w:rsid w:val="78C2575F"/>
    <w:rsid w:val="78E04C99"/>
    <w:rsid w:val="7954454B"/>
    <w:rsid w:val="79C728E8"/>
    <w:rsid w:val="7A3E1EA2"/>
    <w:rsid w:val="7A6C7218"/>
    <w:rsid w:val="7A7461F1"/>
    <w:rsid w:val="7A74659D"/>
    <w:rsid w:val="7AC427BD"/>
    <w:rsid w:val="7ADF72FD"/>
    <w:rsid w:val="7AE1341A"/>
    <w:rsid w:val="7AEF6C2E"/>
    <w:rsid w:val="7B015BB4"/>
    <w:rsid w:val="7B2D5767"/>
    <w:rsid w:val="7BBE1B0C"/>
    <w:rsid w:val="7BD24DD2"/>
    <w:rsid w:val="7BDB330C"/>
    <w:rsid w:val="7BFE0FA6"/>
    <w:rsid w:val="7C263B6D"/>
    <w:rsid w:val="7C2A2921"/>
    <w:rsid w:val="7C3376D7"/>
    <w:rsid w:val="7C442592"/>
    <w:rsid w:val="7C643B75"/>
    <w:rsid w:val="7C906735"/>
    <w:rsid w:val="7D0D5C82"/>
    <w:rsid w:val="7D486A70"/>
    <w:rsid w:val="7D5B6F59"/>
    <w:rsid w:val="7DB97104"/>
    <w:rsid w:val="7E154AB9"/>
    <w:rsid w:val="7E2C203A"/>
    <w:rsid w:val="7E66318A"/>
    <w:rsid w:val="7E931AD4"/>
    <w:rsid w:val="7E97452A"/>
    <w:rsid w:val="7EA816A6"/>
    <w:rsid w:val="7FA40EAF"/>
    <w:rsid w:val="7FD301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34"/>
    <w:qFormat/>
    <w:uiPriority w:val="9"/>
    <w:pPr>
      <w:keepNext/>
      <w:widowControl/>
      <w:spacing w:line="360" w:lineRule="auto"/>
      <w:jc w:val="center"/>
      <w:outlineLvl w:val="0"/>
    </w:pPr>
    <w:rPr>
      <w:rFonts w:ascii="黑体"/>
      <w:b/>
      <w:kern w:val="0"/>
      <w:sz w:val="32"/>
    </w:rPr>
  </w:style>
  <w:style w:type="paragraph" w:styleId="3">
    <w:name w:val="heading 2"/>
    <w:basedOn w:val="1"/>
    <w:next w:val="1"/>
    <w:qFormat/>
    <w:uiPriority w:val="0"/>
    <w:pPr>
      <w:keepNext/>
      <w:keepLines/>
      <w:numPr>
        <w:ilvl w:val="0"/>
        <w:numId w:val="1"/>
      </w:numPr>
      <w:tabs>
        <w:tab w:val="left" w:pos="706"/>
      </w:tabs>
      <w:spacing w:line="360" w:lineRule="auto"/>
      <w:outlineLvl w:val="1"/>
    </w:pPr>
    <w:rPr>
      <w:rFonts w:ascii="Arial" w:hAnsi="Arial" w:eastAsia="黑体"/>
      <w:sz w:val="21"/>
    </w:rPr>
  </w:style>
  <w:style w:type="paragraph" w:styleId="4">
    <w:name w:val="heading 3"/>
    <w:basedOn w:val="1"/>
    <w:next w:val="1"/>
    <w:qFormat/>
    <w:uiPriority w:val="0"/>
    <w:pPr>
      <w:keepNext/>
      <w:keepLines/>
      <w:widowControl/>
      <w:numPr>
        <w:ilvl w:val="2"/>
        <w:numId w:val="2"/>
      </w:numPr>
      <w:spacing w:before="120" w:after="120" w:line="360" w:lineRule="auto"/>
      <w:jc w:val="center"/>
      <w:outlineLvl w:val="2"/>
    </w:pPr>
    <w:rPr>
      <w:b/>
      <w:kern w:val="0"/>
      <w:sz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7"/>
    <w:qFormat/>
    <w:uiPriority w:val="0"/>
    <w:rPr>
      <w:sz w:val="24"/>
    </w:rPr>
  </w:style>
  <w:style w:type="paragraph" w:styleId="7">
    <w:name w:val="Body Text First Indent"/>
    <w:basedOn w:val="6"/>
    <w:qFormat/>
    <w:uiPriority w:val="0"/>
    <w:pPr>
      <w:ind w:firstLine="420" w:firstLineChars="100"/>
    </w:pPr>
    <w:rPr>
      <w:rFonts w:ascii="等线" w:hAnsi="等线" w:eastAsia="等线"/>
      <w:sz w:val="21"/>
    </w:rPr>
  </w:style>
  <w:style w:type="paragraph" w:styleId="8">
    <w:name w:val="Body Text Indent"/>
    <w:basedOn w:val="1"/>
    <w:next w:val="1"/>
    <w:qFormat/>
    <w:uiPriority w:val="0"/>
    <w:pPr>
      <w:spacing w:line="480" w:lineRule="atLeast"/>
      <w:ind w:firstLine="570"/>
    </w:pPr>
    <w:rPr>
      <w:rFonts w:ascii="黑体" w:eastAsia="黑体"/>
    </w:rPr>
  </w:style>
  <w:style w:type="paragraph" w:styleId="9">
    <w:name w:val="Block Text"/>
    <w:basedOn w:val="1"/>
    <w:qFormat/>
    <w:uiPriority w:val="0"/>
    <w:pPr>
      <w:ind w:left="-718" w:leftChars="-342" w:right="-512" w:rightChars="-244" w:firstLine="560" w:firstLineChars="200"/>
    </w:pPr>
    <w:rPr>
      <w:sz w:val="28"/>
      <w:szCs w:val="24"/>
    </w:rPr>
  </w:style>
  <w:style w:type="paragraph" w:styleId="10">
    <w:name w:val="index 4"/>
    <w:basedOn w:val="1"/>
    <w:next w:val="1"/>
    <w:qFormat/>
    <w:uiPriority w:val="0"/>
    <w:pPr>
      <w:ind w:left="600" w:leftChars="600"/>
    </w:pPr>
    <w:rPr>
      <w:sz w:val="21"/>
    </w:rPr>
  </w:style>
  <w:style w:type="paragraph" w:styleId="11">
    <w:name w:val="Plain Text"/>
    <w:basedOn w:val="1"/>
    <w:next w:val="12"/>
    <w:qFormat/>
    <w:uiPriority w:val="0"/>
    <w:rPr>
      <w:rFonts w:ascii="宋体" w:hAnsi="Courier New"/>
      <w:sz w:val="21"/>
    </w:rPr>
  </w:style>
  <w:style w:type="paragraph" w:styleId="12">
    <w:name w:val="Date"/>
    <w:basedOn w:val="1"/>
    <w:next w:val="1"/>
    <w:qFormat/>
    <w:uiPriority w:val="0"/>
    <w:pPr>
      <w:adjustRightInd w:val="0"/>
      <w:jc w:val="right"/>
      <w:textAlignment w:val="baseline"/>
    </w:pPr>
    <w:rPr>
      <w:rFonts w:eastAsia="仿宋_GB2312"/>
      <w:b/>
      <w:kern w:val="0"/>
    </w:rPr>
  </w:style>
  <w:style w:type="paragraph" w:styleId="13">
    <w:name w:val="Balloon Text"/>
    <w:basedOn w:val="1"/>
    <w:link w:val="40"/>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rPr>
  </w:style>
  <w:style w:type="paragraph" w:styleId="16">
    <w:name w:val="toc 1"/>
    <w:basedOn w:val="1"/>
    <w:next w:val="1"/>
    <w:qFormat/>
    <w:uiPriority w:val="39"/>
    <w:pPr>
      <w:tabs>
        <w:tab w:val="right" w:leader="dot" w:pos="8364"/>
      </w:tabs>
      <w:spacing w:line="360" w:lineRule="auto"/>
      <w:jc w:val="left"/>
    </w:pPr>
    <w:rPr>
      <w:rFonts w:ascii="Calibri" w:hAnsi="Calibri"/>
      <w:b/>
      <w:caps/>
      <w:sz w:val="20"/>
    </w:rPr>
  </w:style>
  <w:style w:type="paragraph" w:styleId="17">
    <w:name w:val="toc 2"/>
    <w:basedOn w:val="1"/>
    <w:next w:val="1"/>
    <w:qFormat/>
    <w:uiPriority w:val="39"/>
    <w:pPr>
      <w:tabs>
        <w:tab w:val="right" w:leader="dot" w:pos="8364"/>
      </w:tabs>
      <w:spacing w:line="360" w:lineRule="auto"/>
      <w:ind w:left="280"/>
      <w:jc w:val="left"/>
    </w:pPr>
    <w:rPr>
      <w:rFonts w:ascii="仿宋" w:hAnsi="仿宋" w:eastAsia="仿宋"/>
      <w:b/>
      <w:smallCaps/>
      <w:sz w:val="24"/>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2"/>
    <w:basedOn w:val="8"/>
    <w:next w:val="7"/>
    <w:qFormat/>
    <w:uiPriority w:val="0"/>
    <w:pPr>
      <w:spacing w:line="240" w:lineRule="auto"/>
      <w:ind w:left="420" w:leftChars="200" w:firstLine="420" w:firstLineChars="200"/>
    </w:pPr>
    <w:rPr>
      <w:rFonts w:ascii="等线" w:hAnsi="等线" w:eastAsia="等线"/>
      <w:sz w:val="21"/>
    </w:rPr>
  </w:style>
  <w:style w:type="table" w:styleId="21">
    <w:name w:val="Table Grid"/>
    <w:basedOn w:val="2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basedOn w:val="22"/>
    <w:qFormat/>
    <w:uiPriority w:val="0"/>
    <w:rPr>
      <w:color w:val="0000FF"/>
      <w:u w:val="single"/>
    </w:rPr>
  </w:style>
  <w:style w:type="paragraph" w:customStyle="1" w:styleId="25">
    <w:name w:val="PlainText"/>
    <w:basedOn w:val="1"/>
    <w:next w:val="1"/>
    <w:qFormat/>
    <w:uiPriority w:val="0"/>
    <w:pPr>
      <w:textAlignment w:val="baseline"/>
    </w:pPr>
    <w:rPr>
      <w:rFonts w:ascii="宋体" w:hAnsi="Courier New"/>
      <w:sz w:val="21"/>
    </w:rPr>
  </w:style>
  <w:style w:type="character" w:customStyle="1" w:styleId="26">
    <w:name w:val="NormalCharacter"/>
    <w:qFormat/>
    <w:uiPriority w:val="0"/>
    <w:rPr>
      <w:kern w:val="2"/>
      <w:sz w:val="28"/>
      <w:lang w:val="en-US" w:eastAsia="zh-CN" w:bidi="ar-SA"/>
    </w:rPr>
  </w:style>
  <w:style w:type="paragraph" w:customStyle="1" w:styleId="27">
    <w:name w:val="Heading2"/>
    <w:basedOn w:val="1"/>
    <w:next w:val="1"/>
    <w:qFormat/>
    <w:uiPriority w:val="0"/>
    <w:pPr>
      <w:keepNext/>
      <w:keepLines/>
      <w:tabs>
        <w:tab w:val="left" w:pos="706"/>
        <w:tab w:val="left" w:pos="1110"/>
      </w:tabs>
      <w:spacing w:line="360" w:lineRule="auto"/>
      <w:ind w:left="492" w:firstLine="454"/>
      <w:textAlignment w:val="baseline"/>
    </w:pPr>
    <w:rPr>
      <w:rFonts w:ascii="Arial" w:hAnsi="Arial" w:eastAsia="黑体"/>
      <w:b/>
      <w:sz w:val="21"/>
    </w:rPr>
  </w:style>
  <w:style w:type="paragraph" w:customStyle="1" w:styleId="28">
    <w:name w:val="179"/>
    <w:basedOn w:val="1"/>
    <w:qFormat/>
    <w:uiPriority w:val="0"/>
    <w:pPr>
      <w:ind w:firstLine="420" w:firstLineChars="200"/>
      <w:textAlignment w:val="baseline"/>
    </w:pPr>
    <w:rPr>
      <w:sz w:val="21"/>
    </w:rPr>
  </w:style>
  <w:style w:type="paragraph" w:customStyle="1" w:styleId="29">
    <w:name w:val="正文2"/>
    <w:basedOn w:val="1"/>
    <w:qFormat/>
    <w:uiPriority w:val="0"/>
    <w:pPr>
      <w:spacing w:line="360" w:lineRule="auto"/>
      <w:ind w:firstLine="510" w:firstLineChars="200"/>
    </w:pPr>
    <w:rPr>
      <w:sz w:val="24"/>
    </w:rPr>
  </w:style>
  <w:style w:type="paragraph" w:customStyle="1" w:styleId="30">
    <w:name w:val="BodyText1I2"/>
    <w:basedOn w:val="31"/>
    <w:next w:val="32"/>
    <w:qFormat/>
    <w:uiPriority w:val="0"/>
    <w:pPr>
      <w:spacing w:after="120" w:line="240" w:lineRule="auto"/>
      <w:ind w:left="420" w:leftChars="200" w:firstLine="420" w:firstLineChars="200"/>
    </w:pPr>
    <w:rPr>
      <w:rFonts w:ascii="等线" w:hAnsi="等线" w:eastAsia="等线"/>
      <w:sz w:val="21"/>
    </w:rPr>
  </w:style>
  <w:style w:type="paragraph" w:customStyle="1" w:styleId="31">
    <w:name w:val="BodyTextIndent"/>
    <w:basedOn w:val="1"/>
    <w:next w:val="1"/>
    <w:qFormat/>
    <w:uiPriority w:val="0"/>
    <w:pPr>
      <w:spacing w:line="480" w:lineRule="atLeast"/>
      <w:ind w:firstLine="570"/>
      <w:textAlignment w:val="baseline"/>
    </w:pPr>
    <w:rPr>
      <w:rFonts w:ascii="黑体" w:eastAsia="黑体"/>
    </w:rPr>
  </w:style>
  <w:style w:type="paragraph" w:customStyle="1" w:styleId="32">
    <w:name w:val="BodyText1I"/>
    <w:basedOn w:val="33"/>
    <w:qFormat/>
    <w:uiPriority w:val="0"/>
    <w:pPr>
      <w:ind w:firstLine="420" w:firstLineChars="100"/>
      <w:jc w:val="both"/>
      <w:textAlignment w:val="baseline"/>
    </w:pPr>
    <w:rPr>
      <w:rFonts w:ascii="等线" w:hAnsi="等线" w:eastAsia="等线"/>
      <w:kern w:val="2"/>
      <w:sz w:val="21"/>
    </w:rPr>
  </w:style>
  <w:style w:type="paragraph" w:customStyle="1" w:styleId="33">
    <w:name w:val="BodyText"/>
    <w:basedOn w:val="1"/>
    <w:qFormat/>
    <w:uiPriority w:val="0"/>
    <w:pPr>
      <w:widowControl/>
      <w:spacing w:after="120"/>
      <w:jc w:val="left"/>
    </w:pPr>
    <w:rPr>
      <w:rFonts w:ascii="FuturaA Bk BT" w:hAnsi="FuturaA Bk BT" w:eastAsia="仿宋_GB2312"/>
      <w:kern w:val="0"/>
      <w:sz w:val="20"/>
    </w:rPr>
  </w:style>
  <w:style w:type="character" w:customStyle="1" w:styleId="34">
    <w:name w:val="标题 1 Char"/>
    <w:link w:val="2"/>
    <w:qFormat/>
    <w:uiPriority w:val="9"/>
    <w:rPr>
      <w:rFonts w:ascii="黑体"/>
      <w:b/>
      <w:kern w:val="0"/>
      <w:sz w:val="32"/>
    </w:rPr>
  </w:style>
  <w:style w:type="paragraph" w:styleId="35">
    <w:name w:val="List Paragraph"/>
    <w:basedOn w:val="1"/>
    <w:qFormat/>
    <w:uiPriority w:val="34"/>
    <w:pPr>
      <w:ind w:firstLine="420" w:firstLineChars="200"/>
    </w:pPr>
    <w:rPr>
      <w:sz w:val="21"/>
    </w:rPr>
  </w:style>
  <w:style w:type="paragraph" w:customStyle="1" w:styleId="36">
    <w:name w:val="Pa0"/>
    <w:basedOn w:val="1"/>
    <w:next w:val="1"/>
    <w:qFormat/>
    <w:uiPriority w:val="99"/>
    <w:pPr>
      <w:autoSpaceDE w:val="0"/>
      <w:autoSpaceDN w:val="0"/>
      <w:adjustRightInd w:val="0"/>
      <w:spacing w:line="241" w:lineRule="atLeast"/>
      <w:jc w:val="left"/>
    </w:pPr>
    <w:rPr>
      <w:rFonts w:ascii="Microsoft JhengHei UI" w:hAnsi="Calibri" w:eastAsia="Microsoft JhengHei UI"/>
      <w:kern w:val="0"/>
    </w:rPr>
  </w:style>
  <w:style w:type="paragraph" w:customStyle="1" w:styleId="37">
    <w:name w:val="列出段落3"/>
    <w:basedOn w:val="1"/>
    <w:qFormat/>
    <w:uiPriority w:val="0"/>
    <w:pPr>
      <w:spacing w:beforeAutospacing="1" w:afterAutospacing="1" w:line="300" w:lineRule="auto"/>
      <w:ind w:firstLine="420" w:firstLineChars="200"/>
    </w:pPr>
    <w:rPr>
      <w:rFonts w:ascii="Calibri" w:hAnsi="Calibri"/>
      <w:sz w:val="21"/>
    </w:rPr>
  </w:style>
  <w:style w:type="paragraph" w:customStyle="1" w:styleId="38">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9">
    <w:name w:val="_Style 3"/>
    <w:qFormat/>
    <w:uiPriority w:val="0"/>
    <w:rPr>
      <w:rFonts w:ascii="Times New Roman" w:hAnsi="Times New Roman" w:eastAsia="宋体" w:cs="Times New Roman"/>
      <w:sz w:val="22"/>
      <w:szCs w:val="22"/>
      <w:lang w:val="en-US" w:eastAsia="zh-CN" w:bidi="ar-SA"/>
    </w:rPr>
  </w:style>
  <w:style w:type="character" w:customStyle="1" w:styleId="40">
    <w:name w:val="批注框文本 Char"/>
    <w:basedOn w:val="22"/>
    <w:link w:val="13"/>
    <w:qFormat/>
    <w:uiPriority w:val="0"/>
    <w:rPr>
      <w:rFonts w:ascii="Times New Roman" w:hAnsi="Times New Roman" w:eastAsia="宋体" w:cs="Times New Roman"/>
      <w:kern w:val="2"/>
      <w:sz w:val="18"/>
      <w:szCs w:val="18"/>
    </w:rPr>
  </w:style>
  <w:style w:type="paragraph" w:customStyle="1" w:styleId="41">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43">
    <w:name w:val="Body text|1"/>
    <w:basedOn w:val="1"/>
    <w:qFormat/>
    <w:uiPriority w:val="0"/>
    <w:pPr>
      <w:widowControl w:val="0"/>
      <w:shd w:val="clear" w:color="auto" w:fill="auto"/>
      <w:spacing w:line="401" w:lineRule="auto"/>
      <w:ind w:firstLine="400"/>
    </w:pPr>
    <w:rPr>
      <w:rFonts w:ascii="宋体" w:hAnsi="宋体" w:eastAsia="宋体" w:cs="宋体"/>
      <w:sz w:val="30"/>
      <w:szCs w:val="30"/>
      <w:u w:val="none"/>
      <w:shd w:val="clear" w:color="auto" w:fill="auto"/>
      <w:lang w:val="zh-TW" w:eastAsia="zh-TW" w:bidi="zh-TW"/>
    </w:rPr>
  </w:style>
  <w:style w:type="paragraph" w:customStyle="1" w:styleId="44">
    <w:name w:val="Default"/>
    <w:next w:val="4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5">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148</Pages>
  <Words>16461</Words>
  <Characters>93831</Characters>
  <Lines>781</Lines>
  <Paragraphs>220</Paragraphs>
  <TotalTime>0</TotalTime>
  <ScaleCrop>false</ScaleCrop>
  <LinksUpToDate>false</LinksUpToDate>
  <CharactersWithSpaces>110072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2021-06-17T00:36:00Z</dcterms:created>
  <dc:creator>Administrator</dc:creator>
  <cp:lastModifiedBy>ggkska</cp:lastModifiedBy>
  <dcterms:modified xsi:type="dcterms:W3CDTF">2021-08-26T08:00:49Z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EDA715AD6F2B4ED69C68EF2BA674D6CA</vt:lpwstr>
  </property>
</Properties>
</file>