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after="120" w:line="360" w:lineRule="auto"/>
        <w:jc w:val="center"/>
        <w:rPr>
          <w:rFonts w:ascii="宋体" w:hAnsi="宋体"/>
          <w:b/>
          <w:sz w:val="48"/>
          <w:highlight w:val="none"/>
        </w:rPr>
      </w:pPr>
      <w:r>
        <w:rPr>
          <w:rFonts w:hint="eastAsia" w:ascii="宋体" w:hAnsi="宋体"/>
          <w:b/>
          <w:sz w:val="48"/>
          <w:highlight w:val="none"/>
        </w:rPr>
        <w:t>政府采购项目</w:t>
      </w:r>
    </w:p>
    <w:p>
      <w:pPr>
        <w:spacing w:after="120" w:line="360" w:lineRule="auto"/>
        <w:jc w:val="center"/>
        <w:rPr>
          <w:rFonts w:ascii="宋体" w:hAnsi="宋体"/>
          <w:b/>
          <w:sz w:val="72"/>
          <w:highlight w:val="none"/>
        </w:rPr>
      </w:pPr>
      <w:r>
        <w:rPr>
          <w:rFonts w:hint="eastAsia" w:ascii="宋体" w:hAnsi="宋体"/>
          <w:b/>
          <w:sz w:val="72"/>
          <w:highlight w:val="none"/>
        </w:rPr>
        <w:t>公开招标采购文件</w:t>
      </w:r>
    </w:p>
    <w:p>
      <w:pPr>
        <w:spacing w:line="360" w:lineRule="auto"/>
        <w:jc w:val="center"/>
        <w:rPr>
          <w:rFonts w:hint="eastAsia" w:ascii="宋体" w:hAnsi="宋体"/>
          <w:b/>
          <w:sz w:val="40"/>
          <w:highlight w:val="none"/>
        </w:rPr>
      </w:pPr>
      <w:r>
        <w:rPr>
          <w:rFonts w:hint="eastAsia" w:ascii="宋体" w:hAnsi="宋体"/>
          <w:b/>
          <w:sz w:val="40"/>
          <w:highlight w:val="none"/>
        </w:rPr>
        <w:t>(服务类)</w:t>
      </w:r>
    </w:p>
    <w:p>
      <w:pPr>
        <w:spacing w:line="360" w:lineRule="auto"/>
        <w:rPr>
          <w:rFonts w:ascii="宋体" w:hAnsi="宋体"/>
          <w:b/>
          <w:highlight w:val="none"/>
        </w:rPr>
      </w:pPr>
    </w:p>
    <w:p>
      <w:pPr>
        <w:pStyle w:val="4"/>
        <w:rPr>
          <w:highlight w:val="none"/>
        </w:rPr>
      </w:pPr>
      <w:bookmarkStart w:id="151" w:name="_GoBack"/>
      <w:bookmarkEnd w:id="151"/>
    </w:p>
    <w:p>
      <w:pPr>
        <w:spacing w:line="360" w:lineRule="auto"/>
        <w:ind w:firstLine="529" w:firstLineChars="147"/>
        <w:rPr>
          <w:rFonts w:ascii="宋体" w:hAnsi="宋体"/>
          <w:b/>
          <w:sz w:val="36"/>
          <w:szCs w:val="36"/>
          <w:highlight w:val="none"/>
        </w:rPr>
      </w:pPr>
    </w:p>
    <w:p>
      <w:pPr>
        <w:pStyle w:val="4"/>
        <w:rPr>
          <w:highlight w:val="none"/>
        </w:rPr>
      </w:pPr>
    </w:p>
    <w:p>
      <w:pPr>
        <w:spacing w:line="360" w:lineRule="auto"/>
        <w:ind w:firstLine="720" w:firstLineChars="200"/>
        <w:rPr>
          <w:rFonts w:hint="default" w:ascii="宋体" w:hAnsi="宋体" w:eastAsia="宋体"/>
          <w:b/>
          <w:sz w:val="36"/>
          <w:szCs w:val="36"/>
          <w:highlight w:val="none"/>
          <w:u w:val="single"/>
          <w:lang w:val="en-US" w:eastAsia="zh-CN"/>
        </w:rPr>
      </w:pPr>
      <w:r>
        <w:rPr>
          <w:rFonts w:hint="eastAsia" w:ascii="宋体" w:hAnsi="宋体"/>
          <w:b/>
          <w:sz w:val="36"/>
          <w:szCs w:val="36"/>
          <w:highlight w:val="none"/>
        </w:rPr>
        <w:t>招标编号：</w:t>
      </w:r>
      <w:r>
        <w:rPr>
          <w:rFonts w:hint="eastAsia" w:ascii="宋体" w:hAnsi="宋体"/>
          <w:b/>
          <w:sz w:val="36"/>
          <w:szCs w:val="36"/>
          <w:highlight w:val="none"/>
          <w:u w:val="single"/>
          <w:lang w:eastAsia="zh-CN"/>
        </w:rPr>
        <w:t>NBGODOZB224071</w:t>
      </w:r>
    </w:p>
    <w:p>
      <w:pPr>
        <w:spacing w:line="360" w:lineRule="auto"/>
        <w:rPr>
          <w:rFonts w:ascii="宋体" w:hAnsi="宋体"/>
          <w:b/>
          <w:sz w:val="36"/>
          <w:szCs w:val="36"/>
          <w:highlight w:val="none"/>
        </w:rPr>
      </w:pPr>
    </w:p>
    <w:p>
      <w:pPr>
        <w:spacing w:line="360" w:lineRule="auto"/>
        <w:rPr>
          <w:rFonts w:ascii="宋体" w:hAnsi="宋体"/>
          <w:b/>
          <w:sz w:val="36"/>
          <w:szCs w:val="36"/>
          <w:highlight w:val="none"/>
        </w:rPr>
      </w:pPr>
    </w:p>
    <w:p>
      <w:pPr>
        <w:spacing w:line="360" w:lineRule="auto"/>
        <w:ind w:firstLine="720" w:firstLineChars="200"/>
        <w:rPr>
          <w:rFonts w:ascii="宋体" w:hAnsi="宋体"/>
          <w:b/>
          <w:sz w:val="36"/>
          <w:szCs w:val="36"/>
          <w:highlight w:val="none"/>
        </w:rPr>
      </w:pPr>
      <w:r>
        <w:rPr>
          <w:rFonts w:hint="eastAsia" w:ascii="宋体" w:hAnsi="宋体"/>
          <w:b/>
          <w:sz w:val="36"/>
          <w:szCs w:val="36"/>
          <w:highlight w:val="none"/>
        </w:rPr>
        <w:t>项目名称：</w:t>
      </w:r>
      <w:r>
        <w:rPr>
          <w:rFonts w:hint="eastAsia" w:ascii="宋体" w:hAnsi="宋体"/>
          <w:b/>
          <w:sz w:val="36"/>
          <w:szCs w:val="36"/>
          <w:highlight w:val="none"/>
          <w:u w:val="single"/>
        </w:rPr>
        <w:t>2024年司法援助保险项目</w:t>
      </w:r>
    </w:p>
    <w:p>
      <w:pPr>
        <w:spacing w:line="360" w:lineRule="auto"/>
        <w:ind w:left="361" w:leftChars="172" w:firstLine="180" w:firstLineChars="50"/>
        <w:rPr>
          <w:rFonts w:ascii="宋体" w:hAnsi="宋体"/>
          <w:b/>
          <w:sz w:val="36"/>
          <w:szCs w:val="36"/>
          <w:highlight w:val="none"/>
        </w:rPr>
      </w:pPr>
    </w:p>
    <w:p>
      <w:pPr>
        <w:spacing w:line="360" w:lineRule="auto"/>
        <w:ind w:firstLine="720" w:firstLineChars="200"/>
        <w:rPr>
          <w:rFonts w:hint="eastAsia" w:ascii="宋体" w:hAnsi="宋体"/>
          <w:b/>
          <w:sz w:val="36"/>
          <w:szCs w:val="36"/>
          <w:highlight w:val="none"/>
        </w:rPr>
      </w:pPr>
    </w:p>
    <w:p>
      <w:pPr>
        <w:spacing w:line="360" w:lineRule="auto"/>
        <w:ind w:firstLine="720" w:firstLineChars="200"/>
        <w:rPr>
          <w:rFonts w:ascii="宋体" w:hAnsi="宋体"/>
          <w:b/>
          <w:sz w:val="34"/>
          <w:szCs w:val="36"/>
          <w:highlight w:val="none"/>
          <w:u w:val="single"/>
        </w:rPr>
      </w:pPr>
      <w:r>
        <w:rPr>
          <w:rFonts w:hint="eastAsia" w:ascii="宋体" w:hAnsi="宋体"/>
          <w:b/>
          <w:sz w:val="36"/>
          <w:szCs w:val="36"/>
          <w:highlight w:val="none"/>
        </w:rPr>
        <w:t>采 购 人：</w:t>
      </w:r>
      <w:r>
        <w:rPr>
          <w:rFonts w:hint="eastAsia" w:ascii="宋体" w:hAnsi="宋体"/>
          <w:b/>
          <w:sz w:val="34"/>
          <w:szCs w:val="36"/>
          <w:highlight w:val="none"/>
          <w:u w:val="single"/>
        </w:rPr>
        <w:t>宁波市中级人民法院</w:t>
      </w:r>
    </w:p>
    <w:p>
      <w:pPr>
        <w:spacing w:line="360" w:lineRule="auto"/>
        <w:rPr>
          <w:rFonts w:ascii="宋体" w:hAnsi="宋体"/>
          <w:b/>
          <w:sz w:val="36"/>
          <w:szCs w:val="36"/>
          <w:highlight w:val="none"/>
        </w:rPr>
      </w:pPr>
    </w:p>
    <w:p>
      <w:pPr>
        <w:spacing w:line="360" w:lineRule="auto"/>
        <w:ind w:firstLine="360" w:firstLineChars="100"/>
        <w:rPr>
          <w:rFonts w:ascii="宋体" w:hAnsi="宋体"/>
          <w:b/>
          <w:sz w:val="36"/>
          <w:szCs w:val="36"/>
          <w:highlight w:val="none"/>
        </w:rPr>
      </w:pPr>
    </w:p>
    <w:p>
      <w:pPr>
        <w:spacing w:line="360" w:lineRule="auto"/>
        <w:ind w:firstLine="720" w:firstLineChars="200"/>
        <w:rPr>
          <w:rFonts w:hint="eastAsia" w:ascii="宋体" w:hAnsi="宋体" w:eastAsia="宋体"/>
          <w:b/>
          <w:sz w:val="36"/>
          <w:szCs w:val="36"/>
          <w:highlight w:val="none"/>
          <w:lang w:eastAsia="zh-CN"/>
        </w:rPr>
      </w:pPr>
      <w:r>
        <w:rPr>
          <w:rFonts w:hint="eastAsia" w:ascii="宋体" w:hAnsi="宋体"/>
          <w:b/>
          <w:sz w:val="36"/>
          <w:szCs w:val="36"/>
          <w:highlight w:val="none"/>
        </w:rPr>
        <w:t>采购代理机构：</w:t>
      </w:r>
      <w:r>
        <w:rPr>
          <w:rFonts w:hint="eastAsia" w:ascii="宋体" w:hAnsi="宋体"/>
          <w:b/>
          <w:sz w:val="34"/>
          <w:szCs w:val="36"/>
          <w:highlight w:val="none"/>
          <w:u w:val="single"/>
          <w:lang w:eastAsia="zh-CN"/>
        </w:rPr>
        <w:t>宁波国际投资咨询有限公司</w:t>
      </w:r>
    </w:p>
    <w:p>
      <w:pPr>
        <w:spacing w:line="360" w:lineRule="auto"/>
        <w:jc w:val="center"/>
        <w:rPr>
          <w:rFonts w:ascii="宋体" w:hAnsi="宋体"/>
          <w:b/>
          <w:sz w:val="36"/>
          <w:szCs w:val="36"/>
          <w:highlight w:val="none"/>
        </w:rPr>
      </w:pPr>
    </w:p>
    <w:p>
      <w:pPr>
        <w:spacing w:line="360" w:lineRule="auto"/>
        <w:jc w:val="center"/>
        <w:rPr>
          <w:rFonts w:ascii="宋体" w:hAnsi="宋体"/>
          <w:b/>
          <w:sz w:val="36"/>
          <w:szCs w:val="36"/>
          <w:highlight w:val="none"/>
        </w:rPr>
      </w:pPr>
    </w:p>
    <w:p>
      <w:pPr>
        <w:spacing w:line="360" w:lineRule="auto"/>
        <w:jc w:val="center"/>
        <w:rPr>
          <w:rFonts w:ascii="宋体" w:hAnsi="宋体"/>
          <w:b/>
          <w:sz w:val="36"/>
          <w:szCs w:val="36"/>
          <w:highlight w:val="none"/>
        </w:rPr>
      </w:pPr>
      <w:r>
        <w:rPr>
          <w:rFonts w:hint="eastAsia" w:ascii="宋体" w:hAnsi="宋体"/>
          <w:b/>
          <w:sz w:val="36"/>
          <w:szCs w:val="36"/>
          <w:highlight w:val="none"/>
        </w:rPr>
        <w:t>202</w:t>
      </w:r>
      <w:r>
        <w:rPr>
          <w:rFonts w:hint="eastAsia" w:ascii="宋体" w:hAnsi="宋体"/>
          <w:b/>
          <w:sz w:val="36"/>
          <w:szCs w:val="36"/>
          <w:highlight w:val="none"/>
          <w:lang w:val="en-US" w:eastAsia="zh-CN"/>
        </w:rPr>
        <w:t>4</w:t>
      </w:r>
      <w:r>
        <w:rPr>
          <w:rFonts w:hint="eastAsia" w:ascii="宋体" w:hAnsi="宋体"/>
          <w:b/>
          <w:sz w:val="36"/>
          <w:szCs w:val="36"/>
          <w:highlight w:val="none"/>
        </w:rPr>
        <w:t>年</w:t>
      </w:r>
      <w:r>
        <w:rPr>
          <w:rFonts w:hint="eastAsia" w:ascii="宋体" w:hAnsi="宋体"/>
          <w:b/>
          <w:sz w:val="36"/>
          <w:szCs w:val="36"/>
          <w:highlight w:val="none"/>
          <w:lang w:val="en-US" w:eastAsia="zh-CN"/>
        </w:rPr>
        <w:t>4</w:t>
      </w:r>
      <w:r>
        <w:rPr>
          <w:rFonts w:hint="eastAsia" w:ascii="宋体" w:hAnsi="宋体"/>
          <w:b/>
          <w:sz w:val="36"/>
          <w:szCs w:val="36"/>
          <w:highlight w:val="none"/>
        </w:rPr>
        <w:t>月</w:t>
      </w:r>
    </w:p>
    <w:p>
      <w:pPr>
        <w:spacing w:line="360" w:lineRule="auto"/>
        <w:jc w:val="center"/>
        <w:rPr>
          <w:rFonts w:ascii="宋体" w:hAnsi="宋体"/>
          <w:b/>
          <w:sz w:val="36"/>
          <w:highlight w:val="none"/>
        </w:rPr>
      </w:pPr>
    </w:p>
    <w:p>
      <w:pPr>
        <w:spacing w:line="360" w:lineRule="auto"/>
        <w:jc w:val="center"/>
        <w:rPr>
          <w:rFonts w:ascii="宋体" w:hAnsi="宋体"/>
          <w:b/>
          <w:sz w:val="36"/>
          <w:highlight w:val="none"/>
        </w:rPr>
      </w:pPr>
    </w:p>
    <w:p>
      <w:pPr>
        <w:spacing w:line="360" w:lineRule="auto"/>
        <w:jc w:val="center"/>
        <w:rPr>
          <w:rFonts w:ascii="宋体" w:hAnsi="宋体"/>
          <w:b/>
          <w:sz w:val="36"/>
          <w:highlight w:val="none"/>
        </w:rPr>
        <w:sectPr>
          <w:headerReference r:id="rId5" w:type="first"/>
          <w:headerReference r:id="rId3" w:type="default"/>
          <w:footerReference r:id="rId6" w:type="default"/>
          <w:headerReference r:id="rId4" w:type="even"/>
          <w:pgSz w:w="11907" w:h="16840"/>
          <w:pgMar w:top="1276" w:right="1417" w:bottom="1276" w:left="1560" w:header="720" w:footer="720" w:gutter="0"/>
          <w:pgNumType w:start="1"/>
          <w:cols w:space="720" w:num="1"/>
          <w:docGrid w:type="linesAndChars" w:linePitch="285" w:charSpace="0"/>
        </w:sectPr>
      </w:pPr>
    </w:p>
    <w:p>
      <w:pPr>
        <w:rPr>
          <w:highlight w:val="none"/>
        </w:rPr>
      </w:pPr>
    </w:p>
    <w:p>
      <w:pPr>
        <w:spacing w:line="360" w:lineRule="auto"/>
        <w:jc w:val="center"/>
        <w:rPr>
          <w:rFonts w:ascii="宋体" w:hAnsi="宋体"/>
          <w:b/>
          <w:sz w:val="36"/>
          <w:highlight w:val="none"/>
        </w:rPr>
      </w:pPr>
      <w:r>
        <w:rPr>
          <w:rFonts w:hint="eastAsia" w:ascii="宋体" w:hAnsi="宋体"/>
          <w:b/>
          <w:sz w:val="36"/>
          <w:highlight w:val="none"/>
        </w:rPr>
        <w:t>目    录</w:t>
      </w:r>
    </w:p>
    <w:p>
      <w:pPr>
        <w:spacing w:line="360" w:lineRule="auto"/>
        <w:jc w:val="center"/>
        <w:rPr>
          <w:rFonts w:ascii="宋体" w:hAnsi="宋体"/>
          <w:b/>
          <w:sz w:val="36"/>
          <w:highlight w:val="none"/>
        </w:rPr>
      </w:pPr>
    </w:p>
    <w:p>
      <w:pPr>
        <w:pStyle w:val="27"/>
        <w:tabs>
          <w:tab w:val="right" w:leader="dot" w:pos="8930"/>
        </w:tabs>
        <w:rPr>
          <w:highlight w:val="none"/>
        </w:rPr>
      </w:pPr>
      <w:r>
        <w:rPr>
          <w:rFonts w:ascii="宋体" w:hAnsi="宋体"/>
          <w:b/>
          <w:highlight w:val="none"/>
        </w:rPr>
        <w:fldChar w:fldCharType="begin"/>
      </w:r>
      <w:r>
        <w:rPr>
          <w:rFonts w:ascii="宋体" w:hAnsi="宋体"/>
          <w:b/>
          <w:highlight w:val="none"/>
        </w:rPr>
        <w:instrText xml:space="preserve"> TOC \o "1-3" \h \z \u </w:instrText>
      </w:r>
      <w:r>
        <w:rPr>
          <w:rFonts w:ascii="宋体" w:hAnsi="宋体"/>
          <w:b/>
          <w:highlight w:val="none"/>
        </w:rPr>
        <w:fldChar w:fldCharType="separate"/>
      </w:r>
      <w:r>
        <w:rPr>
          <w:rFonts w:ascii="宋体" w:hAnsi="宋体"/>
          <w:highlight w:val="none"/>
        </w:rPr>
        <w:fldChar w:fldCharType="begin"/>
      </w:r>
      <w:r>
        <w:rPr>
          <w:rFonts w:ascii="宋体" w:hAnsi="宋体"/>
          <w:highlight w:val="none"/>
        </w:rPr>
        <w:instrText xml:space="preserve"> HYPERLINK \l _Toc14013 </w:instrText>
      </w:r>
      <w:r>
        <w:rPr>
          <w:rFonts w:ascii="宋体" w:hAnsi="宋体"/>
          <w:highlight w:val="none"/>
        </w:rPr>
        <w:fldChar w:fldCharType="separate"/>
      </w:r>
      <w:r>
        <w:rPr>
          <w:rFonts w:hint="eastAsia" w:ascii="宋体" w:hAnsi="宋体"/>
          <w:szCs w:val="32"/>
          <w:highlight w:val="none"/>
        </w:rPr>
        <w:t>第一部分  采购公告</w:t>
      </w:r>
      <w:r>
        <w:rPr>
          <w:highlight w:val="none"/>
        </w:rPr>
        <w:tab/>
      </w:r>
      <w:r>
        <w:rPr>
          <w:highlight w:val="none"/>
        </w:rPr>
        <w:fldChar w:fldCharType="begin"/>
      </w:r>
      <w:r>
        <w:rPr>
          <w:highlight w:val="none"/>
        </w:rPr>
        <w:instrText xml:space="preserve"> PAGEREF _Toc14013 \h </w:instrText>
      </w:r>
      <w:r>
        <w:rPr>
          <w:highlight w:val="none"/>
        </w:rPr>
        <w:fldChar w:fldCharType="separate"/>
      </w:r>
      <w:r>
        <w:rPr>
          <w:highlight w:val="none"/>
        </w:rPr>
        <w:t>1</w:t>
      </w:r>
      <w:r>
        <w:rPr>
          <w:highlight w:val="none"/>
        </w:rPr>
        <w:fldChar w:fldCharType="end"/>
      </w:r>
      <w:r>
        <w:rPr>
          <w:rFonts w:ascii="宋体" w:hAnsi="宋体"/>
          <w:highlight w:val="none"/>
        </w:rPr>
        <w:fldChar w:fldCharType="end"/>
      </w:r>
    </w:p>
    <w:p>
      <w:pPr>
        <w:pStyle w:val="27"/>
        <w:tabs>
          <w:tab w:val="right" w:leader="dot" w:pos="8930"/>
        </w:tabs>
        <w:rPr>
          <w:highlight w:val="none"/>
        </w:rPr>
      </w:pPr>
      <w:r>
        <w:rPr>
          <w:rFonts w:ascii="宋体" w:hAnsi="宋体"/>
          <w:highlight w:val="none"/>
        </w:rPr>
        <w:fldChar w:fldCharType="begin"/>
      </w:r>
      <w:r>
        <w:rPr>
          <w:rFonts w:ascii="宋体" w:hAnsi="宋体"/>
          <w:highlight w:val="none"/>
        </w:rPr>
        <w:instrText xml:space="preserve"> HYPERLINK \l _Toc18506 </w:instrText>
      </w:r>
      <w:r>
        <w:rPr>
          <w:rFonts w:ascii="宋体" w:hAnsi="宋体"/>
          <w:highlight w:val="none"/>
        </w:rPr>
        <w:fldChar w:fldCharType="separate"/>
      </w:r>
      <w:r>
        <w:rPr>
          <w:rFonts w:hint="eastAsia" w:ascii="宋体" w:hAnsi="宋体"/>
          <w:szCs w:val="32"/>
          <w:highlight w:val="none"/>
        </w:rPr>
        <w:t xml:space="preserve">第二部分 </w:t>
      </w:r>
      <w:r>
        <w:rPr>
          <w:rFonts w:hint="eastAsia" w:ascii="宋体" w:hAnsi="宋体"/>
          <w:szCs w:val="32"/>
          <w:highlight w:val="none"/>
          <w:lang w:val="en-US" w:eastAsia="zh-CN"/>
        </w:rPr>
        <w:t xml:space="preserve"> </w:t>
      </w:r>
      <w:r>
        <w:rPr>
          <w:rFonts w:hint="eastAsia" w:ascii="宋体" w:hAnsi="宋体"/>
          <w:szCs w:val="32"/>
          <w:highlight w:val="none"/>
        </w:rPr>
        <w:t>招标项目需求</w:t>
      </w:r>
      <w:r>
        <w:rPr>
          <w:highlight w:val="none"/>
        </w:rPr>
        <w:tab/>
      </w:r>
      <w:r>
        <w:rPr>
          <w:highlight w:val="none"/>
        </w:rPr>
        <w:fldChar w:fldCharType="begin"/>
      </w:r>
      <w:r>
        <w:rPr>
          <w:highlight w:val="none"/>
        </w:rPr>
        <w:instrText xml:space="preserve"> PAGEREF _Toc18506 \h </w:instrText>
      </w:r>
      <w:r>
        <w:rPr>
          <w:highlight w:val="none"/>
        </w:rPr>
        <w:fldChar w:fldCharType="separate"/>
      </w:r>
      <w:r>
        <w:rPr>
          <w:highlight w:val="none"/>
        </w:rPr>
        <w:t>5</w:t>
      </w:r>
      <w:r>
        <w:rPr>
          <w:highlight w:val="none"/>
        </w:rPr>
        <w:fldChar w:fldCharType="end"/>
      </w:r>
      <w:r>
        <w:rPr>
          <w:rFonts w:ascii="宋体" w:hAnsi="宋体"/>
          <w:highlight w:val="none"/>
        </w:rPr>
        <w:fldChar w:fldCharType="end"/>
      </w:r>
    </w:p>
    <w:p>
      <w:pPr>
        <w:pStyle w:val="27"/>
        <w:tabs>
          <w:tab w:val="right" w:leader="dot" w:pos="8930"/>
        </w:tabs>
        <w:rPr>
          <w:highlight w:val="none"/>
        </w:rPr>
      </w:pPr>
      <w:r>
        <w:rPr>
          <w:rFonts w:ascii="宋体" w:hAnsi="宋体"/>
          <w:highlight w:val="none"/>
        </w:rPr>
        <w:fldChar w:fldCharType="begin"/>
      </w:r>
      <w:r>
        <w:rPr>
          <w:rFonts w:ascii="宋体" w:hAnsi="宋体"/>
          <w:highlight w:val="none"/>
        </w:rPr>
        <w:instrText xml:space="preserve"> HYPERLINK \l _Toc19654 </w:instrText>
      </w:r>
      <w:r>
        <w:rPr>
          <w:rFonts w:ascii="宋体" w:hAnsi="宋体"/>
          <w:highlight w:val="none"/>
        </w:rPr>
        <w:fldChar w:fldCharType="separate"/>
      </w:r>
      <w:r>
        <w:rPr>
          <w:rFonts w:hint="eastAsia" w:ascii="宋体" w:hAnsi="宋体"/>
          <w:szCs w:val="32"/>
          <w:highlight w:val="none"/>
        </w:rPr>
        <w:t>第</w:t>
      </w:r>
      <w:r>
        <w:rPr>
          <w:rFonts w:hint="eastAsia" w:ascii="宋体" w:hAnsi="宋体"/>
          <w:szCs w:val="32"/>
          <w:highlight w:val="none"/>
          <w:lang w:val="en-US" w:eastAsia="zh-CN"/>
        </w:rPr>
        <w:t>三</w:t>
      </w:r>
      <w:r>
        <w:rPr>
          <w:rFonts w:hint="eastAsia" w:ascii="宋体" w:hAnsi="宋体"/>
          <w:szCs w:val="32"/>
          <w:highlight w:val="none"/>
        </w:rPr>
        <w:t>部分  投标资料表</w:t>
      </w:r>
      <w:r>
        <w:rPr>
          <w:highlight w:val="none"/>
        </w:rPr>
        <w:tab/>
      </w:r>
      <w:r>
        <w:rPr>
          <w:highlight w:val="none"/>
        </w:rPr>
        <w:fldChar w:fldCharType="begin"/>
      </w:r>
      <w:r>
        <w:rPr>
          <w:highlight w:val="none"/>
        </w:rPr>
        <w:instrText xml:space="preserve"> PAGEREF _Toc19654 \h </w:instrText>
      </w:r>
      <w:r>
        <w:rPr>
          <w:highlight w:val="none"/>
        </w:rPr>
        <w:fldChar w:fldCharType="separate"/>
      </w:r>
      <w:r>
        <w:rPr>
          <w:highlight w:val="none"/>
        </w:rPr>
        <w:t>8</w:t>
      </w:r>
      <w:r>
        <w:rPr>
          <w:highlight w:val="none"/>
        </w:rPr>
        <w:fldChar w:fldCharType="end"/>
      </w:r>
      <w:r>
        <w:rPr>
          <w:rFonts w:ascii="宋体" w:hAnsi="宋体"/>
          <w:highlight w:val="none"/>
        </w:rPr>
        <w:fldChar w:fldCharType="end"/>
      </w:r>
    </w:p>
    <w:p>
      <w:pPr>
        <w:pStyle w:val="27"/>
        <w:tabs>
          <w:tab w:val="right" w:leader="dot" w:pos="8930"/>
        </w:tabs>
        <w:rPr>
          <w:highlight w:val="none"/>
        </w:rPr>
      </w:pPr>
      <w:r>
        <w:rPr>
          <w:rFonts w:ascii="宋体" w:hAnsi="宋体"/>
          <w:highlight w:val="none"/>
        </w:rPr>
        <w:fldChar w:fldCharType="begin"/>
      </w:r>
      <w:r>
        <w:rPr>
          <w:rFonts w:ascii="宋体" w:hAnsi="宋体"/>
          <w:highlight w:val="none"/>
        </w:rPr>
        <w:instrText xml:space="preserve"> HYPERLINK \l _Toc4027 </w:instrText>
      </w:r>
      <w:r>
        <w:rPr>
          <w:rFonts w:ascii="宋体" w:hAnsi="宋体"/>
          <w:highlight w:val="none"/>
        </w:rPr>
        <w:fldChar w:fldCharType="separate"/>
      </w:r>
      <w:r>
        <w:rPr>
          <w:rFonts w:hint="eastAsia"/>
          <w:szCs w:val="32"/>
          <w:highlight w:val="none"/>
        </w:rPr>
        <w:t>第四部分</w:t>
      </w:r>
      <w:r>
        <w:rPr>
          <w:rFonts w:hint="eastAsia"/>
          <w:szCs w:val="32"/>
          <w:highlight w:val="none"/>
          <w:lang w:val="en-US" w:eastAsia="zh-CN"/>
        </w:rPr>
        <w:t xml:space="preserve">  </w:t>
      </w:r>
      <w:r>
        <w:rPr>
          <w:rFonts w:hint="eastAsia"/>
          <w:szCs w:val="32"/>
          <w:highlight w:val="none"/>
        </w:rPr>
        <w:t>投标人须知</w:t>
      </w:r>
      <w:r>
        <w:rPr>
          <w:highlight w:val="none"/>
        </w:rPr>
        <w:tab/>
      </w:r>
      <w:r>
        <w:rPr>
          <w:highlight w:val="none"/>
        </w:rPr>
        <w:fldChar w:fldCharType="begin"/>
      </w:r>
      <w:r>
        <w:rPr>
          <w:highlight w:val="none"/>
        </w:rPr>
        <w:instrText xml:space="preserve"> PAGEREF _Toc4027 \h </w:instrText>
      </w:r>
      <w:r>
        <w:rPr>
          <w:highlight w:val="none"/>
        </w:rPr>
        <w:fldChar w:fldCharType="separate"/>
      </w:r>
      <w:r>
        <w:rPr>
          <w:highlight w:val="none"/>
        </w:rPr>
        <w:t>12</w:t>
      </w:r>
      <w:r>
        <w:rPr>
          <w:highlight w:val="none"/>
        </w:rPr>
        <w:fldChar w:fldCharType="end"/>
      </w:r>
      <w:r>
        <w:rPr>
          <w:rFonts w:ascii="宋体" w:hAnsi="宋体"/>
          <w:highlight w:val="none"/>
        </w:rPr>
        <w:fldChar w:fldCharType="end"/>
      </w:r>
    </w:p>
    <w:p>
      <w:pPr>
        <w:pStyle w:val="27"/>
        <w:tabs>
          <w:tab w:val="right" w:leader="dot" w:pos="8930"/>
        </w:tabs>
        <w:rPr>
          <w:highlight w:val="none"/>
        </w:rPr>
      </w:pPr>
      <w:r>
        <w:rPr>
          <w:rFonts w:ascii="宋体" w:hAnsi="宋体"/>
          <w:highlight w:val="none"/>
        </w:rPr>
        <w:fldChar w:fldCharType="begin"/>
      </w:r>
      <w:r>
        <w:rPr>
          <w:rFonts w:ascii="宋体" w:hAnsi="宋体"/>
          <w:highlight w:val="none"/>
        </w:rPr>
        <w:instrText xml:space="preserve"> HYPERLINK \l _Toc9650 </w:instrText>
      </w:r>
      <w:r>
        <w:rPr>
          <w:rFonts w:ascii="宋体" w:hAnsi="宋体"/>
          <w:highlight w:val="none"/>
        </w:rPr>
        <w:fldChar w:fldCharType="separate"/>
      </w:r>
      <w:r>
        <w:rPr>
          <w:rFonts w:hint="eastAsia" w:ascii="宋体" w:hAnsi="宋体"/>
          <w:szCs w:val="32"/>
          <w:highlight w:val="none"/>
        </w:rPr>
        <w:t>第</w:t>
      </w:r>
      <w:r>
        <w:rPr>
          <w:rFonts w:hint="eastAsia" w:ascii="宋体" w:hAnsi="宋体"/>
          <w:szCs w:val="32"/>
          <w:highlight w:val="none"/>
          <w:lang w:val="en-US" w:eastAsia="zh-CN"/>
        </w:rPr>
        <w:t>五</w:t>
      </w:r>
      <w:r>
        <w:rPr>
          <w:rFonts w:hint="eastAsia" w:ascii="宋体" w:hAnsi="宋体"/>
          <w:szCs w:val="32"/>
          <w:highlight w:val="none"/>
        </w:rPr>
        <w:t>部分  评标办法</w:t>
      </w:r>
      <w:r>
        <w:rPr>
          <w:highlight w:val="none"/>
        </w:rPr>
        <w:tab/>
      </w:r>
      <w:r>
        <w:rPr>
          <w:highlight w:val="none"/>
        </w:rPr>
        <w:fldChar w:fldCharType="begin"/>
      </w:r>
      <w:r>
        <w:rPr>
          <w:highlight w:val="none"/>
        </w:rPr>
        <w:instrText xml:space="preserve"> PAGEREF _Toc9650 \h </w:instrText>
      </w:r>
      <w:r>
        <w:rPr>
          <w:highlight w:val="none"/>
        </w:rPr>
        <w:fldChar w:fldCharType="separate"/>
      </w:r>
      <w:r>
        <w:rPr>
          <w:highlight w:val="none"/>
        </w:rPr>
        <w:t>27</w:t>
      </w:r>
      <w:r>
        <w:rPr>
          <w:highlight w:val="none"/>
        </w:rPr>
        <w:fldChar w:fldCharType="end"/>
      </w:r>
      <w:r>
        <w:rPr>
          <w:rFonts w:ascii="宋体" w:hAnsi="宋体"/>
          <w:highlight w:val="none"/>
        </w:rPr>
        <w:fldChar w:fldCharType="end"/>
      </w:r>
    </w:p>
    <w:p>
      <w:pPr>
        <w:pStyle w:val="27"/>
        <w:tabs>
          <w:tab w:val="right" w:leader="dot" w:pos="8930"/>
        </w:tabs>
        <w:rPr>
          <w:highlight w:val="none"/>
        </w:rPr>
      </w:pPr>
      <w:r>
        <w:rPr>
          <w:rFonts w:ascii="宋体" w:hAnsi="宋体"/>
          <w:highlight w:val="none"/>
        </w:rPr>
        <w:fldChar w:fldCharType="begin"/>
      </w:r>
      <w:r>
        <w:rPr>
          <w:rFonts w:ascii="宋体" w:hAnsi="宋体"/>
          <w:highlight w:val="none"/>
        </w:rPr>
        <w:instrText xml:space="preserve"> HYPERLINK \l _Toc30004 </w:instrText>
      </w:r>
      <w:r>
        <w:rPr>
          <w:rFonts w:ascii="宋体" w:hAnsi="宋体"/>
          <w:highlight w:val="none"/>
        </w:rPr>
        <w:fldChar w:fldCharType="separate"/>
      </w:r>
      <w:r>
        <w:rPr>
          <w:rFonts w:hint="eastAsia" w:ascii="宋体" w:hAnsi="宋体"/>
          <w:szCs w:val="32"/>
          <w:highlight w:val="none"/>
        </w:rPr>
        <w:t>第</w:t>
      </w:r>
      <w:r>
        <w:rPr>
          <w:rFonts w:hint="eastAsia" w:ascii="宋体" w:hAnsi="宋体"/>
          <w:szCs w:val="32"/>
          <w:highlight w:val="none"/>
          <w:lang w:val="en-US" w:eastAsia="zh-CN"/>
        </w:rPr>
        <w:t>六</w:t>
      </w:r>
      <w:r>
        <w:rPr>
          <w:rFonts w:hint="eastAsia" w:ascii="宋体" w:hAnsi="宋体"/>
          <w:szCs w:val="32"/>
          <w:highlight w:val="none"/>
        </w:rPr>
        <w:t>部分  合同格式</w:t>
      </w:r>
      <w:r>
        <w:rPr>
          <w:highlight w:val="none"/>
        </w:rPr>
        <w:tab/>
      </w:r>
      <w:r>
        <w:rPr>
          <w:highlight w:val="none"/>
        </w:rPr>
        <w:fldChar w:fldCharType="begin"/>
      </w:r>
      <w:r>
        <w:rPr>
          <w:highlight w:val="none"/>
        </w:rPr>
        <w:instrText xml:space="preserve"> PAGEREF _Toc30004 \h </w:instrText>
      </w:r>
      <w:r>
        <w:rPr>
          <w:highlight w:val="none"/>
        </w:rPr>
        <w:fldChar w:fldCharType="separate"/>
      </w:r>
      <w:r>
        <w:rPr>
          <w:highlight w:val="none"/>
        </w:rPr>
        <w:t>34</w:t>
      </w:r>
      <w:r>
        <w:rPr>
          <w:highlight w:val="none"/>
        </w:rPr>
        <w:fldChar w:fldCharType="end"/>
      </w:r>
      <w:r>
        <w:rPr>
          <w:rFonts w:ascii="宋体" w:hAnsi="宋体"/>
          <w:highlight w:val="none"/>
        </w:rPr>
        <w:fldChar w:fldCharType="end"/>
      </w:r>
    </w:p>
    <w:p>
      <w:pPr>
        <w:pStyle w:val="27"/>
        <w:tabs>
          <w:tab w:val="right" w:leader="dot" w:pos="8930"/>
        </w:tabs>
        <w:rPr>
          <w:highlight w:val="none"/>
        </w:rPr>
      </w:pPr>
      <w:r>
        <w:rPr>
          <w:rFonts w:ascii="宋体" w:hAnsi="宋体"/>
          <w:highlight w:val="none"/>
        </w:rPr>
        <w:fldChar w:fldCharType="begin"/>
      </w:r>
      <w:r>
        <w:rPr>
          <w:rFonts w:ascii="宋体" w:hAnsi="宋体"/>
          <w:highlight w:val="none"/>
        </w:rPr>
        <w:instrText xml:space="preserve"> HYPERLINK \l _Toc23502 </w:instrText>
      </w:r>
      <w:r>
        <w:rPr>
          <w:rFonts w:ascii="宋体" w:hAnsi="宋体"/>
          <w:highlight w:val="none"/>
        </w:rPr>
        <w:fldChar w:fldCharType="separate"/>
      </w:r>
      <w:r>
        <w:rPr>
          <w:rFonts w:hint="eastAsia" w:ascii="宋体" w:hAnsi="宋体"/>
          <w:szCs w:val="32"/>
          <w:highlight w:val="none"/>
        </w:rPr>
        <w:t>第</w:t>
      </w:r>
      <w:r>
        <w:rPr>
          <w:rFonts w:hint="eastAsia" w:ascii="宋体" w:hAnsi="宋体"/>
          <w:szCs w:val="32"/>
          <w:highlight w:val="none"/>
          <w:lang w:val="en-US" w:eastAsia="zh-CN"/>
        </w:rPr>
        <w:t>七</w:t>
      </w:r>
      <w:r>
        <w:rPr>
          <w:rFonts w:hint="eastAsia" w:ascii="宋体" w:hAnsi="宋体"/>
          <w:szCs w:val="32"/>
          <w:highlight w:val="none"/>
        </w:rPr>
        <w:t>部分 附件（投标文件格式）</w:t>
      </w:r>
      <w:r>
        <w:rPr>
          <w:highlight w:val="none"/>
        </w:rPr>
        <w:tab/>
      </w:r>
      <w:r>
        <w:rPr>
          <w:highlight w:val="none"/>
        </w:rPr>
        <w:fldChar w:fldCharType="begin"/>
      </w:r>
      <w:r>
        <w:rPr>
          <w:highlight w:val="none"/>
        </w:rPr>
        <w:instrText xml:space="preserve"> PAGEREF _Toc23502 \h </w:instrText>
      </w:r>
      <w:r>
        <w:rPr>
          <w:highlight w:val="none"/>
        </w:rPr>
        <w:fldChar w:fldCharType="separate"/>
      </w:r>
      <w:r>
        <w:rPr>
          <w:highlight w:val="none"/>
        </w:rPr>
        <w:t>36</w:t>
      </w:r>
      <w:r>
        <w:rPr>
          <w:highlight w:val="none"/>
        </w:rPr>
        <w:fldChar w:fldCharType="end"/>
      </w:r>
      <w:r>
        <w:rPr>
          <w:rFonts w:ascii="宋体" w:hAnsi="宋体"/>
          <w:highlight w:val="none"/>
        </w:rPr>
        <w:fldChar w:fldCharType="end"/>
      </w:r>
    </w:p>
    <w:p>
      <w:pPr>
        <w:spacing w:line="360" w:lineRule="auto"/>
        <w:rPr>
          <w:rFonts w:ascii="宋体" w:hAnsi="宋体"/>
          <w:b/>
          <w:sz w:val="36"/>
          <w:highlight w:val="none"/>
        </w:rPr>
        <w:sectPr>
          <w:pgSz w:w="11907" w:h="16840"/>
          <w:pgMar w:top="1276" w:right="1417" w:bottom="1276" w:left="1560" w:header="720" w:footer="720" w:gutter="0"/>
          <w:pgNumType w:start="1"/>
          <w:cols w:space="720" w:num="1"/>
          <w:docGrid w:type="linesAndChars" w:linePitch="285" w:charSpace="0"/>
        </w:sectPr>
      </w:pPr>
      <w:r>
        <w:rPr>
          <w:rFonts w:ascii="宋体" w:hAnsi="宋体"/>
          <w:highlight w:val="none"/>
        </w:rPr>
        <w:fldChar w:fldCharType="end"/>
      </w:r>
    </w:p>
    <w:p>
      <w:pPr>
        <w:spacing w:line="360" w:lineRule="auto"/>
        <w:jc w:val="center"/>
        <w:rPr>
          <w:rFonts w:ascii="宋体" w:hAnsi="宋体"/>
          <w:b/>
          <w:sz w:val="36"/>
          <w:highlight w:val="none"/>
        </w:rPr>
      </w:pPr>
    </w:p>
    <w:p>
      <w:pPr>
        <w:pStyle w:val="4"/>
        <w:spacing w:beforeLines="0" w:afterLines="0" w:line="360" w:lineRule="auto"/>
        <w:rPr>
          <w:rFonts w:ascii="宋体" w:hAnsi="宋体"/>
          <w:sz w:val="32"/>
          <w:szCs w:val="32"/>
          <w:highlight w:val="none"/>
        </w:rPr>
      </w:pPr>
      <w:bookmarkStart w:id="0" w:name="_Toc298230957"/>
      <w:r>
        <w:rPr>
          <w:rFonts w:ascii="宋体" w:hAnsi="宋体"/>
          <w:sz w:val="32"/>
          <w:szCs w:val="32"/>
          <w:highlight w:val="none"/>
        </w:rPr>
        <w:br w:type="page"/>
      </w:r>
      <w:bookmarkStart w:id="1" w:name="_Toc14013"/>
      <w:r>
        <w:rPr>
          <w:rFonts w:hint="eastAsia" w:ascii="宋体" w:hAnsi="宋体"/>
          <w:sz w:val="32"/>
          <w:szCs w:val="32"/>
          <w:highlight w:val="none"/>
        </w:rPr>
        <w:t>第一部分</w:t>
      </w:r>
      <w:bookmarkEnd w:id="0"/>
      <w:r>
        <w:rPr>
          <w:rFonts w:hint="eastAsia" w:ascii="宋体" w:hAnsi="宋体"/>
          <w:sz w:val="32"/>
          <w:szCs w:val="32"/>
          <w:highlight w:val="none"/>
        </w:rPr>
        <w:t xml:space="preserve">  采购公告</w:t>
      </w:r>
      <w:bookmarkEnd w:id="1"/>
    </w:p>
    <w:p>
      <w:pPr>
        <w:pBdr>
          <w:top w:val="single" w:color="auto" w:sz="4" w:space="1"/>
          <w:left w:val="single" w:color="auto" w:sz="4" w:space="4"/>
          <w:bottom w:val="single" w:color="auto" w:sz="4" w:space="1"/>
          <w:right w:val="single" w:color="auto" w:sz="4" w:space="4"/>
        </w:pBdr>
        <w:spacing w:line="360" w:lineRule="auto"/>
        <w:ind w:firstLine="420" w:firstLineChars="200"/>
        <w:rPr>
          <w:rFonts w:ascii="宋体" w:hAnsi="宋体"/>
          <w:highlight w:val="none"/>
        </w:rPr>
      </w:pPr>
      <w:r>
        <w:rPr>
          <w:rFonts w:hint="eastAsia" w:ascii="宋体" w:hAnsi="宋体"/>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20" w:firstLineChars="200"/>
        <w:rPr>
          <w:rFonts w:ascii="宋体" w:hAnsi="宋体"/>
          <w:highlight w:val="none"/>
        </w:rPr>
      </w:pPr>
      <w:r>
        <w:rPr>
          <w:rFonts w:hint="eastAsia" w:ascii="宋体" w:hAnsi="宋体"/>
          <w:highlight w:val="none"/>
          <w:u w:val="single"/>
          <w:lang w:eastAsia="zh-CN"/>
        </w:rPr>
        <w:t>2024年司法援助保险项目</w:t>
      </w:r>
      <w:r>
        <w:rPr>
          <w:rFonts w:hint="eastAsia" w:ascii="宋体" w:hAnsi="宋体"/>
          <w:highlight w:val="none"/>
        </w:rPr>
        <w:t>招标项目的潜在投标人应在</w:t>
      </w:r>
      <w:r>
        <w:rPr>
          <w:rFonts w:hint="eastAsia" w:ascii="宋体" w:hAnsi="宋体"/>
          <w:highlight w:val="none"/>
          <w:u w:val="single"/>
        </w:rPr>
        <w:t>政府采购云平台（</w:t>
      </w:r>
      <w:r>
        <w:rPr>
          <w:highlight w:val="none"/>
        </w:rPr>
        <w:fldChar w:fldCharType="begin"/>
      </w:r>
      <w:r>
        <w:rPr>
          <w:highlight w:val="none"/>
        </w:rPr>
        <w:instrText xml:space="preserve"> HYPERLINK "http://www.zcygov.cn）获取（下载）招标文件，并于2020年" </w:instrText>
      </w:r>
      <w:r>
        <w:rPr>
          <w:highlight w:val="none"/>
        </w:rPr>
        <w:fldChar w:fldCharType="separate"/>
      </w:r>
      <w:r>
        <w:rPr>
          <w:rStyle w:val="41"/>
          <w:rFonts w:hint="eastAsia" w:ascii="宋体" w:hAnsi="宋体"/>
          <w:color w:val="auto"/>
          <w:highlight w:val="none"/>
        </w:rPr>
        <w:t>www.zcygov.cn）获取（下载）招标文件，并于202</w:t>
      </w:r>
      <w:r>
        <w:rPr>
          <w:rStyle w:val="41"/>
          <w:rFonts w:hint="eastAsia" w:ascii="宋体" w:hAnsi="宋体"/>
          <w:color w:val="auto"/>
          <w:highlight w:val="none"/>
          <w:lang w:val="en-US" w:eastAsia="zh-CN"/>
        </w:rPr>
        <w:t>4</w:t>
      </w:r>
      <w:r>
        <w:rPr>
          <w:rStyle w:val="41"/>
          <w:rFonts w:hint="eastAsia" w:ascii="宋体" w:hAnsi="宋体"/>
          <w:bCs/>
          <w:color w:val="auto"/>
          <w:highlight w:val="none"/>
        </w:rPr>
        <w:t>年</w:t>
      </w:r>
      <w:r>
        <w:rPr>
          <w:rStyle w:val="41"/>
          <w:rFonts w:hint="eastAsia" w:ascii="宋体" w:hAnsi="宋体"/>
          <w:bCs/>
          <w:color w:val="auto"/>
          <w:highlight w:val="none"/>
        </w:rPr>
        <w:fldChar w:fldCharType="end"/>
      </w:r>
      <w:r>
        <w:rPr>
          <w:rStyle w:val="41"/>
          <w:rFonts w:hint="eastAsia" w:ascii="宋体" w:hAnsi="宋体"/>
          <w:bCs/>
          <w:color w:val="auto"/>
          <w:highlight w:val="none"/>
          <w:lang w:val="en-US" w:eastAsia="zh-CN"/>
        </w:rPr>
        <w:t>5</w:t>
      </w:r>
      <w:r>
        <w:rPr>
          <w:rFonts w:hint="eastAsia" w:ascii="宋体" w:hAnsi="宋体"/>
          <w:bCs/>
          <w:highlight w:val="none"/>
          <w:u w:val="single"/>
        </w:rPr>
        <w:t>月</w:t>
      </w:r>
      <w:r>
        <w:rPr>
          <w:rFonts w:hint="eastAsia" w:ascii="宋体" w:hAnsi="宋体"/>
          <w:bCs/>
          <w:highlight w:val="none"/>
          <w:u w:val="single"/>
          <w:lang w:val="en-US" w:eastAsia="zh-CN"/>
        </w:rPr>
        <w:t>6</w:t>
      </w:r>
      <w:r>
        <w:rPr>
          <w:rFonts w:hint="eastAsia" w:ascii="宋体" w:hAnsi="宋体"/>
          <w:bCs/>
          <w:highlight w:val="none"/>
          <w:u w:val="single"/>
        </w:rPr>
        <w:t>日14点00分（</w:t>
      </w:r>
      <w:r>
        <w:rPr>
          <w:rFonts w:hint="eastAsia" w:ascii="宋体" w:hAnsi="宋体"/>
          <w:bCs/>
          <w:highlight w:val="none"/>
        </w:rPr>
        <w:t>北京时间）前递交投标文件</w:t>
      </w:r>
      <w:r>
        <w:rPr>
          <w:rFonts w:hint="eastAsia" w:ascii="宋体" w:hAnsi="宋体"/>
          <w:highlight w:val="none"/>
        </w:rPr>
        <w:t>。</w:t>
      </w:r>
    </w:p>
    <w:p>
      <w:pPr>
        <w:ind w:firstLine="200"/>
        <w:rPr>
          <w:rFonts w:ascii="宋体" w:hAnsi="宋体"/>
          <w:highlight w:val="none"/>
        </w:rPr>
      </w:pPr>
    </w:p>
    <w:p>
      <w:pPr>
        <w:pStyle w:val="5"/>
        <w:spacing w:line="360" w:lineRule="auto"/>
        <w:jc w:val="both"/>
        <w:rPr>
          <w:rFonts w:ascii="宋体" w:hAnsi="宋体" w:cs="宋体"/>
          <w:sz w:val="21"/>
          <w:szCs w:val="21"/>
          <w:highlight w:val="none"/>
        </w:rPr>
      </w:pPr>
      <w:bookmarkStart w:id="2" w:name="_Toc28359079"/>
      <w:bookmarkStart w:id="3" w:name="_Toc31693"/>
      <w:bookmarkStart w:id="4" w:name="_Toc35393621"/>
      <w:bookmarkStart w:id="5" w:name="_Toc28359002"/>
      <w:bookmarkStart w:id="6" w:name="_Toc35393790"/>
      <w:bookmarkStart w:id="7" w:name="_Hlk24379207"/>
      <w:r>
        <w:rPr>
          <w:rFonts w:hint="eastAsia" w:ascii="宋体" w:hAnsi="宋体" w:cs="宋体"/>
          <w:sz w:val="21"/>
          <w:szCs w:val="21"/>
          <w:highlight w:val="none"/>
        </w:rPr>
        <w:t>一、项目基本情况</w:t>
      </w:r>
      <w:bookmarkEnd w:id="2"/>
      <w:bookmarkEnd w:id="3"/>
      <w:bookmarkEnd w:id="4"/>
      <w:bookmarkEnd w:id="5"/>
      <w:bookmarkEnd w:id="6"/>
    </w:p>
    <w:bookmarkEnd w:id="7"/>
    <w:p>
      <w:pPr>
        <w:spacing w:line="360" w:lineRule="auto"/>
        <w:ind w:firstLine="420" w:firstLineChars="200"/>
        <w:rPr>
          <w:rFonts w:hint="eastAsia" w:ascii="宋体" w:hAnsi="宋体"/>
          <w:highlight w:val="none"/>
          <w:lang w:val="en-US" w:eastAsia="zh-CN"/>
        </w:rPr>
      </w:pPr>
      <w:r>
        <w:rPr>
          <w:rFonts w:hint="eastAsia" w:ascii="宋体" w:hAnsi="宋体"/>
          <w:highlight w:val="none"/>
        </w:rPr>
        <w:t>项目编号：</w:t>
      </w:r>
      <w:r>
        <w:rPr>
          <w:rFonts w:hint="eastAsia" w:ascii="宋体" w:hAnsi="宋体"/>
          <w:highlight w:val="none"/>
          <w:lang w:eastAsia="zh-CN"/>
        </w:rPr>
        <w:t>NBGODOZB224071</w:t>
      </w:r>
    </w:p>
    <w:p>
      <w:pPr>
        <w:spacing w:line="360" w:lineRule="auto"/>
        <w:ind w:firstLine="420" w:firstLineChars="200"/>
        <w:rPr>
          <w:rFonts w:hint="eastAsia" w:ascii="宋体" w:hAnsi="宋体" w:eastAsia="宋体"/>
          <w:highlight w:val="none"/>
          <w:lang w:eastAsia="zh-CN"/>
        </w:rPr>
      </w:pPr>
      <w:r>
        <w:rPr>
          <w:rFonts w:hint="eastAsia" w:ascii="宋体" w:hAnsi="宋体"/>
          <w:highlight w:val="none"/>
        </w:rPr>
        <w:t>项目名称：</w:t>
      </w:r>
      <w:r>
        <w:rPr>
          <w:rFonts w:hint="eastAsia" w:ascii="宋体" w:hAnsi="宋体"/>
          <w:highlight w:val="none"/>
          <w:lang w:eastAsia="zh-CN"/>
        </w:rPr>
        <w:t>2024年司法援助保险项目</w:t>
      </w:r>
    </w:p>
    <w:p>
      <w:pPr>
        <w:spacing w:line="360" w:lineRule="auto"/>
        <w:ind w:firstLine="420" w:firstLineChars="200"/>
        <w:rPr>
          <w:rFonts w:ascii="宋体" w:hAnsi="宋体"/>
          <w:highlight w:val="none"/>
        </w:rPr>
      </w:pPr>
      <w:r>
        <w:rPr>
          <w:rFonts w:hint="eastAsia" w:ascii="宋体" w:hAnsi="宋体"/>
          <w:highlight w:val="none"/>
        </w:rPr>
        <w:t>预算金额（元）：</w:t>
      </w:r>
      <w:r>
        <w:rPr>
          <w:rFonts w:hint="eastAsia" w:ascii="宋体" w:hAnsi="宋体"/>
          <w:highlight w:val="none"/>
          <w:lang w:eastAsia="zh-CN"/>
        </w:rPr>
        <w:t>2332400</w:t>
      </w:r>
      <w:r>
        <w:rPr>
          <w:rFonts w:hint="eastAsia" w:ascii="宋体" w:hAnsi="宋体"/>
          <w:highlight w:val="none"/>
        </w:rPr>
        <w:t>.00</w:t>
      </w:r>
    </w:p>
    <w:p>
      <w:pPr>
        <w:spacing w:line="360" w:lineRule="auto"/>
        <w:ind w:firstLine="420" w:firstLineChars="200"/>
        <w:rPr>
          <w:rFonts w:ascii="宋体" w:hAnsi="宋体"/>
          <w:highlight w:val="none"/>
        </w:rPr>
      </w:pPr>
      <w:r>
        <w:rPr>
          <w:rFonts w:hint="eastAsia" w:ascii="宋体" w:hAnsi="宋体"/>
          <w:highlight w:val="none"/>
        </w:rPr>
        <w:t>最高限价（元）：</w:t>
      </w:r>
      <w:r>
        <w:rPr>
          <w:rFonts w:hint="eastAsia" w:ascii="宋体" w:hAnsi="宋体"/>
          <w:highlight w:val="none"/>
          <w:lang w:eastAsia="zh-CN"/>
        </w:rPr>
        <w:t>2332400</w:t>
      </w:r>
      <w:r>
        <w:rPr>
          <w:rFonts w:hint="eastAsia" w:ascii="宋体" w:hAnsi="宋体"/>
          <w:highlight w:val="none"/>
        </w:rPr>
        <w:t>.00</w:t>
      </w:r>
    </w:p>
    <w:p>
      <w:pPr>
        <w:spacing w:line="360" w:lineRule="auto"/>
        <w:ind w:firstLine="420" w:firstLineChars="200"/>
        <w:rPr>
          <w:rFonts w:ascii="宋体" w:hAnsi="宋体"/>
          <w:highlight w:val="none"/>
        </w:rPr>
      </w:pPr>
      <w:r>
        <w:rPr>
          <w:rFonts w:hint="eastAsia" w:ascii="宋体" w:hAnsi="宋体"/>
          <w:highlight w:val="none"/>
        </w:rPr>
        <w:t>采购需求：</w:t>
      </w:r>
    </w:p>
    <w:p>
      <w:pPr>
        <w:spacing w:line="360" w:lineRule="auto"/>
        <w:ind w:firstLine="420" w:firstLineChars="200"/>
        <w:rPr>
          <w:rFonts w:hint="eastAsia" w:ascii="宋体" w:hAnsi="宋体" w:eastAsia="宋体"/>
          <w:highlight w:val="none"/>
          <w:lang w:eastAsia="zh-CN"/>
        </w:rPr>
      </w:pPr>
      <w:r>
        <w:rPr>
          <w:rFonts w:hint="eastAsia" w:ascii="宋体" w:hAnsi="宋体"/>
          <w:highlight w:val="none"/>
        </w:rPr>
        <w:t>标项名称：</w:t>
      </w:r>
      <w:r>
        <w:rPr>
          <w:rFonts w:hint="eastAsia" w:ascii="宋体" w:hAnsi="宋体"/>
          <w:highlight w:val="none"/>
          <w:lang w:eastAsia="zh-CN"/>
        </w:rPr>
        <w:t>2024年司法援助保险项目</w:t>
      </w:r>
    </w:p>
    <w:p>
      <w:pPr>
        <w:spacing w:line="360" w:lineRule="auto"/>
        <w:ind w:firstLine="420" w:firstLineChars="200"/>
        <w:rPr>
          <w:rFonts w:hint="eastAsia" w:ascii="宋体" w:hAnsi="宋体" w:eastAsia="宋体"/>
          <w:highlight w:val="none"/>
          <w:lang w:eastAsia="zh-CN"/>
        </w:rPr>
      </w:pPr>
      <w:r>
        <w:rPr>
          <w:rFonts w:hint="eastAsia" w:ascii="宋体" w:hAnsi="宋体"/>
          <w:highlight w:val="none"/>
        </w:rPr>
        <w:t xml:space="preserve">  数量：1</w:t>
      </w:r>
      <w:r>
        <w:rPr>
          <w:rFonts w:hint="eastAsia" w:ascii="宋体" w:hAnsi="宋体"/>
          <w:highlight w:val="none"/>
          <w:lang w:val="en-US" w:eastAsia="zh-CN"/>
        </w:rPr>
        <w:t>项</w:t>
      </w:r>
    </w:p>
    <w:p>
      <w:pPr>
        <w:spacing w:line="360" w:lineRule="auto"/>
        <w:ind w:firstLine="420" w:firstLineChars="200"/>
        <w:rPr>
          <w:rFonts w:ascii="宋体" w:hAnsi="宋体"/>
          <w:highlight w:val="none"/>
        </w:rPr>
      </w:pPr>
      <w:r>
        <w:rPr>
          <w:rFonts w:hint="eastAsia" w:ascii="宋体" w:hAnsi="宋体"/>
          <w:highlight w:val="none"/>
        </w:rPr>
        <w:t xml:space="preserve">  预算金额（元）：</w:t>
      </w:r>
      <w:r>
        <w:rPr>
          <w:rFonts w:hint="eastAsia" w:ascii="宋体" w:hAnsi="宋体"/>
          <w:highlight w:val="none"/>
          <w:lang w:eastAsia="zh-CN"/>
        </w:rPr>
        <w:t>2332400</w:t>
      </w:r>
      <w:r>
        <w:rPr>
          <w:rFonts w:hint="eastAsia" w:ascii="宋体" w:hAnsi="宋体"/>
          <w:highlight w:val="none"/>
        </w:rPr>
        <w:t>.00</w:t>
      </w:r>
    </w:p>
    <w:p>
      <w:pPr>
        <w:spacing w:line="360" w:lineRule="auto"/>
        <w:ind w:firstLine="420" w:firstLineChars="200"/>
        <w:rPr>
          <w:rFonts w:ascii="宋体" w:hAnsi="宋体"/>
          <w:highlight w:val="none"/>
        </w:rPr>
      </w:pPr>
      <w:r>
        <w:rPr>
          <w:rFonts w:hint="eastAsia" w:ascii="宋体" w:hAnsi="宋体"/>
          <w:highlight w:val="none"/>
        </w:rPr>
        <w:t>简要规格描述或项目基本概况介绍、用途：</w:t>
      </w:r>
      <w:r>
        <w:rPr>
          <w:rFonts w:hint="eastAsia"/>
          <w:szCs w:val="21"/>
          <w:highlight w:val="none"/>
        </w:rPr>
        <w:t>详见第</w:t>
      </w:r>
      <w:r>
        <w:rPr>
          <w:rFonts w:hint="eastAsia"/>
          <w:szCs w:val="21"/>
          <w:highlight w:val="none"/>
          <w:lang w:val="en-US" w:eastAsia="zh-CN"/>
        </w:rPr>
        <w:t>二</w:t>
      </w:r>
      <w:r>
        <w:rPr>
          <w:rFonts w:hint="eastAsia"/>
          <w:szCs w:val="21"/>
          <w:highlight w:val="none"/>
        </w:rPr>
        <w:t>部分 招标项目需求</w:t>
      </w:r>
    </w:p>
    <w:p>
      <w:pPr>
        <w:spacing w:line="360" w:lineRule="auto"/>
        <w:ind w:firstLine="420" w:firstLineChars="200"/>
        <w:rPr>
          <w:rFonts w:ascii="宋体" w:hAnsi="宋体"/>
          <w:highlight w:val="none"/>
        </w:rPr>
      </w:pPr>
      <w:r>
        <w:rPr>
          <w:rFonts w:hint="eastAsia" w:ascii="宋体" w:hAnsi="宋体"/>
          <w:highlight w:val="none"/>
        </w:rPr>
        <w:t xml:space="preserve">  备注：</w:t>
      </w:r>
    </w:p>
    <w:p>
      <w:pPr>
        <w:spacing w:line="360" w:lineRule="auto"/>
        <w:ind w:firstLine="420" w:firstLineChars="200"/>
        <w:rPr>
          <w:rFonts w:hint="eastAsia" w:ascii="宋体" w:hAnsi="宋体" w:eastAsia="宋体"/>
          <w:highlight w:val="none"/>
          <w:lang w:eastAsia="zh-CN"/>
        </w:rPr>
      </w:pPr>
      <w:r>
        <w:rPr>
          <w:rFonts w:hint="eastAsia" w:ascii="宋体" w:hAnsi="宋体"/>
          <w:highlight w:val="none"/>
        </w:rPr>
        <w:t>合同履行期限：</w:t>
      </w:r>
      <w:bookmarkStart w:id="8" w:name="_Toc35393622"/>
      <w:bookmarkStart w:id="9" w:name="_Toc28359080"/>
      <w:bookmarkStart w:id="10" w:name="_Toc28359003"/>
      <w:bookmarkStart w:id="11" w:name="_Toc35393791"/>
      <w:r>
        <w:rPr>
          <w:rFonts w:hint="eastAsia" w:ascii="宋体" w:hAnsi="宋体"/>
          <w:highlight w:val="none"/>
          <w:lang w:eastAsia="zh-CN"/>
        </w:rPr>
        <w:t>202</w:t>
      </w:r>
      <w:r>
        <w:rPr>
          <w:rFonts w:hint="eastAsia" w:ascii="宋体" w:hAnsi="宋体"/>
          <w:highlight w:val="none"/>
          <w:lang w:val="en-US" w:eastAsia="zh-CN"/>
        </w:rPr>
        <w:t>4</w:t>
      </w:r>
      <w:r>
        <w:rPr>
          <w:rFonts w:hint="eastAsia" w:ascii="宋体" w:hAnsi="宋体"/>
          <w:highlight w:val="none"/>
          <w:lang w:eastAsia="zh-CN"/>
        </w:rPr>
        <w:t>年度</w:t>
      </w:r>
    </w:p>
    <w:p>
      <w:pPr>
        <w:spacing w:line="360" w:lineRule="auto"/>
        <w:ind w:firstLine="420" w:firstLineChars="200"/>
        <w:rPr>
          <w:rFonts w:ascii="宋体" w:hAnsi="宋体"/>
          <w:highlight w:val="none"/>
        </w:rPr>
      </w:pPr>
      <w:r>
        <w:rPr>
          <w:rFonts w:hint="eastAsia" w:ascii="宋体" w:hAnsi="宋体"/>
          <w:highlight w:val="none"/>
        </w:rPr>
        <w:t>本项目（是）接受联合体投标。</w:t>
      </w:r>
    </w:p>
    <w:p>
      <w:pPr>
        <w:pStyle w:val="5"/>
        <w:spacing w:line="360" w:lineRule="auto"/>
        <w:jc w:val="both"/>
        <w:rPr>
          <w:rFonts w:ascii="宋体" w:hAnsi="宋体" w:cs="宋体"/>
          <w:sz w:val="21"/>
          <w:szCs w:val="21"/>
          <w:highlight w:val="none"/>
        </w:rPr>
      </w:pPr>
      <w:bookmarkStart w:id="12" w:name="_Toc17358"/>
      <w:r>
        <w:rPr>
          <w:rFonts w:hint="eastAsia" w:ascii="宋体" w:hAnsi="宋体" w:cs="宋体"/>
          <w:sz w:val="21"/>
          <w:szCs w:val="21"/>
          <w:highlight w:val="none"/>
        </w:rPr>
        <w:t>二、申请人的资格要求：</w:t>
      </w:r>
      <w:bookmarkEnd w:id="8"/>
      <w:bookmarkEnd w:id="9"/>
      <w:bookmarkEnd w:id="10"/>
      <w:bookmarkEnd w:id="11"/>
      <w:bookmarkEnd w:id="12"/>
    </w:p>
    <w:p>
      <w:pPr>
        <w:spacing w:line="360" w:lineRule="auto"/>
        <w:ind w:firstLine="420" w:firstLineChars="200"/>
        <w:rPr>
          <w:rFonts w:ascii="宋体" w:hAnsi="宋体"/>
          <w:highlight w:val="none"/>
        </w:rPr>
      </w:pPr>
      <w:bookmarkStart w:id="13" w:name="_Toc28359004"/>
      <w:bookmarkStart w:id="14" w:name="_Toc28359081"/>
      <w:r>
        <w:rPr>
          <w:rFonts w:hint="eastAsia" w:ascii="宋体" w:hAnsi="宋体"/>
          <w:highlight w:val="none"/>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420" w:firstLineChars="200"/>
        <w:rPr>
          <w:rFonts w:ascii="宋体" w:hAnsi="宋体"/>
          <w:highlight w:val="none"/>
        </w:rPr>
      </w:pPr>
      <w:r>
        <w:rPr>
          <w:rFonts w:hint="eastAsia" w:ascii="宋体" w:hAnsi="宋体"/>
          <w:highlight w:val="none"/>
        </w:rPr>
        <w:t>2.落实政府采购政策需满足的资格要求：无；</w:t>
      </w:r>
    </w:p>
    <w:p>
      <w:pPr>
        <w:spacing w:line="360" w:lineRule="auto"/>
        <w:ind w:firstLine="420" w:firstLineChars="200"/>
        <w:rPr>
          <w:rFonts w:asciiTheme="minorEastAsia" w:hAnsiTheme="minorEastAsia"/>
          <w:b/>
          <w:bCs/>
          <w:i/>
          <w:szCs w:val="21"/>
          <w:highlight w:val="none"/>
        </w:rPr>
      </w:pPr>
      <w:r>
        <w:rPr>
          <w:rFonts w:hint="eastAsia" w:ascii="宋体" w:hAnsi="宋体"/>
          <w:highlight w:val="none"/>
        </w:rPr>
        <w:t>3.本项目的特定资格要求：【标项1】投标人须</w:t>
      </w:r>
      <w:r>
        <w:rPr>
          <w:rFonts w:hint="eastAsia"/>
          <w:szCs w:val="21"/>
          <w:highlight w:val="none"/>
        </w:rPr>
        <w:t>具有经中国保险监督管理委员会批准，具有《中华人民共和国经营保险业务许可证》的保险公司或其分支机构；若联合体投标的，联合体各方均须具有经中国保险监督管理委员会批准，具有《中华人民共和国经营保险业务许可证》的保险公司或其分支机构。</w:t>
      </w:r>
    </w:p>
    <w:p>
      <w:pPr>
        <w:pStyle w:val="5"/>
        <w:spacing w:line="360" w:lineRule="auto"/>
        <w:jc w:val="both"/>
        <w:rPr>
          <w:rFonts w:ascii="宋体" w:hAnsi="宋体" w:cs="宋体"/>
          <w:sz w:val="21"/>
          <w:szCs w:val="21"/>
          <w:highlight w:val="none"/>
        </w:rPr>
      </w:pPr>
      <w:bookmarkStart w:id="15" w:name="_Toc12139"/>
      <w:bookmarkStart w:id="16" w:name="_Toc35393792"/>
      <w:bookmarkStart w:id="17" w:name="_Toc35393623"/>
      <w:r>
        <w:rPr>
          <w:rFonts w:hint="eastAsia" w:ascii="宋体" w:hAnsi="宋体" w:cs="宋体"/>
          <w:sz w:val="21"/>
          <w:szCs w:val="21"/>
          <w:highlight w:val="none"/>
        </w:rPr>
        <w:t>三、获取招标文件</w:t>
      </w:r>
      <w:bookmarkEnd w:id="13"/>
      <w:bookmarkEnd w:id="14"/>
      <w:bookmarkEnd w:id="15"/>
      <w:bookmarkEnd w:id="16"/>
      <w:bookmarkEnd w:id="17"/>
    </w:p>
    <w:p>
      <w:pPr>
        <w:spacing w:line="360" w:lineRule="auto"/>
        <w:ind w:firstLine="420" w:firstLineChars="200"/>
        <w:rPr>
          <w:rFonts w:ascii="宋体" w:hAnsi="宋体" w:cs="宋体"/>
          <w:szCs w:val="21"/>
          <w:highlight w:val="none"/>
        </w:rPr>
      </w:pPr>
      <w:r>
        <w:rPr>
          <w:rFonts w:hint="eastAsia" w:ascii="宋体" w:hAnsi="宋体" w:cs="宋体"/>
          <w:highlight w:val="none"/>
        </w:rPr>
        <w:t>时间：</w:t>
      </w:r>
      <w:r>
        <w:rPr>
          <w:rFonts w:hint="eastAsia" w:ascii="宋体" w:hAnsi="宋体"/>
          <w:highlight w:val="none"/>
          <w:u w:val="single"/>
        </w:rPr>
        <w:t>202</w:t>
      </w:r>
      <w:r>
        <w:rPr>
          <w:rFonts w:hint="eastAsia" w:ascii="宋体" w:hAnsi="宋体"/>
          <w:highlight w:val="none"/>
          <w:u w:val="single"/>
          <w:lang w:val="en-US" w:eastAsia="zh-CN"/>
        </w:rPr>
        <w:t>4</w:t>
      </w:r>
      <w:r>
        <w:rPr>
          <w:rFonts w:hint="eastAsia" w:ascii="宋体" w:hAnsi="宋体"/>
          <w:bCs/>
          <w:highlight w:val="none"/>
          <w:u w:val="single"/>
        </w:rPr>
        <w:t>年</w:t>
      </w:r>
      <w:r>
        <w:rPr>
          <w:rFonts w:hint="eastAsia" w:ascii="宋体" w:hAnsi="宋体"/>
          <w:bCs/>
          <w:highlight w:val="none"/>
          <w:u w:val="single"/>
          <w:lang w:val="en-US" w:eastAsia="zh-CN"/>
        </w:rPr>
        <w:t>04</w:t>
      </w:r>
      <w:r>
        <w:rPr>
          <w:rFonts w:hint="eastAsia" w:ascii="宋体" w:hAnsi="宋体"/>
          <w:bCs/>
          <w:highlight w:val="none"/>
          <w:u w:val="single"/>
        </w:rPr>
        <w:t>月</w:t>
      </w:r>
      <w:r>
        <w:rPr>
          <w:rFonts w:hint="eastAsia" w:ascii="宋体" w:hAnsi="宋体"/>
          <w:bCs/>
          <w:highlight w:val="none"/>
          <w:u w:val="single"/>
          <w:lang w:val="en-US" w:eastAsia="zh-CN"/>
        </w:rPr>
        <w:t>15</w:t>
      </w:r>
      <w:r>
        <w:rPr>
          <w:rFonts w:hint="eastAsia" w:ascii="宋体" w:hAnsi="宋体"/>
          <w:bCs/>
          <w:highlight w:val="none"/>
          <w:u w:val="single"/>
        </w:rPr>
        <w:t>日</w:t>
      </w:r>
      <w:r>
        <w:rPr>
          <w:rFonts w:hint="eastAsia" w:ascii="宋体" w:hAnsi="宋体"/>
          <w:highlight w:val="none"/>
        </w:rPr>
        <w:t>至</w:t>
      </w:r>
      <w:r>
        <w:rPr>
          <w:rFonts w:hint="eastAsia" w:ascii="宋体" w:hAnsi="宋体"/>
          <w:highlight w:val="none"/>
          <w:u w:val="single"/>
        </w:rPr>
        <w:t>202</w:t>
      </w:r>
      <w:r>
        <w:rPr>
          <w:rFonts w:hint="eastAsia" w:ascii="宋体" w:hAnsi="宋体"/>
          <w:highlight w:val="none"/>
          <w:u w:val="single"/>
          <w:lang w:val="en-US" w:eastAsia="zh-CN"/>
        </w:rPr>
        <w:t>4</w:t>
      </w:r>
      <w:r>
        <w:rPr>
          <w:rFonts w:hint="eastAsia" w:ascii="宋体" w:hAnsi="宋体"/>
          <w:bCs/>
          <w:highlight w:val="none"/>
          <w:u w:val="single"/>
        </w:rPr>
        <w:t>年</w:t>
      </w:r>
      <w:r>
        <w:rPr>
          <w:rFonts w:hint="eastAsia" w:ascii="宋体" w:hAnsi="宋体"/>
          <w:bCs/>
          <w:highlight w:val="none"/>
          <w:u w:val="single"/>
          <w:lang w:val="en-US" w:eastAsia="zh-CN"/>
        </w:rPr>
        <w:t>04</w:t>
      </w:r>
      <w:r>
        <w:rPr>
          <w:rFonts w:hint="eastAsia" w:ascii="宋体" w:hAnsi="宋体"/>
          <w:bCs/>
          <w:highlight w:val="none"/>
          <w:u w:val="single"/>
        </w:rPr>
        <w:t>月</w:t>
      </w:r>
      <w:r>
        <w:rPr>
          <w:rFonts w:hint="eastAsia" w:ascii="宋体" w:hAnsi="宋体"/>
          <w:bCs/>
          <w:highlight w:val="none"/>
          <w:u w:val="single"/>
          <w:lang w:val="en-US" w:eastAsia="zh-CN"/>
        </w:rPr>
        <w:t>22</w:t>
      </w:r>
      <w:r>
        <w:rPr>
          <w:rFonts w:hint="eastAsia" w:ascii="宋体" w:hAnsi="宋体"/>
          <w:bCs/>
          <w:highlight w:val="none"/>
          <w:u w:val="single"/>
        </w:rPr>
        <w:t>日</w:t>
      </w:r>
      <w:r>
        <w:rPr>
          <w:rFonts w:hint="eastAsia" w:ascii="宋体" w:hAnsi="宋体" w:cs="宋体"/>
          <w:highlight w:val="none"/>
        </w:rPr>
        <w:t>，每天上午</w:t>
      </w:r>
      <w:r>
        <w:rPr>
          <w:rFonts w:hint="eastAsia" w:ascii="宋体" w:hAnsi="宋体" w:cs="宋体"/>
          <w:highlight w:val="none"/>
          <w:u w:val="single"/>
        </w:rPr>
        <w:t>00:00</w:t>
      </w:r>
      <w:r>
        <w:rPr>
          <w:rFonts w:hint="eastAsia" w:ascii="宋体" w:hAnsi="宋体" w:cs="宋体"/>
          <w:highlight w:val="none"/>
        </w:rPr>
        <w:t>至</w:t>
      </w:r>
      <w:r>
        <w:rPr>
          <w:rFonts w:hint="eastAsia" w:ascii="宋体" w:hAnsi="宋体" w:cs="宋体"/>
          <w:highlight w:val="none"/>
          <w:u w:val="single"/>
        </w:rPr>
        <w:t>12:00</w:t>
      </w:r>
      <w:r>
        <w:rPr>
          <w:rFonts w:hint="eastAsia" w:ascii="宋体" w:hAnsi="宋体" w:cs="宋体"/>
          <w:highlight w:val="none"/>
        </w:rPr>
        <w:t>，下午</w:t>
      </w:r>
      <w:r>
        <w:rPr>
          <w:rFonts w:hint="eastAsia" w:ascii="宋体" w:hAnsi="宋体" w:cs="宋体"/>
          <w:highlight w:val="none"/>
          <w:u w:val="single"/>
        </w:rPr>
        <w:t>12:00</w:t>
      </w:r>
      <w:r>
        <w:rPr>
          <w:rFonts w:hint="eastAsia" w:ascii="宋体" w:hAnsi="宋体" w:cs="宋体"/>
          <w:highlight w:val="none"/>
        </w:rPr>
        <w:t>至</w:t>
      </w:r>
      <w:r>
        <w:rPr>
          <w:rFonts w:hint="eastAsia" w:ascii="宋体" w:hAnsi="宋体" w:cs="宋体"/>
          <w:highlight w:val="none"/>
          <w:u w:val="single"/>
        </w:rPr>
        <w:t>23:59</w:t>
      </w:r>
      <w:r>
        <w:rPr>
          <w:rFonts w:hint="eastAsia" w:ascii="宋体" w:hAnsi="宋体" w:cs="宋体"/>
          <w:highlight w:val="none"/>
        </w:rPr>
        <w:t>（北京时间）</w:t>
      </w:r>
    </w:p>
    <w:p>
      <w:pPr>
        <w:spacing w:line="360" w:lineRule="auto"/>
        <w:ind w:firstLine="420" w:firstLineChars="200"/>
        <w:rPr>
          <w:rFonts w:ascii="宋体" w:hAnsi="宋体" w:cs="宋体"/>
          <w:highlight w:val="none"/>
          <w:u w:val="single"/>
        </w:rPr>
      </w:pPr>
      <w:r>
        <w:rPr>
          <w:rFonts w:hint="eastAsia" w:ascii="宋体" w:hAnsi="宋体" w:cs="宋体"/>
          <w:highlight w:val="none"/>
        </w:rPr>
        <w:t>地点（网址）：</w:t>
      </w:r>
      <w:r>
        <w:rPr>
          <w:rFonts w:hint="eastAsia" w:ascii="宋体" w:hAnsi="宋体"/>
          <w:highlight w:val="none"/>
        </w:rPr>
        <w:t>政府采购云平台（http://www.zcygov.cn/）。</w:t>
      </w:r>
    </w:p>
    <w:p>
      <w:pPr>
        <w:snapToGrid w:val="0"/>
        <w:spacing w:line="400" w:lineRule="exact"/>
        <w:ind w:firstLine="411" w:firstLineChars="196"/>
        <w:rPr>
          <w:rFonts w:ascii="宋体" w:hAnsi="宋体" w:cs="宋体"/>
          <w:highlight w:val="none"/>
        </w:rPr>
      </w:pPr>
      <w:r>
        <w:rPr>
          <w:rFonts w:hint="eastAsia" w:ascii="宋体" w:hAnsi="宋体" w:cs="宋体"/>
          <w:highlight w:val="none"/>
        </w:rPr>
        <w:t xml:space="preserve">方式：（1）本项目招标文件实行“政府采购云平台”在线获取，不提供招标文件纸质版。投标人获取招标文件前应先完成“政府采购云平台”的账号注册； </w:t>
      </w:r>
    </w:p>
    <w:p>
      <w:pPr>
        <w:snapToGrid w:val="0"/>
        <w:spacing w:line="400" w:lineRule="exact"/>
        <w:ind w:firstLine="411" w:firstLineChars="196"/>
        <w:rPr>
          <w:rFonts w:ascii="宋体" w:hAnsi="宋体" w:cs="宋体"/>
          <w:highlight w:val="none"/>
        </w:rPr>
      </w:pPr>
      <w:r>
        <w:rPr>
          <w:rFonts w:hint="eastAsia" w:ascii="宋体" w:hAnsi="宋体" w:cs="宋体"/>
          <w:highlight w:val="none"/>
        </w:rPr>
        <w:t xml:space="preserve">（2）潜在投标人登陆政采云平台，在线申请获取招标文件（进入“项目采购”应用，在获取招标文件菜单中选择项目，申请获取招标文件；仅需浏览招标文件的投标人可点击“游客，浏览招标文件”直接下载招标文件浏览）； </w:t>
      </w:r>
    </w:p>
    <w:p>
      <w:pPr>
        <w:snapToGrid w:val="0"/>
        <w:spacing w:line="400" w:lineRule="exact"/>
        <w:ind w:firstLine="411" w:firstLineChars="196"/>
        <w:rPr>
          <w:rFonts w:ascii="宋体" w:hAnsi="宋体" w:cs="宋体"/>
          <w:highlight w:val="none"/>
        </w:rPr>
      </w:pPr>
      <w:r>
        <w:rPr>
          <w:rFonts w:hint="eastAsia" w:ascii="宋体" w:hAnsi="宋体" w:cs="宋体"/>
          <w:highlight w:val="none"/>
        </w:rPr>
        <w:t>（3）招标公告附件内的招标文件仅供阅览使用，投标人只有在“政府采购云平台”完成获取招标文件申请并下载了招标文件后才视作依法获取招标文件（法律法规所指的投标人获取招标文件时间以投标人完成获取招标文件申请后下载招标文件的时间为准）。</w:t>
      </w:r>
      <w:r>
        <w:rPr>
          <w:rFonts w:hint="eastAsia" w:cs="Arial" w:asciiTheme="minorEastAsia" w:hAnsiTheme="minorEastAsia" w:eastAsiaTheme="minorEastAsia"/>
          <w:szCs w:val="21"/>
          <w:highlight w:val="none"/>
        </w:rPr>
        <w:t>未按照招标文件规定程序依法获取招标文件的潜在投标人，对招标文件提起质疑的，按照无效质疑处理。采购代理机构拒绝接收未依法获取本项目招标</w:t>
      </w:r>
      <w:r>
        <w:rPr>
          <w:rFonts w:cs="Arial" w:asciiTheme="minorEastAsia" w:hAnsiTheme="minorEastAsia" w:eastAsiaTheme="minorEastAsia"/>
          <w:szCs w:val="21"/>
          <w:highlight w:val="none"/>
        </w:rPr>
        <w:t>文件</w:t>
      </w:r>
      <w:r>
        <w:rPr>
          <w:rFonts w:hint="eastAsia" w:cs="Arial" w:asciiTheme="minorEastAsia" w:hAnsiTheme="minorEastAsia" w:eastAsiaTheme="minorEastAsia"/>
          <w:szCs w:val="21"/>
          <w:highlight w:val="none"/>
        </w:rPr>
        <w:t>的投标人提交的投标文件。</w:t>
      </w:r>
    </w:p>
    <w:p>
      <w:pPr>
        <w:snapToGrid w:val="0"/>
        <w:spacing w:line="400" w:lineRule="exact"/>
        <w:ind w:firstLine="411" w:firstLineChars="196"/>
        <w:rPr>
          <w:rFonts w:ascii="宋体" w:hAnsi="宋体" w:cs="宋体"/>
          <w:highlight w:val="none"/>
        </w:rPr>
      </w:pPr>
      <w:r>
        <w:rPr>
          <w:rFonts w:hint="eastAsia" w:ascii="宋体" w:hAnsi="宋体" w:cs="宋体"/>
          <w:highlight w:val="none"/>
        </w:rPr>
        <w:t>注：请投标人按上述要求获取招标文件，如未在“政采云”系统内完成相关流程，引起的投标无效责任自负。</w:t>
      </w:r>
    </w:p>
    <w:p>
      <w:pPr>
        <w:spacing w:line="360" w:lineRule="auto"/>
        <w:ind w:firstLine="420" w:firstLineChars="200"/>
        <w:rPr>
          <w:rFonts w:ascii="宋体" w:hAnsi="宋体" w:cs="宋体"/>
          <w:highlight w:val="none"/>
        </w:rPr>
      </w:pPr>
      <w:r>
        <w:rPr>
          <w:rFonts w:hint="eastAsia" w:ascii="宋体" w:hAnsi="宋体" w:cs="宋体"/>
          <w:highlight w:val="none"/>
        </w:rPr>
        <w:t>售价</w:t>
      </w:r>
      <w:r>
        <w:rPr>
          <w:rFonts w:hint="eastAsia" w:ascii="宋体" w:hAnsi="宋体" w:cs="宋体"/>
          <w:highlight w:val="none"/>
          <w:lang w:eastAsia="zh-CN"/>
        </w:rPr>
        <w:t>（</w:t>
      </w:r>
      <w:r>
        <w:rPr>
          <w:rFonts w:hint="eastAsia" w:ascii="宋体" w:hAnsi="宋体" w:cs="宋体"/>
          <w:highlight w:val="none"/>
          <w:lang w:val="en-US" w:eastAsia="zh-CN"/>
        </w:rPr>
        <w:t>元</w:t>
      </w:r>
      <w:r>
        <w:rPr>
          <w:rFonts w:hint="eastAsia" w:ascii="宋体" w:hAnsi="宋体" w:cs="宋体"/>
          <w:highlight w:val="none"/>
          <w:lang w:eastAsia="zh-CN"/>
        </w:rPr>
        <w:t>）</w:t>
      </w:r>
      <w:r>
        <w:rPr>
          <w:rFonts w:hint="eastAsia" w:ascii="宋体" w:hAnsi="宋体" w:cs="宋体"/>
          <w:highlight w:val="none"/>
        </w:rPr>
        <w:t>：0</w:t>
      </w:r>
    </w:p>
    <w:p>
      <w:pPr>
        <w:spacing w:line="360" w:lineRule="auto"/>
        <w:ind w:firstLine="420" w:firstLineChars="200"/>
        <w:rPr>
          <w:rFonts w:ascii="宋体" w:hAnsi="宋体" w:cs="宋体"/>
          <w:highlight w:val="none"/>
        </w:rPr>
      </w:pPr>
    </w:p>
    <w:p>
      <w:pPr>
        <w:pStyle w:val="5"/>
        <w:spacing w:line="360" w:lineRule="auto"/>
        <w:jc w:val="both"/>
        <w:rPr>
          <w:rFonts w:ascii="宋体" w:hAnsi="宋体" w:cs="宋体"/>
          <w:sz w:val="21"/>
          <w:szCs w:val="21"/>
          <w:highlight w:val="none"/>
        </w:rPr>
      </w:pPr>
      <w:bookmarkStart w:id="18" w:name="_Toc28359082"/>
      <w:bookmarkStart w:id="19" w:name="_Toc28359005"/>
      <w:bookmarkStart w:id="20" w:name="_Toc35393624"/>
      <w:bookmarkStart w:id="21" w:name="_Toc35393793"/>
      <w:bookmarkStart w:id="22" w:name="_Toc17959"/>
      <w:r>
        <w:rPr>
          <w:rFonts w:hint="eastAsia" w:ascii="宋体" w:hAnsi="宋体" w:cs="宋体"/>
          <w:sz w:val="21"/>
          <w:szCs w:val="21"/>
          <w:highlight w:val="none"/>
        </w:rPr>
        <w:t>四、提交投标文件</w:t>
      </w:r>
      <w:bookmarkEnd w:id="18"/>
      <w:bookmarkEnd w:id="19"/>
      <w:r>
        <w:rPr>
          <w:rFonts w:hint="eastAsia" w:ascii="宋体" w:hAnsi="宋体" w:cs="宋体"/>
          <w:sz w:val="21"/>
          <w:szCs w:val="21"/>
          <w:highlight w:val="none"/>
        </w:rPr>
        <w:t>截止时间、开标时间和地点</w:t>
      </w:r>
      <w:bookmarkEnd w:id="20"/>
      <w:bookmarkEnd w:id="21"/>
      <w:bookmarkEnd w:id="22"/>
    </w:p>
    <w:p>
      <w:pPr>
        <w:spacing w:line="360" w:lineRule="auto"/>
        <w:ind w:firstLine="420" w:firstLineChars="200"/>
        <w:rPr>
          <w:rFonts w:ascii="宋体" w:hAnsi="宋体"/>
          <w:bCs/>
          <w:szCs w:val="21"/>
          <w:highlight w:val="none"/>
        </w:rPr>
      </w:pPr>
      <w:r>
        <w:rPr>
          <w:rFonts w:hint="eastAsia" w:ascii="宋体" w:hAnsi="宋体" w:cs="宋体"/>
          <w:highlight w:val="none"/>
        </w:rPr>
        <w:t>提交投标文件截止时间：</w:t>
      </w:r>
      <w:r>
        <w:rPr>
          <w:rFonts w:hint="eastAsia" w:ascii="宋体" w:hAnsi="宋体"/>
          <w:highlight w:val="none"/>
          <w:u w:val="single"/>
        </w:rPr>
        <w:t>202</w:t>
      </w:r>
      <w:r>
        <w:rPr>
          <w:rFonts w:hint="eastAsia" w:ascii="宋体" w:hAnsi="宋体"/>
          <w:highlight w:val="none"/>
          <w:u w:val="single"/>
          <w:lang w:val="en-US" w:eastAsia="zh-CN"/>
        </w:rPr>
        <w:t>4</w:t>
      </w:r>
      <w:r>
        <w:rPr>
          <w:rFonts w:hint="eastAsia" w:ascii="宋体" w:hAnsi="宋体"/>
          <w:bCs/>
          <w:highlight w:val="none"/>
          <w:u w:val="single"/>
        </w:rPr>
        <w:t>年</w:t>
      </w:r>
      <w:r>
        <w:rPr>
          <w:rFonts w:hint="eastAsia" w:ascii="宋体" w:hAnsi="宋体"/>
          <w:bCs/>
          <w:highlight w:val="none"/>
          <w:u w:val="single"/>
          <w:lang w:val="en-US" w:eastAsia="zh-CN"/>
        </w:rPr>
        <w:t>05</w:t>
      </w:r>
      <w:r>
        <w:rPr>
          <w:rFonts w:hint="eastAsia" w:ascii="宋体" w:hAnsi="宋体"/>
          <w:bCs/>
          <w:highlight w:val="none"/>
          <w:u w:val="single"/>
        </w:rPr>
        <w:t>月</w:t>
      </w:r>
      <w:r>
        <w:rPr>
          <w:rFonts w:hint="eastAsia" w:ascii="宋体" w:hAnsi="宋体"/>
          <w:bCs/>
          <w:highlight w:val="none"/>
          <w:u w:val="single"/>
          <w:lang w:val="en-US" w:eastAsia="zh-CN"/>
        </w:rPr>
        <w:t>06</w:t>
      </w:r>
      <w:r>
        <w:rPr>
          <w:rFonts w:hint="eastAsia" w:ascii="宋体" w:hAnsi="宋体"/>
          <w:bCs/>
          <w:highlight w:val="none"/>
          <w:u w:val="single"/>
        </w:rPr>
        <w:t>日14点00分</w:t>
      </w:r>
      <w:r>
        <w:rPr>
          <w:rFonts w:hint="eastAsia" w:ascii="宋体" w:hAnsi="宋体"/>
          <w:bCs/>
          <w:highlight w:val="none"/>
        </w:rPr>
        <w:t>（北京时间）。</w:t>
      </w:r>
    </w:p>
    <w:p>
      <w:pPr>
        <w:spacing w:line="360" w:lineRule="auto"/>
        <w:ind w:firstLine="420" w:firstLineChars="200"/>
        <w:rPr>
          <w:rFonts w:ascii="宋体" w:hAnsi="宋体" w:cs="Arial"/>
          <w:szCs w:val="21"/>
          <w:highlight w:val="none"/>
        </w:rPr>
      </w:pPr>
      <w:r>
        <w:rPr>
          <w:rFonts w:hint="eastAsia" w:ascii="宋体" w:hAnsi="宋体" w:cs="Arial"/>
          <w:szCs w:val="21"/>
          <w:highlight w:val="none"/>
        </w:rPr>
        <w:t>投标地点（网址）：</w:t>
      </w:r>
      <w:r>
        <w:rPr>
          <w:rFonts w:hint="eastAsia" w:ascii="宋体" w:hAnsi="宋体" w:cs="Arial"/>
          <w:szCs w:val="21"/>
          <w:highlight w:val="none"/>
          <w:u w:val="single"/>
        </w:rPr>
        <w:t>政采云平台（www.zcygov.cn）（线上）</w:t>
      </w:r>
    </w:p>
    <w:p>
      <w:pPr>
        <w:spacing w:line="360" w:lineRule="auto"/>
        <w:ind w:firstLine="420" w:firstLineChars="200"/>
        <w:rPr>
          <w:rFonts w:ascii="宋体" w:hAnsi="宋体" w:cs="Arial"/>
          <w:szCs w:val="21"/>
          <w:highlight w:val="none"/>
        </w:rPr>
      </w:pPr>
      <w:r>
        <w:rPr>
          <w:rFonts w:hint="eastAsia" w:ascii="宋体" w:hAnsi="宋体" w:cs="Arial"/>
          <w:szCs w:val="21"/>
          <w:highlight w:val="none"/>
        </w:rPr>
        <w:t>开标时间：</w:t>
      </w:r>
      <w:r>
        <w:rPr>
          <w:rFonts w:hint="eastAsia" w:ascii="宋体" w:hAnsi="宋体" w:cs="Arial"/>
          <w:szCs w:val="21"/>
          <w:highlight w:val="none"/>
          <w:u w:val="single"/>
        </w:rPr>
        <w:t>202</w:t>
      </w:r>
      <w:r>
        <w:rPr>
          <w:rFonts w:hint="eastAsia" w:ascii="宋体" w:hAnsi="宋体" w:cs="Arial"/>
          <w:szCs w:val="21"/>
          <w:highlight w:val="none"/>
          <w:u w:val="single"/>
          <w:lang w:val="en-US" w:eastAsia="zh-CN"/>
        </w:rPr>
        <w:t>4</w:t>
      </w:r>
      <w:r>
        <w:rPr>
          <w:rFonts w:hint="eastAsia" w:ascii="宋体" w:hAnsi="宋体" w:cs="Arial"/>
          <w:szCs w:val="21"/>
          <w:highlight w:val="none"/>
          <w:u w:val="single"/>
        </w:rPr>
        <w:t>年</w:t>
      </w:r>
      <w:r>
        <w:rPr>
          <w:rFonts w:hint="eastAsia" w:ascii="宋体" w:hAnsi="宋体" w:cs="Arial"/>
          <w:szCs w:val="21"/>
          <w:highlight w:val="none"/>
          <w:u w:val="single"/>
          <w:lang w:val="en-US" w:eastAsia="zh-CN"/>
        </w:rPr>
        <w:t>05</w:t>
      </w:r>
      <w:r>
        <w:rPr>
          <w:rFonts w:hint="eastAsia" w:ascii="宋体" w:hAnsi="宋体" w:cs="Arial"/>
          <w:szCs w:val="21"/>
          <w:highlight w:val="none"/>
          <w:u w:val="single"/>
        </w:rPr>
        <w:t>月</w:t>
      </w:r>
      <w:r>
        <w:rPr>
          <w:rFonts w:hint="eastAsia" w:ascii="宋体" w:hAnsi="宋体" w:cs="Arial"/>
          <w:szCs w:val="21"/>
          <w:highlight w:val="none"/>
          <w:u w:val="single"/>
          <w:lang w:val="en-US" w:eastAsia="zh-CN"/>
        </w:rPr>
        <w:t>06</w:t>
      </w:r>
      <w:r>
        <w:rPr>
          <w:rFonts w:hint="eastAsia" w:ascii="宋体" w:hAnsi="宋体" w:cs="Arial"/>
          <w:szCs w:val="21"/>
          <w:highlight w:val="none"/>
          <w:u w:val="single"/>
        </w:rPr>
        <w:t>日</w:t>
      </w:r>
      <w:r>
        <w:rPr>
          <w:rFonts w:hint="eastAsia" w:ascii="宋体" w:hAnsi="宋体"/>
          <w:bCs/>
          <w:highlight w:val="none"/>
          <w:u w:val="single"/>
        </w:rPr>
        <w:t>14点00分</w:t>
      </w:r>
      <w:r>
        <w:rPr>
          <w:rFonts w:hint="eastAsia" w:ascii="宋体" w:hAnsi="宋体" w:cs="Arial"/>
          <w:szCs w:val="21"/>
          <w:highlight w:val="none"/>
        </w:rPr>
        <w:t xml:space="preserve"> （北京时间）</w:t>
      </w:r>
    </w:p>
    <w:p>
      <w:pPr>
        <w:spacing w:line="360" w:lineRule="auto"/>
        <w:ind w:firstLine="420" w:firstLineChars="200"/>
        <w:rPr>
          <w:rFonts w:hint="eastAsia" w:ascii="宋体" w:hAnsi="宋体" w:eastAsia="宋体"/>
          <w:highlight w:val="none"/>
          <w:lang w:eastAsia="zh-CN"/>
        </w:rPr>
      </w:pPr>
      <w:r>
        <w:rPr>
          <w:rFonts w:hint="eastAsia" w:ascii="宋体" w:hAnsi="宋体" w:cs="Arial"/>
          <w:szCs w:val="21"/>
          <w:highlight w:val="none"/>
        </w:rPr>
        <w:t>开标地点（网址）：</w:t>
      </w:r>
      <w:r>
        <w:rPr>
          <w:rFonts w:hint="eastAsia" w:ascii="宋体" w:hAnsi="宋体" w:cs="Arial"/>
          <w:szCs w:val="21"/>
          <w:highlight w:val="none"/>
          <w:u w:val="single"/>
        </w:rPr>
        <w:t>政采云平台（www.zcygov.cn）（线上）</w:t>
      </w:r>
      <w:r>
        <w:rPr>
          <w:rFonts w:hint="eastAsia" w:ascii="宋体" w:hAnsi="宋体" w:cs="Arial"/>
          <w:szCs w:val="21"/>
          <w:highlight w:val="none"/>
          <w:u w:val="single"/>
          <w:lang w:eastAsia="zh-CN"/>
        </w:rPr>
        <w:t>（</w:t>
      </w:r>
      <w:r>
        <w:rPr>
          <w:rFonts w:hint="eastAsia" w:ascii="宋体" w:hAnsi="宋体" w:cs="Arial"/>
          <w:szCs w:val="21"/>
          <w:highlight w:val="none"/>
          <w:u w:val="single"/>
          <w:lang w:val="en-US" w:eastAsia="zh-CN"/>
        </w:rPr>
        <w:t>宁波市鄞州世纪大道北段555号1918室（宁波国际投资咨询有限公司）</w:t>
      </w:r>
      <w:r>
        <w:rPr>
          <w:rFonts w:hint="eastAsia" w:ascii="宋体" w:hAnsi="宋体" w:cs="Arial"/>
          <w:szCs w:val="21"/>
          <w:highlight w:val="none"/>
          <w:u w:val="single"/>
          <w:lang w:eastAsia="zh-CN"/>
        </w:rPr>
        <w:t>）</w:t>
      </w:r>
    </w:p>
    <w:p>
      <w:pPr>
        <w:spacing w:line="360" w:lineRule="auto"/>
        <w:ind w:firstLine="420" w:firstLineChars="200"/>
        <w:rPr>
          <w:rFonts w:ascii="宋体" w:hAnsi="宋体"/>
          <w:bCs/>
          <w:highlight w:val="none"/>
          <w:u w:val="single"/>
        </w:rPr>
      </w:pPr>
    </w:p>
    <w:p>
      <w:pPr>
        <w:pStyle w:val="5"/>
        <w:spacing w:line="360" w:lineRule="auto"/>
        <w:jc w:val="both"/>
        <w:rPr>
          <w:rFonts w:ascii="宋体" w:hAnsi="宋体" w:cs="宋体"/>
          <w:sz w:val="21"/>
          <w:szCs w:val="21"/>
          <w:highlight w:val="none"/>
        </w:rPr>
      </w:pPr>
      <w:bookmarkStart w:id="23" w:name="_Toc28359007"/>
      <w:bookmarkStart w:id="24" w:name="_Toc28359084"/>
      <w:bookmarkStart w:id="25" w:name="_Toc18405"/>
      <w:bookmarkStart w:id="26" w:name="_Toc35393794"/>
      <w:bookmarkStart w:id="27" w:name="_Toc35393625"/>
      <w:r>
        <w:rPr>
          <w:rFonts w:hint="eastAsia" w:ascii="宋体" w:hAnsi="宋体" w:cs="宋体"/>
          <w:sz w:val="21"/>
          <w:szCs w:val="21"/>
          <w:highlight w:val="none"/>
        </w:rPr>
        <w:t>五、公告期限</w:t>
      </w:r>
      <w:bookmarkEnd w:id="23"/>
      <w:bookmarkEnd w:id="24"/>
      <w:bookmarkEnd w:id="25"/>
      <w:bookmarkEnd w:id="26"/>
      <w:bookmarkEnd w:id="27"/>
    </w:p>
    <w:p>
      <w:pPr>
        <w:spacing w:line="360" w:lineRule="auto"/>
        <w:ind w:firstLine="420" w:firstLineChars="200"/>
        <w:rPr>
          <w:rFonts w:ascii="宋体" w:hAnsi="宋体" w:cs="宋体"/>
          <w:kern w:val="0"/>
          <w:highlight w:val="none"/>
        </w:rPr>
      </w:pPr>
      <w:r>
        <w:rPr>
          <w:rFonts w:hint="eastAsia" w:ascii="宋体" w:hAnsi="宋体" w:cs="宋体"/>
          <w:kern w:val="0"/>
          <w:highlight w:val="none"/>
        </w:rPr>
        <w:t>自本公告发布之日起5个工作日。</w:t>
      </w:r>
    </w:p>
    <w:p>
      <w:pPr>
        <w:spacing w:line="360" w:lineRule="auto"/>
        <w:ind w:firstLine="420" w:firstLineChars="200"/>
        <w:rPr>
          <w:rFonts w:ascii="宋体" w:hAnsi="宋体" w:cs="宋体"/>
          <w:kern w:val="0"/>
          <w:szCs w:val="21"/>
          <w:highlight w:val="none"/>
        </w:rPr>
      </w:pPr>
    </w:p>
    <w:p>
      <w:pPr>
        <w:pStyle w:val="5"/>
        <w:spacing w:line="360" w:lineRule="auto"/>
        <w:jc w:val="both"/>
        <w:rPr>
          <w:rFonts w:ascii="宋体" w:hAnsi="宋体" w:cs="宋体"/>
          <w:sz w:val="21"/>
          <w:szCs w:val="21"/>
          <w:highlight w:val="none"/>
        </w:rPr>
      </w:pPr>
      <w:bookmarkStart w:id="28" w:name="_Toc35393795"/>
      <w:bookmarkStart w:id="29" w:name="_Toc35393626"/>
      <w:bookmarkStart w:id="30" w:name="_Toc14537"/>
      <w:r>
        <w:rPr>
          <w:rFonts w:hint="eastAsia" w:ascii="宋体" w:hAnsi="宋体" w:cs="宋体"/>
          <w:sz w:val="21"/>
          <w:szCs w:val="21"/>
          <w:highlight w:val="none"/>
        </w:rPr>
        <w:t>六、其他补充事宜</w:t>
      </w:r>
      <w:bookmarkEnd w:id="28"/>
      <w:bookmarkEnd w:id="29"/>
      <w:bookmarkEnd w:id="30"/>
    </w:p>
    <w:p>
      <w:pPr>
        <w:spacing w:line="360" w:lineRule="auto"/>
        <w:ind w:firstLine="420" w:firstLineChars="200"/>
        <w:rPr>
          <w:rFonts w:cs="宋体" w:asciiTheme="minorEastAsia" w:hAnsiTheme="minorEastAsia" w:eastAsiaTheme="minorEastAsia"/>
          <w:color w:val="auto"/>
          <w:highlight w:val="none"/>
        </w:rPr>
      </w:pPr>
      <w:bookmarkStart w:id="31" w:name="_Toc28359085"/>
      <w:bookmarkStart w:id="32" w:name="_Toc28359008"/>
      <w:bookmarkStart w:id="33" w:name="_Toc35393627"/>
      <w:bookmarkStart w:id="34" w:name="_Toc35393796"/>
      <w:r>
        <w:rPr>
          <w:rFonts w:hint="eastAsia" w:cs="宋体" w:asciiTheme="minorEastAsia" w:hAnsiTheme="minorEastAsia" w:eastAsiaTheme="minorEastAsia"/>
          <w:color w:val="auto"/>
          <w:highlight w:val="none"/>
        </w:rPr>
        <w:t>1.投标人认为招标文件使自己的权益受到损害的，可以自获取招标文件之日或者招标文件公告期限届满之日起7个工作日内，以书面形式向采购人和采购代理机构提出质疑。质疑投标人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20" w:firstLineChars="200"/>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2.其他事项：</w:t>
      </w:r>
    </w:p>
    <w:p>
      <w:pPr>
        <w:spacing w:line="360" w:lineRule="auto"/>
        <w:ind w:firstLine="420" w:firstLineChars="200"/>
        <w:jc w:val="left"/>
        <w:rPr>
          <w:rFonts w:hint="eastAsia" w:eastAsia="宋体" w:cs="宋体" w:asciiTheme="minorEastAsia" w:hAnsiTheme="minorEastAsia"/>
          <w:color w:val="auto"/>
          <w:szCs w:val="21"/>
          <w:highlight w:val="none"/>
          <w:lang w:eastAsia="zh-CN"/>
        </w:rPr>
      </w:pPr>
      <w:r>
        <w:rPr>
          <w:rFonts w:hint="eastAsia" w:cs="宋体" w:asciiTheme="minorEastAsia" w:hAnsiTheme="minorEastAsia" w:eastAsiaTheme="minorEastAsia"/>
          <w:color w:val="auto"/>
          <w:szCs w:val="21"/>
          <w:highlight w:val="none"/>
        </w:rPr>
        <w:t>2.1落实政策：</w:t>
      </w:r>
      <w:r>
        <w:rPr>
          <w:rFonts w:hint="eastAsia" w:hAnsi="宋体" w:cs="宋体"/>
          <w:color w:val="auto"/>
          <w:highlight w:val="none"/>
        </w:rPr>
        <w:t>政府采购促进中小企业发展；政府采购支持监狱企业发展；政府采购促进残疾人就业</w:t>
      </w:r>
      <w:r>
        <w:rPr>
          <w:rFonts w:hint="eastAsia" w:hAnsi="宋体" w:cs="宋体"/>
          <w:color w:val="auto"/>
          <w:highlight w:val="none"/>
          <w:lang w:eastAsia="zh-CN"/>
        </w:rPr>
        <w:t>。</w:t>
      </w:r>
    </w:p>
    <w:p>
      <w:pPr>
        <w:spacing w:line="360" w:lineRule="auto"/>
        <w:ind w:firstLine="420" w:firstLineChars="200"/>
        <w:jc w:val="left"/>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2.2</w:t>
      </w:r>
      <w:r>
        <w:rPr>
          <w:rFonts w:hint="eastAsia" w:ascii="宋体" w:hAnsi="宋体" w:cs="宋体"/>
          <w:color w:val="auto"/>
          <w:szCs w:val="21"/>
          <w:highlight w:val="none"/>
        </w:rPr>
        <w:t>①单位负责人为同一人或者存在直接控股、管理关系的不同供应商，不得同时参加同一合同项下的政府采购活动；②为采购项目提供整体设计、规范编制或者项目管理、监理、检测等服务后不得再参加该采购项目的其他采购活动；③公益一类事业单位、使用事业编制且由财政拨款保障的群团组织不属于政府购买服务的承接主体，不得参与承接购买服务。</w:t>
      </w:r>
    </w:p>
    <w:p>
      <w:pPr>
        <w:spacing w:line="360" w:lineRule="auto"/>
        <w:ind w:firstLine="420" w:firstLineChars="200"/>
        <w:jc w:val="left"/>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 xml:space="preserve">2.3各投标人应在开标前确保成为浙江省政府采购网正式注册入库投标人，并完成CA数字证书办理。因未注册入库、未办理CA数字证书等原因造成无法投标或投标失败等后果由投标人自行承担。（具体操作详见投标人CA申领操作指南https://help.zcygov.cn/web/site_2/2018/11-29/2452.html）。 </w:t>
      </w:r>
    </w:p>
    <w:p>
      <w:pPr>
        <w:spacing w:line="360" w:lineRule="auto"/>
        <w:ind w:firstLine="420" w:firstLineChars="200"/>
        <w:jc w:val="left"/>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2.4本次政府采购活动有关信息在“浙江政府采购网（http://zfcg.czt.zj.gov.cn/）”、“宁波市政府采购网（www.nbzfcg.cn）”网站上公布，公布信息视同送达所有潜在投标人。</w:t>
      </w:r>
    </w:p>
    <w:p>
      <w:pPr>
        <w:spacing w:line="360" w:lineRule="auto"/>
        <w:ind w:firstLine="420" w:firstLineChars="200"/>
        <w:jc w:val="left"/>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 xml:space="preserve">2.5特别提醒事项（投标人提交电子备份投标文件方式）： </w:t>
      </w:r>
    </w:p>
    <w:p>
      <w:pPr>
        <w:spacing w:line="360" w:lineRule="auto"/>
        <w:ind w:firstLine="420" w:firstLineChars="200"/>
        <w:jc w:val="left"/>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 xml:space="preserve">2.5.1采用邮寄方式提交电子备份投标文件，需按以下要求递交： </w:t>
      </w:r>
    </w:p>
    <w:p>
      <w:pPr>
        <w:spacing w:line="360" w:lineRule="auto"/>
        <w:ind w:firstLine="420" w:firstLineChars="200"/>
        <w:jc w:val="left"/>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投标人须在开标日期前一天</w:t>
      </w:r>
      <w:r>
        <w:rPr>
          <w:rFonts w:cs="宋体" w:asciiTheme="minorEastAsia" w:hAnsiTheme="minorEastAsia" w:eastAsiaTheme="minorEastAsia"/>
          <w:color w:val="auto"/>
          <w:szCs w:val="21"/>
          <w:highlight w:val="none"/>
        </w:rPr>
        <w:t>17</w:t>
      </w:r>
      <w:r>
        <w:rPr>
          <w:rFonts w:hint="eastAsia" w:cs="宋体" w:asciiTheme="minorEastAsia" w:hAnsiTheme="minorEastAsia" w:eastAsiaTheme="minorEastAsia"/>
          <w:color w:val="auto"/>
          <w:szCs w:val="21"/>
          <w:highlight w:val="none"/>
        </w:rPr>
        <w:t>:00（北京时间）前将电子备份投标文件邮寄至规定地点，由采购代理机构工作人员进行签收。各投标人自行考虑邮寄在途时间，邮寄过程中无论何种因素导致电子备份投标文件未按时递交的后果，均由投标人自行负责。电子备份投标文件递交时间以招标代理实际收到电子备份投标文件的时间为准。迟到的电子备份投标文件将被拒收。请各投标人确保密封包装在邮寄过程密封包装完好，并在邮寄包裹上注明项目名称，因邮寄过程的密封破损造成不符合开标要求的，本招标代理及采购人概不负责。</w:t>
      </w:r>
    </w:p>
    <w:p>
      <w:pPr>
        <w:snapToGrid w:val="0"/>
        <w:spacing w:line="400" w:lineRule="exact"/>
        <w:ind w:firstLine="411" w:firstLineChars="196"/>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2.5.2采用现场递交方式递交电子备份投标文件：递交人员需在投标截止时间前递交至规定地点。若投标人因未按上述要求办理而导致无法准时进入开标现场的，由投标人自行负责。</w:t>
      </w:r>
    </w:p>
    <w:p>
      <w:pPr>
        <w:spacing w:line="360" w:lineRule="auto"/>
        <w:ind w:firstLine="420" w:firstLineChars="200"/>
        <w:jc w:val="left"/>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电子备份投标文件邮寄/现场递交地址为：</w:t>
      </w:r>
      <w:r>
        <w:rPr>
          <w:rFonts w:hint="eastAsia" w:cs="宋体" w:asciiTheme="minorEastAsia" w:hAnsiTheme="minorEastAsia" w:eastAsiaTheme="minorEastAsia"/>
          <w:color w:val="auto"/>
          <w:highlight w:val="none"/>
        </w:rPr>
        <w:t>宁波市鄞州区世纪大道北段555号名汇东方19楼1921室</w:t>
      </w:r>
    </w:p>
    <w:p>
      <w:pPr>
        <w:snapToGrid w:val="0"/>
        <w:spacing w:line="400" w:lineRule="exact"/>
        <w:ind w:firstLine="411" w:firstLineChars="196"/>
        <w:rPr>
          <w:rFonts w:hint="default" w:cs="宋体" w:asciiTheme="minorEastAsia" w:hAnsiTheme="minorEastAsia" w:eastAsiaTheme="minorEastAsia"/>
          <w:color w:val="auto"/>
          <w:szCs w:val="21"/>
          <w:highlight w:val="none"/>
          <w:lang w:val="en-US" w:eastAsia="zh-CN"/>
        </w:rPr>
      </w:pPr>
      <w:r>
        <w:rPr>
          <w:rFonts w:hint="eastAsia" w:cs="宋体" w:asciiTheme="minorEastAsia" w:hAnsiTheme="minorEastAsia" w:eastAsiaTheme="minorEastAsia"/>
          <w:color w:val="auto"/>
          <w:szCs w:val="21"/>
          <w:highlight w:val="none"/>
        </w:rPr>
        <w:t>收件人：</w:t>
      </w:r>
      <w:r>
        <w:rPr>
          <w:rFonts w:hint="eastAsia" w:cs="宋体" w:asciiTheme="minorEastAsia" w:hAnsiTheme="minorEastAsia" w:eastAsiaTheme="minorEastAsia"/>
          <w:color w:val="auto"/>
          <w:szCs w:val="21"/>
          <w:highlight w:val="none"/>
          <w:lang w:val="en-US" w:eastAsia="zh-CN"/>
        </w:rPr>
        <w:t>史梦铅</w:t>
      </w:r>
      <w:r>
        <w:rPr>
          <w:rFonts w:hint="eastAsia" w:cs="宋体" w:asciiTheme="minorEastAsia" w:hAnsiTheme="minorEastAsia" w:eastAsiaTheme="minorEastAsia"/>
          <w:color w:val="auto"/>
          <w:szCs w:val="21"/>
          <w:highlight w:val="none"/>
        </w:rPr>
        <w:t xml:space="preserve"> 联系方式：0574-</w:t>
      </w:r>
      <w:r>
        <w:rPr>
          <w:rFonts w:hint="eastAsia" w:cs="宋体" w:asciiTheme="minorEastAsia" w:hAnsiTheme="minorEastAsia" w:eastAsiaTheme="minorEastAsia"/>
          <w:color w:val="auto"/>
          <w:szCs w:val="21"/>
          <w:highlight w:val="none"/>
          <w:lang w:val="en-US" w:eastAsia="zh-CN"/>
        </w:rPr>
        <w:t>87298907,15968903267</w:t>
      </w:r>
    </w:p>
    <w:p>
      <w:pPr>
        <w:pStyle w:val="5"/>
        <w:spacing w:line="360" w:lineRule="auto"/>
        <w:jc w:val="both"/>
        <w:rPr>
          <w:rFonts w:ascii="宋体" w:hAnsi="宋体" w:cs="宋体"/>
          <w:sz w:val="21"/>
          <w:szCs w:val="21"/>
          <w:highlight w:val="none"/>
        </w:rPr>
      </w:pPr>
      <w:bookmarkStart w:id="35" w:name="_Toc27640"/>
      <w:r>
        <w:rPr>
          <w:rFonts w:hint="eastAsia" w:ascii="宋体" w:hAnsi="宋体" w:cs="宋体"/>
          <w:sz w:val="21"/>
          <w:szCs w:val="21"/>
          <w:highlight w:val="none"/>
        </w:rPr>
        <w:t>七、</w:t>
      </w:r>
      <w:bookmarkEnd w:id="31"/>
      <w:bookmarkEnd w:id="32"/>
      <w:bookmarkEnd w:id="33"/>
      <w:bookmarkEnd w:id="34"/>
      <w:r>
        <w:rPr>
          <w:rFonts w:hint="eastAsia" w:ascii="宋体" w:hAnsi="宋体" w:cs="宋体"/>
          <w:sz w:val="21"/>
          <w:szCs w:val="21"/>
          <w:highlight w:val="none"/>
        </w:rPr>
        <w:t>对本次招标提出询问、质疑、投诉，请按以下方式联系。</w:t>
      </w:r>
      <w:bookmarkEnd w:id="35"/>
    </w:p>
    <w:p>
      <w:pPr>
        <w:tabs>
          <w:tab w:val="left" w:pos="0"/>
        </w:tabs>
        <w:spacing w:line="360" w:lineRule="auto"/>
        <w:ind w:firstLine="420" w:firstLineChars="200"/>
        <w:rPr>
          <w:rFonts w:ascii="宋体" w:hAnsi="宋体" w:cs="宋体"/>
          <w:bCs/>
          <w:highlight w:val="none"/>
        </w:rPr>
      </w:pPr>
      <w:r>
        <w:rPr>
          <w:rFonts w:hint="eastAsia" w:ascii="宋体" w:hAnsi="宋体" w:cs="宋体"/>
          <w:bCs/>
          <w:highlight w:val="none"/>
        </w:rPr>
        <w:t>1.采购人信息</w:t>
      </w:r>
    </w:p>
    <w:p>
      <w:pPr>
        <w:tabs>
          <w:tab w:val="left" w:pos="0"/>
        </w:tabs>
        <w:spacing w:line="360" w:lineRule="auto"/>
        <w:ind w:firstLine="420" w:firstLineChars="200"/>
        <w:rPr>
          <w:rFonts w:ascii="宋体" w:hAnsi="宋体"/>
          <w:szCs w:val="21"/>
          <w:highlight w:val="none"/>
        </w:rPr>
      </w:pPr>
      <w:r>
        <w:rPr>
          <w:rFonts w:hint="eastAsia" w:ascii="宋体" w:hAnsi="宋体" w:cs="宋体"/>
          <w:bCs/>
          <w:highlight w:val="none"/>
        </w:rPr>
        <w:t>名    称：</w:t>
      </w:r>
      <w:r>
        <w:rPr>
          <w:rFonts w:hint="eastAsia" w:ascii="宋体" w:hAnsi="宋体"/>
          <w:szCs w:val="21"/>
          <w:highlight w:val="none"/>
        </w:rPr>
        <w:t>宁波市中级人民法院</w:t>
      </w:r>
    </w:p>
    <w:p>
      <w:pPr>
        <w:tabs>
          <w:tab w:val="left" w:pos="0"/>
        </w:tabs>
        <w:spacing w:line="360" w:lineRule="auto"/>
        <w:ind w:firstLine="420" w:firstLineChars="200"/>
        <w:rPr>
          <w:rFonts w:ascii="宋体" w:hAnsi="宋体" w:cs="宋体"/>
          <w:highlight w:val="none"/>
        </w:rPr>
      </w:pPr>
      <w:r>
        <w:rPr>
          <w:rFonts w:hint="eastAsia" w:ascii="宋体" w:hAnsi="宋体" w:cs="宋体"/>
          <w:bCs/>
          <w:highlight w:val="none"/>
        </w:rPr>
        <w:t>地    址：</w:t>
      </w:r>
      <w:r>
        <w:rPr>
          <w:rFonts w:hint="eastAsia" w:ascii="宋体" w:hAnsi="宋体" w:cs="宋体"/>
          <w:highlight w:val="none"/>
        </w:rPr>
        <w:t>宁波市鄞州区兴宁东路568号</w:t>
      </w:r>
    </w:p>
    <w:p>
      <w:pPr>
        <w:tabs>
          <w:tab w:val="left" w:pos="0"/>
        </w:tabs>
        <w:spacing w:line="360" w:lineRule="auto"/>
        <w:ind w:firstLine="420" w:firstLineChars="200"/>
        <w:rPr>
          <w:rFonts w:ascii="宋体" w:hAnsi="宋体" w:cs="宋体"/>
          <w:bCs/>
          <w:highlight w:val="none"/>
        </w:rPr>
      </w:pPr>
      <w:r>
        <w:rPr>
          <w:rFonts w:hint="eastAsia" w:ascii="宋体" w:hAnsi="宋体" w:cs="宋体"/>
          <w:bCs/>
          <w:highlight w:val="none"/>
        </w:rPr>
        <w:t xml:space="preserve">传    真：/ </w:t>
      </w:r>
    </w:p>
    <w:p>
      <w:pPr>
        <w:tabs>
          <w:tab w:val="left" w:pos="0"/>
        </w:tabs>
        <w:spacing w:line="360" w:lineRule="auto"/>
        <w:ind w:firstLine="420" w:firstLineChars="200"/>
        <w:rPr>
          <w:rFonts w:hint="default" w:ascii="宋体" w:hAnsi="宋体" w:eastAsia="宋体"/>
          <w:szCs w:val="21"/>
          <w:highlight w:val="none"/>
          <w:lang w:val="en-US" w:eastAsia="zh-CN"/>
        </w:rPr>
      </w:pPr>
      <w:r>
        <w:rPr>
          <w:rFonts w:hint="eastAsia" w:ascii="宋体" w:hAnsi="宋体" w:cs="宋体"/>
          <w:bCs/>
          <w:highlight w:val="none"/>
        </w:rPr>
        <w:t>项目联系人（询问）：</w:t>
      </w:r>
      <w:r>
        <w:rPr>
          <w:rFonts w:hint="eastAsia" w:ascii="宋体" w:hAnsi="宋体"/>
          <w:szCs w:val="21"/>
          <w:highlight w:val="none"/>
          <w:lang w:val="en-US" w:eastAsia="zh-CN"/>
        </w:rPr>
        <w:t>陈老师</w:t>
      </w:r>
    </w:p>
    <w:p>
      <w:pPr>
        <w:tabs>
          <w:tab w:val="left" w:pos="0"/>
        </w:tabs>
        <w:spacing w:line="360" w:lineRule="auto"/>
        <w:ind w:firstLine="420" w:firstLineChars="200"/>
        <w:rPr>
          <w:rFonts w:ascii="宋体" w:hAnsi="宋体" w:cs="宋体"/>
          <w:bCs/>
          <w:highlight w:val="none"/>
        </w:rPr>
      </w:pPr>
      <w:r>
        <w:rPr>
          <w:rFonts w:hint="eastAsia" w:ascii="宋体" w:hAnsi="宋体" w:cs="宋体"/>
          <w:bCs/>
          <w:highlight w:val="none"/>
        </w:rPr>
        <w:t>项目联系方式（询问）：</w:t>
      </w:r>
      <w:r>
        <w:rPr>
          <w:rFonts w:hint="eastAsia" w:ascii="宋体" w:hAnsi="宋体"/>
          <w:szCs w:val="21"/>
          <w:highlight w:val="none"/>
        </w:rPr>
        <w:t>0574-87009067</w:t>
      </w:r>
    </w:p>
    <w:p>
      <w:pPr>
        <w:tabs>
          <w:tab w:val="left" w:pos="0"/>
        </w:tabs>
        <w:spacing w:line="360" w:lineRule="auto"/>
        <w:ind w:firstLine="420" w:firstLineChars="200"/>
        <w:rPr>
          <w:rFonts w:ascii="宋体" w:hAnsi="宋体" w:cs="宋体"/>
          <w:bCs/>
          <w:highlight w:val="none"/>
        </w:rPr>
      </w:pPr>
      <w:r>
        <w:rPr>
          <w:rFonts w:hint="eastAsia" w:ascii="宋体" w:hAnsi="宋体" w:cs="宋体"/>
          <w:bCs/>
          <w:highlight w:val="none"/>
        </w:rPr>
        <w:t>质疑联系人：</w:t>
      </w:r>
      <w:r>
        <w:rPr>
          <w:rFonts w:hint="eastAsia" w:ascii="宋体" w:hAnsi="宋体" w:cs="宋体"/>
          <w:highlight w:val="none"/>
        </w:rPr>
        <w:t>葛先生</w:t>
      </w:r>
    </w:p>
    <w:p>
      <w:pPr>
        <w:tabs>
          <w:tab w:val="left" w:pos="0"/>
        </w:tabs>
        <w:spacing w:line="360" w:lineRule="auto"/>
        <w:ind w:firstLine="420" w:firstLineChars="200"/>
        <w:rPr>
          <w:rFonts w:ascii="宋体" w:hAnsi="宋体" w:cs="宋体"/>
          <w:bCs/>
          <w:highlight w:val="none"/>
        </w:rPr>
      </w:pPr>
      <w:r>
        <w:rPr>
          <w:rFonts w:hint="eastAsia" w:ascii="宋体" w:hAnsi="宋体" w:cs="宋体"/>
          <w:bCs/>
          <w:highlight w:val="none"/>
        </w:rPr>
        <w:t>质疑联系方式：</w:t>
      </w:r>
      <w:r>
        <w:rPr>
          <w:rFonts w:hint="eastAsia" w:ascii="宋体" w:hAnsi="宋体" w:cs="宋体"/>
          <w:highlight w:val="none"/>
        </w:rPr>
        <w:t>0574-87009112</w:t>
      </w:r>
    </w:p>
    <w:p>
      <w:pPr>
        <w:tabs>
          <w:tab w:val="left" w:pos="0"/>
        </w:tabs>
        <w:spacing w:line="360" w:lineRule="auto"/>
        <w:ind w:firstLine="420" w:firstLineChars="200"/>
        <w:rPr>
          <w:rFonts w:ascii="宋体" w:hAnsi="宋体" w:cs="宋体"/>
          <w:bCs/>
          <w:highlight w:val="none"/>
        </w:rPr>
      </w:pPr>
      <w:r>
        <w:rPr>
          <w:rFonts w:hint="eastAsia" w:ascii="宋体" w:hAnsi="宋体" w:cs="宋体"/>
          <w:bCs/>
          <w:highlight w:val="none"/>
        </w:rPr>
        <w:t>2.采购代理机构信息</w:t>
      </w:r>
    </w:p>
    <w:p>
      <w:pPr>
        <w:tabs>
          <w:tab w:val="left" w:pos="0"/>
        </w:tabs>
        <w:spacing w:line="360" w:lineRule="auto"/>
        <w:ind w:firstLine="420" w:firstLineChars="200"/>
        <w:rPr>
          <w:rFonts w:ascii="宋体" w:hAnsi="宋体" w:cs="宋体"/>
          <w:bCs/>
          <w:highlight w:val="none"/>
        </w:rPr>
      </w:pPr>
      <w:r>
        <w:rPr>
          <w:rFonts w:hint="eastAsia" w:ascii="宋体" w:hAnsi="宋体" w:cs="宋体"/>
          <w:bCs/>
          <w:highlight w:val="none"/>
        </w:rPr>
        <w:t>名    称：</w:t>
      </w:r>
      <w:r>
        <w:rPr>
          <w:rFonts w:hint="eastAsia" w:ascii="宋体" w:hAnsi="宋体" w:cs="宋体"/>
          <w:bCs/>
          <w:highlight w:val="none"/>
          <w:lang w:eastAsia="zh-CN"/>
        </w:rPr>
        <w:t>宁波国际投资咨询有限公司</w:t>
      </w:r>
      <w:r>
        <w:rPr>
          <w:rFonts w:hint="eastAsia" w:ascii="宋体" w:hAnsi="宋体" w:cs="宋体"/>
          <w:bCs/>
          <w:highlight w:val="none"/>
        </w:rPr>
        <w:t xml:space="preserve"> </w:t>
      </w:r>
    </w:p>
    <w:p>
      <w:pPr>
        <w:tabs>
          <w:tab w:val="left" w:pos="0"/>
        </w:tabs>
        <w:spacing w:line="360" w:lineRule="auto"/>
        <w:ind w:firstLine="420" w:firstLineChars="200"/>
        <w:rPr>
          <w:rFonts w:ascii="宋体" w:hAnsi="宋体" w:cs="宋体"/>
          <w:bCs/>
          <w:highlight w:val="none"/>
        </w:rPr>
      </w:pPr>
      <w:r>
        <w:rPr>
          <w:rFonts w:hint="eastAsia" w:ascii="宋体" w:hAnsi="宋体" w:cs="宋体"/>
          <w:bCs/>
          <w:highlight w:val="none"/>
        </w:rPr>
        <w:t>地    址：宁波市鄞州区世纪大道北段555号名汇东方19楼1920室</w:t>
      </w:r>
    </w:p>
    <w:p>
      <w:pPr>
        <w:tabs>
          <w:tab w:val="left" w:pos="0"/>
        </w:tabs>
        <w:spacing w:line="360" w:lineRule="auto"/>
        <w:ind w:firstLine="420" w:firstLineChars="200"/>
        <w:rPr>
          <w:rFonts w:ascii="宋体" w:hAnsi="宋体" w:cs="宋体"/>
          <w:bCs/>
          <w:highlight w:val="none"/>
        </w:rPr>
      </w:pPr>
      <w:r>
        <w:rPr>
          <w:rFonts w:hint="eastAsia" w:ascii="宋体" w:hAnsi="宋体" w:cs="宋体"/>
          <w:bCs/>
          <w:highlight w:val="none"/>
        </w:rPr>
        <w:t>传    真：/</w:t>
      </w:r>
    </w:p>
    <w:p>
      <w:pPr>
        <w:tabs>
          <w:tab w:val="left" w:pos="0"/>
        </w:tabs>
        <w:spacing w:line="360" w:lineRule="auto"/>
        <w:ind w:firstLine="420" w:firstLineChars="200"/>
        <w:rPr>
          <w:rFonts w:hint="default" w:ascii="宋体" w:hAnsi="宋体" w:eastAsia="宋体" w:cs="宋体"/>
          <w:bCs/>
          <w:highlight w:val="none"/>
          <w:lang w:val="en-US" w:eastAsia="zh-CN"/>
        </w:rPr>
      </w:pPr>
      <w:r>
        <w:rPr>
          <w:rFonts w:hint="eastAsia" w:ascii="宋体" w:hAnsi="宋体" w:cs="宋体"/>
          <w:bCs/>
          <w:highlight w:val="none"/>
        </w:rPr>
        <w:t>项目联系人（询问）：</w:t>
      </w:r>
      <w:r>
        <w:rPr>
          <w:rFonts w:hint="eastAsia" w:ascii="宋体" w:hAnsi="宋体" w:cs="宋体"/>
          <w:bCs/>
          <w:highlight w:val="none"/>
          <w:lang w:val="en-US" w:eastAsia="zh-CN"/>
        </w:rPr>
        <w:t>史梦铅、马森、忻秉明、沈鑫侃</w:t>
      </w:r>
    </w:p>
    <w:p>
      <w:pPr>
        <w:tabs>
          <w:tab w:val="left" w:pos="0"/>
        </w:tabs>
        <w:spacing w:line="360" w:lineRule="auto"/>
        <w:ind w:firstLine="420" w:firstLineChars="200"/>
        <w:rPr>
          <w:rFonts w:ascii="宋体" w:hAnsi="宋体" w:cs="宋体"/>
          <w:bCs/>
          <w:highlight w:val="none"/>
        </w:rPr>
      </w:pPr>
      <w:r>
        <w:rPr>
          <w:rFonts w:hint="eastAsia" w:ascii="宋体" w:hAnsi="宋体" w:cs="宋体"/>
          <w:bCs/>
          <w:highlight w:val="none"/>
        </w:rPr>
        <w:t>项目联系方式（询问）：</w:t>
      </w:r>
      <w:r>
        <w:rPr>
          <w:rFonts w:hint="eastAsia" w:ascii="宋体" w:hAnsi="宋体" w:cs="宋体"/>
          <w:highlight w:val="none"/>
        </w:rPr>
        <w:t>0574－87298907</w:t>
      </w:r>
    </w:p>
    <w:p>
      <w:pPr>
        <w:tabs>
          <w:tab w:val="left" w:pos="0"/>
        </w:tabs>
        <w:spacing w:line="360" w:lineRule="auto"/>
        <w:ind w:firstLine="420" w:firstLineChars="200"/>
        <w:rPr>
          <w:rFonts w:hint="default" w:ascii="宋体" w:hAnsi="宋体" w:eastAsia="宋体" w:cs="宋体"/>
          <w:bCs/>
          <w:highlight w:val="none"/>
          <w:lang w:val="en-US" w:eastAsia="zh-CN"/>
        </w:rPr>
      </w:pPr>
      <w:r>
        <w:rPr>
          <w:rFonts w:hint="eastAsia" w:ascii="宋体" w:hAnsi="宋体" w:cs="宋体"/>
          <w:bCs/>
          <w:highlight w:val="none"/>
        </w:rPr>
        <w:t>质疑联系人：</w:t>
      </w:r>
      <w:r>
        <w:rPr>
          <w:rFonts w:hint="eastAsia" w:ascii="宋体" w:hAnsi="宋体" w:cs="宋体"/>
          <w:bCs/>
          <w:highlight w:val="none"/>
          <w:lang w:val="en-US" w:eastAsia="zh-CN"/>
        </w:rPr>
        <w:t>陈琦阳</w:t>
      </w:r>
    </w:p>
    <w:p>
      <w:pPr>
        <w:tabs>
          <w:tab w:val="left" w:pos="0"/>
        </w:tabs>
        <w:spacing w:line="360" w:lineRule="auto"/>
        <w:ind w:firstLine="420" w:firstLineChars="200"/>
        <w:rPr>
          <w:rFonts w:hint="eastAsia" w:ascii="宋体" w:hAnsi="宋体" w:cs="宋体"/>
          <w:color w:val="000000"/>
          <w:highlight w:val="none"/>
        </w:rPr>
      </w:pPr>
      <w:r>
        <w:rPr>
          <w:rFonts w:hint="eastAsia" w:ascii="宋体" w:hAnsi="宋体" w:cs="宋体"/>
          <w:bCs/>
          <w:highlight w:val="none"/>
        </w:rPr>
        <w:t>质疑联系方式：</w:t>
      </w:r>
      <w:r>
        <w:rPr>
          <w:rFonts w:hint="eastAsia" w:ascii="宋体" w:hAnsi="宋体" w:cs="宋体"/>
          <w:color w:val="000000"/>
          <w:highlight w:val="none"/>
        </w:rPr>
        <w:t>0574-55717419</w:t>
      </w:r>
    </w:p>
    <w:p>
      <w:pPr>
        <w:tabs>
          <w:tab w:val="left" w:pos="0"/>
        </w:tabs>
        <w:spacing w:line="360" w:lineRule="auto"/>
        <w:ind w:firstLine="420" w:firstLineChars="200"/>
        <w:rPr>
          <w:rFonts w:hint="default" w:ascii="宋体" w:hAnsi="宋体" w:cs="宋体"/>
          <w:bCs/>
          <w:highlight w:val="none"/>
          <w:lang w:val="en-US" w:eastAsia="zh-CN"/>
        </w:rPr>
      </w:pPr>
      <w:r>
        <w:rPr>
          <w:rFonts w:hint="eastAsia" w:ascii="宋体" w:hAnsi="宋体" w:cs="宋体"/>
          <w:bCs/>
          <w:highlight w:val="none"/>
          <w:lang w:val="en-US" w:eastAsia="zh-CN"/>
        </w:rPr>
        <w:t>电子邮箱：563313963@qq.com</w:t>
      </w:r>
    </w:p>
    <w:p>
      <w:pPr>
        <w:tabs>
          <w:tab w:val="left" w:pos="0"/>
        </w:tabs>
        <w:spacing w:line="360" w:lineRule="auto"/>
        <w:ind w:firstLine="420" w:firstLineChars="200"/>
        <w:rPr>
          <w:rFonts w:ascii="宋体" w:hAnsi="宋体" w:cs="宋体"/>
          <w:bCs/>
          <w:highlight w:val="none"/>
        </w:rPr>
      </w:pPr>
      <w:r>
        <w:rPr>
          <w:rFonts w:hint="eastAsia" w:ascii="宋体" w:hAnsi="宋体" w:cs="宋体"/>
          <w:bCs/>
          <w:highlight w:val="none"/>
        </w:rPr>
        <w:t>3.同级政府采购监督管理部门</w:t>
      </w:r>
    </w:p>
    <w:p>
      <w:pPr>
        <w:tabs>
          <w:tab w:val="left" w:pos="0"/>
        </w:tabs>
        <w:spacing w:line="360" w:lineRule="auto"/>
        <w:ind w:firstLine="420" w:firstLineChars="200"/>
        <w:rPr>
          <w:rFonts w:ascii="宋体" w:hAnsi="宋体" w:cs="宋体"/>
          <w:bCs/>
          <w:highlight w:val="none"/>
        </w:rPr>
      </w:pPr>
      <w:r>
        <w:rPr>
          <w:rFonts w:hint="eastAsia" w:ascii="宋体" w:hAnsi="宋体" w:cs="宋体"/>
          <w:bCs/>
          <w:highlight w:val="none"/>
        </w:rPr>
        <w:t xml:space="preserve">名    称：宁波市政府采购管理办公室 </w:t>
      </w:r>
    </w:p>
    <w:p>
      <w:pPr>
        <w:tabs>
          <w:tab w:val="left" w:pos="0"/>
        </w:tabs>
        <w:spacing w:line="360" w:lineRule="auto"/>
        <w:ind w:firstLine="420" w:firstLineChars="200"/>
        <w:rPr>
          <w:rFonts w:ascii="宋体" w:hAnsi="宋体" w:cs="宋体"/>
          <w:bCs/>
          <w:highlight w:val="none"/>
        </w:rPr>
      </w:pPr>
      <w:r>
        <w:rPr>
          <w:rFonts w:hint="eastAsia" w:ascii="宋体" w:hAnsi="宋体" w:cs="宋体"/>
          <w:bCs/>
          <w:highlight w:val="none"/>
        </w:rPr>
        <w:t>地    址：宁波市海曙区中山西路19号</w:t>
      </w:r>
    </w:p>
    <w:p>
      <w:pPr>
        <w:tabs>
          <w:tab w:val="left" w:pos="0"/>
        </w:tabs>
        <w:spacing w:line="360" w:lineRule="auto"/>
        <w:ind w:firstLine="420" w:firstLineChars="200"/>
        <w:rPr>
          <w:rFonts w:ascii="宋体" w:hAnsi="宋体" w:cs="宋体"/>
          <w:bCs/>
          <w:highlight w:val="none"/>
        </w:rPr>
      </w:pPr>
      <w:r>
        <w:rPr>
          <w:rFonts w:hint="eastAsia" w:ascii="宋体" w:hAnsi="宋体" w:cs="宋体"/>
          <w:bCs/>
          <w:highlight w:val="none"/>
        </w:rPr>
        <w:t xml:space="preserve">传    真：/ </w:t>
      </w:r>
    </w:p>
    <w:p>
      <w:pPr>
        <w:tabs>
          <w:tab w:val="left" w:pos="0"/>
        </w:tabs>
        <w:spacing w:line="360" w:lineRule="auto"/>
        <w:ind w:firstLine="420" w:firstLineChars="200"/>
        <w:rPr>
          <w:rFonts w:ascii="宋体" w:hAnsi="宋体" w:cs="宋体"/>
          <w:bCs/>
          <w:highlight w:val="none"/>
        </w:rPr>
      </w:pPr>
      <w:r>
        <w:rPr>
          <w:rFonts w:hint="eastAsia" w:ascii="宋体" w:hAnsi="宋体" w:cs="宋体"/>
          <w:bCs/>
          <w:highlight w:val="none"/>
        </w:rPr>
        <w:t xml:space="preserve">联系人 ：李老师 </w:t>
      </w:r>
    </w:p>
    <w:p>
      <w:pPr>
        <w:tabs>
          <w:tab w:val="left" w:pos="0"/>
        </w:tabs>
        <w:spacing w:line="360" w:lineRule="auto"/>
        <w:ind w:firstLine="420" w:firstLineChars="200"/>
        <w:rPr>
          <w:rFonts w:ascii="宋体" w:hAnsi="宋体" w:cs="宋体"/>
          <w:bCs/>
          <w:highlight w:val="none"/>
        </w:rPr>
      </w:pPr>
      <w:r>
        <w:rPr>
          <w:rFonts w:hint="eastAsia" w:ascii="宋体" w:hAnsi="宋体" w:cs="宋体"/>
          <w:bCs/>
          <w:highlight w:val="none"/>
        </w:rPr>
        <w:t>监督投诉电话：0574-89388042</w:t>
      </w:r>
    </w:p>
    <w:p>
      <w:pPr>
        <w:spacing w:line="360" w:lineRule="auto"/>
        <w:rPr>
          <w:rFonts w:ascii="宋体" w:hAnsi="宋体"/>
          <w:szCs w:val="21"/>
          <w:highlight w:val="none"/>
        </w:rPr>
      </w:pP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20" w:firstLineChars="200"/>
        <w:rPr>
          <w:rFonts w:asciiTheme="minorEastAsia" w:hAnsiTheme="minorEastAsia" w:eastAsiaTheme="minorEastAsia"/>
          <w:szCs w:val="21"/>
          <w:highlight w:val="none"/>
        </w:rPr>
        <w:sectPr>
          <w:headerReference r:id="rId7" w:type="default"/>
          <w:footerReference r:id="rId8" w:type="default"/>
          <w:type w:val="continuous"/>
          <w:pgSz w:w="11907" w:h="16840"/>
          <w:pgMar w:top="1276" w:right="1701" w:bottom="1276" w:left="1701" w:header="720" w:footer="720" w:gutter="0"/>
          <w:pgNumType w:start="0"/>
          <w:cols w:space="720" w:num="1"/>
          <w:docGrid w:type="linesAndChars" w:linePitch="285" w:charSpace="0"/>
        </w:sectPr>
      </w:pPr>
      <w:r>
        <w:rPr>
          <w:rFonts w:hint="eastAsia" w:ascii="宋体" w:hAnsi="宋体"/>
          <w:color w:val="auto"/>
          <w:szCs w:val="21"/>
          <w:highlight w:val="none"/>
        </w:rPr>
        <w:t>CA问题联系电话（人工）：汇信CA 400-888-4636；天谷CA 400-087-8198。</w:t>
      </w:r>
    </w:p>
    <w:p>
      <w:pPr>
        <w:pStyle w:val="4"/>
        <w:spacing w:beforeLines="0" w:afterLines="0" w:line="360" w:lineRule="auto"/>
        <w:rPr>
          <w:rFonts w:ascii="宋体" w:hAnsi="宋体"/>
          <w:color w:val="auto"/>
          <w:sz w:val="32"/>
          <w:szCs w:val="32"/>
          <w:highlight w:val="none"/>
        </w:rPr>
      </w:pPr>
      <w:bookmarkStart w:id="36" w:name="_Toc24557"/>
      <w:bookmarkStart w:id="37" w:name="_Toc18506"/>
      <w:bookmarkStart w:id="38" w:name="_Toc298230958"/>
      <w:r>
        <w:rPr>
          <w:rFonts w:hint="eastAsia" w:ascii="宋体" w:hAnsi="宋体"/>
          <w:color w:val="auto"/>
          <w:sz w:val="32"/>
          <w:szCs w:val="32"/>
          <w:highlight w:val="none"/>
        </w:rPr>
        <w:t>第二部分 招标项目需求</w:t>
      </w:r>
      <w:bookmarkEnd w:id="36"/>
      <w:bookmarkEnd w:id="37"/>
    </w:p>
    <w:p>
      <w:pPr>
        <w:jc w:val="center"/>
        <w:rPr>
          <w:color w:val="auto"/>
          <w:sz w:val="28"/>
          <w:szCs w:val="28"/>
          <w:highlight w:val="none"/>
        </w:rPr>
      </w:pPr>
      <w:r>
        <w:rPr>
          <w:rFonts w:hint="eastAsia"/>
          <w:color w:val="auto"/>
          <w:sz w:val="28"/>
          <w:szCs w:val="28"/>
          <w:highlight w:val="none"/>
        </w:rPr>
        <w:t>项目需求前附表</w:t>
      </w:r>
    </w:p>
    <w:tbl>
      <w:tblPr>
        <w:tblStyle w:val="34"/>
        <w:tblW w:w="84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2382"/>
        <w:gridCol w:w="5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74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rPr>
                <w:rFonts w:ascii="宋体" w:hAnsi="宋体" w:cs="宋体"/>
                <w:b/>
                <w:color w:val="auto"/>
                <w:szCs w:val="21"/>
                <w:highlight w:val="none"/>
              </w:rPr>
            </w:pPr>
            <w:r>
              <w:rPr>
                <w:rFonts w:hint="eastAsia" w:ascii="宋体" w:hAnsi="宋体" w:cs="宋体"/>
                <w:b/>
                <w:color w:val="auto"/>
                <w:szCs w:val="21"/>
                <w:highlight w:val="none"/>
              </w:rPr>
              <w:t>序号</w:t>
            </w:r>
          </w:p>
        </w:tc>
        <w:tc>
          <w:tcPr>
            <w:tcW w:w="238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rPr>
                <w:rFonts w:ascii="宋体" w:hAnsi="宋体" w:cs="宋体"/>
                <w:b/>
                <w:color w:val="auto"/>
                <w:szCs w:val="21"/>
                <w:highlight w:val="none"/>
              </w:rPr>
            </w:pPr>
            <w:r>
              <w:rPr>
                <w:rFonts w:hint="eastAsia" w:ascii="宋体" w:hAnsi="宋体" w:cs="宋体"/>
                <w:b/>
                <w:color w:val="auto"/>
                <w:szCs w:val="21"/>
                <w:highlight w:val="none"/>
              </w:rPr>
              <w:t>项目</w:t>
            </w:r>
          </w:p>
        </w:tc>
        <w:tc>
          <w:tcPr>
            <w:tcW w:w="533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rPr>
                <w:rFonts w:ascii="宋体" w:hAnsi="宋体" w:cs="宋体"/>
                <w:b/>
                <w:color w:val="auto"/>
                <w:szCs w:val="21"/>
                <w:highlight w:val="none"/>
              </w:rPr>
            </w:pPr>
            <w:r>
              <w:rPr>
                <w:rFonts w:hint="eastAsia" w:ascii="宋体" w:hAnsi="宋体" w:cs="宋体"/>
                <w:b/>
                <w:color w:val="auto"/>
                <w:szCs w:val="21"/>
                <w:highlight w:val="none"/>
              </w:rPr>
              <w:t>采购需求内容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rPr>
                <w:rFonts w:ascii="宋体" w:hAnsi="宋体" w:cs="宋体"/>
                <w:color w:val="auto"/>
                <w:szCs w:val="21"/>
                <w:highlight w:val="none"/>
              </w:rPr>
            </w:pPr>
            <w:r>
              <w:rPr>
                <w:rFonts w:hint="eastAsia" w:ascii="宋体" w:hAnsi="宋体" w:cs="宋体"/>
                <w:color w:val="auto"/>
                <w:szCs w:val="21"/>
                <w:highlight w:val="none"/>
              </w:rPr>
              <w:t>1</w:t>
            </w:r>
          </w:p>
        </w:tc>
        <w:tc>
          <w:tcPr>
            <w:tcW w:w="238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left"/>
              <w:rPr>
                <w:rFonts w:ascii="宋体" w:hAnsi="宋体" w:cs="宋体"/>
                <w:color w:val="auto"/>
                <w:szCs w:val="21"/>
                <w:highlight w:val="none"/>
              </w:rPr>
            </w:pPr>
            <w:r>
              <w:rPr>
                <w:rFonts w:hint="eastAsia" w:ascii="宋体" w:hAnsi="宋体" w:cs="宋体"/>
                <w:color w:val="auto"/>
                <w:szCs w:val="21"/>
                <w:highlight w:val="none"/>
              </w:rPr>
              <w:t>采购内容</w:t>
            </w:r>
          </w:p>
        </w:tc>
        <w:tc>
          <w:tcPr>
            <w:tcW w:w="533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left"/>
              <w:rPr>
                <w:rFonts w:ascii="宋体" w:hAnsi="宋体" w:cs="宋体"/>
                <w:color w:val="auto"/>
                <w:szCs w:val="21"/>
                <w:highlight w:val="none"/>
              </w:rPr>
            </w:pPr>
            <w:r>
              <w:rPr>
                <w:rFonts w:hint="eastAsia" w:ascii="宋体" w:hAnsi="宋体" w:cs="宋体"/>
                <w:color w:val="auto"/>
                <w:szCs w:val="21"/>
                <w:highlight w:val="none"/>
              </w:rPr>
              <w:t>详见第一部分《采购公告》及本部分“技术要求表”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rPr>
                <w:rFonts w:ascii="宋体" w:hAnsi="宋体" w:cs="宋体"/>
                <w:color w:val="auto"/>
                <w:szCs w:val="21"/>
                <w:highlight w:val="none"/>
              </w:rPr>
            </w:pPr>
            <w:r>
              <w:rPr>
                <w:rFonts w:hint="eastAsia" w:ascii="宋体" w:hAnsi="宋体" w:cs="宋体"/>
                <w:color w:val="auto"/>
                <w:szCs w:val="21"/>
                <w:highlight w:val="none"/>
              </w:rPr>
              <w:t>2</w:t>
            </w:r>
          </w:p>
        </w:tc>
        <w:tc>
          <w:tcPr>
            <w:tcW w:w="238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left"/>
              <w:rPr>
                <w:rFonts w:ascii="宋体" w:hAnsi="宋体" w:cs="宋体"/>
                <w:color w:val="auto"/>
                <w:szCs w:val="21"/>
                <w:highlight w:val="none"/>
              </w:rPr>
            </w:pPr>
            <w:r>
              <w:rPr>
                <w:rFonts w:hint="eastAsia" w:ascii="宋体" w:hAnsi="宋体" w:cs="宋体"/>
                <w:color w:val="auto"/>
                <w:szCs w:val="21"/>
                <w:highlight w:val="none"/>
              </w:rPr>
              <w:t>单位及数量</w:t>
            </w:r>
          </w:p>
        </w:tc>
        <w:tc>
          <w:tcPr>
            <w:tcW w:w="533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left"/>
              <w:rPr>
                <w:rFonts w:ascii="宋体" w:hAnsi="宋体" w:cs="宋体"/>
                <w:color w:val="auto"/>
                <w:szCs w:val="21"/>
                <w:highlight w:val="none"/>
              </w:rPr>
            </w:pPr>
            <w:r>
              <w:rPr>
                <w:rFonts w:hint="eastAsia" w:ascii="宋体" w:hAnsi="宋体" w:cs="宋体"/>
                <w:color w:val="auto"/>
                <w:szCs w:val="21"/>
                <w:highlight w:val="none"/>
              </w:rPr>
              <w:t>详见第一部分《采购公告》及本部分“技术要求表”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rPr>
                <w:rFonts w:ascii="宋体" w:hAnsi="宋体" w:cs="宋体"/>
                <w:color w:val="auto"/>
                <w:szCs w:val="21"/>
                <w:highlight w:val="none"/>
              </w:rPr>
            </w:pPr>
            <w:r>
              <w:rPr>
                <w:rFonts w:hint="eastAsia" w:ascii="宋体" w:hAnsi="宋体" w:cs="宋体"/>
                <w:color w:val="auto"/>
                <w:szCs w:val="21"/>
                <w:highlight w:val="none"/>
              </w:rPr>
              <w:t>3</w:t>
            </w:r>
          </w:p>
        </w:tc>
        <w:tc>
          <w:tcPr>
            <w:tcW w:w="238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left"/>
              <w:textAlignment w:val="baseline"/>
              <w:rPr>
                <w:rFonts w:ascii="宋体" w:hAnsi="宋体" w:cs="宋体"/>
                <w:color w:val="auto"/>
                <w:szCs w:val="21"/>
                <w:highlight w:val="none"/>
              </w:rPr>
            </w:pPr>
            <w:r>
              <w:rPr>
                <w:rFonts w:hint="eastAsia" w:ascii="宋体" w:hAnsi="宋体" w:cs="宋体"/>
                <w:color w:val="auto"/>
                <w:szCs w:val="21"/>
                <w:highlight w:val="none"/>
              </w:rPr>
              <w:t>交付或者实施的时间和地点</w:t>
            </w:r>
          </w:p>
        </w:tc>
        <w:tc>
          <w:tcPr>
            <w:tcW w:w="533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left"/>
              <w:rPr>
                <w:rFonts w:ascii="宋体" w:hAnsi="宋体" w:cs="宋体"/>
                <w:color w:val="auto"/>
                <w:szCs w:val="21"/>
                <w:highlight w:val="none"/>
              </w:rPr>
            </w:pPr>
            <w:r>
              <w:rPr>
                <w:rFonts w:hint="eastAsia" w:ascii="宋体" w:hAnsi="宋体" w:cs="宋体"/>
                <w:color w:val="auto"/>
                <w:szCs w:val="21"/>
                <w:highlight w:val="none"/>
              </w:rPr>
              <w:t>详见商务要求表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rPr>
                <w:rFonts w:ascii="宋体" w:hAnsi="宋体" w:cs="宋体"/>
                <w:color w:val="auto"/>
                <w:szCs w:val="21"/>
                <w:highlight w:val="none"/>
              </w:rPr>
            </w:pPr>
            <w:r>
              <w:rPr>
                <w:rFonts w:hint="eastAsia" w:ascii="宋体" w:hAnsi="宋体" w:cs="宋体"/>
                <w:color w:val="auto"/>
                <w:szCs w:val="21"/>
                <w:highlight w:val="none"/>
              </w:rPr>
              <w:t>4</w:t>
            </w:r>
          </w:p>
        </w:tc>
        <w:tc>
          <w:tcPr>
            <w:tcW w:w="238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left"/>
              <w:textAlignment w:val="baseline"/>
              <w:rPr>
                <w:rFonts w:ascii="宋体" w:hAnsi="宋体" w:cs="宋体"/>
                <w:color w:val="auto"/>
                <w:szCs w:val="21"/>
                <w:highlight w:val="none"/>
              </w:rPr>
            </w:pPr>
            <w:r>
              <w:rPr>
                <w:rFonts w:hint="eastAsia" w:ascii="宋体" w:hAnsi="宋体" w:cs="宋体"/>
                <w:color w:val="auto"/>
                <w:szCs w:val="21"/>
                <w:highlight w:val="none"/>
              </w:rPr>
              <w:t>需实现的功能或者目标</w:t>
            </w:r>
          </w:p>
        </w:tc>
        <w:tc>
          <w:tcPr>
            <w:tcW w:w="533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left"/>
              <w:rPr>
                <w:rFonts w:ascii="宋体" w:hAnsi="宋体" w:cs="宋体"/>
                <w:color w:val="auto"/>
                <w:szCs w:val="21"/>
                <w:highlight w:val="none"/>
              </w:rPr>
            </w:pPr>
            <w:r>
              <w:rPr>
                <w:rFonts w:hint="eastAsia" w:ascii="宋体" w:hAnsi="宋体" w:cs="宋体"/>
                <w:color w:val="auto"/>
                <w:szCs w:val="21"/>
                <w:highlight w:val="none"/>
              </w:rPr>
              <w:t>详见技术要求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rPr>
                <w:rFonts w:ascii="宋体" w:hAnsi="宋体" w:cs="宋体"/>
                <w:color w:val="auto"/>
                <w:szCs w:val="21"/>
                <w:highlight w:val="none"/>
              </w:rPr>
            </w:pPr>
            <w:r>
              <w:rPr>
                <w:rFonts w:hint="eastAsia" w:ascii="宋体" w:hAnsi="宋体" w:cs="宋体"/>
                <w:color w:val="auto"/>
                <w:szCs w:val="21"/>
                <w:highlight w:val="none"/>
              </w:rPr>
              <w:t>5</w:t>
            </w:r>
          </w:p>
        </w:tc>
        <w:tc>
          <w:tcPr>
            <w:tcW w:w="238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left"/>
              <w:textAlignment w:val="baseline"/>
              <w:rPr>
                <w:rFonts w:ascii="宋体" w:hAnsi="宋体" w:cs="宋体"/>
                <w:color w:val="auto"/>
                <w:szCs w:val="21"/>
                <w:highlight w:val="none"/>
              </w:rPr>
            </w:pPr>
            <w:r>
              <w:rPr>
                <w:rFonts w:hint="eastAsia" w:ascii="宋体" w:hAnsi="宋体" w:cs="宋体"/>
                <w:color w:val="auto"/>
                <w:szCs w:val="21"/>
                <w:highlight w:val="none"/>
              </w:rPr>
              <w:t>采购标的需执行的标准</w:t>
            </w:r>
          </w:p>
        </w:tc>
        <w:tc>
          <w:tcPr>
            <w:tcW w:w="533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left"/>
              <w:rPr>
                <w:rFonts w:ascii="宋体" w:hAnsi="宋体" w:cs="宋体"/>
                <w:color w:val="auto"/>
                <w:szCs w:val="21"/>
                <w:highlight w:val="none"/>
              </w:rPr>
            </w:pPr>
            <w:r>
              <w:rPr>
                <w:rFonts w:hint="eastAsia" w:ascii="宋体" w:hAnsi="宋体" w:cs="宋体"/>
                <w:color w:val="auto"/>
                <w:szCs w:val="21"/>
                <w:highlight w:val="none"/>
              </w:rPr>
              <w:t>执行国家、地方、有关机构所有相关的技术规范与标准，且确保所采用的技术规范、标准必须是国家或有关机构发布的最新版本，无论此版本在此有无提及。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rPr>
                <w:rFonts w:ascii="宋体" w:hAnsi="宋体" w:cs="宋体"/>
                <w:color w:val="auto"/>
                <w:szCs w:val="21"/>
                <w:highlight w:val="none"/>
              </w:rPr>
            </w:pPr>
            <w:r>
              <w:rPr>
                <w:rFonts w:hint="eastAsia" w:ascii="宋体" w:hAnsi="宋体" w:cs="宋体"/>
                <w:color w:val="auto"/>
                <w:szCs w:val="21"/>
                <w:highlight w:val="none"/>
              </w:rPr>
              <w:t>6</w:t>
            </w:r>
          </w:p>
        </w:tc>
        <w:tc>
          <w:tcPr>
            <w:tcW w:w="238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left"/>
              <w:rPr>
                <w:rFonts w:ascii="宋体" w:hAnsi="宋体" w:cs="宋体"/>
                <w:color w:val="auto"/>
                <w:szCs w:val="21"/>
                <w:highlight w:val="none"/>
              </w:rPr>
            </w:pPr>
            <w:r>
              <w:rPr>
                <w:rFonts w:hint="eastAsia" w:ascii="宋体" w:hAnsi="宋体" w:cs="宋体"/>
                <w:color w:val="auto"/>
                <w:szCs w:val="21"/>
                <w:highlight w:val="none"/>
              </w:rPr>
              <w:t>技术规格要求</w:t>
            </w:r>
          </w:p>
        </w:tc>
        <w:tc>
          <w:tcPr>
            <w:tcW w:w="5332" w:type="dxa"/>
            <w:vAlign w:val="center"/>
          </w:tcPr>
          <w:p>
            <w:pPr>
              <w:keepNext w:val="0"/>
              <w:keepLines w:val="0"/>
              <w:pageBreakBefore w:val="0"/>
              <w:widowControl w:val="0"/>
              <w:kinsoku/>
              <w:wordWrap/>
              <w:overflowPunct/>
              <w:topLinePunct w:val="0"/>
              <w:autoSpaceDE/>
              <w:autoSpaceDN/>
              <w:bidi w:val="0"/>
              <w:adjustRightInd/>
              <w:snapToGrid/>
              <w:spacing w:line="380" w:lineRule="exact"/>
              <w:rPr>
                <w:rFonts w:ascii="宋体" w:hAnsi="宋体" w:cs="宋体"/>
                <w:color w:val="auto"/>
                <w:highlight w:val="none"/>
              </w:rPr>
            </w:pPr>
            <w:r>
              <w:rPr>
                <w:rFonts w:hint="eastAsia" w:ascii="宋体" w:hAnsi="宋体" w:cs="宋体"/>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rPr>
                <w:rFonts w:ascii="宋体" w:hAnsi="宋体" w:cs="宋体"/>
                <w:color w:val="auto"/>
                <w:szCs w:val="21"/>
                <w:highlight w:val="none"/>
              </w:rPr>
            </w:pPr>
            <w:r>
              <w:rPr>
                <w:rFonts w:hint="eastAsia" w:ascii="宋体" w:hAnsi="宋体" w:cs="宋体"/>
                <w:color w:val="auto"/>
                <w:szCs w:val="21"/>
                <w:highlight w:val="none"/>
              </w:rPr>
              <w:t>7</w:t>
            </w:r>
          </w:p>
        </w:tc>
        <w:tc>
          <w:tcPr>
            <w:tcW w:w="238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left"/>
              <w:rPr>
                <w:rFonts w:ascii="宋体" w:hAnsi="宋体" w:cs="宋体"/>
                <w:color w:val="auto"/>
                <w:szCs w:val="21"/>
                <w:highlight w:val="none"/>
              </w:rPr>
            </w:pPr>
            <w:r>
              <w:rPr>
                <w:rFonts w:hint="eastAsia" w:ascii="宋体" w:hAnsi="宋体" w:cs="宋体"/>
                <w:color w:val="auto"/>
                <w:szCs w:val="21"/>
                <w:highlight w:val="none"/>
              </w:rPr>
              <w:t>物理特性要求</w:t>
            </w:r>
          </w:p>
        </w:tc>
        <w:tc>
          <w:tcPr>
            <w:tcW w:w="5332" w:type="dxa"/>
            <w:vAlign w:val="center"/>
          </w:tcPr>
          <w:p>
            <w:pPr>
              <w:keepNext w:val="0"/>
              <w:keepLines w:val="0"/>
              <w:pageBreakBefore w:val="0"/>
              <w:widowControl w:val="0"/>
              <w:kinsoku/>
              <w:wordWrap/>
              <w:overflowPunct/>
              <w:topLinePunct w:val="0"/>
              <w:autoSpaceDE/>
              <w:autoSpaceDN/>
              <w:bidi w:val="0"/>
              <w:adjustRightInd/>
              <w:snapToGrid/>
              <w:spacing w:line="380" w:lineRule="exact"/>
              <w:rPr>
                <w:rFonts w:ascii="宋体" w:hAnsi="宋体" w:cs="宋体"/>
                <w:color w:val="auto"/>
                <w:highlight w:val="none"/>
              </w:rPr>
            </w:pPr>
            <w:r>
              <w:rPr>
                <w:rFonts w:hint="eastAsia" w:ascii="宋体" w:hAnsi="宋体" w:cs="宋体"/>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rPr>
                <w:rFonts w:ascii="宋体" w:hAnsi="宋体" w:cs="宋体"/>
                <w:color w:val="auto"/>
                <w:szCs w:val="21"/>
                <w:highlight w:val="none"/>
              </w:rPr>
            </w:pPr>
            <w:r>
              <w:rPr>
                <w:rFonts w:hint="eastAsia" w:ascii="宋体" w:hAnsi="宋体" w:cs="宋体"/>
                <w:color w:val="auto"/>
                <w:szCs w:val="21"/>
                <w:highlight w:val="none"/>
              </w:rPr>
              <w:t>8</w:t>
            </w:r>
          </w:p>
        </w:tc>
        <w:tc>
          <w:tcPr>
            <w:tcW w:w="238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left"/>
              <w:rPr>
                <w:rFonts w:ascii="宋体" w:hAnsi="宋体" w:cs="宋体"/>
                <w:color w:val="auto"/>
                <w:szCs w:val="21"/>
                <w:highlight w:val="none"/>
              </w:rPr>
            </w:pPr>
            <w:r>
              <w:rPr>
                <w:rFonts w:hint="eastAsia" w:ascii="宋体" w:hAnsi="宋体" w:cs="宋体"/>
                <w:color w:val="auto"/>
                <w:szCs w:val="21"/>
                <w:highlight w:val="none"/>
              </w:rPr>
              <w:t>质量、安全要求</w:t>
            </w:r>
          </w:p>
        </w:tc>
        <w:tc>
          <w:tcPr>
            <w:tcW w:w="5332" w:type="dxa"/>
            <w:vAlign w:val="center"/>
          </w:tcPr>
          <w:p>
            <w:pPr>
              <w:keepNext w:val="0"/>
              <w:keepLines w:val="0"/>
              <w:pageBreakBefore w:val="0"/>
              <w:widowControl w:val="0"/>
              <w:kinsoku/>
              <w:wordWrap/>
              <w:overflowPunct/>
              <w:topLinePunct w:val="0"/>
              <w:autoSpaceDE/>
              <w:autoSpaceDN/>
              <w:bidi w:val="0"/>
              <w:adjustRightInd/>
              <w:snapToGrid/>
              <w:spacing w:line="380" w:lineRule="exact"/>
              <w:rPr>
                <w:rFonts w:ascii="宋体" w:hAnsi="宋体" w:cs="宋体"/>
                <w:color w:val="auto"/>
                <w:highlight w:val="none"/>
              </w:rPr>
            </w:pPr>
            <w:r>
              <w:rPr>
                <w:rFonts w:hint="eastAsia" w:ascii="宋体" w:hAnsi="宋体" w:cs="宋体"/>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rPr>
                <w:rFonts w:ascii="宋体" w:hAnsi="宋体" w:cs="宋体"/>
                <w:color w:val="auto"/>
                <w:szCs w:val="21"/>
                <w:highlight w:val="none"/>
              </w:rPr>
            </w:pPr>
            <w:r>
              <w:rPr>
                <w:rFonts w:hint="eastAsia" w:ascii="宋体" w:hAnsi="宋体" w:cs="宋体"/>
                <w:color w:val="auto"/>
                <w:szCs w:val="21"/>
                <w:highlight w:val="none"/>
              </w:rPr>
              <w:t>9</w:t>
            </w:r>
          </w:p>
        </w:tc>
        <w:tc>
          <w:tcPr>
            <w:tcW w:w="238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left"/>
              <w:rPr>
                <w:rFonts w:ascii="宋体" w:hAnsi="宋体" w:cs="宋体"/>
                <w:color w:val="auto"/>
                <w:szCs w:val="21"/>
                <w:highlight w:val="none"/>
              </w:rPr>
            </w:pPr>
            <w:r>
              <w:rPr>
                <w:rFonts w:hint="eastAsia" w:ascii="宋体" w:hAnsi="宋体" w:cs="宋体"/>
                <w:color w:val="auto"/>
                <w:szCs w:val="21"/>
                <w:highlight w:val="none"/>
              </w:rPr>
              <w:t>服务标准、期限、效率(培训等）</w:t>
            </w:r>
          </w:p>
        </w:tc>
        <w:tc>
          <w:tcPr>
            <w:tcW w:w="533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left"/>
              <w:rPr>
                <w:rFonts w:ascii="宋体" w:hAnsi="宋体" w:cs="宋体"/>
                <w:color w:val="auto"/>
                <w:szCs w:val="21"/>
                <w:highlight w:val="none"/>
              </w:rPr>
            </w:pPr>
            <w:r>
              <w:rPr>
                <w:rFonts w:hint="eastAsia" w:ascii="宋体" w:hAnsi="宋体" w:cs="宋体"/>
                <w:color w:val="auto"/>
                <w:szCs w:val="21"/>
                <w:highlight w:val="none"/>
              </w:rPr>
              <w:t>详见本部分内容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rPr>
                <w:rFonts w:ascii="宋体" w:hAnsi="宋体" w:cs="宋体"/>
                <w:color w:val="auto"/>
                <w:szCs w:val="21"/>
                <w:highlight w:val="none"/>
              </w:rPr>
            </w:pPr>
            <w:r>
              <w:rPr>
                <w:rFonts w:hint="eastAsia" w:ascii="宋体" w:hAnsi="宋体" w:cs="宋体"/>
                <w:color w:val="auto"/>
                <w:szCs w:val="21"/>
                <w:highlight w:val="none"/>
              </w:rPr>
              <w:t>10</w:t>
            </w:r>
          </w:p>
        </w:tc>
        <w:tc>
          <w:tcPr>
            <w:tcW w:w="238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left"/>
              <w:rPr>
                <w:rFonts w:ascii="宋体" w:hAnsi="宋体" w:cs="宋体"/>
                <w:color w:val="auto"/>
                <w:szCs w:val="21"/>
                <w:highlight w:val="none"/>
              </w:rPr>
            </w:pPr>
            <w:r>
              <w:rPr>
                <w:rFonts w:hint="eastAsia" w:ascii="宋体" w:hAnsi="宋体" w:cs="宋体"/>
                <w:color w:val="auto"/>
                <w:szCs w:val="21"/>
                <w:highlight w:val="none"/>
              </w:rPr>
              <w:t>验收标准</w:t>
            </w:r>
          </w:p>
        </w:tc>
        <w:tc>
          <w:tcPr>
            <w:tcW w:w="533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left"/>
              <w:rPr>
                <w:rFonts w:ascii="宋体" w:hAnsi="宋体" w:cs="宋体"/>
                <w:color w:val="auto"/>
                <w:szCs w:val="21"/>
                <w:highlight w:val="none"/>
              </w:rPr>
            </w:pPr>
            <w:r>
              <w:rPr>
                <w:rFonts w:hint="eastAsia" w:ascii="宋体" w:hAnsi="宋体" w:cs="宋体"/>
                <w:color w:val="auto"/>
                <w:szCs w:val="21"/>
                <w:highlight w:val="none"/>
              </w:rPr>
              <w:t>按照招标文件要求、中标人的投标文件（承诺）及签订的合同约定标准进行验收，验收过程涉及的论证、评估等全部费用由中标人承担。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rPr>
                <w:rFonts w:ascii="宋体" w:hAnsi="宋体" w:cs="宋体"/>
                <w:color w:val="auto"/>
                <w:szCs w:val="21"/>
                <w:highlight w:val="none"/>
              </w:rPr>
            </w:pPr>
            <w:r>
              <w:rPr>
                <w:rFonts w:hint="eastAsia" w:ascii="宋体" w:hAnsi="宋体" w:cs="宋体"/>
                <w:color w:val="auto"/>
                <w:szCs w:val="21"/>
                <w:highlight w:val="none"/>
              </w:rPr>
              <w:t>11</w:t>
            </w:r>
          </w:p>
        </w:tc>
        <w:tc>
          <w:tcPr>
            <w:tcW w:w="238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left"/>
              <w:rPr>
                <w:rFonts w:ascii="宋体" w:hAnsi="宋体" w:cs="宋体"/>
                <w:color w:val="auto"/>
                <w:szCs w:val="21"/>
                <w:highlight w:val="none"/>
              </w:rPr>
            </w:pPr>
            <w:r>
              <w:rPr>
                <w:rFonts w:hint="eastAsia" w:ascii="宋体" w:hAnsi="宋体" w:cs="宋体"/>
                <w:color w:val="auto"/>
                <w:szCs w:val="21"/>
                <w:highlight w:val="none"/>
              </w:rPr>
              <w:t>现场踏勘</w:t>
            </w:r>
          </w:p>
        </w:tc>
        <w:tc>
          <w:tcPr>
            <w:tcW w:w="533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left"/>
              <w:rPr>
                <w:rFonts w:ascii="宋体" w:hAnsi="宋体" w:cs="宋体"/>
                <w:color w:val="auto"/>
                <w:szCs w:val="21"/>
                <w:highlight w:val="none"/>
              </w:rPr>
            </w:pPr>
            <w:r>
              <w:rPr>
                <w:rFonts w:hint="eastAsia" w:ascii="宋体" w:hAnsi="宋体" w:cs="宋体"/>
                <w:color w:val="auto"/>
                <w:szCs w:val="21"/>
                <w:highlight w:val="none"/>
              </w:rPr>
              <w:t>本项目不统一组织现场勘察，投标人可自行对本项目现场和周围环境进行勘察。勘察现场所发生的费用由投标人自己承担。不论何种原因所造成，在勘察过程中，投标人自行对由此次踏勘现场而造成的死亡、人身伤害、财产损失、损害以及任何其它损失、损害和引起的费用和开支承担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rPr>
                <w:rFonts w:ascii="宋体" w:hAnsi="宋体" w:cs="宋体"/>
                <w:color w:val="auto"/>
                <w:szCs w:val="21"/>
                <w:highlight w:val="none"/>
              </w:rPr>
            </w:pPr>
            <w:r>
              <w:rPr>
                <w:rFonts w:hint="eastAsia" w:ascii="宋体" w:hAnsi="宋体" w:cs="宋体"/>
                <w:color w:val="auto"/>
                <w:szCs w:val="21"/>
                <w:highlight w:val="none"/>
              </w:rPr>
              <w:t>12</w:t>
            </w:r>
          </w:p>
        </w:tc>
        <w:tc>
          <w:tcPr>
            <w:tcW w:w="238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rPr>
                <w:rFonts w:ascii="宋体" w:hAnsi="宋体" w:cs="宋体"/>
                <w:color w:val="auto"/>
                <w:szCs w:val="21"/>
                <w:highlight w:val="none"/>
              </w:rPr>
            </w:pPr>
            <w:r>
              <w:rPr>
                <w:rFonts w:hint="eastAsia" w:ascii="宋体" w:hAnsi="宋体" w:cs="宋体"/>
                <w:color w:val="auto"/>
                <w:szCs w:val="21"/>
                <w:highlight w:val="none"/>
              </w:rPr>
              <w:t>演示时间及地点</w:t>
            </w:r>
          </w:p>
        </w:tc>
        <w:tc>
          <w:tcPr>
            <w:tcW w:w="533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rPr>
                <w:rFonts w:ascii="宋体" w:hAnsi="宋体" w:cs="宋体"/>
                <w:color w:val="auto"/>
                <w:szCs w:val="21"/>
                <w:highlight w:val="none"/>
              </w:rPr>
            </w:pPr>
            <w:r>
              <w:rPr>
                <w:rFonts w:hint="eastAsia" w:ascii="宋体" w:hAnsi="宋体" w:cs="宋体"/>
                <w:color w:val="auto"/>
                <w:szCs w:val="21"/>
                <w:highlight w:val="none"/>
              </w:rPr>
              <w:t>无</w:t>
            </w:r>
          </w:p>
        </w:tc>
      </w:tr>
    </w:tbl>
    <w:p>
      <w:pPr>
        <w:spacing w:line="360" w:lineRule="auto"/>
        <w:rPr>
          <w:rFonts w:ascii="宋体" w:hAnsi="宋体" w:cs="宋体"/>
          <w:color w:val="auto"/>
          <w:sz w:val="24"/>
          <w:szCs w:val="24"/>
          <w:highlight w:val="none"/>
        </w:rPr>
      </w:pPr>
    </w:p>
    <w:p>
      <w:pPr>
        <w:widowControl/>
        <w:jc w:val="left"/>
        <w:rPr>
          <w:rFonts w:ascii="宋体" w:hAnsi="宋体" w:cs="宋体"/>
          <w:color w:val="auto"/>
          <w:sz w:val="24"/>
          <w:szCs w:val="24"/>
          <w:highlight w:val="none"/>
        </w:rPr>
      </w:pPr>
      <w:r>
        <w:rPr>
          <w:rFonts w:ascii="宋体" w:hAnsi="宋体" w:cs="宋体"/>
          <w:color w:val="auto"/>
          <w:sz w:val="24"/>
          <w:szCs w:val="24"/>
          <w:highlight w:val="none"/>
        </w:rPr>
        <w:br w:type="page"/>
      </w:r>
    </w:p>
    <w:p>
      <w:pPr>
        <w:spacing w:line="360" w:lineRule="auto"/>
        <w:rPr>
          <w:rFonts w:ascii="宋体" w:hAnsi="宋体" w:cs="宋体"/>
          <w:color w:val="auto"/>
          <w:sz w:val="24"/>
          <w:szCs w:val="24"/>
          <w:highlight w:val="none"/>
        </w:rPr>
      </w:pPr>
    </w:p>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一、商务要求：</w:t>
      </w:r>
    </w:p>
    <w:tbl>
      <w:tblPr>
        <w:tblStyle w:val="34"/>
        <w:tblW w:w="857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62"/>
        <w:gridCol w:w="641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2" w:hRule="atLeast"/>
          <w:jc w:val="center"/>
        </w:trPr>
        <w:tc>
          <w:tcPr>
            <w:tcW w:w="2162" w:type="dxa"/>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ascii="宋体" w:hAnsi="宋体" w:cs="宋体"/>
                <w:b/>
                <w:bCs/>
                <w:color w:val="auto"/>
                <w:szCs w:val="21"/>
                <w:highlight w:val="none"/>
              </w:rPr>
            </w:pPr>
            <w:r>
              <w:rPr>
                <w:rFonts w:hint="eastAsia" w:ascii="宋体" w:hAnsi="宋体" w:cs="宋体"/>
                <w:b/>
                <w:bCs/>
                <w:color w:val="auto"/>
                <w:szCs w:val="21"/>
                <w:highlight w:val="none"/>
              </w:rPr>
              <w:t>项目</w:t>
            </w:r>
          </w:p>
        </w:tc>
        <w:tc>
          <w:tcPr>
            <w:tcW w:w="6417" w:type="dxa"/>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ascii="宋体" w:hAnsi="宋体" w:cs="宋体"/>
                <w:b/>
                <w:bCs/>
                <w:color w:val="auto"/>
                <w:szCs w:val="21"/>
                <w:highlight w:val="none"/>
              </w:rPr>
            </w:pPr>
            <w:r>
              <w:rPr>
                <w:rFonts w:hint="eastAsia" w:ascii="宋体" w:hAnsi="宋体" w:cs="宋体"/>
                <w:b/>
                <w:bCs/>
                <w:color w:val="auto"/>
                <w:szCs w:val="21"/>
                <w:highlight w:val="none"/>
              </w:rPr>
              <w:t>要 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2" w:hRule="atLeast"/>
          <w:jc w:val="center"/>
        </w:trPr>
        <w:tc>
          <w:tcPr>
            <w:tcW w:w="2162" w:type="dxa"/>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ascii="宋体" w:hAnsi="宋体" w:cs="宋体"/>
                <w:color w:val="auto"/>
                <w:szCs w:val="21"/>
                <w:highlight w:val="none"/>
              </w:rPr>
            </w:pPr>
            <w:r>
              <w:rPr>
                <w:rFonts w:hint="eastAsia" w:ascii="宋体" w:hAnsi="宋体" w:cs="宋体"/>
                <w:color w:val="auto"/>
                <w:szCs w:val="21"/>
                <w:highlight w:val="none"/>
              </w:rPr>
              <w:t>★1、服务期</w:t>
            </w:r>
          </w:p>
        </w:tc>
        <w:tc>
          <w:tcPr>
            <w:tcW w:w="6417" w:type="dxa"/>
            <w:tcBorders>
              <w:top w:val="single" w:color="auto" w:sz="4" w:space="0"/>
              <w:left w:val="single" w:color="auto" w:sz="4" w:space="0"/>
              <w:bottom w:val="single" w:color="auto" w:sz="4" w:space="0"/>
              <w:right w:val="single" w:color="auto" w:sz="4" w:space="0"/>
            </w:tcBorders>
            <w:vAlign w:val="center"/>
          </w:tcPr>
          <w:p>
            <w:pPr>
              <w:spacing w:line="264" w:lineRule="auto"/>
              <w:rPr>
                <w:rFonts w:ascii="宋体" w:hAnsi="宋体" w:cs="宋体"/>
                <w:color w:val="auto"/>
                <w:szCs w:val="21"/>
                <w:highlight w:val="none"/>
              </w:rPr>
            </w:pPr>
            <w:r>
              <w:rPr>
                <w:rFonts w:hint="eastAsia" w:ascii="宋体" w:hAnsi="宋体" w:cs="宋体"/>
                <w:color w:val="auto"/>
                <w:szCs w:val="21"/>
                <w:highlight w:val="none"/>
              </w:rPr>
              <w:t>2024年度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2" w:hRule="atLeast"/>
          <w:jc w:val="center"/>
        </w:trPr>
        <w:tc>
          <w:tcPr>
            <w:tcW w:w="2162" w:type="dxa"/>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ascii="宋体" w:hAnsi="宋体" w:cs="宋体"/>
                <w:color w:val="auto"/>
                <w:szCs w:val="21"/>
                <w:highlight w:val="none"/>
              </w:rPr>
            </w:pPr>
            <w:r>
              <w:rPr>
                <w:rFonts w:hint="eastAsia" w:ascii="宋体" w:hAnsi="宋体" w:cs="宋体"/>
                <w:color w:val="auto"/>
                <w:szCs w:val="21"/>
                <w:highlight w:val="none"/>
              </w:rPr>
              <w:t>2、服务地点</w:t>
            </w:r>
          </w:p>
        </w:tc>
        <w:tc>
          <w:tcPr>
            <w:tcW w:w="6417" w:type="dxa"/>
            <w:tcBorders>
              <w:top w:val="single" w:color="auto" w:sz="4" w:space="0"/>
              <w:left w:val="single" w:color="auto" w:sz="4" w:space="0"/>
              <w:bottom w:val="single" w:color="auto" w:sz="4" w:space="0"/>
              <w:right w:val="single" w:color="auto" w:sz="4" w:space="0"/>
            </w:tcBorders>
            <w:vAlign w:val="center"/>
          </w:tcPr>
          <w:p>
            <w:pPr>
              <w:spacing w:line="264" w:lineRule="auto"/>
              <w:rPr>
                <w:rFonts w:ascii="宋体" w:hAnsi="宋体" w:cs="宋体"/>
                <w:color w:val="auto"/>
                <w:szCs w:val="21"/>
                <w:highlight w:val="none"/>
              </w:rPr>
            </w:pPr>
            <w:r>
              <w:rPr>
                <w:rFonts w:hint="eastAsia" w:ascii="宋体" w:hAnsi="宋体" w:cs="宋体"/>
                <w:color w:val="auto"/>
                <w:szCs w:val="21"/>
                <w:highlight w:val="none"/>
              </w:rPr>
              <w:t>宁波市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2" w:hRule="atLeast"/>
          <w:jc w:val="center"/>
        </w:trPr>
        <w:tc>
          <w:tcPr>
            <w:tcW w:w="2162" w:type="dxa"/>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ascii="宋体" w:hAnsi="宋体" w:cs="宋体"/>
                <w:color w:val="auto"/>
                <w:szCs w:val="21"/>
                <w:highlight w:val="none"/>
              </w:rPr>
            </w:pPr>
            <w:r>
              <w:rPr>
                <w:rFonts w:hint="eastAsia" w:ascii="宋体" w:hAnsi="宋体" w:cs="宋体"/>
                <w:color w:val="auto"/>
                <w:szCs w:val="21"/>
                <w:highlight w:val="none"/>
              </w:rPr>
              <w:t>★3、付款条件</w:t>
            </w:r>
          </w:p>
        </w:tc>
        <w:tc>
          <w:tcPr>
            <w:tcW w:w="6417" w:type="dxa"/>
            <w:tcBorders>
              <w:top w:val="single" w:color="auto" w:sz="4" w:space="0"/>
              <w:left w:val="single" w:color="auto" w:sz="4" w:space="0"/>
              <w:bottom w:val="single" w:color="auto" w:sz="4" w:space="0"/>
              <w:right w:val="single" w:color="auto" w:sz="4" w:space="0"/>
            </w:tcBorders>
            <w:vAlign w:val="center"/>
          </w:tcPr>
          <w:p>
            <w:pPr>
              <w:spacing w:line="264" w:lineRule="auto"/>
              <w:rPr>
                <w:rFonts w:hint="eastAsia" w:ascii="宋体" w:hAnsi="宋体" w:eastAsia="宋体" w:cs="宋体"/>
                <w:color w:val="auto"/>
                <w:szCs w:val="21"/>
                <w:highlight w:val="none"/>
                <w:lang w:eastAsia="zh-CN"/>
              </w:rPr>
            </w:pPr>
            <w:r>
              <w:rPr>
                <w:rFonts w:hint="eastAsia" w:ascii="宋体" w:hAnsi="宋体" w:cs="宋体"/>
                <w:szCs w:val="21"/>
                <w:highlight w:val="none"/>
              </w:rPr>
              <w:t>合同签订生效后，一次性付清年度服务费用</w:t>
            </w:r>
            <w:r>
              <w:rPr>
                <w:rFonts w:hint="eastAsia" w:ascii="宋体" w:hAnsi="宋体" w:cs="宋体"/>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58" w:hRule="atLeast"/>
          <w:jc w:val="center"/>
        </w:trPr>
        <w:tc>
          <w:tcPr>
            <w:tcW w:w="2162" w:type="dxa"/>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ascii="宋体" w:hAnsi="宋体" w:cs="宋体"/>
                <w:color w:val="auto"/>
                <w:szCs w:val="21"/>
                <w:highlight w:val="none"/>
              </w:rPr>
            </w:pPr>
            <w:r>
              <w:rPr>
                <w:rFonts w:hint="eastAsia" w:ascii="宋体" w:hAnsi="宋体" w:cs="宋体"/>
                <w:color w:val="auto"/>
                <w:szCs w:val="21"/>
                <w:highlight w:val="none"/>
              </w:rPr>
              <w:t>4、履约保证金</w:t>
            </w:r>
          </w:p>
        </w:tc>
        <w:tc>
          <w:tcPr>
            <w:tcW w:w="6417" w:type="dxa"/>
            <w:tcBorders>
              <w:top w:val="single" w:color="auto" w:sz="4" w:space="0"/>
              <w:left w:val="single" w:color="auto" w:sz="4" w:space="0"/>
              <w:bottom w:val="single" w:color="auto" w:sz="4" w:space="0"/>
              <w:right w:val="single" w:color="auto" w:sz="4" w:space="0"/>
            </w:tcBorders>
            <w:vAlign w:val="center"/>
          </w:tcPr>
          <w:p>
            <w:pPr>
              <w:spacing w:line="264" w:lineRule="auto"/>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w:t>
            </w:r>
          </w:p>
        </w:tc>
      </w:tr>
    </w:tbl>
    <w:p>
      <w:pPr>
        <w:widowControl/>
        <w:jc w:val="left"/>
        <w:rPr>
          <w:rFonts w:cs="仿宋" w:asciiTheme="minorEastAsia" w:hAnsiTheme="minorEastAsia" w:eastAsiaTheme="minorEastAsia"/>
          <w:color w:val="auto"/>
          <w:sz w:val="24"/>
          <w:szCs w:val="28"/>
          <w:highlight w:val="none"/>
        </w:rPr>
      </w:pPr>
      <w:r>
        <w:rPr>
          <w:rFonts w:cs="仿宋" w:asciiTheme="minorEastAsia" w:hAnsiTheme="minorEastAsia" w:eastAsiaTheme="minorEastAsia"/>
          <w:color w:val="auto"/>
          <w:sz w:val="24"/>
          <w:szCs w:val="28"/>
          <w:highlight w:val="none"/>
        </w:rPr>
        <w:br w:type="page"/>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sz w:val="24"/>
          <w:szCs w:val="24"/>
          <w:highlight w:val="none"/>
          <w:lang w:val="en-US" w:eastAsia="zh-CN"/>
        </w:rPr>
      </w:pPr>
      <w:bookmarkStart w:id="39" w:name="_Toc136017643"/>
      <w:bookmarkStart w:id="40" w:name="_Toc1707"/>
      <w:bookmarkStart w:id="41" w:name="_Toc31590"/>
      <w:bookmarkStart w:id="42" w:name="_Toc136345091"/>
      <w:r>
        <w:rPr>
          <w:rFonts w:hint="eastAsia" w:ascii="宋体" w:hAnsi="宋体" w:cs="宋体"/>
          <w:sz w:val="24"/>
          <w:szCs w:val="24"/>
          <w:highlight w:val="none"/>
          <w:lang w:val="en-US" w:eastAsia="zh-CN"/>
        </w:rPr>
        <w:t>二、技术要求</w:t>
      </w:r>
      <w:bookmarkEnd w:id="39"/>
      <w:bookmarkEnd w:id="40"/>
      <w:bookmarkEnd w:id="41"/>
      <w:bookmarkEnd w:id="42"/>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sz w:val="24"/>
          <w:szCs w:val="24"/>
          <w:highlight w:val="none"/>
          <w:lang w:val="en-US" w:eastAsia="zh-CN"/>
        </w:rPr>
      </w:pPr>
      <w:bookmarkStart w:id="43" w:name="_Toc19654"/>
      <w:r>
        <w:rPr>
          <w:rFonts w:hint="eastAsia" w:ascii="宋体" w:hAnsi="宋体" w:cs="宋体"/>
          <w:sz w:val="24"/>
          <w:szCs w:val="24"/>
          <w:highlight w:val="none"/>
          <w:lang w:val="en-US" w:eastAsia="zh-CN"/>
        </w:rPr>
        <w:t>（一）项目概况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宁波市中级人民法院针对有效化解刑事附带民事案件“执行难”难题，签订第一份司法援助保险合同（保险期间自2018年1月1日起至2018年12月31日止），购买刑事附带民事涉人身损害赔偿“执行不能”案件的司法援助保险，自此开启了运用市场化手段参与司法领域社会治理的新探索，为影响司法公信力的“执行难”问题找到了一个新解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宁波市中级人民法院司法援助保险项目已经运行六个年度，在此保险项目中，</w:t>
      </w:r>
      <w:r>
        <w:rPr>
          <w:rFonts w:hint="eastAsia" w:ascii="宋体" w:hAnsi="宋体" w:cs="宋体"/>
          <w:sz w:val="24"/>
          <w:szCs w:val="24"/>
          <w:highlight w:val="none"/>
          <w:lang w:eastAsia="zh-CN"/>
        </w:rPr>
        <w:t>投保人是宁波市中级人民法院，</w:t>
      </w:r>
      <w:r>
        <w:rPr>
          <w:rFonts w:hint="eastAsia" w:ascii="宋体" w:hAnsi="宋体" w:cs="宋体"/>
          <w:sz w:val="24"/>
          <w:szCs w:val="24"/>
          <w:highlight w:val="none"/>
          <w:lang w:val="en-US" w:eastAsia="zh-CN"/>
        </w:rPr>
        <w:t>被保险人是刑事附带民事人身损害赔偿案件申请执行人，对于其中的“执行不能”案件，即在法院穷尽执行手段后发现被执行人确无财产可供执行并以终结本次执行程序方式结案的案件，申请执行人可以提出司法援助保险理赔申请，</w:t>
      </w:r>
      <w:r>
        <w:rPr>
          <w:rFonts w:hint="eastAsia" w:ascii="宋体" w:hAnsi="宋体" w:cs="宋体"/>
          <w:sz w:val="24"/>
          <w:szCs w:val="24"/>
          <w:highlight w:val="none"/>
        </w:rPr>
        <w:t>经审核</w:t>
      </w:r>
      <w:r>
        <w:rPr>
          <w:rFonts w:hint="eastAsia" w:ascii="宋体" w:hAnsi="宋体" w:cs="宋体"/>
          <w:sz w:val="24"/>
          <w:szCs w:val="24"/>
          <w:highlight w:val="none"/>
          <w:lang w:eastAsia="zh-CN"/>
        </w:rPr>
        <w:t>通过</w:t>
      </w:r>
      <w:r>
        <w:rPr>
          <w:rFonts w:hint="eastAsia" w:ascii="宋体" w:hAnsi="宋体" w:cs="宋体"/>
          <w:sz w:val="24"/>
          <w:szCs w:val="24"/>
          <w:highlight w:val="none"/>
        </w:rPr>
        <w:t>后按</w:t>
      </w:r>
      <w:r>
        <w:rPr>
          <w:rFonts w:hint="eastAsia" w:ascii="宋体" w:hAnsi="宋体" w:cs="宋体"/>
          <w:sz w:val="24"/>
          <w:szCs w:val="24"/>
          <w:highlight w:val="none"/>
          <w:lang w:eastAsia="zh-CN"/>
        </w:rPr>
        <w:t>合同约定</w:t>
      </w:r>
      <w:r>
        <w:rPr>
          <w:rFonts w:hint="eastAsia" w:ascii="宋体" w:hAnsi="宋体" w:cs="宋体"/>
          <w:sz w:val="24"/>
          <w:szCs w:val="24"/>
          <w:highlight w:val="none"/>
        </w:rPr>
        <w:t>进行保险理赔。</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（二）投保人名称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宁波市中级人民法院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（三）被保险人名称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highlight w:val="none"/>
          <w:lang w:val="en-US" w:eastAsia="zh-CN"/>
        </w:rPr>
      </w:pPr>
      <w:r>
        <w:rPr>
          <w:rFonts w:hint="eastAsia" w:ascii="宋体" w:hAnsi="宋体" w:cs="宋体"/>
          <w:sz w:val="24"/>
          <w:szCs w:val="24"/>
          <w:highlight w:val="none"/>
        </w:rPr>
        <w:t>★</w:t>
      </w:r>
      <w:r>
        <w:rPr>
          <w:rFonts w:hint="eastAsia" w:ascii="宋体" w:hAnsi="宋体" w:cs="宋体"/>
          <w:sz w:val="24"/>
          <w:szCs w:val="24"/>
          <w:highlight w:val="none"/>
          <w:lang w:val="en-US" w:eastAsia="zh-CN"/>
        </w:rPr>
        <w:t>刑事附带民事人身损害赔偿案件申请执行人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(四)投保保险险种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highlight w:val="none"/>
        </w:rPr>
      </w:pPr>
      <w:r>
        <w:rPr>
          <w:rFonts w:hint="eastAsia" w:ascii="宋体" w:hAnsi="宋体" w:cs="宋体"/>
          <w:sz w:val="24"/>
          <w:szCs w:val="24"/>
          <w:highlight w:val="none"/>
        </w:rPr>
        <w:t>★</w:t>
      </w:r>
      <w:r>
        <w:rPr>
          <w:rFonts w:hint="eastAsia" w:ascii="宋体" w:hAnsi="宋体" w:cs="宋体"/>
          <w:sz w:val="24"/>
          <w:szCs w:val="24"/>
          <w:highlight w:val="none"/>
          <w:lang w:val="en-US" w:eastAsia="zh-CN"/>
        </w:rPr>
        <w:t>宁波市司法援助保险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(五)保险责任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highlight w:val="none"/>
        </w:rPr>
      </w:pPr>
      <w:r>
        <w:rPr>
          <w:rFonts w:hint="eastAsia" w:ascii="宋体" w:hAnsi="宋体" w:cs="宋体"/>
          <w:sz w:val="24"/>
          <w:szCs w:val="24"/>
          <w:highlight w:val="none"/>
        </w:rPr>
        <w:t>★</w:t>
      </w:r>
      <w:r>
        <w:rPr>
          <w:rFonts w:hint="eastAsia" w:ascii="宋体" w:hAnsi="宋体" w:cs="宋体"/>
          <w:sz w:val="24"/>
          <w:szCs w:val="24"/>
          <w:highlight w:val="none"/>
          <w:lang w:val="en-US" w:eastAsia="zh-CN"/>
        </w:rPr>
        <w:t>1、</w:t>
      </w:r>
      <w:r>
        <w:rPr>
          <w:rFonts w:hint="eastAsia" w:ascii="宋体" w:hAnsi="宋体" w:cs="宋体"/>
          <w:sz w:val="24"/>
          <w:szCs w:val="24"/>
          <w:highlight w:val="none"/>
        </w:rPr>
        <w:t>针对</w:t>
      </w:r>
      <w:r>
        <w:rPr>
          <w:rFonts w:hint="eastAsia" w:ascii="宋体" w:hAnsi="宋体" w:cs="宋体"/>
          <w:sz w:val="24"/>
          <w:szCs w:val="24"/>
          <w:highlight w:val="none"/>
          <w:lang w:eastAsia="zh-CN"/>
        </w:rPr>
        <w:t>宁波市中级人民法院</w:t>
      </w:r>
      <w:r>
        <w:rPr>
          <w:rFonts w:hint="eastAsia" w:ascii="宋体" w:hAnsi="宋体" w:cs="宋体"/>
          <w:sz w:val="24"/>
          <w:szCs w:val="24"/>
          <w:highlight w:val="none"/>
        </w:rPr>
        <w:t>202</w:t>
      </w:r>
      <w:r>
        <w:rPr>
          <w:rFonts w:hint="eastAsia" w:ascii="宋体" w:hAnsi="宋体" w:cs="宋体"/>
          <w:sz w:val="24"/>
          <w:szCs w:val="24"/>
          <w:highlight w:val="none"/>
          <w:lang w:val="en-US" w:eastAsia="zh-CN"/>
        </w:rPr>
        <w:t>4年度</w:t>
      </w:r>
      <w:r>
        <w:rPr>
          <w:rFonts w:hint="eastAsia" w:ascii="宋体" w:hAnsi="宋体" w:cs="宋体"/>
          <w:sz w:val="24"/>
          <w:szCs w:val="24"/>
          <w:highlight w:val="none"/>
          <w:lang w:eastAsia="zh-CN"/>
        </w:rPr>
        <w:t>以终结本次执行程序方式结案</w:t>
      </w:r>
      <w:r>
        <w:rPr>
          <w:rFonts w:hint="eastAsia" w:ascii="宋体" w:hAnsi="宋体" w:cs="宋体"/>
          <w:sz w:val="24"/>
          <w:szCs w:val="24"/>
          <w:highlight w:val="none"/>
        </w:rPr>
        <w:t>的刑事附带民事涉人身损害</w:t>
      </w:r>
      <w:r>
        <w:rPr>
          <w:rFonts w:hint="eastAsia" w:ascii="宋体" w:hAnsi="宋体" w:cs="宋体"/>
          <w:sz w:val="24"/>
          <w:szCs w:val="24"/>
          <w:highlight w:val="none"/>
          <w:lang w:eastAsia="zh-CN"/>
        </w:rPr>
        <w:t>赔偿“</w:t>
      </w:r>
      <w:r>
        <w:rPr>
          <w:rFonts w:hint="eastAsia" w:ascii="宋体" w:hAnsi="宋体" w:cs="宋体"/>
          <w:sz w:val="24"/>
          <w:szCs w:val="24"/>
          <w:highlight w:val="none"/>
        </w:rPr>
        <w:t>执行不能</w:t>
      </w:r>
      <w:r>
        <w:rPr>
          <w:rFonts w:hint="eastAsia" w:ascii="宋体" w:hAnsi="宋体" w:cs="宋体"/>
          <w:sz w:val="24"/>
          <w:szCs w:val="24"/>
          <w:highlight w:val="none"/>
          <w:lang w:eastAsia="zh-CN"/>
        </w:rPr>
        <w:t>”</w:t>
      </w:r>
      <w:r>
        <w:rPr>
          <w:rFonts w:hint="eastAsia" w:ascii="宋体" w:hAnsi="宋体" w:cs="宋体"/>
          <w:sz w:val="24"/>
          <w:szCs w:val="24"/>
          <w:highlight w:val="none"/>
        </w:rPr>
        <w:t>案件，申请</w:t>
      </w:r>
      <w:r>
        <w:rPr>
          <w:rFonts w:hint="eastAsia" w:ascii="宋体" w:hAnsi="宋体" w:cs="宋体"/>
          <w:sz w:val="24"/>
          <w:szCs w:val="24"/>
          <w:highlight w:val="none"/>
          <w:lang w:eastAsia="zh-CN"/>
        </w:rPr>
        <w:t>执行</w:t>
      </w:r>
      <w:r>
        <w:rPr>
          <w:rFonts w:hint="eastAsia" w:ascii="宋体" w:hAnsi="宋体" w:cs="宋体"/>
          <w:sz w:val="24"/>
          <w:szCs w:val="24"/>
          <w:highlight w:val="none"/>
        </w:rPr>
        <w:t>人提出司法援助保险理赔申请，经审核</w:t>
      </w:r>
      <w:r>
        <w:rPr>
          <w:rFonts w:hint="eastAsia" w:ascii="宋体" w:hAnsi="宋体" w:cs="宋体"/>
          <w:sz w:val="24"/>
          <w:szCs w:val="24"/>
          <w:highlight w:val="none"/>
          <w:lang w:eastAsia="zh-CN"/>
        </w:rPr>
        <w:t>通过</w:t>
      </w:r>
      <w:r>
        <w:rPr>
          <w:rFonts w:hint="eastAsia" w:ascii="宋体" w:hAnsi="宋体" w:cs="宋体"/>
          <w:sz w:val="24"/>
          <w:szCs w:val="24"/>
          <w:highlight w:val="none"/>
        </w:rPr>
        <w:t>后按</w:t>
      </w:r>
      <w:r>
        <w:rPr>
          <w:rFonts w:hint="eastAsia" w:ascii="宋体" w:hAnsi="宋体" w:cs="宋体"/>
          <w:sz w:val="24"/>
          <w:szCs w:val="24"/>
          <w:highlight w:val="none"/>
          <w:lang w:eastAsia="zh-CN"/>
        </w:rPr>
        <w:t>合同约定</w:t>
      </w:r>
      <w:r>
        <w:rPr>
          <w:rFonts w:hint="eastAsia" w:ascii="宋体" w:hAnsi="宋体" w:cs="宋体"/>
          <w:sz w:val="24"/>
          <w:szCs w:val="24"/>
          <w:highlight w:val="none"/>
        </w:rPr>
        <w:t>进行保险理赔。</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highlight w:val="none"/>
        </w:rPr>
      </w:pPr>
      <w:r>
        <w:rPr>
          <w:rFonts w:hint="eastAsia" w:ascii="宋体" w:hAnsi="宋体" w:cs="宋体"/>
          <w:sz w:val="24"/>
          <w:szCs w:val="24"/>
          <w:highlight w:val="none"/>
        </w:rPr>
        <w:t>★</w:t>
      </w:r>
      <w:r>
        <w:rPr>
          <w:rFonts w:hint="eastAsia" w:ascii="宋体" w:hAnsi="宋体" w:cs="宋体"/>
          <w:sz w:val="24"/>
          <w:szCs w:val="24"/>
          <w:highlight w:val="none"/>
          <w:lang w:val="en-US" w:eastAsia="zh-CN"/>
        </w:rPr>
        <w:t>2、</w:t>
      </w:r>
      <w:r>
        <w:rPr>
          <w:rFonts w:hint="eastAsia" w:ascii="宋体" w:hAnsi="宋体" w:cs="宋体"/>
          <w:sz w:val="24"/>
          <w:szCs w:val="24"/>
          <w:highlight w:val="none"/>
        </w:rPr>
        <w:t>“刑事附带民事案件的判决书”可解释为“刑事附带民事案件的判决</w:t>
      </w:r>
      <w:r>
        <w:rPr>
          <w:rFonts w:hint="eastAsia" w:ascii="宋体" w:hAnsi="宋体" w:cs="宋体"/>
          <w:sz w:val="24"/>
          <w:szCs w:val="24"/>
          <w:highlight w:val="none"/>
          <w:lang w:eastAsia="zh-CN"/>
        </w:rPr>
        <w:t>书</w:t>
      </w:r>
      <w:r>
        <w:rPr>
          <w:rFonts w:hint="eastAsia" w:ascii="宋体" w:hAnsi="宋体" w:cs="宋体"/>
          <w:sz w:val="24"/>
          <w:szCs w:val="24"/>
          <w:highlight w:val="none"/>
        </w:rPr>
        <w:t>（含调解书）</w:t>
      </w:r>
      <w:r>
        <w:rPr>
          <w:rFonts w:hint="eastAsia" w:ascii="宋体" w:hAnsi="宋体" w:cs="宋体"/>
          <w:sz w:val="24"/>
          <w:szCs w:val="24"/>
          <w:highlight w:val="none"/>
          <w:lang w:eastAsia="zh-CN"/>
        </w:rPr>
        <w:t>”</w:t>
      </w:r>
      <w:r>
        <w:rPr>
          <w:rFonts w:hint="eastAsia" w:ascii="宋体" w:hAnsi="宋体" w:cs="宋体"/>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（六）保险金额、赔偿限额、免赔额（率）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highlight w:val="none"/>
          <w:lang w:val="en-US" w:eastAsia="zh-CN"/>
        </w:rPr>
      </w:pPr>
      <w:r>
        <w:rPr>
          <w:rFonts w:hint="eastAsia" w:ascii="宋体" w:hAnsi="宋体" w:cs="宋体"/>
          <w:sz w:val="24"/>
          <w:szCs w:val="24"/>
          <w:highlight w:val="none"/>
        </w:rPr>
        <w:t>★</w:t>
      </w:r>
      <w:r>
        <w:rPr>
          <w:rFonts w:hint="eastAsia" w:ascii="宋体" w:hAnsi="宋体" w:cs="宋体"/>
          <w:sz w:val="24"/>
          <w:szCs w:val="24"/>
          <w:highlight w:val="none"/>
          <w:lang w:val="en-US" w:eastAsia="zh-CN"/>
        </w:rPr>
        <w:t>1、最低保险金额：即保险期间内刑事附带民事执行案件中人身损害赔偿金的累计执行立案金额：人民币壹仟伍佰万元整（RMB1500万元）。投标人提供的保险金额不低于人民币壹仟伍佰万元整（RMB1500万元）。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其中，每案执行立案金额大于RMB20万元的，按RMB20万元计入保险金额。</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highlight w:val="none"/>
          <w:lang w:val="en-US" w:eastAsia="zh-CN"/>
        </w:rPr>
      </w:pPr>
      <w:r>
        <w:rPr>
          <w:rFonts w:hint="eastAsia" w:ascii="宋体" w:hAnsi="宋体" w:cs="宋体"/>
          <w:sz w:val="24"/>
          <w:szCs w:val="24"/>
          <w:highlight w:val="none"/>
        </w:rPr>
        <w:t>★</w:t>
      </w:r>
      <w:r>
        <w:rPr>
          <w:rFonts w:hint="eastAsia" w:ascii="宋体" w:hAnsi="宋体" w:cs="宋体"/>
          <w:sz w:val="24"/>
          <w:szCs w:val="24"/>
          <w:highlight w:val="none"/>
          <w:lang w:val="en-US" w:eastAsia="zh-CN"/>
        </w:rPr>
        <w:t>2、每案赔偿限额：每案根据实际未执行到位金额50%计算赔款，最高赔偿限额RMB20万元。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highlight w:val="none"/>
          <w:lang w:val="en-US" w:eastAsia="zh-CN"/>
        </w:rPr>
      </w:pPr>
      <w:r>
        <w:rPr>
          <w:rFonts w:hint="eastAsia" w:ascii="宋体" w:hAnsi="宋体" w:cs="宋体"/>
          <w:sz w:val="24"/>
          <w:szCs w:val="24"/>
          <w:highlight w:val="none"/>
        </w:rPr>
        <w:t>★</w:t>
      </w:r>
      <w:r>
        <w:rPr>
          <w:rFonts w:hint="eastAsia" w:ascii="宋体" w:hAnsi="宋体" w:cs="宋体"/>
          <w:sz w:val="24"/>
          <w:szCs w:val="24"/>
          <w:highlight w:val="none"/>
          <w:lang w:val="en-US" w:eastAsia="zh-CN"/>
        </w:rPr>
        <w:t>3、每次事故免赔额（率）：零。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highlight w:val="none"/>
          <w:lang w:val="en-US" w:eastAsia="zh-CN"/>
        </w:rPr>
      </w:pPr>
      <w:r>
        <w:rPr>
          <w:rFonts w:hint="eastAsia" w:ascii="宋体" w:hAnsi="宋体" w:cs="宋体"/>
          <w:sz w:val="24"/>
          <w:szCs w:val="24"/>
          <w:highlight w:val="none"/>
        </w:rPr>
        <w:t>★</w:t>
      </w:r>
      <w:r>
        <w:rPr>
          <w:rFonts w:hint="eastAsia" w:ascii="宋体" w:hAnsi="宋体" w:cs="宋体"/>
          <w:sz w:val="24"/>
          <w:szCs w:val="24"/>
          <w:highlight w:val="none"/>
          <w:lang w:val="en-US" w:eastAsia="zh-CN"/>
        </w:rPr>
        <w:t>4、在计算保险赔款时，不考虑申请执行人是否可获得司法救助金。</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（七）相关服务方案要求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相关服务方案由供应商自行制定，应当完全满足本项目需求，包括但不限于以下要求：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1、对司法援助保险项目的法律性质、定位理解准确，对保险责任认知清晰，整体服务方案能够完全满足采购需求，保险方案详尽，围绕司法援助保险的保险责任开展的工作内容完善，服务到位。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2、</w:t>
      </w:r>
      <w:r>
        <w:rPr>
          <w:rFonts w:hint="eastAsia" w:ascii="宋体" w:hAnsi="宋体" w:cs="宋体"/>
          <w:sz w:val="24"/>
          <w:szCs w:val="24"/>
          <w:highlight w:val="none"/>
          <w:lang w:eastAsia="zh-CN"/>
        </w:rPr>
        <w:t>理赔服务方案内容翔实且逻辑清晰，理赔流程简便灵活，确保</w:t>
      </w:r>
      <w:r>
        <w:rPr>
          <w:rFonts w:hint="default" w:ascii="宋体" w:hAnsi="宋体" w:cs="宋体"/>
          <w:sz w:val="24"/>
          <w:szCs w:val="24"/>
          <w:highlight w:val="none"/>
        </w:rPr>
        <w:t>理赔</w:t>
      </w:r>
      <w:r>
        <w:rPr>
          <w:rFonts w:hint="eastAsia" w:ascii="宋体" w:hAnsi="宋体" w:cs="宋体"/>
          <w:sz w:val="24"/>
          <w:szCs w:val="24"/>
          <w:highlight w:val="none"/>
          <w:lang w:eastAsia="zh-CN"/>
        </w:rPr>
        <w:t>高效。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3、理赔服务中能够与采购人顺畅地沟通对接，并有效保障</w:t>
      </w:r>
      <w:r>
        <w:rPr>
          <w:rFonts w:hint="default" w:ascii="宋体" w:hAnsi="宋体" w:cs="宋体"/>
          <w:sz w:val="24"/>
          <w:szCs w:val="24"/>
          <w:highlight w:val="none"/>
          <w:lang w:val="en-US" w:eastAsia="zh-CN"/>
        </w:rPr>
        <w:t>被保险人</w:t>
      </w:r>
      <w:r>
        <w:rPr>
          <w:rFonts w:hint="eastAsia" w:ascii="宋体" w:hAnsi="宋体" w:cs="宋体"/>
          <w:sz w:val="24"/>
          <w:szCs w:val="24"/>
          <w:highlight w:val="none"/>
          <w:lang w:val="en-US" w:eastAsia="zh-CN"/>
        </w:rPr>
        <w:t>的合法权益。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4、针对可能发生的重大刑事附带民事涉人身损害赔偿“执行不能”案件理赔，有明确具体的方案，能够与采购人做好个案沟通，确保理赔及时、高效。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5、项目管理团队组建完全符合项目需要，日常管理科学、高效，理赔服务人员认真、负责且具有相关专业知识。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（八）售后服务约定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售后服务方案由供应商自行制定，应当完全满足本项目需求（包括但不限于加强项目管理、完善服务团队，与采购人高效沟通对接，对保险合同履行过程中出现的重要信息即时告知，根据采购人的要求及时汇总反馈理赔情况、提供理赔款支付证明等材料）。</w:t>
      </w:r>
    </w:p>
    <w:p>
      <w:pPr>
        <w:pStyle w:val="4"/>
        <w:spacing w:beforeLines="0" w:afterLines="0" w:line="360" w:lineRule="auto"/>
        <w:rPr>
          <w:rFonts w:ascii="宋体" w:hAnsi="宋体"/>
          <w:sz w:val="32"/>
          <w:szCs w:val="32"/>
          <w:highlight w:val="none"/>
        </w:rPr>
      </w:pPr>
      <w:r>
        <w:rPr>
          <w:rFonts w:hint="eastAsia" w:ascii="宋体" w:hAnsi="宋体"/>
          <w:sz w:val="32"/>
          <w:szCs w:val="32"/>
          <w:highlight w:val="none"/>
        </w:rPr>
        <w:br w:type="column"/>
      </w:r>
      <w:r>
        <w:rPr>
          <w:rFonts w:hint="eastAsia" w:ascii="宋体" w:hAnsi="宋体"/>
          <w:sz w:val="32"/>
          <w:szCs w:val="32"/>
          <w:highlight w:val="none"/>
        </w:rPr>
        <w:t>第</w:t>
      </w:r>
      <w:r>
        <w:rPr>
          <w:rFonts w:hint="eastAsia" w:ascii="宋体" w:hAnsi="宋体"/>
          <w:sz w:val="32"/>
          <w:szCs w:val="32"/>
          <w:highlight w:val="none"/>
          <w:lang w:val="en-US" w:eastAsia="zh-CN"/>
        </w:rPr>
        <w:t>三</w:t>
      </w:r>
      <w:r>
        <w:rPr>
          <w:rFonts w:hint="eastAsia" w:ascii="宋体" w:hAnsi="宋体"/>
          <w:sz w:val="32"/>
          <w:szCs w:val="32"/>
          <w:highlight w:val="none"/>
        </w:rPr>
        <w:t>部分  投标资料表</w:t>
      </w:r>
      <w:bookmarkEnd w:id="38"/>
      <w:bookmarkEnd w:id="43"/>
    </w:p>
    <w:p>
      <w:pPr>
        <w:spacing w:line="360" w:lineRule="auto"/>
        <w:ind w:firstLine="420" w:firstLineChars="200"/>
        <w:rPr>
          <w:rFonts w:ascii="宋体" w:hAnsi="宋体"/>
          <w:szCs w:val="21"/>
          <w:highlight w:val="none"/>
        </w:rPr>
      </w:pPr>
      <w:r>
        <w:rPr>
          <w:rFonts w:hint="eastAsia" w:ascii="宋体" w:hAnsi="宋体"/>
          <w:szCs w:val="21"/>
          <w:highlight w:val="none"/>
        </w:rPr>
        <w:t>本部分关于本次招标项目的具体要求是对 “投标人须知</w:t>
      </w:r>
      <w:r>
        <w:rPr>
          <w:rFonts w:ascii="宋体" w:hAnsi="宋体"/>
          <w:szCs w:val="21"/>
          <w:highlight w:val="none"/>
        </w:rPr>
        <w:t>”</w:t>
      </w:r>
      <w:r>
        <w:rPr>
          <w:rFonts w:hint="eastAsia" w:ascii="宋体" w:hAnsi="宋体"/>
          <w:szCs w:val="21"/>
          <w:highlight w:val="none"/>
        </w:rPr>
        <w:t>和</w:t>
      </w:r>
      <w:r>
        <w:rPr>
          <w:rFonts w:ascii="宋体" w:hAnsi="宋体"/>
          <w:szCs w:val="21"/>
          <w:highlight w:val="none"/>
        </w:rPr>
        <w:t>“</w:t>
      </w:r>
      <w:r>
        <w:rPr>
          <w:rFonts w:hint="eastAsia" w:ascii="宋体" w:hAnsi="宋体"/>
          <w:szCs w:val="21"/>
          <w:highlight w:val="none"/>
        </w:rPr>
        <w:t>合同格式</w:t>
      </w:r>
      <w:r>
        <w:rPr>
          <w:rFonts w:ascii="宋体" w:hAnsi="宋体"/>
          <w:szCs w:val="21"/>
          <w:highlight w:val="none"/>
        </w:rPr>
        <w:t>”</w:t>
      </w:r>
      <w:r>
        <w:rPr>
          <w:rFonts w:hint="eastAsia" w:ascii="宋体" w:hAnsi="宋体"/>
          <w:szCs w:val="21"/>
          <w:highlight w:val="none"/>
        </w:rPr>
        <w:t>的相关条款的补充和修改，如有矛盾，应以此为准。</w:t>
      </w:r>
    </w:p>
    <w:tbl>
      <w:tblPr>
        <w:tblStyle w:val="34"/>
        <w:tblW w:w="8613" w:type="dxa"/>
        <w:tblInd w:w="0" w:type="dxa"/>
        <w:tblBorders>
          <w:top w:val="single" w:color="000000" w:sz="12" w:space="0"/>
          <w:left w:val="single" w:color="000000" w:sz="12" w:space="0"/>
          <w:bottom w:val="single" w:color="auto" w:sz="4"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1101"/>
        <w:gridCol w:w="7512"/>
      </w:tblGrid>
      <w:tr>
        <w:tblPrEx>
          <w:tblBorders>
            <w:top w:val="single" w:color="000000" w:sz="12" w:space="0"/>
            <w:left w:val="single" w:color="000000" w:sz="12" w:space="0"/>
            <w:bottom w:val="single" w:color="auto" w:sz="4"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40" w:hRule="atLeast"/>
          <w:tblHeader/>
        </w:trPr>
        <w:tc>
          <w:tcPr>
            <w:tcW w:w="1101" w:type="dxa"/>
            <w:vAlign w:val="center"/>
          </w:tcPr>
          <w:p>
            <w:pPr>
              <w:spacing w:beforeLines="50" w:line="360" w:lineRule="auto"/>
              <w:jc w:val="center"/>
              <w:rPr>
                <w:rFonts w:ascii="宋体" w:hAnsi="宋体" w:cs="宋体"/>
                <w:szCs w:val="21"/>
                <w:highlight w:val="none"/>
              </w:rPr>
            </w:pPr>
            <w:r>
              <w:rPr>
                <w:rFonts w:hint="eastAsia" w:ascii="宋体" w:hAnsi="宋体" w:cs="宋体"/>
                <w:szCs w:val="21"/>
                <w:highlight w:val="none"/>
              </w:rPr>
              <w:t>条款号</w:t>
            </w:r>
          </w:p>
        </w:tc>
        <w:tc>
          <w:tcPr>
            <w:tcW w:w="7512" w:type="dxa"/>
            <w:vAlign w:val="center"/>
          </w:tcPr>
          <w:p>
            <w:pPr>
              <w:spacing w:beforeLines="50" w:line="360" w:lineRule="auto"/>
              <w:jc w:val="center"/>
              <w:rPr>
                <w:rFonts w:ascii="宋体" w:hAnsi="宋体" w:cs="宋体"/>
                <w:b/>
                <w:szCs w:val="21"/>
                <w:highlight w:val="none"/>
              </w:rPr>
            </w:pPr>
            <w:r>
              <w:rPr>
                <w:rFonts w:hint="eastAsia" w:ascii="宋体" w:hAnsi="宋体" w:cs="宋体"/>
                <w:b/>
                <w:szCs w:val="21"/>
                <w:highlight w:val="none"/>
              </w:rPr>
              <w:t>条款内容</w:t>
            </w:r>
          </w:p>
        </w:tc>
      </w:tr>
      <w:tr>
        <w:tblPrEx>
          <w:tblBorders>
            <w:top w:val="single" w:color="000000" w:sz="12" w:space="0"/>
            <w:left w:val="single" w:color="000000" w:sz="12" w:space="0"/>
            <w:bottom w:val="single" w:color="auto" w:sz="4"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00" w:hRule="atLeast"/>
        </w:trPr>
        <w:tc>
          <w:tcPr>
            <w:tcW w:w="1101" w:type="dxa"/>
            <w:vMerge w:val="restart"/>
            <w:vAlign w:val="center"/>
          </w:tcPr>
          <w:p>
            <w:pPr>
              <w:spacing w:beforeLines="50" w:line="360" w:lineRule="auto"/>
              <w:jc w:val="center"/>
              <w:rPr>
                <w:rFonts w:ascii="宋体" w:hAnsi="宋体" w:cs="宋体"/>
                <w:szCs w:val="21"/>
                <w:highlight w:val="none"/>
              </w:rPr>
            </w:pPr>
            <w:r>
              <w:rPr>
                <w:rFonts w:hint="eastAsia" w:ascii="宋体" w:hAnsi="宋体" w:cs="宋体"/>
                <w:szCs w:val="21"/>
                <w:highlight w:val="none"/>
              </w:rPr>
              <w:t>1.1</w:t>
            </w:r>
          </w:p>
        </w:tc>
        <w:tc>
          <w:tcPr>
            <w:tcW w:w="7512" w:type="dxa"/>
            <w:vAlign w:val="center"/>
          </w:tcPr>
          <w:p>
            <w:pPr>
              <w:adjustRightInd w:val="0"/>
              <w:snapToGrid w:val="0"/>
              <w:spacing w:beforeLines="20" w:line="360" w:lineRule="auto"/>
              <w:rPr>
                <w:rFonts w:ascii="宋体" w:hAnsi="宋体" w:cs="宋体"/>
                <w:szCs w:val="21"/>
                <w:highlight w:val="none"/>
              </w:rPr>
            </w:pPr>
            <w:r>
              <w:rPr>
                <w:rFonts w:hint="eastAsia" w:ascii="宋体" w:hAnsi="宋体" w:cs="宋体"/>
                <w:szCs w:val="21"/>
                <w:highlight w:val="none"/>
              </w:rPr>
              <w:t>名    称：宁波市中级人民法院</w:t>
            </w:r>
          </w:p>
          <w:p>
            <w:pPr>
              <w:adjustRightInd w:val="0"/>
              <w:snapToGrid w:val="0"/>
              <w:spacing w:beforeLines="20" w:line="360" w:lineRule="auto"/>
              <w:rPr>
                <w:rFonts w:ascii="宋体" w:hAnsi="宋体" w:cs="宋体"/>
                <w:szCs w:val="21"/>
                <w:highlight w:val="none"/>
              </w:rPr>
            </w:pPr>
            <w:r>
              <w:rPr>
                <w:rFonts w:hint="eastAsia" w:ascii="宋体" w:hAnsi="宋体" w:cs="宋体"/>
                <w:szCs w:val="21"/>
                <w:highlight w:val="none"/>
              </w:rPr>
              <w:t>地    址：宁波市鄞州区兴宁东路568号</w:t>
            </w:r>
          </w:p>
          <w:p>
            <w:pPr>
              <w:adjustRightInd w:val="0"/>
              <w:snapToGrid w:val="0"/>
              <w:spacing w:beforeLines="20" w:line="360" w:lineRule="auto"/>
              <w:rPr>
                <w:rFonts w:ascii="宋体" w:hAnsi="宋体" w:cs="宋体"/>
                <w:szCs w:val="21"/>
                <w:highlight w:val="none"/>
              </w:rPr>
            </w:pPr>
            <w:r>
              <w:rPr>
                <w:rFonts w:hint="eastAsia" w:ascii="宋体" w:hAnsi="宋体" w:cs="宋体"/>
                <w:szCs w:val="21"/>
                <w:highlight w:val="none"/>
              </w:rPr>
              <w:t>项目联系人（询问）：</w:t>
            </w:r>
            <w:r>
              <w:rPr>
                <w:rFonts w:hint="eastAsia" w:ascii="宋体" w:hAnsi="宋体" w:cs="宋体"/>
                <w:szCs w:val="21"/>
                <w:highlight w:val="none"/>
                <w:lang w:val="en-US" w:eastAsia="zh-CN"/>
              </w:rPr>
              <w:t>陈</w:t>
            </w:r>
            <w:r>
              <w:rPr>
                <w:rFonts w:hint="eastAsia" w:ascii="宋体" w:hAnsi="宋体" w:cs="宋体"/>
                <w:szCs w:val="21"/>
                <w:highlight w:val="none"/>
              </w:rPr>
              <w:t>老师</w:t>
            </w:r>
          </w:p>
          <w:p>
            <w:pPr>
              <w:spacing w:line="360" w:lineRule="auto"/>
              <w:rPr>
                <w:rFonts w:ascii="宋体" w:hAnsi="宋体" w:cs="宋体"/>
                <w:highlight w:val="none"/>
              </w:rPr>
            </w:pPr>
            <w:r>
              <w:rPr>
                <w:rFonts w:hint="eastAsia" w:ascii="宋体" w:hAnsi="宋体" w:cs="宋体"/>
                <w:szCs w:val="21"/>
                <w:highlight w:val="none"/>
              </w:rPr>
              <w:t>项目联系方式（询问）：</w:t>
            </w:r>
            <w:r>
              <w:rPr>
                <w:rFonts w:hint="eastAsia" w:ascii="宋体" w:hAnsi="宋体"/>
                <w:szCs w:val="21"/>
                <w:highlight w:val="none"/>
              </w:rPr>
              <w:t>0574-87009067</w:t>
            </w:r>
          </w:p>
        </w:tc>
      </w:tr>
      <w:tr>
        <w:tblPrEx>
          <w:tblBorders>
            <w:top w:val="single" w:color="000000" w:sz="12" w:space="0"/>
            <w:left w:val="single" w:color="000000" w:sz="12" w:space="0"/>
            <w:bottom w:val="single" w:color="auto" w:sz="4"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717" w:hRule="atLeast"/>
        </w:trPr>
        <w:tc>
          <w:tcPr>
            <w:tcW w:w="1101" w:type="dxa"/>
            <w:vMerge w:val="continue"/>
            <w:vAlign w:val="center"/>
          </w:tcPr>
          <w:p>
            <w:pPr>
              <w:spacing w:beforeLines="50" w:line="360" w:lineRule="auto"/>
              <w:jc w:val="center"/>
              <w:rPr>
                <w:rFonts w:ascii="宋体" w:hAnsi="宋体" w:cs="宋体"/>
                <w:szCs w:val="21"/>
                <w:highlight w:val="none"/>
              </w:rPr>
            </w:pPr>
          </w:p>
        </w:tc>
        <w:tc>
          <w:tcPr>
            <w:tcW w:w="7512" w:type="dxa"/>
            <w:vAlign w:val="center"/>
          </w:tcPr>
          <w:p>
            <w:pPr>
              <w:adjustRightInd w:val="0"/>
              <w:snapToGrid w:val="0"/>
              <w:spacing w:beforeLines="20" w:line="360" w:lineRule="auto"/>
              <w:rPr>
                <w:rFonts w:hint="eastAsia" w:ascii="宋体" w:hAnsi="宋体" w:eastAsia="宋体" w:cs="宋体"/>
                <w:szCs w:val="21"/>
                <w:highlight w:val="none"/>
                <w:lang w:eastAsia="zh-CN"/>
              </w:rPr>
            </w:pPr>
            <w:r>
              <w:rPr>
                <w:rFonts w:hint="eastAsia" w:ascii="宋体" w:hAnsi="宋体" w:cs="宋体"/>
                <w:szCs w:val="21"/>
                <w:highlight w:val="none"/>
              </w:rPr>
              <w:t>采购代理：</w:t>
            </w:r>
            <w:r>
              <w:rPr>
                <w:rFonts w:hint="eastAsia" w:ascii="宋体" w:hAnsi="宋体" w:cs="宋体"/>
                <w:szCs w:val="21"/>
                <w:highlight w:val="none"/>
                <w:lang w:eastAsia="zh-CN"/>
              </w:rPr>
              <w:t>宁波国际投资咨询有限公司</w:t>
            </w:r>
          </w:p>
          <w:p>
            <w:pPr>
              <w:adjustRightInd w:val="0"/>
              <w:snapToGrid w:val="0"/>
              <w:spacing w:beforeLines="20" w:line="360" w:lineRule="auto"/>
              <w:rPr>
                <w:rFonts w:ascii="宋体" w:hAnsi="宋体" w:cs="宋体"/>
                <w:szCs w:val="21"/>
                <w:highlight w:val="none"/>
              </w:rPr>
            </w:pPr>
            <w:r>
              <w:rPr>
                <w:rFonts w:hint="eastAsia" w:ascii="宋体" w:hAnsi="宋体" w:cs="宋体"/>
                <w:szCs w:val="21"/>
                <w:highlight w:val="none"/>
              </w:rPr>
              <w:t>地    址：</w:t>
            </w:r>
            <w:r>
              <w:rPr>
                <w:rFonts w:hint="eastAsia" w:ascii="宋体" w:hAnsi="宋体" w:cs="Arial"/>
                <w:szCs w:val="21"/>
                <w:highlight w:val="none"/>
              </w:rPr>
              <w:t>宁波市世纪大道北段555号名汇东方大厦1920室</w:t>
            </w:r>
          </w:p>
          <w:p>
            <w:pPr>
              <w:adjustRightInd w:val="0"/>
              <w:snapToGrid w:val="0"/>
              <w:spacing w:beforeLines="20" w:line="360" w:lineRule="auto"/>
              <w:rPr>
                <w:rFonts w:ascii="宋体" w:hAnsi="宋体" w:cs="宋体"/>
                <w:szCs w:val="21"/>
                <w:highlight w:val="none"/>
              </w:rPr>
            </w:pPr>
            <w:r>
              <w:rPr>
                <w:rFonts w:hint="eastAsia" w:ascii="宋体" w:hAnsi="宋体" w:cs="宋体"/>
                <w:szCs w:val="21"/>
                <w:highlight w:val="none"/>
              </w:rPr>
              <w:t>邮    编：315040</w:t>
            </w:r>
          </w:p>
          <w:p>
            <w:pPr>
              <w:adjustRightInd w:val="0"/>
              <w:snapToGrid w:val="0"/>
              <w:spacing w:beforeLines="20" w:line="360" w:lineRule="auto"/>
              <w:rPr>
                <w:rFonts w:ascii="宋体" w:hAnsi="宋体" w:cs="宋体"/>
                <w:szCs w:val="21"/>
                <w:highlight w:val="none"/>
              </w:rPr>
            </w:pPr>
            <w:r>
              <w:rPr>
                <w:rFonts w:hint="eastAsia" w:ascii="宋体" w:hAnsi="宋体" w:cs="宋体"/>
                <w:szCs w:val="21"/>
                <w:highlight w:val="none"/>
              </w:rPr>
              <w:t>电    话：0574-87298907</w:t>
            </w:r>
          </w:p>
          <w:p>
            <w:pPr>
              <w:adjustRightInd w:val="0"/>
              <w:snapToGrid w:val="0"/>
              <w:spacing w:beforeLines="20" w:line="360" w:lineRule="auto"/>
              <w:rPr>
                <w:rFonts w:ascii="宋体" w:hAnsi="宋体" w:cs="宋体"/>
                <w:szCs w:val="21"/>
                <w:highlight w:val="none"/>
              </w:rPr>
            </w:pPr>
            <w:r>
              <w:rPr>
                <w:rFonts w:hint="eastAsia" w:ascii="宋体" w:hAnsi="宋体" w:cs="宋体"/>
                <w:szCs w:val="21"/>
                <w:highlight w:val="none"/>
              </w:rPr>
              <w:t>电子邮件：563313963@qq.com</w:t>
            </w:r>
          </w:p>
          <w:p>
            <w:pPr>
              <w:tabs>
                <w:tab w:val="left" w:pos="0"/>
              </w:tabs>
              <w:spacing w:line="360" w:lineRule="auto"/>
              <w:rPr>
                <w:rFonts w:hint="default" w:ascii="宋体" w:hAnsi="宋体" w:cs="宋体"/>
                <w:szCs w:val="21"/>
                <w:highlight w:val="none"/>
                <w:lang w:val="en-US"/>
              </w:rPr>
            </w:pPr>
            <w:r>
              <w:rPr>
                <w:rFonts w:hint="eastAsia" w:ascii="宋体" w:hAnsi="宋体" w:cs="宋体"/>
                <w:szCs w:val="21"/>
                <w:highlight w:val="none"/>
              </w:rPr>
              <w:t>联 系 人：</w:t>
            </w:r>
            <w:r>
              <w:rPr>
                <w:rFonts w:hint="eastAsia" w:ascii="宋体" w:hAnsi="宋体" w:cs="宋体"/>
                <w:bCs/>
                <w:highlight w:val="none"/>
                <w:lang w:val="en-US" w:eastAsia="zh-CN"/>
              </w:rPr>
              <w:t>史梦铅、马森、忻秉明、沈鑫侃</w:t>
            </w:r>
          </w:p>
        </w:tc>
      </w:tr>
      <w:tr>
        <w:tblPrEx>
          <w:tblBorders>
            <w:top w:val="single" w:color="000000" w:sz="12" w:space="0"/>
            <w:left w:val="single" w:color="000000" w:sz="12" w:space="0"/>
            <w:bottom w:val="single" w:color="auto" w:sz="4"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96" w:hRule="atLeast"/>
        </w:trPr>
        <w:tc>
          <w:tcPr>
            <w:tcW w:w="1101" w:type="dxa"/>
            <w:vMerge w:val="continue"/>
            <w:vAlign w:val="center"/>
          </w:tcPr>
          <w:p>
            <w:pPr>
              <w:spacing w:beforeLines="50" w:line="360" w:lineRule="auto"/>
              <w:jc w:val="center"/>
              <w:rPr>
                <w:rFonts w:ascii="宋体" w:hAnsi="宋体" w:cs="宋体"/>
                <w:szCs w:val="21"/>
                <w:highlight w:val="none"/>
              </w:rPr>
            </w:pPr>
          </w:p>
        </w:tc>
        <w:tc>
          <w:tcPr>
            <w:tcW w:w="7512" w:type="dxa"/>
            <w:vAlign w:val="center"/>
          </w:tcPr>
          <w:p>
            <w:pPr>
              <w:spacing w:line="360" w:lineRule="auto"/>
              <w:rPr>
                <w:rFonts w:hint="eastAsia" w:ascii="宋体" w:hAnsi="宋体" w:eastAsia="宋体"/>
                <w:highlight w:val="none"/>
                <w:lang w:eastAsia="zh-CN"/>
              </w:rPr>
            </w:pPr>
            <w:r>
              <w:rPr>
                <w:rFonts w:hint="eastAsia" w:ascii="宋体" w:hAnsi="宋体"/>
                <w:highlight w:val="none"/>
              </w:rPr>
              <w:t>项目名称：</w:t>
            </w:r>
            <w:r>
              <w:rPr>
                <w:rFonts w:hint="eastAsia" w:ascii="宋体" w:hAnsi="宋体"/>
                <w:highlight w:val="none"/>
                <w:lang w:eastAsia="zh-CN"/>
              </w:rPr>
              <w:t>2024年司法援助保险项目</w:t>
            </w:r>
          </w:p>
        </w:tc>
      </w:tr>
      <w:tr>
        <w:tblPrEx>
          <w:tblBorders>
            <w:top w:val="single" w:color="000000" w:sz="12" w:space="0"/>
            <w:left w:val="single" w:color="000000" w:sz="12" w:space="0"/>
            <w:bottom w:val="single" w:color="auto" w:sz="4"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00" w:hRule="atLeast"/>
        </w:trPr>
        <w:tc>
          <w:tcPr>
            <w:tcW w:w="1101" w:type="dxa"/>
            <w:vAlign w:val="center"/>
          </w:tcPr>
          <w:p>
            <w:pPr>
              <w:spacing w:beforeLines="50" w:line="360" w:lineRule="auto"/>
              <w:jc w:val="center"/>
              <w:rPr>
                <w:rFonts w:ascii="宋体" w:hAnsi="宋体" w:cs="宋体"/>
                <w:szCs w:val="21"/>
                <w:highlight w:val="none"/>
              </w:rPr>
            </w:pPr>
            <w:r>
              <w:rPr>
                <w:rFonts w:hint="eastAsia" w:ascii="宋体" w:hAnsi="宋体" w:cs="宋体"/>
                <w:szCs w:val="21"/>
                <w:highlight w:val="none"/>
              </w:rPr>
              <w:t>3.1</w:t>
            </w:r>
          </w:p>
        </w:tc>
        <w:tc>
          <w:tcPr>
            <w:tcW w:w="7512" w:type="dxa"/>
            <w:vAlign w:val="center"/>
          </w:tcPr>
          <w:p>
            <w:pPr>
              <w:spacing w:line="360" w:lineRule="auto"/>
              <w:rPr>
                <w:rFonts w:ascii="宋体" w:hAnsi="宋体"/>
                <w:highlight w:val="none"/>
              </w:rPr>
            </w:pPr>
            <w:r>
              <w:rPr>
                <w:rFonts w:hint="eastAsia" w:ascii="宋体" w:hAnsi="宋体"/>
                <w:highlight w:val="none"/>
              </w:rPr>
              <w:t>招标范围：详见招标文件第</w:t>
            </w:r>
            <w:r>
              <w:rPr>
                <w:rFonts w:hint="eastAsia" w:ascii="宋体" w:hAnsi="宋体"/>
                <w:highlight w:val="none"/>
                <w:lang w:val="en-US" w:eastAsia="zh-CN"/>
              </w:rPr>
              <w:t>二</w:t>
            </w:r>
            <w:r>
              <w:rPr>
                <w:rFonts w:hint="eastAsia" w:ascii="宋体" w:hAnsi="宋体"/>
                <w:highlight w:val="none"/>
              </w:rPr>
              <w:t>部分“招标项目需求”。</w:t>
            </w:r>
          </w:p>
        </w:tc>
      </w:tr>
      <w:tr>
        <w:tblPrEx>
          <w:tblBorders>
            <w:top w:val="single" w:color="000000" w:sz="12" w:space="0"/>
            <w:left w:val="single" w:color="000000" w:sz="12" w:space="0"/>
            <w:bottom w:val="single" w:color="auto" w:sz="4"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00" w:hRule="atLeast"/>
        </w:trPr>
        <w:tc>
          <w:tcPr>
            <w:tcW w:w="1101" w:type="dxa"/>
            <w:vAlign w:val="center"/>
          </w:tcPr>
          <w:p>
            <w:pPr>
              <w:spacing w:beforeLines="50" w:line="360" w:lineRule="auto"/>
              <w:jc w:val="center"/>
              <w:rPr>
                <w:rFonts w:ascii="宋体" w:hAnsi="宋体" w:cs="宋体"/>
                <w:szCs w:val="21"/>
                <w:highlight w:val="none"/>
              </w:rPr>
            </w:pPr>
            <w:r>
              <w:rPr>
                <w:rFonts w:hint="eastAsia" w:ascii="宋体" w:hAnsi="宋体" w:cs="宋体"/>
                <w:szCs w:val="21"/>
                <w:highlight w:val="none"/>
              </w:rPr>
              <w:t>3.2</w:t>
            </w:r>
          </w:p>
        </w:tc>
        <w:tc>
          <w:tcPr>
            <w:tcW w:w="7512" w:type="dxa"/>
            <w:vAlign w:val="center"/>
          </w:tcPr>
          <w:p>
            <w:pPr>
              <w:spacing w:line="360" w:lineRule="auto"/>
              <w:jc w:val="left"/>
              <w:rPr>
                <w:rFonts w:ascii="宋体" w:hAnsi="宋体"/>
                <w:szCs w:val="21"/>
                <w:highlight w:val="none"/>
              </w:rPr>
            </w:pPr>
            <w:r>
              <w:rPr>
                <w:rFonts w:hint="eastAsia" w:ascii="MS Gothic" w:hAnsi="MS Gothic"/>
                <w:szCs w:val="21"/>
                <w:highlight w:val="none"/>
              </w:rPr>
              <w:t>☐</w:t>
            </w:r>
            <w:r>
              <w:rPr>
                <w:rFonts w:hint="eastAsia" w:ascii="宋体" w:hAnsi="宋体"/>
                <w:szCs w:val="21"/>
                <w:highlight w:val="none"/>
              </w:rPr>
              <w:t xml:space="preserve"> A同意将非主体、非关键性的等工作分包。</w:t>
            </w:r>
          </w:p>
          <w:p>
            <w:pPr>
              <w:spacing w:line="360" w:lineRule="auto"/>
              <w:rPr>
                <w:rFonts w:ascii="宋体" w:hAnsi="宋体"/>
                <w:highlight w:val="none"/>
              </w:rPr>
            </w:pPr>
            <w:r>
              <w:rPr>
                <w:rFonts w:hint="eastAsia" w:ascii="宋体" w:hAnsi="宋体"/>
                <w:szCs w:val="21"/>
                <w:highlight w:val="none"/>
              </w:rPr>
              <w:sym w:font="Wingdings 2" w:char="0052"/>
            </w:r>
            <w:r>
              <w:rPr>
                <w:rFonts w:hint="eastAsia" w:ascii="宋体" w:hAnsi="宋体"/>
                <w:szCs w:val="21"/>
                <w:highlight w:val="none"/>
              </w:rPr>
              <w:t xml:space="preserve"> B不同意分包。</w:t>
            </w:r>
          </w:p>
        </w:tc>
      </w:tr>
      <w:tr>
        <w:tblPrEx>
          <w:tblBorders>
            <w:top w:val="single" w:color="000000" w:sz="12" w:space="0"/>
            <w:left w:val="single" w:color="000000" w:sz="12" w:space="0"/>
            <w:bottom w:val="single" w:color="auto" w:sz="4"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00" w:hRule="atLeast"/>
        </w:trPr>
        <w:tc>
          <w:tcPr>
            <w:tcW w:w="1101" w:type="dxa"/>
            <w:vAlign w:val="center"/>
          </w:tcPr>
          <w:p>
            <w:pPr>
              <w:spacing w:beforeLines="50" w:line="360" w:lineRule="auto"/>
              <w:jc w:val="center"/>
              <w:rPr>
                <w:rFonts w:ascii="宋体" w:hAnsi="宋体" w:cs="宋体"/>
                <w:szCs w:val="21"/>
                <w:highlight w:val="none"/>
              </w:rPr>
            </w:pPr>
            <w:r>
              <w:rPr>
                <w:rFonts w:ascii="宋体" w:hAnsi="宋体"/>
                <w:b/>
                <w:highlight w:val="none"/>
              </w:rPr>
              <w:t>★</w:t>
            </w:r>
            <w:r>
              <w:rPr>
                <w:rFonts w:hint="eastAsia" w:ascii="宋体" w:hAnsi="宋体" w:cs="宋体"/>
                <w:szCs w:val="21"/>
                <w:highlight w:val="none"/>
              </w:rPr>
              <w:t>4.1</w:t>
            </w:r>
          </w:p>
        </w:tc>
        <w:tc>
          <w:tcPr>
            <w:tcW w:w="7512" w:type="dxa"/>
            <w:vAlign w:val="center"/>
          </w:tcPr>
          <w:p>
            <w:pPr>
              <w:spacing w:line="360" w:lineRule="auto"/>
              <w:rPr>
                <w:rFonts w:ascii="宋体" w:hAnsi="宋体"/>
                <w:highlight w:val="none"/>
              </w:rPr>
            </w:pPr>
            <w:r>
              <w:rPr>
                <w:rFonts w:hint="eastAsia" w:ascii="宋体" w:hAnsi="宋体"/>
                <w:highlight w:val="none"/>
              </w:rPr>
              <w:t>合格投标人的资格要求（本项目采用资格后审）：</w:t>
            </w:r>
          </w:p>
          <w:p>
            <w:pPr>
              <w:spacing w:line="360" w:lineRule="auto"/>
              <w:rPr>
                <w:rFonts w:ascii="宋体" w:hAnsi="宋体"/>
                <w:highlight w:val="none"/>
              </w:rPr>
            </w:pPr>
            <w:r>
              <w:rPr>
                <w:rFonts w:hint="eastAsia" w:ascii="宋体" w:hAnsi="宋体"/>
                <w:highlight w:val="none"/>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highlight w:val="none"/>
              </w:rPr>
            </w:pPr>
            <w:r>
              <w:rPr>
                <w:rFonts w:hint="eastAsia" w:ascii="宋体" w:hAnsi="宋体"/>
                <w:highlight w:val="none"/>
              </w:rPr>
              <w:t>2.落实政府采购政策需满足的资格要求：无；</w:t>
            </w:r>
          </w:p>
          <w:p>
            <w:pPr>
              <w:spacing w:line="360" w:lineRule="auto"/>
              <w:rPr>
                <w:highlight w:val="none"/>
              </w:rPr>
            </w:pPr>
            <w:r>
              <w:rPr>
                <w:rFonts w:hint="eastAsia" w:ascii="宋体" w:hAnsi="宋体"/>
                <w:highlight w:val="none"/>
              </w:rPr>
              <w:t>3.本项目的特定资格要求：投标人须</w:t>
            </w:r>
            <w:r>
              <w:rPr>
                <w:rFonts w:hint="eastAsia"/>
                <w:szCs w:val="21"/>
                <w:highlight w:val="none"/>
              </w:rPr>
              <w:t>具有经中国保险监督管理委员会批准，具有《中华人民共和国经营保险业务许可证》的保险公司或其分支机构；若联合体投标的，联合体各方均须具有经中国保险监督管理委员会批准，具有《中华人民共和国经营保险业务许可证》的保险公司或其分支机构</w:t>
            </w:r>
            <w:r>
              <w:rPr>
                <w:rFonts w:hint="eastAsia" w:ascii="宋体" w:hAnsi="宋体"/>
                <w:highlight w:val="none"/>
              </w:rPr>
              <w:t>。</w:t>
            </w:r>
          </w:p>
        </w:tc>
      </w:tr>
      <w:tr>
        <w:tblPrEx>
          <w:tblBorders>
            <w:top w:val="single" w:color="000000" w:sz="12" w:space="0"/>
            <w:left w:val="single" w:color="000000" w:sz="12" w:space="0"/>
            <w:bottom w:val="single" w:color="auto" w:sz="4"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00" w:hRule="atLeast"/>
        </w:trPr>
        <w:tc>
          <w:tcPr>
            <w:tcW w:w="1101" w:type="dxa"/>
            <w:vAlign w:val="center"/>
          </w:tcPr>
          <w:p>
            <w:pPr>
              <w:spacing w:beforeLines="50" w:line="360" w:lineRule="auto"/>
              <w:jc w:val="center"/>
              <w:rPr>
                <w:rFonts w:ascii="宋体" w:hAnsi="宋体" w:cs="宋体"/>
                <w:szCs w:val="21"/>
                <w:highlight w:val="none"/>
              </w:rPr>
            </w:pPr>
            <w:r>
              <w:rPr>
                <w:rFonts w:hint="eastAsia" w:ascii="宋体" w:hAnsi="宋体" w:cs="宋体"/>
                <w:szCs w:val="21"/>
                <w:highlight w:val="none"/>
              </w:rPr>
              <w:t>8.1</w:t>
            </w:r>
          </w:p>
        </w:tc>
        <w:tc>
          <w:tcPr>
            <w:tcW w:w="7512" w:type="dxa"/>
            <w:vAlign w:val="center"/>
          </w:tcPr>
          <w:p>
            <w:pPr>
              <w:spacing w:line="360" w:lineRule="auto"/>
              <w:jc w:val="left"/>
              <w:rPr>
                <w:rFonts w:ascii="宋体" w:hAnsi="宋体"/>
                <w:szCs w:val="21"/>
                <w:highlight w:val="none"/>
              </w:rPr>
            </w:pPr>
            <w:r>
              <w:rPr>
                <w:rFonts w:hint="eastAsia" w:ascii="宋体" w:hAnsi="宋体"/>
                <w:szCs w:val="21"/>
                <w:highlight w:val="none"/>
              </w:rPr>
              <w:t>现场考察：</w:t>
            </w:r>
            <w:r>
              <w:rPr>
                <w:rFonts w:hint="eastAsia" w:ascii="宋体" w:hAnsi="宋体"/>
                <w:szCs w:val="21"/>
                <w:highlight w:val="none"/>
              </w:rPr>
              <w:sym w:font="Wingdings 2" w:char="0052"/>
            </w:r>
            <w:r>
              <w:rPr>
                <w:rFonts w:hint="eastAsia" w:ascii="宋体" w:hAnsi="宋体"/>
                <w:szCs w:val="21"/>
                <w:highlight w:val="none"/>
              </w:rPr>
              <w:t xml:space="preserve"> 不组织    ☐组织，时间：    地点：</w:t>
            </w:r>
          </w:p>
          <w:p>
            <w:pPr>
              <w:tabs>
                <w:tab w:val="left" w:pos="0"/>
              </w:tabs>
              <w:spacing w:beforeLines="50"/>
              <w:rPr>
                <w:rFonts w:ascii="宋体" w:hAnsi="宋体" w:cs="宋体"/>
                <w:b/>
                <w:szCs w:val="21"/>
                <w:highlight w:val="none"/>
              </w:rPr>
            </w:pPr>
            <w:r>
              <w:rPr>
                <w:rFonts w:hint="eastAsia" w:ascii="宋体" w:hAnsi="宋体"/>
                <w:szCs w:val="21"/>
                <w:highlight w:val="none"/>
              </w:rPr>
              <w:t>答疑会：</w:t>
            </w:r>
            <w:r>
              <w:rPr>
                <w:rFonts w:hint="eastAsia" w:ascii="宋体" w:hAnsi="宋体"/>
                <w:szCs w:val="21"/>
                <w:highlight w:val="none"/>
              </w:rPr>
              <w:sym w:font="Wingdings 2" w:char="0052"/>
            </w:r>
            <w:r>
              <w:rPr>
                <w:rFonts w:hint="eastAsia" w:ascii="宋体" w:hAnsi="宋体"/>
                <w:szCs w:val="21"/>
                <w:highlight w:val="none"/>
              </w:rPr>
              <w:t xml:space="preserve"> 不组织    ☐组织，时间：    地点：</w:t>
            </w:r>
          </w:p>
        </w:tc>
      </w:tr>
      <w:tr>
        <w:tblPrEx>
          <w:tblBorders>
            <w:top w:val="single" w:color="000000" w:sz="12" w:space="0"/>
            <w:left w:val="single" w:color="000000" w:sz="12" w:space="0"/>
            <w:bottom w:val="single" w:color="auto" w:sz="4"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00" w:hRule="atLeast"/>
        </w:trPr>
        <w:tc>
          <w:tcPr>
            <w:tcW w:w="1101" w:type="dxa"/>
            <w:vAlign w:val="center"/>
          </w:tcPr>
          <w:p>
            <w:pPr>
              <w:spacing w:beforeLines="50" w:line="360" w:lineRule="auto"/>
              <w:jc w:val="center"/>
              <w:rPr>
                <w:rFonts w:hint="eastAsia" w:ascii="宋体" w:hAnsi="宋体" w:eastAsia="宋体" w:cs="宋体"/>
                <w:szCs w:val="21"/>
                <w:highlight w:val="none"/>
                <w:lang w:eastAsia="zh-CN"/>
              </w:rPr>
            </w:pPr>
            <w:r>
              <w:rPr>
                <w:rFonts w:ascii="宋体" w:hAnsi="宋体"/>
                <w:b/>
                <w:highlight w:val="none"/>
              </w:rPr>
              <w:t>★</w:t>
            </w:r>
            <w:r>
              <w:rPr>
                <w:rFonts w:hint="eastAsia" w:ascii="宋体" w:hAnsi="宋体" w:cs="宋体"/>
                <w:szCs w:val="21"/>
                <w:highlight w:val="none"/>
              </w:rPr>
              <w:t>9.</w:t>
            </w:r>
            <w:r>
              <w:rPr>
                <w:rFonts w:hint="eastAsia" w:ascii="宋体" w:hAnsi="宋体" w:cs="宋体"/>
                <w:szCs w:val="21"/>
                <w:highlight w:val="none"/>
                <w:lang w:val="en-US" w:eastAsia="zh-CN"/>
              </w:rPr>
              <w:t>1</w:t>
            </w:r>
          </w:p>
        </w:tc>
        <w:tc>
          <w:tcPr>
            <w:tcW w:w="7512" w:type="dxa"/>
            <w:vAlign w:val="center"/>
          </w:tcPr>
          <w:p>
            <w:pPr>
              <w:widowControl/>
              <w:spacing w:line="360" w:lineRule="auto"/>
              <w:rPr>
                <w:rFonts w:cs="宋体" w:asciiTheme="minorEastAsia" w:hAnsiTheme="minorEastAsia" w:eastAsiaTheme="minorEastAsia"/>
                <w:kern w:val="0"/>
                <w:sz w:val="24"/>
                <w:highlight w:val="none"/>
              </w:rPr>
            </w:pPr>
            <w:r>
              <w:rPr>
                <w:rFonts w:hint="eastAsia" w:cs="宋体" w:asciiTheme="minorEastAsia" w:hAnsiTheme="minorEastAsia" w:eastAsiaTheme="minorEastAsia"/>
                <w:b/>
                <w:szCs w:val="21"/>
                <w:highlight w:val="none"/>
              </w:rPr>
              <w:t>投标文件组成：</w:t>
            </w:r>
            <w:r>
              <w:rPr>
                <w:rFonts w:hint="eastAsia" w:cs="宋体" w:asciiTheme="minorEastAsia" w:hAnsiTheme="minorEastAsia" w:eastAsiaTheme="minorEastAsia"/>
                <w:b/>
                <w:bCs/>
                <w:kern w:val="0"/>
                <w:szCs w:val="21"/>
                <w:highlight w:val="none"/>
              </w:rPr>
              <w:t>本项目实行网上投标，投标人应准备以下投标文件：</w:t>
            </w:r>
          </w:p>
          <w:p>
            <w:pPr>
              <w:spacing w:beforeLines="50" w:line="360" w:lineRule="auto"/>
              <w:jc w:val="left"/>
              <w:rPr>
                <w:rFonts w:ascii="宋体" w:hAnsi="宋体" w:cs="宋体"/>
                <w:szCs w:val="21"/>
                <w:highlight w:val="none"/>
              </w:rPr>
            </w:pPr>
            <w:r>
              <w:rPr>
                <w:rFonts w:hint="eastAsia" w:ascii="宋体" w:hAnsi="宋体" w:cs="宋体"/>
                <w:szCs w:val="21"/>
                <w:highlight w:val="none"/>
              </w:rPr>
              <w:t>9.</w:t>
            </w:r>
            <w:r>
              <w:rPr>
                <w:rFonts w:hint="eastAsia" w:ascii="宋体" w:hAnsi="宋体" w:cs="宋体"/>
                <w:szCs w:val="21"/>
                <w:highlight w:val="none"/>
                <w:lang w:val="en-US" w:eastAsia="zh-CN"/>
              </w:rPr>
              <w:t>1</w:t>
            </w:r>
            <w:r>
              <w:rPr>
                <w:rFonts w:hint="eastAsia" w:ascii="宋体" w:hAnsi="宋体" w:cs="宋体"/>
                <w:szCs w:val="21"/>
                <w:highlight w:val="none"/>
              </w:rPr>
              <w:t xml:space="preserve">.1.资格文件 </w:t>
            </w:r>
          </w:p>
          <w:p>
            <w:pPr>
              <w:spacing w:beforeLines="50" w:line="360" w:lineRule="auto"/>
              <w:jc w:val="left"/>
              <w:rPr>
                <w:rFonts w:hint="eastAsia" w:ascii="宋体" w:hAnsi="宋体" w:cs="宋体"/>
                <w:szCs w:val="21"/>
                <w:highlight w:val="none"/>
              </w:rPr>
            </w:pPr>
            <w:r>
              <w:rPr>
                <w:rFonts w:hint="eastAsia" w:ascii="宋体" w:hAnsi="宋体" w:cs="宋体"/>
                <w:szCs w:val="21"/>
                <w:highlight w:val="none"/>
              </w:rPr>
              <w:t>（1）符合参加政府采购活动应当具备的一般条件的承诺函；</w:t>
            </w:r>
          </w:p>
          <w:p>
            <w:pPr>
              <w:spacing w:beforeLines="50" w:line="360" w:lineRule="auto"/>
              <w:jc w:val="left"/>
              <w:rPr>
                <w:rFonts w:hint="eastAsia" w:ascii="宋体" w:hAnsi="宋体" w:cs="宋体"/>
                <w:szCs w:val="21"/>
                <w:highlight w:val="none"/>
              </w:rPr>
            </w:pPr>
            <w:r>
              <w:rPr>
                <w:rFonts w:hint="eastAsia" w:ascii="宋体" w:hAnsi="宋体" w:cs="宋体"/>
                <w:szCs w:val="21"/>
                <w:highlight w:val="none"/>
              </w:rPr>
              <w:t>（2）有效的企业法人营业执照（或事业法人登记证）、其他组织（个体工商户的营业执照或者民办非企业单位登记证书复印件。投标人如果有名称变更的，应提供由行政主管部门出具的变更证明文件；</w:t>
            </w:r>
          </w:p>
          <w:p>
            <w:pPr>
              <w:spacing w:beforeLines="50" w:line="360" w:lineRule="auto"/>
              <w:jc w:val="left"/>
              <w:rPr>
                <w:rFonts w:hint="eastAsia" w:ascii="宋体" w:hAnsi="宋体" w:cs="宋体"/>
                <w:szCs w:val="21"/>
                <w:highlight w:val="none"/>
              </w:rPr>
            </w:pPr>
            <w:r>
              <w:rPr>
                <w:rFonts w:hint="eastAsia" w:ascii="宋体" w:hAnsi="宋体" w:cs="宋体"/>
                <w:szCs w:val="21"/>
                <w:highlight w:val="none"/>
              </w:rPr>
              <w:t>（3）落实政府采购政策需满足的资格要求；</w:t>
            </w:r>
          </w:p>
          <w:p>
            <w:pPr>
              <w:spacing w:beforeLines="50" w:line="360" w:lineRule="auto"/>
              <w:jc w:val="left"/>
              <w:rPr>
                <w:rFonts w:hint="eastAsia" w:ascii="宋体" w:hAns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4</w:t>
            </w:r>
            <w:r>
              <w:rPr>
                <w:rFonts w:hint="eastAsia" w:ascii="宋体" w:hAnsi="宋体" w:cs="宋体"/>
                <w:szCs w:val="21"/>
                <w:highlight w:val="none"/>
              </w:rPr>
              <w:t>）联合协议（如有）；</w:t>
            </w:r>
          </w:p>
          <w:p>
            <w:pPr>
              <w:spacing w:beforeLines="50" w:line="360" w:lineRule="auto"/>
              <w:jc w:val="left"/>
              <w:rPr>
                <w:rFonts w:hint="eastAsia" w:ascii="宋体" w:hAns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5</w:t>
            </w:r>
            <w:r>
              <w:rPr>
                <w:rFonts w:hint="eastAsia" w:ascii="宋体" w:hAnsi="宋体" w:cs="宋体"/>
                <w:szCs w:val="21"/>
                <w:highlight w:val="none"/>
              </w:rPr>
              <w:t>）投标人的特定条件的证明文件（如有）。</w:t>
            </w:r>
          </w:p>
          <w:p>
            <w:pPr>
              <w:spacing w:beforeLines="50" w:line="360" w:lineRule="auto"/>
              <w:jc w:val="left"/>
              <w:rPr>
                <w:rFonts w:ascii="宋体" w:hAnsi="宋体" w:cs="宋体"/>
                <w:szCs w:val="21"/>
                <w:highlight w:val="none"/>
              </w:rPr>
            </w:pPr>
            <w:r>
              <w:rPr>
                <w:rFonts w:hint="eastAsia" w:ascii="宋体" w:hAnsi="宋体" w:cs="宋体"/>
                <w:szCs w:val="21"/>
                <w:highlight w:val="none"/>
              </w:rPr>
              <w:t>9.</w:t>
            </w:r>
            <w:r>
              <w:rPr>
                <w:rFonts w:hint="eastAsia" w:ascii="宋体" w:hAnsi="宋体" w:cs="宋体"/>
                <w:szCs w:val="21"/>
                <w:highlight w:val="none"/>
                <w:lang w:val="en-US" w:eastAsia="zh-CN"/>
              </w:rPr>
              <w:t>1</w:t>
            </w:r>
            <w:r>
              <w:rPr>
                <w:rFonts w:hint="eastAsia" w:ascii="宋体" w:hAnsi="宋体" w:cs="宋体"/>
                <w:szCs w:val="21"/>
                <w:highlight w:val="none"/>
              </w:rPr>
              <w:t xml:space="preserve">.2.商务技术文件 </w:t>
            </w:r>
          </w:p>
          <w:p>
            <w:pPr>
              <w:spacing w:beforeLines="50" w:line="360" w:lineRule="auto"/>
              <w:jc w:val="left"/>
              <w:rPr>
                <w:rFonts w:ascii="宋体" w:hAnsi="宋体" w:cs="宋体"/>
                <w:szCs w:val="21"/>
                <w:highlight w:val="none"/>
              </w:rPr>
            </w:pPr>
            <w:r>
              <w:rPr>
                <w:rFonts w:hint="eastAsia" w:ascii="宋体" w:hAnsi="宋体" w:cs="宋体"/>
                <w:szCs w:val="21"/>
                <w:highlight w:val="none"/>
              </w:rPr>
              <w:t xml:space="preserve">（1）单位负责人的身份证明或单位负责人授权书（投标人的代表若不为单位负责人的，必须提交单位负责人授权书），并提供单位负责人和授权代表的身份证正反两面复印件； </w:t>
            </w:r>
          </w:p>
          <w:p>
            <w:pPr>
              <w:spacing w:beforeLines="50" w:line="360" w:lineRule="auto"/>
              <w:jc w:val="left"/>
              <w:rPr>
                <w:rFonts w:hint="eastAsia" w:ascii="宋体" w:hAnsi="宋体" w:cs="宋体"/>
                <w:szCs w:val="21"/>
                <w:highlight w:val="none"/>
              </w:rPr>
            </w:pPr>
            <w:r>
              <w:rPr>
                <w:rFonts w:hint="eastAsia" w:ascii="宋体" w:hAnsi="宋体" w:cs="宋体"/>
                <w:szCs w:val="21"/>
                <w:highlight w:val="none"/>
              </w:rPr>
              <w:t>（2）投标人基本情况表；</w:t>
            </w:r>
          </w:p>
          <w:p>
            <w:pPr>
              <w:spacing w:beforeLines="50" w:line="360" w:lineRule="auto"/>
              <w:jc w:val="left"/>
              <w:rPr>
                <w:rFonts w:ascii="宋体" w:hAns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3</w:t>
            </w:r>
            <w:r>
              <w:rPr>
                <w:rFonts w:hint="eastAsia" w:ascii="宋体" w:hAnsi="宋体" w:cs="宋体"/>
                <w:szCs w:val="21"/>
                <w:highlight w:val="none"/>
              </w:rPr>
              <w:t>）技术条款偏离表；</w:t>
            </w:r>
          </w:p>
          <w:p>
            <w:pPr>
              <w:spacing w:beforeLines="50" w:line="360" w:lineRule="auto"/>
              <w:jc w:val="left"/>
              <w:rPr>
                <w:rFonts w:ascii="宋体" w:hAns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4</w:t>
            </w:r>
            <w:r>
              <w:rPr>
                <w:rFonts w:hint="eastAsia" w:ascii="宋体" w:hAnsi="宋体" w:cs="宋体"/>
                <w:szCs w:val="21"/>
                <w:highlight w:val="none"/>
              </w:rPr>
              <w:t>）商务条款偏离表；</w:t>
            </w:r>
          </w:p>
          <w:p>
            <w:pPr>
              <w:spacing w:beforeLines="50" w:line="360" w:lineRule="auto"/>
              <w:jc w:val="left"/>
              <w:rPr>
                <w:rFonts w:ascii="宋体" w:hAns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5</w:t>
            </w:r>
            <w:r>
              <w:rPr>
                <w:rFonts w:hint="eastAsia" w:ascii="宋体" w:hAnsi="宋体" w:cs="宋体"/>
                <w:szCs w:val="21"/>
                <w:highlight w:val="none"/>
              </w:rPr>
              <w:t>）第五部分“评标办法”中“评分标准”要求提供的资料（如有需提供）。</w:t>
            </w:r>
          </w:p>
          <w:p>
            <w:pPr>
              <w:spacing w:beforeLines="50" w:line="360" w:lineRule="auto"/>
              <w:jc w:val="left"/>
              <w:rPr>
                <w:rFonts w:ascii="宋体" w:hAns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6</w:t>
            </w:r>
            <w:r>
              <w:rPr>
                <w:rFonts w:hint="eastAsia" w:ascii="宋体" w:hAnsi="宋体" w:cs="宋体"/>
                <w:szCs w:val="21"/>
                <w:highlight w:val="none"/>
              </w:rPr>
              <w:t>）评分标准或招标文件需要提供的其他技术商务材料。</w:t>
            </w:r>
          </w:p>
          <w:p>
            <w:pPr>
              <w:spacing w:beforeLines="50" w:line="360" w:lineRule="auto"/>
              <w:jc w:val="left"/>
              <w:rPr>
                <w:rFonts w:ascii="宋体" w:hAnsi="宋体" w:cs="宋体"/>
                <w:szCs w:val="21"/>
                <w:highlight w:val="none"/>
              </w:rPr>
            </w:pPr>
            <w:r>
              <w:rPr>
                <w:rFonts w:hint="eastAsia" w:ascii="宋体" w:hAnsi="宋体" w:cs="宋体"/>
                <w:szCs w:val="21"/>
                <w:highlight w:val="none"/>
              </w:rPr>
              <w:t>9.</w:t>
            </w:r>
            <w:r>
              <w:rPr>
                <w:rFonts w:hint="eastAsia" w:ascii="宋体" w:hAnsi="宋体" w:cs="宋体"/>
                <w:szCs w:val="21"/>
                <w:highlight w:val="none"/>
                <w:lang w:val="en-US" w:eastAsia="zh-CN"/>
              </w:rPr>
              <w:t>1</w:t>
            </w:r>
            <w:r>
              <w:rPr>
                <w:rFonts w:hint="eastAsia" w:ascii="宋体" w:hAnsi="宋体" w:cs="宋体"/>
                <w:szCs w:val="21"/>
                <w:highlight w:val="none"/>
              </w:rPr>
              <w:t xml:space="preserve">.3.报价文件 </w:t>
            </w:r>
          </w:p>
          <w:p>
            <w:pPr>
              <w:spacing w:beforeLines="50" w:line="360" w:lineRule="auto"/>
              <w:jc w:val="left"/>
              <w:rPr>
                <w:rFonts w:ascii="宋体" w:hAnsi="宋体" w:cs="宋体"/>
                <w:szCs w:val="21"/>
                <w:highlight w:val="none"/>
              </w:rPr>
            </w:pPr>
            <w:r>
              <w:rPr>
                <w:rFonts w:hint="eastAsia" w:ascii="宋体" w:hAnsi="宋体" w:cs="宋体"/>
                <w:szCs w:val="21"/>
                <w:highlight w:val="none"/>
              </w:rPr>
              <w:t>（1）投标函；</w:t>
            </w:r>
          </w:p>
          <w:p>
            <w:pPr>
              <w:spacing w:beforeLines="50" w:line="360" w:lineRule="auto"/>
              <w:jc w:val="left"/>
              <w:rPr>
                <w:rFonts w:ascii="宋体" w:hAnsi="宋体" w:cs="宋体"/>
                <w:szCs w:val="21"/>
                <w:highlight w:val="none"/>
              </w:rPr>
            </w:pPr>
            <w:r>
              <w:rPr>
                <w:rFonts w:hint="eastAsia" w:ascii="宋体" w:hAnsi="宋体" w:cs="宋体"/>
                <w:szCs w:val="21"/>
                <w:highlight w:val="none"/>
              </w:rPr>
              <w:t>（2）开标一览表；</w:t>
            </w:r>
          </w:p>
          <w:p>
            <w:pPr>
              <w:spacing w:beforeLines="50" w:line="360" w:lineRule="auto"/>
              <w:jc w:val="left"/>
              <w:rPr>
                <w:rFonts w:ascii="宋体" w:hAnsi="宋体" w:cs="宋体"/>
                <w:szCs w:val="21"/>
                <w:highlight w:val="none"/>
              </w:rPr>
            </w:pPr>
            <w:r>
              <w:rPr>
                <w:rFonts w:hint="eastAsia" w:ascii="宋体" w:hAnsi="宋体" w:cs="宋体"/>
                <w:szCs w:val="21"/>
                <w:highlight w:val="none"/>
              </w:rPr>
              <w:t>（3）享受政府采购价格优惠政策需提供的证明资料【中小企业声明函（附件1）、残疾人福利性单位声明函（附件2）（如有需提供）】。</w:t>
            </w:r>
          </w:p>
          <w:p>
            <w:pPr>
              <w:spacing w:beforeLines="50" w:line="360" w:lineRule="auto"/>
              <w:jc w:val="left"/>
              <w:rPr>
                <w:rFonts w:ascii="宋体" w:hAnsi="宋体" w:cs="宋体"/>
                <w:szCs w:val="21"/>
                <w:highlight w:val="none"/>
              </w:rPr>
            </w:pPr>
            <w:r>
              <w:rPr>
                <w:rFonts w:hint="eastAsia" w:ascii="宋体" w:hAnsi="宋体" w:cs="宋体"/>
                <w:szCs w:val="21"/>
                <w:highlight w:val="none"/>
              </w:rPr>
              <w:t>9.</w:t>
            </w:r>
            <w:r>
              <w:rPr>
                <w:rFonts w:hint="eastAsia" w:ascii="宋体" w:hAnsi="宋体" w:cs="宋体"/>
                <w:szCs w:val="21"/>
                <w:highlight w:val="none"/>
                <w:lang w:val="en-US" w:eastAsia="zh-CN"/>
              </w:rPr>
              <w:t>1</w:t>
            </w:r>
            <w:r>
              <w:rPr>
                <w:rFonts w:hint="eastAsia" w:ascii="宋体" w:hAnsi="宋体" w:cs="宋体"/>
                <w:szCs w:val="21"/>
                <w:highlight w:val="none"/>
              </w:rPr>
              <w:t xml:space="preserve">.4.注意事项 </w:t>
            </w:r>
          </w:p>
          <w:p>
            <w:pPr>
              <w:spacing w:beforeLines="50" w:line="360" w:lineRule="auto"/>
              <w:jc w:val="left"/>
              <w:rPr>
                <w:rFonts w:ascii="宋体" w:hAnsi="宋体" w:cs="宋体"/>
                <w:szCs w:val="21"/>
                <w:highlight w:val="none"/>
              </w:rPr>
            </w:pPr>
            <w:r>
              <w:rPr>
                <w:rFonts w:hint="eastAsia" w:ascii="宋体" w:hAnsi="宋体" w:cs="宋体"/>
                <w:szCs w:val="21"/>
                <w:highlight w:val="none"/>
              </w:rPr>
              <w:t xml:space="preserve">★（1）电子投标文件中所须加盖公章部分均采用 CA 签章。 </w:t>
            </w:r>
          </w:p>
          <w:p>
            <w:pPr>
              <w:spacing w:beforeLines="50" w:line="360" w:lineRule="auto"/>
              <w:jc w:val="left"/>
              <w:rPr>
                <w:rFonts w:ascii="宋体" w:hAnsi="宋体" w:cs="宋体"/>
                <w:szCs w:val="21"/>
                <w:highlight w:val="none"/>
              </w:rPr>
            </w:pPr>
            <w:r>
              <w:rPr>
                <w:rFonts w:hint="eastAsia" w:ascii="宋体" w:hAnsi="宋体" w:cs="宋体"/>
                <w:szCs w:val="21"/>
                <w:highlight w:val="none"/>
                <w:lang w:eastAsia="zh-CN"/>
              </w:rPr>
              <w:t>（</w:t>
            </w:r>
            <w:r>
              <w:rPr>
                <w:rFonts w:hint="eastAsia" w:ascii="宋体" w:hAnsi="宋体" w:cs="宋体"/>
                <w:szCs w:val="21"/>
                <w:highlight w:val="none"/>
                <w:lang w:val="en-US" w:eastAsia="zh-CN"/>
              </w:rPr>
              <w:t>2</w:t>
            </w:r>
            <w:r>
              <w:rPr>
                <w:rFonts w:hint="eastAsia" w:ascii="宋体" w:hAnsi="宋体" w:cs="宋体"/>
                <w:szCs w:val="21"/>
                <w:highlight w:val="none"/>
                <w:lang w:eastAsia="zh-CN"/>
              </w:rPr>
              <w:t>）</w:t>
            </w:r>
            <w:r>
              <w:rPr>
                <w:rFonts w:hint="eastAsia" w:ascii="宋体" w:hAnsi="宋体" w:cs="宋体"/>
                <w:szCs w:val="21"/>
                <w:highlight w:val="none"/>
              </w:rPr>
              <w:t>上述组成投标文件的各项资料中本招标文件的有规定格式的，应统一按本招标文件的规定格式填写。未有规定格式的资料，投标人应自行编制，但至少要包含以上要求的内容。</w:t>
            </w:r>
          </w:p>
          <w:p>
            <w:pPr>
              <w:spacing w:beforeLines="50" w:line="360" w:lineRule="auto"/>
              <w:jc w:val="left"/>
              <w:rPr>
                <w:rFonts w:ascii="宋体" w:hAnsi="宋体" w:cs="宋体"/>
                <w:b/>
                <w:szCs w:val="21"/>
                <w:highlight w:val="none"/>
              </w:rPr>
            </w:pPr>
            <w:r>
              <w:rPr>
                <w:rFonts w:hint="eastAsia" w:ascii="宋体" w:hAnsi="宋体" w:cs="宋体"/>
                <w:szCs w:val="21"/>
                <w:highlight w:val="none"/>
              </w:rPr>
              <w:t>（3）投标文件中由委托代理人签字的，投标文件应附法定代表人签署的授权委托书。联合体投标的，投标文件除联合体协议及招标文件要求须联合体双方盖章外，其余招标文件要求投标人盖章处只需联合体的牵头人盖章。</w:t>
            </w:r>
          </w:p>
        </w:tc>
      </w:tr>
      <w:tr>
        <w:tblPrEx>
          <w:tblBorders>
            <w:top w:val="single" w:color="000000" w:sz="12" w:space="0"/>
            <w:left w:val="single" w:color="000000" w:sz="12" w:space="0"/>
            <w:bottom w:val="single" w:color="auto" w:sz="4"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00" w:hRule="atLeast"/>
        </w:trPr>
        <w:tc>
          <w:tcPr>
            <w:tcW w:w="1101" w:type="dxa"/>
            <w:vAlign w:val="center"/>
          </w:tcPr>
          <w:p>
            <w:pPr>
              <w:spacing w:beforeLines="50" w:line="360" w:lineRule="auto"/>
              <w:jc w:val="center"/>
              <w:rPr>
                <w:rFonts w:ascii="宋体" w:hAnsi="宋体" w:cs="宋体"/>
                <w:szCs w:val="21"/>
                <w:highlight w:val="none"/>
              </w:rPr>
            </w:pPr>
            <w:r>
              <w:rPr>
                <w:rFonts w:ascii="宋体" w:hAnsi="宋体"/>
                <w:b/>
                <w:highlight w:val="none"/>
              </w:rPr>
              <w:t>★</w:t>
            </w:r>
            <w:r>
              <w:rPr>
                <w:rFonts w:hint="eastAsia" w:ascii="宋体" w:hAnsi="宋体" w:cs="宋体"/>
                <w:szCs w:val="21"/>
                <w:highlight w:val="none"/>
              </w:rPr>
              <w:t>10.1</w:t>
            </w:r>
          </w:p>
        </w:tc>
        <w:tc>
          <w:tcPr>
            <w:tcW w:w="7512" w:type="dxa"/>
            <w:vAlign w:val="center"/>
          </w:tcPr>
          <w:p>
            <w:pPr>
              <w:spacing w:line="360" w:lineRule="auto"/>
              <w:rPr>
                <w:rFonts w:ascii="宋体" w:hAnsi="宋体" w:cs="宋体"/>
                <w:szCs w:val="21"/>
                <w:highlight w:val="none"/>
              </w:rPr>
            </w:pPr>
            <w:r>
              <w:rPr>
                <w:rFonts w:hint="eastAsia" w:ascii="宋体" w:hAnsi="宋体" w:cs="宋体"/>
                <w:szCs w:val="21"/>
                <w:highlight w:val="none"/>
              </w:rPr>
              <w:t>本项目为</w:t>
            </w:r>
            <w:r>
              <w:rPr>
                <w:rFonts w:hint="eastAsia" w:ascii="宋体" w:hAnsi="宋体" w:cs="宋体"/>
                <w:b/>
                <w:szCs w:val="21"/>
                <w:highlight w:val="none"/>
              </w:rPr>
              <w:t>固定总价方式</w:t>
            </w:r>
          </w:p>
          <w:p>
            <w:pPr>
              <w:spacing w:line="360" w:lineRule="auto"/>
              <w:rPr>
                <w:rFonts w:ascii="宋体" w:hAnsi="宋体" w:cs="宋体"/>
                <w:szCs w:val="21"/>
                <w:highlight w:val="none"/>
              </w:rPr>
            </w:pPr>
            <w:r>
              <w:rPr>
                <w:rFonts w:hint="eastAsia" w:ascii="宋体" w:hAnsi="宋体" w:cs="宋体"/>
                <w:szCs w:val="21"/>
                <w:highlight w:val="none"/>
              </w:rPr>
              <w:t>投标报价应是招标文件确定的招标范围内的全部服务内容的价格体现，包含但不限于项目实施全过程的费用、人工费，以及管理费、利润、中标服务费、税金等与此有关的一切费用。</w:t>
            </w:r>
          </w:p>
          <w:p>
            <w:pPr>
              <w:spacing w:line="360" w:lineRule="auto"/>
              <w:rPr>
                <w:rFonts w:ascii="宋体" w:hAnsi="宋体" w:cs="宋体"/>
                <w:szCs w:val="21"/>
                <w:highlight w:val="none"/>
              </w:rPr>
            </w:pPr>
            <w:r>
              <w:rPr>
                <w:rFonts w:hint="eastAsia" w:ascii="宋体" w:hAnsi="宋体" w:cs="宋体"/>
                <w:szCs w:val="21"/>
                <w:highlight w:val="none"/>
              </w:rPr>
              <w:t>投标人应承担其参加本招标活动自身所发生的费用。</w:t>
            </w:r>
          </w:p>
          <w:p>
            <w:pPr>
              <w:spacing w:line="360" w:lineRule="auto"/>
              <w:rPr>
                <w:rFonts w:ascii="宋体" w:hAnsi="宋体" w:cs="宋体"/>
                <w:szCs w:val="21"/>
                <w:highlight w:val="none"/>
              </w:rPr>
            </w:pPr>
            <w:r>
              <w:rPr>
                <w:rFonts w:hint="eastAsia" w:ascii="宋体" w:hAnsi="宋体" w:cs="宋体"/>
                <w:szCs w:val="21"/>
                <w:highlight w:val="none"/>
              </w:rPr>
              <w:t>项目实施过程中可能发生的风险和费用均由中标人承担。</w:t>
            </w:r>
          </w:p>
        </w:tc>
      </w:tr>
      <w:tr>
        <w:tblPrEx>
          <w:tblBorders>
            <w:top w:val="single" w:color="000000" w:sz="12" w:space="0"/>
            <w:left w:val="single" w:color="000000" w:sz="12" w:space="0"/>
            <w:bottom w:val="single" w:color="auto" w:sz="4"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00" w:hRule="atLeast"/>
        </w:trPr>
        <w:tc>
          <w:tcPr>
            <w:tcW w:w="1101" w:type="dxa"/>
            <w:vAlign w:val="center"/>
          </w:tcPr>
          <w:p>
            <w:pPr>
              <w:spacing w:beforeLines="50" w:line="360" w:lineRule="auto"/>
              <w:jc w:val="center"/>
              <w:rPr>
                <w:rFonts w:ascii="宋体" w:hAnsi="宋体" w:cs="宋体"/>
                <w:szCs w:val="21"/>
                <w:highlight w:val="none"/>
              </w:rPr>
            </w:pPr>
            <w:r>
              <w:rPr>
                <w:rFonts w:ascii="宋体" w:hAnsi="宋体"/>
                <w:b/>
                <w:highlight w:val="none"/>
              </w:rPr>
              <w:t>★</w:t>
            </w:r>
            <w:r>
              <w:rPr>
                <w:rFonts w:hint="eastAsia" w:ascii="宋体" w:hAnsi="宋体" w:cs="宋体"/>
                <w:szCs w:val="21"/>
                <w:highlight w:val="none"/>
              </w:rPr>
              <w:t>10.5</w:t>
            </w:r>
          </w:p>
        </w:tc>
        <w:tc>
          <w:tcPr>
            <w:tcW w:w="7512" w:type="dxa"/>
            <w:vAlign w:val="center"/>
          </w:tcPr>
          <w:p>
            <w:pPr>
              <w:spacing w:beforeLines="50" w:line="360" w:lineRule="auto"/>
              <w:rPr>
                <w:rFonts w:ascii="宋体" w:hAnsi="宋体" w:cs="宋体"/>
                <w:b/>
                <w:szCs w:val="21"/>
                <w:highlight w:val="none"/>
              </w:rPr>
            </w:pPr>
            <w:r>
              <w:rPr>
                <w:rFonts w:hint="eastAsia" w:ascii="宋体" w:hAnsi="宋体" w:cs="宋体"/>
                <w:b/>
                <w:szCs w:val="21"/>
                <w:highlight w:val="none"/>
              </w:rPr>
              <w:t>本项目采用最高投标限价，超过最高限价的投标将被判定为无效投标。</w:t>
            </w:r>
          </w:p>
          <w:p>
            <w:pPr>
              <w:spacing w:beforeLines="50" w:line="360" w:lineRule="auto"/>
              <w:rPr>
                <w:rFonts w:ascii="宋体" w:hAnsi="宋体" w:cs="宋体"/>
                <w:b/>
                <w:szCs w:val="21"/>
                <w:highlight w:val="none"/>
              </w:rPr>
            </w:pPr>
            <w:r>
              <w:rPr>
                <w:rFonts w:hint="eastAsia" w:ascii="宋体" w:hAnsi="宋体" w:cs="宋体"/>
                <w:b/>
                <w:szCs w:val="21"/>
                <w:highlight w:val="none"/>
              </w:rPr>
              <w:t>本项目最高限价为</w:t>
            </w:r>
            <w:r>
              <w:rPr>
                <w:rFonts w:hint="eastAsia" w:ascii="宋体" w:hAnsi="宋体" w:cs="宋体"/>
                <w:b/>
                <w:szCs w:val="21"/>
                <w:highlight w:val="none"/>
                <w:u w:val="single"/>
                <w:lang w:eastAsia="zh-CN"/>
              </w:rPr>
              <w:t>2332400</w:t>
            </w:r>
            <w:r>
              <w:rPr>
                <w:rFonts w:hint="eastAsia" w:ascii="宋体" w:hAnsi="宋体" w:cs="宋体"/>
                <w:b/>
                <w:szCs w:val="21"/>
                <w:highlight w:val="none"/>
              </w:rPr>
              <w:t>元。</w:t>
            </w:r>
          </w:p>
        </w:tc>
      </w:tr>
      <w:tr>
        <w:tblPrEx>
          <w:tblBorders>
            <w:top w:val="single" w:color="000000" w:sz="12" w:space="0"/>
            <w:left w:val="single" w:color="000000" w:sz="12" w:space="0"/>
            <w:bottom w:val="single" w:color="auto" w:sz="4"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00" w:hRule="atLeast"/>
        </w:trPr>
        <w:tc>
          <w:tcPr>
            <w:tcW w:w="1101" w:type="dxa"/>
            <w:vAlign w:val="center"/>
          </w:tcPr>
          <w:p>
            <w:pPr>
              <w:spacing w:beforeLines="50" w:line="360" w:lineRule="auto"/>
              <w:jc w:val="center"/>
              <w:rPr>
                <w:rFonts w:ascii="宋体" w:hAnsi="宋体" w:cs="宋体"/>
                <w:szCs w:val="21"/>
                <w:highlight w:val="none"/>
              </w:rPr>
            </w:pPr>
            <w:r>
              <w:rPr>
                <w:rFonts w:hint="eastAsia" w:ascii="宋体" w:hAnsi="宋体" w:cs="宋体"/>
                <w:szCs w:val="21"/>
                <w:highlight w:val="none"/>
              </w:rPr>
              <w:t>11.3</w:t>
            </w:r>
          </w:p>
        </w:tc>
        <w:tc>
          <w:tcPr>
            <w:tcW w:w="7512" w:type="dxa"/>
            <w:vAlign w:val="center"/>
          </w:tcPr>
          <w:p>
            <w:pPr>
              <w:widowControl/>
              <w:spacing w:line="360" w:lineRule="auto"/>
              <w:rPr>
                <w:rFonts w:cs="宋体" w:asciiTheme="minorEastAsia" w:hAnsiTheme="minorEastAsia" w:eastAsiaTheme="minorEastAsia"/>
                <w:b/>
                <w:szCs w:val="21"/>
                <w:highlight w:val="none"/>
              </w:rPr>
            </w:pPr>
            <w:r>
              <w:rPr>
                <w:rFonts w:hint="eastAsia" w:cs="宋体" w:asciiTheme="minorEastAsia" w:hAnsiTheme="minorEastAsia" w:eastAsiaTheme="minorEastAsia"/>
                <w:b/>
                <w:szCs w:val="21"/>
                <w:highlight w:val="none"/>
              </w:rPr>
              <w:t>投标文件数量要求：</w:t>
            </w:r>
          </w:p>
          <w:p>
            <w:pPr>
              <w:widowControl/>
              <w:spacing w:line="360" w:lineRule="auto"/>
              <w:rPr>
                <w:rFonts w:cs="宋体" w:asciiTheme="minorEastAsia" w:hAnsiTheme="minorEastAsia" w:eastAsiaTheme="minorEastAsia"/>
                <w:kern w:val="0"/>
                <w:sz w:val="24"/>
                <w:highlight w:val="none"/>
              </w:rPr>
            </w:pPr>
            <w:r>
              <w:rPr>
                <w:rFonts w:ascii="宋体" w:hAnsi="宋体"/>
                <w:b/>
                <w:highlight w:val="none"/>
              </w:rPr>
              <w:t>★</w:t>
            </w:r>
            <w:r>
              <w:rPr>
                <w:rFonts w:hint="eastAsia" w:cs="宋体" w:asciiTheme="minorEastAsia" w:hAnsiTheme="minorEastAsia" w:eastAsiaTheme="minorEastAsia"/>
                <w:kern w:val="0"/>
                <w:szCs w:val="21"/>
                <w:highlight w:val="none"/>
              </w:rPr>
              <w:t>1、上传到政府采购云平台的电子投标文件（含资格文件 1 份、商务技术文件 1 份、报价文件 1 份）。</w:t>
            </w:r>
          </w:p>
          <w:p>
            <w:pPr>
              <w:widowControl/>
              <w:spacing w:line="360" w:lineRule="auto"/>
              <w:rPr>
                <w:rFonts w:cs="宋体" w:asciiTheme="minorEastAsia" w:hAnsiTheme="minorEastAsia" w:eastAsiaTheme="minorEastAsia"/>
                <w:kern w:val="0"/>
                <w:szCs w:val="21"/>
                <w:highlight w:val="none"/>
              </w:rPr>
            </w:pPr>
            <w:r>
              <w:rPr>
                <w:rFonts w:hint="eastAsia" w:cs="宋体" w:asciiTheme="minorEastAsia" w:hAnsiTheme="minorEastAsia" w:eastAsiaTheme="minorEastAsia"/>
                <w:kern w:val="0"/>
                <w:szCs w:val="21"/>
                <w:highlight w:val="none"/>
              </w:rPr>
              <w:t>2、以 U 盘形式存储的电子备份投标文件（含资格文件 1 份、商务技术文件 1 份、报价文件1 份）。</w:t>
            </w:r>
          </w:p>
          <w:p>
            <w:pPr>
              <w:widowControl/>
              <w:spacing w:line="360" w:lineRule="auto"/>
              <w:rPr>
                <w:rFonts w:cs="宋体" w:asciiTheme="minorEastAsia" w:hAnsiTheme="minorEastAsia" w:eastAsiaTheme="minorEastAsia"/>
                <w:kern w:val="0"/>
                <w:szCs w:val="21"/>
                <w:highlight w:val="none"/>
              </w:rPr>
            </w:pPr>
            <w:r>
              <w:rPr>
                <w:rFonts w:hint="eastAsia" w:cs="宋体" w:asciiTheme="minorEastAsia" w:hAnsiTheme="minorEastAsia" w:eastAsiaTheme="minorEastAsia"/>
                <w:b/>
                <w:bCs/>
                <w:kern w:val="0"/>
                <w:szCs w:val="21"/>
                <w:highlight w:val="none"/>
              </w:rPr>
              <w:t>注：（1）电子备份投标文件不作实质性要求，是否提交由投标人自行决定。</w:t>
            </w:r>
          </w:p>
          <w:p>
            <w:pPr>
              <w:widowControl/>
              <w:spacing w:line="360" w:lineRule="auto"/>
              <w:ind w:firstLine="420" w:firstLineChars="200"/>
              <w:rPr>
                <w:rFonts w:cs="宋体" w:asciiTheme="minorEastAsia" w:hAnsiTheme="minorEastAsia" w:eastAsiaTheme="minorEastAsia"/>
                <w:kern w:val="0"/>
                <w:szCs w:val="21"/>
                <w:highlight w:val="none"/>
              </w:rPr>
            </w:pPr>
            <w:r>
              <w:rPr>
                <w:rFonts w:hint="eastAsia" w:cs="宋体" w:asciiTheme="minorEastAsia" w:hAnsiTheme="minorEastAsia" w:eastAsiaTheme="minorEastAsia"/>
                <w:b/>
                <w:bCs/>
                <w:kern w:val="0"/>
                <w:szCs w:val="21"/>
                <w:highlight w:val="none"/>
              </w:rPr>
              <w:t>（2）中标人在收到中标通知书后3天内向采购代理机构提供通过电子加密投标文件全套打印装订成册的纸质投标文件2份（加盖公章）。</w:t>
            </w:r>
          </w:p>
        </w:tc>
      </w:tr>
      <w:tr>
        <w:tblPrEx>
          <w:tblBorders>
            <w:top w:val="single" w:color="000000" w:sz="12" w:space="0"/>
            <w:left w:val="single" w:color="000000" w:sz="12" w:space="0"/>
            <w:bottom w:val="single" w:color="auto" w:sz="4"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00" w:hRule="atLeast"/>
        </w:trPr>
        <w:tc>
          <w:tcPr>
            <w:tcW w:w="1101" w:type="dxa"/>
            <w:vAlign w:val="center"/>
          </w:tcPr>
          <w:p>
            <w:pPr>
              <w:spacing w:beforeLines="50" w:line="360" w:lineRule="auto"/>
              <w:jc w:val="center"/>
              <w:rPr>
                <w:rFonts w:ascii="宋体" w:hAnsi="宋体" w:cs="宋体"/>
                <w:szCs w:val="21"/>
                <w:highlight w:val="none"/>
              </w:rPr>
            </w:pPr>
            <w:r>
              <w:rPr>
                <w:rFonts w:hint="eastAsia" w:ascii="宋体" w:hAnsi="宋体" w:cs="宋体"/>
                <w:szCs w:val="21"/>
                <w:highlight w:val="none"/>
              </w:rPr>
              <w:t>12.1</w:t>
            </w:r>
          </w:p>
        </w:tc>
        <w:tc>
          <w:tcPr>
            <w:tcW w:w="7512" w:type="dxa"/>
            <w:vAlign w:val="center"/>
          </w:tcPr>
          <w:p>
            <w:pPr>
              <w:spacing w:beforeLines="50" w:line="360" w:lineRule="auto"/>
              <w:rPr>
                <w:rFonts w:ascii="宋体" w:hAnsi="宋体" w:cs="宋体"/>
                <w:szCs w:val="21"/>
                <w:highlight w:val="none"/>
              </w:rPr>
            </w:pPr>
            <w:r>
              <w:rPr>
                <w:rFonts w:hint="eastAsia" w:ascii="宋体" w:hAnsi="宋体" w:cs="宋体"/>
                <w:b/>
                <w:szCs w:val="21"/>
                <w:highlight w:val="none"/>
              </w:rPr>
              <w:t>投标有效期</w:t>
            </w:r>
            <w:r>
              <w:rPr>
                <w:rFonts w:hint="eastAsia" w:ascii="宋体" w:hAnsi="宋体" w:cs="宋体"/>
                <w:szCs w:val="21"/>
                <w:highlight w:val="none"/>
              </w:rPr>
              <w:t>： 90 天</w:t>
            </w:r>
          </w:p>
        </w:tc>
      </w:tr>
      <w:tr>
        <w:tblPrEx>
          <w:tblBorders>
            <w:top w:val="single" w:color="000000" w:sz="12" w:space="0"/>
            <w:left w:val="single" w:color="000000" w:sz="12" w:space="0"/>
            <w:bottom w:val="single" w:color="auto" w:sz="4"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00" w:hRule="atLeast"/>
        </w:trPr>
        <w:tc>
          <w:tcPr>
            <w:tcW w:w="1101" w:type="dxa"/>
            <w:vAlign w:val="center"/>
          </w:tcPr>
          <w:p>
            <w:pPr>
              <w:spacing w:beforeLines="50" w:line="360" w:lineRule="auto"/>
              <w:jc w:val="center"/>
              <w:rPr>
                <w:rFonts w:ascii="宋体" w:hAnsi="宋体" w:cs="宋体"/>
                <w:szCs w:val="21"/>
                <w:highlight w:val="none"/>
              </w:rPr>
            </w:pPr>
            <w:r>
              <w:rPr>
                <w:rFonts w:hint="eastAsia" w:ascii="宋体" w:hAnsi="宋体" w:cs="宋体"/>
                <w:szCs w:val="21"/>
                <w:highlight w:val="none"/>
              </w:rPr>
              <w:t>13.1</w:t>
            </w:r>
          </w:p>
        </w:tc>
        <w:tc>
          <w:tcPr>
            <w:tcW w:w="7512" w:type="dxa"/>
            <w:vAlign w:val="center"/>
          </w:tcPr>
          <w:p>
            <w:pPr>
              <w:spacing w:line="360" w:lineRule="auto"/>
              <w:rPr>
                <w:rFonts w:ascii="宋体" w:hAnsi="宋体"/>
                <w:b/>
                <w:highlight w:val="none"/>
              </w:rPr>
            </w:pPr>
            <w:r>
              <w:rPr>
                <w:rFonts w:hint="eastAsia" w:ascii="宋体" w:hAnsi="宋体"/>
                <w:b/>
                <w:highlight w:val="none"/>
              </w:rPr>
              <w:t>投标保证金金额：无</w:t>
            </w:r>
          </w:p>
        </w:tc>
      </w:tr>
      <w:tr>
        <w:tblPrEx>
          <w:tblBorders>
            <w:top w:val="single" w:color="000000" w:sz="12" w:space="0"/>
            <w:left w:val="single" w:color="000000" w:sz="12" w:space="0"/>
            <w:bottom w:val="single" w:color="auto" w:sz="4"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00" w:hRule="atLeast"/>
        </w:trPr>
        <w:tc>
          <w:tcPr>
            <w:tcW w:w="1101" w:type="dxa"/>
            <w:vAlign w:val="center"/>
          </w:tcPr>
          <w:p>
            <w:pPr>
              <w:spacing w:beforeLines="50" w:line="360" w:lineRule="auto"/>
              <w:jc w:val="center"/>
              <w:rPr>
                <w:rFonts w:ascii="宋体" w:hAnsi="宋体" w:cs="宋体"/>
                <w:szCs w:val="21"/>
                <w:highlight w:val="none"/>
              </w:rPr>
            </w:pPr>
            <w:r>
              <w:rPr>
                <w:rFonts w:hint="eastAsia" w:ascii="宋体" w:hAnsi="宋体" w:cs="宋体"/>
                <w:szCs w:val="21"/>
                <w:highlight w:val="none"/>
              </w:rPr>
              <w:t>15.1</w:t>
            </w:r>
          </w:p>
        </w:tc>
        <w:tc>
          <w:tcPr>
            <w:tcW w:w="7512" w:type="dxa"/>
            <w:vAlign w:val="center"/>
          </w:tcPr>
          <w:p>
            <w:pPr>
              <w:spacing w:beforeLines="50" w:line="360" w:lineRule="auto"/>
              <w:rPr>
                <w:rFonts w:ascii="宋体" w:hAnsi="宋体" w:cs="宋体"/>
                <w:szCs w:val="21"/>
                <w:highlight w:val="none"/>
              </w:rPr>
            </w:pPr>
            <w:r>
              <w:rPr>
                <w:rFonts w:hint="eastAsia" w:ascii="宋体" w:hAnsi="宋体" w:cs="宋体"/>
                <w:szCs w:val="21"/>
                <w:highlight w:val="none"/>
              </w:rPr>
              <w:t>投标截止时间：</w:t>
            </w:r>
            <w:r>
              <w:rPr>
                <w:rFonts w:hint="eastAsia" w:ascii="宋体" w:hAnsi="宋体" w:cs="宋体"/>
                <w:szCs w:val="21"/>
                <w:highlight w:val="none"/>
                <w:u w:val="single"/>
              </w:rPr>
              <w:t>202</w:t>
            </w:r>
            <w:r>
              <w:rPr>
                <w:rFonts w:hint="eastAsia" w:ascii="宋体" w:hAnsi="宋体" w:cs="宋体"/>
                <w:szCs w:val="21"/>
                <w:highlight w:val="none"/>
                <w:u w:val="single"/>
                <w:lang w:val="en-US" w:eastAsia="zh-CN"/>
              </w:rPr>
              <w:t>4</w:t>
            </w:r>
            <w:r>
              <w:rPr>
                <w:rFonts w:hint="eastAsia" w:ascii="宋体" w:hAnsi="宋体" w:cs="宋体"/>
                <w:szCs w:val="21"/>
                <w:highlight w:val="none"/>
              </w:rPr>
              <w:t>年</w:t>
            </w:r>
            <w:r>
              <w:rPr>
                <w:rFonts w:hint="eastAsia" w:ascii="宋体" w:hAnsi="宋体" w:cs="宋体"/>
                <w:szCs w:val="21"/>
                <w:highlight w:val="none"/>
                <w:u w:val="single"/>
                <w:lang w:val="en-US" w:eastAsia="zh-CN"/>
              </w:rPr>
              <w:t>05</w:t>
            </w:r>
            <w:r>
              <w:rPr>
                <w:rFonts w:hint="eastAsia" w:ascii="宋体" w:hAnsi="宋体" w:cs="宋体"/>
                <w:szCs w:val="21"/>
                <w:highlight w:val="none"/>
              </w:rPr>
              <w:t>月</w:t>
            </w:r>
            <w:r>
              <w:rPr>
                <w:rFonts w:hint="eastAsia" w:ascii="宋体" w:hAnsi="宋体" w:cs="宋体"/>
                <w:szCs w:val="21"/>
                <w:highlight w:val="none"/>
                <w:u w:val="single"/>
                <w:lang w:val="en-US" w:eastAsia="zh-CN"/>
              </w:rPr>
              <w:t>06</w:t>
            </w:r>
            <w:r>
              <w:rPr>
                <w:rFonts w:hint="eastAsia" w:ascii="宋体" w:hAnsi="宋体" w:cs="宋体"/>
                <w:szCs w:val="21"/>
                <w:highlight w:val="none"/>
              </w:rPr>
              <w:t>日</w:t>
            </w:r>
            <w:r>
              <w:rPr>
                <w:rFonts w:hint="eastAsia" w:ascii="宋体" w:hAnsi="宋体"/>
                <w:bCs/>
                <w:highlight w:val="none"/>
                <w:u w:val="single"/>
              </w:rPr>
              <w:t>14点00分</w:t>
            </w:r>
            <w:r>
              <w:rPr>
                <w:rFonts w:hint="eastAsia" w:ascii="宋体" w:hAnsi="宋体" w:cs="宋体"/>
                <w:szCs w:val="21"/>
                <w:highlight w:val="none"/>
              </w:rPr>
              <w:t>（北京时间）。</w:t>
            </w:r>
          </w:p>
        </w:tc>
      </w:tr>
      <w:tr>
        <w:tblPrEx>
          <w:tblBorders>
            <w:top w:val="single" w:color="000000" w:sz="12" w:space="0"/>
            <w:left w:val="single" w:color="000000" w:sz="12" w:space="0"/>
            <w:bottom w:val="single" w:color="auto" w:sz="4"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00" w:hRule="atLeast"/>
        </w:trPr>
        <w:tc>
          <w:tcPr>
            <w:tcW w:w="1101" w:type="dxa"/>
            <w:vAlign w:val="center"/>
          </w:tcPr>
          <w:p>
            <w:pPr>
              <w:spacing w:beforeLines="50" w:line="360" w:lineRule="auto"/>
              <w:jc w:val="center"/>
              <w:rPr>
                <w:rFonts w:ascii="宋体" w:hAnsi="宋体" w:cs="宋体"/>
                <w:szCs w:val="21"/>
                <w:highlight w:val="none"/>
              </w:rPr>
            </w:pPr>
            <w:r>
              <w:rPr>
                <w:rFonts w:hint="eastAsia" w:ascii="宋体" w:hAnsi="宋体" w:cs="宋体"/>
                <w:szCs w:val="21"/>
                <w:highlight w:val="none"/>
              </w:rPr>
              <w:t>28.1</w:t>
            </w:r>
          </w:p>
        </w:tc>
        <w:tc>
          <w:tcPr>
            <w:tcW w:w="7512" w:type="dxa"/>
            <w:vAlign w:val="center"/>
          </w:tcPr>
          <w:p>
            <w:pPr>
              <w:widowControl/>
              <w:spacing w:line="360" w:lineRule="auto"/>
              <w:rPr>
                <w:rFonts w:hint="eastAsia" w:cs="宋体" w:asciiTheme="minorEastAsia" w:hAnsiTheme="minorEastAsia" w:eastAsiaTheme="minorEastAsia"/>
                <w:kern w:val="0"/>
                <w:szCs w:val="21"/>
                <w:highlight w:val="none"/>
              </w:rPr>
            </w:pPr>
            <w:r>
              <w:rPr>
                <w:rFonts w:hint="eastAsia" w:cs="宋体" w:asciiTheme="minorEastAsia" w:hAnsiTheme="minorEastAsia" w:eastAsiaTheme="minorEastAsia"/>
                <w:kern w:val="0"/>
                <w:szCs w:val="21"/>
                <w:highlight w:val="none"/>
              </w:rPr>
              <w:t>1</w:t>
            </w:r>
            <w:r>
              <w:rPr>
                <w:rFonts w:hint="eastAsia" w:cs="宋体" w:asciiTheme="minorEastAsia" w:hAnsiTheme="minorEastAsia" w:eastAsiaTheme="minorEastAsia"/>
                <w:kern w:val="0"/>
                <w:szCs w:val="21"/>
                <w:highlight w:val="none"/>
                <w:lang w:eastAsia="zh-CN"/>
              </w:rPr>
              <w:t>、</w:t>
            </w:r>
            <w:r>
              <w:rPr>
                <w:rFonts w:hint="eastAsia" w:cs="宋体" w:asciiTheme="minorEastAsia" w:hAnsiTheme="minorEastAsia" w:eastAsiaTheme="minorEastAsia"/>
                <w:kern w:val="0"/>
                <w:szCs w:val="21"/>
                <w:highlight w:val="none"/>
              </w:rPr>
              <w:t>本次中标服务费为</w:t>
            </w:r>
            <w:r>
              <w:rPr>
                <w:rFonts w:hint="eastAsia" w:cs="宋体" w:asciiTheme="minorEastAsia" w:hAnsiTheme="minorEastAsia" w:eastAsiaTheme="minorEastAsia"/>
                <w:kern w:val="0"/>
                <w:szCs w:val="21"/>
                <w:highlight w:val="none"/>
                <w:lang w:val="en-US" w:eastAsia="zh-CN"/>
              </w:rPr>
              <w:t>12000</w:t>
            </w:r>
            <w:r>
              <w:rPr>
                <w:rFonts w:hint="eastAsia" w:cs="宋体" w:asciiTheme="minorEastAsia" w:hAnsiTheme="minorEastAsia" w:eastAsiaTheme="minorEastAsia"/>
                <w:kern w:val="0"/>
                <w:szCs w:val="21"/>
                <w:highlight w:val="none"/>
              </w:rPr>
              <w:t>元。</w:t>
            </w:r>
          </w:p>
          <w:p>
            <w:pPr>
              <w:widowControl/>
              <w:spacing w:line="360" w:lineRule="auto"/>
              <w:rPr>
                <w:rFonts w:hint="eastAsia" w:cs="宋体" w:asciiTheme="minorEastAsia" w:hAnsiTheme="minorEastAsia" w:eastAsiaTheme="minorEastAsia"/>
                <w:kern w:val="0"/>
                <w:szCs w:val="21"/>
                <w:highlight w:val="none"/>
              </w:rPr>
            </w:pPr>
            <w:r>
              <w:rPr>
                <w:rFonts w:hint="eastAsia" w:cs="宋体" w:asciiTheme="minorEastAsia" w:hAnsiTheme="minorEastAsia" w:eastAsiaTheme="minorEastAsia"/>
                <w:kern w:val="0"/>
                <w:szCs w:val="21"/>
                <w:highlight w:val="none"/>
              </w:rPr>
              <w:t>2</w:t>
            </w:r>
            <w:r>
              <w:rPr>
                <w:rFonts w:hint="eastAsia" w:cs="宋体" w:asciiTheme="minorEastAsia" w:hAnsiTheme="minorEastAsia" w:eastAsiaTheme="minorEastAsia"/>
                <w:kern w:val="0"/>
                <w:szCs w:val="21"/>
                <w:highlight w:val="none"/>
                <w:lang w:eastAsia="zh-CN"/>
              </w:rPr>
              <w:t>、</w:t>
            </w:r>
            <w:r>
              <w:rPr>
                <w:rFonts w:hint="eastAsia" w:cs="宋体" w:asciiTheme="minorEastAsia" w:hAnsiTheme="minorEastAsia" w:eastAsiaTheme="minorEastAsia"/>
                <w:kern w:val="0"/>
                <w:szCs w:val="21"/>
                <w:highlight w:val="none"/>
              </w:rPr>
              <w:t>中标人负责承担中标服务费，并应在采购代理机构发出中标通知书5个工作日内向采购代理机构支付中标服务费。</w:t>
            </w:r>
          </w:p>
          <w:p>
            <w:pPr>
              <w:widowControl/>
              <w:spacing w:line="360" w:lineRule="auto"/>
              <w:rPr>
                <w:rFonts w:hint="eastAsia" w:cs="宋体" w:asciiTheme="minorEastAsia" w:hAnsiTheme="minorEastAsia" w:eastAsiaTheme="minorEastAsia"/>
                <w:kern w:val="0"/>
                <w:szCs w:val="21"/>
                <w:highlight w:val="none"/>
              </w:rPr>
            </w:pPr>
            <w:r>
              <w:rPr>
                <w:rFonts w:hint="eastAsia" w:cs="宋体" w:asciiTheme="minorEastAsia" w:hAnsiTheme="minorEastAsia" w:eastAsiaTheme="minorEastAsia"/>
                <w:kern w:val="0"/>
                <w:szCs w:val="21"/>
                <w:highlight w:val="none"/>
              </w:rPr>
              <w:t>3</w:t>
            </w:r>
            <w:r>
              <w:rPr>
                <w:rFonts w:hint="eastAsia" w:cs="宋体" w:asciiTheme="minorEastAsia" w:hAnsiTheme="minorEastAsia" w:eastAsiaTheme="minorEastAsia"/>
                <w:kern w:val="0"/>
                <w:szCs w:val="21"/>
                <w:highlight w:val="none"/>
                <w:lang w:eastAsia="zh-CN"/>
              </w:rPr>
              <w:t>、</w:t>
            </w:r>
            <w:r>
              <w:rPr>
                <w:rFonts w:hint="eastAsia" w:cs="宋体" w:asciiTheme="minorEastAsia" w:hAnsiTheme="minorEastAsia" w:eastAsiaTheme="minorEastAsia"/>
                <w:kern w:val="0"/>
                <w:szCs w:val="21"/>
                <w:highlight w:val="none"/>
              </w:rPr>
              <w:t>中标服务费只收现金、银行票汇款、电汇款。</w:t>
            </w:r>
          </w:p>
          <w:p>
            <w:pPr>
              <w:widowControl/>
              <w:spacing w:line="360" w:lineRule="auto"/>
              <w:rPr>
                <w:rFonts w:hint="eastAsia" w:hAnsi="宋体" w:eastAsiaTheme="minorEastAsia"/>
                <w:highlight w:val="none"/>
                <w:lang w:eastAsia="zh-CN"/>
              </w:rPr>
            </w:pPr>
            <w:r>
              <w:rPr>
                <w:rFonts w:hint="eastAsia" w:cs="宋体" w:asciiTheme="minorEastAsia" w:hAnsiTheme="minorEastAsia" w:eastAsiaTheme="minorEastAsia"/>
                <w:kern w:val="0"/>
                <w:szCs w:val="21"/>
                <w:highlight w:val="none"/>
              </w:rPr>
              <w:t>户名：</w:t>
            </w:r>
            <w:r>
              <w:rPr>
                <w:rFonts w:hint="eastAsia" w:cs="宋体" w:asciiTheme="minorEastAsia" w:hAnsiTheme="minorEastAsia" w:eastAsiaTheme="minorEastAsia"/>
                <w:kern w:val="0"/>
                <w:szCs w:val="21"/>
                <w:highlight w:val="none"/>
                <w:lang w:eastAsia="zh-CN"/>
              </w:rPr>
              <w:t>宁波国际投资咨询有限公司</w:t>
            </w:r>
          </w:p>
          <w:p>
            <w:pPr>
              <w:spacing w:beforeLines="50" w:line="360" w:lineRule="auto"/>
              <w:jc w:val="left"/>
              <w:rPr>
                <w:rFonts w:hint="eastAsia"/>
                <w:highlight w:val="none"/>
              </w:rPr>
            </w:pPr>
            <w:r>
              <w:rPr>
                <w:rFonts w:hint="eastAsia"/>
                <w:highlight w:val="none"/>
              </w:rPr>
              <w:t>开户行：上海浦东发展银行宁波解放路支行</w:t>
            </w:r>
          </w:p>
          <w:p>
            <w:pPr>
              <w:spacing w:beforeLines="50" w:line="360" w:lineRule="auto"/>
              <w:jc w:val="left"/>
              <w:rPr>
                <w:highlight w:val="none"/>
              </w:rPr>
            </w:pPr>
            <w:r>
              <w:rPr>
                <w:rFonts w:hint="eastAsia"/>
                <w:highlight w:val="none"/>
              </w:rPr>
              <w:t>账号</w:t>
            </w:r>
            <w:r>
              <w:rPr>
                <w:rFonts w:hint="eastAsia"/>
                <w:highlight w:val="none"/>
                <w:lang w:eastAsia="zh-CN"/>
              </w:rPr>
              <w:t>：</w:t>
            </w:r>
            <w:r>
              <w:rPr>
                <w:rFonts w:hint="eastAsia"/>
                <w:highlight w:val="none"/>
              </w:rPr>
              <w:t>94150078801400000630。</w:t>
            </w:r>
          </w:p>
        </w:tc>
      </w:tr>
      <w:tr>
        <w:tblPrEx>
          <w:tblBorders>
            <w:top w:val="single" w:color="000000" w:sz="12" w:space="0"/>
            <w:left w:val="single" w:color="000000" w:sz="12" w:space="0"/>
            <w:bottom w:val="single" w:color="auto" w:sz="4"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00" w:hRule="atLeast"/>
        </w:trPr>
        <w:tc>
          <w:tcPr>
            <w:tcW w:w="1101" w:type="dxa"/>
            <w:vAlign w:val="center"/>
          </w:tcPr>
          <w:p>
            <w:pPr>
              <w:spacing w:beforeLines="50" w:line="360" w:lineRule="auto"/>
              <w:jc w:val="center"/>
              <w:rPr>
                <w:rFonts w:ascii="宋体" w:hAnsi="宋体" w:cs="宋体"/>
                <w:szCs w:val="21"/>
                <w:highlight w:val="none"/>
              </w:rPr>
            </w:pPr>
            <w:r>
              <w:rPr>
                <w:rFonts w:hint="eastAsia" w:ascii="宋体" w:hAnsi="宋体" w:cs="宋体"/>
                <w:szCs w:val="21"/>
                <w:highlight w:val="none"/>
              </w:rPr>
              <w:t>29</w:t>
            </w:r>
          </w:p>
        </w:tc>
        <w:tc>
          <w:tcPr>
            <w:tcW w:w="7512" w:type="dxa"/>
            <w:vAlign w:val="center"/>
          </w:tcPr>
          <w:p>
            <w:pPr>
              <w:spacing w:line="360" w:lineRule="auto"/>
              <w:ind w:left="788" w:hanging="787" w:hangingChars="375"/>
              <w:rPr>
                <w:rFonts w:ascii="宋体" w:hAnsi="宋体" w:cs="宋体"/>
                <w:szCs w:val="21"/>
                <w:highlight w:val="none"/>
              </w:rPr>
            </w:pPr>
            <w:r>
              <w:rPr>
                <w:rFonts w:hint="eastAsia" w:ascii="宋体" w:hAnsi="宋体" w:cs="宋体"/>
                <w:szCs w:val="21"/>
                <w:highlight w:val="none"/>
              </w:rPr>
              <w:t>发布本项目招标公告、中标公示的媒体：</w:t>
            </w:r>
          </w:p>
          <w:p>
            <w:pPr>
              <w:spacing w:line="360" w:lineRule="auto"/>
              <w:ind w:left="788" w:hanging="787" w:hangingChars="375"/>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浙江政府采购网</w:t>
            </w:r>
            <w:r>
              <w:rPr>
                <w:rFonts w:hint="eastAsia" w:ascii="宋体" w:hAnsi="宋体" w:cs="宋体"/>
                <w:szCs w:val="21"/>
                <w:highlight w:val="none"/>
              </w:rPr>
              <w:t>https://zfcg.czt.zj.gov.cn/</w:t>
            </w:r>
          </w:p>
          <w:p>
            <w:pPr>
              <w:spacing w:line="360" w:lineRule="auto"/>
              <w:rPr>
                <w:highlight w:val="none"/>
              </w:rPr>
            </w:pPr>
            <w:r>
              <w:rPr>
                <w:rFonts w:hint="eastAsia" w:asciiTheme="minorEastAsia" w:hAnsiTheme="minorEastAsia" w:eastAsiaTheme="minorEastAsia"/>
                <w:szCs w:val="21"/>
                <w:highlight w:val="none"/>
              </w:rPr>
              <w:t>宁波政府采购网</w:t>
            </w:r>
            <w:r>
              <w:rPr>
                <w:highlight w:val="none"/>
              </w:rPr>
              <w:fldChar w:fldCharType="begin"/>
            </w:r>
            <w:r>
              <w:rPr>
                <w:highlight w:val="none"/>
              </w:rPr>
              <w:instrText xml:space="preserve"> HYPERLINK "http://www.nbzfcg.cn" </w:instrText>
            </w:r>
            <w:r>
              <w:rPr>
                <w:highlight w:val="none"/>
              </w:rPr>
              <w:fldChar w:fldCharType="separate"/>
            </w:r>
            <w:r>
              <w:rPr>
                <w:rStyle w:val="41"/>
                <w:rFonts w:asciiTheme="minorEastAsia" w:hAnsiTheme="minorEastAsia" w:eastAsiaTheme="minorEastAsia"/>
                <w:color w:val="auto"/>
                <w:szCs w:val="21"/>
                <w:highlight w:val="none"/>
              </w:rPr>
              <w:t>www.nbzf</w:t>
            </w:r>
            <w:bookmarkStart w:id="44" w:name="_Hlt237917837"/>
            <w:bookmarkStart w:id="45" w:name="_Hlt237917838"/>
            <w:r>
              <w:rPr>
                <w:rStyle w:val="41"/>
                <w:rFonts w:asciiTheme="minorEastAsia" w:hAnsiTheme="minorEastAsia" w:eastAsiaTheme="minorEastAsia"/>
                <w:color w:val="auto"/>
                <w:szCs w:val="21"/>
                <w:highlight w:val="none"/>
              </w:rPr>
              <w:t>c</w:t>
            </w:r>
            <w:bookmarkEnd w:id="44"/>
            <w:bookmarkEnd w:id="45"/>
            <w:bookmarkStart w:id="46" w:name="_Hlt237842727"/>
            <w:bookmarkStart w:id="47" w:name="_Hlt237842684"/>
            <w:bookmarkStart w:id="48" w:name="_Hlt237842683"/>
            <w:bookmarkStart w:id="49" w:name="_Hlt237842726"/>
            <w:r>
              <w:rPr>
                <w:rStyle w:val="41"/>
                <w:rFonts w:asciiTheme="minorEastAsia" w:hAnsiTheme="minorEastAsia" w:eastAsiaTheme="minorEastAsia"/>
                <w:color w:val="auto"/>
                <w:szCs w:val="21"/>
                <w:highlight w:val="none"/>
              </w:rPr>
              <w:t>g</w:t>
            </w:r>
            <w:bookmarkEnd w:id="46"/>
            <w:bookmarkEnd w:id="47"/>
            <w:bookmarkEnd w:id="48"/>
            <w:bookmarkEnd w:id="49"/>
            <w:r>
              <w:rPr>
                <w:rStyle w:val="41"/>
                <w:rFonts w:asciiTheme="minorEastAsia" w:hAnsiTheme="minorEastAsia" w:eastAsiaTheme="minorEastAsia"/>
                <w:color w:val="auto"/>
                <w:szCs w:val="21"/>
                <w:highlight w:val="none"/>
              </w:rPr>
              <w:t>.cn</w:t>
            </w:r>
            <w:r>
              <w:rPr>
                <w:rStyle w:val="41"/>
                <w:rFonts w:asciiTheme="minorEastAsia" w:hAnsiTheme="minorEastAsia" w:eastAsiaTheme="minorEastAsia"/>
                <w:color w:val="auto"/>
                <w:szCs w:val="21"/>
                <w:highlight w:val="none"/>
              </w:rPr>
              <w:fldChar w:fldCharType="end"/>
            </w:r>
          </w:p>
        </w:tc>
      </w:tr>
      <w:tr>
        <w:tblPrEx>
          <w:tblBorders>
            <w:top w:val="single" w:color="000000" w:sz="12" w:space="0"/>
            <w:left w:val="single" w:color="000000" w:sz="12" w:space="0"/>
            <w:bottom w:val="single" w:color="auto" w:sz="4"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00" w:hRule="atLeast"/>
        </w:trPr>
        <w:tc>
          <w:tcPr>
            <w:tcW w:w="1101" w:type="dxa"/>
            <w:tcBorders>
              <w:bottom w:val="single" w:color="auto" w:sz="12" w:space="0"/>
            </w:tcBorders>
            <w:vAlign w:val="center"/>
          </w:tcPr>
          <w:p>
            <w:pPr>
              <w:spacing w:beforeLines="50" w:line="360" w:lineRule="auto"/>
              <w:jc w:val="center"/>
              <w:rPr>
                <w:rFonts w:ascii="宋体" w:hAnsi="宋体" w:cs="宋体"/>
                <w:szCs w:val="21"/>
                <w:highlight w:val="none"/>
              </w:rPr>
            </w:pPr>
            <w:r>
              <w:rPr>
                <w:rFonts w:hint="eastAsia" w:ascii="宋体" w:hAnsi="宋体" w:cs="宋体"/>
                <w:szCs w:val="21"/>
                <w:highlight w:val="none"/>
              </w:rPr>
              <w:t>31.1</w:t>
            </w:r>
          </w:p>
        </w:tc>
        <w:tc>
          <w:tcPr>
            <w:tcW w:w="7512" w:type="dxa"/>
            <w:tcBorders>
              <w:bottom w:val="single" w:color="auto" w:sz="12" w:space="0"/>
            </w:tcBorders>
            <w:vAlign w:val="center"/>
          </w:tcPr>
          <w:p>
            <w:pPr>
              <w:spacing w:line="360" w:lineRule="auto"/>
              <w:rPr>
                <w:rFonts w:asciiTheme="minorEastAsia" w:hAnsiTheme="minorEastAsia" w:eastAsiaTheme="minorEastAsia"/>
                <w:szCs w:val="21"/>
                <w:highlight w:val="none"/>
              </w:rPr>
            </w:pPr>
            <w:r>
              <w:rPr>
                <w:rFonts w:hint="eastAsia" w:ascii="宋体" w:hAnsi="宋体"/>
                <w:b/>
                <w:szCs w:val="21"/>
                <w:highlight w:val="none"/>
              </w:rPr>
              <w:t>本项目对应的中小企业划分标准所属行业：</w:t>
            </w:r>
            <w:r>
              <w:rPr>
                <w:rFonts w:hint="eastAsia" w:ascii="宋体" w:hAnsi="宋体"/>
                <w:b/>
                <w:szCs w:val="21"/>
                <w:highlight w:val="none"/>
                <w:u w:val="single"/>
              </w:rPr>
              <w:t xml:space="preserve">    其他未列明行业       </w:t>
            </w:r>
          </w:p>
        </w:tc>
      </w:tr>
    </w:tbl>
    <w:p>
      <w:pPr>
        <w:widowControl/>
        <w:spacing w:line="360" w:lineRule="auto"/>
        <w:ind w:firstLine="420" w:firstLineChars="200"/>
        <w:jc w:val="left"/>
        <w:rPr>
          <w:rFonts w:ascii="宋体" w:hAnsi="宋体" w:cs="宋体"/>
          <w:szCs w:val="21"/>
          <w:highlight w:val="none"/>
          <w:u w:val="single"/>
        </w:rPr>
        <w:sectPr>
          <w:headerReference r:id="rId9" w:type="default"/>
          <w:footerReference r:id="rId11" w:type="default"/>
          <w:headerReference r:id="rId10" w:type="even"/>
          <w:pgSz w:w="11907" w:h="16840"/>
          <w:pgMar w:top="1276" w:right="1701" w:bottom="1560" w:left="1701" w:header="720" w:footer="720" w:gutter="0"/>
          <w:cols w:space="720" w:num="1"/>
          <w:docGrid w:type="linesAndChars" w:linePitch="286" w:charSpace="0"/>
        </w:sectPr>
      </w:pPr>
    </w:p>
    <w:p>
      <w:pPr>
        <w:pStyle w:val="4"/>
        <w:spacing w:before="286" w:after="286"/>
        <w:rPr>
          <w:sz w:val="32"/>
          <w:szCs w:val="32"/>
          <w:highlight w:val="none"/>
        </w:rPr>
        <w:sectPr>
          <w:headerReference r:id="rId12" w:type="default"/>
          <w:type w:val="continuous"/>
          <w:pgSz w:w="11907" w:h="16840"/>
          <w:pgMar w:top="1111" w:right="1701" w:bottom="1428" w:left="1701" w:header="720" w:footer="720" w:gutter="0"/>
          <w:cols w:space="720" w:num="1"/>
          <w:docGrid w:type="linesAndChars" w:linePitch="286" w:charSpace="0"/>
        </w:sectPr>
      </w:pPr>
      <w:bookmarkStart w:id="50" w:name="_Toc316649292"/>
    </w:p>
    <w:p>
      <w:pPr>
        <w:rPr>
          <w:highlight w:val="none"/>
        </w:rPr>
      </w:pPr>
    </w:p>
    <w:bookmarkEnd w:id="50"/>
    <w:p>
      <w:pPr>
        <w:pStyle w:val="4"/>
        <w:spacing w:before="286" w:after="286"/>
        <w:rPr>
          <w:color w:val="auto"/>
          <w:sz w:val="32"/>
          <w:szCs w:val="32"/>
          <w:highlight w:val="none"/>
        </w:rPr>
      </w:pPr>
      <w:bookmarkStart w:id="51" w:name="_Toc11708"/>
      <w:bookmarkStart w:id="52" w:name="_Toc4027"/>
      <w:bookmarkStart w:id="53" w:name="_Toc481153623"/>
      <w:bookmarkStart w:id="54" w:name="_Toc316649293"/>
      <w:bookmarkStart w:id="55" w:name="_Toc497935707"/>
      <w:bookmarkStart w:id="56" w:name="_Toc502819341"/>
      <w:bookmarkStart w:id="57" w:name="_Toc481153658"/>
      <w:bookmarkStart w:id="58" w:name="_Toc501721199"/>
      <w:bookmarkStart w:id="59" w:name="_Toc501721427"/>
      <w:bookmarkStart w:id="60" w:name="_Toc501721316"/>
      <w:r>
        <w:rPr>
          <w:rFonts w:hint="eastAsia"/>
          <w:color w:val="auto"/>
          <w:sz w:val="32"/>
          <w:szCs w:val="32"/>
          <w:highlight w:val="none"/>
        </w:rPr>
        <w:t>第四部分投标人须知</w:t>
      </w:r>
      <w:bookmarkEnd w:id="51"/>
      <w:bookmarkEnd w:id="52"/>
    </w:p>
    <w:p>
      <w:pPr>
        <w:jc w:val="center"/>
        <w:outlineLvl w:val="1"/>
        <w:rPr>
          <w:rFonts w:ascii="宋体" w:hAnsi="宋体" w:cs="宋体"/>
          <w:b/>
          <w:color w:val="auto"/>
          <w:sz w:val="28"/>
          <w:highlight w:val="none"/>
        </w:rPr>
      </w:pPr>
      <w:bookmarkStart w:id="61" w:name="_Toc520902394"/>
      <w:bookmarkStart w:id="62" w:name="_Toc513798900"/>
      <w:bookmarkStart w:id="63" w:name="_Toc513799071"/>
      <w:bookmarkStart w:id="64" w:name="_Toc136017630"/>
      <w:bookmarkStart w:id="65" w:name="_Toc31760"/>
      <w:bookmarkStart w:id="66" w:name="_Toc136345101"/>
      <w:bookmarkStart w:id="67" w:name="_Toc26589"/>
      <w:bookmarkStart w:id="68" w:name="_Toc440276561"/>
      <w:r>
        <w:rPr>
          <w:rFonts w:hint="eastAsia" w:ascii="宋体" w:hAnsi="宋体" w:cs="宋体"/>
          <w:b/>
          <w:color w:val="auto"/>
          <w:sz w:val="28"/>
          <w:highlight w:val="none"/>
        </w:rPr>
        <w:t>A  总则</w:t>
      </w:r>
      <w:bookmarkEnd w:id="61"/>
      <w:bookmarkEnd w:id="62"/>
      <w:bookmarkEnd w:id="63"/>
      <w:bookmarkEnd w:id="64"/>
      <w:bookmarkEnd w:id="65"/>
      <w:bookmarkEnd w:id="66"/>
      <w:bookmarkEnd w:id="67"/>
      <w:bookmarkEnd w:id="68"/>
    </w:p>
    <w:p>
      <w:pPr>
        <w:spacing w:line="360" w:lineRule="auto"/>
        <w:rPr>
          <w:rFonts w:ascii="宋体" w:hAnsi="宋体" w:cs="宋体"/>
          <w:b/>
          <w:color w:val="auto"/>
          <w:szCs w:val="21"/>
          <w:highlight w:val="none"/>
        </w:rPr>
      </w:pPr>
      <w:r>
        <w:rPr>
          <w:rFonts w:hint="eastAsia" w:ascii="宋体" w:hAnsi="宋体" w:cs="宋体"/>
          <w:b/>
          <w:color w:val="auto"/>
          <w:szCs w:val="21"/>
          <w:highlight w:val="none"/>
        </w:rPr>
        <w:t>1.   适用范围</w:t>
      </w:r>
    </w:p>
    <w:p>
      <w:pPr>
        <w:spacing w:line="360" w:lineRule="auto"/>
        <w:ind w:firstLine="420" w:firstLineChars="200"/>
        <w:rPr>
          <w:rFonts w:ascii="宋体" w:hAnsi="宋体"/>
          <w:color w:val="auto"/>
          <w:highlight w:val="none"/>
        </w:rPr>
      </w:pPr>
      <w:r>
        <w:rPr>
          <w:rFonts w:hint="eastAsia" w:ascii="宋体" w:hAnsi="宋体"/>
          <w:color w:val="auto"/>
          <w:highlight w:val="none"/>
        </w:rPr>
        <w:t>本招标文件适用于本项目的招标、投标、开标、资格审查及信用信息查询、评标、定标、合同、验收等行为（法律、法规另有规定的，从其规定）。</w:t>
      </w:r>
    </w:p>
    <w:p>
      <w:pPr>
        <w:spacing w:line="360" w:lineRule="auto"/>
        <w:rPr>
          <w:rFonts w:ascii="宋体" w:hAnsi="宋体" w:cs="宋体"/>
          <w:b/>
          <w:color w:val="auto"/>
          <w:szCs w:val="21"/>
          <w:highlight w:val="none"/>
        </w:rPr>
      </w:pPr>
    </w:p>
    <w:p>
      <w:pPr>
        <w:spacing w:line="360" w:lineRule="auto"/>
        <w:rPr>
          <w:rFonts w:ascii="宋体" w:hAnsi="宋体" w:cs="宋体"/>
          <w:b/>
          <w:color w:val="auto"/>
          <w:szCs w:val="21"/>
          <w:highlight w:val="none"/>
        </w:rPr>
      </w:pPr>
      <w:r>
        <w:rPr>
          <w:rFonts w:hint="eastAsia" w:ascii="宋体" w:hAnsi="宋体" w:cs="宋体"/>
          <w:b/>
          <w:color w:val="auto"/>
          <w:szCs w:val="21"/>
          <w:highlight w:val="none"/>
        </w:rPr>
        <w:t>2.   定义</w:t>
      </w:r>
    </w:p>
    <w:p>
      <w:pPr>
        <w:spacing w:line="360" w:lineRule="auto"/>
        <w:rPr>
          <w:rFonts w:ascii="宋体" w:hAnsi="宋体" w:cs="宋体"/>
          <w:color w:val="auto"/>
          <w:szCs w:val="21"/>
          <w:highlight w:val="none"/>
        </w:rPr>
      </w:pPr>
      <w:r>
        <w:rPr>
          <w:rFonts w:hint="eastAsia" w:ascii="宋体" w:hAnsi="宋体" w:cs="宋体"/>
          <w:b/>
          <w:color w:val="auto"/>
          <w:szCs w:val="21"/>
          <w:highlight w:val="none"/>
        </w:rPr>
        <w:t>2.1</w:t>
      </w:r>
      <w:r>
        <w:rPr>
          <w:rFonts w:hint="eastAsia" w:ascii="宋体" w:hAnsi="宋体" w:cs="宋体"/>
          <w:color w:val="auto"/>
          <w:szCs w:val="21"/>
          <w:highlight w:val="none"/>
        </w:rPr>
        <w:t xml:space="preserve">  “采购人”、“采购代理机构”和“项目名称”：</w:t>
      </w:r>
      <w:r>
        <w:rPr>
          <w:rFonts w:ascii="宋体" w:hAnsi="宋体" w:cs="宋体"/>
          <w:color w:val="auto"/>
          <w:szCs w:val="21"/>
          <w:highlight w:val="none"/>
        </w:rPr>
        <w:t>见</w:t>
      </w:r>
      <w:r>
        <w:rPr>
          <w:rFonts w:hint="eastAsia" w:ascii="宋体" w:hAnsi="宋体" w:cs="宋体"/>
          <w:color w:val="auto"/>
          <w:szCs w:val="21"/>
          <w:highlight w:val="none"/>
        </w:rPr>
        <w:t>“投标资料表”</w:t>
      </w:r>
      <w:r>
        <w:rPr>
          <w:rFonts w:ascii="宋体" w:hAnsi="宋体" w:cs="宋体"/>
          <w:color w:val="auto"/>
          <w:szCs w:val="21"/>
          <w:highlight w:val="none"/>
        </w:rPr>
        <w:t>。</w:t>
      </w:r>
    </w:p>
    <w:p>
      <w:pPr>
        <w:spacing w:line="360" w:lineRule="auto"/>
        <w:rPr>
          <w:rFonts w:ascii="宋体" w:hAnsi="宋体" w:cs="宋体"/>
          <w:bCs/>
          <w:color w:val="auto"/>
          <w:szCs w:val="21"/>
          <w:highlight w:val="none"/>
        </w:rPr>
      </w:pPr>
      <w:r>
        <w:rPr>
          <w:rFonts w:hint="eastAsia" w:ascii="宋体" w:hAnsi="宋体" w:cs="宋体"/>
          <w:b/>
          <w:color w:val="auto"/>
          <w:szCs w:val="21"/>
          <w:highlight w:val="none"/>
        </w:rPr>
        <w:t>2.2</w:t>
      </w:r>
      <w:r>
        <w:rPr>
          <w:rFonts w:hint="eastAsia" w:ascii="宋体" w:hAnsi="宋体" w:cs="宋体"/>
          <w:bCs/>
          <w:color w:val="auto"/>
          <w:szCs w:val="21"/>
          <w:highlight w:val="none"/>
        </w:rPr>
        <w:t xml:space="preserve">  “供应商”系指采购人发布招标公告后，所有对招标项目有意向、并有可能参加本项目投标的法人、其他组织或者自然人。</w:t>
      </w:r>
    </w:p>
    <w:p>
      <w:pPr>
        <w:spacing w:line="360" w:lineRule="auto"/>
        <w:rPr>
          <w:rFonts w:ascii="宋体" w:hAnsi="宋体" w:cs="宋体"/>
          <w:bCs/>
          <w:color w:val="auto"/>
          <w:szCs w:val="21"/>
          <w:highlight w:val="none"/>
        </w:rPr>
      </w:pPr>
      <w:r>
        <w:rPr>
          <w:rFonts w:hint="eastAsia" w:ascii="宋体" w:hAnsi="宋体" w:cs="宋体"/>
          <w:b/>
          <w:color w:val="auto"/>
          <w:szCs w:val="21"/>
          <w:highlight w:val="none"/>
        </w:rPr>
        <w:t>2.3</w:t>
      </w:r>
      <w:r>
        <w:rPr>
          <w:rFonts w:hint="eastAsia" w:ascii="宋体" w:hAnsi="宋体" w:cs="宋体"/>
          <w:bCs/>
          <w:color w:val="auto"/>
          <w:szCs w:val="21"/>
          <w:highlight w:val="none"/>
        </w:rPr>
        <w:t xml:space="preserve">  “投标人”系指响应招标、参加投标竞争的法人、其他组织或者自然人。</w:t>
      </w:r>
    </w:p>
    <w:p>
      <w:pPr>
        <w:spacing w:line="360" w:lineRule="auto"/>
        <w:rPr>
          <w:rFonts w:ascii="宋体" w:hAnsi="宋体" w:cs="宋体"/>
          <w:bCs/>
          <w:color w:val="auto"/>
          <w:szCs w:val="21"/>
          <w:highlight w:val="none"/>
        </w:rPr>
      </w:pPr>
      <w:r>
        <w:rPr>
          <w:rFonts w:hint="eastAsia" w:ascii="宋体" w:hAnsi="宋体" w:cs="宋体"/>
          <w:b/>
          <w:color w:val="auto"/>
          <w:szCs w:val="21"/>
          <w:highlight w:val="none"/>
        </w:rPr>
        <w:t xml:space="preserve">2.4  </w:t>
      </w:r>
      <w:r>
        <w:rPr>
          <w:rFonts w:hint="eastAsia" w:ascii="宋体" w:hAnsi="宋体" w:cs="宋体"/>
          <w:bCs/>
          <w:color w:val="auto"/>
          <w:szCs w:val="21"/>
          <w:highlight w:val="none"/>
        </w:rPr>
        <w:t>“负责人”系指法人企业的法定负责人，或其他组织为法律、行政法规规定代表单位行使职权的主要负责人，或自然人本人。</w:t>
      </w:r>
    </w:p>
    <w:p>
      <w:pPr>
        <w:spacing w:line="360" w:lineRule="auto"/>
        <w:rPr>
          <w:rFonts w:ascii="宋体" w:hAnsi="宋体" w:cs="宋体"/>
          <w:color w:val="auto"/>
          <w:szCs w:val="21"/>
          <w:highlight w:val="none"/>
        </w:rPr>
      </w:pPr>
      <w:r>
        <w:rPr>
          <w:rFonts w:hint="eastAsia" w:ascii="宋体" w:hAnsi="宋体" w:cs="宋体"/>
          <w:b/>
          <w:color w:val="auto"/>
          <w:szCs w:val="21"/>
          <w:highlight w:val="none"/>
        </w:rPr>
        <w:t>2.5</w:t>
      </w:r>
      <w:r>
        <w:rPr>
          <w:rFonts w:hint="eastAsia" w:ascii="宋体" w:hAnsi="宋体" w:cs="宋体"/>
          <w:color w:val="auto"/>
          <w:szCs w:val="21"/>
          <w:highlight w:val="none"/>
        </w:rPr>
        <w:t xml:space="preserve">  “产品”系指投标人按招标文件规定，须向采购人提供的一切设备、保险、税金、备品备件、工具、手册及其它有关技术资料和材料。</w:t>
      </w:r>
    </w:p>
    <w:p>
      <w:pPr>
        <w:spacing w:line="360" w:lineRule="auto"/>
        <w:rPr>
          <w:rFonts w:ascii="宋体" w:hAnsi="宋体" w:cs="宋体"/>
          <w:color w:val="auto"/>
          <w:szCs w:val="21"/>
          <w:highlight w:val="none"/>
        </w:rPr>
      </w:pPr>
      <w:r>
        <w:rPr>
          <w:rFonts w:hint="eastAsia" w:ascii="宋体" w:hAnsi="宋体" w:cs="宋体"/>
          <w:b/>
          <w:color w:val="auto"/>
          <w:szCs w:val="21"/>
          <w:highlight w:val="none"/>
        </w:rPr>
        <w:t>2.6</w:t>
      </w:r>
      <w:r>
        <w:rPr>
          <w:rFonts w:hint="eastAsia" w:ascii="宋体" w:hAnsi="宋体" w:cs="宋体"/>
          <w:color w:val="auto"/>
          <w:szCs w:val="21"/>
          <w:highlight w:val="none"/>
        </w:rPr>
        <w:t xml:space="preserve">  “服务”系指招标文件规定投标人须承担的安装、调试、技术协助、校准、培训、技术指导以及其它类似的义务。</w:t>
      </w:r>
    </w:p>
    <w:p>
      <w:pPr>
        <w:spacing w:line="360" w:lineRule="auto"/>
        <w:rPr>
          <w:rFonts w:ascii="宋体" w:hAnsi="宋体" w:cs="宋体"/>
          <w:color w:val="auto"/>
          <w:szCs w:val="21"/>
          <w:highlight w:val="none"/>
        </w:rPr>
      </w:pPr>
      <w:r>
        <w:rPr>
          <w:rFonts w:hint="eastAsia" w:ascii="宋体" w:hAnsi="宋体" w:cs="宋体"/>
          <w:b/>
          <w:color w:val="auto"/>
          <w:szCs w:val="21"/>
          <w:highlight w:val="none"/>
        </w:rPr>
        <w:t>2.7</w:t>
      </w:r>
      <w:r>
        <w:rPr>
          <w:rFonts w:hint="eastAsia" w:ascii="宋体" w:hAnsi="宋体" w:cs="宋体"/>
          <w:color w:val="auto"/>
          <w:szCs w:val="21"/>
          <w:highlight w:val="none"/>
        </w:rPr>
        <w:t xml:space="preserve">  “项目”系指投标人按招标文件规定向采购人提供的货物或服务。</w:t>
      </w:r>
    </w:p>
    <w:p>
      <w:pPr>
        <w:spacing w:line="360" w:lineRule="auto"/>
        <w:rPr>
          <w:rFonts w:ascii="宋体" w:hAnsi="宋体" w:cs="宋体"/>
          <w:color w:val="auto"/>
          <w:szCs w:val="21"/>
          <w:highlight w:val="none"/>
        </w:rPr>
      </w:pPr>
      <w:r>
        <w:rPr>
          <w:rFonts w:hint="eastAsia" w:ascii="宋体" w:hAnsi="宋体" w:cs="宋体"/>
          <w:b/>
          <w:color w:val="auto"/>
          <w:szCs w:val="21"/>
          <w:highlight w:val="none"/>
        </w:rPr>
        <w:t>2.8</w:t>
      </w:r>
      <w:r>
        <w:rPr>
          <w:rFonts w:hint="eastAsia" w:ascii="宋体" w:hAnsi="宋体" w:cs="宋体"/>
          <w:color w:val="auto"/>
          <w:szCs w:val="21"/>
          <w:highlight w:val="none"/>
        </w:rPr>
        <w:t xml:space="preserve">  “书面形式”包括信函、传真、邮件等。</w:t>
      </w:r>
    </w:p>
    <w:p>
      <w:pPr>
        <w:spacing w:line="360" w:lineRule="auto"/>
        <w:ind w:left="632" w:hanging="632" w:hangingChars="300"/>
        <w:rPr>
          <w:rFonts w:ascii="宋体" w:hAnsi="宋体" w:cs="宋体"/>
          <w:b/>
          <w:color w:val="auto"/>
          <w:szCs w:val="21"/>
          <w:highlight w:val="none"/>
        </w:rPr>
      </w:pPr>
      <w:r>
        <w:rPr>
          <w:rFonts w:hint="eastAsia" w:ascii="宋体" w:hAnsi="宋体" w:cs="宋体"/>
          <w:b/>
          <w:color w:val="auto"/>
          <w:szCs w:val="21"/>
          <w:highlight w:val="none"/>
        </w:rPr>
        <w:t>2.9</w:t>
      </w:r>
      <w:r>
        <w:rPr>
          <w:rFonts w:hint="eastAsia" w:ascii="宋体" w:hAnsi="宋体" w:cs="宋体"/>
          <w:color w:val="auto"/>
          <w:szCs w:val="21"/>
          <w:highlight w:val="none"/>
        </w:rPr>
        <w:t xml:space="preserve">  “★”系指实质性要求条款。投标文件对这些条款的任何负偏离将导致投标无效。  “</w:t>
      </w:r>
      <w:sdt>
        <w:sdtPr>
          <w:rPr>
            <w:rFonts w:hint="eastAsia" w:cs="Arial" w:asciiTheme="minorEastAsia" w:hAnsiTheme="minorEastAsia" w:eastAsiaTheme="minorEastAsia"/>
            <w:color w:val="auto"/>
            <w:kern w:val="0"/>
            <w:sz w:val="24"/>
            <w:highlight w:val="none"/>
          </w:rPr>
          <w:id w:val="512970236"/>
        </w:sdtPr>
        <w:sdtEndPr>
          <w:rPr>
            <w:rFonts w:hint="eastAsia" w:cs="Arial" w:asciiTheme="minorEastAsia" w:hAnsiTheme="minorEastAsia" w:eastAsiaTheme="minorEastAsia"/>
            <w:color w:val="auto"/>
            <w:kern w:val="0"/>
            <w:sz w:val="24"/>
            <w:highlight w:val="none"/>
          </w:rPr>
        </w:sdtEndPr>
        <w:sdtContent>
          <w:r>
            <w:rPr>
              <w:rFonts w:ascii="Wingdings" w:hAnsi="Wingdings" w:cs="Arial" w:eastAsiaTheme="minorEastAsia"/>
              <w:color w:val="auto"/>
              <w:kern w:val="0"/>
              <w:sz w:val="24"/>
              <w:szCs w:val="24"/>
              <w:highlight w:val="none"/>
            </w:rPr>
            <w:t></w:t>
          </w:r>
        </w:sdtContent>
      </w:sdt>
      <w:r>
        <w:rPr>
          <w:rFonts w:hint="eastAsia" w:ascii="宋体" w:hAnsi="宋体" w:cs="宋体"/>
          <w:color w:val="auto"/>
          <w:szCs w:val="21"/>
          <w:highlight w:val="none"/>
        </w:rPr>
        <w:t>” 系指适用本项目的要求，“☐” 系指不适用本项目的要求。</w:t>
      </w:r>
    </w:p>
    <w:p>
      <w:pPr>
        <w:spacing w:line="360" w:lineRule="auto"/>
        <w:rPr>
          <w:rFonts w:ascii="宋体" w:hAnsi="宋体" w:cs="宋体"/>
          <w:b/>
          <w:color w:val="auto"/>
          <w:szCs w:val="21"/>
          <w:highlight w:val="none"/>
        </w:rPr>
      </w:pPr>
    </w:p>
    <w:p>
      <w:pPr>
        <w:spacing w:line="360" w:lineRule="auto"/>
        <w:rPr>
          <w:rFonts w:ascii="宋体" w:hAnsi="宋体" w:cs="宋体"/>
          <w:b/>
          <w:color w:val="auto"/>
          <w:szCs w:val="21"/>
          <w:highlight w:val="none"/>
        </w:rPr>
      </w:pPr>
      <w:r>
        <w:rPr>
          <w:rFonts w:hint="eastAsia" w:ascii="宋体" w:hAnsi="宋体" w:cs="宋体"/>
          <w:b/>
          <w:color w:val="auto"/>
          <w:szCs w:val="21"/>
          <w:highlight w:val="none"/>
        </w:rPr>
        <w:t>3.   招标范围</w:t>
      </w:r>
    </w:p>
    <w:p>
      <w:pPr>
        <w:spacing w:line="360" w:lineRule="auto"/>
        <w:rPr>
          <w:rFonts w:ascii="宋体" w:hAnsi="宋体"/>
          <w:color w:val="auto"/>
          <w:highlight w:val="none"/>
        </w:rPr>
      </w:pPr>
      <w:r>
        <w:rPr>
          <w:rFonts w:hint="eastAsia" w:ascii="宋体" w:hAnsi="宋体" w:cs="宋体"/>
          <w:b/>
          <w:color w:val="auto"/>
          <w:szCs w:val="21"/>
          <w:highlight w:val="none"/>
        </w:rPr>
        <w:t xml:space="preserve">3.1  </w:t>
      </w:r>
      <w:r>
        <w:rPr>
          <w:rFonts w:hint="eastAsia" w:ascii="宋体" w:hAnsi="宋体"/>
          <w:color w:val="auto"/>
          <w:highlight w:val="none"/>
        </w:rPr>
        <w:t>招标范围：</w:t>
      </w:r>
      <w:r>
        <w:rPr>
          <w:rFonts w:ascii="宋体" w:hAnsi="宋体"/>
          <w:color w:val="auto"/>
          <w:highlight w:val="none"/>
        </w:rPr>
        <w:t>见</w:t>
      </w:r>
      <w:r>
        <w:rPr>
          <w:rFonts w:hint="eastAsia" w:ascii="宋体" w:hAnsi="宋体"/>
          <w:color w:val="auto"/>
          <w:highlight w:val="none"/>
        </w:rPr>
        <w:t>“投标资料表”</w:t>
      </w:r>
      <w:r>
        <w:rPr>
          <w:rFonts w:ascii="宋体" w:hAnsi="宋体"/>
          <w:color w:val="auto"/>
          <w:highlight w:val="none"/>
        </w:rPr>
        <w:t>。</w:t>
      </w:r>
    </w:p>
    <w:p>
      <w:pPr>
        <w:spacing w:line="360" w:lineRule="auto"/>
        <w:rPr>
          <w:rFonts w:ascii="宋体" w:hAnsi="宋体"/>
          <w:color w:val="auto"/>
          <w:highlight w:val="none"/>
        </w:rPr>
      </w:pPr>
      <w:r>
        <w:rPr>
          <w:rFonts w:hint="eastAsia" w:ascii="宋体" w:hAnsi="宋体" w:cs="宋体"/>
          <w:b/>
          <w:color w:val="auto"/>
          <w:szCs w:val="21"/>
          <w:highlight w:val="none"/>
        </w:rPr>
        <w:t>3.2</w:t>
      </w:r>
      <w:r>
        <w:rPr>
          <w:rFonts w:hint="eastAsia" w:ascii="宋体" w:hAnsi="宋体"/>
          <w:color w:val="auto"/>
          <w:highlight w:val="none"/>
        </w:rPr>
        <w:t xml:space="preserve">  本项目转包、分包具体要求在招标文件“投标资料表”中做出规定。</w:t>
      </w:r>
    </w:p>
    <w:p>
      <w:pPr>
        <w:spacing w:line="360" w:lineRule="auto"/>
        <w:ind w:firstLine="211" w:firstLineChars="100"/>
        <w:rPr>
          <w:rFonts w:ascii="宋体" w:hAnsi="宋体" w:cs="宋体"/>
          <w:b/>
          <w:color w:val="auto"/>
          <w:szCs w:val="21"/>
          <w:highlight w:val="none"/>
        </w:rPr>
      </w:pPr>
    </w:p>
    <w:p>
      <w:pPr>
        <w:spacing w:line="360" w:lineRule="auto"/>
        <w:rPr>
          <w:rFonts w:ascii="宋体" w:hAnsi="宋体" w:cs="宋体"/>
          <w:b/>
          <w:color w:val="auto"/>
          <w:szCs w:val="21"/>
          <w:highlight w:val="none"/>
        </w:rPr>
      </w:pPr>
      <w:r>
        <w:rPr>
          <w:rFonts w:hint="eastAsia" w:ascii="宋体" w:hAnsi="宋体" w:cs="宋体"/>
          <w:b/>
          <w:color w:val="auto"/>
          <w:szCs w:val="21"/>
          <w:highlight w:val="none"/>
        </w:rPr>
        <w:t>4.   合格的投标人</w:t>
      </w:r>
    </w:p>
    <w:p>
      <w:pPr>
        <w:spacing w:line="360" w:lineRule="auto"/>
        <w:rPr>
          <w:rFonts w:ascii="宋体" w:hAnsi="宋体" w:cs="宋体"/>
          <w:color w:val="auto"/>
          <w:szCs w:val="21"/>
          <w:highlight w:val="none"/>
        </w:rPr>
      </w:pPr>
      <w:r>
        <w:rPr>
          <w:rFonts w:hint="eastAsia" w:ascii="宋体" w:hAnsi="宋体" w:cs="宋体"/>
          <w:b/>
          <w:color w:val="auto"/>
          <w:szCs w:val="21"/>
          <w:highlight w:val="none"/>
        </w:rPr>
        <w:t xml:space="preserve">4.1  </w:t>
      </w:r>
      <w:r>
        <w:rPr>
          <w:rFonts w:hint="eastAsia" w:ascii="宋体" w:hAnsi="宋体" w:cs="宋体"/>
          <w:color w:val="auto"/>
          <w:szCs w:val="21"/>
          <w:highlight w:val="none"/>
        </w:rPr>
        <w:t>合格的投标人应该是：</w:t>
      </w:r>
    </w:p>
    <w:p>
      <w:pPr>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是指向采购人提供货物、工程或者服务的法人、其他组织或者自然人。除金融、保险、通讯、石油石化、电力等特定行业的全国性企业所设立的区域性分支机构允许投标外，其他法人的分支机构不允许参加投标。</w:t>
      </w:r>
    </w:p>
    <w:p>
      <w:pPr>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单位负责人为同一人或者存在直接控股、管理关系的不同投标人，不得参加同一合同项下的政府采购活动。除单一来源采购项目外，为采购项目提供整体设计、规范编制或者项目管理、监理、检测等服务的投标人，不得再参加该采购项目的其他采购活动。</w:t>
      </w:r>
    </w:p>
    <w:p>
      <w:pPr>
        <w:spacing w:line="440" w:lineRule="exact"/>
        <w:ind w:firstLine="422" w:firstLineChars="200"/>
        <w:rPr>
          <w:rFonts w:ascii="宋体" w:hAnsi="宋体"/>
          <w:b/>
          <w:color w:val="auto"/>
          <w:szCs w:val="21"/>
          <w:highlight w:val="none"/>
        </w:rPr>
      </w:pPr>
      <w:r>
        <w:rPr>
          <w:rFonts w:hint="eastAsia" w:ascii="宋体" w:hAnsi="宋体"/>
          <w:b/>
          <w:color w:val="auto"/>
          <w:szCs w:val="21"/>
          <w:highlight w:val="none"/>
        </w:rPr>
        <w:t>根据政府采购相关法律、法规、规章、文件规定并满足招标文件规定资格条件的区域性分支机构、个人独资企业、合伙企业参加本项目投标并由单位负责人签署的相关投标资料与本招标文件规定由法定代表人签署的文件材料具有同等效力。</w:t>
      </w:r>
    </w:p>
    <w:p>
      <w:pPr>
        <w:spacing w:line="400" w:lineRule="exact"/>
        <w:rPr>
          <w:rFonts w:ascii="宋体" w:hAnsi="宋体" w:cs="宋体"/>
          <w:color w:val="auto"/>
          <w:szCs w:val="21"/>
          <w:highlight w:val="none"/>
        </w:rPr>
      </w:pPr>
      <w:r>
        <w:rPr>
          <w:rFonts w:hint="eastAsia" w:ascii="宋体" w:hAnsi="宋体" w:cs="宋体"/>
          <w:b/>
          <w:color w:val="auto"/>
          <w:szCs w:val="21"/>
          <w:highlight w:val="none"/>
        </w:rPr>
        <w:t>4.2</w:t>
      </w:r>
      <w:r>
        <w:rPr>
          <w:rFonts w:hint="eastAsia" w:ascii="宋体" w:hAnsi="宋体" w:cs="宋体"/>
          <w:color w:val="auto"/>
          <w:szCs w:val="21"/>
          <w:highlight w:val="none"/>
        </w:rPr>
        <w:t xml:space="preserve">  符合本招标文件载明的对上述</w:t>
      </w:r>
      <w:r>
        <w:rPr>
          <w:rFonts w:hint="eastAsia" w:ascii="宋体" w:hAnsi="宋体" w:cs="宋体"/>
          <w:b/>
          <w:color w:val="auto"/>
          <w:szCs w:val="21"/>
          <w:highlight w:val="none"/>
        </w:rPr>
        <w:t>4.1</w:t>
      </w:r>
      <w:r>
        <w:rPr>
          <w:rFonts w:hint="eastAsia" w:ascii="宋体" w:hAnsi="宋体" w:cs="宋体"/>
          <w:color w:val="auto"/>
          <w:szCs w:val="21"/>
          <w:highlight w:val="none"/>
        </w:rPr>
        <w:t>条的例外的规定或对投标人资格的其他补充要求：详见招标公告。</w:t>
      </w:r>
    </w:p>
    <w:p>
      <w:pPr>
        <w:spacing w:line="400" w:lineRule="exact"/>
        <w:rPr>
          <w:rFonts w:ascii="宋体" w:hAnsi="宋体" w:cs="宋体"/>
          <w:color w:val="auto"/>
          <w:szCs w:val="21"/>
          <w:highlight w:val="none"/>
        </w:rPr>
      </w:pPr>
    </w:p>
    <w:p>
      <w:pPr>
        <w:spacing w:line="400" w:lineRule="exact"/>
        <w:rPr>
          <w:rFonts w:ascii="宋体" w:hAnsi="宋体" w:cs="宋体"/>
          <w:b/>
          <w:color w:val="auto"/>
          <w:szCs w:val="21"/>
          <w:highlight w:val="none"/>
        </w:rPr>
      </w:pPr>
      <w:r>
        <w:rPr>
          <w:rFonts w:hint="eastAsia" w:ascii="宋体" w:hAnsi="宋体" w:cs="宋体"/>
          <w:b/>
          <w:color w:val="auto"/>
          <w:szCs w:val="21"/>
          <w:highlight w:val="none"/>
        </w:rPr>
        <w:t>5.投标人代表</w:t>
      </w:r>
    </w:p>
    <w:p>
      <w:pPr>
        <w:spacing w:line="400" w:lineRule="exact"/>
        <w:rPr>
          <w:rFonts w:ascii="宋体" w:hAnsi="宋体" w:cs="宋体"/>
          <w:color w:val="auto"/>
          <w:szCs w:val="21"/>
          <w:highlight w:val="none"/>
        </w:rPr>
      </w:pPr>
      <w:r>
        <w:rPr>
          <w:rFonts w:hint="eastAsia" w:ascii="宋体" w:hAnsi="宋体" w:cs="宋体"/>
          <w:b/>
          <w:color w:val="auto"/>
          <w:szCs w:val="21"/>
          <w:highlight w:val="none"/>
        </w:rPr>
        <w:t>5.1</w:t>
      </w:r>
      <w:r>
        <w:rPr>
          <w:rFonts w:hint="eastAsia" w:ascii="宋体" w:hAnsi="宋体" w:cs="宋体"/>
          <w:color w:val="auto"/>
          <w:szCs w:val="21"/>
          <w:highlight w:val="none"/>
        </w:rPr>
        <w:t xml:space="preserve">  投标人代表须持有“单位负责人授权书”。单位负责人是指单位法定代表人或者法律、行政法规规定代表单位行使职权的主要负责人（下同）。</w:t>
      </w:r>
    </w:p>
    <w:p>
      <w:pPr>
        <w:spacing w:line="400" w:lineRule="exact"/>
        <w:rPr>
          <w:rFonts w:ascii="宋体" w:hAnsi="宋体" w:cs="宋体"/>
          <w:color w:val="auto"/>
          <w:szCs w:val="21"/>
          <w:highlight w:val="none"/>
          <w:shd w:val="pct10" w:color="auto" w:fill="FFFFFF"/>
        </w:rPr>
      </w:pPr>
      <w:r>
        <w:rPr>
          <w:rFonts w:hint="eastAsia" w:ascii="宋体" w:hAnsi="宋体" w:cs="宋体"/>
          <w:b/>
          <w:color w:val="auto"/>
          <w:szCs w:val="21"/>
          <w:highlight w:val="none"/>
        </w:rPr>
        <w:t xml:space="preserve">5.2  </w:t>
      </w:r>
      <w:r>
        <w:rPr>
          <w:rFonts w:hint="eastAsia" w:ascii="宋体" w:hAnsi="宋体" w:cs="宋体"/>
          <w:color w:val="auto"/>
          <w:szCs w:val="21"/>
          <w:highlight w:val="none"/>
        </w:rPr>
        <w:t>若投标人代表是单位负责人的，则须符合本须知第</w:t>
      </w:r>
      <w:r>
        <w:rPr>
          <w:rFonts w:hint="eastAsia" w:ascii="宋体" w:hAnsi="宋体" w:cs="宋体"/>
          <w:b/>
          <w:color w:val="auto"/>
          <w:szCs w:val="21"/>
          <w:highlight w:val="none"/>
        </w:rPr>
        <w:t>9.1</w:t>
      </w:r>
      <w:r>
        <w:rPr>
          <w:rFonts w:hint="eastAsia" w:ascii="宋体" w:hAnsi="宋体" w:cs="宋体"/>
          <w:color w:val="auto"/>
          <w:szCs w:val="21"/>
          <w:highlight w:val="none"/>
        </w:rPr>
        <w:t>条的要求。</w:t>
      </w:r>
    </w:p>
    <w:p>
      <w:pPr>
        <w:spacing w:line="400" w:lineRule="exact"/>
        <w:rPr>
          <w:rFonts w:ascii="宋体" w:hAnsi="宋体" w:cs="宋体"/>
          <w:color w:val="auto"/>
          <w:szCs w:val="21"/>
          <w:highlight w:val="none"/>
        </w:rPr>
      </w:pPr>
    </w:p>
    <w:p>
      <w:pPr>
        <w:spacing w:line="400" w:lineRule="exact"/>
        <w:rPr>
          <w:rFonts w:ascii="宋体" w:hAnsi="宋体" w:cs="宋体"/>
          <w:color w:val="auto"/>
          <w:szCs w:val="21"/>
          <w:highlight w:val="none"/>
        </w:rPr>
      </w:pPr>
      <w:r>
        <w:rPr>
          <w:rFonts w:hint="eastAsia" w:ascii="宋体" w:hAnsi="宋体" w:cs="宋体"/>
          <w:b/>
          <w:color w:val="auto"/>
          <w:szCs w:val="21"/>
          <w:highlight w:val="none"/>
        </w:rPr>
        <w:t>6.投标费用</w:t>
      </w:r>
    </w:p>
    <w:p>
      <w:pPr>
        <w:spacing w:line="400" w:lineRule="exact"/>
        <w:rPr>
          <w:rFonts w:ascii="宋体" w:hAnsi="宋体" w:cs="宋体"/>
          <w:color w:val="auto"/>
          <w:szCs w:val="21"/>
          <w:highlight w:val="none"/>
        </w:rPr>
      </w:pPr>
      <w:r>
        <w:rPr>
          <w:rFonts w:hint="eastAsia" w:ascii="宋体" w:hAnsi="宋体" w:cs="宋体"/>
          <w:b/>
          <w:color w:val="auto"/>
          <w:szCs w:val="21"/>
          <w:highlight w:val="none"/>
        </w:rPr>
        <w:t>6.1</w:t>
      </w:r>
      <w:r>
        <w:rPr>
          <w:rFonts w:hint="eastAsia" w:ascii="宋体" w:hAnsi="宋体" w:cs="宋体"/>
          <w:color w:val="auto"/>
          <w:szCs w:val="21"/>
          <w:highlight w:val="none"/>
        </w:rPr>
        <w:t xml:space="preserve">  不论招标的结果如何，投标人自行承担其参加本次投标有关的全部费用。</w:t>
      </w:r>
    </w:p>
    <w:p>
      <w:pPr>
        <w:spacing w:line="400" w:lineRule="exact"/>
        <w:jc w:val="center"/>
        <w:rPr>
          <w:rFonts w:ascii="宋体" w:hAnsi="宋体" w:cs="宋体"/>
          <w:b/>
          <w:color w:val="auto"/>
          <w:sz w:val="28"/>
          <w:highlight w:val="none"/>
        </w:rPr>
      </w:pPr>
    </w:p>
    <w:p>
      <w:pPr>
        <w:jc w:val="center"/>
        <w:outlineLvl w:val="1"/>
        <w:rPr>
          <w:rFonts w:ascii="宋体" w:hAnsi="宋体" w:cs="宋体"/>
          <w:b/>
          <w:color w:val="auto"/>
          <w:sz w:val="28"/>
          <w:highlight w:val="none"/>
        </w:rPr>
      </w:pPr>
      <w:bookmarkStart w:id="69" w:name="_Toc513798901"/>
      <w:bookmarkStart w:id="70" w:name="_Toc136345102"/>
      <w:bookmarkStart w:id="71" w:name="_Toc520902395"/>
      <w:bookmarkStart w:id="72" w:name="_Toc2094"/>
      <w:bookmarkStart w:id="73" w:name="_Toc18467"/>
      <w:bookmarkStart w:id="74" w:name="_Toc513799072"/>
      <w:bookmarkStart w:id="75" w:name="_Toc136017631"/>
      <w:bookmarkStart w:id="76" w:name="_Toc440276562"/>
      <w:r>
        <w:rPr>
          <w:rFonts w:hint="eastAsia" w:ascii="宋体" w:hAnsi="宋体" w:cs="宋体"/>
          <w:b/>
          <w:color w:val="auto"/>
          <w:sz w:val="28"/>
          <w:highlight w:val="none"/>
        </w:rPr>
        <w:t>B  招标文件</w:t>
      </w:r>
      <w:bookmarkEnd w:id="69"/>
      <w:bookmarkEnd w:id="70"/>
      <w:bookmarkEnd w:id="71"/>
      <w:bookmarkEnd w:id="72"/>
      <w:bookmarkEnd w:id="73"/>
      <w:bookmarkEnd w:id="74"/>
      <w:bookmarkEnd w:id="75"/>
      <w:bookmarkEnd w:id="76"/>
    </w:p>
    <w:p>
      <w:pPr>
        <w:spacing w:line="400" w:lineRule="exact"/>
        <w:rPr>
          <w:rFonts w:ascii="宋体" w:hAnsi="宋体" w:cs="宋体"/>
          <w:color w:val="auto"/>
          <w:szCs w:val="21"/>
          <w:highlight w:val="none"/>
        </w:rPr>
      </w:pPr>
      <w:r>
        <w:rPr>
          <w:rFonts w:hint="eastAsia" w:ascii="宋体" w:hAnsi="宋体" w:cs="宋体"/>
          <w:b/>
          <w:color w:val="auto"/>
          <w:szCs w:val="21"/>
          <w:highlight w:val="none"/>
        </w:rPr>
        <w:t>7.招标文件的构成</w:t>
      </w:r>
    </w:p>
    <w:p>
      <w:pPr>
        <w:spacing w:line="400" w:lineRule="exact"/>
        <w:rPr>
          <w:rFonts w:ascii="宋体" w:hAnsi="宋体" w:cs="宋体"/>
          <w:color w:val="auto"/>
          <w:szCs w:val="21"/>
          <w:highlight w:val="none"/>
        </w:rPr>
      </w:pPr>
      <w:r>
        <w:rPr>
          <w:rFonts w:hint="eastAsia" w:ascii="宋体" w:hAnsi="宋体" w:cs="宋体"/>
          <w:b/>
          <w:color w:val="auto"/>
          <w:szCs w:val="21"/>
          <w:highlight w:val="none"/>
        </w:rPr>
        <w:t>7.1</w:t>
      </w:r>
      <w:r>
        <w:rPr>
          <w:rFonts w:hint="eastAsia" w:ascii="宋体" w:hAnsi="宋体" w:cs="宋体"/>
          <w:color w:val="auto"/>
          <w:szCs w:val="21"/>
          <w:highlight w:val="none"/>
        </w:rPr>
        <w:t xml:space="preserve"> 招标文件共有七部分。内容如下：</w:t>
      </w:r>
    </w:p>
    <w:p>
      <w:pPr>
        <w:spacing w:line="400" w:lineRule="exact"/>
        <w:ind w:left="281" w:leftChars="134"/>
        <w:rPr>
          <w:rFonts w:ascii="宋体" w:hAnsi="宋体" w:cs="宋体"/>
          <w:color w:val="auto"/>
          <w:szCs w:val="21"/>
          <w:highlight w:val="none"/>
        </w:rPr>
      </w:pPr>
      <w:r>
        <w:rPr>
          <w:rFonts w:hint="eastAsia" w:ascii="宋体" w:hAnsi="宋体" w:cs="宋体"/>
          <w:color w:val="auto"/>
          <w:szCs w:val="21"/>
          <w:highlight w:val="none"/>
        </w:rPr>
        <w:t>第一部分招标公告</w:t>
      </w:r>
    </w:p>
    <w:p>
      <w:pPr>
        <w:spacing w:line="400" w:lineRule="exact"/>
        <w:ind w:left="281" w:leftChars="134"/>
        <w:rPr>
          <w:rFonts w:ascii="宋体" w:hAnsi="宋体" w:cs="宋体"/>
          <w:color w:val="auto"/>
          <w:szCs w:val="21"/>
          <w:highlight w:val="none"/>
        </w:rPr>
      </w:pPr>
      <w:r>
        <w:rPr>
          <w:rFonts w:hint="eastAsia" w:ascii="宋体" w:hAnsi="宋体" w:cs="宋体"/>
          <w:color w:val="auto"/>
          <w:szCs w:val="21"/>
          <w:highlight w:val="none"/>
        </w:rPr>
        <w:t>第二部分招标项目需求</w:t>
      </w:r>
    </w:p>
    <w:p>
      <w:pPr>
        <w:spacing w:line="400" w:lineRule="exact"/>
        <w:ind w:left="281" w:leftChars="134"/>
        <w:rPr>
          <w:rFonts w:ascii="宋体" w:hAnsi="宋体" w:cs="宋体"/>
          <w:color w:val="auto"/>
          <w:szCs w:val="21"/>
          <w:highlight w:val="none"/>
        </w:rPr>
      </w:pPr>
      <w:r>
        <w:rPr>
          <w:rFonts w:hint="eastAsia" w:ascii="宋体" w:hAnsi="宋体" w:cs="宋体"/>
          <w:color w:val="auto"/>
          <w:szCs w:val="21"/>
          <w:highlight w:val="none"/>
        </w:rPr>
        <w:t>第三部分投标资料表</w:t>
      </w:r>
    </w:p>
    <w:p>
      <w:pPr>
        <w:spacing w:line="400" w:lineRule="exact"/>
        <w:ind w:left="281" w:leftChars="134"/>
        <w:rPr>
          <w:rFonts w:ascii="宋体" w:hAnsi="宋体" w:cs="宋体"/>
          <w:color w:val="auto"/>
          <w:szCs w:val="21"/>
          <w:highlight w:val="none"/>
        </w:rPr>
      </w:pPr>
      <w:r>
        <w:rPr>
          <w:rFonts w:hint="eastAsia" w:ascii="宋体" w:hAnsi="宋体" w:cs="宋体"/>
          <w:color w:val="auto"/>
          <w:szCs w:val="21"/>
          <w:highlight w:val="none"/>
        </w:rPr>
        <w:t>第四部分投标人须知</w:t>
      </w:r>
    </w:p>
    <w:p>
      <w:pPr>
        <w:spacing w:line="400" w:lineRule="exact"/>
        <w:ind w:left="281" w:leftChars="134"/>
        <w:rPr>
          <w:rFonts w:ascii="宋体" w:hAnsi="宋体" w:cs="宋体"/>
          <w:color w:val="auto"/>
          <w:szCs w:val="21"/>
          <w:highlight w:val="none"/>
        </w:rPr>
      </w:pPr>
      <w:r>
        <w:rPr>
          <w:rFonts w:hint="eastAsia" w:ascii="宋体" w:hAnsi="宋体" w:cs="宋体"/>
          <w:color w:val="auto"/>
          <w:szCs w:val="21"/>
          <w:highlight w:val="none"/>
        </w:rPr>
        <w:t>第五部分评标办法</w:t>
      </w:r>
    </w:p>
    <w:p>
      <w:pPr>
        <w:spacing w:line="400" w:lineRule="exact"/>
        <w:ind w:left="281" w:leftChars="134"/>
        <w:rPr>
          <w:rFonts w:ascii="宋体" w:hAnsi="宋体" w:cs="宋体"/>
          <w:color w:val="auto"/>
          <w:szCs w:val="21"/>
          <w:highlight w:val="none"/>
        </w:rPr>
      </w:pPr>
      <w:r>
        <w:rPr>
          <w:rFonts w:hint="eastAsia" w:ascii="宋体" w:hAnsi="宋体" w:cs="宋体"/>
          <w:color w:val="auto"/>
          <w:szCs w:val="21"/>
          <w:highlight w:val="none"/>
        </w:rPr>
        <w:t>第六部分合同格式</w:t>
      </w:r>
    </w:p>
    <w:p>
      <w:pPr>
        <w:spacing w:line="400" w:lineRule="exact"/>
        <w:ind w:left="281" w:leftChars="134"/>
        <w:rPr>
          <w:rFonts w:ascii="宋体" w:hAnsi="宋体" w:cs="宋体"/>
          <w:color w:val="auto"/>
          <w:szCs w:val="21"/>
          <w:highlight w:val="none"/>
        </w:rPr>
      </w:pPr>
      <w:r>
        <w:rPr>
          <w:rFonts w:hint="eastAsia" w:ascii="宋体" w:hAnsi="宋体" w:cs="宋体"/>
          <w:color w:val="auto"/>
          <w:szCs w:val="21"/>
          <w:highlight w:val="none"/>
        </w:rPr>
        <w:t>第七部分投标文件格式</w:t>
      </w:r>
    </w:p>
    <w:p>
      <w:pPr>
        <w:spacing w:line="400" w:lineRule="exact"/>
        <w:ind w:firstLine="422" w:firstLineChars="200"/>
        <w:rPr>
          <w:rFonts w:ascii="宋体" w:hAnsi="宋体" w:cs="宋体"/>
          <w:b/>
          <w:color w:val="auto"/>
          <w:szCs w:val="21"/>
          <w:highlight w:val="none"/>
        </w:rPr>
      </w:pPr>
      <w:r>
        <w:rPr>
          <w:rFonts w:hint="eastAsia" w:ascii="宋体" w:hAnsi="宋体" w:cs="宋体"/>
          <w:b/>
          <w:color w:val="auto"/>
          <w:szCs w:val="21"/>
          <w:highlight w:val="none"/>
        </w:rPr>
        <w:t>投标人应详细阅读招标文件的全部内容和要求，不按招标文件的要求提供投标文件和资料导致的风险由投标人承担。</w:t>
      </w:r>
    </w:p>
    <w:p>
      <w:pPr>
        <w:spacing w:line="400" w:lineRule="exact"/>
        <w:rPr>
          <w:rFonts w:ascii="宋体" w:hAnsi="宋体" w:cs="宋体"/>
          <w:color w:val="auto"/>
          <w:szCs w:val="21"/>
          <w:highlight w:val="none"/>
        </w:rPr>
      </w:pPr>
      <w:r>
        <w:rPr>
          <w:rFonts w:hint="eastAsia" w:ascii="宋体" w:hAnsi="宋体" w:cs="宋体"/>
          <w:b/>
          <w:color w:val="auto"/>
          <w:szCs w:val="21"/>
          <w:highlight w:val="none"/>
        </w:rPr>
        <w:t xml:space="preserve">7.2 </w:t>
      </w:r>
      <w:r>
        <w:rPr>
          <w:rFonts w:hint="eastAsia" w:ascii="宋体" w:hAnsi="宋体" w:cs="宋体"/>
          <w:color w:val="auto"/>
          <w:szCs w:val="21"/>
          <w:highlight w:val="none"/>
        </w:rPr>
        <w:t>与本项目有关的澄清或者修改的内容为招标文件的组成部分。</w:t>
      </w:r>
    </w:p>
    <w:p>
      <w:pPr>
        <w:spacing w:line="400" w:lineRule="exact"/>
        <w:ind w:firstLine="211" w:firstLineChars="100"/>
        <w:rPr>
          <w:rFonts w:ascii="宋体" w:hAnsi="宋体" w:cs="宋体"/>
          <w:b/>
          <w:color w:val="auto"/>
          <w:szCs w:val="21"/>
          <w:highlight w:val="none"/>
        </w:rPr>
      </w:pPr>
    </w:p>
    <w:p>
      <w:pPr>
        <w:spacing w:line="400" w:lineRule="exact"/>
        <w:rPr>
          <w:rFonts w:ascii="宋体" w:hAnsi="宋体" w:cs="宋体"/>
          <w:b/>
          <w:color w:val="auto"/>
          <w:szCs w:val="21"/>
          <w:highlight w:val="none"/>
        </w:rPr>
      </w:pPr>
      <w:r>
        <w:rPr>
          <w:rFonts w:hint="eastAsia" w:ascii="宋体" w:hAnsi="宋体" w:cs="宋体"/>
          <w:b/>
          <w:color w:val="auto"/>
          <w:szCs w:val="21"/>
          <w:highlight w:val="none"/>
        </w:rPr>
        <w:t>8.招标文件的澄清和修改</w:t>
      </w:r>
    </w:p>
    <w:p>
      <w:pPr>
        <w:spacing w:line="400" w:lineRule="exact"/>
        <w:rPr>
          <w:rFonts w:ascii="宋体" w:hAnsi="宋体" w:cs="宋体"/>
          <w:color w:val="auto"/>
          <w:szCs w:val="21"/>
          <w:highlight w:val="none"/>
        </w:rPr>
      </w:pPr>
      <w:r>
        <w:rPr>
          <w:rFonts w:hint="eastAsia" w:ascii="宋体" w:hAnsi="宋体" w:cs="宋体"/>
          <w:b/>
          <w:color w:val="auto"/>
          <w:szCs w:val="21"/>
          <w:highlight w:val="none"/>
        </w:rPr>
        <w:t>8.1</w:t>
      </w:r>
      <w:r>
        <w:rPr>
          <w:rFonts w:hint="eastAsia" w:ascii="宋体" w:hAnsi="宋体" w:cs="宋体"/>
          <w:color w:val="auto"/>
          <w:szCs w:val="21"/>
          <w:highlight w:val="none"/>
        </w:rPr>
        <w:t>采购人或者采购代理机构可以在招标文件提供期限截止后，组织已获取招标文件的潜在投标人现场考察或者召开开标前答疑会。组织现场考察或者召开答疑会的在招标文件“投标资料表”中载明。</w:t>
      </w:r>
    </w:p>
    <w:p>
      <w:pPr>
        <w:spacing w:line="400" w:lineRule="exact"/>
        <w:rPr>
          <w:rFonts w:ascii="宋体" w:hAnsi="宋体" w:cs="宋体"/>
          <w:color w:val="auto"/>
          <w:szCs w:val="21"/>
          <w:highlight w:val="none"/>
        </w:rPr>
      </w:pPr>
      <w:r>
        <w:rPr>
          <w:rFonts w:hint="eastAsia" w:ascii="宋体" w:hAnsi="宋体" w:cs="宋体"/>
          <w:b/>
          <w:color w:val="auto"/>
          <w:szCs w:val="21"/>
          <w:highlight w:val="none"/>
        </w:rPr>
        <w:t xml:space="preserve">8.2  </w:t>
      </w:r>
      <w:r>
        <w:rPr>
          <w:rFonts w:hint="eastAsia" w:ascii="宋体" w:hAnsi="宋体" w:cs="宋体"/>
          <w:color w:val="auto"/>
          <w:szCs w:val="21"/>
          <w:highlight w:val="none"/>
        </w:rPr>
        <w:t>若潜在投标人对招标文件有疑点，要求采购人澄清的，应以书面形式通知采购代理机构，要求澄清的截止时间同有效质疑的截止时间。</w:t>
      </w:r>
    </w:p>
    <w:p>
      <w:pPr>
        <w:spacing w:line="400" w:lineRule="exact"/>
        <w:rPr>
          <w:rFonts w:ascii="宋体" w:hAnsi="宋体" w:cs="宋体"/>
          <w:color w:val="auto"/>
          <w:szCs w:val="21"/>
          <w:highlight w:val="none"/>
        </w:rPr>
      </w:pPr>
      <w:r>
        <w:rPr>
          <w:rFonts w:hint="eastAsia" w:ascii="宋体" w:hAnsi="宋体" w:cs="宋体"/>
          <w:b/>
          <w:color w:val="auto"/>
          <w:szCs w:val="21"/>
          <w:highlight w:val="none"/>
        </w:rPr>
        <w:t>8.3</w:t>
      </w:r>
      <w:r>
        <w:rPr>
          <w:rFonts w:hint="eastAsia" w:ascii="宋体" w:hAnsi="宋体" w:cs="宋体"/>
          <w:color w:val="auto"/>
          <w:szCs w:val="21"/>
          <w:highlight w:val="none"/>
        </w:rPr>
        <w:t xml:space="preserve">  采购人或者采购代理机构可以对已发出的招标文件进行必要的澄清或者修改，但不得改变采购标的和资格条件。澄清或者修改在原公告发布媒体上发布更正公告。更正公告为招标文件的组成部分，一经在网站发布，视同已通知所有招标文件的收受人，不再采用其它方式传达相关信息，若因未能及时了解到上述网站上发布的相关信息而导致的一切后果由投标人自行承担。</w:t>
      </w:r>
    </w:p>
    <w:p>
      <w:pPr>
        <w:spacing w:line="400" w:lineRule="exact"/>
        <w:rPr>
          <w:rFonts w:ascii="宋体" w:hAnsi="宋体" w:cs="宋体"/>
          <w:color w:val="auto"/>
          <w:szCs w:val="21"/>
          <w:highlight w:val="none"/>
        </w:rPr>
      </w:pPr>
      <w:r>
        <w:rPr>
          <w:rFonts w:hint="eastAsia" w:ascii="宋体" w:hAnsi="宋体" w:cs="宋体"/>
          <w:b/>
          <w:color w:val="auto"/>
          <w:szCs w:val="21"/>
          <w:highlight w:val="none"/>
        </w:rPr>
        <w:t>8.4</w:t>
      </w:r>
      <w:r>
        <w:rPr>
          <w:rFonts w:hint="eastAsia" w:ascii="宋体" w:hAnsi="宋体" w:cs="宋体"/>
          <w:color w:val="auto"/>
          <w:szCs w:val="21"/>
          <w:highlight w:val="none"/>
        </w:rPr>
        <w:t xml:space="preserve">  澄清或者修改的内容可能影响投标文件编制的，采购人或者采购代理机构在投标截止时间至少15日前，以书面形式（纸质、传真或电子邮件形式）通知所有获取招标文件的潜在投标人；不足15日的，采购人或者采购代理机构顺延提交投标文件的截止时间。</w:t>
      </w:r>
    </w:p>
    <w:p>
      <w:pPr>
        <w:spacing w:line="400" w:lineRule="exact"/>
        <w:rPr>
          <w:rFonts w:ascii="宋体" w:hAnsi="宋体" w:cs="宋体"/>
          <w:color w:val="auto"/>
          <w:szCs w:val="24"/>
          <w:highlight w:val="none"/>
          <w:u w:val="single"/>
        </w:rPr>
      </w:pPr>
    </w:p>
    <w:p>
      <w:pPr>
        <w:jc w:val="center"/>
        <w:outlineLvl w:val="1"/>
        <w:rPr>
          <w:rFonts w:ascii="宋体" w:hAnsi="宋体" w:cs="宋体"/>
          <w:b/>
          <w:color w:val="auto"/>
          <w:sz w:val="28"/>
          <w:highlight w:val="none"/>
        </w:rPr>
      </w:pPr>
      <w:bookmarkStart w:id="77" w:name="_Toc24226"/>
      <w:bookmarkStart w:id="78" w:name="_Toc136017632"/>
      <w:bookmarkStart w:id="79" w:name="_Toc513799073"/>
      <w:bookmarkStart w:id="80" w:name="_Toc440276563"/>
      <w:bookmarkStart w:id="81" w:name="_Toc513798902"/>
      <w:bookmarkStart w:id="82" w:name="_Toc5520"/>
      <w:bookmarkStart w:id="83" w:name="_Toc520902396"/>
      <w:bookmarkStart w:id="84" w:name="_Toc136345103"/>
      <w:r>
        <w:rPr>
          <w:rFonts w:hint="eastAsia" w:ascii="宋体" w:hAnsi="宋体" w:cs="宋体"/>
          <w:b/>
          <w:color w:val="auto"/>
          <w:sz w:val="28"/>
          <w:highlight w:val="none"/>
        </w:rPr>
        <w:t>C  投标文件</w:t>
      </w:r>
      <w:bookmarkEnd w:id="77"/>
      <w:bookmarkEnd w:id="78"/>
      <w:bookmarkEnd w:id="79"/>
      <w:bookmarkEnd w:id="80"/>
      <w:bookmarkEnd w:id="81"/>
      <w:bookmarkEnd w:id="82"/>
      <w:bookmarkEnd w:id="83"/>
      <w:bookmarkEnd w:id="84"/>
    </w:p>
    <w:p>
      <w:pPr>
        <w:spacing w:line="360" w:lineRule="auto"/>
        <w:rPr>
          <w:rFonts w:ascii="宋体" w:hAnsi="宋体" w:cs="宋体"/>
          <w:b/>
          <w:color w:val="auto"/>
          <w:szCs w:val="21"/>
          <w:highlight w:val="none"/>
        </w:rPr>
      </w:pPr>
      <w:r>
        <w:rPr>
          <w:rFonts w:hint="eastAsia" w:ascii="宋体" w:hAnsi="宋体" w:cs="宋体"/>
          <w:b/>
          <w:color w:val="auto"/>
          <w:szCs w:val="21"/>
          <w:highlight w:val="none"/>
        </w:rPr>
        <w:t>9. 投标文件的组成</w:t>
      </w:r>
    </w:p>
    <w:p>
      <w:pPr>
        <w:spacing w:line="400" w:lineRule="exact"/>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b/>
          <w:color w:val="auto"/>
          <w:szCs w:val="21"/>
          <w:highlight w:val="none"/>
        </w:rPr>
        <w:t>9.1</w:t>
      </w:r>
      <w:r>
        <w:rPr>
          <w:rFonts w:hint="eastAsia" w:cs="宋体" w:asciiTheme="minorEastAsia" w:hAnsiTheme="minorEastAsia" w:eastAsiaTheme="minorEastAsia"/>
          <w:b/>
          <w:bCs/>
          <w:color w:val="auto"/>
          <w:kern w:val="0"/>
          <w:szCs w:val="21"/>
          <w:highlight w:val="none"/>
        </w:rPr>
        <w:t xml:space="preserve">投标文件的形式和效力 </w:t>
      </w:r>
    </w:p>
    <w:p>
      <w:pPr>
        <w:widowControl/>
        <w:spacing w:line="360" w:lineRule="auto"/>
        <w:ind w:firstLine="420" w:firstLineChars="200"/>
        <w:jc w:val="left"/>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Cs w:val="21"/>
          <w:highlight w:val="none"/>
        </w:rPr>
        <w:t>（1）投标文件分为电子投标文件以及备份投标文件，备份投标文件为以 U 盘存储的电子备份投标文件。</w:t>
      </w:r>
    </w:p>
    <w:p>
      <w:pPr>
        <w:widowControl/>
        <w:spacing w:line="360" w:lineRule="auto"/>
        <w:ind w:firstLine="420" w:firstLineChars="200"/>
        <w:jc w:val="left"/>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Cs w:val="21"/>
          <w:highlight w:val="none"/>
        </w:rPr>
        <w:t xml:space="preserve">（2）电子投标文件，按“政采云供应商项目采购-电子招投标操作指南”及本招标文件要求制作、加密并递交。 </w:t>
      </w:r>
    </w:p>
    <w:p>
      <w:pPr>
        <w:widowControl/>
        <w:spacing w:line="360" w:lineRule="auto"/>
        <w:ind w:firstLine="420" w:firstLineChars="200"/>
        <w:jc w:val="left"/>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Cs w:val="21"/>
          <w:highlight w:val="none"/>
        </w:rPr>
        <w:t>（3）以 U 盘存储的电子备份投标文件，须按“政采云供应商项目采购-电子招投标操作指南”制作的备份文件（后缀格式为“.bfbs”）。因 U 盘损坏无法正常获取电子备份文件或 U 盘存储的电子备份投标文件格式原因未能成功上传政采云系统的均作无效标处理，一切责任由投标人自行负责。</w:t>
      </w:r>
    </w:p>
    <w:p>
      <w:pPr>
        <w:spacing w:line="400" w:lineRule="exact"/>
        <w:ind w:firstLine="422" w:firstLineChars="200"/>
        <w:rPr>
          <w:rFonts w:ascii="宋体" w:hAnsi="宋体" w:cs="宋体"/>
          <w:color w:val="auto"/>
          <w:szCs w:val="21"/>
          <w:highlight w:val="none"/>
        </w:rPr>
      </w:pPr>
      <w:r>
        <w:rPr>
          <w:rFonts w:hint="eastAsia" w:cs="宋体" w:asciiTheme="minorEastAsia" w:hAnsiTheme="minorEastAsia" w:eastAsiaTheme="minorEastAsia"/>
          <w:b/>
          <w:color w:val="auto"/>
          <w:kern w:val="0"/>
          <w:szCs w:val="21"/>
          <w:highlight w:val="none"/>
        </w:rPr>
        <w:t>（</w:t>
      </w:r>
      <w:r>
        <w:rPr>
          <w:rFonts w:hint="eastAsia" w:cs="宋体" w:asciiTheme="minorEastAsia" w:hAnsiTheme="minorEastAsia" w:eastAsiaTheme="minorEastAsia"/>
          <w:b/>
          <w:bCs/>
          <w:color w:val="auto"/>
          <w:kern w:val="0"/>
          <w:szCs w:val="21"/>
          <w:highlight w:val="none"/>
        </w:rPr>
        <w:t>4）投标文件的效力：投标文件的启用，按先后顺位分别为电子投标文件、以 U 盘存储的电子备份投标文件。在下一顺位的投标文件启用时，前一顺位的投标文件自动失效。电子投标文件未能按时解密，投标人提供了电子备份投标文件，以电子备份投标文件作为依据，否则视为投标文件撤回。电子投标文件已按时解密的，电子备份投标文件自动失效。</w:t>
      </w:r>
    </w:p>
    <w:p>
      <w:pPr>
        <w:spacing w:line="400" w:lineRule="exact"/>
        <w:rPr>
          <w:rFonts w:ascii="宋体" w:hAnsi="宋体" w:cs="宋体"/>
          <w:color w:val="auto"/>
          <w:szCs w:val="21"/>
          <w:highlight w:val="none"/>
        </w:rPr>
      </w:pPr>
      <w:r>
        <w:rPr>
          <w:rFonts w:hint="eastAsia" w:ascii="宋体" w:hAnsi="宋体" w:cs="宋体"/>
          <w:b/>
          <w:color w:val="auto"/>
          <w:szCs w:val="21"/>
          <w:highlight w:val="none"/>
        </w:rPr>
        <w:t>9.2</w:t>
      </w:r>
      <w:r>
        <w:rPr>
          <w:rFonts w:hint="eastAsia" w:cs="宋体" w:asciiTheme="minorEastAsia" w:hAnsiTheme="minorEastAsia" w:eastAsiaTheme="minorEastAsia"/>
          <w:bCs/>
          <w:color w:val="auto"/>
          <w:kern w:val="0"/>
          <w:szCs w:val="21"/>
          <w:highlight w:val="none"/>
        </w:rPr>
        <w:t>投标文件由资格文件、商务技术文件和报价文件三部分组成，资格文件、商务技术文件、报价文件分别编制；电子投标文件中所须加盖公章部分均采用 CA 签章。</w:t>
      </w:r>
      <w:r>
        <w:rPr>
          <w:rFonts w:hint="eastAsia" w:ascii="宋体" w:hAnsi="宋体" w:cs="宋体"/>
          <w:color w:val="auto"/>
          <w:szCs w:val="21"/>
          <w:highlight w:val="none"/>
        </w:rPr>
        <w:t>具体组成内容在本招标文件“投标资料表”中做出规定。</w:t>
      </w:r>
    </w:p>
    <w:p>
      <w:pPr>
        <w:spacing w:line="440" w:lineRule="exact"/>
        <w:rPr>
          <w:rFonts w:ascii="宋体" w:hAnsi="宋体"/>
          <w:color w:val="auto"/>
          <w:szCs w:val="21"/>
          <w:highlight w:val="none"/>
        </w:rPr>
      </w:pPr>
      <w:r>
        <w:rPr>
          <w:rFonts w:hint="eastAsia" w:ascii="宋体" w:hAnsi="宋体"/>
          <w:b/>
          <w:color w:val="auto"/>
          <w:szCs w:val="21"/>
          <w:highlight w:val="none"/>
        </w:rPr>
        <w:t>9.3</w:t>
      </w:r>
      <w:r>
        <w:rPr>
          <w:rFonts w:hint="eastAsia" w:ascii="宋体" w:hAnsi="宋体"/>
          <w:color w:val="auto"/>
          <w:szCs w:val="21"/>
          <w:highlight w:val="none"/>
        </w:rPr>
        <w:t xml:space="preserve">  组成投标文件的各项资料中本招标书的有规定格式的，应统一按本招标书的规定格式填写。未有规定格式的资料，投标人应自行编制，但至少要包含组成投标文件要求的内容。</w:t>
      </w:r>
    </w:p>
    <w:p>
      <w:pPr>
        <w:spacing w:line="440" w:lineRule="exact"/>
        <w:rPr>
          <w:rFonts w:ascii="宋体" w:hAnsi="宋体"/>
          <w:color w:val="auto"/>
          <w:szCs w:val="21"/>
          <w:highlight w:val="none"/>
        </w:rPr>
      </w:pPr>
    </w:p>
    <w:p>
      <w:pPr>
        <w:spacing w:line="400" w:lineRule="exact"/>
        <w:rPr>
          <w:rFonts w:ascii="宋体" w:hAnsi="宋体" w:cs="宋体"/>
          <w:b/>
          <w:color w:val="auto"/>
          <w:szCs w:val="21"/>
          <w:highlight w:val="none"/>
        </w:rPr>
      </w:pPr>
      <w:r>
        <w:rPr>
          <w:rFonts w:hint="eastAsia" w:ascii="宋体" w:hAnsi="宋体" w:cs="宋体"/>
          <w:b/>
          <w:color w:val="auto"/>
          <w:szCs w:val="21"/>
          <w:highlight w:val="none"/>
        </w:rPr>
        <w:t>10.  投标报价</w:t>
      </w:r>
    </w:p>
    <w:p>
      <w:pPr>
        <w:spacing w:line="400" w:lineRule="exact"/>
        <w:rPr>
          <w:rFonts w:ascii="宋体" w:hAnsi="宋体" w:cs="宋体"/>
          <w:color w:val="auto"/>
          <w:szCs w:val="21"/>
          <w:highlight w:val="none"/>
        </w:rPr>
      </w:pPr>
      <w:r>
        <w:rPr>
          <w:rFonts w:hint="eastAsia" w:ascii="宋体" w:hAnsi="宋体" w:cs="宋体"/>
          <w:b/>
          <w:color w:val="auto"/>
          <w:szCs w:val="21"/>
          <w:highlight w:val="none"/>
        </w:rPr>
        <w:t>10.1</w:t>
      </w:r>
      <w:r>
        <w:rPr>
          <w:rFonts w:hint="eastAsia" w:ascii="宋体" w:hAnsi="宋体" w:cs="宋体"/>
          <w:color w:val="auto"/>
          <w:szCs w:val="21"/>
          <w:highlight w:val="none"/>
        </w:rPr>
        <w:t xml:space="preserve">  本次招标对投标报价组成的具体要求在招标文件“投标资料表”中做出规定。</w:t>
      </w:r>
    </w:p>
    <w:p>
      <w:pPr>
        <w:spacing w:line="400" w:lineRule="exact"/>
        <w:rPr>
          <w:rFonts w:ascii="宋体" w:hAnsi="宋体" w:cs="宋体"/>
          <w:color w:val="auto"/>
          <w:szCs w:val="21"/>
          <w:highlight w:val="none"/>
        </w:rPr>
      </w:pPr>
      <w:r>
        <w:rPr>
          <w:rFonts w:hint="eastAsia" w:ascii="宋体" w:hAnsi="宋体" w:cs="宋体"/>
          <w:b/>
          <w:color w:val="auto"/>
          <w:szCs w:val="21"/>
          <w:highlight w:val="none"/>
        </w:rPr>
        <w:t xml:space="preserve">10.2  </w:t>
      </w:r>
      <w:r>
        <w:rPr>
          <w:rFonts w:hint="eastAsia" w:ascii="宋体" w:hAnsi="宋体" w:cs="宋体"/>
          <w:color w:val="auto"/>
          <w:szCs w:val="21"/>
          <w:highlight w:val="none"/>
        </w:rPr>
        <w:t>投标人要按照招标文件中的“开标一览表”格式和内容完整填写投标总价及其他事项。</w:t>
      </w:r>
    </w:p>
    <w:p>
      <w:pPr>
        <w:spacing w:line="400" w:lineRule="exact"/>
        <w:rPr>
          <w:rFonts w:ascii="宋体" w:hAnsi="宋体" w:cs="宋体"/>
          <w:color w:val="auto"/>
          <w:szCs w:val="21"/>
          <w:highlight w:val="none"/>
        </w:rPr>
      </w:pPr>
      <w:r>
        <w:rPr>
          <w:rFonts w:hint="eastAsia" w:ascii="宋体" w:hAnsi="宋体" w:cs="宋体"/>
          <w:b/>
          <w:color w:val="auto"/>
          <w:szCs w:val="21"/>
          <w:highlight w:val="none"/>
        </w:rPr>
        <w:t>10.3</w:t>
      </w:r>
      <w:r>
        <w:rPr>
          <w:rFonts w:hint="eastAsia" w:ascii="宋体" w:hAnsi="宋体" w:cs="宋体"/>
          <w:color w:val="auto"/>
          <w:szCs w:val="21"/>
          <w:highlight w:val="none"/>
        </w:rPr>
        <w:t xml:space="preserve">  除非招标文件另有备选投标方案的规定，投标应该只有一个投标报价。投标人若有投标声明，应载明在“开标一览表”中，供开标时唱出，未经唱出的声明在评标时不作考虑。</w:t>
      </w:r>
    </w:p>
    <w:p>
      <w:pPr>
        <w:spacing w:line="400" w:lineRule="exact"/>
        <w:rPr>
          <w:rFonts w:ascii="宋体" w:hAnsi="宋体" w:cs="宋体"/>
          <w:b/>
          <w:color w:val="auto"/>
          <w:szCs w:val="21"/>
          <w:highlight w:val="none"/>
        </w:rPr>
      </w:pPr>
      <w:r>
        <w:rPr>
          <w:rFonts w:hint="eastAsia" w:ascii="宋体" w:hAnsi="宋体" w:cs="宋体"/>
          <w:b/>
          <w:color w:val="auto"/>
          <w:szCs w:val="21"/>
          <w:highlight w:val="none"/>
        </w:rPr>
        <w:t xml:space="preserve">10.4  </w:t>
      </w:r>
      <w:r>
        <w:rPr>
          <w:rFonts w:hint="eastAsia" w:ascii="宋体" w:hAnsi="宋体" w:cs="宋体"/>
          <w:color w:val="auto"/>
          <w:szCs w:val="21"/>
          <w:highlight w:val="none"/>
        </w:rPr>
        <w:t>开标后以及在评标及中标后的合同执行过程中，投标人不得以任何理由变更投标价格。</w:t>
      </w:r>
      <w:r>
        <w:rPr>
          <w:rFonts w:hint="eastAsia" w:ascii="宋体" w:hAnsi="宋体" w:cs="宋体"/>
          <w:b/>
          <w:color w:val="auto"/>
          <w:szCs w:val="21"/>
          <w:highlight w:val="none"/>
        </w:rPr>
        <w:t>若投标人在中标以后做出任何改变投标价格的决定，将被视作撤标而失去中标资格。</w:t>
      </w:r>
    </w:p>
    <w:p>
      <w:pPr>
        <w:spacing w:line="400" w:lineRule="exact"/>
        <w:rPr>
          <w:rFonts w:ascii="宋体" w:hAnsi="宋体" w:cs="宋体"/>
          <w:b/>
          <w:color w:val="auto"/>
          <w:szCs w:val="21"/>
          <w:highlight w:val="none"/>
        </w:rPr>
      </w:pPr>
      <w:r>
        <w:rPr>
          <w:rFonts w:hint="eastAsia" w:ascii="宋体" w:hAnsi="宋体" w:cs="宋体"/>
          <w:b/>
          <w:color w:val="auto"/>
          <w:szCs w:val="21"/>
          <w:highlight w:val="none"/>
        </w:rPr>
        <w:t>10.5  本项目采用最高投标限价，超过最高限价的投标文件无效。</w:t>
      </w:r>
    </w:p>
    <w:p>
      <w:pPr>
        <w:spacing w:line="400" w:lineRule="exact"/>
        <w:rPr>
          <w:rFonts w:ascii="宋体" w:hAnsi="宋体" w:cs="宋体"/>
          <w:b/>
          <w:color w:val="auto"/>
          <w:szCs w:val="21"/>
          <w:highlight w:val="none"/>
        </w:rPr>
      </w:pPr>
      <w:r>
        <w:rPr>
          <w:rFonts w:hint="eastAsia" w:ascii="宋体" w:hAnsi="宋体" w:cs="宋体"/>
          <w:b/>
          <w:color w:val="auto"/>
          <w:szCs w:val="21"/>
          <w:highlight w:val="none"/>
        </w:rPr>
        <w:t xml:space="preserve">10.6  </w:t>
      </w:r>
      <w:r>
        <w:rPr>
          <w:rFonts w:hint="eastAsia" w:ascii="宋体" w:hAnsi="宋体" w:cs="宋体"/>
          <w:color w:val="auto"/>
          <w:szCs w:val="21"/>
          <w:highlight w:val="none"/>
        </w:rPr>
        <w:t>本项目的投标货币为人民币。</w:t>
      </w:r>
    </w:p>
    <w:p>
      <w:pPr>
        <w:spacing w:line="400" w:lineRule="exact"/>
        <w:rPr>
          <w:rFonts w:ascii="宋体" w:hAnsi="宋体" w:cs="宋体"/>
          <w:b/>
          <w:color w:val="auto"/>
          <w:szCs w:val="21"/>
          <w:highlight w:val="none"/>
        </w:rPr>
      </w:pPr>
    </w:p>
    <w:p>
      <w:pPr>
        <w:spacing w:line="400" w:lineRule="exact"/>
        <w:rPr>
          <w:rFonts w:ascii="宋体" w:hAnsi="宋体" w:cs="宋体"/>
          <w:color w:val="auto"/>
          <w:szCs w:val="21"/>
          <w:highlight w:val="none"/>
        </w:rPr>
      </w:pPr>
      <w:r>
        <w:rPr>
          <w:rFonts w:hint="eastAsia" w:ascii="宋体" w:hAnsi="宋体" w:cs="宋体"/>
          <w:b/>
          <w:color w:val="auto"/>
          <w:szCs w:val="21"/>
          <w:highlight w:val="none"/>
        </w:rPr>
        <w:t>11.  投标文件的格式和编写</w:t>
      </w:r>
    </w:p>
    <w:p>
      <w:pPr>
        <w:spacing w:line="400" w:lineRule="exact"/>
        <w:rPr>
          <w:rFonts w:ascii="宋体" w:hAnsi="宋体" w:cs="宋体"/>
          <w:color w:val="auto"/>
          <w:szCs w:val="21"/>
          <w:highlight w:val="none"/>
        </w:rPr>
      </w:pPr>
      <w:r>
        <w:rPr>
          <w:rFonts w:hint="eastAsia" w:ascii="宋体" w:hAnsi="宋体" w:cs="宋体"/>
          <w:b/>
          <w:color w:val="auto"/>
          <w:szCs w:val="21"/>
          <w:highlight w:val="none"/>
        </w:rPr>
        <w:t>11.1</w:t>
      </w:r>
      <w:r>
        <w:rPr>
          <w:rFonts w:hint="eastAsia" w:ascii="宋体" w:hAnsi="宋体" w:cs="宋体"/>
          <w:color w:val="auto"/>
          <w:szCs w:val="21"/>
          <w:highlight w:val="none"/>
        </w:rPr>
        <w:t xml:space="preserve">  投标文件须按“投标文件的有关格式”提供的统一格式填写、签署和加盖公章。</w:t>
      </w:r>
    </w:p>
    <w:p>
      <w:pPr>
        <w:spacing w:line="400" w:lineRule="exact"/>
        <w:rPr>
          <w:rFonts w:ascii="宋体" w:hAnsi="宋体" w:cs="宋体"/>
          <w:color w:val="auto"/>
          <w:szCs w:val="21"/>
          <w:highlight w:val="none"/>
        </w:rPr>
      </w:pPr>
      <w:r>
        <w:rPr>
          <w:rFonts w:hint="eastAsia" w:ascii="宋体" w:hAnsi="宋体" w:cs="宋体"/>
          <w:b/>
          <w:color w:val="auto"/>
          <w:szCs w:val="21"/>
          <w:highlight w:val="none"/>
        </w:rPr>
        <w:t xml:space="preserve">11.2 </w:t>
      </w:r>
      <w:r>
        <w:rPr>
          <w:rFonts w:hint="eastAsia" w:ascii="宋体" w:hAnsi="宋体" w:cs="宋体"/>
          <w:color w:val="auto"/>
          <w:szCs w:val="21"/>
          <w:highlight w:val="none"/>
        </w:rPr>
        <w:t xml:space="preserve"> “开标一览表”应按照统一格式填写，不得自行增减内容。</w:t>
      </w:r>
    </w:p>
    <w:p>
      <w:pPr>
        <w:widowControl/>
        <w:spacing w:line="360" w:lineRule="auto"/>
        <w:rPr>
          <w:rFonts w:ascii="宋体" w:hAnsi="宋体" w:cs="宋体"/>
          <w:color w:val="auto"/>
          <w:szCs w:val="21"/>
          <w:highlight w:val="none"/>
        </w:rPr>
      </w:pPr>
      <w:r>
        <w:rPr>
          <w:rFonts w:hint="eastAsia" w:cs="宋体" w:asciiTheme="minorEastAsia" w:hAnsiTheme="minorEastAsia" w:eastAsiaTheme="minorEastAsia"/>
          <w:b/>
          <w:color w:val="auto"/>
          <w:szCs w:val="21"/>
          <w:highlight w:val="none"/>
        </w:rPr>
        <w:t xml:space="preserve">11.3  </w:t>
      </w:r>
      <w:r>
        <w:rPr>
          <w:rFonts w:hint="eastAsia" w:cs="宋体" w:asciiTheme="minorEastAsia" w:hAnsiTheme="minorEastAsia" w:eastAsiaTheme="minorEastAsia"/>
          <w:bCs/>
          <w:color w:val="auto"/>
          <w:szCs w:val="21"/>
          <w:highlight w:val="none"/>
        </w:rPr>
        <w:t>投标书文件数量</w:t>
      </w:r>
      <w:r>
        <w:rPr>
          <w:rFonts w:hint="eastAsia" w:ascii="宋体" w:hAnsi="宋体" w:cs="宋体"/>
          <w:color w:val="auto"/>
          <w:szCs w:val="21"/>
          <w:highlight w:val="none"/>
        </w:rPr>
        <w:t>的具体要求在招标文件“投标资料表”中做出规定。</w:t>
      </w:r>
    </w:p>
    <w:p>
      <w:pPr>
        <w:widowControl/>
        <w:spacing w:line="360" w:lineRule="auto"/>
        <w:jc w:val="left"/>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b/>
          <w:color w:val="auto"/>
          <w:szCs w:val="21"/>
          <w:highlight w:val="none"/>
        </w:rPr>
        <w:t xml:space="preserve">1.4  </w:t>
      </w:r>
      <w:r>
        <w:rPr>
          <w:rFonts w:hint="eastAsia" w:cs="宋体" w:asciiTheme="minorEastAsia" w:hAnsiTheme="minorEastAsia" w:eastAsiaTheme="minorEastAsia"/>
          <w:b/>
          <w:bCs/>
          <w:color w:val="auto"/>
          <w:kern w:val="0"/>
          <w:szCs w:val="21"/>
          <w:highlight w:val="none"/>
        </w:rPr>
        <w:t>电子投标文件部分：投标人应根据“政采云供应商项目采购-电子招投标操作指南”及本招标文件规定的格式和顺序编制电子投标文件并进行关联定位；电子投标文件中须加盖投标人公章部分均采用 CA 签章，签字部分可用 CA 锁法人章（如有），未申请法人章的将签名部分签好后以扫描件形式上传至投标文件（具体操作请咨询政采云 400-8817190）。</w:t>
      </w:r>
    </w:p>
    <w:p>
      <w:pPr>
        <w:spacing w:line="400" w:lineRule="exact"/>
        <w:rPr>
          <w:rFonts w:ascii="宋体" w:hAnsi="宋体" w:cs="宋体"/>
          <w:b/>
          <w:color w:val="auto"/>
          <w:szCs w:val="21"/>
          <w:highlight w:val="none"/>
        </w:rPr>
      </w:pPr>
      <w:r>
        <w:rPr>
          <w:rFonts w:hint="eastAsia" w:ascii="宋体" w:hAnsi="宋体" w:cs="宋体"/>
          <w:b/>
          <w:color w:val="auto"/>
          <w:szCs w:val="21"/>
          <w:highlight w:val="none"/>
        </w:rPr>
        <w:t xml:space="preserve">11.5 </w:t>
      </w:r>
      <w:r>
        <w:rPr>
          <w:rFonts w:hint="eastAsia" w:ascii="宋体" w:hAnsi="宋体" w:cs="宋体"/>
          <w:color w:val="auto"/>
          <w:szCs w:val="21"/>
          <w:highlight w:val="none"/>
        </w:rPr>
        <w:t>除招标文件有特殊要求外，投标文件中所使用的计量单位应采用国家法定计量单位。</w:t>
      </w:r>
    </w:p>
    <w:p>
      <w:pPr>
        <w:spacing w:line="400" w:lineRule="exact"/>
        <w:rPr>
          <w:rFonts w:ascii="宋体" w:hAnsi="宋体" w:cs="宋体"/>
          <w:color w:val="auto"/>
          <w:szCs w:val="21"/>
          <w:highlight w:val="none"/>
        </w:rPr>
      </w:pPr>
    </w:p>
    <w:p>
      <w:pPr>
        <w:spacing w:line="400" w:lineRule="exact"/>
        <w:rPr>
          <w:rFonts w:ascii="宋体" w:hAnsi="宋体" w:cs="宋体"/>
          <w:color w:val="auto"/>
          <w:szCs w:val="21"/>
          <w:highlight w:val="none"/>
        </w:rPr>
      </w:pPr>
      <w:r>
        <w:rPr>
          <w:rFonts w:hint="eastAsia" w:ascii="宋体" w:hAnsi="宋体" w:cs="宋体"/>
          <w:b/>
          <w:color w:val="auto"/>
          <w:szCs w:val="21"/>
          <w:highlight w:val="none"/>
        </w:rPr>
        <w:t>12. 投标有效期</w:t>
      </w:r>
    </w:p>
    <w:p>
      <w:pPr>
        <w:spacing w:line="400" w:lineRule="exact"/>
        <w:rPr>
          <w:rFonts w:ascii="宋体" w:hAnsi="宋体" w:cs="宋体"/>
          <w:color w:val="auto"/>
          <w:szCs w:val="21"/>
          <w:highlight w:val="none"/>
        </w:rPr>
      </w:pPr>
      <w:r>
        <w:rPr>
          <w:rFonts w:hint="eastAsia" w:ascii="宋体" w:hAnsi="宋体" w:cs="宋体"/>
          <w:b/>
          <w:color w:val="auto"/>
          <w:szCs w:val="21"/>
          <w:highlight w:val="none"/>
        </w:rPr>
        <w:t xml:space="preserve">12.1 </w:t>
      </w:r>
      <w:r>
        <w:rPr>
          <w:rFonts w:hint="eastAsia" w:ascii="宋体" w:hAnsi="宋体" w:cs="宋体"/>
          <w:color w:val="auto"/>
          <w:szCs w:val="21"/>
          <w:highlight w:val="none"/>
        </w:rPr>
        <w:t xml:space="preserve"> 投标有效期在本招标文件“投标资料表”中做出规定。投标有效期从提交投标文件的截止之日起算。投标文件中承诺的投标有效期应当不少于招标文件中载明的投标有效期。投标有效期内投标人撤销投标文件的，采购人或者采购代理机构可以不退还投标保证金。</w:t>
      </w:r>
    </w:p>
    <w:p>
      <w:pPr>
        <w:spacing w:line="400" w:lineRule="exact"/>
        <w:rPr>
          <w:rFonts w:ascii="宋体" w:hAnsi="宋体" w:cs="宋体"/>
          <w:color w:val="auto"/>
          <w:szCs w:val="21"/>
          <w:highlight w:val="none"/>
        </w:rPr>
      </w:pPr>
      <w:r>
        <w:rPr>
          <w:rFonts w:hint="eastAsia" w:ascii="宋体" w:hAnsi="宋体" w:cs="宋体"/>
          <w:b/>
          <w:color w:val="auto"/>
          <w:szCs w:val="21"/>
          <w:highlight w:val="none"/>
        </w:rPr>
        <w:t xml:space="preserve">12.2  </w:t>
      </w:r>
      <w:r>
        <w:rPr>
          <w:rFonts w:hint="eastAsia" w:ascii="宋体" w:hAnsi="宋体" w:cs="宋体"/>
          <w:color w:val="auto"/>
          <w:szCs w:val="21"/>
          <w:highlight w:val="none"/>
        </w:rPr>
        <w:t>在特殊情况下，在原投标有效期截止之前，应采购人要求，采购代理机构可要求投标人延长投标有效期，这种要求的提出和投标人的答复都应以书面（含传真）的形式进行。同意延长有效期的投标人不会被要求或允许修改其投标文件。</w:t>
      </w:r>
    </w:p>
    <w:p>
      <w:pPr>
        <w:spacing w:line="400" w:lineRule="exact"/>
        <w:rPr>
          <w:rFonts w:ascii="宋体" w:hAnsi="宋体" w:cs="宋体"/>
          <w:color w:val="auto"/>
          <w:szCs w:val="21"/>
          <w:highlight w:val="none"/>
        </w:rPr>
      </w:pPr>
    </w:p>
    <w:p>
      <w:pPr>
        <w:spacing w:line="400" w:lineRule="exact"/>
        <w:rPr>
          <w:rFonts w:ascii="宋体" w:hAnsi="宋体" w:cs="宋体"/>
          <w:b/>
          <w:color w:val="auto"/>
          <w:szCs w:val="21"/>
          <w:highlight w:val="none"/>
        </w:rPr>
      </w:pPr>
    </w:p>
    <w:p>
      <w:pPr>
        <w:spacing w:line="400" w:lineRule="exact"/>
        <w:rPr>
          <w:rFonts w:ascii="宋体" w:hAnsi="宋体" w:cs="宋体"/>
          <w:color w:val="auto"/>
          <w:szCs w:val="21"/>
          <w:highlight w:val="none"/>
        </w:rPr>
      </w:pPr>
      <w:r>
        <w:rPr>
          <w:rFonts w:hint="eastAsia" w:ascii="宋体" w:hAnsi="宋体" w:cs="宋体"/>
          <w:b/>
          <w:color w:val="auto"/>
          <w:szCs w:val="21"/>
          <w:highlight w:val="none"/>
        </w:rPr>
        <w:t>13  投标保证金</w:t>
      </w:r>
    </w:p>
    <w:p>
      <w:pPr>
        <w:spacing w:line="400" w:lineRule="exact"/>
        <w:rPr>
          <w:rFonts w:ascii="宋体" w:hAnsi="宋体" w:cs="宋体"/>
          <w:color w:val="auto"/>
          <w:szCs w:val="21"/>
          <w:highlight w:val="none"/>
        </w:rPr>
      </w:pPr>
      <w:r>
        <w:rPr>
          <w:rFonts w:hint="eastAsia" w:ascii="宋体" w:hAnsi="宋体" w:cs="宋体"/>
          <w:color w:val="auto"/>
          <w:szCs w:val="21"/>
          <w:highlight w:val="none"/>
        </w:rPr>
        <w:t>本项目无需缴纳投标保证金。</w:t>
      </w:r>
    </w:p>
    <w:p>
      <w:pPr>
        <w:spacing w:line="400" w:lineRule="exact"/>
        <w:rPr>
          <w:rFonts w:ascii="宋体" w:hAnsi="宋体" w:cs="宋体"/>
          <w:color w:val="auto"/>
          <w:sz w:val="24"/>
          <w:highlight w:val="none"/>
          <w:u w:val="single"/>
        </w:rPr>
      </w:pPr>
    </w:p>
    <w:p>
      <w:pPr>
        <w:jc w:val="center"/>
        <w:outlineLvl w:val="1"/>
        <w:rPr>
          <w:rFonts w:ascii="宋体" w:hAnsi="宋体" w:cs="宋体"/>
          <w:b/>
          <w:color w:val="auto"/>
          <w:sz w:val="28"/>
          <w:highlight w:val="none"/>
        </w:rPr>
      </w:pPr>
      <w:bookmarkStart w:id="85" w:name="_Toc136345104"/>
      <w:bookmarkStart w:id="86" w:name="_Toc24877"/>
      <w:bookmarkStart w:id="87" w:name="_Toc513799074"/>
      <w:bookmarkStart w:id="88" w:name="_Toc136017633"/>
      <w:bookmarkStart w:id="89" w:name="_Toc440276564"/>
      <w:bookmarkStart w:id="90" w:name="_Toc513798903"/>
      <w:bookmarkStart w:id="91" w:name="_Toc520902397"/>
      <w:bookmarkStart w:id="92" w:name="_Toc21277"/>
      <w:r>
        <w:rPr>
          <w:rFonts w:hint="eastAsia" w:ascii="宋体" w:hAnsi="宋体" w:cs="宋体"/>
          <w:b/>
          <w:color w:val="auto"/>
          <w:sz w:val="28"/>
          <w:highlight w:val="none"/>
        </w:rPr>
        <w:t>D  投标文件的递交</w:t>
      </w:r>
      <w:bookmarkEnd w:id="85"/>
      <w:bookmarkEnd w:id="86"/>
      <w:bookmarkEnd w:id="87"/>
      <w:bookmarkEnd w:id="88"/>
      <w:bookmarkEnd w:id="89"/>
      <w:bookmarkEnd w:id="90"/>
      <w:bookmarkEnd w:id="91"/>
      <w:bookmarkEnd w:id="92"/>
    </w:p>
    <w:p>
      <w:pPr>
        <w:spacing w:line="400" w:lineRule="exact"/>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b/>
          <w:color w:val="auto"/>
          <w:szCs w:val="21"/>
          <w:highlight w:val="none"/>
        </w:rPr>
        <w:t>14.投标文件的装订、密封、标记和递送</w:t>
      </w:r>
    </w:p>
    <w:p>
      <w:pPr>
        <w:widowControl/>
        <w:spacing w:line="360" w:lineRule="auto"/>
        <w:jc w:val="left"/>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b/>
          <w:color w:val="auto"/>
          <w:szCs w:val="21"/>
          <w:highlight w:val="none"/>
        </w:rPr>
        <w:t xml:space="preserve">14.1  </w:t>
      </w:r>
      <w:r>
        <w:rPr>
          <w:rFonts w:hint="eastAsia" w:cs="宋体" w:asciiTheme="minorEastAsia" w:hAnsiTheme="minorEastAsia" w:eastAsiaTheme="minorEastAsia"/>
          <w:color w:val="auto"/>
          <w:kern w:val="0"/>
          <w:szCs w:val="21"/>
          <w:highlight w:val="none"/>
        </w:rPr>
        <w:t xml:space="preserve">电子投标文件：投标人应根据“项目采购-电子招投标操作指南”及本招标文件规定的格式和顺序编制电子投标文件并进行关联定位。 </w:t>
      </w:r>
    </w:p>
    <w:p>
      <w:pPr>
        <w:widowControl/>
        <w:spacing w:line="360" w:lineRule="auto"/>
        <w:jc w:val="left"/>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b/>
          <w:color w:val="auto"/>
          <w:szCs w:val="21"/>
          <w:highlight w:val="none"/>
        </w:rPr>
        <w:t>14.</w:t>
      </w:r>
      <w:r>
        <w:rPr>
          <w:rFonts w:hint="eastAsia" w:cs="宋体" w:asciiTheme="minorEastAsia" w:hAnsiTheme="minorEastAsia" w:eastAsiaTheme="minorEastAsia"/>
          <w:b/>
          <w:bCs/>
          <w:color w:val="auto"/>
          <w:kern w:val="0"/>
          <w:szCs w:val="21"/>
          <w:highlight w:val="none"/>
        </w:rPr>
        <w:t xml:space="preserve">2  电子备份投标文件：单独包封，外包装封面上应注明投标人名称、投标人地址、投标文件名称（电子投标文件的备份文件）、投标项目名称、项目编号及“开标时启封”字样，并加盖投标人公章。 </w:t>
      </w:r>
    </w:p>
    <w:p>
      <w:pPr>
        <w:widowControl/>
        <w:spacing w:line="360" w:lineRule="auto"/>
        <w:jc w:val="left"/>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b/>
          <w:color w:val="auto"/>
          <w:szCs w:val="21"/>
          <w:highlight w:val="none"/>
        </w:rPr>
        <w:t>14.</w:t>
      </w:r>
      <w:r>
        <w:rPr>
          <w:rFonts w:hint="eastAsia" w:cs="宋体" w:asciiTheme="minorEastAsia" w:hAnsiTheme="minorEastAsia" w:eastAsiaTheme="minorEastAsia"/>
          <w:b/>
          <w:bCs/>
          <w:color w:val="auto"/>
          <w:kern w:val="0"/>
          <w:szCs w:val="21"/>
          <w:highlight w:val="none"/>
        </w:rPr>
        <w:t xml:space="preserve">3  未按规定密封或标记的电子备份投标文件，采购人有权拒绝接受其投标。 </w:t>
      </w:r>
    </w:p>
    <w:p>
      <w:pPr>
        <w:spacing w:line="400" w:lineRule="exact"/>
        <w:rPr>
          <w:rFonts w:ascii="宋体" w:hAnsi="宋体" w:cs="宋体"/>
          <w:color w:val="auto"/>
          <w:szCs w:val="21"/>
          <w:highlight w:val="none"/>
        </w:rPr>
      </w:pPr>
      <w:r>
        <w:rPr>
          <w:rFonts w:hint="eastAsia" w:cs="宋体" w:asciiTheme="minorEastAsia" w:hAnsiTheme="minorEastAsia" w:eastAsiaTheme="minorEastAsia"/>
          <w:color w:val="auto"/>
          <w:szCs w:val="21"/>
          <w:highlight w:val="none"/>
        </w:rPr>
        <w:t>14.</w:t>
      </w:r>
      <w:r>
        <w:rPr>
          <w:rFonts w:hint="eastAsia" w:cs="宋体" w:asciiTheme="minorEastAsia" w:hAnsiTheme="minorEastAsia" w:eastAsiaTheme="minorEastAsia"/>
          <w:color w:val="auto"/>
          <w:kern w:val="0"/>
          <w:szCs w:val="21"/>
          <w:highlight w:val="none"/>
        </w:rPr>
        <w:t>4  如果投标人未按上述要求密封或标记而造成投标文件被误投或提前拆封的风险由投标人承担。</w:t>
      </w:r>
    </w:p>
    <w:p>
      <w:pPr>
        <w:spacing w:line="400" w:lineRule="exact"/>
        <w:rPr>
          <w:rFonts w:ascii="宋体" w:hAnsi="宋体" w:cs="宋体"/>
          <w:color w:val="auto"/>
          <w:szCs w:val="21"/>
          <w:highlight w:val="none"/>
        </w:rPr>
      </w:pPr>
    </w:p>
    <w:p>
      <w:pPr>
        <w:spacing w:line="400" w:lineRule="exact"/>
        <w:rPr>
          <w:rFonts w:ascii="宋体" w:hAnsi="宋体" w:cs="宋体"/>
          <w:color w:val="auto"/>
          <w:szCs w:val="21"/>
          <w:highlight w:val="none"/>
        </w:rPr>
      </w:pPr>
      <w:r>
        <w:rPr>
          <w:rFonts w:hint="eastAsia" w:ascii="宋体" w:hAnsi="宋体" w:cs="宋体"/>
          <w:b/>
          <w:color w:val="auto"/>
          <w:szCs w:val="21"/>
          <w:highlight w:val="none"/>
        </w:rPr>
        <w:t>15. 投标截止时间</w:t>
      </w:r>
    </w:p>
    <w:p>
      <w:pPr>
        <w:spacing w:line="400" w:lineRule="exact"/>
        <w:rPr>
          <w:rFonts w:ascii="宋体" w:hAnsi="宋体" w:cs="宋体"/>
          <w:color w:val="auto"/>
          <w:szCs w:val="21"/>
          <w:highlight w:val="none"/>
        </w:rPr>
      </w:pPr>
      <w:r>
        <w:rPr>
          <w:rFonts w:hint="eastAsia" w:ascii="宋体" w:hAnsi="宋体" w:cs="宋体"/>
          <w:b/>
          <w:color w:val="auto"/>
          <w:szCs w:val="21"/>
          <w:highlight w:val="none"/>
        </w:rPr>
        <w:t xml:space="preserve">15.1 </w:t>
      </w:r>
      <w:r>
        <w:rPr>
          <w:rFonts w:hint="eastAsia" w:ascii="宋体" w:hAnsi="宋体" w:cs="宋体"/>
          <w:color w:val="auto"/>
          <w:szCs w:val="21"/>
          <w:highlight w:val="none"/>
        </w:rPr>
        <w:t xml:space="preserve"> 投标人应在招标文件要求提交（上传）投标文件的截止时间前，将投标文件上传至政府采购云平台。采购代理机构</w:t>
      </w:r>
      <w:r>
        <w:rPr>
          <w:rFonts w:hint="eastAsia" w:ascii="宋体" w:hAnsi="宋体" w:cs="宋体"/>
          <w:b/>
          <w:color w:val="auto"/>
          <w:szCs w:val="21"/>
          <w:highlight w:val="none"/>
        </w:rPr>
        <w:t>拒绝接收在投标截止时间以后提交（上传）的投标文件</w:t>
      </w:r>
      <w:r>
        <w:rPr>
          <w:rFonts w:hint="eastAsia" w:ascii="宋体" w:hAnsi="宋体" w:cs="宋体"/>
          <w:color w:val="auto"/>
          <w:szCs w:val="21"/>
          <w:highlight w:val="none"/>
        </w:rPr>
        <w:t>。</w:t>
      </w:r>
    </w:p>
    <w:p>
      <w:pPr>
        <w:spacing w:line="400" w:lineRule="exact"/>
        <w:rPr>
          <w:rFonts w:ascii="宋体" w:hAnsi="宋体" w:cs="宋体"/>
          <w:color w:val="auto"/>
          <w:szCs w:val="21"/>
          <w:highlight w:val="none"/>
        </w:rPr>
      </w:pPr>
      <w:r>
        <w:rPr>
          <w:rFonts w:hint="eastAsia" w:ascii="宋体" w:hAnsi="宋体" w:cs="宋体"/>
          <w:b/>
          <w:color w:val="auto"/>
          <w:szCs w:val="21"/>
          <w:highlight w:val="none"/>
        </w:rPr>
        <w:t>15.2</w:t>
      </w:r>
      <w:r>
        <w:rPr>
          <w:rFonts w:hint="eastAsia" w:ascii="宋体" w:hAnsi="宋体" w:cs="宋体"/>
          <w:color w:val="auto"/>
          <w:szCs w:val="21"/>
          <w:highlight w:val="none"/>
        </w:rPr>
        <w:t xml:space="preserve">  采购代理机构因故需推迟投标截止时间、开标时间时，应提前以公告或书面的形式通知购买招标文件的所有潜在投标人。潜在投标人在收到通知后应立即以书面形式回复采购代理机构。在这种情况下，采购代理机构和潜在投标人相应的权利和义务将受到新的截止期的约束。</w:t>
      </w:r>
    </w:p>
    <w:p>
      <w:pPr>
        <w:spacing w:line="400" w:lineRule="exact"/>
        <w:rPr>
          <w:rFonts w:ascii="宋体" w:hAnsi="宋体" w:cs="宋体"/>
          <w:color w:val="auto"/>
          <w:szCs w:val="21"/>
          <w:highlight w:val="none"/>
        </w:rPr>
      </w:pPr>
    </w:p>
    <w:p>
      <w:pPr>
        <w:spacing w:line="400" w:lineRule="exact"/>
        <w:rPr>
          <w:rFonts w:ascii="宋体" w:hAnsi="宋体" w:cs="宋体"/>
          <w:color w:val="auto"/>
          <w:szCs w:val="21"/>
          <w:highlight w:val="none"/>
        </w:rPr>
      </w:pPr>
      <w:r>
        <w:rPr>
          <w:rFonts w:hint="eastAsia" w:ascii="宋体" w:hAnsi="宋体" w:cs="宋体"/>
          <w:b/>
          <w:color w:val="auto"/>
          <w:szCs w:val="21"/>
          <w:highlight w:val="none"/>
        </w:rPr>
        <w:t>16.投标文件的修改和撤回</w:t>
      </w:r>
    </w:p>
    <w:p>
      <w:pPr>
        <w:spacing w:line="400" w:lineRule="exact"/>
        <w:rPr>
          <w:rFonts w:ascii="宋体" w:hAnsi="宋体" w:cs="宋体"/>
          <w:color w:val="auto"/>
          <w:szCs w:val="21"/>
          <w:highlight w:val="none"/>
        </w:rPr>
      </w:pPr>
      <w:r>
        <w:rPr>
          <w:rFonts w:hint="eastAsia" w:ascii="宋体" w:hAnsi="宋体" w:cs="宋体"/>
          <w:b/>
          <w:color w:val="auto"/>
          <w:szCs w:val="21"/>
          <w:highlight w:val="none"/>
        </w:rPr>
        <w:t>16.1</w:t>
      </w:r>
      <w:r>
        <w:rPr>
          <w:rFonts w:hint="eastAsia" w:ascii="宋体" w:hAnsi="宋体" w:cs="宋体"/>
          <w:color w:val="auto"/>
          <w:szCs w:val="21"/>
          <w:highlight w:val="none"/>
        </w:rPr>
        <w:t xml:space="preserve">  投标人在投标截止时间前，可以对已经提交的投标文件进行补充、修改或者撤回。</w:t>
      </w:r>
    </w:p>
    <w:p>
      <w:pPr>
        <w:spacing w:line="400" w:lineRule="exact"/>
        <w:ind w:firstLine="630" w:firstLineChars="300"/>
        <w:rPr>
          <w:rFonts w:ascii="宋体" w:hAnsi="宋体" w:cs="宋体"/>
          <w:color w:val="auto"/>
          <w:szCs w:val="21"/>
          <w:highlight w:val="none"/>
        </w:rPr>
      </w:pPr>
      <w:r>
        <w:rPr>
          <w:rFonts w:hint="eastAsia" w:ascii="宋体" w:hAnsi="宋体" w:cs="宋体"/>
          <w:color w:val="auto"/>
          <w:szCs w:val="21"/>
          <w:highlight w:val="none"/>
        </w:rPr>
        <w:t>对已经完成传输递交的电子加密投标文件进行补充或者修改的，应当先行撤回原文件，补充、修改后重新传输递交。投标人在投标截止时间前未重新完成传输递交的，视为撤回投标文件。投标截止时间后递交的电子加密投标文件，电子交易平台将拒收。</w:t>
      </w:r>
    </w:p>
    <w:p>
      <w:pPr>
        <w:spacing w:line="400" w:lineRule="exact"/>
        <w:ind w:firstLine="630" w:firstLineChars="300"/>
        <w:rPr>
          <w:rFonts w:ascii="宋体" w:hAnsi="宋体" w:cs="宋体"/>
          <w:color w:val="auto"/>
          <w:szCs w:val="21"/>
          <w:highlight w:val="none"/>
        </w:rPr>
      </w:pPr>
      <w:r>
        <w:rPr>
          <w:rFonts w:hint="eastAsia" w:ascii="宋体" w:hAnsi="宋体" w:cs="宋体"/>
          <w:color w:val="auto"/>
          <w:szCs w:val="21"/>
          <w:highlight w:val="none"/>
        </w:rPr>
        <w:t>投标人在投标截止时间前递交了需要补充或修改的电子加密投标文件的备份投标文件，可以重新提交补充或修改后的备份投标文件。</w:t>
      </w:r>
    </w:p>
    <w:p>
      <w:pPr>
        <w:spacing w:line="400" w:lineRule="exact"/>
        <w:rPr>
          <w:rFonts w:ascii="宋体" w:hAnsi="宋体" w:cs="宋体"/>
          <w:color w:val="auto"/>
          <w:szCs w:val="21"/>
          <w:highlight w:val="none"/>
        </w:rPr>
      </w:pPr>
      <w:r>
        <w:rPr>
          <w:rFonts w:hint="eastAsia" w:ascii="宋体" w:hAnsi="宋体" w:cs="宋体"/>
          <w:b/>
          <w:color w:val="auto"/>
          <w:szCs w:val="21"/>
          <w:highlight w:val="none"/>
        </w:rPr>
        <w:t>16.2</w:t>
      </w:r>
      <w:r>
        <w:rPr>
          <w:rFonts w:hint="eastAsia" w:ascii="宋体" w:hAnsi="宋体" w:cs="宋体"/>
          <w:color w:val="auto"/>
          <w:szCs w:val="21"/>
          <w:highlight w:val="none"/>
        </w:rPr>
        <w:t xml:space="preserve">  投标截止时间后，投标人不得对其投标文件进行补充、修改。</w:t>
      </w:r>
    </w:p>
    <w:p>
      <w:pPr>
        <w:spacing w:line="400" w:lineRule="exact"/>
        <w:rPr>
          <w:rFonts w:ascii="宋体" w:hAnsi="宋体" w:cs="宋体"/>
          <w:color w:val="auto"/>
          <w:szCs w:val="21"/>
          <w:highlight w:val="none"/>
        </w:rPr>
      </w:pPr>
    </w:p>
    <w:p>
      <w:pPr>
        <w:jc w:val="center"/>
        <w:outlineLvl w:val="1"/>
        <w:rPr>
          <w:rFonts w:ascii="宋体" w:hAnsi="宋体" w:cs="宋体"/>
          <w:b/>
          <w:color w:val="auto"/>
          <w:sz w:val="28"/>
          <w:highlight w:val="none"/>
        </w:rPr>
      </w:pPr>
      <w:bookmarkStart w:id="93" w:name="_Toc520902398"/>
      <w:bookmarkStart w:id="94" w:name="_Toc513798904"/>
      <w:bookmarkStart w:id="95" w:name="_Toc513799075"/>
      <w:bookmarkStart w:id="96" w:name="_Toc9443"/>
      <w:bookmarkStart w:id="97" w:name="_Toc440276565"/>
      <w:bookmarkStart w:id="98" w:name="_Toc136345105"/>
      <w:bookmarkStart w:id="99" w:name="_Toc5966"/>
      <w:bookmarkStart w:id="100" w:name="_Toc136017634"/>
      <w:r>
        <w:rPr>
          <w:rFonts w:hint="eastAsia" w:ascii="宋体" w:hAnsi="宋体" w:cs="宋体"/>
          <w:b/>
          <w:color w:val="auto"/>
          <w:sz w:val="28"/>
          <w:highlight w:val="none"/>
        </w:rPr>
        <w:t>E  开标</w:t>
      </w:r>
      <w:bookmarkEnd w:id="93"/>
      <w:bookmarkEnd w:id="94"/>
      <w:bookmarkEnd w:id="95"/>
      <w:bookmarkEnd w:id="96"/>
      <w:bookmarkEnd w:id="97"/>
      <w:bookmarkEnd w:id="98"/>
      <w:bookmarkEnd w:id="99"/>
      <w:bookmarkEnd w:id="100"/>
    </w:p>
    <w:p>
      <w:pPr>
        <w:spacing w:line="400" w:lineRule="exact"/>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b/>
          <w:color w:val="auto"/>
          <w:szCs w:val="21"/>
          <w:highlight w:val="none"/>
        </w:rPr>
        <w:t>17</w:t>
      </w:r>
      <w:r>
        <w:rPr>
          <w:rFonts w:hint="eastAsia" w:cs="宋体" w:asciiTheme="minorEastAsia" w:hAnsiTheme="minorEastAsia" w:eastAsiaTheme="minorEastAsia"/>
          <w:color w:val="auto"/>
          <w:szCs w:val="21"/>
          <w:highlight w:val="none"/>
        </w:rPr>
        <w:t>.</w:t>
      </w:r>
      <w:r>
        <w:rPr>
          <w:rFonts w:hint="eastAsia" w:cs="宋体" w:asciiTheme="minorEastAsia" w:hAnsiTheme="minorEastAsia" w:eastAsiaTheme="minorEastAsia"/>
          <w:b/>
          <w:color w:val="auto"/>
          <w:szCs w:val="21"/>
          <w:highlight w:val="none"/>
        </w:rPr>
        <w:t>开标</w:t>
      </w:r>
    </w:p>
    <w:p>
      <w:pPr>
        <w:spacing w:line="400" w:lineRule="exact"/>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b/>
          <w:color w:val="auto"/>
          <w:szCs w:val="21"/>
          <w:highlight w:val="none"/>
        </w:rPr>
        <w:t xml:space="preserve">17.1  </w:t>
      </w:r>
      <w:r>
        <w:rPr>
          <w:rFonts w:hint="eastAsia" w:cs="宋体" w:asciiTheme="minorEastAsia" w:hAnsiTheme="minorEastAsia" w:eastAsiaTheme="minorEastAsia"/>
          <w:color w:val="auto"/>
          <w:szCs w:val="21"/>
          <w:highlight w:val="none"/>
        </w:rPr>
        <w:t>采购代理机构按招标文件规定的时间、地点主持公开开标。</w:t>
      </w:r>
    </w:p>
    <w:p>
      <w:pPr>
        <w:widowControl/>
        <w:spacing w:line="360" w:lineRule="auto"/>
        <w:jc w:val="left"/>
        <w:rPr>
          <w:rFonts w:cs="宋体" w:asciiTheme="minorEastAsia" w:hAnsiTheme="minorEastAsia" w:eastAsiaTheme="minorEastAsia"/>
          <w:b/>
          <w:bCs/>
          <w:color w:val="auto"/>
          <w:kern w:val="0"/>
          <w:szCs w:val="21"/>
          <w:highlight w:val="none"/>
        </w:rPr>
      </w:pPr>
      <w:r>
        <w:rPr>
          <w:rFonts w:hint="eastAsia" w:cs="宋体" w:asciiTheme="minorEastAsia" w:hAnsiTheme="minorEastAsia" w:eastAsiaTheme="minorEastAsia"/>
          <w:b/>
          <w:color w:val="auto"/>
          <w:szCs w:val="21"/>
          <w:highlight w:val="none"/>
        </w:rPr>
        <w:t xml:space="preserve">17.2  </w:t>
      </w:r>
      <w:r>
        <w:rPr>
          <w:rFonts w:hint="eastAsia" w:cs="宋体" w:asciiTheme="minorEastAsia" w:hAnsiTheme="minorEastAsia" w:eastAsiaTheme="minorEastAsia"/>
          <w:b/>
          <w:bCs/>
          <w:color w:val="auto"/>
          <w:kern w:val="0"/>
          <w:szCs w:val="21"/>
          <w:highlight w:val="none"/>
        </w:rPr>
        <w:t>电子投标开标及评审程序</w:t>
      </w:r>
    </w:p>
    <w:p>
      <w:pPr>
        <w:widowControl/>
        <w:spacing w:line="360" w:lineRule="auto"/>
        <w:jc w:val="left"/>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Cs w:val="21"/>
          <w:highlight w:val="none"/>
        </w:rPr>
        <w:t>（1）投标截止时间后，投标人登录政采云平台，用“项目采购-开标评标”功能对电子投标文件进行在线解密。在线解密电子投标文件时间为开标时间起</w:t>
      </w:r>
      <w:r>
        <w:rPr>
          <w:rFonts w:hint="eastAsia" w:cs="宋体" w:asciiTheme="minorEastAsia" w:hAnsiTheme="minorEastAsia" w:eastAsiaTheme="minorEastAsia"/>
          <w:b/>
          <w:color w:val="auto"/>
          <w:kern w:val="0"/>
          <w:szCs w:val="21"/>
          <w:highlight w:val="none"/>
          <w:u w:val="single"/>
        </w:rPr>
        <w:t>30分钟</w:t>
      </w:r>
      <w:r>
        <w:rPr>
          <w:rFonts w:hint="eastAsia" w:cs="宋体" w:asciiTheme="minorEastAsia" w:hAnsiTheme="minorEastAsia" w:eastAsiaTheme="minorEastAsia"/>
          <w:b/>
          <w:color w:val="auto"/>
          <w:kern w:val="0"/>
          <w:szCs w:val="21"/>
          <w:highlight w:val="none"/>
        </w:rPr>
        <w:t>内。</w:t>
      </w:r>
    </w:p>
    <w:p>
      <w:pPr>
        <w:widowControl/>
        <w:spacing w:line="360" w:lineRule="auto"/>
        <w:jc w:val="left"/>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Cs w:val="21"/>
          <w:highlight w:val="none"/>
        </w:rPr>
        <w:t xml:space="preserve">（2）采购人或代理机构对投标人的资格进行审查。 </w:t>
      </w:r>
    </w:p>
    <w:p>
      <w:pPr>
        <w:widowControl/>
        <w:spacing w:line="360" w:lineRule="auto"/>
        <w:jc w:val="left"/>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Cs w:val="21"/>
          <w:highlight w:val="none"/>
        </w:rPr>
        <w:t xml:space="preserve">（3）在系统上公开报价开标情况。 </w:t>
      </w:r>
    </w:p>
    <w:p>
      <w:pPr>
        <w:widowControl/>
        <w:spacing w:line="360" w:lineRule="auto"/>
        <w:jc w:val="left"/>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Cs w:val="21"/>
          <w:highlight w:val="none"/>
        </w:rPr>
        <w:t xml:space="preserve">（4）评标委员会对商务技术文件、报价文件进行评审。 </w:t>
      </w:r>
    </w:p>
    <w:p>
      <w:pPr>
        <w:widowControl/>
        <w:spacing w:line="360" w:lineRule="auto"/>
        <w:jc w:val="left"/>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Cs w:val="21"/>
          <w:highlight w:val="none"/>
        </w:rPr>
        <w:t xml:space="preserve">（5）在系统上公布评审结果。 </w:t>
      </w:r>
    </w:p>
    <w:p>
      <w:pPr>
        <w:widowControl/>
        <w:spacing w:line="360" w:lineRule="auto"/>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注：政采云公司如对电子化开标及评审程序有调整的，按调整后的程序操作。</w:t>
      </w:r>
    </w:p>
    <w:p>
      <w:pPr>
        <w:widowControl/>
        <w:spacing w:line="360" w:lineRule="auto"/>
        <w:jc w:val="left"/>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b/>
          <w:color w:val="auto"/>
          <w:szCs w:val="21"/>
          <w:highlight w:val="none"/>
        </w:rPr>
        <w:t xml:space="preserve">17.4  </w:t>
      </w:r>
      <w:r>
        <w:rPr>
          <w:rFonts w:hint="eastAsia" w:cs="宋体" w:asciiTheme="minorEastAsia" w:hAnsiTheme="minorEastAsia" w:eastAsiaTheme="minorEastAsia"/>
          <w:b/>
          <w:bCs/>
          <w:color w:val="auto"/>
          <w:kern w:val="0"/>
          <w:szCs w:val="21"/>
          <w:highlight w:val="none"/>
        </w:rPr>
        <w:t xml:space="preserve">特别说明 </w:t>
      </w:r>
    </w:p>
    <w:p>
      <w:pPr>
        <w:widowControl/>
        <w:spacing w:line="360" w:lineRule="auto"/>
        <w:ind w:firstLine="420" w:firstLineChars="200"/>
        <w:jc w:val="left"/>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Cs w:val="21"/>
          <w:highlight w:val="none"/>
        </w:rPr>
        <w:t xml:space="preserve">本项目采用政采云电子投标开标及评审程序，但有下情形之一的，按以下情况处理： </w:t>
      </w:r>
    </w:p>
    <w:p>
      <w:pPr>
        <w:widowControl/>
        <w:spacing w:line="360" w:lineRule="auto"/>
        <w:ind w:firstLine="420" w:firstLineChars="200"/>
        <w:jc w:val="left"/>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Cs w:val="21"/>
          <w:highlight w:val="none"/>
        </w:rPr>
        <w:t xml:space="preserve">1.若投标人在规定时间内无法解密或解密失败，代理机构将开启所有投标人递交的以U 盘存储的电子备份投标文件，上传至政采云平台项目采购模块，以完成开标，电子投标文件自动失效。 </w:t>
      </w:r>
    </w:p>
    <w:p>
      <w:pPr>
        <w:widowControl/>
        <w:spacing w:line="360" w:lineRule="auto"/>
        <w:ind w:firstLine="420" w:firstLineChars="200"/>
        <w:jc w:val="left"/>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Cs w:val="21"/>
          <w:highlight w:val="none"/>
        </w:rPr>
        <w:t xml:space="preserve">2.采购过程中出现以下情形，导致电子交易平台无法正常运行，或者无法保证电子交易的公平、公正和安全时，采购人（或代理机构）可中止电子交易活动： </w:t>
      </w:r>
    </w:p>
    <w:p>
      <w:pPr>
        <w:widowControl/>
        <w:spacing w:line="360" w:lineRule="auto"/>
        <w:ind w:firstLine="420" w:firstLineChars="200"/>
        <w:jc w:val="left"/>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Cs w:val="21"/>
          <w:highlight w:val="none"/>
        </w:rPr>
        <w:t xml:space="preserve">（1）电子交易平台发生故障而无法登录访问的； </w:t>
      </w:r>
    </w:p>
    <w:p>
      <w:pPr>
        <w:widowControl/>
        <w:spacing w:line="360" w:lineRule="auto"/>
        <w:ind w:firstLine="420" w:firstLineChars="200"/>
        <w:jc w:val="left"/>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Cs w:val="21"/>
          <w:highlight w:val="none"/>
        </w:rPr>
        <w:t xml:space="preserve">（2）电子交易平台应用或数据库出现错误，不能进行正常操作的； </w:t>
      </w:r>
    </w:p>
    <w:p>
      <w:pPr>
        <w:widowControl/>
        <w:spacing w:line="360" w:lineRule="auto"/>
        <w:ind w:firstLine="420" w:firstLineChars="200"/>
        <w:jc w:val="left"/>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Cs w:val="21"/>
          <w:highlight w:val="none"/>
        </w:rPr>
        <w:t xml:space="preserve">（3）电子交易平台发现严重安全漏洞，有潜在泄密危险的； </w:t>
      </w:r>
    </w:p>
    <w:p>
      <w:pPr>
        <w:widowControl/>
        <w:spacing w:line="360" w:lineRule="auto"/>
        <w:ind w:firstLine="420" w:firstLineChars="200"/>
        <w:jc w:val="left"/>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Cs w:val="21"/>
          <w:highlight w:val="none"/>
        </w:rPr>
        <w:t xml:space="preserve">（4）病毒发作导致不能进行正常操作的； </w:t>
      </w:r>
    </w:p>
    <w:p>
      <w:pPr>
        <w:widowControl/>
        <w:spacing w:line="360" w:lineRule="auto"/>
        <w:ind w:firstLine="420" w:firstLineChars="200"/>
        <w:jc w:val="left"/>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Cs w:val="21"/>
          <w:highlight w:val="none"/>
        </w:rPr>
        <w:t xml:space="preserve">（5）其他无法保证电子交易的公平、公正和安全的情况。 </w:t>
      </w:r>
    </w:p>
    <w:p>
      <w:pPr>
        <w:widowControl/>
        <w:spacing w:line="360" w:lineRule="auto"/>
        <w:ind w:firstLine="422" w:firstLineChars="200"/>
        <w:jc w:val="left"/>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b/>
          <w:bCs/>
          <w:color w:val="auto"/>
          <w:kern w:val="0"/>
          <w:szCs w:val="21"/>
          <w:highlight w:val="none"/>
        </w:rPr>
        <w:t xml:space="preserve">出现前款规定情形，不影响采购公平、公正性的，采购人（或代理机构）可以待上述情形消除后继续组织电子交易活动。 </w:t>
      </w:r>
    </w:p>
    <w:p>
      <w:pPr>
        <w:spacing w:line="400" w:lineRule="exact"/>
        <w:rPr>
          <w:rFonts w:ascii="宋体" w:hAnsi="宋体" w:cs="宋体"/>
          <w:color w:val="auto"/>
          <w:szCs w:val="21"/>
          <w:highlight w:val="none"/>
          <w:u w:val="single"/>
        </w:rPr>
      </w:pPr>
      <w:r>
        <w:rPr>
          <w:rFonts w:hint="eastAsia" w:asciiTheme="minorEastAsia" w:hAnsiTheme="minorEastAsia" w:eastAsiaTheme="minorEastAsia"/>
          <w:b/>
          <w:color w:val="auto"/>
          <w:szCs w:val="21"/>
          <w:highlight w:val="none"/>
        </w:rPr>
        <w:t xml:space="preserve">17.5  </w:t>
      </w:r>
      <w:r>
        <w:rPr>
          <w:rFonts w:hint="eastAsia" w:asciiTheme="minorEastAsia" w:hAnsiTheme="minorEastAsia" w:eastAsiaTheme="minorEastAsia"/>
          <w:color w:val="auto"/>
          <w:szCs w:val="21"/>
          <w:highlight w:val="none"/>
        </w:rPr>
        <w:t>投标截止时间止，投标人不足3家的，不开启招标文件，终止本次采购活动。</w:t>
      </w:r>
    </w:p>
    <w:p>
      <w:pPr>
        <w:spacing w:line="400" w:lineRule="exact"/>
        <w:rPr>
          <w:rFonts w:ascii="宋体" w:hAnsi="宋体" w:cs="宋体"/>
          <w:color w:val="auto"/>
          <w:sz w:val="24"/>
          <w:szCs w:val="24"/>
          <w:highlight w:val="none"/>
        </w:rPr>
      </w:pPr>
    </w:p>
    <w:p>
      <w:pPr>
        <w:spacing w:before="143" w:beforeLines="50" w:after="143" w:afterLines="50"/>
        <w:jc w:val="center"/>
        <w:outlineLvl w:val="1"/>
        <w:rPr>
          <w:rFonts w:ascii="宋体" w:hAnsi="宋体" w:cs="宋体"/>
          <w:b/>
          <w:color w:val="auto"/>
          <w:sz w:val="28"/>
          <w:highlight w:val="none"/>
        </w:rPr>
      </w:pPr>
      <w:bookmarkStart w:id="101" w:name="_Toc136345106"/>
      <w:bookmarkStart w:id="102" w:name="_Toc136017635"/>
      <w:bookmarkStart w:id="103" w:name="_Toc513798905"/>
      <w:bookmarkStart w:id="104" w:name="_Toc520902399"/>
      <w:bookmarkStart w:id="105" w:name="_Toc2659"/>
      <w:bookmarkStart w:id="106" w:name="_Toc24430"/>
      <w:bookmarkStart w:id="107" w:name="_Toc440276566"/>
      <w:bookmarkStart w:id="108" w:name="_Toc513799076"/>
      <w:r>
        <w:rPr>
          <w:rFonts w:hint="eastAsia" w:ascii="宋体" w:hAnsi="宋体" w:cs="宋体"/>
          <w:b/>
          <w:color w:val="auto"/>
          <w:sz w:val="28"/>
          <w:highlight w:val="none"/>
        </w:rPr>
        <w:t>F  评标和定标</w:t>
      </w:r>
      <w:bookmarkEnd w:id="101"/>
      <w:bookmarkEnd w:id="102"/>
      <w:bookmarkEnd w:id="103"/>
      <w:bookmarkEnd w:id="104"/>
      <w:bookmarkEnd w:id="105"/>
      <w:bookmarkEnd w:id="106"/>
      <w:bookmarkEnd w:id="107"/>
      <w:bookmarkEnd w:id="108"/>
    </w:p>
    <w:p>
      <w:pPr>
        <w:spacing w:line="400" w:lineRule="exact"/>
        <w:rPr>
          <w:rFonts w:ascii="宋体" w:hAnsi="宋体" w:cs="宋体"/>
          <w:color w:val="auto"/>
          <w:szCs w:val="21"/>
          <w:highlight w:val="none"/>
        </w:rPr>
      </w:pPr>
      <w:r>
        <w:rPr>
          <w:rFonts w:hint="eastAsia" w:ascii="宋体" w:hAnsi="宋体" w:cs="宋体"/>
          <w:b/>
          <w:color w:val="auto"/>
          <w:szCs w:val="21"/>
          <w:highlight w:val="none"/>
        </w:rPr>
        <w:t>18. 评标委员会及评标</w:t>
      </w:r>
    </w:p>
    <w:p>
      <w:pPr>
        <w:spacing w:line="400" w:lineRule="exact"/>
        <w:rPr>
          <w:rFonts w:ascii="宋体" w:hAnsi="宋体" w:cs="宋体"/>
          <w:color w:val="auto"/>
          <w:szCs w:val="21"/>
          <w:highlight w:val="none"/>
        </w:rPr>
      </w:pPr>
      <w:r>
        <w:rPr>
          <w:rFonts w:hint="eastAsia" w:ascii="宋体" w:hAnsi="宋体" w:cs="宋体"/>
          <w:b/>
          <w:color w:val="auto"/>
          <w:szCs w:val="21"/>
          <w:highlight w:val="none"/>
        </w:rPr>
        <w:t>18.1</w:t>
      </w:r>
      <w:r>
        <w:rPr>
          <w:rFonts w:hint="eastAsia" w:ascii="宋体" w:hAnsi="宋体" w:cs="宋体"/>
          <w:color w:val="auto"/>
          <w:szCs w:val="21"/>
          <w:highlight w:val="none"/>
        </w:rPr>
        <w:t xml:space="preserve">  受采购人的委托，采购代理机构依据《中华人民共和国政府采购法》、《中华人民共和国政府采购实施条例》等有关规定组建评标委员会，并主持评标活动。评标委员会由采购人代表和技术、经济专家组成。</w:t>
      </w:r>
      <w:r>
        <w:rPr>
          <w:rFonts w:hint="eastAsia" w:ascii="宋体" w:hAnsi="宋体" w:cs="宋体"/>
          <w:b/>
          <w:color w:val="auto"/>
          <w:szCs w:val="21"/>
          <w:highlight w:val="none"/>
          <w:u w:val="single"/>
        </w:rPr>
        <w:t>评标委员会成员名单在招标结果确定之前依法保密</w:t>
      </w:r>
      <w:r>
        <w:rPr>
          <w:rFonts w:hint="eastAsia" w:ascii="宋体" w:hAnsi="宋体" w:cs="宋体"/>
          <w:color w:val="auto"/>
          <w:szCs w:val="21"/>
          <w:highlight w:val="none"/>
        </w:rPr>
        <w:t>。</w:t>
      </w:r>
    </w:p>
    <w:p>
      <w:pPr>
        <w:spacing w:line="400" w:lineRule="exact"/>
        <w:rPr>
          <w:rFonts w:ascii="宋体" w:hAnsi="宋体" w:cs="宋体"/>
          <w:color w:val="auto"/>
          <w:szCs w:val="21"/>
          <w:highlight w:val="none"/>
        </w:rPr>
      </w:pPr>
      <w:r>
        <w:rPr>
          <w:rFonts w:hint="eastAsia" w:ascii="宋体" w:hAnsi="宋体" w:cs="宋体"/>
          <w:b/>
          <w:color w:val="auto"/>
          <w:szCs w:val="21"/>
          <w:highlight w:val="none"/>
        </w:rPr>
        <w:t xml:space="preserve">18.2 </w:t>
      </w:r>
      <w:r>
        <w:rPr>
          <w:rFonts w:hint="eastAsia" w:ascii="宋体" w:hAnsi="宋体" w:cs="宋体"/>
          <w:color w:val="auto"/>
          <w:szCs w:val="21"/>
          <w:highlight w:val="none"/>
        </w:rPr>
        <w:t xml:space="preserve"> 评标委员会将遵循公平、公正、科学、廉洁的原则和法定的程序进行评标，并且只依据招标文件要求和投标文件的响应情况进行评审，不依据任何来自开标后的补充声明、修正方案。</w:t>
      </w:r>
    </w:p>
    <w:p>
      <w:pPr>
        <w:spacing w:line="400" w:lineRule="exact"/>
        <w:rPr>
          <w:rFonts w:ascii="宋体" w:hAnsi="宋体" w:cs="宋体"/>
          <w:color w:val="auto"/>
          <w:szCs w:val="21"/>
          <w:highlight w:val="none"/>
        </w:rPr>
      </w:pPr>
    </w:p>
    <w:p>
      <w:pPr>
        <w:spacing w:line="400" w:lineRule="exact"/>
        <w:rPr>
          <w:rFonts w:ascii="宋体" w:hAnsi="宋体" w:cs="宋体"/>
          <w:color w:val="auto"/>
          <w:szCs w:val="21"/>
          <w:highlight w:val="none"/>
        </w:rPr>
      </w:pPr>
      <w:r>
        <w:rPr>
          <w:rFonts w:hint="eastAsia" w:ascii="宋体" w:hAnsi="宋体" w:cs="宋体"/>
          <w:b/>
          <w:color w:val="auto"/>
          <w:szCs w:val="21"/>
          <w:highlight w:val="none"/>
        </w:rPr>
        <w:t>19.投标的澄清</w:t>
      </w:r>
    </w:p>
    <w:p>
      <w:pPr>
        <w:spacing w:line="400" w:lineRule="exact"/>
        <w:rPr>
          <w:rFonts w:ascii="宋体" w:hAnsi="宋体" w:cs="宋体"/>
          <w:color w:val="auto"/>
          <w:szCs w:val="21"/>
          <w:highlight w:val="none"/>
        </w:rPr>
      </w:pPr>
      <w:r>
        <w:rPr>
          <w:rFonts w:hint="eastAsia" w:ascii="宋体" w:hAnsi="宋体" w:cs="宋体"/>
          <w:b/>
          <w:color w:val="auto"/>
          <w:szCs w:val="21"/>
          <w:highlight w:val="none"/>
        </w:rPr>
        <w:t>19.1</w:t>
      </w:r>
      <w:r>
        <w:rPr>
          <w:rFonts w:hint="eastAsia" w:ascii="宋体" w:hAnsi="宋体" w:cs="宋体"/>
          <w:color w:val="auto"/>
          <w:szCs w:val="21"/>
          <w:highlight w:val="none"/>
        </w:rPr>
        <w:t xml:space="preserve">  对于投标文件中含义不明确、同类问题表述不一致或者有明显文字和计算错误的内容，评标委员会应当以书面形式要求投标人作出必要的澄清、说明或者补正。</w:t>
      </w:r>
    </w:p>
    <w:p>
      <w:pPr>
        <w:spacing w:line="400" w:lineRule="exact"/>
        <w:rPr>
          <w:rFonts w:ascii="宋体" w:hAnsi="宋体" w:cs="宋体"/>
          <w:color w:val="auto"/>
          <w:szCs w:val="21"/>
          <w:highlight w:val="none"/>
        </w:rPr>
      </w:pPr>
      <w:r>
        <w:rPr>
          <w:rFonts w:hint="eastAsia" w:ascii="宋体" w:hAnsi="宋体" w:cs="宋体"/>
          <w:b/>
          <w:color w:val="auto"/>
          <w:szCs w:val="21"/>
          <w:highlight w:val="none"/>
        </w:rPr>
        <w:t>19.2</w:t>
      </w:r>
      <w:r>
        <w:rPr>
          <w:rFonts w:hint="eastAsia" w:ascii="宋体" w:hAnsi="宋体" w:cs="宋体"/>
          <w:color w:val="auto"/>
          <w:szCs w:val="21"/>
          <w:highlight w:val="none"/>
        </w:rPr>
        <w:t xml:space="preserve">  投标人的澄清、说明或者补正应当采用书面形式，并加盖公章，或者由法定代表人或其授权的代表签字。投标人的澄清、说明或者补正不得超出投标文件的范围或者改变投标文件的实质性内容。</w:t>
      </w:r>
    </w:p>
    <w:p>
      <w:pPr>
        <w:spacing w:line="400" w:lineRule="exact"/>
        <w:rPr>
          <w:rFonts w:ascii="宋体" w:hAnsi="宋体" w:cs="宋体"/>
          <w:color w:val="auto"/>
          <w:szCs w:val="21"/>
          <w:highlight w:val="none"/>
          <w:u w:val="single"/>
        </w:rPr>
      </w:pPr>
      <w:r>
        <w:rPr>
          <w:rFonts w:hint="eastAsia" w:ascii="宋体" w:hAnsi="宋体" w:cs="宋体"/>
          <w:b/>
          <w:color w:val="auto"/>
          <w:szCs w:val="21"/>
          <w:highlight w:val="none"/>
        </w:rPr>
        <w:t>19.3</w:t>
      </w:r>
      <w:r>
        <w:rPr>
          <w:rFonts w:hint="eastAsia" w:ascii="宋体" w:hAnsi="宋体" w:cs="宋体"/>
          <w:color w:val="auto"/>
          <w:szCs w:val="21"/>
          <w:highlight w:val="none"/>
        </w:rPr>
        <w:t xml:space="preserve">  采用</w:t>
      </w:r>
      <w:r>
        <w:rPr>
          <w:rFonts w:hint="eastAsia" w:ascii="宋体" w:hAnsi="宋体" w:cs="宋体"/>
          <w:color w:val="auto"/>
          <w:kern w:val="0"/>
          <w:szCs w:val="21"/>
          <w:highlight w:val="none"/>
        </w:rPr>
        <w:t>电子招投标的，澄清、说明或者补正通过电子交易平台提交电子版文件</w:t>
      </w:r>
      <w:r>
        <w:rPr>
          <w:rFonts w:hint="eastAsia" w:ascii="宋体" w:hAnsi="宋体" w:cs="宋体"/>
          <w:color w:val="auto"/>
          <w:szCs w:val="21"/>
          <w:highlight w:val="none"/>
        </w:rPr>
        <w:t>，并加盖公章，或者由法定代表人或其授权的代表签字</w:t>
      </w:r>
      <w:r>
        <w:rPr>
          <w:rFonts w:hint="eastAsia" w:ascii="宋体" w:hAnsi="宋体" w:cs="宋体"/>
          <w:color w:val="auto"/>
          <w:kern w:val="0"/>
          <w:szCs w:val="21"/>
          <w:highlight w:val="none"/>
        </w:rPr>
        <w:t>。投标人提交澄清说明或补正的时间为</w:t>
      </w:r>
      <w:r>
        <w:rPr>
          <w:rFonts w:hint="eastAsia" w:ascii="宋体" w:hAnsi="宋体" w:cs="宋体"/>
          <w:color w:val="auto"/>
          <w:kern w:val="0"/>
          <w:szCs w:val="21"/>
          <w:highlight w:val="none"/>
          <w:u w:val="single"/>
        </w:rPr>
        <w:t xml:space="preserve"> 30 </w:t>
      </w:r>
      <w:r>
        <w:rPr>
          <w:rFonts w:hint="eastAsia" w:ascii="宋体" w:hAnsi="宋体" w:cs="宋体"/>
          <w:color w:val="auto"/>
          <w:kern w:val="0"/>
          <w:szCs w:val="21"/>
          <w:highlight w:val="none"/>
        </w:rPr>
        <w:t>分钟。</w:t>
      </w:r>
    </w:p>
    <w:p>
      <w:pPr>
        <w:spacing w:line="400" w:lineRule="exact"/>
        <w:rPr>
          <w:rFonts w:ascii="宋体" w:hAnsi="宋体" w:cs="宋体"/>
          <w:color w:val="auto"/>
          <w:szCs w:val="21"/>
          <w:highlight w:val="none"/>
        </w:rPr>
      </w:pPr>
      <w:r>
        <w:rPr>
          <w:rFonts w:hint="eastAsia" w:ascii="宋体" w:hAnsi="宋体" w:cs="宋体"/>
          <w:b/>
          <w:color w:val="auto"/>
          <w:szCs w:val="21"/>
          <w:highlight w:val="none"/>
        </w:rPr>
        <w:t>19.4</w:t>
      </w:r>
      <w:r>
        <w:rPr>
          <w:rFonts w:hint="eastAsia" w:ascii="宋体" w:hAnsi="宋体" w:cs="宋体"/>
          <w:b/>
          <w:color w:val="auto"/>
          <w:szCs w:val="21"/>
          <w:highlight w:val="none"/>
          <w:u w:val="single"/>
        </w:rPr>
        <w:t>若投标人未响应澄清安排的通知进行答疑和澄清，将被视作自动放弃。</w:t>
      </w:r>
      <w:r>
        <w:rPr>
          <w:rFonts w:hint="eastAsia" w:ascii="宋体" w:hAnsi="宋体" w:cs="宋体"/>
          <w:b/>
          <w:color w:val="auto"/>
          <w:szCs w:val="21"/>
          <w:highlight w:val="none"/>
        </w:rPr>
        <w:br w:type="textWrapping"/>
      </w:r>
    </w:p>
    <w:p>
      <w:pPr>
        <w:spacing w:line="400" w:lineRule="exact"/>
        <w:rPr>
          <w:rFonts w:ascii="宋体" w:hAnsi="宋体" w:cs="宋体"/>
          <w:color w:val="auto"/>
          <w:szCs w:val="21"/>
          <w:highlight w:val="none"/>
          <w:u w:val="single"/>
        </w:rPr>
      </w:pPr>
      <w:r>
        <w:rPr>
          <w:rFonts w:hint="eastAsia" w:ascii="宋体" w:hAnsi="宋体" w:cs="宋体"/>
          <w:b/>
          <w:color w:val="auto"/>
          <w:szCs w:val="21"/>
          <w:highlight w:val="none"/>
        </w:rPr>
        <w:t>20.  评标办法：</w:t>
      </w:r>
      <w:r>
        <w:rPr>
          <w:rFonts w:hint="eastAsia" w:ascii="宋体" w:hAnsi="宋体"/>
          <w:color w:val="auto"/>
          <w:szCs w:val="21"/>
          <w:highlight w:val="none"/>
        </w:rPr>
        <w:t>评标采用的方法有最低评标价法和综合评分法。</w:t>
      </w:r>
      <w:r>
        <w:rPr>
          <w:rFonts w:hint="eastAsia" w:ascii="宋体" w:hAnsi="宋体"/>
          <w:b/>
          <w:color w:val="auto"/>
          <w:szCs w:val="21"/>
          <w:highlight w:val="none"/>
        </w:rPr>
        <w:t>本项目招标采用的评标方法载明在招标文件第</w:t>
      </w:r>
      <w:r>
        <w:rPr>
          <w:rFonts w:hint="eastAsia" w:ascii="宋体" w:hAnsi="宋体"/>
          <w:b/>
          <w:color w:val="auto"/>
          <w:szCs w:val="21"/>
          <w:highlight w:val="none"/>
          <w:lang w:val="en-US" w:eastAsia="zh-CN"/>
        </w:rPr>
        <w:t>五</w:t>
      </w:r>
      <w:r>
        <w:rPr>
          <w:rFonts w:hint="eastAsia" w:ascii="宋体" w:hAnsi="宋体"/>
          <w:b/>
          <w:color w:val="auto"/>
          <w:szCs w:val="21"/>
          <w:highlight w:val="none"/>
        </w:rPr>
        <w:t>部分“评标办法”中。</w:t>
      </w:r>
    </w:p>
    <w:p>
      <w:pPr>
        <w:spacing w:line="400" w:lineRule="exact"/>
        <w:ind w:left="153" w:leftChars="73" w:firstLine="315" w:firstLineChars="150"/>
        <w:rPr>
          <w:rFonts w:ascii="宋体" w:hAnsi="宋体" w:cs="宋体"/>
          <w:color w:val="auto"/>
          <w:szCs w:val="21"/>
          <w:highlight w:val="none"/>
        </w:rPr>
      </w:pPr>
    </w:p>
    <w:p>
      <w:pPr>
        <w:spacing w:line="400" w:lineRule="exact"/>
        <w:rPr>
          <w:rFonts w:ascii="宋体" w:hAnsi="宋体" w:cs="宋体"/>
          <w:color w:val="auto"/>
          <w:szCs w:val="21"/>
          <w:highlight w:val="none"/>
        </w:rPr>
      </w:pPr>
      <w:r>
        <w:rPr>
          <w:rFonts w:hint="eastAsia" w:ascii="宋体" w:hAnsi="宋体" w:cs="宋体"/>
          <w:b/>
          <w:color w:val="auto"/>
          <w:szCs w:val="21"/>
          <w:highlight w:val="none"/>
        </w:rPr>
        <w:t>21.  评标程序和原则</w:t>
      </w:r>
    </w:p>
    <w:p>
      <w:pPr>
        <w:spacing w:line="440" w:lineRule="exact"/>
        <w:rPr>
          <w:rFonts w:ascii="宋体" w:hAnsi="宋体"/>
          <w:color w:val="auto"/>
          <w:szCs w:val="21"/>
          <w:highlight w:val="none"/>
          <w:shd w:val="pct10" w:color="auto" w:fill="FFFFFF"/>
        </w:rPr>
      </w:pPr>
      <w:r>
        <w:rPr>
          <w:rFonts w:hint="eastAsia" w:ascii="宋体" w:hAnsi="宋体"/>
          <w:b/>
          <w:color w:val="auto"/>
          <w:szCs w:val="21"/>
          <w:highlight w:val="none"/>
        </w:rPr>
        <w:t>21.1</w:t>
      </w:r>
      <w:r>
        <w:rPr>
          <w:rFonts w:hint="eastAsia" w:ascii="宋体" w:hAnsi="宋体"/>
          <w:color w:val="auto"/>
          <w:szCs w:val="21"/>
          <w:highlight w:val="none"/>
          <w:u w:val="thick"/>
        </w:rPr>
        <w:t>评标程序</w:t>
      </w:r>
      <w:r>
        <w:rPr>
          <w:rFonts w:hint="eastAsia" w:ascii="宋体" w:hAnsi="宋体"/>
          <w:color w:val="auto"/>
          <w:szCs w:val="21"/>
          <w:highlight w:val="none"/>
        </w:rPr>
        <w:t>：遵循资格审查、符合性审查、澄清有关问题、比较与评价、推荐中标人（或中标候选人）的程序依次进行。</w:t>
      </w:r>
    </w:p>
    <w:p>
      <w:pPr>
        <w:spacing w:line="440" w:lineRule="exact"/>
        <w:rPr>
          <w:rFonts w:ascii="宋体" w:hAnsi="宋体"/>
          <w:color w:val="auto"/>
          <w:szCs w:val="21"/>
          <w:highlight w:val="none"/>
        </w:rPr>
      </w:pPr>
      <w:r>
        <w:rPr>
          <w:rFonts w:hint="eastAsia" w:ascii="宋体" w:hAnsi="宋体"/>
          <w:b/>
          <w:color w:val="auto"/>
          <w:szCs w:val="21"/>
          <w:highlight w:val="none"/>
        </w:rPr>
        <w:t>21.2</w:t>
      </w:r>
      <w:r>
        <w:rPr>
          <w:rFonts w:hint="eastAsia" w:ascii="宋体" w:hAnsi="宋体"/>
          <w:color w:val="auto"/>
          <w:szCs w:val="21"/>
          <w:highlight w:val="none"/>
          <w:u w:val="thick"/>
        </w:rPr>
        <w:t>资格审查</w:t>
      </w:r>
      <w:r>
        <w:rPr>
          <w:rFonts w:hint="eastAsia" w:ascii="宋体" w:hAnsi="宋体"/>
          <w:color w:val="auto"/>
          <w:szCs w:val="21"/>
          <w:highlight w:val="none"/>
        </w:rPr>
        <w:t>：公开招标采购项目开标结束后，采购人或者采购代理机构应当依法对投标人的资格进行审查。详见招标文件第</w:t>
      </w:r>
      <w:r>
        <w:rPr>
          <w:rFonts w:hint="eastAsia" w:ascii="宋体" w:hAnsi="宋体"/>
          <w:color w:val="auto"/>
          <w:szCs w:val="21"/>
          <w:highlight w:val="none"/>
          <w:lang w:val="en-US" w:eastAsia="zh-CN"/>
        </w:rPr>
        <w:t>五</w:t>
      </w:r>
      <w:r>
        <w:rPr>
          <w:rFonts w:hint="eastAsia" w:ascii="宋体" w:hAnsi="宋体"/>
          <w:color w:val="auto"/>
          <w:szCs w:val="21"/>
          <w:highlight w:val="none"/>
        </w:rPr>
        <w:t>部分“评标办法”。</w:t>
      </w:r>
    </w:p>
    <w:p>
      <w:pPr>
        <w:spacing w:line="440" w:lineRule="exact"/>
        <w:rPr>
          <w:rFonts w:ascii="宋体" w:hAnsi="宋体"/>
          <w:color w:val="auto"/>
          <w:szCs w:val="21"/>
          <w:highlight w:val="none"/>
        </w:rPr>
      </w:pPr>
      <w:r>
        <w:rPr>
          <w:rFonts w:hint="eastAsia" w:ascii="宋体" w:hAnsi="宋体"/>
          <w:b/>
          <w:color w:val="auto"/>
          <w:szCs w:val="21"/>
          <w:highlight w:val="none"/>
        </w:rPr>
        <w:t>21.3</w:t>
      </w:r>
      <w:r>
        <w:rPr>
          <w:rFonts w:hint="eastAsia" w:ascii="宋体" w:hAnsi="宋体"/>
          <w:color w:val="auto"/>
          <w:szCs w:val="21"/>
          <w:highlight w:val="none"/>
          <w:u w:val="thick"/>
        </w:rPr>
        <w:t>符合性审查</w:t>
      </w:r>
      <w:r>
        <w:rPr>
          <w:rFonts w:hint="eastAsia" w:ascii="宋体" w:hAnsi="宋体"/>
          <w:color w:val="auto"/>
          <w:szCs w:val="21"/>
          <w:highlight w:val="none"/>
        </w:rPr>
        <w:t>：评标委员会应当对符合资格的投标人的投标文件进行符合性审查，以确定其是否满足招标文件的实质性要求。详见招标文件第</w:t>
      </w:r>
      <w:r>
        <w:rPr>
          <w:rFonts w:hint="eastAsia" w:ascii="宋体" w:hAnsi="宋体"/>
          <w:color w:val="auto"/>
          <w:szCs w:val="21"/>
          <w:highlight w:val="none"/>
          <w:lang w:val="en-US" w:eastAsia="zh-CN"/>
        </w:rPr>
        <w:t>五</w:t>
      </w:r>
      <w:r>
        <w:rPr>
          <w:rFonts w:hint="eastAsia" w:ascii="宋体" w:hAnsi="宋体"/>
          <w:color w:val="auto"/>
          <w:szCs w:val="21"/>
          <w:highlight w:val="none"/>
        </w:rPr>
        <w:t>部分“评标办法”。</w:t>
      </w:r>
    </w:p>
    <w:p>
      <w:pPr>
        <w:spacing w:line="440" w:lineRule="exact"/>
        <w:rPr>
          <w:rFonts w:ascii="宋体" w:hAnsi="宋体"/>
          <w:color w:val="auto"/>
          <w:szCs w:val="21"/>
          <w:highlight w:val="none"/>
        </w:rPr>
      </w:pPr>
      <w:r>
        <w:rPr>
          <w:rFonts w:hint="eastAsia" w:ascii="宋体" w:hAnsi="宋体"/>
          <w:b/>
          <w:color w:val="auto"/>
          <w:szCs w:val="21"/>
          <w:highlight w:val="none"/>
        </w:rPr>
        <w:t xml:space="preserve">21.4 </w:t>
      </w:r>
      <w:r>
        <w:rPr>
          <w:rFonts w:hint="eastAsia" w:ascii="宋体" w:hAnsi="宋体"/>
          <w:color w:val="auto"/>
          <w:szCs w:val="21"/>
          <w:highlight w:val="none"/>
          <w:u w:val="thick"/>
        </w:rPr>
        <w:t>澄清有关问题</w:t>
      </w:r>
      <w:r>
        <w:rPr>
          <w:rFonts w:hint="eastAsia" w:ascii="宋体" w:hAnsi="宋体"/>
          <w:color w:val="auto"/>
          <w:szCs w:val="21"/>
          <w:highlight w:val="none"/>
        </w:rPr>
        <w:t>：按第</w:t>
      </w:r>
      <w:r>
        <w:rPr>
          <w:rFonts w:hint="eastAsia" w:ascii="宋体" w:hAnsi="宋体"/>
          <w:b/>
          <w:color w:val="auto"/>
          <w:szCs w:val="21"/>
          <w:highlight w:val="none"/>
        </w:rPr>
        <w:t>19</w:t>
      </w:r>
      <w:r>
        <w:rPr>
          <w:rFonts w:hint="eastAsia" w:ascii="宋体" w:hAnsi="宋体"/>
          <w:color w:val="auto"/>
          <w:szCs w:val="21"/>
          <w:highlight w:val="none"/>
        </w:rPr>
        <w:t xml:space="preserve">条规定进行。 </w:t>
      </w:r>
    </w:p>
    <w:p>
      <w:pPr>
        <w:spacing w:line="440" w:lineRule="exact"/>
        <w:rPr>
          <w:rFonts w:ascii="宋体" w:hAnsi="宋体"/>
          <w:color w:val="auto"/>
          <w:szCs w:val="21"/>
          <w:highlight w:val="none"/>
        </w:rPr>
      </w:pPr>
      <w:r>
        <w:rPr>
          <w:rFonts w:hint="eastAsia" w:ascii="宋体" w:hAnsi="宋体"/>
          <w:b/>
          <w:color w:val="auto"/>
          <w:szCs w:val="21"/>
          <w:highlight w:val="none"/>
        </w:rPr>
        <w:t>21.5</w:t>
      </w:r>
      <w:r>
        <w:rPr>
          <w:rFonts w:hint="eastAsia" w:ascii="宋体" w:hAnsi="宋体"/>
          <w:color w:val="auto"/>
          <w:szCs w:val="21"/>
          <w:highlight w:val="none"/>
          <w:u w:val="thick"/>
        </w:rPr>
        <w:t>综合比较与评价</w:t>
      </w:r>
      <w:r>
        <w:rPr>
          <w:rFonts w:hint="eastAsia" w:ascii="宋体" w:hAnsi="宋体"/>
          <w:color w:val="auto"/>
          <w:szCs w:val="21"/>
          <w:highlight w:val="none"/>
        </w:rPr>
        <w:t>：评标委员会应当按照招标文件中规定的评标方法和标准，对符合性审查合格的投标文件进行商务和技术评估，综合比较与评价。</w:t>
      </w:r>
    </w:p>
    <w:p>
      <w:pPr>
        <w:spacing w:line="440" w:lineRule="exact"/>
        <w:rPr>
          <w:rFonts w:ascii="宋体" w:hAnsi="宋体"/>
          <w:b/>
          <w:color w:val="auto"/>
          <w:szCs w:val="21"/>
          <w:highlight w:val="none"/>
        </w:rPr>
      </w:pPr>
      <w:r>
        <w:rPr>
          <w:rFonts w:hint="eastAsia" w:ascii="宋体" w:hAnsi="宋体"/>
          <w:b/>
          <w:color w:val="auto"/>
          <w:szCs w:val="21"/>
          <w:highlight w:val="none"/>
        </w:rPr>
        <w:t xml:space="preserve">21.5.1 </w:t>
      </w:r>
      <w:r>
        <w:rPr>
          <w:rFonts w:hint="eastAsia" w:ascii="宋体" w:hAnsi="宋体"/>
          <w:color w:val="auto"/>
          <w:szCs w:val="21"/>
          <w:highlight w:val="none"/>
          <w:u w:val="thick"/>
        </w:rPr>
        <w:t>商务评价</w:t>
      </w:r>
      <w:r>
        <w:rPr>
          <w:rFonts w:hint="eastAsia" w:ascii="宋体" w:hAnsi="宋体"/>
          <w:color w:val="auto"/>
          <w:szCs w:val="21"/>
          <w:highlight w:val="none"/>
        </w:rPr>
        <w:t>：按照招标文件的要求和“评标标准”对照投标文件的响应进行商务评价，并对其偏差计算相应的商务评分分值。</w:t>
      </w:r>
    </w:p>
    <w:p>
      <w:pPr>
        <w:spacing w:line="440" w:lineRule="exact"/>
        <w:rPr>
          <w:rFonts w:ascii="宋体" w:hAnsi="宋体"/>
          <w:color w:val="auto"/>
          <w:szCs w:val="21"/>
          <w:highlight w:val="none"/>
        </w:rPr>
      </w:pPr>
      <w:r>
        <w:rPr>
          <w:rFonts w:hint="eastAsia" w:ascii="宋体" w:hAnsi="宋体"/>
          <w:b/>
          <w:color w:val="auto"/>
          <w:szCs w:val="21"/>
          <w:highlight w:val="none"/>
        </w:rPr>
        <w:t>21.5.2</w:t>
      </w:r>
      <w:r>
        <w:rPr>
          <w:rFonts w:hint="eastAsia" w:ascii="宋体" w:hAnsi="宋体"/>
          <w:color w:val="auto"/>
          <w:szCs w:val="21"/>
          <w:highlight w:val="none"/>
          <w:u w:val="thick"/>
        </w:rPr>
        <w:t>技术评价</w:t>
      </w:r>
      <w:r>
        <w:rPr>
          <w:rFonts w:hint="eastAsia" w:ascii="宋体" w:hAnsi="宋体"/>
          <w:color w:val="auto"/>
          <w:szCs w:val="21"/>
          <w:highlight w:val="none"/>
        </w:rPr>
        <w:t>：按照招标文件的要求和“评标标准”对照投标文件的响应进行技术评价，评定其偏差程度，并计算其相应的技术评分分值。</w:t>
      </w:r>
    </w:p>
    <w:p>
      <w:pPr>
        <w:spacing w:line="440" w:lineRule="exact"/>
        <w:jc w:val="left"/>
        <w:rPr>
          <w:rFonts w:ascii="宋体" w:hAnsi="宋体"/>
          <w:color w:val="auto"/>
          <w:szCs w:val="21"/>
          <w:highlight w:val="none"/>
        </w:rPr>
      </w:pPr>
      <w:r>
        <w:rPr>
          <w:rFonts w:hint="eastAsia" w:ascii="宋体" w:hAnsi="宋体"/>
          <w:b/>
          <w:color w:val="auto"/>
          <w:szCs w:val="21"/>
          <w:highlight w:val="none"/>
        </w:rPr>
        <w:t>21.5.3</w:t>
      </w:r>
      <w:r>
        <w:rPr>
          <w:rFonts w:hint="eastAsia" w:ascii="宋体" w:hAnsi="宋体"/>
          <w:color w:val="auto"/>
          <w:szCs w:val="21"/>
          <w:highlight w:val="none"/>
          <w:u w:val="thick"/>
        </w:rPr>
        <w:t>综合评价</w:t>
      </w:r>
      <w:r>
        <w:rPr>
          <w:rFonts w:hint="eastAsia" w:ascii="宋体" w:hAnsi="宋体"/>
          <w:color w:val="auto"/>
          <w:szCs w:val="21"/>
          <w:highlight w:val="none"/>
        </w:rPr>
        <w:t>：对经过商务评价、技术评价的投标，按“评标标准”规定的评价办法进行综合评价，做出评标结果排序。</w:t>
      </w:r>
    </w:p>
    <w:p>
      <w:pPr>
        <w:spacing w:line="440" w:lineRule="exact"/>
        <w:jc w:val="left"/>
        <w:rPr>
          <w:rFonts w:ascii="宋体" w:hAnsi="宋体"/>
          <w:color w:val="auto"/>
          <w:szCs w:val="21"/>
          <w:highlight w:val="none"/>
        </w:rPr>
      </w:pPr>
    </w:p>
    <w:p>
      <w:pPr>
        <w:spacing w:line="440" w:lineRule="exact"/>
        <w:rPr>
          <w:rFonts w:ascii="宋体" w:hAnsi="宋体"/>
          <w:b/>
          <w:color w:val="auto"/>
          <w:szCs w:val="21"/>
          <w:highlight w:val="none"/>
        </w:rPr>
      </w:pPr>
      <w:r>
        <w:rPr>
          <w:rFonts w:hint="eastAsia" w:ascii="宋体" w:hAnsi="宋体"/>
          <w:b/>
          <w:color w:val="auto"/>
          <w:szCs w:val="21"/>
          <w:highlight w:val="none"/>
        </w:rPr>
        <w:t>21.6  评标过程处理原则</w:t>
      </w:r>
    </w:p>
    <w:p>
      <w:pPr>
        <w:spacing w:line="440" w:lineRule="exact"/>
        <w:rPr>
          <w:rFonts w:ascii="宋体" w:hAnsi="宋体"/>
          <w:color w:val="auto"/>
          <w:szCs w:val="21"/>
          <w:highlight w:val="none"/>
        </w:rPr>
      </w:pPr>
      <w:r>
        <w:rPr>
          <w:rFonts w:hint="eastAsia" w:ascii="宋体" w:hAnsi="宋体"/>
          <w:b/>
          <w:color w:val="auto"/>
          <w:szCs w:val="21"/>
          <w:highlight w:val="none"/>
        </w:rPr>
        <w:t>21.6.1</w:t>
      </w:r>
      <w:r>
        <w:rPr>
          <w:rFonts w:hint="eastAsia" w:ascii="宋体" w:hAnsi="宋体"/>
          <w:color w:val="auto"/>
          <w:szCs w:val="21"/>
          <w:highlight w:val="none"/>
        </w:rPr>
        <w:t xml:space="preserve">  通过资格审查的投标人不足3家的，评标终止。</w:t>
      </w:r>
    </w:p>
    <w:p>
      <w:pPr>
        <w:spacing w:line="440" w:lineRule="exact"/>
        <w:rPr>
          <w:rFonts w:ascii="宋体" w:hAnsi="宋体"/>
          <w:b/>
          <w:color w:val="auto"/>
          <w:szCs w:val="21"/>
          <w:highlight w:val="none"/>
        </w:rPr>
      </w:pPr>
      <w:r>
        <w:rPr>
          <w:rFonts w:hint="eastAsia" w:ascii="宋体" w:hAnsi="宋体"/>
          <w:b/>
          <w:color w:val="auto"/>
          <w:szCs w:val="21"/>
          <w:highlight w:val="none"/>
        </w:rPr>
        <w:t xml:space="preserve">21.6.2  </w:t>
      </w:r>
      <w:r>
        <w:rPr>
          <w:rFonts w:hint="eastAsia" w:ascii="宋体" w:hAnsi="宋体"/>
          <w:color w:val="auto"/>
          <w:szCs w:val="21"/>
          <w:highlight w:val="none"/>
        </w:rPr>
        <w:t>信用信息查询</w:t>
      </w:r>
    </w:p>
    <w:p>
      <w:pPr>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（1）信用信息查询渠道及截止时间：采购代理机构将通过“信用中国”网站(www.creditchina.gov.cn)、中国政府采购网(www.ccgp.gov.cn)渠道查询投标人投标截止时间当天的信用记录。</w:t>
      </w:r>
    </w:p>
    <w:p>
      <w:pPr>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（2）信用信息查询记录和证据留存的具体方式：现场查询的投标人的信用记录、查询结果经确认后将与招标文件一起存档。</w:t>
      </w:r>
    </w:p>
    <w:p>
      <w:pPr>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（3）信用信息的使用规则：经查询列入失信被执行人名单、重大税收违法案件当事人名单、政府采购严重违法失信行为记录名单的投标人将被拒绝参与政府采购活动。</w:t>
      </w:r>
    </w:p>
    <w:p>
      <w:pPr>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4）联合体信用信息查询：两个以上的自然人、法人或者其他组织组成一个联合体，以一个投标人的身份共同参加政府采购活动的，应当对所有联合体成员进行信用记录查询，联合体成员存在不良信用记录的，视同联合体存在不良信用记录。</w:t>
      </w:r>
    </w:p>
    <w:p>
      <w:pPr>
        <w:spacing w:line="440" w:lineRule="exact"/>
        <w:rPr>
          <w:rFonts w:ascii="宋体" w:hAnsi="宋体"/>
          <w:color w:val="auto"/>
          <w:szCs w:val="21"/>
          <w:highlight w:val="none"/>
        </w:rPr>
      </w:pPr>
      <w:r>
        <w:rPr>
          <w:rFonts w:hint="eastAsia" w:ascii="宋体" w:hAnsi="宋体"/>
          <w:b/>
          <w:color w:val="auto"/>
          <w:szCs w:val="21"/>
          <w:highlight w:val="none"/>
        </w:rPr>
        <w:t xml:space="preserve">21.6.3  </w:t>
      </w:r>
      <w:r>
        <w:rPr>
          <w:rFonts w:hint="eastAsia" w:ascii="宋体" w:hAnsi="宋体"/>
          <w:color w:val="auto"/>
          <w:szCs w:val="21"/>
          <w:highlight w:val="none"/>
        </w:rPr>
        <w:t>投标文件报价出现前后不一致的，除招标文件另有规定外，按照下列规定修正：</w:t>
      </w:r>
    </w:p>
    <w:p>
      <w:pPr>
        <w:spacing w:line="440" w:lineRule="exact"/>
        <w:ind w:firstLine="449" w:firstLineChars="214"/>
        <w:rPr>
          <w:rFonts w:ascii="宋体" w:hAnsi="宋体"/>
          <w:color w:val="auto"/>
          <w:szCs w:val="21"/>
          <w:highlight w:val="none"/>
        </w:rPr>
      </w:pPr>
      <w:r>
        <w:rPr>
          <w:rFonts w:hint="eastAsia" w:ascii="宋体" w:hAnsi="宋体"/>
          <w:color w:val="auto"/>
          <w:szCs w:val="21"/>
          <w:highlight w:val="none"/>
        </w:rPr>
        <w:t>（一）投标文件中开标一览表(报价表)内容与投标文件中相应内容不一致的，以开标一览表(报价表)为准；</w:t>
      </w:r>
    </w:p>
    <w:p>
      <w:pPr>
        <w:spacing w:line="440" w:lineRule="exact"/>
        <w:ind w:firstLine="449" w:firstLineChars="214"/>
        <w:rPr>
          <w:rFonts w:ascii="宋体" w:hAnsi="宋体"/>
          <w:color w:val="auto"/>
          <w:szCs w:val="21"/>
          <w:highlight w:val="none"/>
        </w:rPr>
      </w:pPr>
      <w:r>
        <w:rPr>
          <w:rFonts w:hint="eastAsia" w:ascii="宋体" w:hAnsi="宋体"/>
          <w:color w:val="auto"/>
          <w:szCs w:val="21"/>
          <w:highlight w:val="none"/>
        </w:rPr>
        <w:t>（二）大写金额和小写金额不一致的，以大写金额为准；</w:t>
      </w:r>
    </w:p>
    <w:p>
      <w:pPr>
        <w:spacing w:line="440" w:lineRule="exact"/>
        <w:ind w:firstLine="449" w:firstLineChars="214"/>
        <w:rPr>
          <w:rFonts w:ascii="宋体" w:hAnsi="宋体"/>
          <w:color w:val="auto"/>
          <w:szCs w:val="21"/>
          <w:highlight w:val="none"/>
        </w:rPr>
      </w:pPr>
      <w:r>
        <w:rPr>
          <w:rFonts w:hint="eastAsia" w:ascii="宋体" w:hAnsi="宋体"/>
          <w:color w:val="auto"/>
          <w:szCs w:val="21"/>
          <w:highlight w:val="none"/>
        </w:rPr>
        <w:t>（三）单价金额小数点或者百分比有明显错位的，以开标一览表的总价为准，并修改单价；</w:t>
      </w:r>
    </w:p>
    <w:p>
      <w:pPr>
        <w:spacing w:line="440" w:lineRule="exact"/>
        <w:ind w:firstLine="449" w:firstLineChars="214"/>
        <w:rPr>
          <w:rFonts w:ascii="宋体" w:hAnsi="宋体"/>
          <w:color w:val="auto"/>
          <w:szCs w:val="21"/>
          <w:highlight w:val="none"/>
        </w:rPr>
      </w:pPr>
      <w:r>
        <w:rPr>
          <w:rFonts w:hint="eastAsia" w:ascii="宋体" w:hAnsi="宋体"/>
          <w:color w:val="auto"/>
          <w:szCs w:val="21"/>
          <w:highlight w:val="none"/>
        </w:rPr>
        <w:t>（四）总价金额与按单价汇总金额不一致的，以单价金额计算结果为准。</w:t>
      </w:r>
    </w:p>
    <w:p>
      <w:pPr>
        <w:spacing w:line="440" w:lineRule="exact"/>
        <w:ind w:firstLine="449" w:firstLineChars="214"/>
        <w:rPr>
          <w:rFonts w:ascii="宋体" w:hAnsi="宋体"/>
          <w:color w:val="auto"/>
          <w:szCs w:val="21"/>
          <w:highlight w:val="none"/>
        </w:rPr>
      </w:pPr>
      <w:r>
        <w:rPr>
          <w:rFonts w:hint="eastAsia" w:ascii="宋体" w:hAnsi="宋体"/>
          <w:color w:val="auto"/>
          <w:szCs w:val="21"/>
          <w:highlight w:val="none"/>
        </w:rPr>
        <w:t>同时出现两种以上不一致的，按照前款规定的顺序修正。修正后的报价按照本须知19.2条的规定经投标人确认后产生约束力，投标人不确认的，其投标无效。</w:t>
      </w:r>
    </w:p>
    <w:p>
      <w:pPr>
        <w:spacing w:line="440" w:lineRule="exact"/>
        <w:rPr>
          <w:rFonts w:ascii="宋体" w:hAnsi="宋体"/>
          <w:color w:val="auto"/>
          <w:szCs w:val="21"/>
          <w:highlight w:val="none"/>
        </w:rPr>
      </w:pPr>
      <w:r>
        <w:rPr>
          <w:rFonts w:hint="eastAsia" w:ascii="宋体" w:hAnsi="宋体"/>
          <w:b/>
          <w:color w:val="auto"/>
          <w:szCs w:val="21"/>
          <w:highlight w:val="none"/>
        </w:rPr>
        <w:t>21.6.4</w:t>
      </w:r>
      <w:r>
        <w:rPr>
          <w:rFonts w:hint="eastAsia" w:ascii="宋体" w:hAnsi="宋体"/>
          <w:color w:val="auto"/>
          <w:szCs w:val="21"/>
          <w:highlight w:val="none"/>
        </w:rPr>
        <w:t xml:space="preserve">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440" w:lineRule="exact"/>
        <w:rPr>
          <w:rFonts w:ascii="宋体" w:hAnsi="宋体"/>
          <w:color w:val="auto"/>
          <w:szCs w:val="21"/>
          <w:highlight w:val="none"/>
        </w:rPr>
      </w:pPr>
      <w:r>
        <w:rPr>
          <w:rFonts w:hint="eastAsia" w:ascii="宋体" w:hAnsi="宋体"/>
          <w:b/>
          <w:color w:val="auto"/>
          <w:szCs w:val="21"/>
          <w:highlight w:val="none"/>
        </w:rPr>
        <w:t>21.6.5</w:t>
      </w:r>
      <w:r>
        <w:rPr>
          <w:rFonts w:hint="eastAsia" w:ascii="宋体" w:hAnsi="宋体"/>
          <w:color w:val="auto"/>
          <w:szCs w:val="21"/>
          <w:highlight w:val="none"/>
        </w:rPr>
        <w:t xml:space="preserve">  评标委员会成员对需要共同认定的事项存在争议的，应当按照少数服从多数的原则作出结论。持不同意见的评标委员会成员应当在评标报告上签署不同意见及理由，否则视为同意评标报告。</w:t>
      </w:r>
    </w:p>
    <w:p>
      <w:pPr>
        <w:spacing w:line="440" w:lineRule="exact"/>
        <w:rPr>
          <w:rFonts w:ascii="宋体" w:hAnsi="宋体"/>
          <w:color w:val="auto"/>
          <w:szCs w:val="21"/>
          <w:highlight w:val="none"/>
        </w:rPr>
      </w:pPr>
      <w:r>
        <w:rPr>
          <w:rFonts w:hint="eastAsia" w:ascii="宋体" w:hAnsi="宋体"/>
          <w:b/>
          <w:color w:val="auto"/>
          <w:szCs w:val="21"/>
          <w:highlight w:val="none"/>
        </w:rPr>
        <w:t xml:space="preserve">21.6.6 </w:t>
      </w:r>
      <w:r>
        <w:rPr>
          <w:rFonts w:hint="eastAsia" w:ascii="宋体" w:hAnsi="宋体"/>
          <w:color w:val="auto"/>
          <w:szCs w:val="21"/>
          <w:highlight w:val="none"/>
        </w:rPr>
        <w:t xml:space="preserve"> 采用最低评标价法的采购项目，提供相同品牌产品的不同投标人参加同一标项投标的，以其中通过资格审查、符合性审查且报价最低的参加评标；报价相同的，由采购人或者采购人委托评标委员会采取随机抽取方式确定，其他投标无效。</w:t>
      </w:r>
    </w:p>
    <w:p>
      <w:pPr>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使用综合评分法的采购项目，提供相同品牌产品且通过资格审查、符合性审查的不同投标人参加同一标项项投标的，按一家投标人计算，评审后得分最高的同品牌投标人获得中标人推荐资格；评审得分相同的，由采购人或者采购人委托评标委员会采取随机抽取方式确定，其他同品牌投标人不作为中标候选人。</w:t>
      </w:r>
    </w:p>
    <w:p>
      <w:pPr>
        <w:spacing w:line="440" w:lineRule="exact"/>
        <w:ind w:firstLine="449" w:firstLineChars="214"/>
        <w:rPr>
          <w:rFonts w:ascii="宋体" w:hAnsi="宋体"/>
          <w:color w:val="auto"/>
          <w:szCs w:val="21"/>
          <w:highlight w:val="none"/>
        </w:rPr>
      </w:pPr>
      <w:r>
        <w:rPr>
          <w:rFonts w:hint="eastAsia" w:ascii="宋体" w:hAnsi="宋体"/>
          <w:color w:val="auto"/>
          <w:szCs w:val="21"/>
          <w:highlight w:val="none"/>
        </w:rPr>
        <w:t>非单一产品采购项目，招标文件中应载明核心产品，多家投标人提供的核心产品品牌相同的，按上述规定处理。</w:t>
      </w:r>
    </w:p>
    <w:p>
      <w:pPr>
        <w:spacing w:line="440" w:lineRule="exact"/>
        <w:rPr>
          <w:rFonts w:ascii="宋体" w:hAnsi="宋体"/>
          <w:color w:val="auto"/>
          <w:szCs w:val="21"/>
          <w:highlight w:val="none"/>
        </w:rPr>
      </w:pPr>
      <w:r>
        <w:rPr>
          <w:rFonts w:hint="eastAsia" w:ascii="宋体" w:hAnsi="宋体"/>
          <w:b/>
          <w:color w:val="auto"/>
          <w:szCs w:val="21"/>
          <w:highlight w:val="none"/>
        </w:rPr>
        <w:t>21.6.7</w:t>
      </w:r>
      <w:r>
        <w:rPr>
          <w:rFonts w:hint="eastAsia" w:ascii="宋体" w:hAnsi="宋体"/>
          <w:color w:val="auto"/>
          <w:szCs w:val="21"/>
          <w:highlight w:val="none"/>
        </w:rPr>
        <w:t xml:space="preserve">  有下列情形之一的，视为投标人串通投标，其投标无效：</w:t>
      </w:r>
    </w:p>
    <w:p>
      <w:pPr>
        <w:spacing w:line="440" w:lineRule="exact"/>
        <w:ind w:firstLine="449" w:firstLineChars="214"/>
        <w:rPr>
          <w:rFonts w:ascii="宋体" w:hAnsi="宋体"/>
          <w:color w:val="auto"/>
          <w:szCs w:val="21"/>
          <w:highlight w:val="none"/>
        </w:rPr>
      </w:pPr>
      <w:r>
        <w:rPr>
          <w:rFonts w:hint="eastAsia" w:ascii="宋体" w:hAnsi="宋体"/>
          <w:color w:val="auto"/>
          <w:szCs w:val="21"/>
          <w:highlight w:val="none"/>
        </w:rPr>
        <w:t>（一）不同投标人的投标文件由同一单位或者个人编制；</w:t>
      </w:r>
    </w:p>
    <w:p>
      <w:pPr>
        <w:spacing w:line="440" w:lineRule="exact"/>
        <w:ind w:firstLine="449" w:firstLineChars="214"/>
        <w:rPr>
          <w:rFonts w:ascii="宋体" w:hAnsi="宋体"/>
          <w:color w:val="auto"/>
          <w:szCs w:val="21"/>
          <w:highlight w:val="none"/>
        </w:rPr>
      </w:pPr>
      <w:r>
        <w:rPr>
          <w:rFonts w:hint="eastAsia" w:ascii="宋体" w:hAnsi="宋体"/>
          <w:color w:val="auto"/>
          <w:szCs w:val="21"/>
          <w:highlight w:val="none"/>
        </w:rPr>
        <w:t>（二）不同投标人委托同一单位或者个人办理投标事宜；</w:t>
      </w:r>
    </w:p>
    <w:p>
      <w:pPr>
        <w:spacing w:line="440" w:lineRule="exact"/>
        <w:ind w:firstLine="449" w:firstLineChars="214"/>
        <w:rPr>
          <w:rFonts w:ascii="宋体" w:hAnsi="宋体"/>
          <w:color w:val="auto"/>
          <w:szCs w:val="21"/>
          <w:highlight w:val="none"/>
        </w:rPr>
      </w:pPr>
      <w:r>
        <w:rPr>
          <w:rFonts w:hint="eastAsia" w:ascii="宋体" w:hAnsi="宋体"/>
          <w:color w:val="auto"/>
          <w:szCs w:val="21"/>
          <w:highlight w:val="none"/>
        </w:rPr>
        <w:t>（三）不同投标人的投标文件载明的项目管理成员或者联系人员为同一人；</w:t>
      </w:r>
    </w:p>
    <w:p>
      <w:pPr>
        <w:spacing w:line="440" w:lineRule="exact"/>
        <w:ind w:firstLine="449" w:firstLineChars="214"/>
        <w:rPr>
          <w:rFonts w:ascii="宋体" w:hAnsi="宋体"/>
          <w:color w:val="auto"/>
          <w:szCs w:val="21"/>
          <w:highlight w:val="none"/>
        </w:rPr>
      </w:pPr>
      <w:r>
        <w:rPr>
          <w:rFonts w:hint="eastAsia" w:ascii="宋体" w:hAnsi="宋体"/>
          <w:color w:val="auto"/>
          <w:szCs w:val="21"/>
          <w:highlight w:val="none"/>
        </w:rPr>
        <w:t>（四）不同投标人的投标文件异常一致或者投标报价呈规律性差异；</w:t>
      </w:r>
    </w:p>
    <w:p>
      <w:pPr>
        <w:spacing w:line="440" w:lineRule="exact"/>
        <w:ind w:firstLine="449" w:firstLineChars="214"/>
        <w:rPr>
          <w:rFonts w:ascii="宋体" w:hAnsi="宋体"/>
          <w:color w:val="auto"/>
          <w:szCs w:val="21"/>
          <w:highlight w:val="none"/>
        </w:rPr>
      </w:pPr>
      <w:r>
        <w:rPr>
          <w:rFonts w:hint="eastAsia" w:ascii="宋体" w:hAnsi="宋体"/>
          <w:color w:val="auto"/>
          <w:szCs w:val="21"/>
          <w:highlight w:val="none"/>
        </w:rPr>
        <w:t>（五）不同投标人的投标文件相互混装；</w:t>
      </w:r>
    </w:p>
    <w:p>
      <w:pPr>
        <w:spacing w:line="440" w:lineRule="exact"/>
        <w:ind w:firstLine="449" w:firstLineChars="214"/>
        <w:rPr>
          <w:rFonts w:ascii="宋体" w:hAnsi="宋体"/>
          <w:color w:val="auto"/>
          <w:szCs w:val="21"/>
          <w:highlight w:val="none"/>
        </w:rPr>
      </w:pPr>
      <w:r>
        <w:rPr>
          <w:rFonts w:hint="eastAsia" w:ascii="宋体" w:hAnsi="宋体"/>
          <w:color w:val="auto"/>
          <w:szCs w:val="21"/>
          <w:highlight w:val="none"/>
        </w:rPr>
        <w:t>（六）不同投标人的投标保证金从同一单位或者个人的账户转出。</w:t>
      </w:r>
    </w:p>
    <w:p>
      <w:pPr>
        <w:spacing w:line="440" w:lineRule="exact"/>
        <w:rPr>
          <w:rFonts w:ascii="宋体" w:hAnsi="宋体"/>
          <w:color w:val="auto"/>
          <w:szCs w:val="21"/>
          <w:highlight w:val="none"/>
        </w:rPr>
      </w:pPr>
      <w:r>
        <w:rPr>
          <w:rFonts w:hint="eastAsia" w:ascii="宋体" w:hAnsi="宋体"/>
          <w:b/>
          <w:color w:val="auto"/>
          <w:szCs w:val="21"/>
          <w:highlight w:val="none"/>
        </w:rPr>
        <w:t>21.6.8</w:t>
      </w:r>
      <w:r>
        <w:rPr>
          <w:rFonts w:hint="eastAsia" w:ascii="宋体" w:hAnsi="宋体"/>
          <w:color w:val="auto"/>
          <w:szCs w:val="21"/>
          <w:highlight w:val="none"/>
        </w:rPr>
        <w:t xml:space="preserve">  投标人存在下列情况之一的，投标无效：</w:t>
      </w:r>
    </w:p>
    <w:p>
      <w:pPr>
        <w:spacing w:line="440" w:lineRule="exact"/>
        <w:ind w:firstLine="449" w:firstLineChars="214"/>
        <w:rPr>
          <w:rFonts w:ascii="宋体" w:hAnsi="宋体"/>
          <w:color w:val="auto"/>
          <w:szCs w:val="21"/>
          <w:highlight w:val="none"/>
        </w:rPr>
      </w:pPr>
      <w:r>
        <w:rPr>
          <w:rFonts w:hint="eastAsia" w:ascii="宋体" w:hAnsi="宋体"/>
          <w:color w:val="auto"/>
          <w:szCs w:val="21"/>
          <w:highlight w:val="none"/>
        </w:rPr>
        <w:t>（一）未按照招标文件的规定提交投标保证金的；</w:t>
      </w:r>
    </w:p>
    <w:p>
      <w:pPr>
        <w:spacing w:line="440" w:lineRule="exact"/>
        <w:ind w:firstLine="449" w:firstLineChars="214"/>
        <w:rPr>
          <w:rFonts w:ascii="宋体" w:hAnsi="宋体"/>
          <w:color w:val="auto"/>
          <w:szCs w:val="21"/>
          <w:highlight w:val="none"/>
        </w:rPr>
      </w:pPr>
      <w:r>
        <w:rPr>
          <w:rFonts w:hint="eastAsia" w:ascii="宋体" w:hAnsi="宋体"/>
          <w:color w:val="auto"/>
          <w:szCs w:val="21"/>
          <w:highlight w:val="none"/>
        </w:rPr>
        <w:t>（二）投标文件未按招标文件要求签署、盖章的；</w:t>
      </w:r>
    </w:p>
    <w:p>
      <w:pPr>
        <w:spacing w:line="440" w:lineRule="exact"/>
        <w:ind w:firstLine="449" w:firstLineChars="214"/>
        <w:rPr>
          <w:rFonts w:ascii="宋体" w:hAnsi="宋体"/>
          <w:color w:val="auto"/>
          <w:szCs w:val="21"/>
          <w:highlight w:val="none"/>
        </w:rPr>
      </w:pPr>
      <w:r>
        <w:rPr>
          <w:rFonts w:hint="eastAsia" w:ascii="宋体" w:hAnsi="宋体"/>
          <w:color w:val="auto"/>
          <w:szCs w:val="21"/>
          <w:highlight w:val="none"/>
        </w:rPr>
        <w:t>（三）不具备招标文件中规定的资格要求的；</w:t>
      </w:r>
    </w:p>
    <w:p>
      <w:pPr>
        <w:spacing w:line="440" w:lineRule="exact"/>
        <w:ind w:firstLine="449" w:firstLineChars="214"/>
        <w:rPr>
          <w:rFonts w:ascii="宋体" w:hAnsi="宋体"/>
          <w:color w:val="auto"/>
          <w:szCs w:val="21"/>
          <w:highlight w:val="none"/>
        </w:rPr>
      </w:pPr>
      <w:r>
        <w:rPr>
          <w:rFonts w:hint="eastAsia" w:ascii="宋体" w:hAnsi="宋体"/>
          <w:color w:val="auto"/>
          <w:szCs w:val="21"/>
          <w:highlight w:val="none"/>
        </w:rPr>
        <w:t>（四）报价超过招标文件中规定的预算金额或者最高限价的；</w:t>
      </w:r>
    </w:p>
    <w:p>
      <w:pPr>
        <w:spacing w:line="440" w:lineRule="exact"/>
        <w:ind w:firstLine="449" w:firstLineChars="214"/>
        <w:rPr>
          <w:rFonts w:ascii="宋体" w:hAnsi="宋体"/>
          <w:color w:val="auto"/>
          <w:szCs w:val="21"/>
          <w:highlight w:val="none"/>
        </w:rPr>
      </w:pPr>
      <w:r>
        <w:rPr>
          <w:rFonts w:hint="eastAsia" w:ascii="宋体" w:hAnsi="宋体"/>
          <w:color w:val="auto"/>
          <w:szCs w:val="21"/>
          <w:highlight w:val="none"/>
        </w:rPr>
        <w:t>（五）未对招标文件的实质性条款作出响应的；</w:t>
      </w:r>
    </w:p>
    <w:p>
      <w:pPr>
        <w:spacing w:line="440" w:lineRule="exact"/>
        <w:ind w:firstLine="449" w:firstLineChars="214"/>
        <w:rPr>
          <w:rFonts w:ascii="宋体" w:hAnsi="宋体"/>
          <w:color w:val="auto"/>
          <w:szCs w:val="21"/>
          <w:highlight w:val="none"/>
        </w:rPr>
      </w:pPr>
      <w:r>
        <w:rPr>
          <w:rFonts w:hint="eastAsia" w:ascii="宋体" w:hAnsi="宋体"/>
          <w:color w:val="auto"/>
          <w:szCs w:val="21"/>
          <w:highlight w:val="none"/>
        </w:rPr>
        <w:t>（六）投标文件含有采购人不能接受的附加条件的；</w:t>
      </w:r>
    </w:p>
    <w:p>
      <w:pPr>
        <w:spacing w:line="440" w:lineRule="exact"/>
        <w:ind w:firstLine="449" w:firstLineChars="214"/>
        <w:rPr>
          <w:rFonts w:ascii="宋体" w:hAnsi="宋体"/>
          <w:color w:val="auto"/>
          <w:szCs w:val="21"/>
          <w:highlight w:val="none"/>
        </w:rPr>
      </w:pPr>
      <w:r>
        <w:rPr>
          <w:rFonts w:hint="eastAsia" w:ascii="宋体" w:hAnsi="宋体"/>
          <w:color w:val="auto"/>
          <w:szCs w:val="21"/>
          <w:highlight w:val="none"/>
        </w:rPr>
        <w:t>（七）不同投标人的投标文件出自同一终端设备或在相同Internet主机分配地址（相同IP地址）；</w:t>
      </w:r>
    </w:p>
    <w:p>
      <w:pPr>
        <w:spacing w:line="440" w:lineRule="exact"/>
        <w:ind w:firstLine="449" w:firstLineChars="214"/>
        <w:rPr>
          <w:rFonts w:ascii="宋体" w:hAnsi="宋体"/>
          <w:color w:val="auto"/>
          <w:szCs w:val="21"/>
          <w:highlight w:val="none"/>
        </w:rPr>
      </w:pPr>
      <w:r>
        <w:rPr>
          <w:rFonts w:hint="eastAsia" w:ascii="宋体" w:hAnsi="宋体"/>
          <w:color w:val="auto"/>
          <w:szCs w:val="21"/>
          <w:highlight w:val="none"/>
        </w:rPr>
        <w:t>（八）法律、法规和招标文件规定的其他无效情形。</w:t>
      </w:r>
    </w:p>
    <w:p>
      <w:pPr>
        <w:spacing w:line="440" w:lineRule="exact"/>
        <w:rPr>
          <w:rFonts w:ascii="宋体" w:hAnsi="宋体"/>
          <w:color w:val="auto"/>
          <w:szCs w:val="21"/>
          <w:highlight w:val="none"/>
        </w:rPr>
      </w:pPr>
      <w:r>
        <w:rPr>
          <w:rFonts w:hint="eastAsia" w:ascii="宋体" w:hAnsi="宋体"/>
          <w:b/>
          <w:color w:val="auto"/>
          <w:szCs w:val="21"/>
          <w:highlight w:val="none"/>
        </w:rPr>
        <w:t xml:space="preserve">21.6.9  </w:t>
      </w:r>
      <w:r>
        <w:rPr>
          <w:rFonts w:hint="eastAsia" w:ascii="宋体" w:hAnsi="宋体"/>
          <w:color w:val="auto"/>
          <w:szCs w:val="21"/>
          <w:highlight w:val="none"/>
        </w:rPr>
        <w:t>评标结果汇总完成后，除下列情形外，任何人不得修改评标结果：</w:t>
      </w:r>
    </w:p>
    <w:p>
      <w:pPr>
        <w:spacing w:line="440" w:lineRule="exact"/>
        <w:ind w:firstLine="449" w:firstLineChars="214"/>
        <w:rPr>
          <w:rFonts w:ascii="宋体" w:hAnsi="宋体"/>
          <w:color w:val="auto"/>
          <w:szCs w:val="21"/>
          <w:highlight w:val="none"/>
        </w:rPr>
      </w:pPr>
      <w:r>
        <w:rPr>
          <w:rFonts w:hint="eastAsia" w:ascii="宋体" w:hAnsi="宋体"/>
          <w:color w:val="auto"/>
          <w:szCs w:val="21"/>
          <w:highlight w:val="none"/>
        </w:rPr>
        <w:t>（一）分值汇总计算错误的；</w:t>
      </w:r>
    </w:p>
    <w:p>
      <w:pPr>
        <w:spacing w:line="440" w:lineRule="exact"/>
        <w:ind w:firstLine="449" w:firstLineChars="214"/>
        <w:rPr>
          <w:rFonts w:ascii="宋体" w:hAnsi="宋体"/>
          <w:color w:val="auto"/>
          <w:szCs w:val="21"/>
          <w:highlight w:val="none"/>
        </w:rPr>
      </w:pPr>
      <w:r>
        <w:rPr>
          <w:rFonts w:hint="eastAsia" w:ascii="宋体" w:hAnsi="宋体"/>
          <w:color w:val="auto"/>
          <w:szCs w:val="21"/>
          <w:highlight w:val="none"/>
        </w:rPr>
        <w:t>（二）分项评分超出评分标准范围的；</w:t>
      </w:r>
    </w:p>
    <w:p>
      <w:pPr>
        <w:spacing w:line="440" w:lineRule="exact"/>
        <w:ind w:firstLine="449" w:firstLineChars="214"/>
        <w:rPr>
          <w:rFonts w:ascii="宋体" w:hAnsi="宋体"/>
          <w:color w:val="auto"/>
          <w:szCs w:val="21"/>
          <w:highlight w:val="none"/>
        </w:rPr>
      </w:pPr>
      <w:r>
        <w:rPr>
          <w:rFonts w:hint="eastAsia" w:ascii="宋体" w:hAnsi="宋体"/>
          <w:color w:val="auto"/>
          <w:szCs w:val="21"/>
          <w:highlight w:val="none"/>
        </w:rPr>
        <w:t>（三）评标委员会成员对客观评审因素评分不一致的；</w:t>
      </w:r>
    </w:p>
    <w:p>
      <w:pPr>
        <w:spacing w:line="440" w:lineRule="exact"/>
        <w:ind w:firstLine="449" w:firstLineChars="214"/>
        <w:rPr>
          <w:rFonts w:ascii="宋体" w:hAnsi="宋体"/>
          <w:color w:val="auto"/>
          <w:szCs w:val="21"/>
          <w:highlight w:val="none"/>
        </w:rPr>
      </w:pPr>
      <w:r>
        <w:rPr>
          <w:rFonts w:hint="eastAsia" w:ascii="宋体" w:hAnsi="宋体"/>
          <w:color w:val="auto"/>
          <w:szCs w:val="21"/>
          <w:highlight w:val="none"/>
        </w:rPr>
        <w:t>（四）经评标委员会认定评分畸高、畸低的。</w:t>
      </w:r>
    </w:p>
    <w:p>
      <w:pPr>
        <w:spacing w:line="440" w:lineRule="exact"/>
        <w:ind w:firstLine="449" w:firstLineChars="214"/>
        <w:rPr>
          <w:rFonts w:ascii="宋体" w:hAnsi="宋体"/>
          <w:color w:val="auto"/>
          <w:szCs w:val="21"/>
          <w:highlight w:val="none"/>
        </w:rPr>
      </w:pPr>
      <w:r>
        <w:rPr>
          <w:rFonts w:hint="eastAsia" w:ascii="宋体" w:hAnsi="宋体"/>
          <w:color w:val="auto"/>
          <w:szCs w:val="21"/>
          <w:highlight w:val="none"/>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spacing w:line="440" w:lineRule="exact"/>
        <w:ind w:firstLine="449" w:firstLineChars="214"/>
        <w:rPr>
          <w:rFonts w:ascii="宋体" w:hAnsi="宋体"/>
          <w:color w:val="auto"/>
          <w:szCs w:val="21"/>
          <w:highlight w:val="none"/>
        </w:rPr>
      </w:pPr>
      <w:r>
        <w:rPr>
          <w:rFonts w:hint="eastAsia" w:ascii="宋体" w:hAnsi="宋体"/>
          <w:color w:val="auto"/>
          <w:szCs w:val="21"/>
          <w:highlight w:val="none"/>
        </w:rPr>
        <w:t>投标人对本条第一款情形提出质疑的，采购人或者采购代理机构可以组织原评标委员会进行重新评审，重新评审改变评标结果的，应当书面报告本级财政部门。</w:t>
      </w:r>
    </w:p>
    <w:p>
      <w:pPr>
        <w:spacing w:line="440" w:lineRule="exact"/>
        <w:rPr>
          <w:rFonts w:ascii="宋体" w:hAnsi="宋体"/>
          <w:color w:val="auto"/>
          <w:szCs w:val="21"/>
          <w:highlight w:val="none"/>
        </w:rPr>
      </w:pPr>
      <w:r>
        <w:rPr>
          <w:rFonts w:hint="eastAsia" w:ascii="宋体" w:hAnsi="宋体"/>
          <w:b/>
          <w:color w:val="auto"/>
          <w:szCs w:val="21"/>
          <w:highlight w:val="none"/>
        </w:rPr>
        <w:t xml:space="preserve">21.6.10  </w:t>
      </w:r>
      <w:r>
        <w:rPr>
          <w:rFonts w:hint="eastAsia" w:ascii="宋体" w:hAnsi="宋体"/>
          <w:color w:val="auto"/>
          <w:szCs w:val="21"/>
          <w:highlight w:val="none"/>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pPr>
        <w:spacing w:line="400" w:lineRule="exact"/>
        <w:rPr>
          <w:rFonts w:ascii="宋体" w:hAnsi="宋体" w:cs="宋体"/>
          <w:color w:val="auto"/>
          <w:kern w:val="0"/>
          <w:szCs w:val="21"/>
          <w:highlight w:val="none"/>
        </w:rPr>
      </w:pPr>
    </w:p>
    <w:p>
      <w:pPr>
        <w:spacing w:line="400" w:lineRule="exact"/>
        <w:rPr>
          <w:rFonts w:ascii="宋体" w:hAnsi="宋体" w:cs="宋体"/>
          <w:b/>
          <w:color w:val="auto"/>
          <w:szCs w:val="21"/>
          <w:highlight w:val="none"/>
        </w:rPr>
      </w:pPr>
      <w:r>
        <w:rPr>
          <w:rFonts w:hint="eastAsia" w:ascii="宋体" w:hAnsi="宋体" w:cs="宋体"/>
          <w:b/>
          <w:color w:val="auto"/>
          <w:szCs w:val="21"/>
          <w:highlight w:val="none"/>
        </w:rPr>
        <w:t>22.  推荐中标候选人</w:t>
      </w:r>
    </w:p>
    <w:p>
      <w:pPr>
        <w:spacing w:line="400" w:lineRule="exact"/>
        <w:rPr>
          <w:rFonts w:ascii="宋体" w:hAnsi="宋体" w:cs="宋体"/>
          <w:color w:val="auto"/>
          <w:kern w:val="0"/>
          <w:szCs w:val="21"/>
          <w:highlight w:val="none"/>
        </w:rPr>
      </w:pPr>
      <w:r>
        <w:rPr>
          <w:rFonts w:hint="eastAsia" w:ascii="宋体" w:hAnsi="宋体" w:cs="宋体"/>
          <w:b/>
          <w:color w:val="auto"/>
          <w:szCs w:val="21"/>
          <w:highlight w:val="none"/>
        </w:rPr>
        <w:t>22.1</w:t>
      </w:r>
      <w:r>
        <w:rPr>
          <w:rFonts w:hint="eastAsia" w:ascii="宋体" w:hAnsi="宋体" w:cs="宋体"/>
          <w:color w:val="auto"/>
          <w:kern w:val="0"/>
          <w:szCs w:val="21"/>
          <w:highlight w:val="none"/>
        </w:rPr>
        <w:t xml:space="preserve">  评标委员会按照招标文件第</w:t>
      </w:r>
      <w:r>
        <w:rPr>
          <w:rFonts w:hint="eastAsia" w:ascii="宋体" w:hAnsi="宋体" w:cs="宋体"/>
          <w:color w:val="auto"/>
          <w:kern w:val="0"/>
          <w:szCs w:val="21"/>
          <w:highlight w:val="none"/>
          <w:lang w:val="en-US" w:eastAsia="zh-CN"/>
        </w:rPr>
        <w:t>五</w:t>
      </w:r>
      <w:r>
        <w:rPr>
          <w:rFonts w:hint="eastAsia" w:ascii="宋体" w:hAnsi="宋体" w:cs="宋体"/>
          <w:color w:val="auto"/>
          <w:kern w:val="0"/>
          <w:szCs w:val="21"/>
          <w:highlight w:val="none"/>
        </w:rPr>
        <w:t>部分“评标办法”推荐中标候选人。</w:t>
      </w:r>
    </w:p>
    <w:p>
      <w:pPr>
        <w:spacing w:line="400" w:lineRule="exact"/>
        <w:rPr>
          <w:rFonts w:ascii="宋体" w:hAnsi="宋体" w:cs="宋体"/>
          <w:color w:val="auto"/>
          <w:kern w:val="0"/>
          <w:szCs w:val="21"/>
          <w:highlight w:val="none"/>
        </w:rPr>
      </w:pPr>
    </w:p>
    <w:p>
      <w:pPr>
        <w:spacing w:line="400" w:lineRule="exact"/>
        <w:rPr>
          <w:rFonts w:ascii="宋体" w:hAnsi="宋体" w:cs="宋体"/>
          <w:b/>
          <w:color w:val="auto"/>
          <w:szCs w:val="21"/>
          <w:highlight w:val="none"/>
        </w:rPr>
      </w:pPr>
      <w:r>
        <w:rPr>
          <w:rFonts w:hint="eastAsia" w:ascii="宋体" w:hAnsi="宋体" w:cs="宋体"/>
          <w:b/>
          <w:color w:val="auto"/>
          <w:szCs w:val="21"/>
          <w:highlight w:val="none"/>
        </w:rPr>
        <w:t>23.  定标</w:t>
      </w:r>
    </w:p>
    <w:p>
      <w:pPr>
        <w:spacing w:line="400" w:lineRule="exact"/>
        <w:rPr>
          <w:rFonts w:ascii="宋体" w:hAnsi="宋体" w:cs="宋体"/>
          <w:b/>
          <w:color w:val="auto"/>
          <w:szCs w:val="21"/>
          <w:highlight w:val="none"/>
        </w:rPr>
      </w:pPr>
      <w:r>
        <w:rPr>
          <w:rFonts w:hint="eastAsia" w:ascii="宋体" w:hAnsi="宋体" w:cs="宋体"/>
          <w:b/>
          <w:color w:val="auto"/>
          <w:szCs w:val="21"/>
          <w:highlight w:val="none"/>
        </w:rPr>
        <w:t xml:space="preserve">23.1  </w:t>
      </w:r>
      <w:r>
        <w:rPr>
          <w:rFonts w:hint="eastAsia" w:ascii="宋体" w:hAnsi="宋体" w:cs="宋体"/>
          <w:color w:val="auto"/>
          <w:szCs w:val="21"/>
          <w:highlight w:val="none"/>
        </w:rPr>
        <w:t>确定中标人。本项目由评标委员会推荐中标候选人，采购人不得在评标委员会推荐的中标候选人以外确定中标候选人。</w:t>
      </w:r>
    </w:p>
    <w:p>
      <w:pPr>
        <w:spacing w:line="400" w:lineRule="exact"/>
        <w:rPr>
          <w:rFonts w:ascii="宋体" w:hAnsi="宋体" w:cs="宋体"/>
          <w:color w:val="auto"/>
          <w:szCs w:val="21"/>
          <w:highlight w:val="none"/>
        </w:rPr>
      </w:pPr>
      <w:r>
        <w:rPr>
          <w:rFonts w:hint="eastAsia" w:ascii="宋体" w:hAnsi="宋体" w:cs="宋体"/>
          <w:b/>
          <w:color w:val="auto"/>
          <w:szCs w:val="21"/>
          <w:highlight w:val="none"/>
        </w:rPr>
        <w:t>23.2</w:t>
      </w:r>
      <w:r>
        <w:rPr>
          <w:rFonts w:hint="eastAsia" w:ascii="宋体" w:hAnsi="宋体" w:cs="宋体"/>
          <w:color w:val="auto"/>
          <w:szCs w:val="21"/>
          <w:highlight w:val="none"/>
        </w:rPr>
        <w:t xml:space="preserve">  采购代理机构在评标结束后2个工作日内将评标报告交采购人确认，采购人在收到评标报告之日起5个工作日内在评标报告确定的中标候选人中按顺序确定中标人，采购人在收到评标报告之日起5个工作日内未按评标报告推荐的中标候选人排序确定中标人，又不能说明合法理由的，视同按评标报告推荐的顺序确定排名第一的中标候选人为中标人。</w:t>
      </w:r>
    </w:p>
    <w:p>
      <w:pPr>
        <w:spacing w:line="400" w:lineRule="exact"/>
        <w:rPr>
          <w:rFonts w:ascii="宋体" w:hAnsi="宋体" w:cs="宋体"/>
          <w:color w:val="auto"/>
          <w:szCs w:val="21"/>
          <w:highlight w:val="none"/>
        </w:rPr>
      </w:pPr>
      <w:r>
        <w:rPr>
          <w:rFonts w:hint="eastAsia" w:ascii="宋体" w:hAnsi="宋体" w:cs="宋体"/>
          <w:b/>
          <w:color w:val="auto"/>
          <w:szCs w:val="21"/>
          <w:highlight w:val="none"/>
        </w:rPr>
        <w:t>23.3</w:t>
      </w:r>
      <w:r>
        <w:rPr>
          <w:rFonts w:hint="eastAsia" w:ascii="宋体" w:hAnsi="宋体" w:cs="宋体"/>
          <w:color w:val="auto"/>
          <w:szCs w:val="21"/>
          <w:highlight w:val="none"/>
        </w:rPr>
        <w:t xml:space="preserve">  采购代理机构自中标人确定之日起2个工作日内，在发布招标公告的网站上对中标结果进行公示，中标结果公告期限为1个工作日。</w:t>
      </w:r>
    </w:p>
    <w:p>
      <w:pPr>
        <w:spacing w:line="400" w:lineRule="exact"/>
        <w:rPr>
          <w:rFonts w:ascii="宋体" w:hAnsi="宋体" w:cs="宋体"/>
          <w:color w:val="auto"/>
          <w:kern w:val="0"/>
          <w:szCs w:val="21"/>
          <w:highlight w:val="none"/>
        </w:rPr>
      </w:pPr>
    </w:p>
    <w:p>
      <w:pPr>
        <w:jc w:val="center"/>
        <w:outlineLvl w:val="1"/>
        <w:rPr>
          <w:rFonts w:ascii="宋体" w:hAnsi="宋体" w:cs="宋体"/>
          <w:b/>
          <w:color w:val="auto"/>
          <w:sz w:val="28"/>
          <w:highlight w:val="none"/>
        </w:rPr>
      </w:pPr>
      <w:bookmarkStart w:id="109" w:name="_Toc136017636"/>
      <w:bookmarkStart w:id="110" w:name="_Toc3994"/>
      <w:bookmarkStart w:id="111" w:name="_Toc10165"/>
      <w:bookmarkStart w:id="112" w:name="_Toc136345107"/>
      <w:bookmarkStart w:id="113" w:name="_Toc440276567"/>
      <w:r>
        <w:rPr>
          <w:rFonts w:hint="eastAsia" w:ascii="宋体" w:hAnsi="宋体" w:cs="宋体"/>
          <w:b/>
          <w:color w:val="auto"/>
          <w:sz w:val="28"/>
          <w:highlight w:val="none"/>
        </w:rPr>
        <w:t>G  授予合同</w:t>
      </w:r>
      <w:bookmarkEnd w:id="109"/>
      <w:bookmarkEnd w:id="110"/>
      <w:bookmarkEnd w:id="111"/>
      <w:bookmarkEnd w:id="112"/>
      <w:bookmarkEnd w:id="113"/>
    </w:p>
    <w:p>
      <w:pPr>
        <w:spacing w:line="400" w:lineRule="exact"/>
        <w:rPr>
          <w:rFonts w:ascii="宋体" w:hAnsi="宋体" w:cs="宋体"/>
          <w:b/>
          <w:color w:val="auto"/>
          <w:szCs w:val="21"/>
          <w:highlight w:val="none"/>
        </w:rPr>
      </w:pPr>
      <w:r>
        <w:rPr>
          <w:rFonts w:hint="eastAsia" w:ascii="宋体" w:hAnsi="宋体" w:cs="宋体"/>
          <w:b/>
          <w:color w:val="auto"/>
          <w:szCs w:val="21"/>
          <w:highlight w:val="none"/>
        </w:rPr>
        <w:t>24.  中标通知</w:t>
      </w:r>
    </w:p>
    <w:p>
      <w:pPr>
        <w:spacing w:line="400" w:lineRule="exact"/>
        <w:rPr>
          <w:rFonts w:ascii="宋体" w:hAnsi="宋体" w:cs="宋体"/>
          <w:color w:val="auto"/>
          <w:kern w:val="0"/>
          <w:szCs w:val="21"/>
          <w:highlight w:val="none"/>
        </w:rPr>
      </w:pPr>
      <w:r>
        <w:rPr>
          <w:rFonts w:hint="eastAsia" w:ascii="宋体" w:hAnsi="宋体" w:cs="宋体"/>
          <w:b/>
          <w:color w:val="auto"/>
          <w:szCs w:val="21"/>
          <w:highlight w:val="none"/>
        </w:rPr>
        <w:t xml:space="preserve">24.1 </w:t>
      </w:r>
      <w:r>
        <w:rPr>
          <w:rFonts w:hint="eastAsia" w:ascii="宋体" w:hAnsi="宋体" w:cs="宋体"/>
          <w:color w:val="auto"/>
          <w:kern w:val="0"/>
          <w:szCs w:val="21"/>
          <w:highlight w:val="none"/>
        </w:rPr>
        <w:t xml:space="preserve"> 在公告中标结果的同时，采购代理机构应当向中标人发出中标通知书。</w:t>
      </w:r>
    </w:p>
    <w:p>
      <w:pPr>
        <w:spacing w:line="400" w:lineRule="exact"/>
        <w:rPr>
          <w:rFonts w:ascii="宋体" w:hAnsi="宋体" w:cs="宋体"/>
          <w:color w:val="auto"/>
          <w:kern w:val="0"/>
          <w:szCs w:val="21"/>
          <w:highlight w:val="none"/>
        </w:rPr>
      </w:pPr>
      <w:r>
        <w:rPr>
          <w:rFonts w:hint="eastAsia" w:ascii="宋体" w:hAnsi="宋体" w:cs="宋体"/>
          <w:b/>
          <w:color w:val="auto"/>
          <w:szCs w:val="21"/>
          <w:highlight w:val="none"/>
        </w:rPr>
        <w:t>24.2</w:t>
      </w:r>
      <w:r>
        <w:rPr>
          <w:rFonts w:hint="eastAsia" w:ascii="宋体" w:hAnsi="宋体" w:cs="宋体"/>
          <w:color w:val="auto"/>
          <w:kern w:val="0"/>
          <w:szCs w:val="21"/>
          <w:highlight w:val="none"/>
        </w:rPr>
        <w:t xml:space="preserve">  中标通知书发出后，采购人不得违法改变中标结果，中标人无正当理由不得放弃中标。</w:t>
      </w:r>
    </w:p>
    <w:p>
      <w:pPr>
        <w:spacing w:line="400" w:lineRule="exact"/>
        <w:ind w:firstLine="420" w:firstLineChars="200"/>
        <w:rPr>
          <w:rFonts w:ascii="宋体" w:hAnsi="宋体" w:cs="宋体"/>
          <w:color w:val="auto"/>
          <w:kern w:val="0"/>
          <w:szCs w:val="21"/>
          <w:highlight w:val="none"/>
        </w:rPr>
      </w:pPr>
    </w:p>
    <w:p>
      <w:pPr>
        <w:spacing w:line="400" w:lineRule="exact"/>
        <w:rPr>
          <w:rFonts w:ascii="宋体" w:hAnsi="宋体" w:cs="宋体"/>
          <w:b/>
          <w:color w:val="auto"/>
          <w:szCs w:val="21"/>
          <w:highlight w:val="none"/>
        </w:rPr>
      </w:pPr>
      <w:r>
        <w:rPr>
          <w:rFonts w:hint="eastAsia" w:ascii="宋体" w:hAnsi="宋体" w:cs="宋体"/>
          <w:b/>
          <w:color w:val="auto"/>
          <w:szCs w:val="21"/>
          <w:highlight w:val="none"/>
        </w:rPr>
        <w:t>25.  签订合同</w:t>
      </w:r>
    </w:p>
    <w:p>
      <w:pPr>
        <w:spacing w:line="400" w:lineRule="exact"/>
        <w:rPr>
          <w:rFonts w:ascii="宋体" w:hAnsi="宋体" w:cs="宋体"/>
          <w:color w:val="auto"/>
          <w:kern w:val="0"/>
          <w:szCs w:val="21"/>
          <w:highlight w:val="none"/>
        </w:rPr>
      </w:pPr>
      <w:r>
        <w:rPr>
          <w:rFonts w:hint="eastAsia" w:ascii="宋体" w:hAnsi="宋体" w:cs="宋体"/>
          <w:b/>
          <w:color w:val="auto"/>
          <w:szCs w:val="21"/>
          <w:highlight w:val="none"/>
        </w:rPr>
        <w:t>25.1</w:t>
      </w:r>
      <w:r>
        <w:rPr>
          <w:rFonts w:hint="eastAsia" w:ascii="宋体" w:hAnsi="宋体" w:cs="宋体"/>
          <w:color w:val="auto"/>
          <w:kern w:val="0"/>
          <w:szCs w:val="21"/>
          <w:highlight w:val="none"/>
        </w:rPr>
        <w:t xml:space="preserve">  中标人应在采购代理机构发出中标通知书的30日内，应与采购人签订合同。所签订的合同不得对招标文件确定的事项和中标人投标文件作实质性修改。</w:t>
      </w:r>
    </w:p>
    <w:p>
      <w:pPr>
        <w:spacing w:line="400" w:lineRule="exact"/>
        <w:rPr>
          <w:rFonts w:ascii="宋体" w:hAnsi="宋体" w:cs="宋体"/>
          <w:color w:val="auto"/>
          <w:kern w:val="0"/>
          <w:szCs w:val="21"/>
          <w:highlight w:val="none"/>
        </w:rPr>
      </w:pPr>
      <w:r>
        <w:rPr>
          <w:rFonts w:hint="eastAsia" w:ascii="宋体" w:hAnsi="宋体" w:cs="宋体"/>
          <w:b/>
          <w:color w:val="auto"/>
          <w:szCs w:val="21"/>
          <w:highlight w:val="none"/>
        </w:rPr>
        <w:t>25.2</w:t>
      </w:r>
      <w:r>
        <w:rPr>
          <w:rFonts w:hint="eastAsia" w:ascii="宋体" w:hAnsi="宋体" w:cs="宋体"/>
          <w:color w:val="auto"/>
          <w:kern w:val="0"/>
          <w:szCs w:val="21"/>
          <w:highlight w:val="none"/>
        </w:rPr>
        <w:t xml:space="preserve">  除中标通知书外，招标文件、中标人的投标文件及评标过程中有关的澄清文件也均应作为合同附件。</w:t>
      </w:r>
    </w:p>
    <w:p>
      <w:pPr>
        <w:spacing w:line="400" w:lineRule="exact"/>
        <w:rPr>
          <w:rFonts w:ascii="宋体" w:hAnsi="宋体" w:cs="宋体"/>
          <w:bCs/>
          <w:color w:val="auto"/>
          <w:szCs w:val="21"/>
          <w:highlight w:val="none"/>
        </w:rPr>
      </w:pPr>
      <w:r>
        <w:rPr>
          <w:rFonts w:hint="eastAsia" w:ascii="宋体" w:hAnsi="宋体" w:cs="宋体"/>
          <w:b/>
          <w:color w:val="auto"/>
          <w:szCs w:val="21"/>
          <w:highlight w:val="none"/>
        </w:rPr>
        <w:t xml:space="preserve">25.3  </w:t>
      </w:r>
      <w:r>
        <w:rPr>
          <w:rFonts w:hint="eastAsia" w:ascii="宋体" w:hAnsi="宋体" w:cs="宋体"/>
          <w:bCs/>
          <w:color w:val="auto"/>
          <w:szCs w:val="21"/>
          <w:highlight w:val="none"/>
        </w:rPr>
        <w:t>中标人按规定的日期、时间、地点，由法定代表人或其授权代表与采购人代表签订合同。如中标人为联合体，由联合体成员各方法定代表人或其授权代表与采购人代表签订合同。允许中标人在采购合同盖章后送达。</w:t>
      </w:r>
    </w:p>
    <w:p>
      <w:pPr>
        <w:spacing w:line="400" w:lineRule="exact"/>
        <w:rPr>
          <w:rFonts w:ascii="宋体" w:hAnsi="宋体" w:cs="宋体"/>
          <w:color w:val="auto"/>
          <w:kern w:val="0"/>
          <w:szCs w:val="21"/>
          <w:highlight w:val="none"/>
        </w:rPr>
      </w:pPr>
      <w:r>
        <w:rPr>
          <w:rFonts w:hint="eastAsia" w:ascii="宋体" w:hAnsi="宋体" w:cs="宋体"/>
          <w:b/>
          <w:color w:val="auto"/>
          <w:szCs w:val="21"/>
          <w:highlight w:val="none"/>
        </w:rPr>
        <w:t>25.4</w:t>
      </w:r>
      <w:r>
        <w:rPr>
          <w:rFonts w:hint="eastAsia" w:ascii="宋体" w:hAnsi="宋体" w:cs="宋体"/>
          <w:color w:val="auto"/>
          <w:kern w:val="0"/>
          <w:szCs w:val="21"/>
          <w:highlight w:val="none"/>
        </w:rPr>
        <w:t xml:space="preserve">  中标人拒绝与采购人签订合同的，采购人可以按照评标报告推荐的中标候选人名单排序，确定下一候选人为中标人，也可以重新开展政府采购活动。</w:t>
      </w:r>
    </w:p>
    <w:p>
      <w:pPr>
        <w:spacing w:line="400" w:lineRule="exact"/>
        <w:rPr>
          <w:rFonts w:ascii="宋体" w:hAnsi="宋体" w:cs="宋体"/>
          <w:color w:val="auto"/>
          <w:kern w:val="0"/>
          <w:szCs w:val="21"/>
          <w:highlight w:val="none"/>
        </w:rPr>
      </w:pPr>
    </w:p>
    <w:p>
      <w:pPr>
        <w:spacing w:line="400" w:lineRule="exact"/>
        <w:rPr>
          <w:rFonts w:ascii="宋体" w:hAnsi="宋体" w:cs="宋体"/>
          <w:b/>
          <w:color w:val="auto"/>
          <w:szCs w:val="21"/>
          <w:highlight w:val="none"/>
        </w:rPr>
      </w:pPr>
      <w:r>
        <w:rPr>
          <w:rFonts w:hint="eastAsia" w:ascii="宋体" w:hAnsi="宋体" w:cs="宋体"/>
          <w:b/>
          <w:color w:val="auto"/>
          <w:szCs w:val="21"/>
          <w:highlight w:val="none"/>
        </w:rPr>
        <w:t>26.  履约保证金</w:t>
      </w:r>
    </w:p>
    <w:p>
      <w:pPr>
        <w:spacing w:line="400" w:lineRule="exact"/>
        <w:rPr>
          <w:rFonts w:ascii="宋体" w:hAnsi="宋体" w:cs="宋体"/>
          <w:color w:val="auto"/>
          <w:kern w:val="0"/>
          <w:szCs w:val="21"/>
          <w:highlight w:val="none"/>
        </w:rPr>
      </w:pPr>
      <w:r>
        <w:rPr>
          <w:rFonts w:hint="eastAsia" w:ascii="宋体" w:hAnsi="宋体" w:cs="宋体"/>
          <w:b/>
          <w:color w:val="auto"/>
          <w:szCs w:val="21"/>
          <w:highlight w:val="none"/>
        </w:rPr>
        <w:t>26.1</w:t>
      </w:r>
      <w:r>
        <w:rPr>
          <w:rFonts w:hint="eastAsia" w:ascii="宋体" w:hAnsi="宋体" w:cs="宋体"/>
          <w:color w:val="auto"/>
          <w:kern w:val="0"/>
          <w:szCs w:val="21"/>
          <w:highlight w:val="none"/>
        </w:rPr>
        <w:t xml:space="preserve">  招标文件若有规定，在签订合同后，采购人按合同支付定金的同时，中标人应向采购人提供履约保证金。</w:t>
      </w:r>
    </w:p>
    <w:p>
      <w:pPr>
        <w:spacing w:line="400" w:lineRule="exact"/>
        <w:rPr>
          <w:rFonts w:ascii="宋体" w:hAnsi="宋体" w:cs="宋体"/>
          <w:color w:val="auto"/>
          <w:kern w:val="0"/>
          <w:szCs w:val="21"/>
          <w:highlight w:val="none"/>
        </w:rPr>
      </w:pPr>
      <w:r>
        <w:rPr>
          <w:rFonts w:hint="eastAsia" w:ascii="宋体" w:hAnsi="宋体" w:cs="宋体"/>
          <w:b/>
          <w:color w:val="auto"/>
          <w:szCs w:val="21"/>
          <w:highlight w:val="none"/>
        </w:rPr>
        <w:t>26.2</w:t>
      </w:r>
      <w:r>
        <w:rPr>
          <w:rFonts w:hint="eastAsia" w:ascii="宋体" w:hAnsi="宋体" w:cs="宋体"/>
          <w:color w:val="auto"/>
          <w:kern w:val="0"/>
          <w:szCs w:val="21"/>
          <w:highlight w:val="none"/>
        </w:rPr>
        <w:t xml:space="preserve">  若中标人不按上述第26.1条要求提供，采购代理机构和采购人有权按前述第13.6条规定处理并撤销其中标资格。在这种情况下，采购代理机构和采购人可按本须知第25.3条规定另选中标人。</w:t>
      </w:r>
    </w:p>
    <w:p>
      <w:pPr>
        <w:spacing w:line="400" w:lineRule="exact"/>
        <w:rPr>
          <w:rFonts w:ascii="宋体" w:hAnsi="宋体" w:cs="宋体"/>
          <w:color w:val="auto"/>
          <w:kern w:val="0"/>
          <w:szCs w:val="21"/>
          <w:highlight w:val="none"/>
        </w:rPr>
      </w:pPr>
    </w:p>
    <w:p>
      <w:pPr>
        <w:spacing w:line="400" w:lineRule="exact"/>
        <w:rPr>
          <w:rFonts w:ascii="宋体" w:hAnsi="宋体" w:cs="宋体"/>
          <w:b/>
          <w:color w:val="auto"/>
          <w:szCs w:val="21"/>
          <w:highlight w:val="none"/>
        </w:rPr>
      </w:pPr>
      <w:r>
        <w:rPr>
          <w:rFonts w:hint="eastAsia" w:ascii="宋体" w:hAnsi="宋体" w:cs="宋体"/>
          <w:b/>
          <w:color w:val="auto"/>
          <w:szCs w:val="21"/>
          <w:highlight w:val="none"/>
        </w:rPr>
        <w:t>27.  履约验收</w:t>
      </w:r>
    </w:p>
    <w:p>
      <w:pPr>
        <w:spacing w:line="400" w:lineRule="exact"/>
        <w:rPr>
          <w:rFonts w:ascii="宋体" w:hAnsi="宋体" w:cs="宋体"/>
          <w:color w:val="auto"/>
          <w:kern w:val="0"/>
          <w:szCs w:val="21"/>
          <w:highlight w:val="none"/>
        </w:rPr>
      </w:pPr>
      <w:r>
        <w:rPr>
          <w:rFonts w:hint="eastAsia" w:ascii="宋体" w:hAnsi="宋体" w:cs="宋体"/>
          <w:b/>
          <w:color w:val="auto"/>
          <w:szCs w:val="21"/>
          <w:highlight w:val="none"/>
        </w:rPr>
        <w:t>27.1</w:t>
      </w:r>
      <w:r>
        <w:rPr>
          <w:rFonts w:hint="eastAsia" w:ascii="宋体" w:hAnsi="宋体" w:cs="宋体"/>
          <w:color w:val="auto"/>
          <w:kern w:val="0"/>
          <w:szCs w:val="21"/>
          <w:highlight w:val="none"/>
        </w:rPr>
        <w:t xml:space="preserve">  采购人组织对中标人履约的验收。大型或者复杂的政府采购项目，应当邀请国家认可的质量检测机构参加验收工作。验收方成员应当在验收书上签字，并承担相应的法律责任。如果发现与合同中要求不符，中标人须承担由此发生的一切损失和费用，并接受相应的处理。</w:t>
      </w:r>
    </w:p>
    <w:p>
      <w:pPr>
        <w:spacing w:line="400" w:lineRule="exact"/>
        <w:rPr>
          <w:rFonts w:ascii="宋体" w:hAnsi="宋体" w:cs="宋体"/>
          <w:color w:val="auto"/>
          <w:kern w:val="0"/>
          <w:szCs w:val="21"/>
          <w:highlight w:val="none"/>
        </w:rPr>
      </w:pPr>
      <w:r>
        <w:rPr>
          <w:rFonts w:hint="eastAsia" w:ascii="宋体" w:hAnsi="宋体" w:cs="宋体"/>
          <w:b/>
          <w:color w:val="auto"/>
          <w:szCs w:val="21"/>
          <w:highlight w:val="none"/>
        </w:rPr>
        <w:t xml:space="preserve">27.2 </w:t>
      </w:r>
      <w:r>
        <w:rPr>
          <w:rFonts w:hint="eastAsia" w:ascii="宋体" w:hAnsi="宋体" w:cs="宋体"/>
          <w:color w:val="auto"/>
          <w:kern w:val="0"/>
          <w:szCs w:val="21"/>
          <w:highlight w:val="none"/>
        </w:rPr>
        <w:t xml:space="preserve"> 采购人可以邀请参加本项目的其他投标人或者第三方机构参与验收。参与验收的投标人或者第三方机构的意见作为验收书的参考资料一并存档。</w:t>
      </w:r>
    </w:p>
    <w:p>
      <w:pPr>
        <w:spacing w:line="400" w:lineRule="exact"/>
        <w:rPr>
          <w:rFonts w:ascii="宋体" w:hAnsi="宋体" w:cs="宋体"/>
          <w:color w:val="auto"/>
          <w:kern w:val="0"/>
          <w:szCs w:val="21"/>
          <w:highlight w:val="none"/>
        </w:rPr>
      </w:pPr>
      <w:r>
        <w:rPr>
          <w:rFonts w:hint="eastAsia" w:ascii="宋体" w:hAnsi="宋体" w:cs="宋体"/>
          <w:b/>
          <w:color w:val="auto"/>
          <w:szCs w:val="21"/>
          <w:highlight w:val="none"/>
        </w:rPr>
        <w:t>27.3</w:t>
      </w:r>
      <w:r>
        <w:rPr>
          <w:rFonts w:hint="eastAsia" w:ascii="宋体" w:hAnsi="宋体" w:cs="宋体"/>
          <w:color w:val="auto"/>
          <w:kern w:val="0"/>
          <w:szCs w:val="21"/>
          <w:highlight w:val="none"/>
        </w:rPr>
        <w:t xml:space="preserve">  严格按照采购合同开展履约验收。采购人成立验收小组，按照采购合同的约定对中标人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spacing w:line="400" w:lineRule="exact"/>
        <w:rPr>
          <w:rFonts w:ascii="宋体" w:hAnsi="宋体" w:cs="宋体"/>
          <w:color w:val="auto"/>
          <w:kern w:val="0"/>
          <w:szCs w:val="21"/>
          <w:highlight w:val="none"/>
        </w:rPr>
      </w:pPr>
      <w:r>
        <w:rPr>
          <w:rFonts w:hint="eastAsia" w:ascii="宋体" w:hAnsi="宋体" w:cs="宋体"/>
          <w:b/>
          <w:color w:val="auto"/>
          <w:szCs w:val="21"/>
          <w:highlight w:val="none"/>
        </w:rPr>
        <w:t>27.4</w:t>
      </w:r>
      <w:r>
        <w:rPr>
          <w:rFonts w:hint="eastAsia" w:ascii="宋体" w:hAnsi="宋体" w:cs="宋体"/>
          <w:color w:val="auto"/>
          <w:kern w:val="0"/>
          <w:szCs w:val="21"/>
          <w:highlight w:val="none"/>
        </w:rPr>
        <w:t xml:space="preserve">  验收合格的项目，采购人将根据采购合同的约定及时向中标人支付采购资金、退还履约保证金。验收不合格的项目，采购人将依法及时处理。采购合同的履行、违约责任和解决争议的方式等适用《中华人民共和国民法典》。中标人在履约过程中有政府采购法律法规规定的违法违规情形的，采购人应当及时报告本级财政部门。</w:t>
      </w:r>
    </w:p>
    <w:p>
      <w:pPr>
        <w:jc w:val="center"/>
        <w:outlineLvl w:val="1"/>
        <w:rPr>
          <w:rFonts w:ascii="宋体" w:hAnsi="宋体" w:cs="宋体"/>
          <w:b/>
          <w:color w:val="auto"/>
          <w:sz w:val="28"/>
          <w:highlight w:val="none"/>
        </w:rPr>
      </w:pPr>
      <w:bookmarkStart w:id="114" w:name="_Toc440276568"/>
    </w:p>
    <w:p>
      <w:pPr>
        <w:jc w:val="center"/>
        <w:outlineLvl w:val="1"/>
        <w:rPr>
          <w:rFonts w:ascii="宋体" w:hAnsi="宋体" w:cs="宋体"/>
          <w:b/>
          <w:color w:val="auto"/>
          <w:sz w:val="28"/>
          <w:highlight w:val="none"/>
        </w:rPr>
      </w:pPr>
      <w:bookmarkStart w:id="115" w:name="_Toc19522"/>
      <w:bookmarkStart w:id="116" w:name="_Toc136017637"/>
      <w:bookmarkStart w:id="117" w:name="_Toc136345108"/>
      <w:bookmarkStart w:id="118" w:name="_Toc3162"/>
      <w:r>
        <w:rPr>
          <w:rFonts w:hint="eastAsia" w:ascii="宋体" w:hAnsi="宋体" w:cs="宋体"/>
          <w:b/>
          <w:color w:val="auto"/>
          <w:sz w:val="28"/>
          <w:highlight w:val="none"/>
        </w:rPr>
        <w:t>H  采购代理机构服务费</w:t>
      </w:r>
      <w:bookmarkEnd w:id="114"/>
      <w:bookmarkEnd w:id="115"/>
      <w:bookmarkEnd w:id="116"/>
      <w:bookmarkEnd w:id="117"/>
      <w:bookmarkEnd w:id="118"/>
    </w:p>
    <w:p>
      <w:pPr>
        <w:spacing w:line="400" w:lineRule="exact"/>
        <w:rPr>
          <w:rFonts w:ascii="宋体" w:hAnsi="宋体" w:cs="宋体"/>
          <w:b/>
          <w:color w:val="auto"/>
          <w:szCs w:val="21"/>
          <w:highlight w:val="none"/>
        </w:rPr>
      </w:pPr>
      <w:r>
        <w:rPr>
          <w:rFonts w:hint="eastAsia" w:ascii="宋体" w:hAnsi="宋体" w:cs="宋体"/>
          <w:b/>
          <w:color w:val="auto"/>
          <w:szCs w:val="21"/>
          <w:highlight w:val="none"/>
        </w:rPr>
        <w:t>28.  采购代理机构服务费</w:t>
      </w:r>
    </w:p>
    <w:p>
      <w:pPr>
        <w:spacing w:line="400" w:lineRule="exact"/>
        <w:rPr>
          <w:rFonts w:ascii="宋体" w:hAnsi="宋体" w:cs="宋体"/>
          <w:color w:val="auto"/>
          <w:kern w:val="0"/>
          <w:szCs w:val="21"/>
          <w:highlight w:val="none"/>
        </w:rPr>
      </w:pPr>
      <w:r>
        <w:rPr>
          <w:rFonts w:hint="eastAsia" w:ascii="宋体" w:hAnsi="宋体" w:cs="宋体"/>
          <w:b/>
          <w:color w:val="auto"/>
          <w:szCs w:val="21"/>
          <w:highlight w:val="none"/>
        </w:rPr>
        <w:t>28.1</w:t>
      </w:r>
      <w:r>
        <w:rPr>
          <w:rFonts w:hint="eastAsia" w:ascii="宋体" w:hAnsi="宋体" w:cs="宋体"/>
          <w:color w:val="auto"/>
          <w:kern w:val="0"/>
          <w:szCs w:val="21"/>
          <w:highlight w:val="none"/>
        </w:rPr>
        <w:t>中标人应在中标结果公示结束后向采购代理机构支付采购代理机构服务费。</w:t>
      </w:r>
    </w:p>
    <w:p>
      <w:pPr>
        <w:spacing w:line="400" w:lineRule="exact"/>
        <w:rPr>
          <w:rFonts w:ascii="宋体" w:hAnsi="宋体" w:cs="宋体"/>
          <w:color w:val="auto"/>
          <w:kern w:val="0"/>
          <w:szCs w:val="21"/>
          <w:highlight w:val="none"/>
        </w:rPr>
      </w:pPr>
    </w:p>
    <w:p>
      <w:pPr>
        <w:spacing w:line="400" w:lineRule="exact"/>
        <w:rPr>
          <w:rFonts w:ascii="宋体" w:hAnsi="宋体" w:cs="宋体"/>
          <w:color w:val="auto"/>
          <w:kern w:val="0"/>
          <w:szCs w:val="21"/>
          <w:highlight w:val="none"/>
        </w:rPr>
      </w:pPr>
    </w:p>
    <w:p>
      <w:pPr>
        <w:jc w:val="center"/>
        <w:outlineLvl w:val="1"/>
        <w:rPr>
          <w:rFonts w:ascii="宋体" w:hAnsi="宋体" w:cs="宋体"/>
          <w:b/>
          <w:color w:val="auto"/>
          <w:sz w:val="28"/>
          <w:highlight w:val="none"/>
        </w:rPr>
      </w:pPr>
      <w:bookmarkStart w:id="119" w:name="_Toc14931"/>
      <w:bookmarkStart w:id="120" w:name="_Toc30320"/>
      <w:bookmarkStart w:id="121" w:name="_Toc136345109"/>
      <w:bookmarkStart w:id="122" w:name="_Toc136017638"/>
      <w:r>
        <w:rPr>
          <w:rFonts w:hint="eastAsia" w:ascii="宋体" w:hAnsi="宋体" w:cs="宋体"/>
          <w:b/>
          <w:color w:val="auto"/>
          <w:sz w:val="28"/>
          <w:highlight w:val="none"/>
        </w:rPr>
        <w:t>Ⅰ  信息发布媒体</w:t>
      </w:r>
      <w:bookmarkEnd w:id="119"/>
      <w:bookmarkEnd w:id="120"/>
      <w:bookmarkEnd w:id="121"/>
      <w:bookmarkEnd w:id="122"/>
    </w:p>
    <w:p>
      <w:pPr>
        <w:spacing w:line="400" w:lineRule="exact"/>
        <w:rPr>
          <w:rFonts w:ascii="宋体" w:hAnsi="宋体" w:cs="宋体"/>
          <w:b/>
          <w:color w:val="auto"/>
          <w:szCs w:val="21"/>
          <w:highlight w:val="none"/>
        </w:rPr>
      </w:pPr>
      <w:r>
        <w:rPr>
          <w:rFonts w:hint="eastAsia" w:ascii="宋体" w:hAnsi="宋体" w:cs="宋体"/>
          <w:b/>
          <w:color w:val="auto"/>
          <w:szCs w:val="21"/>
          <w:highlight w:val="none"/>
        </w:rPr>
        <w:t>29.  有关发布项目招标公告、中标公示的媒体：</w:t>
      </w:r>
    </w:p>
    <w:p>
      <w:pPr>
        <w:spacing w:line="360" w:lineRule="auto"/>
        <w:ind w:left="788" w:hanging="787" w:hangingChars="375"/>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浙江政府采购网</w:t>
      </w:r>
      <w:r>
        <w:rPr>
          <w:rFonts w:hint="eastAsia" w:ascii="宋体" w:hAnsi="宋体" w:cs="宋体"/>
          <w:color w:val="auto"/>
          <w:szCs w:val="21"/>
          <w:highlight w:val="none"/>
        </w:rPr>
        <w:t>https://zfcg.czt.zj.gov.cn/</w:t>
      </w:r>
    </w:p>
    <w:p>
      <w:pPr>
        <w:spacing w:line="360" w:lineRule="auto"/>
        <w:rPr>
          <w:color w:val="auto"/>
          <w:highlight w:val="none"/>
        </w:rPr>
      </w:pPr>
      <w:r>
        <w:rPr>
          <w:rFonts w:hint="eastAsia" w:asciiTheme="minorEastAsia" w:hAnsiTheme="minorEastAsia" w:eastAsiaTheme="minorEastAsia"/>
          <w:color w:val="auto"/>
          <w:szCs w:val="21"/>
          <w:highlight w:val="none"/>
        </w:rPr>
        <w:t>宁波政府采购网</w:t>
      </w:r>
      <w:r>
        <w:rPr>
          <w:color w:val="auto"/>
          <w:highlight w:val="none"/>
        </w:rPr>
        <w:fldChar w:fldCharType="begin"/>
      </w:r>
      <w:r>
        <w:rPr>
          <w:color w:val="auto"/>
          <w:highlight w:val="none"/>
        </w:rPr>
        <w:instrText xml:space="preserve"> HYPERLINK "http://www.nbzfcg.cn" </w:instrText>
      </w:r>
      <w:r>
        <w:rPr>
          <w:color w:val="auto"/>
          <w:highlight w:val="none"/>
        </w:rPr>
        <w:fldChar w:fldCharType="separate"/>
      </w:r>
      <w:r>
        <w:rPr>
          <w:rStyle w:val="41"/>
          <w:rFonts w:asciiTheme="minorEastAsia" w:hAnsiTheme="minorEastAsia" w:eastAsiaTheme="minorEastAsia"/>
          <w:color w:val="auto"/>
          <w:szCs w:val="21"/>
          <w:highlight w:val="none"/>
        </w:rPr>
        <w:t>www.nbzfcg.cn</w:t>
      </w:r>
      <w:r>
        <w:rPr>
          <w:rStyle w:val="41"/>
          <w:rFonts w:asciiTheme="minorEastAsia" w:hAnsiTheme="minorEastAsia" w:eastAsiaTheme="minorEastAsia"/>
          <w:color w:val="auto"/>
          <w:szCs w:val="21"/>
          <w:highlight w:val="none"/>
        </w:rPr>
        <w:fldChar w:fldCharType="end"/>
      </w:r>
    </w:p>
    <w:p>
      <w:pPr>
        <w:jc w:val="center"/>
        <w:outlineLvl w:val="1"/>
        <w:rPr>
          <w:rFonts w:ascii="宋体" w:hAnsi="宋体" w:cs="宋体"/>
          <w:b/>
          <w:color w:val="auto"/>
          <w:sz w:val="28"/>
          <w:highlight w:val="none"/>
        </w:rPr>
      </w:pPr>
    </w:p>
    <w:p>
      <w:pPr>
        <w:jc w:val="center"/>
        <w:outlineLvl w:val="1"/>
        <w:rPr>
          <w:rFonts w:ascii="宋体" w:hAnsi="宋体" w:cs="宋体"/>
          <w:b/>
          <w:color w:val="auto"/>
          <w:sz w:val="28"/>
          <w:highlight w:val="none"/>
        </w:rPr>
      </w:pPr>
      <w:bookmarkStart w:id="123" w:name="_Toc10552"/>
      <w:bookmarkStart w:id="124" w:name="_Toc136017639"/>
      <w:bookmarkStart w:id="125" w:name="_Toc16081"/>
      <w:bookmarkStart w:id="126" w:name="_Toc136345110"/>
      <w:r>
        <w:rPr>
          <w:rFonts w:hint="eastAsia" w:ascii="宋体" w:hAnsi="宋体" w:cs="宋体"/>
          <w:b/>
          <w:color w:val="auto"/>
          <w:sz w:val="28"/>
          <w:highlight w:val="none"/>
        </w:rPr>
        <w:t>J  其他规定</w:t>
      </w:r>
      <w:bookmarkEnd w:id="123"/>
      <w:bookmarkEnd w:id="124"/>
      <w:bookmarkEnd w:id="125"/>
      <w:bookmarkEnd w:id="126"/>
    </w:p>
    <w:p>
      <w:pPr>
        <w:spacing w:line="400" w:lineRule="exact"/>
        <w:rPr>
          <w:rFonts w:ascii="宋体" w:hAnsi="宋体" w:cs="宋体"/>
          <w:b/>
          <w:color w:val="auto"/>
          <w:szCs w:val="21"/>
          <w:highlight w:val="none"/>
        </w:rPr>
      </w:pPr>
      <w:r>
        <w:rPr>
          <w:rFonts w:hint="eastAsia" w:ascii="宋体" w:hAnsi="宋体" w:cs="宋体"/>
          <w:b/>
          <w:color w:val="auto"/>
          <w:szCs w:val="21"/>
          <w:highlight w:val="none"/>
        </w:rPr>
        <w:t>30.  其他规定</w:t>
      </w:r>
    </w:p>
    <w:p>
      <w:pPr>
        <w:spacing w:line="400" w:lineRule="exact"/>
        <w:rPr>
          <w:rFonts w:ascii="宋体" w:hAnsi="宋体" w:cs="宋体"/>
          <w:color w:val="auto"/>
          <w:kern w:val="0"/>
          <w:szCs w:val="21"/>
          <w:highlight w:val="none"/>
        </w:rPr>
      </w:pPr>
      <w:r>
        <w:rPr>
          <w:rFonts w:hint="eastAsia" w:ascii="宋体" w:hAnsi="宋体" w:cs="宋体"/>
          <w:b/>
          <w:color w:val="auto"/>
          <w:szCs w:val="21"/>
          <w:highlight w:val="none"/>
        </w:rPr>
        <w:t>30.1</w:t>
      </w:r>
      <w:r>
        <w:rPr>
          <w:rFonts w:hint="eastAsia" w:ascii="宋体" w:hAnsi="宋体" w:cs="宋体"/>
          <w:color w:val="auto"/>
          <w:kern w:val="0"/>
          <w:szCs w:val="21"/>
          <w:highlight w:val="none"/>
        </w:rPr>
        <w:t xml:space="preserve"> 自购买招标文件之日起，投标人应保证其提供的联系方式</w:t>
      </w:r>
      <w:r>
        <w:rPr>
          <w:rFonts w:ascii="宋体" w:hAnsi="宋体" w:cs="宋体"/>
          <w:color w:val="auto"/>
          <w:kern w:val="0"/>
          <w:szCs w:val="21"/>
          <w:highlight w:val="none"/>
        </w:rPr>
        <w:t>(</w:t>
      </w:r>
      <w:r>
        <w:rPr>
          <w:rFonts w:hint="eastAsia" w:ascii="宋体" w:hAnsi="宋体" w:cs="宋体"/>
          <w:color w:val="auto"/>
          <w:kern w:val="0"/>
          <w:szCs w:val="21"/>
          <w:highlight w:val="none"/>
        </w:rPr>
        <w:t>电话、传真、电子邮件</w:t>
      </w:r>
      <w:r>
        <w:rPr>
          <w:rFonts w:ascii="宋体" w:hAnsi="宋体" w:cs="宋体"/>
          <w:color w:val="auto"/>
          <w:kern w:val="0"/>
          <w:szCs w:val="21"/>
          <w:highlight w:val="none"/>
        </w:rPr>
        <w:t>)</w:t>
      </w:r>
      <w:r>
        <w:rPr>
          <w:rFonts w:hint="eastAsia" w:ascii="宋体" w:hAnsi="宋体" w:cs="宋体"/>
          <w:color w:val="auto"/>
          <w:kern w:val="0"/>
          <w:szCs w:val="21"/>
          <w:highlight w:val="none"/>
        </w:rPr>
        <w:t>一直有效，以保证往来函件</w:t>
      </w:r>
      <w:r>
        <w:rPr>
          <w:rFonts w:ascii="宋体" w:hAnsi="宋体" w:cs="宋体"/>
          <w:color w:val="auto"/>
          <w:kern w:val="0"/>
          <w:szCs w:val="21"/>
          <w:highlight w:val="none"/>
        </w:rPr>
        <w:t>(</w:t>
      </w:r>
      <w:r>
        <w:rPr>
          <w:rFonts w:hint="eastAsia" w:ascii="宋体" w:hAnsi="宋体" w:cs="宋体"/>
          <w:color w:val="auto"/>
          <w:kern w:val="0"/>
          <w:szCs w:val="21"/>
          <w:highlight w:val="none"/>
        </w:rPr>
        <w:t>招标文件的澄清、修改等</w:t>
      </w:r>
      <w:r>
        <w:rPr>
          <w:rFonts w:ascii="宋体" w:hAnsi="宋体" w:cs="宋体"/>
          <w:color w:val="auto"/>
          <w:kern w:val="0"/>
          <w:szCs w:val="21"/>
          <w:highlight w:val="none"/>
        </w:rPr>
        <w:t>)</w:t>
      </w:r>
      <w:r>
        <w:rPr>
          <w:rFonts w:hint="eastAsia" w:ascii="宋体" w:hAnsi="宋体" w:cs="宋体"/>
          <w:color w:val="auto"/>
          <w:kern w:val="0"/>
          <w:szCs w:val="21"/>
          <w:highlight w:val="none"/>
        </w:rPr>
        <w:t>能及时通知投标人，并能及时反馈信息，否则采购人不承担由此引起的一切后果。</w:t>
      </w:r>
    </w:p>
    <w:p>
      <w:pPr>
        <w:spacing w:line="400" w:lineRule="exact"/>
        <w:rPr>
          <w:rFonts w:ascii="宋体" w:hAnsi="宋体" w:cs="宋体"/>
          <w:color w:val="auto"/>
          <w:kern w:val="0"/>
          <w:szCs w:val="21"/>
          <w:highlight w:val="none"/>
        </w:rPr>
      </w:pPr>
      <w:r>
        <w:rPr>
          <w:rFonts w:hint="eastAsia" w:ascii="宋体" w:hAnsi="宋体" w:cs="宋体"/>
          <w:b/>
          <w:color w:val="auto"/>
          <w:szCs w:val="21"/>
          <w:highlight w:val="none"/>
        </w:rPr>
        <w:t>30.2</w:t>
      </w:r>
      <w:r>
        <w:rPr>
          <w:rFonts w:hint="eastAsia" w:ascii="宋体" w:hAnsi="宋体" w:cs="宋体"/>
          <w:color w:val="auto"/>
          <w:kern w:val="0"/>
          <w:szCs w:val="21"/>
          <w:highlight w:val="none"/>
        </w:rPr>
        <w:t xml:space="preserve"> 知识产权</w:t>
      </w:r>
    </w:p>
    <w:p>
      <w:pPr>
        <w:spacing w:line="400" w:lineRule="exact"/>
        <w:rPr>
          <w:rFonts w:ascii="宋体" w:hAnsi="宋体" w:cs="宋体"/>
          <w:color w:val="auto"/>
          <w:kern w:val="0"/>
          <w:szCs w:val="21"/>
          <w:highlight w:val="none"/>
        </w:rPr>
      </w:pPr>
      <w:r>
        <w:rPr>
          <w:rFonts w:hint="eastAsia" w:ascii="宋体" w:hAnsi="宋体" w:cs="宋体"/>
          <w:b/>
          <w:color w:val="auto"/>
          <w:szCs w:val="21"/>
          <w:highlight w:val="none"/>
        </w:rPr>
        <w:t>30.2.1</w:t>
      </w:r>
      <w:r>
        <w:rPr>
          <w:rFonts w:ascii="宋体" w:hAnsi="宋体" w:cs="宋体"/>
          <w:color w:val="auto"/>
          <w:kern w:val="0"/>
          <w:szCs w:val="21"/>
          <w:highlight w:val="none"/>
        </w:rPr>
        <w:t>投标人应保证提交的全部文件不会侵犯其</w:t>
      </w:r>
      <w:r>
        <w:rPr>
          <w:rFonts w:hint="eastAsia" w:ascii="宋体" w:hAnsi="宋体" w:cs="宋体"/>
          <w:color w:val="auto"/>
          <w:kern w:val="0"/>
          <w:szCs w:val="21"/>
          <w:highlight w:val="none"/>
        </w:rPr>
        <w:t>他</w:t>
      </w:r>
      <w:r>
        <w:rPr>
          <w:rFonts w:ascii="宋体" w:hAnsi="宋体" w:cs="宋体"/>
          <w:color w:val="auto"/>
          <w:kern w:val="0"/>
          <w:szCs w:val="21"/>
          <w:highlight w:val="none"/>
        </w:rPr>
        <w:t>任何人的知识产权或专有技术或商业秘密。投标人应保证，如果投标文件使用他人的知识产权或专有技术或商业秘密，投标人已获得了适当授权。投标人应进一步保证，</w:t>
      </w:r>
      <w:r>
        <w:rPr>
          <w:rFonts w:hint="eastAsia" w:ascii="宋体" w:hAnsi="宋体" w:cs="宋体"/>
          <w:color w:val="auto"/>
          <w:kern w:val="0"/>
          <w:szCs w:val="21"/>
          <w:highlight w:val="none"/>
        </w:rPr>
        <w:t>采购人</w:t>
      </w:r>
      <w:r>
        <w:rPr>
          <w:rFonts w:ascii="宋体" w:hAnsi="宋体" w:cs="宋体"/>
          <w:color w:val="auto"/>
          <w:kern w:val="0"/>
          <w:szCs w:val="21"/>
          <w:highlight w:val="none"/>
        </w:rPr>
        <w:t>使用其</w:t>
      </w:r>
      <w:r>
        <w:rPr>
          <w:rFonts w:hint="eastAsia" w:ascii="宋体" w:hAnsi="宋体" w:cs="宋体"/>
          <w:color w:val="auto"/>
          <w:kern w:val="0"/>
          <w:szCs w:val="21"/>
          <w:highlight w:val="none"/>
        </w:rPr>
        <w:t>成果</w:t>
      </w:r>
      <w:r>
        <w:rPr>
          <w:rFonts w:ascii="宋体" w:hAnsi="宋体" w:cs="宋体"/>
          <w:color w:val="auto"/>
          <w:kern w:val="0"/>
          <w:szCs w:val="21"/>
          <w:highlight w:val="none"/>
        </w:rPr>
        <w:t>不会侵犯他人的知识产权或专</w:t>
      </w:r>
      <w:r>
        <w:rPr>
          <w:rFonts w:hint="eastAsia" w:ascii="宋体" w:hAnsi="宋体" w:cs="宋体"/>
          <w:color w:val="auto"/>
          <w:kern w:val="0"/>
          <w:szCs w:val="21"/>
          <w:highlight w:val="none"/>
        </w:rPr>
        <w:t>有</w:t>
      </w:r>
      <w:r>
        <w:rPr>
          <w:rFonts w:ascii="宋体" w:hAnsi="宋体" w:cs="宋体"/>
          <w:color w:val="auto"/>
          <w:kern w:val="0"/>
          <w:szCs w:val="21"/>
          <w:highlight w:val="none"/>
        </w:rPr>
        <w:t>技术或商业秘密，并应当使</w:t>
      </w:r>
      <w:r>
        <w:rPr>
          <w:rFonts w:hint="eastAsia" w:ascii="宋体" w:hAnsi="宋体" w:cs="宋体"/>
          <w:color w:val="auto"/>
          <w:kern w:val="0"/>
          <w:szCs w:val="21"/>
          <w:highlight w:val="none"/>
        </w:rPr>
        <w:t>采购人</w:t>
      </w:r>
      <w:r>
        <w:rPr>
          <w:rFonts w:ascii="宋体" w:hAnsi="宋体" w:cs="宋体"/>
          <w:color w:val="auto"/>
          <w:kern w:val="0"/>
          <w:szCs w:val="21"/>
          <w:highlight w:val="none"/>
        </w:rPr>
        <w:t>免于因被指控侵犯上述权利产生的任何责任，</w:t>
      </w:r>
      <w:r>
        <w:rPr>
          <w:rFonts w:hint="eastAsia" w:ascii="宋体" w:hAnsi="宋体" w:cs="宋体"/>
          <w:color w:val="auto"/>
          <w:kern w:val="0"/>
          <w:szCs w:val="21"/>
          <w:highlight w:val="none"/>
        </w:rPr>
        <w:t>若采购人</w:t>
      </w:r>
      <w:r>
        <w:rPr>
          <w:rFonts w:ascii="宋体" w:hAnsi="宋体" w:cs="宋体"/>
          <w:color w:val="auto"/>
          <w:kern w:val="0"/>
          <w:szCs w:val="21"/>
          <w:highlight w:val="none"/>
        </w:rPr>
        <w:t>使用其</w:t>
      </w:r>
      <w:r>
        <w:rPr>
          <w:rFonts w:hint="eastAsia" w:ascii="宋体" w:hAnsi="宋体" w:cs="宋体"/>
          <w:color w:val="auto"/>
          <w:kern w:val="0"/>
          <w:szCs w:val="21"/>
          <w:highlight w:val="none"/>
        </w:rPr>
        <w:t>成果</w:t>
      </w:r>
      <w:r>
        <w:rPr>
          <w:rFonts w:ascii="宋体" w:hAnsi="宋体" w:cs="宋体"/>
          <w:color w:val="auto"/>
          <w:kern w:val="0"/>
          <w:szCs w:val="21"/>
          <w:highlight w:val="none"/>
        </w:rPr>
        <w:t>被指控侵犯上述权利</w:t>
      </w:r>
      <w:r>
        <w:rPr>
          <w:rFonts w:hint="eastAsia" w:ascii="宋体" w:hAnsi="宋体" w:cs="宋体"/>
          <w:color w:val="auto"/>
          <w:kern w:val="0"/>
          <w:szCs w:val="21"/>
          <w:highlight w:val="none"/>
        </w:rPr>
        <w:t>，投标人应</w:t>
      </w:r>
      <w:r>
        <w:rPr>
          <w:rFonts w:ascii="宋体" w:hAnsi="宋体" w:cs="宋体"/>
          <w:color w:val="auto"/>
          <w:kern w:val="0"/>
          <w:szCs w:val="21"/>
          <w:highlight w:val="none"/>
        </w:rPr>
        <w:t>赔偿</w:t>
      </w:r>
      <w:r>
        <w:rPr>
          <w:rFonts w:hint="eastAsia" w:ascii="宋体" w:hAnsi="宋体" w:cs="宋体"/>
          <w:color w:val="auto"/>
          <w:kern w:val="0"/>
          <w:szCs w:val="21"/>
          <w:highlight w:val="none"/>
        </w:rPr>
        <w:t>采购人</w:t>
      </w:r>
      <w:r>
        <w:rPr>
          <w:rFonts w:ascii="宋体" w:hAnsi="宋体" w:cs="宋体"/>
          <w:color w:val="auto"/>
          <w:kern w:val="0"/>
          <w:szCs w:val="21"/>
          <w:highlight w:val="none"/>
        </w:rPr>
        <w:t>由此而产生的费用和损失。</w:t>
      </w:r>
    </w:p>
    <w:p>
      <w:pPr>
        <w:spacing w:line="400" w:lineRule="exact"/>
        <w:rPr>
          <w:rFonts w:ascii="宋体" w:hAnsi="宋体" w:cs="宋体"/>
          <w:color w:val="auto"/>
          <w:kern w:val="0"/>
          <w:szCs w:val="21"/>
          <w:highlight w:val="none"/>
        </w:rPr>
      </w:pPr>
      <w:r>
        <w:rPr>
          <w:rFonts w:hint="eastAsia" w:ascii="宋体" w:hAnsi="宋体" w:cs="宋体"/>
          <w:b/>
          <w:color w:val="auto"/>
          <w:szCs w:val="21"/>
          <w:highlight w:val="none"/>
        </w:rPr>
        <w:t>30.2.2</w:t>
      </w:r>
      <w:r>
        <w:rPr>
          <w:rFonts w:hint="eastAsia" w:ascii="宋体" w:hAnsi="宋体" w:cs="宋体"/>
          <w:color w:val="auto"/>
          <w:kern w:val="0"/>
          <w:szCs w:val="21"/>
          <w:highlight w:val="none"/>
        </w:rPr>
        <w:t xml:space="preserve"> 投标人中标后参与本项目研究的资料、成果等知识产权归采购人，有关的信息未经采购人同意不得向第三方泄露。</w:t>
      </w:r>
    </w:p>
    <w:p>
      <w:pPr>
        <w:spacing w:line="400" w:lineRule="exact"/>
        <w:rPr>
          <w:rFonts w:ascii="宋体" w:hAnsi="宋体" w:cs="宋体"/>
          <w:color w:val="auto"/>
          <w:kern w:val="0"/>
          <w:szCs w:val="21"/>
          <w:highlight w:val="none"/>
        </w:rPr>
      </w:pPr>
      <w:r>
        <w:rPr>
          <w:rFonts w:hint="eastAsia" w:ascii="宋体" w:hAnsi="宋体" w:cs="宋体"/>
          <w:b/>
          <w:color w:val="auto"/>
          <w:szCs w:val="21"/>
          <w:highlight w:val="none"/>
        </w:rPr>
        <w:t xml:space="preserve">30.2.3 </w:t>
      </w:r>
      <w:r>
        <w:rPr>
          <w:rFonts w:hint="eastAsia" w:ascii="宋体" w:hAnsi="宋体" w:cs="宋体"/>
          <w:color w:val="auto"/>
          <w:kern w:val="0"/>
          <w:szCs w:val="21"/>
          <w:highlight w:val="none"/>
        </w:rPr>
        <w:t>采购人在招商引资、产权转让的商业活动中，所使用本项目有关的任何成果，无需征得中标人同意，中标人应积极配合提供相关资料和成果；中标人有责任对涉及项目的重要信息进行保密；中标人如因为项目的开展需要向第三方提供资料,必须提前得到采购人批准。</w:t>
      </w:r>
    </w:p>
    <w:p>
      <w:pPr>
        <w:spacing w:line="400" w:lineRule="exact"/>
        <w:rPr>
          <w:rFonts w:ascii="宋体" w:hAnsi="宋体" w:cs="宋体"/>
          <w:b/>
          <w:color w:val="auto"/>
          <w:szCs w:val="21"/>
          <w:highlight w:val="none"/>
        </w:rPr>
      </w:pPr>
    </w:p>
    <w:p>
      <w:pPr>
        <w:spacing w:line="440" w:lineRule="exact"/>
        <w:rPr>
          <w:rFonts w:ascii="宋体" w:hAnsi="宋体"/>
          <w:b/>
          <w:color w:val="auto"/>
          <w:szCs w:val="21"/>
          <w:highlight w:val="none"/>
        </w:rPr>
      </w:pPr>
      <w:r>
        <w:rPr>
          <w:rFonts w:hint="eastAsia" w:ascii="宋体" w:hAnsi="宋体"/>
          <w:b/>
          <w:color w:val="auto"/>
          <w:szCs w:val="21"/>
          <w:highlight w:val="none"/>
        </w:rPr>
        <w:t>31.  政府采购活动中有关中小企业的相关规定</w:t>
      </w:r>
    </w:p>
    <w:p>
      <w:pPr>
        <w:spacing w:line="400" w:lineRule="exact"/>
        <w:rPr>
          <w:rFonts w:ascii="宋体" w:hAnsi="宋体"/>
          <w:b/>
          <w:color w:val="auto"/>
          <w:szCs w:val="21"/>
          <w:highlight w:val="none"/>
        </w:rPr>
      </w:pPr>
      <w:r>
        <w:rPr>
          <w:rFonts w:hint="eastAsia" w:ascii="宋体" w:hAnsi="宋体"/>
          <w:b/>
          <w:color w:val="auto"/>
          <w:szCs w:val="21"/>
          <w:highlight w:val="none"/>
        </w:rPr>
        <w:t>31.1本项目对应的中小企业划分标准所属行业：</w:t>
      </w:r>
      <w:r>
        <w:rPr>
          <w:rFonts w:hint="eastAsia" w:ascii="宋体" w:hAnsi="宋体" w:cs="宋体"/>
          <w:b/>
          <w:color w:val="auto"/>
          <w:szCs w:val="21"/>
          <w:highlight w:val="none"/>
        </w:rPr>
        <w:t>详见第三部分“投标资料表”</w:t>
      </w:r>
    </w:p>
    <w:p>
      <w:pPr>
        <w:spacing w:line="400" w:lineRule="exact"/>
        <w:rPr>
          <w:rFonts w:ascii="宋体" w:hAnsi="宋体"/>
          <w:color w:val="auto"/>
          <w:szCs w:val="21"/>
          <w:highlight w:val="none"/>
        </w:rPr>
      </w:pPr>
      <w:r>
        <w:rPr>
          <w:rFonts w:hint="eastAsia" w:ascii="宋体" w:hAnsi="宋体"/>
          <w:b/>
          <w:color w:val="auto"/>
          <w:szCs w:val="21"/>
          <w:highlight w:val="none"/>
        </w:rPr>
        <w:t>31.2</w:t>
      </w:r>
      <w:r>
        <w:rPr>
          <w:rFonts w:hint="eastAsia" w:ascii="宋体" w:hAnsi="宋体"/>
          <w:color w:val="auto"/>
          <w:szCs w:val="21"/>
          <w:highlight w:val="none"/>
        </w:rPr>
        <w:t>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pPr>
        <w:spacing w:line="400" w:lineRule="exact"/>
        <w:rPr>
          <w:rFonts w:ascii="宋体" w:hAnsi="宋体"/>
          <w:color w:val="auto"/>
          <w:szCs w:val="21"/>
          <w:highlight w:val="none"/>
        </w:rPr>
      </w:pPr>
      <w:r>
        <w:rPr>
          <w:rFonts w:hint="eastAsia" w:ascii="宋体" w:hAnsi="宋体"/>
          <w:b/>
          <w:color w:val="auto"/>
          <w:szCs w:val="21"/>
          <w:highlight w:val="none"/>
        </w:rPr>
        <w:t xml:space="preserve">31.3  </w:t>
      </w:r>
      <w:r>
        <w:rPr>
          <w:rFonts w:hint="eastAsia" w:ascii="宋体" w:hAnsi="宋体"/>
          <w:color w:val="auto"/>
          <w:szCs w:val="21"/>
          <w:highlight w:val="none"/>
        </w:rPr>
        <w:t>在政府采购活动中，投标人提供的货物、工程或者服务符合下列情形的，享受本办法规定的中小企业扶持政策：</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（一）在货物采购项目中，货物由中小企业制造，即货物由中小企业生产且使用该中小企业商号或者注册商标；</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（二）在工程采购项目中，工程由中小企业承建，即工程施工单位为中小企业；</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（三）在服务采购项目中，服务由中小企业承接，即提供服务的人员为中小企业依照《中华人民共和国劳动合同法》订立劳动合同的从业人员。</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在货物采购项目中，投标人提供的货物既有中小企业制造货物，也有大型企业制造货物的，不享受本办法规定的中小企业扶持政策。</w:t>
      </w:r>
    </w:p>
    <w:p>
      <w:pPr>
        <w:spacing w:line="400" w:lineRule="exact"/>
        <w:ind w:firstLine="420" w:firstLineChars="200"/>
        <w:rPr>
          <w:rFonts w:ascii="宋体" w:hAnsi="宋体"/>
          <w:b/>
          <w:color w:val="auto"/>
          <w:szCs w:val="21"/>
          <w:highlight w:val="none"/>
        </w:rPr>
      </w:pPr>
      <w:r>
        <w:rPr>
          <w:rFonts w:hint="eastAsia" w:ascii="宋体" w:hAnsi="宋体"/>
          <w:color w:val="auto"/>
          <w:szCs w:val="21"/>
          <w:highlight w:val="none"/>
        </w:rPr>
        <w:t>以联合体形式参加政府采购活动，联合体各方均为中小企业的，联合体视同中小企业。其中，联合体各方均为小微企业的，联合体视同小微企业。</w:t>
      </w:r>
    </w:p>
    <w:p>
      <w:pPr>
        <w:spacing w:line="400" w:lineRule="exact"/>
        <w:rPr>
          <w:rFonts w:ascii="宋体" w:hAnsi="宋体"/>
          <w:color w:val="auto"/>
          <w:szCs w:val="21"/>
          <w:highlight w:val="none"/>
        </w:rPr>
      </w:pPr>
      <w:r>
        <w:rPr>
          <w:rFonts w:hint="eastAsia" w:ascii="宋体" w:hAnsi="宋体"/>
          <w:b/>
          <w:color w:val="auto"/>
          <w:szCs w:val="21"/>
          <w:highlight w:val="none"/>
        </w:rPr>
        <w:t>31.4</w:t>
      </w:r>
      <w:r>
        <w:rPr>
          <w:rFonts w:hint="eastAsia" w:ascii="宋体" w:hAnsi="宋体"/>
          <w:color w:val="auto"/>
          <w:szCs w:val="21"/>
          <w:highlight w:val="none"/>
        </w:rPr>
        <w:t xml:space="preserve">  中小企业参加政府采购活动，应当出具《中小企业声明函》（格式见附件1），否则不得享受相关中小企业扶持政策。</w:t>
      </w:r>
    </w:p>
    <w:p>
      <w:pPr>
        <w:spacing w:line="400" w:lineRule="exact"/>
        <w:rPr>
          <w:rFonts w:ascii="宋体" w:hAnsi="宋体"/>
          <w:color w:val="auto"/>
          <w:szCs w:val="21"/>
          <w:highlight w:val="none"/>
        </w:rPr>
      </w:pPr>
      <w:r>
        <w:rPr>
          <w:rFonts w:hint="eastAsia" w:ascii="宋体" w:hAnsi="宋体"/>
          <w:b/>
          <w:color w:val="auto"/>
          <w:szCs w:val="21"/>
          <w:highlight w:val="none"/>
        </w:rPr>
        <w:t>31.5</w:t>
      </w:r>
      <w:r>
        <w:rPr>
          <w:rFonts w:hint="eastAsia" w:ascii="宋体" w:hAnsi="宋体"/>
          <w:color w:val="auto"/>
          <w:szCs w:val="21"/>
          <w:highlight w:val="none"/>
        </w:rPr>
        <w:t xml:space="preserve"> 对于经主管预算单位统筹后未预留份额专门面向中小企业采购的采购项目，以及预留份额项目中的非预留部分采购包，采购人、采购代理机构应当对符合本办法规定的小微企业报价给予10%-20%（工程项目为3%-5%）的扣除，用扣除后的价格参加评审。</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4%-6%（工程项目为1%-2%）的扣除，用扣除后的价格参加评审。组成联合体或者接受分包的小微企业与联合体内其他企业、分包企业之间存在直接控股、管理关系的，不享受价格扣除优惠政策。</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价格扣除比例对小型企业和微型企业同等对待，不作区分。</w:t>
      </w:r>
    </w:p>
    <w:p>
      <w:pPr>
        <w:spacing w:line="400" w:lineRule="exact"/>
        <w:rPr>
          <w:rFonts w:ascii="宋体" w:hAnsi="宋体"/>
          <w:color w:val="auto"/>
          <w:szCs w:val="21"/>
          <w:highlight w:val="none"/>
        </w:rPr>
      </w:pPr>
      <w:r>
        <w:rPr>
          <w:rFonts w:hint="eastAsia" w:ascii="宋体" w:hAnsi="宋体"/>
          <w:b/>
          <w:color w:val="auto"/>
          <w:szCs w:val="21"/>
          <w:highlight w:val="none"/>
        </w:rPr>
        <w:t xml:space="preserve">31.6  </w:t>
      </w:r>
      <w:r>
        <w:rPr>
          <w:rFonts w:hint="eastAsia" w:ascii="宋体" w:hAnsi="宋体"/>
          <w:color w:val="auto"/>
          <w:szCs w:val="21"/>
          <w:highlight w:val="none"/>
        </w:rPr>
        <w:t>享受扶持政策获得政府采购合同的，小微企业不得将合同分包给大中型企业，中型企业不得将合同分包给大型企业。</w:t>
      </w:r>
    </w:p>
    <w:p>
      <w:pPr>
        <w:spacing w:line="400" w:lineRule="exact"/>
        <w:rPr>
          <w:rFonts w:ascii="宋体" w:hAnsi="宋体"/>
          <w:color w:val="auto"/>
          <w:szCs w:val="21"/>
          <w:highlight w:val="none"/>
        </w:rPr>
      </w:pPr>
      <w:r>
        <w:rPr>
          <w:rFonts w:hint="eastAsia" w:ascii="宋体" w:hAnsi="宋体"/>
          <w:b/>
          <w:color w:val="auto"/>
          <w:szCs w:val="21"/>
          <w:highlight w:val="none"/>
        </w:rPr>
        <w:t xml:space="preserve">31.7  </w:t>
      </w:r>
      <w:r>
        <w:rPr>
          <w:rFonts w:hint="eastAsia" w:ascii="宋体" w:hAnsi="宋体"/>
          <w:color w:val="auto"/>
          <w:szCs w:val="21"/>
          <w:highlight w:val="none"/>
        </w:rPr>
        <w:t>执行财政部、司法部《关于政府采购支持监狱企业发展有关问题的通知》。监狱企业（监狱和戒毒企业）提供自己企业的产品（服务）参加投标视同小型、微型企业，享受评审中价格扣除等政府采购促进中小企业发展的政府采购政策，监狱企业参加政府采购活动时，必须提供由省级以上监狱管理局、戒毒管理局（含新疆生产建设兵团）出具的属于监狱企业的证明文件，未能提供上述证明文件的不予认可。</w:t>
      </w:r>
    </w:p>
    <w:p>
      <w:pPr>
        <w:spacing w:line="400" w:lineRule="exact"/>
        <w:rPr>
          <w:rFonts w:ascii="宋体" w:hAnsi="宋体"/>
          <w:color w:val="auto"/>
          <w:szCs w:val="21"/>
          <w:highlight w:val="none"/>
        </w:rPr>
      </w:pPr>
      <w:r>
        <w:rPr>
          <w:rFonts w:hint="eastAsia" w:ascii="宋体" w:hAnsi="宋体"/>
          <w:b/>
          <w:color w:val="auto"/>
          <w:szCs w:val="21"/>
          <w:highlight w:val="none"/>
        </w:rPr>
        <w:t>31.8</w:t>
      </w:r>
      <w:r>
        <w:rPr>
          <w:rFonts w:hint="eastAsia" w:ascii="宋体" w:hAnsi="宋体"/>
          <w:color w:val="auto"/>
          <w:szCs w:val="21"/>
          <w:highlight w:val="none"/>
        </w:rPr>
        <w:t xml:space="preserve">  根据《关于促进残疾人就业政府采购政策的通知》（财库[2017]141号）规定，残疾人福利性单位视同小型、微型企业。符合条件的残疾人福利性单位在参加政府采购活动时，应当在投标文件中提供通知规定的《残疾人福利性单位声明函》（格式详见附件2），并对声明的真实性负责,未能提供上述证明文件的不予认可。</w:t>
      </w:r>
    </w:p>
    <w:p>
      <w:pPr>
        <w:spacing w:line="400" w:lineRule="exact"/>
        <w:rPr>
          <w:rFonts w:ascii="宋体" w:hAnsi="宋体"/>
          <w:color w:val="auto"/>
          <w:szCs w:val="21"/>
          <w:highlight w:val="none"/>
        </w:rPr>
      </w:pPr>
      <w:r>
        <w:rPr>
          <w:rFonts w:ascii="宋体" w:hAnsi="宋体"/>
          <w:b/>
          <w:color w:val="auto"/>
          <w:szCs w:val="21"/>
          <w:highlight w:val="none"/>
        </w:rPr>
        <w:t>3</w:t>
      </w:r>
      <w:r>
        <w:rPr>
          <w:rFonts w:hint="eastAsia" w:ascii="宋体" w:hAnsi="宋体"/>
          <w:b/>
          <w:color w:val="auto"/>
          <w:szCs w:val="21"/>
          <w:highlight w:val="none"/>
        </w:rPr>
        <w:t>1</w:t>
      </w:r>
      <w:r>
        <w:rPr>
          <w:rFonts w:ascii="宋体" w:hAnsi="宋体"/>
          <w:b/>
          <w:color w:val="auto"/>
          <w:szCs w:val="21"/>
          <w:highlight w:val="none"/>
        </w:rPr>
        <w:t>.</w:t>
      </w:r>
      <w:r>
        <w:rPr>
          <w:rFonts w:hint="eastAsia" w:ascii="宋体" w:hAnsi="宋体"/>
          <w:b/>
          <w:color w:val="auto"/>
          <w:szCs w:val="21"/>
          <w:highlight w:val="none"/>
        </w:rPr>
        <w:t>9</w:t>
      </w:r>
      <w:r>
        <w:rPr>
          <w:rFonts w:hint="eastAsia" w:ascii="宋体" w:hAnsi="宋体"/>
          <w:color w:val="auto"/>
          <w:szCs w:val="21"/>
          <w:highlight w:val="none"/>
        </w:rPr>
        <w:t>执行财政部、国家环保总局《关于环境标志产品政府采购实施的意见》，政府采购优先采购环境标志产品，本项目将对环境标志产品给予一定幅度的价格扣除或技术加分，具体见 “评标标准”说明。</w:t>
      </w:r>
    </w:p>
    <w:p>
      <w:pPr>
        <w:spacing w:line="400" w:lineRule="exact"/>
        <w:rPr>
          <w:rFonts w:ascii="宋体" w:hAnsi="宋体"/>
          <w:color w:val="auto"/>
          <w:szCs w:val="21"/>
          <w:highlight w:val="none"/>
        </w:rPr>
      </w:pPr>
      <w:r>
        <w:rPr>
          <w:rFonts w:ascii="宋体" w:hAnsi="宋体"/>
          <w:b/>
          <w:color w:val="auto"/>
          <w:szCs w:val="21"/>
          <w:highlight w:val="none"/>
        </w:rPr>
        <w:t>3</w:t>
      </w:r>
      <w:r>
        <w:rPr>
          <w:rFonts w:hint="eastAsia" w:ascii="宋体" w:hAnsi="宋体"/>
          <w:b/>
          <w:color w:val="auto"/>
          <w:szCs w:val="21"/>
          <w:highlight w:val="none"/>
        </w:rPr>
        <w:t>1</w:t>
      </w:r>
      <w:r>
        <w:rPr>
          <w:rFonts w:ascii="宋体" w:hAnsi="宋体"/>
          <w:b/>
          <w:color w:val="auto"/>
          <w:szCs w:val="21"/>
          <w:highlight w:val="none"/>
        </w:rPr>
        <w:t>.</w:t>
      </w:r>
      <w:r>
        <w:rPr>
          <w:rFonts w:hint="eastAsia" w:ascii="宋体" w:hAnsi="宋体"/>
          <w:b/>
          <w:color w:val="auto"/>
          <w:szCs w:val="21"/>
          <w:highlight w:val="none"/>
        </w:rPr>
        <w:t>10</w:t>
      </w:r>
      <w:r>
        <w:rPr>
          <w:rFonts w:hint="eastAsia" w:ascii="宋体" w:hAnsi="宋体"/>
          <w:color w:val="auto"/>
          <w:szCs w:val="21"/>
          <w:highlight w:val="none"/>
        </w:rPr>
        <w:t>执行财政部、国家发展改革委员会《节能产品政府采购实施意见》，政府采购优先采购节能产品，本项目将对节能产品给予一定幅度的价格扣除或技术加分，具体见招标文件“评标标准”说明。</w:t>
      </w:r>
    </w:p>
    <w:p>
      <w:pPr>
        <w:spacing w:line="400" w:lineRule="exact"/>
        <w:rPr>
          <w:rFonts w:ascii="宋体" w:hAnsi="宋体"/>
          <w:color w:val="auto"/>
          <w:szCs w:val="21"/>
          <w:highlight w:val="none"/>
        </w:rPr>
      </w:pPr>
      <w:r>
        <w:rPr>
          <w:rFonts w:hint="eastAsia" w:ascii="宋体" w:hAnsi="宋体"/>
          <w:b/>
          <w:color w:val="auto"/>
          <w:szCs w:val="21"/>
          <w:highlight w:val="none"/>
        </w:rPr>
        <w:t xml:space="preserve">31.11  </w:t>
      </w:r>
      <w:r>
        <w:rPr>
          <w:rFonts w:hint="eastAsia" w:ascii="宋体" w:hAnsi="宋体"/>
          <w:color w:val="auto"/>
          <w:szCs w:val="21"/>
          <w:highlight w:val="none"/>
        </w:rPr>
        <w:t>进口产品采购需符合“财政部关于印发《政府采购进口产品管理办法》的通知（财库[2007]119号）”第四、八、九、十、十一条的规定。</w:t>
      </w:r>
    </w:p>
    <w:p>
      <w:pPr>
        <w:spacing w:line="400" w:lineRule="exact"/>
        <w:rPr>
          <w:rFonts w:ascii="宋体" w:hAnsi="宋体"/>
          <w:b/>
          <w:color w:val="auto"/>
          <w:szCs w:val="21"/>
          <w:highlight w:val="none"/>
        </w:rPr>
      </w:pPr>
    </w:p>
    <w:p>
      <w:pPr>
        <w:spacing w:line="400" w:lineRule="exact"/>
        <w:rPr>
          <w:rFonts w:ascii="宋体" w:hAnsi="宋体"/>
          <w:b/>
          <w:color w:val="auto"/>
          <w:szCs w:val="21"/>
          <w:highlight w:val="none"/>
        </w:rPr>
      </w:pPr>
      <w:r>
        <w:rPr>
          <w:rFonts w:hint="eastAsia" w:ascii="宋体" w:hAnsi="宋体"/>
          <w:b/>
          <w:color w:val="auto"/>
          <w:szCs w:val="21"/>
          <w:highlight w:val="none"/>
        </w:rPr>
        <w:t>32.询问、质疑、投诉</w:t>
      </w:r>
    </w:p>
    <w:p>
      <w:pPr>
        <w:spacing w:line="400" w:lineRule="exact"/>
        <w:rPr>
          <w:rFonts w:ascii="宋体" w:hAnsi="宋体"/>
          <w:b/>
          <w:color w:val="auto"/>
          <w:szCs w:val="21"/>
          <w:highlight w:val="none"/>
        </w:rPr>
      </w:pPr>
      <w:r>
        <w:rPr>
          <w:rFonts w:hint="eastAsia" w:ascii="宋体" w:hAnsi="宋体"/>
          <w:b/>
          <w:color w:val="auto"/>
          <w:szCs w:val="21"/>
          <w:highlight w:val="none"/>
        </w:rPr>
        <w:t>32.1 询问</w:t>
      </w:r>
    </w:p>
    <w:p>
      <w:pPr>
        <w:spacing w:line="400" w:lineRule="exact"/>
        <w:ind w:firstLine="420" w:firstLineChars="200"/>
        <w:rPr>
          <w:rFonts w:ascii="宋体" w:hAnsi="宋体"/>
          <w:bCs/>
          <w:color w:val="auto"/>
          <w:szCs w:val="21"/>
          <w:highlight w:val="none"/>
        </w:rPr>
      </w:pPr>
      <w:r>
        <w:rPr>
          <w:rFonts w:hint="eastAsia" w:ascii="宋体" w:hAnsi="宋体"/>
          <w:bCs/>
          <w:color w:val="auto"/>
          <w:szCs w:val="21"/>
          <w:highlight w:val="none"/>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spacing w:line="400" w:lineRule="exact"/>
        <w:rPr>
          <w:rFonts w:ascii="宋体" w:hAnsi="宋体"/>
          <w:b/>
          <w:color w:val="auto"/>
          <w:szCs w:val="21"/>
          <w:highlight w:val="none"/>
        </w:rPr>
      </w:pPr>
      <w:r>
        <w:rPr>
          <w:rFonts w:hint="eastAsia" w:ascii="宋体" w:hAnsi="宋体"/>
          <w:b/>
          <w:color w:val="auto"/>
          <w:szCs w:val="21"/>
          <w:highlight w:val="none"/>
        </w:rPr>
        <w:t>32.2 质疑</w:t>
      </w:r>
    </w:p>
    <w:p>
      <w:pPr>
        <w:spacing w:line="400" w:lineRule="exact"/>
        <w:rPr>
          <w:rFonts w:ascii="宋体" w:hAnsi="宋体"/>
          <w:bCs/>
          <w:color w:val="auto"/>
          <w:szCs w:val="21"/>
          <w:highlight w:val="none"/>
        </w:rPr>
      </w:pPr>
      <w:r>
        <w:rPr>
          <w:rFonts w:hint="eastAsia" w:ascii="宋体" w:hAnsi="宋体"/>
          <w:b/>
          <w:color w:val="auto"/>
          <w:szCs w:val="21"/>
          <w:highlight w:val="none"/>
        </w:rPr>
        <w:t>32.2.1</w:t>
      </w:r>
      <w:r>
        <w:rPr>
          <w:rFonts w:hint="eastAsia" w:ascii="宋体" w:hAnsi="宋体"/>
          <w:bCs/>
          <w:color w:val="auto"/>
          <w:szCs w:val="21"/>
          <w:highlight w:val="none"/>
        </w:rPr>
        <w:t>提出质疑的供应商应当是参与所质疑项目采购活动的供应商。潜在供应商已依法获取其可质疑的招标文件的，可以对该文件提出质疑。</w:t>
      </w:r>
    </w:p>
    <w:p>
      <w:pPr>
        <w:spacing w:line="400" w:lineRule="exact"/>
        <w:rPr>
          <w:rFonts w:ascii="宋体" w:hAnsi="宋体"/>
          <w:bCs/>
          <w:color w:val="auto"/>
          <w:szCs w:val="21"/>
          <w:highlight w:val="none"/>
        </w:rPr>
      </w:pPr>
      <w:r>
        <w:rPr>
          <w:rFonts w:hint="eastAsia" w:ascii="宋体" w:hAnsi="宋体"/>
          <w:b/>
          <w:color w:val="auto"/>
          <w:szCs w:val="21"/>
          <w:highlight w:val="none"/>
        </w:rPr>
        <w:t>32.2.2</w:t>
      </w:r>
      <w:r>
        <w:rPr>
          <w:rFonts w:hint="eastAsia" w:ascii="宋体" w:hAnsi="宋体"/>
          <w:bCs/>
          <w:color w:val="auto"/>
          <w:szCs w:val="21"/>
          <w:highlight w:val="none"/>
        </w:rPr>
        <w:t>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pPr>
        <w:spacing w:line="400" w:lineRule="exact"/>
        <w:rPr>
          <w:rFonts w:ascii="宋体" w:hAnsi="宋体"/>
          <w:bCs/>
          <w:color w:val="auto"/>
          <w:szCs w:val="21"/>
          <w:highlight w:val="none"/>
        </w:rPr>
      </w:pPr>
      <w:r>
        <w:rPr>
          <w:rFonts w:hint="eastAsia" w:ascii="宋体" w:hAnsi="宋体"/>
          <w:b/>
          <w:color w:val="auto"/>
          <w:szCs w:val="21"/>
          <w:highlight w:val="none"/>
        </w:rPr>
        <w:t>32.2.2.1</w:t>
      </w:r>
      <w:r>
        <w:rPr>
          <w:rFonts w:hint="eastAsia" w:ascii="宋体" w:hAnsi="宋体"/>
          <w:bCs/>
          <w:color w:val="auto"/>
          <w:szCs w:val="21"/>
          <w:highlight w:val="none"/>
        </w:rPr>
        <w:t>对招标文件提出质疑的，质疑期限为供应商获得招标文件之日或者招标文件公告期限届满之日起计算。</w:t>
      </w:r>
    </w:p>
    <w:p>
      <w:pPr>
        <w:spacing w:line="400" w:lineRule="exact"/>
        <w:rPr>
          <w:rFonts w:ascii="宋体" w:hAnsi="宋体"/>
          <w:bCs/>
          <w:color w:val="auto"/>
          <w:szCs w:val="21"/>
          <w:highlight w:val="none"/>
        </w:rPr>
      </w:pPr>
      <w:r>
        <w:rPr>
          <w:rFonts w:hint="eastAsia" w:ascii="宋体" w:hAnsi="宋体"/>
          <w:b/>
          <w:color w:val="auto"/>
          <w:szCs w:val="21"/>
          <w:highlight w:val="none"/>
        </w:rPr>
        <w:t>32.2.2.2</w:t>
      </w:r>
      <w:r>
        <w:rPr>
          <w:rFonts w:hint="eastAsia" w:ascii="宋体" w:hAnsi="宋体"/>
          <w:bCs/>
          <w:color w:val="auto"/>
          <w:szCs w:val="21"/>
          <w:highlight w:val="none"/>
        </w:rPr>
        <w:t>对采购过程提出质疑的，质疑期限为各采购程序环节结束之日起计算。对同一采购程序环节的质疑，供应商须一次性提出。</w:t>
      </w:r>
    </w:p>
    <w:p>
      <w:pPr>
        <w:spacing w:line="400" w:lineRule="exact"/>
        <w:rPr>
          <w:rFonts w:ascii="宋体" w:hAnsi="宋体"/>
          <w:bCs/>
          <w:color w:val="auto"/>
          <w:szCs w:val="21"/>
          <w:highlight w:val="none"/>
        </w:rPr>
      </w:pPr>
      <w:r>
        <w:rPr>
          <w:rFonts w:hint="eastAsia" w:ascii="宋体" w:hAnsi="宋体"/>
          <w:b/>
          <w:color w:val="auto"/>
          <w:szCs w:val="21"/>
          <w:highlight w:val="none"/>
        </w:rPr>
        <w:t>32.2.2.3</w:t>
      </w:r>
      <w:r>
        <w:rPr>
          <w:rFonts w:hint="eastAsia" w:ascii="宋体" w:hAnsi="宋体"/>
          <w:bCs/>
          <w:color w:val="auto"/>
          <w:szCs w:val="21"/>
          <w:highlight w:val="none"/>
        </w:rPr>
        <w:t>对采购结果提出质疑的，质疑期限自采购结果公告期限届满之日起计算。</w:t>
      </w:r>
    </w:p>
    <w:p>
      <w:pPr>
        <w:spacing w:line="400" w:lineRule="exact"/>
        <w:rPr>
          <w:rFonts w:ascii="宋体" w:hAnsi="宋体"/>
          <w:bCs/>
          <w:color w:val="auto"/>
          <w:szCs w:val="21"/>
          <w:highlight w:val="none"/>
        </w:rPr>
      </w:pPr>
      <w:r>
        <w:rPr>
          <w:rFonts w:hint="eastAsia" w:ascii="宋体" w:hAnsi="宋体"/>
          <w:b/>
          <w:color w:val="auto"/>
          <w:szCs w:val="21"/>
          <w:highlight w:val="none"/>
        </w:rPr>
        <w:t>32.2.3</w:t>
      </w:r>
      <w:r>
        <w:rPr>
          <w:rFonts w:hint="eastAsia" w:ascii="宋体" w:hAnsi="宋体"/>
          <w:bCs/>
          <w:color w:val="auto"/>
          <w:szCs w:val="21"/>
          <w:highlight w:val="none"/>
        </w:rPr>
        <w:t>供应商提出质疑应当提交质疑函和必要的证明材料。质疑函应当包括下列内容：</w:t>
      </w:r>
    </w:p>
    <w:p>
      <w:pPr>
        <w:spacing w:line="400" w:lineRule="exact"/>
        <w:rPr>
          <w:rFonts w:ascii="宋体" w:hAnsi="宋体"/>
          <w:bCs/>
          <w:color w:val="auto"/>
          <w:szCs w:val="21"/>
          <w:highlight w:val="none"/>
        </w:rPr>
      </w:pPr>
      <w:r>
        <w:rPr>
          <w:rFonts w:hint="eastAsia" w:ascii="宋体" w:hAnsi="宋体"/>
          <w:b/>
          <w:color w:val="auto"/>
          <w:szCs w:val="21"/>
          <w:highlight w:val="none"/>
        </w:rPr>
        <w:t>32.2.3.1</w:t>
      </w:r>
      <w:r>
        <w:rPr>
          <w:rFonts w:hint="eastAsia" w:ascii="宋体" w:hAnsi="宋体"/>
          <w:bCs/>
          <w:color w:val="auto"/>
          <w:szCs w:val="21"/>
          <w:highlight w:val="none"/>
        </w:rPr>
        <w:t>供应商的姓名或者名称、地址、邮编、联系人及联系电话；</w:t>
      </w:r>
    </w:p>
    <w:p>
      <w:pPr>
        <w:spacing w:line="400" w:lineRule="exact"/>
        <w:rPr>
          <w:rFonts w:ascii="宋体" w:hAnsi="宋体"/>
          <w:bCs/>
          <w:color w:val="auto"/>
          <w:szCs w:val="21"/>
          <w:highlight w:val="none"/>
        </w:rPr>
      </w:pPr>
      <w:r>
        <w:rPr>
          <w:rFonts w:hint="eastAsia" w:ascii="宋体" w:hAnsi="宋体"/>
          <w:b/>
          <w:color w:val="auto"/>
          <w:szCs w:val="21"/>
          <w:highlight w:val="none"/>
        </w:rPr>
        <w:t>32.2.3.2</w:t>
      </w:r>
      <w:r>
        <w:rPr>
          <w:rFonts w:hint="eastAsia" w:ascii="宋体" w:hAnsi="宋体"/>
          <w:bCs/>
          <w:color w:val="auto"/>
          <w:szCs w:val="21"/>
          <w:highlight w:val="none"/>
        </w:rPr>
        <w:t>质疑项目的名称、编号；</w:t>
      </w:r>
    </w:p>
    <w:p>
      <w:pPr>
        <w:spacing w:line="400" w:lineRule="exact"/>
        <w:rPr>
          <w:rFonts w:ascii="宋体" w:hAnsi="宋体"/>
          <w:bCs/>
          <w:color w:val="auto"/>
          <w:szCs w:val="21"/>
          <w:highlight w:val="none"/>
        </w:rPr>
      </w:pPr>
      <w:r>
        <w:rPr>
          <w:rFonts w:hint="eastAsia" w:ascii="宋体" w:hAnsi="宋体"/>
          <w:b/>
          <w:color w:val="auto"/>
          <w:szCs w:val="21"/>
          <w:highlight w:val="none"/>
        </w:rPr>
        <w:t>32.2.3.3</w:t>
      </w:r>
      <w:r>
        <w:rPr>
          <w:rFonts w:hint="eastAsia" w:ascii="宋体" w:hAnsi="宋体"/>
          <w:bCs/>
          <w:color w:val="auto"/>
          <w:szCs w:val="21"/>
          <w:highlight w:val="none"/>
        </w:rPr>
        <w:t>具体、明确的质疑事项和与质疑事项相关的请求；</w:t>
      </w:r>
    </w:p>
    <w:p>
      <w:pPr>
        <w:spacing w:line="400" w:lineRule="exact"/>
        <w:rPr>
          <w:rFonts w:ascii="宋体" w:hAnsi="宋体"/>
          <w:bCs/>
          <w:color w:val="auto"/>
          <w:szCs w:val="21"/>
          <w:highlight w:val="none"/>
        </w:rPr>
      </w:pPr>
      <w:r>
        <w:rPr>
          <w:rFonts w:hint="eastAsia" w:ascii="宋体" w:hAnsi="宋体"/>
          <w:b/>
          <w:color w:val="auto"/>
          <w:szCs w:val="21"/>
          <w:highlight w:val="none"/>
        </w:rPr>
        <w:t>32.2.3.4</w:t>
      </w:r>
      <w:r>
        <w:rPr>
          <w:rFonts w:hint="eastAsia" w:ascii="宋体" w:hAnsi="宋体"/>
          <w:bCs/>
          <w:color w:val="auto"/>
          <w:szCs w:val="21"/>
          <w:highlight w:val="none"/>
        </w:rPr>
        <w:t>事实依据；</w:t>
      </w:r>
    </w:p>
    <w:p>
      <w:pPr>
        <w:spacing w:line="400" w:lineRule="exact"/>
        <w:rPr>
          <w:rFonts w:ascii="宋体" w:hAnsi="宋体"/>
          <w:bCs/>
          <w:color w:val="auto"/>
          <w:szCs w:val="21"/>
          <w:highlight w:val="none"/>
        </w:rPr>
      </w:pPr>
      <w:r>
        <w:rPr>
          <w:rFonts w:hint="eastAsia" w:ascii="宋体" w:hAnsi="宋体"/>
          <w:b/>
          <w:color w:val="auto"/>
          <w:szCs w:val="21"/>
          <w:highlight w:val="none"/>
        </w:rPr>
        <w:t>32.2.3.5</w:t>
      </w:r>
      <w:r>
        <w:rPr>
          <w:rFonts w:hint="eastAsia" w:ascii="宋体" w:hAnsi="宋体"/>
          <w:bCs/>
          <w:color w:val="auto"/>
          <w:szCs w:val="21"/>
          <w:highlight w:val="none"/>
        </w:rPr>
        <w:t>必要的法律依据；</w:t>
      </w:r>
    </w:p>
    <w:p>
      <w:pPr>
        <w:spacing w:line="400" w:lineRule="exact"/>
        <w:rPr>
          <w:rFonts w:ascii="宋体" w:hAnsi="宋体"/>
          <w:bCs/>
          <w:color w:val="auto"/>
          <w:szCs w:val="21"/>
          <w:highlight w:val="none"/>
        </w:rPr>
      </w:pPr>
      <w:r>
        <w:rPr>
          <w:rFonts w:hint="eastAsia" w:ascii="宋体" w:hAnsi="宋体"/>
          <w:b/>
          <w:color w:val="auto"/>
          <w:szCs w:val="21"/>
          <w:highlight w:val="none"/>
        </w:rPr>
        <w:t>32.2.3.6</w:t>
      </w:r>
      <w:r>
        <w:rPr>
          <w:rFonts w:hint="eastAsia" w:ascii="宋体" w:hAnsi="宋体"/>
          <w:bCs/>
          <w:color w:val="auto"/>
          <w:szCs w:val="21"/>
          <w:highlight w:val="none"/>
        </w:rPr>
        <w:t>提出质疑的日期。</w:t>
      </w:r>
    </w:p>
    <w:p>
      <w:pPr>
        <w:spacing w:line="400" w:lineRule="exact"/>
        <w:rPr>
          <w:rFonts w:ascii="宋体" w:hAnsi="宋体"/>
          <w:bCs/>
          <w:color w:val="auto"/>
          <w:szCs w:val="21"/>
          <w:highlight w:val="none"/>
        </w:rPr>
      </w:pPr>
      <w:r>
        <w:rPr>
          <w:rFonts w:hint="eastAsia" w:ascii="宋体" w:hAnsi="宋体"/>
          <w:bCs/>
          <w:color w:val="auto"/>
          <w:szCs w:val="21"/>
          <w:highlight w:val="none"/>
        </w:rPr>
        <w:t>供应商提交的质疑函需一式三份。供应商为自然人的，应当由本人签字；供应商为法人或者其他组织的，应当由法定代表人、主要负责人，或者其授权代表签字或者盖章，并加盖公章。</w:t>
      </w:r>
    </w:p>
    <w:p>
      <w:pPr>
        <w:spacing w:line="400" w:lineRule="exact"/>
        <w:rPr>
          <w:rFonts w:ascii="宋体" w:hAnsi="宋体"/>
          <w:bCs/>
          <w:color w:val="auto"/>
          <w:szCs w:val="21"/>
          <w:highlight w:val="none"/>
        </w:rPr>
      </w:pPr>
      <w:r>
        <w:rPr>
          <w:rFonts w:hint="eastAsia" w:ascii="宋体" w:hAnsi="宋体"/>
          <w:bCs/>
          <w:color w:val="auto"/>
          <w:szCs w:val="21"/>
          <w:highlight w:val="none"/>
        </w:rPr>
        <w:t>质疑函格式和内容须符合财政部《质疑函范本》要求，供应商可到中国政府采购网自行下载财政部《质疑函范本》。</w:t>
      </w:r>
    </w:p>
    <w:p>
      <w:pPr>
        <w:spacing w:line="400" w:lineRule="exact"/>
        <w:rPr>
          <w:rFonts w:ascii="宋体" w:hAnsi="宋体"/>
          <w:bCs/>
          <w:color w:val="auto"/>
          <w:szCs w:val="21"/>
          <w:highlight w:val="none"/>
        </w:rPr>
      </w:pPr>
      <w:r>
        <w:rPr>
          <w:rFonts w:hint="eastAsia" w:ascii="宋体" w:hAnsi="宋体"/>
          <w:b/>
          <w:color w:val="auto"/>
          <w:szCs w:val="21"/>
          <w:highlight w:val="none"/>
        </w:rPr>
        <w:t>32.2.4</w:t>
      </w:r>
      <w:r>
        <w:rPr>
          <w:rFonts w:hint="eastAsia" w:ascii="宋体" w:hAnsi="宋体"/>
          <w:bCs/>
          <w:color w:val="auto"/>
          <w:szCs w:val="21"/>
          <w:highlight w:val="none"/>
        </w:rPr>
        <w:t>采购人或者采购代理机构应当在收到供应商的书面质疑后七个工作日内作出答复，并以书面形式通知质疑供应商和其他与质疑处理结果有利害关系的政府采购当事人，但答复的内容不得涉及商业秘密。</w:t>
      </w:r>
    </w:p>
    <w:p>
      <w:pPr>
        <w:spacing w:line="400" w:lineRule="exact"/>
        <w:rPr>
          <w:rFonts w:ascii="宋体" w:hAnsi="宋体"/>
          <w:bCs/>
          <w:color w:val="auto"/>
          <w:szCs w:val="21"/>
          <w:highlight w:val="none"/>
        </w:rPr>
      </w:pPr>
      <w:r>
        <w:rPr>
          <w:rFonts w:hint="eastAsia" w:ascii="宋体" w:hAnsi="宋体"/>
          <w:b/>
          <w:color w:val="auto"/>
          <w:szCs w:val="21"/>
          <w:highlight w:val="none"/>
        </w:rPr>
        <w:t>32.2.5</w:t>
      </w:r>
      <w:r>
        <w:rPr>
          <w:rFonts w:hint="eastAsia" w:ascii="宋体" w:hAnsi="宋体"/>
          <w:bCs/>
          <w:color w:val="auto"/>
          <w:szCs w:val="21"/>
          <w:highlight w:val="none"/>
        </w:rPr>
        <w:t>询问或者质疑事项可能影响采购结果的，采购人应当暂停签订合同，已经签订合同的，应当中止履行合同。</w:t>
      </w:r>
    </w:p>
    <w:p>
      <w:pPr>
        <w:spacing w:line="400" w:lineRule="exact"/>
        <w:rPr>
          <w:rFonts w:ascii="宋体" w:hAnsi="宋体"/>
          <w:b/>
          <w:color w:val="auto"/>
          <w:szCs w:val="21"/>
          <w:highlight w:val="none"/>
        </w:rPr>
      </w:pPr>
      <w:r>
        <w:rPr>
          <w:rFonts w:hint="eastAsia" w:ascii="宋体" w:hAnsi="宋体"/>
          <w:b/>
          <w:color w:val="auto"/>
          <w:szCs w:val="21"/>
          <w:highlight w:val="none"/>
        </w:rPr>
        <w:t>32.3 投诉</w:t>
      </w:r>
    </w:p>
    <w:p>
      <w:pPr>
        <w:spacing w:line="400" w:lineRule="exact"/>
        <w:rPr>
          <w:rFonts w:ascii="宋体" w:hAnsi="宋体"/>
          <w:bCs/>
          <w:color w:val="auto"/>
          <w:szCs w:val="21"/>
          <w:highlight w:val="none"/>
        </w:rPr>
      </w:pPr>
      <w:r>
        <w:rPr>
          <w:rFonts w:hint="eastAsia" w:ascii="宋体" w:hAnsi="宋体"/>
          <w:b/>
          <w:color w:val="auto"/>
          <w:szCs w:val="21"/>
          <w:highlight w:val="none"/>
        </w:rPr>
        <w:t>32.3.1</w:t>
      </w:r>
      <w:r>
        <w:rPr>
          <w:rFonts w:hint="eastAsia" w:ascii="宋体" w:hAnsi="宋体"/>
          <w:bCs/>
          <w:color w:val="auto"/>
          <w:szCs w:val="21"/>
          <w:highlight w:val="none"/>
        </w:rPr>
        <w:t>质疑供应商对采购人、采购代理机构的答复不满意或者采购人、采购代理机构未在规定的时间内作出答复的，可以在答复期满后十五个工作日内向同级政府采购监督管理部门提出投诉。</w:t>
      </w:r>
      <w:r>
        <w:rPr>
          <w:rFonts w:hint="eastAsia" w:ascii="宋体" w:hAnsi="宋体"/>
          <w:color w:val="auto"/>
          <w:szCs w:val="21"/>
          <w:highlight w:val="none"/>
        </w:rPr>
        <w:t>投诉函格式和内容须符合财政部《投诉函范本》要求，供应商可到中国政府采购网自行下载财政部《投诉函范本》。</w:t>
      </w:r>
    </w:p>
    <w:p>
      <w:pPr>
        <w:spacing w:line="400" w:lineRule="exact"/>
        <w:rPr>
          <w:rFonts w:ascii="宋体" w:hAnsi="宋体"/>
          <w:bCs/>
          <w:color w:val="auto"/>
          <w:szCs w:val="21"/>
          <w:highlight w:val="none"/>
        </w:rPr>
      </w:pPr>
      <w:r>
        <w:rPr>
          <w:rFonts w:hint="eastAsia" w:ascii="宋体" w:hAnsi="宋体"/>
          <w:b/>
          <w:color w:val="auto"/>
          <w:szCs w:val="21"/>
          <w:highlight w:val="none"/>
        </w:rPr>
        <w:t>32.3.2</w:t>
      </w:r>
      <w:r>
        <w:rPr>
          <w:rFonts w:hint="eastAsia" w:ascii="宋体" w:hAnsi="宋体"/>
          <w:bCs/>
          <w:color w:val="auto"/>
          <w:szCs w:val="21"/>
          <w:highlight w:val="none"/>
        </w:rPr>
        <w:t>供应商投诉的事项不得超出已质疑事项的范围，基于质疑答复内容提出的投诉事项除外。</w:t>
      </w:r>
    </w:p>
    <w:p>
      <w:pPr>
        <w:spacing w:line="400" w:lineRule="exact"/>
        <w:rPr>
          <w:rFonts w:ascii="宋体" w:hAnsi="宋体"/>
          <w:bCs/>
          <w:color w:val="auto"/>
          <w:szCs w:val="21"/>
          <w:highlight w:val="none"/>
        </w:rPr>
      </w:pPr>
      <w:r>
        <w:rPr>
          <w:rFonts w:hint="eastAsia" w:ascii="宋体" w:hAnsi="宋体"/>
          <w:b/>
          <w:color w:val="auto"/>
          <w:szCs w:val="21"/>
          <w:highlight w:val="none"/>
        </w:rPr>
        <w:t>32.3.3</w:t>
      </w:r>
      <w:r>
        <w:rPr>
          <w:rFonts w:hint="eastAsia" w:ascii="宋体" w:hAnsi="宋体"/>
          <w:bCs/>
          <w:color w:val="auto"/>
          <w:szCs w:val="21"/>
          <w:highlight w:val="none"/>
        </w:rPr>
        <w:t>供应商投诉应当有明确的请求和必要的证明材料。</w:t>
      </w:r>
    </w:p>
    <w:p>
      <w:pPr>
        <w:spacing w:line="400" w:lineRule="exact"/>
        <w:rPr>
          <w:rFonts w:ascii="宋体" w:hAnsi="宋体"/>
          <w:bCs/>
          <w:color w:val="auto"/>
          <w:szCs w:val="21"/>
          <w:highlight w:val="none"/>
        </w:rPr>
      </w:pPr>
      <w:r>
        <w:rPr>
          <w:rFonts w:hint="eastAsia" w:ascii="宋体" w:hAnsi="宋体"/>
          <w:b/>
          <w:color w:val="auto"/>
          <w:szCs w:val="21"/>
          <w:highlight w:val="none"/>
        </w:rPr>
        <w:t>32.3.4</w:t>
      </w:r>
      <w:r>
        <w:rPr>
          <w:rFonts w:hint="eastAsia" w:ascii="宋体" w:hAnsi="宋体"/>
          <w:bCs/>
          <w:color w:val="auto"/>
          <w:szCs w:val="21"/>
          <w:highlight w:val="none"/>
        </w:rPr>
        <w:t xml:space="preserve"> 以联合体形式参加政府采购活动的，其投诉应当由组成联合体的所有供应商共同提出。</w:t>
      </w:r>
    </w:p>
    <w:p>
      <w:pPr>
        <w:spacing w:line="440" w:lineRule="exact"/>
        <w:ind w:firstLine="105" w:firstLineChars="50"/>
        <w:rPr>
          <w:rFonts w:ascii="宋体" w:hAnsi="宋体"/>
          <w:color w:val="auto"/>
          <w:szCs w:val="21"/>
          <w:highlight w:val="none"/>
        </w:rPr>
      </w:pPr>
    </w:p>
    <w:p>
      <w:pPr>
        <w:spacing w:line="440" w:lineRule="exact"/>
        <w:rPr>
          <w:rFonts w:ascii="宋体" w:hAnsi="宋体"/>
          <w:color w:val="auto"/>
          <w:szCs w:val="21"/>
          <w:highlight w:val="none"/>
        </w:rPr>
      </w:pPr>
      <w:r>
        <w:rPr>
          <w:rFonts w:hint="eastAsia" w:ascii="宋体" w:hAnsi="宋体"/>
          <w:b/>
          <w:color w:val="auto"/>
          <w:szCs w:val="21"/>
          <w:highlight w:val="none"/>
        </w:rPr>
        <w:t>33.联合体规定</w:t>
      </w:r>
    </w:p>
    <w:p>
      <w:pPr>
        <w:spacing w:line="440" w:lineRule="exact"/>
        <w:rPr>
          <w:rFonts w:ascii="宋体" w:hAnsi="宋体"/>
          <w:color w:val="auto"/>
          <w:szCs w:val="21"/>
          <w:highlight w:val="none"/>
        </w:rPr>
      </w:pPr>
      <w:r>
        <w:rPr>
          <w:rFonts w:hint="eastAsia" w:ascii="宋体" w:hAnsi="宋体"/>
          <w:b/>
          <w:color w:val="auto"/>
          <w:szCs w:val="21"/>
          <w:highlight w:val="none"/>
        </w:rPr>
        <w:t>33.1</w:t>
      </w:r>
      <w:r>
        <w:rPr>
          <w:rFonts w:hint="eastAsia" w:ascii="宋体" w:hAnsi="宋体"/>
          <w:color w:val="auto"/>
          <w:szCs w:val="21"/>
          <w:highlight w:val="none"/>
        </w:rPr>
        <w:t xml:space="preserve">  两个以上的自然人、法人或者其他组织可以组成一个联合体，以一个投标人的身份共同参加政府采购。以联合体形式进行政府采购的，参加联合体的供应商均应当具备招标文件规定的资格条件，并应当向采购人提交联合协议，载明联合体各方承担的工作和义务。联合体各方应当共同与采购人签订采购合同，就采购合同约定的事项对采购人承担连带责任。</w:t>
      </w:r>
    </w:p>
    <w:p>
      <w:pPr>
        <w:spacing w:line="440" w:lineRule="exact"/>
        <w:rPr>
          <w:rFonts w:ascii="宋体" w:hAnsi="宋体"/>
          <w:color w:val="auto"/>
          <w:szCs w:val="21"/>
          <w:highlight w:val="none"/>
        </w:rPr>
      </w:pPr>
      <w:r>
        <w:rPr>
          <w:rFonts w:hint="eastAsia" w:ascii="宋体" w:hAnsi="宋体"/>
          <w:b/>
          <w:color w:val="auto"/>
          <w:szCs w:val="21"/>
          <w:highlight w:val="none"/>
        </w:rPr>
        <w:t>33.2</w:t>
      </w:r>
      <w:r>
        <w:rPr>
          <w:rFonts w:hint="eastAsia" w:ascii="宋体" w:hAnsi="宋体"/>
          <w:color w:val="auto"/>
          <w:szCs w:val="21"/>
          <w:highlight w:val="none"/>
        </w:rPr>
        <w:t xml:space="preserve">  联合体中有同类资质的投标人按照联合体分工承担相同工作的，按照资质等级较低的投标人认定资质等级。</w:t>
      </w:r>
    </w:p>
    <w:p>
      <w:pPr>
        <w:spacing w:line="440" w:lineRule="exact"/>
        <w:rPr>
          <w:rFonts w:ascii="宋体" w:hAnsi="宋体"/>
          <w:color w:val="auto"/>
          <w:szCs w:val="21"/>
          <w:highlight w:val="none"/>
        </w:rPr>
      </w:pPr>
      <w:r>
        <w:rPr>
          <w:rFonts w:hint="eastAsia" w:ascii="宋体" w:hAnsi="宋体"/>
          <w:b/>
          <w:color w:val="auto"/>
          <w:szCs w:val="21"/>
          <w:highlight w:val="none"/>
        </w:rPr>
        <w:t xml:space="preserve">33.3 </w:t>
      </w:r>
      <w:r>
        <w:rPr>
          <w:rFonts w:hint="eastAsia" w:ascii="宋体" w:hAnsi="宋体"/>
          <w:color w:val="auto"/>
          <w:szCs w:val="21"/>
          <w:highlight w:val="none"/>
        </w:rPr>
        <w:t xml:space="preserve"> 以联合体形式参加政府采购活动的，联合体各方不得再单独参加或者与其他投标人另外组成联合体参加同一标项号的政府采购活动。</w:t>
      </w:r>
    </w:p>
    <w:p>
      <w:pPr>
        <w:spacing w:line="440" w:lineRule="exact"/>
        <w:rPr>
          <w:rFonts w:ascii="宋体" w:hAnsi="宋体"/>
          <w:color w:val="auto"/>
          <w:szCs w:val="21"/>
          <w:highlight w:val="none"/>
        </w:rPr>
      </w:pPr>
      <w:r>
        <w:rPr>
          <w:rFonts w:hint="eastAsia" w:ascii="宋体" w:hAnsi="宋体"/>
          <w:b/>
          <w:bCs/>
          <w:color w:val="auto"/>
          <w:szCs w:val="21"/>
          <w:highlight w:val="none"/>
        </w:rPr>
        <w:t xml:space="preserve">33.4 </w:t>
      </w:r>
      <w:r>
        <w:rPr>
          <w:rFonts w:hint="eastAsia" w:ascii="宋体" w:hAnsi="宋体"/>
          <w:color w:val="auto"/>
          <w:szCs w:val="21"/>
          <w:highlight w:val="none"/>
        </w:rPr>
        <w:t>联合体协议中仅约定由联合体主办单位或成员单位中某一方与采购人签订合同的，或联合体协议中仅约定由联合体主办单位或成员单位中某一方就采购合同约定的事项对采购人承担责任的，视为联合体协议不成立，该联合体的投标文件将被作无效处理。</w:t>
      </w:r>
    </w:p>
    <w:p>
      <w:pPr>
        <w:spacing w:line="440" w:lineRule="exact"/>
        <w:rPr>
          <w:rFonts w:ascii="宋体" w:hAnsi="宋体"/>
          <w:szCs w:val="21"/>
          <w:highlight w:val="none"/>
        </w:rPr>
      </w:pPr>
    </w:p>
    <w:bookmarkEnd w:id="53"/>
    <w:bookmarkEnd w:id="54"/>
    <w:bookmarkEnd w:id="55"/>
    <w:bookmarkEnd w:id="56"/>
    <w:bookmarkEnd w:id="57"/>
    <w:bookmarkEnd w:id="58"/>
    <w:bookmarkEnd w:id="59"/>
    <w:bookmarkEnd w:id="60"/>
    <w:p>
      <w:pPr>
        <w:pStyle w:val="19"/>
        <w:spacing w:line="360" w:lineRule="auto"/>
        <w:ind w:firstLine="0"/>
        <w:rPr>
          <w:rFonts w:ascii="宋体" w:hAnsi="宋体" w:cs="宋体"/>
          <w:sz w:val="21"/>
          <w:szCs w:val="21"/>
          <w:highlight w:val="none"/>
        </w:rPr>
        <w:sectPr>
          <w:headerReference r:id="rId13" w:type="default"/>
          <w:pgSz w:w="11907" w:h="16840"/>
          <w:pgMar w:top="1418" w:right="1701" w:bottom="1418" w:left="1701" w:header="720" w:footer="720" w:gutter="0"/>
          <w:cols w:space="720" w:num="1"/>
          <w:docGrid w:type="lines" w:linePitch="285" w:charSpace="0"/>
        </w:sectPr>
      </w:pPr>
      <w:bookmarkStart w:id="127" w:name="_Toc298230959"/>
    </w:p>
    <w:p>
      <w:pPr>
        <w:widowControl/>
        <w:jc w:val="left"/>
        <w:rPr>
          <w:rFonts w:ascii="宋体" w:hAnsi="宋体"/>
          <w:szCs w:val="21"/>
          <w:highlight w:val="none"/>
        </w:rPr>
      </w:pPr>
    </w:p>
    <w:p>
      <w:pPr>
        <w:rPr>
          <w:rFonts w:hint="eastAsia" w:ascii="宋体" w:hAnsi="宋体"/>
          <w:sz w:val="32"/>
          <w:szCs w:val="32"/>
          <w:highlight w:val="none"/>
        </w:rPr>
      </w:pPr>
      <w:r>
        <w:rPr>
          <w:rFonts w:hint="eastAsia" w:ascii="宋体" w:hAnsi="宋体"/>
          <w:sz w:val="32"/>
          <w:szCs w:val="32"/>
          <w:highlight w:val="none"/>
        </w:rPr>
        <w:br w:type="page"/>
      </w:r>
    </w:p>
    <w:p>
      <w:pPr>
        <w:pStyle w:val="4"/>
        <w:spacing w:beforeLines="0" w:afterLines="0" w:line="360" w:lineRule="auto"/>
        <w:rPr>
          <w:rFonts w:ascii="宋体" w:hAnsi="宋体"/>
          <w:sz w:val="32"/>
          <w:szCs w:val="32"/>
          <w:highlight w:val="none"/>
        </w:rPr>
      </w:pPr>
      <w:bookmarkStart w:id="128" w:name="_Toc9650"/>
      <w:r>
        <w:rPr>
          <w:rFonts w:hint="eastAsia" w:ascii="宋体" w:hAnsi="宋体"/>
          <w:sz w:val="32"/>
          <w:szCs w:val="32"/>
          <w:highlight w:val="none"/>
        </w:rPr>
        <w:t>第</w:t>
      </w:r>
      <w:r>
        <w:rPr>
          <w:rFonts w:hint="eastAsia" w:ascii="宋体" w:hAnsi="宋体"/>
          <w:sz w:val="32"/>
          <w:szCs w:val="32"/>
          <w:highlight w:val="none"/>
          <w:lang w:val="en-US" w:eastAsia="zh-CN"/>
        </w:rPr>
        <w:t>五</w:t>
      </w:r>
      <w:r>
        <w:rPr>
          <w:rFonts w:hint="eastAsia" w:ascii="宋体" w:hAnsi="宋体"/>
          <w:sz w:val="32"/>
          <w:szCs w:val="32"/>
          <w:highlight w:val="none"/>
        </w:rPr>
        <w:t>部分  评标办法</w:t>
      </w:r>
      <w:bookmarkEnd w:id="127"/>
      <w:bookmarkEnd w:id="128"/>
    </w:p>
    <w:p>
      <w:pPr>
        <w:tabs>
          <w:tab w:val="left" w:pos="0"/>
          <w:tab w:val="left" w:pos="723"/>
        </w:tabs>
        <w:spacing w:line="360" w:lineRule="auto"/>
        <w:rPr>
          <w:rFonts w:ascii="宋体" w:hAnsi="宋体"/>
          <w:b/>
          <w:szCs w:val="21"/>
          <w:highlight w:val="none"/>
        </w:rPr>
      </w:pPr>
      <w:r>
        <w:rPr>
          <w:rFonts w:hint="eastAsia" w:ascii="宋体" w:hAnsi="宋体"/>
          <w:b/>
          <w:szCs w:val="21"/>
          <w:highlight w:val="none"/>
        </w:rPr>
        <w:t>一、总则：</w:t>
      </w:r>
    </w:p>
    <w:p>
      <w:pPr>
        <w:spacing w:line="360" w:lineRule="auto"/>
        <w:ind w:firstLine="420" w:firstLineChars="200"/>
        <w:rPr>
          <w:rFonts w:ascii="宋体" w:hAnsi="宋体" w:cs="宋体"/>
          <w:szCs w:val="21"/>
          <w:highlight w:val="none"/>
        </w:rPr>
      </w:pPr>
      <w:r>
        <w:rPr>
          <w:rFonts w:hint="eastAsia" w:ascii="宋体" w:hAnsi="宋体"/>
          <w:szCs w:val="21"/>
          <w:highlight w:val="none"/>
        </w:rPr>
        <w:t>1、本办法严格遵照《中华人民共和国政府采购法》《中华人民共和国政府采购法实施条例》《政府采购货物和服务招标投标管理办法》（87号令），结合项目所在地有关政府采购的规定和项目的实际情况制定。</w:t>
      </w:r>
      <w:r>
        <w:rPr>
          <w:rFonts w:hint="eastAsia" w:ascii="宋体" w:hAnsi="宋体" w:cs="宋体"/>
          <w:szCs w:val="21"/>
          <w:highlight w:val="none"/>
        </w:rPr>
        <w:t>本评标标准是对“投标人须知”相关条款的具体表述或补充，如有矛盾，应以本办法为准。</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2、本项目评标采用综合评分法。</w:t>
      </w:r>
    </w:p>
    <w:p>
      <w:pPr>
        <w:spacing w:line="360" w:lineRule="auto"/>
        <w:ind w:firstLine="420" w:firstLineChars="200"/>
        <w:rPr>
          <w:highlight w:val="none"/>
        </w:rPr>
      </w:pPr>
      <w:r>
        <w:rPr>
          <w:rFonts w:hint="eastAsia" w:ascii="宋体" w:hAnsi="宋体" w:cs="宋体"/>
          <w:szCs w:val="21"/>
          <w:highlight w:val="none"/>
        </w:rPr>
        <w:t>3、本次采购为非专门面向中小企业，本次评标将对《中小企业声明函》满足招标文件要求的小微企业的价格按本办法中规定的比例进行扣除，用扣除后的价格参与评审。价格扣除只用于评审过程，如中标，中标价格仍按照其投标价格进行公示。</w:t>
      </w:r>
    </w:p>
    <w:p>
      <w:pPr>
        <w:tabs>
          <w:tab w:val="left" w:pos="0"/>
          <w:tab w:val="left" w:pos="723"/>
        </w:tabs>
        <w:spacing w:line="360" w:lineRule="auto"/>
        <w:rPr>
          <w:rFonts w:ascii="宋体" w:hAnsi="宋体"/>
          <w:b/>
          <w:szCs w:val="21"/>
          <w:highlight w:val="none"/>
        </w:rPr>
      </w:pPr>
      <w:r>
        <w:rPr>
          <w:rFonts w:hint="eastAsia" w:ascii="宋体" w:hAnsi="宋体"/>
          <w:b/>
          <w:szCs w:val="21"/>
          <w:highlight w:val="none"/>
        </w:rPr>
        <w:t>二、评标组织</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评标委员会：采购人和采购代理机构根据采购项目的内容和特点，按国家相关规定组建评标委员会。评标委员会由采购人代表、技术、经济方面专家等人员组成。</w:t>
      </w:r>
    </w:p>
    <w:p>
      <w:pPr>
        <w:widowControl/>
        <w:tabs>
          <w:tab w:val="left" w:pos="0"/>
          <w:tab w:val="left" w:pos="723"/>
        </w:tabs>
        <w:spacing w:line="360" w:lineRule="auto"/>
        <w:jc w:val="left"/>
        <w:rPr>
          <w:rFonts w:ascii="宋体" w:hAnsi="宋体"/>
          <w:b/>
          <w:szCs w:val="21"/>
          <w:highlight w:val="none"/>
        </w:rPr>
      </w:pPr>
      <w:r>
        <w:rPr>
          <w:rFonts w:hint="eastAsia" w:ascii="宋体" w:hAnsi="宋体"/>
          <w:b/>
          <w:szCs w:val="21"/>
          <w:highlight w:val="none"/>
        </w:rPr>
        <w:t>三、评标程序</w:t>
      </w:r>
    </w:p>
    <w:p>
      <w:pPr>
        <w:spacing w:line="360" w:lineRule="auto"/>
        <w:rPr>
          <w:rFonts w:ascii="宋体" w:hAnsi="宋体"/>
          <w:szCs w:val="21"/>
          <w:highlight w:val="none"/>
        </w:rPr>
      </w:pPr>
      <w:r>
        <w:rPr>
          <w:rFonts w:hint="eastAsia" w:ascii="宋体" w:hAnsi="宋体"/>
          <w:szCs w:val="21"/>
          <w:highlight w:val="none"/>
        </w:rPr>
        <w:t>1．资格审查：由采购人或代理机构对投标人的资格进行审查。在资格审查时，如发现有不满足下列情形之一的，将被视为无效投标文件。</w:t>
      </w:r>
    </w:p>
    <w:tbl>
      <w:tblPr>
        <w:tblStyle w:val="3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3"/>
        <w:gridCol w:w="6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523" w:type="dxa"/>
            <w:vAlign w:val="center"/>
          </w:tcPr>
          <w:p>
            <w:pPr>
              <w:spacing w:beforeLines="50" w:line="360" w:lineRule="auto"/>
              <w:jc w:val="center"/>
              <w:rPr>
                <w:rFonts w:ascii="宋体" w:hAnsi="宋体" w:cs="宋体"/>
                <w:b/>
                <w:szCs w:val="21"/>
                <w:highlight w:val="none"/>
              </w:rPr>
            </w:pPr>
            <w:r>
              <w:rPr>
                <w:rFonts w:hint="eastAsia" w:ascii="宋体" w:hAnsi="宋体" w:cs="宋体"/>
                <w:b/>
                <w:szCs w:val="21"/>
                <w:highlight w:val="none"/>
              </w:rPr>
              <w:t>审查类别</w:t>
            </w:r>
          </w:p>
        </w:tc>
        <w:tc>
          <w:tcPr>
            <w:tcW w:w="6805" w:type="dxa"/>
            <w:vAlign w:val="center"/>
          </w:tcPr>
          <w:p>
            <w:pPr>
              <w:spacing w:beforeLines="50" w:line="360" w:lineRule="auto"/>
              <w:jc w:val="center"/>
              <w:rPr>
                <w:rFonts w:ascii="宋体" w:hAnsi="宋体" w:cs="宋体"/>
                <w:b/>
                <w:szCs w:val="21"/>
                <w:highlight w:val="none"/>
              </w:rPr>
            </w:pPr>
            <w:r>
              <w:rPr>
                <w:rFonts w:hint="eastAsia" w:ascii="宋体" w:hAnsi="宋体" w:cs="宋体"/>
                <w:b/>
                <w:szCs w:val="21"/>
                <w:highlight w:val="none"/>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 w:hRule="atLeast"/>
        </w:trPr>
        <w:tc>
          <w:tcPr>
            <w:tcW w:w="1523" w:type="dxa"/>
            <w:vMerge w:val="restart"/>
            <w:vAlign w:val="center"/>
          </w:tcPr>
          <w:p>
            <w:pPr>
              <w:spacing w:beforeLines="50" w:line="360" w:lineRule="auto"/>
              <w:jc w:val="center"/>
              <w:rPr>
                <w:rFonts w:ascii="宋体" w:hAnsi="宋体" w:cs="宋体"/>
                <w:szCs w:val="21"/>
                <w:highlight w:val="none"/>
              </w:rPr>
            </w:pPr>
            <w:r>
              <w:rPr>
                <w:rFonts w:hint="eastAsia" w:ascii="宋体" w:hAnsi="宋体" w:cs="宋体"/>
                <w:szCs w:val="21"/>
                <w:highlight w:val="none"/>
              </w:rPr>
              <w:t>资格条件审查</w:t>
            </w:r>
          </w:p>
        </w:tc>
        <w:tc>
          <w:tcPr>
            <w:tcW w:w="6805" w:type="dxa"/>
          </w:tcPr>
          <w:p>
            <w:pPr>
              <w:widowControl/>
              <w:numPr>
                <w:ilvl w:val="0"/>
                <w:numId w:val="1"/>
              </w:numPr>
              <w:spacing w:beforeLines="50" w:line="360" w:lineRule="auto"/>
              <w:jc w:val="left"/>
              <w:rPr>
                <w:rFonts w:ascii="宋体" w:hAnsi="宋体" w:cs="宋体"/>
                <w:highlight w:val="none"/>
              </w:rPr>
            </w:pPr>
            <w:r>
              <w:rPr>
                <w:rFonts w:hint="eastAsia" w:ascii="宋体" w:hAnsi="宋体" w:cs="宋体"/>
                <w:szCs w:val="21"/>
                <w:highlight w:val="none"/>
              </w:rPr>
              <w:t>满足《中华人民共和国政府采购法》第二十二条规定；未被“信用中国”（www.creditchina.gov.cn)、中国政府采购网（www.ccgp.gov.cn）列入失信被执行人、重大税收违法案件当事人名单、政府采购严重违法失信行为记录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523" w:type="dxa"/>
            <w:vMerge w:val="continue"/>
          </w:tcPr>
          <w:p>
            <w:pPr>
              <w:spacing w:beforeLines="50" w:line="360" w:lineRule="auto"/>
              <w:rPr>
                <w:rFonts w:ascii="宋体" w:hAnsi="宋体" w:cs="宋体"/>
                <w:szCs w:val="21"/>
                <w:highlight w:val="none"/>
              </w:rPr>
            </w:pPr>
          </w:p>
        </w:tc>
        <w:tc>
          <w:tcPr>
            <w:tcW w:w="6805" w:type="dxa"/>
          </w:tcPr>
          <w:p>
            <w:pPr>
              <w:widowControl/>
              <w:numPr>
                <w:ilvl w:val="0"/>
                <w:numId w:val="1"/>
              </w:numPr>
              <w:spacing w:beforeLines="50" w:line="360" w:lineRule="auto"/>
              <w:jc w:val="left"/>
              <w:rPr>
                <w:rFonts w:ascii="宋体" w:hAnsi="宋体" w:cs="宋体"/>
                <w:highlight w:val="none"/>
              </w:rPr>
            </w:pPr>
            <w:r>
              <w:rPr>
                <w:rFonts w:hint="eastAsia" w:ascii="宋体" w:hAnsi="宋体" w:cs="宋体"/>
                <w:szCs w:val="21"/>
                <w:highlight w:val="none"/>
              </w:rPr>
              <w:t>落实政府采购政策需满足的资格要求：</w:t>
            </w:r>
            <w:r>
              <w:rPr>
                <w:rFonts w:hint="eastAsia" w:ascii="宋体" w:hAnsi="宋体"/>
                <w:highlight w:val="none"/>
              </w:rPr>
              <w:t>无</w:t>
            </w:r>
            <w:r>
              <w:rPr>
                <w:rFonts w:hint="eastAsia" w:ascii="宋体" w:hAnsi="宋体" w:cs="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 w:hRule="atLeast"/>
        </w:trPr>
        <w:tc>
          <w:tcPr>
            <w:tcW w:w="1523" w:type="dxa"/>
            <w:vMerge w:val="continue"/>
          </w:tcPr>
          <w:p>
            <w:pPr>
              <w:spacing w:beforeLines="50" w:line="360" w:lineRule="auto"/>
              <w:rPr>
                <w:rFonts w:ascii="宋体" w:hAnsi="宋体" w:cs="宋体"/>
                <w:szCs w:val="21"/>
                <w:highlight w:val="none"/>
              </w:rPr>
            </w:pPr>
          </w:p>
        </w:tc>
        <w:tc>
          <w:tcPr>
            <w:tcW w:w="6805" w:type="dxa"/>
          </w:tcPr>
          <w:p>
            <w:pPr>
              <w:spacing w:beforeLines="50" w:line="360" w:lineRule="auto"/>
              <w:rPr>
                <w:highlight w:val="none"/>
              </w:rPr>
            </w:pPr>
            <w:r>
              <w:rPr>
                <w:rFonts w:hint="eastAsia" w:ascii="宋体" w:hAnsi="宋体" w:cs="宋体"/>
                <w:highlight w:val="none"/>
              </w:rPr>
              <w:t>（三）特定资格条件：投标人须具有经中国保险监督管理委员会批准，具有《中华人民共和国经营保险业务许可证》的保险公司或其分支机构；若联合体投标的，联合体各方均须具有经中国保险监督管理委员会批准，具有《中华人民共和国经营保险业务许可证》的保险公司或其分支机构。</w:t>
            </w:r>
          </w:p>
        </w:tc>
      </w:tr>
    </w:tbl>
    <w:p>
      <w:pPr>
        <w:spacing w:line="360" w:lineRule="auto"/>
        <w:rPr>
          <w:rFonts w:ascii="宋体" w:hAnsi="宋体"/>
          <w:szCs w:val="21"/>
          <w:highlight w:val="none"/>
        </w:rPr>
      </w:pPr>
    </w:p>
    <w:p>
      <w:pPr>
        <w:spacing w:line="360" w:lineRule="auto"/>
        <w:rPr>
          <w:rFonts w:ascii="宋体" w:hAnsi="宋体" w:cs="宋体"/>
          <w:kern w:val="0"/>
          <w:szCs w:val="21"/>
          <w:highlight w:val="none"/>
        </w:rPr>
      </w:pPr>
      <w:r>
        <w:rPr>
          <w:rFonts w:hint="eastAsia" w:ascii="宋体" w:hAnsi="宋体"/>
          <w:szCs w:val="21"/>
          <w:highlight w:val="none"/>
        </w:rPr>
        <w:t>2．符合性检查：</w:t>
      </w:r>
      <w:r>
        <w:rPr>
          <w:rFonts w:hint="eastAsia" w:ascii="宋体" w:hAnsi="宋体" w:cs="宋体"/>
          <w:kern w:val="0"/>
          <w:szCs w:val="21"/>
          <w:highlight w:val="none"/>
        </w:rPr>
        <w:t>评标委员会应当对符合资格审查的投标人的投标文件进行符合性审查，以确定其是否满足招标文件的实质性要求。在符合性审查时，如发现有不满足下列情形之一的，将被视为无效投标文件。</w:t>
      </w:r>
    </w:p>
    <w:tbl>
      <w:tblPr>
        <w:tblStyle w:val="3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6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blHeader/>
        </w:trPr>
        <w:tc>
          <w:tcPr>
            <w:tcW w:w="1526" w:type="dxa"/>
            <w:vAlign w:val="center"/>
          </w:tcPr>
          <w:p>
            <w:pPr>
              <w:spacing w:beforeLines="50" w:line="360" w:lineRule="auto"/>
              <w:jc w:val="center"/>
              <w:rPr>
                <w:rFonts w:ascii="宋体" w:hAnsi="宋体" w:cs="宋体"/>
                <w:b/>
                <w:szCs w:val="21"/>
                <w:highlight w:val="none"/>
              </w:rPr>
            </w:pPr>
            <w:r>
              <w:rPr>
                <w:rFonts w:hint="eastAsia" w:ascii="宋体" w:hAnsi="宋体" w:cs="宋体"/>
                <w:b/>
                <w:szCs w:val="21"/>
                <w:highlight w:val="none"/>
              </w:rPr>
              <w:t>审查类别</w:t>
            </w:r>
          </w:p>
        </w:tc>
        <w:tc>
          <w:tcPr>
            <w:tcW w:w="6789" w:type="dxa"/>
            <w:vAlign w:val="center"/>
          </w:tcPr>
          <w:p>
            <w:pPr>
              <w:spacing w:beforeLines="50" w:line="360" w:lineRule="auto"/>
              <w:jc w:val="center"/>
              <w:rPr>
                <w:rFonts w:ascii="宋体" w:hAnsi="宋体" w:cs="宋体"/>
                <w:b/>
                <w:szCs w:val="21"/>
                <w:highlight w:val="none"/>
              </w:rPr>
            </w:pPr>
            <w:r>
              <w:rPr>
                <w:rFonts w:hint="eastAsia" w:ascii="宋体" w:hAnsi="宋体" w:cs="宋体"/>
                <w:b/>
                <w:szCs w:val="21"/>
                <w:highlight w:val="none"/>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restart"/>
            <w:vAlign w:val="center"/>
          </w:tcPr>
          <w:p>
            <w:pPr>
              <w:spacing w:beforeLines="50" w:line="360" w:lineRule="auto"/>
              <w:jc w:val="center"/>
              <w:rPr>
                <w:rFonts w:ascii="宋体" w:hAnsi="宋体" w:cs="宋体"/>
                <w:szCs w:val="21"/>
                <w:highlight w:val="none"/>
              </w:rPr>
            </w:pPr>
            <w:r>
              <w:rPr>
                <w:rFonts w:hint="eastAsia" w:ascii="宋体" w:hAnsi="宋体" w:cs="宋体"/>
                <w:szCs w:val="21"/>
                <w:highlight w:val="none"/>
              </w:rPr>
              <w:t>符合性审查</w:t>
            </w:r>
          </w:p>
          <w:p>
            <w:pPr>
              <w:spacing w:beforeLines="50" w:line="360" w:lineRule="auto"/>
              <w:jc w:val="center"/>
              <w:rPr>
                <w:rFonts w:ascii="宋体" w:hAnsi="宋体" w:cs="宋体"/>
                <w:szCs w:val="21"/>
                <w:highlight w:val="none"/>
              </w:rPr>
            </w:pPr>
            <w:r>
              <w:rPr>
                <w:rFonts w:hint="eastAsia" w:ascii="宋体" w:hAnsi="宋体" w:cs="宋体"/>
                <w:szCs w:val="21"/>
                <w:highlight w:val="none"/>
              </w:rPr>
              <w:t>（商务技术文件）</w:t>
            </w:r>
          </w:p>
        </w:tc>
        <w:tc>
          <w:tcPr>
            <w:tcW w:w="6789" w:type="dxa"/>
            <w:vAlign w:val="center"/>
          </w:tcPr>
          <w:p>
            <w:pPr>
              <w:tabs>
                <w:tab w:val="left" w:pos="612"/>
              </w:tabs>
              <w:spacing w:beforeLines="50" w:line="360" w:lineRule="auto"/>
              <w:rPr>
                <w:rFonts w:ascii="宋体" w:hAnsi="宋体" w:cs="宋体"/>
                <w:szCs w:val="21"/>
                <w:highlight w:val="none"/>
              </w:rPr>
            </w:pPr>
            <w:r>
              <w:rPr>
                <w:rFonts w:hint="eastAsia" w:ascii="宋体" w:hAnsi="宋体" w:cs="宋体"/>
                <w:szCs w:val="21"/>
                <w:highlight w:val="none"/>
              </w:rPr>
              <w:t>（一）按照采购文件规定要求签署或盖章；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vAlign w:val="center"/>
          </w:tcPr>
          <w:p>
            <w:pPr>
              <w:spacing w:beforeLines="50" w:line="360" w:lineRule="auto"/>
              <w:jc w:val="center"/>
              <w:rPr>
                <w:rFonts w:ascii="宋体" w:hAnsi="宋体" w:cs="宋体"/>
                <w:szCs w:val="21"/>
                <w:highlight w:val="none"/>
              </w:rPr>
            </w:pPr>
          </w:p>
        </w:tc>
        <w:tc>
          <w:tcPr>
            <w:tcW w:w="6789" w:type="dxa"/>
            <w:vAlign w:val="center"/>
          </w:tcPr>
          <w:p>
            <w:pPr>
              <w:tabs>
                <w:tab w:val="left" w:pos="612"/>
              </w:tabs>
              <w:spacing w:beforeLines="50" w:line="360" w:lineRule="auto"/>
              <w:rPr>
                <w:rFonts w:ascii="宋体" w:hAnsi="宋体" w:cs="宋体"/>
                <w:szCs w:val="21"/>
                <w:highlight w:val="none"/>
              </w:rPr>
            </w:pPr>
            <w:r>
              <w:rPr>
                <w:rFonts w:hint="eastAsia" w:ascii="宋体" w:hAnsi="宋体" w:cs="宋体"/>
                <w:szCs w:val="21"/>
                <w:highlight w:val="none"/>
              </w:rPr>
              <w:t>（二）投标文件有法定代表人签署本人姓名（或印盖本人姓名章），或签署人提供有效的法定代表人授权委托书且授权委托书填写项目齐全的；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vAlign w:val="center"/>
          </w:tcPr>
          <w:p>
            <w:pPr>
              <w:spacing w:beforeLines="50" w:line="360" w:lineRule="auto"/>
              <w:jc w:val="center"/>
              <w:rPr>
                <w:rFonts w:ascii="宋体" w:hAnsi="宋体" w:cs="宋体"/>
                <w:szCs w:val="21"/>
                <w:highlight w:val="none"/>
              </w:rPr>
            </w:pPr>
          </w:p>
        </w:tc>
        <w:tc>
          <w:tcPr>
            <w:tcW w:w="6789" w:type="dxa"/>
            <w:vAlign w:val="center"/>
          </w:tcPr>
          <w:p>
            <w:pPr>
              <w:tabs>
                <w:tab w:val="left" w:pos="612"/>
              </w:tabs>
              <w:spacing w:beforeLines="50" w:line="360" w:lineRule="auto"/>
              <w:rPr>
                <w:rFonts w:ascii="宋体" w:hAnsi="宋体" w:cs="宋体"/>
                <w:szCs w:val="21"/>
                <w:highlight w:val="none"/>
              </w:rPr>
            </w:pPr>
            <w:r>
              <w:rPr>
                <w:rFonts w:hint="eastAsia" w:ascii="宋体" w:hAnsi="宋体" w:cs="宋体"/>
                <w:szCs w:val="21"/>
                <w:highlight w:val="none"/>
              </w:rPr>
              <w:t>（三）投标文件项目齐全；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vAlign w:val="center"/>
          </w:tcPr>
          <w:p>
            <w:pPr>
              <w:spacing w:beforeLines="50" w:line="360" w:lineRule="auto"/>
              <w:jc w:val="center"/>
              <w:rPr>
                <w:rFonts w:ascii="宋体" w:hAnsi="宋体" w:cs="宋体"/>
                <w:szCs w:val="21"/>
                <w:highlight w:val="none"/>
              </w:rPr>
            </w:pPr>
          </w:p>
        </w:tc>
        <w:tc>
          <w:tcPr>
            <w:tcW w:w="6789" w:type="dxa"/>
            <w:vAlign w:val="center"/>
          </w:tcPr>
          <w:p>
            <w:pPr>
              <w:tabs>
                <w:tab w:val="left" w:pos="612"/>
              </w:tabs>
              <w:spacing w:beforeLines="50" w:line="360" w:lineRule="auto"/>
              <w:rPr>
                <w:rFonts w:ascii="宋体" w:hAnsi="宋体" w:cs="宋体"/>
                <w:kern w:val="0"/>
                <w:szCs w:val="21"/>
                <w:highlight w:val="none"/>
              </w:rPr>
            </w:pPr>
            <w:r>
              <w:rPr>
                <w:rFonts w:hint="eastAsia" w:ascii="宋体" w:hAnsi="宋体" w:cs="宋体"/>
                <w:szCs w:val="21"/>
                <w:highlight w:val="none"/>
              </w:rPr>
              <w:t>（四）投标文件标明的响应或偏离与事实相符且无虚假投标的；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vAlign w:val="center"/>
          </w:tcPr>
          <w:p>
            <w:pPr>
              <w:spacing w:beforeLines="50" w:line="360" w:lineRule="auto"/>
              <w:jc w:val="center"/>
              <w:rPr>
                <w:rFonts w:ascii="宋体" w:hAnsi="宋体" w:cs="宋体"/>
                <w:szCs w:val="21"/>
                <w:highlight w:val="none"/>
              </w:rPr>
            </w:pPr>
          </w:p>
        </w:tc>
        <w:tc>
          <w:tcPr>
            <w:tcW w:w="6789" w:type="dxa"/>
            <w:vAlign w:val="center"/>
          </w:tcPr>
          <w:p>
            <w:pPr>
              <w:tabs>
                <w:tab w:val="left" w:pos="612"/>
              </w:tabs>
              <w:spacing w:beforeLines="50" w:line="360" w:lineRule="auto"/>
              <w:rPr>
                <w:rFonts w:ascii="宋体" w:hAnsi="宋体" w:cs="宋体"/>
                <w:szCs w:val="21"/>
                <w:highlight w:val="none"/>
              </w:rPr>
            </w:pPr>
            <w:r>
              <w:rPr>
                <w:rFonts w:hint="eastAsia" w:ascii="宋体" w:hAnsi="宋体" w:cs="宋体"/>
                <w:szCs w:val="21"/>
                <w:highlight w:val="none"/>
              </w:rPr>
              <w:t>（五）投标文件的实质性内容使用中文表述且意思表述明确，前后无矛盾且使用计量单位符合采购文件要求的；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vAlign w:val="center"/>
          </w:tcPr>
          <w:p>
            <w:pPr>
              <w:spacing w:beforeLines="50" w:line="360" w:lineRule="auto"/>
              <w:jc w:val="center"/>
              <w:rPr>
                <w:rFonts w:ascii="宋体" w:hAnsi="宋体" w:cs="宋体"/>
                <w:szCs w:val="21"/>
                <w:highlight w:val="none"/>
              </w:rPr>
            </w:pPr>
          </w:p>
        </w:tc>
        <w:tc>
          <w:tcPr>
            <w:tcW w:w="6789" w:type="dxa"/>
            <w:vAlign w:val="center"/>
          </w:tcPr>
          <w:p>
            <w:pPr>
              <w:tabs>
                <w:tab w:val="left" w:pos="612"/>
              </w:tabs>
              <w:spacing w:beforeLines="50" w:line="360" w:lineRule="auto"/>
              <w:rPr>
                <w:rFonts w:ascii="宋体" w:hAnsi="宋体" w:cs="宋体"/>
                <w:szCs w:val="21"/>
                <w:highlight w:val="none"/>
              </w:rPr>
            </w:pPr>
            <w:r>
              <w:rPr>
                <w:rFonts w:hint="eastAsia" w:ascii="宋体" w:hAnsi="宋体" w:cs="宋体"/>
                <w:szCs w:val="21"/>
                <w:highlight w:val="none"/>
              </w:rPr>
              <w:t>（六）带“★”的条款满足采购文件要求、已实质性响应采购文件要求且投标文件无采购人不能接受的附加条件的；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vAlign w:val="center"/>
          </w:tcPr>
          <w:p>
            <w:pPr>
              <w:spacing w:beforeLines="50" w:line="360" w:lineRule="auto"/>
              <w:jc w:val="center"/>
              <w:rPr>
                <w:rFonts w:ascii="宋体" w:hAnsi="宋体" w:cs="宋体"/>
                <w:szCs w:val="21"/>
                <w:highlight w:val="none"/>
              </w:rPr>
            </w:pPr>
          </w:p>
        </w:tc>
        <w:tc>
          <w:tcPr>
            <w:tcW w:w="6789" w:type="dxa"/>
            <w:vAlign w:val="center"/>
          </w:tcPr>
          <w:p>
            <w:pPr>
              <w:tabs>
                <w:tab w:val="left" w:pos="612"/>
              </w:tabs>
              <w:spacing w:beforeLines="50" w:line="360" w:lineRule="auto"/>
              <w:rPr>
                <w:rFonts w:ascii="宋体" w:hAnsi="宋体" w:cs="宋体"/>
                <w:szCs w:val="21"/>
                <w:highlight w:val="none"/>
              </w:rPr>
            </w:pPr>
            <w:r>
              <w:rPr>
                <w:rFonts w:hint="eastAsia" w:ascii="宋体" w:hAnsi="宋体" w:cs="宋体"/>
                <w:szCs w:val="21"/>
                <w:highlight w:val="none"/>
              </w:rPr>
              <w:t>（七）投标技术方案明确，不存在一个或一个以上备选（替代）投标方案的；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26" w:type="dxa"/>
            <w:vMerge w:val="continue"/>
            <w:vAlign w:val="center"/>
          </w:tcPr>
          <w:p>
            <w:pPr>
              <w:spacing w:beforeLines="50" w:line="360" w:lineRule="auto"/>
              <w:jc w:val="center"/>
              <w:rPr>
                <w:rFonts w:ascii="宋体" w:hAnsi="宋体" w:cs="宋体"/>
                <w:szCs w:val="21"/>
                <w:highlight w:val="none"/>
              </w:rPr>
            </w:pPr>
          </w:p>
        </w:tc>
        <w:tc>
          <w:tcPr>
            <w:tcW w:w="6789" w:type="dxa"/>
            <w:vAlign w:val="center"/>
          </w:tcPr>
          <w:p>
            <w:pPr>
              <w:tabs>
                <w:tab w:val="left" w:pos="612"/>
              </w:tabs>
              <w:spacing w:beforeLines="50" w:line="360" w:lineRule="auto"/>
              <w:rPr>
                <w:rFonts w:ascii="宋体" w:hAnsi="宋体" w:cs="宋体"/>
                <w:szCs w:val="21"/>
                <w:highlight w:val="none"/>
              </w:rPr>
            </w:pPr>
            <w:r>
              <w:rPr>
                <w:rFonts w:hint="eastAsia" w:ascii="宋体" w:hAnsi="宋体" w:cs="宋体"/>
                <w:szCs w:val="21"/>
                <w:highlight w:val="none"/>
              </w:rPr>
              <w:t>（八）不存在法律、法规和采购文件规定的其他无效情形；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vAlign w:val="center"/>
          </w:tcPr>
          <w:p>
            <w:pPr>
              <w:spacing w:beforeLines="50" w:line="360" w:lineRule="auto"/>
              <w:jc w:val="center"/>
              <w:rPr>
                <w:rFonts w:ascii="宋体" w:hAnsi="宋体" w:cs="宋体"/>
                <w:szCs w:val="21"/>
                <w:highlight w:val="none"/>
              </w:rPr>
            </w:pPr>
          </w:p>
        </w:tc>
        <w:tc>
          <w:tcPr>
            <w:tcW w:w="6789" w:type="dxa"/>
            <w:vAlign w:val="center"/>
          </w:tcPr>
          <w:p>
            <w:pPr>
              <w:tabs>
                <w:tab w:val="left" w:pos="612"/>
              </w:tabs>
              <w:spacing w:beforeLines="50" w:line="360" w:lineRule="auto"/>
              <w:rPr>
                <w:rFonts w:ascii="宋体" w:hAnsi="宋体" w:cs="宋体"/>
                <w:szCs w:val="21"/>
                <w:highlight w:val="none"/>
              </w:rPr>
            </w:pPr>
            <w:r>
              <w:rPr>
                <w:rFonts w:hint="eastAsia" w:ascii="宋体" w:hAnsi="宋体" w:cs="宋体"/>
                <w:szCs w:val="21"/>
                <w:highlight w:val="none"/>
              </w:rPr>
              <w:t>（九）不存在投标文件的有效期不满足采购文件要求情形；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restart"/>
            <w:vAlign w:val="center"/>
          </w:tcPr>
          <w:p>
            <w:pPr>
              <w:spacing w:beforeLines="50" w:line="360" w:lineRule="auto"/>
              <w:jc w:val="center"/>
              <w:rPr>
                <w:rFonts w:ascii="宋体" w:hAnsi="宋体" w:cs="宋体"/>
                <w:szCs w:val="21"/>
                <w:highlight w:val="none"/>
              </w:rPr>
            </w:pPr>
            <w:r>
              <w:rPr>
                <w:rFonts w:hint="eastAsia" w:ascii="宋体" w:hAnsi="宋体" w:cs="宋体"/>
                <w:szCs w:val="21"/>
                <w:highlight w:val="none"/>
              </w:rPr>
              <w:t>符合性审查</w:t>
            </w:r>
          </w:p>
          <w:p>
            <w:pPr>
              <w:spacing w:beforeLines="50" w:line="360" w:lineRule="auto"/>
              <w:rPr>
                <w:rFonts w:ascii="宋体" w:hAnsi="宋体" w:cs="宋体"/>
                <w:szCs w:val="21"/>
                <w:highlight w:val="none"/>
              </w:rPr>
            </w:pPr>
            <w:r>
              <w:rPr>
                <w:rFonts w:hint="eastAsia" w:ascii="宋体" w:hAnsi="宋体" w:cs="宋体"/>
                <w:szCs w:val="21"/>
                <w:highlight w:val="none"/>
              </w:rPr>
              <w:t>（报价文件）</w:t>
            </w:r>
          </w:p>
        </w:tc>
        <w:tc>
          <w:tcPr>
            <w:tcW w:w="6789" w:type="dxa"/>
            <w:vAlign w:val="center"/>
          </w:tcPr>
          <w:p>
            <w:pPr>
              <w:spacing w:beforeLines="50" w:line="360" w:lineRule="auto"/>
              <w:rPr>
                <w:rFonts w:ascii="宋体" w:hAnsi="宋体" w:cs="宋体"/>
                <w:szCs w:val="21"/>
                <w:highlight w:val="none"/>
              </w:rPr>
            </w:pPr>
            <w:r>
              <w:rPr>
                <w:rFonts w:hint="eastAsia" w:ascii="宋体" w:hAnsi="宋体" w:cs="宋体"/>
                <w:szCs w:val="21"/>
                <w:highlight w:val="none"/>
              </w:rPr>
              <w:t>（一）按照采购文件规定要求签署或盖章；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vAlign w:val="center"/>
          </w:tcPr>
          <w:p>
            <w:pPr>
              <w:spacing w:beforeLines="50" w:line="360" w:lineRule="auto"/>
              <w:jc w:val="center"/>
              <w:rPr>
                <w:rFonts w:ascii="宋体" w:hAnsi="宋体" w:cs="宋体"/>
                <w:szCs w:val="21"/>
                <w:highlight w:val="none"/>
              </w:rPr>
            </w:pPr>
          </w:p>
        </w:tc>
        <w:tc>
          <w:tcPr>
            <w:tcW w:w="6789" w:type="dxa"/>
            <w:vAlign w:val="center"/>
          </w:tcPr>
          <w:p>
            <w:pPr>
              <w:tabs>
                <w:tab w:val="left" w:pos="612"/>
              </w:tabs>
              <w:spacing w:beforeLines="50" w:line="360" w:lineRule="auto"/>
              <w:rPr>
                <w:rFonts w:ascii="宋体" w:hAnsi="宋体" w:cs="宋体"/>
                <w:szCs w:val="21"/>
                <w:highlight w:val="none"/>
              </w:rPr>
            </w:pPr>
            <w:r>
              <w:rPr>
                <w:rFonts w:hint="eastAsia" w:ascii="宋体" w:hAnsi="宋体" w:cs="宋体"/>
                <w:szCs w:val="21"/>
                <w:highlight w:val="none"/>
              </w:rPr>
              <w:t>（二）投标文件项目齐全；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tcPr>
          <w:p>
            <w:pPr>
              <w:spacing w:beforeLines="50" w:line="360" w:lineRule="auto"/>
              <w:ind w:firstLine="210" w:firstLineChars="100"/>
              <w:rPr>
                <w:rFonts w:ascii="宋体" w:hAnsi="宋体" w:cs="宋体"/>
                <w:szCs w:val="21"/>
                <w:highlight w:val="none"/>
              </w:rPr>
            </w:pPr>
          </w:p>
        </w:tc>
        <w:tc>
          <w:tcPr>
            <w:tcW w:w="6789" w:type="dxa"/>
            <w:vAlign w:val="center"/>
          </w:tcPr>
          <w:p>
            <w:pPr>
              <w:spacing w:beforeLines="50" w:line="360" w:lineRule="auto"/>
              <w:rPr>
                <w:rFonts w:ascii="宋体" w:hAnsi="宋体" w:cs="宋体"/>
                <w:szCs w:val="21"/>
                <w:highlight w:val="none"/>
              </w:rPr>
            </w:pPr>
            <w:r>
              <w:rPr>
                <w:rFonts w:hint="eastAsia" w:ascii="宋体" w:hAnsi="宋体" w:cs="宋体"/>
                <w:szCs w:val="21"/>
                <w:highlight w:val="none"/>
              </w:rPr>
              <w:t>（三）投标函已提交并符合采购文件要求；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tcPr>
          <w:p>
            <w:pPr>
              <w:spacing w:beforeLines="50" w:line="360" w:lineRule="auto"/>
              <w:ind w:firstLine="210" w:firstLineChars="100"/>
              <w:rPr>
                <w:rFonts w:ascii="宋体" w:hAnsi="宋体" w:cs="宋体"/>
                <w:szCs w:val="21"/>
                <w:highlight w:val="none"/>
              </w:rPr>
            </w:pPr>
          </w:p>
        </w:tc>
        <w:tc>
          <w:tcPr>
            <w:tcW w:w="6789" w:type="dxa"/>
            <w:vAlign w:val="center"/>
          </w:tcPr>
          <w:p>
            <w:pPr>
              <w:spacing w:beforeLines="50" w:line="360" w:lineRule="auto"/>
              <w:rPr>
                <w:rFonts w:ascii="宋体" w:hAnsi="宋体" w:cs="宋体"/>
                <w:szCs w:val="21"/>
                <w:highlight w:val="none"/>
              </w:rPr>
            </w:pPr>
            <w:r>
              <w:rPr>
                <w:rFonts w:hint="eastAsia" w:ascii="宋体" w:hAnsi="宋体" w:cs="宋体"/>
                <w:szCs w:val="21"/>
                <w:highlight w:val="none"/>
              </w:rPr>
              <w:t>（四）采用人民币报价或者按照采购文件标明的币种报价的；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tcPr>
          <w:p>
            <w:pPr>
              <w:spacing w:beforeLines="50" w:line="360" w:lineRule="auto"/>
              <w:ind w:firstLine="210" w:firstLineChars="100"/>
              <w:rPr>
                <w:rFonts w:ascii="宋体" w:hAnsi="宋体" w:cs="宋体"/>
                <w:szCs w:val="21"/>
                <w:highlight w:val="none"/>
              </w:rPr>
            </w:pPr>
          </w:p>
        </w:tc>
        <w:tc>
          <w:tcPr>
            <w:tcW w:w="6789" w:type="dxa"/>
            <w:vAlign w:val="center"/>
          </w:tcPr>
          <w:p>
            <w:pPr>
              <w:spacing w:beforeLines="50" w:line="360" w:lineRule="auto"/>
              <w:rPr>
                <w:rFonts w:ascii="宋体" w:hAnsi="宋体" w:cs="宋体"/>
                <w:szCs w:val="21"/>
                <w:highlight w:val="none"/>
              </w:rPr>
            </w:pPr>
            <w:r>
              <w:rPr>
                <w:rFonts w:hint="eastAsia" w:ascii="宋体" w:hAnsi="宋体" w:cs="宋体"/>
                <w:szCs w:val="21"/>
                <w:highlight w:val="none"/>
              </w:rPr>
              <w:t>（五）不存在报价超出最高限价，或者超出采购预算金额，采购人不能支付的情形。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tcPr>
          <w:p>
            <w:pPr>
              <w:spacing w:beforeLines="50" w:line="360" w:lineRule="auto"/>
              <w:ind w:firstLine="210" w:firstLineChars="100"/>
              <w:rPr>
                <w:rFonts w:ascii="宋体" w:hAnsi="宋体" w:cs="宋体"/>
                <w:szCs w:val="21"/>
                <w:highlight w:val="none"/>
              </w:rPr>
            </w:pPr>
          </w:p>
        </w:tc>
        <w:tc>
          <w:tcPr>
            <w:tcW w:w="6789" w:type="dxa"/>
            <w:vAlign w:val="center"/>
          </w:tcPr>
          <w:p>
            <w:pPr>
              <w:spacing w:beforeLines="50" w:line="360" w:lineRule="auto"/>
              <w:rPr>
                <w:rFonts w:ascii="宋体" w:hAnsi="宋体" w:cs="宋体"/>
                <w:szCs w:val="21"/>
                <w:highlight w:val="none"/>
              </w:rPr>
            </w:pPr>
            <w:r>
              <w:rPr>
                <w:rFonts w:hint="eastAsia" w:ascii="宋体" w:hAnsi="宋体" w:cs="宋体"/>
                <w:szCs w:val="21"/>
                <w:highlight w:val="none"/>
              </w:rPr>
              <w:t>（六）不存在投标报价具有选择性的情形；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tcPr>
          <w:p>
            <w:pPr>
              <w:spacing w:beforeLines="50" w:line="360" w:lineRule="auto"/>
              <w:ind w:firstLine="210" w:firstLineChars="100"/>
              <w:rPr>
                <w:rFonts w:ascii="宋体" w:hAnsi="宋体" w:cs="宋体"/>
                <w:szCs w:val="21"/>
                <w:highlight w:val="none"/>
              </w:rPr>
            </w:pPr>
          </w:p>
        </w:tc>
        <w:tc>
          <w:tcPr>
            <w:tcW w:w="6789" w:type="dxa"/>
            <w:vAlign w:val="center"/>
          </w:tcPr>
          <w:p>
            <w:pPr>
              <w:spacing w:beforeLines="50" w:line="360" w:lineRule="auto"/>
              <w:rPr>
                <w:rFonts w:ascii="宋体" w:hAnsi="宋体" w:cs="宋体"/>
                <w:szCs w:val="21"/>
                <w:highlight w:val="none"/>
              </w:rPr>
            </w:pPr>
            <w:r>
              <w:rPr>
                <w:rFonts w:hint="eastAsia" w:ascii="宋体" w:hAnsi="宋体" w:cs="宋体"/>
                <w:szCs w:val="21"/>
                <w:highlight w:val="none"/>
              </w:rPr>
              <w:t>（七）投标报价中未出现重大缺项、漏项；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tcPr>
          <w:p>
            <w:pPr>
              <w:spacing w:beforeLines="50" w:line="360" w:lineRule="auto"/>
              <w:ind w:firstLine="210" w:firstLineChars="100"/>
              <w:rPr>
                <w:rFonts w:ascii="宋体" w:hAnsi="宋体" w:cs="宋体"/>
                <w:szCs w:val="21"/>
                <w:highlight w:val="none"/>
              </w:rPr>
            </w:pPr>
          </w:p>
        </w:tc>
        <w:tc>
          <w:tcPr>
            <w:tcW w:w="6789" w:type="dxa"/>
            <w:vAlign w:val="center"/>
          </w:tcPr>
          <w:p>
            <w:pPr>
              <w:spacing w:beforeLines="50" w:line="360" w:lineRule="auto"/>
              <w:rPr>
                <w:rFonts w:ascii="宋体" w:hAnsi="宋体" w:cs="宋体"/>
                <w:szCs w:val="21"/>
                <w:highlight w:val="none"/>
              </w:rPr>
            </w:pPr>
            <w:r>
              <w:rPr>
                <w:rFonts w:hint="eastAsia" w:ascii="宋体" w:hAnsi="宋体" w:cs="宋体"/>
                <w:szCs w:val="21"/>
                <w:highlight w:val="none"/>
              </w:rPr>
              <w:t>（八）不存在评标委员会认为投标人的报价明显低于其他通过符合性审查投标人的报价，有可能影响产品质量或者不能诚信履约的且不能在评标现场合理时间内提供相关证明材料说明其报价的合理性的情形；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tcPr>
          <w:p>
            <w:pPr>
              <w:spacing w:beforeLines="50" w:line="360" w:lineRule="auto"/>
              <w:ind w:firstLine="210" w:firstLineChars="100"/>
              <w:rPr>
                <w:rFonts w:ascii="宋体" w:hAnsi="宋体" w:cs="宋体"/>
                <w:szCs w:val="21"/>
                <w:highlight w:val="none"/>
              </w:rPr>
            </w:pPr>
          </w:p>
        </w:tc>
        <w:tc>
          <w:tcPr>
            <w:tcW w:w="6789" w:type="dxa"/>
            <w:vAlign w:val="center"/>
          </w:tcPr>
          <w:p>
            <w:pPr>
              <w:spacing w:beforeLines="50" w:line="360" w:lineRule="auto"/>
              <w:rPr>
                <w:rFonts w:ascii="宋体" w:hAnsi="宋体" w:cs="宋体"/>
                <w:szCs w:val="21"/>
                <w:highlight w:val="none"/>
              </w:rPr>
            </w:pPr>
            <w:r>
              <w:rPr>
                <w:rFonts w:hint="eastAsia" w:ascii="宋体" w:hAnsi="宋体" w:cs="宋体"/>
                <w:szCs w:val="21"/>
                <w:highlight w:val="none"/>
              </w:rPr>
              <w:t>（九）投标文件（报价文件）内容与投标文件（商务技术文件）内容不存在重大差异的；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tcPr>
          <w:p>
            <w:pPr>
              <w:spacing w:beforeLines="50" w:line="360" w:lineRule="auto"/>
              <w:ind w:firstLine="210" w:firstLineChars="100"/>
              <w:rPr>
                <w:rFonts w:ascii="宋体" w:hAnsi="宋体" w:cs="宋体"/>
                <w:szCs w:val="21"/>
                <w:highlight w:val="none"/>
              </w:rPr>
            </w:pPr>
          </w:p>
        </w:tc>
        <w:tc>
          <w:tcPr>
            <w:tcW w:w="6789" w:type="dxa"/>
            <w:vAlign w:val="center"/>
          </w:tcPr>
          <w:p>
            <w:pPr>
              <w:spacing w:beforeLines="50" w:line="360" w:lineRule="auto"/>
              <w:rPr>
                <w:rFonts w:ascii="宋体" w:hAnsi="宋体" w:cs="宋体"/>
                <w:szCs w:val="21"/>
                <w:highlight w:val="none"/>
              </w:rPr>
            </w:pPr>
            <w:r>
              <w:rPr>
                <w:rFonts w:hint="eastAsia" w:ascii="宋体" w:hAnsi="宋体" w:cs="宋体"/>
                <w:szCs w:val="21"/>
                <w:highlight w:val="none"/>
              </w:rPr>
              <w:t>（十）不存在法律、法规和采购文件规定的其他无效情形；</w:t>
            </w:r>
          </w:p>
        </w:tc>
      </w:tr>
    </w:tbl>
    <w:p>
      <w:pPr>
        <w:spacing w:line="360" w:lineRule="auto"/>
        <w:rPr>
          <w:rFonts w:ascii="宋体" w:hAnsi="宋体"/>
          <w:szCs w:val="21"/>
          <w:highlight w:val="none"/>
        </w:rPr>
      </w:pPr>
    </w:p>
    <w:p>
      <w:pPr>
        <w:spacing w:line="360" w:lineRule="auto"/>
        <w:rPr>
          <w:rFonts w:ascii="宋体" w:hAnsi="宋体"/>
          <w:szCs w:val="21"/>
          <w:highlight w:val="none"/>
        </w:rPr>
      </w:pPr>
      <w:r>
        <w:rPr>
          <w:rFonts w:hint="eastAsia" w:ascii="宋体" w:hAnsi="宋体"/>
          <w:szCs w:val="21"/>
          <w:highlight w:val="none"/>
        </w:rPr>
        <w:t>3．比较与评价：评标委员会对资格审查、符合性审查合格的投标文件，依照本办法“七、评分标准”对投标文件作进一步评审、比较，判定其偏差性质和程度。评标委员会成员经过阅标、审标和询标，对各投标人进行打分。</w:t>
      </w:r>
    </w:p>
    <w:p>
      <w:pPr>
        <w:spacing w:line="360" w:lineRule="auto"/>
        <w:rPr>
          <w:rFonts w:ascii="宋体" w:hAnsi="宋体"/>
          <w:szCs w:val="21"/>
          <w:highlight w:val="none"/>
        </w:rPr>
      </w:pPr>
      <w:r>
        <w:rPr>
          <w:rFonts w:hint="eastAsia" w:ascii="宋体" w:hAnsi="宋体"/>
          <w:szCs w:val="21"/>
          <w:highlight w:val="none"/>
        </w:rPr>
        <w:t>4．最终得分及排序：</w:t>
      </w:r>
      <w:r>
        <w:rPr>
          <w:rFonts w:hint="eastAsia" w:ascii="宋体" w:hAnsi="宋体" w:cs="宋体"/>
          <w:szCs w:val="21"/>
          <w:highlight w:val="none"/>
        </w:rPr>
        <w:t>评标委员会成员独立按照评分标准（兼评委打分表）规定的内容和分值设置，对各投标文件分别打分汇总后计算平均分（小数点后保留两位数），即为各投标人的综合得分。</w:t>
      </w:r>
      <w:r>
        <w:rPr>
          <w:rFonts w:hint="eastAsia" w:ascii="宋体" w:hAnsi="宋体" w:cs="宋体"/>
          <w:kern w:val="0"/>
          <w:szCs w:val="21"/>
          <w:highlight w:val="none"/>
        </w:rPr>
        <w:t>评标结果按评审后得分由高到低顺序排列。得分相同的，按投标报价由低到高顺序排列。得分且投标报价相同的并列。</w:t>
      </w:r>
    </w:p>
    <w:p>
      <w:pPr>
        <w:spacing w:line="360" w:lineRule="auto"/>
        <w:rPr>
          <w:rFonts w:ascii="宋体" w:hAnsi="宋体"/>
          <w:szCs w:val="21"/>
          <w:highlight w:val="none"/>
        </w:rPr>
      </w:pPr>
      <w:r>
        <w:rPr>
          <w:rFonts w:hint="eastAsia" w:ascii="宋体" w:hAnsi="宋体"/>
          <w:szCs w:val="21"/>
          <w:highlight w:val="none"/>
        </w:rPr>
        <w:t>5．推荐中标候选人原则：</w:t>
      </w:r>
      <w:r>
        <w:rPr>
          <w:rFonts w:hint="eastAsia" w:ascii="宋体" w:hAnsi="宋体" w:cs="宋体"/>
          <w:kern w:val="0"/>
          <w:szCs w:val="21"/>
          <w:highlight w:val="none"/>
        </w:rPr>
        <w:t>投标文件满足招标文件全部实质性要求，且按照评审因素的量化指标评审得分最高的投标人为排名第一的中标候选人。</w:t>
      </w:r>
    </w:p>
    <w:p>
      <w:pPr>
        <w:spacing w:line="360" w:lineRule="auto"/>
        <w:rPr>
          <w:rFonts w:ascii="宋体" w:hAnsi="宋体"/>
          <w:szCs w:val="21"/>
          <w:highlight w:val="none"/>
        </w:rPr>
      </w:pPr>
      <w:r>
        <w:rPr>
          <w:rFonts w:hint="eastAsia" w:ascii="宋体" w:hAnsi="宋体"/>
          <w:szCs w:val="21"/>
          <w:highlight w:val="none"/>
        </w:rPr>
        <w:t>6．确定中标人：采购代理机构应当自评标结束之日起2个工作日内将评标报告送交采购人。采购人应当自收到评标报告之日起5个工作日内在评标报告确定的中标候选人名单中按顺序确定中标人。中标人因不可抗力或者自身原因不能履行政府采购合同的，采购人可以按照评标报告推荐的下一中标候选人为中标人或重新招标。</w:t>
      </w:r>
    </w:p>
    <w:p>
      <w:pPr>
        <w:spacing w:line="360" w:lineRule="exact"/>
        <w:rPr>
          <w:rFonts w:ascii="宋体" w:hAnsi="宋体" w:cs="宋体"/>
          <w:szCs w:val="21"/>
          <w:highlight w:val="none"/>
        </w:rPr>
      </w:pPr>
    </w:p>
    <w:p>
      <w:pPr>
        <w:widowControl/>
        <w:tabs>
          <w:tab w:val="left" w:pos="0"/>
          <w:tab w:val="left" w:pos="723"/>
        </w:tabs>
        <w:spacing w:line="360" w:lineRule="auto"/>
        <w:jc w:val="left"/>
        <w:rPr>
          <w:rFonts w:ascii="宋体" w:hAnsi="宋体"/>
          <w:b/>
          <w:szCs w:val="21"/>
          <w:highlight w:val="none"/>
        </w:rPr>
      </w:pPr>
      <w:r>
        <w:rPr>
          <w:rFonts w:hint="eastAsia" w:ascii="宋体" w:hAnsi="宋体"/>
          <w:b/>
          <w:szCs w:val="21"/>
          <w:highlight w:val="none"/>
        </w:rPr>
        <w:t>四、澄清问题的形式</w:t>
      </w:r>
    </w:p>
    <w:p>
      <w:pPr>
        <w:spacing w:line="360" w:lineRule="auto"/>
        <w:ind w:firstLine="420" w:firstLineChars="200"/>
        <w:rPr>
          <w:rFonts w:ascii="宋体" w:hAnsi="宋体"/>
          <w:szCs w:val="21"/>
          <w:highlight w:val="none"/>
        </w:rPr>
      </w:pPr>
      <w:r>
        <w:rPr>
          <w:rFonts w:hint="eastAsia" w:ascii="宋体" w:hAnsi="宋体"/>
          <w:szCs w:val="21"/>
          <w:highlight w:val="none"/>
        </w:rPr>
        <w:t>对投标文件中含义不明确、同类问题表述不一致或者有明显文字和计算错误的内容，评标委员会可要求投标人作出必要的澄清、说明或者纠正。投标人的澄清、说明或者补正应当采用书面形式，由其授权代表签字或盖章确认，并不得超出投标文件的范围或者改变投标文件的实质性内容。</w:t>
      </w:r>
    </w:p>
    <w:p>
      <w:pPr>
        <w:spacing w:line="360" w:lineRule="auto"/>
        <w:ind w:firstLine="420" w:firstLineChars="200"/>
        <w:rPr>
          <w:rFonts w:ascii="宋体" w:hAnsi="宋体"/>
          <w:szCs w:val="21"/>
          <w:highlight w:val="none"/>
        </w:rPr>
      </w:pPr>
    </w:p>
    <w:p>
      <w:pPr>
        <w:widowControl/>
        <w:tabs>
          <w:tab w:val="left" w:pos="0"/>
          <w:tab w:val="left" w:pos="723"/>
        </w:tabs>
        <w:spacing w:line="360" w:lineRule="auto"/>
        <w:jc w:val="left"/>
        <w:rPr>
          <w:rFonts w:ascii="宋体" w:hAnsi="宋体"/>
          <w:b/>
          <w:szCs w:val="21"/>
          <w:highlight w:val="none"/>
        </w:rPr>
      </w:pPr>
      <w:r>
        <w:rPr>
          <w:rFonts w:ascii="宋体" w:hAnsi="宋体"/>
          <w:b/>
          <w:szCs w:val="21"/>
          <w:highlight w:val="none"/>
        </w:rPr>
        <w:t>五</w:t>
      </w:r>
      <w:r>
        <w:rPr>
          <w:rFonts w:hint="eastAsia" w:ascii="宋体" w:hAnsi="宋体"/>
          <w:b/>
          <w:szCs w:val="21"/>
          <w:highlight w:val="none"/>
        </w:rPr>
        <w:t>、</w:t>
      </w:r>
      <w:r>
        <w:rPr>
          <w:rFonts w:ascii="宋体" w:hAnsi="宋体"/>
          <w:b/>
          <w:szCs w:val="21"/>
          <w:highlight w:val="none"/>
        </w:rPr>
        <w:t>错误修正</w:t>
      </w:r>
    </w:p>
    <w:p>
      <w:pPr>
        <w:spacing w:line="360" w:lineRule="auto"/>
        <w:ind w:firstLine="420" w:firstLineChars="200"/>
        <w:rPr>
          <w:rFonts w:ascii="宋体" w:hAnsi="宋体"/>
          <w:szCs w:val="21"/>
          <w:highlight w:val="none"/>
        </w:rPr>
      </w:pPr>
      <w:r>
        <w:rPr>
          <w:rFonts w:hint="eastAsia" w:ascii="宋体" w:hAnsi="宋体"/>
          <w:szCs w:val="21"/>
          <w:highlight w:val="none"/>
        </w:rPr>
        <w:t>投标文件报价出现前后不一致的，按照下列规定修正：</w:t>
      </w:r>
    </w:p>
    <w:p>
      <w:pPr>
        <w:spacing w:line="360" w:lineRule="auto"/>
        <w:ind w:firstLine="420" w:firstLineChars="200"/>
        <w:rPr>
          <w:rFonts w:ascii="宋体" w:hAnsi="宋体"/>
          <w:szCs w:val="21"/>
          <w:highlight w:val="none"/>
        </w:rPr>
      </w:pPr>
      <w:r>
        <w:rPr>
          <w:rFonts w:hint="eastAsia" w:ascii="宋体" w:hAnsi="宋体"/>
          <w:szCs w:val="21"/>
          <w:highlight w:val="none"/>
        </w:rPr>
        <w:t>1.投标文件中开标一览表内容与投标文件中相应内容不一致的，以开标一览表为准；</w:t>
      </w:r>
    </w:p>
    <w:p>
      <w:pPr>
        <w:spacing w:line="360" w:lineRule="auto"/>
        <w:ind w:firstLine="420" w:firstLineChars="200"/>
        <w:rPr>
          <w:rFonts w:ascii="宋体" w:hAnsi="宋体"/>
          <w:szCs w:val="21"/>
          <w:highlight w:val="none"/>
        </w:rPr>
      </w:pPr>
      <w:r>
        <w:rPr>
          <w:rFonts w:hint="eastAsia" w:ascii="宋体" w:hAnsi="宋体"/>
          <w:szCs w:val="21"/>
          <w:highlight w:val="none"/>
        </w:rPr>
        <w:t>2.大写金额和小写金额不一致的，以大写金额为准；</w:t>
      </w:r>
    </w:p>
    <w:p>
      <w:pPr>
        <w:spacing w:line="360" w:lineRule="auto"/>
        <w:ind w:firstLine="420" w:firstLineChars="200"/>
        <w:rPr>
          <w:rFonts w:ascii="宋体" w:hAnsi="宋体"/>
          <w:szCs w:val="21"/>
          <w:highlight w:val="none"/>
        </w:rPr>
      </w:pPr>
      <w:r>
        <w:rPr>
          <w:rFonts w:hint="eastAsia" w:ascii="宋体" w:hAnsi="宋体"/>
          <w:szCs w:val="21"/>
          <w:highlight w:val="none"/>
        </w:rPr>
        <w:t>3.单价金额小数点或者百分比有明显错位的，以开标一览表的总价为准，并修改单价；</w:t>
      </w:r>
    </w:p>
    <w:p>
      <w:pPr>
        <w:spacing w:line="360" w:lineRule="auto"/>
        <w:ind w:firstLine="420" w:firstLineChars="200"/>
        <w:rPr>
          <w:rFonts w:ascii="宋体" w:hAnsi="宋体"/>
          <w:szCs w:val="21"/>
          <w:highlight w:val="none"/>
        </w:rPr>
      </w:pPr>
      <w:r>
        <w:rPr>
          <w:rFonts w:hint="eastAsia" w:ascii="宋体" w:hAnsi="宋体"/>
          <w:szCs w:val="21"/>
          <w:highlight w:val="none"/>
        </w:rPr>
        <w:t>4.总价金额与按单价汇总金额不一致的，以单价金额计算结果为准。</w:t>
      </w:r>
    </w:p>
    <w:p>
      <w:pPr>
        <w:spacing w:line="360" w:lineRule="auto"/>
        <w:ind w:firstLine="420" w:firstLineChars="200"/>
        <w:rPr>
          <w:rFonts w:ascii="宋体" w:hAnsi="宋体"/>
          <w:szCs w:val="21"/>
          <w:highlight w:val="none"/>
        </w:rPr>
      </w:pPr>
      <w:r>
        <w:rPr>
          <w:rFonts w:hint="eastAsia" w:ascii="宋体" w:hAnsi="宋体"/>
          <w:szCs w:val="21"/>
          <w:highlight w:val="none"/>
        </w:rPr>
        <w:t>同时出现两种以上不一致的，按照前款规定的顺序修正。修正后的报价按照投标文件澄清第二款的规定经投标人确认后产生约束力，投标人不确认的，其投标无效。</w:t>
      </w:r>
    </w:p>
    <w:p>
      <w:pPr>
        <w:numPr>
          <w:ilvl w:val="0"/>
          <w:numId w:val="2"/>
        </w:numPr>
        <w:spacing w:line="360" w:lineRule="auto"/>
        <w:rPr>
          <w:rFonts w:ascii="宋体" w:hAnsi="宋体"/>
          <w:b/>
          <w:sz w:val="24"/>
          <w:szCs w:val="24"/>
          <w:highlight w:val="none"/>
        </w:rPr>
      </w:pPr>
      <w:r>
        <w:rPr>
          <w:rFonts w:ascii="宋体" w:hAnsi="宋体"/>
          <w:b/>
          <w:sz w:val="24"/>
          <w:szCs w:val="24"/>
          <w:highlight w:val="none"/>
        </w:rPr>
        <w:br w:type="page"/>
      </w:r>
      <w:bookmarkStart w:id="129" w:name="_Toc298230960"/>
      <w:r>
        <w:rPr>
          <w:rFonts w:hint="eastAsia" w:ascii="宋体" w:hAnsi="宋体"/>
          <w:b/>
          <w:sz w:val="24"/>
          <w:szCs w:val="24"/>
          <w:highlight w:val="none"/>
        </w:rPr>
        <w:t>评分标准（兼评委打分表）</w:t>
      </w:r>
    </w:p>
    <w:tbl>
      <w:tblPr>
        <w:tblStyle w:val="34"/>
        <w:tblW w:w="90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
        <w:gridCol w:w="7259"/>
        <w:gridCol w:w="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jc w:val="center"/>
        </w:trPr>
        <w:tc>
          <w:tcPr>
            <w:tcW w:w="8138" w:type="dxa"/>
            <w:gridSpan w:val="2"/>
            <w:tcBorders>
              <w:top w:val="single" w:color="auto" w:sz="4" w:space="0"/>
              <w:left w:val="single" w:color="auto" w:sz="4" w:space="0"/>
              <w:bottom w:val="single" w:color="auto" w:sz="6" w:space="0"/>
              <w:right w:val="single" w:color="auto" w:sz="6" w:space="0"/>
              <w:tl2br w:val="single" w:color="auto" w:sz="4" w:space="0"/>
            </w:tcBorders>
            <w:noWrap/>
          </w:tcPr>
          <w:p>
            <w:pPr>
              <w:spacing w:line="320" w:lineRule="exact"/>
              <w:ind w:right="105"/>
              <w:jc w:val="right"/>
              <w:rPr>
                <w:rFonts w:hint="eastAsia" w:ascii="宋体" w:hAnsi="宋体" w:eastAsia="宋体" w:cs="宋体"/>
                <w:sz w:val="21"/>
                <w:szCs w:val="21"/>
                <w:highlight w:val="none"/>
              </w:rPr>
            </w:pPr>
            <w:r>
              <w:rPr>
                <w:rFonts w:hint="eastAsia" w:ascii="宋体" w:hAnsi="宋体" w:eastAsia="宋体" w:cs="宋体"/>
                <w:sz w:val="21"/>
                <w:szCs w:val="21"/>
                <w:highlight w:val="none"/>
              </w:rPr>
              <w:t>供应商</w:t>
            </w:r>
          </w:p>
          <w:p>
            <w:pPr>
              <w:spacing w:line="320" w:lineRule="exact"/>
              <w:ind w:right="525" w:firstLine="210" w:firstLineChars="100"/>
              <w:rPr>
                <w:rFonts w:hint="eastAsia" w:ascii="宋体" w:hAnsi="宋体" w:eastAsia="宋体" w:cs="宋体"/>
                <w:sz w:val="21"/>
                <w:szCs w:val="21"/>
                <w:highlight w:val="none"/>
              </w:rPr>
            </w:pPr>
            <w:r>
              <w:rPr>
                <w:rFonts w:hint="eastAsia" w:ascii="宋体" w:hAnsi="宋体" w:eastAsia="宋体" w:cs="宋体"/>
                <w:sz w:val="21"/>
                <w:szCs w:val="21"/>
                <w:highlight w:val="none"/>
              </w:rPr>
              <w:t>评分明细</w:t>
            </w:r>
          </w:p>
        </w:tc>
        <w:tc>
          <w:tcPr>
            <w:tcW w:w="961" w:type="dxa"/>
            <w:tcBorders>
              <w:top w:val="single" w:color="auto" w:sz="4" w:space="0"/>
              <w:left w:val="single" w:color="auto" w:sz="6" w:space="0"/>
              <w:bottom w:val="single" w:color="auto" w:sz="6" w:space="0"/>
              <w:right w:val="single" w:color="auto" w:sz="6" w:space="0"/>
            </w:tcBorders>
            <w:noWrap/>
            <w:vAlign w:val="center"/>
          </w:tcPr>
          <w:p>
            <w:pPr>
              <w:spacing w:line="320" w:lineRule="exac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45" w:hRule="atLeast"/>
          <w:jc w:val="center"/>
        </w:trPr>
        <w:tc>
          <w:tcPr>
            <w:tcW w:w="879" w:type="dxa"/>
            <w:vMerge w:val="restart"/>
            <w:tcBorders>
              <w:top w:val="single" w:color="auto" w:sz="6" w:space="0"/>
              <w:left w:val="single" w:color="auto" w:sz="4" w:space="0"/>
              <w:bottom w:val="single" w:color="auto" w:sz="6" w:space="0"/>
              <w:right w:val="single" w:color="auto" w:sz="6" w:space="0"/>
            </w:tcBorders>
            <w:noWrap/>
            <w:vAlign w:val="center"/>
          </w:tcPr>
          <w:p>
            <w:pPr>
              <w:spacing w:line="32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技术商务分80分</w:t>
            </w:r>
          </w:p>
        </w:tc>
        <w:tc>
          <w:tcPr>
            <w:tcW w:w="7259"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numPr>
                <w:ilvl w:val="0"/>
                <w:numId w:val="3"/>
              </w:numPr>
              <w:spacing w:beforeLines="20" w:line="264"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投标人针对招标文件</w:t>
            </w:r>
            <w:r>
              <w:rPr>
                <w:rFonts w:hint="eastAsia" w:ascii="宋体" w:hAnsi="宋体" w:eastAsia="宋体" w:cs="宋体"/>
                <w:sz w:val="21"/>
                <w:szCs w:val="21"/>
                <w:highlight w:val="none"/>
              </w:rPr>
              <w:t>第二部分“招标项目需求”“技术要求”</w:t>
            </w:r>
            <w:r>
              <w:rPr>
                <w:rFonts w:hint="eastAsia" w:ascii="宋体" w:hAnsi="宋体" w:eastAsia="宋体" w:cs="宋体"/>
                <w:sz w:val="21"/>
                <w:szCs w:val="21"/>
                <w:highlight w:val="none"/>
                <w:lang w:val="en-US" w:eastAsia="zh-CN"/>
              </w:rPr>
              <w:t>提供的</w:t>
            </w:r>
            <w:r>
              <w:rPr>
                <w:rFonts w:hint="eastAsia" w:ascii="宋体" w:hAnsi="宋体" w:eastAsia="宋体" w:cs="宋体"/>
                <w:sz w:val="21"/>
                <w:szCs w:val="21"/>
                <w:highlight w:val="none"/>
              </w:rPr>
              <w:t>整体服务方案</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包括但不限于保险责任、工作内容等</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进行综合评议</w:t>
            </w:r>
          </w:p>
          <w:p>
            <w:pPr>
              <w:widowControl/>
              <w:numPr>
                <w:ilvl w:val="0"/>
                <w:numId w:val="0"/>
              </w:numPr>
              <w:spacing w:beforeLines="20" w:line="264"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①保险责任、工作内容</w:t>
            </w:r>
            <w:r>
              <w:rPr>
                <w:rFonts w:hint="eastAsia" w:ascii="宋体" w:hAnsi="宋体" w:eastAsia="宋体" w:cs="宋体"/>
                <w:sz w:val="21"/>
                <w:szCs w:val="21"/>
                <w:highlight w:val="none"/>
                <w:lang w:val="en-US" w:eastAsia="zh-CN"/>
              </w:rPr>
              <w:t>等服务方案</w:t>
            </w:r>
            <w:r>
              <w:rPr>
                <w:rFonts w:hint="eastAsia" w:ascii="宋体" w:hAnsi="宋体" w:eastAsia="宋体" w:cs="宋体"/>
                <w:sz w:val="21"/>
                <w:szCs w:val="21"/>
                <w:highlight w:val="none"/>
              </w:rPr>
              <w:t>针对性强，总体思路、技术方法可行</w:t>
            </w:r>
            <w:r>
              <w:rPr>
                <w:rFonts w:hint="eastAsia" w:ascii="宋体" w:hAnsi="宋体" w:cs="宋体"/>
                <w:sz w:val="21"/>
                <w:szCs w:val="21"/>
                <w:highlight w:val="none"/>
                <w:lang w:val="en-US" w:eastAsia="zh-CN"/>
              </w:rPr>
              <w:t>且</w:t>
            </w:r>
            <w:r>
              <w:rPr>
                <w:rFonts w:hint="eastAsia" w:ascii="宋体" w:hAnsi="宋体" w:eastAsia="宋体" w:cs="宋体"/>
                <w:sz w:val="21"/>
                <w:szCs w:val="21"/>
                <w:highlight w:val="none"/>
              </w:rPr>
              <w:t>完全满足本项目需求，</w:t>
            </w:r>
            <w:r>
              <w:rPr>
                <w:rFonts w:hint="eastAsia" w:ascii="宋体" w:hAnsi="宋体" w:eastAsia="宋体" w:cs="宋体"/>
                <w:sz w:val="21"/>
                <w:szCs w:val="21"/>
                <w:highlight w:val="none"/>
                <w:lang w:val="en-US" w:eastAsia="zh-CN"/>
              </w:rPr>
              <w:t>保险责任认知清晰，</w:t>
            </w:r>
            <w:r>
              <w:rPr>
                <w:rFonts w:hint="eastAsia" w:ascii="宋体" w:hAnsi="宋体" w:eastAsia="宋体" w:cs="宋体"/>
                <w:sz w:val="21"/>
                <w:szCs w:val="21"/>
                <w:highlight w:val="none"/>
              </w:rPr>
              <w:t>工作内容完善、实施方案</w:t>
            </w:r>
            <w:r>
              <w:rPr>
                <w:rFonts w:hint="eastAsia" w:ascii="宋体" w:hAnsi="宋体" w:eastAsia="宋体" w:cs="宋体"/>
                <w:sz w:val="21"/>
                <w:szCs w:val="21"/>
                <w:highlight w:val="none"/>
                <w:lang w:val="en-US" w:eastAsia="zh-CN"/>
              </w:rPr>
              <w:t>与本项目实际情况符合性</w:t>
            </w:r>
            <w:r>
              <w:rPr>
                <w:rFonts w:hint="eastAsia" w:ascii="宋体" w:hAnsi="宋体" w:eastAsia="宋体" w:cs="宋体"/>
                <w:sz w:val="21"/>
                <w:szCs w:val="21"/>
                <w:highlight w:val="none"/>
              </w:rPr>
              <w:t>强的得</w:t>
            </w:r>
            <w:r>
              <w:rPr>
                <w:rFonts w:hint="eastAsia" w:ascii="宋体" w:hAnsi="宋体" w:eastAsia="宋体" w:cs="宋体"/>
                <w:sz w:val="21"/>
                <w:szCs w:val="21"/>
                <w:highlight w:val="none"/>
                <w:lang w:val="en-US" w:eastAsia="zh-CN"/>
              </w:rPr>
              <w:t>6</w:t>
            </w:r>
            <w:r>
              <w:rPr>
                <w:rFonts w:hint="eastAsia" w:ascii="宋体" w:hAnsi="宋体" w:eastAsia="宋体" w:cs="宋体"/>
                <w:sz w:val="21"/>
                <w:szCs w:val="21"/>
                <w:highlight w:val="none"/>
              </w:rPr>
              <w:t>分；</w:t>
            </w:r>
          </w:p>
          <w:p>
            <w:pPr>
              <w:widowControl/>
              <w:numPr>
                <w:ilvl w:val="0"/>
                <w:numId w:val="0"/>
              </w:numPr>
              <w:spacing w:beforeLines="20" w:line="264"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②</w:t>
            </w:r>
            <w:r>
              <w:rPr>
                <w:rFonts w:hint="eastAsia" w:ascii="宋体" w:hAnsi="宋体" w:eastAsia="宋体" w:cs="宋体"/>
                <w:sz w:val="21"/>
                <w:szCs w:val="21"/>
                <w:highlight w:val="none"/>
              </w:rPr>
              <w:t>保险责任、工作内容</w:t>
            </w:r>
            <w:r>
              <w:rPr>
                <w:rFonts w:hint="eastAsia" w:ascii="宋体" w:hAnsi="宋体" w:eastAsia="宋体" w:cs="宋体"/>
                <w:sz w:val="21"/>
                <w:szCs w:val="21"/>
                <w:highlight w:val="none"/>
                <w:lang w:val="en-US" w:eastAsia="zh-CN"/>
              </w:rPr>
              <w:t>等</w:t>
            </w:r>
            <w:r>
              <w:rPr>
                <w:rFonts w:hint="eastAsia" w:ascii="宋体" w:hAnsi="宋体" w:eastAsia="宋体" w:cs="宋体"/>
                <w:sz w:val="21"/>
                <w:szCs w:val="21"/>
                <w:highlight w:val="none"/>
              </w:rPr>
              <w:t>服务方案针对性</w:t>
            </w:r>
            <w:r>
              <w:rPr>
                <w:rFonts w:hint="eastAsia" w:ascii="宋体" w:hAnsi="宋体" w:eastAsia="宋体" w:cs="宋体"/>
                <w:sz w:val="21"/>
                <w:szCs w:val="21"/>
                <w:highlight w:val="none"/>
                <w:lang w:val="en-US" w:eastAsia="zh-CN"/>
              </w:rPr>
              <w:t>一般</w:t>
            </w:r>
            <w:r>
              <w:rPr>
                <w:rFonts w:hint="eastAsia" w:ascii="宋体" w:hAnsi="宋体" w:eastAsia="宋体" w:cs="宋体"/>
                <w:sz w:val="21"/>
                <w:szCs w:val="21"/>
                <w:highlight w:val="none"/>
              </w:rPr>
              <w:t>，总体思路、技术方法基本满足本项目需求，</w:t>
            </w:r>
            <w:r>
              <w:rPr>
                <w:rFonts w:hint="eastAsia" w:ascii="宋体" w:hAnsi="宋体" w:eastAsia="宋体" w:cs="宋体"/>
                <w:sz w:val="21"/>
                <w:szCs w:val="21"/>
                <w:highlight w:val="none"/>
                <w:lang w:val="en-US" w:eastAsia="zh-CN"/>
              </w:rPr>
              <w:t>工作内容及要素分析较为简单</w:t>
            </w:r>
            <w:r>
              <w:rPr>
                <w:rFonts w:hint="eastAsia" w:ascii="宋体" w:hAnsi="宋体" w:cs="宋体"/>
                <w:sz w:val="21"/>
                <w:szCs w:val="21"/>
                <w:highlight w:val="none"/>
                <w:lang w:val="en-US" w:eastAsia="zh-CN"/>
              </w:rPr>
              <w:t>的</w:t>
            </w:r>
            <w:r>
              <w:rPr>
                <w:rFonts w:hint="eastAsia" w:ascii="宋体" w:hAnsi="宋体" w:eastAsia="宋体" w:cs="宋体"/>
                <w:sz w:val="21"/>
                <w:szCs w:val="21"/>
                <w:highlight w:val="none"/>
              </w:rPr>
              <w:t>得</w:t>
            </w:r>
            <w:r>
              <w:rPr>
                <w:rFonts w:hint="eastAsia" w:ascii="宋体" w:hAnsi="宋体" w:cs="宋体"/>
                <w:sz w:val="21"/>
                <w:szCs w:val="21"/>
                <w:highlight w:val="none"/>
                <w:lang w:val="en-US" w:eastAsia="zh-CN"/>
              </w:rPr>
              <w:t>4</w:t>
            </w:r>
            <w:r>
              <w:rPr>
                <w:rFonts w:hint="eastAsia" w:ascii="宋体" w:hAnsi="宋体" w:eastAsia="宋体" w:cs="宋体"/>
                <w:sz w:val="21"/>
                <w:szCs w:val="21"/>
                <w:highlight w:val="none"/>
              </w:rPr>
              <w:t>分；</w:t>
            </w:r>
          </w:p>
          <w:p>
            <w:pPr>
              <w:widowControl/>
              <w:numPr>
                <w:ilvl w:val="0"/>
                <w:numId w:val="0"/>
              </w:numPr>
              <w:spacing w:beforeLines="20" w:line="264"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③</w:t>
            </w:r>
            <w:r>
              <w:rPr>
                <w:rFonts w:hint="eastAsia" w:ascii="宋体" w:hAnsi="宋体" w:eastAsia="宋体" w:cs="宋体"/>
                <w:sz w:val="21"/>
                <w:szCs w:val="21"/>
                <w:highlight w:val="none"/>
              </w:rPr>
              <w:t>保险责任、工作内容</w:t>
            </w:r>
            <w:r>
              <w:rPr>
                <w:rFonts w:hint="eastAsia" w:ascii="宋体" w:hAnsi="宋体" w:eastAsia="宋体" w:cs="宋体"/>
                <w:sz w:val="21"/>
                <w:szCs w:val="21"/>
                <w:highlight w:val="none"/>
                <w:lang w:val="en-US" w:eastAsia="zh-CN"/>
              </w:rPr>
              <w:t>等</w:t>
            </w:r>
            <w:r>
              <w:rPr>
                <w:rFonts w:hint="eastAsia" w:ascii="宋体" w:hAnsi="宋体" w:eastAsia="宋体" w:cs="宋体"/>
                <w:sz w:val="21"/>
                <w:szCs w:val="21"/>
                <w:highlight w:val="none"/>
              </w:rPr>
              <w:t>服务方案</w:t>
            </w:r>
            <w:r>
              <w:rPr>
                <w:rFonts w:hint="eastAsia" w:ascii="宋体" w:hAnsi="宋体" w:eastAsia="宋体" w:cs="宋体"/>
                <w:sz w:val="21"/>
                <w:szCs w:val="21"/>
                <w:highlight w:val="none"/>
                <w:lang w:val="en-US" w:eastAsia="zh-CN"/>
              </w:rPr>
              <w:t>缺乏</w:t>
            </w:r>
            <w:r>
              <w:rPr>
                <w:rFonts w:hint="eastAsia" w:ascii="宋体" w:hAnsi="宋体" w:eastAsia="宋体" w:cs="宋体"/>
                <w:sz w:val="21"/>
                <w:szCs w:val="21"/>
                <w:highlight w:val="none"/>
              </w:rPr>
              <w:t>针对性、工作内容不齐全或明显与项目实际情况有偏离的得</w:t>
            </w:r>
            <w:r>
              <w:rPr>
                <w:rFonts w:hint="eastAsia" w:ascii="宋体" w:hAnsi="宋体" w:cs="宋体"/>
                <w:sz w:val="21"/>
                <w:szCs w:val="21"/>
                <w:highlight w:val="none"/>
                <w:lang w:val="en-US" w:eastAsia="zh-CN"/>
              </w:rPr>
              <w:t>2</w:t>
            </w:r>
            <w:r>
              <w:rPr>
                <w:rFonts w:hint="eastAsia" w:ascii="宋体" w:hAnsi="宋体" w:eastAsia="宋体" w:cs="宋体"/>
                <w:sz w:val="21"/>
                <w:szCs w:val="21"/>
                <w:highlight w:val="none"/>
              </w:rPr>
              <w:t>分；</w:t>
            </w:r>
          </w:p>
          <w:p>
            <w:pPr>
              <w:widowControl/>
              <w:numPr>
                <w:ilvl w:val="0"/>
                <w:numId w:val="0"/>
              </w:numPr>
              <w:spacing w:beforeLines="20" w:line="264"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④</w:t>
            </w:r>
            <w:r>
              <w:rPr>
                <w:rFonts w:hint="eastAsia" w:ascii="宋体" w:hAnsi="宋体" w:eastAsia="宋体" w:cs="宋体"/>
                <w:sz w:val="21"/>
                <w:szCs w:val="21"/>
                <w:highlight w:val="none"/>
                <w:lang w:eastAsia="zh-CN"/>
              </w:rPr>
              <w:t>未提供相关内容不得分。</w:t>
            </w:r>
          </w:p>
        </w:tc>
        <w:tc>
          <w:tcPr>
            <w:tcW w:w="961" w:type="dxa"/>
            <w:tcBorders>
              <w:top w:val="single" w:color="auto" w:sz="6" w:space="0"/>
              <w:left w:val="single" w:color="auto" w:sz="6" w:space="0"/>
              <w:bottom w:val="single" w:color="auto" w:sz="6" w:space="0"/>
              <w:right w:val="single" w:color="auto" w:sz="6" w:space="0"/>
            </w:tcBorders>
            <w:shd w:val="clear" w:color="auto" w:fill="auto"/>
            <w:noWrap/>
            <w:vAlign w:val="center"/>
          </w:tcPr>
          <w:p>
            <w:pPr>
              <w:spacing w:line="320" w:lineRule="exact"/>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2" w:hRule="atLeast"/>
          <w:jc w:val="center"/>
        </w:trPr>
        <w:tc>
          <w:tcPr>
            <w:tcW w:w="879" w:type="dxa"/>
            <w:vMerge w:val="continue"/>
            <w:tcBorders>
              <w:left w:val="single" w:color="auto" w:sz="4" w:space="0"/>
              <w:right w:val="single" w:color="auto" w:sz="6" w:space="0"/>
            </w:tcBorders>
            <w:noWrap/>
            <w:vAlign w:val="center"/>
          </w:tcPr>
          <w:p>
            <w:pPr>
              <w:spacing w:line="320" w:lineRule="exact"/>
              <w:jc w:val="center"/>
              <w:rPr>
                <w:rFonts w:hint="eastAsia" w:ascii="宋体" w:hAnsi="宋体" w:eastAsia="宋体" w:cs="宋体"/>
                <w:sz w:val="21"/>
                <w:szCs w:val="21"/>
                <w:highlight w:val="none"/>
              </w:rPr>
            </w:pPr>
          </w:p>
        </w:tc>
        <w:tc>
          <w:tcPr>
            <w:tcW w:w="7259"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numPr>
                <w:ilvl w:val="0"/>
                <w:numId w:val="0"/>
              </w:numPr>
              <w:spacing w:beforeLines="20" w:line="264" w:lineRule="auto"/>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2、投标人</w:t>
            </w:r>
            <w:r>
              <w:rPr>
                <w:rFonts w:hint="eastAsia" w:ascii="宋体" w:hAnsi="宋体" w:eastAsia="宋体" w:cs="宋体"/>
                <w:sz w:val="21"/>
                <w:szCs w:val="21"/>
                <w:highlight w:val="none"/>
              </w:rPr>
              <w:t>对项目风险</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包括但不限于对可能发生的理赔案件数、理赔总金额不确定性的理解，对项目出现亏损可能性的认识等</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的认识程度</w:t>
            </w:r>
            <w:r>
              <w:rPr>
                <w:rFonts w:hint="eastAsia" w:ascii="宋体" w:hAnsi="宋体" w:eastAsia="宋体" w:cs="宋体"/>
                <w:sz w:val="21"/>
                <w:szCs w:val="21"/>
                <w:highlight w:val="none"/>
                <w:lang w:val="en-US" w:eastAsia="zh-CN"/>
              </w:rPr>
              <w:t>进行综合评议</w:t>
            </w:r>
          </w:p>
          <w:p>
            <w:pPr>
              <w:widowControl/>
              <w:numPr>
                <w:ilvl w:val="0"/>
                <w:numId w:val="0"/>
              </w:numPr>
              <w:spacing w:beforeLines="20" w:line="264" w:lineRule="auto"/>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①</w:t>
            </w:r>
            <w:r>
              <w:rPr>
                <w:rFonts w:hint="eastAsia" w:ascii="宋体" w:hAnsi="宋体" w:eastAsia="宋体" w:cs="宋体"/>
                <w:sz w:val="21"/>
                <w:szCs w:val="21"/>
                <w:highlight w:val="none"/>
                <w:lang w:val="en-US" w:eastAsia="zh-CN"/>
              </w:rPr>
              <w:t>对项目风险分析深入到位、准确，</w:t>
            </w:r>
            <w:r>
              <w:rPr>
                <w:rFonts w:hint="eastAsia" w:ascii="宋体" w:hAnsi="宋体" w:eastAsia="宋体" w:cs="宋体"/>
                <w:sz w:val="21"/>
                <w:szCs w:val="21"/>
                <w:highlight w:val="none"/>
              </w:rPr>
              <w:t>并给出针对性的解决意见，建议切实可行、符合本项目实际、内容完</w:t>
            </w:r>
            <w:r>
              <w:rPr>
                <w:rFonts w:hint="eastAsia" w:ascii="宋体" w:hAnsi="宋体" w:eastAsia="宋体" w:cs="宋体"/>
                <w:sz w:val="21"/>
                <w:szCs w:val="21"/>
                <w:highlight w:val="none"/>
                <w:lang w:val="en-US" w:eastAsia="zh-CN"/>
              </w:rPr>
              <w:t>整</w:t>
            </w:r>
            <w:r>
              <w:rPr>
                <w:rFonts w:hint="eastAsia" w:ascii="宋体" w:hAnsi="宋体" w:cs="宋体"/>
                <w:sz w:val="21"/>
                <w:szCs w:val="21"/>
                <w:highlight w:val="none"/>
                <w:lang w:val="en-US" w:eastAsia="zh-CN"/>
              </w:rPr>
              <w:t>的</w:t>
            </w:r>
            <w:r>
              <w:rPr>
                <w:rFonts w:hint="eastAsia" w:ascii="宋体" w:hAnsi="宋体" w:eastAsia="宋体" w:cs="宋体"/>
                <w:sz w:val="21"/>
                <w:szCs w:val="21"/>
                <w:highlight w:val="none"/>
                <w:lang w:val="en-US" w:eastAsia="zh-CN"/>
              </w:rPr>
              <w:t>得6分；</w:t>
            </w:r>
          </w:p>
          <w:p>
            <w:pPr>
              <w:widowControl/>
              <w:numPr>
                <w:ilvl w:val="0"/>
                <w:numId w:val="0"/>
              </w:numPr>
              <w:spacing w:beforeLines="20" w:line="264" w:lineRule="auto"/>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②风险分析基本到位，有简单的解决措施，建议符合要求、内容完整</w:t>
            </w:r>
            <w:r>
              <w:rPr>
                <w:rFonts w:hint="eastAsia" w:ascii="宋体" w:hAnsi="宋体" w:cs="宋体"/>
                <w:sz w:val="21"/>
                <w:szCs w:val="21"/>
                <w:highlight w:val="none"/>
                <w:lang w:val="en-US" w:eastAsia="zh-CN"/>
              </w:rPr>
              <w:t>的</w:t>
            </w:r>
            <w:r>
              <w:rPr>
                <w:rFonts w:hint="eastAsia" w:ascii="宋体" w:hAnsi="宋体" w:eastAsia="宋体" w:cs="宋体"/>
                <w:sz w:val="21"/>
                <w:szCs w:val="21"/>
                <w:highlight w:val="none"/>
                <w:lang w:val="en-US" w:eastAsia="zh-CN"/>
              </w:rPr>
              <w:t>得</w:t>
            </w:r>
            <w:r>
              <w:rPr>
                <w:rFonts w:hint="eastAsia" w:ascii="宋体" w:hAnsi="宋体" w:cs="宋体"/>
                <w:sz w:val="21"/>
                <w:szCs w:val="21"/>
                <w:highlight w:val="none"/>
                <w:lang w:val="en-US" w:eastAsia="zh-CN"/>
              </w:rPr>
              <w:t>4</w:t>
            </w:r>
            <w:r>
              <w:rPr>
                <w:rFonts w:hint="eastAsia" w:ascii="宋体" w:hAnsi="宋体" w:eastAsia="宋体" w:cs="宋体"/>
                <w:sz w:val="21"/>
                <w:szCs w:val="21"/>
                <w:highlight w:val="none"/>
                <w:lang w:val="en-US" w:eastAsia="zh-CN"/>
              </w:rPr>
              <w:t>分；</w:t>
            </w:r>
          </w:p>
          <w:p>
            <w:pPr>
              <w:widowControl/>
              <w:numPr>
                <w:ilvl w:val="0"/>
                <w:numId w:val="0"/>
              </w:numPr>
              <w:spacing w:beforeLines="20" w:line="264" w:lineRule="auto"/>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③风险分析片面、缺乏针对性的解决措施或明显与项目实际情况有偏离的得</w:t>
            </w:r>
            <w:r>
              <w:rPr>
                <w:rFonts w:hint="eastAsia" w:ascii="宋体" w:hAnsi="宋体" w:cs="宋体"/>
                <w:sz w:val="21"/>
                <w:szCs w:val="21"/>
                <w:highlight w:val="none"/>
                <w:lang w:val="en-US" w:eastAsia="zh-CN"/>
              </w:rPr>
              <w:t>2</w:t>
            </w:r>
            <w:r>
              <w:rPr>
                <w:rFonts w:hint="eastAsia" w:ascii="宋体" w:hAnsi="宋体" w:eastAsia="宋体" w:cs="宋体"/>
                <w:sz w:val="21"/>
                <w:szCs w:val="21"/>
                <w:highlight w:val="none"/>
                <w:lang w:val="en-US" w:eastAsia="zh-CN"/>
              </w:rPr>
              <w:t>分</w:t>
            </w:r>
            <w:r>
              <w:rPr>
                <w:rFonts w:hint="eastAsia" w:ascii="宋体" w:hAnsi="宋体" w:cs="宋体"/>
                <w:sz w:val="21"/>
                <w:szCs w:val="21"/>
                <w:highlight w:val="none"/>
                <w:lang w:val="en-US" w:eastAsia="zh-CN"/>
              </w:rPr>
              <w:t>；</w:t>
            </w:r>
          </w:p>
          <w:p>
            <w:pPr>
              <w:widowControl/>
              <w:numPr>
                <w:ilvl w:val="0"/>
                <w:numId w:val="0"/>
              </w:numPr>
              <w:spacing w:beforeLines="20" w:line="264"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④未提供相关内容不得分。</w:t>
            </w:r>
          </w:p>
        </w:tc>
        <w:tc>
          <w:tcPr>
            <w:tcW w:w="961" w:type="dxa"/>
            <w:tcBorders>
              <w:top w:val="single" w:color="auto" w:sz="6" w:space="0"/>
              <w:left w:val="single" w:color="auto" w:sz="6" w:space="0"/>
              <w:bottom w:val="single" w:color="auto" w:sz="6" w:space="0"/>
              <w:right w:val="single" w:color="auto" w:sz="6" w:space="0"/>
            </w:tcBorders>
            <w:shd w:val="clear" w:color="auto" w:fill="auto"/>
            <w:noWrap/>
            <w:vAlign w:val="center"/>
          </w:tcPr>
          <w:p>
            <w:pPr>
              <w:spacing w:line="320" w:lineRule="exac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2" w:hRule="atLeast"/>
          <w:jc w:val="center"/>
        </w:trPr>
        <w:tc>
          <w:tcPr>
            <w:tcW w:w="879" w:type="dxa"/>
            <w:vMerge w:val="continue"/>
            <w:tcBorders>
              <w:left w:val="single" w:color="auto" w:sz="4" w:space="0"/>
              <w:right w:val="single" w:color="auto" w:sz="6" w:space="0"/>
            </w:tcBorders>
            <w:noWrap/>
            <w:vAlign w:val="center"/>
          </w:tcPr>
          <w:p>
            <w:pPr>
              <w:spacing w:line="320" w:lineRule="exact"/>
              <w:jc w:val="center"/>
              <w:rPr>
                <w:rFonts w:hint="eastAsia" w:ascii="宋体" w:hAnsi="宋体" w:eastAsia="宋体" w:cs="宋体"/>
                <w:sz w:val="21"/>
                <w:szCs w:val="21"/>
                <w:highlight w:val="none"/>
              </w:rPr>
            </w:pPr>
          </w:p>
        </w:tc>
        <w:tc>
          <w:tcPr>
            <w:tcW w:w="7259"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numPr>
                <w:ilvl w:val="0"/>
                <w:numId w:val="0"/>
              </w:numPr>
              <w:spacing w:beforeLines="20" w:line="264" w:lineRule="auto"/>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3、对本项目重点难点的分析</w:t>
            </w:r>
            <w:r>
              <w:rPr>
                <w:rFonts w:hint="eastAsia" w:ascii="宋体" w:hAnsi="宋体" w:eastAsia="宋体" w:cs="宋体"/>
                <w:sz w:val="21"/>
                <w:szCs w:val="21"/>
                <w:highlight w:val="none"/>
              </w:rPr>
              <w:t>（包括但不限于理赔速度要求、理赔材料的收集审核、与外地被保险人的联系及信息沟通等）</w:t>
            </w:r>
            <w:r>
              <w:rPr>
                <w:rFonts w:hint="eastAsia" w:ascii="宋体" w:hAnsi="宋体" w:eastAsia="宋体" w:cs="宋体"/>
                <w:sz w:val="21"/>
                <w:szCs w:val="21"/>
                <w:highlight w:val="none"/>
                <w:lang w:val="en-US" w:eastAsia="zh-CN"/>
              </w:rPr>
              <w:t>进行综合评议</w:t>
            </w:r>
          </w:p>
          <w:p>
            <w:pPr>
              <w:widowControl/>
              <w:numPr>
                <w:ilvl w:val="0"/>
                <w:numId w:val="0"/>
              </w:numPr>
              <w:spacing w:beforeLines="20" w:line="264" w:lineRule="auto"/>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①对</w:t>
            </w:r>
            <w:r>
              <w:rPr>
                <w:rFonts w:hint="eastAsia" w:ascii="宋体" w:hAnsi="宋体" w:eastAsia="宋体" w:cs="宋体"/>
                <w:sz w:val="21"/>
                <w:szCs w:val="21"/>
                <w:highlight w:val="none"/>
                <w:lang w:val="en-US" w:eastAsia="zh-CN"/>
              </w:rPr>
              <w:t>本项目重点难点分析深入到位、准确、解决方案逻辑清晰，</w:t>
            </w:r>
            <w:r>
              <w:rPr>
                <w:rFonts w:hint="eastAsia" w:ascii="宋体" w:hAnsi="宋体" w:eastAsia="宋体" w:cs="宋体"/>
                <w:sz w:val="21"/>
                <w:szCs w:val="21"/>
                <w:highlight w:val="none"/>
              </w:rPr>
              <w:t>并给出针对性的</w:t>
            </w:r>
            <w:r>
              <w:rPr>
                <w:rFonts w:hint="eastAsia" w:ascii="宋体" w:hAnsi="宋体" w:eastAsia="宋体" w:cs="宋体"/>
                <w:sz w:val="21"/>
                <w:szCs w:val="21"/>
                <w:highlight w:val="none"/>
                <w:lang w:val="en-US" w:eastAsia="zh-CN"/>
              </w:rPr>
              <w:t>建议</w:t>
            </w:r>
            <w:r>
              <w:rPr>
                <w:rFonts w:hint="eastAsia" w:ascii="宋体" w:hAnsi="宋体" w:eastAsia="宋体" w:cs="宋体"/>
                <w:sz w:val="21"/>
                <w:szCs w:val="21"/>
                <w:highlight w:val="none"/>
              </w:rPr>
              <w:t>，符合本项目实际</w:t>
            </w:r>
            <w:r>
              <w:rPr>
                <w:rFonts w:hint="eastAsia" w:ascii="宋体" w:hAnsi="宋体" w:eastAsia="宋体" w:cs="宋体"/>
                <w:sz w:val="21"/>
                <w:szCs w:val="21"/>
                <w:highlight w:val="none"/>
                <w:lang w:val="en-US" w:eastAsia="zh-CN"/>
              </w:rPr>
              <w:t>情况</w:t>
            </w:r>
            <w:r>
              <w:rPr>
                <w:rFonts w:hint="eastAsia" w:ascii="宋体" w:hAnsi="宋体" w:eastAsia="宋体" w:cs="宋体"/>
                <w:sz w:val="21"/>
                <w:szCs w:val="21"/>
                <w:highlight w:val="none"/>
              </w:rPr>
              <w:t>、内容完整</w:t>
            </w:r>
            <w:r>
              <w:rPr>
                <w:rFonts w:hint="eastAsia" w:ascii="宋体" w:hAnsi="宋体" w:cs="宋体"/>
                <w:sz w:val="21"/>
                <w:szCs w:val="21"/>
                <w:highlight w:val="none"/>
                <w:lang w:eastAsia="zh-CN"/>
              </w:rPr>
              <w:t>的</w:t>
            </w:r>
            <w:r>
              <w:rPr>
                <w:rFonts w:hint="eastAsia" w:ascii="宋体" w:hAnsi="宋体" w:eastAsia="宋体" w:cs="宋体"/>
                <w:sz w:val="21"/>
                <w:szCs w:val="21"/>
                <w:highlight w:val="none"/>
                <w:lang w:val="en-US" w:eastAsia="zh-CN"/>
              </w:rPr>
              <w:t>得8分；</w:t>
            </w:r>
          </w:p>
          <w:p>
            <w:pPr>
              <w:widowControl/>
              <w:numPr>
                <w:ilvl w:val="0"/>
                <w:numId w:val="0"/>
              </w:numPr>
              <w:spacing w:beforeLines="20" w:line="264" w:lineRule="auto"/>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②对</w:t>
            </w:r>
            <w:r>
              <w:rPr>
                <w:rFonts w:hint="eastAsia" w:ascii="宋体" w:hAnsi="宋体" w:eastAsia="宋体" w:cs="宋体"/>
                <w:sz w:val="21"/>
                <w:szCs w:val="21"/>
                <w:highlight w:val="none"/>
                <w:lang w:val="en-US" w:eastAsia="zh-CN"/>
              </w:rPr>
              <w:t>本项目重点难点分析基本到位，</w:t>
            </w:r>
            <w:r>
              <w:rPr>
                <w:rFonts w:hint="eastAsia" w:ascii="宋体" w:hAnsi="宋体" w:eastAsia="宋体" w:cs="宋体"/>
                <w:sz w:val="21"/>
                <w:szCs w:val="21"/>
                <w:highlight w:val="none"/>
              </w:rPr>
              <w:t>解决措施</w:t>
            </w:r>
            <w:r>
              <w:rPr>
                <w:rFonts w:hint="eastAsia" w:ascii="宋体" w:hAnsi="宋体" w:eastAsia="宋体" w:cs="宋体"/>
                <w:sz w:val="21"/>
                <w:szCs w:val="21"/>
                <w:highlight w:val="none"/>
                <w:lang w:val="en-US" w:eastAsia="zh-CN"/>
              </w:rPr>
              <w:t>简单</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提出的建议基本</w:t>
            </w:r>
            <w:r>
              <w:rPr>
                <w:rFonts w:hint="eastAsia" w:ascii="宋体" w:hAnsi="宋体" w:eastAsia="宋体" w:cs="宋体"/>
                <w:sz w:val="21"/>
                <w:szCs w:val="21"/>
                <w:highlight w:val="none"/>
              </w:rPr>
              <w:t>符合要求、内容</w:t>
            </w:r>
            <w:r>
              <w:rPr>
                <w:rFonts w:hint="eastAsia" w:ascii="宋体" w:hAnsi="宋体" w:eastAsia="宋体" w:cs="宋体"/>
                <w:sz w:val="21"/>
                <w:szCs w:val="21"/>
                <w:highlight w:val="none"/>
                <w:lang w:val="en-US" w:eastAsia="zh-CN"/>
              </w:rPr>
              <w:t>较</w:t>
            </w:r>
            <w:r>
              <w:rPr>
                <w:rFonts w:hint="eastAsia" w:ascii="宋体" w:hAnsi="宋体" w:eastAsia="宋体" w:cs="宋体"/>
                <w:sz w:val="21"/>
                <w:szCs w:val="21"/>
                <w:highlight w:val="none"/>
              </w:rPr>
              <w:t>完整</w:t>
            </w:r>
            <w:r>
              <w:rPr>
                <w:rFonts w:hint="eastAsia" w:ascii="宋体" w:hAnsi="宋体" w:cs="宋体"/>
                <w:sz w:val="21"/>
                <w:szCs w:val="21"/>
                <w:highlight w:val="none"/>
                <w:lang w:eastAsia="zh-CN"/>
              </w:rPr>
              <w:t>的</w:t>
            </w:r>
            <w:r>
              <w:rPr>
                <w:rFonts w:hint="eastAsia" w:ascii="宋体" w:hAnsi="宋体" w:eastAsia="宋体" w:cs="宋体"/>
                <w:sz w:val="21"/>
                <w:szCs w:val="21"/>
                <w:highlight w:val="none"/>
                <w:lang w:val="en-US" w:eastAsia="zh-CN"/>
              </w:rPr>
              <w:t>得</w:t>
            </w:r>
            <w:r>
              <w:rPr>
                <w:rFonts w:hint="eastAsia" w:ascii="宋体" w:hAnsi="宋体" w:cs="宋体"/>
                <w:sz w:val="21"/>
                <w:szCs w:val="21"/>
                <w:highlight w:val="none"/>
                <w:lang w:val="en-US" w:eastAsia="zh-CN"/>
              </w:rPr>
              <w:t>6</w:t>
            </w:r>
            <w:r>
              <w:rPr>
                <w:rFonts w:hint="eastAsia" w:ascii="宋体" w:hAnsi="宋体" w:eastAsia="宋体" w:cs="宋体"/>
                <w:sz w:val="21"/>
                <w:szCs w:val="21"/>
                <w:highlight w:val="none"/>
                <w:lang w:val="en-US" w:eastAsia="zh-CN"/>
              </w:rPr>
              <w:t>分；</w:t>
            </w:r>
          </w:p>
          <w:p>
            <w:pPr>
              <w:widowControl/>
              <w:numPr>
                <w:ilvl w:val="0"/>
                <w:numId w:val="0"/>
              </w:numPr>
              <w:spacing w:beforeLines="20" w:line="264" w:lineRule="auto"/>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③</w:t>
            </w:r>
            <w:r>
              <w:rPr>
                <w:rFonts w:hint="eastAsia" w:ascii="宋体" w:hAnsi="宋体" w:eastAsia="宋体" w:cs="宋体"/>
                <w:sz w:val="21"/>
                <w:szCs w:val="21"/>
                <w:highlight w:val="none"/>
                <w:lang w:val="en-US" w:eastAsia="zh-CN"/>
              </w:rPr>
              <w:t>重点难点</w:t>
            </w:r>
            <w:r>
              <w:rPr>
                <w:rFonts w:hint="eastAsia" w:ascii="宋体" w:hAnsi="宋体" w:eastAsia="宋体" w:cs="宋体"/>
                <w:sz w:val="21"/>
                <w:szCs w:val="21"/>
                <w:highlight w:val="none"/>
              </w:rPr>
              <w:t>分</w:t>
            </w:r>
            <w:r>
              <w:rPr>
                <w:rFonts w:hint="eastAsia" w:ascii="宋体" w:hAnsi="宋体" w:eastAsia="宋体" w:cs="宋体"/>
                <w:sz w:val="21"/>
                <w:szCs w:val="21"/>
                <w:highlight w:val="none"/>
                <w:lang w:val="en-US" w:eastAsia="zh-CN"/>
              </w:rPr>
              <w:t>析片面、缺乏针对性的解决措施，或明显与项目实际情况有偏离的得</w:t>
            </w:r>
            <w:r>
              <w:rPr>
                <w:rFonts w:hint="eastAsia" w:ascii="宋体" w:hAnsi="宋体" w:cs="宋体"/>
                <w:sz w:val="21"/>
                <w:szCs w:val="21"/>
                <w:highlight w:val="none"/>
                <w:lang w:val="en-US" w:eastAsia="zh-CN"/>
              </w:rPr>
              <w:t>4</w:t>
            </w:r>
            <w:r>
              <w:rPr>
                <w:rFonts w:hint="eastAsia" w:ascii="宋体" w:hAnsi="宋体" w:eastAsia="宋体" w:cs="宋体"/>
                <w:sz w:val="21"/>
                <w:szCs w:val="21"/>
                <w:highlight w:val="none"/>
                <w:lang w:val="en-US" w:eastAsia="zh-CN"/>
              </w:rPr>
              <w:t>分；</w:t>
            </w:r>
          </w:p>
          <w:p>
            <w:pPr>
              <w:widowControl/>
              <w:numPr>
                <w:ilvl w:val="0"/>
                <w:numId w:val="0"/>
              </w:numPr>
              <w:spacing w:beforeLines="20" w:line="264" w:lineRule="auto"/>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④未提供相关内容不得分。</w:t>
            </w:r>
          </w:p>
        </w:tc>
        <w:tc>
          <w:tcPr>
            <w:tcW w:w="961" w:type="dxa"/>
            <w:tcBorders>
              <w:top w:val="single" w:color="auto" w:sz="6" w:space="0"/>
              <w:left w:val="single" w:color="auto" w:sz="6" w:space="0"/>
              <w:bottom w:val="single" w:color="auto" w:sz="6" w:space="0"/>
              <w:right w:val="single" w:color="auto" w:sz="6" w:space="0"/>
            </w:tcBorders>
            <w:shd w:val="clear" w:color="auto" w:fill="auto"/>
            <w:noWrap/>
            <w:vAlign w:val="center"/>
          </w:tcPr>
          <w:p>
            <w:pPr>
              <w:spacing w:line="320" w:lineRule="exac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2" w:hRule="atLeast"/>
          <w:jc w:val="center"/>
        </w:trPr>
        <w:tc>
          <w:tcPr>
            <w:tcW w:w="879" w:type="dxa"/>
            <w:vMerge w:val="continue"/>
            <w:tcBorders>
              <w:left w:val="single" w:color="auto" w:sz="4" w:space="0"/>
              <w:right w:val="single" w:color="auto" w:sz="6" w:space="0"/>
            </w:tcBorders>
            <w:noWrap/>
            <w:vAlign w:val="center"/>
          </w:tcPr>
          <w:p>
            <w:pPr>
              <w:spacing w:line="320" w:lineRule="exact"/>
              <w:jc w:val="center"/>
              <w:rPr>
                <w:rFonts w:hint="eastAsia" w:ascii="宋体" w:hAnsi="宋体" w:eastAsia="宋体" w:cs="宋体"/>
                <w:color w:val="FF0000"/>
                <w:sz w:val="21"/>
                <w:szCs w:val="21"/>
                <w:highlight w:val="none"/>
              </w:rPr>
            </w:pPr>
          </w:p>
        </w:tc>
        <w:tc>
          <w:tcPr>
            <w:tcW w:w="7259"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numPr>
                <w:ilvl w:val="0"/>
                <w:numId w:val="0"/>
              </w:numPr>
              <w:spacing w:beforeLines="20" w:line="264" w:lineRule="auto"/>
              <w:ind w:left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4、</w:t>
            </w:r>
            <w:r>
              <w:rPr>
                <w:rFonts w:hint="eastAsia" w:ascii="宋体" w:hAnsi="宋体" w:eastAsia="宋体" w:cs="宋体"/>
                <w:sz w:val="21"/>
                <w:szCs w:val="21"/>
                <w:highlight w:val="none"/>
              </w:rPr>
              <w:t>投标人针对本项目的保险方案（主要包含针对本项目</w:t>
            </w:r>
            <w:r>
              <w:rPr>
                <w:rFonts w:hint="eastAsia" w:ascii="宋体" w:hAnsi="宋体" w:eastAsia="宋体" w:cs="宋体"/>
                <w:sz w:val="21"/>
                <w:szCs w:val="21"/>
                <w:highlight w:val="none"/>
                <w:lang w:val="en-US" w:eastAsia="zh-CN"/>
              </w:rPr>
              <w:t>招标文件</w:t>
            </w:r>
            <w:r>
              <w:rPr>
                <w:rFonts w:hint="eastAsia" w:ascii="宋体" w:hAnsi="宋体" w:eastAsia="宋体" w:cs="宋体"/>
                <w:sz w:val="21"/>
                <w:szCs w:val="21"/>
                <w:highlight w:val="none"/>
              </w:rPr>
              <w:t>第二部分“招标项目需求”中的“技术要求”</w:t>
            </w:r>
            <w:r>
              <w:rPr>
                <w:rFonts w:hint="eastAsia" w:ascii="宋体" w:hAnsi="宋体" w:eastAsia="宋体" w:cs="宋体"/>
                <w:sz w:val="21"/>
                <w:szCs w:val="21"/>
                <w:highlight w:val="none"/>
                <w:lang w:val="en-US" w:eastAsia="zh-CN"/>
              </w:rPr>
              <w:t>中</w:t>
            </w:r>
            <w:r>
              <w:rPr>
                <w:rFonts w:hint="eastAsia" w:ascii="宋体" w:hAnsi="宋体" w:eastAsia="宋体" w:cs="宋体"/>
                <w:sz w:val="21"/>
                <w:szCs w:val="21"/>
                <w:highlight w:val="none"/>
              </w:rPr>
              <w:t>的相关保险条款）</w:t>
            </w:r>
          </w:p>
          <w:p>
            <w:pPr>
              <w:widowControl/>
              <w:numPr>
                <w:ilvl w:val="0"/>
                <w:numId w:val="0"/>
              </w:numPr>
              <w:spacing w:beforeLines="20" w:line="264" w:lineRule="auto"/>
              <w:ind w:left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①保险方案详尽、具有针对性、逻辑清晰，满足采购需求的得6分；</w:t>
            </w:r>
          </w:p>
          <w:p>
            <w:pPr>
              <w:widowControl/>
              <w:numPr>
                <w:ilvl w:val="0"/>
                <w:numId w:val="0"/>
              </w:numPr>
              <w:spacing w:beforeLines="20" w:line="264" w:lineRule="auto"/>
              <w:ind w:left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②保险方案较为详尽、具有一定针对性、基本符合采购需求的得4分；</w:t>
            </w:r>
          </w:p>
          <w:p>
            <w:pPr>
              <w:widowControl/>
              <w:numPr>
                <w:ilvl w:val="0"/>
                <w:numId w:val="0"/>
              </w:numPr>
              <w:spacing w:beforeLines="20" w:line="264" w:lineRule="auto"/>
              <w:ind w:left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③保险方案简单、存在缺陷、与采购需求存在一定偏差的得2分；</w:t>
            </w:r>
          </w:p>
          <w:p>
            <w:pPr>
              <w:pStyle w:val="17"/>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④未提供相关内容不得分。</w:t>
            </w:r>
          </w:p>
        </w:tc>
        <w:tc>
          <w:tcPr>
            <w:tcW w:w="961" w:type="dxa"/>
            <w:tcBorders>
              <w:top w:val="single" w:color="auto" w:sz="6" w:space="0"/>
              <w:left w:val="single" w:color="auto" w:sz="6" w:space="0"/>
              <w:bottom w:val="single" w:color="auto" w:sz="6" w:space="0"/>
              <w:right w:val="single" w:color="auto" w:sz="6" w:space="0"/>
            </w:tcBorders>
            <w:shd w:val="clear" w:color="auto" w:fill="auto"/>
            <w:noWrap/>
            <w:vAlign w:val="center"/>
          </w:tcPr>
          <w:p>
            <w:pPr>
              <w:spacing w:line="320" w:lineRule="exact"/>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6" w:hRule="atLeast"/>
          <w:jc w:val="center"/>
        </w:trPr>
        <w:tc>
          <w:tcPr>
            <w:tcW w:w="879" w:type="dxa"/>
            <w:vMerge w:val="continue"/>
            <w:tcBorders>
              <w:top w:val="single" w:color="auto" w:sz="6" w:space="0"/>
              <w:left w:val="single" w:color="auto" w:sz="4" w:space="0"/>
              <w:bottom w:val="single" w:color="auto" w:sz="6" w:space="0"/>
              <w:right w:val="single" w:color="auto" w:sz="6" w:space="0"/>
            </w:tcBorders>
            <w:noWrap/>
            <w:vAlign w:val="center"/>
          </w:tcPr>
          <w:p>
            <w:pPr>
              <w:spacing w:line="320" w:lineRule="exact"/>
              <w:jc w:val="center"/>
              <w:rPr>
                <w:rFonts w:hint="eastAsia" w:ascii="宋体" w:hAnsi="宋体" w:eastAsia="宋体" w:cs="宋体"/>
                <w:color w:val="FF0000"/>
                <w:sz w:val="21"/>
                <w:szCs w:val="21"/>
                <w:highlight w:val="none"/>
              </w:rPr>
            </w:pPr>
          </w:p>
        </w:tc>
        <w:tc>
          <w:tcPr>
            <w:tcW w:w="7259"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numPr>
                <w:ilvl w:val="0"/>
                <w:numId w:val="0"/>
              </w:numPr>
              <w:spacing w:beforeLines="20" w:line="264" w:lineRule="auto"/>
              <w:ind w:leftChars="0"/>
              <w:jc w:val="left"/>
              <w:rPr>
                <w:rFonts w:hint="default" w:ascii="宋体" w:hAnsi="宋体" w:eastAsia="宋体" w:cs="宋体"/>
                <w:sz w:val="21"/>
                <w:szCs w:val="21"/>
                <w:highlight w:val="none"/>
                <w:lang w:val="en-US"/>
              </w:rPr>
            </w:pPr>
            <w:r>
              <w:rPr>
                <w:rFonts w:hint="eastAsia" w:ascii="宋体" w:hAnsi="宋体" w:eastAsia="宋体" w:cs="宋体"/>
                <w:sz w:val="21"/>
                <w:szCs w:val="21"/>
                <w:highlight w:val="none"/>
                <w:lang w:val="en-US" w:eastAsia="zh-CN"/>
              </w:rPr>
              <w:t>5、</w:t>
            </w:r>
            <w:r>
              <w:rPr>
                <w:rFonts w:hint="eastAsia" w:ascii="宋体" w:hAnsi="宋体" w:eastAsia="宋体" w:cs="宋体"/>
                <w:sz w:val="21"/>
                <w:szCs w:val="21"/>
                <w:highlight w:val="none"/>
              </w:rPr>
              <w:t>投标人针对本项目的售后服务体系方案</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包括但不限于</w:t>
            </w:r>
            <w:r>
              <w:rPr>
                <w:rFonts w:hint="eastAsia" w:ascii="宋体" w:hAnsi="宋体" w:eastAsia="宋体" w:cs="宋体"/>
                <w:sz w:val="21"/>
                <w:szCs w:val="21"/>
                <w:highlight w:val="none"/>
                <w:lang w:val="en-US" w:eastAsia="zh-CN"/>
              </w:rPr>
              <w:t>加强项目</w:t>
            </w:r>
            <w:r>
              <w:rPr>
                <w:rFonts w:hint="eastAsia" w:ascii="宋体" w:hAnsi="宋体" w:eastAsia="宋体" w:cs="宋体"/>
                <w:sz w:val="21"/>
                <w:szCs w:val="21"/>
                <w:highlight w:val="none"/>
              </w:rPr>
              <w:t>管理、</w:t>
            </w:r>
            <w:r>
              <w:rPr>
                <w:rFonts w:hint="eastAsia" w:ascii="宋体" w:hAnsi="宋体" w:eastAsia="宋体" w:cs="宋体"/>
                <w:sz w:val="21"/>
                <w:szCs w:val="21"/>
                <w:highlight w:val="none"/>
                <w:lang w:val="en-US" w:eastAsia="zh-CN"/>
              </w:rPr>
              <w:t>完善</w:t>
            </w:r>
            <w:r>
              <w:rPr>
                <w:rFonts w:hint="eastAsia" w:ascii="宋体" w:hAnsi="宋体" w:eastAsia="宋体" w:cs="宋体"/>
                <w:sz w:val="21"/>
                <w:szCs w:val="21"/>
                <w:highlight w:val="none"/>
              </w:rPr>
              <w:t>服务团队，与</w:t>
            </w:r>
            <w:r>
              <w:rPr>
                <w:rFonts w:hint="eastAsia" w:ascii="宋体" w:hAnsi="宋体" w:eastAsia="宋体" w:cs="宋体"/>
                <w:sz w:val="21"/>
                <w:szCs w:val="21"/>
                <w:highlight w:val="none"/>
                <w:lang w:val="en-US" w:eastAsia="zh-CN"/>
              </w:rPr>
              <w:t>采购人</w:t>
            </w:r>
            <w:r>
              <w:rPr>
                <w:rFonts w:hint="eastAsia" w:ascii="宋体" w:hAnsi="宋体" w:eastAsia="宋体" w:cs="宋体"/>
                <w:sz w:val="21"/>
                <w:szCs w:val="21"/>
                <w:highlight w:val="none"/>
              </w:rPr>
              <w:t>高效沟通对接，对保险合同履行过程中出现的重要信息即时告知，根据</w:t>
            </w:r>
            <w:r>
              <w:rPr>
                <w:rFonts w:hint="eastAsia" w:ascii="宋体" w:hAnsi="宋体" w:eastAsia="宋体" w:cs="宋体"/>
                <w:sz w:val="21"/>
                <w:szCs w:val="21"/>
                <w:highlight w:val="none"/>
                <w:lang w:val="en-US" w:eastAsia="zh-CN"/>
              </w:rPr>
              <w:t>采购人</w:t>
            </w:r>
            <w:r>
              <w:rPr>
                <w:rFonts w:hint="eastAsia" w:ascii="宋体" w:hAnsi="宋体" w:eastAsia="宋体" w:cs="宋体"/>
                <w:sz w:val="21"/>
                <w:szCs w:val="21"/>
                <w:highlight w:val="none"/>
              </w:rPr>
              <w:t>的要求及时汇总反馈理赔情况、提供理赔款支付证明等材料</w:t>
            </w:r>
            <w:r>
              <w:rPr>
                <w:rFonts w:hint="eastAsia" w:ascii="宋体" w:hAnsi="宋体" w:eastAsia="宋体" w:cs="宋体"/>
                <w:sz w:val="21"/>
                <w:szCs w:val="21"/>
                <w:highlight w:val="none"/>
                <w:lang w:eastAsia="zh-CN"/>
              </w:rPr>
              <w:t>）</w:t>
            </w:r>
            <w:r>
              <w:rPr>
                <w:rFonts w:hint="eastAsia" w:ascii="宋体" w:hAnsi="宋体" w:cs="宋体"/>
                <w:sz w:val="21"/>
                <w:szCs w:val="21"/>
                <w:highlight w:val="none"/>
                <w:lang w:val="en-US" w:eastAsia="zh-CN"/>
              </w:rPr>
              <w:t>进行综合评议</w:t>
            </w:r>
          </w:p>
          <w:p>
            <w:pPr>
              <w:widowControl/>
              <w:numPr>
                <w:ilvl w:val="0"/>
                <w:numId w:val="0"/>
              </w:numPr>
              <w:spacing w:beforeLines="20" w:line="264" w:lineRule="auto"/>
              <w:ind w:leftChars="0"/>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①</w:t>
            </w:r>
            <w:r>
              <w:rPr>
                <w:rFonts w:hint="eastAsia" w:ascii="宋体" w:hAnsi="宋体" w:eastAsia="宋体" w:cs="宋体"/>
                <w:sz w:val="21"/>
                <w:szCs w:val="21"/>
                <w:highlight w:val="none"/>
                <w:lang w:val="en-US" w:eastAsia="zh-CN"/>
              </w:rPr>
              <w:t>项目管理目标思路准确，工作规划流程清晰，管理机构各部门职责划分明确又具有良好的沟通机制方案，能保障项目顺利实施的得8分</w:t>
            </w:r>
          </w:p>
          <w:p>
            <w:pPr>
              <w:widowControl/>
              <w:numPr>
                <w:ilvl w:val="0"/>
                <w:numId w:val="0"/>
              </w:numPr>
              <w:spacing w:beforeLines="20" w:line="264" w:lineRule="auto"/>
              <w:ind w:left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②</w:t>
            </w:r>
            <w:r>
              <w:rPr>
                <w:rFonts w:hint="eastAsia" w:ascii="宋体" w:hAnsi="宋体" w:eastAsia="宋体" w:cs="宋体"/>
                <w:sz w:val="21"/>
                <w:szCs w:val="21"/>
                <w:highlight w:val="none"/>
                <w:lang w:val="en-US" w:eastAsia="zh-CN"/>
              </w:rPr>
              <w:t>管理目标有所偏差，工作规划流程略为复杂，管理机构各部门职责划分略为混乱且沟通机制设立有所欠缺的得</w:t>
            </w:r>
            <w:r>
              <w:rPr>
                <w:rFonts w:hint="eastAsia" w:ascii="宋体" w:hAnsi="宋体" w:cs="宋体"/>
                <w:sz w:val="21"/>
                <w:szCs w:val="21"/>
                <w:highlight w:val="none"/>
                <w:lang w:val="en-US" w:eastAsia="zh-CN"/>
              </w:rPr>
              <w:t>6</w:t>
            </w:r>
            <w:r>
              <w:rPr>
                <w:rFonts w:hint="eastAsia" w:ascii="宋体" w:hAnsi="宋体" w:eastAsia="宋体" w:cs="宋体"/>
                <w:sz w:val="21"/>
                <w:szCs w:val="21"/>
                <w:highlight w:val="none"/>
                <w:lang w:val="en-US" w:eastAsia="zh-CN"/>
              </w:rPr>
              <w:t>分</w:t>
            </w:r>
            <w:r>
              <w:rPr>
                <w:rFonts w:hint="eastAsia" w:ascii="宋体" w:hAnsi="宋体" w:eastAsia="宋体" w:cs="宋体"/>
                <w:sz w:val="21"/>
                <w:szCs w:val="21"/>
                <w:highlight w:val="none"/>
              </w:rPr>
              <w:t>；</w:t>
            </w:r>
          </w:p>
          <w:p>
            <w:pPr>
              <w:widowControl/>
              <w:numPr>
                <w:ilvl w:val="0"/>
                <w:numId w:val="0"/>
              </w:numPr>
              <w:spacing w:beforeLines="20" w:line="264" w:lineRule="auto"/>
              <w:ind w:left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③</w:t>
            </w:r>
            <w:r>
              <w:rPr>
                <w:rFonts w:hint="eastAsia" w:ascii="宋体" w:hAnsi="宋体" w:eastAsia="宋体" w:cs="宋体"/>
                <w:sz w:val="21"/>
                <w:szCs w:val="21"/>
                <w:highlight w:val="none"/>
                <w:lang w:val="en-US" w:eastAsia="zh-CN"/>
              </w:rPr>
              <w:t>管理方案内容不完整不充分，存在缺陷或漏洞，与本项目实际需求有差距的得</w:t>
            </w:r>
            <w:r>
              <w:rPr>
                <w:rFonts w:hint="eastAsia" w:ascii="宋体" w:hAnsi="宋体" w:cs="宋体"/>
                <w:sz w:val="21"/>
                <w:szCs w:val="21"/>
                <w:highlight w:val="none"/>
                <w:lang w:val="en-US" w:eastAsia="zh-CN"/>
              </w:rPr>
              <w:t>4</w:t>
            </w:r>
            <w:r>
              <w:rPr>
                <w:rFonts w:hint="eastAsia" w:ascii="宋体" w:hAnsi="宋体" w:eastAsia="宋体" w:cs="宋体"/>
                <w:sz w:val="21"/>
                <w:szCs w:val="21"/>
                <w:highlight w:val="none"/>
                <w:lang w:val="en-US" w:eastAsia="zh-CN"/>
              </w:rPr>
              <w:t>分</w:t>
            </w:r>
            <w:r>
              <w:rPr>
                <w:rFonts w:hint="eastAsia" w:ascii="宋体" w:hAnsi="宋体" w:eastAsia="宋体" w:cs="宋体"/>
                <w:sz w:val="21"/>
                <w:szCs w:val="21"/>
                <w:highlight w:val="none"/>
              </w:rPr>
              <w:t>；</w:t>
            </w:r>
          </w:p>
          <w:p>
            <w:pPr>
              <w:widowControl/>
              <w:numPr>
                <w:ilvl w:val="0"/>
                <w:numId w:val="0"/>
              </w:numPr>
              <w:spacing w:beforeLines="20" w:line="264" w:lineRule="auto"/>
              <w:ind w:left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④</w:t>
            </w:r>
            <w:r>
              <w:rPr>
                <w:rFonts w:hint="eastAsia" w:ascii="宋体" w:hAnsi="宋体" w:eastAsia="宋体" w:cs="宋体"/>
                <w:sz w:val="21"/>
                <w:szCs w:val="21"/>
                <w:highlight w:val="none"/>
                <w:lang w:eastAsia="zh-CN"/>
              </w:rPr>
              <w:t>未提供相关内容不得分</w:t>
            </w:r>
            <w:r>
              <w:rPr>
                <w:rFonts w:hint="eastAsia" w:ascii="宋体" w:hAnsi="宋体" w:cs="宋体"/>
                <w:sz w:val="21"/>
                <w:szCs w:val="21"/>
                <w:highlight w:val="none"/>
                <w:lang w:eastAsia="zh-CN"/>
              </w:rPr>
              <w:t>。</w:t>
            </w:r>
          </w:p>
        </w:tc>
        <w:tc>
          <w:tcPr>
            <w:tcW w:w="961" w:type="dxa"/>
            <w:tcBorders>
              <w:top w:val="single" w:color="auto" w:sz="6" w:space="0"/>
              <w:left w:val="single" w:color="auto" w:sz="6" w:space="0"/>
              <w:bottom w:val="single" w:color="auto" w:sz="6" w:space="0"/>
              <w:right w:val="single" w:color="auto" w:sz="6" w:space="0"/>
            </w:tcBorders>
            <w:shd w:val="clear" w:color="auto" w:fill="auto"/>
            <w:noWrap/>
            <w:vAlign w:val="center"/>
          </w:tcPr>
          <w:p>
            <w:pPr>
              <w:spacing w:line="320" w:lineRule="exact"/>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2" w:hRule="atLeast"/>
          <w:jc w:val="center"/>
        </w:trPr>
        <w:tc>
          <w:tcPr>
            <w:tcW w:w="879" w:type="dxa"/>
            <w:vMerge w:val="continue"/>
            <w:tcBorders>
              <w:top w:val="single" w:color="auto" w:sz="6" w:space="0"/>
              <w:left w:val="single" w:color="auto" w:sz="4" w:space="0"/>
              <w:bottom w:val="single" w:color="auto" w:sz="6" w:space="0"/>
              <w:right w:val="single" w:color="auto" w:sz="6" w:space="0"/>
            </w:tcBorders>
            <w:shd w:val="clear" w:color="auto" w:fill="auto"/>
            <w:noWrap/>
            <w:vAlign w:val="center"/>
          </w:tcPr>
          <w:p>
            <w:pPr>
              <w:spacing w:line="320" w:lineRule="exact"/>
              <w:jc w:val="center"/>
              <w:rPr>
                <w:rFonts w:hint="eastAsia" w:ascii="宋体" w:hAnsi="宋体" w:eastAsia="宋体" w:cs="宋体"/>
                <w:color w:val="FF0000"/>
                <w:sz w:val="21"/>
                <w:szCs w:val="21"/>
                <w:highlight w:val="none"/>
              </w:rPr>
            </w:pPr>
          </w:p>
        </w:tc>
        <w:tc>
          <w:tcPr>
            <w:tcW w:w="7259"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pacing w:beforeLines="20" w:line="264"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6</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根据</w:t>
            </w:r>
            <w:r>
              <w:rPr>
                <w:rFonts w:hint="eastAsia" w:ascii="宋体" w:hAnsi="宋体" w:eastAsia="宋体" w:cs="宋体"/>
                <w:sz w:val="21"/>
                <w:szCs w:val="21"/>
                <w:highlight w:val="none"/>
              </w:rPr>
              <w:t>投标人</w:t>
            </w:r>
            <w:r>
              <w:rPr>
                <w:rFonts w:hint="eastAsia" w:ascii="宋体" w:hAnsi="宋体" w:eastAsia="宋体" w:cs="宋体"/>
                <w:sz w:val="21"/>
                <w:szCs w:val="21"/>
                <w:highlight w:val="none"/>
                <w:lang w:val="en-US" w:eastAsia="zh-CN"/>
              </w:rPr>
              <w:t>在满足招标项目需求中最低保险金额（1500万元）基础上提供的</w:t>
            </w:r>
            <w:r>
              <w:rPr>
                <w:rFonts w:hint="eastAsia" w:ascii="宋体" w:hAnsi="宋体" w:eastAsia="宋体" w:cs="宋体"/>
                <w:sz w:val="21"/>
                <w:szCs w:val="21"/>
                <w:highlight w:val="none"/>
              </w:rPr>
              <w:t>保险金额高低进行排序，最高的排序第一得5分，每降低一个名次扣1分（即第二名4分、以此类推），扣完为止。</w:t>
            </w:r>
          </w:p>
        </w:tc>
        <w:tc>
          <w:tcPr>
            <w:tcW w:w="961" w:type="dxa"/>
            <w:tcBorders>
              <w:top w:val="single" w:color="auto" w:sz="6" w:space="0"/>
              <w:left w:val="single" w:color="auto" w:sz="6" w:space="0"/>
              <w:bottom w:val="single" w:color="auto" w:sz="6" w:space="0"/>
              <w:right w:val="single" w:color="auto" w:sz="6" w:space="0"/>
            </w:tcBorders>
            <w:shd w:val="clear" w:color="auto" w:fill="auto"/>
            <w:noWrap/>
            <w:vAlign w:val="center"/>
          </w:tcPr>
          <w:p>
            <w:pPr>
              <w:spacing w:line="32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8" w:hRule="atLeast"/>
          <w:jc w:val="center"/>
        </w:trPr>
        <w:tc>
          <w:tcPr>
            <w:tcW w:w="879" w:type="dxa"/>
            <w:vMerge w:val="continue"/>
            <w:tcBorders>
              <w:top w:val="single" w:color="auto" w:sz="6" w:space="0"/>
              <w:left w:val="single" w:color="auto" w:sz="4" w:space="0"/>
              <w:bottom w:val="single" w:color="auto" w:sz="6" w:space="0"/>
              <w:right w:val="single" w:color="auto" w:sz="6" w:space="0"/>
            </w:tcBorders>
            <w:shd w:val="clear" w:color="auto" w:fill="auto"/>
            <w:noWrap/>
            <w:vAlign w:val="center"/>
          </w:tcPr>
          <w:p>
            <w:pPr>
              <w:spacing w:line="320" w:lineRule="exact"/>
              <w:jc w:val="center"/>
              <w:rPr>
                <w:rFonts w:hint="eastAsia" w:ascii="宋体" w:hAnsi="宋体" w:eastAsia="宋体" w:cs="宋体"/>
                <w:color w:val="FF0000"/>
                <w:sz w:val="21"/>
                <w:szCs w:val="21"/>
                <w:highlight w:val="none"/>
              </w:rPr>
            </w:pPr>
          </w:p>
        </w:tc>
        <w:tc>
          <w:tcPr>
            <w:tcW w:w="7259"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pacing w:beforeLines="20" w:line="264"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7</w:t>
            </w:r>
            <w:r>
              <w:rPr>
                <w:rFonts w:hint="eastAsia" w:ascii="宋体" w:hAnsi="宋体" w:eastAsia="宋体" w:cs="宋体"/>
                <w:sz w:val="21"/>
                <w:szCs w:val="21"/>
                <w:highlight w:val="none"/>
              </w:rPr>
              <w:t>、投标人总公司的综合偿付能力充足率为100%的，得2分；在此基础上每提高20%</w:t>
            </w:r>
            <w:r>
              <w:rPr>
                <w:rFonts w:hint="eastAsia" w:ascii="宋体" w:hAnsi="宋体" w:eastAsia="宋体" w:cs="宋体"/>
                <w:sz w:val="21"/>
                <w:szCs w:val="21"/>
                <w:highlight w:val="none"/>
                <w:lang w:eastAsia="zh-CN"/>
              </w:rPr>
              <w:t>的</w:t>
            </w:r>
            <w:r>
              <w:rPr>
                <w:rFonts w:hint="eastAsia" w:ascii="宋体" w:hAnsi="宋体" w:eastAsia="宋体" w:cs="宋体"/>
                <w:sz w:val="21"/>
                <w:szCs w:val="21"/>
                <w:highlight w:val="none"/>
              </w:rPr>
              <w:t>加1分，每提高不足20%的不加分（即充足率为120%，得3分，以此类推），本项满分5分；</w:t>
            </w:r>
            <w:r>
              <w:rPr>
                <w:rFonts w:hint="eastAsia" w:ascii="宋体" w:hAnsi="宋体" w:eastAsia="宋体" w:cs="宋体"/>
                <w:sz w:val="21"/>
                <w:szCs w:val="21"/>
                <w:highlight w:val="none"/>
                <w:lang w:eastAsia="zh-CN"/>
              </w:rPr>
              <w:t>未提供相关内容不得分。</w:t>
            </w:r>
            <w:r>
              <w:rPr>
                <w:rFonts w:hint="eastAsia" w:ascii="宋体" w:hAnsi="宋体" w:eastAsia="宋体" w:cs="宋体"/>
                <w:sz w:val="21"/>
                <w:szCs w:val="21"/>
                <w:highlight w:val="none"/>
              </w:rPr>
              <w:t>（投标文件中提供202</w:t>
            </w: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年度偿付能力报表复印件并加盖公章）</w:t>
            </w:r>
          </w:p>
        </w:tc>
        <w:tc>
          <w:tcPr>
            <w:tcW w:w="961" w:type="dxa"/>
            <w:tcBorders>
              <w:top w:val="single" w:color="auto" w:sz="6" w:space="0"/>
              <w:left w:val="single" w:color="auto" w:sz="6" w:space="0"/>
              <w:bottom w:val="single" w:color="auto" w:sz="6" w:space="0"/>
              <w:right w:val="single" w:color="auto" w:sz="6" w:space="0"/>
            </w:tcBorders>
            <w:shd w:val="clear" w:color="auto" w:fill="auto"/>
            <w:noWrap/>
            <w:vAlign w:val="center"/>
          </w:tcPr>
          <w:p>
            <w:pPr>
              <w:spacing w:line="32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68" w:hRule="atLeast"/>
          <w:jc w:val="center"/>
        </w:trPr>
        <w:tc>
          <w:tcPr>
            <w:tcW w:w="879" w:type="dxa"/>
            <w:vMerge w:val="continue"/>
            <w:tcBorders>
              <w:top w:val="single" w:color="auto" w:sz="6" w:space="0"/>
              <w:left w:val="single" w:color="auto" w:sz="4" w:space="0"/>
              <w:bottom w:val="single" w:color="auto" w:sz="6" w:space="0"/>
              <w:right w:val="single" w:color="auto" w:sz="6" w:space="0"/>
            </w:tcBorders>
            <w:shd w:val="clear" w:color="auto" w:fill="auto"/>
            <w:noWrap/>
            <w:vAlign w:val="center"/>
          </w:tcPr>
          <w:p>
            <w:pPr>
              <w:spacing w:line="320" w:lineRule="exact"/>
              <w:jc w:val="center"/>
              <w:rPr>
                <w:rFonts w:hint="eastAsia" w:ascii="宋体" w:hAnsi="宋体" w:eastAsia="宋体" w:cs="宋体"/>
                <w:color w:val="FF0000"/>
                <w:sz w:val="21"/>
                <w:szCs w:val="21"/>
                <w:highlight w:val="none"/>
              </w:rPr>
            </w:pPr>
          </w:p>
        </w:tc>
        <w:tc>
          <w:tcPr>
            <w:tcW w:w="7259"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pacing w:beforeLines="20" w:line="264" w:lineRule="auto"/>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8、</w:t>
            </w:r>
            <w:r>
              <w:rPr>
                <w:rFonts w:hint="eastAsia" w:ascii="宋体" w:hAnsi="宋体" w:eastAsia="宋体" w:cs="宋体"/>
                <w:sz w:val="21"/>
                <w:szCs w:val="21"/>
                <w:highlight w:val="none"/>
              </w:rPr>
              <w:t>投标人项目管理团队和</w:t>
            </w:r>
            <w:r>
              <w:rPr>
                <w:rFonts w:hint="eastAsia" w:ascii="宋体" w:hAnsi="宋体" w:cs="宋体"/>
                <w:sz w:val="21"/>
                <w:szCs w:val="21"/>
                <w:highlight w:val="none"/>
                <w:lang w:val="en-US" w:eastAsia="zh-CN"/>
              </w:rPr>
              <w:t>理赔</w:t>
            </w:r>
            <w:r>
              <w:rPr>
                <w:rFonts w:hint="eastAsia" w:ascii="宋体" w:hAnsi="宋体" w:eastAsia="宋体" w:cs="宋体"/>
                <w:sz w:val="21"/>
                <w:szCs w:val="21"/>
                <w:highlight w:val="none"/>
              </w:rPr>
              <w:t>服务人员</w:t>
            </w:r>
          </w:p>
          <w:p>
            <w:pPr>
              <w:widowControl/>
              <w:spacing w:beforeLines="20" w:line="264" w:lineRule="auto"/>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（1）投标人项目管理团队和</w:t>
            </w:r>
            <w:r>
              <w:rPr>
                <w:rFonts w:hint="eastAsia" w:ascii="宋体" w:hAnsi="宋体" w:cs="宋体"/>
                <w:sz w:val="21"/>
                <w:szCs w:val="21"/>
                <w:highlight w:val="none"/>
                <w:lang w:val="en-US" w:eastAsia="zh-CN"/>
              </w:rPr>
              <w:t>理赔</w:t>
            </w:r>
            <w:r>
              <w:rPr>
                <w:rFonts w:hint="eastAsia" w:ascii="宋体" w:hAnsi="宋体" w:eastAsia="宋体" w:cs="宋体"/>
                <w:sz w:val="21"/>
                <w:szCs w:val="21"/>
                <w:highlight w:val="none"/>
                <w:lang w:val="en-US" w:eastAsia="zh-CN"/>
              </w:rPr>
              <w:t>服务人员中具有法律相关专业人员5人（含）以下的得2分，10人（含）以下的得4分；15人（含）以下的得6分，本项最高得6分。（投标文件中需提供学历证书复印件加盖公章。）</w:t>
            </w:r>
          </w:p>
          <w:p>
            <w:pPr>
              <w:widowControl/>
              <w:spacing w:beforeLines="20" w:line="264" w:lineRule="auto"/>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（2）投标人项目管理团队和</w:t>
            </w:r>
            <w:r>
              <w:rPr>
                <w:rFonts w:hint="eastAsia" w:ascii="宋体" w:hAnsi="宋体" w:cs="宋体"/>
                <w:sz w:val="21"/>
                <w:szCs w:val="21"/>
                <w:highlight w:val="none"/>
                <w:lang w:val="en-US" w:eastAsia="zh-CN"/>
              </w:rPr>
              <w:t>理赔</w:t>
            </w:r>
            <w:r>
              <w:rPr>
                <w:rFonts w:hint="eastAsia" w:ascii="宋体" w:hAnsi="宋体" w:eastAsia="宋体" w:cs="宋体"/>
                <w:sz w:val="21"/>
                <w:szCs w:val="21"/>
                <w:highlight w:val="none"/>
                <w:lang w:val="en-US" w:eastAsia="zh-CN"/>
              </w:rPr>
              <w:t>服务人员中具有1人（含）以上具有法律职业资格的得2分，每增加一个另加1分，本项最高得4分。（投标文件中需提供法律职业资格复印件加盖公章）</w:t>
            </w:r>
          </w:p>
        </w:tc>
        <w:tc>
          <w:tcPr>
            <w:tcW w:w="961" w:type="dxa"/>
            <w:tcBorders>
              <w:top w:val="single" w:color="auto" w:sz="6" w:space="0"/>
              <w:left w:val="single" w:color="auto" w:sz="6" w:space="0"/>
              <w:bottom w:val="single" w:color="auto" w:sz="6" w:space="0"/>
              <w:right w:val="single" w:color="auto" w:sz="6" w:space="0"/>
            </w:tcBorders>
            <w:shd w:val="clear" w:color="auto" w:fill="auto"/>
            <w:noWrap/>
            <w:vAlign w:val="center"/>
          </w:tcPr>
          <w:p>
            <w:pPr>
              <w:spacing w:line="320" w:lineRule="exac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8" w:hRule="atLeast"/>
          <w:jc w:val="center"/>
        </w:trPr>
        <w:tc>
          <w:tcPr>
            <w:tcW w:w="879" w:type="dxa"/>
            <w:vMerge w:val="continue"/>
            <w:tcBorders>
              <w:top w:val="single" w:color="auto" w:sz="6" w:space="0"/>
              <w:left w:val="single" w:color="auto" w:sz="4" w:space="0"/>
              <w:bottom w:val="single" w:color="auto" w:sz="6" w:space="0"/>
              <w:right w:val="single" w:color="auto" w:sz="6" w:space="0"/>
            </w:tcBorders>
            <w:shd w:val="clear" w:color="auto" w:fill="auto"/>
            <w:noWrap/>
            <w:vAlign w:val="center"/>
          </w:tcPr>
          <w:p>
            <w:pPr>
              <w:spacing w:line="320" w:lineRule="exact"/>
              <w:jc w:val="center"/>
              <w:rPr>
                <w:rFonts w:hint="eastAsia" w:ascii="宋体" w:hAnsi="宋体" w:eastAsia="宋体" w:cs="宋体"/>
                <w:color w:val="FF0000"/>
                <w:sz w:val="21"/>
                <w:szCs w:val="21"/>
                <w:highlight w:val="none"/>
              </w:rPr>
            </w:pPr>
          </w:p>
        </w:tc>
        <w:tc>
          <w:tcPr>
            <w:tcW w:w="7259"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numPr>
                <w:ilvl w:val="0"/>
                <w:numId w:val="4"/>
              </w:numPr>
              <w:spacing w:beforeLines="20" w:line="264"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投标人理赔服务方案细则（包含但不限于理赔材料收集、单证审核、理赔时效、与被保险人联系及信息沟通、与采购人沟通对接等）</w:t>
            </w:r>
          </w:p>
          <w:p>
            <w:pPr>
              <w:widowControl/>
              <w:numPr>
                <w:ilvl w:val="0"/>
                <w:numId w:val="0"/>
              </w:numPr>
              <w:spacing w:beforeLines="20" w:line="264"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①</w:t>
            </w:r>
            <w:r>
              <w:rPr>
                <w:rFonts w:hint="eastAsia" w:ascii="宋体" w:hAnsi="宋体" w:eastAsia="宋体" w:cs="宋体"/>
                <w:sz w:val="21"/>
                <w:szCs w:val="21"/>
                <w:highlight w:val="none"/>
              </w:rPr>
              <w:t>理赔方案内容详实且逻辑清晰、理赔流程简</w:t>
            </w:r>
            <w:r>
              <w:rPr>
                <w:rFonts w:hint="eastAsia" w:ascii="宋体" w:hAnsi="宋体" w:cs="宋体"/>
                <w:sz w:val="21"/>
                <w:szCs w:val="21"/>
                <w:highlight w:val="none"/>
                <w:lang w:val="en-US" w:eastAsia="zh-CN"/>
              </w:rPr>
              <w:t>便</w:t>
            </w:r>
            <w:r>
              <w:rPr>
                <w:rFonts w:hint="eastAsia" w:ascii="宋体" w:hAnsi="宋体" w:eastAsia="宋体" w:cs="宋体"/>
                <w:sz w:val="21"/>
                <w:szCs w:val="21"/>
                <w:highlight w:val="none"/>
              </w:rPr>
              <w:t>灵活、理赔方式丰富多样化、理赔制度健全充分且契合采购需求内容、能有效保障被</w:t>
            </w:r>
            <w:r>
              <w:rPr>
                <w:rFonts w:hint="eastAsia" w:ascii="宋体" w:hAnsi="宋体" w:cs="宋体"/>
                <w:sz w:val="21"/>
                <w:szCs w:val="21"/>
                <w:highlight w:val="none"/>
                <w:lang w:val="en-US" w:eastAsia="zh-CN"/>
              </w:rPr>
              <w:t>保险人</w:t>
            </w:r>
            <w:r>
              <w:rPr>
                <w:rFonts w:hint="eastAsia" w:ascii="宋体" w:hAnsi="宋体" w:eastAsia="宋体" w:cs="宋体"/>
                <w:sz w:val="21"/>
                <w:szCs w:val="21"/>
                <w:highlight w:val="none"/>
              </w:rPr>
              <w:t>的权益的得</w:t>
            </w:r>
            <w:r>
              <w:rPr>
                <w:rFonts w:hint="eastAsia" w:ascii="宋体" w:hAnsi="宋体" w:eastAsia="宋体" w:cs="宋体"/>
                <w:sz w:val="21"/>
                <w:szCs w:val="21"/>
                <w:highlight w:val="none"/>
                <w:lang w:val="en-US" w:eastAsia="zh-CN"/>
              </w:rPr>
              <w:t>6</w:t>
            </w:r>
            <w:r>
              <w:rPr>
                <w:rFonts w:hint="eastAsia" w:ascii="宋体" w:hAnsi="宋体" w:eastAsia="宋体" w:cs="宋体"/>
                <w:sz w:val="21"/>
                <w:szCs w:val="21"/>
                <w:highlight w:val="none"/>
              </w:rPr>
              <w:t>分；</w:t>
            </w:r>
          </w:p>
          <w:p>
            <w:pPr>
              <w:widowControl/>
              <w:numPr>
                <w:ilvl w:val="0"/>
                <w:numId w:val="0"/>
              </w:numPr>
              <w:spacing w:beforeLines="20" w:line="264"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②</w:t>
            </w:r>
            <w:r>
              <w:rPr>
                <w:rFonts w:hint="eastAsia" w:ascii="宋体" w:hAnsi="宋体" w:eastAsia="宋体" w:cs="宋体"/>
                <w:sz w:val="21"/>
                <w:szCs w:val="21"/>
                <w:highlight w:val="none"/>
              </w:rPr>
              <w:t>理赔方案有缺失不够齐全、理赔流程略为繁琐、理赔方式不够多样性、理赔制度略有欠缺有待改进、被</w:t>
            </w:r>
            <w:r>
              <w:rPr>
                <w:rFonts w:hint="eastAsia" w:ascii="宋体" w:hAnsi="宋体" w:cs="宋体"/>
                <w:sz w:val="21"/>
                <w:szCs w:val="21"/>
                <w:highlight w:val="none"/>
                <w:lang w:val="en-US" w:eastAsia="zh-CN"/>
              </w:rPr>
              <w:t>保险人</w:t>
            </w:r>
            <w:r>
              <w:rPr>
                <w:rFonts w:hint="eastAsia" w:ascii="宋体" w:hAnsi="宋体" w:eastAsia="宋体" w:cs="宋体"/>
                <w:sz w:val="21"/>
                <w:szCs w:val="21"/>
                <w:highlight w:val="none"/>
              </w:rPr>
              <w:t>的权益可能受到损害的得</w:t>
            </w:r>
            <w:r>
              <w:rPr>
                <w:rFonts w:hint="eastAsia" w:ascii="宋体" w:hAnsi="宋体" w:cs="宋体"/>
                <w:sz w:val="21"/>
                <w:szCs w:val="21"/>
                <w:highlight w:val="none"/>
                <w:lang w:val="en-US" w:eastAsia="zh-CN"/>
              </w:rPr>
              <w:t>4</w:t>
            </w:r>
            <w:r>
              <w:rPr>
                <w:rFonts w:hint="eastAsia" w:ascii="宋体" w:hAnsi="宋体" w:eastAsia="宋体" w:cs="宋体"/>
                <w:sz w:val="21"/>
                <w:szCs w:val="21"/>
                <w:highlight w:val="none"/>
              </w:rPr>
              <w:t>分；</w:t>
            </w:r>
          </w:p>
          <w:p>
            <w:pPr>
              <w:widowControl/>
              <w:numPr>
                <w:ilvl w:val="0"/>
                <w:numId w:val="0"/>
              </w:numPr>
              <w:spacing w:beforeLines="20" w:line="264"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③</w:t>
            </w:r>
            <w:r>
              <w:rPr>
                <w:rFonts w:hint="eastAsia" w:ascii="宋体" w:hAnsi="宋体" w:eastAsia="宋体" w:cs="宋体"/>
                <w:sz w:val="21"/>
                <w:szCs w:val="21"/>
                <w:highlight w:val="none"/>
              </w:rPr>
              <w:t>理赔方案整体内容敷衍且明显缺项、理赔流程复杂难理解、理赔方式单一、理赔制度无法满足采购需求、被</w:t>
            </w:r>
            <w:r>
              <w:rPr>
                <w:rFonts w:hint="eastAsia" w:ascii="宋体" w:hAnsi="宋体" w:cs="宋体"/>
                <w:sz w:val="21"/>
                <w:szCs w:val="21"/>
                <w:highlight w:val="none"/>
                <w:lang w:val="en-US" w:eastAsia="zh-CN"/>
              </w:rPr>
              <w:t>保险人</w:t>
            </w:r>
            <w:r>
              <w:rPr>
                <w:rFonts w:hint="eastAsia" w:ascii="宋体" w:hAnsi="宋体" w:eastAsia="宋体" w:cs="宋体"/>
                <w:sz w:val="21"/>
                <w:szCs w:val="21"/>
                <w:highlight w:val="none"/>
              </w:rPr>
              <w:t>的权益得不到保障的得</w:t>
            </w:r>
            <w:r>
              <w:rPr>
                <w:rFonts w:hint="eastAsia" w:ascii="宋体" w:hAnsi="宋体" w:cs="宋体"/>
                <w:sz w:val="21"/>
                <w:szCs w:val="21"/>
                <w:highlight w:val="none"/>
                <w:lang w:val="en-US" w:eastAsia="zh-CN"/>
              </w:rPr>
              <w:t>2</w:t>
            </w:r>
            <w:r>
              <w:rPr>
                <w:rFonts w:hint="eastAsia" w:ascii="宋体" w:hAnsi="宋体" w:eastAsia="宋体" w:cs="宋体"/>
                <w:sz w:val="21"/>
                <w:szCs w:val="21"/>
                <w:highlight w:val="none"/>
              </w:rPr>
              <w:t>分；</w:t>
            </w:r>
          </w:p>
          <w:p>
            <w:pPr>
              <w:widowControl/>
              <w:numPr>
                <w:ilvl w:val="0"/>
                <w:numId w:val="0"/>
              </w:numPr>
              <w:spacing w:beforeLines="20" w:line="264"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④</w:t>
            </w:r>
            <w:r>
              <w:rPr>
                <w:rFonts w:hint="eastAsia" w:ascii="宋体" w:hAnsi="宋体" w:eastAsia="宋体" w:cs="宋体"/>
                <w:sz w:val="21"/>
                <w:szCs w:val="21"/>
                <w:highlight w:val="none"/>
                <w:lang w:eastAsia="zh-CN"/>
              </w:rPr>
              <w:t>未提供相关内容不得分</w:t>
            </w:r>
            <w:r>
              <w:rPr>
                <w:rFonts w:hint="eastAsia" w:ascii="宋体" w:hAnsi="宋体" w:cs="宋体"/>
                <w:sz w:val="21"/>
                <w:szCs w:val="21"/>
                <w:highlight w:val="none"/>
                <w:lang w:eastAsia="zh-CN"/>
              </w:rPr>
              <w:t>。</w:t>
            </w:r>
          </w:p>
        </w:tc>
        <w:tc>
          <w:tcPr>
            <w:tcW w:w="961" w:type="dxa"/>
            <w:tcBorders>
              <w:top w:val="single" w:color="auto" w:sz="6" w:space="0"/>
              <w:left w:val="single" w:color="auto" w:sz="6" w:space="0"/>
              <w:bottom w:val="single" w:color="auto" w:sz="6" w:space="0"/>
              <w:right w:val="single" w:color="auto" w:sz="6" w:space="0"/>
            </w:tcBorders>
            <w:shd w:val="clear" w:color="auto" w:fill="auto"/>
            <w:noWrap/>
            <w:vAlign w:val="center"/>
          </w:tcPr>
          <w:p>
            <w:pPr>
              <w:spacing w:line="320" w:lineRule="exact"/>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3" w:hRule="atLeast"/>
          <w:jc w:val="center"/>
        </w:trPr>
        <w:tc>
          <w:tcPr>
            <w:tcW w:w="879" w:type="dxa"/>
            <w:vMerge w:val="continue"/>
            <w:tcBorders>
              <w:top w:val="single" w:color="auto" w:sz="6" w:space="0"/>
              <w:left w:val="single" w:color="auto" w:sz="4" w:space="0"/>
              <w:bottom w:val="single" w:color="auto" w:sz="6" w:space="0"/>
              <w:right w:val="single" w:color="auto" w:sz="6" w:space="0"/>
            </w:tcBorders>
            <w:shd w:val="clear" w:color="auto" w:fill="auto"/>
            <w:noWrap/>
            <w:vAlign w:val="center"/>
          </w:tcPr>
          <w:p>
            <w:pPr>
              <w:spacing w:line="320" w:lineRule="exact"/>
              <w:jc w:val="center"/>
              <w:rPr>
                <w:rFonts w:hint="eastAsia" w:ascii="宋体" w:hAnsi="宋体" w:eastAsia="宋体" w:cs="宋体"/>
                <w:color w:val="FF0000"/>
                <w:sz w:val="21"/>
                <w:szCs w:val="21"/>
                <w:highlight w:val="none"/>
              </w:rPr>
            </w:pPr>
          </w:p>
        </w:tc>
        <w:tc>
          <w:tcPr>
            <w:tcW w:w="7259"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numPr>
                <w:ilvl w:val="0"/>
                <w:numId w:val="5"/>
              </w:numPr>
              <w:spacing w:beforeLines="20" w:line="264" w:lineRule="auto"/>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投标人的理赔经验情况（主要包含但不限于司法援助保险的理赔的金额、理赔经验数量、理赔服务流程等）</w:t>
            </w:r>
          </w:p>
          <w:p>
            <w:pPr>
              <w:widowControl/>
              <w:numPr>
                <w:ilvl w:val="0"/>
                <w:numId w:val="0"/>
              </w:numPr>
              <w:spacing w:beforeLines="20" w:line="264" w:lineRule="auto"/>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①</w:t>
            </w:r>
            <w:r>
              <w:rPr>
                <w:rFonts w:hint="eastAsia" w:ascii="宋体" w:hAnsi="宋体" w:eastAsia="宋体" w:cs="宋体"/>
                <w:sz w:val="21"/>
                <w:szCs w:val="21"/>
                <w:highlight w:val="none"/>
                <w:lang w:val="en-US" w:eastAsia="zh-CN"/>
              </w:rPr>
              <w:t>理赔经验数量丰富、理赔服务流程清晰简化的得6分；</w:t>
            </w:r>
          </w:p>
          <w:p>
            <w:pPr>
              <w:widowControl/>
              <w:numPr>
                <w:ilvl w:val="0"/>
                <w:numId w:val="0"/>
              </w:numPr>
              <w:spacing w:beforeLines="20" w:line="264" w:lineRule="auto"/>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②</w:t>
            </w:r>
            <w:r>
              <w:rPr>
                <w:rFonts w:hint="eastAsia" w:ascii="宋体" w:hAnsi="宋体" w:eastAsia="宋体" w:cs="宋体"/>
                <w:sz w:val="21"/>
                <w:szCs w:val="21"/>
                <w:highlight w:val="none"/>
                <w:lang w:val="en-US" w:eastAsia="zh-CN"/>
              </w:rPr>
              <w:t>理赔经验较丰富、理赔服务流程较清晰、相对简化的得</w:t>
            </w:r>
            <w:r>
              <w:rPr>
                <w:rFonts w:hint="eastAsia" w:ascii="宋体" w:hAnsi="宋体" w:cs="宋体"/>
                <w:sz w:val="21"/>
                <w:szCs w:val="21"/>
                <w:highlight w:val="none"/>
                <w:lang w:val="en-US" w:eastAsia="zh-CN"/>
              </w:rPr>
              <w:t>4</w:t>
            </w:r>
            <w:r>
              <w:rPr>
                <w:rFonts w:hint="eastAsia" w:ascii="宋体" w:hAnsi="宋体" w:eastAsia="宋体" w:cs="宋体"/>
                <w:sz w:val="21"/>
                <w:szCs w:val="21"/>
                <w:highlight w:val="none"/>
                <w:lang w:val="en-US" w:eastAsia="zh-CN"/>
              </w:rPr>
              <w:t>分；</w:t>
            </w:r>
          </w:p>
          <w:p>
            <w:pPr>
              <w:widowControl/>
              <w:numPr>
                <w:ilvl w:val="0"/>
                <w:numId w:val="0"/>
              </w:numPr>
              <w:spacing w:beforeLines="20" w:line="264" w:lineRule="auto"/>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③</w:t>
            </w:r>
            <w:r>
              <w:rPr>
                <w:rFonts w:hint="eastAsia" w:ascii="宋体" w:hAnsi="宋体" w:eastAsia="宋体" w:cs="宋体"/>
                <w:sz w:val="21"/>
                <w:szCs w:val="21"/>
                <w:highlight w:val="none"/>
                <w:lang w:val="en-US" w:eastAsia="zh-CN"/>
              </w:rPr>
              <w:t>理赔经验单一，理赔服务流程</w:t>
            </w:r>
            <w:r>
              <w:rPr>
                <w:rFonts w:hint="eastAsia" w:ascii="宋体" w:hAnsi="宋体" w:cs="宋体"/>
                <w:sz w:val="21"/>
                <w:szCs w:val="21"/>
                <w:highlight w:val="none"/>
                <w:lang w:val="en-US" w:eastAsia="zh-CN"/>
              </w:rPr>
              <w:t>复杂</w:t>
            </w:r>
            <w:r>
              <w:rPr>
                <w:rFonts w:hint="eastAsia" w:ascii="宋体" w:hAnsi="宋体" w:eastAsia="宋体" w:cs="宋体"/>
                <w:sz w:val="21"/>
                <w:szCs w:val="21"/>
                <w:highlight w:val="none"/>
                <w:lang w:val="en-US" w:eastAsia="zh-CN"/>
              </w:rPr>
              <w:t>的得</w:t>
            </w:r>
            <w:r>
              <w:rPr>
                <w:rFonts w:hint="eastAsia" w:ascii="宋体" w:hAnsi="宋体" w:cs="宋体"/>
                <w:sz w:val="21"/>
                <w:szCs w:val="21"/>
                <w:highlight w:val="none"/>
                <w:lang w:val="en-US" w:eastAsia="zh-CN"/>
              </w:rPr>
              <w:t>2</w:t>
            </w:r>
            <w:r>
              <w:rPr>
                <w:rFonts w:hint="eastAsia" w:ascii="宋体" w:hAnsi="宋体" w:eastAsia="宋体" w:cs="宋体"/>
                <w:sz w:val="21"/>
                <w:szCs w:val="21"/>
                <w:highlight w:val="none"/>
                <w:lang w:val="en-US" w:eastAsia="zh-CN"/>
              </w:rPr>
              <w:t>分；</w:t>
            </w:r>
          </w:p>
          <w:p>
            <w:pPr>
              <w:widowControl/>
              <w:numPr>
                <w:ilvl w:val="0"/>
                <w:numId w:val="0"/>
              </w:numPr>
              <w:spacing w:beforeLines="20" w:line="264" w:lineRule="auto"/>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④未提供相关内容不得分。</w:t>
            </w:r>
          </w:p>
          <w:p>
            <w:pPr>
              <w:widowControl/>
              <w:numPr>
                <w:ilvl w:val="0"/>
                <w:numId w:val="0"/>
              </w:numPr>
              <w:spacing w:beforeLines="20" w:line="264"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由投标人自行提供相关证明资料。</w:t>
            </w:r>
          </w:p>
        </w:tc>
        <w:tc>
          <w:tcPr>
            <w:tcW w:w="961" w:type="dxa"/>
            <w:tcBorders>
              <w:top w:val="single" w:color="auto" w:sz="6" w:space="0"/>
              <w:left w:val="single" w:color="auto" w:sz="6" w:space="0"/>
              <w:bottom w:val="single" w:color="auto" w:sz="6" w:space="0"/>
              <w:right w:val="single" w:color="auto" w:sz="6" w:space="0"/>
            </w:tcBorders>
            <w:shd w:val="clear" w:color="auto" w:fill="auto"/>
            <w:noWrap/>
            <w:vAlign w:val="center"/>
          </w:tcPr>
          <w:p>
            <w:pPr>
              <w:spacing w:line="320" w:lineRule="exact"/>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8" w:hRule="atLeast"/>
          <w:jc w:val="center"/>
        </w:trPr>
        <w:tc>
          <w:tcPr>
            <w:tcW w:w="879" w:type="dxa"/>
            <w:vMerge w:val="continue"/>
            <w:tcBorders>
              <w:top w:val="single" w:color="auto" w:sz="6" w:space="0"/>
              <w:left w:val="single" w:color="auto" w:sz="4" w:space="0"/>
              <w:bottom w:val="single" w:color="auto" w:sz="6" w:space="0"/>
              <w:right w:val="single" w:color="auto" w:sz="6" w:space="0"/>
            </w:tcBorders>
            <w:shd w:val="clear" w:color="auto" w:fill="auto"/>
            <w:noWrap/>
            <w:vAlign w:val="center"/>
          </w:tcPr>
          <w:p>
            <w:pPr>
              <w:spacing w:line="320" w:lineRule="exact"/>
              <w:jc w:val="center"/>
              <w:rPr>
                <w:rFonts w:hint="eastAsia" w:ascii="宋体" w:hAnsi="宋体" w:eastAsia="宋体" w:cs="宋体"/>
                <w:color w:val="FF0000"/>
                <w:sz w:val="21"/>
                <w:szCs w:val="21"/>
                <w:highlight w:val="none"/>
              </w:rPr>
            </w:pPr>
          </w:p>
        </w:tc>
        <w:tc>
          <w:tcPr>
            <w:tcW w:w="7259"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numPr>
                <w:ilvl w:val="0"/>
                <w:numId w:val="6"/>
              </w:numPr>
              <w:spacing w:beforeLines="20" w:line="264"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投标人拟定增值服务方案，包括但不限于针对被保险人的理赔便捷服务、关怀服务等。</w:t>
            </w:r>
          </w:p>
          <w:p>
            <w:pPr>
              <w:widowControl/>
              <w:numPr>
                <w:ilvl w:val="0"/>
                <w:numId w:val="0"/>
              </w:numPr>
              <w:spacing w:beforeLines="20" w:line="264"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①服务方案完全满足本项目需求</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方案</w:t>
            </w:r>
            <w:r>
              <w:rPr>
                <w:rFonts w:hint="eastAsia" w:ascii="宋体" w:hAnsi="宋体" w:eastAsia="宋体" w:cs="宋体"/>
                <w:sz w:val="21"/>
                <w:szCs w:val="21"/>
                <w:highlight w:val="none"/>
                <w:lang w:val="en-US" w:eastAsia="zh-CN"/>
              </w:rPr>
              <w:t>内容齐全完整</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条理清晰，</w:t>
            </w:r>
            <w:r>
              <w:rPr>
                <w:rFonts w:hint="eastAsia" w:ascii="宋体" w:hAnsi="宋体" w:eastAsia="宋体" w:cs="宋体"/>
                <w:sz w:val="21"/>
                <w:szCs w:val="21"/>
                <w:highlight w:val="none"/>
              </w:rPr>
              <w:t>针对性明确的得</w:t>
            </w:r>
            <w:r>
              <w:rPr>
                <w:rFonts w:hint="eastAsia" w:ascii="宋体" w:hAnsi="宋体" w:eastAsia="宋体" w:cs="宋体"/>
                <w:sz w:val="21"/>
                <w:szCs w:val="21"/>
                <w:highlight w:val="none"/>
                <w:lang w:val="en-US" w:eastAsia="zh-CN"/>
              </w:rPr>
              <w:t>6</w:t>
            </w:r>
            <w:r>
              <w:rPr>
                <w:rFonts w:hint="eastAsia" w:ascii="宋体" w:hAnsi="宋体" w:eastAsia="宋体" w:cs="宋体"/>
                <w:sz w:val="21"/>
                <w:szCs w:val="21"/>
                <w:highlight w:val="none"/>
              </w:rPr>
              <w:t>分；</w:t>
            </w:r>
          </w:p>
          <w:p>
            <w:pPr>
              <w:widowControl/>
              <w:numPr>
                <w:ilvl w:val="0"/>
                <w:numId w:val="0"/>
              </w:numPr>
              <w:spacing w:beforeLines="20" w:line="264"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②方案</w:t>
            </w:r>
            <w:r>
              <w:rPr>
                <w:rFonts w:hint="eastAsia" w:ascii="宋体" w:hAnsi="宋体" w:eastAsia="宋体" w:cs="宋体"/>
                <w:sz w:val="21"/>
                <w:szCs w:val="21"/>
                <w:highlight w:val="none"/>
                <w:lang w:val="en-US" w:eastAsia="zh-CN"/>
              </w:rPr>
              <w:t>内容基本符合要求</w:t>
            </w:r>
            <w:r>
              <w:rPr>
                <w:rFonts w:hint="eastAsia" w:ascii="宋体" w:hAnsi="宋体" w:eastAsia="宋体" w:cs="宋体"/>
                <w:sz w:val="21"/>
                <w:szCs w:val="21"/>
                <w:highlight w:val="none"/>
              </w:rPr>
              <w:t>，针对性较为明确的得</w:t>
            </w:r>
            <w:r>
              <w:rPr>
                <w:rFonts w:hint="eastAsia" w:ascii="宋体" w:hAnsi="宋体" w:cs="宋体"/>
                <w:sz w:val="21"/>
                <w:szCs w:val="21"/>
                <w:highlight w:val="none"/>
                <w:lang w:val="en-US" w:eastAsia="zh-CN"/>
              </w:rPr>
              <w:t>4</w:t>
            </w:r>
            <w:r>
              <w:rPr>
                <w:rFonts w:hint="eastAsia" w:ascii="宋体" w:hAnsi="宋体" w:eastAsia="宋体" w:cs="宋体"/>
                <w:sz w:val="21"/>
                <w:szCs w:val="21"/>
                <w:highlight w:val="none"/>
              </w:rPr>
              <w:t>分；</w:t>
            </w:r>
          </w:p>
          <w:p>
            <w:pPr>
              <w:widowControl/>
              <w:numPr>
                <w:ilvl w:val="0"/>
                <w:numId w:val="0"/>
              </w:numPr>
              <w:spacing w:beforeLines="20" w:line="264"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③有相应方案，但内容不完整、缺乏针对性的得</w:t>
            </w:r>
            <w:r>
              <w:rPr>
                <w:rFonts w:hint="eastAsia" w:ascii="宋体" w:hAnsi="宋体" w:cs="宋体"/>
                <w:sz w:val="21"/>
                <w:szCs w:val="21"/>
                <w:highlight w:val="none"/>
                <w:lang w:val="en-US" w:eastAsia="zh-CN"/>
              </w:rPr>
              <w:t>2</w:t>
            </w:r>
            <w:r>
              <w:rPr>
                <w:rFonts w:hint="eastAsia" w:ascii="宋体" w:hAnsi="宋体" w:eastAsia="宋体" w:cs="宋体"/>
                <w:sz w:val="21"/>
                <w:szCs w:val="21"/>
                <w:highlight w:val="none"/>
              </w:rPr>
              <w:t>分；</w:t>
            </w:r>
          </w:p>
          <w:p>
            <w:pPr>
              <w:widowControl/>
              <w:numPr>
                <w:ilvl w:val="0"/>
                <w:numId w:val="0"/>
              </w:numPr>
              <w:spacing w:beforeLines="20" w:line="264"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④</w:t>
            </w:r>
            <w:r>
              <w:rPr>
                <w:rFonts w:hint="eastAsia" w:ascii="宋体" w:hAnsi="宋体" w:eastAsia="宋体" w:cs="宋体"/>
                <w:sz w:val="21"/>
                <w:szCs w:val="21"/>
                <w:highlight w:val="none"/>
                <w:lang w:eastAsia="zh-CN"/>
              </w:rPr>
              <w:t>未提供相关内容不得分。</w:t>
            </w:r>
          </w:p>
        </w:tc>
        <w:tc>
          <w:tcPr>
            <w:tcW w:w="961" w:type="dxa"/>
            <w:tcBorders>
              <w:top w:val="single" w:color="auto" w:sz="6" w:space="0"/>
              <w:left w:val="single" w:color="auto" w:sz="6" w:space="0"/>
              <w:bottom w:val="single" w:color="auto" w:sz="6" w:space="0"/>
              <w:right w:val="single" w:color="auto" w:sz="6" w:space="0"/>
            </w:tcBorders>
            <w:shd w:val="clear" w:color="auto" w:fill="auto"/>
            <w:noWrap/>
            <w:vAlign w:val="center"/>
          </w:tcPr>
          <w:p>
            <w:pPr>
              <w:spacing w:line="320" w:lineRule="exact"/>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8" w:hRule="atLeast"/>
          <w:jc w:val="center"/>
        </w:trPr>
        <w:tc>
          <w:tcPr>
            <w:tcW w:w="879" w:type="dxa"/>
            <w:vMerge w:val="continue"/>
            <w:tcBorders>
              <w:top w:val="single" w:color="auto" w:sz="6" w:space="0"/>
              <w:left w:val="single" w:color="auto" w:sz="4" w:space="0"/>
              <w:bottom w:val="single" w:color="auto" w:sz="6" w:space="0"/>
              <w:right w:val="single" w:color="auto" w:sz="6" w:space="0"/>
            </w:tcBorders>
            <w:shd w:val="clear" w:color="auto" w:fill="auto"/>
            <w:noWrap/>
            <w:vAlign w:val="center"/>
          </w:tcPr>
          <w:p>
            <w:pPr>
              <w:spacing w:line="320" w:lineRule="exact"/>
              <w:jc w:val="center"/>
              <w:rPr>
                <w:rFonts w:hint="eastAsia" w:ascii="宋体" w:hAnsi="宋体" w:eastAsia="宋体" w:cs="宋体"/>
                <w:color w:val="FF0000"/>
                <w:sz w:val="21"/>
                <w:szCs w:val="21"/>
                <w:highlight w:val="none"/>
              </w:rPr>
            </w:pPr>
          </w:p>
        </w:tc>
        <w:tc>
          <w:tcPr>
            <w:tcW w:w="7259"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numPr>
                <w:ilvl w:val="0"/>
                <w:numId w:val="6"/>
              </w:numPr>
              <w:spacing w:beforeLines="20" w:line="264" w:lineRule="auto"/>
              <w:ind w:left="0" w:leftChars="0" w:firstLine="0" w:firstLineChars="0"/>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应急情况处理方案（</w:t>
            </w:r>
            <w:r>
              <w:rPr>
                <w:rFonts w:hint="eastAsia" w:ascii="宋体" w:hAnsi="宋体" w:eastAsia="宋体" w:cs="宋体"/>
                <w:sz w:val="21"/>
                <w:szCs w:val="21"/>
                <w:highlight w:val="none"/>
              </w:rPr>
              <w:t>包括但不限于对重大刑事附带民事案件理赔有明确具体的方案，与</w:t>
            </w:r>
            <w:r>
              <w:rPr>
                <w:rFonts w:hint="eastAsia" w:ascii="宋体" w:hAnsi="宋体" w:eastAsia="宋体" w:cs="宋体"/>
                <w:sz w:val="21"/>
                <w:szCs w:val="21"/>
                <w:highlight w:val="none"/>
                <w:lang w:val="en-US" w:eastAsia="zh-CN"/>
              </w:rPr>
              <w:t>采购人</w:t>
            </w:r>
            <w:r>
              <w:rPr>
                <w:rFonts w:hint="eastAsia" w:ascii="宋体" w:hAnsi="宋体" w:eastAsia="宋体" w:cs="宋体"/>
                <w:sz w:val="21"/>
                <w:szCs w:val="21"/>
                <w:highlight w:val="none"/>
              </w:rPr>
              <w:t>作好个案沟通，确保理赔及时、高效</w:t>
            </w:r>
            <w:r>
              <w:rPr>
                <w:rFonts w:hint="eastAsia" w:ascii="宋体" w:hAnsi="宋体" w:eastAsia="宋体" w:cs="宋体"/>
                <w:sz w:val="21"/>
                <w:szCs w:val="21"/>
                <w:highlight w:val="none"/>
                <w:lang w:val="en-US" w:eastAsia="zh-CN"/>
              </w:rPr>
              <w:t>）进行综合评议</w:t>
            </w:r>
          </w:p>
          <w:p>
            <w:pPr>
              <w:widowControl/>
              <w:numPr>
                <w:ilvl w:val="0"/>
                <w:numId w:val="0"/>
              </w:numPr>
              <w:spacing w:beforeLines="20" w:line="264" w:lineRule="auto"/>
              <w:ind w:leftChars="0"/>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①</w:t>
            </w:r>
            <w:r>
              <w:rPr>
                <w:rFonts w:hint="eastAsia" w:ascii="宋体" w:hAnsi="宋体" w:eastAsia="宋体" w:cs="宋体"/>
                <w:sz w:val="21"/>
                <w:szCs w:val="21"/>
                <w:highlight w:val="none"/>
                <w:lang w:val="en-US" w:eastAsia="zh-CN"/>
              </w:rPr>
              <w:t>投标人对本项目合同期内可能发生的</w:t>
            </w:r>
            <w:r>
              <w:rPr>
                <w:rFonts w:hint="eastAsia" w:ascii="宋体" w:hAnsi="宋体" w:eastAsia="宋体" w:cs="宋体"/>
                <w:sz w:val="21"/>
                <w:szCs w:val="21"/>
                <w:highlight w:val="none"/>
              </w:rPr>
              <w:t>重大刑事附带民事案件</w:t>
            </w:r>
            <w:r>
              <w:rPr>
                <w:rFonts w:hint="eastAsia" w:ascii="宋体" w:hAnsi="宋体" w:eastAsia="宋体" w:cs="宋体"/>
                <w:sz w:val="21"/>
                <w:szCs w:val="21"/>
                <w:highlight w:val="none"/>
                <w:lang w:val="en-US" w:eastAsia="zh-CN"/>
              </w:rPr>
              <w:t>理赔应急情况分析</w:t>
            </w:r>
            <w:r>
              <w:rPr>
                <w:rFonts w:hint="eastAsia" w:ascii="宋体" w:hAnsi="宋体" w:cs="宋体"/>
                <w:sz w:val="21"/>
                <w:szCs w:val="21"/>
                <w:highlight w:val="none"/>
                <w:lang w:val="en-US" w:eastAsia="zh-CN"/>
              </w:rPr>
              <w:t>全面</w:t>
            </w:r>
            <w:r>
              <w:rPr>
                <w:rFonts w:hint="eastAsia" w:ascii="宋体" w:hAnsi="宋体" w:eastAsia="宋体" w:cs="宋体"/>
                <w:sz w:val="21"/>
                <w:szCs w:val="21"/>
                <w:highlight w:val="none"/>
                <w:lang w:val="en-US" w:eastAsia="zh-CN"/>
              </w:rPr>
              <w:t>，应急方案内容完善、条理清晰、响应及时、工作流程明确，承诺能提供有针对性的服务措施，契合项目实际要求的得6分；</w:t>
            </w:r>
          </w:p>
          <w:p>
            <w:pPr>
              <w:widowControl/>
              <w:spacing w:beforeLines="20" w:line="264" w:lineRule="auto"/>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②</w:t>
            </w:r>
            <w:r>
              <w:rPr>
                <w:rFonts w:hint="eastAsia" w:ascii="宋体" w:hAnsi="宋体" w:eastAsia="宋体" w:cs="宋体"/>
                <w:sz w:val="21"/>
                <w:szCs w:val="21"/>
                <w:highlight w:val="none"/>
                <w:lang w:val="en-US" w:eastAsia="zh-CN"/>
              </w:rPr>
              <w:t>投标人对本项目合同期内可能发生的</w:t>
            </w:r>
            <w:r>
              <w:rPr>
                <w:rFonts w:hint="eastAsia" w:ascii="宋体" w:hAnsi="宋体" w:eastAsia="宋体" w:cs="宋体"/>
                <w:sz w:val="21"/>
                <w:szCs w:val="21"/>
                <w:highlight w:val="none"/>
              </w:rPr>
              <w:t>重大刑事附带民事案件</w:t>
            </w:r>
            <w:r>
              <w:rPr>
                <w:rFonts w:hint="eastAsia" w:ascii="宋体" w:hAnsi="宋体" w:eastAsia="宋体" w:cs="宋体"/>
                <w:sz w:val="21"/>
                <w:szCs w:val="21"/>
                <w:highlight w:val="none"/>
                <w:lang w:val="en-US" w:eastAsia="zh-CN"/>
              </w:rPr>
              <w:t>理赔应急情况分析</w:t>
            </w:r>
            <w:r>
              <w:rPr>
                <w:rFonts w:hint="eastAsia" w:ascii="宋体" w:hAnsi="宋体" w:cs="宋体"/>
                <w:sz w:val="21"/>
                <w:szCs w:val="21"/>
                <w:highlight w:val="none"/>
                <w:lang w:val="en-US" w:eastAsia="zh-CN"/>
              </w:rPr>
              <w:t>较全面</w:t>
            </w:r>
            <w:r>
              <w:rPr>
                <w:rFonts w:hint="eastAsia" w:ascii="宋体" w:hAnsi="宋体" w:eastAsia="宋体" w:cs="宋体"/>
                <w:sz w:val="21"/>
                <w:szCs w:val="21"/>
                <w:highlight w:val="none"/>
                <w:lang w:val="en-US" w:eastAsia="zh-CN"/>
              </w:rPr>
              <w:t>，应急方案内容较完善，响应较及时，工作流程略为繁琐，承诺</w:t>
            </w:r>
            <w:r>
              <w:rPr>
                <w:rFonts w:hint="eastAsia" w:ascii="宋体" w:hAnsi="宋体" w:eastAsia="宋体" w:cs="宋体"/>
                <w:color w:val="auto"/>
                <w:sz w:val="21"/>
                <w:szCs w:val="21"/>
                <w:highlight w:val="none"/>
                <w:lang w:val="en-US" w:eastAsia="zh-CN"/>
              </w:rPr>
              <w:t>能提供有针对性的服务措施</w:t>
            </w:r>
            <w:r>
              <w:rPr>
                <w:rFonts w:hint="eastAsia" w:ascii="宋体" w:hAnsi="宋体" w:eastAsia="宋体" w:cs="宋体"/>
                <w:sz w:val="21"/>
                <w:szCs w:val="21"/>
                <w:highlight w:val="none"/>
                <w:lang w:val="en-US" w:eastAsia="zh-CN"/>
              </w:rPr>
              <w:t>得</w:t>
            </w:r>
            <w:r>
              <w:rPr>
                <w:rFonts w:hint="eastAsia" w:ascii="宋体" w:hAnsi="宋体" w:cs="宋体"/>
                <w:sz w:val="21"/>
                <w:szCs w:val="21"/>
                <w:highlight w:val="none"/>
                <w:lang w:val="en-US" w:eastAsia="zh-CN"/>
              </w:rPr>
              <w:t>4</w:t>
            </w:r>
            <w:r>
              <w:rPr>
                <w:rFonts w:hint="eastAsia" w:ascii="宋体" w:hAnsi="宋体" w:eastAsia="宋体" w:cs="宋体"/>
                <w:sz w:val="21"/>
                <w:szCs w:val="21"/>
                <w:highlight w:val="none"/>
                <w:lang w:val="en-US" w:eastAsia="zh-CN"/>
              </w:rPr>
              <w:t>分；</w:t>
            </w:r>
          </w:p>
          <w:p>
            <w:pPr>
              <w:widowControl/>
              <w:spacing w:beforeLines="20" w:line="264"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③方案内容存在明显漏洞、无法保障能有效应对应急工作或明显不满足项目实施需求的得</w:t>
            </w:r>
            <w:r>
              <w:rPr>
                <w:rFonts w:hint="eastAsia" w:ascii="宋体" w:hAnsi="宋体" w:cs="宋体"/>
                <w:sz w:val="21"/>
                <w:szCs w:val="21"/>
                <w:highlight w:val="none"/>
                <w:lang w:val="en-US" w:eastAsia="zh-CN"/>
              </w:rPr>
              <w:t>2</w:t>
            </w:r>
            <w:r>
              <w:rPr>
                <w:rFonts w:hint="eastAsia" w:ascii="宋体" w:hAnsi="宋体" w:eastAsia="宋体" w:cs="宋体"/>
                <w:sz w:val="21"/>
                <w:szCs w:val="21"/>
                <w:highlight w:val="none"/>
              </w:rPr>
              <w:t>分；</w:t>
            </w:r>
          </w:p>
          <w:p>
            <w:pPr>
              <w:widowControl/>
              <w:spacing w:beforeLines="20" w:line="264" w:lineRule="auto"/>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④</w:t>
            </w:r>
            <w:r>
              <w:rPr>
                <w:rFonts w:hint="eastAsia" w:ascii="宋体" w:hAnsi="宋体" w:eastAsia="宋体" w:cs="宋体"/>
                <w:sz w:val="21"/>
                <w:szCs w:val="21"/>
                <w:highlight w:val="none"/>
                <w:lang w:eastAsia="zh-CN"/>
              </w:rPr>
              <w:t>未提供相关内容不得分</w:t>
            </w:r>
            <w:r>
              <w:rPr>
                <w:rFonts w:hint="eastAsia" w:ascii="宋体" w:hAnsi="宋体" w:eastAsia="宋体" w:cs="宋体"/>
                <w:sz w:val="21"/>
                <w:szCs w:val="21"/>
                <w:highlight w:val="none"/>
                <w:lang w:val="en-US" w:eastAsia="zh-CN"/>
              </w:rPr>
              <w:t>。</w:t>
            </w:r>
          </w:p>
        </w:tc>
        <w:tc>
          <w:tcPr>
            <w:tcW w:w="961" w:type="dxa"/>
            <w:tcBorders>
              <w:top w:val="single" w:color="auto" w:sz="6" w:space="0"/>
              <w:left w:val="single" w:color="auto" w:sz="6" w:space="0"/>
              <w:bottom w:val="single" w:color="auto" w:sz="6" w:space="0"/>
              <w:right w:val="single" w:color="auto" w:sz="6" w:space="0"/>
            </w:tcBorders>
            <w:shd w:val="clear" w:color="auto" w:fill="auto"/>
            <w:noWrap/>
            <w:vAlign w:val="center"/>
          </w:tcPr>
          <w:p>
            <w:pPr>
              <w:spacing w:line="320" w:lineRule="exac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8" w:hRule="atLeast"/>
          <w:jc w:val="center"/>
        </w:trPr>
        <w:tc>
          <w:tcPr>
            <w:tcW w:w="879" w:type="dxa"/>
            <w:vMerge w:val="continue"/>
            <w:tcBorders>
              <w:top w:val="single" w:color="auto" w:sz="6" w:space="0"/>
              <w:left w:val="single" w:color="auto" w:sz="4" w:space="0"/>
              <w:bottom w:val="single" w:color="auto" w:sz="6" w:space="0"/>
              <w:right w:val="single" w:color="auto" w:sz="6" w:space="0"/>
            </w:tcBorders>
            <w:shd w:val="clear" w:color="auto" w:fill="auto"/>
            <w:noWrap/>
            <w:vAlign w:val="center"/>
          </w:tcPr>
          <w:p>
            <w:pPr>
              <w:widowControl/>
              <w:spacing w:line="320" w:lineRule="exact"/>
              <w:jc w:val="left"/>
              <w:rPr>
                <w:rFonts w:hint="eastAsia" w:ascii="宋体" w:hAnsi="宋体" w:eastAsia="宋体" w:cs="宋体"/>
                <w:color w:val="FF0000"/>
                <w:sz w:val="21"/>
                <w:szCs w:val="21"/>
                <w:highlight w:val="none"/>
              </w:rPr>
            </w:pPr>
          </w:p>
        </w:tc>
        <w:tc>
          <w:tcPr>
            <w:tcW w:w="7259"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pacing w:beforeLines="20" w:line="264"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13</w:t>
            </w:r>
            <w:r>
              <w:rPr>
                <w:rFonts w:hint="eastAsia" w:ascii="宋体" w:hAnsi="宋体" w:eastAsia="宋体" w:cs="宋体"/>
                <w:sz w:val="21"/>
                <w:szCs w:val="21"/>
                <w:highlight w:val="none"/>
              </w:rPr>
              <w:t>、投标人（若联合体投标的，指联合体牵头人）20</w:t>
            </w:r>
            <w:r>
              <w:rPr>
                <w:rFonts w:hint="eastAsia" w:ascii="宋体" w:hAnsi="宋体" w:eastAsia="宋体" w:cs="宋体"/>
                <w:sz w:val="21"/>
                <w:szCs w:val="21"/>
                <w:highlight w:val="none"/>
                <w:lang w:val="en-US" w:eastAsia="zh-CN"/>
              </w:rPr>
              <w:t>21</w:t>
            </w:r>
            <w:r>
              <w:rPr>
                <w:rFonts w:hint="eastAsia" w:ascii="宋体" w:hAnsi="宋体" w:eastAsia="宋体" w:cs="宋体"/>
                <w:sz w:val="21"/>
                <w:szCs w:val="21"/>
                <w:highlight w:val="none"/>
              </w:rPr>
              <w:t>年1月1日至今（合同签订时间），具有类似项目业绩的（独家或首席承保的），每提供1个合同（多个年度同一投保人的，按1个计算）得0.5分，满分2分；</w:t>
            </w:r>
            <w:r>
              <w:rPr>
                <w:rFonts w:hint="eastAsia" w:ascii="宋体" w:hAnsi="宋体" w:eastAsia="宋体" w:cs="宋体"/>
                <w:sz w:val="21"/>
                <w:szCs w:val="21"/>
                <w:highlight w:val="none"/>
                <w:lang w:eastAsia="zh-CN"/>
              </w:rPr>
              <w:t>未提供相关内容不得分。</w:t>
            </w:r>
            <w:r>
              <w:rPr>
                <w:rFonts w:hint="eastAsia" w:ascii="宋体" w:hAnsi="宋体" w:eastAsia="宋体" w:cs="宋体"/>
                <w:sz w:val="21"/>
                <w:szCs w:val="21"/>
                <w:highlight w:val="none"/>
              </w:rPr>
              <w:t>（投标文件中提供保单复印件或合同复印件并加盖公章）</w:t>
            </w:r>
          </w:p>
        </w:tc>
        <w:tc>
          <w:tcPr>
            <w:tcW w:w="961" w:type="dxa"/>
            <w:tcBorders>
              <w:top w:val="single" w:color="auto" w:sz="6" w:space="0"/>
              <w:left w:val="single" w:color="auto" w:sz="6" w:space="0"/>
              <w:bottom w:val="single" w:color="auto" w:sz="6" w:space="0"/>
              <w:right w:val="single" w:color="auto" w:sz="6" w:space="0"/>
            </w:tcBorders>
            <w:shd w:val="clear" w:color="auto" w:fill="auto"/>
            <w:noWrap/>
            <w:vAlign w:val="center"/>
          </w:tcPr>
          <w:p>
            <w:pPr>
              <w:spacing w:line="32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1" w:hRule="atLeast"/>
          <w:jc w:val="center"/>
        </w:trPr>
        <w:tc>
          <w:tcPr>
            <w:tcW w:w="879" w:type="dxa"/>
            <w:tcBorders>
              <w:top w:val="single" w:color="auto" w:sz="6" w:space="0"/>
              <w:left w:val="single" w:color="auto" w:sz="4" w:space="0"/>
              <w:bottom w:val="single" w:color="auto" w:sz="6" w:space="0"/>
              <w:right w:val="single" w:color="auto" w:sz="6" w:space="0"/>
            </w:tcBorders>
            <w:shd w:val="clear" w:color="auto" w:fill="auto"/>
            <w:noWrap/>
            <w:vAlign w:val="center"/>
          </w:tcPr>
          <w:p>
            <w:pPr>
              <w:spacing w:beforeLines="30" w:line="288" w:lineRule="auto"/>
              <w:jc w:val="center"/>
              <w:rPr>
                <w:rFonts w:hint="eastAsia" w:ascii="宋体" w:hAnsi="宋体" w:eastAsia="宋体" w:cs="宋体"/>
                <w:snapToGrid w:val="0"/>
                <w:spacing w:val="-4"/>
                <w:sz w:val="21"/>
                <w:szCs w:val="21"/>
                <w:highlight w:val="none"/>
              </w:rPr>
            </w:pPr>
            <w:r>
              <w:rPr>
                <w:rFonts w:hint="eastAsia" w:ascii="宋体" w:hAnsi="宋体" w:eastAsia="宋体" w:cs="宋体"/>
                <w:snapToGrid w:val="0"/>
                <w:spacing w:val="-4"/>
                <w:sz w:val="21"/>
                <w:szCs w:val="21"/>
                <w:highlight w:val="none"/>
              </w:rPr>
              <w:t>报价分</w:t>
            </w:r>
          </w:p>
          <w:p>
            <w:pPr>
              <w:widowControl/>
              <w:spacing w:line="320" w:lineRule="exact"/>
              <w:jc w:val="left"/>
              <w:rPr>
                <w:rFonts w:hint="eastAsia" w:ascii="宋体" w:hAnsi="宋体" w:eastAsia="宋体" w:cs="宋体"/>
                <w:color w:val="FF0000"/>
                <w:sz w:val="21"/>
                <w:szCs w:val="21"/>
                <w:highlight w:val="none"/>
              </w:rPr>
            </w:pPr>
            <w:r>
              <w:rPr>
                <w:rFonts w:hint="eastAsia" w:ascii="宋体" w:hAnsi="宋体" w:eastAsia="宋体" w:cs="宋体"/>
                <w:snapToGrid w:val="0"/>
                <w:spacing w:val="-4"/>
                <w:sz w:val="21"/>
                <w:szCs w:val="21"/>
                <w:highlight w:val="none"/>
              </w:rPr>
              <w:t>（满分20分）</w:t>
            </w:r>
          </w:p>
        </w:tc>
        <w:tc>
          <w:tcPr>
            <w:tcW w:w="7259"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pacing w:beforeLines="20" w:line="264"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评标基准价指的是满足招标文件要求且最低的参与评审的价格。</w:t>
            </w:r>
          </w:p>
          <w:p>
            <w:pPr>
              <w:widowControl/>
              <w:spacing w:beforeLines="20" w:line="264"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参与评审的价格=投标报价-小微企业价格扣除优惠值（如有）。</w:t>
            </w:r>
          </w:p>
          <w:p>
            <w:pPr>
              <w:widowControl/>
              <w:spacing w:beforeLines="20" w:line="264"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参与评审的价格为评标基准价的其价格得分得满分20分。</w:t>
            </w:r>
          </w:p>
          <w:p>
            <w:pPr>
              <w:widowControl/>
              <w:spacing w:beforeLines="20" w:line="264"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其他投标人价格得分按照下列公式计算：</w:t>
            </w:r>
          </w:p>
          <w:p>
            <w:pPr>
              <w:widowControl/>
              <w:spacing w:beforeLines="20" w:line="264"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价格得分=（评标基准价/各投标人参与评审的价格）×20％×100。</w:t>
            </w:r>
          </w:p>
          <w:p>
            <w:pPr>
              <w:spacing w:before="72" w:beforeLines="30" w:line="288"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注：1、投标报价超过最高限价的作无效标处理。</w:t>
            </w:r>
          </w:p>
          <w:p>
            <w:pPr>
              <w:spacing w:before="72" w:beforeLines="30" w:line="288"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2、价格得分小数点后保留2位小数，第3位小数四舍五入。</w:t>
            </w:r>
          </w:p>
          <w:p>
            <w:pPr>
              <w:spacing w:before="72" w:beforeLines="30" w:line="288"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3、根据《政府采购促进中小企业发展管理办法》（财库[2020]46号），对符合规定的小微企业报价给予10%的扣除，用扣除后的价格参加评审。</w:t>
            </w:r>
          </w:p>
          <w:p>
            <w:pPr>
              <w:spacing w:before="72" w:beforeLines="30" w:line="288"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接受大中型企业与小微企业组成联合体或者允许大中型企业向一家或者多家小微企业分包的采购项目，对于联合协议约定小微企业的合同份额占到合同总金额30%以上的，采购人、采购代理机构应当对联合体或者大中型企业的报价给予4%的扣除，用扣除后的价格参加评审。组成联合体或者接受分包的小微企业与联合体内其他企业、分包企业之间存在直接控股、管理关系的，不享受价格扣除优惠政策。</w:t>
            </w:r>
          </w:p>
          <w:p>
            <w:pPr>
              <w:widowControl/>
              <w:spacing w:beforeLines="20" w:line="264" w:lineRule="auto"/>
              <w:jc w:val="left"/>
              <w:rPr>
                <w:rFonts w:hint="eastAsia" w:ascii="宋体" w:hAnsi="宋体" w:eastAsia="宋体" w:cs="宋体"/>
                <w:sz w:val="21"/>
                <w:szCs w:val="21"/>
                <w:highlight w:val="none"/>
              </w:rPr>
            </w:pPr>
            <w:r>
              <w:rPr>
                <w:rFonts w:hint="eastAsia" w:ascii="宋体" w:hAnsi="宋体" w:eastAsia="宋体" w:cs="宋体"/>
                <w:color w:val="auto"/>
                <w:sz w:val="21"/>
                <w:szCs w:val="21"/>
                <w:highlight w:val="none"/>
              </w:rPr>
              <w:t>联合体各方均为小微企业的，联合体视同小微企业。</w:t>
            </w:r>
          </w:p>
        </w:tc>
        <w:tc>
          <w:tcPr>
            <w:tcW w:w="961" w:type="dxa"/>
            <w:tcBorders>
              <w:top w:val="single" w:color="auto" w:sz="6" w:space="0"/>
              <w:left w:val="single" w:color="auto" w:sz="6" w:space="0"/>
              <w:bottom w:val="single" w:color="auto" w:sz="6" w:space="0"/>
              <w:right w:val="single" w:color="auto" w:sz="6" w:space="0"/>
            </w:tcBorders>
            <w:shd w:val="clear" w:color="auto" w:fill="auto"/>
            <w:noWrap/>
            <w:vAlign w:val="center"/>
          </w:tcPr>
          <w:p>
            <w:pPr>
              <w:spacing w:line="32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20</w:t>
            </w:r>
          </w:p>
        </w:tc>
      </w:tr>
    </w:tbl>
    <w:p>
      <w:pPr>
        <w:pStyle w:val="17"/>
        <w:rPr>
          <w:rFonts w:hint="eastAsia" w:ascii="宋体" w:hAnsi="宋体" w:eastAsia="宋体" w:cs="宋体"/>
          <w:sz w:val="21"/>
          <w:szCs w:val="21"/>
          <w:highlight w:val="none"/>
        </w:rPr>
      </w:pPr>
    </w:p>
    <w:p>
      <w:pPr>
        <w:pStyle w:val="4"/>
        <w:spacing w:beforeLines="0" w:afterLines="0" w:line="360" w:lineRule="auto"/>
        <w:rPr>
          <w:rFonts w:ascii="宋体" w:hAnsi="宋体"/>
          <w:sz w:val="32"/>
          <w:szCs w:val="32"/>
          <w:highlight w:val="none"/>
        </w:rPr>
        <w:sectPr>
          <w:headerReference r:id="rId14" w:type="default"/>
          <w:type w:val="continuous"/>
          <w:pgSz w:w="11907" w:h="16840"/>
          <w:pgMar w:top="1304" w:right="1588" w:bottom="1560" w:left="1588" w:header="720" w:footer="720" w:gutter="0"/>
          <w:cols w:space="720" w:num="1"/>
          <w:docGrid w:linePitch="285" w:charSpace="0"/>
        </w:sectPr>
      </w:pPr>
    </w:p>
    <w:p>
      <w:pPr>
        <w:rPr>
          <w:rFonts w:ascii="宋体" w:hAnsi="宋体"/>
          <w:sz w:val="32"/>
          <w:szCs w:val="32"/>
          <w:highlight w:val="none"/>
        </w:rPr>
      </w:pPr>
      <w:r>
        <w:rPr>
          <w:rFonts w:ascii="宋体" w:hAnsi="宋体"/>
          <w:sz w:val="32"/>
          <w:szCs w:val="32"/>
          <w:highlight w:val="none"/>
        </w:rPr>
        <w:br w:type="page"/>
      </w:r>
    </w:p>
    <w:p>
      <w:pPr>
        <w:rPr>
          <w:highlight w:val="none"/>
        </w:rPr>
      </w:pPr>
    </w:p>
    <w:p>
      <w:pPr>
        <w:pStyle w:val="4"/>
        <w:spacing w:beforeLines="0" w:afterLines="0" w:line="360" w:lineRule="auto"/>
        <w:rPr>
          <w:rFonts w:ascii="宋体" w:hAnsi="宋体"/>
          <w:sz w:val="32"/>
          <w:szCs w:val="32"/>
          <w:highlight w:val="none"/>
        </w:rPr>
      </w:pPr>
      <w:bookmarkStart w:id="130" w:name="_Toc30004"/>
      <w:bookmarkStart w:id="131" w:name="_Toc316649302"/>
      <w:r>
        <w:rPr>
          <w:rFonts w:hint="eastAsia" w:ascii="宋体" w:hAnsi="宋体"/>
          <w:sz w:val="32"/>
          <w:szCs w:val="32"/>
          <w:highlight w:val="none"/>
        </w:rPr>
        <w:t>第</w:t>
      </w:r>
      <w:r>
        <w:rPr>
          <w:rFonts w:hint="eastAsia" w:ascii="宋体" w:hAnsi="宋体"/>
          <w:sz w:val="32"/>
          <w:szCs w:val="32"/>
          <w:highlight w:val="none"/>
          <w:lang w:val="en-US" w:eastAsia="zh-CN"/>
        </w:rPr>
        <w:t>六</w:t>
      </w:r>
      <w:r>
        <w:rPr>
          <w:rFonts w:hint="eastAsia" w:ascii="宋体" w:hAnsi="宋体"/>
          <w:sz w:val="32"/>
          <w:szCs w:val="32"/>
          <w:highlight w:val="none"/>
        </w:rPr>
        <w:t>部分  合同格式</w:t>
      </w:r>
      <w:bookmarkEnd w:id="130"/>
      <w:bookmarkEnd w:id="131"/>
    </w:p>
    <w:p>
      <w:pPr>
        <w:pStyle w:val="138"/>
        <w:ind w:firstLine="2843" w:firstLineChars="1180"/>
        <w:rPr>
          <w:rFonts w:asciiTheme="minorEastAsia" w:hAnsiTheme="minorEastAsia" w:eastAsiaTheme="minorEastAsia"/>
          <w:b/>
          <w:szCs w:val="24"/>
          <w:highlight w:val="none"/>
        </w:rPr>
      </w:pPr>
    </w:p>
    <w:p>
      <w:pPr>
        <w:pStyle w:val="4"/>
        <w:spacing w:beforeLines="0" w:afterLines="0" w:line="360" w:lineRule="auto"/>
        <w:rPr>
          <w:rFonts w:hint="eastAsia" w:ascii="宋体" w:hAnsi="宋体" w:eastAsia="宋体"/>
          <w:sz w:val="32"/>
          <w:szCs w:val="32"/>
          <w:highlight w:val="none"/>
          <w:lang w:eastAsia="zh-CN"/>
        </w:rPr>
      </w:pPr>
      <w:bookmarkStart w:id="132" w:name="_Toc28075"/>
      <w:r>
        <w:rPr>
          <w:rFonts w:hint="eastAsia" w:ascii="宋体" w:hAnsi="宋体"/>
          <w:sz w:val="32"/>
          <w:szCs w:val="32"/>
          <w:highlight w:val="none"/>
          <w:lang w:eastAsia="zh-CN"/>
        </w:rPr>
        <w:t>2024年司法援助保险项目</w:t>
      </w:r>
      <w:bookmarkEnd w:id="132"/>
    </w:p>
    <w:p>
      <w:pPr>
        <w:pStyle w:val="4"/>
        <w:spacing w:beforeLines="0" w:afterLines="0" w:line="360" w:lineRule="auto"/>
        <w:rPr>
          <w:rFonts w:ascii="宋体" w:hAnsi="宋体"/>
          <w:sz w:val="32"/>
          <w:szCs w:val="32"/>
          <w:highlight w:val="none"/>
        </w:rPr>
      </w:pPr>
    </w:p>
    <w:p>
      <w:pPr>
        <w:rPr>
          <w:rFonts w:ascii="宋体" w:hAnsi="宋体"/>
          <w:sz w:val="32"/>
          <w:szCs w:val="32"/>
          <w:highlight w:val="none"/>
        </w:rPr>
      </w:pPr>
    </w:p>
    <w:p>
      <w:pPr>
        <w:pStyle w:val="4"/>
        <w:rPr>
          <w:rFonts w:ascii="宋体" w:hAnsi="宋体"/>
          <w:sz w:val="32"/>
          <w:szCs w:val="32"/>
          <w:highlight w:val="none"/>
        </w:rPr>
      </w:pPr>
    </w:p>
    <w:p>
      <w:pPr>
        <w:rPr>
          <w:highlight w:val="none"/>
        </w:rPr>
      </w:pPr>
    </w:p>
    <w:p>
      <w:pPr>
        <w:pStyle w:val="4"/>
        <w:spacing w:beforeLines="0" w:afterLines="0" w:line="360" w:lineRule="auto"/>
        <w:rPr>
          <w:rFonts w:ascii="宋体" w:hAnsi="宋体"/>
          <w:sz w:val="32"/>
          <w:szCs w:val="32"/>
          <w:highlight w:val="none"/>
        </w:rPr>
      </w:pPr>
      <w:bookmarkStart w:id="133" w:name="_Toc13567"/>
      <w:r>
        <w:rPr>
          <w:rFonts w:hint="eastAsia" w:ascii="宋体" w:hAnsi="宋体"/>
          <w:sz w:val="32"/>
          <w:szCs w:val="32"/>
          <w:highlight w:val="none"/>
        </w:rPr>
        <w:t>合 同 书</w:t>
      </w:r>
      <w:bookmarkEnd w:id="133"/>
    </w:p>
    <w:p>
      <w:pPr>
        <w:pStyle w:val="138"/>
        <w:rPr>
          <w:rFonts w:asciiTheme="majorEastAsia" w:hAnsiTheme="majorEastAsia" w:eastAsiaTheme="majorEastAsia"/>
          <w:szCs w:val="24"/>
          <w:highlight w:val="none"/>
        </w:rPr>
      </w:pPr>
    </w:p>
    <w:p>
      <w:pPr>
        <w:pStyle w:val="138"/>
        <w:rPr>
          <w:rFonts w:asciiTheme="majorEastAsia" w:hAnsiTheme="majorEastAsia" w:eastAsiaTheme="majorEastAsia"/>
          <w:szCs w:val="24"/>
          <w:highlight w:val="none"/>
        </w:rPr>
      </w:pPr>
    </w:p>
    <w:p>
      <w:pPr>
        <w:spacing w:before="120" w:line="360" w:lineRule="auto"/>
        <w:rPr>
          <w:rFonts w:asciiTheme="majorEastAsia" w:hAnsiTheme="majorEastAsia" w:eastAsiaTheme="majorEastAsia"/>
          <w:sz w:val="24"/>
          <w:highlight w:val="none"/>
        </w:rPr>
      </w:pPr>
    </w:p>
    <w:p>
      <w:pPr>
        <w:pStyle w:val="4"/>
        <w:rPr>
          <w:rFonts w:asciiTheme="majorEastAsia" w:hAnsiTheme="majorEastAsia" w:eastAsiaTheme="majorEastAsia"/>
          <w:sz w:val="24"/>
          <w:highlight w:val="none"/>
        </w:rPr>
      </w:pPr>
    </w:p>
    <w:p>
      <w:pPr>
        <w:rPr>
          <w:highlight w:val="none"/>
        </w:rPr>
      </w:pPr>
    </w:p>
    <w:p>
      <w:pPr>
        <w:spacing w:before="120" w:line="720" w:lineRule="auto"/>
        <w:ind w:left="960"/>
        <w:rPr>
          <w:rFonts w:hint="default" w:asciiTheme="majorEastAsia" w:hAnsiTheme="majorEastAsia" w:eastAsiaTheme="majorEastAsia"/>
          <w:b/>
          <w:bCs/>
          <w:sz w:val="28"/>
          <w:szCs w:val="28"/>
          <w:highlight w:val="none"/>
          <w:lang w:val="en-US" w:eastAsia="zh-CN"/>
        </w:rPr>
      </w:pPr>
      <w:r>
        <w:rPr>
          <w:rFonts w:hint="eastAsia" w:asciiTheme="majorEastAsia" w:hAnsiTheme="majorEastAsia" w:eastAsiaTheme="majorEastAsia"/>
          <w:b/>
          <w:bCs/>
          <w:sz w:val="28"/>
          <w:szCs w:val="28"/>
          <w:highlight w:val="none"/>
        </w:rPr>
        <w:t>项目名称：</w:t>
      </w:r>
      <w:r>
        <w:rPr>
          <w:rFonts w:hint="eastAsia" w:asciiTheme="majorEastAsia" w:hAnsiTheme="majorEastAsia" w:eastAsiaTheme="majorEastAsia"/>
          <w:b/>
          <w:bCs/>
          <w:sz w:val="28"/>
          <w:szCs w:val="28"/>
          <w:highlight w:val="none"/>
          <w:u w:val="single"/>
          <w:lang w:eastAsia="zh-CN"/>
        </w:rPr>
        <w:t>2024年司法援助保险项目</w:t>
      </w:r>
      <w:r>
        <w:rPr>
          <w:rFonts w:hint="eastAsia" w:asciiTheme="majorEastAsia" w:hAnsiTheme="majorEastAsia" w:eastAsiaTheme="majorEastAsia"/>
          <w:b/>
          <w:bCs/>
          <w:sz w:val="28"/>
          <w:szCs w:val="28"/>
          <w:highlight w:val="none"/>
          <w:u w:val="single"/>
          <w:lang w:val="en-US" w:eastAsia="zh-CN"/>
        </w:rPr>
        <w:t xml:space="preserve">               </w:t>
      </w:r>
    </w:p>
    <w:p>
      <w:pPr>
        <w:spacing w:before="120" w:line="720" w:lineRule="auto"/>
        <w:ind w:left="960"/>
        <w:rPr>
          <w:rFonts w:hint="default" w:asciiTheme="majorEastAsia" w:hAnsiTheme="majorEastAsia" w:eastAsiaTheme="majorEastAsia"/>
          <w:b/>
          <w:bCs/>
          <w:sz w:val="28"/>
          <w:szCs w:val="28"/>
          <w:highlight w:val="none"/>
          <w:u w:val="single"/>
          <w:lang w:val="en-US" w:eastAsia="zh-CN"/>
        </w:rPr>
      </w:pPr>
      <w:r>
        <w:rPr>
          <w:rFonts w:hint="eastAsia" w:asciiTheme="majorEastAsia" w:hAnsiTheme="majorEastAsia" w:eastAsiaTheme="majorEastAsia"/>
          <w:b/>
          <w:bCs/>
          <w:sz w:val="28"/>
          <w:szCs w:val="28"/>
          <w:highlight w:val="none"/>
        </w:rPr>
        <w:t>项目地点：</w:t>
      </w:r>
      <w:r>
        <w:rPr>
          <w:rFonts w:hint="eastAsia" w:asciiTheme="majorEastAsia" w:hAnsiTheme="majorEastAsia" w:eastAsiaTheme="majorEastAsia"/>
          <w:b/>
          <w:bCs/>
          <w:sz w:val="28"/>
          <w:szCs w:val="28"/>
          <w:highlight w:val="none"/>
          <w:u w:val="single"/>
          <w:lang w:val="en-US" w:eastAsia="zh-CN"/>
        </w:rPr>
        <w:t xml:space="preserve">                                      </w:t>
      </w:r>
    </w:p>
    <w:p>
      <w:pPr>
        <w:spacing w:before="120" w:line="720" w:lineRule="auto"/>
        <w:ind w:left="960"/>
        <w:rPr>
          <w:rFonts w:asciiTheme="majorEastAsia" w:hAnsiTheme="majorEastAsia" w:eastAsiaTheme="majorEastAsia"/>
          <w:b/>
          <w:bCs/>
          <w:sz w:val="28"/>
          <w:szCs w:val="28"/>
          <w:highlight w:val="none"/>
          <w:u w:val="single"/>
        </w:rPr>
      </w:pPr>
      <w:r>
        <w:rPr>
          <w:rFonts w:hint="eastAsia" w:asciiTheme="majorEastAsia" w:hAnsiTheme="majorEastAsia" w:eastAsiaTheme="majorEastAsia"/>
          <w:b/>
          <w:bCs/>
          <w:sz w:val="28"/>
          <w:szCs w:val="28"/>
          <w:highlight w:val="none"/>
        </w:rPr>
        <w:t>委托单位：</w:t>
      </w:r>
      <w:r>
        <w:rPr>
          <w:rFonts w:hint="eastAsia" w:asciiTheme="majorEastAsia" w:hAnsiTheme="majorEastAsia" w:eastAsiaTheme="majorEastAsia"/>
          <w:b/>
          <w:bCs/>
          <w:sz w:val="28"/>
          <w:szCs w:val="28"/>
          <w:highlight w:val="none"/>
          <w:u w:val="single"/>
          <w:lang w:val="en-US" w:eastAsia="zh-CN"/>
        </w:rPr>
        <w:t xml:space="preserve">                                      </w:t>
      </w:r>
    </w:p>
    <w:p>
      <w:pPr>
        <w:spacing w:before="120" w:line="720" w:lineRule="auto"/>
        <w:ind w:left="960"/>
        <w:rPr>
          <w:rFonts w:asciiTheme="majorEastAsia" w:hAnsiTheme="majorEastAsia" w:eastAsiaTheme="majorEastAsia"/>
          <w:b/>
          <w:bCs/>
          <w:sz w:val="28"/>
          <w:szCs w:val="28"/>
          <w:highlight w:val="none"/>
          <w:u w:val="single"/>
        </w:rPr>
      </w:pPr>
      <w:r>
        <w:rPr>
          <w:rFonts w:hint="eastAsia" w:asciiTheme="majorEastAsia" w:hAnsiTheme="majorEastAsia" w:eastAsiaTheme="majorEastAsia"/>
          <w:b/>
          <w:bCs/>
          <w:sz w:val="28"/>
          <w:szCs w:val="28"/>
          <w:highlight w:val="none"/>
        </w:rPr>
        <w:t>签订时间：</w:t>
      </w:r>
      <w:r>
        <w:rPr>
          <w:rFonts w:hint="eastAsia" w:asciiTheme="majorEastAsia" w:hAnsiTheme="majorEastAsia" w:eastAsiaTheme="majorEastAsia"/>
          <w:b/>
          <w:bCs/>
          <w:sz w:val="28"/>
          <w:szCs w:val="28"/>
          <w:highlight w:val="none"/>
          <w:u w:val="single"/>
          <w:lang w:val="en-US" w:eastAsia="zh-CN"/>
        </w:rPr>
        <w:t xml:space="preserve">                                      </w:t>
      </w:r>
    </w:p>
    <w:p>
      <w:pPr>
        <w:spacing w:before="120" w:line="720" w:lineRule="auto"/>
        <w:ind w:left="960"/>
        <w:rPr>
          <w:rFonts w:asciiTheme="majorEastAsia" w:hAnsiTheme="majorEastAsia" w:eastAsiaTheme="majorEastAsia"/>
          <w:b/>
          <w:bCs/>
          <w:sz w:val="28"/>
          <w:szCs w:val="28"/>
          <w:highlight w:val="none"/>
        </w:rPr>
      </w:pPr>
      <w:r>
        <w:rPr>
          <w:rFonts w:hint="eastAsia" w:asciiTheme="majorEastAsia" w:hAnsiTheme="majorEastAsia" w:eastAsiaTheme="majorEastAsia"/>
          <w:b/>
          <w:bCs/>
          <w:sz w:val="28"/>
          <w:szCs w:val="28"/>
          <w:highlight w:val="none"/>
        </w:rPr>
        <w:t>签订地点：</w:t>
      </w:r>
      <w:r>
        <w:rPr>
          <w:rFonts w:hint="eastAsia" w:asciiTheme="majorEastAsia" w:hAnsiTheme="majorEastAsia" w:eastAsiaTheme="majorEastAsia"/>
          <w:b/>
          <w:bCs/>
          <w:sz w:val="28"/>
          <w:szCs w:val="28"/>
          <w:highlight w:val="none"/>
          <w:u w:val="single"/>
          <w:lang w:val="en-US" w:eastAsia="zh-CN"/>
        </w:rPr>
        <w:t xml:space="preserve">                                      </w:t>
      </w:r>
    </w:p>
    <w:p>
      <w:pPr>
        <w:spacing w:before="120" w:line="360" w:lineRule="auto"/>
        <w:rPr>
          <w:rFonts w:asciiTheme="majorEastAsia" w:hAnsiTheme="majorEastAsia" w:eastAsiaTheme="majorEastAsia"/>
          <w:sz w:val="28"/>
          <w:szCs w:val="28"/>
          <w:highlight w:val="none"/>
        </w:rPr>
      </w:pPr>
    </w:p>
    <w:p>
      <w:pPr>
        <w:jc w:val="center"/>
        <w:rPr>
          <w:rFonts w:ascii="宋体" w:hAnsi="宋体"/>
          <w:sz w:val="32"/>
          <w:szCs w:val="32"/>
          <w:highlight w:val="none"/>
        </w:rPr>
      </w:pPr>
      <w:r>
        <w:rPr>
          <w:rFonts w:hint="eastAsia" w:ascii="宋体" w:hAnsi="宋体"/>
          <w:b/>
          <w:bCs/>
          <w:sz w:val="32"/>
          <w:szCs w:val="32"/>
          <w:highlight w:val="none"/>
          <w:lang w:eastAsia="zh-CN"/>
        </w:rPr>
        <w:t>2024年司法援助保险项目</w:t>
      </w:r>
      <w:r>
        <w:rPr>
          <w:rFonts w:hint="eastAsia" w:ascii="宋体" w:hAnsi="宋体"/>
          <w:b/>
          <w:bCs/>
          <w:sz w:val="32"/>
          <w:szCs w:val="32"/>
          <w:highlight w:val="none"/>
        </w:rPr>
        <w:t>合同书</w:t>
      </w:r>
    </w:p>
    <w:p>
      <w:pPr>
        <w:spacing w:line="560" w:lineRule="exact"/>
        <w:rPr>
          <w:rFonts w:asciiTheme="majorEastAsia" w:hAnsiTheme="majorEastAsia" w:eastAsiaTheme="majorEastAsia"/>
          <w:sz w:val="28"/>
          <w:szCs w:val="28"/>
          <w:highlight w:val="none"/>
        </w:rPr>
      </w:pPr>
    </w:p>
    <w:bookmarkEnd w:id="129"/>
    <w:p>
      <w:pPr>
        <w:pStyle w:val="3"/>
        <w:snapToGrid w:val="0"/>
        <w:spacing w:line="420" w:lineRule="exact"/>
        <w:rPr>
          <w:rFonts w:hAnsi="宋体" w:cs="宋体"/>
          <w:color w:val="auto"/>
          <w:highlight w:val="none"/>
        </w:rPr>
      </w:pPr>
      <w:r>
        <w:rPr>
          <w:rFonts w:hint="eastAsia" w:hAnsi="宋体" w:cs="宋体"/>
          <w:color w:val="auto"/>
          <w:highlight w:val="none"/>
        </w:rPr>
        <w:t>项目名称：                                     项目编号：</w:t>
      </w:r>
    </w:p>
    <w:p>
      <w:pPr>
        <w:pStyle w:val="3"/>
        <w:snapToGrid w:val="0"/>
        <w:spacing w:line="420" w:lineRule="exact"/>
        <w:rPr>
          <w:rFonts w:hAnsi="宋体" w:cs="宋体"/>
          <w:color w:val="auto"/>
          <w:highlight w:val="none"/>
        </w:rPr>
      </w:pPr>
      <w:r>
        <w:rPr>
          <w:rFonts w:hint="eastAsia" w:hAnsi="宋体" w:cs="宋体"/>
          <w:color w:val="auto"/>
          <w:highlight w:val="none"/>
        </w:rPr>
        <w:t>甲方：（买方）</w:t>
      </w:r>
    </w:p>
    <w:p>
      <w:pPr>
        <w:pStyle w:val="3"/>
        <w:snapToGrid w:val="0"/>
        <w:spacing w:line="420" w:lineRule="exact"/>
        <w:rPr>
          <w:rFonts w:hAnsi="宋体" w:cs="宋体"/>
          <w:color w:val="auto"/>
          <w:highlight w:val="none"/>
        </w:rPr>
      </w:pPr>
      <w:r>
        <w:rPr>
          <w:rFonts w:hint="eastAsia" w:hAnsi="宋体" w:cs="宋体"/>
          <w:color w:val="auto"/>
          <w:highlight w:val="none"/>
        </w:rPr>
        <w:t>乙方：（卖方）</w:t>
      </w:r>
    </w:p>
    <w:p>
      <w:pPr>
        <w:pStyle w:val="3"/>
        <w:snapToGrid w:val="0"/>
        <w:spacing w:line="420" w:lineRule="exact"/>
        <w:rPr>
          <w:rFonts w:hAnsi="宋体" w:cs="宋体"/>
          <w:color w:val="auto"/>
          <w:highlight w:val="none"/>
        </w:rPr>
      </w:pPr>
      <w:r>
        <w:rPr>
          <w:rFonts w:hint="eastAsia" w:hAnsi="宋体" w:cs="宋体"/>
          <w:color w:val="auto"/>
          <w:highlight w:val="none"/>
        </w:rPr>
        <w:t xml:space="preserve">    甲、乙双方根据招标的结果，签署本合同。</w:t>
      </w:r>
    </w:p>
    <w:p>
      <w:pPr>
        <w:pStyle w:val="3"/>
        <w:snapToGrid w:val="0"/>
        <w:spacing w:line="420" w:lineRule="exact"/>
        <w:rPr>
          <w:rFonts w:hAnsi="宋体" w:cs="宋体"/>
          <w:b/>
          <w:color w:val="auto"/>
          <w:highlight w:val="none"/>
        </w:rPr>
      </w:pPr>
      <w:r>
        <w:rPr>
          <w:rFonts w:hint="eastAsia" w:hAnsi="宋体" w:cs="宋体"/>
          <w:b/>
          <w:color w:val="auto"/>
          <w:highlight w:val="none"/>
        </w:rPr>
        <w:t>一、服务内容</w:t>
      </w:r>
    </w:p>
    <w:p>
      <w:pPr>
        <w:pStyle w:val="3"/>
        <w:snapToGrid w:val="0"/>
        <w:spacing w:line="420" w:lineRule="exact"/>
        <w:rPr>
          <w:rFonts w:hAnsi="宋体" w:cs="宋体"/>
          <w:b/>
          <w:color w:val="auto"/>
          <w:highlight w:val="none"/>
        </w:rPr>
      </w:pPr>
      <w:r>
        <w:rPr>
          <w:rFonts w:hint="eastAsia" w:hAnsi="宋体" w:cs="宋体"/>
          <w:b/>
          <w:color w:val="auto"/>
          <w:highlight w:val="none"/>
        </w:rPr>
        <w:t>二、合同金额</w:t>
      </w:r>
    </w:p>
    <w:p>
      <w:pPr>
        <w:pStyle w:val="3"/>
        <w:snapToGrid w:val="0"/>
        <w:spacing w:line="420" w:lineRule="exact"/>
        <w:ind w:left="359" w:hanging="359" w:hangingChars="171"/>
        <w:rPr>
          <w:rFonts w:hAnsi="宋体" w:cs="宋体"/>
          <w:color w:val="auto"/>
          <w:highlight w:val="none"/>
        </w:rPr>
      </w:pPr>
      <w:r>
        <w:rPr>
          <w:rFonts w:hint="eastAsia" w:hAnsi="宋体" w:cs="宋体"/>
          <w:color w:val="auto"/>
          <w:highlight w:val="none"/>
        </w:rPr>
        <w:t>2.1 本合同金额为（大写）：____________________________________元（￥_______________元）人民币。</w:t>
      </w:r>
    </w:p>
    <w:p>
      <w:pPr>
        <w:pStyle w:val="3"/>
        <w:snapToGrid w:val="0"/>
        <w:spacing w:line="420" w:lineRule="exact"/>
        <w:rPr>
          <w:rFonts w:hAnsi="宋体" w:cs="宋体"/>
          <w:b/>
          <w:color w:val="auto"/>
          <w:highlight w:val="none"/>
        </w:rPr>
      </w:pPr>
      <w:r>
        <w:rPr>
          <w:rFonts w:hint="eastAsia" w:hAnsi="宋体" w:cs="宋体"/>
          <w:b/>
          <w:color w:val="auto"/>
          <w:highlight w:val="none"/>
        </w:rPr>
        <w:t>三、技术资料</w:t>
      </w:r>
    </w:p>
    <w:p>
      <w:pPr>
        <w:pStyle w:val="3"/>
        <w:snapToGrid w:val="0"/>
        <w:spacing w:line="420" w:lineRule="exact"/>
        <w:ind w:left="359" w:hanging="359" w:hangingChars="171"/>
        <w:rPr>
          <w:rFonts w:hAnsi="宋体" w:cs="宋体"/>
          <w:color w:val="auto"/>
          <w:highlight w:val="none"/>
        </w:rPr>
      </w:pPr>
      <w:r>
        <w:rPr>
          <w:rFonts w:hint="eastAsia" w:hAnsi="宋体" w:cs="宋体"/>
          <w:color w:val="auto"/>
          <w:highlight w:val="none"/>
        </w:rPr>
        <w:t>3.1乙方应按招标文件规定的时间向甲方提供有关技术资料。</w:t>
      </w:r>
    </w:p>
    <w:p>
      <w:pPr>
        <w:pStyle w:val="3"/>
        <w:snapToGrid w:val="0"/>
        <w:spacing w:line="420" w:lineRule="exact"/>
        <w:ind w:left="359" w:hanging="359" w:hangingChars="171"/>
        <w:rPr>
          <w:rFonts w:hAnsi="宋体" w:cs="宋体"/>
          <w:color w:val="auto"/>
          <w:highlight w:val="none"/>
        </w:rPr>
      </w:pPr>
      <w:r>
        <w:rPr>
          <w:rFonts w:hint="eastAsia" w:hAnsi="宋体" w:cs="宋体"/>
          <w:color w:val="auto"/>
          <w:highlight w:val="none"/>
        </w:rPr>
        <w:t>3.2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3"/>
        <w:snapToGrid w:val="0"/>
        <w:spacing w:line="420" w:lineRule="exact"/>
        <w:ind w:left="360" w:hanging="361" w:hangingChars="171"/>
        <w:rPr>
          <w:rFonts w:hAnsi="宋体" w:cs="宋体"/>
          <w:b/>
          <w:color w:val="auto"/>
          <w:highlight w:val="none"/>
        </w:rPr>
      </w:pPr>
      <w:r>
        <w:rPr>
          <w:rFonts w:hint="eastAsia" w:hAnsi="宋体" w:cs="宋体"/>
          <w:b/>
          <w:color w:val="auto"/>
          <w:highlight w:val="none"/>
        </w:rPr>
        <w:t>四、知识产权</w:t>
      </w:r>
    </w:p>
    <w:p>
      <w:pPr>
        <w:pStyle w:val="3"/>
        <w:snapToGrid w:val="0"/>
        <w:spacing w:line="420" w:lineRule="exact"/>
        <w:ind w:left="359" w:hanging="359" w:hangingChars="171"/>
        <w:rPr>
          <w:rFonts w:hAnsi="宋体" w:cs="宋体"/>
          <w:b/>
          <w:bCs/>
          <w:color w:val="auto"/>
          <w:highlight w:val="none"/>
        </w:rPr>
      </w:pPr>
      <w:r>
        <w:rPr>
          <w:rFonts w:hint="eastAsia" w:hAnsi="宋体" w:cs="宋体"/>
          <w:color w:val="auto"/>
          <w:highlight w:val="none"/>
        </w:rPr>
        <w:t>4.1 乙方应保证提供服务过程中不会侵犯任何第三方的</w:t>
      </w:r>
      <w:r>
        <w:rPr>
          <w:rFonts w:hint="eastAsia" w:hAnsi="宋体" w:cs="宋体"/>
          <w:b/>
          <w:color w:val="auto"/>
          <w:highlight w:val="none"/>
        </w:rPr>
        <w:t>知识产权</w:t>
      </w:r>
      <w:r>
        <w:rPr>
          <w:rFonts w:hint="eastAsia" w:hAnsi="宋体" w:cs="宋体"/>
          <w:b/>
          <w:bCs/>
          <w:color w:val="auto"/>
          <w:highlight w:val="none"/>
        </w:rPr>
        <w:t>。</w:t>
      </w:r>
    </w:p>
    <w:p>
      <w:pPr>
        <w:pStyle w:val="3"/>
        <w:snapToGrid w:val="0"/>
        <w:spacing w:line="420" w:lineRule="exact"/>
        <w:ind w:left="358" w:hanging="358" w:hangingChars="170"/>
        <w:rPr>
          <w:rFonts w:hAnsi="宋体" w:cs="宋体"/>
          <w:b/>
          <w:color w:val="auto"/>
          <w:highlight w:val="none"/>
        </w:rPr>
      </w:pPr>
      <w:r>
        <w:rPr>
          <w:rFonts w:hint="eastAsia" w:hAnsi="宋体" w:cs="宋体"/>
          <w:b/>
          <w:color w:val="auto"/>
          <w:highlight w:val="none"/>
        </w:rPr>
        <w:t>五、履约保证金</w:t>
      </w:r>
    </w:p>
    <w:p>
      <w:pPr>
        <w:pStyle w:val="3"/>
        <w:snapToGrid w:val="0"/>
        <w:spacing w:line="420" w:lineRule="exact"/>
        <w:ind w:left="357" w:hanging="357" w:hangingChars="170"/>
        <w:rPr>
          <w:rFonts w:hAnsi="宋体" w:cs="宋体"/>
          <w:color w:val="auto"/>
          <w:highlight w:val="none"/>
        </w:rPr>
      </w:pPr>
      <w:r>
        <w:rPr>
          <w:rFonts w:hint="eastAsia" w:hAnsi="宋体" w:cs="宋体"/>
          <w:color w:val="auto"/>
          <w:highlight w:val="none"/>
        </w:rPr>
        <w:t>5.1 乙方交纳人民币元作为本合同的履约保证金。</w:t>
      </w:r>
    </w:p>
    <w:p>
      <w:pPr>
        <w:pStyle w:val="3"/>
        <w:snapToGrid w:val="0"/>
        <w:spacing w:line="420" w:lineRule="exact"/>
        <w:ind w:left="360" w:hanging="361" w:hangingChars="171"/>
        <w:rPr>
          <w:rFonts w:hAnsi="宋体" w:cs="宋体"/>
          <w:b/>
          <w:color w:val="auto"/>
          <w:highlight w:val="none"/>
        </w:rPr>
      </w:pPr>
      <w:r>
        <w:rPr>
          <w:rFonts w:hint="eastAsia" w:hAnsi="宋体" w:cs="宋体"/>
          <w:b/>
          <w:color w:val="auto"/>
          <w:highlight w:val="none"/>
        </w:rPr>
        <w:t>六、转包或分包</w:t>
      </w:r>
    </w:p>
    <w:p>
      <w:pPr>
        <w:pStyle w:val="3"/>
        <w:snapToGrid w:val="0"/>
        <w:spacing w:line="420" w:lineRule="exact"/>
        <w:ind w:left="359" w:hanging="359" w:hangingChars="171"/>
        <w:rPr>
          <w:rFonts w:hAnsi="宋体" w:cs="宋体"/>
          <w:color w:val="auto"/>
          <w:highlight w:val="none"/>
        </w:rPr>
      </w:pPr>
      <w:r>
        <w:rPr>
          <w:rFonts w:hint="eastAsia" w:hAnsi="宋体" w:cs="宋体"/>
          <w:color w:val="auto"/>
          <w:highlight w:val="none"/>
        </w:rPr>
        <w:t>6.1本合同范围的服务，应由乙方直接供应，不得转让他人供应；</w:t>
      </w:r>
    </w:p>
    <w:p>
      <w:pPr>
        <w:pStyle w:val="3"/>
        <w:snapToGrid w:val="0"/>
        <w:spacing w:line="420" w:lineRule="exact"/>
        <w:ind w:left="359" w:hanging="359" w:hangingChars="171"/>
        <w:rPr>
          <w:rFonts w:hAnsi="宋体" w:cs="宋体"/>
          <w:color w:val="auto"/>
          <w:highlight w:val="none"/>
        </w:rPr>
      </w:pPr>
      <w:r>
        <w:rPr>
          <w:rFonts w:hint="eastAsia" w:hAnsi="宋体" w:cs="宋体"/>
          <w:color w:val="auto"/>
          <w:highlight w:val="none"/>
        </w:rPr>
        <w:t>6.2如有转让和未经甲方同意的分包行为，甲方有权给予终止合同。</w:t>
      </w:r>
    </w:p>
    <w:p>
      <w:pPr>
        <w:pStyle w:val="3"/>
        <w:snapToGrid w:val="0"/>
        <w:spacing w:line="420" w:lineRule="exact"/>
        <w:rPr>
          <w:rFonts w:hAnsi="宋体" w:cs="宋体"/>
          <w:b/>
          <w:color w:val="auto"/>
          <w:highlight w:val="none"/>
        </w:rPr>
      </w:pPr>
      <w:r>
        <w:rPr>
          <w:rFonts w:hint="eastAsia" w:hAnsi="宋体" w:cs="宋体"/>
          <w:b/>
          <w:color w:val="auto"/>
          <w:highlight w:val="none"/>
        </w:rPr>
        <w:t>七、合同履行时间、履行方式及履行地点</w:t>
      </w:r>
    </w:p>
    <w:p>
      <w:pPr>
        <w:pStyle w:val="3"/>
        <w:snapToGrid w:val="0"/>
        <w:spacing w:line="420" w:lineRule="exact"/>
        <w:rPr>
          <w:rFonts w:hAnsi="宋体" w:cs="宋体"/>
          <w:bCs/>
          <w:color w:val="auto"/>
          <w:highlight w:val="none"/>
        </w:rPr>
      </w:pPr>
      <w:r>
        <w:rPr>
          <w:rFonts w:hint="eastAsia" w:hAnsi="宋体" w:cs="宋体"/>
          <w:bCs/>
          <w:color w:val="auto"/>
          <w:highlight w:val="none"/>
        </w:rPr>
        <w:t xml:space="preserve">7.1 </w:t>
      </w:r>
      <w:r>
        <w:rPr>
          <w:rFonts w:hint="eastAsia" w:hAnsi="宋体" w:cs="宋体"/>
          <w:color w:val="auto"/>
          <w:highlight w:val="none"/>
        </w:rPr>
        <w:t>履行时间</w:t>
      </w:r>
      <w:r>
        <w:rPr>
          <w:rFonts w:hint="eastAsia" w:hAnsi="宋体" w:cs="宋体"/>
          <w:bCs/>
          <w:color w:val="auto"/>
          <w:highlight w:val="none"/>
        </w:rPr>
        <w:t>：</w:t>
      </w:r>
    </w:p>
    <w:p>
      <w:pPr>
        <w:pStyle w:val="3"/>
        <w:snapToGrid w:val="0"/>
        <w:spacing w:line="420" w:lineRule="exact"/>
        <w:rPr>
          <w:rFonts w:hAnsi="宋体" w:cs="宋体"/>
          <w:bCs/>
          <w:color w:val="auto"/>
          <w:highlight w:val="none"/>
        </w:rPr>
      </w:pPr>
      <w:r>
        <w:rPr>
          <w:rFonts w:hint="eastAsia" w:hAnsi="宋体" w:cs="宋体"/>
          <w:bCs/>
          <w:color w:val="auto"/>
          <w:highlight w:val="none"/>
        </w:rPr>
        <w:t xml:space="preserve">7.2 </w:t>
      </w:r>
      <w:r>
        <w:rPr>
          <w:rFonts w:hint="eastAsia" w:hAnsi="宋体" w:cs="宋体"/>
          <w:color w:val="auto"/>
          <w:highlight w:val="none"/>
        </w:rPr>
        <w:t>履行方式</w:t>
      </w:r>
      <w:r>
        <w:rPr>
          <w:rFonts w:hint="eastAsia" w:hAnsi="宋体" w:cs="宋体"/>
          <w:bCs/>
          <w:color w:val="auto"/>
          <w:highlight w:val="none"/>
        </w:rPr>
        <w:t>：</w:t>
      </w:r>
    </w:p>
    <w:p>
      <w:pPr>
        <w:pStyle w:val="3"/>
        <w:snapToGrid w:val="0"/>
        <w:spacing w:line="420" w:lineRule="exact"/>
        <w:rPr>
          <w:rFonts w:hAnsi="宋体" w:cs="宋体"/>
          <w:color w:val="auto"/>
          <w:highlight w:val="none"/>
        </w:rPr>
      </w:pPr>
      <w:r>
        <w:rPr>
          <w:rFonts w:hint="eastAsia" w:hAnsi="宋体" w:cs="宋体"/>
          <w:bCs/>
          <w:color w:val="auto"/>
          <w:highlight w:val="none"/>
        </w:rPr>
        <w:t xml:space="preserve">7.3 </w:t>
      </w:r>
      <w:r>
        <w:rPr>
          <w:rFonts w:hint="eastAsia" w:hAnsi="宋体" w:cs="宋体"/>
          <w:color w:val="auto"/>
          <w:highlight w:val="none"/>
        </w:rPr>
        <w:t>履行地点</w:t>
      </w:r>
      <w:r>
        <w:rPr>
          <w:rFonts w:hint="eastAsia" w:hAnsi="宋体" w:cs="宋体"/>
          <w:bCs/>
          <w:color w:val="auto"/>
          <w:highlight w:val="none"/>
        </w:rPr>
        <w:t>：</w:t>
      </w:r>
    </w:p>
    <w:p>
      <w:pPr>
        <w:pStyle w:val="3"/>
        <w:snapToGrid w:val="0"/>
        <w:spacing w:line="420" w:lineRule="exact"/>
        <w:rPr>
          <w:rFonts w:hAnsi="宋体" w:cs="宋体"/>
          <w:b/>
          <w:color w:val="auto"/>
          <w:highlight w:val="none"/>
        </w:rPr>
      </w:pPr>
      <w:r>
        <w:rPr>
          <w:rFonts w:hint="eastAsia" w:hAnsi="宋体" w:cs="宋体"/>
          <w:b/>
          <w:color w:val="auto"/>
          <w:highlight w:val="none"/>
        </w:rPr>
        <w:t>八、款项支付</w:t>
      </w:r>
    </w:p>
    <w:p>
      <w:pPr>
        <w:pStyle w:val="3"/>
        <w:snapToGrid w:val="0"/>
        <w:spacing w:line="420" w:lineRule="exact"/>
        <w:rPr>
          <w:rFonts w:hint="eastAsia" w:hAnsi="宋体" w:eastAsia="宋体" w:cs="宋体"/>
          <w:bCs/>
          <w:color w:val="auto"/>
          <w:highlight w:val="none"/>
          <w:lang w:eastAsia="zh-CN"/>
        </w:rPr>
      </w:pPr>
      <w:r>
        <w:rPr>
          <w:rFonts w:hint="eastAsia" w:hAnsi="宋体" w:cs="宋体"/>
          <w:bCs/>
          <w:color w:val="auto"/>
          <w:highlight w:val="none"/>
        </w:rPr>
        <w:t>8.1 付款方式：</w:t>
      </w:r>
      <w:r>
        <w:rPr>
          <w:rFonts w:hint="eastAsia" w:ascii="宋体" w:hAnsi="宋体" w:cs="宋体"/>
          <w:szCs w:val="21"/>
          <w:highlight w:val="none"/>
        </w:rPr>
        <w:t>合同签订生效后，一次性付清年度服务费用</w:t>
      </w:r>
      <w:r>
        <w:rPr>
          <w:rFonts w:hint="eastAsia" w:hAnsi="宋体" w:cs="宋体"/>
          <w:szCs w:val="21"/>
          <w:highlight w:val="none"/>
          <w:lang w:eastAsia="zh-CN"/>
        </w:rPr>
        <w:t>。</w:t>
      </w:r>
    </w:p>
    <w:p>
      <w:pPr>
        <w:snapToGrid w:val="0"/>
        <w:spacing w:before="142" w:beforeLines="50" w:after="142" w:afterLines="50" w:line="420" w:lineRule="exact"/>
        <w:rPr>
          <w:rFonts w:hAnsi="宋体" w:cs="宋体"/>
          <w:b/>
          <w:color w:val="auto"/>
          <w:highlight w:val="none"/>
        </w:rPr>
      </w:pPr>
      <w:r>
        <w:rPr>
          <w:rFonts w:hint="eastAsia" w:hAnsi="宋体" w:cs="宋体"/>
          <w:b/>
          <w:color w:val="auto"/>
          <w:highlight w:val="none"/>
        </w:rPr>
        <w:t>九、税费</w:t>
      </w:r>
    </w:p>
    <w:p>
      <w:pPr>
        <w:snapToGrid w:val="0"/>
        <w:spacing w:before="142" w:beforeLines="50" w:after="142" w:afterLines="50" w:line="420" w:lineRule="exact"/>
        <w:rPr>
          <w:rFonts w:hAnsi="宋体" w:cs="宋体"/>
          <w:color w:val="auto"/>
          <w:highlight w:val="none"/>
        </w:rPr>
      </w:pPr>
      <w:r>
        <w:rPr>
          <w:rFonts w:hint="eastAsia" w:hAnsi="宋体" w:cs="宋体"/>
          <w:color w:val="auto"/>
          <w:highlight w:val="none"/>
        </w:rPr>
        <w:t>9.1本合同执行中相关的一切税费均由乙方负担。</w:t>
      </w:r>
    </w:p>
    <w:p>
      <w:pPr>
        <w:pStyle w:val="3"/>
        <w:snapToGrid w:val="0"/>
        <w:spacing w:line="420" w:lineRule="exact"/>
        <w:rPr>
          <w:rFonts w:hAnsi="宋体" w:cs="宋体"/>
          <w:b/>
          <w:color w:val="auto"/>
          <w:highlight w:val="none"/>
        </w:rPr>
      </w:pPr>
      <w:r>
        <w:rPr>
          <w:rFonts w:hint="eastAsia" w:hAnsi="宋体" w:cs="宋体"/>
          <w:b/>
          <w:color w:val="auto"/>
          <w:highlight w:val="none"/>
        </w:rPr>
        <w:t>十、违约责任</w:t>
      </w:r>
    </w:p>
    <w:p>
      <w:pPr>
        <w:pStyle w:val="3"/>
        <w:snapToGrid w:val="0"/>
        <w:spacing w:line="420" w:lineRule="exact"/>
        <w:ind w:left="359" w:hanging="359" w:hangingChars="171"/>
        <w:rPr>
          <w:rFonts w:hAnsi="宋体" w:cs="宋体"/>
          <w:color w:val="auto"/>
          <w:highlight w:val="none"/>
        </w:rPr>
      </w:pPr>
      <w:r>
        <w:rPr>
          <w:rFonts w:hint="eastAsia" w:hAnsi="宋体" w:cs="宋体"/>
          <w:color w:val="auto"/>
          <w:highlight w:val="none"/>
        </w:rPr>
        <w:t>10.1 甲方无正当理由拒收接受服务的，甲方向乙方偿付合同款项百分之五作为违约金。</w:t>
      </w:r>
    </w:p>
    <w:p>
      <w:pPr>
        <w:pStyle w:val="3"/>
        <w:snapToGrid w:val="0"/>
        <w:spacing w:line="420" w:lineRule="exact"/>
        <w:ind w:left="359" w:hanging="359" w:hangingChars="171"/>
        <w:rPr>
          <w:rFonts w:hAnsi="宋体" w:cs="宋体"/>
          <w:color w:val="auto"/>
          <w:highlight w:val="none"/>
        </w:rPr>
      </w:pPr>
      <w:r>
        <w:rPr>
          <w:rFonts w:hint="eastAsia" w:hAnsi="宋体" w:cs="宋体"/>
          <w:color w:val="auto"/>
          <w:highlight w:val="none"/>
        </w:rPr>
        <w:t>10.2 甲方无故逾期办理款项支付手续的,甲方应按逾期付款总额每日万分之五向乙方支付违约金。</w:t>
      </w:r>
    </w:p>
    <w:p>
      <w:pPr>
        <w:pStyle w:val="3"/>
        <w:snapToGrid w:val="0"/>
        <w:spacing w:line="420" w:lineRule="exact"/>
        <w:ind w:left="359" w:hanging="359" w:hangingChars="171"/>
        <w:rPr>
          <w:rFonts w:hAnsi="宋体" w:cs="宋体"/>
          <w:color w:val="auto"/>
          <w:highlight w:val="none"/>
        </w:rPr>
      </w:pPr>
      <w:r>
        <w:rPr>
          <w:rFonts w:hint="eastAsia" w:hAnsi="宋体" w:cs="宋体"/>
          <w:color w:val="auto"/>
          <w:highlight w:val="none"/>
        </w:rPr>
        <w:t xml:space="preserve">10.3 乙方逾期提供服务的，每日向甲方支付千分之六违约金。逾期超过约定日期10个工作日不能提供服务的，甲方可解除本合同。乙方因逾期提供服务或因其他违约行为导致甲方解除合同的，乙方应向甲方支付合同总值5%的违约金，如造成甲方损失超过违约金的，超出部分由乙方继续承担赔偿责任。 </w:t>
      </w:r>
    </w:p>
    <w:p>
      <w:pPr>
        <w:pStyle w:val="3"/>
        <w:snapToGrid w:val="0"/>
        <w:spacing w:line="420" w:lineRule="exact"/>
        <w:rPr>
          <w:rFonts w:hAnsi="宋体" w:cs="宋体"/>
          <w:b/>
          <w:color w:val="auto"/>
          <w:highlight w:val="none"/>
        </w:rPr>
      </w:pPr>
      <w:r>
        <w:rPr>
          <w:rFonts w:hint="eastAsia" w:hAnsi="宋体" w:cs="宋体"/>
          <w:b/>
          <w:color w:val="auto"/>
          <w:highlight w:val="none"/>
        </w:rPr>
        <w:t>十一、不可抗力事件处理</w:t>
      </w:r>
    </w:p>
    <w:p>
      <w:pPr>
        <w:pStyle w:val="3"/>
        <w:snapToGrid w:val="0"/>
        <w:spacing w:line="420" w:lineRule="exact"/>
        <w:ind w:left="420" w:hanging="420" w:hangingChars="200"/>
        <w:rPr>
          <w:rFonts w:hAnsi="宋体" w:cs="宋体"/>
          <w:color w:val="auto"/>
          <w:highlight w:val="none"/>
        </w:rPr>
      </w:pPr>
      <w:r>
        <w:rPr>
          <w:rFonts w:hint="eastAsia" w:hAnsi="宋体" w:cs="宋体"/>
          <w:color w:val="auto"/>
          <w:highlight w:val="none"/>
        </w:rPr>
        <w:t>11.1 在合同有效期内，任何一方因不可抗力事件导致不能履行合同，则合同履行期可延长，其延长期与不可抗力影响期相同。</w:t>
      </w:r>
    </w:p>
    <w:p>
      <w:pPr>
        <w:pStyle w:val="3"/>
        <w:snapToGrid w:val="0"/>
        <w:spacing w:line="420" w:lineRule="exact"/>
        <w:rPr>
          <w:rFonts w:hAnsi="宋体" w:cs="宋体"/>
          <w:color w:val="auto"/>
          <w:highlight w:val="none"/>
        </w:rPr>
      </w:pPr>
      <w:r>
        <w:rPr>
          <w:rFonts w:hint="eastAsia" w:hAnsi="宋体" w:cs="宋体"/>
          <w:color w:val="auto"/>
          <w:highlight w:val="none"/>
        </w:rPr>
        <w:t>11.2 不可抗力事件发生后，应立即通知对方，并寄送有关权威机构出具的证明。</w:t>
      </w:r>
    </w:p>
    <w:p>
      <w:pPr>
        <w:pStyle w:val="3"/>
        <w:snapToGrid w:val="0"/>
        <w:spacing w:line="420" w:lineRule="exact"/>
        <w:ind w:left="420" w:hanging="420" w:hangingChars="200"/>
        <w:rPr>
          <w:rFonts w:hAnsi="宋体" w:cs="宋体"/>
          <w:color w:val="auto"/>
          <w:highlight w:val="none"/>
        </w:rPr>
      </w:pPr>
      <w:r>
        <w:rPr>
          <w:rFonts w:hint="eastAsia" w:hAnsi="宋体" w:cs="宋体"/>
          <w:color w:val="auto"/>
          <w:highlight w:val="none"/>
        </w:rPr>
        <w:t>11.3 不可抗力事件延续120天以上，双方应通过友好协商，确定是否继续履行合同。</w:t>
      </w:r>
    </w:p>
    <w:p>
      <w:pPr>
        <w:pStyle w:val="3"/>
        <w:snapToGrid w:val="0"/>
        <w:spacing w:line="420" w:lineRule="exact"/>
        <w:rPr>
          <w:rFonts w:hAnsi="宋体" w:cs="宋体"/>
          <w:b/>
          <w:color w:val="auto"/>
          <w:highlight w:val="none"/>
        </w:rPr>
      </w:pPr>
      <w:r>
        <w:rPr>
          <w:rFonts w:hint="eastAsia" w:hAnsi="宋体" w:cs="宋体"/>
          <w:b/>
          <w:color w:val="auto"/>
          <w:highlight w:val="none"/>
        </w:rPr>
        <w:t>十二、诉讼</w:t>
      </w:r>
    </w:p>
    <w:p>
      <w:pPr>
        <w:pStyle w:val="3"/>
        <w:snapToGrid w:val="0"/>
        <w:spacing w:line="420" w:lineRule="exact"/>
        <w:ind w:left="420" w:hanging="420" w:hangingChars="200"/>
        <w:rPr>
          <w:rFonts w:hAnsi="宋体" w:cs="宋体"/>
          <w:color w:val="auto"/>
          <w:highlight w:val="none"/>
        </w:rPr>
      </w:pPr>
      <w:r>
        <w:rPr>
          <w:rFonts w:hint="eastAsia" w:hAnsi="宋体" w:cs="宋体"/>
          <w:color w:val="auto"/>
          <w:highlight w:val="none"/>
        </w:rPr>
        <w:t>12.1 双方在执行合同中所发生的一切争议，应通过协商解决。如协商不成，可向合同签订地法院起诉。</w:t>
      </w:r>
    </w:p>
    <w:p>
      <w:pPr>
        <w:pStyle w:val="3"/>
        <w:snapToGrid w:val="0"/>
        <w:spacing w:line="420" w:lineRule="exact"/>
        <w:rPr>
          <w:rFonts w:hAnsi="宋体" w:cs="宋体"/>
          <w:b/>
          <w:color w:val="auto"/>
          <w:highlight w:val="none"/>
        </w:rPr>
      </w:pPr>
      <w:r>
        <w:rPr>
          <w:rFonts w:hint="eastAsia" w:hAnsi="宋体" w:cs="宋体"/>
          <w:b/>
          <w:color w:val="auto"/>
          <w:highlight w:val="none"/>
        </w:rPr>
        <w:t>十三、合同生效及其它</w:t>
      </w:r>
    </w:p>
    <w:p>
      <w:pPr>
        <w:pStyle w:val="3"/>
        <w:snapToGrid w:val="0"/>
        <w:spacing w:line="420" w:lineRule="exact"/>
        <w:rPr>
          <w:rFonts w:hAnsi="宋体" w:cs="宋体"/>
          <w:color w:val="auto"/>
          <w:highlight w:val="none"/>
        </w:rPr>
      </w:pPr>
      <w:r>
        <w:rPr>
          <w:rFonts w:hint="eastAsia" w:hAnsi="宋体" w:cs="宋体"/>
          <w:color w:val="auto"/>
          <w:highlight w:val="none"/>
        </w:rPr>
        <w:t>13.1 合同经双方法定代表人或授权委托代理人签字并加盖单位公章后生效。</w:t>
      </w:r>
    </w:p>
    <w:p>
      <w:pPr>
        <w:pStyle w:val="3"/>
        <w:snapToGrid w:val="0"/>
        <w:spacing w:line="420" w:lineRule="exact"/>
        <w:rPr>
          <w:rFonts w:hAnsi="宋体" w:cs="宋体"/>
          <w:color w:val="auto"/>
          <w:highlight w:val="none"/>
        </w:rPr>
      </w:pPr>
      <w:r>
        <w:rPr>
          <w:rFonts w:hint="eastAsia" w:hAnsi="宋体" w:cs="宋体"/>
          <w:color w:val="auto"/>
          <w:highlight w:val="none"/>
        </w:rPr>
        <w:t>13.2合同执行中涉及采购资金和采购内容修改或补充的，须经市/区财政部门审批，并签书面补充协议报政府采购监督管理部门备案，方可作为主合同不可分割的一部分。</w:t>
      </w:r>
    </w:p>
    <w:p>
      <w:pPr>
        <w:pStyle w:val="3"/>
        <w:snapToGrid w:val="0"/>
        <w:spacing w:line="420" w:lineRule="exact"/>
        <w:ind w:left="420" w:hanging="420" w:hangingChars="200"/>
        <w:rPr>
          <w:rFonts w:hAnsi="宋体" w:cs="宋体"/>
          <w:color w:val="auto"/>
          <w:highlight w:val="none"/>
        </w:rPr>
      </w:pPr>
      <w:r>
        <w:rPr>
          <w:rFonts w:hint="eastAsia" w:hAnsi="宋体" w:cs="宋体"/>
          <w:color w:val="auto"/>
          <w:highlight w:val="none"/>
        </w:rPr>
        <w:t>13.3本合同未尽事宜，遵照《民法典》有关条文执行。</w:t>
      </w:r>
    </w:p>
    <w:p>
      <w:pPr>
        <w:pStyle w:val="3"/>
        <w:snapToGrid w:val="0"/>
        <w:spacing w:line="420" w:lineRule="exact"/>
        <w:ind w:left="420" w:hanging="420" w:hangingChars="200"/>
        <w:rPr>
          <w:rFonts w:hAnsi="宋体" w:cs="宋体"/>
          <w:color w:val="auto"/>
          <w:highlight w:val="none"/>
        </w:rPr>
      </w:pPr>
      <w:r>
        <w:rPr>
          <w:rFonts w:hint="eastAsia" w:hAnsi="宋体" w:cs="宋体"/>
          <w:color w:val="auto"/>
          <w:highlight w:val="none"/>
        </w:rPr>
        <w:t>13.4 本合同正本一式两份，具有同等法律效力，甲乙双方各执一份；副本份，(用途)。</w:t>
      </w:r>
    </w:p>
    <w:p>
      <w:pPr>
        <w:pStyle w:val="3"/>
        <w:snapToGrid w:val="0"/>
        <w:spacing w:line="420" w:lineRule="exact"/>
        <w:ind w:left="420" w:hanging="420" w:hangingChars="200"/>
        <w:rPr>
          <w:rFonts w:hAnsi="宋体" w:cs="宋体"/>
          <w:color w:val="auto"/>
          <w:highlight w:val="none"/>
        </w:rPr>
      </w:pPr>
    </w:p>
    <w:p>
      <w:pPr>
        <w:pStyle w:val="3"/>
        <w:snapToGrid w:val="0"/>
        <w:spacing w:line="420" w:lineRule="exact"/>
        <w:ind w:left="420" w:hanging="420" w:hangingChars="200"/>
        <w:rPr>
          <w:rFonts w:hAnsi="宋体" w:cs="宋体"/>
          <w:color w:val="auto"/>
          <w:highlight w:val="none"/>
        </w:rPr>
      </w:pPr>
      <w:r>
        <w:rPr>
          <w:rFonts w:hint="eastAsia" w:hAnsi="宋体" w:cs="宋体"/>
          <w:color w:val="auto"/>
          <w:highlight w:val="none"/>
        </w:rPr>
        <w:t xml:space="preserve">  甲方：                                   乙方： </w:t>
      </w:r>
    </w:p>
    <w:p>
      <w:pPr>
        <w:pStyle w:val="3"/>
        <w:snapToGrid w:val="0"/>
        <w:spacing w:line="420" w:lineRule="exact"/>
        <w:rPr>
          <w:rFonts w:hAnsi="宋体" w:cs="宋体"/>
          <w:color w:val="auto"/>
          <w:highlight w:val="none"/>
        </w:rPr>
      </w:pPr>
      <w:r>
        <w:rPr>
          <w:rFonts w:hint="eastAsia" w:hAnsi="宋体" w:cs="宋体"/>
          <w:color w:val="auto"/>
          <w:highlight w:val="none"/>
        </w:rPr>
        <w:t xml:space="preserve">  地址：                                   地址： </w:t>
      </w:r>
    </w:p>
    <w:p>
      <w:pPr>
        <w:pStyle w:val="3"/>
        <w:snapToGrid w:val="0"/>
        <w:spacing w:line="420" w:lineRule="exact"/>
        <w:rPr>
          <w:rFonts w:hAnsi="宋体" w:cs="宋体"/>
          <w:color w:val="auto"/>
          <w:highlight w:val="none"/>
        </w:rPr>
      </w:pPr>
      <w:r>
        <w:rPr>
          <w:rFonts w:hint="eastAsia" w:hAnsi="宋体" w:cs="宋体"/>
          <w:color w:val="auto"/>
          <w:highlight w:val="none"/>
        </w:rPr>
        <w:t xml:space="preserve">  法定代表人：                             法定代表人：</w:t>
      </w:r>
    </w:p>
    <w:p>
      <w:pPr>
        <w:pStyle w:val="3"/>
        <w:snapToGrid w:val="0"/>
        <w:spacing w:line="420" w:lineRule="exact"/>
        <w:ind w:firstLine="105" w:firstLineChars="50"/>
        <w:rPr>
          <w:rFonts w:hAnsi="宋体" w:cs="宋体"/>
          <w:color w:val="auto"/>
          <w:highlight w:val="none"/>
        </w:rPr>
      </w:pPr>
      <w:r>
        <w:rPr>
          <w:rFonts w:hint="eastAsia" w:hAnsi="宋体" w:cs="宋体"/>
          <w:color w:val="auto"/>
          <w:highlight w:val="none"/>
        </w:rPr>
        <w:t xml:space="preserve"> 签订地点：                               签订日期：</w:t>
      </w:r>
    </w:p>
    <w:p>
      <w:pPr>
        <w:pStyle w:val="4"/>
        <w:spacing w:beforeLines="0" w:afterLines="0" w:line="360" w:lineRule="auto"/>
        <w:rPr>
          <w:rFonts w:ascii="宋体" w:hAnsi="宋体"/>
          <w:sz w:val="32"/>
          <w:szCs w:val="32"/>
          <w:highlight w:val="none"/>
        </w:rPr>
      </w:pPr>
      <w:bookmarkStart w:id="134" w:name="_Toc23502"/>
      <w:r>
        <w:rPr>
          <w:rFonts w:hint="eastAsia" w:ascii="宋体" w:hAnsi="宋体"/>
          <w:sz w:val="32"/>
          <w:szCs w:val="32"/>
          <w:highlight w:val="none"/>
        </w:rPr>
        <w:br w:type="column"/>
      </w:r>
      <w:r>
        <w:rPr>
          <w:rFonts w:hint="eastAsia" w:ascii="宋体" w:hAnsi="宋体"/>
          <w:sz w:val="32"/>
          <w:szCs w:val="32"/>
          <w:highlight w:val="none"/>
        </w:rPr>
        <w:t>第</w:t>
      </w:r>
      <w:r>
        <w:rPr>
          <w:rFonts w:hint="eastAsia" w:ascii="宋体" w:hAnsi="宋体"/>
          <w:sz w:val="32"/>
          <w:szCs w:val="32"/>
          <w:highlight w:val="none"/>
          <w:lang w:val="en-US" w:eastAsia="zh-CN"/>
        </w:rPr>
        <w:t>七</w:t>
      </w:r>
      <w:r>
        <w:rPr>
          <w:rFonts w:hint="eastAsia" w:ascii="宋体" w:hAnsi="宋体"/>
          <w:sz w:val="32"/>
          <w:szCs w:val="32"/>
          <w:highlight w:val="none"/>
        </w:rPr>
        <w:t>部分 附件（投标文件格式）</w:t>
      </w:r>
      <w:bookmarkEnd w:id="134"/>
    </w:p>
    <w:p>
      <w:pPr>
        <w:jc w:val="center"/>
        <w:rPr>
          <w:rFonts w:ascii="宋体" w:hAnsi="宋体" w:cs="宋体"/>
          <w:b/>
          <w:sz w:val="36"/>
          <w:szCs w:val="36"/>
          <w:highlight w:val="none"/>
          <w:u w:val="single"/>
        </w:rPr>
      </w:pPr>
    </w:p>
    <w:p>
      <w:pPr>
        <w:jc w:val="center"/>
        <w:rPr>
          <w:rFonts w:ascii="宋体" w:hAnsi="宋体" w:cs="宋体"/>
          <w:b/>
          <w:sz w:val="36"/>
          <w:szCs w:val="36"/>
          <w:highlight w:val="none"/>
          <w:u w:val="single"/>
        </w:rPr>
      </w:pPr>
    </w:p>
    <w:p>
      <w:pPr>
        <w:widowControl/>
        <w:spacing w:line="360" w:lineRule="auto"/>
        <w:jc w:val="left"/>
        <w:rPr>
          <w:rFonts w:cs="宋体" w:asciiTheme="minorEastAsia" w:hAnsiTheme="minorEastAsia" w:eastAsiaTheme="minorEastAsia"/>
          <w:kern w:val="0"/>
          <w:sz w:val="24"/>
          <w:highlight w:val="none"/>
        </w:rPr>
      </w:pPr>
      <w:r>
        <w:rPr>
          <w:rFonts w:hint="eastAsia" w:cs="宋体" w:asciiTheme="minorEastAsia" w:hAnsiTheme="minorEastAsia" w:eastAsiaTheme="minorEastAsia"/>
          <w:b/>
          <w:bCs/>
          <w:kern w:val="0"/>
          <w:szCs w:val="21"/>
          <w:highlight w:val="none"/>
        </w:rPr>
        <w:t xml:space="preserve">1、投标文件的外包装封面 </w:t>
      </w:r>
    </w:p>
    <w:p>
      <w:pPr>
        <w:widowControl/>
        <w:spacing w:beforeLines="100" w:line="360" w:lineRule="auto"/>
        <w:jc w:val="center"/>
        <w:rPr>
          <w:rFonts w:cs="宋体" w:asciiTheme="minorEastAsia" w:hAnsiTheme="minorEastAsia" w:eastAsiaTheme="minorEastAsia"/>
          <w:kern w:val="0"/>
          <w:sz w:val="24"/>
          <w:highlight w:val="none"/>
        </w:rPr>
      </w:pPr>
      <w:r>
        <w:rPr>
          <w:rFonts w:hint="eastAsia" w:cs="宋体" w:asciiTheme="minorEastAsia" w:hAnsiTheme="minorEastAsia" w:eastAsiaTheme="minorEastAsia"/>
          <w:b/>
          <w:bCs/>
          <w:kern w:val="0"/>
          <w:szCs w:val="21"/>
          <w:highlight w:val="none"/>
        </w:rPr>
        <w:t>电子备份投标文件</w:t>
      </w:r>
    </w:p>
    <w:p>
      <w:pPr>
        <w:widowControl/>
        <w:spacing w:line="360" w:lineRule="auto"/>
        <w:jc w:val="left"/>
        <w:rPr>
          <w:rFonts w:cs="宋体" w:asciiTheme="minorEastAsia" w:hAnsiTheme="minorEastAsia" w:eastAsiaTheme="minorEastAsia"/>
          <w:kern w:val="0"/>
          <w:szCs w:val="21"/>
          <w:highlight w:val="none"/>
        </w:rPr>
      </w:pPr>
    </w:p>
    <w:p>
      <w:pPr>
        <w:widowControl/>
        <w:spacing w:line="360" w:lineRule="auto"/>
        <w:jc w:val="left"/>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Cs w:val="21"/>
          <w:highlight w:val="none"/>
        </w:rPr>
        <w:t>项目编号：</w:t>
      </w:r>
    </w:p>
    <w:p>
      <w:pPr>
        <w:widowControl/>
        <w:spacing w:line="360" w:lineRule="auto"/>
        <w:jc w:val="left"/>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Cs w:val="21"/>
          <w:highlight w:val="none"/>
        </w:rPr>
        <w:t>项目名称：</w:t>
      </w:r>
    </w:p>
    <w:p>
      <w:pPr>
        <w:widowControl/>
        <w:spacing w:line="360" w:lineRule="auto"/>
        <w:jc w:val="left"/>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Cs w:val="21"/>
          <w:highlight w:val="none"/>
        </w:rPr>
        <w:t xml:space="preserve">投标人名称（加盖公章）： </w:t>
      </w:r>
    </w:p>
    <w:p>
      <w:pPr>
        <w:widowControl/>
        <w:spacing w:line="360" w:lineRule="auto"/>
        <w:jc w:val="left"/>
        <w:rPr>
          <w:rFonts w:cs="宋体" w:asciiTheme="minorEastAsia" w:hAnsiTheme="minorEastAsia" w:eastAsiaTheme="minorEastAsia"/>
          <w:kern w:val="0"/>
          <w:szCs w:val="21"/>
          <w:highlight w:val="none"/>
        </w:rPr>
      </w:pPr>
      <w:r>
        <w:rPr>
          <w:rFonts w:hint="eastAsia" w:cs="宋体" w:asciiTheme="minorEastAsia" w:hAnsiTheme="minorEastAsia" w:eastAsiaTheme="minorEastAsia"/>
          <w:kern w:val="0"/>
          <w:szCs w:val="21"/>
          <w:highlight w:val="none"/>
        </w:rPr>
        <w:t xml:space="preserve">投标人地址： </w:t>
      </w:r>
    </w:p>
    <w:p>
      <w:pPr>
        <w:widowControl/>
        <w:spacing w:line="360" w:lineRule="auto"/>
        <w:jc w:val="left"/>
        <w:rPr>
          <w:rFonts w:cs="宋体" w:asciiTheme="minorEastAsia" w:hAnsiTheme="minorEastAsia" w:eastAsiaTheme="minorEastAsia"/>
          <w:kern w:val="0"/>
          <w:sz w:val="24"/>
          <w:highlight w:val="none"/>
        </w:rPr>
      </w:pPr>
    </w:p>
    <w:p>
      <w:pPr>
        <w:widowControl/>
        <w:spacing w:line="360" w:lineRule="auto"/>
        <w:jc w:val="left"/>
        <w:rPr>
          <w:rFonts w:cs="宋体" w:asciiTheme="minorEastAsia" w:hAnsiTheme="minorEastAsia" w:eastAsiaTheme="minorEastAsia"/>
          <w:kern w:val="0"/>
          <w:szCs w:val="21"/>
          <w:highlight w:val="none"/>
        </w:rPr>
      </w:pPr>
      <w:r>
        <w:rPr>
          <w:rFonts w:hint="eastAsia" w:cs="宋体" w:asciiTheme="minorEastAsia" w:hAnsiTheme="minorEastAsia" w:eastAsiaTheme="minorEastAsia"/>
          <w:kern w:val="0"/>
          <w:szCs w:val="21"/>
          <w:highlight w:val="none"/>
        </w:rPr>
        <w:t xml:space="preserve">                                                        年 月 日 </w:t>
      </w:r>
    </w:p>
    <w:p>
      <w:pPr>
        <w:widowControl/>
        <w:spacing w:line="360" w:lineRule="auto"/>
        <w:jc w:val="left"/>
        <w:rPr>
          <w:rFonts w:cs="宋体" w:asciiTheme="minorEastAsia" w:hAnsiTheme="minorEastAsia" w:eastAsiaTheme="minorEastAsia"/>
          <w:kern w:val="0"/>
          <w:szCs w:val="21"/>
          <w:highlight w:val="none"/>
        </w:rPr>
      </w:pPr>
    </w:p>
    <w:p>
      <w:pPr>
        <w:widowControl/>
        <w:spacing w:line="360" w:lineRule="auto"/>
        <w:jc w:val="left"/>
        <w:rPr>
          <w:rFonts w:cs="宋体" w:asciiTheme="minorEastAsia" w:hAnsiTheme="minorEastAsia" w:eastAsiaTheme="minorEastAsia"/>
          <w:kern w:val="0"/>
          <w:sz w:val="24"/>
          <w:highlight w:val="none"/>
        </w:rPr>
      </w:pPr>
    </w:p>
    <w:p>
      <w:pPr>
        <w:widowControl/>
        <w:spacing w:line="360" w:lineRule="auto"/>
        <w:jc w:val="left"/>
        <w:rPr>
          <w:rFonts w:cs="宋体" w:asciiTheme="minorEastAsia" w:hAnsiTheme="minorEastAsia" w:eastAsiaTheme="minorEastAsia"/>
          <w:kern w:val="0"/>
          <w:sz w:val="24"/>
          <w:highlight w:val="none"/>
        </w:rPr>
      </w:pPr>
      <w:r>
        <w:rPr>
          <w:rFonts w:hint="eastAsia" w:cs="宋体" w:asciiTheme="minorEastAsia" w:hAnsiTheme="minorEastAsia" w:eastAsiaTheme="minorEastAsia"/>
          <w:b/>
          <w:bCs/>
          <w:kern w:val="0"/>
          <w:szCs w:val="21"/>
          <w:highlight w:val="none"/>
        </w:rPr>
        <w:t xml:space="preserve">2、投标文件封面格式 </w:t>
      </w:r>
    </w:p>
    <w:p>
      <w:pPr>
        <w:widowControl/>
        <w:spacing w:beforeLines="100" w:line="360" w:lineRule="auto"/>
        <w:jc w:val="center"/>
        <w:rPr>
          <w:rFonts w:cs="宋体" w:asciiTheme="minorEastAsia" w:hAnsiTheme="minorEastAsia" w:eastAsiaTheme="minorEastAsia"/>
          <w:kern w:val="0"/>
          <w:sz w:val="24"/>
          <w:highlight w:val="none"/>
        </w:rPr>
      </w:pPr>
      <w:r>
        <w:rPr>
          <w:rFonts w:hint="eastAsia" w:cs="宋体" w:asciiTheme="minorEastAsia" w:hAnsiTheme="minorEastAsia" w:eastAsiaTheme="minorEastAsia"/>
          <w:b/>
          <w:bCs/>
          <w:kern w:val="0"/>
          <w:szCs w:val="21"/>
          <w:highlight w:val="none"/>
        </w:rPr>
        <w:t>资格文件/商务技术文件/报价文件</w:t>
      </w:r>
    </w:p>
    <w:p>
      <w:pPr>
        <w:widowControl/>
        <w:spacing w:line="360" w:lineRule="auto"/>
        <w:jc w:val="left"/>
        <w:rPr>
          <w:rFonts w:cs="宋体" w:asciiTheme="minorEastAsia" w:hAnsiTheme="minorEastAsia" w:eastAsiaTheme="minorEastAsia"/>
          <w:kern w:val="0"/>
          <w:szCs w:val="21"/>
          <w:highlight w:val="none"/>
        </w:rPr>
      </w:pPr>
    </w:p>
    <w:p>
      <w:pPr>
        <w:widowControl/>
        <w:spacing w:line="360" w:lineRule="auto"/>
        <w:jc w:val="left"/>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Cs w:val="21"/>
          <w:highlight w:val="none"/>
        </w:rPr>
        <w:t>项目编号：</w:t>
      </w:r>
    </w:p>
    <w:p>
      <w:pPr>
        <w:widowControl/>
        <w:spacing w:line="360" w:lineRule="auto"/>
        <w:jc w:val="left"/>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Cs w:val="21"/>
          <w:highlight w:val="none"/>
        </w:rPr>
        <w:t>项目名称：</w:t>
      </w:r>
    </w:p>
    <w:p>
      <w:pPr>
        <w:widowControl/>
        <w:spacing w:line="360" w:lineRule="auto"/>
        <w:jc w:val="left"/>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Cs w:val="21"/>
          <w:highlight w:val="none"/>
        </w:rPr>
        <w:t xml:space="preserve">投标人名称（加盖公章）： </w:t>
      </w:r>
    </w:p>
    <w:p>
      <w:pPr>
        <w:widowControl/>
        <w:spacing w:line="360" w:lineRule="auto"/>
        <w:jc w:val="left"/>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Cs w:val="21"/>
          <w:highlight w:val="none"/>
        </w:rPr>
        <w:t xml:space="preserve">投标人地址： </w:t>
      </w:r>
    </w:p>
    <w:p>
      <w:pPr>
        <w:widowControl/>
        <w:spacing w:line="360" w:lineRule="auto"/>
        <w:jc w:val="left"/>
        <w:rPr>
          <w:rFonts w:cs="宋体" w:asciiTheme="minorEastAsia" w:hAnsiTheme="minorEastAsia" w:eastAsiaTheme="minorEastAsia"/>
          <w:kern w:val="0"/>
          <w:szCs w:val="21"/>
          <w:highlight w:val="none"/>
        </w:rPr>
      </w:pPr>
    </w:p>
    <w:p>
      <w:pPr>
        <w:spacing w:line="400" w:lineRule="exact"/>
        <w:rPr>
          <w:rFonts w:asciiTheme="minorEastAsia" w:hAnsiTheme="minorEastAsia" w:eastAsiaTheme="minorEastAsia"/>
          <w:bCs/>
          <w:sz w:val="24"/>
          <w:szCs w:val="24"/>
          <w:highlight w:val="none"/>
        </w:rPr>
      </w:pPr>
      <w:r>
        <w:rPr>
          <w:rFonts w:hint="eastAsia" w:cs="宋体" w:asciiTheme="minorEastAsia" w:hAnsiTheme="minorEastAsia" w:eastAsiaTheme="minorEastAsia"/>
          <w:kern w:val="0"/>
          <w:szCs w:val="21"/>
          <w:highlight w:val="none"/>
        </w:rPr>
        <w:t xml:space="preserve"> 年 月 日</w:t>
      </w:r>
      <w:r>
        <w:rPr>
          <w:rFonts w:asciiTheme="minorEastAsia" w:hAnsiTheme="minorEastAsia" w:eastAsiaTheme="minorEastAsia"/>
          <w:bCs/>
          <w:sz w:val="24"/>
          <w:szCs w:val="24"/>
          <w:highlight w:val="none"/>
        </w:rPr>
        <w:br w:type="page"/>
      </w:r>
    </w:p>
    <w:p>
      <w:pPr>
        <w:widowControl/>
        <w:spacing w:line="360" w:lineRule="auto"/>
        <w:jc w:val="left"/>
        <w:rPr>
          <w:rFonts w:cs="宋体" w:asciiTheme="minorEastAsia" w:hAnsiTheme="minorEastAsia" w:eastAsiaTheme="minorEastAsia"/>
          <w:kern w:val="0"/>
          <w:sz w:val="24"/>
          <w:highlight w:val="none"/>
        </w:rPr>
      </w:pPr>
      <w:r>
        <w:rPr>
          <w:rFonts w:hint="eastAsia" w:cs="宋体" w:asciiTheme="minorEastAsia" w:hAnsiTheme="minorEastAsia" w:eastAsiaTheme="minorEastAsia"/>
          <w:b/>
          <w:bCs/>
          <w:kern w:val="0"/>
          <w:szCs w:val="21"/>
          <w:highlight w:val="none"/>
        </w:rPr>
        <w:t>资格文件组成：</w:t>
      </w:r>
    </w:p>
    <w:p>
      <w:pPr>
        <w:widowControl/>
        <w:spacing w:line="360" w:lineRule="auto"/>
        <w:ind w:firstLine="420" w:firstLineChars="200"/>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（1）符合参加政府采购活动应当具备的一般条件的承诺函；</w:t>
      </w:r>
    </w:p>
    <w:p>
      <w:pPr>
        <w:widowControl/>
        <w:spacing w:line="360" w:lineRule="auto"/>
        <w:ind w:firstLine="420" w:firstLineChars="200"/>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（2）有效的企业法人营业执照（或事业法人登记证）、其他组织（个体工商户的营业执照或者民办非企业单位登记证书复印件。投标人如果有名称变更的，应提供由行政主管部门出具的变更证明文件；</w:t>
      </w:r>
    </w:p>
    <w:p>
      <w:pPr>
        <w:widowControl/>
        <w:spacing w:line="360" w:lineRule="auto"/>
        <w:ind w:firstLine="420" w:firstLineChars="200"/>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（3）联合体协议（如有）；</w:t>
      </w:r>
    </w:p>
    <w:p>
      <w:pPr>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（4）特定资格的证明文件</w:t>
      </w:r>
      <w:r>
        <w:rPr>
          <w:rFonts w:hint="eastAsia" w:ascii="宋体" w:hAnsi="宋体" w:cs="宋体"/>
          <w:bCs/>
          <w:highlight w:val="none"/>
        </w:rPr>
        <w:t>。</w:t>
      </w:r>
      <w:r>
        <w:rPr>
          <w:rFonts w:asciiTheme="minorEastAsia" w:hAnsiTheme="minorEastAsia" w:eastAsiaTheme="minorEastAsia"/>
          <w:szCs w:val="21"/>
          <w:highlight w:val="none"/>
        </w:rPr>
        <w:br w:type="page"/>
      </w:r>
    </w:p>
    <w:p>
      <w:pPr>
        <w:pStyle w:val="6"/>
        <w:spacing w:line="380" w:lineRule="exact"/>
        <w:ind w:left="0" w:firstLine="0"/>
        <w:rPr>
          <w:rFonts w:cs="仿宋_GB2312" w:asciiTheme="minorEastAsia" w:hAnsiTheme="minorEastAsia" w:eastAsiaTheme="minorEastAsia"/>
          <w:highlight w:val="none"/>
        </w:rPr>
      </w:pPr>
      <w:bookmarkStart w:id="135" w:name="_Toc1070"/>
      <w:r>
        <w:rPr>
          <w:rFonts w:hint="eastAsia" w:asciiTheme="minorEastAsia" w:hAnsiTheme="minorEastAsia" w:eastAsiaTheme="minorEastAsia"/>
          <w:sz w:val="28"/>
          <w:szCs w:val="28"/>
          <w:highlight w:val="none"/>
        </w:rPr>
        <w:t>（一）</w:t>
      </w:r>
      <w:r>
        <w:rPr>
          <w:rFonts w:cs="仿宋_GB2312" w:asciiTheme="minorEastAsia" w:hAnsiTheme="minorEastAsia" w:eastAsiaTheme="minorEastAsia"/>
          <w:highlight w:val="none"/>
        </w:rPr>
        <w:t xml:space="preserve"> 符合参加政府采购活动应当具备的一般条件的承诺函</w:t>
      </w:r>
      <w:bookmarkEnd w:id="135"/>
    </w:p>
    <w:p>
      <w:pPr>
        <w:snapToGrid w:val="0"/>
        <w:spacing w:line="360" w:lineRule="auto"/>
        <w:rPr>
          <w:rFonts w:asciiTheme="minorEastAsia" w:hAnsiTheme="minorEastAsia" w:eastAsiaTheme="minorEastAsia"/>
          <w:sz w:val="24"/>
          <w:highlight w:val="none"/>
        </w:rPr>
      </w:pPr>
    </w:p>
    <w:p>
      <w:pPr>
        <w:snapToGrid w:val="0"/>
        <w:spacing w:line="360" w:lineRule="auto"/>
        <w:rPr>
          <w:rFonts w:cs="仿宋_GB2312" w:asciiTheme="minorEastAsia" w:hAnsiTheme="minorEastAsia" w:eastAsiaTheme="minorEastAsia"/>
          <w:szCs w:val="21"/>
          <w:highlight w:val="none"/>
        </w:rPr>
      </w:pPr>
      <w:r>
        <w:rPr>
          <w:rFonts w:hint="eastAsia" w:asciiTheme="minorEastAsia" w:hAnsiTheme="minorEastAsia" w:eastAsiaTheme="minorEastAsia"/>
          <w:i/>
          <w:iCs/>
          <w:szCs w:val="21"/>
          <w:highlight w:val="none"/>
          <w:u w:val="single"/>
        </w:rPr>
        <w:t xml:space="preserve"> （采购人、采购代理机构） </w:t>
      </w:r>
      <w:r>
        <w:rPr>
          <w:rFonts w:hint="eastAsia" w:cs="仿宋_GB2312" w:asciiTheme="minorEastAsia" w:hAnsiTheme="minorEastAsia" w:eastAsiaTheme="minorEastAsia"/>
          <w:szCs w:val="21"/>
          <w:highlight w:val="none"/>
        </w:rPr>
        <w:t>：</w:t>
      </w:r>
    </w:p>
    <w:p>
      <w:pPr>
        <w:snapToGrid w:val="0"/>
        <w:spacing w:line="360" w:lineRule="auto"/>
        <w:ind w:firstLine="420" w:firstLineChars="200"/>
        <w:rPr>
          <w:rFonts w:cs="仿宋_GB2312" w:asciiTheme="minorEastAsia" w:hAnsiTheme="minorEastAsia" w:eastAsiaTheme="minorEastAsia"/>
          <w:szCs w:val="21"/>
          <w:highlight w:val="none"/>
        </w:rPr>
      </w:pPr>
      <w:r>
        <w:rPr>
          <w:rFonts w:hint="eastAsia" w:cs="仿宋_GB2312" w:asciiTheme="minorEastAsia" w:hAnsiTheme="minorEastAsia" w:eastAsiaTheme="minorEastAsia"/>
          <w:szCs w:val="21"/>
          <w:highlight w:val="none"/>
        </w:rPr>
        <w:t>我方参与</w:t>
      </w:r>
      <w:r>
        <w:rPr>
          <w:rFonts w:hint="eastAsia" w:asciiTheme="minorEastAsia" w:hAnsiTheme="minorEastAsia" w:eastAsiaTheme="minorEastAsia"/>
          <w:szCs w:val="21"/>
          <w:highlight w:val="none"/>
        </w:rPr>
        <w:t>项目</w:t>
      </w:r>
      <w:r>
        <w:rPr>
          <w:rFonts w:hint="eastAsia" w:cs="仿宋_GB2312" w:asciiTheme="minorEastAsia" w:hAnsiTheme="minorEastAsia" w:eastAsiaTheme="minorEastAsia"/>
          <w:szCs w:val="21"/>
          <w:highlight w:val="none"/>
        </w:rPr>
        <w:t>【招标编号：】政府采购活动，郑重承诺：</w:t>
      </w:r>
    </w:p>
    <w:p>
      <w:pPr>
        <w:snapToGrid w:val="0"/>
        <w:spacing w:line="360" w:lineRule="auto"/>
        <w:ind w:firstLine="315" w:firstLineChars="150"/>
        <w:rPr>
          <w:rFonts w:cs="仿宋_GB2312" w:asciiTheme="minorEastAsia" w:hAnsiTheme="minorEastAsia" w:eastAsiaTheme="minorEastAsia"/>
          <w:szCs w:val="21"/>
          <w:highlight w:val="none"/>
        </w:rPr>
      </w:pPr>
      <w:r>
        <w:rPr>
          <w:rFonts w:hint="eastAsia" w:cs="仿宋_GB2312" w:asciiTheme="minorEastAsia" w:hAnsiTheme="minorEastAsia" w:eastAsiaTheme="minorEastAsia"/>
          <w:szCs w:val="21"/>
          <w:highlight w:val="none"/>
        </w:rPr>
        <w:t>（一）具备《中华人民共和国政府采购法》第二十二条第一款规定的条件：</w:t>
      </w:r>
    </w:p>
    <w:p>
      <w:pPr>
        <w:snapToGrid w:val="0"/>
        <w:spacing w:line="360" w:lineRule="auto"/>
        <w:ind w:firstLine="420" w:firstLineChars="200"/>
        <w:rPr>
          <w:rFonts w:cs="仿宋_GB2312" w:asciiTheme="minorEastAsia" w:hAnsiTheme="minorEastAsia" w:eastAsiaTheme="minorEastAsia"/>
          <w:szCs w:val="21"/>
          <w:highlight w:val="none"/>
        </w:rPr>
      </w:pPr>
      <w:r>
        <w:rPr>
          <w:rFonts w:hint="eastAsia" w:cs="仿宋_GB2312" w:asciiTheme="minorEastAsia" w:hAnsiTheme="minorEastAsia" w:eastAsiaTheme="minorEastAsia"/>
          <w:szCs w:val="21"/>
          <w:highlight w:val="none"/>
        </w:rPr>
        <w:t>1、</w:t>
      </w:r>
      <w:r>
        <w:rPr>
          <w:rFonts w:cs="仿宋_GB2312" w:asciiTheme="minorEastAsia" w:hAnsiTheme="minorEastAsia" w:eastAsiaTheme="minorEastAsia"/>
          <w:szCs w:val="21"/>
          <w:highlight w:val="none"/>
        </w:rPr>
        <w:t>具有独立承担民事责任的能力；</w:t>
      </w:r>
    </w:p>
    <w:p>
      <w:pPr>
        <w:snapToGrid w:val="0"/>
        <w:spacing w:line="360" w:lineRule="auto"/>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2、</w:t>
      </w:r>
      <w:r>
        <w:rPr>
          <w:rFonts w:asciiTheme="minorEastAsia" w:hAnsiTheme="minorEastAsia" w:eastAsiaTheme="minorEastAsia"/>
          <w:szCs w:val="21"/>
          <w:highlight w:val="none"/>
        </w:rPr>
        <w:t xml:space="preserve">具有良好的商业信誉和健全的财务会计制度； </w:t>
      </w:r>
    </w:p>
    <w:p>
      <w:pPr>
        <w:snapToGrid w:val="0"/>
        <w:spacing w:line="360" w:lineRule="auto"/>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3、</w:t>
      </w:r>
      <w:r>
        <w:rPr>
          <w:rFonts w:asciiTheme="minorEastAsia" w:hAnsiTheme="minorEastAsia" w:eastAsiaTheme="minorEastAsia"/>
          <w:szCs w:val="21"/>
          <w:highlight w:val="none"/>
        </w:rPr>
        <w:t>具有履行合同所必需的设备和专业技术能力；</w:t>
      </w:r>
    </w:p>
    <w:p>
      <w:pPr>
        <w:snapToGrid w:val="0"/>
        <w:spacing w:line="360" w:lineRule="auto"/>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4、</w:t>
      </w:r>
      <w:r>
        <w:rPr>
          <w:rFonts w:asciiTheme="minorEastAsia" w:hAnsiTheme="minorEastAsia" w:eastAsiaTheme="minorEastAsia"/>
          <w:szCs w:val="21"/>
          <w:highlight w:val="none"/>
        </w:rPr>
        <w:t>有依法缴纳税收和社会保障资金的良好记录；</w:t>
      </w:r>
    </w:p>
    <w:p>
      <w:pPr>
        <w:snapToGrid w:val="0"/>
        <w:spacing w:line="360" w:lineRule="auto"/>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5、</w:t>
      </w:r>
      <w:r>
        <w:rPr>
          <w:rFonts w:asciiTheme="minorEastAsia" w:hAnsiTheme="minorEastAsia" w:eastAsiaTheme="minorEastAsia"/>
          <w:szCs w:val="21"/>
          <w:highlight w:val="none"/>
        </w:rPr>
        <w:t>参加政府采购活动前三年内，在经营活动中没有重大违法记录；</w:t>
      </w:r>
    </w:p>
    <w:p>
      <w:pPr>
        <w:snapToGrid w:val="0"/>
        <w:spacing w:line="360" w:lineRule="auto"/>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6、</w:t>
      </w:r>
      <w:r>
        <w:rPr>
          <w:rFonts w:asciiTheme="minorEastAsia" w:hAnsiTheme="minorEastAsia" w:eastAsiaTheme="minorEastAsia"/>
          <w:szCs w:val="21"/>
          <w:highlight w:val="none"/>
        </w:rPr>
        <w:t>具有法律、行政法规规定的其他条件。</w:t>
      </w:r>
    </w:p>
    <w:p>
      <w:pPr>
        <w:snapToGrid w:val="0"/>
        <w:spacing w:line="360" w:lineRule="auto"/>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（二）未被信用中国（</w:t>
      </w:r>
      <w:r>
        <w:rPr>
          <w:rFonts w:asciiTheme="minorEastAsia" w:hAnsiTheme="minorEastAsia" w:eastAsiaTheme="minorEastAsia"/>
          <w:szCs w:val="21"/>
          <w:highlight w:val="none"/>
        </w:rPr>
        <w:t>www.creditchina.gov.cn)、中国政府采购网（www.ccgp.gov.cn）列入失信被执行人、重大税收违法案件当事人名单、政府采购严重违法失信行为记录名单。</w:t>
      </w:r>
    </w:p>
    <w:p>
      <w:pPr>
        <w:snapToGrid w:val="0"/>
        <w:spacing w:line="360" w:lineRule="auto"/>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（三）不存在以下情况：</w:t>
      </w:r>
    </w:p>
    <w:p>
      <w:pPr>
        <w:snapToGrid w:val="0"/>
        <w:spacing w:line="360" w:lineRule="auto"/>
        <w:ind w:firstLine="420" w:firstLineChars="200"/>
        <w:rPr>
          <w:rFonts w:cs="仿宋_GB2312" w:asciiTheme="minorEastAsia" w:hAnsiTheme="minorEastAsia" w:eastAsiaTheme="minorEastAsia"/>
          <w:szCs w:val="21"/>
          <w:highlight w:val="none"/>
        </w:rPr>
      </w:pPr>
      <w:r>
        <w:rPr>
          <w:rFonts w:hint="eastAsia" w:cs="仿宋_GB2312" w:asciiTheme="minorEastAsia" w:hAnsiTheme="minorEastAsia" w:eastAsiaTheme="minorEastAsia"/>
          <w:szCs w:val="21"/>
          <w:highlight w:val="none"/>
        </w:rPr>
        <w:t>1、</w:t>
      </w:r>
      <w:r>
        <w:rPr>
          <w:rFonts w:cs="仿宋_GB2312" w:asciiTheme="minorEastAsia" w:hAnsiTheme="minorEastAsia" w:eastAsiaTheme="minorEastAsia"/>
          <w:szCs w:val="21"/>
          <w:highlight w:val="none"/>
        </w:rPr>
        <w:t>单位负责人为同一人或者存在直接控股、管理关系的不同供应商参加同一合同项下的政府采购活动的；</w:t>
      </w:r>
    </w:p>
    <w:p>
      <w:pPr>
        <w:snapToGrid w:val="0"/>
        <w:spacing w:line="360" w:lineRule="auto"/>
        <w:ind w:firstLine="420" w:firstLineChars="200"/>
        <w:rPr>
          <w:rFonts w:cs="仿宋_GB2312" w:asciiTheme="minorEastAsia" w:hAnsiTheme="minorEastAsia" w:eastAsiaTheme="minorEastAsia"/>
          <w:szCs w:val="21"/>
          <w:highlight w:val="none"/>
        </w:rPr>
      </w:pPr>
      <w:r>
        <w:rPr>
          <w:rFonts w:hint="eastAsia" w:cs="仿宋_GB2312" w:asciiTheme="minorEastAsia" w:hAnsiTheme="minorEastAsia" w:eastAsiaTheme="minorEastAsia"/>
          <w:szCs w:val="21"/>
          <w:highlight w:val="none"/>
        </w:rPr>
        <w:t>2、</w:t>
      </w:r>
      <w:r>
        <w:rPr>
          <w:rFonts w:cs="仿宋_GB2312" w:asciiTheme="minorEastAsia" w:hAnsiTheme="minorEastAsia" w:eastAsiaTheme="minorEastAsia"/>
          <w:szCs w:val="21"/>
          <w:highlight w:val="none"/>
        </w:rPr>
        <w:t>为采购项目提供整体设计、规范编制或者项目管理、监理、检测等服务后再参加该采购项目的其他采购活动的。</w:t>
      </w:r>
    </w:p>
    <w:p>
      <w:pPr>
        <w:rPr>
          <w:szCs w:val="21"/>
          <w:highlight w:val="none"/>
        </w:rPr>
      </w:pPr>
    </w:p>
    <w:p>
      <w:pPr>
        <w:rPr>
          <w:rFonts w:cs="仿宋_GB2312" w:asciiTheme="minorEastAsia" w:hAnsiTheme="minorEastAsia" w:eastAsiaTheme="minorEastAsia"/>
          <w:szCs w:val="21"/>
          <w:highlight w:val="none"/>
        </w:rPr>
      </w:pPr>
    </w:p>
    <w:p>
      <w:pPr>
        <w:adjustRightInd w:val="0"/>
        <w:snapToGrid w:val="0"/>
        <w:spacing w:line="360" w:lineRule="auto"/>
        <w:ind w:left="425"/>
        <w:rPr>
          <w:rFonts w:asciiTheme="minorEastAsia" w:hAnsiTheme="minorEastAsia" w:eastAsiaTheme="minorEastAsia"/>
          <w:spacing w:val="4"/>
          <w:szCs w:val="21"/>
          <w:highlight w:val="none"/>
        </w:rPr>
      </w:pPr>
    </w:p>
    <w:p>
      <w:pPr>
        <w:spacing w:line="480" w:lineRule="auto"/>
        <w:ind w:right="420" w:firstLine="5040" w:firstLineChars="24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 xml:space="preserve">投标人（公章）：                               </w:t>
      </w:r>
    </w:p>
    <w:p>
      <w:pPr>
        <w:spacing w:line="480" w:lineRule="auto"/>
        <w:ind w:right="420" w:firstLine="3990" w:firstLineChars="19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 xml:space="preserve">投标人代表（签字或印章）：     </w:t>
      </w:r>
    </w:p>
    <w:p>
      <w:pPr>
        <w:spacing w:line="480" w:lineRule="auto"/>
        <w:ind w:right="420" w:firstLine="3045" w:firstLineChars="145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 xml:space="preserve">                   年    月    日</w:t>
      </w:r>
    </w:p>
    <w:p>
      <w:pPr>
        <w:pStyle w:val="19"/>
        <w:ind w:firstLine="0"/>
        <w:jc w:val="center"/>
        <w:rPr>
          <w:rFonts w:ascii="宋体" w:hAnsi="宋体" w:cs="宋体"/>
          <w:b/>
          <w:szCs w:val="21"/>
          <w:highlight w:val="none"/>
        </w:rPr>
      </w:pPr>
    </w:p>
    <w:p>
      <w:pPr>
        <w:rPr>
          <w:highlight w:val="none"/>
        </w:rPr>
      </w:pPr>
    </w:p>
    <w:p>
      <w:pPr>
        <w:pStyle w:val="19"/>
        <w:ind w:firstLine="0"/>
        <w:rPr>
          <w:rFonts w:asciiTheme="minorEastAsia" w:hAnsiTheme="minorEastAsia" w:eastAsiaTheme="minorEastAsia"/>
          <w:highlight w:val="none"/>
        </w:rPr>
      </w:pPr>
      <w:r>
        <w:rPr>
          <w:rFonts w:hint="eastAsia" w:ascii="宋体" w:hAnsi="宋体" w:cs="宋体"/>
          <w:b/>
          <w:szCs w:val="21"/>
          <w:highlight w:val="none"/>
        </w:rPr>
        <w:t>（若为联合体投标，联合体各方须单独提供并盖章）</w:t>
      </w:r>
    </w:p>
    <w:p>
      <w:pPr>
        <w:pStyle w:val="17"/>
        <w:rPr>
          <w:highlight w:val="none"/>
        </w:rPr>
      </w:pPr>
    </w:p>
    <w:p>
      <w:pPr>
        <w:pStyle w:val="19"/>
        <w:ind w:firstLine="0"/>
        <w:jc w:val="center"/>
        <w:rPr>
          <w:rFonts w:asciiTheme="minorEastAsia" w:hAnsiTheme="minorEastAsia" w:eastAsiaTheme="minorEastAsia"/>
          <w:highlight w:val="none"/>
        </w:rPr>
      </w:pPr>
    </w:p>
    <w:p>
      <w:pPr>
        <w:pStyle w:val="19"/>
        <w:ind w:firstLine="0"/>
        <w:jc w:val="center"/>
        <w:rPr>
          <w:rFonts w:asciiTheme="minorEastAsia" w:hAnsiTheme="minorEastAsia" w:eastAsiaTheme="minorEastAsia"/>
          <w:highlight w:val="none"/>
        </w:rPr>
      </w:pPr>
    </w:p>
    <w:p>
      <w:pPr>
        <w:rPr>
          <w:rFonts w:asciiTheme="minorEastAsia" w:hAnsiTheme="minorEastAsia" w:eastAsiaTheme="minorEastAsia"/>
          <w:highlight w:val="none"/>
        </w:rPr>
      </w:pPr>
    </w:p>
    <w:p>
      <w:pPr>
        <w:pStyle w:val="17"/>
        <w:rPr>
          <w:rFonts w:asciiTheme="minorEastAsia" w:hAnsiTheme="minorEastAsia" w:eastAsiaTheme="minorEastAsia"/>
          <w:highlight w:val="none"/>
        </w:rPr>
      </w:pPr>
    </w:p>
    <w:p>
      <w:pPr>
        <w:rPr>
          <w:highlight w:val="none"/>
        </w:rPr>
      </w:pPr>
    </w:p>
    <w:p>
      <w:pPr>
        <w:pStyle w:val="19"/>
        <w:ind w:firstLine="0"/>
        <w:jc w:val="center"/>
        <w:rPr>
          <w:rFonts w:asciiTheme="minorEastAsia" w:hAnsiTheme="minorEastAsia" w:eastAsiaTheme="minorEastAsia"/>
          <w:highlight w:val="none"/>
        </w:rPr>
      </w:pPr>
    </w:p>
    <w:p>
      <w:pPr>
        <w:rPr>
          <w:highlight w:val="none"/>
        </w:rPr>
      </w:pPr>
      <w:r>
        <w:rPr>
          <w:highlight w:val="none"/>
        </w:rPr>
        <w:br w:type="page"/>
      </w:r>
    </w:p>
    <w:p>
      <w:pPr>
        <w:pStyle w:val="17"/>
        <w:rPr>
          <w:highlight w:val="none"/>
        </w:rPr>
      </w:pPr>
    </w:p>
    <w:p>
      <w:pPr>
        <w:pStyle w:val="6"/>
        <w:spacing w:line="380" w:lineRule="exact"/>
        <w:ind w:left="0" w:firstLine="0"/>
        <w:rPr>
          <w:rFonts w:asciiTheme="minorEastAsia" w:hAnsiTheme="minorEastAsia" w:eastAsiaTheme="minorEastAsia"/>
          <w:sz w:val="28"/>
          <w:szCs w:val="28"/>
          <w:highlight w:val="none"/>
        </w:rPr>
      </w:pPr>
      <w:bookmarkStart w:id="136" w:name="_Toc15123"/>
      <w:r>
        <w:rPr>
          <w:rFonts w:hint="eastAsia" w:asciiTheme="minorEastAsia" w:hAnsiTheme="minorEastAsia" w:eastAsiaTheme="minorEastAsia"/>
          <w:sz w:val="28"/>
          <w:szCs w:val="28"/>
          <w:highlight w:val="none"/>
        </w:rPr>
        <w:t>（二）有效的企业法人营业执照（或事业法人登记证）、其他组织（个体工商户的营业执照或者民办非企业单位登记证书复印件。投标人如果有名称变更的，应提供由行政主管部门出具的变更证明文件</w:t>
      </w:r>
      <w:bookmarkEnd w:id="136"/>
    </w:p>
    <w:p>
      <w:pPr>
        <w:pStyle w:val="19"/>
        <w:ind w:firstLine="0"/>
        <w:jc w:val="center"/>
        <w:rPr>
          <w:rFonts w:asciiTheme="minorEastAsia" w:hAnsiTheme="minorEastAsia" w:eastAsiaTheme="minorEastAsia"/>
          <w:bCs/>
          <w:sz w:val="22"/>
          <w:szCs w:val="22"/>
          <w:highlight w:val="none"/>
        </w:rPr>
      </w:pPr>
      <w:r>
        <w:rPr>
          <w:rFonts w:hint="eastAsia" w:asciiTheme="minorEastAsia" w:hAnsiTheme="minorEastAsia" w:eastAsiaTheme="minorEastAsia"/>
          <w:bCs/>
          <w:sz w:val="22"/>
          <w:szCs w:val="22"/>
          <w:highlight w:val="none"/>
        </w:rPr>
        <w:t>（复印件并加盖公章）</w:t>
      </w:r>
    </w:p>
    <w:p>
      <w:pPr>
        <w:rPr>
          <w:rFonts w:asciiTheme="minorEastAsia" w:hAnsiTheme="minorEastAsia" w:eastAsiaTheme="minorEastAsia"/>
          <w:bCs/>
          <w:sz w:val="22"/>
          <w:szCs w:val="22"/>
          <w:highlight w:val="none"/>
        </w:rPr>
      </w:pPr>
    </w:p>
    <w:p>
      <w:pPr>
        <w:pStyle w:val="17"/>
        <w:rPr>
          <w:rFonts w:asciiTheme="minorEastAsia" w:hAnsiTheme="minorEastAsia" w:eastAsiaTheme="minorEastAsia"/>
          <w:bCs/>
          <w:sz w:val="22"/>
          <w:szCs w:val="22"/>
          <w:highlight w:val="none"/>
        </w:rPr>
      </w:pPr>
    </w:p>
    <w:p>
      <w:pPr>
        <w:rPr>
          <w:rFonts w:asciiTheme="minorEastAsia" w:hAnsiTheme="minorEastAsia" w:eastAsiaTheme="minorEastAsia"/>
          <w:bCs/>
          <w:sz w:val="22"/>
          <w:szCs w:val="22"/>
          <w:highlight w:val="none"/>
        </w:rPr>
      </w:pPr>
    </w:p>
    <w:p>
      <w:pPr>
        <w:pStyle w:val="17"/>
        <w:rPr>
          <w:rFonts w:ascii="宋体" w:hAnsi="宋体" w:cs="宋体"/>
          <w:b/>
          <w:szCs w:val="21"/>
          <w:highlight w:val="none"/>
        </w:rPr>
        <w:sectPr>
          <w:headerReference r:id="rId15" w:type="default"/>
          <w:type w:val="continuous"/>
          <w:pgSz w:w="11907" w:h="16840"/>
          <w:pgMar w:top="1304" w:right="1588" w:bottom="1418" w:left="1588" w:header="720" w:footer="720" w:gutter="0"/>
          <w:cols w:space="720" w:num="1"/>
          <w:docGrid w:linePitch="285" w:charSpace="0"/>
        </w:sectPr>
      </w:pPr>
      <w:r>
        <w:rPr>
          <w:rFonts w:hint="eastAsia" w:ascii="宋体" w:hAnsi="宋体" w:cs="宋体"/>
          <w:b/>
          <w:szCs w:val="21"/>
          <w:highlight w:val="none"/>
        </w:rPr>
        <w:t>（若为联合体投标，联合体各方须单独提供并盖章）</w:t>
      </w:r>
    </w:p>
    <w:p>
      <w:pPr>
        <w:rPr>
          <w:rFonts w:ascii="宋体" w:hAnsi="宋体" w:cs="宋体"/>
          <w:b/>
          <w:kern w:val="0"/>
          <w:sz w:val="28"/>
          <w:szCs w:val="28"/>
          <w:highlight w:val="none"/>
          <w:lang w:val="zh-CN"/>
        </w:rPr>
      </w:pPr>
    </w:p>
    <w:p>
      <w:pPr>
        <w:autoSpaceDE w:val="0"/>
        <w:autoSpaceDN w:val="0"/>
        <w:jc w:val="center"/>
        <w:rPr>
          <w:rFonts w:ascii="宋体" w:hAnsi="宋体" w:cs="宋体"/>
          <w:b/>
          <w:kern w:val="0"/>
          <w:sz w:val="28"/>
          <w:szCs w:val="28"/>
          <w:highlight w:val="none"/>
          <w:lang w:val="zh-CN"/>
        </w:rPr>
      </w:pPr>
      <w:r>
        <w:rPr>
          <w:rFonts w:hint="eastAsia" w:ascii="宋体" w:hAnsi="宋体" w:cs="宋体"/>
          <w:b/>
          <w:kern w:val="0"/>
          <w:sz w:val="28"/>
          <w:szCs w:val="28"/>
          <w:highlight w:val="none"/>
          <w:lang w:val="zh-CN"/>
        </w:rPr>
        <w:t>（</w:t>
      </w:r>
      <w:r>
        <w:rPr>
          <w:rFonts w:hint="eastAsia" w:ascii="宋体" w:hAnsi="宋体" w:cs="宋体"/>
          <w:b/>
          <w:kern w:val="0"/>
          <w:sz w:val="28"/>
          <w:szCs w:val="28"/>
          <w:highlight w:val="none"/>
        </w:rPr>
        <w:t>三）特定资格的证明文件</w:t>
      </w:r>
    </w:p>
    <w:p>
      <w:pPr>
        <w:pStyle w:val="17"/>
        <w:rPr>
          <w:rFonts w:ascii="宋体" w:hAnsi="宋体" w:cs="宋体"/>
          <w:b/>
          <w:szCs w:val="21"/>
          <w:highlight w:val="none"/>
        </w:rPr>
      </w:pPr>
    </w:p>
    <w:p>
      <w:pPr>
        <w:pStyle w:val="17"/>
        <w:rPr>
          <w:rFonts w:ascii="Cambria" w:hAnsi="Cambria"/>
          <w:bCs/>
          <w:sz w:val="24"/>
          <w:szCs w:val="24"/>
          <w:highlight w:val="none"/>
        </w:rPr>
      </w:pPr>
      <w:r>
        <w:rPr>
          <w:rFonts w:hint="eastAsia" w:ascii="Cambria" w:hAnsi="Cambria"/>
          <w:bCs/>
          <w:sz w:val="24"/>
          <w:szCs w:val="24"/>
          <w:highlight w:val="none"/>
        </w:rPr>
        <w:t>（根据采购文件第一章“采购公告”中的投标人特定资格要求提供）</w:t>
      </w:r>
    </w:p>
    <w:p>
      <w:pPr>
        <w:pStyle w:val="17"/>
        <w:rPr>
          <w:rFonts w:ascii="Cambria" w:hAnsi="Cambria"/>
          <w:bCs/>
          <w:sz w:val="24"/>
          <w:szCs w:val="24"/>
          <w:highlight w:val="none"/>
        </w:rPr>
      </w:pPr>
    </w:p>
    <w:p>
      <w:pPr>
        <w:pStyle w:val="17"/>
        <w:rPr>
          <w:rFonts w:ascii="Cambria" w:hAnsi="Cambria"/>
          <w:bCs/>
          <w:sz w:val="24"/>
          <w:szCs w:val="24"/>
          <w:highlight w:val="none"/>
        </w:rPr>
      </w:pPr>
    </w:p>
    <w:p>
      <w:pPr>
        <w:pStyle w:val="17"/>
        <w:rPr>
          <w:rFonts w:ascii="Cambria" w:hAnsi="Cambria"/>
          <w:bCs/>
          <w:sz w:val="24"/>
          <w:szCs w:val="24"/>
          <w:highlight w:val="none"/>
        </w:rPr>
      </w:pPr>
    </w:p>
    <w:p>
      <w:pPr>
        <w:pStyle w:val="17"/>
        <w:rPr>
          <w:rFonts w:ascii="Cambria" w:hAnsi="Cambria"/>
          <w:bCs/>
          <w:sz w:val="24"/>
          <w:szCs w:val="24"/>
          <w:highlight w:val="none"/>
        </w:rPr>
      </w:pPr>
    </w:p>
    <w:p>
      <w:pPr>
        <w:pStyle w:val="17"/>
        <w:ind w:firstLine="1205" w:firstLineChars="600"/>
        <w:rPr>
          <w:rFonts w:ascii="宋体" w:hAnsi="宋体" w:cs="宋体"/>
          <w:b/>
          <w:szCs w:val="21"/>
          <w:highlight w:val="none"/>
        </w:rPr>
        <w:sectPr>
          <w:pgSz w:w="11907" w:h="16840"/>
          <w:pgMar w:top="1304" w:right="1588" w:bottom="1418" w:left="1588" w:header="720" w:footer="720" w:gutter="0"/>
          <w:cols w:space="720" w:num="1"/>
          <w:docGrid w:linePitch="285" w:charSpace="0"/>
        </w:sectPr>
      </w:pPr>
      <w:r>
        <w:rPr>
          <w:rFonts w:hint="eastAsia" w:ascii="宋体" w:hAnsi="宋体" w:cs="宋体"/>
          <w:b/>
          <w:szCs w:val="21"/>
          <w:highlight w:val="none"/>
        </w:rPr>
        <w:t>（若为联合体投标，联合体各方须单独提供并盖章）</w:t>
      </w:r>
    </w:p>
    <w:p>
      <w:pPr>
        <w:autoSpaceDE w:val="0"/>
        <w:autoSpaceDN w:val="0"/>
        <w:jc w:val="center"/>
        <w:rPr>
          <w:rFonts w:ascii="宋体" w:hAnsi="宋体" w:cs="宋体"/>
          <w:b/>
          <w:kern w:val="0"/>
          <w:sz w:val="28"/>
          <w:szCs w:val="28"/>
          <w:highlight w:val="none"/>
          <w:lang w:val="zh-CN"/>
        </w:rPr>
      </w:pPr>
      <w:r>
        <w:rPr>
          <w:rFonts w:hint="eastAsia" w:ascii="宋体" w:hAnsi="宋体" w:cs="宋体"/>
          <w:b/>
          <w:kern w:val="0"/>
          <w:sz w:val="28"/>
          <w:szCs w:val="28"/>
          <w:highlight w:val="none"/>
          <w:lang w:val="zh-CN"/>
        </w:rPr>
        <w:t>（</w:t>
      </w:r>
      <w:r>
        <w:rPr>
          <w:rFonts w:hint="eastAsia" w:ascii="宋体" w:hAnsi="宋体" w:cs="宋体"/>
          <w:b/>
          <w:kern w:val="0"/>
          <w:sz w:val="28"/>
          <w:szCs w:val="28"/>
          <w:highlight w:val="none"/>
        </w:rPr>
        <w:t>四）</w:t>
      </w:r>
      <w:r>
        <w:rPr>
          <w:rFonts w:hint="eastAsia" w:ascii="宋体" w:hAnsi="宋体" w:cs="宋体"/>
          <w:b/>
          <w:kern w:val="0"/>
          <w:sz w:val="28"/>
          <w:szCs w:val="28"/>
          <w:highlight w:val="none"/>
          <w:lang w:val="zh-CN"/>
        </w:rPr>
        <w:t>联合体协议（如有）</w:t>
      </w:r>
    </w:p>
    <w:p>
      <w:pPr>
        <w:widowControl/>
        <w:spacing w:line="480" w:lineRule="exact"/>
        <w:ind w:firstLine="422" w:firstLineChars="200"/>
        <w:jc w:val="left"/>
        <w:rPr>
          <w:rFonts w:ascii="宋体" w:hAnsi="宋体" w:cs="宋体"/>
          <w:b/>
          <w:szCs w:val="21"/>
          <w:highlight w:val="none"/>
        </w:rPr>
      </w:pPr>
      <w:r>
        <w:rPr>
          <w:rFonts w:hint="eastAsia" w:ascii="宋体" w:hAnsi="宋体" w:cs="宋体"/>
          <w:b/>
          <w:szCs w:val="21"/>
          <w:highlight w:val="none"/>
        </w:rPr>
        <w:t>（以联合体形式投标的，提供联合协议；本项目不接受联合体投标或者投标人不以联合体形式投标的，则不需要提供）</w:t>
      </w:r>
    </w:p>
    <w:p>
      <w:pPr>
        <w:snapToGrid w:val="0"/>
        <w:spacing w:line="480" w:lineRule="exact"/>
        <w:ind w:firstLine="576"/>
        <w:rPr>
          <w:rFonts w:ascii="宋体" w:hAnsi="宋体" w:cs="宋体"/>
          <w:kern w:val="0"/>
          <w:szCs w:val="21"/>
          <w:highlight w:val="none"/>
          <w:lang w:val="zh-CN"/>
        </w:rPr>
      </w:pPr>
      <w:r>
        <w:rPr>
          <w:rFonts w:hint="eastAsia" w:ascii="宋体" w:hAnsi="宋体" w:cs="宋体"/>
          <w:kern w:val="0"/>
          <w:szCs w:val="21"/>
          <w:highlight w:val="none"/>
          <w:u w:val="single"/>
        </w:rPr>
        <w:t>（联合体所有成员名称）</w:t>
      </w:r>
      <w:r>
        <w:rPr>
          <w:rFonts w:hint="eastAsia" w:ascii="宋体" w:hAnsi="宋体" w:cs="宋体"/>
          <w:kern w:val="0"/>
          <w:szCs w:val="21"/>
          <w:highlight w:val="none"/>
        </w:rPr>
        <w:t>自愿</w:t>
      </w:r>
      <w:r>
        <w:rPr>
          <w:rFonts w:hint="eastAsia" w:ascii="宋体" w:hAnsi="宋体" w:cs="宋体"/>
          <w:kern w:val="0"/>
          <w:szCs w:val="21"/>
          <w:highlight w:val="none"/>
          <w:lang w:val="zh-CN"/>
        </w:rPr>
        <w:t>组成一个联合体，以一个投标人的身份</w:t>
      </w:r>
      <w:r>
        <w:rPr>
          <w:rFonts w:hint="eastAsia" w:ascii="宋体" w:hAnsi="宋体" w:cs="宋体"/>
          <w:kern w:val="0"/>
          <w:szCs w:val="21"/>
          <w:highlight w:val="none"/>
        </w:rPr>
        <w:t>参加</w:t>
      </w:r>
      <w:r>
        <w:rPr>
          <w:rFonts w:hint="eastAsia" w:ascii="宋体" w:hAnsi="宋体" w:cs="宋体"/>
          <w:szCs w:val="21"/>
          <w:highlight w:val="none"/>
        </w:rPr>
        <w:t>项目【招标编号：        】</w:t>
      </w:r>
      <w:r>
        <w:rPr>
          <w:rFonts w:hint="eastAsia" w:ascii="宋体" w:hAnsi="宋体" w:cs="宋体"/>
          <w:kern w:val="0"/>
          <w:szCs w:val="21"/>
          <w:highlight w:val="none"/>
          <w:lang w:val="zh-CN"/>
        </w:rPr>
        <w:t xml:space="preserve">投标。 </w:t>
      </w:r>
    </w:p>
    <w:p>
      <w:pPr>
        <w:snapToGrid w:val="0"/>
        <w:spacing w:line="480" w:lineRule="exact"/>
        <w:ind w:firstLine="576"/>
        <w:rPr>
          <w:rFonts w:ascii="宋体" w:hAnsi="宋体" w:cs="宋体"/>
          <w:kern w:val="0"/>
          <w:szCs w:val="21"/>
          <w:highlight w:val="none"/>
          <w:lang w:val="zh-CN"/>
        </w:rPr>
      </w:pPr>
      <w:r>
        <w:rPr>
          <w:rFonts w:hint="eastAsia" w:ascii="宋体" w:hAnsi="宋体" w:cs="宋体"/>
          <w:kern w:val="0"/>
          <w:szCs w:val="21"/>
          <w:highlight w:val="none"/>
          <w:lang w:val="zh-CN"/>
        </w:rPr>
        <w:t>一、各方一致决定，</w:t>
      </w:r>
      <w:r>
        <w:rPr>
          <w:rFonts w:hint="eastAsia" w:ascii="宋体" w:hAnsi="宋体" w:cs="宋体"/>
          <w:kern w:val="0"/>
          <w:szCs w:val="21"/>
          <w:highlight w:val="none"/>
          <w:u w:val="single"/>
        </w:rPr>
        <w:t>（某联合体成员名称）</w:t>
      </w:r>
      <w:r>
        <w:rPr>
          <w:rFonts w:hint="eastAsia" w:ascii="宋体" w:hAnsi="宋体" w:cs="宋体"/>
          <w:kern w:val="0"/>
          <w:szCs w:val="21"/>
          <w:highlight w:val="none"/>
        </w:rPr>
        <w:t>为联合体</w:t>
      </w:r>
      <w:r>
        <w:rPr>
          <w:rFonts w:hint="eastAsia" w:ascii="宋体" w:hAnsi="宋体" w:cs="宋体"/>
          <w:kern w:val="0"/>
          <w:szCs w:val="21"/>
          <w:highlight w:val="none"/>
          <w:lang w:val="zh-CN"/>
        </w:rPr>
        <w:t>牵头人</w:t>
      </w:r>
      <w:r>
        <w:rPr>
          <w:rFonts w:hint="eastAsia" w:ascii="宋体" w:hAnsi="宋体" w:cs="宋体"/>
          <w:szCs w:val="21"/>
          <w:highlight w:val="none"/>
        </w:rPr>
        <w:t>，代表所有联合体成员负责投标和合同实施阶段的主办、协调工作</w:t>
      </w:r>
      <w:r>
        <w:rPr>
          <w:rFonts w:hint="eastAsia" w:ascii="宋体" w:hAnsi="宋体" w:cs="宋体"/>
          <w:kern w:val="0"/>
          <w:szCs w:val="21"/>
          <w:highlight w:val="none"/>
          <w:lang w:val="zh-CN"/>
        </w:rPr>
        <w:t>。</w:t>
      </w:r>
    </w:p>
    <w:p>
      <w:pPr>
        <w:snapToGrid w:val="0"/>
        <w:spacing w:line="480" w:lineRule="exact"/>
        <w:ind w:firstLine="576"/>
        <w:rPr>
          <w:rFonts w:ascii="宋体" w:hAnsi="宋体" w:cs="宋体"/>
          <w:kern w:val="0"/>
          <w:szCs w:val="21"/>
          <w:highlight w:val="none"/>
          <w:lang w:val="zh-CN"/>
        </w:rPr>
      </w:pPr>
      <w:r>
        <w:rPr>
          <w:rFonts w:hint="eastAsia" w:ascii="宋体" w:hAnsi="宋体" w:cs="宋体"/>
          <w:kern w:val="0"/>
          <w:szCs w:val="21"/>
          <w:highlight w:val="none"/>
          <w:lang w:val="zh-CN"/>
        </w:rPr>
        <w:t>二、</w:t>
      </w:r>
      <w:r>
        <w:rPr>
          <w:rFonts w:hint="eastAsia" w:ascii="宋体" w:hAnsi="宋体" w:cs="宋体"/>
          <w:szCs w:val="21"/>
          <w:highlight w:val="none"/>
        </w:rPr>
        <w:t>所有联合体成员各方签署授权书，授权书载明的</w:t>
      </w:r>
      <w:r>
        <w:rPr>
          <w:rFonts w:hint="eastAsia" w:ascii="宋体" w:hAnsi="宋体" w:cs="宋体"/>
          <w:kern w:val="0"/>
          <w:szCs w:val="21"/>
          <w:highlight w:val="none"/>
          <w:lang w:val="zh-CN"/>
        </w:rPr>
        <w:t>授权代表根据招标文件规定及投标内容而对采购人、采购机构所作的任何合法承诺，包括书面澄清及相应等均对联合投标各方产生约束力。</w:t>
      </w:r>
    </w:p>
    <w:p>
      <w:pPr>
        <w:snapToGrid w:val="0"/>
        <w:spacing w:line="480" w:lineRule="exact"/>
        <w:ind w:firstLine="576"/>
        <w:rPr>
          <w:rFonts w:ascii="宋体" w:hAnsi="宋体" w:cs="宋体"/>
          <w:kern w:val="0"/>
          <w:szCs w:val="21"/>
          <w:highlight w:val="none"/>
          <w:lang w:val="zh-CN"/>
        </w:rPr>
      </w:pPr>
      <w:r>
        <w:rPr>
          <w:rFonts w:hint="eastAsia" w:ascii="宋体" w:hAnsi="宋体" w:cs="宋体"/>
          <w:kern w:val="0"/>
          <w:szCs w:val="21"/>
          <w:highlight w:val="none"/>
          <w:lang w:val="zh-CN"/>
        </w:rPr>
        <w:t>三、本次联合投标中，分工如下：</w:t>
      </w:r>
    </w:p>
    <w:p>
      <w:pPr>
        <w:snapToGrid w:val="0"/>
        <w:spacing w:line="480" w:lineRule="exact"/>
        <w:ind w:firstLine="576"/>
        <w:rPr>
          <w:rFonts w:ascii="宋体" w:hAnsi="宋体" w:cs="宋体"/>
          <w:kern w:val="0"/>
          <w:szCs w:val="21"/>
          <w:highlight w:val="none"/>
          <w:lang w:val="zh-CN"/>
        </w:rPr>
      </w:pPr>
      <w:bookmarkStart w:id="137" w:name="_Hlk101134295"/>
      <w:r>
        <w:rPr>
          <w:rFonts w:hint="eastAsia" w:ascii="宋体" w:hAnsi="宋体" w:cs="宋体"/>
          <w:kern w:val="0"/>
          <w:szCs w:val="21"/>
          <w:highlight w:val="none"/>
          <w:u w:val="single"/>
        </w:rPr>
        <w:t>（联合体成员1）</w:t>
      </w:r>
      <w:r>
        <w:rPr>
          <w:rFonts w:hint="eastAsia" w:ascii="宋体" w:hAnsi="宋体" w:cs="宋体"/>
          <w:kern w:val="0"/>
          <w:szCs w:val="21"/>
          <w:highlight w:val="none"/>
          <w:lang w:val="zh-CN"/>
        </w:rPr>
        <w:t>承担的工作和义务为：；</w:t>
      </w:r>
    </w:p>
    <w:p>
      <w:pPr>
        <w:snapToGrid w:val="0"/>
        <w:spacing w:line="480" w:lineRule="exact"/>
        <w:ind w:firstLine="576"/>
        <w:rPr>
          <w:rFonts w:ascii="宋体" w:hAnsi="宋体" w:cs="宋体"/>
          <w:kern w:val="0"/>
          <w:szCs w:val="21"/>
          <w:highlight w:val="none"/>
          <w:lang w:val="zh-CN"/>
        </w:rPr>
      </w:pPr>
      <w:r>
        <w:rPr>
          <w:rFonts w:hint="eastAsia" w:ascii="宋体" w:hAnsi="宋体" w:cs="宋体"/>
          <w:kern w:val="0"/>
          <w:szCs w:val="21"/>
          <w:highlight w:val="none"/>
          <w:u w:val="single"/>
        </w:rPr>
        <w:t>（联合体成员</w:t>
      </w:r>
      <w:r>
        <w:rPr>
          <w:rFonts w:ascii="宋体" w:hAnsi="宋体" w:cs="宋体"/>
          <w:kern w:val="0"/>
          <w:szCs w:val="21"/>
          <w:highlight w:val="none"/>
          <w:u w:val="single"/>
        </w:rPr>
        <w:t>2</w:t>
      </w:r>
      <w:r>
        <w:rPr>
          <w:rFonts w:hint="eastAsia" w:ascii="宋体" w:hAnsi="宋体" w:cs="宋体"/>
          <w:kern w:val="0"/>
          <w:szCs w:val="21"/>
          <w:highlight w:val="none"/>
          <w:u w:val="single"/>
        </w:rPr>
        <w:t>）</w:t>
      </w:r>
      <w:r>
        <w:rPr>
          <w:rFonts w:hint="eastAsia" w:ascii="宋体" w:hAnsi="宋体" w:cs="宋体"/>
          <w:kern w:val="0"/>
          <w:szCs w:val="21"/>
          <w:highlight w:val="none"/>
          <w:lang w:val="zh-CN"/>
        </w:rPr>
        <w:t>承担的工作和义务为：；</w:t>
      </w:r>
    </w:p>
    <w:p>
      <w:pPr>
        <w:snapToGrid w:val="0"/>
        <w:spacing w:line="480" w:lineRule="exact"/>
        <w:ind w:firstLine="576"/>
        <w:rPr>
          <w:rFonts w:ascii="宋体" w:hAnsi="宋体" w:cs="宋体"/>
          <w:kern w:val="0"/>
          <w:szCs w:val="21"/>
          <w:highlight w:val="none"/>
          <w:lang w:val="zh-CN"/>
        </w:rPr>
      </w:pPr>
      <w:r>
        <w:rPr>
          <w:rFonts w:hint="eastAsia" w:ascii="宋体" w:hAnsi="宋体" w:cs="宋体"/>
          <w:kern w:val="0"/>
          <w:szCs w:val="21"/>
          <w:highlight w:val="none"/>
          <w:lang w:val="zh-CN"/>
        </w:rPr>
        <w:t>……</w:t>
      </w:r>
    </w:p>
    <w:bookmarkEnd w:id="137"/>
    <w:p>
      <w:pPr>
        <w:snapToGrid w:val="0"/>
        <w:spacing w:line="480" w:lineRule="exact"/>
        <w:ind w:firstLine="576"/>
        <w:rPr>
          <w:rFonts w:ascii="宋体" w:hAnsi="宋体" w:cs="宋体"/>
          <w:kern w:val="0"/>
          <w:szCs w:val="21"/>
          <w:highlight w:val="none"/>
          <w:lang w:val="zh-CN"/>
        </w:rPr>
      </w:pPr>
      <w:r>
        <w:rPr>
          <w:rFonts w:hint="eastAsia" w:ascii="宋体" w:hAnsi="宋体" w:cs="宋体"/>
          <w:kern w:val="0"/>
          <w:szCs w:val="21"/>
          <w:highlight w:val="none"/>
          <w:lang w:val="zh-CN"/>
        </w:rPr>
        <w:t>四、联合体成员中小企业合同份额（如果有）。</w:t>
      </w:r>
    </w:p>
    <w:p>
      <w:pPr>
        <w:snapToGrid w:val="0"/>
        <w:spacing w:line="480" w:lineRule="exact"/>
        <w:ind w:firstLine="576"/>
        <w:rPr>
          <w:rFonts w:ascii="宋体" w:hAnsi="宋体" w:cs="宋体"/>
          <w:b/>
          <w:kern w:val="0"/>
          <w:szCs w:val="21"/>
          <w:highlight w:val="none"/>
          <w:lang w:val="zh-CN"/>
        </w:rPr>
      </w:pPr>
      <w:r>
        <w:rPr>
          <w:rFonts w:hint="eastAsia" w:ascii="宋体" w:hAnsi="宋体" w:cs="宋体"/>
          <w:kern w:val="0"/>
          <w:szCs w:val="21"/>
          <w:highlight w:val="none"/>
          <w:lang w:val="zh-CN"/>
        </w:rPr>
        <w:t>1、</w:t>
      </w:r>
      <w:r>
        <w:rPr>
          <w:rFonts w:hint="eastAsia" w:ascii="宋体" w:hAnsi="宋体" w:cs="宋体"/>
          <w:kern w:val="0"/>
          <w:szCs w:val="21"/>
          <w:highlight w:val="none"/>
          <w:u w:val="single"/>
        </w:rPr>
        <w:t>（联合体成员</w:t>
      </w:r>
      <w:r>
        <w:rPr>
          <w:rFonts w:ascii="宋体" w:hAnsi="宋体" w:cs="宋体"/>
          <w:kern w:val="0"/>
          <w:szCs w:val="21"/>
          <w:highlight w:val="none"/>
          <w:u w:val="single"/>
        </w:rPr>
        <w:t>X,</w:t>
      </w:r>
      <w:r>
        <w:rPr>
          <w:rFonts w:hint="eastAsia" w:ascii="宋体" w:hAnsi="宋体" w:cs="宋体"/>
          <w:kern w:val="0"/>
          <w:szCs w:val="21"/>
          <w:highlight w:val="none"/>
          <w:u w:val="single"/>
        </w:rPr>
        <w:t>……）</w:t>
      </w:r>
      <w:r>
        <w:rPr>
          <w:rFonts w:hint="eastAsia" w:ascii="宋体" w:hAnsi="宋体" w:cs="宋体"/>
          <w:kern w:val="0"/>
          <w:szCs w:val="21"/>
          <w:highlight w:val="none"/>
        </w:rPr>
        <w:t>提供的全部服务由小微企业承接，其合同份额占到合同总金额%以上；</w:t>
      </w:r>
      <w:r>
        <w:rPr>
          <w:rFonts w:hint="eastAsia" w:ascii="宋体" w:hAnsi="宋体" w:cs="宋体"/>
          <w:kern w:val="0"/>
          <w:szCs w:val="21"/>
          <w:highlight w:val="none"/>
          <w:lang w:val="zh-CN"/>
        </w:rPr>
        <w:t>……。</w:t>
      </w:r>
      <w:r>
        <w:rPr>
          <w:rFonts w:hint="eastAsia" w:ascii="宋体" w:hAnsi="宋体" w:cs="宋体"/>
          <w:b/>
          <w:kern w:val="0"/>
          <w:szCs w:val="21"/>
          <w:highlight w:val="none"/>
          <w:lang w:val="zh-CN"/>
        </w:rPr>
        <w:t>（未预留份额专门面向中小企业采购的的采购项目，以及预留份额中的非预留部分采购包，接受联合体投标的，联合协议约定小微企业的合同份额占到合同总金额30%以上的，对联合体报价给予6%的扣除。</w:t>
      </w:r>
      <w:r>
        <w:rPr>
          <w:rFonts w:hint="eastAsia" w:ascii="宋体" w:hAnsi="宋体" w:cs="宋体"/>
          <w:b/>
          <w:kern w:val="0"/>
          <w:szCs w:val="21"/>
          <w:highlight w:val="none"/>
        </w:rPr>
        <w:t>投标人</w:t>
      </w:r>
      <w:r>
        <w:rPr>
          <w:rFonts w:hint="eastAsia" w:ascii="宋体" w:hAnsi="宋体" w:cs="宋体"/>
          <w:b/>
          <w:szCs w:val="21"/>
          <w:highlight w:val="none"/>
        </w:rPr>
        <w:t>拟享受以上价格扣除政策的，填写有关内容。</w:t>
      </w:r>
      <w:r>
        <w:rPr>
          <w:rFonts w:hint="eastAsia" w:ascii="宋体" w:hAnsi="宋体" w:cs="宋体"/>
          <w:b/>
          <w:kern w:val="0"/>
          <w:szCs w:val="21"/>
          <w:highlight w:val="none"/>
          <w:lang w:val="zh-CN"/>
        </w:rPr>
        <w:t>）</w:t>
      </w:r>
    </w:p>
    <w:p>
      <w:pPr>
        <w:snapToGrid w:val="0"/>
        <w:spacing w:line="480" w:lineRule="exact"/>
        <w:ind w:firstLine="576"/>
        <w:rPr>
          <w:rFonts w:ascii="宋体" w:hAnsi="宋体" w:cs="宋体"/>
          <w:kern w:val="0"/>
          <w:szCs w:val="21"/>
          <w:highlight w:val="none"/>
          <w:lang w:val="zh-CN"/>
        </w:rPr>
      </w:pPr>
      <w:r>
        <w:rPr>
          <w:rFonts w:hint="eastAsia" w:ascii="宋体" w:hAnsi="宋体" w:cs="宋体"/>
          <w:szCs w:val="21"/>
          <w:highlight w:val="none"/>
        </w:rPr>
        <w:t>2、中小企业合同金额达到</w:t>
      </w:r>
      <w:r>
        <w:rPr>
          <w:rFonts w:hint="eastAsia" w:ascii="宋体" w:hAnsi="宋体" w:cs="宋体"/>
          <w:szCs w:val="21"/>
          <w:highlight w:val="none"/>
          <w:u w:val="single"/>
          <w:lang w:val="en-US" w:eastAsia="zh-CN"/>
        </w:rPr>
        <w:t xml:space="preserve">  </w:t>
      </w:r>
      <w:r>
        <w:rPr>
          <w:rFonts w:hint="eastAsia" w:ascii="宋体" w:hAnsi="宋体" w:cs="宋体"/>
          <w:szCs w:val="21"/>
          <w:highlight w:val="none"/>
        </w:rPr>
        <w:t>%，小微企业合同金额达到</w:t>
      </w:r>
      <w:r>
        <w:rPr>
          <w:rFonts w:hint="eastAsia" w:ascii="宋体" w:hAnsi="宋体" w:cs="宋体"/>
          <w:szCs w:val="21"/>
          <w:highlight w:val="none"/>
          <w:u w:val="single"/>
          <w:lang w:val="en-US" w:eastAsia="zh-CN"/>
        </w:rPr>
        <w:t xml:space="preserve">  </w:t>
      </w:r>
      <w:r>
        <w:rPr>
          <w:rFonts w:hint="eastAsia" w:ascii="宋体" w:hAnsi="宋体" w:cs="宋体"/>
          <w:szCs w:val="21"/>
          <w:highlight w:val="none"/>
        </w:rPr>
        <w:t>%</w:t>
      </w:r>
      <w:r>
        <w:rPr>
          <w:rFonts w:hint="eastAsia" w:ascii="宋体" w:hAnsi="宋体" w:cs="宋体"/>
          <w:kern w:val="0"/>
          <w:szCs w:val="21"/>
          <w:highlight w:val="none"/>
          <w:lang w:val="zh-CN"/>
        </w:rPr>
        <w:t>。</w:t>
      </w:r>
      <w:r>
        <w:rPr>
          <w:rFonts w:hint="eastAsia" w:ascii="宋体" w:hAnsi="宋体" w:cs="宋体"/>
          <w:b/>
          <w:bCs/>
          <w:kern w:val="0"/>
          <w:szCs w:val="21"/>
          <w:highlight w:val="none"/>
          <w:lang w:val="zh-CN"/>
        </w:rPr>
        <w:t>（</w:t>
      </w:r>
      <w:r>
        <w:rPr>
          <w:rFonts w:hint="eastAsia" w:ascii="宋体" w:hAnsi="宋体" w:cs="宋体"/>
          <w:b/>
          <w:bCs/>
          <w:szCs w:val="21"/>
          <w:highlight w:val="none"/>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kern w:val="0"/>
          <w:szCs w:val="21"/>
          <w:highlight w:val="none"/>
          <w:lang w:val="zh-CN"/>
        </w:rPr>
        <w:t>）</w:t>
      </w:r>
    </w:p>
    <w:p>
      <w:pPr>
        <w:snapToGrid w:val="0"/>
        <w:spacing w:line="480" w:lineRule="exact"/>
        <w:ind w:firstLine="576"/>
        <w:rPr>
          <w:rFonts w:ascii="宋体" w:hAnsi="宋体" w:cs="宋体"/>
          <w:kern w:val="0"/>
          <w:szCs w:val="21"/>
          <w:highlight w:val="none"/>
          <w:lang w:val="zh-CN"/>
        </w:rPr>
      </w:pPr>
      <w:r>
        <w:rPr>
          <w:rFonts w:hint="eastAsia" w:ascii="宋体" w:hAnsi="宋体" w:cs="宋体"/>
          <w:kern w:val="0"/>
          <w:szCs w:val="21"/>
          <w:highlight w:val="none"/>
          <w:lang w:val="zh-CN"/>
        </w:rPr>
        <w:t>五、如果中标，</w:t>
      </w:r>
      <w:r>
        <w:rPr>
          <w:rFonts w:hint="eastAsia" w:ascii="宋体" w:hAnsi="宋体" w:cs="宋体"/>
          <w:szCs w:val="21"/>
          <w:highlight w:val="none"/>
        </w:rPr>
        <w:t>联合体各成员方共同与采购人签订合同，并就采购合同约定的事项对采购人承担连带责任。</w:t>
      </w:r>
    </w:p>
    <w:p>
      <w:pPr>
        <w:snapToGrid w:val="0"/>
        <w:spacing w:line="480" w:lineRule="exact"/>
        <w:ind w:firstLine="576"/>
        <w:rPr>
          <w:rFonts w:ascii="宋体" w:hAnsi="宋体" w:cs="宋体"/>
          <w:kern w:val="0"/>
          <w:szCs w:val="21"/>
          <w:highlight w:val="none"/>
          <w:lang w:val="zh-CN"/>
        </w:rPr>
      </w:pPr>
      <w:r>
        <w:rPr>
          <w:rFonts w:hint="eastAsia" w:ascii="宋体" w:hAnsi="宋体" w:cs="宋体"/>
          <w:kern w:val="0"/>
          <w:szCs w:val="21"/>
          <w:highlight w:val="none"/>
          <w:lang w:val="zh-CN"/>
        </w:rPr>
        <w:t>六、有关本次联合投标的其他事宜：</w:t>
      </w:r>
    </w:p>
    <w:p>
      <w:pPr>
        <w:snapToGrid w:val="0"/>
        <w:spacing w:line="480" w:lineRule="exact"/>
        <w:ind w:firstLine="576"/>
        <w:rPr>
          <w:rFonts w:ascii="宋体" w:hAnsi="宋体" w:cs="宋体"/>
          <w:kern w:val="0"/>
          <w:szCs w:val="21"/>
          <w:highlight w:val="none"/>
          <w:lang w:val="zh-CN"/>
        </w:rPr>
      </w:pPr>
      <w:r>
        <w:rPr>
          <w:rFonts w:hint="eastAsia" w:ascii="宋体" w:hAnsi="宋体" w:cs="宋体"/>
          <w:kern w:val="0"/>
          <w:szCs w:val="21"/>
          <w:highlight w:val="none"/>
          <w:lang w:val="zh-CN"/>
        </w:rPr>
        <w:t>1、联合体各方不再单独参加或者与其他供应商另外组成联合体参加同一合同项下的政府采购活动。</w:t>
      </w:r>
    </w:p>
    <w:p>
      <w:pPr>
        <w:snapToGrid w:val="0"/>
        <w:spacing w:line="480" w:lineRule="exact"/>
        <w:ind w:firstLine="576"/>
        <w:rPr>
          <w:rFonts w:ascii="宋体" w:hAnsi="宋体" w:cs="宋体"/>
          <w:kern w:val="0"/>
          <w:szCs w:val="21"/>
          <w:highlight w:val="none"/>
          <w:lang w:val="zh-CN"/>
        </w:rPr>
      </w:pPr>
      <w:r>
        <w:rPr>
          <w:rFonts w:hint="eastAsia" w:ascii="宋体" w:hAnsi="宋体" w:cs="宋体"/>
          <w:kern w:val="0"/>
          <w:szCs w:val="21"/>
          <w:highlight w:val="none"/>
          <w:lang w:val="zh-CN"/>
        </w:rPr>
        <w:t>2、联合体中有同类资质的各方按照联合体分工承担相同工作的，按照资质等级较低的供应商确定资质等级。</w:t>
      </w:r>
    </w:p>
    <w:p>
      <w:pPr>
        <w:snapToGrid w:val="0"/>
        <w:spacing w:line="480" w:lineRule="exact"/>
        <w:ind w:firstLine="576"/>
        <w:rPr>
          <w:rFonts w:ascii="宋体" w:hAnsi="宋体" w:cs="宋体"/>
          <w:kern w:val="0"/>
          <w:szCs w:val="21"/>
          <w:highlight w:val="none"/>
          <w:lang w:val="zh-CN"/>
        </w:rPr>
      </w:pPr>
      <w:r>
        <w:rPr>
          <w:rFonts w:hint="eastAsia" w:ascii="宋体" w:hAnsi="宋体" w:cs="宋体"/>
          <w:kern w:val="0"/>
          <w:szCs w:val="21"/>
          <w:highlight w:val="none"/>
          <w:lang w:val="zh-CN"/>
        </w:rPr>
        <w:t>3、本协议提交采购人、采购机构后，联合体各方不得以任何形式对上述内容进行修改或撤销。</w:t>
      </w:r>
    </w:p>
    <w:p>
      <w:pPr>
        <w:snapToGrid w:val="0"/>
        <w:spacing w:line="480" w:lineRule="exact"/>
        <w:ind w:firstLine="5040" w:firstLineChars="2400"/>
        <w:rPr>
          <w:rFonts w:ascii="宋体" w:hAnsi="宋体" w:cs="宋体"/>
          <w:kern w:val="0"/>
          <w:szCs w:val="21"/>
          <w:highlight w:val="none"/>
          <w:lang w:val="zh-CN"/>
        </w:rPr>
      </w:pPr>
      <w:r>
        <w:rPr>
          <w:rFonts w:hint="eastAsia" w:ascii="宋体" w:hAnsi="宋体" w:cs="宋体"/>
          <w:kern w:val="0"/>
          <w:szCs w:val="21"/>
          <w:highlight w:val="none"/>
          <w:lang w:val="zh-CN"/>
        </w:rPr>
        <w:t>联合体成员名称(公章)：</w:t>
      </w:r>
    </w:p>
    <w:p>
      <w:pPr>
        <w:pStyle w:val="5"/>
        <w:spacing w:line="480" w:lineRule="exact"/>
        <w:rPr>
          <w:rFonts w:ascii="宋体" w:hAnsi="宋体" w:cs="宋体"/>
          <w:b w:val="0"/>
          <w:bCs w:val="0"/>
          <w:kern w:val="0"/>
          <w:sz w:val="21"/>
          <w:szCs w:val="21"/>
          <w:highlight w:val="none"/>
          <w:lang w:val="zh-CN"/>
        </w:rPr>
      </w:pPr>
      <w:r>
        <w:rPr>
          <w:rFonts w:hint="eastAsia" w:ascii="宋体" w:hAnsi="宋体" w:cs="宋体"/>
          <w:b w:val="0"/>
          <w:bCs w:val="0"/>
          <w:kern w:val="0"/>
          <w:sz w:val="21"/>
          <w:szCs w:val="21"/>
          <w:highlight w:val="none"/>
          <w:lang w:val="en-US" w:eastAsia="zh-CN"/>
        </w:rPr>
        <w:t xml:space="preserve">                                    </w:t>
      </w:r>
      <w:bookmarkStart w:id="138" w:name="_Toc13065"/>
      <w:r>
        <w:rPr>
          <w:rFonts w:hint="eastAsia" w:ascii="宋体" w:hAnsi="宋体" w:cs="宋体"/>
          <w:b w:val="0"/>
          <w:bCs w:val="0"/>
          <w:kern w:val="0"/>
          <w:sz w:val="21"/>
          <w:szCs w:val="21"/>
          <w:highlight w:val="none"/>
          <w:lang w:val="zh-CN"/>
        </w:rPr>
        <w:t>联合体成员名称(公章)：</w:t>
      </w:r>
      <w:bookmarkEnd w:id="138"/>
    </w:p>
    <w:p>
      <w:pPr>
        <w:spacing w:line="480" w:lineRule="exact"/>
        <w:rPr>
          <w:szCs w:val="21"/>
          <w:highlight w:val="none"/>
          <w:lang w:val="zh-CN"/>
        </w:rPr>
      </w:pPr>
    </w:p>
    <w:p>
      <w:pPr>
        <w:snapToGrid w:val="0"/>
        <w:spacing w:line="480" w:lineRule="exact"/>
        <w:rPr>
          <w:rFonts w:ascii="宋体" w:hAnsi="宋体" w:cs="宋体"/>
          <w:kern w:val="0"/>
          <w:szCs w:val="21"/>
          <w:highlight w:val="none"/>
          <w:lang w:val="zh-CN"/>
        </w:rPr>
      </w:pPr>
      <w:r>
        <w:rPr>
          <w:rFonts w:hint="eastAsia" w:ascii="宋体" w:hAnsi="宋体" w:cs="宋体"/>
          <w:kern w:val="0"/>
          <w:szCs w:val="21"/>
          <w:highlight w:val="none"/>
          <w:lang w:val="zh-CN"/>
        </w:rPr>
        <w:t xml:space="preserve">                                               日期：  年  月   日</w:t>
      </w:r>
    </w:p>
    <w:p>
      <w:pPr>
        <w:snapToGrid w:val="0"/>
        <w:spacing w:line="480" w:lineRule="exact"/>
        <w:rPr>
          <w:rFonts w:ascii="宋体" w:hAnsi="宋体" w:cs="宋体"/>
          <w:b/>
          <w:szCs w:val="21"/>
          <w:highlight w:val="none"/>
        </w:rPr>
      </w:pPr>
      <w:r>
        <w:rPr>
          <w:rFonts w:hint="eastAsia" w:ascii="宋体" w:hAnsi="宋体" w:cs="宋体"/>
          <w:szCs w:val="21"/>
          <w:highlight w:val="none"/>
        </w:rPr>
        <w:t>注：按本格式和要求提供。</w:t>
      </w:r>
    </w:p>
    <w:p>
      <w:pPr>
        <w:rPr>
          <w:sz w:val="32"/>
          <w:szCs w:val="32"/>
          <w:highlight w:val="none"/>
        </w:rPr>
      </w:pPr>
      <w:r>
        <w:rPr>
          <w:highlight w:val="none"/>
        </w:rPr>
        <w:br w:type="page"/>
      </w:r>
    </w:p>
    <w:p>
      <w:pPr>
        <w:pStyle w:val="2"/>
        <w:rPr>
          <w:highlight w:val="none"/>
        </w:rPr>
        <w:sectPr>
          <w:pgSz w:w="11907" w:h="16840"/>
          <w:pgMar w:top="1304" w:right="1588" w:bottom="1418" w:left="1588" w:header="720" w:footer="720" w:gutter="0"/>
          <w:cols w:space="720" w:num="1"/>
          <w:docGrid w:linePitch="285" w:charSpace="0"/>
        </w:sectPr>
      </w:pPr>
    </w:p>
    <w:p>
      <w:pPr>
        <w:widowControl/>
        <w:spacing w:line="360" w:lineRule="auto"/>
        <w:jc w:val="left"/>
        <w:rPr>
          <w:rFonts w:cs="宋体" w:asciiTheme="minorEastAsia" w:hAnsiTheme="minorEastAsia" w:eastAsiaTheme="minorEastAsia"/>
          <w:kern w:val="0"/>
          <w:sz w:val="24"/>
          <w:highlight w:val="none"/>
        </w:rPr>
      </w:pPr>
      <w:r>
        <w:rPr>
          <w:rFonts w:hint="eastAsia" w:cs="宋体" w:asciiTheme="minorEastAsia" w:hAnsiTheme="minorEastAsia" w:eastAsiaTheme="minorEastAsia"/>
          <w:b/>
          <w:bCs/>
          <w:kern w:val="0"/>
          <w:szCs w:val="21"/>
          <w:highlight w:val="none"/>
        </w:rPr>
        <w:t xml:space="preserve">商务技术文件组成： </w:t>
      </w:r>
    </w:p>
    <w:p>
      <w:pPr>
        <w:widowControl/>
        <w:spacing w:line="360" w:lineRule="auto"/>
        <w:ind w:firstLine="420" w:firstLineChars="200"/>
        <w:jc w:val="left"/>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Cs w:val="21"/>
          <w:highlight w:val="none"/>
        </w:rPr>
        <w:t xml:space="preserve">（1）单位负责人的身份证明或单位负责人授权书（投标人的代表若不为单位负责人的，必须提交单位负责人授权书），并提供单位负责人和授权代表的身份证正反两面复印件； </w:t>
      </w:r>
    </w:p>
    <w:p>
      <w:pPr>
        <w:widowControl/>
        <w:spacing w:line="360" w:lineRule="auto"/>
        <w:ind w:firstLine="420" w:firstLineChars="200"/>
        <w:jc w:val="left"/>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Cs w:val="21"/>
          <w:highlight w:val="none"/>
        </w:rPr>
        <w:t>（2）投标人基本情况表；</w:t>
      </w:r>
    </w:p>
    <w:p>
      <w:pPr>
        <w:widowControl/>
        <w:spacing w:line="360" w:lineRule="auto"/>
        <w:ind w:firstLine="420" w:firstLineChars="200"/>
        <w:jc w:val="left"/>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Cs w:val="21"/>
          <w:highlight w:val="none"/>
        </w:rPr>
        <w:t>（3）</w:t>
      </w:r>
      <w:r>
        <w:rPr>
          <w:rFonts w:hint="eastAsia" w:cs="宋体" w:asciiTheme="minorEastAsia" w:hAnsiTheme="minorEastAsia" w:eastAsiaTheme="minorEastAsia"/>
          <w:szCs w:val="21"/>
          <w:highlight w:val="none"/>
        </w:rPr>
        <w:t>技术条款偏离表</w:t>
      </w:r>
      <w:r>
        <w:rPr>
          <w:rFonts w:hint="eastAsia" w:cs="宋体" w:asciiTheme="minorEastAsia" w:hAnsiTheme="minorEastAsia" w:eastAsiaTheme="minorEastAsia"/>
          <w:kern w:val="0"/>
          <w:szCs w:val="21"/>
          <w:highlight w:val="none"/>
        </w:rPr>
        <w:t>；</w:t>
      </w:r>
    </w:p>
    <w:p>
      <w:pPr>
        <w:widowControl/>
        <w:spacing w:line="360" w:lineRule="auto"/>
        <w:ind w:firstLine="420" w:firstLineChars="200"/>
        <w:jc w:val="left"/>
        <w:rPr>
          <w:rFonts w:cs="宋体" w:asciiTheme="minorEastAsia" w:hAnsiTheme="minorEastAsia" w:eastAsiaTheme="minorEastAsia"/>
          <w:kern w:val="0"/>
          <w:szCs w:val="21"/>
          <w:highlight w:val="none"/>
        </w:rPr>
      </w:pPr>
      <w:r>
        <w:rPr>
          <w:rFonts w:hint="eastAsia" w:cs="宋体" w:asciiTheme="minorEastAsia" w:hAnsiTheme="minorEastAsia" w:eastAsiaTheme="minorEastAsia"/>
          <w:kern w:val="0"/>
          <w:szCs w:val="21"/>
          <w:highlight w:val="none"/>
        </w:rPr>
        <w:t>（4）</w:t>
      </w:r>
      <w:r>
        <w:rPr>
          <w:rFonts w:hint="eastAsia" w:cs="宋体" w:asciiTheme="minorEastAsia" w:hAnsiTheme="minorEastAsia" w:eastAsiaTheme="minorEastAsia"/>
          <w:szCs w:val="21"/>
          <w:highlight w:val="none"/>
        </w:rPr>
        <w:t>商务条款偏离表</w:t>
      </w:r>
      <w:r>
        <w:rPr>
          <w:rFonts w:hint="eastAsia" w:cs="宋体" w:asciiTheme="minorEastAsia" w:hAnsiTheme="minorEastAsia" w:eastAsiaTheme="minorEastAsia"/>
          <w:kern w:val="0"/>
          <w:szCs w:val="21"/>
          <w:highlight w:val="none"/>
        </w:rPr>
        <w:t>；</w:t>
      </w:r>
    </w:p>
    <w:p>
      <w:pPr>
        <w:widowControl/>
        <w:spacing w:line="360" w:lineRule="auto"/>
        <w:ind w:firstLine="420" w:firstLineChars="200"/>
        <w:jc w:val="left"/>
        <w:rPr>
          <w:rFonts w:cs="宋体" w:asciiTheme="minorEastAsia" w:hAnsiTheme="minorEastAsia" w:eastAsiaTheme="minorEastAsia"/>
          <w:kern w:val="0"/>
          <w:szCs w:val="21"/>
          <w:highlight w:val="none"/>
        </w:rPr>
      </w:pPr>
      <w:r>
        <w:rPr>
          <w:rFonts w:hint="eastAsia" w:cs="宋体" w:asciiTheme="minorEastAsia" w:hAnsiTheme="minorEastAsia" w:eastAsiaTheme="minorEastAsia"/>
          <w:kern w:val="0"/>
          <w:szCs w:val="21"/>
          <w:highlight w:val="none"/>
        </w:rPr>
        <w:t>（5）</w:t>
      </w:r>
      <w:r>
        <w:rPr>
          <w:rFonts w:hint="eastAsia" w:cs="宋体" w:asciiTheme="minorEastAsia" w:hAnsiTheme="minorEastAsia" w:eastAsiaTheme="minorEastAsia"/>
          <w:szCs w:val="21"/>
          <w:highlight w:val="none"/>
        </w:rPr>
        <w:t>第五部分“评标办法”中“评分标准”要求提供的资料（如有需提供）</w:t>
      </w:r>
      <w:r>
        <w:rPr>
          <w:rFonts w:hint="eastAsia" w:cs="宋体" w:asciiTheme="minorEastAsia" w:hAnsiTheme="minorEastAsia" w:eastAsiaTheme="minorEastAsia"/>
          <w:kern w:val="0"/>
          <w:szCs w:val="21"/>
          <w:highlight w:val="none"/>
        </w:rPr>
        <w:t>；</w:t>
      </w:r>
    </w:p>
    <w:p>
      <w:pPr>
        <w:widowControl/>
        <w:spacing w:line="360" w:lineRule="auto"/>
        <w:ind w:firstLine="420" w:firstLineChars="200"/>
        <w:jc w:val="left"/>
        <w:rPr>
          <w:rFonts w:cs="宋体" w:asciiTheme="minorEastAsia" w:hAnsiTheme="minorEastAsia" w:eastAsiaTheme="minorEastAsia"/>
          <w:kern w:val="0"/>
          <w:szCs w:val="21"/>
          <w:highlight w:val="none"/>
        </w:rPr>
      </w:pPr>
      <w:r>
        <w:rPr>
          <w:rFonts w:hint="eastAsia" w:cs="宋体" w:asciiTheme="minorEastAsia" w:hAnsiTheme="minorEastAsia" w:eastAsiaTheme="minorEastAsia"/>
          <w:kern w:val="0"/>
          <w:szCs w:val="21"/>
          <w:highlight w:val="none"/>
        </w:rPr>
        <w:t>（6）评分标准或招标文件需要提供的其他技术商务材料。</w:t>
      </w:r>
    </w:p>
    <w:p>
      <w:pPr>
        <w:widowControl/>
        <w:spacing w:line="360" w:lineRule="auto"/>
        <w:ind w:firstLine="480" w:firstLineChars="200"/>
        <w:jc w:val="left"/>
        <w:rPr>
          <w:rFonts w:cs="宋体" w:asciiTheme="minorEastAsia" w:hAnsiTheme="minorEastAsia" w:eastAsiaTheme="minorEastAsia"/>
          <w:kern w:val="0"/>
          <w:sz w:val="24"/>
          <w:highlight w:val="none"/>
        </w:rPr>
      </w:pPr>
    </w:p>
    <w:p>
      <w:pPr>
        <w:widowControl/>
        <w:ind w:firstLine="484" w:firstLineChars="202"/>
        <w:jc w:val="left"/>
        <w:rPr>
          <w:rFonts w:asciiTheme="minorEastAsia" w:hAnsiTheme="minorEastAsia" w:eastAsiaTheme="minorEastAsia"/>
          <w:b/>
          <w:sz w:val="24"/>
          <w:szCs w:val="24"/>
          <w:highlight w:val="none"/>
        </w:rPr>
      </w:pPr>
      <w:r>
        <w:rPr>
          <w:rFonts w:asciiTheme="minorEastAsia" w:hAnsiTheme="minorEastAsia" w:eastAsiaTheme="minorEastAsia"/>
          <w:bCs/>
          <w:sz w:val="24"/>
          <w:szCs w:val="24"/>
          <w:highlight w:val="none"/>
        </w:rPr>
        <w:br w:type="page"/>
      </w:r>
    </w:p>
    <w:p>
      <w:pPr>
        <w:rPr>
          <w:highlight w:val="none"/>
        </w:rPr>
      </w:pPr>
    </w:p>
    <w:p>
      <w:pPr>
        <w:pStyle w:val="5"/>
        <w:spacing w:line="380" w:lineRule="exact"/>
        <w:rPr>
          <w:rFonts w:asciiTheme="minorEastAsia" w:hAnsiTheme="minorEastAsia" w:eastAsiaTheme="minorEastAsia"/>
          <w:bCs w:val="0"/>
          <w:sz w:val="24"/>
          <w:szCs w:val="24"/>
          <w:highlight w:val="none"/>
        </w:rPr>
      </w:pPr>
      <w:bookmarkStart w:id="139" w:name="_Toc12069"/>
      <w:r>
        <w:rPr>
          <w:rFonts w:hint="eastAsia" w:asciiTheme="minorEastAsia" w:hAnsiTheme="minorEastAsia" w:eastAsiaTheme="minorEastAsia"/>
          <w:bCs w:val="0"/>
          <w:sz w:val="24"/>
          <w:szCs w:val="24"/>
          <w:highlight w:val="none"/>
        </w:rPr>
        <w:t>（一）单位负责人授权书</w:t>
      </w:r>
      <w:bookmarkEnd w:id="139"/>
    </w:p>
    <w:p>
      <w:pPr>
        <w:pStyle w:val="19"/>
        <w:ind w:firstLine="0"/>
        <w:jc w:val="center"/>
        <w:rPr>
          <w:rFonts w:asciiTheme="minorEastAsia" w:hAnsiTheme="minorEastAsia" w:eastAsiaTheme="minorEastAsia"/>
          <w:highlight w:val="none"/>
        </w:rPr>
      </w:pPr>
      <w:r>
        <w:rPr>
          <w:rFonts w:hint="eastAsia" w:cs="宋体" w:asciiTheme="minorEastAsia" w:hAnsiTheme="minorEastAsia" w:eastAsiaTheme="minorEastAsia"/>
          <w:bCs/>
          <w:sz w:val="24"/>
          <w:highlight w:val="none"/>
        </w:rPr>
        <w:t>（单位负责人来投标的，此表不用）</w:t>
      </w:r>
    </w:p>
    <w:p>
      <w:pPr>
        <w:pStyle w:val="19"/>
        <w:ind w:firstLine="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u w:val="single"/>
        </w:rPr>
        <w:t xml:space="preserve">  致 （</w:t>
      </w:r>
      <w:r>
        <w:rPr>
          <w:rFonts w:hint="eastAsia" w:asciiTheme="minorEastAsia" w:hAnsiTheme="minorEastAsia" w:eastAsiaTheme="minorEastAsia"/>
          <w:i/>
          <w:sz w:val="21"/>
          <w:szCs w:val="21"/>
          <w:highlight w:val="none"/>
          <w:u w:val="single"/>
        </w:rPr>
        <w:t>采购代理机构</w:t>
      </w:r>
      <w:r>
        <w:rPr>
          <w:rFonts w:hint="eastAsia" w:asciiTheme="minorEastAsia" w:hAnsiTheme="minorEastAsia" w:eastAsiaTheme="minorEastAsia"/>
          <w:sz w:val="21"/>
          <w:szCs w:val="21"/>
          <w:highlight w:val="none"/>
          <w:u w:val="single"/>
        </w:rPr>
        <w:t xml:space="preserve">）               </w:t>
      </w:r>
      <w:r>
        <w:rPr>
          <w:rFonts w:hint="eastAsia" w:asciiTheme="minorEastAsia" w:hAnsiTheme="minorEastAsia" w:eastAsiaTheme="minorEastAsia"/>
          <w:sz w:val="21"/>
          <w:szCs w:val="21"/>
          <w:highlight w:val="none"/>
        </w:rPr>
        <w:t>：</w:t>
      </w:r>
    </w:p>
    <w:p>
      <w:pPr>
        <w:pStyle w:val="19"/>
        <w:ind w:firstLine="0"/>
        <w:rPr>
          <w:rFonts w:asciiTheme="minorEastAsia" w:hAnsiTheme="minorEastAsia" w:eastAsiaTheme="minorEastAsia"/>
          <w:sz w:val="21"/>
          <w:szCs w:val="21"/>
          <w:highlight w:val="none"/>
        </w:rPr>
      </w:pPr>
    </w:p>
    <w:p>
      <w:pPr>
        <w:snapToGrid w:val="0"/>
        <w:spacing w:line="360" w:lineRule="auto"/>
        <w:ind w:firstLine="420" w:firstLineChars="200"/>
        <w:rPr>
          <w:rFonts w:cs="仿宋_GB2312" w:asciiTheme="minorEastAsia" w:hAnsiTheme="minorEastAsia" w:eastAsiaTheme="minorEastAsia"/>
          <w:kern w:val="0"/>
          <w:szCs w:val="21"/>
          <w:highlight w:val="none"/>
        </w:rPr>
      </w:pPr>
      <w:r>
        <w:rPr>
          <w:rFonts w:hint="eastAsia" w:cs="仿宋_GB2312" w:asciiTheme="minorEastAsia" w:hAnsiTheme="minorEastAsia" w:eastAsiaTheme="minorEastAsia"/>
          <w:kern w:val="0"/>
          <w:szCs w:val="21"/>
          <w:highlight w:val="none"/>
        </w:rPr>
        <w:t>现</w:t>
      </w:r>
      <w:r>
        <w:rPr>
          <w:rFonts w:hint="eastAsia" w:cs="仿宋_GB2312" w:asciiTheme="minorEastAsia" w:hAnsiTheme="minorEastAsia" w:eastAsiaTheme="minorEastAsia"/>
          <w:kern w:val="0"/>
          <w:szCs w:val="21"/>
          <w:highlight w:val="none"/>
          <w:lang w:val="zh-CN"/>
        </w:rPr>
        <w:t>委托（姓名）为我方代理人（身份证号码：，手机：），以我方名义处理</w:t>
      </w:r>
      <w:r>
        <w:rPr>
          <w:rFonts w:hint="eastAsia" w:asciiTheme="minorEastAsia" w:hAnsiTheme="minorEastAsia" w:eastAsiaTheme="minorEastAsia"/>
          <w:szCs w:val="21"/>
          <w:highlight w:val="none"/>
        </w:rPr>
        <w:t>项目</w:t>
      </w:r>
      <w:r>
        <w:rPr>
          <w:rFonts w:hint="eastAsia" w:cs="仿宋_GB2312" w:asciiTheme="minorEastAsia" w:hAnsiTheme="minorEastAsia" w:eastAsiaTheme="minorEastAsia"/>
          <w:szCs w:val="21"/>
          <w:highlight w:val="none"/>
        </w:rPr>
        <w:t>【招标编号：】</w:t>
      </w:r>
      <w:r>
        <w:rPr>
          <w:rFonts w:hint="eastAsia" w:cs="仿宋_GB2312" w:asciiTheme="minorEastAsia" w:hAnsiTheme="minorEastAsia" w:eastAsiaTheme="minorEastAsia"/>
          <w:kern w:val="0"/>
          <w:szCs w:val="21"/>
          <w:highlight w:val="none"/>
          <w:lang w:val="zh-CN"/>
        </w:rPr>
        <w:t>政府采购投标的一切事项，其法律后果由我方承担。</w:t>
      </w:r>
    </w:p>
    <w:p>
      <w:pPr>
        <w:snapToGrid w:val="0"/>
        <w:spacing w:line="360" w:lineRule="auto"/>
        <w:rPr>
          <w:rFonts w:cs="仿宋_GB2312" w:asciiTheme="minorEastAsia" w:hAnsiTheme="minorEastAsia" w:eastAsiaTheme="minorEastAsia"/>
          <w:kern w:val="0"/>
          <w:szCs w:val="21"/>
          <w:highlight w:val="none"/>
        </w:rPr>
      </w:pPr>
      <w:r>
        <w:rPr>
          <w:rFonts w:hint="eastAsia" w:cs="仿宋_GB2312" w:asciiTheme="minorEastAsia" w:hAnsiTheme="minorEastAsia" w:eastAsiaTheme="minorEastAsia"/>
          <w:kern w:val="0"/>
          <w:szCs w:val="21"/>
          <w:highlight w:val="none"/>
          <w:lang w:val="zh-CN"/>
        </w:rPr>
        <w:t>委托期限</w:t>
      </w:r>
      <w:r>
        <w:rPr>
          <w:rFonts w:hint="eastAsia" w:cs="仿宋_GB2312" w:asciiTheme="minorEastAsia" w:hAnsiTheme="minorEastAsia" w:eastAsiaTheme="minorEastAsia"/>
          <w:kern w:val="0"/>
          <w:szCs w:val="21"/>
          <w:highlight w:val="none"/>
        </w:rPr>
        <w:t>：</w:t>
      </w:r>
      <w:r>
        <w:rPr>
          <w:rFonts w:hint="eastAsia" w:cs="仿宋_GB2312" w:asciiTheme="minorEastAsia" w:hAnsiTheme="minorEastAsia" w:eastAsiaTheme="minorEastAsia"/>
          <w:kern w:val="0"/>
          <w:szCs w:val="21"/>
          <w:highlight w:val="none"/>
          <w:lang w:val="zh-CN"/>
        </w:rPr>
        <w:t>自</w:t>
      </w:r>
      <w:r>
        <w:rPr>
          <w:rFonts w:hint="eastAsia" w:cs="仿宋_GB2312" w:asciiTheme="minorEastAsia" w:hAnsiTheme="minorEastAsia" w:eastAsiaTheme="minorEastAsia"/>
          <w:kern w:val="0"/>
          <w:szCs w:val="21"/>
          <w:highlight w:val="none"/>
          <w:lang w:val="en-US" w:eastAsia="zh-CN"/>
        </w:rPr>
        <w:t xml:space="preserve">  </w:t>
      </w:r>
      <w:r>
        <w:rPr>
          <w:rFonts w:hint="eastAsia" w:cs="仿宋_GB2312" w:asciiTheme="minorEastAsia" w:hAnsiTheme="minorEastAsia" w:eastAsiaTheme="minorEastAsia"/>
          <w:kern w:val="0"/>
          <w:szCs w:val="21"/>
          <w:highlight w:val="none"/>
          <w:lang w:val="zh-CN"/>
        </w:rPr>
        <w:t>年</w:t>
      </w:r>
      <w:r>
        <w:rPr>
          <w:rFonts w:hint="eastAsia" w:cs="仿宋_GB2312" w:asciiTheme="minorEastAsia" w:hAnsiTheme="minorEastAsia" w:eastAsiaTheme="minorEastAsia"/>
          <w:kern w:val="0"/>
          <w:szCs w:val="21"/>
          <w:highlight w:val="none"/>
          <w:lang w:val="en-US" w:eastAsia="zh-CN"/>
        </w:rPr>
        <w:t xml:space="preserve">  </w:t>
      </w:r>
      <w:r>
        <w:rPr>
          <w:rFonts w:hint="eastAsia" w:cs="仿宋_GB2312" w:asciiTheme="minorEastAsia" w:hAnsiTheme="minorEastAsia" w:eastAsiaTheme="minorEastAsia"/>
          <w:kern w:val="0"/>
          <w:szCs w:val="21"/>
          <w:highlight w:val="none"/>
          <w:lang w:val="zh-CN"/>
        </w:rPr>
        <w:t>月</w:t>
      </w:r>
      <w:r>
        <w:rPr>
          <w:rFonts w:hint="eastAsia" w:cs="仿宋_GB2312" w:asciiTheme="minorEastAsia" w:hAnsiTheme="minorEastAsia" w:eastAsiaTheme="minorEastAsia"/>
          <w:kern w:val="0"/>
          <w:szCs w:val="21"/>
          <w:highlight w:val="none"/>
          <w:lang w:val="en-US" w:eastAsia="zh-CN"/>
        </w:rPr>
        <w:t xml:space="preserve">  </w:t>
      </w:r>
      <w:r>
        <w:rPr>
          <w:rFonts w:hint="eastAsia" w:cs="仿宋_GB2312" w:asciiTheme="minorEastAsia" w:hAnsiTheme="minorEastAsia" w:eastAsiaTheme="minorEastAsia"/>
          <w:kern w:val="0"/>
          <w:szCs w:val="21"/>
          <w:highlight w:val="none"/>
          <w:lang w:val="zh-CN"/>
        </w:rPr>
        <w:t>日起至</w:t>
      </w:r>
      <w:r>
        <w:rPr>
          <w:rFonts w:hint="eastAsia" w:cs="仿宋_GB2312" w:asciiTheme="minorEastAsia" w:hAnsiTheme="minorEastAsia" w:eastAsiaTheme="minorEastAsia"/>
          <w:kern w:val="0"/>
          <w:szCs w:val="21"/>
          <w:highlight w:val="none"/>
          <w:lang w:val="en-US" w:eastAsia="zh-CN"/>
        </w:rPr>
        <w:t xml:space="preserve">  </w:t>
      </w:r>
      <w:r>
        <w:rPr>
          <w:rFonts w:hint="eastAsia" w:cs="仿宋_GB2312" w:asciiTheme="minorEastAsia" w:hAnsiTheme="minorEastAsia" w:eastAsiaTheme="minorEastAsia"/>
          <w:kern w:val="0"/>
          <w:szCs w:val="21"/>
          <w:highlight w:val="none"/>
          <w:lang w:val="zh-CN"/>
        </w:rPr>
        <w:t>年</w:t>
      </w:r>
      <w:r>
        <w:rPr>
          <w:rFonts w:hint="eastAsia" w:cs="仿宋_GB2312" w:asciiTheme="minorEastAsia" w:hAnsiTheme="minorEastAsia" w:eastAsiaTheme="minorEastAsia"/>
          <w:kern w:val="0"/>
          <w:szCs w:val="21"/>
          <w:highlight w:val="none"/>
          <w:lang w:val="en-US" w:eastAsia="zh-CN"/>
        </w:rPr>
        <w:t xml:space="preserve">  </w:t>
      </w:r>
      <w:r>
        <w:rPr>
          <w:rFonts w:hint="eastAsia" w:cs="仿宋_GB2312" w:asciiTheme="minorEastAsia" w:hAnsiTheme="minorEastAsia" w:eastAsiaTheme="minorEastAsia"/>
          <w:kern w:val="0"/>
          <w:szCs w:val="21"/>
          <w:highlight w:val="none"/>
          <w:lang w:val="zh-CN"/>
        </w:rPr>
        <w:t>月</w:t>
      </w:r>
      <w:r>
        <w:rPr>
          <w:rFonts w:hint="eastAsia" w:cs="仿宋_GB2312" w:asciiTheme="minorEastAsia" w:hAnsiTheme="minorEastAsia" w:eastAsiaTheme="minorEastAsia"/>
          <w:kern w:val="0"/>
          <w:szCs w:val="21"/>
          <w:highlight w:val="none"/>
          <w:lang w:val="en-US" w:eastAsia="zh-CN"/>
        </w:rPr>
        <w:t xml:space="preserve">  </w:t>
      </w:r>
      <w:r>
        <w:rPr>
          <w:rFonts w:hint="eastAsia" w:cs="仿宋_GB2312" w:asciiTheme="minorEastAsia" w:hAnsiTheme="minorEastAsia" w:eastAsiaTheme="minorEastAsia"/>
          <w:kern w:val="0"/>
          <w:szCs w:val="21"/>
          <w:highlight w:val="none"/>
          <w:lang w:val="zh-CN"/>
        </w:rPr>
        <w:t>日止。</w:t>
      </w:r>
    </w:p>
    <w:p>
      <w:pPr>
        <w:pStyle w:val="19"/>
        <w:ind w:firstLine="420"/>
        <w:rPr>
          <w:highlight w:val="none"/>
        </w:rPr>
      </w:pPr>
      <w:r>
        <w:rPr>
          <w:rFonts w:hint="eastAsia" w:cs="仿宋_GB2312" w:asciiTheme="minorEastAsia" w:hAnsiTheme="minorEastAsia" w:eastAsiaTheme="minorEastAsia"/>
          <w:sz w:val="21"/>
          <w:szCs w:val="21"/>
          <w:highlight w:val="none"/>
          <w:lang w:val="zh-CN"/>
        </w:rPr>
        <w:t>特此告知。</w:t>
      </w:r>
    </w:p>
    <w:p>
      <w:pPr>
        <w:pStyle w:val="33"/>
        <w:ind w:left="0" w:leftChars="0" w:firstLine="0" w:firstLineChars="0"/>
        <w:rPr>
          <w:highlight w:val="none"/>
        </w:rPr>
      </w:pPr>
    </w:p>
    <w:p>
      <w:pPr>
        <w:spacing w:line="440" w:lineRule="exact"/>
        <w:rPr>
          <w:rFonts w:ascii="宋体" w:hAnsi="宋体" w:cs="宋体"/>
          <w:szCs w:val="21"/>
          <w:highlight w:val="none"/>
        </w:rPr>
      </w:pPr>
      <w:r>
        <w:rPr>
          <w:rFonts w:hint="eastAsia" w:ascii="宋体" w:hAnsi="宋体" w:cs="宋体"/>
          <w:szCs w:val="21"/>
          <w:highlight w:val="none"/>
        </w:rPr>
        <w:t>附：</w:t>
      </w:r>
    </w:p>
    <w:p>
      <w:pPr>
        <w:pStyle w:val="17"/>
        <w:spacing w:line="440" w:lineRule="exact"/>
        <w:rPr>
          <w:rFonts w:ascii="宋体" w:hAnsi="宋体" w:cs="宋体"/>
          <w:highlight w:val="none"/>
          <w:u w:val="single"/>
        </w:rPr>
      </w:pPr>
      <w:r>
        <w:rPr>
          <w:rFonts w:hint="eastAsia" w:ascii="宋体" w:hAnsi="宋体" w:cs="宋体"/>
          <w:highlight w:val="none"/>
        </w:rPr>
        <w:t>授权代表姓名：</w:t>
      </w:r>
      <w:r>
        <w:rPr>
          <w:rFonts w:hint="eastAsia" w:ascii="宋体" w:hAnsi="宋体" w:cs="宋体"/>
          <w:highlight w:val="none"/>
          <w:lang w:val="en-US" w:eastAsia="zh-CN"/>
        </w:rPr>
        <w:t xml:space="preserve">  </w:t>
      </w:r>
      <w:r>
        <w:rPr>
          <w:rFonts w:hint="eastAsia" w:ascii="宋体" w:hAnsi="宋体" w:cs="宋体"/>
          <w:highlight w:val="none"/>
        </w:rPr>
        <w:t xml:space="preserve"> 性别：</w:t>
      </w:r>
      <w:r>
        <w:rPr>
          <w:rFonts w:hint="eastAsia" w:ascii="宋体" w:hAnsi="宋体" w:cs="宋体"/>
          <w:highlight w:val="none"/>
          <w:lang w:val="en-US" w:eastAsia="zh-CN"/>
        </w:rPr>
        <w:t xml:space="preserve">    </w:t>
      </w:r>
      <w:r>
        <w:rPr>
          <w:rFonts w:hint="eastAsia" w:ascii="宋体" w:hAnsi="宋体" w:cs="宋体"/>
          <w:highlight w:val="none"/>
        </w:rPr>
        <w:t>年龄：</w:t>
      </w:r>
      <w:r>
        <w:rPr>
          <w:rFonts w:hint="eastAsia" w:ascii="宋体" w:hAnsi="宋体" w:cs="宋体"/>
          <w:highlight w:val="none"/>
          <w:lang w:val="en-US" w:eastAsia="zh-CN"/>
        </w:rPr>
        <w:t xml:space="preserve">    </w:t>
      </w:r>
      <w:r>
        <w:rPr>
          <w:rFonts w:hint="eastAsia" w:ascii="宋体" w:hAnsi="宋体" w:cs="宋体"/>
          <w:highlight w:val="none"/>
        </w:rPr>
        <w:t>。</w:t>
      </w:r>
    </w:p>
    <w:p>
      <w:pPr>
        <w:spacing w:line="440" w:lineRule="exact"/>
        <w:rPr>
          <w:rFonts w:ascii="宋体" w:hAnsi="宋体" w:cs="宋体"/>
          <w:szCs w:val="21"/>
          <w:highlight w:val="none"/>
          <w:u w:val="single"/>
        </w:rPr>
      </w:pPr>
      <w:r>
        <w:rPr>
          <w:rFonts w:hint="eastAsia" w:ascii="宋体" w:hAnsi="宋体" w:cs="宋体"/>
          <w:szCs w:val="21"/>
          <w:highlight w:val="none"/>
        </w:rPr>
        <w:t>部门：</w:t>
      </w:r>
      <w:r>
        <w:rPr>
          <w:rFonts w:hint="eastAsia" w:ascii="宋体" w:hAnsi="宋体" w:cs="宋体"/>
          <w:szCs w:val="21"/>
          <w:highlight w:val="none"/>
          <w:lang w:val="en-US" w:eastAsia="zh-CN"/>
        </w:rPr>
        <w:t xml:space="preserve">          </w:t>
      </w:r>
      <w:r>
        <w:rPr>
          <w:rFonts w:hint="eastAsia" w:ascii="宋体" w:hAnsi="宋体" w:cs="宋体"/>
          <w:szCs w:val="21"/>
          <w:highlight w:val="none"/>
        </w:rPr>
        <w:t>职务：</w:t>
      </w:r>
      <w:r>
        <w:rPr>
          <w:rFonts w:hint="eastAsia" w:ascii="宋体" w:hAnsi="宋体" w:cs="宋体"/>
          <w:szCs w:val="21"/>
          <w:highlight w:val="none"/>
          <w:lang w:val="en-US" w:eastAsia="zh-CN"/>
        </w:rPr>
        <w:t xml:space="preserve">    </w:t>
      </w:r>
      <w:r>
        <w:rPr>
          <w:rFonts w:hint="eastAsia" w:ascii="宋体" w:hAnsi="宋体" w:cs="宋体"/>
          <w:szCs w:val="21"/>
          <w:highlight w:val="none"/>
        </w:rPr>
        <w:t xml:space="preserve">联系电话： </w:t>
      </w:r>
    </w:p>
    <w:p>
      <w:pPr>
        <w:pStyle w:val="19"/>
        <w:ind w:firstLine="0"/>
        <w:rPr>
          <w:rFonts w:asciiTheme="minorEastAsia" w:hAnsiTheme="minorEastAsia" w:eastAsiaTheme="minorEastAsia"/>
          <w:sz w:val="21"/>
          <w:szCs w:val="21"/>
          <w:highlight w:val="none"/>
        </w:rPr>
      </w:pPr>
    </w:p>
    <w:p>
      <w:pPr>
        <w:pStyle w:val="19"/>
        <w:ind w:firstLine="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 xml:space="preserve">                                          投标人单位全称（公章）：</w:t>
      </w:r>
    </w:p>
    <w:p>
      <w:pPr>
        <w:pStyle w:val="19"/>
        <w:ind w:firstLine="4410" w:firstLineChars="210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单位负责人（签字或印章）：</w:t>
      </w:r>
    </w:p>
    <w:p>
      <w:pPr>
        <w:pStyle w:val="19"/>
        <w:ind w:firstLine="0"/>
        <w:rPr>
          <w:rFonts w:asciiTheme="minorEastAsia" w:hAnsiTheme="minorEastAsia" w:eastAsiaTheme="minorEastAsia"/>
          <w:sz w:val="21"/>
          <w:szCs w:val="21"/>
          <w:highlight w:val="none"/>
        </w:rPr>
      </w:pPr>
    </w:p>
    <w:p>
      <w:pPr>
        <w:pStyle w:val="19"/>
        <w:ind w:firstLine="0"/>
        <w:rPr>
          <w:rFonts w:asciiTheme="minorEastAsia" w:hAnsiTheme="minorEastAsia" w:eastAsiaTheme="minorEastAsia"/>
          <w:i/>
          <w:iCs/>
          <w:sz w:val="21"/>
          <w:szCs w:val="21"/>
          <w:highlight w:val="none"/>
        </w:rPr>
      </w:pPr>
    </w:p>
    <w:p>
      <w:pPr>
        <w:pStyle w:val="19"/>
        <w:ind w:firstLine="0"/>
        <w:rPr>
          <w:rFonts w:asciiTheme="minorEastAsia" w:hAnsiTheme="minorEastAsia" w:eastAsiaTheme="minorEastAsia"/>
          <w:sz w:val="21"/>
          <w:szCs w:val="21"/>
          <w:highlight w:val="none"/>
        </w:rPr>
      </w:pPr>
    </w:p>
    <w:p>
      <w:pPr>
        <w:pStyle w:val="19"/>
        <w:ind w:firstLine="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 xml:space="preserve">                                          日  期：</w:t>
      </w:r>
    </w:p>
    <w:p>
      <w:pPr>
        <w:ind w:firstLine="417" w:firstLineChars="198"/>
        <w:rPr>
          <w:rFonts w:asciiTheme="minorEastAsia" w:hAnsiTheme="minorEastAsia" w:eastAsiaTheme="minorEastAsia"/>
          <w:b/>
          <w:szCs w:val="21"/>
          <w:highlight w:val="none"/>
        </w:rPr>
      </w:pPr>
    </w:p>
    <w:p>
      <w:pPr>
        <w:rPr>
          <w:rFonts w:asciiTheme="minorEastAsia" w:hAnsiTheme="minorEastAsia" w:eastAsiaTheme="minorEastAsia"/>
          <w:b/>
          <w:szCs w:val="21"/>
          <w:highlight w:val="none"/>
        </w:rPr>
      </w:pPr>
    </w:p>
    <w:p>
      <w:pPr>
        <w:rPr>
          <w:rFonts w:asciiTheme="minorEastAsia" w:hAnsiTheme="minorEastAsia" w:eastAsiaTheme="minorEastAsia"/>
          <w:b/>
          <w:szCs w:val="21"/>
          <w:highlight w:val="none"/>
        </w:rPr>
      </w:pPr>
      <w:r>
        <w:rPr>
          <w:rFonts w:hint="eastAsia" w:asciiTheme="minorEastAsia" w:hAnsiTheme="minorEastAsia" w:eastAsiaTheme="minorEastAsia"/>
          <w:b/>
          <w:szCs w:val="21"/>
          <w:highlight w:val="none"/>
        </w:rPr>
        <w:t>附：被授权人身份证复印件</w:t>
      </w:r>
    </w:p>
    <w:p>
      <w:pPr>
        <w:widowControl/>
        <w:jc w:val="left"/>
        <w:rPr>
          <w:rFonts w:ascii="宋体" w:hAnsi="宋体" w:cs="宋体"/>
          <w:b/>
          <w:szCs w:val="21"/>
          <w:highlight w:val="none"/>
        </w:rPr>
      </w:pPr>
    </w:p>
    <w:p>
      <w:pPr>
        <w:widowControl/>
        <w:jc w:val="left"/>
        <w:rPr>
          <w:rFonts w:ascii="宋体" w:hAnsi="宋体" w:cs="宋体"/>
          <w:b/>
          <w:szCs w:val="21"/>
          <w:highlight w:val="none"/>
        </w:rPr>
      </w:pPr>
    </w:p>
    <w:p>
      <w:pPr>
        <w:widowControl/>
        <w:jc w:val="left"/>
        <w:rPr>
          <w:rFonts w:asciiTheme="minorEastAsia" w:hAnsiTheme="minorEastAsia" w:eastAsiaTheme="minorEastAsia"/>
          <w:b/>
          <w:szCs w:val="21"/>
          <w:highlight w:val="none"/>
        </w:rPr>
      </w:pPr>
      <w:r>
        <w:rPr>
          <w:rFonts w:hint="eastAsia" w:ascii="宋体" w:hAnsi="宋体" w:cs="宋体"/>
          <w:b/>
          <w:szCs w:val="21"/>
          <w:highlight w:val="none"/>
        </w:rPr>
        <w:t>（若为联合体投标，联合体须同时盖章提供）</w:t>
      </w:r>
      <w:r>
        <w:rPr>
          <w:rFonts w:asciiTheme="minorEastAsia" w:hAnsiTheme="minorEastAsia" w:eastAsiaTheme="minorEastAsia"/>
          <w:b/>
          <w:szCs w:val="21"/>
          <w:highlight w:val="none"/>
        </w:rPr>
        <w:br w:type="page"/>
      </w:r>
    </w:p>
    <w:p>
      <w:pPr>
        <w:rPr>
          <w:highlight w:val="none"/>
        </w:rPr>
      </w:pPr>
    </w:p>
    <w:p>
      <w:pPr>
        <w:pStyle w:val="5"/>
        <w:spacing w:line="380" w:lineRule="exact"/>
        <w:rPr>
          <w:rFonts w:asciiTheme="minorEastAsia" w:hAnsiTheme="minorEastAsia" w:eastAsiaTheme="minorEastAsia"/>
          <w:bCs w:val="0"/>
          <w:sz w:val="24"/>
          <w:szCs w:val="24"/>
          <w:highlight w:val="none"/>
        </w:rPr>
      </w:pPr>
      <w:bookmarkStart w:id="140" w:name="_Toc8454"/>
      <w:r>
        <w:rPr>
          <w:rFonts w:hint="eastAsia" w:asciiTheme="minorEastAsia" w:hAnsiTheme="minorEastAsia" w:eastAsiaTheme="minorEastAsia"/>
          <w:bCs w:val="0"/>
          <w:sz w:val="24"/>
          <w:szCs w:val="24"/>
          <w:highlight w:val="none"/>
        </w:rPr>
        <w:t>单位负责人身份证明</w:t>
      </w:r>
      <w:bookmarkEnd w:id="140"/>
    </w:p>
    <w:p>
      <w:pPr>
        <w:pStyle w:val="19"/>
        <w:ind w:firstLine="0"/>
        <w:jc w:val="center"/>
        <w:rPr>
          <w:rFonts w:cs="宋体" w:asciiTheme="minorEastAsia" w:hAnsiTheme="minorEastAsia" w:eastAsiaTheme="minorEastAsia"/>
          <w:bCs/>
          <w:sz w:val="24"/>
          <w:highlight w:val="none"/>
        </w:rPr>
      </w:pPr>
      <w:r>
        <w:rPr>
          <w:rFonts w:hint="eastAsia" w:cs="宋体" w:asciiTheme="minorEastAsia" w:hAnsiTheme="minorEastAsia" w:eastAsiaTheme="minorEastAsia"/>
          <w:bCs/>
          <w:sz w:val="24"/>
          <w:highlight w:val="none"/>
        </w:rPr>
        <w:t>（单位负责人不来投标的，此表不用）</w:t>
      </w:r>
    </w:p>
    <w:p>
      <w:pPr>
        <w:spacing w:line="480" w:lineRule="auto"/>
        <w:ind w:firstLine="420" w:firstLineChars="200"/>
        <w:rPr>
          <w:rFonts w:cs="宋体" w:asciiTheme="minorEastAsia" w:hAnsiTheme="minorEastAsia" w:eastAsiaTheme="minorEastAsia"/>
          <w:szCs w:val="21"/>
          <w:highlight w:val="none"/>
        </w:rPr>
      </w:pPr>
    </w:p>
    <w:p>
      <w:pPr>
        <w:spacing w:line="480" w:lineRule="auto"/>
        <w:ind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投标人名称：</w:t>
      </w:r>
    </w:p>
    <w:p>
      <w:pPr>
        <w:spacing w:line="480" w:lineRule="auto"/>
        <w:ind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单位性质：</w:t>
      </w:r>
    </w:p>
    <w:p>
      <w:pPr>
        <w:spacing w:line="480" w:lineRule="auto"/>
        <w:ind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地址：</w:t>
      </w:r>
    </w:p>
    <w:p>
      <w:pPr>
        <w:spacing w:line="480" w:lineRule="auto"/>
        <w:ind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成立时间：年月＿日</w:t>
      </w:r>
    </w:p>
    <w:p>
      <w:pPr>
        <w:spacing w:line="480" w:lineRule="auto"/>
        <w:ind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经营期限：</w:t>
      </w:r>
    </w:p>
    <w:p>
      <w:pPr>
        <w:spacing w:line="480" w:lineRule="auto"/>
        <w:ind w:firstLine="420" w:firstLineChars="200"/>
        <w:rPr>
          <w:rFonts w:hint="default" w:cs="宋体" w:asciiTheme="minorEastAsia" w:hAnsiTheme="minorEastAsia" w:eastAsiaTheme="minorEastAsia"/>
          <w:szCs w:val="21"/>
          <w:highlight w:val="none"/>
          <w:lang w:val="en-US" w:eastAsia="zh-CN"/>
        </w:rPr>
      </w:pPr>
      <w:r>
        <w:rPr>
          <w:rFonts w:hint="eastAsia" w:cs="宋体" w:asciiTheme="minorEastAsia" w:hAnsiTheme="minorEastAsia" w:eastAsiaTheme="minorEastAsia"/>
          <w:szCs w:val="21"/>
          <w:highlight w:val="none"/>
        </w:rPr>
        <w:t>姓名：</w:t>
      </w:r>
      <w:r>
        <w:rPr>
          <w:rFonts w:hint="eastAsia" w:cs="宋体" w:asciiTheme="minorEastAsia" w:hAnsiTheme="minorEastAsia" w:eastAsiaTheme="minorEastAsia"/>
          <w:szCs w:val="21"/>
          <w:highlight w:val="none"/>
          <w:lang w:val="en-US" w:eastAsia="zh-CN"/>
        </w:rPr>
        <w:t xml:space="preserve">   </w:t>
      </w:r>
      <w:r>
        <w:rPr>
          <w:rFonts w:hint="eastAsia" w:cs="宋体" w:asciiTheme="minorEastAsia" w:hAnsiTheme="minorEastAsia" w:eastAsiaTheme="minorEastAsia"/>
          <w:szCs w:val="21"/>
          <w:highlight w:val="none"/>
        </w:rPr>
        <w:t>性别：</w:t>
      </w:r>
      <w:r>
        <w:rPr>
          <w:rFonts w:hint="eastAsia" w:cs="宋体" w:asciiTheme="minorEastAsia" w:hAnsiTheme="minorEastAsia" w:eastAsiaTheme="minorEastAsia"/>
          <w:szCs w:val="21"/>
          <w:highlight w:val="none"/>
          <w:lang w:val="en-US" w:eastAsia="zh-CN"/>
        </w:rPr>
        <w:t xml:space="preserve">      </w:t>
      </w:r>
      <w:r>
        <w:rPr>
          <w:rFonts w:hint="eastAsia" w:cs="宋体" w:asciiTheme="minorEastAsia" w:hAnsiTheme="minorEastAsia" w:eastAsiaTheme="minorEastAsia"/>
          <w:szCs w:val="21"/>
          <w:highlight w:val="none"/>
        </w:rPr>
        <w:t>年龄：</w:t>
      </w:r>
      <w:r>
        <w:rPr>
          <w:rFonts w:hint="eastAsia" w:cs="宋体" w:asciiTheme="minorEastAsia" w:hAnsiTheme="minorEastAsia" w:eastAsiaTheme="minorEastAsia"/>
          <w:szCs w:val="21"/>
          <w:highlight w:val="none"/>
          <w:u w:val="single"/>
        </w:rPr>
        <w:t xml:space="preserve">    </w:t>
      </w:r>
      <w:r>
        <w:rPr>
          <w:rFonts w:hint="eastAsia" w:cs="宋体" w:asciiTheme="minorEastAsia" w:hAnsiTheme="minorEastAsia" w:eastAsiaTheme="minorEastAsia"/>
          <w:szCs w:val="21"/>
          <w:highlight w:val="none"/>
          <w:u w:val="single"/>
          <w:lang w:val="en-US" w:eastAsia="zh-CN"/>
        </w:rPr>
        <w:t xml:space="preserve">  </w:t>
      </w:r>
      <w:r>
        <w:rPr>
          <w:rFonts w:hint="eastAsia" w:cs="宋体" w:asciiTheme="minorEastAsia" w:hAnsiTheme="minorEastAsia" w:eastAsiaTheme="minorEastAsia"/>
          <w:szCs w:val="21"/>
          <w:highlight w:val="none"/>
          <w:u w:val="single"/>
        </w:rPr>
        <w:t xml:space="preserve">周岁  </w:t>
      </w:r>
      <w:r>
        <w:rPr>
          <w:rFonts w:hint="eastAsia" w:cs="宋体" w:asciiTheme="minorEastAsia" w:hAnsiTheme="minorEastAsia" w:eastAsiaTheme="minorEastAsia"/>
          <w:szCs w:val="21"/>
          <w:highlight w:val="none"/>
        </w:rPr>
        <w:t>职务：</w:t>
      </w:r>
      <w:r>
        <w:rPr>
          <w:rFonts w:hint="eastAsia" w:cs="宋体" w:asciiTheme="minorEastAsia" w:hAnsiTheme="minorEastAsia" w:eastAsiaTheme="minorEastAsia"/>
          <w:szCs w:val="21"/>
          <w:highlight w:val="none"/>
          <w:u w:val="single"/>
          <w:lang w:val="en-US" w:eastAsia="zh-CN"/>
        </w:rPr>
        <w:t xml:space="preserve">      </w:t>
      </w:r>
    </w:p>
    <w:p>
      <w:pPr>
        <w:spacing w:line="480" w:lineRule="auto"/>
        <w:ind w:firstLine="420" w:firstLineChars="200"/>
        <w:rPr>
          <w:rFonts w:cs="宋体" w:asciiTheme="minorEastAsia" w:hAnsiTheme="minorEastAsia" w:eastAsiaTheme="minorEastAsia"/>
          <w:szCs w:val="21"/>
          <w:highlight w:val="none"/>
          <w:u w:val="single"/>
        </w:rPr>
      </w:pPr>
      <w:r>
        <w:rPr>
          <w:rFonts w:hint="eastAsia" w:cs="宋体" w:asciiTheme="minorEastAsia" w:hAnsiTheme="minorEastAsia" w:eastAsiaTheme="minorEastAsia"/>
          <w:szCs w:val="21"/>
          <w:highlight w:val="none"/>
        </w:rPr>
        <w:t>身份证号码：</w:t>
      </w:r>
    </w:p>
    <w:p>
      <w:pPr>
        <w:spacing w:line="480" w:lineRule="auto"/>
        <w:ind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系（投标人名称）的法定代表人（或单位负责人）。</w:t>
      </w:r>
    </w:p>
    <w:p>
      <w:pPr>
        <w:spacing w:line="480" w:lineRule="auto"/>
        <w:ind w:firstLine="840" w:firstLineChars="4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特此证明。</w:t>
      </w:r>
    </w:p>
    <w:p>
      <w:pPr>
        <w:spacing w:line="360" w:lineRule="auto"/>
        <w:ind w:firstLine="420" w:firstLineChars="200"/>
        <w:rPr>
          <w:rFonts w:cs="宋体" w:asciiTheme="minorEastAsia" w:hAnsiTheme="minorEastAsia" w:eastAsiaTheme="minorEastAsia"/>
          <w:szCs w:val="21"/>
          <w:highlight w:val="none"/>
        </w:rPr>
      </w:pPr>
    </w:p>
    <w:p>
      <w:pPr>
        <w:spacing w:line="360" w:lineRule="auto"/>
        <w:ind w:firstLine="420" w:firstLineChars="200"/>
        <w:rPr>
          <w:rFonts w:cs="宋体" w:asciiTheme="minorEastAsia" w:hAnsiTheme="minorEastAsia" w:eastAsiaTheme="minorEastAsia"/>
          <w:szCs w:val="21"/>
          <w:highlight w:val="none"/>
        </w:rPr>
      </w:pPr>
    </w:p>
    <w:p>
      <w:pPr>
        <w:wordWrap w:val="0"/>
        <w:spacing w:line="360" w:lineRule="auto"/>
        <w:jc w:val="right"/>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投标人：（盖单位公章）</w:t>
      </w:r>
    </w:p>
    <w:p>
      <w:pPr>
        <w:spacing w:line="360" w:lineRule="auto"/>
        <w:ind w:firstLine="4515" w:firstLineChars="2150"/>
        <w:rPr>
          <w:rFonts w:cs="宋体" w:asciiTheme="minorEastAsia" w:hAnsiTheme="minorEastAsia" w:eastAsiaTheme="minorEastAsia"/>
          <w:szCs w:val="21"/>
          <w:highlight w:val="none"/>
          <w:u w:val="single"/>
        </w:rPr>
      </w:pPr>
    </w:p>
    <w:p>
      <w:pPr>
        <w:spacing w:line="360" w:lineRule="auto"/>
        <w:ind w:firstLine="3675" w:firstLineChars="175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年月日</w:t>
      </w:r>
    </w:p>
    <w:p>
      <w:pPr>
        <w:spacing w:line="360" w:lineRule="auto"/>
        <w:rPr>
          <w:rFonts w:cs="宋体" w:asciiTheme="minorEastAsia" w:hAnsiTheme="minorEastAsia" w:eastAsiaTheme="minorEastAsia"/>
          <w:sz w:val="24"/>
          <w:highlight w:val="none"/>
        </w:rPr>
      </w:pPr>
    </w:p>
    <w:p>
      <w:pPr>
        <w:spacing w:line="360" w:lineRule="auto"/>
        <w:rPr>
          <w:rFonts w:cs="宋体" w:asciiTheme="minorEastAsia" w:hAnsiTheme="minorEastAsia" w:eastAsiaTheme="minorEastAsia"/>
          <w:b/>
          <w:szCs w:val="21"/>
          <w:highlight w:val="none"/>
        </w:rPr>
      </w:pPr>
    </w:p>
    <w:p>
      <w:pPr>
        <w:spacing w:line="360" w:lineRule="auto"/>
        <w:rPr>
          <w:rFonts w:cs="宋体" w:asciiTheme="minorEastAsia" w:hAnsiTheme="minorEastAsia" w:eastAsiaTheme="minorEastAsia"/>
          <w:b/>
          <w:szCs w:val="21"/>
          <w:highlight w:val="none"/>
        </w:rPr>
      </w:pPr>
    </w:p>
    <w:p>
      <w:pPr>
        <w:spacing w:line="360" w:lineRule="auto"/>
        <w:rPr>
          <w:rFonts w:cs="宋体" w:asciiTheme="minorEastAsia" w:hAnsiTheme="minorEastAsia" w:eastAsiaTheme="minorEastAsia"/>
          <w:b/>
          <w:szCs w:val="21"/>
          <w:highlight w:val="none"/>
        </w:rPr>
      </w:pPr>
      <w:r>
        <w:rPr>
          <w:rFonts w:hint="eastAsia" w:cs="宋体" w:asciiTheme="minorEastAsia" w:hAnsiTheme="minorEastAsia" w:eastAsiaTheme="minorEastAsia"/>
          <w:b/>
          <w:szCs w:val="21"/>
          <w:highlight w:val="none"/>
        </w:rPr>
        <w:t>附法定代表人身份证复印件（正反面）：</w:t>
      </w:r>
    </w:p>
    <w:p>
      <w:pPr>
        <w:rPr>
          <w:rFonts w:cs="宋体" w:asciiTheme="minorEastAsia" w:hAnsiTheme="minorEastAsia" w:eastAsiaTheme="minorEastAsia"/>
          <w:highlight w:val="none"/>
        </w:rPr>
      </w:pPr>
    </w:p>
    <w:p>
      <w:pPr>
        <w:rPr>
          <w:rFonts w:cs="宋体" w:asciiTheme="minorEastAsia" w:hAnsiTheme="minorEastAsia" w:eastAsiaTheme="minorEastAsia"/>
          <w:b/>
          <w:sz w:val="32"/>
          <w:szCs w:val="32"/>
          <w:highlight w:val="none"/>
        </w:rPr>
      </w:pPr>
    </w:p>
    <w:p>
      <w:pPr>
        <w:rPr>
          <w:rFonts w:cs="宋体" w:asciiTheme="minorEastAsia" w:hAnsiTheme="minorEastAsia" w:eastAsiaTheme="minorEastAsia"/>
          <w:b/>
          <w:sz w:val="32"/>
          <w:szCs w:val="32"/>
          <w:highlight w:val="none"/>
        </w:rPr>
      </w:pPr>
    </w:p>
    <w:p>
      <w:pPr>
        <w:ind w:firstLine="205" w:firstLineChars="98"/>
        <w:rPr>
          <w:rFonts w:asciiTheme="minorEastAsia" w:hAnsiTheme="minorEastAsia" w:eastAsiaTheme="minorEastAsia"/>
          <w:highlight w:val="none"/>
        </w:rPr>
      </w:pPr>
    </w:p>
    <w:p>
      <w:pPr>
        <w:rPr>
          <w:rFonts w:asciiTheme="minorEastAsia" w:hAnsiTheme="minorEastAsia" w:eastAsiaTheme="minorEastAsia"/>
          <w:highlight w:val="none"/>
        </w:rPr>
        <w:sectPr>
          <w:pgSz w:w="11907" w:h="16840"/>
          <w:pgMar w:top="1304" w:right="1588" w:bottom="1418" w:left="1588" w:header="720" w:footer="720" w:gutter="0"/>
          <w:cols w:space="720" w:num="1"/>
          <w:docGrid w:linePitch="285" w:charSpace="0"/>
        </w:sectPr>
      </w:pPr>
    </w:p>
    <w:p>
      <w:pPr>
        <w:rPr>
          <w:rFonts w:asciiTheme="minorEastAsia" w:hAnsiTheme="minorEastAsia" w:eastAsiaTheme="minorEastAsia"/>
          <w:highlight w:val="none"/>
        </w:rPr>
      </w:pPr>
    </w:p>
    <w:p>
      <w:pPr>
        <w:pStyle w:val="5"/>
        <w:spacing w:line="380" w:lineRule="exact"/>
        <w:rPr>
          <w:rFonts w:asciiTheme="minorEastAsia" w:hAnsiTheme="minorEastAsia" w:eastAsiaTheme="minorEastAsia"/>
          <w:bCs w:val="0"/>
          <w:sz w:val="24"/>
          <w:szCs w:val="24"/>
          <w:highlight w:val="none"/>
        </w:rPr>
      </w:pPr>
      <w:bookmarkStart w:id="141" w:name="_Toc8759"/>
      <w:r>
        <w:rPr>
          <w:rFonts w:hint="eastAsia" w:asciiTheme="minorEastAsia" w:hAnsiTheme="minorEastAsia" w:eastAsiaTheme="minorEastAsia"/>
          <w:bCs w:val="0"/>
          <w:sz w:val="24"/>
          <w:szCs w:val="24"/>
          <w:highlight w:val="none"/>
        </w:rPr>
        <w:t>（二）投标人基本情况表</w:t>
      </w:r>
      <w:bookmarkEnd w:id="141"/>
    </w:p>
    <w:tbl>
      <w:tblPr>
        <w:tblStyle w:val="34"/>
        <w:tblW w:w="92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1"/>
        <w:gridCol w:w="851"/>
        <w:gridCol w:w="1276"/>
        <w:gridCol w:w="1220"/>
        <w:gridCol w:w="892"/>
        <w:gridCol w:w="376"/>
        <w:gridCol w:w="794"/>
        <w:gridCol w:w="545"/>
        <w:gridCol w:w="1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2061" w:type="dxa"/>
            <w:vAlign w:val="center"/>
          </w:tcPr>
          <w:p>
            <w:pPr>
              <w:pStyle w:val="122"/>
              <w:jc w:val="center"/>
              <w:rPr>
                <w:rFonts w:asciiTheme="minorEastAsia" w:hAnsiTheme="minorEastAsia" w:eastAsiaTheme="minorEastAsia"/>
                <w:sz w:val="24"/>
                <w:szCs w:val="24"/>
                <w:highlight w:val="none"/>
                <w:lang w:val="en-US"/>
              </w:rPr>
            </w:pPr>
            <w:r>
              <w:rPr>
                <w:rFonts w:hint="eastAsia" w:asciiTheme="minorEastAsia" w:hAnsiTheme="minorEastAsia" w:eastAsiaTheme="minorEastAsia"/>
                <w:sz w:val="24"/>
                <w:szCs w:val="24"/>
                <w:highlight w:val="none"/>
                <w:lang w:val="en-US"/>
              </w:rPr>
              <w:t>投标人名称</w:t>
            </w:r>
          </w:p>
        </w:tc>
        <w:tc>
          <w:tcPr>
            <w:tcW w:w="7149" w:type="dxa"/>
            <w:gridSpan w:val="8"/>
            <w:vAlign w:val="center"/>
          </w:tcPr>
          <w:p>
            <w:pPr>
              <w:pStyle w:val="122"/>
              <w:jc w:val="center"/>
              <w:rPr>
                <w:rFonts w:asciiTheme="minorEastAsia" w:hAnsiTheme="minorEastAsia" w:eastAsiaTheme="minorEastAsia"/>
                <w:sz w:val="24"/>
                <w:szCs w:val="24"/>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2061" w:type="dxa"/>
            <w:vAlign w:val="center"/>
          </w:tcPr>
          <w:p>
            <w:pPr>
              <w:pStyle w:val="122"/>
              <w:jc w:val="center"/>
              <w:rPr>
                <w:rFonts w:asciiTheme="minorEastAsia" w:hAnsiTheme="minorEastAsia" w:eastAsiaTheme="minorEastAsia"/>
                <w:sz w:val="24"/>
                <w:szCs w:val="24"/>
                <w:highlight w:val="none"/>
                <w:lang w:val="en-US"/>
              </w:rPr>
            </w:pPr>
            <w:r>
              <w:rPr>
                <w:rFonts w:hint="eastAsia" w:asciiTheme="minorEastAsia" w:hAnsiTheme="minorEastAsia" w:eastAsiaTheme="minorEastAsia"/>
                <w:sz w:val="24"/>
                <w:szCs w:val="24"/>
                <w:highlight w:val="none"/>
                <w:lang w:val="en-US"/>
              </w:rPr>
              <w:t>注册地址</w:t>
            </w:r>
          </w:p>
        </w:tc>
        <w:tc>
          <w:tcPr>
            <w:tcW w:w="3347" w:type="dxa"/>
            <w:gridSpan w:val="3"/>
            <w:vAlign w:val="center"/>
          </w:tcPr>
          <w:p>
            <w:pPr>
              <w:pStyle w:val="122"/>
              <w:jc w:val="center"/>
              <w:rPr>
                <w:rFonts w:asciiTheme="minorEastAsia" w:hAnsiTheme="minorEastAsia" w:eastAsiaTheme="minorEastAsia"/>
                <w:sz w:val="24"/>
                <w:szCs w:val="24"/>
                <w:highlight w:val="none"/>
                <w:lang w:val="en-US"/>
              </w:rPr>
            </w:pPr>
          </w:p>
        </w:tc>
        <w:tc>
          <w:tcPr>
            <w:tcW w:w="1268" w:type="dxa"/>
            <w:gridSpan w:val="2"/>
            <w:vAlign w:val="center"/>
          </w:tcPr>
          <w:p>
            <w:pPr>
              <w:pStyle w:val="122"/>
              <w:jc w:val="center"/>
              <w:rPr>
                <w:rFonts w:asciiTheme="minorEastAsia" w:hAnsiTheme="minorEastAsia" w:eastAsiaTheme="minorEastAsia"/>
                <w:sz w:val="24"/>
                <w:szCs w:val="24"/>
                <w:highlight w:val="none"/>
                <w:lang w:val="en-US"/>
              </w:rPr>
            </w:pPr>
            <w:r>
              <w:rPr>
                <w:rFonts w:hint="eastAsia" w:asciiTheme="minorEastAsia" w:hAnsiTheme="minorEastAsia" w:eastAsiaTheme="minorEastAsia"/>
                <w:sz w:val="24"/>
                <w:szCs w:val="24"/>
                <w:highlight w:val="none"/>
                <w:lang w:val="en-US"/>
              </w:rPr>
              <w:t>邮政编码</w:t>
            </w:r>
          </w:p>
        </w:tc>
        <w:tc>
          <w:tcPr>
            <w:tcW w:w="2534" w:type="dxa"/>
            <w:gridSpan w:val="3"/>
            <w:vAlign w:val="center"/>
          </w:tcPr>
          <w:p>
            <w:pPr>
              <w:pStyle w:val="122"/>
              <w:jc w:val="center"/>
              <w:rPr>
                <w:rFonts w:asciiTheme="minorEastAsia" w:hAnsiTheme="minorEastAsia" w:eastAsiaTheme="minorEastAsia"/>
                <w:sz w:val="24"/>
                <w:szCs w:val="24"/>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 w:hRule="atLeast"/>
          <w:jc w:val="center"/>
        </w:trPr>
        <w:tc>
          <w:tcPr>
            <w:tcW w:w="2061" w:type="dxa"/>
            <w:vMerge w:val="restart"/>
            <w:vAlign w:val="center"/>
          </w:tcPr>
          <w:p>
            <w:pPr>
              <w:pStyle w:val="122"/>
              <w:jc w:val="center"/>
              <w:rPr>
                <w:rFonts w:asciiTheme="minorEastAsia" w:hAnsiTheme="minorEastAsia" w:eastAsiaTheme="minorEastAsia"/>
                <w:sz w:val="24"/>
                <w:szCs w:val="24"/>
                <w:highlight w:val="none"/>
                <w:lang w:val="en-US"/>
              </w:rPr>
            </w:pPr>
            <w:r>
              <w:rPr>
                <w:rFonts w:hint="eastAsia" w:asciiTheme="minorEastAsia" w:hAnsiTheme="minorEastAsia" w:eastAsiaTheme="minorEastAsia"/>
                <w:sz w:val="24"/>
                <w:szCs w:val="24"/>
                <w:highlight w:val="none"/>
                <w:lang w:val="en-US"/>
              </w:rPr>
              <w:t>联系方式</w:t>
            </w:r>
          </w:p>
        </w:tc>
        <w:tc>
          <w:tcPr>
            <w:tcW w:w="851" w:type="dxa"/>
            <w:vAlign w:val="center"/>
          </w:tcPr>
          <w:p>
            <w:pPr>
              <w:pStyle w:val="122"/>
              <w:jc w:val="center"/>
              <w:rPr>
                <w:rFonts w:asciiTheme="minorEastAsia" w:hAnsiTheme="minorEastAsia" w:eastAsiaTheme="minorEastAsia"/>
                <w:sz w:val="24"/>
                <w:szCs w:val="24"/>
                <w:highlight w:val="none"/>
                <w:lang w:val="en-US"/>
              </w:rPr>
            </w:pPr>
            <w:r>
              <w:rPr>
                <w:rFonts w:hint="eastAsia" w:asciiTheme="minorEastAsia" w:hAnsiTheme="minorEastAsia" w:eastAsiaTheme="minorEastAsia"/>
                <w:sz w:val="24"/>
                <w:szCs w:val="24"/>
                <w:highlight w:val="none"/>
                <w:lang w:val="en-US"/>
              </w:rPr>
              <w:t>联系人</w:t>
            </w:r>
          </w:p>
        </w:tc>
        <w:tc>
          <w:tcPr>
            <w:tcW w:w="2496" w:type="dxa"/>
            <w:gridSpan w:val="2"/>
            <w:vAlign w:val="center"/>
          </w:tcPr>
          <w:p>
            <w:pPr>
              <w:pStyle w:val="122"/>
              <w:jc w:val="center"/>
              <w:rPr>
                <w:rFonts w:asciiTheme="minorEastAsia" w:hAnsiTheme="minorEastAsia" w:eastAsiaTheme="minorEastAsia"/>
                <w:sz w:val="24"/>
                <w:szCs w:val="24"/>
                <w:highlight w:val="none"/>
                <w:lang w:val="en-US"/>
              </w:rPr>
            </w:pPr>
          </w:p>
        </w:tc>
        <w:tc>
          <w:tcPr>
            <w:tcW w:w="1268" w:type="dxa"/>
            <w:gridSpan w:val="2"/>
            <w:vAlign w:val="center"/>
          </w:tcPr>
          <w:p>
            <w:pPr>
              <w:pStyle w:val="122"/>
              <w:jc w:val="center"/>
              <w:rPr>
                <w:rFonts w:asciiTheme="minorEastAsia" w:hAnsiTheme="minorEastAsia" w:eastAsiaTheme="minorEastAsia"/>
                <w:sz w:val="24"/>
                <w:szCs w:val="24"/>
                <w:highlight w:val="none"/>
                <w:lang w:val="en-US"/>
              </w:rPr>
            </w:pPr>
            <w:r>
              <w:rPr>
                <w:rFonts w:hint="eastAsia" w:asciiTheme="minorEastAsia" w:hAnsiTheme="minorEastAsia" w:eastAsiaTheme="minorEastAsia"/>
                <w:sz w:val="24"/>
                <w:szCs w:val="24"/>
                <w:highlight w:val="none"/>
                <w:lang w:val="en-US"/>
              </w:rPr>
              <w:t>电话</w:t>
            </w:r>
          </w:p>
        </w:tc>
        <w:tc>
          <w:tcPr>
            <w:tcW w:w="2534" w:type="dxa"/>
            <w:gridSpan w:val="3"/>
            <w:vAlign w:val="center"/>
          </w:tcPr>
          <w:p>
            <w:pPr>
              <w:pStyle w:val="122"/>
              <w:jc w:val="center"/>
              <w:rPr>
                <w:rFonts w:asciiTheme="minorEastAsia" w:hAnsiTheme="minorEastAsia" w:eastAsiaTheme="minorEastAsia"/>
                <w:sz w:val="24"/>
                <w:szCs w:val="24"/>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2061" w:type="dxa"/>
            <w:vMerge w:val="continue"/>
            <w:vAlign w:val="center"/>
          </w:tcPr>
          <w:p>
            <w:pPr>
              <w:pStyle w:val="122"/>
              <w:jc w:val="center"/>
              <w:rPr>
                <w:rFonts w:asciiTheme="minorEastAsia" w:hAnsiTheme="minorEastAsia" w:eastAsiaTheme="minorEastAsia"/>
                <w:sz w:val="24"/>
                <w:szCs w:val="24"/>
                <w:highlight w:val="none"/>
                <w:lang w:val="en-US"/>
              </w:rPr>
            </w:pPr>
          </w:p>
        </w:tc>
        <w:tc>
          <w:tcPr>
            <w:tcW w:w="851" w:type="dxa"/>
            <w:vAlign w:val="center"/>
          </w:tcPr>
          <w:p>
            <w:pPr>
              <w:pStyle w:val="122"/>
              <w:jc w:val="center"/>
              <w:rPr>
                <w:rFonts w:asciiTheme="minorEastAsia" w:hAnsiTheme="minorEastAsia" w:eastAsiaTheme="minorEastAsia"/>
                <w:sz w:val="24"/>
                <w:szCs w:val="24"/>
                <w:highlight w:val="none"/>
                <w:lang w:val="en-US"/>
              </w:rPr>
            </w:pPr>
            <w:r>
              <w:rPr>
                <w:rFonts w:hint="eastAsia" w:asciiTheme="minorEastAsia" w:hAnsiTheme="minorEastAsia" w:eastAsiaTheme="minorEastAsia"/>
                <w:sz w:val="24"/>
                <w:szCs w:val="24"/>
                <w:highlight w:val="none"/>
                <w:lang w:val="en-US"/>
              </w:rPr>
              <w:t>传真</w:t>
            </w:r>
          </w:p>
        </w:tc>
        <w:tc>
          <w:tcPr>
            <w:tcW w:w="2496" w:type="dxa"/>
            <w:gridSpan w:val="2"/>
            <w:vAlign w:val="center"/>
          </w:tcPr>
          <w:p>
            <w:pPr>
              <w:pStyle w:val="122"/>
              <w:jc w:val="center"/>
              <w:rPr>
                <w:rFonts w:asciiTheme="minorEastAsia" w:hAnsiTheme="minorEastAsia" w:eastAsiaTheme="minorEastAsia"/>
                <w:sz w:val="24"/>
                <w:szCs w:val="24"/>
                <w:highlight w:val="none"/>
                <w:lang w:val="en-US"/>
              </w:rPr>
            </w:pPr>
          </w:p>
        </w:tc>
        <w:tc>
          <w:tcPr>
            <w:tcW w:w="1268" w:type="dxa"/>
            <w:gridSpan w:val="2"/>
            <w:vAlign w:val="center"/>
          </w:tcPr>
          <w:p>
            <w:pPr>
              <w:pStyle w:val="122"/>
              <w:jc w:val="center"/>
              <w:rPr>
                <w:rFonts w:asciiTheme="minorEastAsia" w:hAnsiTheme="minorEastAsia" w:eastAsiaTheme="minorEastAsia"/>
                <w:sz w:val="24"/>
                <w:szCs w:val="24"/>
                <w:highlight w:val="none"/>
                <w:lang w:val="en-US"/>
              </w:rPr>
            </w:pPr>
            <w:r>
              <w:rPr>
                <w:rFonts w:hint="eastAsia" w:asciiTheme="minorEastAsia" w:hAnsiTheme="minorEastAsia" w:eastAsiaTheme="minorEastAsia"/>
                <w:sz w:val="24"/>
                <w:szCs w:val="24"/>
                <w:highlight w:val="none"/>
                <w:lang w:val="en-US"/>
              </w:rPr>
              <w:t>电子邮址</w:t>
            </w:r>
          </w:p>
        </w:tc>
        <w:tc>
          <w:tcPr>
            <w:tcW w:w="2534" w:type="dxa"/>
            <w:gridSpan w:val="3"/>
            <w:vAlign w:val="center"/>
          </w:tcPr>
          <w:p>
            <w:pPr>
              <w:pStyle w:val="122"/>
              <w:jc w:val="center"/>
              <w:rPr>
                <w:rFonts w:asciiTheme="minorEastAsia" w:hAnsiTheme="minorEastAsia" w:eastAsiaTheme="minorEastAsia"/>
                <w:sz w:val="24"/>
                <w:szCs w:val="24"/>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2061" w:type="dxa"/>
            <w:vAlign w:val="center"/>
          </w:tcPr>
          <w:p>
            <w:pPr>
              <w:pStyle w:val="122"/>
              <w:jc w:val="center"/>
              <w:rPr>
                <w:rFonts w:asciiTheme="minorEastAsia" w:hAnsiTheme="minorEastAsia" w:eastAsiaTheme="minorEastAsia"/>
                <w:sz w:val="24"/>
                <w:szCs w:val="24"/>
                <w:highlight w:val="none"/>
                <w:lang w:val="en-US"/>
              </w:rPr>
            </w:pPr>
            <w:r>
              <w:rPr>
                <w:rFonts w:hint="eastAsia" w:asciiTheme="minorEastAsia" w:hAnsiTheme="minorEastAsia" w:eastAsiaTheme="minorEastAsia"/>
                <w:sz w:val="24"/>
                <w:szCs w:val="24"/>
                <w:highlight w:val="none"/>
                <w:lang w:val="en-US"/>
              </w:rPr>
              <w:t>法定代表人</w:t>
            </w:r>
          </w:p>
        </w:tc>
        <w:tc>
          <w:tcPr>
            <w:tcW w:w="851" w:type="dxa"/>
            <w:vAlign w:val="center"/>
          </w:tcPr>
          <w:p>
            <w:pPr>
              <w:pStyle w:val="122"/>
              <w:jc w:val="center"/>
              <w:rPr>
                <w:rFonts w:asciiTheme="minorEastAsia" w:hAnsiTheme="minorEastAsia" w:eastAsiaTheme="minorEastAsia"/>
                <w:sz w:val="24"/>
                <w:szCs w:val="24"/>
                <w:highlight w:val="none"/>
                <w:lang w:val="en-US"/>
              </w:rPr>
            </w:pPr>
            <w:r>
              <w:rPr>
                <w:rFonts w:hint="eastAsia" w:asciiTheme="minorEastAsia" w:hAnsiTheme="minorEastAsia" w:eastAsiaTheme="minorEastAsia"/>
                <w:sz w:val="24"/>
                <w:szCs w:val="24"/>
                <w:highlight w:val="none"/>
                <w:lang w:val="en-US"/>
              </w:rPr>
              <w:t>姓名</w:t>
            </w:r>
          </w:p>
        </w:tc>
        <w:tc>
          <w:tcPr>
            <w:tcW w:w="1276" w:type="dxa"/>
            <w:vAlign w:val="center"/>
          </w:tcPr>
          <w:p>
            <w:pPr>
              <w:pStyle w:val="122"/>
              <w:jc w:val="center"/>
              <w:rPr>
                <w:rFonts w:asciiTheme="minorEastAsia" w:hAnsiTheme="minorEastAsia" w:eastAsiaTheme="minorEastAsia"/>
                <w:sz w:val="24"/>
                <w:szCs w:val="24"/>
                <w:highlight w:val="none"/>
                <w:lang w:val="en-US"/>
              </w:rPr>
            </w:pPr>
          </w:p>
        </w:tc>
        <w:tc>
          <w:tcPr>
            <w:tcW w:w="1220" w:type="dxa"/>
            <w:vAlign w:val="center"/>
          </w:tcPr>
          <w:p>
            <w:pPr>
              <w:pStyle w:val="122"/>
              <w:jc w:val="center"/>
              <w:rPr>
                <w:rFonts w:asciiTheme="minorEastAsia" w:hAnsiTheme="minorEastAsia" w:eastAsiaTheme="minorEastAsia"/>
                <w:sz w:val="24"/>
                <w:szCs w:val="24"/>
                <w:highlight w:val="none"/>
                <w:lang w:val="en-US"/>
              </w:rPr>
            </w:pPr>
            <w:r>
              <w:rPr>
                <w:rFonts w:hint="eastAsia" w:asciiTheme="minorEastAsia" w:hAnsiTheme="minorEastAsia" w:eastAsiaTheme="minorEastAsia"/>
                <w:sz w:val="24"/>
                <w:szCs w:val="24"/>
                <w:highlight w:val="none"/>
                <w:lang w:val="en-US"/>
              </w:rPr>
              <w:t>技术职称</w:t>
            </w:r>
          </w:p>
        </w:tc>
        <w:tc>
          <w:tcPr>
            <w:tcW w:w="1268" w:type="dxa"/>
            <w:gridSpan w:val="2"/>
            <w:vAlign w:val="center"/>
          </w:tcPr>
          <w:p>
            <w:pPr>
              <w:pStyle w:val="122"/>
              <w:jc w:val="center"/>
              <w:rPr>
                <w:rFonts w:asciiTheme="minorEastAsia" w:hAnsiTheme="minorEastAsia" w:eastAsiaTheme="minorEastAsia"/>
                <w:sz w:val="24"/>
                <w:szCs w:val="24"/>
                <w:highlight w:val="none"/>
                <w:lang w:val="en-US"/>
              </w:rPr>
            </w:pPr>
          </w:p>
        </w:tc>
        <w:tc>
          <w:tcPr>
            <w:tcW w:w="794" w:type="dxa"/>
            <w:vAlign w:val="center"/>
          </w:tcPr>
          <w:p>
            <w:pPr>
              <w:pStyle w:val="122"/>
              <w:jc w:val="center"/>
              <w:rPr>
                <w:rFonts w:asciiTheme="minorEastAsia" w:hAnsiTheme="minorEastAsia" w:eastAsiaTheme="minorEastAsia"/>
                <w:sz w:val="24"/>
                <w:szCs w:val="24"/>
                <w:highlight w:val="none"/>
                <w:lang w:val="en-US"/>
              </w:rPr>
            </w:pPr>
            <w:r>
              <w:rPr>
                <w:rFonts w:hint="eastAsia" w:asciiTheme="minorEastAsia" w:hAnsiTheme="minorEastAsia" w:eastAsiaTheme="minorEastAsia"/>
                <w:sz w:val="24"/>
                <w:szCs w:val="24"/>
                <w:highlight w:val="none"/>
                <w:lang w:val="en-US"/>
              </w:rPr>
              <w:t>电话</w:t>
            </w:r>
          </w:p>
        </w:tc>
        <w:tc>
          <w:tcPr>
            <w:tcW w:w="1740" w:type="dxa"/>
            <w:gridSpan w:val="2"/>
            <w:vAlign w:val="center"/>
          </w:tcPr>
          <w:p>
            <w:pPr>
              <w:pStyle w:val="122"/>
              <w:jc w:val="center"/>
              <w:rPr>
                <w:rFonts w:asciiTheme="minorEastAsia" w:hAnsiTheme="minorEastAsia" w:eastAsiaTheme="minorEastAsia"/>
                <w:sz w:val="24"/>
                <w:szCs w:val="24"/>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2061" w:type="dxa"/>
            <w:vAlign w:val="center"/>
          </w:tcPr>
          <w:p>
            <w:pPr>
              <w:pStyle w:val="122"/>
              <w:jc w:val="center"/>
              <w:rPr>
                <w:rFonts w:asciiTheme="minorEastAsia" w:hAnsiTheme="minorEastAsia" w:eastAsiaTheme="minorEastAsia"/>
                <w:sz w:val="24"/>
                <w:szCs w:val="24"/>
                <w:highlight w:val="none"/>
                <w:lang w:val="en-US"/>
              </w:rPr>
            </w:pPr>
            <w:r>
              <w:rPr>
                <w:rFonts w:hint="eastAsia" w:asciiTheme="minorEastAsia" w:hAnsiTheme="minorEastAsia" w:eastAsiaTheme="minorEastAsia"/>
                <w:sz w:val="24"/>
                <w:szCs w:val="24"/>
                <w:highlight w:val="none"/>
                <w:lang w:val="en-US"/>
              </w:rPr>
              <w:t>技术负责人</w:t>
            </w:r>
          </w:p>
        </w:tc>
        <w:tc>
          <w:tcPr>
            <w:tcW w:w="851" w:type="dxa"/>
            <w:vAlign w:val="center"/>
          </w:tcPr>
          <w:p>
            <w:pPr>
              <w:pStyle w:val="122"/>
              <w:jc w:val="center"/>
              <w:rPr>
                <w:rFonts w:asciiTheme="minorEastAsia" w:hAnsiTheme="minorEastAsia" w:eastAsiaTheme="minorEastAsia"/>
                <w:sz w:val="24"/>
                <w:szCs w:val="24"/>
                <w:highlight w:val="none"/>
                <w:lang w:val="en-US"/>
              </w:rPr>
            </w:pPr>
            <w:r>
              <w:rPr>
                <w:rFonts w:hint="eastAsia" w:asciiTheme="minorEastAsia" w:hAnsiTheme="minorEastAsia" w:eastAsiaTheme="minorEastAsia"/>
                <w:sz w:val="24"/>
                <w:szCs w:val="24"/>
                <w:highlight w:val="none"/>
                <w:lang w:val="en-US"/>
              </w:rPr>
              <w:t>姓名</w:t>
            </w:r>
          </w:p>
        </w:tc>
        <w:tc>
          <w:tcPr>
            <w:tcW w:w="1276" w:type="dxa"/>
            <w:vAlign w:val="center"/>
          </w:tcPr>
          <w:p>
            <w:pPr>
              <w:pStyle w:val="122"/>
              <w:jc w:val="center"/>
              <w:rPr>
                <w:rFonts w:asciiTheme="minorEastAsia" w:hAnsiTheme="minorEastAsia" w:eastAsiaTheme="minorEastAsia"/>
                <w:sz w:val="24"/>
                <w:szCs w:val="24"/>
                <w:highlight w:val="none"/>
                <w:lang w:val="en-US"/>
              </w:rPr>
            </w:pPr>
          </w:p>
        </w:tc>
        <w:tc>
          <w:tcPr>
            <w:tcW w:w="1220" w:type="dxa"/>
            <w:vAlign w:val="center"/>
          </w:tcPr>
          <w:p>
            <w:pPr>
              <w:pStyle w:val="122"/>
              <w:jc w:val="center"/>
              <w:rPr>
                <w:rFonts w:asciiTheme="minorEastAsia" w:hAnsiTheme="minorEastAsia" w:eastAsiaTheme="minorEastAsia"/>
                <w:sz w:val="24"/>
                <w:szCs w:val="24"/>
                <w:highlight w:val="none"/>
                <w:lang w:val="en-US"/>
              </w:rPr>
            </w:pPr>
            <w:r>
              <w:rPr>
                <w:rFonts w:hint="eastAsia" w:asciiTheme="minorEastAsia" w:hAnsiTheme="minorEastAsia" w:eastAsiaTheme="minorEastAsia"/>
                <w:sz w:val="24"/>
                <w:szCs w:val="24"/>
                <w:highlight w:val="none"/>
                <w:lang w:val="en-US"/>
              </w:rPr>
              <w:t>技术职称</w:t>
            </w:r>
          </w:p>
        </w:tc>
        <w:tc>
          <w:tcPr>
            <w:tcW w:w="1268" w:type="dxa"/>
            <w:gridSpan w:val="2"/>
            <w:vAlign w:val="center"/>
          </w:tcPr>
          <w:p>
            <w:pPr>
              <w:pStyle w:val="122"/>
              <w:jc w:val="center"/>
              <w:rPr>
                <w:rFonts w:asciiTheme="minorEastAsia" w:hAnsiTheme="minorEastAsia" w:eastAsiaTheme="minorEastAsia"/>
                <w:sz w:val="24"/>
                <w:szCs w:val="24"/>
                <w:highlight w:val="none"/>
                <w:lang w:val="en-US"/>
              </w:rPr>
            </w:pPr>
          </w:p>
        </w:tc>
        <w:tc>
          <w:tcPr>
            <w:tcW w:w="794" w:type="dxa"/>
            <w:vAlign w:val="center"/>
          </w:tcPr>
          <w:p>
            <w:pPr>
              <w:pStyle w:val="122"/>
              <w:jc w:val="center"/>
              <w:rPr>
                <w:rFonts w:asciiTheme="minorEastAsia" w:hAnsiTheme="minorEastAsia" w:eastAsiaTheme="minorEastAsia"/>
                <w:sz w:val="24"/>
                <w:szCs w:val="24"/>
                <w:highlight w:val="none"/>
                <w:lang w:val="en-US"/>
              </w:rPr>
            </w:pPr>
            <w:r>
              <w:rPr>
                <w:rFonts w:hint="eastAsia" w:asciiTheme="minorEastAsia" w:hAnsiTheme="minorEastAsia" w:eastAsiaTheme="minorEastAsia"/>
                <w:sz w:val="24"/>
                <w:szCs w:val="24"/>
                <w:highlight w:val="none"/>
                <w:lang w:val="en-US"/>
              </w:rPr>
              <w:t>电话</w:t>
            </w:r>
          </w:p>
        </w:tc>
        <w:tc>
          <w:tcPr>
            <w:tcW w:w="1740" w:type="dxa"/>
            <w:gridSpan w:val="2"/>
            <w:vAlign w:val="center"/>
          </w:tcPr>
          <w:p>
            <w:pPr>
              <w:pStyle w:val="122"/>
              <w:jc w:val="center"/>
              <w:rPr>
                <w:rFonts w:asciiTheme="minorEastAsia" w:hAnsiTheme="minorEastAsia" w:eastAsiaTheme="minorEastAsia"/>
                <w:sz w:val="24"/>
                <w:szCs w:val="24"/>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2061" w:type="dxa"/>
            <w:vAlign w:val="center"/>
          </w:tcPr>
          <w:p>
            <w:pPr>
              <w:pStyle w:val="122"/>
              <w:jc w:val="center"/>
              <w:rPr>
                <w:rFonts w:asciiTheme="minorEastAsia" w:hAnsiTheme="minorEastAsia" w:eastAsiaTheme="minorEastAsia"/>
                <w:sz w:val="24"/>
                <w:szCs w:val="24"/>
                <w:highlight w:val="none"/>
                <w:lang w:val="en-US"/>
              </w:rPr>
            </w:pPr>
            <w:r>
              <w:rPr>
                <w:rFonts w:hint="eastAsia" w:asciiTheme="minorEastAsia" w:hAnsiTheme="minorEastAsia" w:eastAsiaTheme="minorEastAsia"/>
                <w:sz w:val="24"/>
                <w:szCs w:val="24"/>
                <w:highlight w:val="none"/>
                <w:lang w:val="en-US"/>
              </w:rPr>
              <w:t>成立时间</w:t>
            </w:r>
          </w:p>
        </w:tc>
        <w:tc>
          <w:tcPr>
            <w:tcW w:w="3347" w:type="dxa"/>
            <w:gridSpan w:val="3"/>
            <w:vAlign w:val="center"/>
          </w:tcPr>
          <w:p>
            <w:pPr>
              <w:pStyle w:val="122"/>
              <w:jc w:val="center"/>
              <w:rPr>
                <w:rFonts w:asciiTheme="minorEastAsia" w:hAnsiTheme="minorEastAsia" w:eastAsiaTheme="minorEastAsia"/>
                <w:sz w:val="24"/>
                <w:szCs w:val="24"/>
                <w:highlight w:val="none"/>
                <w:lang w:val="en-US"/>
              </w:rPr>
            </w:pPr>
          </w:p>
        </w:tc>
        <w:tc>
          <w:tcPr>
            <w:tcW w:w="3802" w:type="dxa"/>
            <w:gridSpan w:val="5"/>
            <w:vAlign w:val="center"/>
          </w:tcPr>
          <w:p>
            <w:pPr>
              <w:jc w:val="center"/>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2061" w:type="dxa"/>
            <w:vMerge w:val="restart"/>
            <w:vAlign w:val="center"/>
          </w:tcPr>
          <w:p>
            <w:pPr>
              <w:pStyle w:val="122"/>
              <w:jc w:val="center"/>
              <w:rPr>
                <w:rFonts w:asciiTheme="minorEastAsia" w:hAnsiTheme="minorEastAsia" w:eastAsiaTheme="minorEastAsia"/>
                <w:sz w:val="24"/>
                <w:szCs w:val="24"/>
                <w:highlight w:val="none"/>
                <w:lang w:val="en-US"/>
              </w:rPr>
            </w:pPr>
            <w:r>
              <w:rPr>
                <w:rFonts w:asciiTheme="minorEastAsia" w:hAnsiTheme="minorEastAsia" w:eastAsiaTheme="minorEastAsia"/>
                <w:sz w:val="24"/>
                <w:szCs w:val="24"/>
                <w:highlight w:val="none"/>
                <w:lang w:val="en-US"/>
              </w:rPr>
              <w:t>资质</w:t>
            </w:r>
            <w:r>
              <w:rPr>
                <w:rFonts w:hint="eastAsia" w:asciiTheme="minorEastAsia" w:hAnsiTheme="minorEastAsia" w:eastAsiaTheme="minorEastAsia"/>
                <w:sz w:val="24"/>
                <w:szCs w:val="24"/>
                <w:highlight w:val="none"/>
                <w:lang w:val="en-US"/>
              </w:rPr>
              <w:t>资格与业务范围</w:t>
            </w:r>
          </w:p>
        </w:tc>
        <w:tc>
          <w:tcPr>
            <w:tcW w:w="3347" w:type="dxa"/>
            <w:gridSpan w:val="3"/>
            <w:vMerge w:val="restart"/>
            <w:vAlign w:val="center"/>
          </w:tcPr>
          <w:p>
            <w:pPr>
              <w:pStyle w:val="122"/>
              <w:jc w:val="center"/>
              <w:rPr>
                <w:rFonts w:asciiTheme="minorEastAsia" w:hAnsiTheme="minorEastAsia" w:eastAsiaTheme="minorEastAsia"/>
                <w:sz w:val="24"/>
                <w:szCs w:val="24"/>
                <w:highlight w:val="none"/>
                <w:lang w:val="en-US"/>
              </w:rPr>
            </w:pPr>
          </w:p>
        </w:tc>
        <w:tc>
          <w:tcPr>
            <w:tcW w:w="892" w:type="dxa"/>
            <w:vMerge w:val="restart"/>
            <w:vAlign w:val="center"/>
          </w:tcPr>
          <w:p>
            <w:pPr>
              <w:pStyle w:val="122"/>
              <w:jc w:val="center"/>
              <w:rPr>
                <w:rFonts w:asciiTheme="minorEastAsia" w:hAnsiTheme="minorEastAsia" w:eastAsiaTheme="minorEastAsia"/>
                <w:sz w:val="24"/>
                <w:szCs w:val="24"/>
                <w:highlight w:val="none"/>
                <w:lang w:val="en-US"/>
              </w:rPr>
            </w:pPr>
            <w:r>
              <w:rPr>
                <w:rFonts w:hint="eastAsia" w:asciiTheme="minorEastAsia" w:hAnsiTheme="minorEastAsia" w:eastAsiaTheme="minorEastAsia"/>
                <w:sz w:val="24"/>
                <w:szCs w:val="24"/>
                <w:highlight w:val="none"/>
                <w:lang w:val="en-US"/>
              </w:rPr>
              <w:t>其中</w:t>
            </w:r>
          </w:p>
        </w:tc>
        <w:tc>
          <w:tcPr>
            <w:tcW w:w="1715" w:type="dxa"/>
            <w:gridSpan w:val="3"/>
            <w:vAlign w:val="center"/>
          </w:tcPr>
          <w:p>
            <w:pPr>
              <w:pStyle w:val="122"/>
              <w:jc w:val="center"/>
              <w:rPr>
                <w:rFonts w:asciiTheme="minorEastAsia" w:hAnsiTheme="minorEastAsia" w:eastAsiaTheme="minorEastAsia"/>
                <w:sz w:val="24"/>
                <w:szCs w:val="24"/>
                <w:highlight w:val="none"/>
                <w:lang w:val="en-US"/>
              </w:rPr>
            </w:pPr>
            <w:r>
              <w:rPr>
                <w:rFonts w:hint="eastAsia" w:asciiTheme="minorEastAsia" w:hAnsiTheme="minorEastAsia" w:eastAsiaTheme="minorEastAsia"/>
                <w:sz w:val="24"/>
                <w:szCs w:val="24"/>
                <w:highlight w:val="none"/>
                <w:lang w:val="en-US"/>
              </w:rPr>
              <w:t>高级职称</w:t>
            </w:r>
          </w:p>
        </w:tc>
        <w:tc>
          <w:tcPr>
            <w:tcW w:w="1195" w:type="dxa"/>
            <w:vAlign w:val="center"/>
          </w:tcPr>
          <w:p>
            <w:pPr>
              <w:pStyle w:val="122"/>
              <w:jc w:val="center"/>
              <w:rPr>
                <w:rFonts w:asciiTheme="minorEastAsia" w:hAnsiTheme="minorEastAsia" w:eastAsiaTheme="minorEastAsia"/>
                <w:sz w:val="24"/>
                <w:szCs w:val="24"/>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2061" w:type="dxa"/>
            <w:vMerge w:val="continue"/>
            <w:vAlign w:val="center"/>
          </w:tcPr>
          <w:p>
            <w:pPr>
              <w:pStyle w:val="122"/>
              <w:jc w:val="center"/>
              <w:rPr>
                <w:rFonts w:asciiTheme="minorEastAsia" w:hAnsiTheme="minorEastAsia" w:eastAsiaTheme="minorEastAsia"/>
                <w:sz w:val="24"/>
                <w:szCs w:val="24"/>
                <w:highlight w:val="none"/>
                <w:lang w:val="en-US"/>
              </w:rPr>
            </w:pPr>
          </w:p>
        </w:tc>
        <w:tc>
          <w:tcPr>
            <w:tcW w:w="3347" w:type="dxa"/>
            <w:gridSpan w:val="3"/>
            <w:vMerge w:val="continue"/>
            <w:vAlign w:val="center"/>
          </w:tcPr>
          <w:p>
            <w:pPr>
              <w:pStyle w:val="122"/>
              <w:jc w:val="center"/>
              <w:rPr>
                <w:rFonts w:asciiTheme="minorEastAsia" w:hAnsiTheme="minorEastAsia" w:eastAsiaTheme="minorEastAsia"/>
                <w:sz w:val="24"/>
                <w:szCs w:val="24"/>
                <w:highlight w:val="none"/>
                <w:lang w:val="en-US"/>
              </w:rPr>
            </w:pPr>
          </w:p>
        </w:tc>
        <w:tc>
          <w:tcPr>
            <w:tcW w:w="892" w:type="dxa"/>
            <w:vMerge w:val="continue"/>
            <w:vAlign w:val="center"/>
          </w:tcPr>
          <w:p>
            <w:pPr>
              <w:pStyle w:val="122"/>
              <w:jc w:val="center"/>
              <w:rPr>
                <w:rFonts w:asciiTheme="minorEastAsia" w:hAnsiTheme="minorEastAsia" w:eastAsiaTheme="minorEastAsia"/>
                <w:sz w:val="24"/>
                <w:szCs w:val="24"/>
                <w:highlight w:val="none"/>
                <w:lang w:val="en-US"/>
              </w:rPr>
            </w:pPr>
          </w:p>
        </w:tc>
        <w:tc>
          <w:tcPr>
            <w:tcW w:w="1715" w:type="dxa"/>
            <w:gridSpan w:val="3"/>
            <w:vAlign w:val="center"/>
          </w:tcPr>
          <w:p>
            <w:pPr>
              <w:pStyle w:val="122"/>
              <w:jc w:val="center"/>
              <w:rPr>
                <w:rFonts w:asciiTheme="minorEastAsia" w:hAnsiTheme="minorEastAsia" w:eastAsiaTheme="minorEastAsia"/>
                <w:sz w:val="24"/>
                <w:szCs w:val="24"/>
                <w:highlight w:val="none"/>
                <w:lang w:val="en-US"/>
              </w:rPr>
            </w:pPr>
            <w:r>
              <w:rPr>
                <w:rFonts w:hint="eastAsia" w:asciiTheme="minorEastAsia" w:hAnsiTheme="minorEastAsia" w:eastAsiaTheme="minorEastAsia"/>
                <w:sz w:val="24"/>
                <w:szCs w:val="24"/>
                <w:highlight w:val="none"/>
                <w:lang w:val="en-US"/>
              </w:rPr>
              <w:t>中级职称</w:t>
            </w:r>
          </w:p>
        </w:tc>
        <w:tc>
          <w:tcPr>
            <w:tcW w:w="1195" w:type="dxa"/>
            <w:vAlign w:val="center"/>
          </w:tcPr>
          <w:p>
            <w:pPr>
              <w:pStyle w:val="122"/>
              <w:jc w:val="center"/>
              <w:rPr>
                <w:rFonts w:asciiTheme="minorEastAsia" w:hAnsiTheme="minorEastAsia" w:eastAsiaTheme="minorEastAsia"/>
                <w:sz w:val="24"/>
                <w:szCs w:val="24"/>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atLeast"/>
          <w:jc w:val="center"/>
        </w:trPr>
        <w:tc>
          <w:tcPr>
            <w:tcW w:w="2061" w:type="dxa"/>
            <w:vAlign w:val="center"/>
          </w:tcPr>
          <w:p>
            <w:pPr>
              <w:pStyle w:val="122"/>
              <w:jc w:val="center"/>
              <w:rPr>
                <w:rFonts w:asciiTheme="minorEastAsia" w:hAnsiTheme="minorEastAsia" w:eastAsiaTheme="minorEastAsia"/>
                <w:sz w:val="24"/>
                <w:szCs w:val="24"/>
                <w:highlight w:val="none"/>
                <w:lang w:val="en-US"/>
              </w:rPr>
            </w:pPr>
            <w:r>
              <w:rPr>
                <w:rFonts w:hint="eastAsia" w:asciiTheme="minorEastAsia" w:hAnsiTheme="minorEastAsia" w:eastAsiaTheme="minorEastAsia"/>
                <w:sz w:val="24"/>
                <w:szCs w:val="24"/>
                <w:highlight w:val="none"/>
                <w:lang w:val="en-US"/>
              </w:rPr>
              <w:t>营业执照号</w:t>
            </w:r>
          </w:p>
        </w:tc>
        <w:tc>
          <w:tcPr>
            <w:tcW w:w="3347" w:type="dxa"/>
            <w:gridSpan w:val="3"/>
            <w:vAlign w:val="center"/>
          </w:tcPr>
          <w:p>
            <w:pPr>
              <w:pStyle w:val="122"/>
              <w:jc w:val="center"/>
              <w:rPr>
                <w:rFonts w:asciiTheme="minorEastAsia" w:hAnsiTheme="minorEastAsia" w:eastAsiaTheme="minorEastAsia"/>
                <w:sz w:val="24"/>
                <w:szCs w:val="24"/>
                <w:highlight w:val="none"/>
                <w:lang w:val="en-US"/>
              </w:rPr>
            </w:pPr>
          </w:p>
        </w:tc>
        <w:tc>
          <w:tcPr>
            <w:tcW w:w="892" w:type="dxa"/>
            <w:vMerge w:val="continue"/>
            <w:vAlign w:val="center"/>
          </w:tcPr>
          <w:p>
            <w:pPr>
              <w:pStyle w:val="122"/>
              <w:jc w:val="center"/>
              <w:rPr>
                <w:rFonts w:asciiTheme="minorEastAsia" w:hAnsiTheme="minorEastAsia" w:eastAsiaTheme="minorEastAsia"/>
                <w:sz w:val="24"/>
                <w:szCs w:val="24"/>
                <w:highlight w:val="none"/>
                <w:lang w:val="en-US"/>
              </w:rPr>
            </w:pPr>
          </w:p>
        </w:tc>
        <w:tc>
          <w:tcPr>
            <w:tcW w:w="1715" w:type="dxa"/>
            <w:gridSpan w:val="3"/>
            <w:vAlign w:val="center"/>
          </w:tcPr>
          <w:p>
            <w:pPr>
              <w:pStyle w:val="122"/>
              <w:jc w:val="center"/>
              <w:rPr>
                <w:rFonts w:asciiTheme="minorEastAsia" w:hAnsiTheme="minorEastAsia" w:eastAsiaTheme="minorEastAsia"/>
                <w:sz w:val="24"/>
                <w:szCs w:val="24"/>
                <w:highlight w:val="none"/>
                <w:lang w:val="en-US"/>
              </w:rPr>
            </w:pPr>
            <w:r>
              <w:rPr>
                <w:rFonts w:hint="eastAsia" w:asciiTheme="minorEastAsia" w:hAnsiTheme="minorEastAsia" w:eastAsiaTheme="minorEastAsia"/>
                <w:sz w:val="24"/>
                <w:szCs w:val="24"/>
                <w:highlight w:val="none"/>
                <w:lang w:val="en-US"/>
              </w:rPr>
              <w:t>各类注册人员</w:t>
            </w:r>
          </w:p>
        </w:tc>
        <w:tc>
          <w:tcPr>
            <w:tcW w:w="1195" w:type="dxa"/>
            <w:vAlign w:val="center"/>
          </w:tcPr>
          <w:p>
            <w:pPr>
              <w:pStyle w:val="122"/>
              <w:jc w:val="center"/>
              <w:rPr>
                <w:rFonts w:asciiTheme="minorEastAsia" w:hAnsiTheme="minorEastAsia" w:eastAsiaTheme="minorEastAsia"/>
                <w:sz w:val="24"/>
                <w:szCs w:val="24"/>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2061" w:type="dxa"/>
            <w:vAlign w:val="center"/>
          </w:tcPr>
          <w:p>
            <w:pPr>
              <w:pStyle w:val="122"/>
              <w:jc w:val="center"/>
              <w:rPr>
                <w:rFonts w:asciiTheme="minorEastAsia" w:hAnsiTheme="minorEastAsia" w:eastAsiaTheme="minorEastAsia"/>
                <w:sz w:val="24"/>
                <w:szCs w:val="24"/>
                <w:highlight w:val="none"/>
                <w:lang w:val="en-US"/>
              </w:rPr>
            </w:pPr>
            <w:r>
              <w:rPr>
                <w:rFonts w:hint="eastAsia" w:asciiTheme="minorEastAsia" w:hAnsiTheme="minorEastAsia" w:eastAsiaTheme="minorEastAsia"/>
                <w:sz w:val="24"/>
                <w:szCs w:val="24"/>
                <w:highlight w:val="none"/>
                <w:lang w:val="en-US"/>
              </w:rPr>
              <w:t>注册资金</w:t>
            </w:r>
          </w:p>
        </w:tc>
        <w:tc>
          <w:tcPr>
            <w:tcW w:w="7149" w:type="dxa"/>
            <w:gridSpan w:val="8"/>
            <w:vAlign w:val="center"/>
          </w:tcPr>
          <w:p>
            <w:pPr>
              <w:pStyle w:val="122"/>
              <w:jc w:val="center"/>
              <w:rPr>
                <w:rFonts w:asciiTheme="minorEastAsia" w:hAnsiTheme="minorEastAsia" w:eastAsiaTheme="minorEastAsia"/>
                <w:sz w:val="24"/>
                <w:szCs w:val="24"/>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2061" w:type="dxa"/>
            <w:vAlign w:val="center"/>
          </w:tcPr>
          <w:p>
            <w:pPr>
              <w:pStyle w:val="122"/>
              <w:jc w:val="center"/>
              <w:rPr>
                <w:rFonts w:asciiTheme="minorEastAsia" w:hAnsiTheme="minorEastAsia" w:eastAsiaTheme="minorEastAsia"/>
                <w:sz w:val="24"/>
                <w:szCs w:val="24"/>
                <w:highlight w:val="none"/>
                <w:lang w:val="en-US"/>
              </w:rPr>
            </w:pPr>
            <w:r>
              <w:rPr>
                <w:rFonts w:hint="eastAsia" w:asciiTheme="minorEastAsia" w:hAnsiTheme="minorEastAsia" w:eastAsiaTheme="minorEastAsia"/>
                <w:sz w:val="24"/>
                <w:szCs w:val="24"/>
                <w:highlight w:val="none"/>
                <w:lang w:val="en-US"/>
              </w:rPr>
              <w:t>基本账户开户银行</w:t>
            </w:r>
          </w:p>
        </w:tc>
        <w:tc>
          <w:tcPr>
            <w:tcW w:w="7149" w:type="dxa"/>
            <w:gridSpan w:val="8"/>
            <w:vAlign w:val="center"/>
          </w:tcPr>
          <w:p>
            <w:pPr>
              <w:pStyle w:val="122"/>
              <w:jc w:val="center"/>
              <w:rPr>
                <w:rFonts w:asciiTheme="minorEastAsia" w:hAnsiTheme="minorEastAsia" w:eastAsiaTheme="minorEastAsia"/>
                <w:sz w:val="24"/>
                <w:szCs w:val="24"/>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2061" w:type="dxa"/>
            <w:vAlign w:val="center"/>
          </w:tcPr>
          <w:p>
            <w:pPr>
              <w:pStyle w:val="122"/>
              <w:jc w:val="center"/>
              <w:rPr>
                <w:rFonts w:asciiTheme="minorEastAsia" w:hAnsiTheme="minorEastAsia" w:eastAsiaTheme="minorEastAsia"/>
                <w:sz w:val="24"/>
                <w:szCs w:val="24"/>
                <w:highlight w:val="none"/>
                <w:lang w:val="en-US"/>
              </w:rPr>
            </w:pPr>
            <w:r>
              <w:rPr>
                <w:rFonts w:hint="eastAsia" w:asciiTheme="minorEastAsia" w:hAnsiTheme="minorEastAsia" w:eastAsiaTheme="minorEastAsia"/>
                <w:sz w:val="24"/>
                <w:szCs w:val="24"/>
                <w:highlight w:val="none"/>
                <w:lang w:val="en-US"/>
              </w:rPr>
              <w:t>基本账户账号</w:t>
            </w:r>
          </w:p>
        </w:tc>
        <w:tc>
          <w:tcPr>
            <w:tcW w:w="7149" w:type="dxa"/>
            <w:gridSpan w:val="8"/>
            <w:vAlign w:val="center"/>
          </w:tcPr>
          <w:p>
            <w:pPr>
              <w:pStyle w:val="122"/>
              <w:jc w:val="center"/>
              <w:rPr>
                <w:rFonts w:asciiTheme="minorEastAsia" w:hAnsiTheme="minorEastAsia" w:eastAsiaTheme="minorEastAsia"/>
                <w:sz w:val="24"/>
                <w:szCs w:val="24"/>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5" w:hRule="atLeast"/>
          <w:jc w:val="center"/>
        </w:trPr>
        <w:tc>
          <w:tcPr>
            <w:tcW w:w="2061" w:type="dxa"/>
            <w:vAlign w:val="center"/>
          </w:tcPr>
          <w:p>
            <w:pPr>
              <w:pStyle w:val="122"/>
              <w:jc w:val="center"/>
              <w:rPr>
                <w:rFonts w:asciiTheme="minorEastAsia" w:hAnsiTheme="minorEastAsia" w:eastAsiaTheme="minorEastAsia"/>
                <w:sz w:val="24"/>
                <w:szCs w:val="24"/>
                <w:highlight w:val="none"/>
                <w:lang w:val="en-US"/>
              </w:rPr>
            </w:pPr>
            <w:r>
              <w:rPr>
                <w:rFonts w:hint="eastAsia" w:asciiTheme="minorEastAsia" w:hAnsiTheme="minorEastAsia" w:eastAsiaTheme="minorEastAsia"/>
                <w:sz w:val="24"/>
                <w:szCs w:val="24"/>
                <w:highlight w:val="none"/>
                <w:lang w:val="en-US"/>
              </w:rPr>
              <w:t>经营范围</w:t>
            </w:r>
          </w:p>
        </w:tc>
        <w:tc>
          <w:tcPr>
            <w:tcW w:w="7149" w:type="dxa"/>
            <w:gridSpan w:val="8"/>
            <w:vAlign w:val="center"/>
          </w:tcPr>
          <w:p>
            <w:pPr>
              <w:pStyle w:val="122"/>
              <w:jc w:val="center"/>
              <w:rPr>
                <w:rFonts w:asciiTheme="minorEastAsia" w:hAnsiTheme="minorEastAsia" w:eastAsiaTheme="minorEastAsia"/>
                <w:sz w:val="24"/>
                <w:szCs w:val="24"/>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2061" w:type="dxa"/>
            <w:vAlign w:val="center"/>
          </w:tcPr>
          <w:p>
            <w:pPr>
              <w:pStyle w:val="122"/>
              <w:jc w:val="center"/>
              <w:rPr>
                <w:rFonts w:asciiTheme="minorEastAsia" w:hAnsiTheme="minorEastAsia" w:eastAsiaTheme="minorEastAsia"/>
                <w:sz w:val="24"/>
                <w:szCs w:val="24"/>
                <w:highlight w:val="none"/>
                <w:lang w:val="en-US"/>
              </w:rPr>
            </w:pPr>
            <w:r>
              <w:rPr>
                <w:rFonts w:hint="eastAsia" w:asciiTheme="minorEastAsia" w:hAnsiTheme="minorEastAsia" w:eastAsiaTheme="minorEastAsia"/>
                <w:sz w:val="24"/>
                <w:szCs w:val="24"/>
                <w:highlight w:val="none"/>
                <w:lang w:val="en-US"/>
              </w:rPr>
              <w:t>备注</w:t>
            </w:r>
          </w:p>
        </w:tc>
        <w:tc>
          <w:tcPr>
            <w:tcW w:w="7149" w:type="dxa"/>
            <w:gridSpan w:val="8"/>
            <w:vAlign w:val="center"/>
          </w:tcPr>
          <w:p>
            <w:pPr>
              <w:pStyle w:val="122"/>
              <w:jc w:val="center"/>
              <w:rPr>
                <w:rFonts w:asciiTheme="minorEastAsia" w:hAnsiTheme="minorEastAsia" w:eastAsiaTheme="minorEastAsia"/>
                <w:sz w:val="24"/>
                <w:szCs w:val="24"/>
                <w:highlight w:val="none"/>
                <w:lang w:val="en-US"/>
              </w:rPr>
            </w:pPr>
          </w:p>
        </w:tc>
      </w:tr>
    </w:tbl>
    <w:p>
      <w:pPr>
        <w:spacing w:line="380" w:lineRule="exact"/>
        <w:rPr>
          <w:rFonts w:asciiTheme="minorEastAsia" w:hAnsiTheme="minorEastAsia" w:eastAsiaTheme="minorEastAsia"/>
          <w:sz w:val="22"/>
          <w:szCs w:val="22"/>
          <w:highlight w:val="none"/>
        </w:rPr>
      </w:pPr>
    </w:p>
    <w:p>
      <w:pPr>
        <w:spacing w:line="380" w:lineRule="exact"/>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投标人（公章）：</w:t>
      </w:r>
    </w:p>
    <w:p>
      <w:pPr>
        <w:spacing w:line="380" w:lineRule="exact"/>
        <w:rPr>
          <w:rFonts w:asciiTheme="minorEastAsia" w:hAnsiTheme="minorEastAsia" w:eastAsiaTheme="minorEastAsia"/>
          <w:sz w:val="22"/>
          <w:szCs w:val="22"/>
          <w:highlight w:val="none"/>
          <w:u w:val="single"/>
        </w:rPr>
      </w:pPr>
      <w:r>
        <w:rPr>
          <w:rFonts w:hint="eastAsia" w:asciiTheme="minorEastAsia" w:hAnsiTheme="minorEastAsia" w:eastAsiaTheme="minorEastAsia"/>
          <w:sz w:val="22"/>
          <w:szCs w:val="22"/>
          <w:highlight w:val="none"/>
        </w:rPr>
        <w:t>投标人代表（签字或印章）：</w:t>
      </w:r>
    </w:p>
    <w:p>
      <w:pPr>
        <w:spacing w:line="380" w:lineRule="exact"/>
        <w:rPr>
          <w:rFonts w:asciiTheme="minorEastAsia" w:hAnsiTheme="minorEastAsia" w:eastAsiaTheme="minorEastAsia"/>
          <w:sz w:val="22"/>
          <w:szCs w:val="22"/>
          <w:highlight w:val="none"/>
          <w:u w:val="single"/>
        </w:rPr>
      </w:pPr>
      <w:r>
        <w:rPr>
          <w:rFonts w:hint="eastAsia" w:asciiTheme="minorEastAsia" w:hAnsiTheme="minorEastAsia" w:eastAsiaTheme="minorEastAsia"/>
          <w:sz w:val="22"/>
          <w:szCs w:val="22"/>
          <w:highlight w:val="none"/>
        </w:rPr>
        <w:t>日期：</w:t>
      </w:r>
    </w:p>
    <w:p>
      <w:pPr>
        <w:rPr>
          <w:rFonts w:asciiTheme="minorEastAsia" w:hAnsiTheme="minorEastAsia" w:eastAsiaTheme="minorEastAsia"/>
          <w:highlight w:val="none"/>
        </w:rPr>
      </w:pPr>
    </w:p>
    <w:p>
      <w:pPr>
        <w:rPr>
          <w:rFonts w:asciiTheme="minorEastAsia" w:hAnsiTheme="minorEastAsia" w:eastAsiaTheme="minorEastAsia"/>
          <w:highlight w:val="none"/>
        </w:rPr>
      </w:pPr>
    </w:p>
    <w:p>
      <w:pPr>
        <w:rPr>
          <w:rFonts w:ascii="宋体" w:hAnsi="宋体" w:cs="宋体"/>
          <w:b/>
          <w:szCs w:val="21"/>
          <w:highlight w:val="none"/>
        </w:rPr>
      </w:pPr>
      <w:r>
        <w:rPr>
          <w:rFonts w:hint="eastAsia" w:ascii="宋体" w:hAnsi="宋体" w:cs="宋体"/>
          <w:b/>
          <w:szCs w:val="21"/>
          <w:highlight w:val="none"/>
        </w:rPr>
        <w:t>（若为联合体投标，联合体各方须单独提供并盖章）</w:t>
      </w:r>
    </w:p>
    <w:p>
      <w:pPr>
        <w:rPr>
          <w:rFonts w:asciiTheme="minorEastAsia" w:hAnsiTheme="minorEastAsia" w:eastAsiaTheme="minorEastAsia"/>
          <w:highlight w:val="none"/>
        </w:rPr>
      </w:pPr>
    </w:p>
    <w:p>
      <w:pPr>
        <w:rPr>
          <w:rFonts w:asciiTheme="minorEastAsia" w:hAnsiTheme="minorEastAsia" w:eastAsiaTheme="minorEastAsia"/>
          <w:highlight w:val="none"/>
        </w:rPr>
      </w:pPr>
      <w:r>
        <w:rPr>
          <w:rFonts w:asciiTheme="minorEastAsia" w:hAnsiTheme="minorEastAsia" w:eastAsiaTheme="minorEastAsia"/>
          <w:highlight w:val="none"/>
        </w:rPr>
        <w:br w:type="page"/>
      </w:r>
    </w:p>
    <w:p>
      <w:pPr>
        <w:pStyle w:val="5"/>
        <w:spacing w:line="380" w:lineRule="exact"/>
        <w:rPr>
          <w:rFonts w:asciiTheme="minorEastAsia" w:hAnsiTheme="minorEastAsia" w:eastAsiaTheme="minorEastAsia"/>
          <w:bCs w:val="0"/>
          <w:sz w:val="24"/>
          <w:szCs w:val="24"/>
          <w:highlight w:val="none"/>
        </w:rPr>
      </w:pPr>
      <w:bookmarkStart w:id="142" w:name="_Toc15829"/>
      <w:r>
        <w:rPr>
          <w:rFonts w:hint="eastAsia" w:asciiTheme="minorEastAsia" w:hAnsiTheme="minorEastAsia" w:eastAsiaTheme="minorEastAsia"/>
          <w:bCs w:val="0"/>
          <w:sz w:val="24"/>
          <w:szCs w:val="24"/>
          <w:highlight w:val="none"/>
        </w:rPr>
        <w:t>（三）技术条款偏离表</w:t>
      </w:r>
      <w:bookmarkEnd w:id="142"/>
    </w:p>
    <w:p>
      <w:pPr>
        <w:spacing w:line="380" w:lineRule="exact"/>
        <w:rPr>
          <w:rFonts w:asciiTheme="minorEastAsia" w:hAnsiTheme="minorEastAsia" w:eastAsiaTheme="minorEastAsia"/>
          <w:szCs w:val="21"/>
          <w:highlight w:val="none"/>
        </w:rPr>
      </w:pPr>
    </w:p>
    <w:tbl>
      <w:tblPr>
        <w:tblStyle w:val="34"/>
        <w:tblW w:w="8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3360"/>
        <w:gridCol w:w="2908"/>
        <w:gridCol w:w="1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794" w:type="dxa"/>
            <w:vAlign w:val="center"/>
          </w:tcPr>
          <w:p>
            <w:pPr>
              <w:spacing w:line="380" w:lineRule="exact"/>
              <w:jc w:val="center"/>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序号</w:t>
            </w:r>
          </w:p>
        </w:tc>
        <w:tc>
          <w:tcPr>
            <w:tcW w:w="3360" w:type="dxa"/>
            <w:vAlign w:val="center"/>
          </w:tcPr>
          <w:p>
            <w:pPr>
              <w:spacing w:line="380" w:lineRule="exact"/>
              <w:jc w:val="center"/>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招标文件技术要求</w:t>
            </w:r>
          </w:p>
        </w:tc>
        <w:tc>
          <w:tcPr>
            <w:tcW w:w="2908" w:type="dxa"/>
            <w:vAlign w:val="center"/>
          </w:tcPr>
          <w:p>
            <w:pPr>
              <w:spacing w:line="380" w:lineRule="exact"/>
              <w:jc w:val="center"/>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投标文件对应规格</w:t>
            </w:r>
          </w:p>
        </w:tc>
        <w:tc>
          <w:tcPr>
            <w:tcW w:w="1578" w:type="dxa"/>
            <w:vAlign w:val="center"/>
          </w:tcPr>
          <w:p>
            <w:pPr>
              <w:spacing w:line="380" w:lineRule="exact"/>
              <w:jc w:val="center"/>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794" w:type="dxa"/>
            <w:vAlign w:val="center"/>
          </w:tcPr>
          <w:p>
            <w:pPr>
              <w:spacing w:line="380" w:lineRule="exact"/>
              <w:jc w:val="center"/>
              <w:rPr>
                <w:rFonts w:asciiTheme="minorEastAsia" w:hAnsiTheme="minorEastAsia" w:eastAsiaTheme="minorEastAsia"/>
                <w:sz w:val="22"/>
                <w:szCs w:val="22"/>
                <w:highlight w:val="none"/>
              </w:rPr>
            </w:pPr>
          </w:p>
        </w:tc>
        <w:tc>
          <w:tcPr>
            <w:tcW w:w="3360" w:type="dxa"/>
            <w:vAlign w:val="center"/>
          </w:tcPr>
          <w:p>
            <w:pPr>
              <w:spacing w:line="380" w:lineRule="exact"/>
              <w:jc w:val="center"/>
              <w:rPr>
                <w:rFonts w:asciiTheme="minorEastAsia" w:hAnsiTheme="minorEastAsia" w:eastAsiaTheme="minorEastAsia"/>
                <w:sz w:val="22"/>
                <w:szCs w:val="22"/>
                <w:highlight w:val="none"/>
              </w:rPr>
            </w:pPr>
          </w:p>
        </w:tc>
        <w:tc>
          <w:tcPr>
            <w:tcW w:w="2908" w:type="dxa"/>
            <w:vAlign w:val="center"/>
          </w:tcPr>
          <w:p>
            <w:pPr>
              <w:spacing w:line="380" w:lineRule="exact"/>
              <w:jc w:val="center"/>
              <w:rPr>
                <w:rFonts w:asciiTheme="minorEastAsia" w:hAnsiTheme="minorEastAsia" w:eastAsiaTheme="minorEastAsia"/>
                <w:sz w:val="22"/>
                <w:szCs w:val="22"/>
                <w:highlight w:val="none"/>
              </w:rPr>
            </w:pPr>
          </w:p>
        </w:tc>
        <w:tc>
          <w:tcPr>
            <w:tcW w:w="1578" w:type="dxa"/>
            <w:vAlign w:val="center"/>
          </w:tcPr>
          <w:p>
            <w:pPr>
              <w:spacing w:line="380" w:lineRule="exact"/>
              <w:jc w:val="center"/>
              <w:rPr>
                <w:rFonts w:asciiTheme="minorEastAsia" w:hAnsiTheme="minorEastAsia" w:eastAsiaTheme="minorEastAsia"/>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794" w:type="dxa"/>
            <w:vAlign w:val="center"/>
          </w:tcPr>
          <w:p>
            <w:pPr>
              <w:spacing w:line="380" w:lineRule="exact"/>
              <w:jc w:val="center"/>
              <w:rPr>
                <w:rFonts w:asciiTheme="minorEastAsia" w:hAnsiTheme="minorEastAsia" w:eastAsiaTheme="minorEastAsia"/>
                <w:sz w:val="22"/>
                <w:szCs w:val="22"/>
                <w:highlight w:val="none"/>
              </w:rPr>
            </w:pPr>
          </w:p>
        </w:tc>
        <w:tc>
          <w:tcPr>
            <w:tcW w:w="3360" w:type="dxa"/>
            <w:vAlign w:val="center"/>
          </w:tcPr>
          <w:p>
            <w:pPr>
              <w:spacing w:line="380" w:lineRule="exact"/>
              <w:jc w:val="center"/>
              <w:rPr>
                <w:rFonts w:asciiTheme="minorEastAsia" w:hAnsiTheme="minorEastAsia" w:eastAsiaTheme="minorEastAsia"/>
                <w:sz w:val="22"/>
                <w:szCs w:val="22"/>
                <w:highlight w:val="none"/>
              </w:rPr>
            </w:pPr>
          </w:p>
        </w:tc>
        <w:tc>
          <w:tcPr>
            <w:tcW w:w="2908" w:type="dxa"/>
            <w:vAlign w:val="center"/>
          </w:tcPr>
          <w:p>
            <w:pPr>
              <w:spacing w:line="380" w:lineRule="exact"/>
              <w:jc w:val="center"/>
              <w:rPr>
                <w:rFonts w:asciiTheme="minorEastAsia" w:hAnsiTheme="minorEastAsia" w:eastAsiaTheme="minorEastAsia"/>
                <w:sz w:val="22"/>
                <w:szCs w:val="22"/>
                <w:highlight w:val="none"/>
              </w:rPr>
            </w:pPr>
          </w:p>
        </w:tc>
        <w:tc>
          <w:tcPr>
            <w:tcW w:w="1578" w:type="dxa"/>
            <w:vAlign w:val="center"/>
          </w:tcPr>
          <w:p>
            <w:pPr>
              <w:spacing w:line="380" w:lineRule="exact"/>
              <w:jc w:val="center"/>
              <w:rPr>
                <w:rFonts w:asciiTheme="minorEastAsia" w:hAnsiTheme="minorEastAsia" w:eastAsiaTheme="minorEastAsia"/>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794" w:type="dxa"/>
            <w:vAlign w:val="center"/>
          </w:tcPr>
          <w:p>
            <w:pPr>
              <w:spacing w:line="380" w:lineRule="exact"/>
              <w:jc w:val="center"/>
              <w:rPr>
                <w:rFonts w:asciiTheme="minorEastAsia" w:hAnsiTheme="minorEastAsia" w:eastAsiaTheme="minorEastAsia"/>
                <w:sz w:val="22"/>
                <w:szCs w:val="22"/>
                <w:highlight w:val="none"/>
              </w:rPr>
            </w:pPr>
          </w:p>
        </w:tc>
        <w:tc>
          <w:tcPr>
            <w:tcW w:w="3360" w:type="dxa"/>
            <w:vAlign w:val="center"/>
          </w:tcPr>
          <w:p>
            <w:pPr>
              <w:spacing w:line="380" w:lineRule="exact"/>
              <w:jc w:val="center"/>
              <w:rPr>
                <w:rFonts w:asciiTheme="minorEastAsia" w:hAnsiTheme="minorEastAsia" w:eastAsiaTheme="minorEastAsia"/>
                <w:sz w:val="22"/>
                <w:szCs w:val="22"/>
                <w:highlight w:val="none"/>
              </w:rPr>
            </w:pPr>
          </w:p>
        </w:tc>
        <w:tc>
          <w:tcPr>
            <w:tcW w:w="2908" w:type="dxa"/>
            <w:vAlign w:val="center"/>
          </w:tcPr>
          <w:p>
            <w:pPr>
              <w:spacing w:line="380" w:lineRule="exact"/>
              <w:jc w:val="center"/>
              <w:rPr>
                <w:rFonts w:asciiTheme="minorEastAsia" w:hAnsiTheme="minorEastAsia" w:eastAsiaTheme="minorEastAsia"/>
                <w:sz w:val="22"/>
                <w:szCs w:val="22"/>
                <w:highlight w:val="none"/>
              </w:rPr>
            </w:pPr>
          </w:p>
        </w:tc>
        <w:tc>
          <w:tcPr>
            <w:tcW w:w="1578" w:type="dxa"/>
            <w:vAlign w:val="center"/>
          </w:tcPr>
          <w:p>
            <w:pPr>
              <w:spacing w:line="380" w:lineRule="exact"/>
              <w:jc w:val="center"/>
              <w:rPr>
                <w:rFonts w:asciiTheme="minorEastAsia" w:hAnsiTheme="minorEastAsia" w:eastAsiaTheme="minorEastAsia"/>
                <w:sz w:val="22"/>
                <w:szCs w:val="22"/>
                <w:highlight w:val="none"/>
              </w:rPr>
            </w:pPr>
          </w:p>
        </w:tc>
      </w:tr>
    </w:tbl>
    <w:p>
      <w:pPr>
        <w:spacing w:line="360" w:lineRule="auto"/>
        <w:rPr>
          <w:rFonts w:asciiTheme="minorEastAsia" w:hAnsiTheme="minorEastAsia" w:eastAsiaTheme="minorEastAsia"/>
          <w:highlight w:val="none"/>
        </w:rPr>
      </w:pPr>
      <w:r>
        <w:rPr>
          <w:rFonts w:hint="eastAsia" w:asciiTheme="minorEastAsia" w:hAnsiTheme="minorEastAsia" w:eastAsiaTheme="minorEastAsia"/>
          <w:highlight w:val="none"/>
        </w:rPr>
        <w:t>备注：1、本表应列明投标人对技术规格的偏离条款（正偏离或负偏离）；</w:t>
      </w:r>
    </w:p>
    <w:p>
      <w:pPr>
        <w:spacing w:line="360" w:lineRule="auto"/>
        <w:rPr>
          <w:rFonts w:asciiTheme="minorEastAsia" w:hAnsiTheme="minorEastAsia" w:eastAsiaTheme="minorEastAsia"/>
          <w:highlight w:val="none"/>
        </w:rPr>
      </w:pPr>
      <w:r>
        <w:rPr>
          <w:rFonts w:hint="eastAsia" w:asciiTheme="minorEastAsia" w:hAnsiTheme="minorEastAsia" w:eastAsiaTheme="minorEastAsia"/>
          <w:highlight w:val="none"/>
        </w:rPr>
        <w:t>2、无偏离应在本表“说明”处醒目地注明“无条款偏离”的字样。</w:t>
      </w:r>
    </w:p>
    <w:p>
      <w:pPr>
        <w:spacing w:line="360" w:lineRule="auto"/>
        <w:rPr>
          <w:rFonts w:asciiTheme="minorEastAsia" w:hAnsiTheme="minorEastAsia" w:eastAsiaTheme="minorEastAsia"/>
          <w:highlight w:val="none"/>
        </w:rPr>
      </w:pPr>
      <w:r>
        <w:rPr>
          <w:rFonts w:hint="eastAsia" w:asciiTheme="minorEastAsia" w:hAnsiTheme="minorEastAsia" w:eastAsiaTheme="minorEastAsia"/>
          <w:highlight w:val="none"/>
        </w:rPr>
        <w:t>3、本表格供参考，投标人可根据项目实际情况自拟（增减）表格。</w:t>
      </w:r>
    </w:p>
    <w:p>
      <w:pPr>
        <w:spacing w:line="360" w:lineRule="auto"/>
        <w:rPr>
          <w:rFonts w:asciiTheme="minorEastAsia" w:hAnsiTheme="minorEastAsia" w:eastAsiaTheme="minorEastAsia"/>
          <w:highlight w:val="none"/>
        </w:rPr>
      </w:pPr>
    </w:p>
    <w:p>
      <w:pPr>
        <w:spacing w:line="380" w:lineRule="exact"/>
        <w:rPr>
          <w:rFonts w:asciiTheme="minorEastAsia" w:hAnsiTheme="minorEastAsia" w:eastAsiaTheme="minorEastAsia"/>
          <w:sz w:val="22"/>
          <w:szCs w:val="22"/>
          <w:highlight w:val="none"/>
        </w:rPr>
      </w:pPr>
      <w:bookmarkStart w:id="143" w:name="_Hlk115278921"/>
      <w:r>
        <w:rPr>
          <w:rFonts w:hint="eastAsia" w:asciiTheme="minorEastAsia" w:hAnsiTheme="minorEastAsia" w:eastAsiaTheme="minorEastAsia"/>
          <w:sz w:val="22"/>
          <w:szCs w:val="22"/>
          <w:highlight w:val="none"/>
        </w:rPr>
        <w:t>投标人（公章）：</w:t>
      </w:r>
    </w:p>
    <w:p>
      <w:pPr>
        <w:spacing w:line="380" w:lineRule="exact"/>
        <w:rPr>
          <w:rFonts w:asciiTheme="minorEastAsia" w:hAnsiTheme="minorEastAsia" w:eastAsiaTheme="minorEastAsia"/>
          <w:sz w:val="22"/>
          <w:szCs w:val="22"/>
          <w:highlight w:val="none"/>
          <w:u w:val="single"/>
        </w:rPr>
      </w:pPr>
      <w:r>
        <w:rPr>
          <w:rFonts w:hint="eastAsia" w:asciiTheme="minorEastAsia" w:hAnsiTheme="minorEastAsia" w:eastAsiaTheme="minorEastAsia"/>
          <w:sz w:val="22"/>
          <w:szCs w:val="22"/>
          <w:highlight w:val="none"/>
        </w:rPr>
        <w:t>投标人代表（签字或印章）：</w:t>
      </w:r>
    </w:p>
    <w:p>
      <w:pPr>
        <w:spacing w:line="380" w:lineRule="exact"/>
        <w:rPr>
          <w:rFonts w:asciiTheme="minorEastAsia" w:hAnsiTheme="minorEastAsia" w:eastAsiaTheme="minorEastAsia"/>
          <w:sz w:val="22"/>
          <w:szCs w:val="22"/>
          <w:highlight w:val="none"/>
          <w:u w:val="single"/>
        </w:rPr>
      </w:pPr>
      <w:r>
        <w:rPr>
          <w:rFonts w:hint="eastAsia" w:asciiTheme="minorEastAsia" w:hAnsiTheme="minorEastAsia" w:eastAsiaTheme="minorEastAsia"/>
          <w:sz w:val="22"/>
          <w:szCs w:val="22"/>
          <w:highlight w:val="none"/>
        </w:rPr>
        <w:t>日期：</w:t>
      </w:r>
    </w:p>
    <w:bookmarkEnd w:id="143"/>
    <w:p>
      <w:pPr>
        <w:spacing w:line="380" w:lineRule="exact"/>
        <w:rPr>
          <w:rFonts w:asciiTheme="minorEastAsia" w:hAnsiTheme="minorEastAsia" w:eastAsiaTheme="minorEastAsia"/>
          <w:sz w:val="24"/>
          <w:highlight w:val="none"/>
        </w:rPr>
      </w:pPr>
    </w:p>
    <w:p>
      <w:pPr>
        <w:pStyle w:val="5"/>
        <w:spacing w:line="380" w:lineRule="exact"/>
        <w:rPr>
          <w:rFonts w:asciiTheme="minorEastAsia" w:hAnsiTheme="minorEastAsia" w:eastAsiaTheme="minorEastAsia"/>
          <w:bCs w:val="0"/>
          <w:sz w:val="24"/>
          <w:szCs w:val="24"/>
          <w:highlight w:val="none"/>
        </w:rPr>
      </w:pPr>
      <w:bookmarkStart w:id="144" w:name="_Toc25177"/>
      <w:r>
        <w:rPr>
          <w:rFonts w:hint="eastAsia" w:asciiTheme="minorEastAsia" w:hAnsiTheme="minorEastAsia" w:eastAsiaTheme="minorEastAsia"/>
          <w:bCs w:val="0"/>
          <w:sz w:val="24"/>
          <w:szCs w:val="24"/>
          <w:highlight w:val="none"/>
        </w:rPr>
        <w:t>（四）商务条款偏离表</w:t>
      </w:r>
      <w:bookmarkEnd w:id="144"/>
    </w:p>
    <w:p>
      <w:pPr>
        <w:spacing w:line="380" w:lineRule="exact"/>
        <w:rPr>
          <w:rFonts w:asciiTheme="minorEastAsia" w:hAnsiTheme="minorEastAsia" w:eastAsiaTheme="minorEastAsia"/>
          <w:sz w:val="24"/>
          <w:highlight w:val="none"/>
        </w:rPr>
      </w:pPr>
    </w:p>
    <w:tbl>
      <w:tblPr>
        <w:tblStyle w:val="34"/>
        <w:tblW w:w="876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
        <w:gridCol w:w="3418"/>
        <w:gridCol w:w="2891"/>
        <w:gridCol w:w="1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835" w:type="dxa"/>
            <w:vAlign w:val="center"/>
          </w:tcPr>
          <w:p>
            <w:pPr>
              <w:spacing w:line="380" w:lineRule="exact"/>
              <w:jc w:val="center"/>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序号</w:t>
            </w:r>
          </w:p>
        </w:tc>
        <w:tc>
          <w:tcPr>
            <w:tcW w:w="3418" w:type="dxa"/>
            <w:vAlign w:val="center"/>
          </w:tcPr>
          <w:p>
            <w:pPr>
              <w:spacing w:line="380" w:lineRule="exact"/>
              <w:jc w:val="center"/>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招标文件的商务条款</w:t>
            </w:r>
          </w:p>
        </w:tc>
        <w:tc>
          <w:tcPr>
            <w:tcW w:w="2891" w:type="dxa"/>
            <w:vAlign w:val="center"/>
          </w:tcPr>
          <w:p>
            <w:pPr>
              <w:spacing w:line="380" w:lineRule="exact"/>
              <w:jc w:val="center"/>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投标文件的商务条款</w:t>
            </w:r>
          </w:p>
        </w:tc>
        <w:tc>
          <w:tcPr>
            <w:tcW w:w="1618" w:type="dxa"/>
            <w:vAlign w:val="center"/>
          </w:tcPr>
          <w:p>
            <w:pPr>
              <w:spacing w:line="380" w:lineRule="exact"/>
              <w:jc w:val="center"/>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835" w:type="dxa"/>
            <w:vAlign w:val="center"/>
          </w:tcPr>
          <w:p>
            <w:pPr>
              <w:spacing w:line="380" w:lineRule="exact"/>
              <w:jc w:val="center"/>
              <w:rPr>
                <w:rFonts w:asciiTheme="minorEastAsia" w:hAnsiTheme="minorEastAsia" w:eastAsiaTheme="minorEastAsia"/>
                <w:sz w:val="22"/>
                <w:szCs w:val="22"/>
                <w:highlight w:val="none"/>
              </w:rPr>
            </w:pPr>
          </w:p>
        </w:tc>
        <w:tc>
          <w:tcPr>
            <w:tcW w:w="3418" w:type="dxa"/>
            <w:vAlign w:val="center"/>
          </w:tcPr>
          <w:p>
            <w:pPr>
              <w:spacing w:line="380" w:lineRule="exact"/>
              <w:jc w:val="center"/>
              <w:rPr>
                <w:rFonts w:asciiTheme="minorEastAsia" w:hAnsiTheme="minorEastAsia" w:eastAsiaTheme="minorEastAsia"/>
                <w:sz w:val="22"/>
                <w:szCs w:val="22"/>
                <w:highlight w:val="none"/>
              </w:rPr>
            </w:pPr>
          </w:p>
        </w:tc>
        <w:tc>
          <w:tcPr>
            <w:tcW w:w="2891" w:type="dxa"/>
            <w:vAlign w:val="center"/>
          </w:tcPr>
          <w:p>
            <w:pPr>
              <w:spacing w:line="380" w:lineRule="exact"/>
              <w:jc w:val="center"/>
              <w:rPr>
                <w:rFonts w:asciiTheme="minorEastAsia" w:hAnsiTheme="minorEastAsia" w:eastAsiaTheme="minorEastAsia"/>
                <w:sz w:val="22"/>
                <w:szCs w:val="22"/>
                <w:highlight w:val="none"/>
              </w:rPr>
            </w:pPr>
          </w:p>
        </w:tc>
        <w:tc>
          <w:tcPr>
            <w:tcW w:w="1618" w:type="dxa"/>
            <w:vAlign w:val="center"/>
          </w:tcPr>
          <w:p>
            <w:pPr>
              <w:spacing w:line="380" w:lineRule="exact"/>
              <w:jc w:val="center"/>
              <w:rPr>
                <w:rFonts w:asciiTheme="minorEastAsia" w:hAnsiTheme="minorEastAsia" w:eastAsiaTheme="minorEastAsia"/>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835" w:type="dxa"/>
            <w:vAlign w:val="center"/>
          </w:tcPr>
          <w:p>
            <w:pPr>
              <w:spacing w:line="380" w:lineRule="exact"/>
              <w:jc w:val="center"/>
              <w:rPr>
                <w:rFonts w:asciiTheme="minorEastAsia" w:hAnsiTheme="minorEastAsia" w:eastAsiaTheme="minorEastAsia"/>
                <w:sz w:val="22"/>
                <w:szCs w:val="22"/>
                <w:highlight w:val="none"/>
              </w:rPr>
            </w:pPr>
          </w:p>
        </w:tc>
        <w:tc>
          <w:tcPr>
            <w:tcW w:w="3418" w:type="dxa"/>
            <w:vAlign w:val="center"/>
          </w:tcPr>
          <w:p>
            <w:pPr>
              <w:spacing w:line="380" w:lineRule="exact"/>
              <w:jc w:val="center"/>
              <w:rPr>
                <w:rFonts w:asciiTheme="minorEastAsia" w:hAnsiTheme="minorEastAsia" w:eastAsiaTheme="minorEastAsia"/>
                <w:sz w:val="22"/>
                <w:szCs w:val="22"/>
                <w:highlight w:val="none"/>
              </w:rPr>
            </w:pPr>
          </w:p>
        </w:tc>
        <w:tc>
          <w:tcPr>
            <w:tcW w:w="2891" w:type="dxa"/>
            <w:vAlign w:val="center"/>
          </w:tcPr>
          <w:p>
            <w:pPr>
              <w:spacing w:line="380" w:lineRule="exact"/>
              <w:jc w:val="center"/>
              <w:rPr>
                <w:rFonts w:asciiTheme="minorEastAsia" w:hAnsiTheme="minorEastAsia" w:eastAsiaTheme="minorEastAsia"/>
                <w:sz w:val="22"/>
                <w:szCs w:val="22"/>
                <w:highlight w:val="none"/>
              </w:rPr>
            </w:pPr>
          </w:p>
        </w:tc>
        <w:tc>
          <w:tcPr>
            <w:tcW w:w="1618" w:type="dxa"/>
            <w:vAlign w:val="center"/>
          </w:tcPr>
          <w:p>
            <w:pPr>
              <w:spacing w:line="380" w:lineRule="exact"/>
              <w:jc w:val="center"/>
              <w:rPr>
                <w:rFonts w:asciiTheme="minorEastAsia" w:hAnsiTheme="minorEastAsia" w:eastAsiaTheme="minorEastAsia"/>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835" w:type="dxa"/>
            <w:vAlign w:val="center"/>
          </w:tcPr>
          <w:p>
            <w:pPr>
              <w:spacing w:line="380" w:lineRule="exact"/>
              <w:jc w:val="center"/>
              <w:rPr>
                <w:rFonts w:asciiTheme="minorEastAsia" w:hAnsiTheme="minorEastAsia" w:eastAsiaTheme="minorEastAsia"/>
                <w:sz w:val="22"/>
                <w:szCs w:val="22"/>
                <w:highlight w:val="none"/>
              </w:rPr>
            </w:pPr>
          </w:p>
        </w:tc>
        <w:tc>
          <w:tcPr>
            <w:tcW w:w="3418" w:type="dxa"/>
            <w:vAlign w:val="center"/>
          </w:tcPr>
          <w:p>
            <w:pPr>
              <w:spacing w:line="380" w:lineRule="exact"/>
              <w:jc w:val="center"/>
              <w:rPr>
                <w:rFonts w:asciiTheme="minorEastAsia" w:hAnsiTheme="minorEastAsia" w:eastAsiaTheme="minorEastAsia"/>
                <w:sz w:val="22"/>
                <w:szCs w:val="22"/>
                <w:highlight w:val="none"/>
              </w:rPr>
            </w:pPr>
          </w:p>
        </w:tc>
        <w:tc>
          <w:tcPr>
            <w:tcW w:w="2891" w:type="dxa"/>
            <w:vAlign w:val="center"/>
          </w:tcPr>
          <w:p>
            <w:pPr>
              <w:spacing w:line="380" w:lineRule="exact"/>
              <w:jc w:val="center"/>
              <w:rPr>
                <w:rFonts w:asciiTheme="minorEastAsia" w:hAnsiTheme="minorEastAsia" w:eastAsiaTheme="minorEastAsia"/>
                <w:sz w:val="22"/>
                <w:szCs w:val="22"/>
                <w:highlight w:val="none"/>
              </w:rPr>
            </w:pPr>
          </w:p>
        </w:tc>
        <w:tc>
          <w:tcPr>
            <w:tcW w:w="1618" w:type="dxa"/>
            <w:vAlign w:val="center"/>
          </w:tcPr>
          <w:p>
            <w:pPr>
              <w:spacing w:line="380" w:lineRule="exact"/>
              <w:jc w:val="center"/>
              <w:rPr>
                <w:rFonts w:asciiTheme="minorEastAsia" w:hAnsiTheme="minorEastAsia" w:eastAsiaTheme="minorEastAsia"/>
                <w:sz w:val="22"/>
                <w:szCs w:val="22"/>
                <w:highlight w:val="none"/>
              </w:rPr>
            </w:pPr>
          </w:p>
        </w:tc>
      </w:tr>
    </w:tbl>
    <w:p>
      <w:pPr>
        <w:spacing w:line="360" w:lineRule="auto"/>
        <w:rPr>
          <w:rFonts w:asciiTheme="minorEastAsia" w:hAnsiTheme="minorEastAsia" w:eastAsiaTheme="minorEastAsia"/>
          <w:highlight w:val="none"/>
        </w:rPr>
      </w:pPr>
      <w:r>
        <w:rPr>
          <w:rFonts w:hint="eastAsia" w:asciiTheme="minorEastAsia" w:hAnsiTheme="minorEastAsia" w:eastAsiaTheme="minorEastAsia"/>
          <w:highlight w:val="none"/>
        </w:rPr>
        <w:t>备注：1、列明采购文件的商务条款与投标文件对应响应，并说明偏离状况（正偏离或负偏离）；2、无偏离应在本表“说明”处醒目地注明“无条款偏离”的字样。</w:t>
      </w:r>
    </w:p>
    <w:p>
      <w:pPr>
        <w:spacing w:line="360" w:lineRule="auto"/>
        <w:rPr>
          <w:rFonts w:asciiTheme="minorEastAsia" w:hAnsiTheme="minorEastAsia" w:eastAsiaTheme="minorEastAsia"/>
          <w:highlight w:val="none"/>
        </w:rPr>
      </w:pPr>
      <w:r>
        <w:rPr>
          <w:rFonts w:hint="eastAsia" w:asciiTheme="minorEastAsia" w:hAnsiTheme="minorEastAsia" w:eastAsiaTheme="minorEastAsia"/>
          <w:highlight w:val="none"/>
        </w:rPr>
        <w:t>3、本表格供参考，投标人可根据项目实际情况自拟（增减）表格。</w:t>
      </w:r>
    </w:p>
    <w:p>
      <w:pPr>
        <w:spacing w:line="380" w:lineRule="exact"/>
        <w:rPr>
          <w:rFonts w:asciiTheme="minorEastAsia" w:hAnsiTheme="minorEastAsia" w:eastAsiaTheme="minorEastAsia"/>
          <w:sz w:val="22"/>
          <w:szCs w:val="22"/>
          <w:highlight w:val="none"/>
        </w:rPr>
      </w:pPr>
    </w:p>
    <w:p>
      <w:pPr>
        <w:spacing w:line="380" w:lineRule="exact"/>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投标人（公章）：</w:t>
      </w:r>
    </w:p>
    <w:p>
      <w:pPr>
        <w:spacing w:line="380" w:lineRule="exact"/>
        <w:rPr>
          <w:rFonts w:asciiTheme="minorEastAsia" w:hAnsiTheme="minorEastAsia" w:eastAsiaTheme="minorEastAsia"/>
          <w:sz w:val="22"/>
          <w:szCs w:val="22"/>
          <w:highlight w:val="none"/>
          <w:u w:val="single"/>
        </w:rPr>
      </w:pPr>
      <w:r>
        <w:rPr>
          <w:rFonts w:hint="eastAsia" w:asciiTheme="minorEastAsia" w:hAnsiTheme="minorEastAsia" w:eastAsiaTheme="minorEastAsia"/>
          <w:sz w:val="22"/>
          <w:szCs w:val="22"/>
          <w:highlight w:val="none"/>
        </w:rPr>
        <w:t>投标人代表（签字或印章）：</w:t>
      </w:r>
    </w:p>
    <w:p>
      <w:pPr>
        <w:spacing w:line="380" w:lineRule="exact"/>
        <w:rPr>
          <w:rFonts w:asciiTheme="minorEastAsia" w:hAnsiTheme="minorEastAsia" w:eastAsiaTheme="minorEastAsia"/>
          <w:sz w:val="22"/>
          <w:szCs w:val="22"/>
          <w:highlight w:val="none"/>
          <w:u w:val="single"/>
        </w:rPr>
      </w:pPr>
      <w:r>
        <w:rPr>
          <w:rFonts w:hint="eastAsia" w:asciiTheme="minorEastAsia" w:hAnsiTheme="minorEastAsia" w:eastAsiaTheme="minorEastAsia"/>
          <w:sz w:val="22"/>
          <w:szCs w:val="22"/>
          <w:highlight w:val="none"/>
        </w:rPr>
        <w:t>日期：</w:t>
      </w:r>
    </w:p>
    <w:p>
      <w:pPr>
        <w:pStyle w:val="5"/>
        <w:spacing w:line="380" w:lineRule="exact"/>
        <w:rPr>
          <w:rFonts w:asciiTheme="minorEastAsia" w:hAnsiTheme="minorEastAsia" w:eastAsiaTheme="minorEastAsia"/>
          <w:sz w:val="24"/>
          <w:szCs w:val="24"/>
          <w:highlight w:val="none"/>
        </w:rPr>
      </w:pPr>
      <w:bookmarkStart w:id="145" w:name="_Toc20450"/>
      <w:r>
        <w:rPr>
          <w:rFonts w:hint="eastAsia" w:asciiTheme="minorEastAsia" w:hAnsiTheme="minorEastAsia" w:eastAsiaTheme="minorEastAsia"/>
          <w:sz w:val="24"/>
          <w:szCs w:val="24"/>
          <w:highlight w:val="none"/>
        </w:rPr>
        <w:t>（五）第五部分“评标办法”中“评分标准”要求提供的资料（如有需提供）</w:t>
      </w:r>
      <w:bookmarkEnd w:id="145"/>
    </w:p>
    <w:p>
      <w:pPr>
        <w:jc w:val="center"/>
        <w:rPr>
          <w:rFonts w:asciiTheme="minorEastAsia" w:hAnsiTheme="minorEastAsia" w:eastAsiaTheme="minorEastAsia"/>
          <w:b/>
          <w:sz w:val="24"/>
          <w:szCs w:val="24"/>
          <w:highlight w:val="none"/>
        </w:rPr>
      </w:pPr>
    </w:p>
    <w:p>
      <w:pPr>
        <w:jc w:val="center"/>
        <w:rPr>
          <w:rFonts w:ascii="宋体" w:hAnsi="宋体"/>
          <w:b/>
          <w:sz w:val="24"/>
          <w:szCs w:val="24"/>
          <w:highlight w:val="none"/>
        </w:rPr>
      </w:pPr>
      <w:r>
        <w:rPr>
          <w:rFonts w:hint="eastAsia" w:ascii="宋体" w:hAnsi="宋体"/>
          <w:b/>
          <w:sz w:val="24"/>
          <w:szCs w:val="24"/>
          <w:highlight w:val="none"/>
        </w:rPr>
        <w:t>1.1投标人自20</w:t>
      </w:r>
      <w:r>
        <w:rPr>
          <w:rFonts w:hint="eastAsia" w:ascii="宋体" w:hAnsi="宋体"/>
          <w:b/>
          <w:sz w:val="24"/>
          <w:szCs w:val="24"/>
          <w:highlight w:val="none"/>
          <w:lang w:val="en-US" w:eastAsia="zh-CN"/>
        </w:rPr>
        <w:t>21</w:t>
      </w:r>
      <w:r>
        <w:rPr>
          <w:rFonts w:hint="eastAsia" w:ascii="宋体" w:hAnsi="宋体"/>
          <w:b/>
          <w:sz w:val="24"/>
          <w:szCs w:val="24"/>
          <w:highlight w:val="none"/>
        </w:rPr>
        <w:t>年1月1日以来类似项目业绩（独家或首席承保的）汇总表</w:t>
      </w:r>
    </w:p>
    <w:tbl>
      <w:tblPr>
        <w:tblStyle w:val="3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2268"/>
        <w:gridCol w:w="2268"/>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1242" w:type="dxa"/>
            <w:vAlign w:val="center"/>
          </w:tcPr>
          <w:p>
            <w:pPr>
              <w:pStyle w:val="122"/>
              <w:jc w:val="center"/>
              <w:rPr>
                <w:bCs w:val="0"/>
                <w:sz w:val="24"/>
                <w:szCs w:val="24"/>
                <w:highlight w:val="none"/>
                <w:lang w:val="en-US"/>
              </w:rPr>
            </w:pPr>
            <w:r>
              <w:rPr>
                <w:rFonts w:hint="eastAsia"/>
                <w:bCs w:val="0"/>
                <w:sz w:val="24"/>
                <w:szCs w:val="24"/>
                <w:highlight w:val="none"/>
                <w:lang w:val="en-US"/>
              </w:rPr>
              <w:t>项目序号</w:t>
            </w:r>
          </w:p>
        </w:tc>
        <w:tc>
          <w:tcPr>
            <w:tcW w:w="2268" w:type="dxa"/>
            <w:vAlign w:val="center"/>
          </w:tcPr>
          <w:p>
            <w:pPr>
              <w:pStyle w:val="122"/>
              <w:jc w:val="center"/>
              <w:rPr>
                <w:bCs w:val="0"/>
                <w:sz w:val="24"/>
                <w:szCs w:val="24"/>
                <w:highlight w:val="none"/>
                <w:lang w:val="en-US"/>
              </w:rPr>
            </w:pPr>
            <w:r>
              <w:rPr>
                <w:rFonts w:hint="eastAsia"/>
                <w:bCs w:val="0"/>
                <w:sz w:val="24"/>
                <w:szCs w:val="24"/>
                <w:highlight w:val="none"/>
                <w:lang w:val="en-US"/>
              </w:rPr>
              <w:t>项目名称</w:t>
            </w:r>
          </w:p>
        </w:tc>
        <w:tc>
          <w:tcPr>
            <w:tcW w:w="2268" w:type="dxa"/>
            <w:vAlign w:val="center"/>
          </w:tcPr>
          <w:p>
            <w:pPr>
              <w:pStyle w:val="122"/>
              <w:jc w:val="center"/>
              <w:rPr>
                <w:bCs w:val="0"/>
                <w:sz w:val="24"/>
                <w:szCs w:val="24"/>
                <w:highlight w:val="none"/>
                <w:lang w:val="en-US"/>
              </w:rPr>
            </w:pPr>
            <w:r>
              <w:rPr>
                <w:rFonts w:hint="eastAsia"/>
                <w:bCs w:val="0"/>
                <w:sz w:val="24"/>
                <w:szCs w:val="24"/>
                <w:highlight w:val="none"/>
                <w:lang w:val="en-US"/>
              </w:rPr>
              <w:t>发包人名称</w:t>
            </w:r>
          </w:p>
        </w:tc>
        <w:tc>
          <w:tcPr>
            <w:tcW w:w="2977" w:type="dxa"/>
            <w:vAlign w:val="center"/>
          </w:tcPr>
          <w:p>
            <w:pPr>
              <w:pStyle w:val="122"/>
              <w:jc w:val="center"/>
              <w:rPr>
                <w:bCs w:val="0"/>
                <w:sz w:val="24"/>
                <w:szCs w:val="24"/>
                <w:highlight w:val="none"/>
                <w:lang w:val="en-US"/>
              </w:rPr>
            </w:pPr>
            <w:r>
              <w:rPr>
                <w:rFonts w:hint="eastAsia"/>
                <w:bCs w:val="0"/>
                <w:sz w:val="24"/>
                <w:szCs w:val="24"/>
                <w:highlight w:val="none"/>
                <w:lang w:val="en-US"/>
              </w:rPr>
              <w:t>合同签订时间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trPr>
        <w:tc>
          <w:tcPr>
            <w:tcW w:w="1242" w:type="dxa"/>
            <w:vAlign w:val="center"/>
          </w:tcPr>
          <w:p>
            <w:pPr>
              <w:pStyle w:val="122"/>
              <w:jc w:val="center"/>
              <w:rPr>
                <w:bCs w:val="0"/>
                <w:sz w:val="24"/>
                <w:szCs w:val="24"/>
                <w:highlight w:val="none"/>
                <w:lang w:val="en-US"/>
              </w:rPr>
            </w:pPr>
          </w:p>
        </w:tc>
        <w:tc>
          <w:tcPr>
            <w:tcW w:w="2268" w:type="dxa"/>
            <w:vAlign w:val="center"/>
          </w:tcPr>
          <w:p>
            <w:pPr>
              <w:pStyle w:val="122"/>
              <w:jc w:val="center"/>
              <w:rPr>
                <w:bCs w:val="0"/>
                <w:sz w:val="24"/>
                <w:szCs w:val="24"/>
                <w:highlight w:val="none"/>
                <w:lang w:val="en-US"/>
              </w:rPr>
            </w:pPr>
          </w:p>
        </w:tc>
        <w:tc>
          <w:tcPr>
            <w:tcW w:w="2268" w:type="dxa"/>
            <w:vAlign w:val="center"/>
          </w:tcPr>
          <w:p>
            <w:pPr>
              <w:pStyle w:val="122"/>
              <w:jc w:val="center"/>
              <w:rPr>
                <w:bCs w:val="0"/>
                <w:sz w:val="24"/>
                <w:szCs w:val="24"/>
                <w:highlight w:val="none"/>
                <w:lang w:val="en-US"/>
              </w:rPr>
            </w:pPr>
          </w:p>
        </w:tc>
        <w:tc>
          <w:tcPr>
            <w:tcW w:w="2977" w:type="dxa"/>
            <w:vAlign w:val="center"/>
          </w:tcPr>
          <w:p>
            <w:pPr>
              <w:pStyle w:val="122"/>
              <w:jc w:val="center"/>
              <w:rPr>
                <w:bCs w:val="0"/>
                <w:sz w:val="24"/>
                <w:szCs w:val="24"/>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trPr>
        <w:tc>
          <w:tcPr>
            <w:tcW w:w="1242" w:type="dxa"/>
            <w:vAlign w:val="center"/>
          </w:tcPr>
          <w:p>
            <w:pPr>
              <w:pStyle w:val="122"/>
              <w:jc w:val="center"/>
              <w:rPr>
                <w:bCs w:val="0"/>
                <w:sz w:val="24"/>
                <w:szCs w:val="24"/>
                <w:highlight w:val="none"/>
                <w:lang w:val="en-US"/>
              </w:rPr>
            </w:pPr>
          </w:p>
        </w:tc>
        <w:tc>
          <w:tcPr>
            <w:tcW w:w="2268" w:type="dxa"/>
            <w:vAlign w:val="center"/>
          </w:tcPr>
          <w:p>
            <w:pPr>
              <w:pStyle w:val="122"/>
              <w:jc w:val="center"/>
              <w:rPr>
                <w:bCs w:val="0"/>
                <w:sz w:val="24"/>
                <w:szCs w:val="24"/>
                <w:highlight w:val="none"/>
                <w:lang w:val="en-US"/>
              </w:rPr>
            </w:pPr>
          </w:p>
        </w:tc>
        <w:tc>
          <w:tcPr>
            <w:tcW w:w="2268" w:type="dxa"/>
            <w:vAlign w:val="center"/>
          </w:tcPr>
          <w:p>
            <w:pPr>
              <w:pStyle w:val="122"/>
              <w:jc w:val="center"/>
              <w:rPr>
                <w:bCs w:val="0"/>
                <w:sz w:val="24"/>
                <w:szCs w:val="24"/>
                <w:highlight w:val="none"/>
                <w:lang w:val="en-US"/>
              </w:rPr>
            </w:pPr>
          </w:p>
        </w:tc>
        <w:tc>
          <w:tcPr>
            <w:tcW w:w="2977" w:type="dxa"/>
            <w:vAlign w:val="center"/>
          </w:tcPr>
          <w:p>
            <w:pPr>
              <w:pStyle w:val="122"/>
              <w:jc w:val="center"/>
              <w:rPr>
                <w:bCs w:val="0"/>
                <w:sz w:val="24"/>
                <w:szCs w:val="24"/>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trPr>
        <w:tc>
          <w:tcPr>
            <w:tcW w:w="1242" w:type="dxa"/>
            <w:vAlign w:val="center"/>
          </w:tcPr>
          <w:p>
            <w:pPr>
              <w:pStyle w:val="122"/>
              <w:jc w:val="center"/>
              <w:rPr>
                <w:bCs w:val="0"/>
                <w:sz w:val="24"/>
                <w:szCs w:val="24"/>
                <w:highlight w:val="none"/>
                <w:lang w:val="en-US"/>
              </w:rPr>
            </w:pPr>
          </w:p>
        </w:tc>
        <w:tc>
          <w:tcPr>
            <w:tcW w:w="2268" w:type="dxa"/>
            <w:vAlign w:val="center"/>
          </w:tcPr>
          <w:p>
            <w:pPr>
              <w:pStyle w:val="122"/>
              <w:jc w:val="center"/>
              <w:rPr>
                <w:bCs w:val="0"/>
                <w:sz w:val="24"/>
                <w:szCs w:val="24"/>
                <w:highlight w:val="none"/>
                <w:lang w:val="en-US"/>
              </w:rPr>
            </w:pPr>
          </w:p>
        </w:tc>
        <w:tc>
          <w:tcPr>
            <w:tcW w:w="2268" w:type="dxa"/>
            <w:vAlign w:val="center"/>
          </w:tcPr>
          <w:p>
            <w:pPr>
              <w:pStyle w:val="122"/>
              <w:jc w:val="center"/>
              <w:rPr>
                <w:bCs w:val="0"/>
                <w:sz w:val="24"/>
                <w:szCs w:val="24"/>
                <w:highlight w:val="none"/>
                <w:lang w:val="en-US"/>
              </w:rPr>
            </w:pPr>
          </w:p>
        </w:tc>
        <w:tc>
          <w:tcPr>
            <w:tcW w:w="2977" w:type="dxa"/>
            <w:vAlign w:val="center"/>
          </w:tcPr>
          <w:p>
            <w:pPr>
              <w:pStyle w:val="122"/>
              <w:jc w:val="center"/>
              <w:rPr>
                <w:bCs w:val="0"/>
                <w:sz w:val="24"/>
                <w:szCs w:val="24"/>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trPr>
        <w:tc>
          <w:tcPr>
            <w:tcW w:w="1242" w:type="dxa"/>
            <w:vAlign w:val="center"/>
          </w:tcPr>
          <w:p>
            <w:pPr>
              <w:pStyle w:val="122"/>
              <w:jc w:val="center"/>
              <w:rPr>
                <w:bCs w:val="0"/>
                <w:sz w:val="24"/>
                <w:szCs w:val="24"/>
                <w:highlight w:val="none"/>
                <w:lang w:val="en-US"/>
              </w:rPr>
            </w:pPr>
          </w:p>
        </w:tc>
        <w:tc>
          <w:tcPr>
            <w:tcW w:w="2268" w:type="dxa"/>
            <w:vAlign w:val="center"/>
          </w:tcPr>
          <w:p>
            <w:pPr>
              <w:pStyle w:val="122"/>
              <w:jc w:val="center"/>
              <w:rPr>
                <w:bCs w:val="0"/>
                <w:sz w:val="24"/>
                <w:szCs w:val="24"/>
                <w:highlight w:val="none"/>
                <w:lang w:val="en-US"/>
              </w:rPr>
            </w:pPr>
          </w:p>
        </w:tc>
        <w:tc>
          <w:tcPr>
            <w:tcW w:w="2268" w:type="dxa"/>
            <w:vAlign w:val="center"/>
          </w:tcPr>
          <w:p>
            <w:pPr>
              <w:pStyle w:val="122"/>
              <w:jc w:val="center"/>
              <w:rPr>
                <w:bCs w:val="0"/>
                <w:sz w:val="24"/>
                <w:szCs w:val="24"/>
                <w:highlight w:val="none"/>
                <w:lang w:val="en-US"/>
              </w:rPr>
            </w:pPr>
          </w:p>
        </w:tc>
        <w:tc>
          <w:tcPr>
            <w:tcW w:w="2977" w:type="dxa"/>
            <w:vAlign w:val="center"/>
          </w:tcPr>
          <w:p>
            <w:pPr>
              <w:pStyle w:val="122"/>
              <w:jc w:val="center"/>
              <w:rPr>
                <w:bCs w:val="0"/>
                <w:sz w:val="24"/>
                <w:szCs w:val="24"/>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trPr>
        <w:tc>
          <w:tcPr>
            <w:tcW w:w="1242" w:type="dxa"/>
            <w:vAlign w:val="center"/>
          </w:tcPr>
          <w:p>
            <w:pPr>
              <w:pStyle w:val="122"/>
              <w:jc w:val="center"/>
              <w:rPr>
                <w:bCs w:val="0"/>
                <w:sz w:val="24"/>
                <w:szCs w:val="24"/>
                <w:highlight w:val="none"/>
                <w:lang w:val="en-US"/>
              </w:rPr>
            </w:pPr>
          </w:p>
        </w:tc>
        <w:tc>
          <w:tcPr>
            <w:tcW w:w="2268" w:type="dxa"/>
            <w:vAlign w:val="center"/>
          </w:tcPr>
          <w:p>
            <w:pPr>
              <w:pStyle w:val="122"/>
              <w:jc w:val="center"/>
              <w:rPr>
                <w:bCs w:val="0"/>
                <w:sz w:val="24"/>
                <w:szCs w:val="24"/>
                <w:highlight w:val="none"/>
                <w:lang w:val="en-US"/>
              </w:rPr>
            </w:pPr>
          </w:p>
        </w:tc>
        <w:tc>
          <w:tcPr>
            <w:tcW w:w="2268" w:type="dxa"/>
            <w:vAlign w:val="center"/>
          </w:tcPr>
          <w:p>
            <w:pPr>
              <w:pStyle w:val="122"/>
              <w:jc w:val="center"/>
              <w:rPr>
                <w:bCs w:val="0"/>
                <w:sz w:val="24"/>
                <w:szCs w:val="24"/>
                <w:highlight w:val="none"/>
                <w:lang w:val="en-US"/>
              </w:rPr>
            </w:pPr>
          </w:p>
        </w:tc>
        <w:tc>
          <w:tcPr>
            <w:tcW w:w="2977" w:type="dxa"/>
            <w:vAlign w:val="center"/>
          </w:tcPr>
          <w:p>
            <w:pPr>
              <w:pStyle w:val="122"/>
              <w:jc w:val="center"/>
              <w:rPr>
                <w:bCs w:val="0"/>
                <w:sz w:val="24"/>
                <w:szCs w:val="24"/>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trPr>
        <w:tc>
          <w:tcPr>
            <w:tcW w:w="1242" w:type="dxa"/>
            <w:vAlign w:val="center"/>
          </w:tcPr>
          <w:p>
            <w:pPr>
              <w:pStyle w:val="122"/>
              <w:jc w:val="center"/>
              <w:rPr>
                <w:bCs w:val="0"/>
                <w:sz w:val="24"/>
                <w:szCs w:val="24"/>
                <w:highlight w:val="none"/>
                <w:lang w:val="en-US"/>
              </w:rPr>
            </w:pPr>
          </w:p>
        </w:tc>
        <w:tc>
          <w:tcPr>
            <w:tcW w:w="2268" w:type="dxa"/>
            <w:vAlign w:val="center"/>
          </w:tcPr>
          <w:p>
            <w:pPr>
              <w:pStyle w:val="122"/>
              <w:jc w:val="center"/>
              <w:rPr>
                <w:bCs w:val="0"/>
                <w:sz w:val="24"/>
                <w:szCs w:val="24"/>
                <w:highlight w:val="none"/>
                <w:lang w:val="en-US"/>
              </w:rPr>
            </w:pPr>
          </w:p>
        </w:tc>
        <w:tc>
          <w:tcPr>
            <w:tcW w:w="2268" w:type="dxa"/>
            <w:vAlign w:val="center"/>
          </w:tcPr>
          <w:p>
            <w:pPr>
              <w:pStyle w:val="122"/>
              <w:jc w:val="center"/>
              <w:rPr>
                <w:bCs w:val="0"/>
                <w:sz w:val="24"/>
                <w:szCs w:val="24"/>
                <w:highlight w:val="none"/>
                <w:lang w:val="en-US"/>
              </w:rPr>
            </w:pPr>
          </w:p>
        </w:tc>
        <w:tc>
          <w:tcPr>
            <w:tcW w:w="2977" w:type="dxa"/>
            <w:vAlign w:val="center"/>
          </w:tcPr>
          <w:p>
            <w:pPr>
              <w:pStyle w:val="122"/>
              <w:jc w:val="center"/>
              <w:rPr>
                <w:bCs w:val="0"/>
                <w:sz w:val="24"/>
                <w:szCs w:val="24"/>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trPr>
        <w:tc>
          <w:tcPr>
            <w:tcW w:w="1242" w:type="dxa"/>
            <w:vAlign w:val="center"/>
          </w:tcPr>
          <w:p>
            <w:pPr>
              <w:pStyle w:val="122"/>
              <w:jc w:val="center"/>
              <w:rPr>
                <w:bCs w:val="0"/>
                <w:sz w:val="24"/>
                <w:szCs w:val="24"/>
                <w:highlight w:val="none"/>
                <w:lang w:val="en-US"/>
              </w:rPr>
            </w:pPr>
          </w:p>
        </w:tc>
        <w:tc>
          <w:tcPr>
            <w:tcW w:w="2268" w:type="dxa"/>
            <w:vAlign w:val="center"/>
          </w:tcPr>
          <w:p>
            <w:pPr>
              <w:pStyle w:val="122"/>
              <w:jc w:val="center"/>
              <w:rPr>
                <w:bCs w:val="0"/>
                <w:sz w:val="24"/>
                <w:szCs w:val="24"/>
                <w:highlight w:val="none"/>
                <w:lang w:val="en-US"/>
              </w:rPr>
            </w:pPr>
          </w:p>
        </w:tc>
        <w:tc>
          <w:tcPr>
            <w:tcW w:w="2268" w:type="dxa"/>
            <w:vAlign w:val="center"/>
          </w:tcPr>
          <w:p>
            <w:pPr>
              <w:pStyle w:val="122"/>
              <w:jc w:val="center"/>
              <w:rPr>
                <w:bCs w:val="0"/>
                <w:sz w:val="24"/>
                <w:szCs w:val="24"/>
                <w:highlight w:val="none"/>
                <w:lang w:val="en-US"/>
              </w:rPr>
            </w:pPr>
          </w:p>
        </w:tc>
        <w:tc>
          <w:tcPr>
            <w:tcW w:w="2977" w:type="dxa"/>
            <w:vAlign w:val="center"/>
          </w:tcPr>
          <w:p>
            <w:pPr>
              <w:pStyle w:val="122"/>
              <w:jc w:val="center"/>
              <w:rPr>
                <w:bCs w:val="0"/>
                <w:sz w:val="24"/>
                <w:szCs w:val="24"/>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1242" w:type="dxa"/>
            <w:vAlign w:val="center"/>
          </w:tcPr>
          <w:p>
            <w:pPr>
              <w:pStyle w:val="122"/>
              <w:jc w:val="center"/>
              <w:rPr>
                <w:bCs w:val="0"/>
                <w:sz w:val="24"/>
                <w:szCs w:val="24"/>
                <w:highlight w:val="none"/>
                <w:lang w:val="en-US"/>
              </w:rPr>
            </w:pPr>
          </w:p>
        </w:tc>
        <w:tc>
          <w:tcPr>
            <w:tcW w:w="2268" w:type="dxa"/>
            <w:vAlign w:val="center"/>
          </w:tcPr>
          <w:p>
            <w:pPr>
              <w:pStyle w:val="122"/>
              <w:jc w:val="center"/>
              <w:rPr>
                <w:bCs w:val="0"/>
                <w:sz w:val="24"/>
                <w:szCs w:val="24"/>
                <w:highlight w:val="none"/>
                <w:lang w:val="en-US"/>
              </w:rPr>
            </w:pPr>
          </w:p>
        </w:tc>
        <w:tc>
          <w:tcPr>
            <w:tcW w:w="2268" w:type="dxa"/>
            <w:vAlign w:val="center"/>
          </w:tcPr>
          <w:p>
            <w:pPr>
              <w:pStyle w:val="122"/>
              <w:jc w:val="center"/>
              <w:rPr>
                <w:bCs w:val="0"/>
                <w:sz w:val="24"/>
                <w:szCs w:val="24"/>
                <w:highlight w:val="none"/>
                <w:lang w:val="en-US"/>
              </w:rPr>
            </w:pPr>
          </w:p>
        </w:tc>
        <w:tc>
          <w:tcPr>
            <w:tcW w:w="2977" w:type="dxa"/>
            <w:vAlign w:val="center"/>
          </w:tcPr>
          <w:p>
            <w:pPr>
              <w:pStyle w:val="122"/>
              <w:jc w:val="center"/>
              <w:rPr>
                <w:bCs w:val="0"/>
                <w:sz w:val="24"/>
                <w:szCs w:val="24"/>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trPr>
        <w:tc>
          <w:tcPr>
            <w:tcW w:w="1242" w:type="dxa"/>
            <w:vAlign w:val="center"/>
          </w:tcPr>
          <w:p>
            <w:pPr>
              <w:pStyle w:val="122"/>
              <w:jc w:val="center"/>
              <w:rPr>
                <w:bCs w:val="0"/>
                <w:sz w:val="24"/>
                <w:szCs w:val="24"/>
                <w:highlight w:val="none"/>
                <w:lang w:val="en-US"/>
              </w:rPr>
            </w:pPr>
          </w:p>
        </w:tc>
        <w:tc>
          <w:tcPr>
            <w:tcW w:w="2268" w:type="dxa"/>
            <w:vAlign w:val="center"/>
          </w:tcPr>
          <w:p>
            <w:pPr>
              <w:pStyle w:val="122"/>
              <w:jc w:val="center"/>
              <w:rPr>
                <w:bCs w:val="0"/>
                <w:sz w:val="24"/>
                <w:szCs w:val="24"/>
                <w:highlight w:val="none"/>
                <w:lang w:val="en-US"/>
              </w:rPr>
            </w:pPr>
          </w:p>
        </w:tc>
        <w:tc>
          <w:tcPr>
            <w:tcW w:w="2268" w:type="dxa"/>
            <w:vAlign w:val="center"/>
          </w:tcPr>
          <w:p>
            <w:pPr>
              <w:pStyle w:val="122"/>
              <w:jc w:val="center"/>
              <w:rPr>
                <w:bCs w:val="0"/>
                <w:sz w:val="24"/>
                <w:szCs w:val="24"/>
                <w:highlight w:val="none"/>
                <w:lang w:val="en-US"/>
              </w:rPr>
            </w:pPr>
          </w:p>
        </w:tc>
        <w:tc>
          <w:tcPr>
            <w:tcW w:w="2977" w:type="dxa"/>
            <w:vAlign w:val="center"/>
          </w:tcPr>
          <w:p>
            <w:pPr>
              <w:pStyle w:val="122"/>
              <w:jc w:val="center"/>
              <w:rPr>
                <w:bCs w:val="0"/>
                <w:sz w:val="24"/>
                <w:szCs w:val="24"/>
                <w:highlight w:val="none"/>
                <w:lang w:val="en-US"/>
              </w:rPr>
            </w:pPr>
          </w:p>
        </w:tc>
      </w:tr>
    </w:tbl>
    <w:p>
      <w:pPr>
        <w:spacing w:line="380" w:lineRule="exact"/>
        <w:rPr>
          <w:rFonts w:ascii="宋体" w:hAnsi="宋体"/>
          <w:sz w:val="22"/>
          <w:szCs w:val="22"/>
          <w:highlight w:val="none"/>
        </w:rPr>
      </w:pPr>
      <w:r>
        <w:rPr>
          <w:rFonts w:hint="eastAsia" w:ascii="宋体" w:hAnsi="宋体"/>
          <w:sz w:val="22"/>
          <w:szCs w:val="22"/>
          <w:highlight w:val="none"/>
        </w:rPr>
        <w:t>投标人（公章）：</w:t>
      </w:r>
    </w:p>
    <w:p>
      <w:pPr>
        <w:spacing w:line="380" w:lineRule="exact"/>
        <w:rPr>
          <w:rFonts w:ascii="宋体" w:hAnsi="宋体"/>
          <w:sz w:val="22"/>
          <w:szCs w:val="22"/>
          <w:highlight w:val="none"/>
          <w:u w:val="single"/>
        </w:rPr>
      </w:pPr>
      <w:r>
        <w:rPr>
          <w:rFonts w:hint="eastAsia" w:ascii="宋体" w:hAnsi="宋体"/>
          <w:sz w:val="22"/>
          <w:szCs w:val="22"/>
          <w:highlight w:val="none"/>
        </w:rPr>
        <w:t>投标人代表（签字或印章）：</w:t>
      </w:r>
    </w:p>
    <w:p>
      <w:pPr>
        <w:spacing w:line="380" w:lineRule="exact"/>
        <w:rPr>
          <w:rFonts w:ascii="宋体" w:hAnsi="宋体"/>
          <w:sz w:val="22"/>
          <w:szCs w:val="22"/>
          <w:highlight w:val="none"/>
          <w:u w:val="single"/>
        </w:rPr>
      </w:pPr>
      <w:r>
        <w:rPr>
          <w:rFonts w:hint="eastAsia" w:ascii="宋体"/>
          <w:sz w:val="22"/>
          <w:szCs w:val="22"/>
          <w:highlight w:val="none"/>
        </w:rPr>
        <w:t>日期：</w:t>
      </w:r>
    </w:p>
    <w:p>
      <w:pPr>
        <w:spacing w:line="380" w:lineRule="exact"/>
        <w:rPr>
          <w:rFonts w:ascii="宋体" w:hAnsi="宋体"/>
          <w:sz w:val="22"/>
          <w:szCs w:val="22"/>
          <w:highlight w:val="none"/>
        </w:rPr>
      </w:pPr>
      <w:r>
        <w:rPr>
          <w:rFonts w:ascii="宋体" w:hAnsi="宋体"/>
          <w:b/>
          <w:sz w:val="24"/>
          <w:szCs w:val="24"/>
          <w:highlight w:val="none"/>
        </w:rPr>
        <w:br w:type="page"/>
      </w:r>
    </w:p>
    <w:p>
      <w:pPr>
        <w:widowControl/>
        <w:jc w:val="center"/>
        <w:rPr>
          <w:rFonts w:ascii="宋体" w:hAnsi="宋体"/>
          <w:b/>
          <w:sz w:val="24"/>
          <w:szCs w:val="24"/>
          <w:highlight w:val="none"/>
        </w:rPr>
        <w:sectPr>
          <w:pgSz w:w="11907" w:h="16840"/>
          <w:pgMar w:top="1304" w:right="1588" w:bottom="1560" w:left="1588" w:header="720" w:footer="720" w:gutter="0"/>
          <w:cols w:space="720" w:num="1"/>
          <w:docGrid w:linePitch="285" w:charSpace="0"/>
        </w:sectPr>
      </w:pPr>
    </w:p>
    <w:p>
      <w:pPr>
        <w:spacing w:afterLines="50"/>
        <w:jc w:val="center"/>
        <w:rPr>
          <w:rFonts w:ascii="宋体" w:hAnsi="宋体"/>
          <w:b/>
          <w:sz w:val="24"/>
          <w:szCs w:val="24"/>
          <w:highlight w:val="none"/>
        </w:rPr>
      </w:pPr>
      <w:r>
        <w:rPr>
          <w:rFonts w:hint="eastAsia" w:ascii="宋体" w:hAnsi="宋体"/>
          <w:b/>
          <w:sz w:val="24"/>
          <w:szCs w:val="24"/>
          <w:highlight w:val="none"/>
        </w:rPr>
        <w:t>1.2投标人自20</w:t>
      </w:r>
      <w:r>
        <w:rPr>
          <w:rFonts w:hint="eastAsia" w:ascii="宋体" w:hAnsi="宋体"/>
          <w:b/>
          <w:sz w:val="24"/>
          <w:szCs w:val="24"/>
          <w:highlight w:val="none"/>
          <w:lang w:val="en-US" w:eastAsia="zh-CN"/>
        </w:rPr>
        <w:t>21</w:t>
      </w:r>
      <w:r>
        <w:rPr>
          <w:rFonts w:hint="eastAsia" w:ascii="宋体" w:hAnsi="宋体"/>
          <w:b/>
          <w:sz w:val="24"/>
          <w:szCs w:val="24"/>
          <w:highlight w:val="none"/>
        </w:rPr>
        <w:t>年1月1日以来项目详细情况表</w:t>
      </w:r>
    </w:p>
    <w:p>
      <w:pPr>
        <w:pStyle w:val="124"/>
        <w:spacing w:line="240" w:lineRule="atLeast"/>
        <w:jc w:val="center"/>
        <w:rPr>
          <w:sz w:val="24"/>
          <w:szCs w:val="24"/>
          <w:highlight w:val="none"/>
        </w:rPr>
      </w:pPr>
    </w:p>
    <w:p>
      <w:pPr>
        <w:spacing w:afterLines="50"/>
        <w:jc w:val="left"/>
        <w:rPr>
          <w:rFonts w:ascii="宋体"/>
          <w:b/>
          <w:sz w:val="24"/>
          <w:szCs w:val="24"/>
          <w:highlight w:val="none"/>
        </w:rPr>
      </w:pPr>
      <w:r>
        <w:rPr>
          <w:rFonts w:hint="eastAsia" w:ascii="宋体" w:hAnsi="宋体"/>
          <w:b/>
          <w:sz w:val="24"/>
          <w:szCs w:val="24"/>
          <w:highlight w:val="none"/>
        </w:rPr>
        <w:t>项目序号：</w:t>
      </w:r>
    </w:p>
    <w:tbl>
      <w:tblPr>
        <w:tblStyle w:val="34"/>
        <w:tblW w:w="87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13"/>
        <w:gridCol w:w="6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2713" w:type="dxa"/>
            <w:vAlign w:val="center"/>
          </w:tcPr>
          <w:p>
            <w:pPr>
              <w:pStyle w:val="122"/>
              <w:spacing w:line="360" w:lineRule="auto"/>
              <w:rPr>
                <w:bCs w:val="0"/>
                <w:sz w:val="24"/>
                <w:szCs w:val="24"/>
                <w:highlight w:val="none"/>
                <w:lang w:val="en-US"/>
              </w:rPr>
            </w:pPr>
            <w:r>
              <w:rPr>
                <w:rFonts w:hint="eastAsia"/>
                <w:bCs w:val="0"/>
                <w:sz w:val="24"/>
                <w:szCs w:val="24"/>
                <w:highlight w:val="none"/>
                <w:lang w:val="en-US"/>
              </w:rPr>
              <w:t>项目名称</w:t>
            </w:r>
          </w:p>
        </w:tc>
        <w:tc>
          <w:tcPr>
            <w:tcW w:w="6086" w:type="dxa"/>
          </w:tcPr>
          <w:p>
            <w:pPr>
              <w:pStyle w:val="122"/>
              <w:spacing w:line="360" w:lineRule="auto"/>
              <w:rPr>
                <w:bCs w:val="0"/>
                <w:sz w:val="24"/>
                <w:szCs w:val="24"/>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2713" w:type="dxa"/>
            <w:vAlign w:val="center"/>
          </w:tcPr>
          <w:p>
            <w:pPr>
              <w:pStyle w:val="122"/>
              <w:spacing w:line="360" w:lineRule="auto"/>
              <w:rPr>
                <w:bCs w:val="0"/>
                <w:sz w:val="24"/>
                <w:szCs w:val="24"/>
                <w:highlight w:val="none"/>
                <w:lang w:val="en-US"/>
              </w:rPr>
            </w:pPr>
            <w:r>
              <w:rPr>
                <w:rFonts w:hint="eastAsia"/>
                <w:bCs w:val="0"/>
                <w:sz w:val="24"/>
                <w:szCs w:val="24"/>
                <w:highlight w:val="none"/>
                <w:lang w:val="en-US"/>
              </w:rPr>
              <w:t>项目所在地</w:t>
            </w:r>
          </w:p>
        </w:tc>
        <w:tc>
          <w:tcPr>
            <w:tcW w:w="6086" w:type="dxa"/>
          </w:tcPr>
          <w:p>
            <w:pPr>
              <w:pStyle w:val="122"/>
              <w:spacing w:line="360" w:lineRule="auto"/>
              <w:rPr>
                <w:bCs w:val="0"/>
                <w:sz w:val="24"/>
                <w:szCs w:val="24"/>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2713" w:type="dxa"/>
            <w:vAlign w:val="center"/>
          </w:tcPr>
          <w:p>
            <w:pPr>
              <w:pStyle w:val="122"/>
              <w:spacing w:line="360" w:lineRule="auto"/>
              <w:rPr>
                <w:bCs w:val="0"/>
                <w:sz w:val="24"/>
                <w:szCs w:val="24"/>
                <w:highlight w:val="none"/>
                <w:lang w:val="en-US"/>
              </w:rPr>
            </w:pPr>
            <w:r>
              <w:rPr>
                <w:rFonts w:hint="eastAsia"/>
                <w:bCs w:val="0"/>
                <w:sz w:val="24"/>
                <w:szCs w:val="24"/>
                <w:highlight w:val="none"/>
                <w:lang w:val="en-US"/>
              </w:rPr>
              <w:t>发包人名称</w:t>
            </w:r>
          </w:p>
        </w:tc>
        <w:tc>
          <w:tcPr>
            <w:tcW w:w="6086" w:type="dxa"/>
          </w:tcPr>
          <w:p>
            <w:pPr>
              <w:pStyle w:val="122"/>
              <w:spacing w:line="360" w:lineRule="auto"/>
              <w:rPr>
                <w:bCs w:val="0"/>
                <w:sz w:val="24"/>
                <w:szCs w:val="24"/>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2713" w:type="dxa"/>
            <w:vAlign w:val="center"/>
          </w:tcPr>
          <w:p>
            <w:pPr>
              <w:pStyle w:val="122"/>
              <w:spacing w:line="360" w:lineRule="auto"/>
              <w:rPr>
                <w:bCs w:val="0"/>
                <w:sz w:val="24"/>
                <w:szCs w:val="24"/>
                <w:highlight w:val="none"/>
                <w:lang w:val="en-US"/>
              </w:rPr>
            </w:pPr>
            <w:r>
              <w:rPr>
                <w:rFonts w:hint="eastAsia"/>
                <w:bCs w:val="0"/>
                <w:sz w:val="24"/>
                <w:szCs w:val="24"/>
                <w:highlight w:val="none"/>
                <w:lang w:val="en-US"/>
              </w:rPr>
              <w:t>发包人地址</w:t>
            </w:r>
          </w:p>
        </w:tc>
        <w:tc>
          <w:tcPr>
            <w:tcW w:w="6086" w:type="dxa"/>
          </w:tcPr>
          <w:p>
            <w:pPr>
              <w:pStyle w:val="122"/>
              <w:spacing w:line="360" w:lineRule="auto"/>
              <w:rPr>
                <w:bCs w:val="0"/>
                <w:sz w:val="24"/>
                <w:szCs w:val="24"/>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2713" w:type="dxa"/>
            <w:vAlign w:val="center"/>
          </w:tcPr>
          <w:p>
            <w:pPr>
              <w:pStyle w:val="122"/>
              <w:spacing w:line="360" w:lineRule="auto"/>
              <w:rPr>
                <w:bCs w:val="0"/>
                <w:sz w:val="24"/>
                <w:szCs w:val="24"/>
                <w:highlight w:val="none"/>
                <w:lang w:val="en-US"/>
              </w:rPr>
            </w:pPr>
            <w:r>
              <w:rPr>
                <w:rFonts w:hint="eastAsia"/>
                <w:bCs w:val="0"/>
                <w:sz w:val="24"/>
                <w:szCs w:val="24"/>
                <w:highlight w:val="none"/>
                <w:lang w:val="en-US"/>
              </w:rPr>
              <w:t>发包人电话</w:t>
            </w:r>
          </w:p>
        </w:tc>
        <w:tc>
          <w:tcPr>
            <w:tcW w:w="6086" w:type="dxa"/>
          </w:tcPr>
          <w:p>
            <w:pPr>
              <w:pStyle w:val="122"/>
              <w:spacing w:line="360" w:lineRule="auto"/>
              <w:rPr>
                <w:bCs w:val="0"/>
                <w:sz w:val="24"/>
                <w:szCs w:val="24"/>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2713" w:type="dxa"/>
            <w:vAlign w:val="center"/>
          </w:tcPr>
          <w:p>
            <w:pPr>
              <w:pStyle w:val="122"/>
              <w:spacing w:line="360" w:lineRule="auto"/>
              <w:rPr>
                <w:bCs w:val="0"/>
                <w:sz w:val="24"/>
                <w:szCs w:val="24"/>
                <w:highlight w:val="none"/>
                <w:lang w:val="en-US"/>
              </w:rPr>
            </w:pPr>
            <w:r>
              <w:rPr>
                <w:rFonts w:hint="eastAsia"/>
                <w:bCs w:val="0"/>
                <w:sz w:val="24"/>
                <w:szCs w:val="24"/>
                <w:highlight w:val="none"/>
                <w:lang w:val="en-US"/>
              </w:rPr>
              <w:t>主要服务内容</w:t>
            </w:r>
          </w:p>
        </w:tc>
        <w:tc>
          <w:tcPr>
            <w:tcW w:w="6086" w:type="dxa"/>
          </w:tcPr>
          <w:p>
            <w:pPr>
              <w:pStyle w:val="122"/>
              <w:spacing w:line="360" w:lineRule="auto"/>
              <w:rPr>
                <w:bCs w:val="0"/>
                <w:sz w:val="24"/>
                <w:szCs w:val="24"/>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2713" w:type="dxa"/>
            <w:vAlign w:val="center"/>
          </w:tcPr>
          <w:p>
            <w:pPr>
              <w:pStyle w:val="122"/>
              <w:spacing w:line="360" w:lineRule="auto"/>
              <w:rPr>
                <w:bCs w:val="0"/>
                <w:sz w:val="24"/>
                <w:szCs w:val="24"/>
                <w:highlight w:val="none"/>
                <w:lang w:val="en-US"/>
              </w:rPr>
            </w:pPr>
            <w:r>
              <w:rPr>
                <w:rFonts w:hint="eastAsia"/>
                <w:bCs w:val="0"/>
                <w:sz w:val="24"/>
                <w:szCs w:val="24"/>
                <w:highlight w:val="none"/>
                <w:lang w:val="en-US"/>
              </w:rPr>
              <w:t>项目金额</w:t>
            </w:r>
          </w:p>
        </w:tc>
        <w:tc>
          <w:tcPr>
            <w:tcW w:w="6086" w:type="dxa"/>
          </w:tcPr>
          <w:p>
            <w:pPr>
              <w:pStyle w:val="122"/>
              <w:spacing w:line="360" w:lineRule="auto"/>
              <w:rPr>
                <w:bCs w:val="0"/>
                <w:sz w:val="24"/>
                <w:szCs w:val="24"/>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2713" w:type="dxa"/>
            <w:vAlign w:val="center"/>
          </w:tcPr>
          <w:p>
            <w:pPr>
              <w:pStyle w:val="122"/>
              <w:spacing w:line="360" w:lineRule="auto"/>
              <w:rPr>
                <w:bCs w:val="0"/>
                <w:sz w:val="24"/>
                <w:szCs w:val="24"/>
                <w:highlight w:val="none"/>
                <w:lang w:val="en-US"/>
              </w:rPr>
            </w:pPr>
            <w:r>
              <w:rPr>
                <w:rFonts w:hint="eastAsia"/>
                <w:bCs w:val="0"/>
                <w:sz w:val="24"/>
                <w:szCs w:val="24"/>
                <w:highlight w:val="none"/>
                <w:lang w:val="en-US"/>
              </w:rPr>
              <w:t>项目负责人</w:t>
            </w:r>
          </w:p>
        </w:tc>
        <w:tc>
          <w:tcPr>
            <w:tcW w:w="6086" w:type="dxa"/>
          </w:tcPr>
          <w:p>
            <w:pPr>
              <w:pStyle w:val="122"/>
              <w:spacing w:line="360" w:lineRule="auto"/>
              <w:rPr>
                <w:bCs w:val="0"/>
                <w:sz w:val="24"/>
                <w:szCs w:val="24"/>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2713" w:type="dxa"/>
            <w:vAlign w:val="center"/>
          </w:tcPr>
          <w:p>
            <w:pPr>
              <w:pStyle w:val="122"/>
              <w:spacing w:line="360" w:lineRule="auto"/>
              <w:rPr>
                <w:bCs w:val="0"/>
                <w:sz w:val="24"/>
                <w:szCs w:val="24"/>
                <w:highlight w:val="none"/>
                <w:lang w:val="en-US"/>
              </w:rPr>
            </w:pPr>
            <w:r>
              <w:rPr>
                <w:rFonts w:hint="eastAsia"/>
                <w:bCs w:val="0"/>
                <w:sz w:val="24"/>
                <w:szCs w:val="24"/>
                <w:highlight w:val="none"/>
                <w:lang w:val="en-US"/>
              </w:rPr>
              <w:t>服务开始和完成时间</w:t>
            </w:r>
          </w:p>
        </w:tc>
        <w:tc>
          <w:tcPr>
            <w:tcW w:w="6086" w:type="dxa"/>
          </w:tcPr>
          <w:p>
            <w:pPr>
              <w:pStyle w:val="122"/>
              <w:spacing w:line="360" w:lineRule="auto"/>
              <w:rPr>
                <w:bCs w:val="0"/>
                <w:sz w:val="24"/>
                <w:szCs w:val="24"/>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2713" w:type="dxa"/>
            <w:vAlign w:val="center"/>
          </w:tcPr>
          <w:p>
            <w:pPr>
              <w:pStyle w:val="122"/>
              <w:spacing w:line="360" w:lineRule="auto"/>
              <w:rPr>
                <w:bCs w:val="0"/>
                <w:sz w:val="24"/>
                <w:szCs w:val="24"/>
                <w:highlight w:val="none"/>
                <w:lang w:val="en-US"/>
              </w:rPr>
            </w:pPr>
            <w:r>
              <w:rPr>
                <w:rFonts w:hint="eastAsia"/>
                <w:bCs w:val="0"/>
                <w:sz w:val="24"/>
                <w:szCs w:val="24"/>
                <w:highlight w:val="none"/>
                <w:lang w:val="en-US"/>
              </w:rPr>
              <w:t>服务完成情况</w:t>
            </w:r>
          </w:p>
        </w:tc>
        <w:tc>
          <w:tcPr>
            <w:tcW w:w="6086" w:type="dxa"/>
          </w:tcPr>
          <w:p>
            <w:pPr>
              <w:pStyle w:val="122"/>
              <w:spacing w:line="360" w:lineRule="auto"/>
              <w:rPr>
                <w:bCs w:val="0"/>
                <w:sz w:val="24"/>
                <w:szCs w:val="24"/>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trPr>
        <w:tc>
          <w:tcPr>
            <w:tcW w:w="2713" w:type="dxa"/>
            <w:vAlign w:val="center"/>
          </w:tcPr>
          <w:p>
            <w:pPr>
              <w:pStyle w:val="122"/>
              <w:spacing w:line="360" w:lineRule="auto"/>
              <w:rPr>
                <w:bCs w:val="0"/>
                <w:sz w:val="24"/>
                <w:szCs w:val="24"/>
                <w:highlight w:val="none"/>
                <w:lang w:val="en-US"/>
              </w:rPr>
            </w:pPr>
            <w:r>
              <w:rPr>
                <w:rFonts w:hint="eastAsia"/>
                <w:bCs w:val="0"/>
                <w:sz w:val="24"/>
                <w:szCs w:val="24"/>
                <w:highlight w:val="none"/>
                <w:lang w:val="en-US"/>
              </w:rPr>
              <w:t>备注</w:t>
            </w:r>
          </w:p>
        </w:tc>
        <w:tc>
          <w:tcPr>
            <w:tcW w:w="6086" w:type="dxa"/>
          </w:tcPr>
          <w:p>
            <w:pPr>
              <w:pStyle w:val="122"/>
              <w:spacing w:line="360" w:lineRule="auto"/>
              <w:rPr>
                <w:bCs w:val="0"/>
                <w:sz w:val="24"/>
                <w:szCs w:val="24"/>
                <w:highlight w:val="none"/>
                <w:lang w:val="en-US"/>
              </w:rPr>
            </w:pPr>
          </w:p>
        </w:tc>
      </w:tr>
    </w:tbl>
    <w:p>
      <w:pPr>
        <w:pStyle w:val="124"/>
        <w:spacing w:line="240" w:lineRule="atLeast"/>
        <w:rPr>
          <w:sz w:val="24"/>
          <w:szCs w:val="24"/>
          <w:highlight w:val="none"/>
        </w:rPr>
      </w:pPr>
      <w:r>
        <w:rPr>
          <w:rFonts w:hint="eastAsia"/>
          <w:sz w:val="24"/>
          <w:szCs w:val="24"/>
          <w:highlight w:val="none"/>
        </w:rPr>
        <w:t>注：</w:t>
      </w:r>
      <w:r>
        <w:rPr>
          <w:rFonts w:hint="eastAsia"/>
          <w:spacing w:val="0"/>
          <w:kern w:val="2"/>
          <w:sz w:val="24"/>
          <w:szCs w:val="24"/>
          <w:highlight w:val="none"/>
          <w:lang w:val="en-US"/>
        </w:rPr>
        <w:t>本表应与表1.1“</w:t>
      </w:r>
      <w:r>
        <w:rPr>
          <w:rFonts w:hint="eastAsia"/>
          <w:b/>
          <w:sz w:val="24"/>
          <w:szCs w:val="24"/>
          <w:highlight w:val="none"/>
        </w:rPr>
        <w:t>投标人自20</w:t>
      </w:r>
      <w:r>
        <w:rPr>
          <w:rFonts w:hint="eastAsia"/>
          <w:b/>
          <w:sz w:val="24"/>
          <w:szCs w:val="24"/>
          <w:highlight w:val="none"/>
          <w:lang w:val="en-US" w:eastAsia="zh-CN"/>
        </w:rPr>
        <w:t>21</w:t>
      </w:r>
      <w:r>
        <w:rPr>
          <w:rFonts w:hint="eastAsia"/>
          <w:b/>
          <w:sz w:val="24"/>
          <w:szCs w:val="24"/>
          <w:highlight w:val="none"/>
        </w:rPr>
        <w:t>年1月1日以来类似项目业绩的（独家或首席承保的）汇</w:t>
      </w:r>
      <w:r>
        <w:rPr>
          <w:rFonts w:hint="eastAsia"/>
          <w:b/>
          <w:bCs/>
          <w:sz w:val="24"/>
          <w:szCs w:val="24"/>
          <w:highlight w:val="none"/>
        </w:rPr>
        <w:t>总表</w:t>
      </w:r>
      <w:r>
        <w:rPr>
          <w:rFonts w:hint="eastAsia"/>
          <w:b/>
          <w:bCs/>
          <w:spacing w:val="0"/>
          <w:kern w:val="2"/>
          <w:sz w:val="24"/>
          <w:szCs w:val="24"/>
          <w:highlight w:val="none"/>
          <w:lang w:val="en-US"/>
        </w:rPr>
        <w:t>”相对应，</w:t>
      </w:r>
      <w:r>
        <w:rPr>
          <w:rFonts w:hint="eastAsia"/>
          <w:b/>
          <w:bCs/>
          <w:sz w:val="24"/>
          <w:szCs w:val="24"/>
          <w:highlight w:val="none"/>
        </w:rPr>
        <w:t>后应附</w:t>
      </w:r>
      <w:r>
        <w:rPr>
          <w:rFonts w:hint="eastAsia" w:ascii="宋体" w:hAnsi="宋体"/>
          <w:b/>
          <w:bCs/>
          <w:sz w:val="22"/>
          <w:szCs w:val="24"/>
          <w:highlight w:val="none"/>
        </w:rPr>
        <w:t>保单复印件或合同复印件</w:t>
      </w:r>
      <w:r>
        <w:rPr>
          <w:rFonts w:hint="eastAsia"/>
          <w:b/>
          <w:bCs/>
          <w:sz w:val="24"/>
          <w:szCs w:val="24"/>
          <w:highlight w:val="none"/>
        </w:rPr>
        <w:t>并加盖公章</w:t>
      </w:r>
      <w:r>
        <w:rPr>
          <w:rFonts w:hint="eastAsia"/>
          <w:sz w:val="24"/>
          <w:szCs w:val="24"/>
          <w:highlight w:val="none"/>
        </w:rPr>
        <w:t>。</w:t>
      </w:r>
    </w:p>
    <w:p>
      <w:pPr>
        <w:spacing w:line="380" w:lineRule="exact"/>
        <w:rPr>
          <w:rFonts w:ascii="宋体" w:hAnsi="宋体"/>
          <w:sz w:val="22"/>
          <w:szCs w:val="22"/>
          <w:highlight w:val="none"/>
        </w:rPr>
      </w:pPr>
    </w:p>
    <w:p>
      <w:pPr>
        <w:spacing w:line="380" w:lineRule="exact"/>
        <w:rPr>
          <w:rFonts w:ascii="宋体" w:hAnsi="宋体"/>
          <w:sz w:val="22"/>
          <w:szCs w:val="22"/>
          <w:highlight w:val="none"/>
        </w:rPr>
      </w:pPr>
    </w:p>
    <w:p>
      <w:pPr>
        <w:spacing w:line="380" w:lineRule="exact"/>
        <w:rPr>
          <w:rFonts w:ascii="宋体" w:hAnsi="宋体"/>
          <w:sz w:val="22"/>
          <w:szCs w:val="22"/>
          <w:highlight w:val="none"/>
        </w:rPr>
      </w:pPr>
      <w:r>
        <w:rPr>
          <w:rFonts w:hint="eastAsia" w:ascii="宋体" w:hAnsi="宋体"/>
          <w:sz w:val="22"/>
          <w:szCs w:val="22"/>
          <w:highlight w:val="none"/>
        </w:rPr>
        <w:t>投标人（公章）：</w:t>
      </w:r>
    </w:p>
    <w:p>
      <w:pPr>
        <w:spacing w:line="380" w:lineRule="exact"/>
        <w:rPr>
          <w:rFonts w:ascii="宋体" w:hAnsi="宋体"/>
          <w:sz w:val="22"/>
          <w:szCs w:val="22"/>
          <w:highlight w:val="none"/>
          <w:u w:val="single"/>
        </w:rPr>
      </w:pPr>
      <w:r>
        <w:rPr>
          <w:rFonts w:hint="eastAsia" w:ascii="宋体" w:hAnsi="宋体"/>
          <w:sz w:val="22"/>
          <w:szCs w:val="22"/>
          <w:highlight w:val="none"/>
        </w:rPr>
        <w:t>投标人代表（签字或印章）：</w:t>
      </w:r>
    </w:p>
    <w:p>
      <w:pPr>
        <w:spacing w:line="380" w:lineRule="exact"/>
        <w:rPr>
          <w:rFonts w:ascii="宋体" w:hAnsi="宋体"/>
          <w:sz w:val="22"/>
          <w:szCs w:val="22"/>
          <w:highlight w:val="none"/>
        </w:rPr>
      </w:pPr>
      <w:r>
        <w:rPr>
          <w:rFonts w:hint="eastAsia" w:ascii="宋体"/>
          <w:sz w:val="22"/>
          <w:szCs w:val="22"/>
          <w:highlight w:val="none"/>
        </w:rPr>
        <w:t>日期：</w:t>
      </w:r>
    </w:p>
    <w:p>
      <w:pPr>
        <w:pStyle w:val="17"/>
        <w:rPr>
          <w:rFonts w:ascii="宋体" w:hAnsi="宋体"/>
          <w:sz w:val="22"/>
          <w:szCs w:val="22"/>
          <w:highlight w:val="none"/>
        </w:rPr>
      </w:pPr>
    </w:p>
    <w:p>
      <w:pPr>
        <w:rPr>
          <w:rFonts w:ascii="宋体" w:hAnsi="宋体"/>
          <w:sz w:val="22"/>
          <w:szCs w:val="22"/>
          <w:highlight w:val="none"/>
        </w:rPr>
      </w:pPr>
    </w:p>
    <w:p>
      <w:pPr>
        <w:pStyle w:val="17"/>
        <w:rPr>
          <w:rFonts w:ascii="宋体" w:hAnsi="宋体"/>
          <w:sz w:val="22"/>
          <w:szCs w:val="22"/>
          <w:highlight w:val="none"/>
        </w:rPr>
      </w:pPr>
    </w:p>
    <w:p>
      <w:pPr>
        <w:rPr>
          <w:rFonts w:ascii="宋体" w:hAnsi="宋体"/>
          <w:sz w:val="22"/>
          <w:szCs w:val="22"/>
          <w:highlight w:val="none"/>
        </w:rPr>
      </w:pPr>
    </w:p>
    <w:p>
      <w:pPr>
        <w:pStyle w:val="17"/>
        <w:rPr>
          <w:rFonts w:ascii="宋体" w:hAnsi="宋体"/>
          <w:sz w:val="22"/>
          <w:szCs w:val="22"/>
          <w:highlight w:val="none"/>
        </w:rPr>
      </w:pPr>
    </w:p>
    <w:p>
      <w:pPr>
        <w:rPr>
          <w:rFonts w:ascii="宋体" w:hAnsi="宋体"/>
          <w:sz w:val="22"/>
          <w:szCs w:val="22"/>
          <w:highlight w:val="none"/>
        </w:rPr>
      </w:pPr>
    </w:p>
    <w:p>
      <w:pPr>
        <w:pStyle w:val="17"/>
        <w:rPr>
          <w:rFonts w:ascii="宋体" w:hAnsi="宋体"/>
          <w:sz w:val="22"/>
          <w:szCs w:val="22"/>
          <w:highlight w:val="none"/>
        </w:rPr>
      </w:pPr>
    </w:p>
    <w:p>
      <w:pPr>
        <w:rPr>
          <w:rFonts w:ascii="宋体" w:hAnsi="宋体"/>
          <w:sz w:val="22"/>
          <w:szCs w:val="22"/>
          <w:highlight w:val="none"/>
        </w:rPr>
      </w:pPr>
    </w:p>
    <w:p>
      <w:pPr>
        <w:pStyle w:val="17"/>
        <w:rPr>
          <w:rFonts w:ascii="宋体" w:hAnsi="宋体"/>
          <w:sz w:val="22"/>
          <w:szCs w:val="22"/>
          <w:highlight w:val="none"/>
        </w:rPr>
      </w:pPr>
    </w:p>
    <w:p>
      <w:pPr>
        <w:rPr>
          <w:rFonts w:ascii="宋体" w:hAnsi="宋体"/>
          <w:sz w:val="22"/>
          <w:szCs w:val="22"/>
          <w:highlight w:val="none"/>
        </w:rPr>
      </w:pPr>
    </w:p>
    <w:p>
      <w:pPr>
        <w:pStyle w:val="17"/>
        <w:rPr>
          <w:rFonts w:ascii="宋体" w:hAnsi="宋体"/>
          <w:sz w:val="22"/>
          <w:szCs w:val="22"/>
          <w:highlight w:val="none"/>
        </w:rPr>
      </w:pPr>
    </w:p>
    <w:p>
      <w:pPr>
        <w:widowControl/>
        <w:rPr>
          <w:rFonts w:ascii="宋体" w:hAnsi="宋体"/>
          <w:b/>
          <w:sz w:val="24"/>
          <w:szCs w:val="24"/>
          <w:highlight w:val="none"/>
        </w:rPr>
        <w:sectPr>
          <w:pgSz w:w="11907" w:h="16840"/>
          <w:pgMar w:top="1304" w:right="1588" w:bottom="1560" w:left="1588" w:header="720" w:footer="720" w:gutter="0"/>
          <w:cols w:space="720" w:num="1"/>
          <w:docGrid w:linePitch="285" w:charSpace="0"/>
        </w:sectPr>
      </w:pPr>
    </w:p>
    <w:p>
      <w:pPr>
        <w:widowControl/>
        <w:jc w:val="center"/>
        <w:rPr>
          <w:rFonts w:ascii="宋体"/>
          <w:b/>
          <w:sz w:val="24"/>
          <w:szCs w:val="24"/>
          <w:highlight w:val="none"/>
        </w:rPr>
      </w:pPr>
      <w:r>
        <w:rPr>
          <w:rFonts w:hint="eastAsia" w:ascii="宋体" w:hAnsi="宋体"/>
          <w:b/>
          <w:sz w:val="24"/>
          <w:szCs w:val="24"/>
          <w:highlight w:val="none"/>
        </w:rPr>
        <w:t>2.1、项目负责人资历表</w:t>
      </w:r>
    </w:p>
    <w:p>
      <w:pPr>
        <w:jc w:val="center"/>
        <w:rPr>
          <w:rFonts w:ascii="宋体"/>
          <w:highlight w:val="none"/>
        </w:rPr>
      </w:pPr>
    </w:p>
    <w:tbl>
      <w:tblPr>
        <w:tblStyle w:val="34"/>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885"/>
        <w:gridCol w:w="885"/>
        <w:gridCol w:w="885"/>
        <w:gridCol w:w="886"/>
        <w:gridCol w:w="886"/>
        <w:gridCol w:w="886"/>
        <w:gridCol w:w="886"/>
        <w:gridCol w:w="886"/>
        <w:gridCol w:w="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6" w:type="dxa"/>
            <w:gridSpan w:val="10"/>
          </w:tcPr>
          <w:p>
            <w:pPr>
              <w:pStyle w:val="122"/>
              <w:spacing w:line="360" w:lineRule="auto"/>
              <w:rPr>
                <w:bCs w:val="0"/>
                <w:sz w:val="24"/>
                <w:szCs w:val="24"/>
                <w:highlight w:val="none"/>
                <w:lang w:val="en-US"/>
              </w:rPr>
            </w:pPr>
            <w:r>
              <w:rPr>
                <w:bCs w:val="0"/>
                <w:sz w:val="24"/>
                <w:szCs w:val="24"/>
                <w:highlight w:val="none"/>
                <w:lang w:val="en-US"/>
              </w:rPr>
              <w:t>1.</w:t>
            </w:r>
            <w:r>
              <w:rPr>
                <w:rFonts w:hint="eastAsia"/>
                <w:bCs w:val="0"/>
                <w:sz w:val="24"/>
                <w:szCs w:val="24"/>
                <w:highlight w:val="none"/>
                <w:lang w:val="en-US"/>
              </w:rPr>
              <w:t>一般情况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tcPr>
          <w:p>
            <w:pPr>
              <w:pStyle w:val="122"/>
              <w:spacing w:line="360" w:lineRule="auto"/>
              <w:rPr>
                <w:bCs w:val="0"/>
                <w:sz w:val="24"/>
                <w:szCs w:val="24"/>
                <w:highlight w:val="none"/>
                <w:lang w:val="en-US"/>
              </w:rPr>
            </w:pPr>
            <w:r>
              <w:rPr>
                <w:rFonts w:hint="eastAsia"/>
                <w:bCs w:val="0"/>
                <w:sz w:val="24"/>
                <w:szCs w:val="24"/>
                <w:highlight w:val="none"/>
                <w:lang w:val="en-US"/>
              </w:rPr>
              <w:t>姓名</w:t>
            </w:r>
          </w:p>
        </w:tc>
        <w:tc>
          <w:tcPr>
            <w:tcW w:w="885" w:type="dxa"/>
          </w:tcPr>
          <w:p>
            <w:pPr>
              <w:pStyle w:val="122"/>
              <w:spacing w:line="360" w:lineRule="auto"/>
              <w:rPr>
                <w:bCs w:val="0"/>
                <w:sz w:val="24"/>
                <w:szCs w:val="24"/>
                <w:highlight w:val="none"/>
                <w:lang w:val="en-US"/>
              </w:rPr>
            </w:pPr>
          </w:p>
        </w:tc>
        <w:tc>
          <w:tcPr>
            <w:tcW w:w="885" w:type="dxa"/>
          </w:tcPr>
          <w:p>
            <w:pPr>
              <w:pStyle w:val="122"/>
              <w:spacing w:line="360" w:lineRule="auto"/>
              <w:rPr>
                <w:bCs w:val="0"/>
                <w:sz w:val="24"/>
                <w:szCs w:val="24"/>
                <w:highlight w:val="none"/>
                <w:lang w:val="en-US"/>
              </w:rPr>
            </w:pPr>
            <w:r>
              <w:rPr>
                <w:rFonts w:hint="eastAsia"/>
                <w:bCs w:val="0"/>
                <w:sz w:val="24"/>
                <w:szCs w:val="24"/>
                <w:highlight w:val="none"/>
                <w:lang w:val="en-US"/>
              </w:rPr>
              <w:t>性别</w:t>
            </w:r>
          </w:p>
        </w:tc>
        <w:tc>
          <w:tcPr>
            <w:tcW w:w="885" w:type="dxa"/>
          </w:tcPr>
          <w:p>
            <w:pPr>
              <w:pStyle w:val="122"/>
              <w:spacing w:line="360" w:lineRule="auto"/>
              <w:rPr>
                <w:bCs w:val="0"/>
                <w:sz w:val="24"/>
                <w:szCs w:val="24"/>
                <w:highlight w:val="none"/>
                <w:lang w:val="en-US"/>
              </w:rPr>
            </w:pPr>
          </w:p>
        </w:tc>
        <w:tc>
          <w:tcPr>
            <w:tcW w:w="886" w:type="dxa"/>
          </w:tcPr>
          <w:p>
            <w:pPr>
              <w:pStyle w:val="122"/>
              <w:spacing w:line="360" w:lineRule="auto"/>
              <w:rPr>
                <w:bCs w:val="0"/>
                <w:sz w:val="24"/>
                <w:szCs w:val="24"/>
                <w:highlight w:val="none"/>
                <w:lang w:val="en-US"/>
              </w:rPr>
            </w:pPr>
            <w:r>
              <w:rPr>
                <w:rFonts w:hint="eastAsia"/>
                <w:bCs w:val="0"/>
                <w:sz w:val="24"/>
                <w:szCs w:val="24"/>
                <w:highlight w:val="none"/>
                <w:lang w:val="en-US"/>
              </w:rPr>
              <w:t>年龄</w:t>
            </w:r>
          </w:p>
        </w:tc>
        <w:tc>
          <w:tcPr>
            <w:tcW w:w="886" w:type="dxa"/>
          </w:tcPr>
          <w:p>
            <w:pPr>
              <w:pStyle w:val="122"/>
              <w:spacing w:line="360" w:lineRule="auto"/>
              <w:rPr>
                <w:bCs w:val="0"/>
                <w:sz w:val="24"/>
                <w:szCs w:val="24"/>
                <w:highlight w:val="none"/>
                <w:lang w:val="en-US"/>
              </w:rPr>
            </w:pPr>
          </w:p>
        </w:tc>
        <w:tc>
          <w:tcPr>
            <w:tcW w:w="886" w:type="dxa"/>
          </w:tcPr>
          <w:p>
            <w:pPr>
              <w:pStyle w:val="122"/>
              <w:spacing w:line="360" w:lineRule="auto"/>
              <w:rPr>
                <w:bCs w:val="0"/>
                <w:sz w:val="24"/>
                <w:szCs w:val="24"/>
                <w:highlight w:val="none"/>
                <w:lang w:val="en-US"/>
              </w:rPr>
            </w:pPr>
            <w:r>
              <w:rPr>
                <w:rFonts w:hint="eastAsia"/>
                <w:bCs w:val="0"/>
                <w:sz w:val="24"/>
                <w:szCs w:val="24"/>
                <w:highlight w:val="none"/>
                <w:lang w:val="en-US"/>
              </w:rPr>
              <w:t>学位</w:t>
            </w:r>
          </w:p>
        </w:tc>
        <w:tc>
          <w:tcPr>
            <w:tcW w:w="886" w:type="dxa"/>
          </w:tcPr>
          <w:p>
            <w:pPr>
              <w:pStyle w:val="122"/>
              <w:spacing w:line="360" w:lineRule="auto"/>
              <w:rPr>
                <w:bCs w:val="0"/>
                <w:sz w:val="24"/>
                <w:szCs w:val="24"/>
                <w:highlight w:val="none"/>
                <w:lang w:val="en-US"/>
              </w:rPr>
            </w:pPr>
          </w:p>
        </w:tc>
        <w:tc>
          <w:tcPr>
            <w:tcW w:w="886" w:type="dxa"/>
          </w:tcPr>
          <w:p>
            <w:pPr>
              <w:pStyle w:val="122"/>
              <w:spacing w:line="360" w:lineRule="auto"/>
              <w:rPr>
                <w:bCs w:val="0"/>
                <w:sz w:val="24"/>
                <w:szCs w:val="24"/>
                <w:highlight w:val="none"/>
                <w:lang w:val="en-US"/>
              </w:rPr>
            </w:pPr>
            <w:r>
              <w:rPr>
                <w:rFonts w:hint="eastAsia"/>
                <w:bCs w:val="0"/>
                <w:sz w:val="24"/>
                <w:szCs w:val="24"/>
                <w:highlight w:val="none"/>
                <w:lang w:val="en-US"/>
              </w:rPr>
              <w:t>身份证号</w:t>
            </w:r>
          </w:p>
        </w:tc>
        <w:tc>
          <w:tcPr>
            <w:tcW w:w="886" w:type="dxa"/>
          </w:tcPr>
          <w:p>
            <w:pPr>
              <w:pStyle w:val="122"/>
              <w:spacing w:line="360" w:lineRule="auto"/>
              <w:rPr>
                <w:bCs w:val="0"/>
                <w:sz w:val="24"/>
                <w:szCs w:val="24"/>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tcPr>
          <w:p>
            <w:pPr>
              <w:pStyle w:val="122"/>
              <w:spacing w:line="360" w:lineRule="auto"/>
              <w:rPr>
                <w:bCs w:val="0"/>
                <w:sz w:val="24"/>
                <w:szCs w:val="24"/>
                <w:highlight w:val="none"/>
                <w:lang w:val="en-US"/>
              </w:rPr>
            </w:pPr>
            <w:r>
              <w:rPr>
                <w:rFonts w:hint="eastAsia"/>
                <w:bCs w:val="0"/>
                <w:sz w:val="24"/>
                <w:szCs w:val="24"/>
                <w:highlight w:val="none"/>
                <w:lang w:val="en-US"/>
              </w:rPr>
              <w:t>职称</w:t>
            </w:r>
          </w:p>
        </w:tc>
        <w:tc>
          <w:tcPr>
            <w:tcW w:w="885" w:type="dxa"/>
          </w:tcPr>
          <w:p>
            <w:pPr>
              <w:pStyle w:val="122"/>
              <w:spacing w:line="360" w:lineRule="auto"/>
              <w:rPr>
                <w:bCs w:val="0"/>
                <w:sz w:val="24"/>
                <w:szCs w:val="24"/>
                <w:highlight w:val="none"/>
                <w:lang w:val="en-US"/>
              </w:rPr>
            </w:pPr>
          </w:p>
        </w:tc>
        <w:tc>
          <w:tcPr>
            <w:tcW w:w="885" w:type="dxa"/>
          </w:tcPr>
          <w:p>
            <w:pPr>
              <w:pStyle w:val="122"/>
              <w:spacing w:line="360" w:lineRule="auto"/>
              <w:rPr>
                <w:bCs w:val="0"/>
                <w:sz w:val="24"/>
                <w:szCs w:val="24"/>
                <w:highlight w:val="none"/>
                <w:lang w:val="en-US"/>
              </w:rPr>
            </w:pPr>
            <w:r>
              <w:rPr>
                <w:rFonts w:hint="eastAsia"/>
                <w:bCs w:val="0"/>
                <w:sz w:val="24"/>
                <w:szCs w:val="24"/>
                <w:highlight w:val="none"/>
                <w:lang w:val="en-US"/>
              </w:rPr>
              <w:t>执业资格</w:t>
            </w:r>
          </w:p>
        </w:tc>
        <w:tc>
          <w:tcPr>
            <w:tcW w:w="885" w:type="dxa"/>
          </w:tcPr>
          <w:p>
            <w:pPr>
              <w:pStyle w:val="122"/>
              <w:spacing w:line="360" w:lineRule="auto"/>
              <w:rPr>
                <w:bCs w:val="0"/>
                <w:sz w:val="24"/>
                <w:szCs w:val="24"/>
                <w:highlight w:val="none"/>
                <w:lang w:val="en-US"/>
              </w:rPr>
            </w:pPr>
          </w:p>
        </w:tc>
        <w:tc>
          <w:tcPr>
            <w:tcW w:w="1772" w:type="dxa"/>
            <w:gridSpan w:val="2"/>
          </w:tcPr>
          <w:p>
            <w:pPr>
              <w:pStyle w:val="122"/>
              <w:spacing w:line="360" w:lineRule="auto"/>
              <w:rPr>
                <w:bCs w:val="0"/>
                <w:sz w:val="24"/>
                <w:szCs w:val="24"/>
                <w:highlight w:val="none"/>
                <w:lang w:val="en-US"/>
              </w:rPr>
            </w:pPr>
            <w:r>
              <w:rPr>
                <w:rFonts w:hint="eastAsia"/>
                <w:bCs w:val="0"/>
                <w:sz w:val="24"/>
                <w:szCs w:val="24"/>
                <w:highlight w:val="none"/>
                <w:lang w:val="en-US"/>
              </w:rPr>
              <w:t>为投标人服务年限（年）</w:t>
            </w:r>
          </w:p>
        </w:tc>
        <w:tc>
          <w:tcPr>
            <w:tcW w:w="886" w:type="dxa"/>
          </w:tcPr>
          <w:p>
            <w:pPr>
              <w:pStyle w:val="122"/>
              <w:spacing w:line="360" w:lineRule="auto"/>
              <w:rPr>
                <w:bCs w:val="0"/>
                <w:sz w:val="24"/>
                <w:szCs w:val="24"/>
                <w:highlight w:val="none"/>
                <w:lang w:val="en-US"/>
              </w:rPr>
            </w:pPr>
          </w:p>
        </w:tc>
        <w:tc>
          <w:tcPr>
            <w:tcW w:w="1772" w:type="dxa"/>
            <w:gridSpan w:val="2"/>
          </w:tcPr>
          <w:p>
            <w:pPr>
              <w:pStyle w:val="122"/>
              <w:spacing w:line="360" w:lineRule="auto"/>
              <w:rPr>
                <w:bCs w:val="0"/>
                <w:sz w:val="24"/>
                <w:szCs w:val="24"/>
                <w:highlight w:val="none"/>
                <w:lang w:val="en-US"/>
              </w:rPr>
            </w:pPr>
            <w:r>
              <w:rPr>
                <w:rFonts w:hint="eastAsia"/>
                <w:bCs w:val="0"/>
                <w:sz w:val="24"/>
                <w:szCs w:val="24"/>
                <w:highlight w:val="none"/>
                <w:lang w:val="en-US"/>
              </w:rPr>
              <w:t>在本项目中拟任职</w:t>
            </w:r>
          </w:p>
        </w:tc>
        <w:tc>
          <w:tcPr>
            <w:tcW w:w="886" w:type="dxa"/>
          </w:tcPr>
          <w:p>
            <w:pPr>
              <w:pStyle w:val="122"/>
              <w:spacing w:line="360" w:lineRule="auto"/>
              <w:rPr>
                <w:bCs w:val="0"/>
                <w:sz w:val="24"/>
                <w:szCs w:val="24"/>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tcPr>
          <w:p>
            <w:pPr>
              <w:pStyle w:val="122"/>
              <w:spacing w:line="360" w:lineRule="auto"/>
              <w:rPr>
                <w:bCs w:val="0"/>
                <w:sz w:val="24"/>
                <w:szCs w:val="24"/>
                <w:highlight w:val="none"/>
                <w:lang w:val="en-US"/>
              </w:rPr>
            </w:pPr>
            <w:r>
              <w:rPr>
                <w:rFonts w:hint="eastAsia"/>
                <w:bCs w:val="0"/>
                <w:sz w:val="24"/>
                <w:szCs w:val="24"/>
                <w:highlight w:val="none"/>
                <w:lang w:val="en-US"/>
              </w:rPr>
              <w:t>学历</w:t>
            </w:r>
          </w:p>
        </w:tc>
        <w:tc>
          <w:tcPr>
            <w:tcW w:w="7971" w:type="dxa"/>
            <w:gridSpan w:val="9"/>
          </w:tcPr>
          <w:p>
            <w:pPr>
              <w:pStyle w:val="122"/>
              <w:spacing w:line="360" w:lineRule="auto"/>
              <w:rPr>
                <w:bCs w:val="0"/>
                <w:sz w:val="24"/>
                <w:szCs w:val="24"/>
                <w:highlight w:val="none"/>
                <w:lang w:val="en-US"/>
              </w:rPr>
            </w:pPr>
            <w:r>
              <w:rPr>
                <w:rFonts w:hint="eastAsia"/>
                <w:bCs w:val="0"/>
                <w:sz w:val="24"/>
                <w:szCs w:val="24"/>
                <w:highlight w:val="none"/>
                <w:lang w:val="en-US"/>
              </w:rPr>
              <w:t>年毕业于（学校）（专业）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6" w:type="dxa"/>
            <w:gridSpan w:val="10"/>
          </w:tcPr>
          <w:p>
            <w:pPr>
              <w:pStyle w:val="122"/>
              <w:spacing w:line="360" w:lineRule="auto"/>
              <w:rPr>
                <w:bCs w:val="0"/>
                <w:sz w:val="24"/>
                <w:szCs w:val="24"/>
                <w:highlight w:val="none"/>
                <w:lang w:val="en-US"/>
              </w:rPr>
            </w:pPr>
            <w:r>
              <w:rPr>
                <w:bCs w:val="0"/>
                <w:sz w:val="24"/>
                <w:szCs w:val="24"/>
                <w:highlight w:val="none"/>
                <w:lang w:val="en-US"/>
              </w:rPr>
              <w:t>2.</w:t>
            </w:r>
            <w:r>
              <w:rPr>
                <w:rFonts w:hint="eastAsia"/>
                <w:bCs w:val="0"/>
                <w:sz w:val="24"/>
                <w:szCs w:val="24"/>
                <w:highlight w:val="none"/>
                <w:lang w:val="en-US"/>
              </w:rPr>
              <w:t>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tcPr>
          <w:p>
            <w:pPr>
              <w:pStyle w:val="122"/>
              <w:spacing w:line="360" w:lineRule="auto"/>
              <w:rPr>
                <w:bCs w:val="0"/>
                <w:sz w:val="24"/>
                <w:szCs w:val="24"/>
                <w:highlight w:val="none"/>
                <w:lang w:val="en-US"/>
              </w:rPr>
            </w:pPr>
            <w:r>
              <w:rPr>
                <w:rFonts w:hint="eastAsia"/>
                <w:bCs w:val="0"/>
                <w:sz w:val="24"/>
                <w:szCs w:val="24"/>
                <w:highlight w:val="none"/>
                <w:lang w:val="en-US"/>
              </w:rPr>
              <w:t>时间</w:t>
            </w:r>
          </w:p>
        </w:tc>
        <w:tc>
          <w:tcPr>
            <w:tcW w:w="4427" w:type="dxa"/>
            <w:gridSpan w:val="5"/>
          </w:tcPr>
          <w:p>
            <w:pPr>
              <w:pStyle w:val="122"/>
              <w:spacing w:line="360" w:lineRule="auto"/>
              <w:rPr>
                <w:bCs w:val="0"/>
                <w:sz w:val="24"/>
                <w:szCs w:val="24"/>
                <w:highlight w:val="none"/>
                <w:lang w:val="en-US"/>
              </w:rPr>
            </w:pPr>
            <w:r>
              <w:rPr>
                <w:rFonts w:hint="eastAsia"/>
                <w:bCs w:val="0"/>
                <w:sz w:val="24"/>
                <w:szCs w:val="24"/>
                <w:highlight w:val="none"/>
                <w:lang w:val="en-US"/>
              </w:rPr>
              <w:t>负责过的主要项目（类型和金额）</w:t>
            </w:r>
          </w:p>
        </w:tc>
        <w:tc>
          <w:tcPr>
            <w:tcW w:w="1772" w:type="dxa"/>
            <w:gridSpan w:val="2"/>
          </w:tcPr>
          <w:p>
            <w:pPr>
              <w:pStyle w:val="122"/>
              <w:spacing w:line="360" w:lineRule="auto"/>
              <w:rPr>
                <w:bCs w:val="0"/>
                <w:sz w:val="24"/>
                <w:szCs w:val="24"/>
                <w:highlight w:val="none"/>
                <w:lang w:val="en-US"/>
              </w:rPr>
            </w:pPr>
            <w:r>
              <w:rPr>
                <w:rFonts w:hint="eastAsia"/>
                <w:bCs w:val="0"/>
                <w:sz w:val="24"/>
                <w:szCs w:val="24"/>
                <w:highlight w:val="none"/>
                <w:lang w:val="en-US"/>
              </w:rPr>
              <w:t>该项目中任职</w:t>
            </w:r>
          </w:p>
        </w:tc>
        <w:tc>
          <w:tcPr>
            <w:tcW w:w="1772" w:type="dxa"/>
            <w:gridSpan w:val="2"/>
          </w:tcPr>
          <w:p>
            <w:pPr>
              <w:pStyle w:val="122"/>
              <w:spacing w:line="360" w:lineRule="auto"/>
              <w:rPr>
                <w:bCs w:val="0"/>
                <w:sz w:val="24"/>
                <w:szCs w:val="24"/>
                <w:highlight w:val="none"/>
                <w:lang w:val="en-US"/>
              </w:rPr>
            </w:pPr>
            <w:r>
              <w:rPr>
                <w:rFonts w:hint="eastAsia"/>
                <w:bCs w:val="0"/>
                <w:sz w:val="24"/>
                <w:szCs w:val="24"/>
                <w:highlight w:val="none"/>
                <w:lang w:val="en-US"/>
              </w:rPr>
              <w:t>发包人及</w:t>
            </w:r>
          </w:p>
          <w:p>
            <w:pPr>
              <w:pStyle w:val="122"/>
              <w:spacing w:line="360" w:lineRule="auto"/>
              <w:rPr>
                <w:bCs w:val="0"/>
                <w:sz w:val="24"/>
                <w:szCs w:val="24"/>
                <w:highlight w:val="none"/>
                <w:lang w:val="en-US"/>
              </w:rPr>
            </w:pPr>
            <w:r>
              <w:rPr>
                <w:rFonts w:hint="eastAsia"/>
                <w:bCs w:val="0"/>
                <w:sz w:val="24"/>
                <w:szCs w:val="24"/>
                <w:highlight w:val="none"/>
                <w:lang w:val="en-US"/>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7" w:hRule="atLeast"/>
        </w:trPr>
        <w:tc>
          <w:tcPr>
            <w:tcW w:w="885" w:type="dxa"/>
          </w:tcPr>
          <w:p>
            <w:pPr>
              <w:pStyle w:val="122"/>
              <w:spacing w:line="360" w:lineRule="auto"/>
              <w:rPr>
                <w:bCs w:val="0"/>
                <w:sz w:val="24"/>
                <w:szCs w:val="24"/>
                <w:highlight w:val="none"/>
                <w:lang w:val="en-US"/>
              </w:rPr>
            </w:pPr>
          </w:p>
        </w:tc>
        <w:tc>
          <w:tcPr>
            <w:tcW w:w="4427" w:type="dxa"/>
            <w:gridSpan w:val="5"/>
          </w:tcPr>
          <w:p>
            <w:pPr>
              <w:pStyle w:val="122"/>
              <w:spacing w:line="360" w:lineRule="auto"/>
              <w:rPr>
                <w:bCs w:val="0"/>
                <w:sz w:val="24"/>
                <w:szCs w:val="24"/>
                <w:highlight w:val="none"/>
                <w:lang w:val="en-US"/>
              </w:rPr>
            </w:pPr>
          </w:p>
        </w:tc>
        <w:tc>
          <w:tcPr>
            <w:tcW w:w="1772" w:type="dxa"/>
            <w:gridSpan w:val="2"/>
          </w:tcPr>
          <w:p>
            <w:pPr>
              <w:pStyle w:val="122"/>
              <w:spacing w:line="360" w:lineRule="auto"/>
              <w:rPr>
                <w:bCs w:val="0"/>
                <w:sz w:val="24"/>
                <w:szCs w:val="24"/>
                <w:highlight w:val="none"/>
                <w:lang w:val="en-US"/>
              </w:rPr>
            </w:pPr>
          </w:p>
        </w:tc>
        <w:tc>
          <w:tcPr>
            <w:tcW w:w="1772" w:type="dxa"/>
            <w:gridSpan w:val="2"/>
          </w:tcPr>
          <w:p>
            <w:pPr>
              <w:pStyle w:val="122"/>
              <w:spacing w:line="360" w:lineRule="auto"/>
              <w:rPr>
                <w:bCs w:val="0"/>
                <w:sz w:val="24"/>
                <w:szCs w:val="24"/>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6" w:type="dxa"/>
            <w:gridSpan w:val="10"/>
          </w:tcPr>
          <w:p>
            <w:pPr>
              <w:pStyle w:val="122"/>
              <w:spacing w:line="360" w:lineRule="auto"/>
              <w:rPr>
                <w:bCs w:val="0"/>
                <w:sz w:val="24"/>
                <w:szCs w:val="24"/>
                <w:highlight w:val="none"/>
                <w:lang w:val="en-US"/>
              </w:rPr>
            </w:pPr>
            <w:r>
              <w:rPr>
                <w:bCs w:val="0"/>
                <w:sz w:val="24"/>
                <w:szCs w:val="24"/>
                <w:highlight w:val="none"/>
                <w:lang w:val="en-US"/>
              </w:rPr>
              <w:t>3.</w:t>
            </w:r>
            <w:r>
              <w:rPr>
                <w:rFonts w:hint="eastAsia"/>
                <w:bCs w:val="0"/>
                <w:sz w:val="24"/>
                <w:szCs w:val="24"/>
                <w:highlight w:val="none"/>
                <w:lang w:val="en-US"/>
              </w:rPr>
              <w:t>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8856" w:type="dxa"/>
            <w:gridSpan w:val="10"/>
          </w:tcPr>
          <w:p>
            <w:pPr>
              <w:pStyle w:val="122"/>
              <w:spacing w:line="360" w:lineRule="auto"/>
              <w:rPr>
                <w:bCs w:val="0"/>
                <w:sz w:val="24"/>
                <w:szCs w:val="24"/>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6" w:type="dxa"/>
            <w:gridSpan w:val="10"/>
          </w:tcPr>
          <w:p>
            <w:pPr>
              <w:pStyle w:val="122"/>
              <w:spacing w:line="360" w:lineRule="auto"/>
              <w:rPr>
                <w:bCs w:val="0"/>
                <w:sz w:val="24"/>
                <w:szCs w:val="24"/>
                <w:highlight w:val="none"/>
                <w:lang w:val="en-US"/>
              </w:rPr>
            </w:pPr>
            <w:r>
              <w:rPr>
                <w:bCs w:val="0"/>
                <w:sz w:val="24"/>
                <w:szCs w:val="24"/>
                <w:highlight w:val="none"/>
                <w:lang w:val="en-US"/>
              </w:rPr>
              <w:t>4.</w:t>
            </w:r>
            <w:r>
              <w:rPr>
                <w:rFonts w:hint="eastAsia"/>
                <w:bCs w:val="0"/>
                <w:sz w:val="24"/>
                <w:szCs w:val="24"/>
                <w:highlight w:val="none"/>
                <w:lang w:val="en-US"/>
              </w:rPr>
              <w:t>目前负责的项目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8856" w:type="dxa"/>
            <w:gridSpan w:val="10"/>
          </w:tcPr>
          <w:p>
            <w:pPr>
              <w:pStyle w:val="122"/>
              <w:spacing w:line="360" w:lineRule="auto"/>
              <w:rPr>
                <w:bCs w:val="0"/>
                <w:sz w:val="24"/>
                <w:szCs w:val="24"/>
                <w:highlight w:val="none"/>
                <w:lang w:val="en-US"/>
              </w:rPr>
            </w:pPr>
          </w:p>
        </w:tc>
      </w:tr>
    </w:tbl>
    <w:p>
      <w:pPr>
        <w:rPr>
          <w:highlight w:val="none"/>
        </w:rPr>
      </w:pPr>
    </w:p>
    <w:p>
      <w:pPr>
        <w:jc w:val="left"/>
        <w:rPr>
          <w:rFonts w:ascii="宋体" w:hAnsi="宋体"/>
          <w:b/>
          <w:sz w:val="24"/>
          <w:szCs w:val="24"/>
          <w:highlight w:val="none"/>
        </w:rPr>
      </w:pPr>
      <w:r>
        <w:rPr>
          <w:rFonts w:hint="eastAsia"/>
          <w:b/>
          <w:iCs/>
          <w:sz w:val="23"/>
          <w:szCs w:val="23"/>
          <w:highlight w:val="none"/>
        </w:rPr>
        <w:t>1、针对拟派项目负责人完成过的类似项目，须附</w:t>
      </w:r>
      <w:r>
        <w:rPr>
          <w:rFonts w:hint="eastAsia" w:ascii="宋体" w:hAnsi="宋体"/>
          <w:b/>
          <w:bCs/>
          <w:sz w:val="22"/>
          <w:szCs w:val="24"/>
          <w:highlight w:val="none"/>
        </w:rPr>
        <w:t>保单复印件或合同复印件</w:t>
      </w:r>
      <w:r>
        <w:rPr>
          <w:rFonts w:hint="eastAsia"/>
          <w:b/>
          <w:iCs/>
          <w:sz w:val="23"/>
          <w:szCs w:val="23"/>
          <w:highlight w:val="none"/>
        </w:rPr>
        <w:t>加盖公章，合同中无法体现项目负责人姓名的，须提供用户证明。</w:t>
      </w:r>
    </w:p>
    <w:p>
      <w:pPr>
        <w:jc w:val="center"/>
        <w:rPr>
          <w:rFonts w:ascii="宋体" w:hAnsi="宋体"/>
          <w:b/>
          <w:sz w:val="24"/>
          <w:szCs w:val="24"/>
          <w:highlight w:val="none"/>
        </w:rPr>
      </w:pPr>
    </w:p>
    <w:p>
      <w:pPr>
        <w:spacing w:line="380" w:lineRule="exact"/>
        <w:rPr>
          <w:rFonts w:ascii="宋体" w:hAnsi="宋体"/>
          <w:sz w:val="22"/>
          <w:szCs w:val="22"/>
          <w:highlight w:val="none"/>
        </w:rPr>
      </w:pPr>
      <w:r>
        <w:rPr>
          <w:rFonts w:hint="eastAsia" w:ascii="宋体" w:hAnsi="宋体"/>
          <w:sz w:val="22"/>
          <w:szCs w:val="22"/>
          <w:highlight w:val="none"/>
        </w:rPr>
        <w:t>投标人（公章）：</w:t>
      </w:r>
    </w:p>
    <w:p>
      <w:pPr>
        <w:spacing w:line="380" w:lineRule="exact"/>
        <w:rPr>
          <w:rFonts w:ascii="宋体" w:hAnsi="宋体"/>
          <w:sz w:val="22"/>
          <w:szCs w:val="22"/>
          <w:highlight w:val="none"/>
          <w:u w:val="single"/>
        </w:rPr>
      </w:pPr>
      <w:r>
        <w:rPr>
          <w:rFonts w:hint="eastAsia" w:ascii="宋体" w:hAnsi="宋体"/>
          <w:sz w:val="22"/>
          <w:szCs w:val="22"/>
          <w:highlight w:val="none"/>
        </w:rPr>
        <w:t>投标人代表（签字或印章）：</w:t>
      </w:r>
    </w:p>
    <w:p>
      <w:pPr>
        <w:spacing w:line="380" w:lineRule="exact"/>
        <w:rPr>
          <w:rFonts w:ascii="宋体" w:hAnsi="宋体"/>
          <w:sz w:val="22"/>
          <w:szCs w:val="22"/>
          <w:highlight w:val="none"/>
          <w:u w:val="single"/>
        </w:rPr>
      </w:pPr>
      <w:r>
        <w:rPr>
          <w:rFonts w:hint="eastAsia" w:ascii="宋体"/>
          <w:sz w:val="22"/>
          <w:szCs w:val="22"/>
          <w:highlight w:val="none"/>
        </w:rPr>
        <w:t>日期：</w:t>
      </w:r>
    </w:p>
    <w:p>
      <w:pPr>
        <w:rPr>
          <w:rFonts w:ascii="宋体" w:hAnsi="宋体"/>
          <w:b/>
          <w:sz w:val="24"/>
          <w:szCs w:val="24"/>
          <w:highlight w:val="none"/>
        </w:rPr>
      </w:pPr>
      <w:r>
        <w:rPr>
          <w:rFonts w:ascii="宋体" w:hAnsi="宋体"/>
          <w:b/>
          <w:sz w:val="24"/>
          <w:szCs w:val="24"/>
          <w:highlight w:val="none"/>
        </w:rPr>
        <w:br w:type="page"/>
      </w:r>
    </w:p>
    <w:p>
      <w:pPr>
        <w:widowControl/>
        <w:jc w:val="center"/>
        <w:rPr>
          <w:bCs/>
          <w:sz w:val="24"/>
          <w:szCs w:val="24"/>
          <w:highlight w:val="none"/>
        </w:rPr>
      </w:pPr>
      <w:r>
        <w:rPr>
          <w:rFonts w:hint="eastAsia" w:ascii="宋体" w:hAnsi="宋体"/>
          <w:b/>
          <w:sz w:val="24"/>
          <w:szCs w:val="24"/>
          <w:highlight w:val="none"/>
        </w:rPr>
        <w:t>2.2、拟委任的其他团队成员汇总表</w:t>
      </w:r>
    </w:p>
    <w:p>
      <w:pPr>
        <w:widowControl/>
        <w:jc w:val="center"/>
        <w:rPr>
          <w:bCs/>
          <w:sz w:val="24"/>
          <w:szCs w:val="24"/>
          <w:highlight w:val="none"/>
        </w:rPr>
      </w:pPr>
    </w:p>
    <w:tbl>
      <w:tblPr>
        <w:tblStyle w:val="34"/>
        <w:tblW w:w="78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5"/>
        <w:gridCol w:w="1141"/>
        <w:gridCol w:w="1768"/>
        <w:gridCol w:w="951"/>
        <w:gridCol w:w="1454"/>
        <w:gridCol w:w="1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6" w:hRule="atLeast"/>
          <w:jc w:val="center"/>
        </w:trPr>
        <w:tc>
          <w:tcPr>
            <w:tcW w:w="1455" w:type="dxa"/>
          </w:tcPr>
          <w:p>
            <w:pPr>
              <w:pStyle w:val="122"/>
              <w:spacing w:line="360" w:lineRule="auto"/>
              <w:rPr>
                <w:sz w:val="24"/>
                <w:szCs w:val="24"/>
                <w:highlight w:val="none"/>
                <w:lang w:val="en-US"/>
              </w:rPr>
            </w:pPr>
            <w:r>
              <w:rPr>
                <w:rFonts w:hint="eastAsia"/>
                <w:sz w:val="24"/>
                <w:szCs w:val="24"/>
                <w:highlight w:val="none"/>
                <w:lang w:val="en-US"/>
              </w:rPr>
              <w:t>姓名</w:t>
            </w:r>
          </w:p>
        </w:tc>
        <w:tc>
          <w:tcPr>
            <w:tcW w:w="1141" w:type="dxa"/>
          </w:tcPr>
          <w:p>
            <w:pPr>
              <w:pStyle w:val="122"/>
              <w:spacing w:line="360" w:lineRule="auto"/>
              <w:rPr>
                <w:sz w:val="24"/>
                <w:szCs w:val="24"/>
                <w:highlight w:val="none"/>
                <w:lang w:val="en-US"/>
              </w:rPr>
            </w:pPr>
            <w:r>
              <w:rPr>
                <w:rFonts w:hint="eastAsia"/>
                <w:sz w:val="24"/>
                <w:szCs w:val="24"/>
                <w:highlight w:val="none"/>
                <w:lang w:val="en-US"/>
              </w:rPr>
              <w:t>年龄</w:t>
            </w:r>
          </w:p>
        </w:tc>
        <w:tc>
          <w:tcPr>
            <w:tcW w:w="1768" w:type="dxa"/>
          </w:tcPr>
          <w:p>
            <w:pPr>
              <w:pStyle w:val="122"/>
              <w:spacing w:line="360" w:lineRule="auto"/>
              <w:rPr>
                <w:sz w:val="24"/>
                <w:szCs w:val="24"/>
                <w:highlight w:val="none"/>
                <w:lang w:val="en-US"/>
              </w:rPr>
            </w:pPr>
            <w:r>
              <w:rPr>
                <w:rFonts w:hint="eastAsia"/>
                <w:sz w:val="24"/>
                <w:szCs w:val="24"/>
                <w:highlight w:val="none"/>
                <w:lang w:val="en-US"/>
              </w:rPr>
              <w:t>拟在本项目中担任的职务</w:t>
            </w:r>
          </w:p>
        </w:tc>
        <w:tc>
          <w:tcPr>
            <w:tcW w:w="951" w:type="dxa"/>
          </w:tcPr>
          <w:p>
            <w:pPr>
              <w:pStyle w:val="122"/>
              <w:spacing w:line="360" w:lineRule="auto"/>
              <w:rPr>
                <w:sz w:val="24"/>
                <w:szCs w:val="24"/>
                <w:highlight w:val="none"/>
                <w:lang w:val="en-US"/>
              </w:rPr>
            </w:pPr>
            <w:r>
              <w:rPr>
                <w:rFonts w:hint="eastAsia"/>
                <w:sz w:val="24"/>
                <w:szCs w:val="24"/>
                <w:highlight w:val="none"/>
                <w:lang w:val="en-US"/>
              </w:rPr>
              <w:t>职称</w:t>
            </w:r>
          </w:p>
        </w:tc>
        <w:tc>
          <w:tcPr>
            <w:tcW w:w="1454" w:type="dxa"/>
          </w:tcPr>
          <w:p>
            <w:pPr>
              <w:pStyle w:val="122"/>
              <w:spacing w:line="360" w:lineRule="auto"/>
              <w:rPr>
                <w:sz w:val="24"/>
                <w:szCs w:val="24"/>
                <w:highlight w:val="none"/>
                <w:lang w:val="en-US"/>
              </w:rPr>
            </w:pPr>
            <w:r>
              <w:rPr>
                <w:rFonts w:hint="eastAsia"/>
                <w:sz w:val="24"/>
                <w:szCs w:val="24"/>
                <w:highlight w:val="none"/>
                <w:lang w:val="en-US"/>
              </w:rPr>
              <w:t>执业资格</w:t>
            </w:r>
          </w:p>
        </w:tc>
        <w:tc>
          <w:tcPr>
            <w:tcW w:w="1093" w:type="dxa"/>
          </w:tcPr>
          <w:p>
            <w:pPr>
              <w:pStyle w:val="122"/>
              <w:spacing w:line="360" w:lineRule="auto"/>
              <w:rPr>
                <w:sz w:val="24"/>
                <w:szCs w:val="24"/>
                <w:highlight w:val="none"/>
                <w:lang w:val="en-US"/>
              </w:rPr>
            </w:pPr>
            <w:r>
              <w:rPr>
                <w:rFonts w:hint="eastAsia"/>
                <w:sz w:val="24"/>
                <w:szCs w:val="24"/>
                <w:highlight w:val="none"/>
                <w:lang w:val="en-US"/>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455" w:type="dxa"/>
          </w:tcPr>
          <w:p>
            <w:pPr>
              <w:pStyle w:val="122"/>
              <w:spacing w:line="360" w:lineRule="auto"/>
              <w:rPr>
                <w:sz w:val="24"/>
                <w:szCs w:val="24"/>
                <w:highlight w:val="none"/>
                <w:lang w:val="en-US"/>
              </w:rPr>
            </w:pPr>
          </w:p>
        </w:tc>
        <w:tc>
          <w:tcPr>
            <w:tcW w:w="1141" w:type="dxa"/>
          </w:tcPr>
          <w:p>
            <w:pPr>
              <w:pStyle w:val="122"/>
              <w:spacing w:line="360" w:lineRule="auto"/>
              <w:rPr>
                <w:sz w:val="24"/>
                <w:szCs w:val="24"/>
                <w:highlight w:val="none"/>
                <w:lang w:val="en-US"/>
              </w:rPr>
            </w:pPr>
          </w:p>
        </w:tc>
        <w:tc>
          <w:tcPr>
            <w:tcW w:w="1768" w:type="dxa"/>
          </w:tcPr>
          <w:p>
            <w:pPr>
              <w:pStyle w:val="122"/>
              <w:spacing w:line="360" w:lineRule="auto"/>
              <w:rPr>
                <w:sz w:val="24"/>
                <w:szCs w:val="24"/>
                <w:highlight w:val="none"/>
                <w:lang w:val="en-US"/>
              </w:rPr>
            </w:pPr>
          </w:p>
        </w:tc>
        <w:tc>
          <w:tcPr>
            <w:tcW w:w="951" w:type="dxa"/>
          </w:tcPr>
          <w:p>
            <w:pPr>
              <w:pStyle w:val="122"/>
              <w:spacing w:line="360" w:lineRule="auto"/>
              <w:rPr>
                <w:sz w:val="24"/>
                <w:szCs w:val="24"/>
                <w:highlight w:val="none"/>
                <w:lang w:val="en-US"/>
              </w:rPr>
            </w:pPr>
          </w:p>
        </w:tc>
        <w:tc>
          <w:tcPr>
            <w:tcW w:w="1454" w:type="dxa"/>
          </w:tcPr>
          <w:p>
            <w:pPr>
              <w:pStyle w:val="122"/>
              <w:spacing w:line="360" w:lineRule="auto"/>
              <w:rPr>
                <w:sz w:val="24"/>
                <w:szCs w:val="24"/>
                <w:highlight w:val="none"/>
                <w:lang w:val="en-US"/>
              </w:rPr>
            </w:pPr>
          </w:p>
        </w:tc>
        <w:tc>
          <w:tcPr>
            <w:tcW w:w="1093" w:type="dxa"/>
          </w:tcPr>
          <w:p>
            <w:pPr>
              <w:pStyle w:val="122"/>
              <w:spacing w:line="360" w:lineRule="auto"/>
              <w:rPr>
                <w:sz w:val="24"/>
                <w:szCs w:val="24"/>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455" w:type="dxa"/>
          </w:tcPr>
          <w:p>
            <w:pPr>
              <w:pStyle w:val="122"/>
              <w:spacing w:line="360" w:lineRule="auto"/>
              <w:rPr>
                <w:sz w:val="24"/>
                <w:szCs w:val="24"/>
                <w:highlight w:val="none"/>
                <w:lang w:val="en-US"/>
              </w:rPr>
            </w:pPr>
          </w:p>
        </w:tc>
        <w:tc>
          <w:tcPr>
            <w:tcW w:w="1141" w:type="dxa"/>
          </w:tcPr>
          <w:p>
            <w:pPr>
              <w:pStyle w:val="122"/>
              <w:spacing w:line="360" w:lineRule="auto"/>
              <w:rPr>
                <w:sz w:val="24"/>
                <w:szCs w:val="24"/>
                <w:highlight w:val="none"/>
                <w:lang w:val="en-US"/>
              </w:rPr>
            </w:pPr>
          </w:p>
        </w:tc>
        <w:tc>
          <w:tcPr>
            <w:tcW w:w="1768" w:type="dxa"/>
          </w:tcPr>
          <w:p>
            <w:pPr>
              <w:pStyle w:val="122"/>
              <w:spacing w:line="360" w:lineRule="auto"/>
              <w:rPr>
                <w:sz w:val="24"/>
                <w:szCs w:val="24"/>
                <w:highlight w:val="none"/>
                <w:lang w:val="en-US"/>
              </w:rPr>
            </w:pPr>
          </w:p>
        </w:tc>
        <w:tc>
          <w:tcPr>
            <w:tcW w:w="951" w:type="dxa"/>
          </w:tcPr>
          <w:p>
            <w:pPr>
              <w:pStyle w:val="122"/>
              <w:spacing w:line="360" w:lineRule="auto"/>
              <w:rPr>
                <w:sz w:val="24"/>
                <w:szCs w:val="24"/>
                <w:highlight w:val="none"/>
                <w:lang w:val="en-US"/>
              </w:rPr>
            </w:pPr>
          </w:p>
        </w:tc>
        <w:tc>
          <w:tcPr>
            <w:tcW w:w="1454" w:type="dxa"/>
          </w:tcPr>
          <w:p>
            <w:pPr>
              <w:pStyle w:val="122"/>
              <w:spacing w:line="360" w:lineRule="auto"/>
              <w:rPr>
                <w:sz w:val="24"/>
                <w:szCs w:val="24"/>
                <w:highlight w:val="none"/>
                <w:lang w:val="en-US"/>
              </w:rPr>
            </w:pPr>
          </w:p>
        </w:tc>
        <w:tc>
          <w:tcPr>
            <w:tcW w:w="1093" w:type="dxa"/>
          </w:tcPr>
          <w:p>
            <w:pPr>
              <w:pStyle w:val="122"/>
              <w:spacing w:line="360" w:lineRule="auto"/>
              <w:rPr>
                <w:sz w:val="24"/>
                <w:szCs w:val="24"/>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455" w:type="dxa"/>
          </w:tcPr>
          <w:p>
            <w:pPr>
              <w:pStyle w:val="122"/>
              <w:spacing w:line="360" w:lineRule="auto"/>
              <w:rPr>
                <w:sz w:val="24"/>
                <w:szCs w:val="24"/>
                <w:highlight w:val="none"/>
                <w:lang w:val="en-US"/>
              </w:rPr>
            </w:pPr>
          </w:p>
        </w:tc>
        <w:tc>
          <w:tcPr>
            <w:tcW w:w="1141" w:type="dxa"/>
          </w:tcPr>
          <w:p>
            <w:pPr>
              <w:pStyle w:val="122"/>
              <w:spacing w:line="360" w:lineRule="auto"/>
              <w:rPr>
                <w:sz w:val="24"/>
                <w:szCs w:val="24"/>
                <w:highlight w:val="none"/>
                <w:lang w:val="en-US"/>
              </w:rPr>
            </w:pPr>
          </w:p>
        </w:tc>
        <w:tc>
          <w:tcPr>
            <w:tcW w:w="1768" w:type="dxa"/>
          </w:tcPr>
          <w:p>
            <w:pPr>
              <w:pStyle w:val="122"/>
              <w:spacing w:line="360" w:lineRule="auto"/>
              <w:rPr>
                <w:sz w:val="24"/>
                <w:szCs w:val="24"/>
                <w:highlight w:val="none"/>
                <w:lang w:val="en-US"/>
              </w:rPr>
            </w:pPr>
          </w:p>
        </w:tc>
        <w:tc>
          <w:tcPr>
            <w:tcW w:w="951" w:type="dxa"/>
          </w:tcPr>
          <w:p>
            <w:pPr>
              <w:pStyle w:val="122"/>
              <w:spacing w:line="360" w:lineRule="auto"/>
              <w:rPr>
                <w:sz w:val="24"/>
                <w:szCs w:val="24"/>
                <w:highlight w:val="none"/>
                <w:lang w:val="en-US"/>
              </w:rPr>
            </w:pPr>
          </w:p>
        </w:tc>
        <w:tc>
          <w:tcPr>
            <w:tcW w:w="1454" w:type="dxa"/>
          </w:tcPr>
          <w:p>
            <w:pPr>
              <w:pStyle w:val="122"/>
              <w:spacing w:line="360" w:lineRule="auto"/>
              <w:rPr>
                <w:sz w:val="24"/>
                <w:szCs w:val="24"/>
                <w:highlight w:val="none"/>
                <w:lang w:val="en-US"/>
              </w:rPr>
            </w:pPr>
          </w:p>
        </w:tc>
        <w:tc>
          <w:tcPr>
            <w:tcW w:w="1093" w:type="dxa"/>
          </w:tcPr>
          <w:p>
            <w:pPr>
              <w:pStyle w:val="122"/>
              <w:spacing w:line="360" w:lineRule="auto"/>
              <w:rPr>
                <w:sz w:val="24"/>
                <w:szCs w:val="24"/>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455" w:type="dxa"/>
          </w:tcPr>
          <w:p>
            <w:pPr>
              <w:pStyle w:val="122"/>
              <w:spacing w:line="360" w:lineRule="auto"/>
              <w:rPr>
                <w:sz w:val="24"/>
                <w:szCs w:val="24"/>
                <w:highlight w:val="none"/>
                <w:lang w:val="en-US"/>
              </w:rPr>
            </w:pPr>
          </w:p>
        </w:tc>
        <w:tc>
          <w:tcPr>
            <w:tcW w:w="1141" w:type="dxa"/>
          </w:tcPr>
          <w:p>
            <w:pPr>
              <w:pStyle w:val="122"/>
              <w:spacing w:line="360" w:lineRule="auto"/>
              <w:rPr>
                <w:sz w:val="24"/>
                <w:szCs w:val="24"/>
                <w:highlight w:val="none"/>
                <w:lang w:val="en-US"/>
              </w:rPr>
            </w:pPr>
          </w:p>
        </w:tc>
        <w:tc>
          <w:tcPr>
            <w:tcW w:w="1768" w:type="dxa"/>
          </w:tcPr>
          <w:p>
            <w:pPr>
              <w:pStyle w:val="122"/>
              <w:spacing w:line="360" w:lineRule="auto"/>
              <w:rPr>
                <w:sz w:val="24"/>
                <w:szCs w:val="24"/>
                <w:highlight w:val="none"/>
                <w:lang w:val="en-US"/>
              </w:rPr>
            </w:pPr>
          </w:p>
        </w:tc>
        <w:tc>
          <w:tcPr>
            <w:tcW w:w="951" w:type="dxa"/>
          </w:tcPr>
          <w:p>
            <w:pPr>
              <w:pStyle w:val="122"/>
              <w:spacing w:line="360" w:lineRule="auto"/>
              <w:rPr>
                <w:sz w:val="24"/>
                <w:szCs w:val="24"/>
                <w:highlight w:val="none"/>
                <w:lang w:val="en-US"/>
              </w:rPr>
            </w:pPr>
          </w:p>
        </w:tc>
        <w:tc>
          <w:tcPr>
            <w:tcW w:w="1454" w:type="dxa"/>
          </w:tcPr>
          <w:p>
            <w:pPr>
              <w:pStyle w:val="122"/>
              <w:spacing w:line="360" w:lineRule="auto"/>
              <w:rPr>
                <w:sz w:val="24"/>
                <w:szCs w:val="24"/>
                <w:highlight w:val="none"/>
                <w:lang w:val="en-US"/>
              </w:rPr>
            </w:pPr>
          </w:p>
        </w:tc>
        <w:tc>
          <w:tcPr>
            <w:tcW w:w="1093" w:type="dxa"/>
          </w:tcPr>
          <w:p>
            <w:pPr>
              <w:pStyle w:val="122"/>
              <w:spacing w:line="360" w:lineRule="auto"/>
              <w:rPr>
                <w:sz w:val="24"/>
                <w:szCs w:val="24"/>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455" w:type="dxa"/>
          </w:tcPr>
          <w:p>
            <w:pPr>
              <w:pStyle w:val="122"/>
              <w:spacing w:line="360" w:lineRule="auto"/>
              <w:rPr>
                <w:sz w:val="24"/>
                <w:szCs w:val="24"/>
                <w:highlight w:val="none"/>
                <w:lang w:val="en-US"/>
              </w:rPr>
            </w:pPr>
          </w:p>
        </w:tc>
        <w:tc>
          <w:tcPr>
            <w:tcW w:w="1141" w:type="dxa"/>
          </w:tcPr>
          <w:p>
            <w:pPr>
              <w:pStyle w:val="122"/>
              <w:spacing w:line="360" w:lineRule="auto"/>
              <w:rPr>
                <w:sz w:val="24"/>
                <w:szCs w:val="24"/>
                <w:highlight w:val="none"/>
                <w:lang w:val="en-US"/>
              </w:rPr>
            </w:pPr>
          </w:p>
        </w:tc>
        <w:tc>
          <w:tcPr>
            <w:tcW w:w="1768" w:type="dxa"/>
          </w:tcPr>
          <w:p>
            <w:pPr>
              <w:pStyle w:val="122"/>
              <w:spacing w:line="360" w:lineRule="auto"/>
              <w:rPr>
                <w:sz w:val="24"/>
                <w:szCs w:val="24"/>
                <w:highlight w:val="none"/>
                <w:lang w:val="en-US"/>
              </w:rPr>
            </w:pPr>
          </w:p>
        </w:tc>
        <w:tc>
          <w:tcPr>
            <w:tcW w:w="951" w:type="dxa"/>
          </w:tcPr>
          <w:p>
            <w:pPr>
              <w:pStyle w:val="122"/>
              <w:spacing w:line="360" w:lineRule="auto"/>
              <w:rPr>
                <w:sz w:val="24"/>
                <w:szCs w:val="24"/>
                <w:highlight w:val="none"/>
                <w:lang w:val="en-US"/>
              </w:rPr>
            </w:pPr>
          </w:p>
        </w:tc>
        <w:tc>
          <w:tcPr>
            <w:tcW w:w="1454" w:type="dxa"/>
          </w:tcPr>
          <w:p>
            <w:pPr>
              <w:pStyle w:val="122"/>
              <w:spacing w:line="360" w:lineRule="auto"/>
              <w:rPr>
                <w:sz w:val="24"/>
                <w:szCs w:val="24"/>
                <w:highlight w:val="none"/>
                <w:lang w:val="en-US"/>
              </w:rPr>
            </w:pPr>
          </w:p>
        </w:tc>
        <w:tc>
          <w:tcPr>
            <w:tcW w:w="1093" w:type="dxa"/>
          </w:tcPr>
          <w:p>
            <w:pPr>
              <w:pStyle w:val="122"/>
              <w:spacing w:line="360" w:lineRule="auto"/>
              <w:rPr>
                <w:sz w:val="24"/>
                <w:szCs w:val="24"/>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455" w:type="dxa"/>
          </w:tcPr>
          <w:p>
            <w:pPr>
              <w:pStyle w:val="122"/>
              <w:spacing w:line="360" w:lineRule="auto"/>
              <w:rPr>
                <w:sz w:val="24"/>
                <w:szCs w:val="24"/>
                <w:highlight w:val="none"/>
                <w:lang w:val="en-US"/>
              </w:rPr>
            </w:pPr>
          </w:p>
        </w:tc>
        <w:tc>
          <w:tcPr>
            <w:tcW w:w="1141" w:type="dxa"/>
          </w:tcPr>
          <w:p>
            <w:pPr>
              <w:pStyle w:val="122"/>
              <w:spacing w:line="360" w:lineRule="auto"/>
              <w:rPr>
                <w:sz w:val="24"/>
                <w:szCs w:val="24"/>
                <w:highlight w:val="none"/>
                <w:lang w:val="en-US"/>
              </w:rPr>
            </w:pPr>
          </w:p>
        </w:tc>
        <w:tc>
          <w:tcPr>
            <w:tcW w:w="1768" w:type="dxa"/>
          </w:tcPr>
          <w:p>
            <w:pPr>
              <w:pStyle w:val="122"/>
              <w:spacing w:line="360" w:lineRule="auto"/>
              <w:rPr>
                <w:sz w:val="24"/>
                <w:szCs w:val="24"/>
                <w:highlight w:val="none"/>
                <w:lang w:val="en-US"/>
              </w:rPr>
            </w:pPr>
          </w:p>
        </w:tc>
        <w:tc>
          <w:tcPr>
            <w:tcW w:w="951" w:type="dxa"/>
          </w:tcPr>
          <w:p>
            <w:pPr>
              <w:pStyle w:val="122"/>
              <w:spacing w:line="360" w:lineRule="auto"/>
              <w:rPr>
                <w:sz w:val="24"/>
                <w:szCs w:val="24"/>
                <w:highlight w:val="none"/>
                <w:lang w:val="en-US"/>
              </w:rPr>
            </w:pPr>
          </w:p>
        </w:tc>
        <w:tc>
          <w:tcPr>
            <w:tcW w:w="1454" w:type="dxa"/>
          </w:tcPr>
          <w:p>
            <w:pPr>
              <w:pStyle w:val="122"/>
              <w:spacing w:line="360" w:lineRule="auto"/>
              <w:rPr>
                <w:sz w:val="24"/>
                <w:szCs w:val="24"/>
                <w:highlight w:val="none"/>
                <w:lang w:val="en-US"/>
              </w:rPr>
            </w:pPr>
          </w:p>
        </w:tc>
        <w:tc>
          <w:tcPr>
            <w:tcW w:w="1093" w:type="dxa"/>
          </w:tcPr>
          <w:p>
            <w:pPr>
              <w:pStyle w:val="122"/>
              <w:spacing w:line="360" w:lineRule="auto"/>
              <w:rPr>
                <w:sz w:val="24"/>
                <w:szCs w:val="24"/>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455" w:type="dxa"/>
          </w:tcPr>
          <w:p>
            <w:pPr>
              <w:pStyle w:val="122"/>
              <w:spacing w:line="360" w:lineRule="auto"/>
              <w:rPr>
                <w:sz w:val="24"/>
                <w:szCs w:val="24"/>
                <w:highlight w:val="none"/>
                <w:lang w:val="en-US"/>
              </w:rPr>
            </w:pPr>
          </w:p>
        </w:tc>
        <w:tc>
          <w:tcPr>
            <w:tcW w:w="1141" w:type="dxa"/>
          </w:tcPr>
          <w:p>
            <w:pPr>
              <w:pStyle w:val="122"/>
              <w:spacing w:line="360" w:lineRule="auto"/>
              <w:rPr>
                <w:sz w:val="24"/>
                <w:szCs w:val="24"/>
                <w:highlight w:val="none"/>
                <w:lang w:val="en-US"/>
              </w:rPr>
            </w:pPr>
          </w:p>
        </w:tc>
        <w:tc>
          <w:tcPr>
            <w:tcW w:w="1768" w:type="dxa"/>
          </w:tcPr>
          <w:p>
            <w:pPr>
              <w:pStyle w:val="122"/>
              <w:spacing w:line="360" w:lineRule="auto"/>
              <w:rPr>
                <w:sz w:val="24"/>
                <w:szCs w:val="24"/>
                <w:highlight w:val="none"/>
                <w:lang w:val="en-US"/>
              </w:rPr>
            </w:pPr>
          </w:p>
        </w:tc>
        <w:tc>
          <w:tcPr>
            <w:tcW w:w="951" w:type="dxa"/>
          </w:tcPr>
          <w:p>
            <w:pPr>
              <w:pStyle w:val="122"/>
              <w:spacing w:line="360" w:lineRule="auto"/>
              <w:rPr>
                <w:sz w:val="24"/>
                <w:szCs w:val="24"/>
                <w:highlight w:val="none"/>
                <w:lang w:val="en-US"/>
              </w:rPr>
            </w:pPr>
          </w:p>
        </w:tc>
        <w:tc>
          <w:tcPr>
            <w:tcW w:w="1454" w:type="dxa"/>
          </w:tcPr>
          <w:p>
            <w:pPr>
              <w:pStyle w:val="122"/>
              <w:spacing w:line="360" w:lineRule="auto"/>
              <w:rPr>
                <w:sz w:val="24"/>
                <w:szCs w:val="24"/>
                <w:highlight w:val="none"/>
                <w:lang w:val="en-US"/>
              </w:rPr>
            </w:pPr>
          </w:p>
        </w:tc>
        <w:tc>
          <w:tcPr>
            <w:tcW w:w="1093" w:type="dxa"/>
          </w:tcPr>
          <w:p>
            <w:pPr>
              <w:pStyle w:val="122"/>
              <w:spacing w:line="360" w:lineRule="auto"/>
              <w:rPr>
                <w:sz w:val="24"/>
                <w:szCs w:val="24"/>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455" w:type="dxa"/>
          </w:tcPr>
          <w:p>
            <w:pPr>
              <w:pStyle w:val="122"/>
              <w:spacing w:line="360" w:lineRule="auto"/>
              <w:rPr>
                <w:sz w:val="24"/>
                <w:szCs w:val="24"/>
                <w:highlight w:val="none"/>
                <w:lang w:val="en-US"/>
              </w:rPr>
            </w:pPr>
          </w:p>
        </w:tc>
        <w:tc>
          <w:tcPr>
            <w:tcW w:w="1141" w:type="dxa"/>
          </w:tcPr>
          <w:p>
            <w:pPr>
              <w:pStyle w:val="122"/>
              <w:spacing w:line="360" w:lineRule="auto"/>
              <w:rPr>
                <w:sz w:val="24"/>
                <w:szCs w:val="24"/>
                <w:highlight w:val="none"/>
                <w:lang w:val="en-US"/>
              </w:rPr>
            </w:pPr>
          </w:p>
        </w:tc>
        <w:tc>
          <w:tcPr>
            <w:tcW w:w="1768" w:type="dxa"/>
          </w:tcPr>
          <w:p>
            <w:pPr>
              <w:pStyle w:val="122"/>
              <w:spacing w:line="360" w:lineRule="auto"/>
              <w:rPr>
                <w:sz w:val="24"/>
                <w:szCs w:val="24"/>
                <w:highlight w:val="none"/>
                <w:lang w:val="en-US"/>
              </w:rPr>
            </w:pPr>
          </w:p>
        </w:tc>
        <w:tc>
          <w:tcPr>
            <w:tcW w:w="951" w:type="dxa"/>
          </w:tcPr>
          <w:p>
            <w:pPr>
              <w:pStyle w:val="122"/>
              <w:spacing w:line="360" w:lineRule="auto"/>
              <w:rPr>
                <w:sz w:val="24"/>
                <w:szCs w:val="24"/>
                <w:highlight w:val="none"/>
                <w:lang w:val="en-US"/>
              </w:rPr>
            </w:pPr>
          </w:p>
        </w:tc>
        <w:tc>
          <w:tcPr>
            <w:tcW w:w="1454" w:type="dxa"/>
          </w:tcPr>
          <w:p>
            <w:pPr>
              <w:pStyle w:val="122"/>
              <w:spacing w:line="360" w:lineRule="auto"/>
              <w:rPr>
                <w:sz w:val="24"/>
                <w:szCs w:val="24"/>
                <w:highlight w:val="none"/>
                <w:lang w:val="en-US"/>
              </w:rPr>
            </w:pPr>
          </w:p>
        </w:tc>
        <w:tc>
          <w:tcPr>
            <w:tcW w:w="1093" w:type="dxa"/>
          </w:tcPr>
          <w:p>
            <w:pPr>
              <w:pStyle w:val="122"/>
              <w:spacing w:line="360" w:lineRule="auto"/>
              <w:rPr>
                <w:sz w:val="24"/>
                <w:szCs w:val="24"/>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455" w:type="dxa"/>
          </w:tcPr>
          <w:p>
            <w:pPr>
              <w:pStyle w:val="122"/>
              <w:spacing w:line="360" w:lineRule="auto"/>
              <w:rPr>
                <w:sz w:val="24"/>
                <w:szCs w:val="24"/>
                <w:highlight w:val="none"/>
                <w:lang w:val="en-US"/>
              </w:rPr>
            </w:pPr>
          </w:p>
        </w:tc>
        <w:tc>
          <w:tcPr>
            <w:tcW w:w="1141" w:type="dxa"/>
          </w:tcPr>
          <w:p>
            <w:pPr>
              <w:pStyle w:val="122"/>
              <w:spacing w:line="360" w:lineRule="auto"/>
              <w:rPr>
                <w:sz w:val="24"/>
                <w:szCs w:val="24"/>
                <w:highlight w:val="none"/>
                <w:lang w:val="en-US"/>
              </w:rPr>
            </w:pPr>
          </w:p>
        </w:tc>
        <w:tc>
          <w:tcPr>
            <w:tcW w:w="1768" w:type="dxa"/>
          </w:tcPr>
          <w:p>
            <w:pPr>
              <w:pStyle w:val="122"/>
              <w:spacing w:line="360" w:lineRule="auto"/>
              <w:rPr>
                <w:sz w:val="24"/>
                <w:szCs w:val="24"/>
                <w:highlight w:val="none"/>
                <w:lang w:val="en-US"/>
              </w:rPr>
            </w:pPr>
          </w:p>
        </w:tc>
        <w:tc>
          <w:tcPr>
            <w:tcW w:w="951" w:type="dxa"/>
          </w:tcPr>
          <w:p>
            <w:pPr>
              <w:pStyle w:val="122"/>
              <w:spacing w:line="360" w:lineRule="auto"/>
              <w:rPr>
                <w:sz w:val="24"/>
                <w:szCs w:val="24"/>
                <w:highlight w:val="none"/>
                <w:lang w:val="en-US"/>
              </w:rPr>
            </w:pPr>
          </w:p>
        </w:tc>
        <w:tc>
          <w:tcPr>
            <w:tcW w:w="1454" w:type="dxa"/>
          </w:tcPr>
          <w:p>
            <w:pPr>
              <w:pStyle w:val="122"/>
              <w:spacing w:line="360" w:lineRule="auto"/>
              <w:rPr>
                <w:sz w:val="24"/>
                <w:szCs w:val="24"/>
                <w:highlight w:val="none"/>
                <w:lang w:val="en-US"/>
              </w:rPr>
            </w:pPr>
          </w:p>
        </w:tc>
        <w:tc>
          <w:tcPr>
            <w:tcW w:w="1093" w:type="dxa"/>
          </w:tcPr>
          <w:p>
            <w:pPr>
              <w:pStyle w:val="122"/>
              <w:spacing w:line="360" w:lineRule="auto"/>
              <w:rPr>
                <w:sz w:val="24"/>
                <w:szCs w:val="24"/>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455" w:type="dxa"/>
          </w:tcPr>
          <w:p>
            <w:pPr>
              <w:pStyle w:val="122"/>
              <w:spacing w:line="360" w:lineRule="auto"/>
              <w:rPr>
                <w:sz w:val="24"/>
                <w:szCs w:val="24"/>
                <w:highlight w:val="none"/>
                <w:lang w:val="en-US"/>
              </w:rPr>
            </w:pPr>
          </w:p>
        </w:tc>
        <w:tc>
          <w:tcPr>
            <w:tcW w:w="1141" w:type="dxa"/>
          </w:tcPr>
          <w:p>
            <w:pPr>
              <w:pStyle w:val="122"/>
              <w:spacing w:line="360" w:lineRule="auto"/>
              <w:rPr>
                <w:sz w:val="24"/>
                <w:szCs w:val="24"/>
                <w:highlight w:val="none"/>
                <w:lang w:val="en-US"/>
              </w:rPr>
            </w:pPr>
          </w:p>
        </w:tc>
        <w:tc>
          <w:tcPr>
            <w:tcW w:w="1768" w:type="dxa"/>
          </w:tcPr>
          <w:p>
            <w:pPr>
              <w:pStyle w:val="122"/>
              <w:spacing w:line="360" w:lineRule="auto"/>
              <w:rPr>
                <w:sz w:val="24"/>
                <w:szCs w:val="24"/>
                <w:highlight w:val="none"/>
                <w:lang w:val="en-US"/>
              </w:rPr>
            </w:pPr>
          </w:p>
        </w:tc>
        <w:tc>
          <w:tcPr>
            <w:tcW w:w="951" w:type="dxa"/>
          </w:tcPr>
          <w:p>
            <w:pPr>
              <w:pStyle w:val="122"/>
              <w:spacing w:line="360" w:lineRule="auto"/>
              <w:rPr>
                <w:sz w:val="24"/>
                <w:szCs w:val="24"/>
                <w:highlight w:val="none"/>
                <w:lang w:val="en-US"/>
              </w:rPr>
            </w:pPr>
          </w:p>
        </w:tc>
        <w:tc>
          <w:tcPr>
            <w:tcW w:w="1454" w:type="dxa"/>
          </w:tcPr>
          <w:p>
            <w:pPr>
              <w:pStyle w:val="122"/>
              <w:spacing w:line="360" w:lineRule="auto"/>
              <w:rPr>
                <w:sz w:val="24"/>
                <w:szCs w:val="24"/>
                <w:highlight w:val="none"/>
                <w:lang w:val="en-US"/>
              </w:rPr>
            </w:pPr>
          </w:p>
        </w:tc>
        <w:tc>
          <w:tcPr>
            <w:tcW w:w="1093" w:type="dxa"/>
          </w:tcPr>
          <w:p>
            <w:pPr>
              <w:pStyle w:val="122"/>
              <w:spacing w:line="360" w:lineRule="auto"/>
              <w:rPr>
                <w:sz w:val="24"/>
                <w:szCs w:val="24"/>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455" w:type="dxa"/>
          </w:tcPr>
          <w:p>
            <w:pPr>
              <w:pStyle w:val="122"/>
              <w:spacing w:line="360" w:lineRule="auto"/>
              <w:rPr>
                <w:sz w:val="24"/>
                <w:szCs w:val="24"/>
                <w:highlight w:val="none"/>
                <w:lang w:val="en-US"/>
              </w:rPr>
            </w:pPr>
          </w:p>
        </w:tc>
        <w:tc>
          <w:tcPr>
            <w:tcW w:w="1141" w:type="dxa"/>
          </w:tcPr>
          <w:p>
            <w:pPr>
              <w:pStyle w:val="122"/>
              <w:spacing w:line="360" w:lineRule="auto"/>
              <w:rPr>
                <w:sz w:val="24"/>
                <w:szCs w:val="24"/>
                <w:highlight w:val="none"/>
                <w:lang w:val="en-US"/>
              </w:rPr>
            </w:pPr>
          </w:p>
        </w:tc>
        <w:tc>
          <w:tcPr>
            <w:tcW w:w="1768" w:type="dxa"/>
          </w:tcPr>
          <w:p>
            <w:pPr>
              <w:pStyle w:val="122"/>
              <w:spacing w:line="360" w:lineRule="auto"/>
              <w:rPr>
                <w:sz w:val="24"/>
                <w:szCs w:val="24"/>
                <w:highlight w:val="none"/>
                <w:lang w:val="en-US"/>
              </w:rPr>
            </w:pPr>
          </w:p>
        </w:tc>
        <w:tc>
          <w:tcPr>
            <w:tcW w:w="951" w:type="dxa"/>
          </w:tcPr>
          <w:p>
            <w:pPr>
              <w:pStyle w:val="122"/>
              <w:spacing w:line="360" w:lineRule="auto"/>
              <w:rPr>
                <w:sz w:val="24"/>
                <w:szCs w:val="24"/>
                <w:highlight w:val="none"/>
                <w:lang w:val="en-US"/>
              </w:rPr>
            </w:pPr>
          </w:p>
        </w:tc>
        <w:tc>
          <w:tcPr>
            <w:tcW w:w="1454" w:type="dxa"/>
          </w:tcPr>
          <w:p>
            <w:pPr>
              <w:pStyle w:val="122"/>
              <w:spacing w:line="360" w:lineRule="auto"/>
              <w:rPr>
                <w:sz w:val="24"/>
                <w:szCs w:val="24"/>
                <w:highlight w:val="none"/>
                <w:lang w:val="en-US"/>
              </w:rPr>
            </w:pPr>
          </w:p>
        </w:tc>
        <w:tc>
          <w:tcPr>
            <w:tcW w:w="1093" w:type="dxa"/>
          </w:tcPr>
          <w:p>
            <w:pPr>
              <w:pStyle w:val="122"/>
              <w:spacing w:line="360" w:lineRule="auto"/>
              <w:rPr>
                <w:sz w:val="24"/>
                <w:szCs w:val="24"/>
                <w:highlight w:val="none"/>
                <w:lang w:val="en-US"/>
              </w:rPr>
            </w:pPr>
          </w:p>
        </w:tc>
      </w:tr>
    </w:tbl>
    <w:p>
      <w:pPr>
        <w:spacing w:afterLines="50"/>
        <w:jc w:val="left"/>
        <w:rPr>
          <w:b/>
          <w:sz w:val="23"/>
          <w:szCs w:val="23"/>
          <w:highlight w:val="none"/>
        </w:rPr>
      </w:pPr>
    </w:p>
    <w:p>
      <w:pPr>
        <w:spacing w:afterLines="50"/>
        <w:jc w:val="left"/>
        <w:rPr>
          <w:b/>
          <w:sz w:val="23"/>
          <w:szCs w:val="23"/>
          <w:highlight w:val="none"/>
        </w:rPr>
      </w:pPr>
      <w:r>
        <w:rPr>
          <w:rFonts w:hint="eastAsia"/>
          <w:b/>
          <w:sz w:val="23"/>
          <w:szCs w:val="23"/>
          <w:highlight w:val="none"/>
        </w:rPr>
        <w:t>注：附其他团队成员的身份证复印件并加盖公章。</w:t>
      </w:r>
    </w:p>
    <w:p>
      <w:pPr>
        <w:pStyle w:val="17"/>
        <w:rPr>
          <w:highlight w:val="none"/>
        </w:rPr>
      </w:pPr>
    </w:p>
    <w:p>
      <w:pPr>
        <w:spacing w:line="380" w:lineRule="exact"/>
        <w:rPr>
          <w:rFonts w:ascii="宋体" w:hAnsi="宋体"/>
          <w:sz w:val="22"/>
          <w:szCs w:val="22"/>
          <w:highlight w:val="none"/>
        </w:rPr>
      </w:pPr>
      <w:r>
        <w:rPr>
          <w:rFonts w:hint="eastAsia" w:ascii="宋体" w:hAnsi="宋体"/>
          <w:sz w:val="22"/>
          <w:szCs w:val="22"/>
          <w:highlight w:val="none"/>
        </w:rPr>
        <w:t>投标人（公章）：</w:t>
      </w:r>
    </w:p>
    <w:p>
      <w:pPr>
        <w:spacing w:line="380" w:lineRule="exact"/>
        <w:rPr>
          <w:rFonts w:ascii="宋体" w:hAnsi="宋体"/>
          <w:sz w:val="22"/>
          <w:szCs w:val="22"/>
          <w:highlight w:val="none"/>
          <w:u w:val="single"/>
        </w:rPr>
      </w:pPr>
      <w:r>
        <w:rPr>
          <w:rFonts w:hint="eastAsia" w:ascii="宋体" w:hAnsi="宋体"/>
          <w:sz w:val="22"/>
          <w:szCs w:val="22"/>
          <w:highlight w:val="none"/>
        </w:rPr>
        <w:t>投标人代表（签字或印章）：</w:t>
      </w:r>
    </w:p>
    <w:p>
      <w:pPr>
        <w:jc w:val="center"/>
        <w:rPr>
          <w:rFonts w:asciiTheme="minorEastAsia" w:hAnsiTheme="minorEastAsia" w:eastAsiaTheme="minorEastAsia"/>
          <w:b/>
          <w:sz w:val="24"/>
          <w:szCs w:val="24"/>
          <w:highlight w:val="none"/>
        </w:rPr>
      </w:pPr>
      <w:r>
        <w:rPr>
          <w:rFonts w:hint="eastAsia" w:ascii="宋体"/>
          <w:sz w:val="22"/>
          <w:szCs w:val="22"/>
          <w:highlight w:val="none"/>
        </w:rPr>
        <w:t>日期：</w:t>
      </w:r>
    </w:p>
    <w:p>
      <w:pPr>
        <w:jc w:val="center"/>
        <w:rPr>
          <w:rFonts w:asciiTheme="minorEastAsia" w:hAnsiTheme="minorEastAsia" w:eastAsiaTheme="minorEastAsia"/>
          <w:b/>
          <w:sz w:val="24"/>
          <w:szCs w:val="24"/>
          <w:highlight w:val="none"/>
        </w:rPr>
      </w:pPr>
    </w:p>
    <w:p>
      <w:pPr>
        <w:jc w:val="center"/>
        <w:rPr>
          <w:rFonts w:asciiTheme="minorEastAsia" w:hAnsiTheme="minorEastAsia" w:eastAsiaTheme="minorEastAsia"/>
          <w:b/>
          <w:sz w:val="24"/>
          <w:szCs w:val="24"/>
          <w:highlight w:val="none"/>
        </w:rPr>
      </w:pPr>
    </w:p>
    <w:p>
      <w:pPr>
        <w:spacing w:line="380" w:lineRule="exact"/>
        <w:rPr>
          <w:rFonts w:asciiTheme="minorEastAsia" w:hAnsiTheme="minorEastAsia" w:eastAsiaTheme="minorEastAsia"/>
          <w:sz w:val="22"/>
          <w:szCs w:val="22"/>
          <w:highlight w:val="none"/>
          <w:u w:val="single"/>
        </w:rPr>
      </w:pPr>
    </w:p>
    <w:p>
      <w:pPr>
        <w:spacing w:afterLines="50"/>
        <w:jc w:val="left"/>
        <w:rPr>
          <w:rFonts w:asciiTheme="minorEastAsia" w:hAnsiTheme="minorEastAsia" w:eastAsiaTheme="minorEastAsia"/>
          <w:sz w:val="22"/>
          <w:szCs w:val="22"/>
          <w:highlight w:val="none"/>
          <w:u w:val="single"/>
        </w:rPr>
        <w:sectPr>
          <w:pgSz w:w="11907" w:h="16840"/>
          <w:pgMar w:top="1304" w:right="1588" w:bottom="1560" w:left="1588" w:header="720" w:footer="720" w:gutter="0"/>
          <w:cols w:space="720" w:num="1"/>
          <w:docGrid w:linePitch="285" w:charSpace="0"/>
        </w:sectPr>
      </w:pPr>
    </w:p>
    <w:p>
      <w:pPr>
        <w:spacing w:afterLines="50"/>
        <w:jc w:val="center"/>
        <w:rPr>
          <w:rFonts w:ascii="宋体"/>
          <w:b/>
          <w:sz w:val="24"/>
          <w:szCs w:val="24"/>
          <w:highlight w:val="none"/>
        </w:rPr>
      </w:pPr>
      <w:r>
        <w:rPr>
          <w:rFonts w:hint="eastAsia" w:ascii="宋体" w:hAnsi="宋体"/>
          <w:b/>
          <w:sz w:val="24"/>
          <w:szCs w:val="24"/>
          <w:highlight w:val="none"/>
        </w:rPr>
        <w:t>3、服务方案</w:t>
      </w:r>
    </w:p>
    <w:p>
      <w:pPr>
        <w:pStyle w:val="120"/>
        <w:ind w:firstLine="0" w:firstLineChars="0"/>
        <w:rPr>
          <w:highlight w:val="none"/>
        </w:rPr>
      </w:pPr>
      <w:r>
        <w:rPr>
          <w:rFonts w:hint="eastAsia"/>
          <w:highlight w:val="none"/>
        </w:rPr>
        <w:t>主要内容包括，但不限于：</w:t>
      </w:r>
    </w:p>
    <w:p>
      <w:pPr>
        <w:spacing w:afterLines="50"/>
        <w:jc w:val="center"/>
        <w:rPr>
          <w:rFonts w:asciiTheme="minorEastAsia" w:hAnsiTheme="minorEastAsia" w:eastAsiaTheme="minorEastAsia"/>
          <w:b/>
          <w:sz w:val="24"/>
          <w:szCs w:val="24"/>
          <w:highlight w:val="none"/>
        </w:rPr>
      </w:pPr>
    </w:p>
    <w:p>
      <w:pPr>
        <w:spacing w:line="360" w:lineRule="auto"/>
        <w:jc w:val="left"/>
        <w:rPr>
          <w:rFonts w:asciiTheme="minorEastAsia" w:hAnsiTheme="minorEastAsia" w:eastAsiaTheme="minorEastAsia"/>
          <w:b/>
          <w:sz w:val="24"/>
          <w:szCs w:val="24"/>
          <w:highlight w:val="none"/>
        </w:rPr>
      </w:pPr>
      <w:r>
        <w:rPr>
          <w:rFonts w:asciiTheme="minorEastAsia" w:hAnsiTheme="minorEastAsia" w:eastAsiaTheme="minorEastAsia"/>
          <w:b/>
          <w:sz w:val="24"/>
          <w:szCs w:val="24"/>
          <w:highlight w:val="none"/>
        </w:rPr>
        <w:br w:type="page"/>
      </w:r>
    </w:p>
    <w:p>
      <w:pPr>
        <w:spacing w:afterLines="50"/>
        <w:jc w:val="center"/>
        <w:rPr>
          <w:rFonts w:asciiTheme="minorEastAsia" w:hAnsiTheme="minorEastAsia" w:eastAsiaTheme="minorEastAsia"/>
          <w:b/>
          <w:sz w:val="24"/>
          <w:szCs w:val="24"/>
          <w:highlight w:val="none"/>
        </w:rPr>
      </w:pPr>
    </w:p>
    <w:p>
      <w:pPr>
        <w:spacing w:afterLines="50"/>
        <w:jc w:val="center"/>
        <w:rPr>
          <w:rFonts w:asciiTheme="minorEastAsia" w:hAnsiTheme="minorEastAsia" w:eastAsiaTheme="minorEastAsia"/>
          <w:b/>
          <w:sz w:val="24"/>
          <w:szCs w:val="24"/>
          <w:highlight w:val="none"/>
        </w:rPr>
        <w:sectPr>
          <w:pgSz w:w="11907" w:h="16840"/>
          <w:pgMar w:top="1111" w:right="1701" w:bottom="1418" w:left="1701" w:header="720" w:footer="720" w:gutter="0"/>
          <w:cols w:space="720" w:num="1"/>
          <w:docGrid w:type="lines" w:linePitch="286" w:charSpace="0"/>
        </w:sectPr>
      </w:pPr>
      <w:r>
        <w:rPr>
          <w:rFonts w:hint="eastAsia" w:asciiTheme="minorEastAsia" w:hAnsiTheme="minorEastAsia" w:eastAsiaTheme="minorEastAsia"/>
          <w:b/>
          <w:sz w:val="24"/>
          <w:szCs w:val="24"/>
          <w:highlight w:val="none"/>
        </w:rPr>
        <w:t>（六）评分标准或招标文件需要提供的其他技术商务材料</w:t>
      </w:r>
    </w:p>
    <w:p>
      <w:pPr>
        <w:spacing w:line="380" w:lineRule="exact"/>
        <w:rPr>
          <w:rFonts w:asciiTheme="minorEastAsia" w:hAnsiTheme="minorEastAsia" w:eastAsiaTheme="minorEastAsia"/>
          <w:sz w:val="24"/>
          <w:szCs w:val="24"/>
          <w:highlight w:val="none"/>
          <w:u w:val="single"/>
        </w:rPr>
      </w:pPr>
    </w:p>
    <w:p>
      <w:pPr>
        <w:widowControl/>
        <w:jc w:val="left"/>
        <w:rPr>
          <w:rFonts w:cs="宋体" w:asciiTheme="minorEastAsia" w:hAnsiTheme="minorEastAsia" w:eastAsiaTheme="minorEastAsia"/>
          <w:b/>
          <w:bCs/>
          <w:kern w:val="0"/>
          <w:szCs w:val="21"/>
          <w:highlight w:val="none"/>
        </w:rPr>
      </w:pPr>
    </w:p>
    <w:p>
      <w:pPr>
        <w:widowControl/>
        <w:spacing w:line="360" w:lineRule="auto"/>
        <w:jc w:val="left"/>
        <w:rPr>
          <w:rFonts w:cs="宋体" w:asciiTheme="minorEastAsia" w:hAnsiTheme="minorEastAsia" w:eastAsiaTheme="minorEastAsia"/>
          <w:kern w:val="0"/>
          <w:sz w:val="24"/>
          <w:highlight w:val="none"/>
        </w:rPr>
      </w:pPr>
      <w:r>
        <w:rPr>
          <w:rFonts w:hint="eastAsia" w:cs="宋体" w:asciiTheme="minorEastAsia" w:hAnsiTheme="minorEastAsia" w:eastAsiaTheme="minorEastAsia"/>
          <w:b/>
          <w:bCs/>
          <w:kern w:val="0"/>
          <w:szCs w:val="21"/>
          <w:highlight w:val="none"/>
        </w:rPr>
        <w:t>报价文件组成：</w:t>
      </w:r>
    </w:p>
    <w:p>
      <w:pPr>
        <w:tabs>
          <w:tab w:val="left" w:pos="1418"/>
        </w:tabs>
        <w:spacing w:line="360" w:lineRule="auto"/>
        <w:ind w:firstLine="420" w:firstLineChars="200"/>
        <w:contextualSpacing/>
        <w:rPr>
          <w:rFonts w:asciiTheme="minorEastAsia" w:hAnsiTheme="minorEastAsia" w:eastAsiaTheme="minorEastAsia"/>
          <w:szCs w:val="21"/>
          <w:highlight w:val="none"/>
        </w:rPr>
      </w:pPr>
      <w:r>
        <w:rPr>
          <w:rFonts w:hint="eastAsia" w:cs="宋体" w:asciiTheme="minorEastAsia" w:hAnsiTheme="minorEastAsia" w:eastAsiaTheme="minorEastAsia"/>
          <w:kern w:val="0"/>
          <w:szCs w:val="21"/>
          <w:highlight w:val="none"/>
        </w:rPr>
        <w:t>（1）</w:t>
      </w:r>
      <w:r>
        <w:rPr>
          <w:rFonts w:hint="eastAsia" w:asciiTheme="minorEastAsia" w:hAnsiTheme="minorEastAsia" w:eastAsiaTheme="minorEastAsia"/>
          <w:szCs w:val="21"/>
          <w:highlight w:val="none"/>
        </w:rPr>
        <w:t>投标函；</w:t>
      </w:r>
    </w:p>
    <w:p>
      <w:pPr>
        <w:tabs>
          <w:tab w:val="left" w:pos="1418"/>
        </w:tabs>
        <w:spacing w:line="360" w:lineRule="auto"/>
        <w:ind w:firstLine="420" w:firstLineChars="200"/>
        <w:contextualSpacing/>
        <w:rPr>
          <w:rFonts w:asciiTheme="minorEastAsia" w:hAnsiTheme="minorEastAsia" w:eastAsiaTheme="minorEastAsia"/>
          <w:szCs w:val="21"/>
          <w:highlight w:val="none"/>
        </w:rPr>
      </w:pPr>
      <w:r>
        <w:rPr>
          <w:rFonts w:hint="eastAsia" w:cs="宋体" w:asciiTheme="minorEastAsia" w:hAnsiTheme="minorEastAsia" w:eastAsiaTheme="minorEastAsia"/>
          <w:kern w:val="0"/>
          <w:szCs w:val="21"/>
          <w:highlight w:val="none"/>
        </w:rPr>
        <w:t>（2）</w:t>
      </w:r>
      <w:r>
        <w:rPr>
          <w:rFonts w:hint="eastAsia" w:asciiTheme="minorEastAsia" w:hAnsiTheme="minorEastAsia" w:eastAsiaTheme="minorEastAsia"/>
          <w:szCs w:val="21"/>
          <w:highlight w:val="none"/>
        </w:rPr>
        <w:t>开标一览表；</w:t>
      </w:r>
    </w:p>
    <w:p>
      <w:pPr>
        <w:tabs>
          <w:tab w:val="left" w:pos="1418"/>
        </w:tabs>
        <w:spacing w:line="360" w:lineRule="auto"/>
        <w:ind w:firstLine="420" w:firstLineChars="200"/>
        <w:contextualSpacing/>
        <w:rPr>
          <w:rFonts w:cs="宋体" w:asciiTheme="minorEastAsia" w:hAnsiTheme="minorEastAsia" w:eastAsiaTheme="minorEastAsia"/>
          <w:kern w:val="0"/>
          <w:szCs w:val="21"/>
          <w:highlight w:val="none"/>
        </w:rPr>
      </w:pPr>
      <w:r>
        <w:rPr>
          <w:rFonts w:hint="eastAsia" w:cs="宋体" w:asciiTheme="minorEastAsia" w:hAnsiTheme="minorEastAsia" w:eastAsiaTheme="minorEastAsia"/>
          <w:kern w:val="0"/>
          <w:szCs w:val="21"/>
          <w:highlight w:val="none"/>
        </w:rPr>
        <w:t>（</w:t>
      </w:r>
      <w:r>
        <w:rPr>
          <w:rFonts w:cs="宋体" w:asciiTheme="minorEastAsia" w:hAnsiTheme="minorEastAsia" w:eastAsiaTheme="minorEastAsia"/>
          <w:kern w:val="0"/>
          <w:szCs w:val="21"/>
          <w:highlight w:val="none"/>
        </w:rPr>
        <w:t>3</w:t>
      </w:r>
      <w:r>
        <w:rPr>
          <w:rFonts w:hint="eastAsia" w:cs="宋体" w:asciiTheme="minorEastAsia" w:hAnsiTheme="minorEastAsia" w:eastAsiaTheme="minorEastAsia"/>
          <w:kern w:val="0"/>
          <w:szCs w:val="21"/>
          <w:highlight w:val="none"/>
        </w:rPr>
        <w:t>）享受政府采购价格优惠政策需提供的证明资料</w:t>
      </w:r>
      <w:r>
        <w:rPr>
          <w:rFonts w:hint="eastAsia"/>
          <w:highlight w:val="none"/>
        </w:rPr>
        <w:t>【中小企业声明函（附件1）、残疾人福利性单位声明函（附件2）（如有需提供）】。</w:t>
      </w:r>
    </w:p>
    <w:p>
      <w:pPr>
        <w:rPr>
          <w:highlight w:val="none"/>
        </w:rPr>
      </w:pPr>
    </w:p>
    <w:p>
      <w:pPr>
        <w:widowControl/>
        <w:jc w:val="left"/>
        <w:rPr>
          <w:rFonts w:asciiTheme="minorEastAsia" w:hAnsiTheme="minorEastAsia" w:eastAsiaTheme="minorEastAsia"/>
          <w:b/>
          <w:sz w:val="24"/>
          <w:szCs w:val="24"/>
          <w:highlight w:val="none"/>
        </w:rPr>
      </w:pPr>
      <w:r>
        <w:rPr>
          <w:rFonts w:asciiTheme="minorEastAsia" w:hAnsiTheme="minorEastAsia" w:eastAsiaTheme="minorEastAsia"/>
          <w:bCs/>
          <w:sz w:val="24"/>
          <w:szCs w:val="24"/>
          <w:highlight w:val="none"/>
        </w:rPr>
        <w:br w:type="page"/>
      </w:r>
    </w:p>
    <w:p>
      <w:pPr>
        <w:pStyle w:val="5"/>
        <w:spacing w:line="380" w:lineRule="exact"/>
        <w:rPr>
          <w:rFonts w:asciiTheme="minorEastAsia" w:hAnsiTheme="minorEastAsia" w:eastAsiaTheme="minorEastAsia"/>
          <w:b w:val="0"/>
          <w:sz w:val="24"/>
          <w:szCs w:val="24"/>
          <w:highlight w:val="none"/>
        </w:rPr>
      </w:pPr>
      <w:bookmarkStart w:id="146" w:name="_Toc29305"/>
      <w:r>
        <w:rPr>
          <w:rFonts w:hint="eastAsia" w:asciiTheme="minorEastAsia" w:hAnsiTheme="minorEastAsia" w:eastAsiaTheme="minorEastAsia"/>
          <w:bCs w:val="0"/>
          <w:sz w:val="24"/>
          <w:szCs w:val="24"/>
          <w:highlight w:val="none"/>
        </w:rPr>
        <w:t>（一） 投 标 函</w:t>
      </w:r>
      <w:bookmarkEnd w:id="146"/>
    </w:p>
    <w:p>
      <w:pPr>
        <w:pStyle w:val="19"/>
        <w:ind w:firstLine="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u w:val="single"/>
        </w:rPr>
        <w:t xml:space="preserve">   致</w:t>
      </w:r>
      <w:r>
        <w:rPr>
          <w:rFonts w:hint="eastAsia" w:asciiTheme="minorEastAsia" w:hAnsiTheme="minorEastAsia" w:eastAsiaTheme="minorEastAsia"/>
          <w:i/>
          <w:sz w:val="21"/>
          <w:szCs w:val="21"/>
          <w:highlight w:val="none"/>
          <w:u w:val="single"/>
        </w:rPr>
        <w:t xml:space="preserve">（采购人） </w:t>
      </w:r>
      <w:r>
        <w:rPr>
          <w:rFonts w:hint="eastAsia" w:asciiTheme="minorEastAsia" w:hAnsiTheme="minorEastAsia" w:eastAsiaTheme="minorEastAsia"/>
          <w:sz w:val="21"/>
          <w:szCs w:val="21"/>
          <w:highlight w:val="none"/>
        </w:rPr>
        <w:t>：</w:t>
      </w:r>
    </w:p>
    <w:p>
      <w:pPr>
        <w:pStyle w:val="19"/>
        <w:ind w:firstLine="0"/>
        <w:rPr>
          <w:rFonts w:asciiTheme="minorEastAsia" w:hAnsiTheme="minorEastAsia" w:eastAsiaTheme="minorEastAsia"/>
          <w:sz w:val="21"/>
          <w:szCs w:val="21"/>
          <w:highlight w:val="none"/>
          <w:u w:val="single"/>
        </w:rPr>
      </w:pPr>
      <w:r>
        <w:rPr>
          <w:rFonts w:hint="eastAsia" w:asciiTheme="minorEastAsia" w:hAnsiTheme="minorEastAsia" w:eastAsiaTheme="minorEastAsia"/>
          <w:i/>
          <w:sz w:val="21"/>
          <w:szCs w:val="21"/>
          <w:highlight w:val="none"/>
          <w:u w:val="single"/>
        </w:rPr>
        <w:t xml:space="preserve"> （投标人全称）</w:t>
      </w:r>
      <w:r>
        <w:rPr>
          <w:rFonts w:hint="eastAsia" w:asciiTheme="minorEastAsia" w:hAnsiTheme="minorEastAsia" w:eastAsiaTheme="minorEastAsia"/>
          <w:sz w:val="21"/>
          <w:szCs w:val="21"/>
          <w:highlight w:val="none"/>
        </w:rPr>
        <w:t xml:space="preserve"> 参加贵方组织的 </w:t>
      </w:r>
      <w:r>
        <w:rPr>
          <w:rFonts w:hint="eastAsia" w:asciiTheme="minorEastAsia" w:hAnsiTheme="minorEastAsia" w:eastAsiaTheme="minorEastAsia"/>
          <w:i/>
          <w:sz w:val="21"/>
          <w:szCs w:val="21"/>
          <w:highlight w:val="none"/>
          <w:u w:val="single"/>
        </w:rPr>
        <w:t>（招标编号、招标项目名称）</w:t>
      </w:r>
      <w:r>
        <w:rPr>
          <w:rFonts w:hint="eastAsia" w:asciiTheme="minorEastAsia" w:hAnsiTheme="minorEastAsia" w:eastAsiaTheme="minorEastAsia"/>
          <w:sz w:val="21"/>
          <w:szCs w:val="21"/>
          <w:highlight w:val="none"/>
        </w:rPr>
        <w:t>招投标活动，代表本公司处理招投标活动中的一切事宜，现对</w:t>
      </w:r>
      <w:r>
        <w:rPr>
          <w:rFonts w:hint="eastAsia" w:asciiTheme="minorEastAsia" w:hAnsiTheme="minorEastAsia" w:eastAsiaTheme="minorEastAsia"/>
          <w:i/>
          <w:sz w:val="21"/>
          <w:szCs w:val="21"/>
          <w:highlight w:val="none"/>
          <w:u w:val="single"/>
        </w:rPr>
        <w:t>（项目名称）</w:t>
      </w:r>
      <w:r>
        <w:rPr>
          <w:rFonts w:hint="eastAsia" w:asciiTheme="minorEastAsia" w:hAnsiTheme="minorEastAsia" w:eastAsiaTheme="minorEastAsia"/>
          <w:sz w:val="21"/>
          <w:szCs w:val="21"/>
          <w:highlight w:val="none"/>
        </w:rPr>
        <w:t>进行投标，在此：</w:t>
      </w:r>
    </w:p>
    <w:p>
      <w:pPr>
        <w:pStyle w:val="19"/>
        <w:numPr>
          <w:ilvl w:val="0"/>
          <w:numId w:val="7"/>
        </w:numPr>
        <w:tabs>
          <w:tab w:val="left" w:pos="525"/>
        </w:tabs>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提供招标文件中“投标人须知”规定的全部投标文件。</w:t>
      </w:r>
    </w:p>
    <w:p>
      <w:pPr>
        <w:pStyle w:val="19"/>
        <w:tabs>
          <w:tab w:val="left" w:pos="525"/>
        </w:tabs>
        <w:ind w:firstLine="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2、据此函，签字代表宣布并承诺如下：</w:t>
      </w:r>
    </w:p>
    <w:p>
      <w:pPr>
        <w:pStyle w:val="19"/>
        <w:numPr>
          <w:ilvl w:val="0"/>
          <w:numId w:val="8"/>
        </w:numPr>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投标总价为（大写）：</w:t>
      </w:r>
      <w:r>
        <w:rPr>
          <w:rFonts w:hint="eastAsia" w:asciiTheme="minorEastAsia" w:hAnsiTheme="minorEastAsia" w:eastAsiaTheme="minorEastAsia"/>
          <w:sz w:val="21"/>
          <w:szCs w:val="21"/>
          <w:highlight w:val="none"/>
          <w:u w:val="single"/>
          <w:lang w:val="en-US" w:eastAsia="zh-CN"/>
        </w:rPr>
        <w:t xml:space="preserve">           </w:t>
      </w:r>
      <w:r>
        <w:rPr>
          <w:rFonts w:hint="eastAsia" w:asciiTheme="minorEastAsia" w:hAnsiTheme="minorEastAsia" w:eastAsiaTheme="minorEastAsia"/>
          <w:sz w:val="21"/>
          <w:szCs w:val="21"/>
          <w:highlight w:val="none"/>
        </w:rPr>
        <w:t>人民币元。</w:t>
      </w:r>
    </w:p>
    <w:p>
      <w:pPr>
        <w:pStyle w:val="19"/>
        <w:ind w:firstLine="420" w:firstLineChars="20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本报价已经包含了所供服务应纳的税金及招标文件规定的报价方式应包含的其它费用。本报价在投标有效期内固定不变，并在合同有效期内不受利率波动的影响。</w:t>
      </w:r>
    </w:p>
    <w:p>
      <w:pPr>
        <w:pStyle w:val="19"/>
        <w:numPr>
          <w:ilvl w:val="0"/>
          <w:numId w:val="8"/>
        </w:numPr>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本投标自开标之日起90天内有效。</w:t>
      </w:r>
    </w:p>
    <w:p>
      <w:pPr>
        <w:pStyle w:val="19"/>
        <w:numPr>
          <w:ilvl w:val="0"/>
          <w:numId w:val="8"/>
        </w:numPr>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我们已详细审查全部招标文件及有关的澄清/修改文件(若有的话)，我们完全理解并同意放弃对这方面提出任何异议的权利，保证遵守招标文件有关条款规定。</w:t>
      </w:r>
    </w:p>
    <w:p>
      <w:pPr>
        <w:pStyle w:val="19"/>
        <w:numPr>
          <w:ilvl w:val="0"/>
          <w:numId w:val="8"/>
        </w:numPr>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保证遵守招标文件有关条款规定。</w:t>
      </w:r>
    </w:p>
    <w:p>
      <w:pPr>
        <w:pStyle w:val="19"/>
        <w:numPr>
          <w:ilvl w:val="0"/>
          <w:numId w:val="8"/>
        </w:numPr>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保证在中标后忠实地执行与采购人所签署的合同，并承担合同规定的责任义务。保证在中标后按照招标文件的规定支付中标服务费。</w:t>
      </w:r>
    </w:p>
    <w:p>
      <w:pPr>
        <w:pStyle w:val="19"/>
        <w:numPr>
          <w:ilvl w:val="0"/>
          <w:numId w:val="8"/>
        </w:numPr>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承诺应贵方要求提供任何与该项目投标有关的数据、情况和技术资料。</w:t>
      </w:r>
    </w:p>
    <w:p>
      <w:pPr>
        <w:pStyle w:val="19"/>
        <w:numPr>
          <w:ilvl w:val="0"/>
          <w:numId w:val="8"/>
        </w:numPr>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我们承诺，与为采购人采购本项目进行设计、编制规范和其他文件所委托的咨询公司或其附属机构无任何直接或间接的关联。</w:t>
      </w:r>
    </w:p>
    <w:p>
      <w:pPr>
        <w:pStyle w:val="19"/>
        <w:numPr>
          <w:ilvl w:val="0"/>
          <w:numId w:val="8"/>
        </w:numPr>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我们郑重声明：我公司符合政府采购法规定的参加采购活动应当具备的条件：具有独立承担民事责任的能力、具有良好的商业信誉和健全的财务会计制度、具有履行合同所必需的设备和专业技术能力、有依法缴纳税收和社会保障资金的良好记录、参加本次采购活动前的三年内，在经营活动中没有重大违法记录。</w:t>
      </w:r>
    </w:p>
    <w:p>
      <w:pPr>
        <w:pStyle w:val="19"/>
        <w:ind w:firstLine="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4、与本投标有关的一切往来通讯请寄：</w:t>
      </w:r>
    </w:p>
    <w:p>
      <w:pPr>
        <w:pStyle w:val="19"/>
        <w:ind w:firstLine="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地址：</w:t>
      </w:r>
    </w:p>
    <w:p>
      <w:pPr>
        <w:pStyle w:val="19"/>
        <w:ind w:firstLine="0"/>
        <w:rPr>
          <w:rFonts w:asciiTheme="minorEastAsia" w:hAnsiTheme="minorEastAsia" w:eastAsiaTheme="minorEastAsia"/>
          <w:sz w:val="21"/>
          <w:szCs w:val="21"/>
          <w:highlight w:val="none"/>
          <w:u w:val="single"/>
        </w:rPr>
      </w:pPr>
      <w:r>
        <w:rPr>
          <w:rFonts w:hint="eastAsia" w:asciiTheme="minorEastAsia" w:hAnsiTheme="minorEastAsia" w:eastAsiaTheme="minorEastAsia"/>
          <w:sz w:val="21"/>
          <w:szCs w:val="21"/>
          <w:highlight w:val="none"/>
        </w:rPr>
        <w:t>邮编：电话：传真：</w:t>
      </w:r>
    </w:p>
    <w:p>
      <w:pPr>
        <w:pStyle w:val="19"/>
        <w:ind w:firstLine="0"/>
        <w:rPr>
          <w:rFonts w:asciiTheme="minorEastAsia" w:hAnsiTheme="minorEastAsia" w:eastAsiaTheme="minorEastAsia"/>
          <w:sz w:val="21"/>
          <w:szCs w:val="21"/>
          <w:highlight w:val="none"/>
        </w:rPr>
      </w:pPr>
    </w:p>
    <w:p>
      <w:pPr>
        <w:pStyle w:val="19"/>
        <w:ind w:firstLine="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投标人（公章）：                  投标人代表（签字或印章）：</w:t>
      </w:r>
    </w:p>
    <w:p>
      <w:pPr>
        <w:pStyle w:val="19"/>
        <w:tabs>
          <w:tab w:val="left" w:pos="4841"/>
        </w:tabs>
        <w:ind w:firstLine="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 xml:space="preserve">                                           日      期：     年   月   日</w:t>
      </w:r>
    </w:p>
    <w:p>
      <w:pPr>
        <w:pStyle w:val="19"/>
        <w:tabs>
          <w:tab w:val="left" w:pos="4841"/>
        </w:tabs>
        <w:ind w:firstLine="0"/>
        <w:rPr>
          <w:rFonts w:asciiTheme="minorEastAsia" w:hAnsiTheme="minorEastAsia" w:eastAsiaTheme="minorEastAsia"/>
          <w:sz w:val="21"/>
          <w:szCs w:val="21"/>
          <w:highlight w:val="none"/>
        </w:rPr>
      </w:pPr>
    </w:p>
    <w:p>
      <w:pPr>
        <w:pStyle w:val="19"/>
        <w:tabs>
          <w:tab w:val="left" w:pos="4841"/>
        </w:tabs>
        <w:ind w:firstLine="0"/>
        <w:rPr>
          <w:rFonts w:asciiTheme="minorEastAsia" w:hAnsiTheme="minorEastAsia" w:eastAsiaTheme="minorEastAsia"/>
          <w:sz w:val="21"/>
          <w:szCs w:val="21"/>
          <w:highlight w:val="none"/>
        </w:rPr>
      </w:pPr>
    </w:p>
    <w:p>
      <w:pPr>
        <w:pStyle w:val="5"/>
        <w:spacing w:line="380" w:lineRule="exact"/>
        <w:rPr>
          <w:rFonts w:asciiTheme="minorEastAsia" w:hAnsiTheme="minorEastAsia" w:eastAsiaTheme="minorEastAsia"/>
          <w:bCs w:val="0"/>
          <w:sz w:val="24"/>
          <w:szCs w:val="24"/>
          <w:highlight w:val="none"/>
        </w:rPr>
      </w:pPr>
      <w:r>
        <w:rPr>
          <w:rFonts w:asciiTheme="minorEastAsia" w:hAnsiTheme="minorEastAsia" w:eastAsiaTheme="minorEastAsia"/>
          <w:bCs w:val="0"/>
          <w:sz w:val="24"/>
          <w:szCs w:val="24"/>
          <w:highlight w:val="none"/>
        </w:rPr>
        <w:br w:type="page"/>
      </w:r>
    </w:p>
    <w:p>
      <w:pPr>
        <w:rPr>
          <w:rFonts w:asciiTheme="minorEastAsia" w:hAnsiTheme="minorEastAsia" w:eastAsiaTheme="minorEastAsia"/>
          <w:highlight w:val="none"/>
        </w:rPr>
      </w:pPr>
    </w:p>
    <w:p>
      <w:pPr>
        <w:rPr>
          <w:rFonts w:asciiTheme="minorEastAsia" w:hAnsiTheme="minorEastAsia" w:eastAsiaTheme="minorEastAsia"/>
          <w:highlight w:val="none"/>
        </w:rPr>
      </w:pPr>
    </w:p>
    <w:p>
      <w:pPr>
        <w:pStyle w:val="5"/>
        <w:spacing w:line="380" w:lineRule="exact"/>
        <w:rPr>
          <w:rFonts w:asciiTheme="minorEastAsia" w:hAnsiTheme="minorEastAsia" w:eastAsiaTheme="minorEastAsia"/>
          <w:bCs w:val="0"/>
          <w:sz w:val="24"/>
          <w:szCs w:val="24"/>
          <w:highlight w:val="none"/>
        </w:rPr>
      </w:pPr>
      <w:bookmarkStart w:id="147" w:name="_Toc5069"/>
      <w:r>
        <w:rPr>
          <w:rFonts w:hint="eastAsia" w:asciiTheme="minorEastAsia" w:hAnsiTheme="minorEastAsia" w:eastAsiaTheme="minorEastAsia"/>
          <w:bCs w:val="0"/>
          <w:sz w:val="24"/>
          <w:szCs w:val="24"/>
          <w:highlight w:val="none"/>
        </w:rPr>
        <w:t>（二）开标一览表</w:t>
      </w:r>
      <w:bookmarkEnd w:id="147"/>
    </w:p>
    <w:p>
      <w:pPr>
        <w:spacing w:line="380" w:lineRule="exact"/>
        <w:rPr>
          <w:rFonts w:asciiTheme="minorEastAsia" w:hAnsiTheme="minorEastAsia" w:eastAsiaTheme="minorEastAsia"/>
          <w:szCs w:val="21"/>
          <w:highlight w:val="none"/>
          <w:u w:val="single"/>
        </w:rPr>
      </w:pPr>
      <w:r>
        <w:rPr>
          <w:rFonts w:hint="eastAsia" w:asciiTheme="minorEastAsia" w:hAnsiTheme="minorEastAsia" w:eastAsiaTheme="minorEastAsia"/>
          <w:szCs w:val="21"/>
          <w:highlight w:val="none"/>
        </w:rPr>
        <w:t>项目名称：招标编号：</w:t>
      </w:r>
    </w:p>
    <w:p>
      <w:pPr>
        <w:spacing w:line="380" w:lineRule="exact"/>
        <w:rPr>
          <w:rFonts w:asciiTheme="minorEastAsia" w:hAnsiTheme="minorEastAsia" w:eastAsiaTheme="minorEastAsia"/>
          <w:szCs w:val="21"/>
          <w:highlight w:val="none"/>
          <w:u w:val="single"/>
        </w:rPr>
      </w:pPr>
    </w:p>
    <w:tbl>
      <w:tblPr>
        <w:tblStyle w:val="34"/>
        <w:tblW w:w="952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5"/>
        <w:gridCol w:w="1515"/>
        <w:gridCol w:w="2542"/>
        <w:gridCol w:w="1606"/>
        <w:gridCol w:w="1852"/>
        <w:gridCol w:w="12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6"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i/>
                <w:sz w:val="24"/>
                <w:highlight w:val="none"/>
              </w:rPr>
            </w:pPr>
            <w:r>
              <w:rPr>
                <w:rFonts w:hint="eastAsia" w:cs="宋体" w:asciiTheme="minorEastAsia" w:hAnsiTheme="minorEastAsia" w:eastAsiaTheme="minorEastAsia"/>
                <w:sz w:val="24"/>
                <w:highlight w:val="none"/>
              </w:rPr>
              <w:t>标项</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sz w:val="24"/>
                <w:highlight w:val="none"/>
              </w:rPr>
            </w:pPr>
            <w:r>
              <w:rPr>
                <w:rFonts w:cs="宋体" w:asciiTheme="minorEastAsia" w:hAnsiTheme="minorEastAsia" w:eastAsiaTheme="minorEastAsia"/>
                <w:sz w:val="24"/>
                <w:highlight w:val="none"/>
              </w:rPr>
              <w:t>项目内容</w:t>
            </w:r>
          </w:p>
        </w:tc>
        <w:tc>
          <w:tcPr>
            <w:tcW w:w="2542"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投标</w:t>
            </w:r>
            <w:r>
              <w:rPr>
                <w:rFonts w:cs="宋体" w:asciiTheme="minorEastAsia" w:hAnsiTheme="minorEastAsia" w:eastAsiaTheme="minorEastAsia"/>
                <w:sz w:val="24"/>
                <w:highlight w:val="none"/>
              </w:rPr>
              <w:t>报价（单位：元）</w:t>
            </w:r>
          </w:p>
        </w:tc>
        <w:tc>
          <w:tcPr>
            <w:tcW w:w="160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cs="宋体" w:asciiTheme="minorEastAsia" w:hAnsiTheme="minorEastAsia" w:eastAsiaTheme="minorEastAsia"/>
                <w:sz w:val="24"/>
                <w:highlight w:val="none"/>
                <w:lang w:val="en-US" w:eastAsia="zh-CN"/>
              </w:rPr>
            </w:pPr>
            <w:r>
              <w:rPr>
                <w:rFonts w:hint="eastAsia" w:cs="宋体" w:asciiTheme="minorEastAsia" w:hAnsiTheme="minorEastAsia" w:eastAsiaTheme="minorEastAsia"/>
                <w:sz w:val="24"/>
                <w:highlight w:val="none"/>
                <w:lang w:val="en-US" w:eastAsia="zh-CN"/>
              </w:rPr>
              <w:t>保险金额</w:t>
            </w:r>
          </w:p>
        </w:tc>
        <w:tc>
          <w:tcPr>
            <w:tcW w:w="1852"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合同履约期限</w:t>
            </w: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投标声明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4" w:hRule="atLeast"/>
          <w:jc w:val="center"/>
        </w:trPr>
        <w:tc>
          <w:tcPr>
            <w:tcW w:w="735" w:type="dxa"/>
            <w:tcBorders>
              <w:top w:val="single" w:color="000000" w:sz="4" w:space="0"/>
              <w:left w:val="single" w:color="000000" w:sz="4" w:space="0"/>
              <w:right w:val="single" w:color="000000" w:sz="4" w:space="0"/>
            </w:tcBorders>
            <w:vAlign w:val="center"/>
          </w:tcPr>
          <w:p>
            <w:pPr>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w:t>
            </w:r>
          </w:p>
        </w:tc>
        <w:tc>
          <w:tcPr>
            <w:tcW w:w="1515" w:type="dxa"/>
            <w:tcBorders>
              <w:top w:val="single" w:color="000000" w:sz="4" w:space="0"/>
              <w:left w:val="single" w:color="000000" w:sz="4" w:space="0"/>
              <w:bottom w:val="single" w:color="000000" w:sz="4" w:space="0"/>
              <w:right w:val="single" w:color="000000" w:sz="4" w:space="0"/>
            </w:tcBorders>
            <w:vAlign w:val="center"/>
          </w:tcPr>
          <w:p>
            <w:pPr>
              <w:snapToGrid w:val="0"/>
              <w:spacing w:line="26" w:lineRule="atLeast"/>
              <w:jc w:val="center"/>
              <w:rPr>
                <w:rFonts w:cs="宋体" w:asciiTheme="minorEastAsia" w:hAnsiTheme="minorEastAsia" w:eastAsiaTheme="minorEastAsia"/>
                <w:sz w:val="24"/>
                <w:highlight w:val="none"/>
              </w:rPr>
            </w:pPr>
          </w:p>
        </w:tc>
        <w:tc>
          <w:tcPr>
            <w:tcW w:w="2542" w:type="dxa"/>
            <w:tcBorders>
              <w:top w:val="single" w:color="000000" w:sz="4" w:space="0"/>
              <w:left w:val="single" w:color="000000" w:sz="4" w:space="0"/>
              <w:bottom w:val="single" w:color="000000" w:sz="4" w:space="0"/>
              <w:right w:val="single" w:color="000000" w:sz="4" w:space="0"/>
            </w:tcBorders>
            <w:vAlign w:val="center"/>
          </w:tcPr>
          <w:p>
            <w:pPr>
              <w:snapToGrid w:val="0"/>
              <w:spacing w:line="26" w:lineRule="atLeast"/>
              <w:rPr>
                <w:rFonts w:asciiTheme="minorEastAsia" w:hAnsiTheme="minorEastAsia" w:eastAsiaTheme="minorEastAsia"/>
                <w:highlight w:val="none"/>
              </w:rPr>
            </w:pPr>
            <w:r>
              <w:rPr>
                <w:rFonts w:hint="eastAsia" w:asciiTheme="minorEastAsia" w:hAnsiTheme="minorEastAsia" w:eastAsiaTheme="minorEastAsia"/>
                <w:highlight w:val="none"/>
              </w:rPr>
              <w:t>大</w:t>
            </w:r>
            <w:r>
              <w:rPr>
                <w:rFonts w:asciiTheme="minorEastAsia" w:hAnsiTheme="minorEastAsia" w:eastAsiaTheme="minorEastAsia"/>
                <w:highlight w:val="none"/>
              </w:rPr>
              <w:t>写</w:t>
            </w:r>
            <w:r>
              <w:rPr>
                <w:rFonts w:hint="eastAsia" w:asciiTheme="minorEastAsia" w:hAnsiTheme="minorEastAsia" w:eastAsiaTheme="minorEastAsia"/>
                <w:highlight w:val="none"/>
              </w:rPr>
              <w:t>：</w:t>
            </w:r>
          </w:p>
          <w:p>
            <w:pPr>
              <w:snapToGrid w:val="0"/>
              <w:spacing w:line="26" w:lineRule="atLeast"/>
              <w:ind w:firstLine="210" w:firstLineChars="100"/>
              <w:rPr>
                <w:rFonts w:asciiTheme="minorEastAsia" w:hAnsiTheme="minorEastAsia" w:eastAsiaTheme="minorEastAsia"/>
                <w:highlight w:val="none"/>
              </w:rPr>
            </w:pPr>
          </w:p>
          <w:p>
            <w:pPr>
              <w:snapToGrid w:val="0"/>
              <w:spacing w:line="26" w:lineRule="atLeast"/>
              <w:rPr>
                <w:rFonts w:asciiTheme="minorEastAsia" w:hAnsiTheme="minorEastAsia" w:eastAsiaTheme="minorEastAsia"/>
                <w:highlight w:val="none"/>
              </w:rPr>
            </w:pPr>
            <w:r>
              <w:rPr>
                <w:rFonts w:hint="eastAsia" w:asciiTheme="minorEastAsia" w:hAnsiTheme="minorEastAsia" w:eastAsiaTheme="minorEastAsia"/>
                <w:highlight w:val="none"/>
              </w:rPr>
              <w:t>小写：¥</w:t>
            </w:r>
          </w:p>
        </w:tc>
        <w:tc>
          <w:tcPr>
            <w:tcW w:w="1606" w:type="dxa"/>
            <w:tcBorders>
              <w:top w:val="single" w:color="000000" w:sz="4" w:space="0"/>
              <w:left w:val="single" w:color="000000" w:sz="4" w:space="0"/>
              <w:right w:val="single" w:color="000000" w:sz="4" w:space="0"/>
            </w:tcBorders>
            <w:vAlign w:val="center"/>
          </w:tcPr>
          <w:p>
            <w:pPr>
              <w:snapToGrid w:val="0"/>
              <w:spacing w:line="26" w:lineRule="atLeast"/>
              <w:jc w:val="center"/>
              <w:rPr>
                <w:rFonts w:asciiTheme="minorEastAsia" w:hAnsiTheme="minorEastAsia" w:eastAsiaTheme="minorEastAsia"/>
                <w:highlight w:val="none"/>
              </w:rPr>
            </w:pPr>
          </w:p>
        </w:tc>
        <w:tc>
          <w:tcPr>
            <w:tcW w:w="1852" w:type="dxa"/>
            <w:tcBorders>
              <w:top w:val="single" w:color="000000" w:sz="4" w:space="0"/>
              <w:left w:val="single" w:color="000000" w:sz="4" w:space="0"/>
              <w:right w:val="single" w:color="000000" w:sz="4" w:space="0"/>
            </w:tcBorders>
            <w:vAlign w:val="center"/>
          </w:tcPr>
          <w:p>
            <w:pPr>
              <w:snapToGrid w:val="0"/>
              <w:spacing w:line="26" w:lineRule="atLeast"/>
              <w:jc w:val="center"/>
              <w:rPr>
                <w:rFonts w:asciiTheme="minorEastAsia" w:hAnsiTheme="minorEastAsia" w:eastAsiaTheme="minorEastAsia"/>
                <w:highlight w:val="none"/>
              </w:rPr>
            </w:pPr>
          </w:p>
        </w:tc>
        <w:tc>
          <w:tcPr>
            <w:tcW w:w="1274" w:type="dxa"/>
            <w:tcBorders>
              <w:top w:val="single" w:color="000000" w:sz="4" w:space="0"/>
              <w:left w:val="single" w:color="000000" w:sz="4" w:space="0"/>
              <w:right w:val="single" w:color="000000" w:sz="4" w:space="0"/>
            </w:tcBorders>
            <w:vAlign w:val="center"/>
          </w:tcPr>
          <w:p>
            <w:pPr>
              <w:jc w:val="center"/>
              <w:rPr>
                <w:rFonts w:cs="宋体" w:asciiTheme="minorEastAsia" w:hAnsiTheme="minorEastAsia" w:eastAsiaTheme="minorEastAsia"/>
                <w:sz w:val="24"/>
                <w:highlight w:val="none"/>
              </w:rPr>
            </w:pPr>
          </w:p>
        </w:tc>
      </w:tr>
    </w:tbl>
    <w:p>
      <w:pPr>
        <w:spacing w:line="380" w:lineRule="exact"/>
        <w:rPr>
          <w:rFonts w:asciiTheme="minorEastAsia" w:hAnsiTheme="minorEastAsia" w:eastAsiaTheme="minorEastAsia"/>
          <w:szCs w:val="21"/>
          <w:highlight w:val="none"/>
          <w:u w:val="single"/>
        </w:rPr>
      </w:pPr>
    </w:p>
    <w:p>
      <w:pPr>
        <w:spacing w:line="380" w:lineRule="exact"/>
        <w:rPr>
          <w:rFonts w:asciiTheme="minorEastAsia" w:hAnsiTheme="minorEastAsia" w:eastAsiaTheme="minorEastAsia"/>
          <w:szCs w:val="21"/>
          <w:highlight w:val="none"/>
        </w:rPr>
      </w:pPr>
    </w:p>
    <w:p>
      <w:pPr>
        <w:spacing w:line="380" w:lineRule="exac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投  标  人（公章）：</w:t>
      </w:r>
    </w:p>
    <w:p>
      <w:pPr>
        <w:spacing w:line="380" w:lineRule="exact"/>
        <w:rPr>
          <w:rFonts w:asciiTheme="minorEastAsia" w:hAnsiTheme="minorEastAsia" w:eastAsiaTheme="minorEastAsia"/>
          <w:szCs w:val="21"/>
          <w:highlight w:val="none"/>
        </w:rPr>
      </w:pPr>
    </w:p>
    <w:p>
      <w:pPr>
        <w:spacing w:line="380" w:lineRule="exac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投标人代表（签字或印章）：</w:t>
      </w:r>
    </w:p>
    <w:p>
      <w:pPr>
        <w:spacing w:line="380" w:lineRule="exact"/>
        <w:rPr>
          <w:rFonts w:asciiTheme="minorEastAsia" w:hAnsiTheme="minorEastAsia" w:eastAsiaTheme="minorEastAsia"/>
          <w:szCs w:val="21"/>
          <w:highlight w:val="none"/>
        </w:rPr>
      </w:pPr>
    </w:p>
    <w:p>
      <w:pPr>
        <w:rPr>
          <w:rFonts w:asciiTheme="minorEastAsia" w:hAnsiTheme="minorEastAsia" w:eastAsiaTheme="minorEastAsia"/>
          <w:highlight w:val="none"/>
        </w:rPr>
      </w:pPr>
      <w:r>
        <w:rPr>
          <w:rFonts w:hint="eastAsia" w:asciiTheme="minorEastAsia" w:hAnsiTheme="minorEastAsia" w:eastAsiaTheme="minorEastAsia"/>
          <w:szCs w:val="21"/>
          <w:highlight w:val="none"/>
        </w:rPr>
        <w:t>日期：</w:t>
      </w:r>
    </w:p>
    <w:p>
      <w:pPr>
        <w:rPr>
          <w:rFonts w:asciiTheme="minorEastAsia" w:hAnsiTheme="minorEastAsia" w:eastAsiaTheme="minorEastAsia"/>
          <w:highlight w:val="none"/>
        </w:rPr>
      </w:pPr>
    </w:p>
    <w:p>
      <w:pPr>
        <w:rPr>
          <w:rFonts w:asciiTheme="minorEastAsia" w:hAnsiTheme="minorEastAsia" w:eastAsiaTheme="minorEastAsia"/>
          <w:highlight w:val="none"/>
        </w:rPr>
      </w:pPr>
    </w:p>
    <w:p>
      <w:pPr>
        <w:rPr>
          <w:rFonts w:asciiTheme="minorEastAsia" w:hAnsiTheme="minorEastAsia" w:eastAsiaTheme="minorEastAsia"/>
          <w:highlight w:val="none"/>
        </w:rPr>
      </w:pPr>
      <w:r>
        <w:rPr>
          <w:rFonts w:asciiTheme="minorEastAsia" w:hAnsiTheme="minorEastAsia" w:eastAsiaTheme="minorEastAsia"/>
          <w:highlight w:val="none"/>
        </w:rPr>
        <w:br w:type="page"/>
      </w:r>
    </w:p>
    <w:p>
      <w:pPr>
        <w:autoSpaceDE w:val="0"/>
        <w:autoSpaceDN w:val="0"/>
        <w:jc w:val="center"/>
        <w:rPr>
          <w:rFonts w:ascii="宋体" w:hAnsi="宋体" w:cs="宋体"/>
          <w:b/>
          <w:kern w:val="0"/>
          <w:sz w:val="28"/>
          <w:szCs w:val="28"/>
          <w:highlight w:val="none"/>
        </w:rPr>
      </w:pPr>
    </w:p>
    <w:p>
      <w:pPr>
        <w:autoSpaceDE w:val="0"/>
        <w:autoSpaceDN w:val="0"/>
        <w:jc w:val="center"/>
        <w:rPr>
          <w:rFonts w:ascii="宋体" w:hAnsi="宋体" w:cs="宋体"/>
          <w:b/>
          <w:kern w:val="0"/>
          <w:sz w:val="28"/>
          <w:szCs w:val="28"/>
          <w:highlight w:val="none"/>
        </w:rPr>
      </w:pPr>
      <w:r>
        <w:rPr>
          <w:rFonts w:hint="eastAsia" w:ascii="宋体" w:hAnsi="宋体" w:cs="宋体"/>
          <w:b/>
          <w:kern w:val="0"/>
          <w:sz w:val="28"/>
          <w:szCs w:val="28"/>
          <w:highlight w:val="none"/>
        </w:rPr>
        <w:t>（三）享受政府采购价格优惠政策需提供的证明资料</w:t>
      </w:r>
    </w:p>
    <w:p>
      <w:pPr>
        <w:spacing w:line="288" w:lineRule="auto"/>
        <w:rPr>
          <w:rFonts w:cs="仿宋_GB2312" w:asciiTheme="minorEastAsia" w:hAnsiTheme="minorEastAsia" w:eastAsiaTheme="minorEastAsia"/>
          <w:sz w:val="24"/>
          <w:highlight w:val="none"/>
        </w:rPr>
      </w:pPr>
    </w:p>
    <w:p>
      <w:pPr>
        <w:spacing w:line="360" w:lineRule="auto"/>
        <w:ind w:firstLine="444" w:firstLineChars="200"/>
        <w:rPr>
          <w:rFonts w:asciiTheme="minorEastAsia" w:hAnsiTheme="minorEastAsia" w:eastAsiaTheme="minorEastAsia"/>
          <w:spacing w:val="6"/>
          <w:szCs w:val="21"/>
          <w:highlight w:val="none"/>
        </w:rPr>
      </w:pPr>
      <w:r>
        <w:rPr>
          <w:rFonts w:hint="eastAsia" w:asciiTheme="minorEastAsia" w:hAnsiTheme="minorEastAsia" w:eastAsiaTheme="minorEastAsia"/>
          <w:spacing w:val="6"/>
          <w:szCs w:val="21"/>
          <w:highlight w:val="none"/>
        </w:rPr>
        <w:t>（招标公告落实政府采购政策需满足的资格要求为“无”即本项目或标项未预留份额专门面向中小企业时，符合《政府采购促进中小企业发展管理办法》规定的小微企业拟享受价格扣除政策的，需提供相应的中小企业声明函（附件1）、残疾人福利性单位声明函（附件2）；无法享受的，无需提供）</w:t>
      </w:r>
    </w:p>
    <w:p>
      <w:pPr>
        <w:pStyle w:val="17"/>
        <w:rPr>
          <w:highlight w:val="none"/>
        </w:rPr>
      </w:pPr>
      <w:r>
        <w:rPr>
          <w:highlight w:val="none"/>
        </w:rPr>
        <w:br w:type="page"/>
      </w:r>
    </w:p>
    <w:p>
      <w:pPr>
        <w:rPr>
          <w:rFonts w:asciiTheme="minorEastAsia" w:hAnsiTheme="minorEastAsia" w:eastAsiaTheme="minorEastAsia"/>
          <w:highlight w:val="none"/>
        </w:rPr>
      </w:pPr>
    </w:p>
    <w:p>
      <w:pPr>
        <w:pStyle w:val="5"/>
        <w:spacing w:line="380" w:lineRule="exact"/>
        <w:rPr>
          <w:rFonts w:asciiTheme="minorEastAsia" w:hAnsiTheme="minorEastAsia" w:eastAsiaTheme="minorEastAsia"/>
          <w:sz w:val="28"/>
          <w:szCs w:val="28"/>
          <w:highlight w:val="none"/>
        </w:rPr>
      </w:pPr>
      <w:bookmarkStart w:id="148" w:name="_Toc29820"/>
      <w:r>
        <w:rPr>
          <w:rFonts w:hint="eastAsia" w:asciiTheme="minorEastAsia" w:hAnsiTheme="minorEastAsia" w:eastAsiaTheme="minorEastAsia"/>
          <w:sz w:val="28"/>
          <w:szCs w:val="28"/>
          <w:highlight w:val="none"/>
        </w:rPr>
        <w:t>附  件</w:t>
      </w:r>
      <w:bookmarkEnd w:id="148"/>
    </w:p>
    <w:p>
      <w:pPr>
        <w:rPr>
          <w:highlight w:val="none"/>
        </w:rPr>
      </w:pPr>
    </w:p>
    <w:p>
      <w:pPr>
        <w:pStyle w:val="5"/>
        <w:spacing w:line="380" w:lineRule="exact"/>
        <w:jc w:val="both"/>
        <w:rPr>
          <w:rFonts w:asciiTheme="minorEastAsia" w:hAnsiTheme="minorEastAsia" w:eastAsiaTheme="minorEastAsia"/>
          <w:sz w:val="24"/>
          <w:szCs w:val="24"/>
          <w:highlight w:val="none"/>
        </w:rPr>
      </w:pPr>
      <w:bookmarkStart w:id="149" w:name="_Toc9375"/>
      <w:r>
        <w:rPr>
          <w:rFonts w:hint="eastAsia" w:asciiTheme="minorEastAsia" w:hAnsiTheme="minorEastAsia" w:eastAsiaTheme="minorEastAsia"/>
          <w:sz w:val="24"/>
          <w:szCs w:val="24"/>
          <w:highlight w:val="none"/>
        </w:rPr>
        <w:t>附件1                       中小企业声明函</w:t>
      </w:r>
      <w:bookmarkEnd w:id="149"/>
    </w:p>
    <w:p>
      <w:pPr>
        <w:rPr>
          <w:rFonts w:asciiTheme="minorEastAsia" w:hAnsiTheme="minorEastAsia" w:eastAsiaTheme="minorEastAsia"/>
          <w:highlight w:val="none"/>
        </w:rPr>
      </w:pPr>
    </w:p>
    <w:p>
      <w:pPr>
        <w:spacing w:line="360" w:lineRule="auto"/>
        <w:ind w:firstLine="444" w:firstLineChars="200"/>
        <w:rPr>
          <w:rFonts w:asciiTheme="minorEastAsia" w:hAnsiTheme="minorEastAsia" w:eastAsiaTheme="minorEastAsia"/>
          <w:spacing w:val="6"/>
          <w:szCs w:val="21"/>
          <w:highlight w:val="none"/>
        </w:rPr>
      </w:pPr>
      <w:r>
        <w:rPr>
          <w:rFonts w:hint="eastAsia" w:asciiTheme="minorEastAsia" w:hAnsiTheme="minorEastAsia" w:eastAsiaTheme="minorEastAsia"/>
          <w:spacing w:val="6"/>
          <w:szCs w:val="21"/>
          <w:highlight w:val="none"/>
        </w:rPr>
        <w:t>本公司郑重声明，根据《政府采购促进中小企业发展管理办法》（财库[2020]46号）的规定，本公司参加</w:t>
      </w:r>
      <w:r>
        <w:rPr>
          <w:rFonts w:hint="eastAsia" w:asciiTheme="minorEastAsia" w:hAnsiTheme="minorEastAsia" w:eastAsiaTheme="minorEastAsia"/>
          <w:i/>
          <w:spacing w:val="6"/>
          <w:szCs w:val="21"/>
          <w:highlight w:val="none"/>
          <w:u w:val="single"/>
        </w:rPr>
        <w:t>（单位名称）</w:t>
      </w:r>
      <w:r>
        <w:rPr>
          <w:rFonts w:hint="eastAsia" w:asciiTheme="minorEastAsia" w:hAnsiTheme="minorEastAsia" w:eastAsiaTheme="minorEastAsia"/>
          <w:spacing w:val="6"/>
          <w:szCs w:val="21"/>
          <w:highlight w:val="none"/>
        </w:rPr>
        <w:t>的</w:t>
      </w:r>
      <w:r>
        <w:rPr>
          <w:rFonts w:hint="eastAsia" w:asciiTheme="minorEastAsia" w:hAnsiTheme="minorEastAsia" w:eastAsiaTheme="minorEastAsia"/>
          <w:i/>
          <w:spacing w:val="6"/>
          <w:szCs w:val="21"/>
          <w:highlight w:val="none"/>
          <w:u w:val="single"/>
        </w:rPr>
        <w:t>（项目名称）</w:t>
      </w:r>
      <w:r>
        <w:rPr>
          <w:rFonts w:hint="eastAsia" w:asciiTheme="minorEastAsia" w:hAnsiTheme="minorEastAsia" w:eastAsiaTheme="minorEastAsia"/>
          <w:spacing w:val="6"/>
          <w:szCs w:val="21"/>
          <w:highlight w:val="none"/>
        </w:rPr>
        <w:t>采购活动，工程的施工单位全部为符合政策要求的中小企业（或者：服务全部由符合政策要求的中小企业承接）。相关企业的具体情况如下：</w:t>
      </w:r>
    </w:p>
    <w:p>
      <w:pPr>
        <w:spacing w:line="360" w:lineRule="auto"/>
        <w:ind w:firstLine="444" w:firstLineChars="200"/>
        <w:rPr>
          <w:rFonts w:asciiTheme="minorEastAsia" w:hAnsiTheme="minorEastAsia" w:eastAsiaTheme="minorEastAsia"/>
          <w:spacing w:val="6"/>
          <w:szCs w:val="21"/>
          <w:highlight w:val="none"/>
          <w:u w:val="single"/>
        </w:rPr>
      </w:pPr>
      <w:r>
        <w:rPr>
          <w:rFonts w:hint="eastAsia" w:asciiTheme="minorEastAsia" w:hAnsiTheme="minorEastAsia" w:eastAsiaTheme="minorEastAsia"/>
          <w:spacing w:val="6"/>
          <w:szCs w:val="21"/>
          <w:highlight w:val="none"/>
        </w:rPr>
        <w:t>1.</w:t>
      </w:r>
      <w:r>
        <w:rPr>
          <w:rFonts w:hint="eastAsia" w:asciiTheme="minorEastAsia" w:hAnsiTheme="minorEastAsia" w:eastAsiaTheme="minorEastAsia"/>
          <w:spacing w:val="6"/>
          <w:szCs w:val="21"/>
          <w:highlight w:val="none"/>
          <w:u w:val="single"/>
        </w:rPr>
        <w:t>司法援助保险项目</w:t>
      </w:r>
      <w:r>
        <w:rPr>
          <w:rFonts w:hint="eastAsia" w:asciiTheme="minorEastAsia" w:hAnsiTheme="minorEastAsia" w:eastAsiaTheme="minorEastAsia"/>
          <w:spacing w:val="6"/>
          <w:szCs w:val="21"/>
          <w:highlight w:val="none"/>
        </w:rPr>
        <w:t>，属于</w:t>
      </w:r>
      <w:r>
        <w:rPr>
          <w:rFonts w:hint="eastAsia" w:asciiTheme="minorEastAsia" w:hAnsiTheme="minorEastAsia" w:eastAsiaTheme="minorEastAsia"/>
          <w:color w:val="auto"/>
          <w:spacing w:val="6"/>
          <w:szCs w:val="21"/>
          <w:highlight w:val="none"/>
          <w:u w:val="single"/>
        </w:rPr>
        <w:t>其他未列明行业</w:t>
      </w:r>
      <w:r>
        <w:rPr>
          <w:rFonts w:hint="eastAsia" w:asciiTheme="minorEastAsia" w:hAnsiTheme="minorEastAsia" w:eastAsiaTheme="minorEastAsia"/>
          <w:i w:val="0"/>
          <w:iCs/>
          <w:spacing w:val="6"/>
          <w:szCs w:val="21"/>
          <w:highlight w:val="none"/>
          <w:u w:val="single"/>
        </w:rPr>
        <w:t>行业</w:t>
      </w:r>
      <w:r>
        <w:rPr>
          <w:rFonts w:hint="eastAsia" w:asciiTheme="minorEastAsia" w:hAnsiTheme="minorEastAsia" w:eastAsiaTheme="minorEastAsia"/>
          <w:spacing w:val="6"/>
          <w:szCs w:val="21"/>
          <w:highlight w:val="none"/>
        </w:rPr>
        <w:t>；承建（承接）企业为</w:t>
      </w:r>
      <w:r>
        <w:rPr>
          <w:rFonts w:hint="eastAsia" w:asciiTheme="minorEastAsia" w:hAnsiTheme="minorEastAsia" w:eastAsiaTheme="minorEastAsia"/>
          <w:i/>
          <w:spacing w:val="6"/>
          <w:szCs w:val="21"/>
          <w:highlight w:val="none"/>
          <w:u w:val="single"/>
        </w:rPr>
        <w:t>（企业名称）</w:t>
      </w:r>
      <w:r>
        <w:rPr>
          <w:rFonts w:hint="eastAsia" w:asciiTheme="minorEastAsia" w:hAnsiTheme="minorEastAsia" w:eastAsiaTheme="minorEastAsia"/>
          <w:spacing w:val="6"/>
          <w:szCs w:val="21"/>
          <w:highlight w:val="none"/>
        </w:rPr>
        <w:t>，从业人员人，营业收入为万元，资产总额为万元，属于</w:t>
      </w:r>
      <w:r>
        <w:rPr>
          <w:rFonts w:hint="eastAsia" w:asciiTheme="minorEastAsia" w:hAnsiTheme="minorEastAsia" w:eastAsiaTheme="minorEastAsia"/>
          <w:i/>
          <w:spacing w:val="6"/>
          <w:szCs w:val="21"/>
          <w:highlight w:val="none"/>
          <w:u w:val="single"/>
        </w:rPr>
        <w:t>（中型企业、小型企业、微型企业）</w:t>
      </w:r>
      <w:r>
        <w:rPr>
          <w:rFonts w:hint="eastAsia" w:asciiTheme="minorEastAsia" w:hAnsiTheme="minorEastAsia" w:eastAsiaTheme="minorEastAsia"/>
          <w:spacing w:val="6"/>
          <w:szCs w:val="21"/>
          <w:highlight w:val="none"/>
        </w:rPr>
        <w:t>；</w:t>
      </w:r>
    </w:p>
    <w:p>
      <w:pPr>
        <w:spacing w:line="360" w:lineRule="auto"/>
        <w:ind w:firstLine="444" w:firstLineChars="200"/>
        <w:rPr>
          <w:rFonts w:asciiTheme="minorEastAsia" w:hAnsiTheme="minorEastAsia" w:eastAsiaTheme="minorEastAsia"/>
          <w:spacing w:val="6"/>
          <w:szCs w:val="21"/>
          <w:highlight w:val="none"/>
          <w:u w:val="single"/>
        </w:rPr>
      </w:pPr>
      <w:r>
        <w:rPr>
          <w:rFonts w:hint="eastAsia" w:asciiTheme="minorEastAsia" w:hAnsiTheme="minorEastAsia" w:eastAsiaTheme="minorEastAsia"/>
          <w:spacing w:val="6"/>
          <w:szCs w:val="21"/>
          <w:highlight w:val="none"/>
        </w:rPr>
        <w:t>2.</w:t>
      </w:r>
      <w:r>
        <w:rPr>
          <w:rFonts w:hint="eastAsia" w:asciiTheme="minorEastAsia" w:hAnsiTheme="minorEastAsia" w:eastAsiaTheme="minorEastAsia"/>
          <w:spacing w:val="6"/>
          <w:szCs w:val="21"/>
          <w:highlight w:val="none"/>
          <w:u w:val="single"/>
        </w:rPr>
        <w:t>司法援助保险项目</w:t>
      </w:r>
      <w:r>
        <w:rPr>
          <w:rFonts w:hint="eastAsia" w:asciiTheme="minorEastAsia" w:hAnsiTheme="minorEastAsia" w:eastAsiaTheme="minorEastAsia"/>
          <w:spacing w:val="6"/>
          <w:szCs w:val="21"/>
          <w:highlight w:val="none"/>
        </w:rPr>
        <w:t>，属于</w:t>
      </w:r>
      <w:r>
        <w:rPr>
          <w:rFonts w:hint="eastAsia" w:asciiTheme="minorEastAsia" w:hAnsiTheme="minorEastAsia" w:eastAsiaTheme="minorEastAsia"/>
          <w:color w:val="auto"/>
          <w:spacing w:val="6"/>
          <w:szCs w:val="21"/>
          <w:highlight w:val="none"/>
          <w:u w:val="single"/>
        </w:rPr>
        <w:t>其他未列明行业</w:t>
      </w:r>
      <w:r>
        <w:rPr>
          <w:rFonts w:hint="eastAsia" w:asciiTheme="minorEastAsia" w:hAnsiTheme="minorEastAsia" w:eastAsiaTheme="minorEastAsia"/>
          <w:i w:val="0"/>
          <w:iCs/>
          <w:spacing w:val="6"/>
          <w:szCs w:val="21"/>
          <w:highlight w:val="none"/>
          <w:u w:val="single"/>
        </w:rPr>
        <w:t>行业</w:t>
      </w:r>
      <w:r>
        <w:rPr>
          <w:rFonts w:hint="eastAsia" w:asciiTheme="minorEastAsia" w:hAnsiTheme="minorEastAsia" w:eastAsiaTheme="minorEastAsia"/>
          <w:spacing w:val="6"/>
          <w:szCs w:val="21"/>
          <w:highlight w:val="none"/>
        </w:rPr>
        <w:t>；承建（承接）企业为</w:t>
      </w:r>
      <w:r>
        <w:rPr>
          <w:rFonts w:hint="eastAsia" w:asciiTheme="minorEastAsia" w:hAnsiTheme="minorEastAsia" w:eastAsiaTheme="minorEastAsia"/>
          <w:i/>
          <w:spacing w:val="6"/>
          <w:szCs w:val="21"/>
          <w:highlight w:val="none"/>
          <w:u w:val="single"/>
        </w:rPr>
        <w:t>（企业名称）</w:t>
      </w:r>
      <w:r>
        <w:rPr>
          <w:rFonts w:hint="eastAsia" w:asciiTheme="minorEastAsia" w:hAnsiTheme="minorEastAsia" w:eastAsiaTheme="minorEastAsia"/>
          <w:spacing w:val="6"/>
          <w:szCs w:val="21"/>
          <w:highlight w:val="none"/>
        </w:rPr>
        <w:t>，从业人员人，营业收入为万元，资产总额为万元，属于</w:t>
      </w:r>
      <w:r>
        <w:rPr>
          <w:rFonts w:hint="eastAsia" w:asciiTheme="minorEastAsia" w:hAnsiTheme="minorEastAsia" w:eastAsiaTheme="minorEastAsia"/>
          <w:i/>
          <w:spacing w:val="6"/>
          <w:szCs w:val="21"/>
          <w:highlight w:val="none"/>
          <w:u w:val="single"/>
        </w:rPr>
        <w:t>（中型企业、小型企业、微型企业）</w:t>
      </w:r>
      <w:r>
        <w:rPr>
          <w:rFonts w:hint="eastAsia" w:asciiTheme="minorEastAsia" w:hAnsiTheme="minorEastAsia" w:eastAsiaTheme="minorEastAsia"/>
          <w:spacing w:val="6"/>
          <w:szCs w:val="21"/>
          <w:highlight w:val="none"/>
        </w:rPr>
        <w:t>；</w:t>
      </w:r>
    </w:p>
    <w:p>
      <w:pPr>
        <w:spacing w:line="360" w:lineRule="auto"/>
        <w:ind w:firstLine="444" w:firstLineChars="200"/>
        <w:rPr>
          <w:rFonts w:asciiTheme="minorEastAsia" w:hAnsiTheme="minorEastAsia" w:eastAsiaTheme="minorEastAsia"/>
          <w:spacing w:val="6"/>
          <w:szCs w:val="21"/>
          <w:highlight w:val="none"/>
        </w:rPr>
      </w:pPr>
      <w:r>
        <w:rPr>
          <w:rFonts w:hint="eastAsia" w:asciiTheme="minorEastAsia" w:hAnsiTheme="minorEastAsia" w:eastAsiaTheme="minorEastAsia"/>
          <w:spacing w:val="6"/>
          <w:szCs w:val="21"/>
          <w:highlight w:val="none"/>
        </w:rPr>
        <w:t>……</w:t>
      </w:r>
    </w:p>
    <w:p>
      <w:pPr>
        <w:spacing w:line="360" w:lineRule="auto"/>
        <w:ind w:firstLine="444" w:firstLineChars="200"/>
        <w:rPr>
          <w:rFonts w:asciiTheme="minorEastAsia" w:hAnsiTheme="minorEastAsia" w:eastAsiaTheme="minorEastAsia"/>
          <w:spacing w:val="6"/>
          <w:szCs w:val="21"/>
          <w:highlight w:val="none"/>
        </w:rPr>
      </w:pPr>
      <w:r>
        <w:rPr>
          <w:rFonts w:hint="eastAsia" w:asciiTheme="minorEastAsia" w:hAnsiTheme="minorEastAsia" w:eastAsiaTheme="minorEastAsia"/>
          <w:spacing w:val="6"/>
          <w:szCs w:val="21"/>
          <w:highlight w:val="none"/>
        </w:rPr>
        <w:t>以上企业，不属于大企业的分支机构，不存在控股股东为大企业的情形，也不存在与大企业的负责人为同一人的情形。</w:t>
      </w:r>
    </w:p>
    <w:p>
      <w:pPr>
        <w:spacing w:line="360" w:lineRule="auto"/>
        <w:ind w:firstLine="444" w:firstLineChars="200"/>
        <w:rPr>
          <w:rFonts w:asciiTheme="minorEastAsia" w:hAnsiTheme="minorEastAsia" w:eastAsiaTheme="minorEastAsia"/>
          <w:spacing w:val="6"/>
          <w:szCs w:val="21"/>
          <w:highlight w:val="none"/>
        </w:rPr>
      </w:pPr>
      <w:r>
        <w:rPr>
          <w:rFonts w:hint="eastAsia" w:asciiTheme="minorEastAsia" w:hAnsiTheme="minorEastAsia" w:eastAsiaTheme="minorEastAsia"/>
          <w:spacing w:val="6"/>
          <w:szCs w:val="21"/>
          <w:highlight w:val="none"/>
        </w:rPr>
        <w:t>本企业对上述声明内容的真实性负责。如有虚假，将依法承担相应责任。</w:t>
      </w:r>
    </w:p>
    <w:p>
      <w:pPr>
        <w:tabs>
          <w:tab w:val="left" w:pos="4860"/>
        </w:tabs>
        <w:spacing w:line="360" w:lineRule="auto"/>
        <w:ind w:right="-58" w:firstLine="999" w:firstLineChars="450"/>
        <w:rPr>
          <w:rFonts w:asciiTheme="minorEastAsia" w:hAnsiTheme="minorEastAsia" w:eastAsiaTheme="minorEastAsia"/>
          <w:spacing w:val="6"/>
          <w:szCs w:val="21"/>
          <w:highlight w:val="none"/>
        </w:rPr>
      </w:pPr>
    </w:p>
    <w:p>
      <w:pPr>
        <w:tabs>
          <w:tab w:val="left" w:pos="4860"/>
        </w:tabs>
        <w:spacing w:line="360" w:lineRule="auto"/>
        <w:ind w:right="-58" w:firstLine="4773" w:firstLineChars="2150"/>
        <w:rPr>
          <w:rFonts w:asciiTheme="minorEastAsia" w:hAnsiTheme="minorEastAsia" w:eastAsiaTheme="minorEastAsia"/>
          <w:spacing w:val="6"/>
          <w:szCs w:val="21"/>
          <w:highlight w:val="none"/>
        </w:rPr>
      </w:pPr>
      <w:r>
        <w:rPr>
          <w:rFonts w:hint="eastAsia" w:asciiTheme="minorEastAsia" w:hAnsiTheme="minorEastAsia" w:eastAsiaTheme="minorEastAsia"/>
          <w:spacing w:val="6"/>
          <w:szCs w:val="21"/>
          <w:highlight w:val="none"/>
        </w:rPr>
        <w:t xml:space="preserve">企业名称（公章）：                </w:t>
      </w:r>
    </w:p>
    <w:p>
      <w:pPr>
        <w:tabs>
          <w:tab w:val="left" w:pos="4860"/>
        </w:tabs>
        <w:spacing w:line="360" w:lineRule="auto"/>
        <w:ind w:right="-58" w:firstLine="4773" w:firstLineChars="2150"/>
        <w:rPr>
          <w:rFonts w:asciiTheme="minorEastAsia" w:hAnsiTheme="minorEastAsia" w:eastAsiaTheme="minorEastAsia"/>
          <w:spacing w:val="6"/>
          <w:szCs w:val="21"/>
          <w:highlight w:val="none"/>
        </w:rPr>
      </w:pPr>
      <w:r>
        <w:rPr>
          <w:rFonts w:hint="eastAsia" w:asciiTheme="minorEastAsia" w:hAnsiTheme="minorEastAsia" w:eastAsiaTheme="minorEastAsia"/>
          <w:spacing w:val="6"/>
          <w:szCs w:val="21"/>
          <w:highlight w:val="none"/>
        </w:rPr>
        <w:t>日</w:t>
      </w:r>
      <w:r>
        <w:rPr>
          <w:rFonts w:hint="eastAsia" w:asciiTheme="minorEastAsia" w:hAnsiTheme="minorEastAsia" w:eastAsiaTheme="minorEastAsia"/>
          <w:spacing w:val="6"/>
          <w:szCs w:val="21"/>
          <w:highlight w:val="none"/>
          <w:lang w:val="en-US" w:eastAsia="zh-CN"/>
        </w:rPr>
        <w:t xml:space="preserve">     </w:t>
      </w:r>
      <w:r>
        <w:rPr>
          <w:rFonts w:hint="eastAsia" w:asciiTheme="minorEastAsia" w:hAnsiTheme="minorEastAsia" w:eastAsiaTheme="minorEastAsia"/>
          <w:spacing w:val="6"/>
          <w:szCs w:val="21"/>
          <w:highlight w:val="none"/>
        </w:rPr>
        <w:t xml:space="preserve">期：  </w:t>
      </w:r>
    </w:p>
    <w:p>
      <w:pPr>
        <w:spacing w:line="360" w:lineRule="auto"/>
        <w:ind w:left="2" w:leftChars="1" w:right="46"/>
        <w:rPr>
          <w:rFonts w:asciiTheme="minorEastAsia" w:hAnsiTheme="minorEastAsia" w:eastAsiaTheme="minorEastAsia"/>
          <w:spacing w:val="6"/>
          <w:szCs w:val="21"/>
          <w:highlight w:val="none"/>
        </w:rPr>
      </w:pPr>
    </w:p>
    <w:p>
      <w:pPr>
        <w:spacing w:line="360" w:lineRule="auto"/>
        <w:ind w:right="420" w:firstLine="444" w:firstLineChars="200"/>
        <w:rPr>
          <w:rFonts w:asciiTheme="minorEastAsia" w:hAnsiTheme="minorEastAsia" w:eastAsiaTheme="minorEastAsia"/>
          <w:spacing w:val="6"/>
          <w:szCs w:val="21"/>
          <w:highlight w:val="none"/>
        </w:rPr>
      </w:pPr>
      <w:r>
        <w:rPr>
          <w:rFonts w:hint="eastAsia" w:asciiTheme="minorEastAsia" w:hAnsiTheme="minorEastAsia" w:eastAsiaTheme="minorEastAsia"/>
          <w:spacing w:val="6"/>
          <w:szCs w:val="21"/>
          <w:highlight w:val="none"/>
        </w:rPr>
        <w:t>注：1、填写要求：①“标的名称”、“招标文件中明确的所属行业”依据招标文件第二部分投标人须知前附表中“采购标的对应的中小企业划分标准所属行业”填写，不得缺漏；②从业人员、营业收入、资产总额填报上一年度数据，无上一年度数据的新成立企业可不填报；③中型企业、小型企业、微型企业等3种企业类型，结合以上数据，依据《中小企业划型标准规定》（工信部联企业〔2011〕300号）确定；</w:t>
      </w:r>
      <w:r>
        <w:rPr>
          <w:rFonts w:hint="eastAsia" w:asciiTheme="minorEastAsia" w:hAnsiTheme="minorEastAsia" w:eastAsiaTheme="minorEastAsia"/>
          <w:b/>
          <w:bCs/>
          <w:spacing w:val="6"/>
          <w:szCs w:val="21"/>
          <w:highlight w:val="none"/>
        </w:rPr>
        <w:t>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444" w:firstLineChars="200"/>
        <w:rPr>
          <w:rFonts w:asciiTheme="minorEastAsia" w:hAnsiTheme="minorEastAsia" w:eastAsiaTheme="minorEastAsia"/>
          <w:sz w:val="28"/>
          <w:szCs w:val="28"/>
          <w:highlight w:val="none"/>
        </w:rPr>
        <w:sectPr>
          <w:type w:val="continuous"/>
          <w:pgSz w:w="11907" w:h="16840"/>
          <w:pgMar w:top="1304" w:right="1588" w:bottom="1304" w:left="1588" w:header="720" w:footer="720" w:gutter="0"/>
          <w:cols w:space="720" w:num="1"/>
          <w:docGrid w:linePitch="285" w:charSpace="0"/>
        </w:sectPr>
      </w:pPr>
      <w:r>
        <w:rPr>
          <w:rFonts w:hint="eastAsia" w:asciiTheme="minorEastAsia" w:hAnsiTheme="minorEastAsia" w:eastAsiaTheme="minorEastAsia"/>
          <w:spacing w:val="6"/>
          <w:szCs w:val="21"/>
          <w:highlight w:val="none"/>
        </w:rPr>
        <w:t>2、符合《关于促进残疾人就业政府采购政策的通知》（财库〔2017〕141号）规定的条件并提供《残疾人福利性单位声明函》（附件2）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r>
        <w:rPr>
          <w:rFonts w:cs="仿宋_GB2312" w:asciiTheme="minorEastAsia" w:hAnsiTheme="minorEastAsia" w:eastAsiaTheme="minorEastAsia"/>
          <w:szCs w:val="21"/>
          <w:highlight w:val="none"/>
        </w:rPr>
        <w:t>。</w:t>
      </w:r>
    </w:p>
    <w:p>
      <w:pPr>
        <w:rPr>
          <w:rFonts w:asciiTheme="minorEastAsia" w:hAnsiTheme="minorEastAsia" w:eastAsiaTheme="minorEastAsia"/>
          <w:b/>
          <w:spacing w:val="6"/>
          <w:sz w:val="28"/>
          <w:szCs w:val="28"/>
          <w:highlight w:val="none"/>
        </w:rPr>
      </w:pPr>
    </w:p>
    <w:p>
      <w:pPr>
        <w:jc w:val="center"/>
        <w:rPr>
          <w:rStyle w:val="129"/>
          <w:rFonts w:hint="default" w:asciiTheme="minorEastAsia" w:hAnsiTheme="minorEastAsia" w:eastAsiaTheme="minorEastAsia"/>
          <w:color w:val="auto"/>
          <w:sz w:val="28"/>
          <w:szCs w:val="28"/>
          <w:highlight w:val="none"/>
        </w:rPr>
      </w:pPr>
      <w:r>
        <w:rPr>
          <w:rFonts w:hint="eastAsia" w:cs="宋体" w:asciiTheme="minorEastAsia" w:hAnsiTheme="minorEastAsia" w:eastAsiaTheme="minorEastAsia"/>
          <w:b/>
          <w:kern w:val="0"/>
          <w:sz w:val="28"/>
          <w:szCs w:val="28"/>
          <w:highlight w:val="none"/>
        </w:rPr>
        <w:t>中小微行业划型标准规定</w:t>
      </w:r>
      <w:r>
        <w:rPr>
          <w:rStyle w:val="129"/>
          <w:rFonts w:hint="default" w:asciiTheme="minorEastAsia" w:hAnsiTheme="minorEastAsia" w:eastAsiaTheme="minorEastAsia"/>
          <w:color w:val="auto"/>
          <w:sz w:val="28"/>
          <w:szCs w:val="28"/>
          <w:highlight w:val="none"/>
        </w:rPr>
        <w:t>（根据工信部联企业〔2011〕300号制定）</w:t>
      </w:r>
    </w:p>
    <w:tbl>
      <w:tblPr>
        <w:tblStyle w:val="34"/>
        <w:tblpPr w:leftFromText="180" w:rightFromText="180" w:vertAnchor="page" w:horzAnchor="page" w:tblpXSpec="center" w:tblpY="2374"/>
        <w:tblOverlap w:val="never"/>
        <w:tblW w:w="15008" w:type="dxa"/>
        <w:jc w:val="center"/>
        <w:tblLayout w:type="fixed"/>
        <w:tblCellMar>
          <w:top w:w="15" w:type="dxa"/>
          <w:left w:w="15" w:type="dxa"/>
          <w:bottom w:w="15" w:type="dxa"/>
          <w:right w:w="15" w:type="dxa"/>
        </w:tblCellMar>
      </w:tblPr>
      <w:tblGrid>
        <w:gridCol w:w="2153"/>
        <w:gridCol w:w="1320"/>
        <w:gridCol w:w="1560"/>
        <w:gridCol w:w="1500"/>
        <w:gridCol w:w="1320"/>
        <w:gridCol w:w="1500"/>
        <w:gridCol w:w="1406"/>
        <w:gridCol w:w="1264"/>
        <w:gridCol w:w="1470"/>
        <w:gridCol w:w="1515"/>
      </w:tblGrid>
      <w:tr>
        <w:tblPrEx>
          <w:tblCellMar>
            <w:top w:w="15" w:type="dxa"/>
            <w:left w:w="15" w:type="dxa"/>
            <w:bottom w:w="15" w:type="dxa"/>
            <w:right w:w="15" w:type="dxa"/>
          </w:tblCellMar>
        </w:tblPrEx>
        <w:trPr>
          <w:trHeight w:val="90" w:hRule="atLeast"/>
          <w:jc w:val="center"/>
        </w:trPr>
        <w:tc>
          <w:tcPr>
            <w:tcW w:w="2153" w:type="dxa"/>
            <w:vMerge w:val="restart"/>
            <w:tcBorders>
              <w:top w:val="single" w:color="000000" w:sz="12" w:space="0"/>
              <w:left w:val="single" w:color="000000" w:sz="12" w:space="0"/>
              <w:bottom w:val="single" w:color="000000" w:sz="4" w:space="0"/>
              <w:right w:val="single" w:color="000000" w:sz="12" w:space="0"/>
            </w:tcBorders>
            <w:vAlign w:val="center"/>
          </w:tcPr>
          <w:p>
            <w:pPr>
              <w:widowControl/>
              <w:jc w:val="center"/>
              <w:textAlignment w:val="center"/>
              <w:rPr>
                <w:rFonts w:cs="宋体" w:asciiTheme="minorEastAsia" w:hAnsiTheme="minorEastAsia" w:eastAsiaTheme="minorEastAsia"/>
                <w:b/>
                <w:sz w:val="18"/>
                <w:szCs w:val="18"/>
                <w:highlight w:val="none"/>
              </w:rPr>
            </w:pPr>
            <w:r>
              <w:rPr>
                <w:rFonts w:hint="eastAsia" w:cs="宋体" w:asciiTheme="minorEastAsia" w:hAnsiTheme="minorEastAsia" w:eastAsiaTheme="minorEastAsia"/>
                <w:b/>
                <w:kern w:val="0"/>
                <w:sz w:val="18"/>
                <w:szCs w:val="18"/>
                <w:highlight w:val="none"/>
              </w:rPr>
              <w:t>行业</w:t>
            </w:r>
          </w:p>
        </w:tc>
        <w:tc>
          <w:tcPr>
            <w:tcW w:w="4380" w:type="dxa"/>
            <w:gridSpan w:val="3"/>
            <w:tcBorders>
              <w:top w:val="single" w:color="000000" w:sz="12" w:space="0"/>
              <w:left w:val="single" w:color="000000" w:sz="12" w:space="0"/>
              <w:bottom w:val="single" w:color="000000" w:sz="4" w:space="0"/>
              <w:right w:val="single" w:color="000000" w:sz="12" w:space="0"/>
            </w:tcBorders>
            <w:vAlign w:val="bottom"/>
          </w:tcPr>
          <w:p>
            <w:pPr>
              <w:widowControl/>
              <w:jc w:val="center"/>
              <w:textAlignment w:val="bottom"/>
              <w:rPr>
                <w:rFonts w:cs="宋体" w:asciiTheme="minorEastAsia" w:hAnsiTheme="minorEastAsia" w:eastAsiaTheme="minorEastAsia"/>
                <w:b/>
                <w:sz w:val="18"/>
                <w:szCs w:val="18"/>
                <w:highlight w:val="none"/>
              </w:rPr>
            </w:pPr>
            <w:r>
              <w:rPr>
                <w:rFonts w:hint="eastAsia" w:cs="宋体" w:asciiTheme="minorEastAsia" w:hAnsiTheme="minorEastAsia" w:eastAsiaTheme="minorEastAsia"/>
                <w:b/>
                <w:kern w:val="0"/>
                <w:sz w:val="18"/>
                <w:szCs w:val="18"/>
                <w:highlight w:val="none"/>
              </w:rPr>
              <w:t>中型企业</w:t>
            </w:r>
          </w:p>
        </w:tc>
        <w:tc>
          <w:tcPr>
            <w:tcW w:w="4226" w:type="dxa"/>
            <w:gridSpan w:val="3"/>
            <w:tcBorders>
              <w:top w:val="single" w:color="000000" w:sz="12" w:space="0"/>
              <w:left w:val="single" w:color="000000" w:sz="12" w:space="0"/>
              <w:bottom w:val="single" w:color="000000" w:sz="4" w:space="0"/>
              <w:right w:val="single" w:color="000000" w:sz="12" w:space="0"/>
            </w:tcBorders>
            <w:vAlign w:val="bottom"/>
          </w:tcPr>
          <w:p>
            <w:pPr>
              <w:widowControl/>
              <w:jc w:val="center"/>
              <w:textAlignment w:val="bottom"/>
              <w:rPr>
                <w:rFonts w:cs="宋体" w:asciiTheme="minorEastAsia" w:hAnsiTheme="minorEastAsia" w:eastAsiaTheme="minorEastAsia"/>
                <w:b/>
                <w:sz w:val="18"/>
                <w:szCs w:val="18"/>
                <w:highlight w:val="none"/>
              </w:rPr>
            </w:pPr>
            <w:r>
              <w:rPr>
                <w:rFonts w:hint="eastAsia" w:cs="宋体" w:asciiTheme="minorEastAsia" w:hAnsiTheme="minorEastAsia" w:eastAsiaTheme="minorEastAsia"/>
                <w:b/>
                <w:kern w:val="0"/>
                <w:sz w:val="18"/>
                <w:szCs w:val="18"/>
                <w:highlight w:val="none"/>
              </w:rPr>
              <w:t>小型企业</w:t>
            </w:r>
          </w:p>
        </w:tc>
        <w:tc>
          <w:tcPr>
            <w:tcW w:w="4249" w:type="dxa"/>
            <w:gridSpan w:val="3"/>
            <w:tcBorders>
              <w:top w:val="single" w:color="000000" w:sz="12" w:space="0"/>
              <w:left w:val="single" w:color="000000" w:sz="12" w:space="0"/>
              <w:bottom w:val="single" w:color="000000" w:sz="4" w:space="0"/>
              <w:right w:val="single" w:color="000000" w:sz="12" w:space="0"/>
            </w:tcBorders>
            <w:vAlign w:val="bottom"/>
          </w:tcPr>
          <w:p>
            <w:pPr>
              <w:widowControl/>
              <w:jc w:val="center"/>
              <w:textAlignment w:val="bottom"/>
              <w:rPr>
                <w:rFonts w:cs="宋体" w:asciiTheme="minorEastAsia" w:hAnsiTheme="minorEastAsia" w:eastAsiaTheme="minorEastAsia"/>
                <w:b/>
                <w:sz w:val="18"/>
                <w:szCs w:val="18"/>
                <w:highlight w:val="none"/>
              </w:rPr>
            </w:pPr>
            <w:r>
              <w:rPr>
                <w:rFonts w:hint="eastAsia" w:cs="宋体" w:asciiTheme="minorEastAsia" w:hAnsiTheme="minorEastAsia" w:eastAsiaTheme="minorEastAsia"/>
                <w:b/>
                <w:kern w:val="0"/>
                <w:sz w:val="18"/>
                <w:szCs w:val="18"/>
                <w:highlight w:val="none"/>
              </w:rPr>
              <w:t>微型企业</w:t>
            </w:r>
          </w:p>
        </w:tc>
      </w:tr>
      <w:tr>
        <w:tblPrEx>
          <w:tblCellMar>
            <w:top w:w="15" w:type="dxa"/>
            <w:left w:w="15" w:type="dxa"/>
            <w:bottom w:w="15" w:type="dxa"/>
            <w:right w:w="15" w:type="dxa"/>
          </w:tblCellMar>
        </w:tblPrEx>
        <w:trPr>
          <w:trHeight w:val="374" w:hRule="atLeast"/>
          <w:jc w:val="center"/>
        </w:trPr>
        <w:tc>
          <w:tcPr>
            <w:tcW w:w="2153" w:type="dxa"/>
            <w:vMerge w:val="continue"/>
            <w:tcBorders>
              <w:top w:val="single" w:color="000000" w:sz="12" w:space="0"/>
              <w:left w:val="single" w:color="000000" w:sz="12" w:space="0"/>
              <w:bottom w:val="single" w:color="000000" w:sz="4" w:space="0"/>
              <w:right w:val="single" w:color="000000" w:sz="12" w:space="0"/>
            </w:tcBorders>
            <w:vAlign w:val="center"/>
          </w:tcPr>
          <w:p>
            <w:pPr>
              <w:jc w:val="center"/>
              <w:rPr>
                <w:rFonts w:cs="宋体" w:asciiTheme="minorEastAsia" w:hAnsiTheme="minorEastAsia" w:eastAsiaTheme="minorEastAsia"/>
                <w:b/>
                <w:sz w:val="18"/>
                <w:szCs w:val="18"/>
                <w:highlight w:val="none"/>
              </w:rPr>
            </w:pPr>
          </w:p>
        </w:tc>
        <w:tc>
          <w:tcPr>
            <w:tcW w:w="1320" w:type="dxa"/>
            <w:tcBorders>
              <w:top w:val="single" w:color="000000" w:sz="4" w:space="0"/>
              <w:left w:val="single" w:color="000000" w:sz="12" w:space="0"/>
              <w:bottom w:val="single" w:color="000000" w:sz="4" w:space="0"/>
              <w:right w:val="single" w:color="000000" w:sz="4" w:space="0"/>
            </w:tcBorders>
            <w:vAlign w:val="bottom"/>
          </w:tcPr>
          <w:p>
            <w:pPr>
              <w:widowControl/>
              <w:jc w:val="left"/>
              <w:textAlignment w:val="bottom"/>
              <w:rPr>
                <w:rFonts w:cs="宋体" w:asciiTheme="minorEastAsia" w:hAnsiTheme="minorEastAsia" w:eastAsiaTheme="minorEastAsia"/>
                <w:sz w:val="18"/>
                <w:szCs w:val="18"/>
                <w:highlight w:val="none"/>
              </w:rPr>
            </w:pPr>
            <w:r>
              <w:rPr>
                <w:rFonts w:hint="eastAsia" w:cs="宋体" w:asciiTheme="minorEastAsia" w:hAnsiTheme="minorEastAsia" w:eastAsiaTheme="minorEastAsia"/>
                <w:kern w:val="0"/>
                <w:sz w:val="18"/>
                <w:szCs w:val="18"/>
                <w:highlight w:val="none"/>
              </w:rPr>
              <w:t>从业人员X（人）</w:t>
            </w:r>
          </w:p>
        </w:tc>
        <w:tc>
          <w:tcPr>
            <w:tcW w:w="156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cs="宋体" w:asciiTheme="minorEastAsia" w:hAnsiTheme="minorEastAsia" w:eastAsiaTheme="minorEastAsia"/>
                <w:sz w:val="18"/>
                <w:szCs w:val="18"/>
                <w:highlight w:val="none"/>
              </w:rPr>
            </w:pPr>
            <w:r>
              <w:rPr>
                <w:rFonts w:hint="eastAsia" w:cs="宋体" w:asciiTheme="minorEastAsia" w:hAnsiTheme="minorEastAsia" w:eastAsiaTheme="minorEastAsia"/>
                <w:kern w:val="0"/>
                <w:sz w:val="18"/>
                <w:szCs w:val="18"/>
                <w:highlight w:val="none"/>
              </w:rPr>
              <w:t>营业收入 Y（万元）</w:t>
            </w:r>
          </w:p>
        </w:tc>
        <w:tc>
          <w:tcPr>
            <w:tcW w:w="1500" w:type="dxa"/>
            <w:tcBorders>
              <w:top w:val="single" w:color="000000" w:sz="4" w:space="0"/>
              <w:left w:val="single" w:color="000000" w:sz="4" w:space="0"/>
              <w:bottom w:val="single" w:color="000000" w:sz="4" w:space="0"/>
              <w:right w:val="single" w:color="000000" w:sz="12" w:space="0"/>
            </w:tcBorders>
            <w:vAlign w:val="bottom"/>
          </w:tcPr>
          <w:p>
            <w:pPr>
              <w:widowControl/>
              <w:jc w:val="left"/>
              <w:textAlignment w:val="bottom"/>
              <w:rPr>
                <w:rFonts w:cs="宋体" w:asciiTheme="minorEastAsia" w:hAnsiTheme="minorEastAsia" w:eastAsiaTheme="minorEastAsia"/>
                <w:sz w:val="18"/>
                <w:szCs w:val="18"/>
                <w:highlight w:val="none"/>
              </w:rPr>
            </w:pPr>
            <w:r>
              <w:rPr>
                <w:rFonts w:hint="eastAsia" w:cs="宋体" w:asciiTheme="minorEastAsia" w:hAnsiTheme="minorEastAsia" w:eastAsiaTheme="minorEastAsia"/>
                <w:kern w:val="0"/>
                <w:sz w:val="18"/>
                <w:szCs w:val="18"/>
                <w:highlight w:val="none"/>
              </w:rPr>
              <w:t>资产总额 Z（万元）</w:t>
            </w:r>
          </w:p>
        </w:tc>
        <w:tc>
          <w:tcPr>
            <w:tcW w:w="1320" w:type="dxa"/>
            <w:tcBorders>
              <w:top w:val="single" w:color="000000" w:sz="4" w:space="0"/>
              <w:left w:val="single" w:color="000000" w:sz="12" w:space="0"/>
              <w:bottom w:val="single" w:color="000000" w:sz="4" w:space="0"/>
              <w:right w:val="single" w:color="000000" w:sz="4" w:space="0"/>
            </w:tcBorders>
            <w:vAlign w:val="bottom"/>
          </w:tcPr>
          <w:p>
            <w:pPr>
              <w:widowControl/>
              <w:jc w:val="left"/>
              <w:textAlignment w:val="bottom"/>
              <w:rPr>
                <w:rFonts w:cs="宋体" w:asciiTheme="minorEastAsia" w:hAnsiTheme="minorEastAsia" w:eastAsiaTheme="minorEastAsia"/>
                <w:sz w:val="18"/>
                <w:szCs w:val="18"/>
                <w:highlight w:val="none"/>
              </w:rPr>
            </w:pPr>
            <w:r>
              <w:rPr>
                <w:rFonts w:hint="eastAsia" w:cs="宋体" w:asciiTheme="minorEastAsia" w:hAnsiTheme="minorEastAsia" w:eastAsiaTheme="minorEastAsia"/>
                <w:kern w:val="0"/>
                <w:sz w:val="18"/>
                <w:szCs w:val="18"/>
                <w:highlight w:val="none"/>
              </w:rPr>
              <w:t>从业人员X（人）</w:t>
            </w:r>
          </w:p>
        </w:tc>
        <w:tc>
          <w:tcPr>
            <w:tcW w:w="150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cs="宋体" w:asciiTheme="minorEastAsia" w:hAnsiTheme="minorEastAsia" w:eastAsiaTheme="minorEastAsia"/>
                <w:sz w:val="18"/>
                <w:szCs w:val="18"/>
                <w:highlight w:val="none"/>
              </w:rPr>
            </w:pPr>
            <w:r>
              <w:rPr>
                <w:rFonts w:hint="eastAsia" w:cs="宋体" w:asciiTheme="minorEastAsia" w:hAnsiTheme="minorEastAsia" w:eastAsiaTheme="minorEastAsia"/>
                <w:kern w:val="0"/>
                <w:sz w:val="18"/>
                <w:szCs w:val="18"/>
                <w:highlight w:val="none"/>
              </w:rPr>
              <w:t>营业收入Y（万元）</w:t>
            </w:r>
          </w:p>
        </w:tc>
        <w:tc>
          <w:tcPr>
            <w:tcW w:w="1406" w:type="dxa"/>
            <w:tcBorders>
              <w:top w:val="single" w:color="000000" w:sz="4" w:space="0"/>
              <w:left w:val="single" w:color="000000" w:sz="4" w:space="0"/>
              <w:bottom w:val="single" w:color="000000" w:sz="4" w:space="0"/>
              <w:right w:val="single" w:color="000000" w:sz="12" w:space="0"/>
            </w:tcBorders>
            <w:vAlign w:val="bottom"/>
          </w:tcPr>
          <w:p>
            <w:pPr>
              <w:widowControl/>
              <w:jc w:val="left"/>
              <w:textAlignment w:val="bottom"/>
              <w:rPr>
                <w:rFonts w:cs="宋体" w:asciiTheme="minorEastAsia" w:hAnsiTheme="minorEastAsia" w:eastAsiaTheme="minorEastAsia"/>
                <w:sz w:val="18"/>
                <w:szCs w:val="18"/>
                <w:highlight w:val="none"/>
              </w:rPr>
            </w:pPr>
            <w:r>
              <w:rPr>
                <w:rFonts w:hint="eastAsia" w:cs="宋体" w:asciiTheme="minorEastAsia" w:hAnsiTheme="minorEastAsia" w:eastAsiaTheme="minorEastAsia"/>
                <w:kern w:val="0"/>
                <w:sz w:val="18"/>
                <w:szCs w:val="18"/>
                <w:highlight w:val="none"/>
              </w:rPr>
              <w:t>资产总额Z（万元）</w:t>
            </w:r>
          </w:p>
        </w:tc>
        <w:tc>
          <w:tcPr>
            <w:tcW w:w="1264" w:type="dxa"/>
            <w:tcBorders>
              <w:top w:val="single" w:color="000000" w:sz="4" w:space="0"/>
              <w:left w:val="single" w:color="000000" w:sz="12" w:space="0"/>
              <w:bottom w:val="single" w:color="000000" w:sz="4" w:space="0"/>
              <w:right w:val="single" w:color="000000" w:sz="4" w:space="0"/>
            </w:tcBorders>
            <w:vAlign w:val="bottom"/>
          </w:tcPr>
          <w:p>
            <w:pPr>
              <w:widowControl/>
              <w:jc w:val="left"/>
              <w:textAlignment w:val="bottom"/>
              <w:rPr>
                <w:rFonts w:cs="宋体" w:asciiTheme="minorEastAsia" w:hAnsiTheme="minorEastAsia" w:eastAsiaTheme="minorEastAsia"/>
                <w:sz w:val="18"/>
                <w:szCs w:val="18"/>
                <w:highlight w:val="none"/>
              </w:rPr>
            </w:pPr>
            <w:r>
              <w:rPr>
                <w:rFonts w:hint="eastAsia" w:cs="宋体" w:asciiTheme="minorEastAsia" w:hAnsiTheme="minorEastAsia" w:eastAsiaTheme="minorEastAsia"/>
                <w:kern w:val="0"/>
                <w:sz w:val="18"/>
                <w:szCs w:val="18"/>
                <w:highlight w:val="none"/>
              </w:rPr>
              <w:t>从业人员X（人）</w:t>
            </w:r>
          </w:p>
        </w:tc>
        <w:tc>
          <w:tcPr>
            <w:tcW w:w="147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cs="宋体" w:asciiTheme="minorEastAsia" w:hAnsiTheme="minorEastAsia" w:eastAsiaTheme="minorEastAsia"/>
                <w:sz w:val="18"/>
                <w:szCs w:val="18"/>
                <w:highlight w:val="none"/>
              </w:rPr>
            </w:pPr>
            <w:r>
              <w:rPr>
                <w:rFonts w:hint="eastAsia" w:cs="宋体" w:asciiTheme="minorEastAsia" w:hAnsiTheme="minorEastAsia" w:eastAsiaTheme="minorEastAsia"/>
                <w:kern w:val="0"/>
                <w:sz w:val="18"/>
                <w:szCs w:val="18"/>
                <w:highlight w:val="none"/>
              </w:rPr>
              <w:t>营业收入Y（万元）</w:t>
            </w:r>
          </w:p>
        </w:tc>
        <w:tc>
          <w:tcPr>
            <w:tcW w:w="1515" w:type="dxa"/>
            <w:tcBorders>
              <w:top w:val="single" w:color="000000" w:sz="4" w:space="0"/>
              <w:left w:val="single" w:color="000000" w:sz="4" w:space="0"/>
              <w:bottom w:val="single" w:color="000000" w:sz="4" w:space="0"/>
              <w:right w:val="single" w:color="000000" w:sz="12" w:space="0"/>
            </w:tcBorders>
            <w:vAlign w:val="bottom"/>
          </w:tcPr>
          <w:p>
            <w:pPr>
              <w:widowControl/>
              <w:jc w:val="left"/>
              <w:textAlignment w:val="bottom"/>
              <w:rPr>
                <w:rFonts w:cs="宋体" w:asciiTheme="minorEastAsia" w:hAnsiTheme="minorEastAsia" w:eastAsiaTheme="minorEastAsia"/>
                <w:sz w:val="18"/>
                <w:szCs w:val="18"/>
                <w:highlight w:val="none"/>
              </w:rPr>
            </w:pPr>
            <w:r>
              <w:rPr>
                <w:rFonts w:hint="eastAsia" w:cs="宋体" w:asciiTheme="minorEastAsia" w:hAnsiTheme="minorEastAsia" w:eastAsiaTheme="minorEastAsia"/>
                <w:kern w:val="0"/>
                <w:sz w:val="18"/>
                <w:szCs w:val="18"/>
                <w:highlight w:val="none"/>
              </w:rPr>
              <w:t>资产总额Z（万元）</w:t>
            </w:r>
          </w:p>
        </w:tc>
      </w:tr>
      <w:tr>
        <w:tblPrEx>
          <w:tblCellMar>
            <w:top w:w="15" w:type="dxa"/>
            <w:left w:w="15" w:type="dxa"/>
            <w:bottom w:w="15" w:type="dxa"/>
            <w:right w:w="15" w:type="dxa"/>
          </w:tblCellMar>
        </w:tblPrEx>
        <w:trPr>
          <w:trHeight w:val="306" w:hRule="atLeast"/>
          <w:jc w:val="center"/>
        </w:trPr>
        <w:tc>
          <w:tcPr>
            <w:tcW w:w="2153" w:type="dxa"/>
            <w:tcBorders>
              <w:top w:val="single" w:color="000000" w:sz="4" w:space="0"/>
              <w:left w:val="single" w:color="000000" w:sz="12" w:space="0"/>
              <w:bottom w:val="single" w:color="000000" w:sz="4" w:space="0"/>
              <w:right w:val="single" w:color="000000" w:sz="12" w:space="0"/>
            </w:tcBorders>
            <w:vAlign w:val="bottom"/>
          </w:tcPr>
          <w:p>
            <w:pPr>
              <w:widowControl/>
              <w:jc w:val="left"/>
              <w:textAlignment w:val="bottom"/>
              <w:rPr>
                <w:rFonts w:hint="eastAsia" w:cs="宋体" w:asciiTheme="minorEastAsia" w:hAnsiTheme="minorEastAsia" w:eastAsiaTheme="minorEastAsia"/>
                <w:sz w:val="18"/>
                <w:szCs w:val="18"/>
                <w:highlight w:val="none"/>
                <w:lang w:eastAsia="zh-CN"/>
              </w:rPr>
            </w:pPr>
            <w:r>
              <w:rPr>
                <w:rFonts w:hint="eastAsia" w:cs="宋体" w:asciiTheme="minorEastAsia" w:hAnsiTheme="minorEastAsia" w:eastAsiaTheme="minorEastAsia"/>
                <w:kern w:val="0"/>
                <w:sz w:val="18"/>
                <w:szCs w:val="18"/>
                <w:highlight w:val="none"/>
                <w:lang w:eastAsia="zh-CN"/>
              </w:rPr>
              <w:t xml:space="preserve"> </w:t>
            </w:r>
          </w:p>
        </w:tc>
        <w:tc>
          <w:tcPr>
            <w:tcW w:w="1320" w:type="dxa"/>
            <w:tcBorders>
              <w:top w:val="single" w:color="000000" w:sz="4" w:space="0"/>
              <w:left w:val="single" w:color="000000" w:sz="12" w:space="0"/>
              <w:bottom w:val="single" w:color="000000" w:sz="4" w:space="0"/>
              <w:right w:val="single" w:color="000000" w:sz="4" w:space="0"/>
            </w:tcBorders>
            <w:vAlign w:val="bottom"/>
          </w:tcPr>
          <w:p>
            <w:pPr>
              <w:rPr>
                <w:rFonts w:cs="宋体" w:asciiTheme="minorEastAsia" w:hAnsiTheme="minorEastAsia" w:eastAsiaTheme="minorEastAsia"/>
                <w:sz w:val="18"/>
                <w:szCs w:val="18"/>
                <w:highlight w:val="none"/>
              </w:rPr>
            </w:pPr>
          </w:p>
        </w:tc>
        <w:tc>
          <w:tcPr>
            <w:tcW w:w="156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cs="宋体" w:asciiTheme="minorEastAsia" w:hAnsiTheme="minorEastAsia" w:eastAsiaTheme="minorEastAsia"/>
                <w:sz w:val="18"/>
                <w:szCs w:val="18"/>
                <w:highlight w:val="none"/>
              </w:rPr>
            </w:pPr>
            <w:r>
              <w:rPr>
                <w:rFonts w:hint="eastAsia" w:cs="宋体" w:asciiTheme="minorEastAsia" w:hAnsiTheme="minorEastAsia" w:eastAsiaTheme="minorEastAsia"/>
                <w:kern w:val="0"/>
                <w:sz w:val="18"/>
                <w:szCs w:val="18"/>
                <w:highlight w:val="none"/>
              </w:rPr>
              <w:t xml:space="preserve"> 500≤Y＜20000</w:t>
            </w:r>
          </w:p>
        </w:tc>
        <w:tc>
          <w:tcPr>
            <w:tcW w:w="1500" w:type="dxa"/>
            <w:tcBorders>
              <w:top w:val="single" w:color="000000" w:sz="4" w:space="0"/>
              <w:left w:val="single" w:color="000000" w:sz="4" w:space="0"/>
              <w:bottom w:val="single" w:color="000000" w:sz="4" w:space="0"/>
              <w:right w:val="single" w:color="000000" w:sz="12" w:space="0"/>
            </w:tcBorders>
            <w:vAlign w:val="bottom"/>
          </w:tcPr>
          <w:p>
            <w:pPr>
              <w:rPr>
                <w:rFonts w:cs="宋体" w:asciiTheme="minorEastAsia" w:hAnsiTheme="minorEastAsia" w:eastAsiaTheme="minorEastAsia"/>
                <w:sz w:val="18"/>
                <w:szCs w:val="18"/>
                <w:highlight w:val="none"/>
              </w:rPr>
            </w:pPr>
          </w:p>
        </w:tc>
        <w:tc>
          <w:tcPr>
            <w:tcW w:w="1320" w:type="dxa"/>
            <w:tcBorders>
              <w:top w:val="single" w:color="000000" w:sz="4" w:space="0"/>
              <w:left w:val="single" w:color="000000" w:sz="12" w:space="0"/>
              <w:bottom w:val="single" w:color="000000" w:sz="4" w:space="0"/>
              <w:right w:val="single" w:color="000000" w:sz="4" w:space="0"/>
            </w:tcBorders>
            <w:vAlign w:val="bottom"/>
          </w:tcPr>
          <w:p>
            <w:pPr>
              <w:rPr>
                <w:rFonts w:cs="宋体" w:asciiTheme="minorEastAsia" w:hAnsiTheme="minorEastAsia" w:eastAsiaTheme="minorEastAsia"/>
                <w:sz w:val="18"/>
                <w:szCs w:val="18"/>
                <w:highlight w:val="none"/>
              </w:rPr>
            </w:pPr>
          </w:p>
        </w:tc>
        <w:tc>
          <w:tcPr>
            <w:tcW w:w="150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cs="宋体" w:asciiTheme="minorEastAsia" w:hAnsiTheme="minorEastAsia" w:eastAsiaTheme="minorEastAsia"/>
                <w:sz w:val="18"/>
                <w:szCs w:val="18"/>
                <w:highlight w:val="none"/>
              </w:rPr>
            </w:pPr>
            <w:r>
              <w:rPr>
                <w:rFonts w:hint="eastAsia" w:cs="宋体" w:asciiTheme="minorEastAsia" w:hAnsiTheme="minorEastAsia" w:eastAsiaTheme="minorEastAsia"/>
                <w:kern w:val="0"/>
                <w:sz w:val="18"/>
                <w:szCs w:val="18"/>
                <w:highlight w:val="none"/>
              </w:rPr>
              <w:t xml:space="preserve"> 50≤Y＜500</w:t>
            </w:r>
          </w:p>
        </w:tc>
        <w:tc>
          <w:tcPr>
            <w:tcW w:w="1406" w:type="dxa"/>
            <w:tcBorders>
              <w:top w:val="single" w:color="000000" w:sz="4" w:space="0"/>
              <w:left w:val="single" w:color="000000" w:sz="4" w:space="0"/>
              <w:bottom w:val="single" w:color="000000" w:sz="4" w:space="0"/>
              <w:right w:val="single" w:color="000000" w:sz="12" w:space="0"/>
            </w:tcBorders>
            <w:vAlign w:val="bottom"/>
          </w:tcPr>
          <w:p>
            <w:pPr>
              <w:rPr>
                <w:rFonts w:cs="宋体" w:asciiTheme="minorEastAsia" w:hAnsiTheme="minorEastAsia" w:eastAsiaTheme="minorEastAsia"/>
                <w:sz w:val="18"/>
                <w:szCs w:val="18"/>
                <w:highlight w:val="none"/>
              </w:rPr>
            </w:pPr>
          </w:p>
        </w:tc>
        <w:tc>
          <w:tcPr>
            <w:tcW w:w="1264" w:type="dxa"/>
            <w:tcBorders>
              <w:top w:val="single" w:color="000000" w:sz="4" w:space="0"/>
              <w:left w:val="single" w:color="000000" w:sz="12" w:space="0"/>
              <w:bottom w:val="single" w:color="000000" w:sz="4" w:space="0"/>
              <w:right w:val="single" w:color="000000" w:sz="4" w:space="0"/>
            </w:tcBorders>
            <w:vAlign w:val="bottom"/>
          </w:tcPr>
          <w:p>
            <w:pPr>
              <w:rPr>
                <w:rFonts w:cs="宋体" w:asciiTheme="minorEastAsia" w:hAnsiTheme="minorEastAsia" w:eastAsiaTheme="minorEastAsia"/>
                <w:sz w:val="18"/>
                <w:szCs w:val="18"/>
                <w:highlight w:val="none"/>
              </w:rPr>
            </w:pPr>
          </w:p>
        </w:tc>
        <w:tc>
          <w:tcPr>
            <w:tcW w:w="147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cs="宋体" w:asciiTheme="minorEastAsia" w:hAnsiTheme="minorEastAsia" w:eastAsiaTheme="minorEastAsia"/>
                <w:sz w:val="18"/>
                <w:szCs w:val="18"/>
                <w:highlight w:val="none"/>
              </w:rPr>
            </w:pPr>
            <w:r>
              <w:rPr>
                <w:rFonts w:hint="eastAsia" w:cs="宋体" w:asciiTheme="minorEastAsia" w:hAnsiTheme="minorEastAsia" w:eastAsiaTheme="minorEastAsia"/>
                <w:kern w:val="0"/>
                <w:sz w:val="18"/>
                <w:szCs w:val="18"/>
                <w:highlight w:val="none"/>
              </w:rPr>
              <w:t>Y＜50</w:t>
            </w:r>
          </w:p>
        </w:tc>
        <w:tc>
          <w:tcPr>
            <w:tcW w:w="1515" w:type="dxa"/>
            <w:tcBorders>
              <w:top w:val="single" w:color="000000" w:sz="4" w:space="0"/>
              <w:left w:val="single" w:color="000000" w:sz="4" w:space="0"/>
              <w:bottom w:val="single" w:color="000000" w:sz="4" w:space="0"/>
              <w:right w:val="single" w:color="000000" w:sz="12" w:space="0"/>
            </w:tcBorders>
            <w:vAlign w:val="bottom"/>
          </w:tcPr>
          <w:p>
            <w:pPr>
              <w:rPr>
                <w:rFonts w:cs="宋体" w:asciiTheme="minorEastAsia" w:hAnsiTheme="minorEastAsia" w:eastAsiaTheme="minorEastAsia"/>
                <w:sz w:val="18"/>
                <w:szCs w:val="18"/>
                <w:highlight w:val="none"/>
              </w:rPr>
            </w:pPr>
          </w:p>
        </w:tc>
      </w:tr>
      <w:tr>
        <w:tblPrEx>
          <w:tblCellMar>
            <w:top w:w="15" w:type="dxa"/>
            <w:left w:w="15" w:type="dxa"/>
            <w:bottom w:w="15" w:type="dxa"/>
            <w:right w:w="15" w:type="dxa"/>
          </w:tblCellMar>
        </w:tblPrEx>
        <w:trPr>
          <w:trHeight w:val="306" w:hRule="atLeast"/>
          <w:jc w:val="center"/>
        </w:trPr>
        <w:tc>
          <w:tcPr>
            <w:tcW w:w="2153" w:type="dxa"/>
            <w:tcBorders>
              <w:top w:val="single" w:color="000000" w:sz="4" w:space="0"/>
              <w:left w:val="single" w:color="000000" w:sz="12" w:space="0"/>
              <w:bottom w:val="single" w:color="000000" w:sz="4" w:space="0"/>
              <w:right w:val="single" w:color="000000" w:sz="12" w:space="0"/>
            </w:tcBorders>
            <w:vAlign w:val="bottom"/>
          </w:tcPr>
          <w:p>
            <w:pPr>
              <w:widowControl/>
              <w:jc w:val="left"/>
              <w:textAlignment w:val="bottom"/>
              <w:rPr>
                <w:rFonts w:cs="宋体" w:asciiTheme="minorEastAsia" w:hAnsiTheme="minorEastAsia" w:eastAsiaTheme="minorEastAsia"/>
                <w:sz w:val="18"/>
                <w:szCs w:val="18"/>
                <w:highlight w:val="none"/>
              </w:rPr>
            </w:pPr>
            <w:r>
              <w:rPr>
                <w:rFonts w:hint="eastAsia" w:cs="宋体" w:asciiTheme="minorEastAsia" w:hAnsiTheme="minorEastAsia" w:eastAsiaTheme="minorEastAsia"/>
                <w:kern w:val="0"/>
                <w:sz w:val="18"/>
                <w:szCs w:val="18"/>
                <w:highlight w:val="none"/>
              </w:rPr>
              <w:t xml:space="preserve"> 2、工业</w:t>
            </w:r>
          </w:p>
        </w:tc>
        <w:tc>
          <w:tcPr>
            <w:tcW w:w="1320" w:type="dxa"/>
            <w:tcBorders>
              <w:top w:val="single" w:color="000000" w:sz="4" w:space="0"/>
              <w:left w:val="single" w:color="000000" w:sz="12" w:space="0"/>
              <w:bottom w:val="single" w:color="000000" w:sz="4" w:space="0"/>
              <w:right w:val="single" w:color="000000" w:sz="4" w:space="0"/>
            </w:tcBorders>
            <w:vAlign w:val="bottom"/>
          </w:tcPr>
          <w:p>
            <w:pPr>
              <w:widowControl/>
              <w:jc w:val="left"/>
              <w:textAlignment w:val="bottom"/>
              <w:rPr>
                <w:rFonts w:cs="宋体" w:asciiTheme="minorEastAsia" w:hAnsiTheme="minorEastAsia" w:eastAsiaTheme="minorEastAsia"/>
                <w:sz w:val="18"/>
                <w:szCs w:val="18"/>
                <w:highlight w:val="none"/>
              </w:rPr>
            </w:pPr>
            <w:r>
              <w:rPr>
                <w:rFonts w:hint="eastAsia" w:cs="宋体" w:asciiTheme="minorEastAsia" w:hAnsiTheme="minorEastAsia" w:eastAsiaTheme="minorEastAsia"/>
                <w:kern w:val="0"/>
                <w:sz w:val="18"/>
                <w:szCs w:val="18"/>
                <w:highlight w:val="none"/>
              </w:rPr>
              <w:t>300≤X＜1000</w:t>
            </w:r>
          </w:p>
        </w:tc>
        <w:tc>
          <w:tcPr>
            <w:tcW w:w="156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cs="宋体" w:asciiTheme="minorEastAsia" w:hAnsiTheme="minorEastAsia" w:eastAsiaTheme="minorEastAsia"/>
                <w:sz w:val="18"/>
                <w:szCs w:val="18"/>
                <w:highlight w:val="none"/>
              </w:rPr>
            </w:pPr>
            <w:r>
              <w:rPr>
                <w:rFonts w:hint="eastAsia" w:cs="宋体" w:asciiTheme="minorEastAsia" w:hAnsiTheme="minorEastAsia" w:eastAsiaTheme="minorEastAsia"/>
                <w:kern w:val="0"/>
                <w:sz w:val="18"/>
                <w:szCs w:val="18"/>
                <w:highlight w:val="none"/>
              </w:rPr>
              <w:t>2000≤Y＜40000</w:t>
            </w:r>
          </w:p>
        </w:tc>
        <w:tc>
          <w:tcPr>
            <w:tcW w:w="1500" w:type="dxa"/>
            <w:tcBorders>
              <w:top w:val="single" w:color="000000" w:sz="4" w:space="0"/>
              <w:left w:val="single" w:color="000000" w:sz="4" w:space="0"/>
              <w:bottom w:val="single" w:color="000000" w:sz="4" w:space="0"/>
              <w:right w:val="single" w:color="000000" w:sz="12" w:space="0"/>
            </w:tcBorders>
            <w:vAlign w:val="bottom"/>
          </w:tcPr>
          <w:p>
            <w:pPr>
              <w:rPr>
                <w:rFonts w:cs="宋体" w:asciiTheme="minorEastAsia" w:hAnsiTheme="minorEastAsia" w:eastAsiaTheme="minorEastAsia"/>
                <w:sz w:val="18"/>
                <w:szCs w:val="18"/>
                <w:highlight w:val="none"/>
              </w:rPr>
            </w:pPr>
          </w:p>
        </w:tc>
        <w:tc>
          <w:tcPr>
            <w:tcW w:w="1320" w:type="dxa"/>
            <w:tcBorders>
              <w:top w:val="single" w:color="000000" w:sz="4" w:space="0"/>
              <w:left w:val="single" w:color="000000" w:sz="12" w:space="0"/>
              <w:bottom w:val="single" w:color="000000" w:sz="4" w:space="0"/>
              <w:right w:val="single" w:color="000000" w:sz="4" w:space="0"/>
            </w:tcBorders>
            <w:vAlign w:val="bottom"/>
          </w:tcPr>
          <w:p>
            <w:pPr>
              <w:widowControl/>
              <w:jc w:val="left"/>
              <w:textAlignment w:val="bottom"/>
              <w:rPr>
                <w:rFonts w:cs="宋体" w:asciiTheme="minorEastAsia" w:hAnsiTheme="minorEastAsia" w:eastAsiaTheme="minorEastAsia"/>
                <w:sz w:val="18"/>
                <w:szCs w:val="18"/>
                <w:highlight w:val="none"/>
              </w:rPr>
            </w:pPr>
            <w:r>
              <w:rPr>
                <w:rFonts w:hint="eastAsia" w:cs="宋体" w:asciiTheme="minorEastAsia" w:hAnsiTheme="minorEastAsia" w:eastAsiaTheme="minorEastAsia"/>
                <w:kern w:val="0"/>
                <w:sz w:val="18"/>
                <w:szCs w:val="18"/>
                <w:highlight w:val="none"/>
              </w:rPr>
              <w:t>20≤X＜300</w:t>
            </w:r>
          </w:p>
        </w:tc>
        <w:tc>
          <w:tcPr>
            <w:tcW w:w="150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cs="宋体" w:asciiTheme="minorEastAsia" w:hAnsiTheme="minorEastAsia" w:eastAsiaTheme="minorEastAsia"/>
                <w:sz w:val="18"/>
                <w:szCs w:val="18"/>
                <w:highlight w:val="none"/>
              </w:rPr>
            </w:pPr>
            <w:r>
              <w:rPr>
                <w:rFonts w:hint="eastAsia" w:cs="宋体" w:asciiTheme="minorEastAsia" w:hAnsiTheme="minorEastAsia" w:eastAsiaTheme="minorEastAsia"/>
                <w:kern w:val="0"/>
                <w:sz w:val="18"/>
                <w:szCs w:val="18"/>
                <w:highlight w:val="none"/>
              </w:rPr>
              <w:t>300≤Y＜2000</w:t>
            </w:r>
          </w:p>
        </w:tc>
        <w:tc>
          <w:tcPr>
            <w:tcW w:w="1406" w:type="dxa"/>
            <w:tcBorders>
              <w:top w:val="single" w:color="000000" w:sz="4" w:space="0"/>
              <w:left w:val="single" w:color="000000" w:sz="4" w:space="0"/>
              <w:bottom w:val="single" w:color="000000" w:sz="4" w:space="0"/>
              <w:right w:val="single" w:color="000000" w:sz="12" w:space="0"/>
            </w:tcBorders>
            <w:vAlign w:val="bottom"/>
          </w:tcPr>
          <w:p>
            <w:pPr>
              <w:rPr>
                <w:rFonts w:cs="宋体" w:asciiTheme="minorEastAsia" w:hAnsiTheme="minorEastAsia" w:eastAsiaTheme="minorEastAsia"/>
                <w:sz w:val="18"/>
                <w:szCs w:val="18"/>
                <w:highlight w:val="none"/>
              </w:rPr>
            </w:pPr>
          </w:p>
        </w:tc>
        <w:tc>
          <w:tcPr>
            <w:tcW w:w="1264" w:type="dxa"/>
            <w:tcBorders>
              <w:top w:val="single" w:color="000000" w:sz="4" w:space="0"/>
              <w:left w:val="single" w:color="000000" w:sz="12" w:space="0"/>
              <w:bottom w:val="single" w:color="000000" w:sz="4" w:space="0"/>
              <w:right w:val="single" w:color="000000" w:sz="4" w:space="0"/>
            </w:tcBorders>
            <w:vAlign w:val="bottom"/>
          </w:tcPr>
          <w:p>
            <w:pPr>
              <w:widowControl/>
              <w:jc w:val="left"/>
              <w:textAlignment w:val="bottom"/>
              <w:rPr>
                <w:rFonts w:cs="宋体" w:asciiTheme="minorEastAsia" w:hAnsiTheme="minorEastAsia" w:eastAsiaTheme="minorEastAsia"/>
                <w:sz w:val="18"/>
                <w:szCs w:val="18"/>
                <w:highlight w:val="none"/>
              </w:rPr>
            </w:pPr>
            <w:r>
              <w:rPr>
                <w:rFonts w:hint="eastAsia" w:cs="宋体" w:asciiTheme="minorEastAsia" w:hAnsiTheme="minorEastAsia" w:eastAsiaTheme="minorEastAsia"/>
                <w:kern w:val="0"/>
                <w:sz w:val="18"/>
                <w:szCs w:val="18"/>
                <w:highlight w:val="none"/>
              </w:rPr>
              <w:t>X＜20</w:t>
            </w:r>
          </w:p>
        </w:tc>
        <w:tc>
          <w:tcPr>
            <w:tcW w:w="147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cs="宋体" w:asciiTheme="minorEastAsia" w:hAnsiTheme="minorEastAsia" w:eastAsiaTheme="minorEastAsia"/>
                <w:sz w:val="18"/>
                <w:szCs w:val="18"/>
                <w:highlight w:val="none"/>
              </w:rPr>
            </w:pPr>
            <w:r>
              <w:rPr>
                <w:rFonts w:hint="eastAsia" w:cs="宋体" w:asciiTheme="minorEastAsia" w:hAnsiTheme="minorEastAsia" w:eastAsiaTheme="minorEastAsia"/>
                <w:kern w:val="0"/>
                <w:sz w:val="18"/>
                <w:szCs w:val="18"/>
                <w:highlight w:val="none"/>
              </w:rPr>
              <w:t>Y＜300</w:t>
            </w:r>
          </w:p>
        </w:tc>
        <w:tc>
          <w:tcPr>
            <w:tcW w:w="1515" w:type="dxa"/>
            <w:tcBorders>
              <w:top w:val="single" w:color="000000" w:sz="4" w:space="0"/>
              <w:left w:val="single" w:color="000000" w:sz="4" w:space="0"/>
              <w:bottom w:val="single" w:color="000000" w:sz="4" w:space="0"/>
              <w:right w:val="single" w:color="000000" w:sz="12" w:space="0"/>
            </w:tcBorders>
            <w:vAlign w:val="bottom"/>
          </w:tcPr>
          <w:p>
            <w:pPr>
              <w:rPr>
                <w:rFonts w:cs="宋体" w:asciiTheme="minorEastAsia" w:hAnsiTheme="minorEastAsia" w:eastAsiaTheme="minorEastAsia"/>
                <w:sz w:val="18"/>
                <w:szCs w:val="18"/>
                <w:highlight w:val="none"/>
              </w:rPr>
            </w:pPr>
          </w:p>
        </w:tc>
      </w:tr>
      <w:tr>
        <w:tblPrEx>
          <w:tblCellMar>
            <w:top w:w="15" w:type="dxa"/>
            <w:left w:w="15" w:type="dxa"/>
            <w:bottom w:w="15" w:type="dxa"/>
            <w:right w:w="15" w:type="dxa"/>
          </w:tblCellMar>
        </w:tblPrEx>
        <w:trPr>
          <w:trHeight w:val="306" w:hRule="atLeast"/>
          <w:jc w:val="center"/>
        </w:trPr>
        <w:tc>
          <w:tcPr>
            <w:tcW w:w="2153" w:type="dxa"/>
            <w:tcBorders>
              <w:top w:val="single" w:color="000000" w:sz="4" w:space="0"/>
              <w:left w:val="single" w:color="000000" w:sz="12" w:space="0"/>
              <w:bottom w:val="single" w:color="000000" w:sz="4" w:space="0"/>
              <w:right w:val="single" w:color="000000" w:sz="12" w:space="0"/>
            </w:tcBorders>
            <w:vAlign w:val="bottom"/>
          </w:tcPr>
          <w:p>
            <w:pPr>
              <w:widowControl/>
              <w:jc w:val="left"/>
              <w:textAlignment w:val="bottom"/>
              <w:rPr>
                <w:rFonts w:cs="宋体" w:asciiTheme="minorEastAsia" w:hAnsiTheme="minorEastAsia" w:eastAsiaTheme="minorEastAsia"/>
                <w:sz w:val="18"/>
                <w:szCs w:val="18"/>
                <w:highlight w:val="none"/>
              </w:rPr>
            </w:pPr>
            <w:r>
              <w:rPr>
                <w:rFonts w:hint="eastAsia" w:cs="宋体" w:asciiTheme="minorEastAsia" w:hAnsiTheme="minorEastAsia" w:eastAsiaTheme="minorEastAsia"/>
                <w:kern w:val="0"/>
                <w:sz w:val="18"/>
                <w:szCs w:val="18"/>
                <w:highlight w:val="none"/>
              </w:rPr>
              <w:t xml:space="preserve"> 3、建筑业</w:t>
            </w:r>
          </w:p>
        </w:tc>
        <w:tc>
          <w:tcPr>
            <w:tcW w:w="1320" w:type="dxa"/>
            <w:tcBorders>
              <w:top w:val="single" w:color="000000" w:sz="4" w:space="0"/>
              <w:left w:val="single" w:color="000000" w:sz="12" w:space="0"/>
              <w:bottom w:val="single" w:color="000000" w:sz="4" w:space="0"/>
              <w:right w:val="single" w:color="000000" w:sz="4" w:space="0"/>
            </w:tcBorders>
            <w:vAlign w:val="bottom"/>
          </w:tcPr>
          <w:p>
            <w:pPr>
              <w:rPr>
                <w:rFonts w:cs="宋体" w:asciiTheme="minorEastAsia" w:hAnsiTheme="minorEastAsia" w:eastAsiaTheme="minorEastAsia"/>
                <w:sz w:val="18"/>
                <w:szCs w:val="18"/>
                <w:highlight w:val="none"/>
              </w:rPr>
            </w:pPr>
          </w:p>
        </w:tc>
        <w:tc>
          <w:tcPr>
            <w:tcW w:w="156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cs="宋体" w:asciiTheme="minorEastAsia" w:hAnsiTheme="minorEastAsia" w:eastAsiaTheme="minorEastAsia"/>
                <w:sz w:val="18"/>
                <w:szCs w:val="18"/>
                <w:highlight w:val="none"/>
              </w:rPr>
            </w:pPr>
            <w:r>
              <w:rPr>
                <w:rFonts w:hint="eastAsia" w:cs="宋体" w:asciiTheme="minorEastAsia" w:hAnsiTheme="minorEastAsia" w:eastAsiaTheme="minorEastAsia"/>
                <w:kern w:val="0"/>
                <w:sz w:val="18"/>
                <w:szCs w:val="18"/>
                <w:highlight w:val="none"/>
              </w:rPr>
              <w:t>6000≤Y＜80000</w:t>
            </w:r>
          </w:p>
        </w:tc>
        <w:tc>
          <w:tcPr>
            <w:tcW w:w="1500" w:type="dxa"/>
            <w:tcBorders>
              <w:top w:val="single" w:color="000000" w:sz="4" w:space="0"/>
              <w:left w:val="single" w:color="000000" w:sz="4" w:space="0"/>
              <w:bottom w:val="single" w:color="000000" w:sz="4" w:space="0"/>
              <w:right w:val="single" w:color="000000" w:sz="12" w:space="0"/>
            </w:tcBorders>
            <w:vAlign w:val="bottom"/>
          </w:tcPr>
          <w:p>
            <w:pPr>
              <w:widowControl/>
              <w:jc w:val="left"/>
              <w:textAlignment w:val="bottom"/>
              <w:rPr>
                <w:rFonts w:cs="宋体" w:asciiTheme="minorEastAsia" w:hAnsiTheme="minorEastAsia" w:eastAsiaTheme="minorEastAsia"/>
                <w:sz w:val="18"/>
                <w:szCs w:val="18"/>
                <w:highlight w:val="none"/>
              </w:rPr>
            </w:pPr>
            <w:r>
              <w:rPr>
                <w:rFonts w:hint="eastAsia" w:cs="宋体" w:asciiTheme="minorEastAsia" w:hAnsiTheme="minorEastAsia" w:eastAsiaTheme="minorEastAsia"/>
                <w:kern w:val="0"/>
                <w:sz w:val="18"/>
                <w:szCs w:val="18"/>
                <w:highlight w:val="none"/>
              </w:rPr>
              <w:t>5000≤Z＜80000</w:t>
            </w:r>
          </w:p>
        </w:tc>
        <w:tc>
          <w:tcPr>
            <w:tcW w:w="1320" w:type="dxa"/>
            <w:tcBorders>
              <w:top w:val="single" w:color="000000" w:sz="4" w:space="0"/>
              <w:left w:val="single" w:color="000000" w:sz="12" w:space="0"/>
              <w:bottom w:val="single" w:color="000000" w:sz="4" w:space="0"/>
              <w:right w:val="single" w:color="000000" w:sz="4" w:space="0"/>
            </w:tcBorders>
            <w:vAlign w:val="bottom"/>
          </w:tcPr>
          <w:p>
            <w:pPr>
              <w:rPr>
                <w:rFonts w:cs="宋体" w:asciiTheme="minorEastAsia" w:hAnsiTheme="minorEastAsia" w:eastAsiaTheme="minorEastAsia"/>
                <w:sz w:val="18"/>
                <w:szCs w:val="18"/>
                <w:highlight w:val="none"/>
              </w:rPr>
            </w:pPr>
          </w:p>
        </w:tc>
        <w:tc>
          <w:tcPr>
            <w:tcW w:w="150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cs="宋体" w:asciiTheme="minorEastAsia" w:hAnsiTheme="minorEastAsia" w:eastAsiaTheme="minorEastAsia"/>
                <w:sz w:val="18"/>
                <w:szCs w:val="18"/>
                <w:highlight w:val="none"/>
              </w:rPr>
            </w:pPr>
            <w:r>
              <w:rPr>
                <w:rFonts w:hint="eastAsia" w:cs="宋体" w:asciiTheme="minorEastAsia" w:hAnsiTheme="minorEastAsia" w:eastAsiaTheme="minorEastAsia"/>
                <w:kern w:val="0"/>
                <w:sz w:val="18"/>
                <w:szCs w:val="18"/>
                <w:highlight w:val="none"/>
              </w:rPr>
              <w:t>300≤Y＜6000</w:t>
            </w:r>
          </w:p>
        </w:tc>
        <w:tc>
          <w:tcPr>
            <w:tcW w:w="1406" w:type="dxa"/>
            <w:tcBorders>
              <w:top w:val="single" w:color="000000" w:sz="4" w:space="0"/>
              <w:left w:val="single" w:color="000000" w:sz="4" w:space="0"/>
              <w:bottom w:val="single" w:color="000000" w:sz="4" w:space="0"/>
              <w:right w:val="single" w:color="000000" w:sz="12" w:space="0"/>
            </w:tcBorders>
            <w:vAlign w:val="bottom"/>
          </w:tcPr>
          <w:p>
            <w:pPr>
              <w:widowControl/>
              <w:jc w:val="left"/>
              <w:textAlignment w:val="bottom"/>
              <w:rPr>
                <w:rFonts w:cs="宋体" w:asciiTheme="minorEastAsia" w:hAnsiTheme="minorEastAsia" w:eastAsiaTheme="minorEastAsia"/>
                <w:sz w:val="18"/>
                <w:szCs w:val="18"/>
                <w:highlight w:val="none"/>
              </w:rPr>
            </w:pPr>
            <w:r>
              <w:rPr>
                <w:rFonts w:hint="eastAsia" w:cs="宋体" w:asciiTheme="minorEastAsia" w:hAnsiTheme="minorEastAsia" w:eastAsiaTheme="minorEastAsia"/>
                <w:kern w:val="0"/>
                <w:sz w:val="18"/>
                <w:szCs w:val="18"/>
                <w:highlight w:val="none"/>
              </w:rPr>
              <w:t>300≤Z＜5000</w:t>
            </w:r>
          </w:p>
        </w:tc>
        <w:tc>
          <w:tcPr>
            <w:tcW w:w="1264" w:type="dxa"/>
            <w:tcBorders>
              <w:top w:val="single" w:color="000000" w:sz="4" w:space="0"/>
              <w:left w:val="single" w:color="000000" w:sz="12" w:space="0"/>
              <w:bottom w:val="single" w:color="000000" w:sz="4" w:space="0"/>
              <w:right w:val="single" w:color="000000" w:sz="4" w:space="0"/>
            </w:tcBorders>
            <w:vAlign w:val="bottom"/>
          </w:tcPr>
          <w:p>
            <w:pPr>
              <w:rPr>
                <w:rFonts w:cs="宋体" w:asciiTheme="minorEastAsia" w:hAnsiTheme="minorEastAsia" w:eastAsiaTheme="minorEastAsia"/>
                <w:sz w:val="18"/>
                <w:szCs w:val="18"/>
                <w:highlight w:val="none"/>
              </w:rPr>
            </w:pPr>
          </w:p>
        </w:tc>
        <w:tc>
          <w:tcPr>
            <w:tcW w:w="147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cs="宋体" w:asciiTheme="minorEastAsia" w:hAnsiTheme="minorEastAsia" w:eastAsiaTheme="minorEastAsia"/>
                <w:sz w:val="18"/>
                <w:szCs w:val="18"/>
                <w:highlight w:val="none"/>
              </w:rPr>
            </w:pPr>
            <w:r>
              <w:rPr>
                <w:rFonts w:hint="eastAsia" w:cs="宋体" w:asciiTheme="minorEastAsia" w:hAnsiTheme="minorEastAsia" w:eastAsiaTheme="minorEastAsia"/>
                <w:kern w:val="0"/>
                <w:sz w:val="18"/>
                <w:szCs w:val="18"/>
                <w:highlight w:val="none"/>
              </w:rPr>
              <w:t>Y＜300</w:t>
            </w:r>
          </w:p>
        </w:tc>
        <w:tc>
          <w:tcPr>
            <w:tcW w:w="1515" w:type="dxa"/>
            <w:tcBorders>
              <w:top w:val="single" w:color="000000" w:sz="4" w:space="0"/>
              <w:left w:val="single" w:color="000000" w:sz="4" w:space="0"/>
              <w:bottom w:val="single" w:color="000000" w:sz="4" w:space="0"/>
              <w:right w:val="single" w:color="000000" w:sz="12" w:space="0"/>
            </w:tcBorders>
            <w:vAlign w:val="bottom"/>
          </w:tcPr>
          <w:p>
            <w:pPr>
              <w:widowControl/>
              <w:jc w:val="left"/>
              <w:textAlignment w:val="bottom"/>
              <w:rPr>
                <w:rFonts w:cs="宋体" w:asciiTheme="minorEastAsia" w:hAnsiTheme="minorEastAsia" w:eastAsiaTheme="minorEastAsia"/>
                <w:sz w:val="18"/>
                <w:szCs w:val="18"/>
                <w:highlight w:val="none"/>
              </w:rPr>
            </w:pPr>
            <w:r>
              <w:rPr>
                <w:rFonts w:hint="eastAsia" w:cs="宋体" w:asciiTheme="minorEastAsia" w:hAnsiTheme="minorEastAsia" w:eastAsiaTheme="minorEastAsia"/>
                <w:kern w:val="0"/>
                <w:sz w:val="18"/>
                <w:szCs w:val="18"/>
                <w:highlight w:val="none"/>
              </w:rPr>
              <w:t>Z＜300</w:t>
            </w:r>
          </w:p>
        </w:tc>
      </w:tr>
      <w:tr>
        <w:tblPrEx>
          <w:tblCellMar>
            <w:top w:w="15" w:type="dxa"/>
            <w:left w:w="15" w:type="dxa"/>
            <w:bottom w:w="15" w:type="dxa"/>
            <w:right w:w="15" w:type="dxa"/>
          </w:tblCellMar>
        </w:tblPrEx>
        <w:trPr>
          <w:trHeight w:val="306" w:hRule="atLeast"/>
          <w:jc w:val="center"/>
        </w:trPr>
        <w:tc>
          <w:tcPr>
            <w:tcW w:w="2153" w:type="dxa"/>
            <w:tcBorders>
              <w:top w:val="single" w:color="000000" w:sz="4" w:space="0"/>
              <w:left w:val="single" w:color="000000" w:sz="12" w:space="0"/>
              <w:bottom w:val="single" w:color="000000" w:sz="4" w:space="0"/>
              <w:right w:val="single" w:color="000000" w:sz="12" w:space="0"/>
            </w:tcBorders>
            <w:vAlign w:val="bottom"/>
          </w:tcPr>
          <w:p>
            <w:pPr>
              <w:widowControl/>
              <w:jc w:val="left"/>
              <w:textAlignment w:val="bottom"/>
              <w:rPr>
                <w:rFonts w:cs="宋体" w:asciiTheme="minorEastAsia" w:hAnsiTheme="minorEastAsia" w:eastAsiaTheme="minorEastAsia"/>
                <w:sz w:val="18"/>
                <w:szCs w:val="18"/>
                <w:highlight w:val="none"/>
              </w:rPr>
            </w:pPr>
            <w:r>
              <w:rPr>
                <w:rFonts w:hint="eastAsia" w:cs="宋体" w:asciiTheme="minorEastAsia" w:hAnsiTheme="minorEastAsia" w:eastAsiaTheme="minorEastAsia"/>
                <w:kern w:val="0"/>
                <w:sz w:val="18"/>
                <w:szCs w:val="18"/>
                <w:highlight w:val="none"/>
              </w:rPr>
              <w:t xml:space="preserve"> 4、批发业</w:t>
            </w:r>
          </w:p>
        </w:tc>
        <w:tc>
          <w:tcPr>
            <w:tcW w:w="1320" w:type="dxa"/>
            <w:tcBorders>
              <w:top w:val="single" w:color="000000" w:sz="4" w:space="0"/>
              <w:left w:val="single" w:color="000000" w:sz="12" w:space="0"/>
              <w:bottom w:val="single" w:color="000000" w:sz="4" w:space="0"/>
              <w:right w:val="single" w:color="000000" w:sz="4" w:space="0"/>
            </w:tcBorders>
            <w:vAlign w:val="bottom"/>
          </w:tcPr>
          <w:p>
            <w:pPr>
              <w:widowControl/>
              <w:jc w:val="left"/>
              <w:textAlignment w:val="bottom"/>
              <w:rPr>
                <w:rFonts w:cs="宋体" w:asciiTheme="minorEastAsia" w:hAnsiTheme="minorEastAsia" w:eastAsiaTheme="minorEastAsia"/>
                <w:sz w:val="18"/>
                <w:szCs w:val="18"/>
                <w:highlight w:val="none"/>
              </w:rPr>
            </w:pPr>
            <w:r>
              <w:rPr>
                <w:rFonts w:hint="eastAsia" w:cs="宋体" w:asciiTheme="minorEastAsia" w:hAnsiTheme="minorEastAsia" w:eastAsiaTheme="minorEastAsia"/>
                <w:kern w:val="0"/>
                <w:sz w:val="18"/>
                <w:szCs w:val="18"/>
                <w:highlight w:val="none"/>
              </w:rPr>
              <w:t xml:space="preserve"> 20≤X＜200</w:t>
            </w:r>
          </w:p>
        </w:tc>
        <w:tc>
          <w:tcPr>
            <w:tcW w:w="156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cs="宋体" w:asciiTheme="minorEastAsia" w:hAnsiTheme="minorEastAsia" w:eastAsiaTheme="minorEastAsia"/>
                <w:sz w:val="18"/>
                <w:szCs w:val="18"/>
                <w:highlight w:val="none"/>
              </w:rPr>
            </w:pPr>
            <w:r>
              <w:rPr>
                <w:rFonts w:hint="eastAsia" w:cs="宋体" w:asciiTheme="minorEastAsia" w:hAnsiTheme="minorEastAsia" w:eastAsiaTheme="minorEastAsia"/>
                <w:kern w:val="0"/>
                <w:sz w:val="18"/>
                <w:szCs w:val="18"/>
                <w:highlight w:val="none"/>
              </w:rPr>
              <w:t>5000≤Y＜40000</w:t>
            </w:r>
          </w:p>
        </w:tc>
        <w:tc>
          <w:tcPr>
            <w:tcW w:w="1500" w:type="dxa"/>
            <w:tcBorders>
              <w:top w:val="single" w:color="000000" w:sz="4" w:space="0"/>
              <w:left w:val="single" w:color="000000" w:sz="4" w:space="0"/>
              <w:bottom w:val="single" w:color="000000" w:sz="4" w:space="0"/>
              <w:right w:val="single" w:color="000000" w:sz="12" w:space="0"/>
            </w:tcBorders>
            <w:vAlign w:val="bottom"/>
          </w:tcPr>
          <w:p>
            <w:pPr>
              <w:rPr>
                <w:rFonts w:cs="宋体" w:asciiTheme="minorEastAsia" w:hAnsiTheme="minorEastAsia" w:eastAsiaTheme="minorEastAsia"/>
                <w:sz w:val="18"/>
                <w:szCs w:val="18"/>
                <w:highlight w:val="none"/>
              </w:rPr>
            </w:pPr>
          </w:p>
        </w:tc>
        <w:tc>
          <w:tcPr>
            <w:tcW w:w="1320" w:type="dxa"/>
            <w:tcBorders>
              <w:top w:val="single" w:color="000000" w:sz="4" w:space="0"/>
              <w:left w:val="single" w:color="000000" w:sz="12" w:space="0"/>
              <w:bottom w:val="single" w:color="000000" w:sz="4" w:space="0"/>
              <w:right w:val="single" w:color="000000" w:sz="4" w:space="0"/>
            </w:tcBorders>
            <w:vAlign w:val="bottom"/>
          </w:tcPr>
          <w:p>
            <w:pPr>
              <w:widowControl/>
              <w:jc w:val="left"/>
              <w:textAlignment w:val="bottom"/>
              <w:rPr>
                <w:rFonts w:cs="宋体" w:asciiTheme="minorEastAsia" w:hAnsiTheme="minorEastAsia" w:eastAsiaTheme="minorEastAsia"/>
                <w:sz w:val="18"/>
                <w:szCs w:val="18"/>
                <w:highlight w:val="none"/>
              </w:rPr>
            </w:pPr>
            <w:r>
              <w:rPr>
                <w:rFonts w:hint="eastAsia" w:cs="宋体" w:asciiTheme="minorEastAsia" w:hAnsiTheme="minorEastAsia" w:eastAsiaTheme="minorEastAsia"/>
                <w:kern w:val="0"/>
                <w:sz w:val="18"/>
                <w:szCs w:val="18"/>
                <w:highlight w:val="none"/>
              </w:rPr>
              <w:t xml:space="preserve"> 5≤X＜20</w:t>
            </w:r>
          </w:p>
        </w:tc>
        <w:tc>
          <w:tcPr>
            <w:tcW w:w="150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cs="宋体" w:asciiTheme="minorEastAsia" w:hAnsiTheme="minorEastAsia" w:eastAsiaTheme="minorEastAsia"/>
                <w:sz w:val="18"/>
                <w:szCs w:val="18"/>
                <w:highlight w:val="none"/>
              </w:rPr>
            </w:pPr>
            <w:r>
              <w:rPr>
                <w:rFonts w:hint="eastAsia" w:cs="宋体" w:asciiTheme="minorEastAsia" w:hAnsiTheme="minorEastAsia" w:eastAsiaTheme="minorEastAsia"/>
                <w:kern w:val="0"/>
                <w:sz w:val="18"/>
                <w:szCs w:val="18"/>
                <w:highlight w:val="none"/>
              </w:rPr>
              <w:t>1000≤Y＜5000</w:t>
            </w:r>
          </w:p>
        </w:tc>
        <w:tc>
          <w:tcPr>
            <w:tcW w:w="1406" w:type="dxa"/>
            <w:tcBorders>
              <w:top w:val="single" w:color="000000" w:sz="4" w:space="0"/>
              <w:left w:val="single" w:color="000000" w:sz="4" w:space="0"/>
              <w:bottom w:val="single" w:color="000000" w:sz="4" w:space="0"/>
              <w:right w:val="single" w:color="000000" w:sz="12" w:space="0"/>
            </w:tcBorders>
            <w:vAlign w:val="bottom"/>
          </w:tcPr>
          <w:p>
            <w:pPr>
              <w:rPr>
                <w:rFonts w:cs="宋体" w:asciiTheme="minorEastAsia" w:hAnsiTheme="minorEastAsia" w:eastAsiaTheme="minorEastAsia"/>
                <w:sz w:val="18"/>
                <w:szCs w:val="18"/>
                <w:highlight w:val="none"/>
              </w:rPr>
            </w:pPr>
          </w:p>
        </w:tc>
        <w:tc>
          <w:tcPr>
            <w:tcW w:w="1264" w:type="dxa"/>
            <w:tcBorders>
              <w:top w:val="single" w:color="000000" w:sz="4" w:space="0"/>
              <w:left w:val="single" w:color="000000" w:sz="12" w:space="0"/>
              <w:bottom w:val="single" w:color="000000" w:sz="4" w:space="0"/>
              <w:right w:val="single" w:color="000000" w:sz="4" w:space="0"/>
            </w:tcBorders>
            <w:vAlign w:val="bottom"/>
          </w:tcPr>
          <w:p>
            <w:pPr>
              <w:widowControl/>
              <w:jc w:val="left"/>
              <w:textAlignment w:val="bottom"/>
              <w:rPr>
                <w:rFonts w:cs="宋体" w:asciiTheme="minorEastAsia" w:hAnsiTheme="minorEastAsia" w:eastAsiaTheme="minorEastAsia"/>
                <w:sz w:val="18"/>
                <w:szCs w:val="18"/>
                <w:highlight w:val="none"/>
              </w:rPr>
            </w:pPr>
            <w:r>
              <w:rPr>
                <w:rFonts w:hint="eastAsia" w:cs="宋体" w:asciiTheme="minorEastAsia" w:hAnsiTheme="minorEastAsia" w:eastAsiaTheme="minorEastAsia"/>
                <w:kern w:val="0"/>
                <w:sz w:val="18"/>
                <w:szCs w:val="18"/>
                <w:highlight w:val="none"/>
              </w:rPr>
              <w:t>X＜5</w:t>
            </w:r>
          </w:p>
        </w:tc>
        <w:tc>
          <w:tcPr>
            <w:tcW w:w="147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cs="宋体" w:asciiTheme="minorEastAsia" w:hAnsiTheme="minorEastAsia" w:eastAsiaTheme="minorEastAsia"/>
                <w:sz w:val="18"/>
                <w:szCs w:val="18"/>
                <w:highlight w:val="none"/>
              </w:rPr>
            </w:pPr>
            <w:r>
              <w:rPr>
                <w:rFonts w:hint="eastAsia" w:cs="宋体" w:asciiTheme="minorEastAsia" w:hAnsiTheme="minorEastAsia" w:eastAsiaTheme="minorEastAsia"/>
                <w:kern w:val="0"/>
                <w:sz w:val="18"/>
                <w:szCs w:val="18"/>
                <w:highlight w:val="none"/>
              </w:rPr>
              <w:t>Y＜1000</w:t>
            </w:r>
          </w:p>
        </w:tc>
        <w:tc>
          <w:tcPr>
            <w:tcW w:w="1515" w:type="dxa"/>
            <w:tcBorders>
              <w:top w:val="single" w:color="000000" w:sz="4" w:space="0"/>
              <w:left w:val="single" w:color="000000" w:sz="4" w:space="0"/>
              <w:bottom w:val="single" w:color="000000" w:sz="4" w:space="0"/>
              <w:right w:val="single" w:color="000000" w:sz="12" w:space="0"/>
            </w:tcBorders>
            <w:vAlign w:val="bottom"/>
          </w:tcPr>
          <w:p>
            <w:pPr>
              <w:rPr>
                <w:rFonts w:cs="宋体" w:asciiTheme="minorEastAsia" w:hAnsiTheme="minorEastAsia" w:eastAsiaTheme="minorEastAsia"/>
                <w:sz w:val="18"/>
                <w:szCs w:val="18"/>
                <w:highlight w:val="none"/>
              </w:rPr>
            </w:pPr>
          </w:p>
        </w:tc>
      </w:tr>
      <w:tr>
        <w:tblPrEx>
          <w:tblCellMar>
            <w:top w:w="15" w:type="dxa"/>
            <w:left w:w="15" w:type="dxa"/>
            <w:bottom w:w="15" w:type="dxa"/>
            <w:right w:w="15" w:type="dxa"/>
          </w:tblCellMar>
        </w:tblPrEx>
        <w:trPr>
          <w:trHeight w:val="306" w:hRule="atLeast"/>
          <w:jc w:val="center"/>
        </w:trPr>
        <w:tc>
          <w:tcPr>
            <w:tcW w:w="2153" w:type="dxa"/>
            <w:tcBorders>
              <w:top w:val="single" w:color="000000" w:sz="4" w:space="0"/>
              <w:left w:val="single" w:color="000000" w:sz="12" w:space="0"/>
              <w:bottom w:val="single" w:color="000000" w:sz="4" w:space="0"/>
              <w:right w:val="single" w:color="000000" w:sz="12" w:space="0"/>
            </w:tcBorders>
            <w:vAlign w:val="bottom"/>
          </w:tcPr>
          <w:p>
            <w:pPr>
              <w:widowControl/>
              <w:jc w:val="left"/>
              <w:textAlignment w:val="bottom"/>
              <w:rPr>
                <w:rFonts w:cs="宋体" w:asciiTheme="minorEastAsia" w:hAnsiTheme="minorEastAsia" w:eastAsiaTheme="minorEastAsia"/>
                <w:sz w:val="18"/>
                <w:szCs w:val="18"/>
                <w:highlight w:val="none"/>
              </w:rPr>
            </w:pPr>
            <w:r>
              <w:rPr>
                <w:rFonts w:hint="eastAsia" w:cs="宋体" w:asciiTheme="minorEastAsia" w:hAnsiTheme="minorEastAsia" w:eastAsiaTheme="minorEastAsia"/>
                <w:kern w:val="0"/>
                <w:sz w:val="18"/>
                <w:szCs w:val="18"/>
                <w:highlight w:val="none"/>
              </w:rPr>
              <w:t xml:space="preserve"> 5、零售业</w:t>
            </w:r>
          </w:p>
        </w:tc>
        <w:tc>
          <w:tcPr>
            <w:tcW w:w="1320" w:type="dxa"/>
            <w:tcBorders>
              <w:top w:val="single" w:color="000000" w:sz="4" w:space="0"/>
              <w:left w:val="single" w:color="000000" w:sz="12" w:space="0"/>
              <w:bottom w:val="single" w:color="000000" w:sz="4" w:space="0"/>
              <w:right w:val="single" w:color="000000" w:sz="4" w:space="0"/>
            </w:tcBorders>
            <w:vAlign w:val="bottom"/>
          </w:tcPr>
          <w:p>
            <w:pPr>
              <w:widowControl/>
              <w:jc w:val="left"/>
              <w:textAlignment w:val="bottom"/>
              <w:rPr>
                <w:rFonts w:cs="宋体" w:asciiTheme="minorEastAsia" w:hAnsiTheme="minorEastAsia" w:eastAsiaTheme="minorEastAsia"/>
                <w:sz w:val="18"/>
                <w:szCs w:val="18"/>
                <w:highlight w:val="none"/>
              </w:rPr>
            </w:pPr>
            <w:r>
              <w:rPr>
                <w:rFonts w:hint="eastAsia" w:cs="宋体" w:asciiTheme="minorEastAsia" w:hAnsiTheme="minorEastAsia" w:eastAsiaTheme="minorEastAsia"/>
                <w:kern w:val="0"/>
                <w:sz w:val="18"/>
                <w:szCs w:val="18"/>
                <w:highlight w:val="none"/>
              </w:rPr>
              <w:t xml:space="preserve"> 50≤X＜300</w:t>
            </w:r>
          </w:p>
        </w:tc>
        <w:tc>
          <w:tcPr>
            <w:tcW w:w="156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cs="宋体" w:asciiTheme="minorEastAsia" w:hAnsiTheme="minorEastAsia" w:eastAsiaTheme="minorEastAsia"/>
                <w:sz w:val="18"/>
                <w:szCs w:val="18"/>
                <w:highlight w:val="none"/>
              </w:rPr>
            </w:pPr>
            <w:r>
              <w:rPr>
                <w:rFonts w:hint="eastAsia" w:cs="宋体" w:asciiTheme="minorEastAsia" w:hAnsiTheme="minorEastAsia" w:eastAsiaTheme="minorEastAsia"/>
                <w:kern w:val="0"/>
                <w:sz w:val="18"/>
                <w:szCs w:val="18"/>
                <w:highlight w:val="none"/>
              </w:rPr>
              <w:t xml:space="preserve"> 500≤Y＜20000</w:t>
            </w:r>
          </w:p>
        </w:tc>
        <w:tc>
          <w:tcPr>
            <w:tcW w:w="1500" w:type="dxa"/>
            <w:tcBorders>
              <w:top w:val="single" w:color="000000" w:sz="4" w:space="0"/>
              <w:left w:val="single" w:color="000000" w:sz="4" w:space="0"/>
              <w:bottom w:val="single" w:color="000000" w:sz="4" w:space="0"/>
              <w:right w:val="single" w:color="000000" w:sz="12" w:space="0"/>
            </w:tcBorders>
            <w:vAlign w:val="bottom"/>
          </w:tcPr>
          <w:p>
            <w:pPr>
              <w:rPr>
                <w:rFonts w:cs="宋体" w:asciiTheme="minorEastAsia" w:hAnsiTheme="minorEastAsia" w:eastAsiaTheme="minorEastAsia"/>
                <w:sz w:val="18"/>
                <w:szCs w:val="18"/>
                <w:highlight w:val="none"/>
              </w:rPr>
            </w:pPr>
          </w:p>
        </w:tc>
        <w:tc>
          <w:tcPr>
            <w:tcW w:w="1320" w:type="dxa"/>
            <w:tcBorders>
              <w:top w:val="single" w:color="000000" w:sz="4" w:space="0"/>
              <w:left w:val="single" w:color="000000" w:sz="12" w:space="0"/>
              <w:bottom w:val="single" w:color="000000" w:sz="4" w:space="0"/>
              <w:right w:val="single" w:color="000000" w:sz="4" w:space="0"/>
            </w:tcBorders>
            <w:vAlign w:val="bottom"/>
          </w:tcPr>
          <w:p>
            <w:pPr>
              <w:widowControl/>
              <w:jc w:val="left"/>
              <w:textAlignment w:val="bottom"/>
              <w:rPr>
                <w:rFonts w:cs="宋体" w:asciiTheme="minorEastAsia" w:hAnsiTheme="minorEastAsia" w:eastAsiaTheme="minorEastAsia"/>
                <w:sz w:val="18"/>
                <w:szCs w:val="18"/>
                <w:highlight w:val="none"/>
              </w:rPr>
            </w:pPr>
            <w:r>
              <w:rPr>
                <w:rFonts w:hint="eastAsia" w:cs="宋体" w:asciiTheme="minorEastAsia" w:hAnsiTheme="minorEastAsia" w:eastAsiaTheme="minorEastAsia"/>
                <w:kern w:val="0"/>
                <w:sz w:val="18"/>
                <w:szCs w:val="18"/>
                <w:highlight w:val="none"/>
              </w:rPr>
              <w:t>10≤X＜50</w:t>
            </w:r>
          </w:p>
        </w:tc>
        <w:tc>
          <w:tcPr>
            <w:tcW w:w="150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cs="宋体" w:asciiTheme="minorEastAsia" w:hAnsiTheme="minorEastAsia" w:eastAsiaTheme="minorEastAsia"/>
                <w:sz w:val="18"/>
                <w:szCs w:val="18"/>
                <w:highlight w:val="none"/>
              </w:rPr>
            </w:pPr>
            <w:r>
              <w:rPr>
                <w:rFonts w:hint="eastAsia" w:cs="宋体" w:asciiTheme="minorEastAsia" w:hAnsiTheme="minorEastAsia" w:eastAsiaTheme="minorEastAsia"/>
                <w:kern w:val="0"/>
                <w:sz w:val="18"/>
                <w:szCs w:val="18"/>
                <w:highlight w:val="none"/>
              </w:rPr>
              <w:t>100≤Y＜500</w:t>
            </w:r>
          </w:p>
        </w:tc>
        <w:tc>
          <w:tcPr>
            <w:tcW w:w="1406" w:type="dxa"/>
            <w:tcBorders>
              <w:top w:val="single" w:color="000000" w:sz="4" w:space="0"/>
              <w:left w:val="single" w:color="000000" w:sz="4" w:space="0"/>
              <w:bottom w:val="single" w:color="000000" w:sz="4" w:space="0"/>
              <w:right w:val="single" w:color="000000" w:sz="12" w:space="0"/>
            </w:tcBorders>
            <w:vAlign w:val="bottom"/>
          </w:tcPr>
          <w:p>
            <w:pPr>
              <w:rPr>
                <w:rFonts w:cs="宋体" w:asciiTheme="minorEastAsia" w:hAnsiTheme="minorEastAsia" w:eastAsiaTheme="minorEastAsia"/>
                <w:sz w:val="18"/>
                <w:szCs w:val="18"/>
                <w:highlight w:val="none"/>
              </w:rPr>
            </w:pPr>
          </w:p>
        </w:tc>
        <w:tc>
          <w:tcPr>
            <w:tcW w:w="1264" w:type="dxa"/>
            <w:tcBorders>
              <w:top w:val="single" w:color="000000" w:sz="4" w:space="0"/>
              <w:left w:val="single" w:color="000000" w:sz="12" w:space="0"/>
              <w:bottom w:val="single" w:color="000000" w:sz="4" w:space="0"/>
              <w:right w:val="single" w:color="000000" w:sz="4" w:space="0"/>
            </w:tcBorders>
            <w:vAlign w:val="bottom"/>
          </w:tcPr>
          <w:p>
            <w:pPr>
              <w:widowControl/>
              <w:jc w:val="left"/>
              <w:textAlignment w:val="bottom"/>
              <w:rPr>
                <w:rFonts w:cs="宋体" w:asciiTheme="minorEastAsia" w:hAnsiTheme="minorEastAsia" w:eastAsiaTheme="minorEastAsia"/>
                <w:sz w:val="18"/>
                <w:szCs w:val="18"/>
                <w:highlight w:val="none"/>
              </w:rPr>
            </w:pPr>
            <w:r>
              <w:rPr>
                <w:rFonts w:hint="eastAsia" w:cs="宋体" w:asciiTheme="minorEastAsia" w:hAnsiTheme="minorEastAsia" w:eastAsiaTheme="minorEastAsia"/>
                <w:kern w:val="0"/>
                <w:sz w:val="18"/>
                <w:szCs w:val="18"/>
                <w:highlight w:val="none"/>
              </w:rPr>
              <w:t>X＜10</w:t>
            </w:r>
          </w:p>
        </w:tc>
        <w:tc>
          <w:tcPr>
            <w:tcW w:w="147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cs="宋体" w:asciiTheme="minorEastAsia" w:hAnsiTheme="minorEastAsia" w:eastAsiaTheme="minorEastAsia"/>
                <w:sz w:val="18"/>
                <w:szCs w:val="18"/>
                <w:highlight w:val="none"/>
              </w:rPr>
            </w:pPr>
            <w:r>
              <w:rPr>
                <w:rFonts w:hint="eastAsia" w:cs="宋体" w:asciiTheme="minorEastAsia" w:hAnsiTheme="minorEastAsia" w:eastAsiaTheme="minorEastAsia"/>
                <w:kern w:val="0"/>
                <w:sz w:val="18"/>
                <w:szCs w:val="18"/>
                <w:highlight w:val="none"/>
              </w:rPr>
              <w:t>Y＜100</w:t>
            </w:r>
          </w:p>
        </w:tc>
        <w:tc>
          <w:tcPr>
            <w:tcW w:w="1515" w:type="dxa"/>
            <w:tcBorders>
              <w:top w:val="single" w:color="000000" w:sz="4" w:space="0"/>
              <w:left w:val="single" w:color="000000" w:sz="4" w:space="0"/>
              <w:bottom w:val="single" w:color="000000" w:sz="4" w:space="0"/>
              <w:right w:val="single" w:color="000000" w:sz="12" w:space="0"/>
            </w:tcBorders>
            <w:vAlign w:val="bottom"/>
          </w:tcPr>
          <w:p>
            <w:pPr>
              <w:rPr>
                <w:rFonts w:cs="宋体" w:asciiTheme="minorEastAsia" w:hAnsiTheme="minorEastAsia" w:eastAsiaTheme="minorEastAsia"/>
                <w:sz w:val="18"/>
                <w:szCs w:val="18"/>
                <w:highlight w:val="none"/>
              </w:rPr>
            </w:pPr>
          </w:p>
        </w:tc>
      </w:tr>
      <w:tr>
        <w:tblPrEx>
          <w:tblCellMar>
            <w:top w:w="15" w:type="dxa"/>
            <w:left w:w="15" w:type="dxa"/>
            <w:bottom w:w="15" w:type="dxa"/>
            <w:right w:w="15" w:type="dxa"/>
          </w:tblCellMar>
        </w:tblPrEx>
        <w:trPr>
          <w:trHeight w:val="306" w:hRule="atLeast"/>
          <w:jc w:val="center"/>
        </w:trPr>
        <w:tc>
          <w:tcPr>
            <w:tcW w:w="2153" w:type="dxa"/>
            <w:tcBorders>
              <w:top w:val="single" w:color="000000" w:sz="4" w:space="0"/>
              <w:left w:val="single" w:color="000000" w:sz="12" w:space="0"/>
              <w:bottom w:val="single" w:color="000000" w:sz="4" w:space="0"/>
              <w:right w:val="single" w:color="000000" w:sz="12" w:space="0"/>
            </w:tcBorders>
            <w:vAlign w:val="bottom"/>
          </w:tcPr>
          <w:p>
            <w:pPr>
              <w:widowControl/>
              <w:jc w:val="left"/>
              <w:textAlignment w:val="bottom"/>
              <w:rPr>
                <w:rFonts w:cs="宋体" w:asciiTheme="minorEastAsia" w:hAnsiTheme="minorEastAsia" w:eastAsiaTheme="minorEastAsia"/>
                <w:sz w:val="18"/>
                <w:szCs w:val="18"/>
                <w:highlight w:val="none"/>
              </w:rPr>
            </w:pPr>
            <w:r>
              <w:rPr>
                <w:rFonts w:hint="eastAsia" w:cs="宋体" w:asciiTheme="minorEastAsia" w:hAnsiTheme="minorEastAsia" w:eastAsiaTheme="minorEastAsia"/>
                <w:kern w:val="0"/>
                <w:sz w:val="18"/>
                <w:szCs w:val="18"/>
                <w:highlight w:val="none"/>
              </w:rPr>
              <w:t xml:space="preserve"> 6、交通运输业</w:t>
            </w:r>
          </w:p>
        </w:tc>
        <w:tc>
          <w:tcPr>
            <w:tcW w:w="1320" w:type="dxa"/>
            <w:tcBorders>
              <w:top w:val="single" w:color="000000" w:sz="4" w:space="0"/>
              <w:left w:val="single" w:color="000000" w:sz="12" w:space="0"/>
              <w:bottom w:val="single" w:color="000000" w:sz="4" w:space="0"/>
              <w:right w:val="single" w:color="000000" w:sz="4" w:space="0"/>
            </w:tcBorders>
            <w:vAlign w:val="bottom"/>
          </w:tcPr>
          <w:p>
            <w:pPr>
              <w:widowControl/>
              <w:jc w:val="left"/>
              <w:textAlignment w:val="bottom"/>
              <w:rPr>
                <w:rFonts w:cs="宋体" w:asciiTheme="minorEastAsia" w:hAnsiTheme="minorEastAsia" w:eastAsiaTheme="minorEastAsia"/>
                <w:sz w:val="18"/>
                <w:szCs w:val="18"/>
                <w:highlight w:val="none"/>
              </w:rPr>
            </w:pPr>
            <w:r>
              <w:rPr>
                <w:rFonts w:hint="eastAsia" w:cs="宋体" w:asciiTheme="minorEastAsia" w:hAnsiTheme="minorEastAsia" w:eastAsiaTheme="minorEastAsia"/>
                <w:kern w:val="0"/>
                <w:sz w:val="18"/>
                <w:szCs w:val="18"/>
                <w:highlight w:val="none"/>
              </w:rPr>
              <w:t>300≤X＜1000</w:t>
            </w:r>
          </w:p>
        </w:tc>
        <w:tc>
          <w:tcPr>
            <w:tcW w:w="156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cs="宋体" w:asciiTheme="minorEastAsia" w:hAnsiTheme="minorEastAsia" w:eastAsiaTheme="minorEastAsia"/>
                <w:sz w:val="18"/>
                <w:szCs w:val="18"/>
                <w:highlight w:val="none"/>
              </w:rPr>
            </w:pPr>
            <w:r>
              <w:rPr>
                <w:rFonts w:hint="eastAsia" w:cs="宋体" w:asciiTheme="minorEastAsia" w:hAnsiTheme="minorEastAsia" w:eastAsiaTheme="minorEastAsia"/>
                <w:kern w:val="0"/>
                <w:sz w:val="18"/>
                <w:szCs w:val="18"/>
                <w:highlight w:val="none"/>
              </w:rPr>
              <w:t>3000≤Y＜30000</w:t>
            </w:r>
          </w:p>
        </w:tc>
        <w:tc>
          <w:tcPr>
            <w:tcW w:w="1500" w:type="dxa"/>
            <w:tcBorders>
              <w:top w:val="single" w:color="000000" w:sz="4" w:space="0"/>
              <w:left w:val="single" w:color="000000" w:sz="4" w:space="0"/>
              <w:bottom w:val="single" w:color="000000" w:sz="4" w:space="0"/>
              <w:right w:val="single" w:color="000000" w:sz="12" w:space="0"/>
            </w:tcBorders>
            <w:vAlign w:val="bottom"/>
          </w:tcPr>
          <w:p>
            <w:pPr>
              <w:rPr>
                <w:rFonts w:cs="宋体" w:asciiTheme="minorEastAsia" w:hAnsiTheme="minorEastAsia" w:eastAsiaTheme="minorEastAsia"/>
                <w:sz w:val="18"/>
                <w:szCs w:val="18"/>
                <w:highlight w:val="none"/>
              </w:rPr>
            </w:pPr>
          </w:p>
        </w:tc>
        <w:tc>
          <w:tcPr>
            <w:tcW w:w="1320" w:type="dxa"/>
            <w:tcBorders>
              <w:top w:val="single" w:color="000000" w:sz="4" w:space="0"/>
              <w:left w:val="single" w:color="000000" w:sz="12" w:space="0"/>
              <w:bottom w:val="single" w:color="000000" w:sz="4" w:space="0"/>
              <w:right w:val="single" w:color="000000" w:sz="4" w:space="0"/>
            </w:tcBorders>
            <w:vAlign w:val="bottom"/>
          </w:tcPr>
          <w:p>
            <w:pPr>
              <w:widowControl/>
              <w:jc w:val="left"/>
              <w:textAlignment w:val="bottom"/>
              <w:rPr>
                <w:rFonts w:cs="宋体" w:asciiTheme="minorEastAsia" w:hAnsiTheme="minorEastAsia" w:eastAsiaTheme="minorEastAsia"/>
                <w:sz w:val="18"/>
                <w:szCs w:val="18"/>
                <w:highlight w:val="none"/>
              </w:rPr>
            </w:pPr>
            <w:r>
              <w:rPr>
                <w:rFonts w:hint="eastAsia" w:cs="宋体" w:asciiTheme="minorEastAsia" w:hAnsiTheme="minorEastAsia" w:eastAsiaTheme="minorEastAsia"/>
                <w:kern w:val="0"/>
                <w:sz w:val="18"/>
                <w:szCs w:val="18"/>
                <w:highlight w:val="none"/>
              </w:rPr>
              <w:t>20≤X＜300</w:t>
            </w:r>
          </w:p>
        </w:tc>
        <w:tc>
          <w:tcPr>
            <w:tcW w:w="150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cs="宋体" w:asciiTheme="minorEastAsia" w:hAnsiTheme="minorEastAsia" w:eastAsiaTheme="minorEastAsia"/>
                <w:sz w:val="18"/>
                <w:szCs w:val="18"/>
                <w:highlight w:val="none"/>
              </w:rPr>
            </w:pPr>
            <w:r>
              <w:rPr>
                <w:rFonts w:hint="eastAsia" w:cs="宋体" w:asciiTheme="minorEastAsia" w:hAnsiTheme="minorEastAsia" w:eastAsiaTheme="minorEastAsia"/>
                <w:kern w:val="0"/>
                <w:sz w:val="18"/>
                <w:szCs w:val="18"/>
                <w:highlight w:val="none"/>
              </w:rPr>
              <w:t>200≤Y＜3000</w:t>
            </w:r>
          </w:p>
        </w:tc>
        <w:tc>
          <w:tcPr>
            <w:tcW w:w="1406" w:type="dxa"/>
            <w:tcBorders>
              <w:top w:val="single" w:color="000000" w:sz="4" w:space="0"/>
              <w:left w:val="single" w:color="000000" w:sz="4" w:space="0"/>
              <w:bottom w:val="single" w:color="000000" w:sz="4" w:space="0"/>
              <w:right w:val="single" w:color="000000" w:sz="12" w:space="0"/>
            </w:tcBorders>
            <w:vAlign w:val="bottom"/>
          </w:tcPr>
          <w:p>
            <w:pPr>
              <w:rPr>
                <w:rFonts w:cs="宋体" w:asciiTheme="minorEastAsia" w:hAnsiTheme="minorEastAsia" w:eastAsiaTheme="minorEastAsia"/>
                <w:sz w:val="18"/>
                <w:szCs w:val="18"/>
                <w:highlight w:val="none"/>
              </w:rPr>
            </w:pPr>
          </w:p>
        </w:tc>
        <w:tc>
          <w:tcPr>
            <w:tcW w:w="1264" w:type="dxa"/>
            <w:tcBorders>
              <w:top w:val="single" w:color="000000" w:sz="4" w:space="0"/>
              <w:left w:val="single" w:color="000000" w:sz="12" w:space="0"/>
              <w:bottom w:val="single" w:color="000000" w:sz="4" w:space="0"/>
              <w:right w:val="single" w:color="000000" w:sz="4" w:space="0"/>
            </w:tcBorders>
            <w:vAlign w:val="bottom"/>
          </w:tcPr>
          <w:p>
            <w:pPr>
              <w:widowControl/>
              <w:jc w:val="left"/>
              <w:textAlignment w:val="bottom"/>
              <w:rPr>
                <w:rFonts w:cs="宋体" w:asciiTheme="minorEastAsia" w:hAnsiTheme="minorEastAsia" w:eastAsiaTheme="minorEastAsia"/>
                <w:sz w:val="18"/>
                <w:szCs w:val="18"/>
                <w:highlight w:val="none"/>
              </w:rPr>
            </w:pPr>
            <w:r>
              <w:rPr>
                <w:rFonts w:hint="eastAsia" w:cs="宋体" w:asciiTheme="minorEastAsia" w:hAnsiTheme="minorEastAsia" w:eastAsiaTheme="minorEastAsia"/>
                <w:kern w:val="0"/>
                <w:sz w:val="18"/>
                <w:szCs w:val="18"/>
                <w:highlight w:val="none"/>
              </w:rPr>
              <w:t>X＜20</w:t>
            </w:r>
          </w:p>
        </w:tc>
        <w:tc>
          <w:tcPr>
            <w:tcW w:w="147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cs="宋体" w:asciiTheme="minorEastAsia" w:hAnsiTheme="minorEastAsia" w:eastAsiaTheme="minorEastAsia"/>
                <w:sz w:val="18"/>
                <w:szCs w:val="18"/>
                <w:highlight w:val="none"/>
              </w:rPr>
            </w:pPr>
            <w:r>
              <w:rPr>
                <w:rFonts w:hint="eastAsia" w:cs="宋体" w:asciiTheme="minorEastAsia" w:hAnsiTheme="minorEastAsia" w:eastAsiaTheme="minorEastAsia"/>
                <w:kern w:val="0"/>
                <w:sz w:val="18"/>
                <w:szCs w:val="18"/>
                <w:highlight w:val="none"/>
              </w:rPr>
              <w:t>V＜200</w:t>
            </w:r>
          </w:p>
        </w:tc>
        <w:tc>
          <w:tcPr>
            <w:tcW w:w="1515" w:type="dxa"/>
            <w:tcBorders>
              <w:top w:val="single" w:color="000000" w:sz="4" w:space="0"/>
              <w:left w:val="single" w:color="000000" w:sz="4" w:space="0"/>
              <w:bottom w:val="single" w:color="000000" w:sz="4" w:space="0"/>
              <w:right w:val="single" w:color="000000" w:sz="12" w:space="0"/>
            </w:tcBorders>
            <w:vAlign w:val="bottom"/>
          </w:tcPr>
          <w:p>
            <w:pPr>
              <w:rPr>
                <w:rFonts w:cs="宋体" w:asciiTheme="minorEastAsia" w:hAnsiTheme="minorEastAsia" w:eastAsiaTheme="minorEastAsia"/>
                <w:sz w:val="18"/>
                <w:szCs w:val="18"/>
                <w:highlight w:val="none"/>
              </w:rPr>
            </w:pPr>
          </w:p>
        </w:tc>
      </w:tr>
      <w:tr>
        <w:tblPrEx>
          <w:tblCellMar>
            <w:top w:w="15" w:type="dxa"/>
            <w:left w:w="15" w:type="dxa"/>
            <w:bottom w:w="15" w:type="dxa"/>
            <w:right w:w="15" w:type="dxa"/>
          </w:tblCellMar>
        </w:tblPrEx>
        <w:trPr>
          <w:trHeight w:val="306" w:hRule="atLeast"/>
          <w:jc w:val="center"/>
        </w:trPr>
        <w:tc>
          <w:tcPr>
            <w:tcW w:w="2153" w:type="dxa"/>
            <w:tcBorders>
              <w:top w:val="single" w:color="000000" w:sz="4" w:space="0"/>
              <w:left w:val="single" w:color="000000" w:sz="12" w:space="0"/>
              <w:bottom w:val="single" w:color="000000" w:sz="4" w:space="0"/>
              <w:right w:val="single" w:color="000000" w:sz="12" w:space="0"/>
            </w:tcBorders>
            <w:vAlign w:val="bottom"/>
          </w:tcPr>
          <w:p>
            <w:pPr>
              <w:widowControl/>
              <w:jc w:val="left"/>
              <w:textAlignment w:val="bottom"/>
              <w:rPr>
                <w:rFonts w:cs="宋体" w:asciiTheme="minorEastAsia" w:hAnsiTheme="minorEastAsia" w:eastAsiaTheme="minorEastAsia"/>
                <w:sz w:val="18"/>
                <w:szCs w:val="18"/>
                <w:highlight w:val="none"/>
              </w:rPr>
            </w:pPr>
            <w:r>
              <w:rPr>
                <w:rFonts w:hint="eastAsia" w:cs="宋体" w:asciiTheme="minorEastAsia" w:hAnsiTheme="minorEastAsia" w:eastAsiaTheme="minorEastAsia"/>
                <w:kern w:val="0"/>
                <w:sz w:val="18"/>
                <w:szCs w:val="18"/>
                <w:highlight w:val="none"/>
              </w:rPr>
              <w:t xml:space="preserve"> 7、仓储业</w:t>
            </w:r>
          </w:p>
        </w:tc>
        <w:tc>
          <w:tcPr>
            <w:tcW w:w="1320" w:type="dxa"/>
            <w:tcBorders>
              <w:top w:val="single" w:color="000000" w:sz="4" w:space="0"/>
              <w:left w:val="single" w:color="000000" w:sz="12" w:space="0"/>
              <w:bottom w:val="single" w:color="000000" w:sz="4" w:space="0"/>
              <w:right w:val="single" w:color="000000" w:sz="4" w:space="0"/>
            </w:tcBorders>
            <w:vAlign w:val="bottom"/>
          </w:tcPr>
          <w:p>
            <w:pPr>
              <w:widowControl/>
              <w:jc w:val="left"/>
              <w:textAlignment w:val="bottom"/>
              <w:rPr>
                <w:rFonts w:cs="宋体" w:asciiTheme="minorEastAsia" w:hAnsiTheme="minorEastAsia" w:eastAsiaTheme="minorEastAsia"/>
                <w:sz w:val="18"/>
                <w:szCs w:val="18"/>
                <w:highlight w:val="none"/>
              </w:rPr>
            </w:pPr>
            <w:r>
              <w:rPr>
                <w:rFonts w:hint="eastAsia" w:cs="宋体" w:asciiTheme="minorEastAsia" w:hAnsiTheme="minorEastAsia" w:eastAsiaTheme="minorEastAsia"/>
                <w:kern w:val="0"/>
                <w:sz w:val="18"/>
                <w:szCs w:val="18"/>
                <w:highlight w:val="none"/>
              </w:rPr>
              <w:t>100≤X＜200</w:t>
            </w:r>
          </w:p>
        </w:tc>
        <w:tc>
          <w:tcPr>
            <w:tcW w:w="156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cs="宋体" w:asciiTheme="minorEastAsia" w:hAnsiTheme="minorEastAsia" w:eastAsiaTheme="minorEastAsia"/>
                <w:sz w:val="18"/>
                <w:szCs w:val="18"/>
                <w:highlight w:val="none"/>
              </w:rPr>
            </w:pPr>
            <w:r>
              <w:rPr>
                <w:rFonts w:hint="eastAsia" w:cs="宋体" w:asciiTheme="minorEastAsia" w:hAnsiTheme="minorEastAsia" w:eastAsiaTheme="minorEastAsia"/>
                <w:kern w:val="0"/>
                <w:sz w:val="18"/>
                <w:szCs w:val="18"/>
                <w:highlight w:val="none"/>
              </w:rPr>
              <w:t>1000≤Y＜30000</w:t>
            </w:r>
          </w:p>
        </w:tc>
        <w:tc>
          <w:tcPr>
            <w:tcW w:w="1500" w:type="dxa"/>
            <w:tcBorders>
              <w:top w:val="single" w:color="000000" w:sz="4" w:space="0"/>
              <w:left w:val="single" w:color="000000" w:sz="4" w:space="0"/>
              <w:bottom w:val="single" w:color="000000" w:sz="4" w:space="0"/>
              <w:right w:val="single" w:color="000000" w:sz="12" w:space="0"/>
            </w:tcBorders>
            <w:vAlign w:val="bottom"/>
          </w:tcPr>
          <w:p>
            <w:pPr>
              <w:rPr>
                <w:rFonts w:cs="宋体" w:asciiTheme="minorEastAsia" w:hAnsiTheme="minorEastAsia" w:eastAsiaTheme="minorEastAsia"/>
                <w:sz w:val="18"/>
                <w:szCs w:val="18"/>
                <w:highlight w:val="none"/>
              </w:rPr>
            </w:pPr>
          </w:p>
        </w:tc>
        <w:tc>
          <w:tcPr>
            <w:tcW w:w="1320" w:type="dxa"/>
            <w:tcBorders>
              <w:top w:val="single" w:color="000000" w:sz="4" w:space="0"/>
              <w:left w:val="single" w:color="000000" w:sz="12" w:space="0"/>
              <w:bottom w:val="single" w:color="000000" w:sz="4" w:space="0"/>
              <w:right w:val="single" w:color="000000" w:sz="4" w:space="0"/>
            </w:tcBorders>
            <w:vAlign w:val="bottom"/>
          </w:tcPr>
          <w:p>
            <w:pPr>
              <w:widowControl/>
              <w:jc w:val="left"/>
              <w:textAlignment w:val="bottom"/>
              <w:rPr>
                <w:rFonts w:cs="宋体" w:asciiTheme="minorEastAsia" w:hAnsiTheme="minorEastAsia" w:eastAsiaTheme="minorEastAsia"/>
                <w:sz w:val="18"/>
                <w:szCs w:val="18"/>
                <w:highlight w:val="none"/>
              </w:rPr>
            </w:pPr>
            <w:r>
              <w:rPr>
                <w:rFonts w:hint="eastAsia" w:cs="宋体" w:asciiTheme="minorEastAsia" w:hAnsiTheme="minorEastAsia" w:eastAsiaTheme="minorEastAsia"/>
                <w:kern w:val="0"/>
                <w:sz w:val="18"/>
                <w:szCs w:val="18"/>
                <w:highlight w:val="none"/>
              </w:rPr>
              <w:t>20≤X＜100</w:t>
            </w:r>
          </w:p>
        </w:tc>
        <w:tc>
          <w:tcPr>
            <w:tcW w:w="150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cs="宋体" w:asciiTheme="minorEastAsia" w:hAnsiTheme="minorEastAsia" w:eastAsiaTheme="minorEastAsia"/>
                <w:sz w:val="18"/>
                <w:szCs w:val="18"/>
                <w:highlight w:val="none"/>
              </w:rPr>
            </w:pPr>
            <w:r>
              <w:rPr>
                <w:rFonts w:hint="eastAsia" w:cs="宋体" w:asciiTheme="minorEastAsia" w:hAnsiTheme="minorEastAsia" w:eastAsiaTheme="minorEastAsia"/>
                <w:kern w:val="0"/>
                <w:sz w:val="18"/>
                <w:szCs w:val="18"/>
                <w:highlight w:val="none"/>
              </w:rPr>
              <w:t>100≤Y＜1000</w:t>
            </w:r>
          </w:p>
        </w:tc>
        <w:tc>
          <w:tcPr>
            <w:tcW w:w="1406" w:type="dxa"/>
            <w:tcBorders>
              <w:top w:val="single" w:color="000000" w:sz="4" w:space="0"/>
              <w:left w:val="single" w:color="000000" w:sz="4" w:space="0"/>
              <w:bottom w:val="single" w:color="000000" w:sz="4" w:space="0"/>
              <w:right w:val="single" w:color="000000" w:sz="12" w:space="0"/>
            </w:tcBorders>
            <w:vAlign w:val="bottom"/>
          </w:tcPr>
          <w:p>
            <w:pPr>
              <w:rPr>
                <w:rFonts w:cs="宋体" w:asciiTheme="minorEastAsia" w:hAnsiTheme="minorEastAsia" w:eastAsiaTheme="minorEastAsia"/>
                <w:sz w:val="18"/>
                <w:szCs w:val="18"/>
                <w:highlight w:val="none"/>
              </w:rPr>
            </w:pPr>
          </w:p>
        </w:tc>
        <w:tc>
          <w:tcPr>
            <w:tcW w:w="1264" w:type="dxa"/>
            <w:tcBorders>
              <w:top w:val="single" w:color="000000" w:sz="4" w:space="0"/>
              <w:left w:val="single" w:color="000000" w:sz="12" w:space="0"/>
              <w:bottom w:val="single" w:color="000000" w:sz="4" w:space="0"/>
              <w:right w:val="single" w:color="000000" w:sz="4" w:space="0"/>
            </w:tcBorders>
            <w:vAlign w:val="bottom"/>
          </w:tcPr>
          <w:p>
            <w:pPr>
              <w:widowControl/>
              <w:jc w:val="left"/>
              <w:textAlignment w:val="bottom"/>
              <w:rPr>
                <w:rFonts w:cs="宋体" w:asciiTheme="minorEastAsia" w:hAnsiTheme="minorEastAsia" w:eastAsiaTheme="minorEastAsia"/>
                <w:sz w:val="18"/>
                <w:szCs w:val="18"/>
                <w:highlight w:val="none"/>
              </w:rPr>
            </w:pPr>
            <w:r>
              <w:rPr>
                <w:rFonts w:hint="eastAsia" w:cs="宋体" w:asciiTheme="minorEastAsia" w:hAnsiTheme="minorEastAsia" w:eastAsiaTheme="minorEastAsia"/>
                <w:kern w:val="0"/>
                <w:sz w:val="18"/>
                <w:szCs w:val="18"/>
                <w:highlight w:val="none"/>
              </w:rPr>
              <w:t>X＜20</w:t>
            </w:r>
          </w:p>
        </w:tc>
        <w:tc>
          <w:tcPr>
            <w:tcW w:w="147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cs="宋体" w:asciiTheme="minorEastAsia" w:hAnsiTheme="minorEastAsia" w:eastAsiaTheme="minorEastAsia"/>
                <w:sz w:val="18"/>
                <w:szCs w:val="18"/>
                <w:highlight w:val="none"/>
              </w:rPr>
            </w:pPr>
            <w:r>
              <w:rPr>
                <w:rFonts w:hint="eastAsia" w:cs="宋体" w:asciiTheme="minorEastAsia" w:hAnsiTheme="minorEastAsia" w:eastAsiaTheme="minorEastAsia"/>
                <w:kern w:val="0"/>
                <w:sz w:val="18"/>
                <w:szCs w:val="18"/>
                <w:highlight w:val="none"/>
              </w:rPr>
              <w:t>Y＜100</w:t>
            </w:r>
          </w:p>
        </w:tc>
        <w:tc>
          <w:tcPr>
            <w:tcW w:w="1515" w:type="dxa"/>
            <w:tcBorders>
              <w:top w:val="single" w:color="000000" w:sz="4" w:space="0"/>
              <w:left w:val="single" w:color="000000" w:sz="4" w:space="0"/>
              <w:bottom w:val="single" w:color="000000" w:sz="4" w:space="0"/>
              <w:right w:val="single" w:color="000000" w:sz="12" w:space="0"/>
            </w:tcBorders>
            <w:vAlign w:val="bottom"/>
          </w:tcPr>
          <w:p>
            <w:pPr>
              <w:rPr>
                <w:rFonts w:cs="宋体" w:asciiTheme="minorEastAsia" w:hAnsiTheme="minorEastAsia" w:eastAsiaTheme="minorEastAsia"/>
                <w:sz w:val="18"/>
                <w:szCs w:val="18"/>
                <w:highlight w:val="none"/>
              </w:rPr>
            </w:pPr>
          </w:p>
        </w:tc>
      </w:tr>
      <w:tr>
        <w:tblPrEx>
          <w:tblCellMar>
            <w:top w:w="15" w:type="dxa"/>
            <w:left w:w="15" w:type="dxa"/>
            <w:bottom w:w="15" w:type="dxa"/>
            <w:right w:w="15" w:type="dxa"/>
          </w:tblCellMar>
        </w:tblPrEx>
        <w:trPr>
          <w:trHeight w:val="306" w:hRule="atLeast"/>
          <w:jc w:val="center"/>
        </w:trPr>
        <w:tc>
          <w:tcPr>
            <w:tcW w:w="2153" w:type="dxa"/>
            <w:tcBorders>
              <w:top w:val="single" w:color="000000" w:sz="4" w:space="0"/>
              <w:left w:val="single" w:color="000000" w:sz="12" w:space="0"/>
              <w:bottom w:val="single" w:color="000000" w:sz="4" w:space="0"/>
              <w:right w:val="single" w:color="000000" w:sz="12" w:space="0"/>
            </w:tcBorders>
            <w:vAlign w:val="bottom"/>
          </w:tcPr>
          <w:p>
            <w:pPr>
              <w:widowControl/>
              <w:jc w:val="left"/>
              <w:textAlignment w:val="bottom"/>
              <w:rPr>
                <w:rFonts w:cs="宋体" w:asciiTheme="minorEastAsia" w:hAnsiTheme="minorEastAsia" w:eastAsiaTheme="minorEastAsia"/>
                <w:sz w:val="18"/>
                <w:szCs w:val="18"/>
                <w:highlight w:val="none"/>
              </w:rPr>
            </w:pPr>
            <w:r>
              <w:rPr>
                <w:rFonts w:hint="eastAsia" w:cs="宋体" w:asciiTheme="minorEastAsia" w:hAnsiTheme="minorEastAsia" w:eastAsiaTheme="minorEastAsia"/>
                <w:kern w:val="0"/>
                <w:sz w:val="18"/>
                <w:szCs w:val="18"/>
                <w:highlight w:val="none"/>
              </w:rPr>
              <w:t xml:space="preserve"> 8、邮政业</w:t>
            </w:r>
          </w:p>
        </w:tc>
        <w:tc>
          <w:tcPr>
            <w:tcW w:w="1320" w:type="dxa"/>
            <w:tcBorders>
              <w:top w:val="single" w:color="000000" w:sz="4" w:space="0"/>
              <w:left w:val="single" w:color="000000" w:sz="12" w:space="0"/>
              <w:bottom w:val="single" w:color="000000" w:sz="4" w:space="0"/>
              <w:right w:val="single" w:color="000000" w:sz="4" w:space="0"/>
            </w:tcBorders>
            <w:vAlign w:val="bottom"/>
          </w:tcPr>
          <w:p>
            <w:pPr>
              <w:widowControl/>
              <w:jc w:val="left"/>
              <w:textAlignment w:val="bottom"/>
              <w:rPr>
                <w:rFonts w:cs="宋体" w:asciiTheme="minorEastAsia" w:hAnsiTheme="minorEastAsia" w:eastAsiaTheme="minorEastAsia"/>
                <w:sz w:val="18"/>
                <w:szCs w:val="18"/>
                <w:highlight w:val="none"/>
              </w:rPr>
            </w:pPr>
            <w:r>
              <w:rPr>
                <w:rFonts w:hint="eastAsia" w:cs="宋体" w:asciiTheme="minorEastAsia" w:hAnsiTheme="minorEastAsia" w:eastAsiaTheme="minorEastAsia"/>
                <w:kern w:val="0"/>
                <w:sz w:val="18"/>
                <w:szCs w:val="18"/>
                <w:highlight w:val="none"/>
              </w:rPr>
              <w:t>300≤X＜1000</w:t>
            </w:r>
          </w:p>
        </w:tc>
        <w:tc>
          <w:tcPr>
            <w:tcW w:w="156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cs="宋体" w:asciiTheme="minorEastAsia" w:hAnsiTheme="minorEastAsia" w:eastAsiaTheme="minorEastAsia"/>
                <w:sz w:val="18"/>
                <w:szCs w:val="18"/>
                <w:highlight w:val="none"/>
              </w:rPr>
            </w:pPr>
            <w:r>
              <w:rPr>
                <w:rFonts w:hint="eastAsia" w:cs="宋体" w:asciiTheme="minorEastAsia" w:hAnsiTheme="minorEastAsia" w:eastAsiaTheme="minorEastAsia"/>
                <w:kern w:val="0"/>
                <w:sz w:val="18"/>
                <w:szCs w:val="18"/>
                <w:highlight w:val="none"/>
              </w:rPr>
              <w:t>2000≤Y＜30000</w:t>
            </w:r>
          </w:p>
        </w:tc>
        <w:tc>
          <w:tcPr>
            <w:tcW w:w="1500" w:type="dxa"/>
            <w:tcBorders>
              <w:top w:val="single" w:color="000000" w:sz="4" w:space="0"/>
              <w:left w:val="single" w:color="000000" w:sz="4" w:space="0"/>
              <w:bottom w:val="single" w:color="000000" w:sz="4" w:space="0"/>
              <w:right w:val="single" w:color="000000" w:sz="12" w:space="0"/>
            </w:tcBorders>
            <w:vAlign w:val="bottom"/>
          </w:tcPr>
          <w:p>
            <w:pPr>
              <w:rPr>
                <w:rFonts w:cs="宋体" w:asciiTheme="minorEastAsia" w:hAnsiTheme="minorEastAsia" w:eastAsiaTheme="minorEastAsia"/>
                <w:sz w:val="18"/>
                <w:szCs w:val="18"/>
                <w:highlight w:val="none"/>
              </w:rPr>
            </w:pPr>
          </w:p>
        </w:tc>
        <w:tc>
          <w:tcPr>
            <w:tcW w:w="1320" w:type="dxa"/>
            <w:tcBorders>
              <w:top w:val="single" w:color="000000" w:sz="4" w:space="0"/>
              <w:left w:val="single" w:color="000000" w:sz="12" w:space="0"/>
              <w:bottom w:val="single" w:color="000000" w:sz="4" w:space="0"/>
              <w:right w:val="single" w:color="000000" w:sz="4" w:space="0"/>
            </w:tcBorders>
            <w:vAlign w:val="bottom"/>
          </w:tcPr>
          <w:p>
            <w:pPr>
              <w:widowControl/>
              <w:jc w:val="left"/>
              <w:textAlignment w:val="bottom"/>
              <w:rPr>
                <w:rFonts w:cs="宋体" w:asciiTheme="minorEastAsia" w:hAnsiTheme="minorEastAsia" w:eastAsiaTheme="minorEastAsia"/>
                <w:sz w:val="18"/>
                <w:szCs w:val="18"/>
                <w:highlight w:val="none"/>
              </w:rPr>
            </w:pPr>
            <w:r>
              <w:rPr>
                <w:rFonts w:hint="eastAsia" w:cs="宋体" w:asciiTheme="minorEastAsia" w:hAnsiTheme="minorEastAsia" w:eastAsiaTheme="minorEastAsia"/>
                <w:kern w:val="0"/>
                <w:sz w:val="18"/>
                <w:szCs w:val="18"/>
                <w:highlight w:val="none"/>
              </w:rPr>
              <w:t>20≤X＜300</w:t>
            </w:r>
          </w:p>
        </w:tc>
        <w:tc>
          <w:tcPr>
            <w:tcW w:w="150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cs="宋体" w:asciiTheme="minorEastAsia" w:hAnsiTheme="minorEastAsia" w:eastAsiaTheme="minorEastAsia"/>
                <w:sz w:val="18"/>
                <w:szCs w:val="18"/>
                <w:highlight w:val="none"/>
              </w:rPr>
            </w:pPr>
            <w:r>
              <w:rPr>
                <w:rFonts w:hint="eastAsia" w:cs="宋体" w:asciiTheme="minorEastAsia" w:hAnsiTheme="minorEastAsia" w:eastAsiaTheme="minorEastAsia"/>
                <w:kern w:val="0"/>
                <w:sz w:val="18"/>
                <w:szCs w:val="18"/>
                <w:highlight w:val="none"/>
              </w:rPr>
              <w:t>100≤Y＜2000</w:t>
            </w:r>
          </w:p>
        </w:tc>
        <w:tc>
          <w:tcPr>
            <w:tcW w:w="1406" w:type="dxa"/>
            <w:tcBorders>
              <w:top w:val="single" w:color="000000" w:sz="4" w:space="0"/>
              <w:left w:val="single" w:color="000000" w:sz="4" w:space="0"/>
              <w:bottom w:val="single" w:color="000000" w:sz="4" w:space="0"/>
              <w:right w:val="single" w:color="000000" w:sz="12" w:space="0"/>
            </w:tcBorders>
            <w:vAlign w:val="bottom"/>
          </w:tcPr>
          <w:p>
            <w:pPr>
              <w:rPr>
                <w:rFonts w:cs="宋体" w:asciiTheme="minorEastAsia" w:hAnsiTheme="minorEastAsia" w:eastAsiaTheme="minorEastAsia"/>
                <w:sz w:val="18"/>
                <w:szCs w:val="18"/>
                <w:highlight w:val="none"/>
              </w:rPr>
            </w:pPr>
          </w:p>
        </w:tc>
        <w:tc>
          <w:tcPr>
            <w:tcW w:w="1264" w:type="dxa"/>
            <w:tcBorders>
              <w:top w:val="single" w:color="000000" w:sz="4" w:space="0"/>
              <w:left w:val="single" w:color="000000" w:sz="12" w:space="0"/>
              <w:bottom w:val="single" w:color="000000" w:sz="4" w:space="0"/>
              <w:right w:val="single" w:color="000000" w:sz="4" w:space="0"/>
            </w:tcBorders>
            <w:vAlign w:val="bottom"/>
          </w:tcPr>
          <w:p>
            <w:pPr>
              <w:widowControl/>
              <w:jc w:val="left"/>
              <w:textAlignment w:val="bottom"/>
              <w:rPr>
                <w:rFonts w:cs="宋体" w:asciiTheme="minorEastAsia" w:hAnsiTheme="minorEastAsia" w:eastAsiaTheme="minorEastAsia"/>
                <w:sz w:val="18"/>
                <w:szCs w:val="18"/>
                <w:highlight w:val="none"/>
              </w:rPr>
            </w:pPr>
            <w:r>
              <w:rPr>
                <w:rFonts w:hint="eastAsia" w:cs="宋体" w:asciiTheme="minorEastAsia" w:hAnsiTheme="minorEastAsia" w:eastAsiaTheme="minorEastAsia"/>
                <w:kern w:val="0"/>
                <w:sz w:val="18"/>
                <w:szCs w:val="18"/>
                <w:highlight w:val="none"/>
              </w:rPr>
              <w:t>X＜20</w:t>
            </w:r>
          </w:p>
        </w:tc>
        <w:tc>
          <w:tcPr>
            <w:tcW w:w="147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cs="宋体" w:asciiTheme="minorEastAsia" w:hAnsiTheme="minorEastAsia" w:eastAsiaTheme="minorEastAsia"/>
                <w:sz w:val="18"/>
                <w:szCs w:val="18"/>
                <w:highlight w:val="none"/>
              </w:rPr>
            </w:pPr>
            <w:r>
              <w:rPr>
                <w:rFonts w:hint="eastAsia" w:cs="宋体" w:asciiTheme="minorEastAsia" w:hAnsiTheme="minorEastAsia" w:eastAsiaTheme="minorEastAsia"/>
                <w:kern w:val="0"/>
                <w:sz w:val="18"/>
                <w:szCs w:val="18"/>
                <w:highlight w:val="none"/>
              </w:rPr>
              <w:t>Y＜100</w:t>
            </w:r>
          </w:p>
        </w:tc>
        <w:tc>
          <w:tcPr>
            <w:tcW w:w="1515" w:type="dxa"/>
            <w:tcBorders>
              <w:top w:val="single" w:color="000000" w:sz="4" w:space="0"/>
              <w:left w:val="single" w:color="000000" w:sz="4" w:space="0"/>
              <w:bottom w:val="single" w:color="000000" w:sz="4" w:space="0"/>
              <w:right w:val="single" w:color="000000" w:sz="12" w:space="0"/>
            </w:tcBorders>
            <w:vAlign w:val="bottom"/>
          </w:tcPr>
          <w:p>
            <w:pPr>
              <w:rPr>
                <w:rFonts w:cs="宋体" w:asciiTheme="minorEastAsia" w:hAnsiTheme="minorEastAsia" w:eastAsiaTheme="minorEastAsia"/>
                <w:sz w:val="18"/>
                <w:szCs w:val="18"/>
                <w:highlight w:val="none"/>
              </w:rPr>
            </w:pPr>
          </w:p>
        </w:tc>
      </w:tr>
      <w:tr>
        <w:tblPrEx>
          <w:tblCellMar>
            <w:top w:w="15" w:type="dxa"/>
            <w:left w:w="15" w:type="dxa"/>
            <w:bottom w:w="15" w:type="dxa"/>
            <w:right w:w="15" w:type="dxa"/>
          </w:tblCellMar>
        </w:tblPrEx>
        <w:trPr>
          <w:trHeight w:val="306" w:hRule="atLeast"/>
          <w:jc w:val="center"/>
        </w:trPr>
        <w:tc>
          <w:tcPr>
            <w:tcW w:w="2153" w:type="dxa"/>
            <w:tcBorders>
              <w:top w:val="single" w:color="000000" w:sz="4" w:space="0"/>
              <w:left w:val="single" w:color="000000" w:sz="12" w:space="0"/>
              <w:bottom w:val="single" w:color="000000" w:sz="4" w:space="0"/>
              <w:right w:val="single" w:color="000000" w:sz="12" w:space="0"/>
            </w:tcBorders>
            <w:vAlign w:val="bottom"/>
          </w:tcPr>
          <w:p>
            <w:pPr>
              <w:widowControl/>
              <w:jc w:val="left"/>
              <w:textAlignment w:val="bottom"/>
              <w:rPr>
                <w:rFonts w:cs="宋体" w:asciiTheme="minorEastAsia" w:hAnsiTheme="minorEastAsia" w:eastAsiaTheme="minorEastAsia"/>
                <w:sz w:val="18"/>
                <w:szCs w:val="18"/>
                <w:highlight w:val="none"/>
              </w:rPr>
            </w:pPr>
            <w:r>
              <w:rPr>
                <w:rFonts w:hint="eastAsia" w:cs="宋体" w:asciiTheme="minorEastAsia" w:hAnsiTheme="minorEastAsia" w:eastAsiaTheme="minorEastAsia"/>
                <w:kern w:val="0"/>
                <w:sz w:val="18"/>
                <w:szCs w:val="18"/>
                <w:highlight w:val="none"/>
              </w:rPr>
              <w:t xml:space="preserve"> 9、住宿业</w:t>
            </w:r>
          </w:p>
        </w:tc>
        <w:tc>
          <w:tcPr>
            <w:tcW w:w="1320" w:type="dxa"/>
            <w:tcBorders>
              <w:top w:val="single" w:color="000000" w:sz="4" w:space="0"/>
              <w:left w:val="single" w:color="000000" w:sz="12" w:space="0"/>
              <w:bottom w:val="single" w:color="000000" w:sz="4" w:space="0"/>
              <w:right w:val="single" w:color="000000" w:sz="4" w:space="0"/>
            </w:tcBorders>
            <w:vAlign w:val="bottom"/>
          </w:tcPr>
          <w:p>
            <w:pPr>
              <w:widowControl/>
              <w:jc w:val="left"/>
              <w:textAlignment w:val="bottom"/>
              <w:rPr>
                <w:rFonts w:cs="宋体" w:asciiTheme="minorEastAsia" w:hAnsiTheme="minorEastAsia" w:eastAsiaTheme="minorEastAsia"/>
                <w:sz w:val="18"/>
                <w:szCs w:val="18"/>
                <w:highlight w:val="none"/>
              </w:rPr>
            </w:pPr>
            <w:r>
              <w:rPr>
                <w:rFonts w:hint="eastAsia" w:cs="宋体" w:asciiTheme="minorEastAsia" w:hAnsiTheme="minorEastAsia" w:eastAsiaTheme="minorEastAsia"/>
                <w:kern w:val="0"/>
                <w:sz w:val="18"/>
                <w:szCs w:val="18"/>
                <w:highlight w:val="none"/>
              </w:rPr>
              <w:t>100≤X＜300</w:t>
            </w:r>
          </w:p>
        </w:tc>
        <w:tc>
          <w:tcPr>
            <w:tcW w:w="156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cs="宋体" w:asciiTheme="minorEastAsia" w:hAnsiTheme="minorEastAsia" w:eastAsiaTheme="minorEastAsia"/>
                <w:sz w:val="18"/>
                <w:szCs w:val="18"/>
                <w:highlight w:val="none"/>
              </w:rPr>
            </w:pPr>
            <w:r>
              <w:rPr>
                <w:rFonts w:hint="eastAsia" w:cs="宋体" w:asciiTheme="minorEastAsia" w:hAnsiTheme="minorEastAsia" w:eastAsiaTheme="minorEastAsia"/>
                <w:kern w:val="0"/>
                <w:sz w:val="18"/>
                <w:szCs w:val="18"/>
                <w:highlight w:val="none"/>
              </w:rPr>
              <w:t>2000≤Y＜10000</w:t>
            </w:r>
          </w:p>
        </w:tc>
        <w:tc>
          <w:tcPr>
            <w:tcW w:w="1500" w:type="dxa"/>
            <w:tcBorders>
              <w:top w:val="single" w:color="000000" w:sz="4" w:space="0"/>
              <w:left w:val="single" w:color="000000" w:sz="4" w:space="0"/>
              <w:bottom w:val="single" w:color="000000" w:sz="4" w:space="0"/>
              <w:right w:val="single" w:color="000000" w:sz="12" w:space="0"/>
            </w:tcBorders>
            <w:vAlign w:val="bottom"/>
          </w:tcPr>
          <w:p>
            <w:pPr>
              <w:rPr>
                <w:rFonts w:cs="宋体" w:asciiTheme="minorEastAsia" w:hAnsiTheme="minorEastAsia" w:eastAsiaTheme="minorEastAsia"/>
                <w:sz w:val="18"/>
                <w:szCs w:val="18"/>
                <w:highlight w:val="none"/>
              </w:rPr>
            </w:pPr>
          </w:p>
        </w:tc>
        <w:tc>
          <w:tcPr>
            <w:tcW w:w="1320" w:type="dxa"/>
            <w:tcBorders>
              <w:top w:val="single" w:color="000000" w:sz="4" w:space="0"/>
              <w:left w:val="single" w:color="000000" w:sz="12" w:space="0"/>
              <w:bottom w:val="single" w:color="000000" w:sz="4" w:space="0"/>
              <w:right w:val="single" w:color="000000" w:sz="4" w:space="0"/>
            </w:tcBorders>
            <w:vAlign w:val="bottom"/>
          </w:tcPr>
          <w:p>
            <w:pPr>
              <w:widowControl/>
              <w:jc w:val="left"/>
              <w:textAlignment w:val="bottom"/>
              <w:rPr>
                <w:rFonts w:cs="宋体" w:asciiTheme="minorEastAsia" w:hAnsiTheme="minorEastAsia" w:eastAsiaTheme="minorEastAsia"/>
                <w:sz w:val="18"/>
                <w:szCs w:val="18"/>
                <w:highlight w:val="none"/>
              </w:rPr>
            </w:pPr>
            <w:r>
              <w:rPr>
                <w:rFonts w:hint="eastAsia" w:cs="宋体" w:asciiTheme="minorEastAsia" w:hAnsiTheme="minorEastAsia" w:eastAsiaTheme="minorEastAsia"/>
                <w:kern w:val="0"/>
                <w:sz w:val="18"/>
                <w:szCs w:val="18"/>
                <w:highlight w:val="none"/>
              </w:rPr>
              <w:t>10≤X＜100</w:t>
            </w:r>
          </w:p>
        </w:tc>
        <w:tc>
          <w:tcPr>
            <w:tcW w:w="150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cs="宋体" w:asciiTheme="minorEastAsia" w:hAnsiTheme="minorEastAsia" w:eastAsiaTheme="minorEastAsia"/>
                <w:sz w:val="18"/>
                <w:szCs w:val="18"/>
                <w:highlight w:val="none"/>
              </w:rPr>
            </w:pPr>
            <w:r>
              <w:rPr>
                <w:rFonts w:hint="eastAsia" w:cs="宋体" w:asciiTheme="minorEastAsia" w:hAnsiTheme="minorEastAsia" w:eastAsiaTheme="minorEastAsia"/>
                <w:kern w:val="0"/>
                <w:sz w:val="18"/>
                <w:szCs w:val="18"/>
                <w:highlight w:val="none"/>
              </w:rPr>
              <w:t>100≤Y＜2000</w:t>
            </w:r>
          </w:p>
        </w:tc>
        <w:tc>
          <w:tcPr>
            <w:tcW w:w="1406" w:type="dxa"/>
            <w:tcBorders>
              <w:top w:val="single" w:color="000000" w:sz="4" w:space="0"/>
              <w:left w:val="single" w:color="000000" w:sz="4" w:space="0"/>
              <w:bottom w:val="single" w:color="000000" w:sz="4" w:space="0"/>
              <w:right w:val="single" w:color="000000" w:sz="12" w:space="0"/>
            </w:tcBorders>
            <w:vAlign w:val="bottom"/>
          </w:tcPr>
          <w:p>
            <w:pPr>
              <w:rPr>
                <w:rFonts w:cs="宋体" w:asciiTheme="minorEastAsia" w:hAnsiTheme="minorEastAsia" w:eastAsiaTheme="minorEastAsia"/>
                <w:sz w:val="18"/>
                <w:szCs w:val="18"/>
                <w:highlight w:val="none"/>
              </w:rPr>
            </w:pPr>
          </w:p>
        </w:tc>
        <w:tc>
          <w:tcPr>
            <w:tcW w:w="1264" w:type="dxa"/>
            <w:tcBorders>
              <w:top w:val="single" w:color="000000" w:sz="4" w:space="0"/>
              <w:left w:val="single" w:color="000000" w:sz="12" w:space="0"/>
              <w:bottom w:val="single" w:color="000000" w:sz="4" w:space="0"/>
              <w:right w:val="single" w:color="000000" w:sz="4" w:space="0"/>
            </w:tcBorders>
            <w:vAlign w:val="bottom"/>
          </w:tcPr>
          <w:p>
            <w:pPr>
              <w:widowControl/>
              <w:jc w:val="left"/>
              <w:textAlignment w:val="bottom"/>
              <w:rPr>
                <w:rFonts w:cs="宋体" w:asciiTheme="minorEastAsia" w:hAnsiTheme="minorEastAsia" w:eastAsiaTheme="minorEastAsia"/>
                <w:sz w:val="18"/>
                <w:szCs w:val="18"/>
                <w:highlight w:val="none"/>
              </w:rPr>
            </w:pPr>
            <w:r>
              <w:rPr>
                <w:rFonts w:hint="eastAsia" w:cs="宋体" w:asciiTheme="minorEastAsia" w:hAnsiTheme="minorEastAsia" w:eastAsiaTheme="minorEastAsia"/>
                <w:kern w:val="0"/>
                <w:sz w:val="18"/>
                <w:szCs w:val="18"/>
                <w:highlight w:val="none"/>
              </w:rPr>
              <w:t>X＜10</w:t>
            </w:r>
          </w:p>
        </w:tc>
        <w:tc>
          <w:tcPr>
            <w:tcW w:w="147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cs="宋体" w:asciiTheme="minorEastAsia" w:hAnsiTheme="minorEastAsia" w:eastAsiaTheme="minorEastAsia"/>
                <w:sz w:val="18"/>
                <w:szCs w:val="18"/>
                <w:highlight w:val="none"/>
              </w:rPr>
            </w:pPr>
            <w:r>
              <w:rPr>
                <w:rFonts w:hint="eastAsia" w:cs="宋体" w:asciiTheme="minorEastAsia" w:hAnsiTheme="minorEastAsia" w:eastAsiaTheme="minorEastAsia"/>
                <w:kern w:val="0"/>
                <w:sz w:val="18"/>
                <w:szCs w:val="18"/>
                <w:highlight w:val="none"/>
              </w:rPr>
              <w:t>Y＜100</w:t>
            </w:r>
          </w:p>
        </w:tc>
        <w:tc>
          <w:tcPr>
            <w:tcW w:w="1515" w:type="dxa"/>
            <w:tcBorders>
              <w:top w:val="single" w:color="000000" w:sz="4" w:space="0"/>
              <w:left w:val="single" w:color="000000" w:sz="4" w:space="0"/>
              <w:bottom w:val="single" w:color="000000" w:sz="4" w:space="0"/>
              <w:right w:val="single" w:color="000000" w:sz="12" w:space="0"/>
            </w:tcBorders>
            <w:vAlign w:val="bottom"/>
          </w:tcPr>
          <w:p>
            <w:pPr>
              <w:rPr>
                <w:rFonts w:cs="宋体" w:asciiTheme="minorEastAsia" w:hAnsiTheme="minorEastAsia" w:eastAsiaTheme="minorEastAsia"/>
                <w:sz w:val="18"/>
                <w:szCs w:val="18"/>
                <w:highlight w:val="none"/>
              </w:rPr>
            </w:pPr>
          </w:p>
        </w:tc>
      </w:tr>
      <w:tr>
        <w:tblPrEx>
          <w:tblCellMar>
            <w:top w:w="15" w:type="dxa"/>
            <w:left w:w="15" w:type="dxa"/>
            <w:bottom w:w="15" w:type="dxa"/>
            <w:right w:w="15" w:type="dxa"/>
          </w:tblCellMar>
        </w:tblPrEx>
        <w:trPr>
          <w:trHeight w:val="306" w:hRule="atLeast"/>
          <w:jc w:val="center"/>
        </w:trPr>
        <w:tc>
          <w:tcPr>
            <w:tcW w:w="2153" w:type="dxa"/>
            <w:tcBorders>
              <w:top w:val="single" w:color="000000" w:sz="4" w:space="0"/>
              <w:left w:val="single" w:color="000000" w:sz="12" w:space="0"/>
              <w:bottom w:val="single" w:color="000000" w:sz="4" w:space="0"/>
              <w:right w:val="single" w:color="000000" w:sz="12" w:space="0"/>
            </w:tcBorders>
            <w:vAlign w:val="bottom"/>
          </w:tcPr>
          <w:p>
            <w:pPr>
              <w:widowControl/>
              <w:jc w:val="left"/>
              <w:textAlignment w:val="bottom"/>
              <w:rPr>
                <w:rFonts w:cs="宋体" w:asciiTheme="minorEastAsia" w:hAnsiTheme="minorEastAsia" w:eastAsiaTheme="minorEastAsia"/>
                <w:sz w:val="18"/>
                <w:szCs w:val="18"/>
                <w:highlight w:val="none"/>
              </w:rPr>
            </w:pPr>
            <w:r>
              <w:rPr>
                <w:rFonts w:hint="eastAsia" w:cs="宋体" w:asciiTheme="minorEastAsia" w:hAnsiTheme="minorEastAsia" w:eastAsiaTheme="minorEastAsia"/>
                <w:kern w:val="0"/>
                <w:sz w:val="18"/>
                <w:szCs w:val="18"/>
                <w:highlight w:val="none"/>
              </w:rPr>
              <w:t>10、餐饮业</w:t>
            </w:r>
          </w:p>
        </w:tc>
        <w:tc>
          <w:tcPr>
            <w:tcW w:w="1320" w:type="dxa"/>
            <w:tcBorders>
              <w:top w:val="single" w:color="000000" w:sz="4" w:space="0"/>
              <w:left w:val="single" w:color="000000" w:sz="12" w:space="0"/>
              <w:bottom w:val="single" w:color="000000" w:sz="4" w:space="0"/>
              <w:right w:val="single" w:color="000000" w:sz="4" w:space="0"/>
            </w:tcBorders>
            <w:vAlign w:val="bottom"/>
          </w:tcPr>
          <w:p>
            <w:pPr>
              <w:widowControl/>
              <w:jc w:val="left"/>
              <w:textAlignment w:val="bottom"/>
              <w:rPr>
                <w:rFonts w:cs="宋体" w:asciiTheme="minorEastAsia" w:hAnsiTheme="minorEastAsia" w:eastAsiaTheme="minorEastAsia"/>
                <w:sz w:val="18"/>
                <w:szCs w:val="18"/>
                <w:highlight w:val="none"/>
              </w:rPr>
            </w:pPr>
            <w:r>
              <w:rPr>
                <w:rFonts w:hint="eastAsia" w:cs="宋体" w:asciiTheme="minorEastAsia" w:hAnsiTheme="minorEastAsia" w:eastAsiaTheme="minorEastAsia"/>
                <w:kern w:val="0"/>
                <w:sz w:val="18"/>
                <w:szCs w:val="18"/>
                <w:highlight w:val="none"/>
              </w:rPr>
              <w:t>100≤X＜300</w:t>
            </w:r>
          </w:p>
        </w:tc>
        <w:tc>
          <w:tcPr>
            <w:tcW w:w="156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cs="宋体" w:asciiTheme="minorEastAsia" w:hAnsiTheme="minorEastAsia" w:eastAsiaTheme="minorEastAsia"/>
                <w:sz w:val="18"/>
                <w:szCs w:val="18"/>
                <w:highlight w:val="none"/>
              </w:rPr>
            </w:pPr>
            <w:r>
              <w:rPr>
                <w:rFonts w:hint="eastAsia" w:cs="宋体" w:asciiTheme="minorEastAsia" w:hAnsiTheme="minorEastAsia" w:eastAsiaTheme="minorEastAsia"/>
                <w:kern w:val="0"/>
                <w:sz w:val="18"/>
                <w:szCs w:val="18"/>
                <w:highlight w:val="none"/>
              </w:rPr>
              <w:t>2000≤Y＜10000</w:t>
            </w:r>
          </w:p>
        </w:tc>
        <w:tc>
          <w:tcPr>
            <w:tcW w:w="1500" w:type="dxa"/>
            <w:tcBorders>
              <w:top w:val="single" w:color="000000" w:sz="4" w:space="0"/>
              <w:left w:val="single" w:color="000000" w:sz="4" w:space="0"/>
              <w:bottom w:val="single" w:color="000000" w:sz="4" w:space="0"/>
              <w:right w:val="single" w:color="000000" w:sz="12" w:space="0"/>
            </w:tcBorders>
            <w:vAlign w:val="bottom"/>
          </w:tcPr>
          <w:p>
            <w:pPr>
              <w:rPr>
                <w:rFonts w:cs="宋体" w:asciiTheme="minorEastAsia" w:hAnsiTheme="minorEastAsia" w:eastAsiaTheme="minorEastAsia"/>
                <w:sz w:val="18"/>
                <w:szCs w:val="18"/>
                <w:highlight w:val="none"/>
              </w:rPr>
            </w:pPr>
          </w:p>
        </w:tc>
        <w:tc>
          <w:tcPr>
            <w:tcW w:w="1320" w:type="dxa"/>
            <w:tcBorders>
              <w:top w:val="single" w:color="000000" w:sz="4" w:space="0"/>
              <w:left w:val="single" w:color="000000" w:sz="12" w:space="0"/>
              <w:bottom w:val="single" w:color="000000" w:sz="4" w:space="0"/>
              <w:right w:val="single" w:color="000000" w:sz="4" w:space="0"/>
            </w:tcBorders>
            <w:vAlign w:val="bottom"/>
          </w:tcPr>
          <w:p>
            <w:pPr>
              <w:widowControl/>
              <w:jc w:val="left"/>
              <w:textAlignment w:val="bottom"/>
              <w:rPr>
                <w:rFonts w:cs="宋体" w:asciiTheme="minorEastAsia" w:hAnsiTheme="minorEastAsia" w:eastAsiaTheme="minorEastAsia"/>
                <w:sz w:val="18"/>
                <w:szCs w:val="18"/>
                <w:highlight w:val="none"/>
              </w:rPr>
            </w:pPr>
            <w:r>
              <w:rPr>
                <w:rFonts w:hint="eastAsia" w:cs="宋体" w:asciiTheme="minorEastAsia" w:hAnsiTheme="minorEastAsia" w:eastAsiaTheme="minorEastAsia"/>
                <w:kern w:val="0"/>
                <w:sz w:val="18"/>
                <w:szCs w:val="18"/>
                <w:highlight w:val="none"/>
              </w:rPr>
              <w:t>10≤X＜100</w:t>
            </w:r>
          </w:p>
        </w:tc>
        <w:tc>
          <w:tcPr>
            <w:tcW w:w="150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cs="宋体" w:asciiTheme="minorEastAsia" w:hAnsiTheme="minorEastAsia" w:eastAsiaTheme="minorEastAsia"/>
                <w:sz w:val="18"/>
                <w:szCs w:val="18"/>
                <w:highlight w:val="none"/>
              </w:rPr>
            </w:pPr>
            <w:r>
              <w:rPr>
                <w:rFonts w:hint="eastAsia" w:cs="宋体" w:asciiTheme="minorEastAsia" w:hAnsiTheme="minorEastAsia" w:eastAsiaTheme="minorEastAsia"/>
                <w:kern w:val="0"/>
                <w:sz w:val="18"/>
                <w:szCs w:val="18"/>
                <w:highlight w:val="none"/>
              </w:rPr>
              <w:t>100≤Y＜2000</w:t>
            </w:r>
          </w:p>
        </w:tc>
        <w:tc>
          <w:tcPr>
            <w:tcW w:w="1406" w:type="dxa"/>
            <w:tcBorders>
              <w:top w:val="single" w:color="000000" w:sz="4" w:space="0"/>
              <w:left w:val="single" w:color="000000" w:sz="4" w:space="0"/>
              <w:bottom w:val="single" w:color="000000" w:sz="4" w:space="0"/>
              <w:right w:val="single" w:color="000000" w:sz="12" w:space="0"/>
            </w:tcBorders>
            <w:vAlign w:val="bottom"/>
          </w:tcPr>
          <w:p>
            <w:pPr>
              <w:rPr>
                <w:rFonts w:cs="宋体" w:asciiTheme="minorEastAsia" w:hAnsiTheme="minorEastAsia" w:eastAsiaTheme="minorEastAsia"/>
                <w:sz w:val="18"/>
                <w:szCs w:val="18"/>
                <w:highlight w:val="none"/>
              </w:rPr>
            </w:pPr>
          </w:p>
        </w:tc>
        <w:tc>
          <w:tcPr>
            <w:tcW w:w="1264" w:type="dxa"/>
            <w:tcBorders>
              <w:top w:val="single" w:color="000000" w:sz="4" w:space="0"/>
              <w:left w:val="single" w:color="000000" w:sz="12" w:space="0"/>
              <w:bottom w:val="single" w:color="000000" w:sz="4" w:space="0"/>
              <w:right w:val="single" w:color="000000" w:sz="4" w:space="0"/>
            </w:tcBorders>
            <w:vAlign w:val="bottom"/>
          </w:tcPr>
          <w:p>
            <w:pPr>
              <w:widowControl/>
              <w:jc w:val="left"/>
              <w:textAlignment w:val="bottom"/>
              <w:rPr>
                <w:rFonts w:cs="宋体" w:asciiTheme="minorEastAsia" w:hAnsiTheme="minorEastAsia" w:eastAsiaTheme="minorEastAsia"/>
                <w:sz w:val="18"/>
                <w:szCs w:val="18"/>
                <w:highlight w:val="none"/>
              </w:rPr>
            </w:pPr>
            <w:r>
              <w:rPr>
                <w:rFonts w:hint="eastAsia" w:cs="宋体" w:asciiTheme="minorEastAsia" w:hAnsiTheme="minorEastAsia" w:eastAsiaTheme="minorEastAsia"/>
                <w:kern w:val="0"/>
                <w:sz w:val="18"/>
                <w:szCs w:val="18"/>
                <w:highlight w:val="none"/>
              </w:rPr>
              <w:t>X＜10</w:t>
            </w:r>
          </w:p>
        </w:tc>
        <w:tc>
          <w:tcPr>
            <w:tcW w:w="147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cs="宋体" w:asciiTheme="minorEastAsia" w:hAnsiTheme="minorEastAsia" w:eastAsiaTheme="minorEastAsia"/>
                <w:sz w:val="18"/>
                <w:szCs w:val="18"/>
                <w:highlight w:val="none"/>
              </w:rPr>
            </w:pPr>
            <w:r>
              <w:rPr>
                <w:rFonts w:hint="eastAsia" w:cs="宋体" w:asciiTheme="minorEastAsia" w:hAnsiTheme="minorEastAsia" w:eastAsiaTheme="minorEastAsia"/>
                <w:kern w:val="0"/>
                <w:sz w:val="18"/>
                <w:szCs w:val="18"/>
                <w:highlight w:val="none"/>
              </w:rPr>
              <w:t>V＜100</w:t>
            </w:r>
          </w:p>
        </w:tc>
        <w:tc>
          <w:tcPr>
            <w:tcW w:w="1515" w:type="dxa"/>
            <w:tcBorders>
              <w:top w:val="single" w:color="000000" w:sz="4" w:space="0"/>
              <w:left w:val="single" w:color="000000" w:sz="4" w:space="0"/>
              <w:bottom w:val="single" w:color="000000" w:sz="4" w:space="0"/>
              <w:right w:val="single" w:color="000000" w:sz="12" w:space="0"/>
            </w:tcBorders>
            <w:vAlign w:val="bottom"/>
          </w:tcPr>
          <w:p>
            <w:pPr>
              <w:rPr>
                <w:rFonts w:cs="宋体" w:asciiTheme="minorEastAsia" w:hAnsiTheme="minorEastAsia" w:eastAsiaTheme="minorEastAsia"/>
                <w:sz w:val="18"/>
                <w:szCs w:val="18"/>
                <w:highlight w:val="none"/>
              </w:rPr>
            </w:pPr>
          </w:p>
        </w:tc>
      </w:tr>
      <w:tr>
        <w:tblPrEx>
          <w:tblCellMar>
            <w:top w:w="15" w:type="dxa"/>
            <w:left w:w="15" w:type="dxa"/>
            <w:bottom w:w="15" w:type="dxa"/>
            <w:right w:w="15" w:type="dxa"/>
          </w:tblCellMar>
        </w:tblPrEx>
        <w:trPr>
          <w:trHeight w:val="306" w:hRule="atLeast"/>
          <w:jc w:val="center"/>
        </w:trPr>
        <w:tc>
          <w:tcPr>
            <w:tcW w:w="2153" w:type="dxa"/>
            <w:tcBorders>
              <w:top w:val="single" w:color="000000" w:sz="4" w:space="0"/>
              <w:left w:val="single" w:color="000000" w:sz="12" w:space="0"/>
              <w:bottom w:val="single" w:color="000000" w:sz="4" w:space="0"/>
              <w:right w:val="single" w:color="000000" w:sz="12" w:space="0"/>
            </w:tcBorders>
            <w:vAlign w:val="bottom"/>
          </w:tcPr>
          <w:p>
            <w:pPr>
              <w:widowControl/>
              <w:jc w:val="left"/>
              <w:textAlignment w:val="bottom"/>
              <w:rPr>
                <w:rFonts w:cs="宋体" w:asciiTheme="minorEastAsia" w:hAnsiTheme="minorEastAsia" w:eastAsiaTheme="minorEastAsia"/>
                <w:sz w:val="18"/>
                <w:szCs w:val="18"/>
                <w:highlight w:val="none"/>
              </w:rPr>
            </w:pPr>
            <w:r>
              <w:rPr>
                <w:rFonts w:hint="eastAsia" w:cs="宋体" w:asciiTheme="minorEastAsia" w:hAnsiTheme="minorEastAsia" w:eastAsiaTheme="minorEastAsia"/>
                <w:kern w:val="0"/>
                <w:sz w:val="18"/>
                <w:szCs w:val="18"/>
                <w:highlight w:val="none"/>
              </w:rPr>
              <w:t>11、信息传输业</w:t>
            </w:r>
          </w:p>
        </w:tc>
        <w:tc>
          <w:tcPr>
            <w:tcW w:w="1320" w:type="dxa"/>
            <w:tcBorders>
              <w:top w:val="single" w:color="000000" w:sz="4" w:space="0"/>
              <w:left w:val="single" w:color="000000" w:sz="12" w:space="0"/>
              <w:bottom w:val="single" w:color="000000" w:sz="4" w:space="0"/>
              <w:right w:val="single" w:color="000000" w:sz="4" w:space="0"/>
            </w:tcBorders>
            <w:vAlign w:val="bottom"/>
          </w:tcPr>
          <w:p>
            <w:pPr>
              <w:widowControl/>
              <w:jc w:val="left"/>
              <w:textAlignment w:val="bottom"/>
              <w:rPr>
                <w:rFonts w:cs="宋体" w:asciiTheme="minorEastAsia" w:hAnsiTheme="minorEastAsia" w:eastAsiaTheme="minorEastAsia"/>
                <w:sz w:val="18"/>
                <w:szCs w:val="18"/>
                <w:highlight w:val="none"/>
              </w:rPr>
            </w:pPr>
            <w:r>
              <w:rPr>
                <w:rFonts w:hint="eastAsia" w:cs="宋体" w:asciiTheme="minorEastAsia" w:hAnsiTheme="minorEastAsia" w:eastAsiaTheme="minorEastAsia"/>
                <w:kern w:val="0"/>
                <w:sz w:val="18"/>
                <w:szCs w:val="18"/>
                <w:highlight w:val="none"/>
              </w:rPr>
              <w:t>100≤X＜2000</w:t>
            </w:r>
          </w:p>
        </w:tc>
        <w:tc>
          <w:tcPr>
            <w:tcW w:w="156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cs="宋体" w:asciiTheme="minorEastAsia" w:hAnsiTheme="minorEastAsia" w:eastAsiaTheme="minorEastAsia"/>
                <w:sz w:val="18"/>
                <w:szCs w:val="18"/>
                <w:highlight w:val="none"/>
              </w:rPr>
            </w:pPr>
            <w:r>
              <w:rPr>
                <w:rFonts w:hint="eastAsia" w:cs="宋体" w:asciiTheme="minorEastAsia" w:hAnsiTheme="minorEastAsia" w:eastAsiaTheme="minorEastAsia"/>
                <w:kern w:val="0"/>
                <w:sz w:val="18"/>
                <w:szCs w:val="18"/>
                <w:highlight w:val="none"/>
              </w:rPr>
              <w:t>1000≤Y＜100000</w:t>
            </w:r>
          </w:p>
        </w:tc>
        <w:tc>
          <w:tcPr>
            <w:tcW w:w="1500" w:type="dxa"/>
            <w:tcBorders>
              <w:top w:val="single" w:color="000000" w:sz="4" w:space="0"/>
              <w:left w:val="single" w:color="000000" w:sz="4" w:space="0"/>
              <w:bottom w:val="single" w:color="000000" w:sz="4" w:space="0"/>
              <w:right w:val="single" w:color="000000" w:sz="12" w:space="0"/>
            </w:tcBorders>
            <w:vAlign w:val="bottom"/>
          </w:tcPr>
          <w:p>
            <w:pPr>
              <w:rPr>
                <w:rFonts w:cs="宋体" w:asciiTheme="minorEastAsia" w:hAnsiTheme="minorEastAsia" w:eastAsiaTheme="minorEastAsia"/>
                <w:sz w:val="18"/>
                <w:szCs w:val="18"/>
                <w:highlight w:val="none"/>
              </w:rPr>
            </w:pPr>
          </w:p>
        </w:tc>
        <w:tc>
          <w:tcPr>
            <w:tcW w:w="1320" w:type="dxa"/>
            <w:tcBorders>
              <w:top w:val="single" w:color="000000" w:sz="4" w:space="0"/>
              <w:left w:val="single" w:color="000000" w:sz="12" w:space="0"/>
              <w:bottom w:val="single" w:color="000000" w:sz="4" w:space="0"/>
              <w:right w:val="single" w:color="000000" w:sz="4" w:space="0"/>
            </w:tcBorders>
            <w:vAlign w:val="bottom"/>
          </w:tcPr>
          <w:p>
            <w:pPr>
              <w:widowControl/>
              <w:jc w:val="left"/>
              <w:textAlignment w:val="bottom"/>
              <w:rPr>
                <w:rFonts w:cs="宋体" w:asciiTheme="minorEastAsia" w:hAnsiTheme="minorEastAsia" w:eastAsiaTheme="minorEastAsia"/>
                <w:sz w:val="18"/>
                <w:szCs w:val="18"/>
                <w:highlight w:val="none"/>
              </w:rPr>
            </w:pPr>
            <w:r>
              <w:rPr>
                <w:rFonts w:hint="eastAsia" w:cs="宋体" w:asciiTheme="minorEastAsia" w:hAnsiTheme="minorEastAsia" w:eastAsiaTheme="minorEastAsia"/>
                <w:kern w:val="0"/>
                <w:sz w:val="18"/>
                <w:szCs w:val="18"/>
                <w:highlight w:val="none"/>
              </w:rPr>
              <w:t>10≤X＜100</w:t>
            </w:r>
          </w:p>
        </w:tc>
        <w:tc>
          <w:tcPr>
            <w:tcW w:w="150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cs="宋体" w:asciiTheme="minorEastAsia" w:hAnsiTheme="minorEastAsia" w:eastAsiaTheme="minorEastAsia"/>
                <w:sz w:val="18"/>
                <w:szCs w:val="18"/>
                <w:highlight w:val="none"/>
              </w:rPr>
            </w:pPr>
            <w:r>
              <w:rPr>
                <w:rFonts w:hint="eastAsia" w:cs="宋体" w:asciiTheme="minorEastAsia" w:hAnsiTheme="minorEastAsia" w:eastAsiaTheme="minorEastAsia"/>
                <w:kern w:val="0"/>
                <w:sz w:val="18"/>
                <w:szCs w:val="18"/>
                <w:highlight w:val="none"/>
              </w:rPr>
              <w:t>100≤Y＜1000</w:t>
            </w:r>
          </w:p>
        </w:tc>
        <w:tc>
          <w:tcPr>
            <w:tcW w:w="1406" w:type="dxa"/>
            <w:tcBorders>
              <w:top w:val="single" w:color="000000" w:sz="4" w:space="0"/>
              <w:left w:val="single" w:color="000000" w:sz="4" w:space="0"/>
              <w:bottom w:val="single" w:color="000000" w:sz="4" w:space="0"/>
              <w:right w:val="single" w:color="000000" w:sz="12" w:space="0"/>
            </w:tcBorders>
            <w:vAlign w:val="bottom"/>
          </w:tcPr>
          <w:p>
            <w:pPr>
              <w:rPr>
                <w:rFonts w:cs="宋体" w:asciiTheme="minorEastAsia" w:hAnsiTheme="minorEastAsia" w:eastAsiaTheme="minorEastAsia"/>
                <w:sz w:val="18"/>
                <w:szCs w:val="18"/>
                <w:highlight w:val="none"/>
              </w:rPr>
            </w:pPr>
          </w:p>
        </w:tc>
        <w:tc>
          <w:tcPr>
            <w:tcW w:w="1264" w:type="dxa"/>
            <w:tcBorders>
              <w:top w:val="single" w:color="000000" w:sz="4" w:space="0"/>
              <w:left w:val="single" w:color="000000" w:sz="12" w:space="0"/>
              <w:bottom w:val="single" w:color="000000" w:sz="4" w:space="0"/>
              <w:right w:val="single" w:color="000000" w:sz="4" w:space="0"/>
            </w:tcBorders>
            <w:vAlign w:val="bottom"/>
          </w:tcPr>
          <w:p>
            <w:pPr>
              <w:widowControl/>
              <w:jc w:val="left"/>
              <w:textAlignment w:val="bottom"/>
              <w:rPr>
                <w:rFonts w:cs="宋体" w:asciiTheme="minorEastAsia" w:hAnsiTheme="minorEastAsia" w:eastAsiaTheme="minorEastAsia"/>
                <w:sz w:val="18"/>
                <w:szCs w:val="18"/>
                <w:highlight w:val="none"/>
              </w:rPr>
            </w:pPr>
            <w:r>
              <w:rPr>
                <w:rFonts w:hint="eastAsia" w:cs="宋体" w:asciiTheme="minorEastAsia" w:hAnsiTheme="minorEastAsia" w:eastAsiaTheme="minorEastAsia"/>
                <w:kern w:val="0"/>
                <w:sz w:val="18"/>
                <w:szCs w:val="18"/>
                <w:highlight w:val="none"/>
              </w:rPr>
              <w:t>X＜10</w:t>
            </w:r>
          </w:p>
        </w:tc>
        <w:tc>
          <w:tcPr>
            <w:tcW w:w="147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cs="宋体" w:asciiTheme="minorEastAsia" w:hAnsiTheme="minorEastAsia" w:eastAsiaTheme="minorEastAsia"/>
                <w:sz w:val="18"/>
                <w:szCs w:val="18"/>
                <w:highlight w:val="none"/>
              </w:rPr>
            </w:pPr>
            <w:r>
              <w:rPr>
                <w:rFonts w:hint="eastAsia" w:cs="宋体" w:asciiTheme="minorEastAsia" w:hAnsiTheme="minorEastAsia" w:eastAsiaTheme="minorEastAsia"/>
                <w:kern w:val="0"/>
                <w:sz w:val="18"/>
                <w:szCs w:val="18"/>
                <w:highlight w:val="none"/>
              </w:rPr>
              <w:t>Y＜100</w:t>
            </w:r>
          </w:p>
        </w:tc>
        <w:tc>
          <w:tcPr>
            <w:tcW w:w="1515" w:type="dxa"/>
            <w:tcBorders>
              <w:top w:val="single" w:color="000000" w:sz="4" w:space="0"/>
              <w:left w:val="single" w:color="000000" w:sz="4" w:space="0"/>
              <w:bottom w:val="single" w:color="000000" w:sz="4" w:space="0"/>
              <w:right w:val="single" w:color="000000" w:sz="12" w:space="0"/>
            </w:tcBorders>
            <w:vAlign w:val="bottom"/>
          </w:tcPr>
          <w:p>
            <w:pPr>
              <w:rPr>
                <w:rFonts w:cs="宋体" w:asciiTheme="minorEastAsia" w:hAnsiTheme="minorEastAsia" w:eastAsiaTheme="minorEastAsia"/>
                <w:sz w:val="18"/>
                <w:szCs w:val="18"/>
                <w:highlight w:val="none"/>
              </w:rPr>
            </w:pPr>
          </w:p>
        </w:tc>
      </w:tr>
      <w:tr>
        <w:tblPrEx>
          <w:tblCellMar>
            <w:top w:w="15" w:type="dxa"/>
            <w:left w:w="15" w:type="dxa"/>
            <w:bottom w:w="15" w:type="dxa"/>
            <w:right w:w="15" w:type="dxa"/>
          </w:tblCellMar>
        </w:tblPrEx>
        <w:trPr>
          <w:trHeight w:val="306" w:hRule="atLeast"/>
          <w:jc w:val="center"/>
        </w:trPr>
        <w:tc>
          <w:tcPr>
            <w:tcW w:w="2153" w:type="dxa"/>
            <w:tcBorders>
              <w:top w:val="single" w:color="000000" w:sz="4" w:space="0"/>
              <w:left w:val="single" w:color="000000" w:sz="12" w:space="0"/>
              <w:bottom w:val="single" w:color="000000" w:sz="4" w:space="0"/>
              <w:right w:val="single" w:color="000000" w:sz="12" w:space="0"/>
            </w:tcBorders>
            <w:vAlign w:val="bottom"/>
          </w:tcPr>
          <w:p>
            <w:pPr>
              <w:widowControl/>
              <w:jc w:val="left"/>
              <w:textAlignment w:val="bottom"/>
              <w:rPr>
                <w:rFonts w:cs="宋体" w:asciiTheme="minorEastAsia" w:hAnsiTheme="minorEastAsia" w:eastAsiaTheme="minorEastAsia"/>
                <w:sz w:val="18"/>
                <w:szCs w:val="18"/>
                <w:highlight w:val="none"/>
              </w:rPr>
            </w:pPr>
            <w:r>
              <w:rPr>
                <w:rFonts w:hint="eastAsia" w:cs="宋体" w:asciiTheme="minorEastAsia" w:hAnsiTheme="minorEastAsia" w:eastAsiaTheme="minorEastAsia"/>
                <w:kern w:val="0"/>
                <w:sz w:val="18"/>
                <w:szCs w:val="18"/>
                <w:highlight w:val="none"/>
              </w:rPr>
              <w:t>12、软件和信息技术服务业</w:t>
            </w:r>
          </w:p>
        </w:tc>
        <w:tc>
          <w:tcPr>
            <w:tcW w:w="1320" w:type="dxa"/>
            <w:tcBorders>
              <w:top w:val="single" w:color="000000" w:sz="4" w:space="0"/>
              <w:left w:val="single" w:color="000000" w:sz="12" w:space="0"/>
              <w:bottom w:val="single" w:color="000000" w:sz="4" w:space="0"/>
              <w:right w:val="single" w:color="000000" w:sz="4" w:space="0"/>
            </w:tcBorders>
            <w:vAlign w:val="bottom"/>
          </w:tcPr>
          <w:p>
            <w:pPr>
              <w:widowControl/>
              <w:jc w:val="left"/>
              <w:textAlignment w:val="bottom"/>
              <w:rPr>
                <w:rFonts w:cs="宋体" w:asciiTheme="minorEastAsia" w:hAnsiTheme="minorEastAsia" w:eastAsiaTheme="minorEastAsia"/>
                <w:sz w:val="18"/>
                <w:szCs w:val="18"/>
                <w:highlight w:val="none"/>
              </w:rPr>
            </w:pPr>
            <w:r>
              <w:rPr>
                <w:rFonts w:hint="eastAsia" w:cs="宋体" w:asciiTheme="minorEastAsia" w:hAnsiTheme="minorEastAsia" w:eastAsiaTheme="minorEastAsia"/>
                <w:kern w:val="0"/>
                <w:sz w:val="18"/>
                <w:szCs w:val="18"/>
                <w:highlight w:val="none"/>
              </w:rPr>
              <w:t>100≤X＜300</w:t>
            </w:r>
          </w:p>
        </w:tc>
        <w:tc>
          <w:tcPr>
            <w:tcW w:w="156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cs="宋体" w:asciiTheme="minorEastAsia" w:hAnsiTheme="minorEastAsia" w:eastAsiaTheme="minorEastAsia"/>
                <w:sz w:val="18"/>
                <w:szCs w:val="18"/>
                <w:highlight w:val="none"/>
              </w:rPr>
            </w:pPr>
            <w:r>
              <w:rPr>
                <w:rFonts w:hint="eastAsia" w:cs="宋体" w:asciiTheme="minorEastAsia" w:hAnsiTheme="minorEastAsia" w:eastAsiaTheme="minorEastAsia"/>
                <w:kern w:val="0"/>
                <w:sz w:val="18"/>
                <w:szCs w:val="18"/>
                <w:highlight w:val="none"/>
              </w:rPr>
              <w:t>1000≤Y＜10000</w:t>
            </w:r>
          </w:p>
        </w:tc>
        <w:tc>
          <w:tcPr>
            <w:tcW w:w="1500" w:type="dxa"/>
            <w:tcBorders>
              <w:top w:val="single" w:color="000000" w:sz="4" w:space="0"/>
              <w:left w:val="single" w:color="000000" w:sz="4" w:space="0"/>
              <w:bottom w:val="single" w:color="000000" w:sz="4" w:space="0"/>
              <w:right w:val="single" w:color="000000" w:sz="12" w:space="0"/>
            </w:tcBorders>
            <w:vAlign w:val="bottom"/>
          </w:tcPr>
          <w:p>
            <w:pPr>
              <w:rPr>
                <w:rFonts w:cs="宋体" w:asciiTheme="minorEastAsia" w:hAnsiTheme="minorEastAsia" w:eastAsiaTheme="minorEastAsia"/>
                <w:sz w:val="18"/>
                <w:szCs w:val="18"/>
                <w:highlight w:val="none"/>
              </w:rPr>
            </w:pPr>
          </w:p>
        </w:tc>
        <w:tc>
          <w:tcPr>
            <w:tcW w:w="1320" w:type="dxa"/>
            <w:tcBorders>
              <w:top w:val="single" w:color="000000" w:sz="4" w:space="0"/>
              <w:left w:val="single" w:color="000000" w:sz="12" w:space="0"/>
              <w:bottom w:val="single" w:color="000000" w:sz="4" w:space="0"/>
              <w:right w:val="single" w:color="000000" w:sz="4" w:space="0"/>
            </w:tcBorders>
            <w:vAlign w:val="bottom"/>
          </w:tcPr>
          <w:p>
            <w:pPr>
              <w:widowControl/>
              <w:jc w:val="left"/>
              <w:textAlignment w:val="bottom"/>
              <w:rPr>
                <w:rFonts w:cs="宋体" w:asciiTheme="minorEastAsia" w:hAnsiTheme="minorEastAsia" w:eastAsiaTheme="minorEastAsia"/>
                <w:sz w:val="18"/>
                <w:szCs w:val="18"/>
                <w:highlight w:val="none"/>
              </w:rPr>
            </w:pPr>
            <w:r>
              <w:rPr>
                <w:rFonts w:hint="eastAsia" w:cs="宋体" w:asciiTheme="minorEastAsia" w:hAnsiTheme="minorEastAsia" w:eastAsiaTheme="minorEastAsia"/>
                <w:kern w:val="0"/>
                <w:sz w:val="18"/>
                <w:szCs w:val="18"/>
                <w:highlight w:val="none"/>
              </w:rPr>
              <w:t>10≤X＜100</w:t>
            </w:r>
          </w:p>
        </w:tc>
        <w:tc>
          <w:tcPr>
            <w:tcW w:w="150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cs="宋体" w:asciiTheme="minorEastAsia" w:hAnsiTheme="minorEastAsia" w:eastAsiaTheme="minorEastAsia"/>
                <w:sz w:val="18"/>
                <w:szCs w:val="18"/>
                <w:highlight w:val="none"/>
              </w:rPr>
            </w:pPr>
            <w:r>
              <w:rPr>
                <w:rFonts w:hint="eastAsia" w:cs="宋体" w:asciiTheme="minorEastAsia" w:hAnsiTheme="minorEastAsia" w:eastAsiaTheme="minorEastAsia"/>
                <w:kern w:val="0"/>
                <w:sz w:val="18"/>
                <w:szCs w:val="18"/>
                <w:highlight w:val="none"/>
              </w:rPr>
              <w:t xml:space="preserve"> 50≤Y＜1000</w:t>
            </w:r>
          </w:p>
        </w:tc>
        <w:tc>
          <w:tcPr>
            <w:tcW w:w="1406" w:type="dxa"/>
            <w:tcBorders>
              <w:top w:val="single" w:color="000000" w:sz="4" w:space="0"/>
              <w:left w:val="single" w:color="000000" w:sz="4" w:space="0"/>
              <w:bottom w:val="single" w:color="000000" w:sz="4" w:space="0"/>
              <w:right w:val="single" w:color="000000" w:sz="12" w:space="0"/>
            </w:tcBorders>
            <w:vAlign w:val="bottom"/>
          </w:tcPr>
          <w:p>
            <w:pPr>
              <w:rPr>
                <w:rFonts w:cs="宋体" w:asciiTheme="minorEastAsia" w:hAnsiTheme="minorEastAsia" w:eastAsiaTheme="minorEastAsia"/>
                <w:sz w:val="18"/>
                <w:szCs w:val="18"/>
                <w:highlight w:val="none"/>
              </w:rPr>
            </w:pPr>
          </w:p>
        </w:tc>
        <w:tc>
          <w:tcPr>
            <w:tcW w:w="1264" w:type="dxa"/>
            <w:tcBorders>
              <w:top w:val="single" w:color="000000" w:sz="4" w:space="0"/>
              <w:left w:val="single" w:color="000000" w:sz="12" w:space="0"/>
              <w:bottom w:val="single" w:color="000000" w:sz="4" w:space="0"/>
              <w:right w:val="single" w:color="000000" w:sz="4" w:space="0"/>
            </w:tcBorders>
            <w:vAlign w:val="bottom"/>
          </w:tcPr>
          <w:p>
            <w:pPr>
              <w:widowControl/>
              <w:jc w:val="left"/>
              <w:textAlignment w:val="bottom"/>
              <w:rPr>
                <w:rFonts w:cs="宋体" w:asciiTheme="minorEastAsia" w:hAnsiTheme="minorEastAsia" w:eastAsiaTheme="minorEastAsia"/>
                <w:sz w:val="18"/>
                <w:szCs w:val="18"/>
                <w:highlight w:val="none"/>
              </w:rPr>
            </w:pPr>
            <w:r>
              <w:rPr>
                <w:rFonts w:hint="eastAsia" w:cs="宋体" w:asciiTheme="minorEastAsia" w:hAnsiTheme="minorEastAsia" w:eastAsiaTheme="minorEastAsia"/>
                <w:kern w:val="0"/>
                <w:sz w:val="18"/>
                <w:szCs w:val="18"/>
                <w:highlight w:val="none"/>
              </w:rPr>
              <w:t>X＜10</w:t>
            </w:r>
          </w:p>
        </w:tc>
        <w:tc>
          <w:tcPr>
            <w:tcW w:w="147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cs="宋体" w:asciiTheme="minorEastAsia" w:hAnsiTheme="minorEastAsia" w:eastAsiaTheme="minorEastAsia"/>
                <w:sz w:val="18"/>
                <w:szCs w:val="18"/>
                <w:highlight w:val="none"/>
              </w:rPr>
            </w:pPr>
            <w:r>
              <w:rPr>
                <w:rFonts w:hint="eastAsia" w:cs="宋体" w:asciiTheme="minorEastAsia" w:hAnsiTheme="minorEastAsia" w:eastAsiaTheme="minorEastAsia"/>
                <w:kern w:val="0"/>
                <w:sz w:val="18"/>
                <w:szCs w:val="18"/>
                <w:highlight w:val="none"/>
              </w:rPr>
              <w:t>Y＜50</w:t>
            </w:r>
          </w:p>
        </w:tc>
        <w:tc>
          <w:tcPr>
            <w:tcW w:w="1515" w:type="dxa"/>
            <w:tcBorders>
              <w:top w:val="single" w:color="000000" w:sz="4" w:space="0"/>
              <w:left w:val="single" w:color="000000" w:sz="4" w:space="0"/>
              <w:bottom w:val="single" w:color="000000" w:sz="4" w:space="0"/>
              <w:right w:val="single" w:color="000000" w:sz="12" w:space="0"/>
            </w:tcBorders>
            <w:vAlign w:val="bottom"/>
          </w:tcPr>
          <w:p>
            <w:pPr>
              <w:rPr>
                <w:rFonts w:cs="宋体" w:asciiTheme="minorEastAsia" w:hAnsiTheme="minorEastAsia" w:eastAsiaTheme="minorEastAsia"/>
                <w:sz w:val="18"/>
                <w:szCs w:val="18"/>
                <w:highlight w:val="none"/>
              </w:rPr>
            </w:pPr>
          </w:p>
        </w:tc>
      </w:tr>
      <w:tr>
        <w:tblPrEx>
          <w:tblCellMar>
            <w:top w:w="15" w:type="dxa"/>
            <w:left w:w="15" w:type="dxa"/>
            <w:bottom w:w="15" w:type="dxa"/>
            <w:right w:w="15" w:type="dxa"/>
          </w:tblCellMar>
        </w:tblPrEx>
        <w:trPr>
          <w:trHeight w:val="306" w:hRule="atLeast"/>
          <w:jc w:val="center"/>
        </w:trPr>
        <w:tc>
          <w:tcPr>
            <w:tcW w:w="2153" w:type="dxa"/>
            <w:tcBorders>
              <w:top w:val="single" w:color="000000" w:sz="4" w:space="0"/>
              <w:left w:val="single" w:color="000000" w:sz="12" w:space="0"/>
              <w:bottom w:val="single" w:color="000000" w:sz="4" w:space="0"/>
              <w:right w:val="single" w:color="000000" w:sz="12" w:space="0"/>
            </w:tcBorders>
            <w:vAlign w:val="bottom"/>
          </w:tcPr>
          <w:p>
            <w:pPr>
              <w:widowControl/>
              <w:jc w:val="left"/>
              <w:textAlignment w:val="bottom"/>
              <w:rPr>
                <w:rFonts w:cs="宋体" w:asciiTheme="minorEastAsia" w:hAnsiTheme="minorEastAsia" w:eastAsiaTheme="minorEastAsia"/>
                <w:sz w:val="18"/>
                <w:szCs w:val="18"/>
                <w:highlight w:val="none"/>
              </w:rPr>
            </w:pPr>
            <w:r>
              <w:rPr>
                <w:rFonts w:hint="eastAsia" w:cs="宋体" w:asciiTheme="minorEastAsia" w:hAnsiTheme="minorEastAsia" w:eastAsiaTheme="minorEastAsia"/>
                <w:kern w:val="0"/>
                <w:sz w:val="18"/>
                <w:szCs w:val="18"/>
                <w:highlight w:val="none"/>
              </w:rPr>
              <w:t>13、房地产开发经营</w:t>
            </w:r>
          </w:p>
        </w:tc>
        <w:tc>
          <w:tcPr>
            <w:tcW w:w="1320" w:type="dxa"/>
            <w:tcBorders>
              <w:top w:val="single" w:color="000000" w:sz="4" w:space="0"/>
              <w:left w:val="single" w:color="000000" w:sz="12" w:space="0"/>
              <w:bottom w:val="single" w:color="000000" w:sz="4" w:space="0"/>
              <w:right w:val="single" w:color="000000" w:sz="4" w:space="0"/>
            </w:tcBorders>
            <w:vAlign w:val="bottom"/>
          </w:tcPr>
          <w:p>
            <w:pPr>
              <w:rPr>
                <w:rFonts w:cs="宋体" w:asciiTheme="minorEastAsia" w:hAnsiTheme="minorEastAsia" w:eastAsiaTheme="minorEastAsia"/>
                <w:sz w:val="18"/>
                <w:szCs w:val="18"/>
                <w:highlight w:val="none"/>
              </w:rPr>
            </w:pPr>
          </w:p>
        </w:tc>
        <w:tc>
          <w:tcPr>
            <w:tcW w:w="156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cs="宋体" w:asciiTheme="minorEastAsia" w:hAnsiTheme="minorEastAsia" w:eastAsiaTheme="minorEastAsia"/>
                <w:sz w:val="18"/>
                <w:szCs w:val="18"/>
                <w:highlight w:val="none"/>
              </w:rPr>
            </w:pPr>
            <w:r>
              <w:rPr>
                <w:rFonts w:hint="eastAsia" w:cs="宋体" w:asciiTheme="minorEastAsia" w:hAnsiTheme="minorEastAsia" w:eastAsiaTheme="minorEastAsia"/>
                <w:kern w:val="0"/>
                <w:sz w:val="18"/>
                <w:szCs w:val="18"/>
                <w:highlight w:val="none"/>
              </w:rPr>
              <w:t>1000≤Y＜200000</w:t>
            </w:r>
          </w:p>
        </w:tc>
        <w:tc>
          <w:tcPr>
            <w:tcW w:w="1500" w:type="dxa"/>
            <w:tcBorders>
              <w:top w:val="single" w:color="000000" w:sz="4" w:space="0"/>
              <w:left w:val="single" w:color="000000" w:sz="4" w:space="0"/>
              <w:bottom w:val="single" w:color="000000" w:sz="4" w:space="0"/>
              <w:right w:val="single" w:color="000000" w:sz="12" w:space="0"/>
            </w:tcBorders>
            <w:vAlign w:val="bottom"/>
          </w:tcPr>
          <w:p>
            <w:pPr>
              <w:widowControl/>
              <w:jc w:val="left"/>
              <w:textAlignment w:val="bottom"/>
              <w:rPr>
                <w:rFonts w:cs="宋体" w:asciiTheme="minorEastAsia" w:hAnsiTheme="minorEastAsia" w:eastAsiaTheme="minorEastAsia"/>
                <w:sz w:val="18"/>
                <w:szCs w:val="18"/>
                <w:highlight w:val="none"/>
              </w:rPr>
            </w:pPr>
            <w:r>
              <w:rPr>
                <w:rFonts w:hint="eastAsia" w:cs="宋体" w:asciiTheme="minorEastAsia" w:hAnsiTheme="minorEastAsia" w:eastAsiaTheme="minorEastAsia"/>
                <w:kern w:val="0"/>
                <w:sz w:val="18"/>
                <w:szCs w:val="18"/>
                <w:highlight w:val="none"/>
              </w:rPr>
              <w:t>5000≤Z＜10000</w:t>
            </w:r>
          </w:p>
        </w:tc>
        <w:tc>
          <w:tcPr>
            <w:tcW w:w="1320" w:type="dxa"/>
            <w:tcBorders>
              <w:top w:val="single" w:color="000000" w:sz="4" w:space="0"/>
              <w:left w:val="single" w:color="000000" w:sz="12" w:space="0"/>
              <w:bottom w:val="single" w:color="000000" w:sz="4" w:space="0"/>
              <w:right w:val="single" w:color="000000" w:sz="4" w:space="0"/>
            </w:tcBorders>
            <w:vAlign w:val="bottom"/>
          </w:tcPr>
          <w:p>
            <w:pPr>
              <w:rPr>
                <w:rFonts w:cs="宋体" w:asciiTheme="minorEastAsia" w:hAnsiTheme="minorEastAsia" w:eastAsiaTheme="minorEastAsia"/>
                <w:sz w:val="18"/>
                <w:szCs w:val="18"/>
                <w:highlight w:val="none"/>
              </w:rPr>
            </w:pPr>
          </w:p>
        </w:tc>
        <w:tc>
          <w:tcPr>
            <w:tcW w:w="150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cs="宋体" w:asciiTheme="minorEastAsia" w:hAnsiTheme="minorEastAsia" w:eastAsiaTheme="minorEastAsia"/>
                <w:sz w:val="18"/>
                <w:szCs w:val="18"/>
                <w:highlight w:val="none"/>
              </w:rPr>
            </w:pPr>
            <w:r>
              <w:rPr>
                <w:rFonts w:hint="eastAsia" w:cs="宋体" w:asciiTheme="minorEastAsia" w:hAnsiTheme="minorEastAsia" w:eastAsiaTheme="minorEastAsia"/>
                <w:kern w:val="0"/>
                <w:sz w:val="18"/>
                <w:szCs w:val="18"/>
                <w:highlight w:val="none"/>
              </w:rPr>
              <w:t>100≤Y＜1000</w:t>
            </w:r>
          </w:p>
        </w:tc>
        <w:tc>
          <w:tcPr>
            <w:tcW w:w="1406" w:type="dxa"/>
            <w:tcBorders>
              <w:top w:val="single" w:color="000000" w:sz="4" w:space="0"/>
              <w:left w:val="single" w:color="000000" w:sz="4" w:space="0"/>
              <w:bottom w:val="single" w:color="000000" w:sz="4" w:space="0"/>
              <w:right w:val="single" w:color="000000" w:sz="12" w:space="0"/>
            </w:tcBorders>
            <w:vAlign w:val="bottom"/>
          </w:tcPr>
          <w:p>
            <w:pPr>
              <w:widowControl/>
              <w:jc w:val="left"/>
              <w:textAlignment w:val="bottom"/>
              <w:rPr>
                <w:rFonts w:cs="宋体" w:asciiTheme="minorEastAsia" w:hAnsiTheme="minorEastAsia" w:eastAsiaTheme="minorEastAsia"/>
                <w:sz w:val="18"/>
                <w:szCs w:val="18"/>
                <w:highlight w:val="none"/>
              </w:rPr>
            </w:pPr>
            <w:r>
              <w:rPr>
                <w:rFonts w:hint="eastAsia" w:cs="宋体" w:asciiTheme="minorEastAsia" w:hAnsiTheme="minorEastAsia" w:eastAsiaTheme="minorEastAsia"/>
                <w:kern w:val="0"/>
                <w:sz w:val="18"/>
                <w:szCs w:val="18"/>
                <w:highlight w:val="none"/>
              </w:rPr>
              <w:t>2000≤Z＜5000</w:t>
            </w:r>
          </w:p>
        </w:tc>
        <w:tc>
          <w:tcPr>
            <w:tcW w:w="1264" w:type="dxa"/>
            <w:tcBorders>
              <w:top w:val="single" w:color="000000" w:sz="4" w:space="0"/>
              <w:left w:val="single" w:color="000000" w:sz="12" w:space="0"/>
              <w:bottom w:val="single" w:color="000000" w:sz="4" w:space="0"/>
              <w:right w:val="single" w:color="000000" w:sz="4" w:space="0"/>
            </w:tcBorders>
            <w:vAlign w:val="bottom"/>
          </w:tcPr>
          <w:p>
            <w:pPr>
              <w:rPr>
                <w:rFonts w:cs="宋体" w:asciiTheme="minorEastAsia" w:hAnsiTheme="minorEastAsia" w:eastAsiaTheme="minorEastAsia"/>
                <w:sz w:val="18"/>
                <w:szCs w:val="18"/>
                <w:highlight w:val="none"/>
              </w:rPr>
            </w:pPr>
          </w:p>
        </w:tc>
        <w:tc>
          <w:tcPr>
            <w:tcW w:w="147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cs="宋体" w:asciiTheme="minorEastAsia" w:hAnsiTheme="minorEastAsia" w:eastAsiaTheme="minorEastAsia"/>
                <w:sz w:val="18"/>
                <w:szCs w:val="18"/>
                <w:highlight w:val="none"/>
              </w:rPr>
            </w:pPr>
            <w:r>
              <w:rPr>
                <w:rFonts w:hint="eastAsia" w:cs="宋体" w:asciiTheme="minorEastAsia" w:hAnsiTheme="minorEastAsia" w:eastAsiaTheme="minorEastAsia"/>
                <w:kern w:val="0"/>
                <w:sz w:val="18"/>
                <w:szCs w:val="18"/>
                <w:highlight w:val="none"/>
              </w:rPr>
              <w:t>Y＜100</w:t>
            </w:r>
          </w:p>
        </w:tc>
        <w:tc>
          <w:tcPr>
            <w:tcW w:w="1515" w:type="dxa"/>
            <w:tcBorders>
              <w:top w:val="single" w:color="000000" w:sz="4" w:space="0"/>
              <w:left w:val="single" w:color="000000" w:sz="4" w:space="0"/>
              <w:bottom w:val="single" w:color="000000" w:sz="4" w:space="0"/>
              <w:right w:val="single" w:color="000000" w:sz="12" w:space="0"/>
            </w:tcBorders>
            <w:vAlign w:val="bottom"/>
          </w:tcPr>
          <w:p>
            <w:pPr>
              <w:widowControl/>
              <w:jc w:val="left"/>
              <w:textAlignment w:val="bottom"/>
              <w:rPr>
                <w:rFonts w:cs="宋体" w:asciiTheme="minorEastAsia" w:hAnsiTheme="minorEastAsia" w:eastAsiaTheme="minorEastAsia"/>
                <w:sz w:val="18"/>
                <w:szCs w:val="18"/>
                <w:highlight w:val="none"/>
              </w:rPr>
            </w:pPr>
            <w:r>
              <w:rPr>
                <w:rFonts w:hint="eastAsia" w:cs="宋体" w:asciiTheme="minorEastAsia" w:hAnsiTheme="minorEastAsia" w:eastAsiaTheme="minorEastAsia"/>
                <w:kern w:val="0"/>
                <w:sz w:val="18"/>
                <w:szCs w:val="18"/>
                <w:highlight w:val="none"/>
              </w:rPr>
              <w:t>Z＜2000</w:t>
            </w:r>
          </w:p>
        </w:tc>
      </w:tr>
      <w:tr>
        <w:tblPrEx>
          <w:tblCellMar>
            <w:top w:w="15" w:type="dxa"/>
            <w:left w:w="15" w:type="dxa"/>
            <w:bottom w:w="15" w:type="dxa"/>
            <w:right w:w="15" w:type="dxa"/>
          </w:tblCellMar>
        </w:tblPrEx>
        <w:trPr>
          <w:trHeight w:val="306" w:hRule="atLeast"/>
          <w:jc w:val="center"/>
        </w:trPr>
        <w:tc>
          <w:tcPr>
            <w:tcW w:w="2153" w:type="dxa"/>
            <w:tcBorders>
              <w:top w:val="single" w:color="000000" w:sz="4" w:space="0"/>
              <w:left w:val="single" w:color="000000" w:sz="12" w:space="0"/>
              <w:bottom w:val="single" w:color="000000" w:sz="4" w:space="0"/>
              <w:right w:val="single" w:color="000000" w:sz="12" w:space="0"/>
            </w:tcBorders>
            <w:vAlign w:val="bottom"/>
          </w:tcPr>
          <w:p>
            <w:pPr>
              <w:widowControl/>
              <w:jc w:val="left"/>
              <w:textAlignment w:val="bottom"/>
              <w:rPr>
                <w:rFonts w:cs="宋体" w:asciiTheme="minorEastAsia" w:hAnsiTheme="minorEastAsia" w:eastAsiaTheme="minorEastAsia"/>
                <w:sz w:val="18"/>
                <w:szCs w:val="18"/>
                <w:highlight w:val="none"/>
              </w:rPr>
            </w:pPr>
            <w:r>
              <w:rPr>
                <w:rFonts w:hint="eastAsia" w:cs="宋体" w:asciiTheme="minorEastAsia" w:hAnsiTheme="minorEastAsia" w:eastAsiaTheme="minorEastAsia"/>
                <w:kern w:val="0"/>
                <w:sz w:val="18"/>
                <w:szCs w:val="18"/>
                <w:highlight w:val="none"/>
              </w:rPr>
              <w:t>14、物业管理</w:t>
            </w:r>
          </w:p>
        </w:tc>
        <w:tc>
          <w:tcPr>
            <w:tcW w:w="1320" w:type="dxa"/>
            <w:tcBorders>
              <w:top w:val="single" w:color="000000" w:sz="4" w:space="0"/>
              <w:left w:val="single" w:color="000000" w:sz="12" w:space="0"/>
              <w:bottom w:val="single" w:color="000000" w:sz="4" w:space="0"/>
              <w:right w:val="single" w:color="000000" w:sz="4" w:space="0"/>
            </w:tcBorders>
            <w:vAlign w:val="bottom"/>
          </w:tcPr>
          <w:p>
            <w:pPr>
              <w:widowControl/>
              <w:jc w:val="left"/>
              <w:textAlignment w:val="bottom"/>
              <w:rPr>
                <w:rFonts w:cs="宋体" w:asciiTheme="minorEastAsia" w:hAnsiTheme="minorEastAsia" w:eastAsiaTheme="minorEastAsia"/>
                <w:sz w:val="18"/>
                <w:szCs w:val="18"/>
                <w:highlight w:val="none"/>
              </w:rPr>
            </w:pPr>
            <w:r>
              <w:rPr>
                <w:rFonts w:hint="eastAsia" w:cs="宋体" w:asciiTheme="minorEastAsia" w:hAnsiTheme="minorEastAsia" w:eastAsiaTheme="minorEastAsia"/>
                <w:kern w:val="0"/>
                <w:sz w:val="18"/>
                <w:szCs w:val="18"/>
                <w:highlight w:val="none"/>
              </w:rPr>
              <w:t>300≤X＜1000</w:t>
            </w:r>
          </w:p>
        </w:tc>
        <w:tc>
          <w:tcPr>
            <w:tcW w:w="156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cs="宋体" w:asciiTheme="minorEastAsia" w:hAnsiTheme="minorEastAsia" w:eastAsiaTheme="minorEastAsia"/>
                <w:sz w:val="18"/>
                <w:szCs w:val="18"/>
                <w:highlight w:val="none"/>
              </w:rPr>
            </w:pPr>
            <w:r>
              <w:rPr>
                <w:rFonts w:hint="eastAsia" w:cs="宋体" w:asciiTheme="minorEastAsia" w:hAnsiTheme="minorEastAsia" w:eastAsiaTheme="minorEastAsia"/>
                <w:kern w:val="0"/>
                <w:sz w:val="18"/>
                <w:szCs w:val="18"/>
                <w:highlight w:val="none"/>
              </w:rPr>
              <w:t>1000≤Y＜5000</w:t>
            </w:r>
          </w:p>
        </w:tc>
        <w:tc>
          <w:tcPr>
            <w:tcW w:w="1500" w:type="dxa"/>
            <w:tcBorders>
              <w:top w:val="single" w:color="000000" w:sz="4" w:space="0"/>
              <w:left w:val="single" w:color="000000" w:sz="4" w:space="0"/>
              <w:bottom w:val="single" w:color="000000" w:sz="4" w:space="0"/>
              <w:right w:val="single" w:color="000000" w:sz="12" w:space="0"/>
            </w:tcBorders>
            <w:vAlign w:val="bottom"/>
          </w:tcPr>
          <w:p>
            <w:pPr>
              <w:rPr>
                <w:rFonts w:cs="宋体" w:asciiTheme="minorEastAsia" w:hAnsiTheme="minorEastAsia" w:eastAsiaTheme="minorEastAsia"/>
                <w:sz w:val="18"/>
                <w:szCs w:val="18"/>
                <w:highlight w:val="none"/>
              </w:rPr>
            </w:pPr>
          </w:p>
        </w:tc>
        <w:tc>
          <w:tcPr>
            <w:tcW w:w="1320" w:type="dxa"/>
            <w:tcBorders>
              <w:top w:val="single" w:color="000000" w:sz="4" w:space="0"/>
              <w:left w:val="single" w:color="000000" w:sz="12" w:space="0"/>
              <w:bottom w:val="single" w:color="000000" w:sz="4" w:space="0"/>
              <w:right w:val="single" w:color="000000" w:sz="4" w:space="0"/>
            </w:tcBorders>
            <w:vAlign w:val="bottom"/>
          </w:tcPr>
          <w:p>
            <w:pPr>
              <w:widowControl/>
              <w:jc w:val="left"/>
              <w:textAlignment w:val="bottom"/>
              <w:rPr>
                <w:rFonts w:cs="宋体" w:asciiTheme="minorEastAsia" w:hAnsiTheme="minorEastAsia" w:eastAsiaTheme="minorEastAsia"/>
                <w:sz w:val="18"/>
                <w:szCs w:val="18"/>
                <w:highlight w:val="none"/>
              </w:rPr>
            </w:pPr>
            <w:r>
              <w:rPr>
                <w:rFonts w:hint="eastAsia" w:cs="宋体" w:asciiTheme="minorEastAsia" w:hAnsiTheme="minorEastAsia" w:eastAsiaTheme="minorEastAsia"/>
                <w:kern w:val="0"/>
                <w:sz w:val="18"/>
                <w:szCs w:val="18"/>
                <w:highlight w:val="none"/>
              </w:rPr>
              <w:t>100≤X＜300</w:t>
            </w:r>
          </w:p>
        </w:tc>
        <w:tc>
          <w:tcPr>
            <w:tcW w:w="150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cs="宋体" w:asciiTheme="minorEastAsia" w:hAnsiTheme="minorEastAsia" w:eastAsiaTheme="minorEastAsia"/>
                <w:sz w:val="18"/>
                <w:szCs w:val="18"/>
                <w:highlight w:val="none"/>
              </w:rPr>
            </w:pPr>
            <w:r>
              <w:rPr>
                <w:rFonts w:hint="eastAsia" w:cs="宋体" w:asciiTheme="minorEastAsia" w:hAnsiTheme="minorEastAsia" w:eastAsiaTheme="minorEastAsia"/>
                <w:kern w:val="0"/>
                <w:sz w:val="18"/>
                <w:szCs w:val="18"/>
                <w:highlight w:val="none"/>
              </w:rPr>
              <w:t>500≤Y＜1000</w:t>
            </w:r>
          </w:p>
        </w:tc>
        <w:tc>
          <w:tcPr>
            <w:tcW w:w="1406" w:type="dxa"/>
            <w:tcBorders>
              <w:top w:val="single" w:color="000000" w:sz="4" w:space="0"/>
              <w:left w:val="single" w:color="000000" w:sz="4" w:space="0"/>
              <w:bottom w:val="single" w:color="000000" w:sz="4" w:space="0"/>
              <w:right w:val="single" w:color="000000" w:sz="12" w:space="0"/>
            </w:tcBorders>
            <w:vAlign w:val="bottom"/>
          </w:tcPr>
          <w:p>
            <w:pPr>
              <w:rPr>
                <w:rFonts w:cs="宋体" w:asciiTheme="minorEastAsia" w:hAnsiTheme="minorEastAsia" w:eastAsiaTheme="minorEastAsia"/>
                <w:sz w:val="18"/>
                <w:szCs w:val="18"/>
                <w:highlight w:val="none"/>
              </w:rPr>
            </w:pPr>
          </w:p>
        </w:tc>
        <w:tc>
          <w:tcPr>
            <w:tcW w:w="1264" w:type="dxa"/>
            <w:tcBorders>
              <w:top w:val="single" w:color="000000" w:sz="4" w:space="0"/>
              <w:left w:val="single" w:color="000000" w:sz="12" w:space="0"/>
              <w:bottom w:val="single" w:color="000000" w:sz="4" w:space="0"/>
              <w:right w:val="single" w:color="000000" w:sz="4" w:space="0"/>
            </w:tcBorders>
            <w:vAlign w:val="bottom"/>
          </w:tcPr>
          <w:p>
            <w:pPr>
              <w:widowControl/>
              <w:jc w:val="left"/>
              <w:textAlignment w:val="bottom"/>
              <w:rPr>
                <w:rFonts w:cs="宋体" w:asciiTheme="minorEastAsia" w:hAnsiTheme="minorEastAsia" w:eastAsiaTheme="minorEastAsia"/>
                <w:sz w:val="18"/>
                <w:szCs w:val="18"/>
                <w:highlight w:val="none"/>
              </w:rPr>
            </w:pPr>
            <w:r>
              <w:rPr>
                <w:rFonts w:hint="eastAsia" w:cs="宋体" w:asciiTheme="minorEastAsia" w:hAnsiTheme="minorEastAsia" w:eastAsiaTheme="minorEastAsia"/>
                <w:kern w:val="0"/>
                <w:sz w:val="18"/>
                <w:szCs w:val="18"/>
                <w:highlight w:val="none"/>
              </w:rPr>
              <w:t>X＜100</w:t>
            </w:r>
          </w:p>
        </w:tc>
        <w:tc>
          <w:tcPr>
            <w:tcW w:w="147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cs="宋体" w:asciiTheme="minorEastAsia" w:hAnsiTheme="minorEastAsia" w:eastAsiaTheme="minorEastAsia"/>
                <w:sz w:val="18"/>
                <w:szCs w:val="18"/>
                <w:highlight w:val="none"/>
              </w:rPr>
            </w:pPr>
            <w:r>
              <w:rPr>
                <w:rFonts w:hint="eastAsia" w:cs="宋体" w:asciiTheme="minorEastAsia" w:hAnsiTheme="minorEastAsia" w:eastAsiaTheme="minorEastAsia"/>
                <w:kern w:val="0"/>
                <w:sz w:val="18"/>
                <w:szCs w:val="18"/>
                <w:highlight w:val="none"/>
              </w:rPr>
              <w:t>Y＜500</w:t>
            </w:r>
          </w:p>
        </w:tc>
        <w:tc>
          <w:tcPr>
            <w:tcW w:w="1515" w:type="dxa"/>
            <w:tcBorders>
              <w:top w:val="single" w:color="000000" w:sz="4" w:space="0"/>
              <w:left w:val="single" w:color="000000" w:sz="4" w:space="0"/>
              <w:bottom w:val="single" w:color="000000" w:sz="4" w:space="0"/>
              <w:right w:val="single" w:color="000000" w:sz="12" w:space="0"/>
            </w:tcBorders>
            <w:vAlign w:val="bottom"/>
          </w:tcPr>
          <w:p>
            <w:pPr>
              <w:rPr>
                <w:rFonts w:cs="宋体" w:asciiTheme="minorEastAsia" w:hAnsiTheme="minorEastAsia" w:eastAsiaTheme="minorEastAsia"/>
                <w:sz w:val="18"/>
                <w:szCs w:val="18"/>
                <w:highlight w:val="none"/>
              </w:rPr>
            </w:pPr>
          </w:p>
        </w:tc>
      </w:tr>
      <w:tr>
        <w:tblPrEx>
          <w:tblCellMar>
            <w:top w:w="15" w:type="dxa"/>
            <w:left w:w="15" w:type="dxa"/>
            <w:bottom w:w="15" w:type="dxa"/>
            <w:right w:w="15" w:type="dxa"/>
          </w:tblCellMar>
        </w:tblPrEx>
        <w:trPr>
          <w:trHeight w:val="306" w:hRule="atLeast"/>
          <w:jc w:val="center"/>
        </w:trPr>
        <w:tc>
          <w:tcPr>
            <w:tcW w:w="2153" w:type="dxa"/>
            <w:tcBorders>
              <w:top w:val="single" w:color="000000" w:sz="4" w:space="0"/>
              <w:left w:val="single" w:color="000000" w:sz="12" w:space="0"/>
              <w:bottom w:val="single" w:color="000000" w:sz="4" w:space="0"/>
              <w:right w:val="single" w:color="000000" w:sz="12" w:space="0"/>
            </w:tcBorders>
            <w:vAlign w:val="bottom"/>
          </w:tcPr>
          <w:p>
            <w:pPr>
              <w:widowControl/>
              <w:jc w:val="left"/>
              <w:textAlignment w:val="bottom"/>
              <w:rPr>
                <w:rFonts w:cs="宋体" w:asciiTheme="minorEastAsia" w:hAnsiTheme="minorEastAsia" w:eastAsiaTheme="minorEastAsia"/>
                <w:sz w:val="18"/>
                <w:szCs w:val="18"/>
                <w:highlight w:val="none"/>
              </w:rPr>
            </w:pPr>
            <w:r>
              <w:rPr>
                <w:rFonts w:hint="eastAsia" w:cs="宋体" w:asciiTheme="minorEastAsia" w:hAnsiTheme="minorEastAsia" w:eastAsiaTheme="minorEastAsia"/>
                <w:kern w:val="0"/>
                <w:sz w:val="18"/>
                <w:szCs w:val="18"/>
                <w:highlight w:val="none"/>
              </w:rPr>
              <w:t>15、租赁和商务服务业</w:t>
            </w:r>
          </w:p>
        </w:tc>
        <w:tc>
          <w:tcPr>
            <w:tcW w:w="1320" w:type="dxa"/>
            <w:tcBorders>
              <w:top w:val="single" w:color="000000" w:sz="4" w:space="0"/>
              <w:left w:val="single" w:color="000000" w:sz="12" w:space="0"/>
              <w:bottom w:val="single" w:color="000000" w:sz="4" w:space="0"/>
              <w:right w:val="single" w:color="000000" w:sz="4" w:space="0"/>
            </w:tcBorders>
            <w:vAlign w:val="bottom"/>
          </w:tcPr>
          <w:p>
            <w:pPr>
              <w:widowControl/>
              <w:jc w:val="left"/>
              <w:textAlignment w:val="bottom"/>
              <w:rPr>
                <w:rFonts w:cs="宋体" w:asciiTheme="minorEastAsia" w:hAnsiTheme="minorEastAsia" w:eastAsiaTheme="minorEastAsia"/>
                <w:sz w:val="18"/>
                <w:szCs w:val="18"/>
                <w:highlight w:val="none"/>
              </w:rPr>
            </w:pPr>
            <w:r>
              <w:rPr>
                <w:rFonts w:hint="eastAsia" w:cs="宋体" w:asciiTheme="minorEastAsia" w:hAnsiTheme="minorEastAsia" w:eastAsiaTheme="minorEastAsia"/>
                <w:kern w:val="0"/>
                <w:sz w:val="18"/>
                <w:szCs w:val="18"/>
                <w:highlight w:val="none"/>
              </w:rPr>
              <w:t>100≤X＜300</w:t>
            </w:r>
          </w:p>
        </w:tc>
        <w:tc>
          <w:tcPr>
            <w:tcW w:w="1560" w:type="dxa"/>
            <w:tcBorders>
              <w:top w:val="single" w:color="000000" w:sz="4" w:space="0"/>
              <w:left w:val="single" w:color="000000" w:sz="4" w:space="0"/>
              <w:bottom w:val="single" w:color="000000" w:sz="4" w:space="0"/>
              <w:right w:val="single" w:color="000000" w:sz="4" w:space="0"/>
            </w:tcBorders>
            <w:vAlign w:val="bottom"/>
          </w:tcPr>
          <w:p>
            <w:pPr>
              <w:rPr>
                <w:rFonts w:cs="宋体" w:asciiTheme="minorEastAsia" w:hAnsiTheme="minorEastAsia" w:eastAsiaTheme="minorEastAsia"/>
                <w:sz w:val="18"/>
                <w:szCs w:val="18"/>
                <w:highlight w:val="none"/>
              </w:rPr>
            </w:pPr>
          </w:p>
        </w:tc>
        <w:tc>
          <w:tcPr>
            <w:tcW w:w="1500" w:type="dxa"/>
            <w:tcBorders>
              <w:top w:val="single" w:color="000000" w:sz="4" w:space="0"/>
              <w:left w:val="single" w:color="000000" w:sz="4" w:space="0"/>
              <w:bottom w:val="single" w:color="000000" w:sz="4" w:space="0"/>
              <w:right w:val="single" w:color="000000" w:sz="12" w:space="0"/>
            </w:tcBorders>
            <w:vAlign w:val="bottom"/>
          </w:tcPr>
          <w:p>
            <w:pPr>
              <w:widowControl/>
              <w:jc w:val="left"/>
              <w:textAlignment w:val="bottom"/>
              <w:rPr>
                <w:rFonts w:cs="宋体" w:asciiTheme="minorEastAsia" w:hAnsiTheme="minorEastAsia" w:eastAsiaTheme="minorEastAsia"/>
                <w:sz w:val="18"/>
                <w:szCs w:val="18"/>
                <w:highlight w:val="none"/>
              </w:rPr>
            </w:pPr>
            <w:r>
              <w:rPr>
                <w:rFonts w:hint="eastAsia" w:cs="宋体" w:asciiTheme="minorEastAsia" w:hAnsiTheme="minorEastAsia" w:eastAsiaTheme="minorEastAsia"/>
                <w:kern w:val="0"/>
                <w:sz w:val="18"/>
                <w:szCs w:val="18"/>
                <w:highlight w:val="none"/>
              </w:rPr>
              <w:t>8000≤Z＜120000</w:t>
            </w:r>
          </w:p>
        </w:tc>
        <w:tc>
          <w:tcPr>
            <w:tcW w:w="1320" w:type="dxa"/>
            <w:tcBorders>
              <w:top w:val="single" w:color="000000" w:sz="4" w:space="0"/>
              <w:left w:val="single" w:color="000000" w:sz="12" w:space="0"/>
              <w:bottom w:val="single" w:color="000000" w:sz="4" w:space="0"/>
              <w:right w:val="single" w:color="000000" w:sz="4" w:space="0"/>
            </w:tcBorders>
            <w:vAlign w:val="bottom"/>
          </w:tcPr>
          <w:p>
            <w:pPr>
              <w:widowControl/>
              <w:jc w:val="left"/>
              <w:textAlignment w:val="bottom"/>
              <w:rPr>
                <w:rFonts w:cs="宋体" w:asciiTheme="minorEastAsia" w:hAnsiTheme="minorEastAsia" w:eastAsiaTheme="minorEastAsia"/>
                <w:sz w:val="18"/>
                <w:szCs w:val="18"/>
                <w:highlight w:val="none"/>
              </w:rPr>
            </w:pPr>
            <w:r>
              <w:rPr>
                <w:rFonts w:hint="eastAsia" w:cs="宋体" w:asciiTheme="minorEastAsia" w:hAnsiTheme="minorEastAsia" w:eastAsiaTheme="minorEastAsia"/>
                <w:kern w:val="0"/>
                <w:sz w:val="18"/>
                <w:szCs w:val="18"/>
                <w:highlight w:val="none"/>
              </w:rPr>
              <w:t>10≤X＜100</w:t>
            </w:r>
          </w:p>
        </w:tc>
        <w:tc>
          <w:tcPr>
            <w:tcW w:w="1500" w:type="dxa"/>
            <w:tcBorders>
              <w:top w:val="single" w:color="000000" w:sz="4" w:space="0"/>
              <w:left w:val="single" w:color="000000" w:sz="4" w:space="0"/>
              <w:bottom w:val="single" w:color="000000" w:sz="4" w:space="0"/>
              <w:right w:val="single" w:color="000000" w:sz="4" w:space="0"/>
            </w:tcBorders>
            <w:vAlign w:val="bottom"/>
          </w:tcPr>
          <w:p>
            <w:pPr>
              <w:rPr>
                <w:rFonts w:cs="宋体" w:asciiTheme="minorEastAsia" w:hAnsiTheme="minorEastAsia" w:eastAsiaTheme="minorEastAsia"/>
                <w:sz w:val="18"/>
                <w:szCs w:val="18"/>
                <w:highlight w:val="none"/>
              </w:rPr>
            </w:pPr>
          </w:p>
        </w:tc>
        <w:tc>
          <w:tcPr>
            <w:tcW w:w="1406" w:type="dxa"/>
            <w:tcBorders>
              <w:top w:val="single" w:color="000000" w:sz="4" w:space="0"/>
              <w:left w:val="single" w:color="000000" w:sz="4" w:space="0"/>
              <w:bottom w:val="single" w:color="000000" w:sz="4" w:space="0"/>
              <w:right w:val="single" w:color="000000" w:sz="12" w:space="0"/>
            </w:tcBorders>
            <w:vAlign w:val="bottom"/>
          </w:tcPr>
          <w:p>
            <w:pPr>
              <w:widowControl/>
              <w:jc w:val="left"/>
              <w:textAlignment w:val="bottom"/>
              <w:rPr>
                <w:rFonts w:cs="宋体" w:asciiTheme="minorEastAsia" w:hAnsiTheme="minorEastAsia" w:eastAsiaTheme="minorEastAsia"/>
                <w:sz w:val="18"/>
                <w:szCs w:val="18"/>
                <w:highlight w:val="none"/>
              </w:rPr>
            </w:pPr>
            <w:r>
              <w:rPr>
                <w:rFonts w:hint="eastAsia" w:cs="宋体" w:asciiTheme="minorEastAsia" w:hAnsiTheme="minorEastAsia" w:eastAsiaTheme="minorEastAsia"/>
                <w:kern w:val="0"/>
                <w:sz w:val="18"/>
                <w:szCs w:val="18"/>
                <w:highlight w:val="none"/>
              </w:rPr>
              <w:t xml:space="preserve"> 100≤Z＜8000</w:t>
            </w:r>
          </w:p>
        </w:tc>
        <w:tc>
          <w:tcPr>
            <w:tcW w:w="1264" w:type="dxa"/>
            <w:tcBorders>
              <w:top w:val="single" w:color="000000" w:sz="4" w:space="0"/>
              <w:left w:val="single" w:color="000000" w:sz="12" w:space="0"/>
              <w:bottom w:val="single" w:color="000000" w:sz="4" w:space="0"/>
              <w:right w:val="single" w:color="000000" w:sz="4" w:space="0"/>
            </w:tcBorders>
            <w:vAlign w:val="bottom"/>
          </w:tcPr>
          <w:p>
            <w:pPr>
              <w:widowControl/>
              <w:jc w:val="left"/>
              <w:textAlignment w:val="bottom"/>
              <w:rPr>
                <w:rFonts w:cs="宋体" w:asciiTheme="minorEastAsia" w:hAnsiTheme="minorEastAsia" w:eastAsiaTheme="minorEastAsia"/>
                <w:sz w:val="18"/>
                <w:szCs w:val="18"/>
                <w:highlight w:val="none"/>
              </w:rPr>
            </w:pPr>
            <w:r>
              <w:rPr>
                <w:rFonts w:hint="eastAsia" w:cs="宋体" w:asciiTheme="minorEastAsia" w:hAnsiTheme="minorEastAsia" w:eastAsiaTheme="minorEastAsia"/>
                <w:kern w:val="0"/>
                <w:sz w:val="18"/>
                <w:szCs w:val="18"/>
                <w:highlight w:val="none"/>
              </w:rPr>
              <w:t>X＜10</w:t>
            </w:r>
          </w:p>
        </w:tc>
        <w:tc>
          <w:tcPr>
            <w:tcW w:w="1470" w:type="dxa"/>
            <w:tcBorders>
              <w:top w:val="single" w:color="000000" w:sz="4" w:space="0"/>
              <w:left w:val="single" w:color="000000" w:sz="4" w:space="0"/>
              <w:bottom w:val="single" w:color="000000" w:sz="4" w:space="0"/>
              <w:right w:val="single" w:color="000000" w:sz="4" w:space="0"/>
            </w:tcBorders>
            <w:vAlign w:val="bottom"/>
          </w:tcPr>
          <w:p>
            <w:pPr>
              <w:rPr>
                <w:rFonts w:cs="宋体" w:asciiTheme="minorEastAsia" w:hAnsiTheme="minorEastAsia" w:eastAsiaTheme="minorEastAsia"/>
                <w:sz w:val="18"/>
                <w:szCs w:val="18"/>
                <w:highlight w:val="none"/>
              </w:rPr>
            </w:pPr>
          </w:p>
        </w:tc>
        <w:tc>
          <w:tcPr>
            <w:tcW w:w="1515" w:type="dxa"/>
            <w:tcBorders>
              <w:top w:val="single" w:color="000000" w:sz="4" w:space="0"/>
              <w:left w:val="single" w:color="000000" w:sz="4" w:space="0"/>
              <w:bottom w:val="single" w:color="000000" w:sz="4" w:space="0"/>
              <w:right w:val="single" w:color="000000" w:sz="12" w:space="0"/>
            </w:tcBorders>
            <w:vAlign w:val="bottom"/>
          </w:tcPr>
          <w:p>
            <w:pPr>
              <w:widowControl/>
              <w:jc w:val="left"/>
              <w:textAlignment w:val="bottom"/>
              <w:rPr>
                <w:rFonts w:cs="宋体" w:asciiTheme="minorEastAsia" w:hAnsiTheme="minorEastAsia" w:eastAsiaTheme="minorEastAsia"/>
                <w:sz w:val="18"/>
                <w:szCs w:val="18"/>
                <w:highlight w:val="none"/>
              </w:rPr>
            </w:pPr>
            <w:r>
              <w:rPr>
                <w:rFonts w:hint="eastAsia" w:cs="宋体" w:asciiTheme="minorEastAsia" w:hAnsiTheme="minorEastAsia" w:eastAsiaTheme="minorEastAsia"/>
                <w:kern w:val="0"/>
                <w:sz w:val="18"/>
                <w:szCs w:val="18"/>
                <w:highlight w:val="none"/>
              </w:rPr>
              <w:t>Z＜100</w:t>
            </w:r>
          </w:p>
        </w:tc>
      </w:tr>
      <w:tr>
        <w:tblPrEx>
          <w:tblCellMar>
            <w:top w:w="15" w:type="dxa"/>
            <w:left w:w="15" w:type="dxa"/>
            <w:bottom w:w="15" w:type="dxa"/>
            <w:right w:w="15" w:type="dxa"/>
          </w:tblCellMar>
        </w:tblPrEx>
        <w:trPr>
          <w:trHeight w:val="306" w:hRule="atLeast"/>
          <w:jc w:val="center"/>
        </w:trPr>
        <w:tc>
          <w:tcPr>
            <w:tcW w:w="2153" w:type="dxa"/>
            <w:tcBorders>
              <w:top w:val="single" w:color="000000" w:sz="4" w:space="0"/>
              <w:left w:val="single" w:color="000000" w:sz="12" w:space="0"/>
              <w:bottom w:val="single" w:color="000000" w:sz="12" w:space="0"/>
              <w:right w:val="single" w:color="000000" w:sz="12" w:space="0"/>
            </w:tcBorders>
            <w:vAlign w:val="bottom"/>
          </w:tcPr>
          <w:p>
            <w:pPr>
              <w:widowControl/>
              <w:jc w:val="left"/>
              <w:textAlignment w:val="bottom"/>
              <w:rPr>
                <w:rFonts w:hint="default" w:cs="宋体" w:asciiTheme="minorEastAsia" w:hAnsiTheme="minorEastAsia" w:eastAsiaTheme="minorEastAsia"/>
                <w:sz w:val="18"/>
                <w:szCs w:val="18"/>
                <w:highlight w:val="none"/>
                <w:lang w:val="en-US"/>
              </w:rPr>
            </w:pPr>
            <w:r>
              <w:rPr>
                <w:rFonts w:hint="default" w:cs="宋体" w:asciiTheme="minorEastAsia" w:hAnsiTheme="minorEastAsia" w:eastAsiaTheme="minorEastAsia"/>
                <w:kern w:val="0"/>
                <w:sz w:val="18"/>
                <w:szCs w:val="18"/>
                <w:highlight w:val="none"/>
                <w:lang w:val="en-US"/>
              </w:rPr>
              <w:t>16、其他未列明行业</w:t>
            </w:r>
          </w:p>
        </w:tc>
        <w:tc>
          <w:tcPr>
            <w:tcW w:w="1320" w:type="dxa"/>
            <w:tcBorders>
              <w:top w:val="single" w:color="000000" w:sz="4" w:space="0"/>
              <w:left w:val="single" w:color="000000" w:sz="12" w:space="0"/>
              <w:bottom w:val="single" w:color="000000" w:sz="12" w:space="0"/>
              <w:right w:val="single" w:color="000000" w:sz="4" w:space="0"/>
            </w:tcBorders>
            <w:vAlign w:val="bottom"/>
          </w:tcPr>
          <w:p>
            <w:pPr>
              <w:widowControl/>
              <w:jc w:val="left"/>
              <w:textAlignment w:val="bottom"/>
              <w:rPr>
                <w:rFonts w:cs="宋体" w:asciiTheme="minorEastAsia" w:hAnsiTheme="minorEastAsia" w:eastAsiaTheme="minorEastAsia"/>
                <w:sz w:val="18"/>
                <w:szCs w:val="18"/>
                <w:highlight w:val="none"/>
              </w:rPr>
            </w:pPr>
            <w:r>
              <w:rPr>
                <w:rFonts w:hint="eastAsia" w:cs="宋体" w:asciiTheme="minorEastAsia" w:hAnsiTheme="minorEastAsia" w:eastAsiaTheme="minorEastAsia"/>
                <w:kern w:val="0"/>
                <w:sz w:val="18"/>
                <w:szCs w:val="18"/>
                <w:highlight w:val="none"/>
              </w:rPr>
              <w:t>100≤X＜300</w:t>
            </w:r>
          </w:p>
        </w:tc>
        <w:tc>
          <w:tcPr>
            <w:tcW w:w="1560" w:type="dxa"/>
            <w:tcBorders>
              <w:top w:val="single" w:color="000000" w:sz="4" w:space="0"/>
              <w:left w:val="single" w:color="000000" w:sz="4" w:space="0"/>
              <w:bottom w:val="single" w:color="000000" w:sz="12" w:space="0"/>
              <w:right w:val="single" w:color="000000" w:sz="4" w:space="0"/>
            </w:tcBorders>
            <w:vAlign w:val="bottom"/>
          </w:tcPr>
          <w:p>
            <w:pPr>
              <w:rPr>
                <w:rFonts w:cs="宋体" w:asciiTheme="minorEastAsia" w:hAnsiTheme="minorEastAsia" w:eastAsiaTheme="minorEastAsia"/>
                <w:sz w:val="18"/>
                <w:szCs w:val="18"/>
                <w:highlight w:val="none"/>
              </w:rPr>
            </w:pPr>
          </w:p>
        </w:tc>
        <w:tc>
          <w:tcPr>
            <w:tcW w:w="1500" w:type="dxa"/>
            <w:tcBorders>
              <w:top w:val="single" w:color="000000" w:sz="4" w:space="0"/>
              <w:left w:val="single" w:color="000000" w:sz="4" w:space="0"/>
              <w:bottom w:val="single" w:color="000000" w:sz="12" w:space="0"/>
              <w:right w:val="single" w:color="000000" w:sz="12" w:space="0"/>
            </w:tcBorders>
            <w:vAlign w:val="bottom"/>
          </w:tcPr>
          <w:p>
            <w:pPr>
              <w:rPr>
                <w:rFonts w:cs="宋体" w:asciiTheme="minorEastAsia" w:hAnsiTheme="minorEastAsia" w:eastAsiaTheme="minorEastAsia"/>
                <w:sz w:val="18"/>
                <w:szCs w:val="18"/>
                <w:highlight w:val="none"/>
              </w:rPr>
            </w:pPr>
          </w:p>
        </w:tc>
        <w:tc>
          <w:tcPr>
            <w:tcW w:w="1320" w:type="dxa"/>
            <w:tcBorders>
              <w:top w:val="single" w:color="000000" w:sz="4" w:space="0"/>
              <w:left w:val="single" w:color="000000" w:sz="12" w:space="0"/>
              <w:bottom w:val="single" w:color="000000" w:sz="12" w:space="0"/>
              <w:right w:val="single" w:color="000000" w:sz="4" w:space="0"/>
            </w:tcBorders>
            <w:vAlign w:val="bottom"/>
          </w:tcPr>
          <w:p>
            <w:pPr>
              <w:widowControl/>
              <w:jc w:val="left"/>
              <w:textAlignment w:val="bottom"/>
              <w:rPr>
                <w:rFonts w:cs="宋体" w:asciiTheme="minorEastAsia" w:hAnsiTheme="minorEastAsia" w:eastAsiaTheme="minorEastAsia"/>
                <w:sz w:val="18"/>
                <w:szCs w:val="18"/>
                <w:highlight w:val="none"/>
              </w:rPr>
            </w:pPr>
            <w:r>
              <w:rPr>
                <w:rFonts w:hint="eastAsia" w:cs="宋体" w:asciiTheme="minorEastAsia" w:hAnsiTheme="minorEastAsia" w:eastAsiaTheme="minorEastAsia"/>
                <w:kern w:val="0"/>
                <w:sz w:val="18"/>
                <w:szCs w:val="18"/>
                <w:highlight w:val="none"/>
              </w:rPr>
              <w:t>10≤X＜100</w:t>
            </w:r>
          </w:p>
        </w:tc>
        <w:tc>
          <w:tcPr>
            <w:tcW w:w="1500" w:type="dxa"/>
            <w:tcBorders>
              <w:top w:val="single" w:color="000000" w:sz="4" w:space="0"/>
              <w:left w:val="single" w:color="000000" w:sz="4" w:space="0"/>
              <w:bottom w:val="single" w:color="000000" w:sz="12" w:space="0"/>
              <w:right w:val="single" w:color="000000" w:sz="4" w:space="0"/>
            </w:tcBorders>
            <w:vAlign w:val="bottom"/>
          </w:tcPr>
          <w:p>
            <w:pPr>
              <w:rPr>
                <w:rFonts w:cs="宋体" w:asciiTheme="minorEastAsia" w:hAnsiTheme="minorEastAsia" w:eastAsiaTheme="minorEastAsia"/>
                <w:sz w:val="18"/>
                <w:szCs w:val="18"/>
                <w:highlight w:val="none"/>
              </w:rPr>
            </w:pPr>
          </w:p>
        </w:tc>
        <w:tc>
          <w:tcPr>
            <w:tcW w:w="1406" w:type="dxa"/>
            <w:tcBorders>
              <w:top w:val="single" w:color="000000" w:sz="4" w:space="0"/>
              <w:left w:val="single" w:color="000000" w:sz="4" w:space="0"/>
              <w:bottom w:val="single" w:color="000000" w:sz="12" w:space="0"/>
              <w:right w:val="single" w:color="000000" w:sz="12" w:space="0"/>
            </w:tcBorders>
            <w:vAlign w:val="bottom"/>
          </w:tcPr>
          <w:p>
            <w:pPr>
              <w:rPr>
                <w:rFonts w:cs="宋体" w:asciiTheme="minorEastAsia" w:hAnsiTheme="minorEastAsia" w:eastAsiaTheme="minorEastAsia"/>
                <w:sz w:val="18"/>
                <w:szCs w:val="18"/>
                <w:highlight w:val="none"/>
              </w:rPr>
            </w:pPr>
          </w:p>
        </w:tc>
        <w:tc>
          <w:tcPr>
            <w:tcW w:w="1264" w:type="dxa"/>
            <w:tcBorders>
              <w:top w:val="single" w:color="000000" w:sz="4" w:space="0"/>
              <w:left w:val="single" w:color="000000" w:sz="12" w:space="0"/>
              <w:bottom w:val="single" w:color="000000" w:sz="12" w:space="0"/>
              <w:right w:val="single" w:color="000000" w:sz="4" w:space="0"/>
            </w:tcBorders>
            <w:vAlign w:val="bottom"/>
          </w:tcPr>
          <w:p>
            <w:pPr>
              <w:widowControl/>
              <w:jc w:val="left"/>
              <w:textAlignment w:val="bottom"/>
              <w:rPr>
                <w:rFonts w:cs="宋体" w:asciiTheme="minorEastAsia" w:hAnsiTheme="minorEastAsia" w:eastAsiaTheme="minorEastAsia"/>
                <w:sz w:val="18"/>
                <w:szCs w:val="18"/>
                <w:highlight w:val="none"/>
              </w:rPr>
            </w:pPr>
            <w:r>
              <w:rPr>
                <w:rFonts w:hint="eastAsia" w:cs="宋体" w:asciiTheme="minorEastAsia" w:hAnsiTheme="minorEastAsia" w:eastAsiaTheme="minorEastAsia"/>
                <w:kern w:val="0"/>
                <w:sz w:val="18"/>
                <w:szCs w:val="18"/>
                <w:highlight w:val="none"/>
              </w:rPr>
              <w:t>X＜10</w:t>
            </w:r>
          </w:p>
        </w:tc>
        <w:tc>
          <w:tcPr>
            <w:tcW w:w="1470" w:type="dxa"/>
            <w:tcBorders>
              <w:top w:val="single" w:color="000000" w:sz="4" w:space="0"/>
              <w:left w:val="single" w:color="000000" w:sz="4" w:space="0"/>
              <w:bottom w:val="single" w:color="000000" w:sz="12" w:space="0"/>
              <w:right w:val="single" w:color="000000" w:sz="4" w:space="0"/>
            </w:tcBorders>
            <w:vAlign w:val="bottom"/>
          </w:tcPr>
          <w:p>
            <w:pPr>
              <w:rPr>
                <w:rFonts w:cs="宋体" w:asciiTheme="minorEastAsia" w:hAnsiTheme="minorEastAsia" w:eastAsiaTheme="minorEastAsia"/>
                <w:sz w:val="18"/>
                <w:szCs w:val="18"/>
                <w:highlight w:val="none"/>
              </w:rPr>
            </w:pPr>
          </w:p>
        </w:tc>
        <w:tc>
          <w:tcPr>
            <w:tcW w:w="1515" w:type="dxa"/>
            <w:tcBorders>
              <w:top w:val="single" w:color="000000" w:sz="4" w:space="0"/>
              <w:left w:val="single" w:color="000000" w:sz="4" w:space="0"/>
              <w:bottom w:val="single" w:color="000000" w:sz="12" w:space="0"/>
              <w:right w:val="single" w:color="000000" w:sz="12" w:space="0"/>
            </w:tcBorders>
            <w:vAlign w:val="bottom"/>
          </w:tcPr>
          <w:p>
            <w:pPr>
              <w:rPr>
                <w:rFonts w:cs="宋体" w:asciiTheme="minorEastAsia" w:hAnsiTheme="minorEastAsia" w:eastAsiaTheme="minorEastAsia"/>
                <w:sz w:val="18"/>
                <w:szCs w:val="18"/>
                <w:highlight w:val="none"/>
              </w:rPr>
            </w:pPr>
          </w:p>
        </w:tc>
      </w:tr>
    </w:tbl>
    <w:p>
      <w:pPr>
        <w:rPr>
          <w:rFonts w:asciiTheme="minorEastAsia" w:hAnsiTheme="minorEastAsia" w:eastAsiaTheme="minorEastAsia"/>
          <w:sz w:val="28"/>
          <w:szCs w:val="28"/>
          <w:highlight w:val="none"/>
        </w:rPr>
      </w:pPr>
      <w:r>
        <w:rPr>
          <w:rFonts w:hint="eastAsia" w:cs="宋体" w:asciiTheme="minorEastAsia" w:hAnsiTheme="minorEastAsia" w:eastAsiaTheme="minorEastAsia"/>
          <w:kern w:val="0"/>
          <w:sz w:val="18"/>
          <w:szCs w:val="18"/>
          <w:highlight w:val="none"/>
        </w:rPr>
        <w:t>说明　1、企业类型的划分以统计部门的统计数据为依据。2、个体工商户和本规定以外的行业，参照本规定进行划型。3、本规定的中型企业标准上限即为大型企业标准的下限。</w:t>
      </w:r>
    </w:p>
    <w:p>
      <w:pPr>
        <w:pStyle w:val="6"/>
        <w:spacing w:line="380" w:lineRule="exact"/>
        <w:rPr>
          <w:rFonts w:asciiTheme="minorEastAsia" w:hAnsiTheme="minorEastAsia" w:eastAsiaTheme="minorEastAsia"/>
          <w:sz w:val="28"/>
          <w:szCs w:val="28"/>
          <w:highlight w:val="none"/>
        </w:rPr>
        <w:sectPr>
          <w:headerReference r:id="rId16" w:type="default"/>
          <w:pgSz w:w="16840" w:h="11907" w:orient="landscape"/>
          <w:pgMar w:top="1588" w:right="1304" w:bottom="1588" w:left="1304" w:header="720" w:footer="720" w:gutter="0"/>
          <w:cols w:space="720" w:num="1"/>
          <w:docGrid w:linePitch="285" w:charSpace="0"/>
        </w:sectPr>
      </w:pPr>
    </w:p>
    <w:p>
      <w:pPr>
        <w:pStyle w:val="6"/>
        <w:spacing w:line="380" w:lineRule="exact"/>
        <w:rPr>
          <w:rFonts w:asciiTheme="minorEastAsia" w:hAnsiTheme="minorEastAsia" w:eastAsiaTheme="minorEastAsia"/>
          <w:sz w:val="28"/>
          <w:szCs w:val="28"/>
          <w:highlight w:val="none"/>
        </w:rPr>
        <w:sectPr>
          <w:type w:val="continuous"/>
          <w:pgSz w:w="16840" w:h="11907" w:orient="landscape"/>
          <w:pgMar w:top="1588" w:right="1304" w:bottom="1588" w:left="1304" w:header="720" w:footer="720" w:gutter="0"/>
          <w:cols w:space="720" w:num="1"/>
          <w:docGrid w:linePitch="285" w:charSpace="0"/>
        </w:sectPr>
      </w:pPr>
    </w:p>
    <w:p>
      <w:pPr>
        <w:rPr>
          <w:highlight w:val="none"/>
        </w:rPr>
      </w:pPr>
    </w:p>
    <w:p>
      <w:pPr>
        <w:pStyle w:val="5"/>
        <w:spacing w:line="380" w:lineRule="exact"/>
        <w:jc w:val="both"/>
        <w:rPr>
          <w:rFonts w:asciiTheme="minorEastAsia" w:hAnsiTheme="minorEastAsia" w:eastAsiaTheme="minorEastAsia"/>
          <w:sz w:val="24"/>
          <w:szCs w:val="24"/>
          <w:highlight w:val="none"/>
        </w:rPr>
      </w:pPr>
      <w:bookmarkStart w:id="150" w:name="_Toc32018"/>
      <w:r>
        <w:rPr>
          <w:rFonts w:hint="eastAsia" w:asciiTheme="minorEastAsia" w:hAnsiTheme="minorEastAsia" w:eastAsiaTheme="minorEastAsia"/>
          <w:sz w:val="24"/>
          <w:szCs w:val="24"/>
          <w:highlight w:val="none"/>
        </w:rPr>
        <w:t>附件2              残疾人福利性单位声明函（如有需提供）</w:t>
      </w:r>
      <w:bookmarkEnd w:id="150"/>
    </w:p>
    <w:p>
      <w:pPr>
        <w:ind w:firstLine="420" w:firstLineChars="200"/>
        <w:rPr>
          <w:rFonts w:asciiTheme="minorEastAsia" w:hAnsiTheme="minorEastAsia" w:eastAsiaTheme="minorEastAsia"/>
          <w:szCs w:val="21"/>
          <w:highlight w:val="none"/>
        </w:rPr>
      </w:pPr>
    </w:p>
    <w:p>
      <w:pPr>
        <w:spacing w:line="588" w:lineRule="exact"/>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本单位对上述声明的真实性负责。如有虚假，将依法承担相应责任。</w:t>
      </w:r>
    </w:p>
    <w:p>
      <w:pPr>
        <w:tabs>
          <w:tab w:val="left" w:pos="4860"/>
        </w:tabs>
        <w:spacing w:line="588" w:lineRule="exact"/>
        <w:ind w:right="1560" w:firstLine="420" w:firstLineChars="200"/>
        <w:jc w:val="center"/>
        <w:rPr>
          <w:rFonts w:asciiTheme="minorEastAsia" w:hAnsiTheme="minorEastAsia" w:eastAsiaTheme="minorEastAsia"/>
          <w:szCs w:val="21"/>
          <w:highlight w:val="none"/>
        </w:rPr>
      </w:pPr>
    </w:p>
    <w:p>
      <w:pPr>
        <w:tabs>
          <w:tab w:val="left" w:pos="4860"/>
        </w:tabs>
        <w:spacing w:line="588" w:lineRule="exact"/>
        <w:ind w:right="1560" w:firstLine="420" w:firstLineChars="200"/>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 xml:space="preserve">               单位名称（公章）：</w:t>
      </w:r>
    </w:p>
    <w:p>
      <w:pPr>
        <w:spacing w:line="380" w:lineRule="exac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 xml:space="preserve">                                   日  期：</w:t>
      </w:r>
    </w:p>
    <w:p>
      <w:pPr>
        <w:spacing w:line="400" w:lineRule="exact"/>
        <w:ind w:firstLine="422" w:firstLineChars="200"/>
        <w:rPr>
          <w:rFonts w:asciiTheme="minorEastAsia" w:hAnsiTheme="minorEastAsia" w:eastAsiaTheme="minorEastAsia"/>
          <w:b/>
          <w:szCs w:val="21"/>
          <w:highlight w:val="none"/>
        </w:rPr>
      </w:pPr>
    </w:p>
    <w:p>
      <w:pPr>
        <w:spacing w:line="400" w:lineRule="exact"/>
        <w:ind w:firstLine="422" w:firstLineChars="200"/>
        <w:rPr>
          <w:rFonts w:asciiTheme="minorEastAsia" w:hAnsiTheme="minorEastAsia" w:eastAsiaTheme="minorEastAsia"/>
          <w:b/>
          <w:szCs w:val="21"/>
          <w:highlight w:val="none"/>
        </w:rPr>
      </w:pPr>
      <w:r>
        <w:rPr>
          <w:rFonts w:hint="eastAsia" w:asciiTheme="minorEastAsia" w:hAnsiTheme="minorEastAsia" w:eastAsiaTheme="minorEastAsia"/>
          <w:b/>
          <w:szCs w:val="21"/>
          <w:highlight w:val="none"/>
        </w:rPr>
        <w:t>注：</w:t>
      </w:r>
    </w:p>
    <w:p>
      <w:pPr>
        <w:spacing w:line="400" w:lineRule="exact"/>
        <w:ind w:firstLine="422" w:firstLineChars="200"/>
        <w:rPr>
          <w:rFonts w:asciiTheme="minorEastAsia" w:hAnsiTheme="minorEastAsia" w:eastAsiaTheme="minorEastAsia"/>
          <w:b/>
          <w:szCs w:val="21"/>
          <w:highlight w:val="none"/>
        </w:rPr>
      </w:pPr>
      <w:r>
        <w:rPr>
          <w:rFonts w:hint="eastAsia" w:asciiTheme="minorEastAsia" w:hAnsiTheme="minorEastAsia" w:eastAsiaTheme="minorEastAsia"/>
          <w:b/>
          <w:szCs w:val="21"/>
          <w:highlight w:val="none"/>
        </w:rPr>
        <w:t>享受政府采购支持政策的残疾人福利性单位应当同时满足以下条件：</w:t>
      </w:r>
    </w:p>
    <w:p>
      <w:pPr>
        <w:spacing w:line="400" w:lineRule="exact"/>
        <w:ind w:firstLine="422" w:firstLineChars="200"/>
        <w:rPr>
          <w:rFonts w:asciiTheme="minorEastAsia" w:hAnsiTheme="minorEastAsia" w:eastAsiaTheme="minorEastAsia"/>
          <w:b/>
          <w:szCs w:val="21"/>
          <w:highlight w:val="none"/>
        </w:rPr>
      </w:pPr>
      <w:r>
        <w:rPr>
          <w:rFonts w:hint="eastAsia" w:asciiTheme="minorEastAsia" w:hAnsiTheme="minorEastAsia" w:eastAsiaTheme="minorEastAsia"/>
          <w:b/>
          <w:szCs w:val="21"/>
          <w:highlight w:val="none"/>
        </w:rPr>
        <w:t>（一）安置的残疾人占本单位在职职工人数的比例不低于</w:t>
      </w:r>
      <w:r>
        <w:rPr>
          <w:rFonts w:asciiTheme="minorEastAsia" w:hAnsiTheme="minorEastAsia" w:eastAsiaTheme="minorEastAsia"/>
          <w:b/>
          <w:szCs w:val="21"/>
          <w:highlight w:val="none"/>
        </w:rPr>
        <w:t>25%</w:t>
      </w:r>
      <w:r>
        <w:rPr>
          <w:rFonts w:hint="eastAsia" w:asciiTheme="minorEastAsia" w:hAnsiTheme="minorEastAsia" w:eastAsiaTheme="minorEastAsia"/>
          <w:b/>
          <w:szCs w:val="21"/>
          <w:highlight w:val="none"/>
        </w:rPr>
        <w:t>（含</w:t>
      </w:r>
      <w:r>
        <w:rPr>
          <w:rFonts w:asciiTheme="minorEastAsia" w:hAnsiTheme="minorEastAsia" w:eastAsiaTheme="minorEastAsia"/>
          <w:b/>
          <w:szCs w:val="21"/>
          <w:highlight w:val="none"/>
        </w:rPr>
        <w:t>25%</w:t>
      </w:r>
      <w:r>
        <w:rPr>
          <w:rFonts w:hint="eastAsia" w:asciiTheme="minorEastAsia" w:hAnsiTheme="minorEastAsia" w:eastAsiaTheme="minorEastAsia"/>
          <w:b/>
          <w:szCs w:val="21"/>
          <w:highlight w:val="none"/>
        </w:rPr>
        <w:t>），并且安置的残疾人人数不少于</w:t>
      </w:r>
      <w:r>
        <w:rPr>
          <w:rFonts w:asciiTheme="minorEastAsia" w:hAnsiTheme="minorEastAsia" w:eastAsiaTheme="minorEastAsia"/>
          <w:b/>
          <w:szCs w:val="21"/>
          <w:highlight w:val="none"/>
        </w:rPr>
        <w:t>10</w:t>
      </w:r>
      <w:r>
        <w:rPr>
          <w:rFonts w:hint="eastAsia" w:asciiTheme="minorEastAsia" w:hAnsiTheme="minorEastAsia" w:eastAsiaTheme="minorEastAsia"/>
          <w:b/>
          <w:szCs w:val="21"/>
          <w:highlight w:val="none"/>
        </w:rPr>
        <w:t>人（含</w:t>
      </w:r>
      <w:r>
        <w:rPr>
          <w:rFonts w:asciiTheme="minorEastAsia" w:hAnsiTheme="minorEastAsia" w:eastAsiaTheme="minorEastAsia"/>
          <w:b/>
          <w:szCs w:val="21"/>
          <w:highlight w:val="none"/>
        </w:rPr>
        <w:t>10</w:t>
      </w:r>
      <w:r>
        <w:rPr>
          <w:rFonts w:hint="eastAsia" w:asciiTheme="minorEastAsia" w:hAnsiTheme="minorEastAsia" w:eastAsiaTheme="minorEastAsia"/>
          <w:b/>
          <w:szCs w:val="21"/>
          <w:highlight w:val="none"/>
        </w:rPr>
        <w:t>人）；</w:t>
      </w:r>
    </w:p>
    <w:p>
      <w:pPr>
        <w:spacing w:line="400" w:lineRule="exact"/>
        <w:ind w:firstLine="422" w:firstLineChars="200"/>
        <w:rPr>
          <w:rFonts w:asciiTheme="minorEastAsia" w:hAnsiTheme="minorEastAsia" w:eastAsiaTheme="minorEastAsia"/>
          <w:b/>
          <w:szCs w:val="21"/>
          <w:highlight w:val="none"/>
        </w:rPr>
      </w:pPr>
      <w:r>
        <w:rPr>
          <w:rFonts w:hint="eastAsia" w:asciiTheme="minorEastAsia" w:hAnsiTheme="minorEastAsia" w:eastAsiaTheme="minorEastAsia"/>
          <w:b/>
          <w:szCs w:val="21"/>
          <w:highlight w:val="none"/>
        </w:rPr>
        <w:t>（二）依法与安置的每位残疾人签订了一年以上（含一年）的劳动合同或服务协议；</w:t>
      </w:r>
    </w:p>
    <w:p>
      <w:pPr>
        <w:spacing w:line="400" w:lineRule="exact"/>
        <w:ind w:firstLine="422" w:firstLineChars="200"/>
        <w:rPr>
          <w:rFonts w:asciiTheme="minorEastAsia" w:hAnsiTheme="minorEastAsia" w:eastAsiaTheme="minorEastAsia"/>
          <w:b/>
          <w:szCs w:val="21"/>
          <w:highlight w:val="none"/>
        </w:rPr>
      </w:pPr>
      <w:r>
        <w:rPr>
          <w:rFonts w:hint="eastAsia" w:asciiTheme="minorEastAsia" w:hAnsiTheme="minorEastAsia" w:eastAsiaTheme="minorEastAsia"/>
          <w:b/>
          <w:szCs w:val="21"/>
          <w:highlight w:val="none"/>
        </w:rPr>
        <w:t>（三）为安置的每位残疾人按月足额缴纳了基本养老保险、基本医疗保险、失业保险、工伤保险和生育保险等社会保险费；</w:t>
      </w:r>
    </w:p>
    <w:p>
      <w:pPr>
        <w:spacing w:line="400" w:lineRule="exact"/>
        <w:ind w:firstLine="422" w:firstLineChars="200"/>
        <w:rPr>
          <w:rFonts w:asciiTheme="minorEastAsia" w:hAnsiTheme="minorEastAsia" w:eastAsiaTheme="minorEastAsia"/>
          <w:b/>
          <w:szCs w:val="21"/>
          <w:highlight w:val="none"/>
        </w:rPr>
      </w:pPr>
      <w:r>
        <w:rPr>
          <w:rFonts w:hint="eastAsia" w:asciiTheme="minorEastAsia" w:hAnsiTheme="minorEastAsia" w:eastAsiaTheme="minorEastAsia"/>
          <w:b/>
          <w:szCs w:val="21"/>
          <w:highlight w:val="none"/>
        </w:rPr>
        <w:t>（四）通过银行等金融机构向安置的每位残疾人，按月支付了不低于单位所在区县适用的经省级人民政府批准的月最低工资标准的工资；</w:t>
      </w:r>
    </w:p>
    <w:p>
      <w:pPr>
        <w:spacing w:line="400" w:lineRule="exact"/>
        <w:ind w:firstLine="422" w:firstLineChars="200"/>
        <w:rPr>
          <w:rFonts w:asciiTheme="minorEastAsia" w:hAnsiTheme="minorEastAsia" w:eastAsiaTheme="minorEastAsia"/>
          <w:b/>
          <w:szCs w:val="21"/>
          <w:highlight w:val="none"/>
        </w:rPr>
      </w:pPr>
      <w:r>
        <w:rPr>
          <w:rFonts w:hint="eastAsia" w:asciiTheme="minorEastAsia" w:hAnsiTheme="minorEastAsia" w:eastAsiaTheme="minorEastAsia"/>
          <w:b/>
          <w:szCs w:val="21"/>
          <w:highlight w:val="none"/>
        </w:rPr>
        <w:t>（五）提供本单位制造的货物、承担的工程或者服务（以下简称产品），或者提供其他残疾人福利性单位制造的货物（不包括使用非残疾人福利性单位注册商标的货物）。</w:t>
      </w:r>
    </w:p>
    <w:p>
      <w:pPr>
        <w:spacing w:line="380" w:lineRule="exact"/>
        <w:rPr>
          <w:rFonts w:asciiTheme="minorEastAsia" w:hAnsiTheme="minorEastAsia" w:eastAsiaTheme="minorEastAsia"/>
          <w:b/>
          <w:sz w:val="24"/>
          <w:szCs w:val="24"/>
          <w:highlight w:val="none"/>
        </w:rPr>
      </w:pPr>
      <w:r>
        <w:rPr>
          <w:rFonts w:hint="eastAsia" w:asciiTheme="minorEastAsia" w:hAnsiTheme="minorEastAsia" w:eastAsiaTheme="minorEastAsia"/>
          <w:b/>
          <w:szCs w:val="21"/>
          <w:highlight w:val="none"/>
        </w:rPr>
        <w:t>前款所称残疾人是指法定劳动年龄内，持有《中华人民共和国残疾人证》或者《中华人民共和国残疾军人证（</w:t>
      </w:r>
      <w:r>
        <w:rPr>
          <w:rFonts w:asciiTheme="minorEastAsia" w:hAnsiTheme="minorEastAsia" w:eastAsiaTheme="minorEastAsia"/>
          <w:b/>
          <w:szCs w:val="21"/>
          <w:highlight w:val="none"/>
        </w:rPr>
        <w:t>1</w:t>
      </w:r>
      <w:r>
        <w:rPr>
          <w:rFonts w:hint="eastAsia" w:asciiTheme="minorEastAsia" w:hAnsiTheme="minorEastAsia" w:eastAsiaTheme="minorEastAsia"/>
          <w:b/>
          <w:szCs w:val="21"/>
          <w:highlight w:val="none"/>
        </w:rPr>
        <w:t>至</w:t>
      </w:r>
      <w:r>
        <w:rPr>
          <w:rFonts w:asciiTheme="minorEastAsia" w:hAnsiTheme="minorEastAsia" w:eastAsiaTheme="minorEastAsia"/>
          <w:b/>
          <w:szCs w:val="21"/>
          <w:highlight w:val="none"/>
        </w:rPr>
        <w:t>8</w:t>
      </w:r>
      <w:r>
        <w:rPr>
          <w:rFonts w:hint="eastAsia" w:asciiTheme="minorEastAsia" w:hAnsiTheme="minorEastAsia" w:eastAsiaTheme="minorEastAsia"/>
          <w:b/>
          <w:szCs w:val="21"/>
          <w:highlight w:val="none"/>
        </w:rPr>
        <w:t>级）》的自然人，包括具有劳动条件和劳动意愿的精神残疾人。在职职工人数是指与残疾人福利性单位建立劳动关系并依法签订劳动合同或者服务协议的雇员人数。</w:t>
      </w:r>
    </w:p>
    <w:p>
      <w:pPr>
        <w:rPr>
          <w:highlight w:val="none"/>
        </w:rPr>
      </w:pPr>
    </w:p>
    <w:p>
      <w:pPr>
        <w:widowControl/>
        <w:spacing w:line="360" w:lineRule="auto"/>
        <w:ind w:firstLine="420" w:firstLineChars="200"/>
        <w:jc w:val="left"/>
        <w:rPr>
          <w:rFonts w:cs="宋体" w:asciiTheme="minorEastAsia" w:hAnsiTheme="minorEastAsia" w:eastAsiaTheme="minorEastAsia"/>
          <w:kern w:val="0"/>
          <w:szCs w:val="21"/>
          <w:highlight w:val="none"/>
        </w:rPr>
      </w:pPr>
    </w:p>
    <w:p>
      <w:pPr>
        <w:rPr>
          <w:highlight w:val="none"/>
        </w:rPr>
      </w:pPr>
    </w:p>
    <w:sectPr>
      <w:headerReference r:id="rId17" w:type="default"/>
      <w:pgSz w:w="11907" w:h="16840"/>
      <w:pgMar w:top="1304" w:right="1588" w:bottom="1418" w:left="1588" w:header="720" w:footer="720" w:gutter="0"/>
      <w:cols w:space="720" w:num="1"/>
      <w:docGrid w:linePitch="2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Unicode MS">
    <w:panose1 w:val="020B0604020202020204"/>
    <w:charset w:val="86"/>
    <w:family w:val="swiss"/>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Garamond">
    <w:panose1 w:val="02020404030301010803"/>
    <w:charset w:val="00"/>
    <w:family w:val="roman"/>
    <w:pitch w:val="default"/>
    <w:sig w:usb0="00000287" w:usb1="00000000" w:usb2="00000000" w:usb3="00000000" w:csb0="0000009F" w:csb1="DFD70000"/>
  </w:font>
  <w:font w:name="MS Gothic">
    <w:panose1 w:val="020B0609070205080204"/>
    <w:charset w:val="80"/>
    <w:family w:val="modern"/>
    <w:pitch w:val="default"/>
    <w:sig w:usb0="E00002FF" w:usb1="6AC7FDFB" w:usb2="08000012" w:usb3="00000000" w:csb0="4002009F" w:csb1="DFD7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r>
      <w:fldChar w:fldCharType="begin"/>
    </w:r>
    <w:r>
      <w:instrText xml:space="preserve"> PAGE   \* MERGEFORMAT </w:instrText>
    </w:r>
    <w:r>
      <w:fldChar w:fldCharType="separate"/>
    </w:r>
    <w:r>
      <w:rPr>
        <w:lang w:val="zh-CN"/>
      </w:rPr>
      <w:t>4</w:t>
    </w:r>
    <w:r>
      <w:rPr>
        <w:lang w:val="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335842"/>
    </w:sdtPr>
    <w:sdtContent>
      <w:p>
        <w:pPr>
          <w:pStyle w:val="25"/>
          <w:jc w:val="center"/>
        </w:pPr>
        <w:r>
          <w:fldChar w:fldCharType="begin"/>
        </w:r>
        <w:r>
          <w:instrText xml:space="preserve"> PAGE   \* MERGEFORMAT </w:instrText>
        </w:r>
        <w:r>
          <w:fldChar w:fldCharType="separate"/>
        </w:r>
        <w:r>
          <w:rPr>
            <w:lang w:val="zh-CN"/>
          </w:rPr>
          <w:t>7</w:t>
        </w:r>
        <w:r>
          <w:rPr>
            <w:lang w:val="zh-CN"/>
          </w:rPr>
          <w:fldChar w:fldCharType="end"/>
        </w:r>
      </w:p>
    </w:sdtContent>
  </w:sdt>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0"/>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u w:val="single"/>
      </w:rPr>
    </w:pPr>
    <w:r>
      <w:rPr>
        <w:rFonts w:hint="eastAsia"/>
        <w:u w:val="single"/>
      </w:rPr>
      <w:t>政府采购公开招标采购文件                                       附件（投标文件格式）</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u w:val="single"/>
      </w:rPr>
    </w:pPr>
    <w:r>
      <w:rPr>
        <w:rFonts w:hint="eastAsia"/>
        <w:u w:val="single"/>
      </w:rPr>
      <w:t xml:space="preserve">政府采购公开招标招标文件                                                                                           附件（投标文件格式）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u w:val="single"/>
      </w:rPr>
    </w:pPr>
    <w:r>
      <w:rPr>
        <w:rFonts w:hint="eastAsia"/>
        <w:u w:val="single"/>
      </w:rPr>
      <w:t xml:space="preserve">政府采购公开招标招标文件                                       附件（投标文件格式）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both"/>
      <w:rPr>
        <w:sz w:val="21"/>
        <w:szCs w:val="21"/>
      </w:rPr>
    </w:pPr>
    <w:r>
      <w:rPr>
        <w:rFonts w:hint="eastAsia"/>
        <w:sz w:val="21"/>
        <w:szCs w:val="21"/>
      </w:rPr>
      <w:t>政府采购国内公开招标文件合同格式</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u w:val="single"/>
      </w:rPr>
    </w:pPr>
    <w:r>
      <w:rPr>
        <w:rFonts w:hint="eastAsia"/>
        <w:u w:val="single"/>
      </w:rPr>
      <w:t>政府采购公开招标采购文件                                                 采购公告</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u w:val="single"/>
      </w:rPr>
    </w:pPr>
    <w:r>
      <w:rPr>
        <w:rFonts w:hint="eastAsia"/>
        <w:u w:val="single"/>
      </w:rPr>
      <w:t>政府采购公开招标采购文件                                               投标资料表</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u w:val="single"/>
      </w:rPr>
    </w:pPr>
    <w:r>
      <w:rPr>
        <w:rFonts w:hint="eastAsia"/>
        <w:u w:val="single"/>
      </w:rPr>
      <w:t>政府采购公开招标采购文件                                               投标人须知</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u w:val="single"/>
      </w:rPr>
    </w:pPr>
    <w:r>
      <w:rPr>
        <w:rFonts w:hint="eastAsia"/>
        <w:u w:val="single"/>
      </w:rPr>
      <w:t>政府采购公开招标采购文件                                               投标人须知</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u w:val="single"/>
      </w:rPr>
    </w:pPr>
    <w:r>
      <w:rPr>
        <w:rFonts w:hint="eastAsia"/>
        <w:u w:val="single"/>
      </w:rPr>
      <w:t>政府采购公开招标采购文件                                                   评标办法</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F6B1EE"/>
    <w:multiLevelType w:val="singleLevel"/>
    <w:tmpl w:val="B5F6B1EE"/>
    <w:lvl w:ilvl="0" w:tentative="0">
      <w:start w:val="9"/>
      <w:numFmt w:val="decimal"/>
      <w:suff w:val="nothing"/>
      <w:lvlText w:val="%1、"/>
      <w:lvlJc w:val="left"/>
    </w:lvl>
  </w:abstractNum>
  <w:abstractNum w:abstractNumId="1">
    <w:nsid w:val="E064A1E4"/>
    <w:multiLevelType w:val="singleLevel"/>
    <w:tmpl w:val="E064A1E4"/>
    <w:lvl w:ilvl="0" w:tentative="0">
      <w:start w:val="11"/>
      <w:numFmt w:val="decimal"/>
      <w:suff w:val="nothing"/>
      <w:lvlText w:val="%1、"/>
      <w:lvlJc w:val="left"/>
    </w:lvl>
  </w:abstractNum>
  <w:abstractNum w:abstractNumId="2">
    <w:nsid w:val="EEBEBC36"/>
    <w:multiLevelType w:val="singleLevel"/>
    <w:tmpl w:val="EEBEBC36"/>
    <w:lvl w:ilvl="0" w:tentative="0">
      <w:start w:val="7"/>
      <w:numFmt w:val="chineseCounting"/>
      <w:suff w:val="nothing"/>
      <w:lvlText w:val="%1、"/>
      <w:lvlJc w:val="left"/>
      <w:rPr>
        <w:rFonts w:hint="eastAsia"/>
      </w:rPr>
    </w:lvl>
  </w:abstractNum>
  <w:abstractNum w:abstractNumId="3">
    <w:nsid w:val="00000020"/>
    <w:multiLevelType w:val="singleLevel"/>
    <w:tmpl w:val="00000020"/>
    <w:lvl w:ilvl="0" w:tentative="0">
      <w:start w:val="1"/>
      <w:numFmt w:val="chineseCounting"/>
      <w:suff w:val="nothing"/>
      <w:lvlText w:val="（%1）"/>
      <w:lvlJc w:val="left"/>
    </w:lvl>
  </w:abstractNum>
  <w:abstractNum w:abstractNumId="4">
    <w:nsid w:val="13305CFE"/>
    <w:multiLevelType w:val="multilevel"/>
    <w:tmpl w:val="13305CF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3B5F78C6"/>
    <w:multiLevelType w:val="multilevel"/>
    <w:tmpl w:val="3B5F78C6"/>
    <w:lvl w:ilvl="0" w:tentative="0">
      <w:start w:val="1"/>
      <w:numFmt w:val="decimal"/>
      <w:lvlText w:val="（%1）"/>
      <w:lvlJc w:val="left"/>
      <w:pPr>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6DCDB2C9"/>
    <w:multiLevelType w:val="singleLevel"/>
    <w:tmpl w:val="6DCDB2C9"/>
    <w:lvl w:ilvl="0" w:tentative="0">
      <w:start w:val="10"/>
      <w:numFmt w:val="decimal"/>
      <w:suff w:val="nothing"/>
      <w:lvlText w:val="%1、"/>
      <w:lvlJc w:val="left"/>
    </w:lvl>
  </w:abstractNum>
  <w:abstractNum w:abstractNumId="7">
    <w:nsid w:val="76AA3364"/>
    <w:multiLevelType w:val="singleLevel"/>
    <w:tmpl w:val="76AA3364"/>
    <w:lvl w:ilvl="0" w:tentative="0">
      <w:start w:val="1"/>
      <w:numFmt w:val="decimal"/>
      <w:suff w:val="nothing"/>
      <w:lvlText w:val="%1、"/>
      <w:lvlJc w:val="left"/>
    </w:lvl>
  </w:abstractNum>
  <w:num w:numId="1">
    <w:abstractNumId w:val="3"/>
  </w:num>
  <w:num w:numId="2">
    <w:abstractNumId w:val="2"/>
  </w:num>
  <w:num w:numId="3">
    <w:abstractNumId w:val="7"/>
  </w:num>
  <w:num w:numId="4">
    <w:abstractNumId w:val="0"/>
  </w:num>
  <w:num w:numId="5">
    <w:abstractNumId w:val="6"/>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5"/>
  <w:drawingGridVerticalSpacing w:val="143"/>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5YmRlMjYyYmZhYTY4ODFiMzUwYjNlY2QxMDVhYzAifQ=="/>
    <w:docVar w:name="KSO_WPS_MARK_KEY" w:val="40555549-121f-4a1d-8f90-43dbca63d70c"/>
  </w:docVars>
  <w:rsids>
    <w:rsidRoot w:val="00172A27"/>
    <w:rsid w:val="0000154C"/>
    <w:rsid w:val="000026B7"/>
    <w:rsid w:val="0000301F"/>
    <w:rsid w:val="000033D9"/>
    <w:rsid w:val="000038FC"/>
    <w:rsid w:val="000059B7"/>
    <w:rsid w:val="0000638F"/>
    <w:rsid w:val="00006955"/>
    <w:rsid w:val="00007EB7"/>
    <w:rsid w:val="00010355"/>
    <w:rsid w:val="00010DC1"/>
    <w:rsid w:val="0001295F"/>
    <w:rsid w:val="0001491E"/>
    <w:rsid w:val="00014CB0"/>
    <w:rsid w:val="00014F3E"/>
    <w:rsid w:val="0001514B"/>
    <w:rsid w:val="00015180"/>
    <w:rsid w:val="0001578F"/>
    <w:rsid w:val="00016B63"/>
    <w:rsid w:val="00016BEB"/>
    <w:rsid w:val="00016FB3"/>
    <w:rsid w:val="00020537"/>
    <w:rsid w:val="000207EE"/>
    <w:rsid w:val="00020F9A"/>
    <w:rsid w:val="00022DBD"/>
    <w:rsid w:val="0002342D"/>
    <w:rsid w:val="0002496A"/>
    <w:rsid w:val="00024DDD"/>
    <w:rsid w:val="0002556C"/>
    <w:rsid w:val="00025826"/>
    <w:rsid w:val="000270E0"/>
    <w:rsid w:val="00027FD3"/>
    <w:rsid w:val="0003280D"/>
    <w:rsid w:val="00032AB1"/>
    <w:rsid w:val="000364B5"/>
    <w:rsid w:val="000377F3"/>
    <w:rsid w:val="00037B77"/>
    <w:rsid w:val="000435FF"/>
    <w:rsid w:val="00045BF5"/>
    <w:rsid w:val="0004663F"/>
    <w:rsid w:val="000516E1"/>
    <w:rsid w:val="00051830"/>
    <w:rsid w:val="000533FA"/>
    <w:rsid w:val="0005540C"/>
    <w:rsid w:val="00055E8C"/>
    <w:rsid w:val="00057A4B"/>
    <w:rsid w:val="00057C77"/>
    <w:rsid w:val="00060096"/>
    <w:rsid w:val="00061107"/>
    <w:rsid w:val="00062360"/>
    <w:rsid w:val="00062718"/>
    <w:rsid w:val="00062DAC"/>
    <w:rsid w:val="00063818"/>
    <w:rsid w:val="00063B83"/>
    <w:rsid w:val="000659E7"/>
    <w:rsid w:val="00066197"/>
    <w:rsid w:val="000667E6"/>
    <w:rsid w:val="00067049"/>
    <w:rsid w:val="00067545"/>
    <w:rsid w:val="000678E6"/>
    <w:rsid w:val="00067BEE"/>
    <w:rsid w:val="00071A90"/>
    <w:rsid w:val="000729D5"/>
    <w:rsid w:val="000774F3"/>
    <w:rsid w:val="00080353"/>
    <w:rsid w:val="000806C0"/>
    <w:rsid w:val="00080713"/>
    <w:rsid w:val="00080D3F"/>
    <w:rsid w:val="000811E6"/>
    <w:rsid w:val="0008191D"/>
    <w:rsid w:val="00081BB2"/>
    <w:rsid w:val="00082A4E"/>
    <w:rsid w:val="00082CDD"/>
    <w:rsid w:val="00083803"/>
    <w:rsid w:val="00083FC6"/>
    <w:rsid w:val="00084B92"/>
    <w:rsid w:val="00084EE6"/>
    <w:rsid w:val="00085B9E"/>
    <w:rsid w:val="00085FF1"/>
    <w:rsid w:val="00087328"/>
    <w:rsid w:val="00090A64"/>
    <w:rsid w:val="00091070"/>
    <w:rsid w:val="00091AF0"/>
    <w:rsid w:val="00091E8C"/>
    <w:rsid w:val="00093976"/>
    <w:rsid w:val="00094113"/>
    <w:rsid w:val="00094656"/>
    <w:rsid w:val="00094AD7"/>
    <w:rsid w:val="00095780"/>
    <w:rsid w:val="00096B3E"/>
    <w:rsid w:val="0009789A"/>
    <w:rsid w:val="00097D71"/>
    <w:rsid w:val="000A07DC"/>
    <w:rsid w:val="000A0861"/>
    <w:rsid w:val="000A0CAD"/>
    <w:rsid w:val="000A1C2F"/>
    <w:rsid w:val="000A386A"/>
    <w:rsid w:val="000A4F52"/>
    <w:rsid w:val="000A51AC"/>
    <w:rsid w:val="000A7235"/>
    <w:rsid w:val="000A778E"/>
    <w:rsid w:val="000B20FA"/>
    <w:rsid w:val="000B2452"/>
    <w:rsid w:val="000B2CD2"/>
    <w:rsid w:val="000B37C5"/>
    <w:rsid w:val="000B380B"/>
    <w:rsid w:val="000B4340"/>
    <w:rsid w:val="000B6CB5"/>
    <w:rsid w:val="000B758C"/>
    <w:rsid w:val="000C02D0"/>
    <w:rsid w:val="000C189C"/>
    <w:rsid w:val="000C213B"/>
    <w:rsid w:val="000C5D8A"/>
    <w:rsid w:val="000C621E"/>
    <w:rsid w:val="000C6B2B"/>
    <w:rsid w:val="000C7390"/>
    <w:rsid w:val="000D1E32"/>
    <w:rsid w:val="000D54FF"/>
    <w:rsid w:val="000D635D"/>
    <w:rsid w:val="000D68F1"/>
    <w:rsid w:val="000D6D10"/>
    <w:rsid w:val="000E0C2E"/>
    <w:rsid w:val="000E0D05"/>
    <w:rsid w:val="000E0D25"/>
    <w:rsid w:val="000E1023"/>
    <w:rsid w:val="000E1097"/>
    <w:rsid w:val="000E258A"/>
    <w:rsid w:val="000E269D"/>
    <w:rsid w:val="000E449E"/>
    <w:rsid w:val="000E5C6B"/>
    <w:rsid w:val="000E6C56"/>
    <w:rsid w:val="000E7057"/>
    <w:rsid w:val="000F0DA1"/>
    <w:rsid w:val="000F0F6F"/>
    <w:rsid w:val="000F1B10"/>
    <w:rsid w:val="000F4C08"/>
    <w:rsid w:val="000F4F74"/>
    <w:rsid w:val="000F5518"/>
    <w:rsid w:val="000F57BD"/>
    <w:rsid w:val="000F5E42"/>
    <w:rsid w:val="000F5E86"/>
    <w:rsid w:val="000F78A0"/>
    <w:rsid w:val="000F798A"/>
    <w:rsid w:val="0010043B"/>
    <w:rsid w:val="0010075F"/>
    <w:rsid w:val="00100AEF"/>
    <w:rsid w:val="00100B95"/>
    <w:rsid w:val="00100F5A"/>
    <w:rsid w:val="00101B47"/>
    <w:rsid w:val="00102E82"/>
    <w:rsid w:val="00103906"/>
    <w:rsid w:val="00103FA5"/>
    <w:rsid w:val="00104008"/>
    <w:rsid w:val="001046A8"/>
    <w:rsid w:val="00106ABC"/>
    <w:rsid w:val="0010764F"/>
    <w:rsid w:val="001101A3"/>
    <w:rsid w:val="001103BB"/>
    <w:rsid w:val="00110AF2"/>
    <w:rsid w:val="001112DD"/>
    <w:rsid w:val="0011290C"/>
    <w:rsid w:val="00115B8D"/>
    <w:rsid w:val="001163EC"/>
    <w:rsid w:val="00116F3B"/>
    <w:rsid w:val="00117216"/>
    <w:rsid w:val="00117FB3"/>
    <w:rsid w:val="0012010C"/>
    <w:rsid w:val="00124963"/>
    <w:rsid w:val="00124B80"/>
    <w:rsid w:val="001254F0"/>
    <w:rsid w:val="0012584B"/>
    <w:rsid w:val="001258B9"/>
    <w:rsid w:val="00125C82"/>
    <w:rsid w:val="001265C7"/>
    <w:rsid w:val="00127128"/>
    <w:rsid w:val="001279F2"/>
    <w:rsid w:val="001316A9"/>
    <w:rsid w:val="00133163"/>
    <w:rsid w:val="001331FC"/>
    <w:rsid w:val="00133D9E"/>
    <w:rsid w:val="0013425B"/>
    <w:rsid w:val="00137625"/>
    <w:rsid w:val="001378ED"/>
    <w:rsid w:val="0014087B"/>
    <w:rsid w:val="00141804"/>
    <w:rsid w:val="00141D2C"/>
    <w:rsid w:val="00141FDD"/>
    <w:rsid w:val="00143B92"/>
    <w:rsid w:val="0014483F"/>
    <w:rsid w:val="00145BE2"/>
    <w:rsid w:val="00146872"/>
    <w:rsid w:val="001469BF"/>
    <w:rsid w:val="00147025"/>
    <w:rsid w:val="00147092"/>
    <w:rsid w:val="001474E7"/>
    <w:rsid w:val="0014750F"/>
    <w:rsid w:val="001510C0"/>
    <w:rsid w:val="0015204A"/>
    <w:rsid w:val="00153030"/>
    <w:rsid w:val="00154BF5"/>
    <w:rsid w:val="00157A8C"/>
    <w:rsid w:val="001604EA"/>
    <w:rsid w:val="0016172B"/>
    <w:rsid w:val="00161B94"/>
    <w:rsid w:val="00162DD6"/>
    <w:rsid w:val="00163690"/>
    <w:rsid w:val="00164FB1"/>
    <w:rsid w:val="001654A4"/>
    <w:rsid w:val="001654E3"/>
    <w:rsid w:val="00166232"/>
    <w:rsid w:val="0016634C"/>
    <w:rsid w:val="00166686"/>
    <w:rsid w:val="0016686C"/>
    <w:rsid w:val="00170473"/>
    <w:rsid w:val="00170D8C"/>
    <w:rsid w:val="00172A27"/>
    <w:rsid w:val="001734C2"/>
    <w:rsid w:val="001755E5"/>
    <w:rsid w:val="00175773"/>
    <w:rsid w:val="0017650C"/>
    <w:rsid w:val="001765A8"/>
    <w:rsid w:val="001777A0"/>
    <w:rsid w:val="00177910"/>
    <w:rsid w:val="00181AC8"/>
    <w:rsid w:val="00182175"/>
    <w:rsid w:val="00183609"/>
    <w:rsid w:val="00184098"/>
    <w:rsid w:val="00184E49"/>
    <w:rsid w:val="00185D37"/>
    <w:rsid w:val="00187887"/>
    <w:rsid w:val="0019037E"/>
    <w:rsid w:val="001905A5"/>
    <w:rsid w:val="00190CE6"/>
    <w:rsid w:val="00191D5E"/>
    <w:rsid w:val="00194A4F"/>
    <w:rsid w:val="00194E39"/>
    <w:rsid w:val="001955A9"/>
    <w:rsid w:val="00196814"/>
    <w:rsid w:val="001974DD"/>
    <w:rsid w:val="00197899"/>
    <w:rsid w:val="00197F50"/>
    <w:rsid w:val="001A03A1"/>
    <w:rsid w:val="001A06CA"/>
    <w:rsid w:val="001A542C"/>
    <w:rsid w:val="001A555F"/>
    <w:rsid w:val="001A5EE9"/>
    <w:rsid w:val="001A7040"/>
    <w:rsid w:val="001B049D"/>
    <w:rsid w:val="001B22AD"/>
    <w:rsid w:val="001B234C"/>
    <w:rsid w:val="001B3F78"/>
    <w:rsid w:val="001B46E4"/>
    <w:rsid w:val="001B4A41"/>
    <w:rsid w:val="001B55CF"/>
    <w:rsid w:val="001B5801"/>
    <w:rsid w:val="001B5B0B"/>
    <w:rsid w:val="001B60F7"/>
    <w:rsid w:val="001B7D86"/>
    <w:rsid w:val="001C0D22"/>
    <w:rsid w:val="001C1A4F"/>
    <w:rsid w:val="001C22FD"/>
    <w:rsid w:val="001C23EA"/>
    <w:rsid w:val="001C2A36"/>
    <w:rsid w:val="001C3540"/>
    <w:rsid w:val="001C41A8"/>
    <w:rsid w:val="001C4873"/>
    <w:rsid w:val="001C67DF"/>
    <w:rsid w:val="001C7961"/>
    <w:rsid w:val="001D1258"/>
    <w:rsid w:val="001D2E6B"/>
    <w:rsid w:val="001D36A1"/>
    <w:rsid w:val="001D394B"/>
    <w:rsid w:val="001D480F"/>
    <w:rsid w:val="001D4BC0"/>
    <w:rsid w:val="001D52CE"/>
    <w:rsid w:val="001D5805"/>
    <w:rsid w:val="001D6C14"/>
    <w:rsid w:val="001D7611"/>
    <w:rsid w:val="001D7765"/>
    <w:rsid w:val="001D7FC3"/>
    <w:rsid w:val="001E0C96"/>
    <w:rsid w:val="001E1FCA"/>
    <w:rsid w:val="001E315A"/>
    <w:rsid w:val="001E3FCB"/>
    <w:rsid w:val="001E58AC"/>
    <w:rsid w:val="001E79D9"/>
    <w:rsid w:val="001F1DCF"/>
    <w:rsid w:val="001F1EA7"/>
    <w:rsid w:val="001F1F79"/>
    <w:rsid w:val="001F2107"/>
    <w:rsid w:val="001F284E"/>
    <w:rsid w:val="001F6737"/>
    <w:rsid w:val="001F74FF"/>
    <w:rsid w:val="002008D0"/>
    <w:rsid w:val="002030EE"/>
    <w:rsid w:val="00203783"/>
    <w:rsid w:val="002039E0"/>
    <w:rsid w:val="002043F2"/>
    <w:rsid w:val="00204B2F"/>
    <w:rsid w:val="0020535A"/>
    <w:rsid w:val="00206FF9"/>
    <w:rsid w:val="0021030F"/>
    <w:rsid w:val="00211C78"/>
    <w:rsid w:val="00213338"/>
    <w:rsid w:val="00213575"/>
    <w:rsid w:val="00213C57"/>
    <w:rsid w:val="00213D92"/>
    <w:rsid w:val="002147D6"/>
    <w:rsid w:val="00214BE7"/>
    <w:rsid w:val="002154C8"/>
    <w:rsid w:val="002166F2"/>
    <w:rsid w:val="00216A4A"/>
    <w:rsid w:val="00220A5A"/>
    <w:rsid w:val="0022197F"/>
    <w:rsid w:val="00222021"/>
    <w:rsid w:val="00222445"/>
    <w:rsid w:val="00222C8D"/>
    <w:rsid w:val="00222D78"/>
    <w:rsid w:val="002243C9"/>
    <w:rsid w:val="00224D60"/>
    <w:rsid w:val="00224E40"/>
    <w:rsid w:val="00225102"/>
    <w:rsid w:val="002301D6"/>
    <w:rsid w:val="00230926"/>
    <w:rsid w:val="002309AD"/>
    <w:rsid w:val="00231355"/>
    <w:rsid w:val="002315E6"/>
    <w:rsid w:val="00234C1F"/>
    <w:rsid w:val="002365C9"/>
    <w:rsid w:val="00236613"/>
    <w:rsid w:val="00241EFB"/>
    <w:rsid w:val="00241FFA"/>
    <w:rsid w:val="00242502"/>
    <w:rsid w:val="002429A8"/>
    <w:rsid w:val="00242ABC"/>
    <w:rsid w:val="002446D4"/>
    <w:rsid w:val="002452A0"/>
    <w:rsid w:val="0024622B"/>
    <w:rsid w:val="002473A8"/>
    <w:rsid w:val="00247AC1"/>
    <w:rsid w:val="00250248"/>
    <w:rsid w:val="00251456"/>
    <w:rsid w:val="0025338C"/>
    <w:rsid w:val="00253C90"/>
    <w:rsid w:val="00254A09"/>
    <w:rsid w:val="00254BD5"/>
    <w:rsid w:val="00254C5D"/>
    <w:rsid w:val="002565D0"/>
    <w:rsid w:val="00257C4D"/>
    <w:rsid w:val="00260ED7"/>
    <w:rsid w:val="00261512"/>
    <w:rsid w:val="00261B83"/>
    <w:rsid w:val="00262066"/>
    <w:rsid w:val="002645ED"/>
    <w:rsid w:val="00266D88"/>
    <w:rsid w:val="00266F05"/>
    <w:rsid w:val="00267A9A"/>
    <w:rsid w:val="002705C7"/>
    <w:rsid w:val="002731CA"/>
    <w:rsid w:val="002747F2"/>
    <w:rsid w:val="00274FD3"/>
    <w:rsid w:val="002758DB"/>
    <w:rsid w:val="00276348"/>
    <w:rsid w:val="00276EC2"/>
    <w:rsid w:val="00276F4B"/>
    <w:rsid w:val="002771BE"/>
    <w:rsid w:val="00277A6F"/>
    <w:rsid w:val="00280A32"/>
    <w:rsid w:val="002813D9"/>
    <w:rsid w:val="00282ACA"/>
    <w:rsid w:val="00283328"/>
    <w:rsid w:val="00283964"/>
    <w:rsid w:val="00287021"/>
    <w:rsid w:val="002871A8"/>
    <w:rsid w:val="00287ED8"/>
    <w:rsid w:val="002911DC"/>
    <w:rsid w:val="0029294B"/>
    <w:rsid w:val="00294ED9"/>
    <w:rsid w:val="00297EA6"/>
    <w:rsid w:val="002A0466"/>
    <w:rsid w:val="002A05CD"/>
    <w:rsid w:val="002A18C2"/>
    <w:rsid w:val="002A214D"/>
    <w:rsid w:val="002A2D23"/>
    <w:rsid w:val="002A31F5"/>
    <w:rsid w:val="002A330C"/>
    <w:rsid w:val="002A36CE"/>
    <w:rsid w:val="002A450E"/>
    <w:rsid w:val="002A4578"/>
    <w:rsid w:val="002A47C9"/>
    <w:rsid w:val="002A55B9"/>
    <w:rsid w:val="002A6321"/>
    <w:rsid w:val="002A66B4"/>
    <w:rsid w:val="002A73E0"/>
    <w:rsid w:val="002B0677"/>
    <w:rsid w:val="002B0F0C"/>
    <w:rsid w:val="002B1C78"/>
    <w:rsid w:val="002B218C"/>
    <w:rsid w:val="002B2698"/>
    <w:rsid w:val="002B28C1"/>
    <w:rsid w:val="002B2FB6"/>
    <w:rsid w:val="002B3848"/>
    <w:rsid w:val="002B4B77"/>
    <w:rsid w:val="002B4F37"/>
    <w:rsid w:val="002B5E02"/>
    <w:rsid w:val="002B7D17"/>
    <w:rsid w:val="002C0018"/>
    <w:rsid w:val="002C1206"/>
    <w:rsid w:val="002C16C5"/>
    <w:rsid w:val="002C1717"/>
    <w:rsid w:val="002C1851"/>
    <w:rsid w:val="002C518E"/>
    <w:rsid w:val="002C5A3D"/>
    <w:rsid w:val="002C6A74"/>
    <w:rsid w:val="002C739C"/>
    <w:rsid w:val="002C7668"/>
    <w:rsid w:val="002D06AA"/>
    <w:rsid w:val="002D2085"/>
    <w:rsid w:val="002D2837"/>
    <w:rsid w:val="002D3715"/>
    <w:rsid w:val="002D4C2E"/>
    <w:rsid w:val="002D6702"/>
    <w:rsid w:val="002D7C9A"/>
    <w:rsid w:val="002E0449"/>
    <w:rsid w:val="002E0762"/>
    <w:rsid w:val="002E0FBD"/>
    <w:rsid w:val="002E1172"/>
    <w:rsid w:val="002E1369"/>
    <w:rsid w:val="002E18E4"/>
    <w:rsid w:val="002E2392"/>
    <w:rsid w:val="002E3956"/>
    <w:rsid w:val="002E3C3A"/>
    <w:rsid w:val="002E61E8"/>
    <w:rsid w:val="002E6EFD"/>
    <w:rsid w:val="002E791C"/>
    <w:rsid w:val="002F0D78"/>
    <w:rsid w:val="002F142F"/>
    <w:rsid w:val="002F1744"/>
    <w:rsid w:val="002F2DCB"/>
    <w:rsid w:val="002F45E3"/>
    <w:rsid w:val="002F4ED2"/>
    <w:rsid w:val="002F5BBE"/>
    <w:rsid w:val="002F6B39"/>
    <w:rsid w:val="003029E0"/>
    <w:rsid w:val="00302FEE"/>
    <w:rsid w:val="00303D51"/>
    <w:rsid w:val="00304904"/>
    <w:rsid w:val="00306613"/>
    <w:rsid w:val="00306ED9"/>
    <w:rsid w:val="00307048"/>
    <w:rsid w:val="00307A9E"/>
    <w:rsid w:val="003108FE"/>
    <w:rsid w:val="00311237"/>
    <w:rsid w:val="00311A45"/>
    <w:rsid w:val="00311E68"/>
    <w:rsid w:val="00314C48"/>
    <w:rsid w:val="00315C0A"/>
    <w:rsid w:val="00316296"/>
    <w:rsid w:val="00316DA2"/>
    <w:rsid w:val="00320426"/>
    <w:rsid w:val="00320B08"/>
    <w:rsid w:val="00322736"/>
    <w:rsid w:val="003244DA"/>
    <w:rsid w:val="00325234"/>
    <w:rsid w:val="00326D49"/>
    <w:rsid w:val="00326E5D"/>
    <w:rsid w:val="003272E5"/>
    <w:rsid w:val="003277E7"/>
    <w:rsid w:val="00331A5E"/>
    <w:rsid w:val="00333053"/>
    <w:rsid w:val="0033372B"/>
    <w:rsid w:val="00334939"/>
    <w:rsid w:val="00335A2F"/>
    <w:rsid w:val="0033668D"/>
    <w:rsid w:val="00337064"/>
    <w:rsid w:val="0033707D"/>
    <w:rsid w:val="00340785"/>
    <w:rsid w:val="0034277B"/>
    <w:rsid w:val="00342E94"/>
    <w:rsid w:val="00342F88"/>
    <w:rsid w:val="00345599"/>
    <w:rsid w:val="00346306"/>
    <w:rsid w:val="00347004"/>
    <w:rsid w:val="003470CC"/>
    <w:rsid w:val="003501BA"/>
    <w:rsid w:val="00353D47"/>
    <w:rsid w:val="003540D2"/>
    <w:rsid w:val="00354107"/>
    <w:rsid w:val="00354F62"/>
    <w:rsid w:val="00356065"/>
    <w:rsid w:val="00356520"/>
    <w:rsid w:val="00356789"/>
    <w:rsid w:val="003568EB"/>
    <w:rsid w:val="003579D7"/>
    <w:rsid w:val="00360235"/>
    <w:rsid w:val="00360EB6"/>
    <w:rsid w:val="00361975"/>
    <w:rsid w:val="00363B11"/>
    <w:rsid w:val="0036695F"/>
    <w:rsid w:val="00367900"/>
    <w:rsid w:val="003679DE"/>
    <w:rsid w:val="00367C0F"/>
    <w:rsid w:val="003718D6"/>
    <w:rsid w:val="003720C9"/>
    <w:rsid w:val="00372E25"/>
    <w:rsid w:val="00373150"/>
    <w:rsid w:val="00374D32"/>
    <w:rsid w:val="00375EE0"/>
    <w:rsid w:val="003769F5"/>
    <w:rsid w:val="00376DE4"/>
    <w:rsid w:val="00380518"/>
    <w:rsid w:val="003810D6"/>
    <w:rsid w:val="0038191C"/>
    <w:rsid w:val="0038359E"/>
    <w:rsid w:val="003837A1"/>
    <w:rsid w:val="00383D36"/>
    <w:rsid w:val="00383F37"/>
    <w:rsid w:val="0038441C"/>
    <w:rsid w:val="0038453E"/>
    <w:rsid w:val="00384AC3"/>
    <w:rsid w:val="00385556"/>
    <w:rsid w:val="0038559C"/>
    <w:rsid w:val="00385943"/>
    <w:rsid w:val="00386CCD"/>
    <w:rsid w:val="00386FA8"/>
    <w:rsid w:val="0039091B"/>
    <w:rsid w:val="00390FD8"/>
    <w:rsid w:val="003911F3"/>
    <w:rsid w:val="00391A11"/>
    <w:rsid w:val="00393C08"/>
    <w:rsid w:val="0039408A"/>
    <w:rsid w:val="00394E6D"/>
    <w:rsid w:val="003965A6"/>
    <w:rsid w:val="00397B7D"/>
    <w:rsid w:val="00397F3A"/>
    <w:rsid w:val="003A03AF"/>
    <w:rsid w:val="003A11D1"/>
    <w:rsid w:val="003A2585"/>
    <w:rsid w:val="003A2590"/>
    <w:rsid w:val="003A3212"/>
    <w:rsid w:val="003A3754"/>
    <w:rsid w:val="003A47F3"/>
    <w:rsid w:val="003A7C7B"/>
    <w:rsid w:val="003B005C"/>
    <w:rsid w:val="003B0066"/>
    <w:rsid w:val="003B090A"/>
    <w:rsid w:val="003B11A7"/>
    <w:rsid w:val="003B1560"/>
    <w:rsid w:val="003B200B"/>
    <w:rsid w:val="003B234C"/>
    <w:rsid w:val="003B475D"/>
    <w:rsid w:val="003B6046"/>
    <w:rsid w:val="003B735A"/>
    <w:rsid w:val="003C01C1"/>
    <w:rsid w:val="003C0631"/>
    <w:rsid w:val="003C1E32"/>
    <w:rsid w:val="003C1EB3"/>
    <w:rsid w:val="003C2376"/>
    <w:rsid w:val="003C2850"/>
    <w:rsid w:val="003C3117"/>
    <w:rsid w:val="003C35AB"/>
    <w:rsid w:val="003C3E08"/>
    <w:rsid w:val="003C44B8"/>
    <w:rsid w:val="003C4EA6"/>
    <w:rsid w:val="003C59BA"/>
    <w:rsid w:val="003C6ABC"/>
    <w:rsid w:val="003D554F"/>
    <w:rsid w:val="003D7C83"/>
    <w:rsid w:val="003D7EE0"/>
    <w:rsid w:val="003E00B3"/>
    <w:rsid w:val="003E0549"/>
    <w:rsid w:val="003E0C54"/>
    <w:rsid w:val="003E1772"/>
    <w:rsid w:val="003E18DA"/>
    <w:rsid w:val="003E22FE"/>
    <w:rsid w:val="003E3D88"/>
    <w:rsid w:val="003E4836"/>
    <w:rsid w:val="003E4DC9"/>
    <w:rsid w:val="003E5225"/>
    <w:rsid w:val="003E5457"/>
    <w:rsid w:val="003E6D60"/>
    <w:rsid w:val="003E73CA"/>
    <w:rsid w:val="003F010F"/>
    <w:rsid w:val="003F09ED"/>
    <w:rsid w:val="003F1A0C"/>
    <w:rsid w:val="003F22C8"/>
    <w:rsid w:val="003F24AA"/>
    <w:rsid w:val="003F4FC0"/>
    <w:rsid w:val="003F69A8"/>
    <w:rsid w:val="003F72BB"/>
    <w:rsid w:val="003F7435"/>
    <w:rsid w:val="003F7850"/>
    <w:rsid w:val="0040072B"/>
    <w:rsid w:val="00400C4B"/>
    <w:rsid w:val="0040100B"/>
    <w:rsid w:val="00401EA7"/>
    <w:rsid w:val="00402D31"/>
    <w:rsid w:val="0040363E"/>
    <w:rsid w:val="00403CCC"/>
    <w:rsid w:val="004049A7"/>
    <w:rsid w:val="00404CE6"/>
    <w:rsid w:val="0040506C"/>
    <w:rsid w:val="00406261"/>
    <w:rsid w:val="00406290"/>
    <w:rsid w:val="0040751C"/>
    <w:rsid w:val="0040768D"/>
    <w:rsid w:val="00411686"/>
    <w:rsid w:val="00412E93"/>
    <w:rsid w:val="004132F6"/>
    <w:rsid w:val="00413450"/>
    <w:rsid w:val="0041593F"/>
    <w:rsid w:val="004167A0"/>
    <w:rsid w:val="00416FD7"/>
    <w:rsid w:val="00417D26"/>
    <w:rsid w:val="00417EA0"/>
    <w:rsid w:val="0042074C"/>
    <w:rsid w:val="00420B33"/>
    <w:rsid w:val="0042247B"/>
    <w:rsid w:val="00422537"/>
    <w:rsid w:val="004225FE"/>
    <w:rsid w:val="0042377D"/>
    <w:rsid w:val="00423C85"/>
    <w:rsid w:val="004243AA"/>
    <w:rsid w:val="00424724"/>
    <w:rsid w:val="00427A37"/>
    <w:rsid w:val="00427DA5"/>
    <w:rsid w:val="004313B2"/>
    <w:rsid w:val="004315E2"/>
    <w:rsid w:val="00432704"/>
    <w:rsid w:val="004332D5"/>
    <w:rsid w:val="00434B05"/>
    <w:rsid w:val="004359BB"/>
    <w:rsid w:val="00435AEC"/>
    <w:rsid w:val="00435D35"/>
    <w:rsid w:val="004370B8"/>
    <w:rsid w:val="00437EFD"/>
    <w:rsid w:val="0044001F"/>
    <w:rsid w:val="0044055E"/>
    <w:rsid w:val="00440635"/>
    <w:rsid w:val="00440CF6"/>
    <w:rsid w:val="004417F1"/>
    <w:rsid w:val="00441BDC"/>
    <w:rsid w:val="0044367E"/>
    <w:rsid w:val="00445007"/>
    <w:rsid w:val="00446014"/>
    <w:rsid w:val="0044688C"/>
    <w:rsid w:val="0044693E"/>
    <w:rsid w:val="00447100"/>
    <w:rsid w:val="0045255B"/>
    <w:rsid w:val="00453717"/>
    <w:rsid w:val="004541D8"/>
    <w:rsid w:val="00455231"/>
    <w:rsid w:val="00460013"/>
    <w:rsid w:val="00460775"/>
    <w:rsid w:val="00460F16"/>
    <w:rsid w:val="00461860"/>
    <w:rsid w:val="00462031"/>
    <w:rsid w:val="0046225E"/>
    <w:rsid w:val="0046475C"/>
    <w:rsid w:val="004700C0"/>
    <w:rsid w:val="0047019B"/>
    <w:rsid w:val="00471CCA"/>
    <w:rsid w:val="00472873"/>
    <w:rsid w:val="00472908"/>
    <w:rsid w:val="00472D35"/>
    <w:rsid w:val="0047411C"/>
    <w:rsid w:val="004748D9"/>
    <w:rsid w:val="00474B5D"/>
    <w:rsid w:val="004751B9"/>
    <w:rsid w:val="00475537"/>
    <w:rsid w:val="00475FA8"/>
    <w:rsid w:val="00476928"/>
    <w:rsid w:val="00476AE1"/>
    <w:rsid w:val="00476BD7"/>
    <w:rsid w:val="00477F2F"/>
    <w:rsid w:val="00482883"/>
    <w:rsid w:val="00483A74"/>
    <w:rsid w:val="00485548"/>
    <w:rsid w:val="00487106"/>
    <w:rsid w:val="00487A5A"/>
    <w:rsid w:val="0049110F"/>
    <w:rsid w:val="00491B36"/>
    <w:rsid w:val="00491ED6"/>
    <w:rsid w:val="00491F94"/>
    <w:rsid w:val="0049311D"/>
    <w:rsid w:val="0049399A"/>
    <w:rsid w:val="004942E7"/>
    <w:rsid w:val="00494B98"/>
    <w:rsid w:val="004958A0"/>
    <w:rsid w:val="00497B40"/>
    <w:rsid w:val="004A0057"/>
    <w:rsid w:val="004A1E50"/>
    <w:rsid w:val="004A3EF1"/>
    <w:rsid w:val="004A4403"/>
    <w:rsid w:val="004A4D80"/>
    <w:rsid w:val="004A5C59"/>
    <w:rsid w:val="004A6A20"/>
    <w:rsid w:val="004B1826"/>
    <w:rsid w:val="004B1E38"/>
    <w:rsid w:val="004B272D"/>
    <w:rsid w:val="004B38A0"/>
    <w:rsid w:val="004B5670"/>
    <w:rsid w:val="004B568B"/>
    <w:rsid w:val="004B71D1"/>
    <w:rsid w:val="004B79CE"/>
    <w:rsid w:val="004B7ADC"/>
    <w:rsid w:val="004B7CF3"/>
    <w:rsid w:val="004C09B8"/>
    <w:rsid w:val="004C0B5E"/>
    <w:rsid w:val="004C2765"/>
    <w:rsid w:val="004C5FA6"/>
    <w:rsid w:val="004C726B"/>
    <w:rsid w:val="004C7F2F"/>
    <w:rsid w:val="004D1DCF"/>
    <w:rsid w:val="004D3DD9"/>
    <w:rsid w:val="004D4367"/>
    <w:rsid w:val="004D5044"/>
    <w:rsid w:val="004D5411"/>
    <w:rsid w:val="004D5D22"/>
    <w:rsid w:val="004D6595"/>
    <w:rsid w:val="004D6C37"/>
    <w:rsid w:val="004D7372"/>
    <w:rsid w:val="004E04FE"/>
    <w:rsid w:val="004E1B5B"/>
    <w:rsid w:val="004E2AB2"/>
    <w:rsid w:val="004E42D1"/>
    <w:rsid w:val="004E5211"/>
    <w:rsid w:val="004E72A2"/>
    <w:rsid w:val="004E7D00"/>
    <w:rsid w:val="004F0449"/>
    <w:rsid w:val="004F0F79"/>
    <w:rsid w:val="004F25CE"/>
    <w:rsid w:val="004F2A41"/>
    <w:rsid w:val="004F2DE5"/>
    <w:rsid w:val="004F5631"/>
    <w:rsid w:val="004F68E9"/>
    <w:rsid w:val="00500CCB"/>
    <w:rsid w:val="00501FF0"/>
    <w:rsid w:val="005020D4"/>
    <w:rsid w:val="005025C0"/>
    <w:rsid w:val="0050269E"/>
    <w:rsid w:val="005028D9"/>
    <w:rsid w:val="005031F6"/>
    <w:rsid w:val="00503236"/>
    <w:rsid w:val="005045CC"/>
    <w:rsid w:val="00504E5D"/>
    <w:rsid w:val="0050588B"/>
    <w:rsid w:val="00506401"/>
    <w:rsid w:val="005070CE"/>
    <w:rsid w:val="005072B6"/>
    <w:rsid w:val="00510051"/>
    <w:rsid w:val="005116FC"/>
    <w:rsid w:val="00511BF0"/>
    <w:rsid w:val="00512404"/>
    <w:rsid w:val="00512BF6"/>
    <w:rsid w:val="00513488"/>
    <w:rsid w:val="0051403D"/>
    <w:rsid w:val="00514204"/>
    <w:rsid w:val="00516654"/>
    <w:rsid w:val="005169FA"/>
    <w:rsid w:val="00517C6E"/>
    <w:rsid w:val="00521209"/>
    <w:rsid w:val="0052206B"/>
    <w:rsid w:val="0052404B"/>
    <w:rsid w:val="005260F4"/>
    <w:rsid w:val="00527AF1"/>
    <w:rsid w:val="00532143"/>
    <w:rsid w:val="00532761"/>
    <w:rsid w:val="00533D84"/>
    <w:rsid w:val="005348A2"/>
    <w:rsid w:val="005422EE"/>
    <w:rsid w:val="00542741"/>
    <w:rsid w:val="005441D8"/>
    <w:rsid w:val="0054479C"/>
    <w:rsid w:val="00544A5A"/>
    <w:rsid w:val="00546266"/>
    <w:rsid w:val="0055082F"/>
    <w:rsid w:val="00551363"/>
    <w:rsid w:val="00552003"/>
    <w:rsid w:val="00552206"/>
    <w:rsid w:val="0055269D"/>
    <w:rsid w:val="00552FE0"/>
    <w:rsid w:val="00554DBE"/>
    <w:rsid w:val="00554F7F"/>
    <w:rsid w:val="005551AE"/>
    <w:rsid w:val="00556E8C"/>
    <w:rsid w:val="005602B7"/>
    <w:rsid w:val="00560819"/>
    <w:rsid w:val="00561C00"/>
    <w:rsid w:val="005625A4"/>
    <w:rsid w:val="00563660"/>
    <w:rsid w:val="00563BE9"/>
    <w:rsid w:val="00563C68"/>
    <w:rsid w:val="00564300"/>
    <w:rsid w:val="00564B11"/>
    <w:rsid w:val="00564D6F"/>
    <w:rsid w:val="00571539"/>
    <w:rsid w:val="00571AA4"/>
    <w:rsid w:val="00572312"/>
    <w:rsid w:val="00575252"/>
    <w:rsid w:val="00575265"/>
    <w:rsid w:val="00575481"/>
    <w:rsid w:val="005764C6"/>
    <w:rsid w:val="00577261"/>
    <w:rsid w:val="0058031B"/>
    <w:rsid w:val="00580B75"/>
    <w:rsid w:val="005810D4"/>
    <w:rsid w:val="00583CD5"/>
    <w:rsid w:val="00586E2C"/>
    <w:rsid w:val="00591D2F"/>
    <w:rsid w:val="005924CD"/>
    <w:rsid w:val="0059370E"/>
    <w:rsid w:val="00594206"/>
    <w:rsid w:val="0059503A"/>
    <w:rsid w:val="00595A49"/>
    <w:rsid w:val="005976C5"/>
    <w:rsid w:val="00597FC9"/>
    <w:rsid w:val="005A16D2"/>
    <w:rsid w:val="005A33A3"/>
    <w:rsid w:val="005A4177"/>
    <w:rsid w:val="005A4984"/>
    <w:rsid w:val="005A59B2"/>
    <w:rsid w:val="005A61D6"/>
    <w:rsid w:val="005A6F6F"/>
    <w:rsid w:val="005A74D3"/>
    <w:rsid w:val="005A7752"/>
    <w:rsid w:val="005A7765"/>
    <w:rsid w:val="005A7B2F"/>
    <w:rsid w:val="005B0BF1"/>
    <w:rsid w:val="005B13B1"/>
    <w:rsid w:val="005B25AA"/>
    <w:rsid w:val="005B272D"/>
    <w:rsid w:val="005B33F2"/>
    <w:rsid w:val="005B3EC5"/>
    <w:rsid w:val="005B49BF"/>
    <w:rsid w:val="005B50CA"/>
    <w:rsid w:val="005B513E"/>
    <w:rsid w:val="005B60D5"/>
    <w:rsid w:val="005B674F"/>
    <w:rsid w:val="005B677C"/>
    <w:rsid w:val="005B6B37"/>
    <w:rsid w:val="005B7158"/>
    <w:rsid w:val="005B7787"/>
    <w:rsid w:val="005B7F15"/>
    <w:rsid w:val="005C0FCD"/>
    <w:rsid w:val="005C11DE"/>
    <w:rsid w:val="005C14B8"/>
    <w:rsid w:val="005C30B1"/>
    <w:rsid w:val="005C3209"/>
    <w:rsid w:val="005C344D"/>
    <w:rsid w:val="005C5488"/>
    <w:rsid w:val="005C5B21"/>
    <w:rsid w:val="005C5B2A"/>
    <w:rsid w:val="005C639B"/>
    <w:rsid w:val="005C661B"/>
    <w:rsid w:val="005C66FB"/>
    <w:rsid w:val="005C7721"/>
    <w:rsid w:val="005C77E1"/>
    <w:rsid w:val="005D01B5"/>
    <w:rsid w:val="005D10B0"/>
    <w:rsid w:val="005D1108"/>
    <w:rsid w:val="005D30AF"/>
    <w:rsid w:val="005D5247"/>
    <w:rsid w:val="005D5AAB"/>
    <w:rsid w:val="005E4372"/>
    <w:rsid w:val="005E4898"/>
    <w:rsid w:val="005E4FF0"/>
    <w:rsid w:val="005E6120"/>
    <w:rsid w:val="005F08D0"/>
    <w:rsid w:val="005F2C2C"/>
    <w:rsid w:val="005F6BD6"/>
    <w:rsid w:val="0060202C"/>
    <w:rsid w:val="00602999"/>
    <w:rsid w:val="006035CB"/>
    <w:rsid w:val="00603D9A"/>
    <w:rsid w:val="00603DE3"/>
    <w:rsid w:val="006047AE"/>
    <w:rsid w:val="00604F05"/>
    <w:rsid w:val="006073A7"/>
    <w:rsid w:val="00607CE1"/>
    <w:rsid w:val="00610250"/>
    <w:rsid w:val="00610A58"/>
    <w:rsid w:val="00610A74"/>
    <w:rsid w:val="00610F87"/>
    <w:rsid w:val="00612578"/>
    <w:rsid w:val="00612A2C"/>
    <w:rsid w:val="0061333F"/>
    <w:rsid w:val="0061350B"/>
    <w:rsid w:val="006135F6"/>
    <w:rsid w:val="0061420F"/>
    <w:rsid w:val="006170FF"/>
    <w:rsid w:val="00617584"/>
    <w:rsid w:val="00617D85"/>
    <w:rsid w:val="006216A3"/>
    <w:rsid w:val="00621C19"/>
    <w:rsid w:val="00623BCA"/>
    <w:rsid w:val="006242BE"/>
    <w:rsid w:val="006303A0"/>
    <w:rsid w:val="0063084B"/>
    <w:rsid w:val="006350F3"/>
    <w:rsid w:val="006355A0"/>
    <w:rsid w:val="00636792"/>
    <w:rsid w:val="006368E3"/>
    <w:rsid w:val="00637127"/>
    <w:rsid w:val="00641F89"/>
    <w:rsid w:val="006423DF"/>
    <w:rsid w:val="00642BC4"/>
    <w:rsid w:val="006435A1"/>
    <w:rsid w:val="00644114"/>
    <w:rsid w:val="0064584A"/>
    <w:rsid w:val="00650182"/>
    <w:rsid w:val="00650A8C"/>
    <w:rsid w:val="00653A4A"/>
    <w:rsid w:val="00653ACF"/>
    <w:rsid w:val="00653BD3"/>
    <w:rsid w:val="00653DC2"/>
    <w:rsid w:val="00653F21"/>
    <w:rsid w:val="00654069"/>
    <w:rsid w:val="00654617"/>
    <w:rsid w:val="00654EC8"/>
    <w:rsid w:val="00656AC3"/>
    <w:rsid w:val="00657DAB"/>
    <w:rsid w:val="0066246C"/>
    <w:rsid w:val="00662988"/>
    <w:rsid w:val="00662DB8"/>
    <w:rsid w:val="00664317"/>
    <w:rsid w:val="00666216"/>
    <w:rsid w:val="00666B53"/>
    <w:rsid w:val="00670A63"/>
    <w:rsid w:val="00670C9C"/>
    <w:rsid w:val="00670D25"/>
    <w:rsid w:val="00671008"/>
    <w:rsid w:val="0067142E"/>
    <w:rsid w:val="00672A61"/>
    <w:rsid w:val="00675469"/>
    <w:rsid w:val="00676109"/>
    <w:rsid w:val="006769C1"/>
    <w:rsid w:val="00677710"/>
    <w:rsid w:val="00681C2F"/>
    <w:rsid w:val="00681D4D"/>
    <w:rsid w:val="00682023"/>
    <w:rsid w:val="00682581"/>
    <w:rsid w:val="006829EB"/>
    <w:rsid w:val="00682F97"/>
    <w:rsid w:val="00683AAA"/>
    <w:rsid w:val="0068697F"/>
    <w:rsid w:val="0069017C"/>
    <w:rsid w:val="00692412"/>
    <w:rsid w:val="0069296E"/>
    <w:rsid w:val="00693A99"/>
    <w:rsid w:val="00696B4D"/>
    <w:rsid w:val="00697022"/>
    <w:rsid w:val="00697FB3"/>
    <w:rsid w:val="006A0C2E"/>
    <w:rsid w:val="006A18CB"/>
    <w:rsid w:val="006A3FFF"/>
    <w:rsid w:val="006A41B6"/>
    <w:rsid w:val="006A4C46"/>
    <w:rsid w:val="006A64D0"/>
    <w:rsid w:val="006A77FC"/>
    <w:rsid w:val="006B033E"/>
    <w:rsid w:val="006B07B1"/>
    <w:rsid w:val="006B0B38"/>
    <w:rsid w:val="006B1C57"/>
    <w:rsid w:val="006B3FB6"/>
    <w:rsid w:val="006B4345"/>
    <w:rsid w:val="006B49D1"/>
    <w:rsid w:val="006B4DB8"/>
    <w:rsid w:val="006B7EC7"/>
    <w:rsid w:val="006B7F9A"/>
    <w:rsid w:val="006C061F"/>
    <w:rsid w:val="006C085F"/>
    <w:rsid w:val="006C0F6D"/>
    <w:rsid w:val="006C3AD0"/>
    <w:rsid w:val="006C68F7"/>
    <w:rsid w:val="006C6C54"/>
    <w:rsid w:val="006D0700"/>
    <w:rsid w:val="006D2919"/>
    <w:rsid w:val="006D2BD1"/>
    <w:rsid w:val="006D38FD"/>
    <w:rsid w:val="006D46EC"/>
    <w:rsid w:val="006D4915"/>
    <w:rsid w:val="006D5DEC"/>
    <w:rsid w:val="006D5F4B"/>
    <w:rsid w:val="006D6E71"/>
    <w:rsid w:val="006D7118"/>
    <w:rsid w:val="006D7827"/>
    <w:rsid w:val="006E2193"/>
    <w:rsid w:val="006E2D74"/>
    <w:rsid w:val="006E36CE"/>
    <w:rsid w:val="006E3BFC"/>
    <w:rsid w:val="006E4D9E"/>
    <w:rsid w:val="006E59AF"/>
    <w:rsid w:val="006E6EF9"/>
    <w:rsid w:val="006E7752"/>
    <w:rsid w:val="006E79BB"/>
    <w:rsid w:val="006F0430"/>
    <w:rsid w:val="006F05B5"/>
    <w:rsid w:val="006F2811"/>
    <w:rsid w:val="006F3507"/>
    <w:rsid w:val="006F47FD"/>
    <w:rsid w:val="006F530B"/>
    <w:rsid w:val="006F60A2"/>
    <w:rsid w:val="00700552"/>
    <w:rsid w:val="00700F66"/>
    <w:rsid w:val="007016C7"/>
    <w:rsid w:val="00704682"/>
    <w:rsid w:val="00705B01"/>
    <w:rsid w:val="007067E7"/>
    <w:rsid w:val="00706A50"/>
    <w:rsid w:val="00706DB7"/>
    <w:rsid w:val="00710941"/>
    <w:rsid w:val="00711768"/>
    <w:rsid w:val="00713B34"/>
    <w:rsid w:val="00713B9F"/>
    <w:rsid w:val="00713D98"/>
    <w:rsid w:val="007155D3"/>
    <w:rsid w:val="00716598"/>
    <w:rsid w:val="0071741F"/>
    <w:rsid w:val="007177F8"/>
    <w:rsid w:val="00720433"/>
    <w:rsid w:val="00721182"/>
    <w:rsid w:val="00721D8E"/>
    <w:rsid w:val="007226AB"/>
    <w:rsid w:val="00726280"/>
    <w:rsid w:val="007278AC"/>
    <w:rsid w:val="00730C82"/>
    <w:rsid w:val="00731E7B"/>
    <w:rsid w:val="007329FB"/>
    <w:rsid w:val="00732D07"/>
    <w:rsid w:val="00733CBD"/>
    <w:rsid w:val="0073556F"/>
    <w:rsid w:val="007358AE"/>
    <w:rsid w:val="00735BAA"/>
    <w:rsid w:val="0073631B"/>
    <w:rsid w:val="00737047"/>
    <w:rsid w:val="0073715E"/>
    <w:rsid w:val="00737961"/>
    <w:rsid w:val="00740176"/>
    <w:rsid w:val="007415B4"/>
    <w:rsid w:val="0074268E"/>
    <w:rsid w:val="00744DF7"/>
    <w:rsid w:val="00744FF0"/>
    <w:rsid w:val="00745383"/>
    <w:rsid w:val="007461B6"/>
    <w:rsid w:val="0075076F"/>
    <w:rsid w:val="00750B65"/>
    <w:rsid w:val="00750B8D"/>
    <w:rsid w:val="0075195E"/>
    <w:rsid w:val="007535E3"/>
    <w:rsid w:val="0075432E"/>
    <w:rsid w:val="007571D6"/>
    <w:rsid w:val="007574D6"/>
    <w:rsid w:val="00757735"/>
    <w:rsid w:val="00757A8D"/>
    <w:rsid w:val="00761375"/>
    <w:rsid w:val="00763535"/>
    <w:rsid w:val="0076466F"/>
    <w:rsid w:val="00766D67"/>
    <w:rsid w:val="00767DE3"/>
    <w:rsid w:val="00771852"/>
    <w:rsid w:val="00772B6D"/>
    <w:rsid w:val="0077451B"/>
    <w:rsid w:val="00775330"/>
    <w:rsid w:val="00776EE8"/>
    <w:rsid w:val="007803AE"/>
    <w:rsid w:val="00781229"/>
    <w:rsid w:val="00781DFF"/>
    <w:rsid w:val="00783C9C"/>
    <w:rsid w:val="0078450E"/>
    <w:rsid w:val="00784829"/>
    <w:rsid w:val="00784E47"/>
    <w:rsid w:val="007870F3"/>
    <w:rsid w:val="007902D5"/>
    <w:rsid w:val="007909DA"/>
    <w:rsid w:val="007916FA"/>
    <w:rsid w:val="007929C9"/>
    <w:rsid w:val="00792EFF"/>
    <w:rsid w:val="00793EA6"/>
    <w:rsid w:val="007944CA"/>
    <w:rsid w:val="007946E6"/>
    <w:rsid w:val="00796AE0"/>
    <w:rsid w:val="007A23B8"/>
    <w:rsid w:val="007A2BD7"/>
    <w:rsid w:val="007A45DE"/>
    <w:rsid w:val="007A53C0"/>
    <w:rsid w:val="007A64A6"/>
    <w:rsid w:val="007A6A3B"/>
    <w:rsid w:val="007A6F89"/>
    <w:rsid w:val="007A730E"/>
    <w:rsid w:val="007B00A8"/>
    <w:rsid w:val="007B0859"/>
    <w:rsid w:val="007B0CD6"/>
    <w:rsid w:val="007B0EB2"/>
    <w:rsid w:val="007B2148"/>
    <w:rsid w:val="007B2B0D"/>
    <w:rsid w:val="007B4AA4"/>
    <w:rsid w:val="007B51F7"/>
    <w:rsid w:val="007B63F5"/>
    <w:rsid w:val="007B7526"/>
    <w:rsid w:val="007C048F"/>
    <w:rsid w:val="007C1280"/>
    <w:rsid w:val="007C1BAA"/>
    <w:rsid w:val="007C21F4"/>
    <w:rsid w:val="007C3406"/>
    <w:rsid w:val="007C58D8"/>
    <w:rsid w:val="007C6CB9"/>
    <w:rsid w:val="007C742D"/>
    <w:rsid w:val="007C7823"/>
    <w:rsid w:val="007D1469"/>
    <w:rsid w:val="007D1B95"/>
    <w:rsid w:val="007D200D"/>
    <w:rsid w:val="007D370F"/>
    <w:rsid w:val="007D5191"/>
    <w:rsid w:val="007D52A5"/>
    <w:rsid w:val="007D56AC"/>
    <w:rsid w:val="007D60E8"/>
    <w:rsid w:val="007D644C"/>
    <w:rsid w:val="007D6CC5"/>
    <w:rsid w:val="007D774C"/>
    <w:rsid w:val="007D7A58"/>
    <w:rsid w:val="007E0C4F"/>
    <w:rsid w:val="007E12C3"/>
    <w:rsid w:val="007E2F9D"/>
    <w:rsid w:val="007E337C"/>
    <w:rsid w:val="007E3AF8"/>
    <w:rsid w:val="007E3C6C"/>
    <w:rsid w:val="007E3DEE"/>
    <w:rsid w:val="007E50C3"/>
    <w:rsid w:val="007E5254"/>
    <w:rsid w:val="007E666B"/>
    <w:rsid w:val="007E7112"/>
    <w:rsid w:val="007E7253"/>
    <w:rsid w:val="007E7474"/>
    <w:rsid w:val="007F1667"/>
    <w:rsid w:val="007F1818"/>
    <w:rsid w:val="007F3D1C"/>
    <w:rsid w:val="008008F4"/>
    <w:rsid w:val="00800E58"/>
    <w:rsid w:val="00801FEC"/>
    <w:rsid w:val="00802101"/>
    <w:rsid w:val="008021DE"/>
    <w:rsid w:val="00802481"/>
    <w:rsid w:val="008026E1"/>
    <w:rsid w:val="008036EB"/>
    <w:rsid w:val="00803C4C"/>
    <w:rsid w:val="00805384"/>
    <w:rsid w:val="0080639C"/>
    <w:rsid w:val="00807499"/>
    <w:rsid w:val="00807A46"/>
    <w:rsid w:val="008100EA"/>
    <w:rsid w:val="00810971"/>
    <w:rsid w:val="00810B14"/>
    <w:rsid w:val="0081115D"/>
    <w:rsid w:val="00811222"/>
    <w:rsid w:val="008114BA"/>
    <w:rsid w:val="008117C2"/>
    <w:rsid w:val="00812BDA"/>
    <w:rsid w:val="00812DCF"/>
    <w:rsid w:val="0081314D"/>
    <w:rsid w:val="0081413F"/>
    <w:rsid w:val="008142E9"/>
    <w:rsid w:val="00815557"/>
    <w:rsid w:val="00815BA8"/>
    <w:rsid w:val="008167C4"/>
    <w:rsid w:val="00816FEC"/>
    <w:rsid w:val="00817F8E"/>
    <w:rsid w:val="00822731"/>
    <w:rsid w:val="008234E5"/>
    <w:rsid w:val="00825540"/>
    <w:rsid w:val="00825DD6"/>
    <w:rsid w:val="00830738"/>
    <w:rsid w:val="0083163A"/>
    <w:rsid w:val="00832AC7"/>
    <w:rsid w:val="00833B7E"/>
    <w:rsid w:val="00834789"/>
    <w:rsid w:val="00834B5D"/>
    <w:rsid w:val="00835AA3"/>
    <w:rsid w:val="008367C4"/>
    <w:rsid w:val="00837FF0"/>
    <w:rsid w:val="00840126"/>
    <w:rsid w:val="008401A8"/>
    <w:rsid w:val="008402FE"/>
    <w:rsid w:val="00842FAC"/>
    <w:rsid w:val="0084659B"/>
    <w:rsid w:val="0084671E"/>
    <w:rsid w:val="00847606"/>
    <w:rsid w:val="00847E5C"/>
    <w:rsid w:val="00855011"/>
    <w:rsid w:val="00856167"/>
    <w:rsid w:val="00856D32"/>
    <w:rsid w:val="0085760B"/>
    <w:rsid w:val="008577E5"/>
    <w:rsid w:val="00860040"/>
    <w:rsid w:val="008614BF"/>
    <w:rsid w:val="008614E0"/>
    <w:rsid w:val="00862F7A"/>
    <w:rsid w:val="00863AF4"/>
    <w:rsid w:val="00863BEB"/>
    <w:rsid w:val="00864269"/>
    <w:rsid w:val="00864F2B"/>
    <w:rsid w:val="00865290"/>
    <w:rsid w:val="008652D2"/>
    <w:rsid w:val="00865E09"/>
    <w:rsid w:val="0086603B"/>
    <w:rsid w:val="0086634A"/>
    <w:rsid w:val="008668D7"/>
    <w:rsid w:val="00867954"/>
    <w:rsid w:val="00870A83"/>
    <w:rsid w:val="00870AE7"/>
    <w:rsid w:val="00870FB6"/>
    <w:rsid w:val="00871C70"/>
    <w:rsid w:val="00872C2A"/>
    <w:rsid w:val="0087353F"/>
    <w:rsid w:val="008753E6"/>
    <w:rsid w:val="0087640A"/>
    <w:rsid w:val="008801A3"/>
    <w:rsid w:val="00880280"/>
    <w:rsid w:val="0088047C"/>
    <w:rsid w:val="0088053F"/>
    <w:rsid w:val="0088086B"/>
    <w:rsid w:val="00881868"/>
    <w:rsid w:val="00882581"/>
    <w:rsid w:val="00882B19"/>
    <w:rsid w:val="00883687"/>
    <w:rsid w:val="00883E95"/>
    <w:rsid w:val="008841C6"/>
    <w:rsid w:val="00885E14"/>
    <w:rsid w:val="00887545"/>
    <w:rsid w:val="00887BD1"/>
    <w:rsid w:val="00887FB0"/>
    <w:rsid w:val="00890385"/>
    <w:rsid w:val="008921C5"/>
    <w:rsid w:val="00892373"/>
    <w:rsid w:val="00892663"/>
    <w:rsid w:val="00892744"/>
    <w:rsid w:val="008937C0"/>
    <w:rsid w:val="00894843"/>
    <w:rsid w:val="00894D9D"/>
    <w:rsid w:val="00895104"/>
    <w:rsid w:val="00895778"/>
    <w:rsid w:val="0089578D"/>
    <w:rsid w:val="00895E96"/>
    <w:rsid w:val="00897004"/>
    <w:rsid w:val="008A052C"/>
    <w:rsid w:val="008A06DB"/>
    <w:rsid w:val="008A1374"/>
    <w:rsid w:val="008A24A4"/>
    <w:rsid w:val="008A2971"/>
    <w:rsid w:val="008A2D30"/>
    <w:rsid w:val="008A2F88"/>
    <w:rsid w:val="008A30BF"/>
    <w:rsid w:val="008A412F"/>
    <w:rsid w:val="008A480C"/>
    <w:rsid w:val="008A4911"/>
    <w:rsid w:val="008A54A8"/>
    <w:rsid w:val="008A54AC"/>
    <w:rsid w:val="008A61B6"/>
    <w:rsid w:val="008A666D"/>
    <w:rsid w:val="008A6C64"/>
    <w:rsid w:val="008B00F6"/>
    <w:rsid w:val="008B0565"/>
    <w:rsid w:val="008B1504"/>
    <w:rsid w:val="008B2AD7"/>
    <w:rsid w:val="008B2B28"/>
    <w:rsid w:val="008B3990"/>
    <w:rsid w:val="008B3D7A"/>
    <w:rsid w:val="008B55EE"/>
    <w:rsid w:val="008B5E3F"/>
    <w:rsid w:val="008B647B"/>
    <w:rsid w:val="008B7634"/>
    <w:rsid w:val="008C0FA4"/>
    <w:rsid w:val="008C3DC0"/>
    <w:rsid w:val="008C3FB3"/>
    <w:rsid w:val="008C6366"/>
    <w:rsid w:val="008C7C1F"/>
    <w:rsid w:val="008D171D"/>
    <w:rsid w:val="008D24B0"/>
    <w:rsid w:val="008D2AB8"/>
    <w:rsid w:val="008D2CD9"/>
    <w:rsid w:val="008D2F60"/>
    <w:rsid w:val="008D4564"/>
    <w:rsid w:val="008D48B0"/>
    <w:rsid w:val="008D6193"/>
    <w:rsid w:val="008D7216"/>
    <w:rsid w:val="008E075B"/>
    <w:rsid w:val="008E12B0"/>
    <w:rsid w:val="008E2E80"/>
    <w:rsid w:val="008E38E1"/>
    <w:rsid w:val="008E477D"/>
    <w:rsid w:val="008E4DCB"/>
    <w:rsid w:val="008E514B"/>
    <w:rsid w:val="008E5AFB"/>
    <w:rsid w:val="008E678D"/>
    <w:rsid w:val="008E68EC"/>
    <w:rsid w:val="008E696D"/>
    <w:rsid w:val="008E6C71"/>
    <w:rsid w:val="008E7EE0"/>
    <w:rsid w:val="008F10AC"/>
    <w:rsid w:val="008F2338"/>
    <w:rsid w:val="008F2668"/>
    <w:rsid w:val="008F267D"/>
    <w:rsid w:val="008F346A"/>
    <w:rsid w:val="008F55EE"/>
    <w:rsid w:val="008F6CFD"/>
    <w:rsid w:val="008F7645"/>
    <w:rsid w:val="0090009C"/>
    <w:rsid w:val="0090065D"/>
    <w:rsid w:val="0090089C"/>
    <w:rsid w:val="0090115E"/>
    <w:rsid w:val="009012D1"/>
    <w:rsid w:val="00902346"/>
    <w:rsid w:val="0090295A"/>
    <w:rsid w:val="009029FC"/>
    <w:rsid w:val="00902FEF"/>
    <w:rsid w:val="00903AF3"/>
    <w:rsid w:val="00905687"/>
    <w:rsid w:val="00906533"/>
    <w:rsid w:val="00907B73"/>
    <w:rsid w:val="0091040F"/>
    <w:rsid w:val="00910868"/>
    <w:rsid w:val="00910B9A"/>
    <w:rsid w:val="0091176C"/>
    <w:rsid w:val="00912C86"/>
    <w:rsid w:val="00913563"/>
    <w:rsid w:val="00914058"/>
    <w:rsid w:val="00915B4B"/>
    <w:rsid w:val="00920426"/>
    <w:rsid w:val="00921012"/>
    <w:rsid w:val="00921D3F"/>
    <w:rsid w:val="00922B53"/>
    <w:rsid w:val="00923FE8"/>
    <w:rsid w:val="00924194"/>
    <w:rsid w:val="00924297"/>
    <w:rsid w:val="00926523"/>
    <w:rsid w:val="009265D0"/>
    <w:rsid w:val="009276E3"/>
    <w:rsid w:val="00927764"/>
    <w:rsid w:val="0093134D"/>
    <w:rsid w:val="009318CE"/>
    <w:rsid w:val="00931A50"/>
    <w:rsid w:val="009348D5"/>
    <w:rsid w:val="009358FF"/>
    <w:rsid w:val="00935BA2"/>
    <w:rsid w:val="0093659B"/>
    <w:rsid w:val="0094187B"/>
    <w:rsid w:val="00941DE8"/>
    <w:rsid w:val="00942217"/>
    <w:rsid w:val="00942F1E"/>
    <w:rsid w:val="0094344D"/>
    <w:rsid w:val="009437B6"/>
    <w:rsid w:val="00944088"/>
    <w:rsid w:val="00944980"/>
    <w:rsid w:val="00944EA6"/>
    <w:rsid w:val="009450FE"/>
    <w:rsid w:val="009456D1"/>
    <w:rsid w:val="00950928"/>
    <w:rsid w:val="00950C9A"/>
    <w:rsid w:val="00951847"/>
    <w:rsid w:val="00952306"/>
    <w:rsid w:val="00953B6B"/>
    <w:rsid w:val="00953FC5"/>
    <w:rsid w:val="00955D19"/>
    <w:rsid w:val="00957043"/>
    <w:rsid w:val="009570E7"/>
    <w:rsid w:val="009578AD"/>
    <w:rsid w:val="00960C0D"/>
    <w:rsid w:val="00961521"/>
    <w:rsid w:val="009626F1"/>
    <w:rsid w:val="00963413"/>
    <w:rsid w:val="00963477"/>
    <w:rsid w:val="009634A1"/>
    <w:rsid w:val="00963660"/>
    <w:rsid w:val="00963BE8"/>
    <w:rsid w:val="00964FFB"/>
    <w:rsid w:val="00965BD4"/>
    <w:rsid w:val="00965FA3"/>
    <w:rsid w:val="00965FE7"/>
    <w:rsid w:val="009662A6"/>
    <w:rsid w:val="009670AA"/>
    <w:rsid w:val="009678CF"/>
    <w:rsid w:val="00970117"/>
    <w:rsid w:val="00971CBF"/>
    <w:rsid w:val="00972AA9"/>
    <w:rsid w:val="0097386D"/>
    <w:rsid w:val="00973FCA"/>
    <w:rsid w:val="00974218"/>
    <w:rsid w:val="0097631E"/>
    <w:rsid w:val="00977777"/>
    <w:rsid w:val="00977861"/>
    <w:rsid w:val="009811AB"/>
    <w:rsid w:val="00981F0A"/>
    <w:rsid w:val="00981FD8"/>
    <w:rsid w:val="0098298D"/>
    <w:rsid w:val="00982AC0"/>
    <w:rsid w:val="00983158"/>
    <w:rsid w:val="009839F7"/>
    <w:rsid w:val="00984682"/>
    <w:rsid w:val="009857B5"/>
    <w:rsid w:val="00985C8B"/>
    <w:rsid w:val="00986B04"/>
    <w:rsid w:val="00986BFD"/>
    <w:rsid w:val="009871A0"/>
    <w:rsid w:val="00987720"/>
    <w:rsid w:val="0098791E"/>
    <w:rsid w:val="00990F5F"/>
    <w:rsid w:val="009917BB"/>
    <w:rsid w:val="0099183D"/>
    <w:rsid w:val="00992127"/>
    <w:rsid w:val="00992958"/>
    <w:rsid w:val="0099326A"/>
    <w:rsid w:val="00993B9D"/>
    <w:rsid w:val="00993EA6"/>
    <w:rsid w:val="009947F4"/>
    <w:rsid w:val="00994C1A"/>
    <w:rsid w:val="009962FA"/>
    <w:rsid w:val="00997A0C"/>
    <w:rsid w:val="009A0433"/>
    <w:rsid w:val="009A121F"/>
    <w:rsid w:val="009A3808"/>
    <w:rsid w:val="009A52AB"/>
    <w:rsid w:val="009A5787"/>
    <w:rsid w:val="009A5BBF"/>
    <w:rsid w:val="009A77E3"/>
    <w:rsid w:val="009B04A3"/>
    <w:rsid w:val="009B19E4"/>
    <w:rsid w:val="009B2A99"/>
    <w:rsid w:val="009B31E8"/>
    <w:rsid w:val="009B461E"/>
    <w:rsid w:val="009B4BB3"/>
    <w:rsid w:val="009B4C5B"/>
    <w:rsid w:val="009B57D8"/>
    <w:rsid w:val="009B6C3D"/>
    <w:rsid w:val="009B6D2F"/>
    <w:rsid w:val="009C05DF"/>
    <w:rsid w:val="009C3391"/>
    <w:rsid w:val="009C4A44"/>
    <w:rsid w:val="009C4E53"/>
    <w:rsid w:val="009C5432"/>
    <w:rsid w:val="009C6933"/>
    <w:rsid w:val="009C71BB"/>
    <w:rsid w:val="009C776F"/>
    <w:rsid w:val="009C7D43"/>
    <w:rsid w:val="009D022C"/>
    <w:rsid w:val="009D11FE"/>
    <w:rsid w:val="009D2284"/>
    <w:rsid w:val="009D2DB0"/>
    <w:rsid w:val="009D3978"/>
    <w:rsid w:val="009D3E7F"/>
    <w:rsid w:val="009D499A"/>
    <w:rsid w:val="009D4BDC"/>
    <w:rsid w:val="009D52BE"/>
    <w:rsid w:val="009D5AE4"/>
    <w:rsid w:val="009D5DA7"/>
    <w:rsid w:val="009D6072"/>
    <w:rsid w:val="009D747C"/>
    <w:rsid w:val="009D78BE"/>
    <w:rsid w:val="009E2C5C"/>
    <w:rsid w:val="009E45C1"/>
    <w:rsid w:val="009E5711"/>
    <w:rsid w:val="009E63E8"/>
    <w:rsid w:val="009E6CBE"/>
    <w:rsid w:val="009F04FD"/>
    <w:rsid w:val="009F0538"/>
    <w:rsid w:val="009F0A63"/>
    <w:rsid w:val="009F0C64"/>
    <w:rsid w:val="009F28B6"/>
    <w:rsid w:val="009F38D3"/>
    <w:rsid w:val="009F3E58"/>
    <w:rsid w:val="009F57D9"/>
    <w:rsid w:val="009F6B02"/>
    <w:rsid w:val="009F717F"/>
    <w:rsid w:val="009F7310"/>
    <w:rsid w:val="009F7E98"/>
    <w:rsid w:val="00A01E3C"/>
    <w:rsid w:val="00A03517"/>
    <w:rsid w:val="00A040B4"/>
    <w:rsid w:val="00A051E7"/>
    <w:rsid w:val="00A05FEB"/>
    <w:rsid w:val="00A06817"/>
    <w:rsid w:val="00A074E5"/>
    <w:rsid w:val="00A077CF"/>
    <w:rsid w:val="00A12995"/>
    <w:rsid w:val="00A12C39"/>
    <w:rsid w:val="00A14F9E"/>
    <w:rsid w:val="00A14FD6"/>
    <w:rsid w:val="00A1610D"/>
    <w:rsid w:val="00A166AF"/>
    <w:rsid w:val="00A16BE9"/>
    <w:rsid w:val="00A16F6E"/>
    <w:rsid w:val="00A17E4D"/>
    <w:rsid w:val="00A2224C"/>
    <w:rsid w:val="00A22E8A"/>
    <w:rsid w:val="00A2469D"/>
    <w:rsid w:val="00A25BC0"/>
    <w:rsid w:val="00A26242"/>
    <w:rsid w:val="00A26627"/>
    <w:rsid w:val="00A27276"/>
    <w:rsid w:val="00A30651"/>
    <w:rsid w:val="00A32D8F"/>
    <w:rsid w:val="00A32F5F"/>
    <w:rsid w:val="00A3339B"/>
    <w:rsid w:val="00A34FDB"/>
    <w:rsid w:val="00A35D06"/>
    <w:rsid w:val="00A37C88"/>
    <w:rsid w:val="00A42168"/>
    <w:rsid w:val="00A421C5"/>
    <w:rsid w:val="00A42A6E"/>
    <w:rsid w:val="00A439CF"/>
    <w:rsid w:val="00A44671"/>
    <w:rsid w:val="00A471C7"/>
    <w:rsid w:val="00A50E3E"/>
    <w:rsid w:val="00A520BF"/>
    <w:rsid w:val="00A54513"/>
    <w:rsid w:val="00A6127D"/>
    <w:rsid w:val="00A62E3E"/>
    <w:rsid w:val="00A63002"/>
    <w:rsid w:val="00A636C7"/>
    <w:rsid w:val="00A647C0"/>
    <w:rsid w:val="00A6761A"/>
    <w:rsid w:val="00A67FE1"/>
    <w:rsid w:val="00A70A87"/>
    <w:rsid w:val="00A70FBD"/>
    <w:rsid w:val="00A71565"/>
    <w:rsid w:val="00A71880"/>
    <w:rsid w:val="00A7216B"/>
    <w:rsid w:val="00A730EB"/>
    <w:rsid w:val="00A731CF"/>
    <w:rsid w:val="00A73768"/>
    <w:rsid w:val="00A7381B"/>
    <w:rsid w:val="00A762BD"/>
    <w:rsid w:val="00A76396"/>
    <w:rsid w:val="00A76A81"/>
    <w:rsid w:val="00A77E35"/>
    <w:rsid w:val="00A801A3"/>
    <w:rsid w:val="00A81CAD"/>
    <w:rsid w:val="00A8223C"/>
    <w:rsid w:val="00A82BE0"/>
    <w:rsid w:val="00A838F7"/>
    <w:rsid w:val="00A84246"/>
    <w:rsid w:val="00A84E33"/>
    <w:rsid w:val="00A8692E"/>
    <w:rsid w:val="00A873CC"/>
    <w:rsid w:val="00A90DC5"/>
    <w:rsid w:val="00A912E5"/>
    <w:rsid w:val="00A9185C"/>
    <w:rsid w:val="00A92761"/>
    <w:rsid w:val="00A93FA0"/>
    <w:rsid w:val="00A94B20"/>
    <w:rsid w:val="00A9567C"/>
    <w:rsid w:val="00A95CD2"/>
    <w:rsid w:val="00A967FE"/>
    <w:rsid w:val="00A977B3"/>
    <w:rsid w:val="00AA0929"/>
    <w:rsid w:val="00AA21C8"/>
    <w:rsid w:val="00AA27B2"/>
    <w:rsid w:val="00AA2E1D"/>
    <w:rsid w:val="00AA343D"/>
    <w:rsid w:val="00AA43A8"/>
    <w:rsid w:val="00AA5314"/>
    <w:rsid w:val="00AA572E"/>
    <w:rsid w:val="00AA68BD"/>
    <w:rsid w:val="00AB1564"/>
    <w:rsid w:val="00AB1F25"/>
    <w:rsid w:val="00AB2088"/>
    <w:rsid w:val="00AB242F"/>
    <w:rsid w:val="00AB334C"/>
    <w:rsid w:val="00AB3576"/>
    <w:rsid w:val="00AB69A3"/>
    <w:rsid w:val="00AC2297"/>
    <w:rsid w:val="00AC2361"/>
    <w:rsid w:val="00AC24DF"/>
    <w:rsid w:val="00AC4E8A"/>
    <w:rsid w:val="00AC595E"/>
    <w:rsid w:val="00AD009C"/>
    <w:rsid w:val="00AD1A1E"/>
    <w:rsid w:val="00AD3036"/>
    <w:rsid w:val="00AD406C"/>
    <w:rsid w:val="00AD4278"/>
    <w:rsid w:val="00AD5589"/>
    <w:rsid w:val="00AD6211"/>
    <w:rsid w:val="00AE2C24"/>
    <w:rsid w:val="00AE302E"/>
    <w:rsid w:val="00AE3161"/>
    <w:rsid w:val="00AE3648"/>
    <w:rsid w:val="00AE5C6D"/>
    <w:rsid w:val="00AE6C42"/>
    <w:rsid w:val="00AE7238"/>
    <w:rsid w:val="00AE745E"/>
    <w:rsid w:val="00AF178F"/>
    <w:rsid w:val="00AF47F6"/>
    <w:rsid w:val="00AF4D8E"/>
    <w:rsid w:val="00B0036C"/>
    <w:rsid w:val="00B01DE1"/>
    <w:rsid w:val="00B02040"/>
    <w:rsid w:val="00B021D8"/>
    <w:rsid w:val="00B02624"/>
    <w:rsid w:val="00B02EA7"/>
    <w:rsid w:val="00B03336"/>
    <w:rsid w:val="00B03CD5"/>
    <w:rsid w:val="00B06550"/>
    <w:rsid w:val="00B06FF2"/>
    <w:rsid w:val="00B07EAA"/>
    <w:rsid w:val="00B105FF"/>
    <w:rsid w:val="00B10E9C"/>
    <w:rsid w:val="00B13803"/>
    <w:rsid w:val="00B138CC"/>
    <w:rsid w:val="00B14545"/>
    <w:rsid w:val="00B15175"/>
    <w:rsid w:val="00B15A48"/>
    <w:rsid w:val="00B15B2F"/>
    <w:rsid w:val="00B15D19"/>
    <w:rsid w:val="00B17205"/>
    <w:rsid w:val="00B21565"/>
    <w:rsid w:val="00B219E8"/>
    <w:rsid w:val="00B21B89"/>
    <w:rsid w:val="00B23FB2"/>
    <w:rsid w:val="00B26463"/>
    <w:rsid w:val="00B26819"/>
    <w:rsid w:val="00B278F1"/>
    <w:rsid w:val="00B312B5"/>
    <w:rsid w:val="00B31DEA"/>
    <w:rsid w:val="00B32DEA"/>
    <w:rsid w:val="00B32DEE"/>
    <w:rsid w:val="00B344D5"/>
    <w:rsid w:val="00B34BFD"/>
    <w:rsid w:val="00B34CEB"/>
    <w:rsid w:val="00B3516E"/>
    <w:rsid w:val="00B35317"/>
    <w:rsid w:val="00B35848"/>
    <w:rsid w:val="00B35A72"/>
    <w:rsid w:val="00B36809"/>
    <w:rsid w:val="00B3681C"/>
    <w:rsid w:val="00B36D7D"/>
    <w:rsid w:val="00B400A9"/>
    <w:rsid w:val="00B403E3"/>
    <w:rsid w:val="00B40EE7"/>
    <w:rsid w:val="00B4221B"/>
    <w:rsid w:val="00B42D34"/>
    <w:rsid w:val="00B42DD3"/>
    <w:rsid w:val="00B43583"/>
    <w:rsid w:val="00B435B2"/>
    <w:rsid w:val="00B43DED"/>
    <w:rsid w:val="00B44197"/>
    <w:rsid w:val="00B47804"/>
    <w:rsid w:val="00B50528"/>
    <w:rsid w:val="00B505FA"/>
    <w:rsid w:val="00B50A1F"/>
    <w:rsid w:val="00B5103D"/>
    <w:rsid w:val="00B513A1"/>
    <w:rsid w:val="00B51696"/>
    <w:rsid w:val="00B51D60"/>
    <w:rsid w:val="00B5240F"/>
    <w:rsid w:val="00B528CE"/>
    <w:rsid w:val="00B535AC"/>
    <w:rsid w:val="00B53AE6"/>
    <w:rsid w:val="00B548C4"/>
    <w:rsid w:val="00B54FC8"/>
    <w:rsid w:val="00B553EC"/>
    <w:rsid w:val="00B5637F"/>
    <w:rsid w:val="00B60071"/>
    <w:rsid w:val="00B60676"/>
    <w:rsid w:val="00B60780"/>
    <w:rsid w:val="00B60AD9"/>
    <w:rsid w:val="00B61727"/>
    <w:rsid w:val="00B637A5"/>
    <w:rsid w:val="00B64F39"/>
    <w:rsid w:val="00B65A00"/>
    <w:rsid w:val="00B66092"/>
    <w:rsid w:val="00B67551"/>
    <w:rsid w:val="00B70378"/>
    <w:rsid w:val="00B71389"/>
    <w:rsid w:val="00B71534"/>
    <w:rsid w:val="00B7156B"/>
    <w:rsid w:val="00B73ED9"/>
    <w:rsid w:val="00B7626E"/>
    <w:rsid w:val="00B767B8"/>
    <w:rsid w:val="00B81433"/>
    <w:rsid w:val="00B8161B"/>
    <w:rsid w:val="00B83912"/>
    <w:rsid w:val="00B84EF9"/>
    <w:rsid w:val="00B86347"/>
    <w:rsid w:val="00B873D9"/>
    <w:rsid w:val="00B8777F"/>
    <w:rsid w:val="00B911FF"/>
    <w:rsid w:val="00B9129C"/>
    <w:rsid w:val="00B91727"/>
    <w:rsid w:val="00B925F7"/>
    <w:rsid w:val="00B943E5"/>
    <w:rsid w:val="00B94A05"/>
    <w:rsid w:val="00B95663"/>
    <w:rsid w:val="00B95B43"/>
    <w:rsid w:val="00B95B4C"/>
    <w:rsid w:val="00B975DA"/>
    <w:rsid w:val="00BA1CFE"/>
    <w:rsid w:val="00BA2B0E"/>
    <w:rsid w:val="00BA2C2A"/>
    <w:rsid w:val="00BA2FD7"/>
    <w:rsid w:val="00BA3A5C"/>
    <w:rsid w:val="00BA3DC9"/>
    <w:rsid w:val="00BA45D3"/>
    <w:rsid w:val="00BA6EE9"/>
    <w:rsid w:val="00BA709C"/>
    <w:rsid w:val="00BA76CC"/>
    <w:rsid w:val="00BA7DE5"/>
    <w:rsid w:val="00BB032F"/>
    <w:rsid w:val="00BB0AA2"/>
    <w:rsid w:val="00BB2218"/>
    <w:rsid w:val="00BB2274"/>
    <w:rsid w:val="00BB4536"/>
    <w:rsid w:val="00BB4A4C"/>
    <w:rsid w:val="00BB5B10"/>
    <w:rsid w:val="00BB610E"/>
    <w:rsid w:val="00BB61B1"/>
    <w:rsid w:val="00BB77B0"/>
    <w:rsid w:val="00BC0E8F"/>
    <w:rsid w:val="00BC32CA"/>
    <w:rsid w:val="00BC3B25"/>
    <w:rsid w:val="00BC5396"/>
    <w:rsid w:val="00BC54E6"/>
    <w:rsid w:val="00BC5821"/>
    <w:rsid w:val="00BC60F8"/>
    <w:rsid w:val="00BD1458"/>
    <w:rsid w:val="00BD1977"/>
    <w:rsid w:val="00BD1B1F"/>
    <w:rsid w:val="00BD2ED3"/>
    <w:rsid w:val="00BD30AB"/>
    <w:rsid w:val="00BD4995"/>
    <w:rsid w:val="00BD5145"/>
    <w:rsid w:val="00BD525E"/>
    <w:rsid w:val="00BD5F28"/>
    <w:rsid w:val="00BD6542"/>
    <w:rsid w:val="00BD79F7"/>
    <w:rsid w:val="00BD7FCF"/>
    <w:rsid w:val="00BE1515"/>
    <w:rsid w:val="00BE1A46"/>
    <w:rsid w:val="00BE1F3C"/>
    <w:rsid w:val="00BE219E"/>
    <w:rsid w:val="00BE2AC3"/>
    <w:rsid w:val="00BE3F41"/>
    <w:rsid w:val="00BE418E"/>
    <w:rsid w:val="00BE4960"/>
    <w:rsid w:val="00BE5736"/>
    <w:rsid w:val="00BE643A"/>
    <w:rsid w:val="00BE7B9F"/>
    <w:rsid w:val="00BF1EF7"/>
    <w:rsid w:val="00BF2207"/>
    <w:rsid w:val="00BF2F02"/>
    <w:rsid w:val="00BF5081"/>
    <w:rsid w:val="00BF5483"/>
    <w:rsid w:val="00BF5E34"/>
    <w:rsid w:val="00BF68D7"/>
    <w:rsid w:val="00BF6D22"/>
    <w:rsid w:val="00BF6D40"/>
    <w:rsid w:val="00BF7A75"/>
    <w:rsid w:val="00C00BD8"/>
    <w:rsid w:val="00C024B5"/>
    <w:rsid w:val="00C03369"/>
    <w:rsid w:val="00C033FC"/>
    <w:rsid w:val="00C036D3"/>
    <w:rsid w:val="00C03B65"/>
    <w:rsid w:val="00C06581"/>
    <w:rsid w:val="00C06BBD"/>
    <w:rsid w:val="00C07378"/>
    <w:rsid w:val="00C07E3C"/>
    <w:rsid w:val="00C10183"/>
    <w:rsid w:val="00C11393"/>
    <w:rsid w:val="00C128E7"/>
    <w:rsid w:val="00C12DDE"/>
    <w:rsid w:val="00C1384E"/>
    <w:rsid w:val="00C1454C"/>
    <w:rsid w:val="00C14EFF"/>
    <w:rsid w:val="00C16813"/>
    <w:rsid w:val="00C17353"/>
    <w:rsid w:val="00C203C7"/>
    <w:rsid w:val="00C20770"/>
    <w:rsid w:val="00C20A76"/>
    <w:rsid w:val="00C20D66"/>
    <w:rsid w:val="00C21569"/>
    <w:rsid w:val="00C218CA"/>
    <w:rsid w:val="00C2221F"/>
    <w:rsid w:val="00C22945"/>
    <w:rsid w:val="00C244E7"/>
    <w:rsid w:val="00C25745"/>
    <w:rsid w:val="00C26FF1"/>
    <w:rsid w:val="00C27B7D"/>
    <w:rsid w:val="00C27FEC"/>
    <w:rsid w:val="00C30F85"/>
    <w:rsid w:val="00C358E4"/>
    <w:rsid w:val="00C3595D"/>
    <w:rsid w:val="00C36B98"/>
    <w:rsid w:val="00C37020"/>
    <w:rsid w:val="00C3768C"/>
    <w:rsid w:val="00C41AC4"/>
    <w:rsid w:val="00C42ECF"/>
    <w:rsid w:val="00C43824"/>
    <w:rsid w:val="00C43C10"/>
    <w:rsid w:val="00C43C45"/>
    <w:rsid w:val="00C45470"/>
    <w:rsid w:val="00C45F43"/>
    <w:rsid w:val="00C4619F"/>
    <w:rsid w:val="00C461EE"/>
    <w:rsid w:val="00C46725"/>
    <w:rsid w:val="00C502E4"/>
    <w:rsid w:val="00C50D72"/>
    <w:rsid w:val="00C52AEB"/>
    <w:rsid w:val="00C557A3"/>
    <w:rsid w:val="00C55C68"/>
    <w:rsid w:val="00C55FEF"/>
    <w:rsid w:val="00C57475"/>
    <w:rsid w:val="00C613C8"/>
    <w:rsid w:val="00C619A2"/>
    <w:rsid w:val="00C61C58"/>
    <w:rsid w:val="00C61CE1"/>
    <w:rsid w:val="00C62113"/>
    <w:rsid w:val="00C65085"/>
    <w:rsid w:val="00C65832"/>
    <w:rsid w:val="00C6773B"/>
    <w:rsid w:val="00C67B4A"/>
    <w:rsid w:val="00C71064"/>
    <w:rsid w:val="00C71B1A"/>
    <w:rsid w:val="00C71F2A"/>
    <w:rsid w:val="00C723B2"/>
    <w:rsid w:val="00C72E11"/>
    <w:rsid w:val="00C744F0"/>
    <w:rsid w:val="00C74B96"/>
    <w:rsid w:val="00C74E8D"/>
    <w:rsid w:val="00C758B3"/>
    <w:rsid w:val="00C76861"/>
    <w:rsid w:val="00C76A95"/>
    <w:rsid w:val="00C76F38"/>
    <w:rsid w:val="00C7736F"/>
    <w:rsid w:val="00C77D45"/>
    <w:rsid w:val="00C80D4D"/>
    <w:rsid w:val="00C812E0"/>
    <w:rsid w:val="00C8213F"/>
    <w:rsid w:val="00C823C4"/>
    <w:rsid w:val="00C82DC7"/>
    <w:rsid w:val="00C83D87"/>
    <w:rsid w:val="00C86172"/>
    <w:rsid w:val="00C867CB"/>
    <w:rsid w:val="00C87AFD"/>
    <w:rsid w:val="00C912E9"/>
    <w:rsid w:val="00C9174A"/>
    <w:rsid w:val="00C92461"/>
    <w:rsid w:val="00C92C3C"/>
    <w:rsid w:val="00C93CAD"/>
    <w:rsid w:val="00C944E6"/>
    <w:rsid w:val="00C946EC"/>
    <w:rsid w:val="00C94B5C"/>
    <w:rsid w:val="00C94F37"/>
    <w:rsid w:val="00C95142"/>
    <w:rsid w:val="00C951CA"/>
    <w:rsid w:val="00C95261"/>
    <w:rsid w:val="00C95A43"/>
    <w:rsid w:val="00C95F91"/>
    <w:rsid w:val="00C96E84"/>
    <w:rsid w:val="00C971F0"/>
    <w:rsid w:val="00CA007D"/>
    <w:rsid w:val="00CA2325"/>
    <w:rsid w:val="00CA23FB"/>
    <w:rsid w:val="00CA467E"/>
    <w:rsid w:val="00CA5838"/>
    <w:rsid w:val="00CA5FF3"/>
    <w:rsid w:val="00CA79F9"/>
    <w:rsid w:val="00CA7EEE"/>
    <w:rsid w:val="00CB20EB"/>
    <w:rsid w:val="00CB27C1"/>
    <w:rsid w:val="00CB3950"/>
    <w:rsid w:val="00CB3E26"/>
    <w:rsid w:val="00CB43F4"/>
    <w:rsid w:val="00CB5712"/>
    <w:rsid w:val="00CB7F91"/>
    <w:rsid w:val="00CC34DA"/>
    <w:rsid w:val="00CC3DCB"/>
    <w:rsid w:val="00CC43D1"/>
    <w:rsid w:val="00CC53AA"/>
    <w:rsid w:val="00CC5D51"/>
    <w:rsid w:val="00CC6200"/>
    <w:rsid w:val="00CC6700"/>
    <w:rsid w:val="00CC6D37"/>
    <w:rsid w:val="00CC7468"/>
    <w:rsid w:val="00CD05B7"/>
    <w:rsid w:val="00CD1370"/>
    <w:rsid w:val="00CD1917"/>
    <w:rsid w:val="00CD1B0E"/>
    <w:rsid w:val="00CD314C"/>
    <w:rsid w:val="00CD4D60"/>
    <w:rsid w:val="00CD4EB5"/>
    <w:rsid w:val="00CD4FE1"/>
    <w:rsid w:val="00CD5D83"/>
    <w:rsid w:val="00CD7094"/>
    <w:rsid w:val="00CD72EB"/>
    <w:rsid w:val="00CE0A1E"/>
    <w:rsid w:val="00CE104A"/>
    <w:rsid w:val="00CE15C8"/>
    <w:rsid w:val="00CE2830"/>
    <w:rsid w:val="00CE47D6"/>
    <w:rsid w:val="00CE5430"/>
    <w:rsid w:val="00CE5D4E"/>
    <w:rsid w:val="00CE651E"/>
    <w:rsid w:val="00CE6C17"/>
    <w:rsid w:val="00CE722D"/>
    <w:rsid w:val="00CE7E38"/>
    <w:rsid w:val="00CF07A8"/>
    <w:rsid w:val="00CF0ACA"/>
    <w:rsid w:val="00CF1000"/>
    <w:rsid w:val="00CF1E5B"/>
    <w:rsid w:val="00CF2359"/>
    <w:rsid w:val="00CF4705"/>
    <w:rsid w:val="00CF5E20"/>
    <w:rsid w:val="00D01E56"/>
    <w:rsid w:val="00D024C8"/>
    <w:rsid w:val="00D02CE1"/>
    <w:rsid w:val="00D02D39"/>
    <w:rsid w:val="00D03F02"/>
    <w:rsid w:val="00D044C9"/>
    <w:rsid w:val="00D05E90"/>
    <w:rsid w:val="00D068E2"/>
    <w:rsid w:val="00D077DA"/>
    <w:rsid w:val="00D07E51"/>
    <w:rsid w:val="00D10262"/>
    <w:rsid w:val="00D10E32"/>
    <w:rsid w:val="00D12FFE"/>
    <w:rsid w:val="00D142FA"/>
    <w:rsid w:val="00D148D6"/>
    <w:rsid w:val="00D17228"/>
    <w:rsid w:val="00D213BD"/>
    <w:rsid w:val="00D21BD6"/>
    <w:rsid w:val="00D23830"/>
    <w:rsid w:val="00D24314"/>
    <w:rsid w:val="00D24B47"/>
    <w:rsid w:val="00D30242"/>
    <w:rsid w:val="00D30DC0"/>
    <w:rsid w:val="00D310F5"/>
    <w:rsid w:val="00D318A4"/>
    <w:rsid w:val="00D32200"/>
    <w:rsid w:val="00D335F0"/>
    <w:rsid w:val="00D34A02"/>
    <w:rsid w:val="00D37439"/>
    <w:rsid w:val="00D37596"/>
    <w:rsid w:val="00D40F15"/>
    <w:rsid w:val="00D40F2A"/>
    <w:rsid w:val="00D41C41"/>
    <w:rsid w:val="00D4202E"/>
    <w:rsid w:val="00D420FA"/>
    <w:rsid w:val="00D422EA"/>
    <w:rsid w:val="00D4277C"/>
    <w:rsid w:val="00D428DB"/>
    <w:rsid w:val="00D42E43"/>
    <w:rsid w:val="00D431D6"/>
    <w:rsid w:val="00D43393"/>
    <w:rsid w:val="00D43834"/>
    <w:rsid w:val="00D43C90"/>
    <w:rsid w:val="00D4485B"/>
    <w:rsid w:val="00D454E6"/>
    <w:rsid w:val="00D47408"/>
    <w:rsid w:val="00D52ADC"/>
    <w:rsid w:val="00D53195"/>
    <w:rsid w:val="00D564B5"/>
    <w:rsid w:val="00D56AB7"/>
    <w:rsid w:val="00D600D3"/>
    <w:rsid w:val="00D604C3"/>
    <w:rsid w:val="00D60DB3"/>
    <w:rsid w:val="00D644D1"/>
    <w:rsid w:val="00D64995"/>
    <w:rsid w:val="00D65161"/>
    <w:rsid w:val="00D67A93"/>
    <w:rsid w:val="00D67C04"/>
    <w:rsid w:val="00D7133A"/>
    <w:rsid w:val="00D71B9B"/>
    <w:rsid w:val="00D72937"/>
    <w:rsid w:val="00D74449"/>
    <w:rsid w:val="00D74958"/>
    <w:rsid w:val="00D74E20"/>
    <w:rsid w:val="00D75C41"/>
    <w:rsid w:val="00D75E0D"/>
    <w:rsid w:val="00D762A7"/>
    <w:rsid w:val="00D763DF"/>
    <w:rsid w:val="00D76569"/>
    <w:rsid w:val="00D80663"/>
    <w:rsid w:val="00D83C81"/>
    <w:rsid w:val="00D85125"/>
    <w:rsid w:val="00D855BF"/>
    <w:rsid w:val="00D85C40"/>
    <w:rsid w:val="00D8689F"/>
    <w:rsid w:val="00D86B56"/>
    <w:rsid w:val="00D904A2"/>
    <w:rsid w:val="00D91496"/>
    <w:rsid w:val="00D932B4"/>
    <w:rsid w:val="00D950E3"/>
    <w:rsid w:val="00D96375"/>
    <w:rsid w:val="00D964DD"/>
    <w:rsid w:val="00D964E2"/>
    <w:rsid w:val="00D967B0"/>
    <w:rsid w:val="00D96FFB"/>
    <w:rsid w:val="00D9739F"/>
    <w:rsid w:val="00DA03B6"/>
    <w:rsid w:val="00DA0A9F"/>
    <w:rsid w:val="00DA0D8E"/>
    <w:rsid w:val="00DA10B6"/>
    <w:rsid w:val="00DA10FC"/>
    <w:rsid w:val="00DA132C"/>
    <w:rsid w:val="00DA1886"/>
    <w:rsid w:val="00DA1D94"/>
    <w:rsid w:val="00DA231F"/>
    <w:rsid w:val="00DA2ADB"/>
    <w:rsid w:val="00DA2F2B"/>
    <w:rsid w:val="00DA4357"/>
    <w:rsid w:val="00DA75A0"/>
    <w:rsid w:val="00DA77A4"/>
    <w:rsid w:val="00DA7E1F"/>
    <w:rsid w:val="00DB0838"/>
    <w:rsid w:val="00DB0895"/>
    <w:rsid w:val="00DB208A"/>
    <w:rsid w:val="00DB2698"/>
    <w:rsid w:val="00DB2D09"/>
    <w:rsid w:val="00DB2F59"/>
    <w:rsid w:val="00DB3601"/>
    <w:rsid w:val="00DB383E"/>
    <w:rsid w:val="00DB387B"/>
    <w:rsid w:val="00DB64AE"/>
    <w:rsid w:val="00DB6804"/>
    <w:rsid w:val="00DB6AED"/>
    <w:rsid w:val="00DB6E98"/>
    <w:rsid w:val="00DB7E54"/>
    <w:rsid w:val="00DC0743"/>
    <w:rsid w:val="00DC172C"/>
    <w:rsid w:val="00DC1A7E"/>
    <w:rsid w:val="00DC1D08"/>
    <w:rsid w:val="00DC25AE"/>
    <w:rsid w:val="00DC2AC1"/>
    <w:rsid w:val="00DC2CAC"/>
    <w:rsid w:val="00DC41A9"/>
    <w:rsid w:val="00DC457A"/>
    <w:rsid w:val="00DC5352"/>
    <w:rsid w:val="00DC6353"/>
    <w:rsid w:val="00DC691B"/>
    <w:rsid w:val="00DD0317"/>
    <w:rsid w:val="00DD237C"/>
    <w:rsid w:val="00DD2524"/>
    <w:rsid w:val="00DD2CF9"/>
    <w:rsid w:val="00DD3CD0"/>
    <w:rsid w:val="00DD53E3"/>
    <w:rsid w:val="00DD551F"/>
    <w:rsid w:val="00DD556C"/>
    <w:rsid w:val="00DD5584"/>
    <w:rsid w:val="00DD5591"/>
    <w:rsid w:val="00DD6DE2"/>
    <w:rsid w:val="00DE0B80"/>
    <w:rsid w:val="00DE1675"/>
    <w:rsid w:val="00DE192E"/>
    <w:rsid w:val="00DE1D0E"/>
    <w:rsid w:val="00DE1DAC"/>
    <w:rsid w:val="00DE30F9"/>
    <w:rsid w:val="00DE41A4"/>
    <w:rsid w:val="00DE4EB1"/>
    <w:rsid w:val="00DE4FF3"/>
    <w:rsid w:val="00DE5C12"/>
    <w:rsid w:val="00DE5C22"/>
    <w:rsid w:val="00DE7048"/>
    <w:rsid w:val="00DE7362"/>
    <w:rsid w:val="00DE7415"/>
    <w:rsid w:val="00DE7F8E"/>
    <w:rsid w:val="00DF0987"/>
    <w:rsid w:val="00DF1F9C"/>
    <w:rsid w:val="00DF35FF"/>
    <w:rsid w:val="00DF4C98"/>
    <w:rsid w:val="00DF4D03"/>
    <w:rsid w:val="00DF4E35"/>
    <w:rsid w:val="00DF54FF"/>
    <w:rsid w:val="00DF5D27"/>
    <w:rsid w:val="00DF6A1E"/>
    <w:rsid w:val="00DF77FA"/>
    <w:rsid w:val="00DF7A52"/>
    <w:rsid w:val="00DF7AE9"/>
    <w:rsid w:val="00E00ACA"/>
    <w:rsid w:val="00E00C4C"/>
    <w:rsid w:val="00E01CF8"/>
    <w:rsid w:val="00E01FCA"/>
    <w:rsid w:val="00E02E5A"/>
    <w:rsid w:val="00E044BF"/>
    <w:rsid w:val="00E0459D"/>
    <w:rsid w:val="00E04DE9"/>
    <w:rsid w:val="00E05442"/>
    <w:rsid w:val="00E059CD"/>
    <w:rsid w:val="00E05A3D"/>
    <w:rsid w:val="00E0681F"/>
    <w:rsid w:val="00E069B4"/>
    <w:rsid w:val="00E10C29"/>
    <w:rsid w:val="00E10E31"/>
    <w:rsid w:val="00E12E17"/>
    <w:rsid w:val="00E13469"/>
    <w:rsid w:val="00E13888"/>
    <w:rsid w:val="00E1481E"/>
    <w:rsid w:val="00E150B3"/>
    <w:rsid w:val="00E15C8C"/>
    <w:rsid w:val="00E15E8E"/>
    <w:rsid w:val="00E20575"/>
    <w:rsid w:val="00E20E1C"/>
    <w:rsid w:val="00E20E7C"/>
    <w:rsid w:val="00E216C0"/>
    <w:rsid w:val="00E2182A"/>
    <w:rsid w:val="00E21C4C"/>
    <w:rsid w:val="00E220B2"/>
    <w:rsid w:val="00E22317"/>
    <w:rsid w:val="00E239D4"/>
    <w:rsid w:val="00E24272"/>
    <w:rsid w:val="00E243EE"/>
    <w:rsid w:val="00E249DE"/>
    <w:rsid w:val="00E24A3D"/>
    <w:rsid w:val="00E24F69"/>
    <w:rsid w:val="00E2534B"/>
    <w:rsid w:val="00E26A9C"/>
    <w:rsid w:val="00E274BF"/>
    <w:rsid w:val="00E27901"/>
    <w:rsid w:val="00E30E81"/>
    <w:rsid w:val="00E31018"/>
    <w:rsid w:val="00E31E2B"/>
    <w:rsid w:val="00E31F51"/>
    <w:rsid w:val="00E32104"/>
    <w:rsid w:val="00E33398"/>
    <w:rsid w:val="00E33A8E"/>
    <w:rsid w:val="00E343BE"/>
    <w:rsid w:val="00E35C09"/>
    <w:rsid w:val="00E367C3"/>
    <w:rsid w:val="00E36A91"/>
    <w:rsid w:val="00E3719D"/>
    <w:rsid w:val="00E37251"/>
    <w:rsid w:val="00E37939"/>
    <w:rsid w:val="00E41E66"/>
    <w:rsid w:val="00E4235C"/>
    <w:rsid w:val="00E424D9"/>
    <w:rsid w:val="00E4391E"/>
    <w:rsid w:val="00E43A28"/>
    <w:rsid w:val="00E45F76"/>
    <w:rsid w:val="00E4611C"/>
    <w:rsid w:val="00E476CE"/>
    <w:rsid w:val="00E50B54"/>
    <w:rsid w:val="00E51145"/>
    <w:rsid w:val="00E5131E"/>
    <w:rsid w:val="00E51839"/>
    <w:rsid w:val="00E522BB"/>
    <w:rsid w:val="00E534BA"/>
    <w:rsid w:val="00E53B53"/>
    <w:rsid w:val="00E552F9"/>
    <w:rsid w:val="00E57D2A"/>
    <w:rsid w:val="00E60672"/>
    <w:rsid w:val="00E60FC3"/>
    <w:rsid w:val="00E62C15"/>
    <w:rsid w:val="00E63407"/>
    <w:rsid w:val="00E65E91"/>
    <w:rsid w:val="00E67480"/>
    <w:rsid w:val="00E7059F"/>
    <w:rsid w:val="00E70A95"/>
    <w:rsid w:val="00E70B1E"/>
    <w:rsid w:val="00E71254"/>
    <w:rsid w:val="00E73602"/>
    <w:rsid w:val="00E74136"/>
    <w:rsid w:val="00E74D34"/>
    <w:rsid w:val="00E75A71"/>
    <w:rsid w:val="00E80281"/>
    <w:rsid w:val="00E802B9"/>
    <w:rsid w:val="00E8215D"/>
    <w:rsid w:val="00E854B0"/>
    <w:rsid w:val="00E859AB"/>
    <w:rsid w:val="00E91447"/>
    <w:rsid w:val="00E92073"/>
    <w:rsid w:val="00E92617"/>
    <w:rsid w:val="00E94558"/>
    <w:rsid w:val="00E9480D"/>
    <w:rsid w:val="00E9532F"/>
    <w:rsid w:val="00E95582"/>
    <w:rsid w:val="00E9558A"/>
    <w:rsid w:val="00E97533"/>
    <w:rsid w:val="00E97E55"/>
    <w:rsid w:val="00EA2152"/>
    <w:rsid w:val="00EA2221"/>
    <w:rsid w:val="00EA42F3"/>
    <w:rsid w:val="00EA5141"/>
    <w:rsid w:val="00EB020E"/>
    <w:rsid w:val="00EB18CE"/>
    <w:rsid w:val="00EB2857"/>
    <w:rsid w:val="00EB29E3"/>
    <w:rsid w:val="00EB419F"/>
    <w:rsid w:val="00EB4824"/>
    <w:rsid w:val="00EB4F91"/>
    <w:rsid w:val="00EB5069"/>
    <w:rsid w:val="00EB5F87"/>
    <w:rsid w:val="00EB6389"/>
    <w:rsid w:val="00EB663A"/>
    <w:rsid w:val="00EB6AB9"/>
    <w:rsid w:val="00EB744C"/>
    <w:rsid w:val="00EB7CD2"/>
    <w:rsid w:val="00EC0B20"/>
    <w:rsid w:val="00EC0B25"/>
    <w:rsid w:val="00EC0D7C"/>
    <w:rsid w:val="00EC0E20"/>
    <w:rsid w:val="00EC1805"/>
    <w:rsid w:val="00EC252B"/>
    <w:rsid w:val="00EC368E"/>
    <w:rsid w:val="00EC44FA"/>
    <w:rsid w:val="00EC4E79"/>
    <w:rsid w:val="00ED0E77"/>
    <w:rsid w:val="00ED1CA6"/>
    <w:rsid w:val="00ED252D"/>
    <w:rsid w:val="00ED3186"/>
    <w:rsid w:val="00ED4BEA"/>
    <w:rsid w:val="00ED683F"/>
    <w:rsid w:val="00ED74B4"/>
    <w:rsid w:val="00ED7C9F"/>
    <w:rsid w:val="00EE034E"/>
    <w:rsid w:val="00EE0EAF"/>
    <w:rsid w:val="00EE25EF"/>
    <w:rsid w:val="00EE3462"/>
    <w:rsid w:val="00EE468A"/>
    <w:rsid w:val="00EE5874"/>
    <w:rsid w:val="00EE6ABE"/>
    <w:rsid w:val="00EF0F2C"/>
    <w:rsid w:val="00EF1700"/>
    <w:rsid w:val="00EF1BBB"/>
    <w:rsid w:val="00EF2C8B"/>
    <w:rsid w:val="00EF35B8"/>
    <w:rsid w:val="00EF5580"/>
    <w:rsid w:val="00EF5D1C"/>
    <w:rsid w:val="00EF76D6"/>
    <w:rsid w:val="00F00FE5"/>
    <w:rsid w:val="00F0153D"/>
    <w:rsid w:val="00F01F7C"/>
    <w:rsid w:val="00F02AEC"/>
    <w:rsid w:val="00F02F12"/>
    <w:rsid w:val="00F03270"/>
    <w:rsid w:val="00F044C7"/>
    <w:rsid w:val="00F05967"/>
    <w:rsid w:val="00F06A96"/>
    <w:rsid w:val="00F071C6"/>
    <w:rsid w:val="00F07983"/>
    <w:rsid w:val="00F109CA"/>
    <w:rsid w:val="00F11017"/>
    <w:rsid w:val="00F1279B"/>
    <w:rsid w:val="00F12A6E"/>
    <w:rsid w:val="00F13F6D"/>
    <w:rsid w:val="00F14FE3"/>
    <w:rsid w:val="00F154AD"/>
    <w:rsid w:val="00F16270"/>
    <w:rsid w:val="00F16AE9"/>
    <w:rsid w:val="00F16CCA"/>
    <w:rsid w:val="00F17003"/>
    <w:rsid w:val="00F17750"/>
    <w:rsid w:val="00F17E49"/>
    <w:rsid w:val="00F20572"/>
    <w:rsid w:val="00F20697"/>
    <w:rsid w:val="00F20A44"/>
    <w:rsid w:val="00F20CD5"/>
    <w:rsid w:val="00F21044"/>
    <w:rsid w:val="00F220E0"/>
    <w:rsid w:val="00F23F40"/>
    <w:rsid w:val="00F24508"/>
    <w:rsid w:val="00F251B0"/>
    <w:rsid w:val="00F2543F"/>
    <w:rsid w:val="00F25CC9"/>
    <w:rsid w:val="00F26E84"/>
    <w:rsid w:val="00F27186"/>
    <w:rsid w:val="00F30147"/>
    <w:rsid w:val="00F307D4"/>
    <w:rsid w:val="00F31A11"/>
    <w:rsid w:val="00F31EAE"/>
    <w:rsid w:val="00F3367B"/>
    <w:rsid w:val="00F33700"/>
    <w:rsid w:val="00F34954"/>
    <w:rsid w:val="00F35B72"/>
    <w:rsid w:val="00F37177"/>
    <w:rsid w:val="00F3735A"/>
    <w:rsid w:val="00F377FB"/>
    <w:rsid w:val="00F37DFC"/>
    <w:rsid w:val="00F415A6"/>
    <w:rsid w:val="00F41906"/>
    <w:rsid w:val="00F42D1E"/>
    <w:rsid w:val="00F44F81"/>
    <w:rsid w:val="00F46A72"/>
    <w:rsid w:val="00F46A78"/>
    <w:rsid w:val="00F46F5F"/>
    <w:rsid w:val="00F47943"/>
    <w:rsid w:val="00F47B47"/>
    <w:rsid w:val="00F504BA"/>
    <w:rsid w:val="00F51012"/>
    <w:rsid w:val="00F51190"/>
    <w:rsid w:val="00F5179E"/>
    <w:rsid w:val="00F52C48"/>
    <w:rsid w:val="00F52CFE"/>
    <w:rsid w:val="00F53023"/>
    <w:rsid w:val="00F53D9A"/>
    <w:rsid w:val="00F53E51"/>
    <w:rsid w:val="00F54081"/>
    <w:rsid w:val="00F54E30"/>
    <w:rsid w:val="00F54EF0"/>
    <w:rsid w:val="00F55CD7"/>
    <w:rsid w:val="00F560AA"/>
    <w:rsid w:val="00F5798F"/>
    <w:rsid w:val="00F60870"/>
    <w:rsid w:val="00F62001"/>
    <w:rsid w:val="00F62784"/>
    <w:rsid w:val="00F64817"/>
    <w:rsid w:val="00F655A9"/>
    <w:rsid w:val="00F659C5"/>
    <w:rsid w:val="00F66309"/>
    <w:rsid w:val="00F66B4A"/>
    <w:rsid w:val="00F66EB2"/>
    <w:rsid w:val="00F67AA3"/>
    <w:rsid w:val="00F7232E"/>
    <w:rsid w:val="00F73279"/>
    <w:rsid w:val="00F754F2"/>
    <w:rsid w:val="00F75F8E"/>
    <w:rsid w:val="00F80AD2"/>
    <w:rsid w:val="00F81E7C"/>
    <w:rsid w:val="00F8244F"/>
    <w:rsid w:val="00F82510"/>
    <w:rsid w:val="00F82CD7"/>
    <w:rsid w:val="00F82F64"/>
    <w:rsid w:val="00F850A4"/>
    <w:rsid w:val="00F860BB"/>
    <w:rsid w:val="00F86BB4"/>
    <w:rsid w:val="00F87593"/>
    <w:rsid w:val="00F90453"/>
    <w:rsid w:val="00F90BD8"/>
    <w:rsid w:val="00F90F5D"/>
    <w:rsid w:val="00F914AE"/>
    <w:rsid w:val="00F929FA"/>
    <w:rsid w:val="00F92D6E"/>
    <w:rsid w:val="00F941C0"/>
    <w:rsid w:val="00F94885"/>
    <w:rsid w:val="00F94984"/>
    <w:rsid w:val="00F94B38"/>
    <w:rsid w:val="00F94BEB"/>
    <w:rsid w:val="00F974D8"/>
    <w:rsid w:val="00F97B09"/>
    <w:rsid w:val="00FA0C66"/>
    <w:rsid w:val="00FA2E8F"/>
    <w:rsid w:val="00FA3525"/>
    <w:rsid w:val="00FA4BC4"/>
    <w:rsid w:val="00FB0C78"/>
    <w:rsid w:val="00FB1576"/>
    <w:rsid w:val="00FB1954"/>
    <w:rsid w:val="00FB35CE"/>
    <w:rsid w:val="00FB388E"/>
    <w:rsid w:val="00FB3BFA"/>
    <w:rsid w:val="00FB6A5D"/>
    <w:rsid w:val="00FB6E2A"/>
    <w:rsid w:val="00FC01B8"/>
    <w:rsid w:val="00FC0510"/>
    <w:rsid w:val="00FC17AD"/>
    <w:rsid w:val="00FC1BAE"/>
    <w:rsid w:val="00FC4D04"/>
    <w:rsid w:val="00FC5394"/>
    <w:rsid w:val="00FC5EC3"/>
    <w:rsid w:val="00FC7A69"/>
    <w:rsid w:val="00FC7A70"/>
    <w:rsid w:val="00FD49FD"/>
    <w:rsid w:val="00FD4CE2"/>
    <w:rsid w:val="00FD73E5"/>
    <w:rsid w:val="00FD7760"/>
    <w:rsid w:val="00FD7BA8"/>
    <w:rsid w:val="00FE0AE2"/>
    <w:rsid w:val="00FE1B10"/>
    <w:rsid w:val="00FE2555"/>
    <w:rsid w:val="00FE33AF"/>
    <w:rsid w:val="00FE445E"/>
    <w:rsid w:val="00FE5103"/>
    <w:rsid w:val="00FE69DB"/>
    <w:rsid w:val="00FF04EC"/>
    <w:rsid w:val="00FF0804"/>
    <w:rsid w:val="00FF109E"/>
    <w:rsid w:val="00FF1186"/>
    <w:rsid w:val="00FF1F6D"/>
    <w:rsid w:val="00FF443A"/>
    <w:rsid w:val="00FF4A74"/>
    <w:rsid w:val="00FF6CCB"/>
    <w:rsid w:val="00FF7F70"/>
    <w:rsid w:val="01CE3DD5"/>
    <w:rsid w:val="03E5495D"/>
    <w:rsid w:val="058E2A0B"/>
    <w:rsid w:val="05F034FA"/>
    <w:rsid w:val="06F316D8"/>
    <w:rsid w:val="07D82D55"/>
    <w:rsid w:val="07FDA60A"/>
    <w:rsid w:val="09463595"/>
    <w:rsid w:val="09615163"/>
    <w:rsid w:val="097050C4"/>
    <w:rsid w:val="0A5E2D6B"/>
    <w:rsid w:val="0A860A29"/>
    <w:rsid w:val="0D8F1375"/>
    <w:rsid w:val="0DC75C5C"/>
    <w:rsid w:val="0E1E2308"/>
    <w:rsid w:val="11B351DC"/>
    <w:rsid w:val="122E739E"/>
    <w:rsid w:val="127D4917"/>
    <w:rsid w:val="13A11E89"/>
    <w:rsid w:val="15AA380E"/>
    <w:rsid w:val="16574435"/>
    <w:rsid w:val="16B80AF9"/>
    <w:rsid w:val="172D5C4C"/>
    <w:rsid w:val="17AA1863"/>
    <w:rsid w:val="196F3CD2"/>
    <w:rsid w:val="1A4058A4"/>
    <w:rsid w:val="1ADB3611"/>
    <w:rsid w:val="1AF86666"/>
    <w:rsid w:val="1B71463B"/>
    <w:rsid w:val="1B9917AA"/>
    <w:rsid w:val="1C00503E"/>
    <w:rsid w:val="1D352C93"/>
    <w:rsid w:val="1E3D6448"/>
    <w:rsid w:val="1E474D4D"/>
    <w:rsid w:val="1FA134B3"/>
    <w:rsid w:val="205C35B9"/>
    <w:rsid w:val="21606425"/>
    <w:rsid w:val="21B001B2"/>
    <w:rsid w:val="21DF1EB5"/>
    <w:rsid w:val="22205764"/>
    <w:rsid w:val="245A739B"/>
    <w:rsid w:val="25BA5ED0"/>
    <w:rsid w:val="26D828ED"/>
    <w:rsid w:val="26DF62BE"/>
    <w:rsid w:val="270B6911"/>
    <w:rsid w:val="28C27EED"/>
    <w:rsid w:val="28C61BD2"/>
    <w:rsid w:val="2AC64698"/>
    <w:rsid w:val="2BDD6474"/>
    <w:rsid w:val="2D2A4F5C"/>
    <w:rsid w:val="2E26328B"/>
    <w:rsid w:val="2F1E1CFF"/>
    <w:rsid w:val="2FB60821"/>
    <w:rsid w:val="2FEE2B48"/>
    <w:rsid w:val="30244DF0"/>
    <w:rsid w:val="30937A49"/>
    <w:rsid w:val="32252923"/>
    <w:rsid w:val="32BD5B7E"/>
    <w:rsid w:val="346A6D13"/>
    <w:rsid w:val="35061A85"/>
    <w:rsid w:val="35523A2F"/>
    <w:rsid w:val="357FFC44"/>
    <w:rsid w:val="358215BB"/>
    <w:rsid w:val="35F65B88"/>
    <w:rsid w:val="36932551"/>
    <w:rsid w:val="3695185B"/>
    <w:rsid w:val="369E015D"/>
    <w:rsid w:val="36AB2E95"/>
    <w:rsid w:val="372D1B51"/>
    <w:rsid w:val="387D0BEE"/>
    <w:rsid w:val="394538AA"/>
    <w:rsid w:val="3B3C77EA"/>
    <w:rsid w:val="3BEB6BCF"/>
    <w:rsid w:val="3C474F3D"/>
    <w:rsid w:val="3CAF79B9"/>
    <w:rsid w:val="3D157604"/>
    <w:rsid w:val="3E681366"/>
    <w:rsid w:val="3E7A319D"/>
    <w:rsid w:val="3EC97491"/>
    <w:rsid w:val="3F52355E"/>
    <w:rsid w:val="3FEF2965"/>
    <w:rsid w:val="3FFB0793"/>
    <w:rsid w:val="427F7566"/>
    <w:rsid w:val="42813B5D"/>
    <w:rsid w:val="42D902F0"/>
    <w:rsid w:val="43EE7018"/>
    <w:rsid w:val="45016043"/>
    <w:rsid w:val="4678013B"/>
    <w:rsid w:val="469320F9"/>
    <w:rsid w:val="46C95800"/>
    <w:rsid w:val="48902DF4"/>
    <w:rsid w:val="4935502F"/>
    <w:rsid w:val="49B06B1E"/>
    <w:rsid w:val="4B011BBE"/>
    <w:rsid w:val="4CA010CC"/>
    <w:rsid w:val="4CA74208"/>
    <w:rsid w:val="4D0258E3"/>
    <w:rsid w:val="4F0C1F2F"/>
    <w:rsid w:val="4FCF7562"/>
    <w:rsid w:val="4FF1E1B0"/>
    <w:rsid w:val="50223019"/>
    <w:rsid w:val="51422BA4"/>
    <w:rsid w:val="52C42797"/>
    <w:rsid w:val="52EB24D2"/>
    <w:rsid w:val="54A32EBE"/>
    <w:rsid w:val="55646FF0"/>
    <w:rsid w:val="557D60A5"/>
    <w:rsid w:val="5647719D"/>
    <w:rsid w:val="570B5E72"/>
    <w:rsid w:val="57134557"/>
    <w:rsid w:val="57B647CC"/>
    <w:rsid w:val="57B6736D"/>
    <w:rsid w:val="58BD0A48"/>
    <w:rsid w:val="598918A5"/>
    <w:rsid w:val="598B161D"/>
    <w:rsid w:val="5A672BF8"/>
    <w:rsid w:val="5AFF01D7"/>
    <w:rsid w:val="5B162181"/>
    <w:rsid w:val="5BA6155E"/>
    <w:rsid w:val="5BFDE7E8"/>
    <w:rsid w:val="5D8264A5"/>
    <w:rsid w:val="5E6C13FA"/>
    <w:rsid w:val="5ED73B27"/>
    <w:rsid w:val="5EE799CD"/>
    <w:rsid w:val="60522285"/>
    <w:rsid w:val="605E2089"/>
    <w:rsid w:val="621C0D9D"/>
    <w:rsid w:val="62716EBB"/>
    <w:rsid w:val="63D067C4"/>
    <w:rsid w:val="64055F8C"/>
    <w:rsid w:val="64D92F75"/>
    <w:rsid w:val="652E6D08"/>
    <w:rsid w:val="65C279D8"/>
    <w:rsid w:val="67BD092C"/>
    <w:rsid w:val="67C47F0C"/>
    <w:rsid w:val="68592C4A"/>
    <w:rsid w:val="6B0B1A2E"/>
    <w:rsid w:val="6B471913"/>
    <w:rsid w:val="6DD6115A"/>
    <w:rsid w:val="6ED40D00"/>
    <w:rsid w:val="6FCA1C6D"/>
    <w:rsid w:val="705323DE"/>
    <w:rsid w:val="70831186"/>
    <w:rsid w:val="7091578D"/>
    <w:rsid w:val="70A37E16"/>
    <w:rsid w:val="72175B12"/>
    <w:rsid w:val="72A9406E"/>
    <w:rsid w:val="72D04622"/>
    <w:rsid w:val="74BB4E9B"/>
    <w:rsid w:val="77B1171C"/>
    <w:rsid w:val="787E7704"/>
    <w:rsid w:val="78853310"/>
    <w:rsid w:val="796477CF"/>
    <w:rsid w:val="798B2925"/>
    <w:rsid w:val="7A2B3E1B"/>
    <w:rsid w:val="7B18614D"/>
    <w:rsid w:val="7BDF0194"/>
    <w:rsid w:val="7D6D250D"/>
    <w:rsid w:val="7E991089"/>
    <w:rsid w:val="7E9D7963"/>
    <w:rsid w:val="7EABB31D"/>
    <w:rsid w:val="7EF78B43"/>
    <w:rsid w:val="7EFB1F28"/>
    <w:rsid w:val="7F345520"/>
    <w:rsid w:val="B5FFB1DD"/>
    <w:rsid w:val="BF9FF5AD"/>
    <w:rsid w:val="BFF36F77"/>
    <w:rsid w:val="C5B9B626"/>
    <w:rsid w:val="CD5365D4"/>
    <w:rsid w:val="D854FBDC"/>
    <w:rsid w:val="D9AD9FB4"/>
    <w:rsid w:val="DBCFA04B"/>
    <w:rsid w:val="DDDBF3CC"/>
    <w:rsid w:val="DF7C9912"/>
    <w:rsid w:val="EECEFA4D"/>
    <w:rsid w:val="EEE7FB22"/>
    <w:rsid w:val="EF7D737D"/>
    <w:rsid w:val="F7DBA364"/>
    <w:rsid w:val="F7E962CA"/>
    <w:rsid w:val="FDEAD094"/>
    <w:rsid w:val="FE773FF5"/>
    <w:rsid w:val="FEFF2E85"/>
    <w:rsid w:val="FF49E044"/>
    <w:rsid w:val="FF7359B1"/>
    <w:rsid w:val="FFDCFC5A"/>
    <w:rsid w:val="FFFE05C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iPriority="99" w:semiHidden="0" w:name="Body Text First Indent"/>
    <w:lsdException w:qFormat="1"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qFormat="1" w:unhideWhenUsed="0" w:uiPriority="99" w:semiHidden="0"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44"/>
    <w:qFormat/>
    <w:uiPriority w:val="9"/>
    <w:pPr>
      <w:keepNext/>
      <w:keepLines/>
      <w:spacing w:beforeLines="100" w:afterLines="100" w:line="400" w:lineRule="exact"/>
      <w:jc w:val="center"/>
      <w:outlineLvl w:val="0"/>
    </w:pPr>
    <w:rPr>
      <w:b/>
      <w:bCs/>
      <w:kern w:val="44"/>
      <w:sz w:val="44"/>
      <w:szCs w:val="44"/>
    </w:rPr>
  </w:style>
  <w:style w:type="paragraph" w:styleId="5">
    <w:name w:val="heading 2"/>
    <w:basedOn w:val="1"/>
    <w:next w:val="1"/>
    <w:link w:val="45"/>
    <w:qFormat/>
    <w:uiPriority w:val="0"/>
    <w:pPr>
      <w:keepNext/>
      <w:jc w:val="center"/>
      <w:outlineLvl w:val="1"/>
    </w:pPr>
    <w:rPr>
      <w:rFonts w:ascii="Cambria" w:hAnsi="Cambria"/>
      <w:b/>
      <w:bCs/>
      <w:sz w:val="30"/>
      <w:szCs w:val="32"/>
    </w:rPr>
  </w:style>
  <w:style w:type="paragraph" w:styleId="6">
    <w:name w:val="heading 3"/>
    <w:basedOn w:val="1"/>
    <w:next w:val="1"/>
    <w:link w:val="46"/>
    <w:qFormat/>
    <w:uiPriority w:val="9"/>
    <w:pPr>
      <w:keepNext/>
      <w:tabs>
        <w:tab w:val="left" w:pos="720"/>
      </w:tabs>
      <w:spacing w:line="240" w:lineRule="atLeast"/>
      <w:ind w:left="720" w:hanging="720"/>
      <w:jc w:val="center"/>
      <w:outlineLvl w:val="2"/>
    </w:pPr>
    <w:rPr>
      <w:b/>
      <w:bCs/>
      <w:kern w:val="0"/>
      <w:sz w:val="32"/>
      <w:szCs w:val="32"/>
    </w:rPr>
  </w:style>
  <w:style w:type="paragraph" w:styleId="7">
    <w:name w:val="heading 4"/>
    <w:basedOn w:val="1"/>
    <w:next w:val="1"/>
    <w:link w:val="47"/>
    <w:qFormat/>
    <w:uiPriority w:val="9"/>
    <w:pPr>
      <w:keepNext/>
      <w:keepLines/>
      <w:spacing w:before="280" w:after="290" w:line="374" w:lineRule="auto"/>
      <w:outlineLvl w:val="3"/>
    </w:pPr>
    <w:rPr>
      <w:rFonts w:ascii="Cambria" w:hAnsi="Cambria"/>
      <w:b/>
      <w:bCs/>
      <w:kern w:val="0"/>
      <w:sz w:val="28"/>
      <w:szCs w:val="28"/>
    </w:rPr>
  </w:style>
  <w:style w:type="paragraph" w:styleId="8">
    <w:name w:val="heading 5"/>
    <w:basedOn w:val="1"/>
    <w:next w:val="1"/>
    <w:link w:val="48"/>
    <w:semiHidden/>
    <w:unhideWhenUsed/>
    <w:qFormat/>
    <w:uiPriority w:val="9"/>
    <w:pPr>
      <w:keepNext/>
      <w:keepLines/>
      <w:spacing w:line="372" w:lineRule="auto"/>
      <w:ind w:left="1008" w:hanging="1008"/>
      <w:outlineLvl w:val="4"/>
    </w:pPr>
    <w:rPr>
      <w:rFonts w:asciiTheme="minorHAnsi" w:hAnsiTheme="minorHAnsi" w:eastAsiaTheme="minorEastAsia" w:cstheme="minorBidi"/>
      <w:b/>
      <w:sz w:val="28"/>
      <w:szCs w:val="22"/>
    </w:rPr>
  </w:style>
  <w:style w:type="paragraph" w:styleId="9">
    <w:name w:val="heading 6"/>
    <w:basedOn w:val="1"/>
    <w:next w:val="1"/>
    <w:link w:val="132"/>
    <w:semiHidden/>
    <w:unhideWhenUsed/>
    <w:qFormat/>
    <w:uiPriority w:val="9"/>
    <w:pPr>
      <w:keepNext/>
      <w:keepLines/>
      <w:spacing w:line="317" w:lineRule="auto"/>
      <w:ind w:left="1151" w:hanging="1151"/>
      <w:outlineLvl w:val="5"/>
    </w:pPr>
    <w:rPr>
      <w:rFonts w:ascii="Arial" w:hAnsi="Arial" w:eastAsia="黑体" w:cstheme="minorBidi"/>
      <w:b/>
      <w:sz w:val="24"/>
      <w:szCs w:val="22"/>
    </w:rPr>
  </w:style>
  <w:style w:type="paragraph" w:styleId="10">
    <w:name w:val="heading 7"/>
    <w:basedOn w:val="1"/>
    <w:next w:val="1"/>
    <w:link w:val="133"/>
    <w:semiHidden/>
    <w:unhideWhenUsed/>
    <w:qFormat/>
    <w:uiPriority w:val="9"/>
    <w:pPr>
      <w:keepNext/>
      <w:keepLines/>
      <w:spacing w:line="317" w:lineRule="auto"/>
      <w:ind w:left="1296" w:hanging="1296"/>
      <w:outlineLvl w:val="6"/>
    </w:pPr>
    <w:rPr>
      <w:rFonts w:asciiTheme="minorHAnsi" w:hAnsiTheme="minorHAnsi" w:eastAsiaTheme="minorEastAsia" w:cstheme="minorBidi"/>
      <w:b/>
      <w:sz w:val="24"/>
      <w:szCs w:val="22"/>
    </w:rPr>
  </w:style>
  <w:style w:type="paragraph" w:styleId="11">
    <w:name w:val="heading 8"/>
    <w:basedOn w:val="1"/>
    <w:next w:val="1"/>
    <w:link w:val="134"/>
    <w:semiHidden/>
    <w:unhideWhenUsed/>
    <w:qFormat/>
    <w:uiPriority w:val="9"/>
    <w:pPr>
      <w:keepNext/>
      <w:keepLines/>
      <w:spacing w:line="317" w:lineRule="auto"/>
      <w:ind w:left="1440" w:hanging="1440"/>
      <w:outlineLvl w:val="7"/>
    </w:pPr>
    <w:rPr>
      <w:rFonts w:ascii="Arial" w:hAnsi="Arial" w:eastAsia="黑体" w:cstheme="minorBidi"/>
      <w:sz w:val="24"/>
      <w:szCs w:val="22"/>
    </w:rPr>
  </w:style>
  <w:style w:type="paragraph" w:styleId="12">
    <w:name w:val="heading 9"/>
    <w:basedOn w:val="1"/>
    <w:next w:val="1"/>
    <w:link w:val="135"/>
    <w:semiHidden/>
    <w:unhideWhenUsed/>
    <w:qFormat/>
    <w:uiPriority w:val="9"/>
    <w:pPr>
      <w:keepNext/>
      <w:keepLines/>
      <w:spacing w:line="317" w:lineRule="auto"/>
      <w:ind w:left="1583" w:hanging="1583"/>
      <w:outlineLvl w:val="8"/>
    </w:pPr>
    <w:rPr>
      <w:rFonts w:ascii="Arial" w:hAnsi="Arial" w:eastAsia="黑体" w:cstheme="minorBidi"/>
      <w:szCs w:val="22"/>
    </w:rPr>
  </w:style>
  <w:style w:type="character" w:default="1" w:styleId="36">
    <w:name w:val="Default Paragraph Font"/>
    <w:semiHidden/>
    <w:unhideWhenUsed/>
    <w:qFormat/>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customStyle="1" w:styleId="2">
    <w:name w:val="样式3"/>
    <w:basedOn w:val="3"/>
    <w:qFormat/>
    <w:uiPriority w:val="0"/>
    <w:pPr>
      <w:spacing w:line="0" w:lineRule="atLeast"/>
      <w:outlineLvl w:val="0"/>
    </w:pPr>
    <w:rPr>
      <w:kern w:val="2"/>
      <w:sz w:val="28"/>
    </w:rPr>
  </w:style>
  <w:style w:type="paragraph" w:styleId="3">
    <w:name w:val="Plain Text"/>
    <w:basedOn w:val="1"/>
    <w:link w:val="54"/>
    <w:qFormat/>
    <w:uiPriority w:val="0"/>
    <w:rPr>
      <w:rFonts w:ascii="宋体" w:hAnsi="Courier New"/>
      <w:kern w:val="0"/>
      <w:szCs w:val="21"/>
    </w:rPr>
  </w:style>
  <w:style w:type="paragraph" w:styleId="13">
    <w:name w:val="Normal Indent"/>
    <w:basedOn w:val="1"/>
    <w:link w:val="49"/>
    <w:qFormat/>
    <w:uiPriority w:val="0"/>
    <w:pPr>
      <w:widowControl/>
      <w:adjustRightInd w:val="0"/>
      <w:snapToGrid w:val="0"/>
      <w:spacing w:line="480" w:lineRule="exact"/>
      <w:ind w:firstLine="567"/>
    </w:pPr>
    <w:rPr>
      <w:rFonts w:ascii="宋体"/>
      <w:snapToGrid w:val="0"/>
      <w:color w:val="000000"/>
      <w:kern w:val="28"/>
      <w:sz w:val="28"/>
    </w:rPr>
  </w:style>
  <w:style w:type="paragraph" w:styleId="14">
    <w:name w:val="Document Map"/>
    <w:basedOn w:val="1"/>
    <w:link w:val="50"/>
    <w:qFormat/>
    <w:uiPriority w:val="0"/>
    <w:pPr>
      <w:shd w:val="clear" w:color="auto" w:fill="000080"/>
    </w:pPr>
    <w:rPr>
      <w:kern w:val="0"/>
      <w:sz w:val="2"/>
    </w:rPr>
  </w:style>
  <w:style w:type="paragraph" w:styleId="15">
    <w:name w:val="toa heading"/>
    <w:basedOn w:val="1"/>
    <w:next w:val="1"/>
    <w:semiHidden/>
    <w:unhideWhenUsed/>
    <w:qFormat/>
    <w:uiPriority w:val="99"/>
    <w:pPr>
      <w:spacing w:before="120"/>
    </w:pPr>
    <w:rPr>
      <w:rFonts w:ascii="Arial" w:hAnsi="Arial" w:cs="Arial"/>
      <w:sz w:val="24"/>
      <w:szCs w:val="24"/>
    </w:rPr>
  </w:style>
  <w:style w:type="paragraph" w:styleId="16">
    <w:name w:val="annotation text"/>
    <w:basedOn w:val="1"/>
    <w:link w:val="51"/>
    <w:qFormat/>
    <w:uiPriority w:val="99"/>
    <w:pPr>
      <w:jc w:val="left"/>
    </w:pPr>
  </w:style>
  <w:style w:type="paragraph" w:styleId="17">
    <w:name w:val="Body Text"/>
    <w:basedOn w:val="1"/>
    <w:next w:val="18"/>
    <w:link w:val="52"/>
    <w:qFormat/>
    <w:uiPriority w:val="0"/>
    <w:rPr>
      <w:kern w:val="0"/>
      <w:sz w:val="20"/>
    </w:rPr>
  </w:style>
  <w:style w:type="paragraph" w:styleId="18">
    <w:name w:val="Body Text First Indent"/>
    <w:basedOn w:val="17"/>
    <w:next w:val="1"/>
    <w:link w:val="63"/>
    <w:unhideWhenUsed/>
    <w:qFormat/>
    <w:uiPriority w:val="99"/>
    <w:pPr>
      <w:spacing w:after="120"/>
      <w:ind w:firstLine="420" w:firstLineChars="100"/>
    </w:pPr>
    <w:rPr>
      <w:kern w:val="2"/>
      <w:sz w:val="21"/>
    </w:rPr>
  </w:style>
  <w:style w:type="paragraph" w:styleId="19">
    <w:name w:val="Body Text Indent"/>
    <w:basedOn w:val="1"/>
    <w:next w:val="1"/>
    <w:link w:val="53"/>
    <w:qFormat/>
    <w:uiPriority w:val="0"/>
    <w:pPr>
      <w:spacing w:line="380" w:lineRule="exact"/>
      <w:ind w:firstLine="480"/>
    </w:pPr>
    <w:rPr>
      <w:kern w:val="0"/>
      <w:sz w:val="20"/>
    </w:rPr>
  </w:style>
  <w:style w:type="paragraph" w:styleId="20">
    <w:name w:val="Block Text"/>
    <w:basedOn w:val="1"/>
    <w:qFormat/>
    <w:uiPriority w:val="0"/>
    <w:pPr>
      <w:adjustRightInd w:val="0"/>
      <w:snapToGrid w:val="0"/>
      <w:spacing w:line="360" w:lineRule="auto"/>
      <w:ind w:left="567" w:leftChars="270" w:right="-315" w:rightChars="-150" w:firstLine="480" w:firstLineChars="200"/>
    </w:pPr>
    <w:rPr>
      <w:rFonts w:ascii="宋体"/>
      <w:sz w:val="24"/>
      <w:szCs w:val="24"/>
    </w:rPr>
  </w:style>
  <w:style w:type="paragraph" w:styleId="21">
    <w:name w:val="toc 3"/>
    <w:basedOn w:val="1"/>
    <w:next w:val="1"/>
    <w:qFormat/>
    <w:uiPriority w:val="39"/>
    <w:pPr>
      <w:ind w:left="840" w:leftChars="400"/>
    </w:pPr>
  </w:style>
  <w:style w:type="paragraph" w:styleId="22">
    <w:name w:val="Date"/>
    <w:basedOn w:val="1"/>
    <w:next w:val="1"/>
    <w:link w:val="55"/>
    <w:qFormat/>
    <w:uiPriority w:val="0"/>
    <w:rPr>
      <w:sz w:val="28"/>
    </w:rPr>
  </w:style>
  <w:style w:type="paragraph" w:styleId="23">
    <w:name w:val="Body Text Indent 2"/>
    <w:basedOn w:val="1"/>
    <w:link w:val="56"/>
    <w:qFormat/>
    <w:uiPriority w:val="0"/>
    <w:pPr>
      <w:tabs>
        <w:tab w:val="left" w:pos="240"/>
        <w:tab w:val="left" w:pos="480"/>
      </w:tabs>
      <w:ind w:left="630" w:leftChars="300"/>
    </w:pPr>
    <w:rPr>
      <w:kern w:val="0"/>
      <w:sz w:val="20"/>
    </w:rPr>
  </w:style>
  <w:style w:type="paragraph" w:styleId="24">
    <w:name w:val="Balloon Text"/>
    <w:basedOn w:val="1"/>
    <w:link w:val="57"/>
    <w:qFormat/>
    <w:uiPriority w:val="0"/>
    <w:rPr>
      <w:sz w:val="18"/>
      <w:szCs w:val="18"/>
    </w:rPr>
  </w:style>
  <w:style w:type="paragraph" w:styleId="25">
    <w:name w:val="footer"/>
    <w:basedOn w:val="1"/>
    <w:link w:val="58"/>
    <w:qFormat/>
    <w:uiPriority w:val="99"/>
    <w:pPr>
      <w:tabs>
        <w:tab w:val="center" w:pos="4153"/>
        <w:tab w:val="right" w:pos="8306"/>
      </w:tabs>
      <w:snapToGrid w:val="0"/>
      <w:jc w:val="left"/>
    </w:pPr>
    <w:rPr>
      <w:kern w:val="0"/>
      <w:sz w:val="18"/>
      <w:szCs w:val="18"/>
    </w:rPr>
  </w:style>
  <w:style w:type="paragraph" w:styleId="26">
    <w:name w:val="header"/>
    <w:basedOn w:val="1"/>
    <w:link w:val="59"/>
    <w:qFormat/>
    <w:uiPriority w:val="99"/>
    <w:pPr>
      <w:pBdr>
        <w:bottom w:val="single" w:color="auto" w:sz="6" w:space="1"/>
      </w:pBdr>
      <w:tabs>
        <w:tab w:val="center" w:pos="4153"/>
        <w:tab w:val="right" w:pos="8306"/>
      </w:tabs>
      <w:snapToGrid w:val="0"/>
      <w:jc w:val="center"/>
    </w:pPr>
    <w:rPr>
      <w:kern w:val="0"/>
      <w:sz w:val="18"/>
      <w:szCs w:val="18"/>
    </w:rPr>
  </w:style>
  <w:style w:type="paragraph" w:styleId="27">
    <w:name w:val="toc 1"/>
    <w:basedOn w:val="1"/>
    <w:next w:val="1"/>
    <w:qFormat/>
    <w:uiPriority w:val="39"/>
    <w:rPr>
      <w:sz w:val="24"/>
    </w:rPr>
  </w:style>
  <w:style w:type="paragraph" w:styleId="28">
    <w:name w:val="Body Text Indent 3"/>
    <w:basedOn w:val="1"/>
    <w:link w:val="60"/>
    <w:qFormat/>
    <w:uiPriority w:val="0"/>
    <w:pPr>
      <w:spacing w:after="120"/>
      <w:ind w:left="420" w:leftChars="200"/>
    </w:pPr>
    <w:rPr>
      <w:sz w:val="16"/>
      <w:szCs w:val="16"/>
    </w:rPr>
  </w:style>
  <w:style w:type="paragraph" w:styleId="29">
    <w:name w:val="toc 2"/>
    <w:basedOn w:val="1"/>
    <w:next w:val="1"/>
    <w:qFormat/>
    <w:uiPriority w:val="39"/>
    <w:pPr>
      <w:ind w:left="420" w:leftChars="200"/>
    </w:pPr>
  </w:style>
  <w:style w:type="paragraph" w:styleId="30">
    <w:name w:val="Body Text 2"/>
    <w:basedOn w:val="1"/>
    <w:link w:val="61"/>
    <w:qFormat/>
    <w:uiPriority w:val="0"/>
    <w:pPr>
      <w:spacing w:after="120" w:line="480" w:lineRule="auto"/>
    </w:pPr>
    <w:rPr>
      <w:kern w:val="0"/>
      <w:sz w:val="20"/>
    </w:rPr>
  </w:style>
  <w:style w:type="paragraph" w:styleId="31">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szCs w:val="24"/>
    </w:rPr>
  </w:style>
  <w:style w:type="paragraph" w:styleId="32">
    <w:name w:val="annotation subject"/>
    <w:basedOn w:val="16"/>
    <w:next w:val="16"/>
    <w:link w:val="62"/>
    <w:qFormat/>
    <w:uiPriority w:val="0"/>
    <w:rPr>
      <w:b/>
      <w:bCs/>
    </w:rPr>
  </w:style>
  <w:style w:type="paragraph" w:styleId="33">
    <w:name w:val="Body Text First Indent 2"/>
    <w:basedOn w:val="19"/>
    <w:link w:val="141"/>
    <w:semiHidden/>
    <w:unhideWhenUsed/>
    <w:qFormat/>
    <w:uiPriority w:val="99"/>
    <w:pPr>
      <w:spacing w:after="120" w:line="240" w:lineRule="auto"/>
      <w:ind w:left="420" w:leftChars="200" w:firstLine="420" w:firstLineChars="200"/>
    </w:pPr>
    <w:rPr>
      <w:kern w:val="2"/>
      <w:sz w:val="21"/>
    </w:rPr>
  </w:style>
  <w:style w:type="table" w:styleId="35">
    <w:name w:val="Table Grid"/>
    <w:basedOn w:val="34"/>
    <w:qFormat/>
    <w:uiPriority w:val="59"/>
    <w:rPr>
      <w:rFonts w:asciiTheme="minorHAnsi" w:hAnsiTheme="minorHAnsi" w:eastAsiaTheme="minorEastAsia" w:cstheme="minorBidi"/>
      <w:kern w:val="2"/>
      <w:sz w:val="21"/>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37">
    <w:name w:val="Strong"/>
    <w:qFormat/>
    <w:uiPriority w:val="0"/>
    <w:rPr>
      <w:b/>
      <w:bCs/>
    </w:rPr>
  </w:style>
  <w:style w:type="character" w:styleId="38">
    <w:name w:val="page number"/>
    <w:qFormat/>
    <w:uiPriority w:val="0"/>
    <w:rPr>
      <w:rFonts w:cs="Times New Roman"/>
    </w:rPr>
  </w:style>
  <w:style w:type="character" w:styleId="39">
    <w:name w:val="FollowedHyperlink"/>
    <w:qFormat/>
    <w:uiPriority w:val="99"/>
    <w:rPr>
      <w:rFonts w:cs="Times New Roman"/>
      <w:color w:val="800080"/>
      <w:u w:val="single"/>
    </w:rPr>
  </w:style>
  <w:style w:type="character" w:styleId="40">
    <w:name w:val="HTML Typewriter"/>
    <w:qFormat/>
    <w:uiPriority w:val="99"/>
    <w:rPr>
      <w:rFonts w:ascii="Courier New" w:hAnsi="Courier New" w:cs="Courier New"/>
      <w:sz w:val="20"/>
      <w:szCs w:val="20"/>
    </w:rPr>
  </w:style>
  <w:style w:type="character" w:styleId="41">
    <w:name w:val="Hyperlink"/>
    <w:qFormat/>
    <w:uiPriority w:val="99"/>
    <w:rPr>
      <w:rFonts w:cs="Times New Roman"/>
      <w:color w:val="0000FF"/>
      <w:u w:val="single"/>
    </w:rPr>
  </w:style>
  <w:style w:type="character" w:styleId="42">
    <w:name w:val="annotation reference"/>
    <w:basedOn w:val="36"/>
    <w:qFormat/>
    <w:uiPriority w:val="0"/>
    <w:rPr>
      <w:sz w:val="21"/>
      <w:szCs w:val="21"/>
    </w:rPr>
  </w:style>
  <w:style w:type="paragraph" w:styleId="43">
    <w:name w:val="List Paragraph"/>
    <w:basedOn w:val="1"/>
    <w:qFormat/>
    <w:uiPriority w:val="34"/>
    <w:pPr>
      <w:ind w:firstLine="420" w:firstLineChars="200"/>
    </w:pPr>
  </w:style>
  <w:style w:type="character" w:customStyle="1" w:styleId="44">
    <w:name w:val="标题 1 Char"/>
    <w:link w:val="4"/>
    <w:qFormat/>
    <w:uiPriority w:val="0"/>
    <w:rPr>
      <w:rFonts w:cs="Times New Roman"/>
      <w:b/>
      <w:bCs/>
      <w:kern w:val="44"/>
      <w:sz w:val="44"/>
      <w:szCs w:val="44"/>
    </w:rPr>
  </w:style>
  <w:style w:type="character" w:customStyle="1" w:styleId="45">
    <w:name w:val="标题 2 Char"/>
    <w:link w:val="5"/>
    <w:qFormat/>
    <w:uiPriority w:val="0"/>
    <w:rPr>
      <w:rFonts w:ascii="Cambria" w:hAnsi="Cambria"/>
      <w:b/>
      <w:bCs/>
      <w:kern w:val="2"/>
      <w:sz w:val="30"/>
      <w:szCs w:val="32"/>
    </w:rPr>
  </w:style>
  <w:style w:type="character" w:customStyle="1" w:styleId="46">
    <w:name w:val="标题 3 Char"/>
    <w:link w:val="6"/>
    <w:qFormat/>
    <w:uiPriority w:val="0"/>
    <w:rPr>
      <w:rFonts w:cs="Times New Roman"/>
      <w:b/>
      <w:bCs/>
      <w:sz w:val="32"/>
      <w:szCs w:val="32"/>
    </w:rPr>
  </w:style>
  <w:style w:type="character" w:customStyle="1" w:styleId="47">
    <w:name w:val="标题 4 Char"/>
    <w:link w:val="7"/>
    <w:qFormat/>
    <w:uiPriority w:val="0"/>
    <w:rPr>
      <w:rFonts w:ascii="Cambria" w:hAnsi="Cambria" w:eastAsia="宋体" w:cs="Times New Roman"/>
      <w:b/>
      <w:bCs/>
      <w:sz w:val="28"/>
      <w:szCs w:val="28"/>
    </w:rPr>
  </w:style>
  <w:style w:type="character" w:customStyle="1" w:styleId="48">
    <w:name w:val="标题 5 Char"/>
    <w:basedOn w:val="36"/>
    <w:link w:val="8"/>
    <w:semiHidden/>
    <w:qFormat/>
    <w:uiPriority w:val="9"/>
    <w:rPr>
      <w:rFonts w:asciiTheme="minorHAnsi" w:hAnsiTheme="minorHAnsi" w:eastAsiaTheme="minorEastAsia" w:cstheme="minorBidi"/>
      <w:b/>
      <w:kern w:val="2"/>
      <w:sz w:val="28"/>
      <w:szCs w:val="22"/>
    </w:rPr>
  </w:style>
  <w:style w:type="character" w:customStyle="1" w:styleId="49">
    <w:name w:val="正文缩进 Char"/>
    <w:link w:val="13"/>
    <w:qFormat/>
    <w:uiPriority w:val="0"/>
    <w:rPr>
      <w:rFonts w:ascii="宋体" w:eastAsia="宋体"/>
      <w:snapToGrid w:val="0"/>
      <w:color w:val="000000"/>
      <w:kern w:val="28"/>
      <w:sz w:val="28"/>
      <w:lang w:val="en-US" w:eastAsia="zh-CN" w:bidi="ar-SA"/>
    </w:rPr>
  </w:style>
  <w:style w:type="character" w:customStyle="1" w:styleId="50">
    <w:name w:val="文档结构图 Char"/>
    <w:link w:val="14"/>
    <w:qFormat/>
    <w:uiPriority w:val="0"/>
    <w:rPr>
      <w:rFonts w:cs="Times New Roman"/>
      <w:sz w:val="2"/>
    </w:rPr>
  </w:style>
  <w:style w:type="character" w:customStyle="1" w:styleId="51">
    <w:name w:val="批注文字 Char"/>
    <w:basedOn w:val="36"/>
    <w:link w:val="16"/>
    <w:qFormat/>
    <w:uiPriority w:val="0"/>
    <w:rPr>
      <w:rFonts w:ascii="Times New Roman" w:hAnsi="Times New Roman" w:eastAsia="宋体" w:cs="Times New Roman"/>
      <w:kern w:val="2"/>
      <w:sz w:val="21"/>
    </w:rPr>
  </w:style>
  <w:style w:type="character" w:customStyle="1" w:styleId="52">
    <w:name w:val="正文文本 Char"/>
    <w:link w:val="17"/>
    <w:qFormat/>
    <w:uiPriority w:val="0"/>
    <w:rPr>
      <w:rFonts w:cs="Times New Roman"/>
      <w:sz w:val="20"/>
      <w:szCs w:val="20"/>
    </w:rPr>
  </w:style>
  <w:style w:type="character" w:customStyle="1" w:styleId="53">
    <w:name w:val="正文文本缩进 Char"/>
    <w:link w:val="19"/>
    <w:qFormat/>
    <w:uiPriority w:val="0"/>
    <w:rPr>
      <w:rFonts w:cs="Times New Roman"/>
      <w:sz w:val="20"/>
      <w:szCs w:val="20"/>
    </w:rPr>
  </w:style>
  <w:style w:type="character" w:customStyle="1" w:styleId="54">
    <w:name w:val="纯文本 Char"/>
    <w:link w:val="3"/>
    <w:qFormat/>
    <w:uiPriority w:val="0"/>
    <w:rPr>
      <w:rFonts w:ascii="宋体" w:hAnsi="Courier New" w:cs="Courier New"/>
      <w:sz w:val="21"/>
      <w:szCs w:val="21"/>
    </w:rPr>
  </w:style>
  <w:style w:type="character" w:customStyle="1" w:styleId="55">
    <w:name w:val="日期 Char"/>
    <w:link w:val="22"/>
    <w:qFormat/>
    <w:uiPriority w:val="0"/>
    <w:rPr>
      <w:rFonts w:cs="Times New Roman"/>
      <w:kern w:val="2"/>
      <w:sz w:val="28"/>
    </w:rPr>
  </w:style>
  <w:style w:type="character" w:customStyle="1" w:styleId="56">
    <w:name w:val="正文文本缩进 2 Char"/>
    <w:link w:val="23"/>
    <w:qFormat/>
    <w:uiPriority w:val="0"/>
    <w:rPr>
      <w:rFonts w:cs="Times New Roman"/>
      <w:sz w:val="20"/>
      <w:szCs w:val="20"/>
    </w:rPr>
  </w:style>
  <w:style w:type="character" w:customStyle="1" w:styleId="57">
    <w:name w:val="批注框文本 Char"/>
    <w:basedOn w:val="36"/>
    <w:link w:val="24"/>
    <w:qFormat/>
    <w:uiPriority w:val="0"/>
    <w:rPr>
      <w:rFonts w:ascii="Times New Roman" w:hAnsi="Times New Roman" w:eastAsia="宋体" w:cs="Times New Roman"/>
      <w:kern w:val="2"/>
      <w:sz w:val="18"/>
      <w:szCs w:val="18"/>
    </w:rPr>
  </w:style>
  <w:style w:type="character" w:customStyle="1" w:styleId="58">
    <w:name w:val="页脚 Char"/>
    <w:link w:val="25"/>
    <w:qFormat/>
    <w:uiPriority w:val="99"/>
    <w:rPr>
      <w:rFonts w:cs="Times New Roman"/>
      <w:sz w:val="18"/>
      <w:szCs w:val="18"/>
    </w:rPr>
  </w:style>
  <w:style w:type="character" w:customStyle="1" w:styleId="59">
    <w:name w:val="页眉 Char"/>
    <w:link w:val="26"/>
    <w:qFormat/>
    <w:uiPriority w:val="99"/>
    <w:rPr>
      <w:rFonts w:cs="Times New Roman"/>
      <w:sz w:val="18"/>
      <w:szCs w:val="18"/>
    </w:rPr>
  </w:style>
  <w:style w:type="character" w:customStyle="1" w:styleId="60">
    <w:name w:val="正文文本缩进 3 Char"/>
    <w:link w:val="28"/>
    <w:qFormat/>
    <w:uiPriority w:val="0"/>
    <w:rPr>
      <w:rFonts w:cs="Times New Roman"/>
      <w:kern w:val="2"/>
      <w:sz w:val="16"/>
      <w:szCs w:val="16"/>
    </w:rPr>
  </w:style>
  <w:style w:type="character" w:customStyle="1" w:styleId="61">
    <w:name w:val="正文文本 2 Char"/>
    <w:link w:val="30"/>
    <w:qFormat/>
    <w:uiPriority w:val="0"/>
    <w:rPr>
      <w:rFonts w:cs="Times New Roman"/>
      <w:sz w:val="20"/>
      <w:szCs w:val="20"/>
    </w:rPr>
  </w:style>
  <w:style w:type="character" w:customStyle="1" w:styleId="62">
    <w:name w:val="批注主题 Char"/>
    <w:basedOn w:val="51"/>
    <w:link w:val="32"/>
    <w:qFormat/>
    <w:uiPriority w:val="0"/>
    <w:rPr>
      <w:rFonts w:ascii="Times New Roman" w:hAnsi="Times New Roman" w:eastAsia="宋体" w:cs="Times New Roman"/>
      <w:b/>
      <w:bCs/>
      <w:kern w:val="2"/>
      <w:sz w:val="21"/>
    </w:rPr>
  </w:style>
  <w:style w:type="character" w:customStyle="1" w:styleId="63">
    <w:name w:val="正文首行缩进 Char"/>
    <w:link w:val="18"/>
    <w:qFormat/>
    <w:uiPriority w:val="99"/>
    <w:rPr>
      <w:rFonts w:cs="Times New Roman"/>
      <w:kern w:val="2"/>
      <w:sz w:val="21"/>
      <w:szCs w:val="20"/>
    </w:rPr>
  </w:style>
  <w:style w:type="character" w:customStyle="1" w:styleId="64">
    <w:name w:val="普通文字 Char Char2"/>
    <w:qFormat/>
    <w:locked/>
    <w:uiPriority w:val="0"/>
    <w:rPr>
      <w:rFonts w:ascii="宋体" w:hAnsi="Courier New" w:eastAsia="宋体" w:cs="Times New Roman"/>
      <w:kern w:val="2"/>
      <w:sz w:val="21"/>
      <w:lang w:val="en-US" w:eastAsia="zh-CN" w:bidi="ar-SA"/>
    </w:rPr>
  </w:style>
  <w:style w:type="character" w:customStyle="1" w:styleId="65">
    <w:name w:val="_正文段落 Char"/>
    <w:link w:val="66"/>
    <w:qFormat/>
    <w:uiPriority w:val="0"/>
    <w:rPr>
      <w:rFonts w:ascii="仿宋_GB2312" w:eastAsia="仿宋_GB2312"/>
      <w:sz w:val="28"/>
      <w:szCs w:val="24"/>
    </w:rPr>
  </w:style>
  <w:style w:type="paragraph" w:customStyle="1" w:styleId="66">
    <w:name w:val="_正文段落"/>
    <w:basedOn w:val="1"/>
    <w:link w:val="65"/>
    <w:qFormat/>
    <w:uiPriority w:val="0"/>
    <w:pPr>
      <w:spacing w:line="360" w:lineRule="auto"/>
      <w:ind w:firstLine="200" w:firstLineChars="200"/>
    </w:pPr>
    <w:rPr>
      <w:rFonts w:ascii="仿宋_GB2312" w:eastAsia="仿宋_GB2312"/>
      <w:kern w:val="0"/>
      <w:sz w:val="28"/>
      <w:szCs w:val="24"/>
    </w:rPr>
  </w:style>
  <w:style w:type="character" w:customStyle="1" w:styleId="67">
    <w:name w:val="内容"/>
    <w:qFormat/>
    <w:uiPriority w:val="0"/>
    <w:rPr>
      <w:rFonts w:ascii="华文细黑" w:eastAsia="华文细黑"/>
      <w:color w:val="75787B"/>
      <w:sz w:val="20"/>
      <w:u w:val="none"/>
    </w:rPr>
  </w:style>
  <w:style w:type="character" w:customStyle="1" w:styleId="68">
    <w:name w:val="纯文本 Char1"/>
    <w:qFormat/>
    <w:uiPriority w:val="99"/>
    <w:rPr>
      <w:rFonts w:ascii="宋体" w:hAnsi="Courier New" w:eastAsia="宋体"/>
      <w:kern w:val="2"/>
      <w:sz w:val="21"/>
      <w:lang w:val="en-US" w:eastAsia="zh-CN" w:bidi="ar-SA"/>
    </w:rPr>
  </w:style>
  <w:style w:type="character" w:customStyle="1" w:styleId="69">
    <w:name w:val="ca-31"/>
    <w:qFormat/>
    <w:uiPriority w:val="0"/>
    <w:rPr>
      <w:rFonts w:hint="eastAsia" w:ascii="宋体" w:hAnsi="宋体" w:eastAsia="宋体"/>
      <w:sz w:val="21"/>
      <w:szCs w:val="21"/>
    </w:rPr>
  </w:style>
  <w:style w:type="character" w:customStyle="1" w:styleId="70">
    <w:name w:val="正文2 Char Char"/>
    <w:link w:val="71"/>
    <w:qFormat/>
    <w:uiPriority w:val="0"/>
    <w:rPr>
      <w:rFonts w:eastAsia="宋体"/>
      <w:kern w:val="2"/>
      <w:sz w:val="24"/>
      <w:lang w:val="en-US" w:eastAsia="zh-CN" w:bidi="ar-SA"/>
    </w:rPr>
  </w:style>
  <w:style w:type="paragraph" w:customStyle="1" w:styleId="71">
    <w:name w:val="正文2"/>
    <w:basedOn w:val="1"/>
    <w:link w:val="70"/>
    <w:qFormat/>
    <w:uiPriority w:val="0"/>
    <w:pPr>
      <w:spacing w:before="156" w:line="360" w:lineRule="auto"/>
      <w:ind w:firstLine="510" w:firstLineChars="200"/>
    </w:pPr>
    <w:rPr>
      <w:sz w:val="24"/>
    </w:rPr>
  </w:style>
  <w:style w:type="character" w:customStyle="1" w:styleId="72">
    <w:name w:val="ca-51"/>
    <w:qFormat/>
    <w:uiPriority w:val="0"/>
    <w:rPr>
      <w:rFonts w:hint="eastAsia" w:ascii="宋体" w:hAnsi="宋体" w:eastAsia="宋体"/>
      <w:color w:val="FF0000"/>
      <w:sz w:val="21"/>
      <w:szCs w:val="21"/>
    </w:rPr>
  </w:style>
  <w:style w:type="paragraph" w:customStyle="1" w:styleId="73">
    <w:name w:val="纸短情长，再祈珍重！"/>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74">
    <w:name w:val="主题:"/>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75">
    <w:name w:val="分手多日，近况如何？"/>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76">
    <w:name w:val="Char1"/>
    <w:basedOn w:val="14"/>
    <w:qFormat/>
    <w:uiPriority w:val="0"/>
    <w:pPr>
      <w:adjustRightInd w:val="0"/>
      <w:spacing w:line="436" w:lineRule="exact"/>
      <w:ind w:left="357"/>
      <w:jc w:val="left"/>
      <w:outlineLvl w:val="3"/>
    </w:pPr>
  </w:style>
  <w:style w:type="paragraph" w:customStyle="1" w:styleId="77">
    <w:name w:val="创建日期"/>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78">
    <w:name w:val="机密、页码、日期"/>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79">
    <w:name w:val="xl28"/>
    <w:basedOn w:val="1"/>
    <w:qFormat/>
    <w:uiPriority w:val="0"/>
    <w:pPr>
      <w:widowControl/>
      <w:pBdr>
        <w:bottom w:val="single" w:color="auto" w:sz="4" w:space="0"/>
      </w:pBdr>
      <w:spacing w:before="100" w:beforeAutospacing="1" w:after="100" w:afterAutospacing="1"/>
      <w:jc w:val="left"/>
    </w:pPr>
    <w:rPr>
      <w:rFonts w:ascii="宋体" w:hAnsi="宋体"/>
      <w:kern w:val="0"/>
      <w:sz w:val="24"/>
      <w:szCs w:val="24"/>
    </w:rPr>
  </w:style>
  <w:style w:type="paragraph" w:customStyle="1" w:styleId="80">
    <w:name w:val="奉读大示，心折殊深。"/>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1">
    <w:name w:val="文件名和路径"/>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2">
    <w:name w:val="匆此先复，余容后禀。"/>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3">
    <w:name w:val="叩请金安！"/>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4">
    <w:name w:val="参考:"/>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5">
    <w:name w:val="Char Char Char Char Char Char"/>
    <w:basedOn w:val="1"/>
    <w:qFormat/>
    <w:uiPriority w:val="0"/>
    <w:pPr>
      <w:ind w:firstLine="200" w:firstLineChars="200"/>
    </w:pPr>
    <w:rPr>
      <w:rFonts w:ascii="Tahoma" w:hAnsi="Tahoma"/>
      <w:sz w:val="24"/>
    </w:rPr>
  </w:style>
  <w:style w:type="paragraph" w:customStyle="1" w:styleId="86">
    <w:name w:val="自动更正"/>
    <w:qFormat/>
    <w:uiPriority w:val="0"/>
    <w:pPr>
      <w:widowControl w:val="0"/>
      <w:jc w:val="both"/>
    </w:pPr>
    <w:rPr>
      <w:rFonts w:ascii="Times New Roman" w:hAnsi="Times New Roman" w:eastAsia="宋体" w:cs="Times New Roman"/>
      <w:kern w:val="2"/>
      <w:sz w:val="21"/>
      <w:lang w:val="en-US" w:eastAsia="zh-CN" w:bidi="ar-SA"/>
    </w:rPr>
  </w:style>
  <w:style w:type="paragraph" w:styleId="87">
    <w:name w:val="No Spacing"/>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8">
    <w:name w:val="音问久疏，唯愿一切康适。"/>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9">
    <w:name w:val="Char2 Char Char"/>
    <w:basedOn w:val="1"/>
    <w:qFormat/>
    <w:uiPriority w:val="0"/>
    <w:rPr>
      <w:rFonts w:ascii="Tahoma" w:hAnsi="Tahoma"/>
      <w:sz w:val="24"/>
    </w:rPr>
  </w:style>
  <w:style w:type="paragraph" w:customStyle="1" w:styleId="90">
    <w:name w:val="惠书敬悉，迟复为歉。"/>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1">
    <w:name w:val="- 页码 -"/>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2">
    <w:name w:val="近来寒暑不常，希自珍慰。"/>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3">
    <w:name w:val="Char Char Char"/>
    <w:basedOn w:val="1"/>
    <w:qFormat/>
    <w:uiPriority w:val="0"/>
    <w:rPr>
      <w:rFonts w:ascii="Tahoma" w:hAnsi="Tahoma"/>
      <w:sz w:val="24"/>
    </w:rPr>
  </w:style>
  <w:style w:type="paragraph" w:customStyle="1" w:styleId="94">
    <w:name w:val="知尊恙复发，心甚念之。"/>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5">
    <w:name w:val="奉恳之事，乞速复为荷。"/>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6">
    <w:name w:val="请勿折叠！"/>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7">
    <w:name w:val="上次保存者"/>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8">
    <w:name w:val="作者、页码、日期"/>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9">
    <w:name w:val="答复:"/>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0">
    <w:name w:val="TOC 标题1"/>
    <w:basedOn w:val="4"/>
    <w:next w:val="1"/>
    <w:qFormat/>
    <w:uiPriority w:val="0"/>
    <w:pPr>
      <w:widowControl/>
      <w:spacing w:beforeLines="0" w:line="276" w:lineRule="auto"/>
      <w:jc w:val="left"/>
      <w:outlineLvl w:val="9"/>
    </w:pPr>
    <w:rPr>
      <w:rFonts w:ascii="Cambria" w:hAnsi="Cambria"/>
      <w:bCs w:val="0"/>
      <w:color w:val="365F91"/>
      <w:kern w:val="0"/>
      <w:sz w:val="28"/>
      <w:szCs w:val="28"/>
    </w:rPr>
  </w:style>
  <w:style w:type="paragraph" w:customStyle="1" w:styleId="101">
    <w:name w:val="先生/女士："/>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2">
    <w:name w:val="文件名"/>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3">
    <w:name w:val="reader-word-laye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04">
    <w:name w:val="关于:"/>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5">
    <w:name w:val="敬启者："/>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6">
    <w:name w:val="第 X 页 共 Y 页"/>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7">
    <w:name w:val="上次打印时间"/>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8">
    <w:name w:val="Char"/>
    <w:basedOn w:val="1"/>
    <w:qFormat/>
    <w:uiPriority w:val="0"/>
    <w:pPr>
      <w:widowControl/>
      <w:spacing w:line="400" w:lineRule="exact"/>
      <w:jc w:val="center"/>
    </w:pPr>
    <w:rPr>
      <w:rFonts w:ascii="Verdana" w:hAnsi="Verdana"/>
      <w:kern w:val="0"/>
      <w:lang w:eastAsia="en-US"/>
    </w:rPr>
  </w:style>
  <w:style w:type="paragraph" w:customStyle="1" w:styleId="109">
    <w:name w:val="Char2"/>
    <w:basedOn w:val="1"/>
    <w:qFormat/>
    <w:uiPriority w:val="0"/>
    <w:pPr>
      <w:tabs>
        <w:tab w:val="left" w:pos="720"/>
      </w:tabs>
      <w:ind w:left="720" w:hanging="360"/>
    </w:pPr>
    <w:rPr>
      <w:sz w:val="24"/>
      <w:szCs w:val="24"/>
    </w:rPr>
  </w:style>
  <w:style w:type="paragraph" w:customStyle="1" w:styleId="110">
    <w:name w:val="作者"/>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1">
    <w:name w:val="前上一函，谅达雅鉴，迄今未闻复音。"/>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2">
    <w:name w:val="临书仓促，不尽欲言。"/>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3">
    <w:name w:val="久不通函，至以为念。"/>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4">
    <w:name w:val="Char11"/>
    <w:basedOn w:val="14"/>
    <w:qFormat/>
    <w:uiPriority w:val="0"/>
    <w:pPr>
      <w:adjustRightInd w:val="0"/>
      <w:spacing w:line="436" w:lineRule="exact"/>
      <w:ind w:left="357"/>
      <w:jc w:val="left"/>
      <w:outlineLvl w:val="3"/>
    </w:pPr>
    <w:rPr>
      <w:rFonts w:ascii="Tahoma" w:hAnsi="Tahoma"/>
      <w:b/>
      <w:sz w:val="24"/>
      <w:szCs w:val="24"/>
    </w:rPr>
  </w:style>
  <w:style w:type="paragraph" w:customStyle="1" w:styleId="115">
    <w:name w:val="尊意如何，请即示知。"/>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6">
    <w:name w:val="亲启"/>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7">
    <w:name w:val="顺颂商祺！"/>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8">
    <w:name w:val="Char Char2"/>
    <w:basedOn w:val="1"/>
    <w:qFormat/>
    <w:uiPriority w:val="0"/>
    <w:rPr>
      <w:rFonts w:ascii="宋体" w:hAnsi="宋体"/>
      <w:b/>
      <w:sz w:val="28"/>
      <w:szCs w:val="28"/>
    </w:rPr>
  </w:style>
  <w:style w:type="paragraph" w:customStyle="1" w:styleId="119">
    <w:name w:val="表"/>
    <w:basedOn w:val="1"/>
    <w:qFormat/>
    <w:uiPriority w:val="0"/>
    <w:pPr>
      <w:spacing w:line="360" w:lineRule="auto"/>
    </w:pPr>
    <w:rPr>
      <w:rFonts w:cs="Garamond"/>
      <w:b/>
      <w:bCs/>
      <w:color w:val="FF0000"/>
    </w:rPr>
  </w:style>
  <w:style w:type="paragraph" w:customStyle="1" w:styleId="120">
    <w:name w:val="主体"/>
    <w:basedOn w:val="1"/>
    <w:link w:val="121"/>
    <w:qFormat/>
    <w:uiPriority w:val="99"/>
    <w:pPr>
      <w:spacing w:line="360" w:lineRule="auto"/>
      <w:ind w:firstLine="480" w:firstLineChars="200"/>
    </w:pPr>
    <w:rPr>
      <w:rFonts w:ascii="宋体" w:hAnsi="宋体"/>
      <w:kern w:val="58"/>
      <w:sz w:val="24"/>
      <w:szCs w:val="24"/>
    </w:rPr>
  </w:style>
  <w:style w:type="character" w:customStyle="1" w:styleId="121">
    <w:name w:val="主体 Char Char"/>
    <w:link w:val="120"/>
    <w:qFormat/>
    <w:uiPriority w:val="99"/>
    <w:rPr>
      <w:rFonts w:ascii="宋体" w:hAnsi="宋体"/>
      <w:kern w:val="58"/>
      <w:sz w:val="24"/>
      <w:szCs w:val="24"/>
    </w:rPr>
  </w:style>
  <w:style w:type="paragraph" w:customStyle="1" w:styleId="122">
    <w:name w:val="表格文字"/>
    <w:basedOn w:val="1"/>
    <w:link w:val="123"/>
    <w:qFormat/>
    <w:uiPriority w:val="0"/>
    <w:pPr>
      <w:jc w:val="left"/>
    </w:pPr>
    <w:rPr>
      <w:rFonts w:ascii="宋体" w:hAnsi="宋体"/>
      <w:bCs/>
      <w:spacing w:val="-4"/>
      <w:kern w:val="0"/>
      <w:sz w:val="32"/>
      <w:szCs w:val="32"/>
      <w:lang w:val="zh-CN"/>
    </w:rPr>
  </w:style>
  <w:style w:type="character" w:customStyle="1" w:styleId="123">
    <w:name w:val="表格文字 Char Char"/>
    <w:link w:val="122"/>
    <w:qFormat/>
    <w:uiPriority w:val="99"/>
    <w:rPr>
      <w:rFonts w:ascii="宋体" w:hAnsi="宋体"/>
      <w:bCs/>
      <w:spacing w:val="-4"/>
      <w:sz w:val="32"/>
      <w:szCs w:val="32"/>
      <w:lang w:val="zh-CN"/>
    </w:rPr>
  </w:style>
  <w:style w:type="paragraph" w:customStyle="1" w:styleId="124">
    <w:name w:val="表格文字2"/>
    <w:basedOn w:val="122"/>
    <w:qFormat/>
    <w:uiPriority w:val="99"/>
    <w:pPr>
      <w:jc w:val="both"/>
    </w:pPr>
  </w:style>
  <w:style w:type="character" w:customStyle="1" w:styleId="125">
    <w:name w:val="标准正文 Char"/>
    <w:qFormat/>
    <w:uiPriority w:val="0"/>
    <w:rPr>
      <w:kern w:val="2"/>
      <w:sz w:val="24"/>
      <w:szCs w:val="24"/>
    </w:rPr>
  </w:style>
  <w:style w:type="paragraph" w:customStyle="1" w:styleId="126">
    <w:name w:val="标题2"/>
    <w:basedOn w:val="1"/>
    <w:link w:val="127"/>
    <w:qFormat/>
    <w:uiPriority w:val="0"/>
    <w:pPr>
      <w:keepNext/>
      <w:widowControl/>
      <w:tabs>
        <w:tab w:val="left" w:pos="450"/>
      </w:tabs>
      <w:autoSpaceDE w:val="0"/>
      <w:autoSpaceDN w:val="0"/>
      <w:adjustRightInd w:val="0"/>
      <w:spacing w:before="120" w:after="120"/>
      <w:jc w:val="left"/>
      <w:textAlignment w:val="center"/>
    </w:pPr>
    <w:rPr>
      <w:rFonts w:ascii="宋体"/>
      <w:b/>
      <w:kern w:val="0"/>
      <w:sz w:val="24"/>
    </w:rPr>
  </w:style>
  <w:style w:type="character" w:customStyle="1" w:styleId="127">
    <w:name w:val="标题2 Char Char"/>
    <w:link w:val="126"/>
    <w:qFormat/>
    <w:uiPriority w:val="0"/>
    <w:rPr>
      <w:rFonts w:ascii="宋体"/>
      <w:b/>
      <w:sz w:val="24"/>
    </w:rPr>
  </w:style>
  <w:style w:type="paragraph" w:customStyle="1" w:styleId="128">
    <w:name w:val="修订1"/>
    <w:hidden/>
    <w:unhideWhenUsed/>
    <w:qFormat/>
    <w:uiPriority w:val="99"/>
    <w:rPr>
      <w:rFonts w:ascii="Times New Roman" w:hAnsi="Times New Roman" w:eastAsia="宋体" w:cs="Times New Roman"/>
      <w:kern w:val="2"/>
      <w:sz w:val="21"/>
      <w:lang w:val="en-US" w:eastAsia="zh-CN" w:bidi="ar-SA"/>
    </w:rPr>
  </w:style>
  <w:style w:type="character" w:customStyle="1" w:styleId="129">
    <w:name w:val="font01"/>
    <w:basedOn w:val="36"/>
    <w:qFormat/>
    <w:uiPriority w:val="0"/>
    <w:rPr>
      <w:rFonts w:hint="eastAsia" w:ascii="宋体" w:hAnsi="宋体" w:eastAsia="宋体" w:cs="宋体"/>
      <w:b/>
      <w:color w:val="333333"/>
      <w:sz w:val="24"/>
      <w:szCs w:val="24"/>
      <w:u w:val="none"/>
    </w:rPr>
  </w:style>
  <w:style w:type="paragraph" w:customStyle="1" w:styleId="130">
    <w:name w:val="普通(网站)1"/>
    <w:basedOn w:val="1"/>
    <w:qFormat/>
    <w:uiPriority w:val="0"/>
    <w:pPr>
      <w:widowControl/>
      <w:spacing w:before="100" w:beforeAutospacing="1" w:after="100" w:afterAutospacing="1"/>
      <w:jc w:val="left"/>
    </w:pPr>
    <w:rPr>
      <w:rFonts w:ascii="宋体" w:hAnsi="宋体"/>
      <w:kern w:val="0"/>
      <w:sz w:val="24"/>
    </w:rPr>
  </w:style>
  <w:style w:type="paragraph" w:customStyle="1" w:styleId="131">
    <w:name w:val="修订2"/>
    <w:hidden/>
    <w:unhideWhenUsed/>
    <w:qFormat/>
    <w:uiPriority w:val="99"/>
    <w:rPr>
      <w:rFonts w:ascii="Times New Roman" w:hAnsi="Times New Roman" w:eastAsia="宋体" w:cs="Times New Roman"/>
      <w:kern w:val="2"/>
      <w:sz w:val="21"/>
      <w:lang w:val="en-US" w:eastAsia="zh-CN" w:bidi="ar-SA"/>
    </w:rPr>
  </w:style>
  <w:style w:type="character" w:customStyle="1" w:styleId="132">
    <w:name w:val="标题 6 Char"/>
    <w:basedOn w:val="36"/>
    <w:link w:val="9"/>
    <w:semiHidden/>
    <w:qFormat/>
    <w:uiPriority w:val="9"/>
    <w:rPr>
      <w:rFonts w:ascii="Arial" w:hAnsi="Arial" w:eastAsia="黑体" w:cstheme="minorBidi"/>
      <w:b/>
      <w:kern w:val="2"/>
      <w:sz w:val="24"/>
      <w:szCs w:val="22"/>
    </w:rPr>
  </w:style>
  <w:style w:type="character" w:customStyle="1" w:styleId="133">
    <w:name w:val="标题 7 Char"/>
    <w:basedOn w:val="36"/>
    <w:link w:val="10"/>
    <w:semiHidden/>
    <w:qFormat/>
    <w:uiPriority w:val="9"/>
    <w:rPr>
      <w:rFonts w:asciiTheme="minorHAnsi" w:hAnsiTheme="minorHAnsi" w:eastAsiaTheme="minorEastAsia" w:cstheme="minorBidi"/>
      <w:b/>
      <w:kern w:val="2"/>
      <w:sz w:val="24"/>
      <w:szCs w:val="22"/>
    </w:rPr>
  </w:style>
  <w:style w:type="character" w:customStyle="1" w:styleId="134">
    <w:name w:val="标题 8 Char"/>
    <w:basedOn w:val="36"/>
    <w:link w:val="11"/>
    <w:semiHidden/>
    <w:qFormat/>
    <w:uiPriority w:val="9"/>
    <w:rPr>
      <w:rFonts w:ascii="Arial" w:hAnsi="Arial" w:eastAsia="黑体" w:cstheme="minorBidi"/>
      <w:kern w:val="2"/>
      <w:sz w:val="24"/>
      <w:szCs w:val="22"/>
    </w:rPr>
  </w:style>
  <w:style w:type="character" w:customStyle="1" w:styleId="135">
    <w:name w:val="标题 9 Char"/>
    <w:basedOn w:val="36"/>
    <w:link w:val="12"/>
    <w:semiHidden/>
    <w:qFormat/>
    <w:uiPriority w:val="9"/>
    <w:rPr>
      <w:rFonts w:ascii="Arial" w:hAnsi="Arial" w:eastAsia="黑体" w:cstheme="minorBidi"/>
      <w:kern w:val="2"/>
      <w:sz w:val="21"/>
      <w:szCs w:val="22"/>
    </w:rPr>
  </w:style>
  <w:style w:type="paragraph" w:customStyle="1" w:styleId="136">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137">
    <w:name w:val="修订3"/>
    <w:hidden/>
    <w:unhideWhenUsed/>
    <w:qFormat/>
    <w:uiPriority w:val="99"/>
    <w:rPr>
      <w:rFonts w:ascii="Times New Roman" w:hAnsi="Times New Roman" w:eastAsia="宋体" w:cs="Times New Roman"/>
      <w:kern w:val="2"/>
      <w:sz w:val="21"/>
      <w:lang w:val="en-US" w:eastAsia="zh-CN" w:bidi="ar-SA"/>
    </w:rPr>
  </w:style>
  <w:style w:type="paragraph" w:customStyle="1" w:styleId="138">
    <w:name w:val="正文缩进1"/>
    <w:basedOn w:val="1"/>
    <w:next w:val="19"/>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139">
    <w:name w:val="索引 11"/>
    <w:basedOn w:val="1"/>
    <w:next w:val="1"/>
    <w:qFormat/>
    <w:uiPriority w:val="99"/>
    <w:pPr>
      <w:spacing w:line="360" w:lineRule="auto"/>
    </w:pPr>
    <w:rPr>
      <w:rFonts w:ascii="仿宋_GB2312" w:eastAsia="仿宋_GB2312"/>
      <w:sz w:val="24"/>
    </w:rPr>
  </w:style>
  <w:style w:type="paragraph" w:customStyle="1" w:styleId="140">
    <w:name w:val="修订4"/>
    <w:hidden/>
    <w:semiHidden/>
    <w:qFormat/>
    <w:uiPriority w:val="99"/>
    <w:rPr>
      <w:rFonts w:ascii="Times New Roman" w:hAnsi="Times New Roman" w:eastAsia="宋体" w:cs="Times New Roman"/>
      <w:kern w:val="2"/>
      <w:sz w:val="21"/>
      <w:lang w:val="en-US" w:eastAsia="zh-CN" w:bidi="ar-SA"/>
    </w:rPr>
  </w:style>
  <w:style w:type="character" w:customStyle="1" w:styleId="141">
    <w:name w:val="正文首行缩进 2 Char"/>
    <w:basedOn w:val="53"/>
    <w:link w:val="33"/>
    <w:semiHidden/>
    <w:qFormat/>
    <w:uiPriority w:val="99"/>
    <w:rPr>
      <w:rFonts w:cs="Times New Roman"/>
      <w:kern w:val="2"/>
      <w:sz w:val="21"/>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theme" Target="theme/theme1.xml"/><Relationship Id="rId17" Type="http://schemas.openxmlformats.org/officeDocument/2006/relationships/header" Target="header12.xml"/><Relationship Id="rId16" Type="http://schemas.openxmlformats.org/officeDocument/2006/relationships/header" Target="header11.xml"/><Relationship Id="rId15" Type="http://schemas.openxmlformats.org/officeDocument/2006/relationships/header" Target="header10.xml"/><Relationship Id="rId14" Type="http://schemas.openxmlformats.org/officeDocument/2006/relationships/header" Target="header9.xml"/><Relationship Id="rId13" Type="http://schemas.openxmlformats.org/officeDocument/2006/relationships/header" Target="header8.xml"/><Relationship Id="rId12" Type="http://schemas.openxmlformats.org/officeDocument/2006/relationships/header" Target="header7.xml"/><Relationship Id="rId11" Type="http://schemas.openxmlformats.org/officeDocument/2006/relationships/footer" Target="footer3.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宁波市国际招标有限公司</Company>
  <Pages>64</Pages>
  <Words>31009</Words>
  <Characters>33128</Characters>
  <Lines>252</Lines>
  <Paragraphs>71</Paragraphs>
  <TotalTime>30</TotalTime>
  <ScaleCrop>false</ScaleCrop>
  <LinksUpToDate>false</LinksUpToDate>
  <CharactersWithSpaces>34607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2022-03-10T23:17:00Z</dcterms:created>
  <dc:creator>vivian</dc:creator>
  <cp:lastModifiedBy>史梦铅</cp:lastModifiedBy>
  <cp:lastPrinted>2024-04-02T03:04:00Z</cp:lastPrinted>
  <dcterms:modified xsi:type="dcterms:W3CDTF">2024-04-15T09:39:50Z</dcterms:modified>
  <dc:title>政 府 采 购 招 标 项 目</dc:title>
  <cp:revision>112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F1CDA7859A0443C1BFA375D9AEF36AD3</vt:lpwstr>
  </property>
</Properties>
</file>