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rPr>
      </w:pPr>
      <w:bookmarkStart w:id="24" w:name="_GoBack"/>
      <w:bookmarkEnd w:id="24"/>
    </w:p>
    <w:p>
      <w:pPr>
        <w:pStyle w:val="2"/>
        <w:rPr>
          <w:rFonts w:hint="eastAsia"/>
        </w:rPr>
      </w:pPr>
    </w:p>
    <w:p>
      <w:pPr>
        <w:spacing w:line="500" w:lineRule="exact"/>
      </w:pPr>
    </w:p>
    <w:p>
      <w:pPr>
        <w:spacing w:line="500" w:lineRule="exact"/>
      </w:pPr>
    </w:p>
    <w:p>
      <w:pPr>
        <w:spacing w:line="500" w:lineRule="exact"/>
        <w:rPr>
          <w:rFonts w:hint="eastAsia"/>
        </w:rPr>
      </w:pPr>
    </w:p>
    <w:p>
      <w:pPr>
        <w:spacing w:line="1000" w:lineRule="exact"/>
        <w:jc w:val="center"/>
        <w:rPr>
          <w:rFonts w:hint="eastAsia" w:ascii="黑体" w:eastAsia="黑体"/>
          <w:sz w:val="84"/>
          <w:szCs w:val="84"/>
        </w:rPr>
      </w:pPr>
      <w:r>
        <w:rPr>
          <w:rFonts w:hint="eastAsia" w:ascii="黑体" w:eastAsia="黑体"/>
          <w:sz w:val="84"/>
          <w:szCs w:val="84"/>
        </w:rPr>
        <w:t>电子化政府采购</w:t>
      </w:r>
    </w:p>
    <w:p>
      <w:pPr>
        <w:spacing w:line="1000" w:lineRule="exact"/>
        <w:jc w:val="center"/>
        <w:rPr>
          <w:rFonts w:hint="eastAsia" w:ascii="黑体" w:eastAsia="黑体"/>
          <w:sz w:val="84"/>
          <w:szCs w:val="84"/>
        </w:rPr>
      </w:pPr>
      <w:r>
        <w:rPr>
          <w:rFonts w:hint="eastAsia" w:ascii="黑体" w:eastAsia="黑体"/>
          <w:sz w:val="84"/>
          <w:szCs w:val="84"/>
        </w:rPr>
        <w:t>招标文件</w:t>
      </w:r>
    </w:p>
    <w:p>
      <w:pPr>
        <w:spacing w:line="500" w:lineRule="exact"/>
        <w:jc w:val="center"/>
        <w:rPr>
          <w:rFonts w:ascii="宋体"/>
          <w:sz w:val="32"/>
        </w:rPr>
      </w:pPr>
    </w:p>
    <w:p>
      <w:pPr>
        <w:spacing w:line="500" w:lineRule="exact"/>
        <w:jc w:val="center"/>
        <w:rPr>
          <w:rFonts w:hint="eastAsia" w:ascii="宋体"/>
          <w:sz w:val="32"/>
        </w:rPr>
      </w:pPr>
    </w:p>
    <w:p>
      <w:pPr>
        <w:spacing w:line="500" w:lineRule="exact"/>
        <w:jc w:val="center"/>
        <w:rPr>
          <w:rFonts w:hint="eastAsia" w:ascii="宋体"/>
          <w:sz w:val="32"/>
        </w:rPr>
      </w:pPr>
    </w:p>
    <w:p>
      <w:pPr>
        <w:spacing w:line="500" w:lineRule="exact"/>
        <w:jc w:val="center"/>
        <w:rPr>
          <w:rFonts w:hint="eastAsia" w:ascii="宋体"/>
          <w:sz w:val="32"/>
        </w:rPr>
      </w:pPr>
    </w:p>
    <w:p>
      <w:pPr>
        <w:spacing w:line="500" w:lineRule="exact"/>
        <w:jc w:val="center"/>
        <w:rPr>
          <w:rFonts w:hint="eastAsia" w:ascii="宋体"/>
          <w:sz w:val="32"/>
        </w:rPr>
      </w:pPr>
    </w:p>
    <w:p>
      <w:pPr>
        <w:spacing w:line="500" w:lineRule="exact"/>
        <w:rPr>
          <w:rFonts w:hint="eastAsia" w:ascii="宋体"/>
          <w:sz w:val="32"/>
        </w:rPr>
      </w:pPr>
    </w:p>
    <w:p>
      <w:pPr>
        <w:spacing w:line="500" w:lineRule="exact"/>
        <w:ind w:left="1050" w:leftChars="500"/>
        <w:rPr>
          <w:rFonts w:hint="default" w:ascii="宋体" w:eastAsia="宋体"/>
          <w:sz w:val="32"/>
          <w:lang w:val="en-US" w:eastAsia="zh-CN"/>
        </w:rPr>
      </w:pPr>
      <w:r>
        <w:rPr>
          <w:rFonts w:hint="eastAsia" w:ascii="宋体"/>
          <w:sz w:val="32"/>
        </w:rPr>
        <w:t>采购编号:NBZFCG</w:t>
      </w:r>
      <w:r>
        <w:rPr>
          <w:rFonts w:hint="eastAsia" w:ascii="宋体"/>
          <w:sz w:val="32"/>
          <w:lang w:val="en-US" w:eastAsia="zh-CN"/>
        </w:rPr>
        <w:t>2023B015G</w:t>
      </w:r>
    </w:p>
    <w:p>
      <w:pPr>
        <w:spacing w:line="500" w:lineRule="exact"/>
        <w:ind w:left="1050" w:leftChars="500"/>
        <w:rPr>
          <w:rFonts w:hint="eastAsia" w:ascii="宋体"/>
          <w:sz w:val="32"/>
          <w:u w:val="single"/>
          <w:lang w:val="en-US" w:eastAsia="zh-CN"/>
        </w:rPr>
      </w:pPr>
      <w:r>
        <w:rPr>
          <w:rFonts w:hint="eastAsia" w:ascii="宋体"/>
          <w:sz w:val="32"/>
        </w:rPr>
        <w:t>项目名称</w:t>
      </w:r>
      <w:r>
        <w:rPr>
          <w:rFonts w:hint="eastAsia" w:ascii="宋体"/>
          <w:sz w:val="32"/>
          <w:lang w:val="en-US" w:eastAsia="zh-CN"/>
        </w:rPr>
        <w:t>:宁波市疾病预防控制中心（宁波市健康教育与促进中心）物业管理服务采购项目</w:t>
      </w:r>
    </w:p>
    <w:p>
      <w:pPr>
        <w:spacing w:line="500" w:lineRule="exact"/>
        <w:rPr>
          <w:rFonts w:hint="eastAsia" w:ascii="宋体"/>
          <w:sz w:val="32"/>
          <w:u w:val="single"/>
        </w:rPr>
      </w:pPr>
    </w:p>
    <w:p>
      <w:pPr>
        <w:spacing w:line="500" w:lineRule="exact"/>
        <w:rPr>
          <w:rFonts w:hint="eastAsia" w:ascii="宋体"/>
          <w:sz w:val="32"/>
          <w:u w:val="single"/>
        </w:rPr>
      </w:pPr>
    </w:p>
    <w:p>
      <w:pPr>
        <w:spacing w:line="500" w:lineRule="exact"/>
        <w:rPr>
          <w:rFonts w:hint="eastAsia" w:ascii="宋体"/>
          <w:sz w:val="32"/>
          <w:u w:val="single"/>
        </w:rPr>
      </w:pPr>
    </w:p>
    <w:p>
      <w:pPr>
        <w:spacing w:line="500" w:lineRule="exact"/>
        <w:rPr>
          <w:rFonts w:hint="eastAsia" w:ascii="宋体"/>
          <w:sz w:val="32"/>
          <w:u w:val="single"/>
        </w:rPr>
      </w:pPr>
    </w:p>
    <w:p>
      <w:pPr>
        <w:spacing w:line="500" w:lineRule="exact"/>
        <w:rPr>
          <w:rFonts w:hint="eastAsia" w:ascii="宋体"/>
          <w:sz w:val="32"/>
          <w:u w:val="single"/>
        </w:rPr>
      </w:pPr>
    </w:p>
    <w:p>
      <w:pPr>
        <w:spacing w:line="500" w:lineRule="exact"/>
        <w:rPr>
          <w:rFonts w:hint="eastAsia" w:ascii="宋体"/>
          <w:sz w:val="32"/>
        </w:rPr>
      </w:pPr>
    </w:p>
    <w:p>
      <w:pPr>
        <w:pStyle w:val="14"/>
        <w:spacing w:line="500" w:lineRule="exact"/>
        <w:jc w:val="center"/>
        <w:rPr>
          <w:rFonts w:hint="eastAsia" w:ascii="宋体"/>
          <w:sz w:val="32"/>
        </w:rPr>
      </w:pPr>
      <w:r>
        <w:rPr>
          <w:rFonts w:hint="eastAsia" w:ascii="宋体"/>
          <w:sz w:val="32"/>
        </w:rPr>
        <w:t>宁波市政府采购中心</w:t>
      </w:r>
    </w:p>
    <w:p>
      <w:pPr>
        <w:pStyle w:val="14"/>
        <w:spacing w:line="500" w:lineRule="exact"/>
        <w:jc w:val="center"/>
        <w:rPr>
          <w:rFonts w:hint="eastAsia" w:ascii="宋体"/>
          <w:sz w:val="32"/>
        </w:rPr>
      </w:pPr>
      <w:r>
        <w:rPr>
          <w:rFonts w:hint="eastAsia" w:ascii="宋体"/>
          <w:sz w:val="32"/>
        </w:rPr>
        <w:t xml:space="preserve">二 〇 二 </w:t>
      </w:r>
      <w:r>
        <w:rPr>
          <w:rFonts w:hint="eastAsia" w:ascii="宋体"/>
          <w:sz w:val="32"/>
          <w:lang w:eastAsia="zh-CN"/>
        </w:rPr>
        <w:t>三</w:t>
      </w:r>
      <w:r>
        <w:rPr>
          <w:rFonts w:hint="eastAsia" w:ascii="宋体"/>
          <w:sz w:val="32"/>
        </w:rPr>
        <w:t xml:space="preserve"> 年 </w:t>
      </w:r>
    </w:p>
    <w:p>
      <w:pPr>
        <w:tabs>
          <w:tab w:val="left" w:pos="105"/>
          <w:tab w:val="left" w:pos="735"/>
          <w:tab w:val="left" w:pos="945"/>
          <w:tab w:val="left" w:pos="3360"/>
        </w:tabs>
        <w:spacing w:line="500" w:lineRule="exact"/>
        <w:jc w:val="center"/>
        <w:rPr>
          <w:rFonts w:hint="eastAsia"/>
          <w:b/>
          <w:sz w:val="48"/>
        </w:rPr>
      </w:pPr>
    </w:p>
    <w:p>
      <w:pPr>
        <w:tabs>
          <w:tab w:val="left" w:pos="105"/>
          <w:tab w:val="left" w:pos="735"/>
          <w:tab w:val="left" w:pos="945"/>
          <w:tab w:val="left" w:pos="3360"/>
        </w:tabs>
        <w:spacing w:line="500" w:lineRule="exact"/>
        <w:rPr>
          <w:b/>
          <w:sz w:val="48"/>
        </w:rPr>
      </w:pPr>
    </w:p>
    <w:p>
      <w:pPr>
        <w:tabs>
          <w:tab w:val="left" w:pos="105"/>
          <w:tab w:val="left" w:pos="735"/>
          <w:tab w:val="left" w:pos="945"/>
          <w:tab w:val="left" w:pos="3360"/>
        </w:tabs>
        <w:spacing w:line="500" w:lineRule="exact"/>
        <w:jc w:val="center"/>
        <w:rPr>
          <w:rFonts w:hint="eastAsia"/>
          <w:b/>
          <w:sz w:val="48"/>
        </w:rPr>
      </w:pPr>
      <w:r>
        <w:rPr>
          <w:b/>
          <w:sz w:val="48"/>
        </w:rPr>
        <w:br w:type="page"/>
      </w:r>
    </w:p>
    <w:p>
      <w:pPr>
        <w:tabs>
          <w:tab w:val="left" w:pos="105"/>
          <w:tab w:val="left" w:pos="735"/>
          <w:tab w:val="left" w:pos="945"/>
          <w:tab w:val="left" w:pos="3360"/>
        </w:tabs>
        <w:spacing w:line="500" w:lineRule="exact"/>
        <w:jc w:val="center"/>
        <w:rPr>
          <w:rFonts w:hint="eastAsia"/>
          <w:b/>
          <w:sz w:val="48"/>
        </w:rPr>
      </w:pPr>
      <w:r>
        <w:rPr>
          <w:rFonts w:hint="eastAsia"/>
          <w:b/>
          <w:sz w:val="48"/>
        </w:rPr>
        <w:t>目  录</w:t>
      </w:r>
    </w:p>
    <w:p>
      <w:pPr>
        <w:tabs>
          <w:tab w:val="left" w:pos="105"/>
          <w:tab w:val="left" w:pos="735"/>
          <w:tab w:val="left" w:pos="945"/>
          <w:tab w:val="left" w:pos="3360"/>
        </w:tabs>
        <w:spacing w:line="500" w:lineRule="exact"/>
        <w:rPr>
          <w:rFonts w:hint="eastAsia" w:eastAsia="仿宋_GB2312"/>
          <w:sz w:val="32"/>
        </w:rPr>
      </w:pPr>
    </w:p>
    <w:p>
      <w:pPr>
        <w:tabs>
          <w:tab w:val="left" w:pos="105"/>
          <w:tab w:val="left" w:pos="735"/>
          <w:tab w:val="left" w:pos="945"/>
          <w:tab w:val="left" w:pos="3360"/>
        </w:tabs>
        <w:spacing w:line="500" w:lineRule="exact"/>
        <w:rPr>
          <w:rFonts w:hint="eastAsia" w:eastAsia="仿宋_GB2312"/>
          <w:sz w:val="32"/>
        </w:rPr>
      </w:pPr>
    </w:p>
    <w:p>
      <w:pPr>
        <w:tabs>
          <w:tab w:val="left" w:pos="105"/>
          <w:tab w:val="left" w:pos="735"/>
          <w:tab w:val="left" w:pos="945"/>
          <w:tab w:val="left" w:pos="3360"/>
        </w:tabs>
        <w:spacing w:line="500" w:lineRule="exact"/>
        <w:ind w:leftChars="300"/>
        <w:rPr>
          <w:rFonts w:ascii="宋体" w:hAnsi="宋体"/>
          <w:sz w:val="32"/>
        </w:rPr>
      </w:pPr>
      <w:r>
        <w:rPr>
          <w:rFonts w:hint="eastAsia" w:ascii="宋体" w:hAnsi="宋体"/>
          <w:sz w:val="32"/>
        </w:rPr>
        <w:t>第一章 专用部分</w:t>
      </w:r>
    </w:p>
    <w:p>
      <w:pPr>
        <w:tabs>
          <w:tab w:val="left" w:pos="105"/>
          <w:tab w:val="left" w:pos="735"/>
          <w:tab w:val="left" w:pos="945"/>
          <w:tab w:val="left" w:pos="3360"/>
        </w:tabs>
        <w:spacing w:line="500" w:lineRule="exact"/>
        <w:ind w:leftChars="300"/>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第一部分  投标邀请</w:t>
      </w:r>
    </w:p>
    <w:p>
      <w:pPr>
        <w:tabs>
          <w:tab w:val="left" w:pos="10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第二部分  项目需求说明及评标标准</w:t>
      </w:r>
    </w:p>
    <w:p>
      <w:pPr>
        <w:tabs>
          <w:tab w:val="left" w:pos="105"/>
          <w:tab w:val="left" w:pos="73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第三部分  投标人须知资料表</w:t>
      </w:r>
    </w:p>
    <w:p>
      <w:pPr>
        <w:tabs>
          <w:tab w:val="left" w:pos="105"/>
          <w:tab w:val="left" w:pos="735"/>
          <w:tab w:val="left" w:pos="945"/>
          <w:tab w:val="left" w:pos="3360"/>
        </w:tabs>
        <w:spacing w:line="500" w:lineRule="exact"/>
        <w:ind w:leftChars="300"/>
        <w:rPr>
          <w:rFonts w:ascii="宋体" w:hAnsi="宋体"/>
          <w:sz w:val="32"/>
        </w:rPr>
      </w:pPr>
      <w:r>
        <w:rPr>
          <w:rFonts w:hint="eastAsia" w:ascii="宋体" w:hAnsi="宋体"/>
          <w:sz w:val="32"/>
        </w:rPr>
        <w:tab/>
      </w:r>
      <w:r>
        <w:rPr>
          <w:rFonts w:hint="eastAsia" w:ascii="宋体" w:hAnsi="宋体"/>
          <w:sz w:val="32"/>
        </w:rPr>
        <w:t>第二章 通用部分</w:t>
      </w:r>
    </w:p>
    <w:p>
      <w:pPr>
        <w:tabs>
          <w:tab w:val="left" w:pos="105"/>
          <w:tab w:val="left" w:pos="73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第四部分  投标人须知</w:t>
      </w:r>
    </w:p>
    <w:p>
      <w:pPr>
        <w:tabs>
          <w:tab w:val="left" w:pos="105"/>
          <w:tab w:val="left" w:pos="73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第五部分  合同格式</w:t>
      </w:r>
    </w:p>
    <w:p>
      <w:pPr>
        <w:tabs>
          <w:tab w:val="left" w:pos="105"/>
          <w:tab w:val="left" w:pos="73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第六部分  投标文件格式</w:t>
      </w:r>
    </w:p>
    <w:p>
      <w:pPr>
        <w:tabs>
          <w:tab w:val="left" w:pos="105"/>
          <w:tab w:val="left" w:pos="73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第七部分  其他文件格式</w:t>
      </w:r>
    </w:p>
    <w:p>
      <w:pPr>
        <w:tabs>
          <w:tab w:val="left" w:pos="105"/>
          <w:tab w:val="left" w:pos="735"/>
          <w:tab w:val="left" w:pos="945"/>
          <w:tab w:val="left" w:pos="3360"/>
        </w:tabs>
        <w:spacing w:line="500" w:lineRule="exact"/>
        <w:rPr>
          <w:rFonts w:hint="eastAsia" w:ascii="仿宋_GB2312" w:eastAsia="仿宋_GB2312"/>
          <w:sz w:val="32"/>
        </w:rPr>
      </w:pPr>
    </w:p>
    <w:p>
      <w:pPr>
        <w:jc w:val="center"/>
        <w:rPr>
          <w:rFonts w:hint="eastAsia" w:ascii="仿宋_GB2312" w:eastAsia="仿宋_GB2312"/>
          <w:b/>
          <w:sz w:val="32"/>
        </w:rPr>
      </w:pPr>
      <w:r>
        <w:rPr>
          <w:rFonts w:eastAsia="黑体"/>
          <w:sz w:val="32"/>
        </w:rPr>
        <w:br w:type="page"/>
      </w:r>
      <w:r>
        <w:rPr>
          <w:rFonts w:hint="eastAsia" w:ascii="宋体" w:hAnsi="宋体" w:eastAsia="宋体" w:cs="Times New Roman"/>
          <w:b/>
          <w:sz w:val="36"/>
        </w:rPr>
        <w:t>第一部分 投标邀请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宁波市政府采购中心就以下项目进行公开招标，现邀请合格投标人进行加密电子投标。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sz w:val="24"/>
          <w:szCs w:val="24"/>
          <w:lang w:val="en-US" w:eastAsia="zh-CN"/>
        </w:rPr>
      </w:pPr>
      <w:r>
        <w:rPr>
          <w:rFonts w:hint="eastAsia" w:ascii="宋体" w:hAnsi="宋体"/>
          <w:sz w:val="24"/>
          <w:szCs w:val="24"/>
        </w:rPr>
        <w:t>1、项目编号：NBZFCG</w:t>
      </w:r>
      <w:r>
        <w:rPr>
          <w:rFonts w:hint="eastAsia" w:ascii="宋体" w:hAnsi="宋体"/>
          <w:sz w:val="24"/>
          <w:szCs w:val="24"/>
          <w:lang w:val="en-US" w:eastAsia="zh-CN"/>
        </w:rPr>
        <w:t>2023B015G</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rPr>
        <w:t>2、项目名称：宁波市疾病预防控制中心（宁波市健康教育与促进中心）物业管理服务采购项目</w:t>
      </w:r>
      <w:r>
        <w:rPr>
          <w:rFonts w:hint="eastAsia" w:ascii="宋体" w:hAnsi="宋体"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sz w:val="24"/>
          <w:szCs w:val="24"/>
          <w:lang w:val="en-US" w:eastAsia="zh-CN"/>
        </w:rPr>
      </w:pPr>
      <w:r>
        <w:rPr>
          <w:rFonts w:hint="eastAsia" w:ascii="宋体" w:hAnsi="宋体"/>
          <w:sz w:val="24"/>
          <w:szCs w:val="24"/>
        </w:rPr>
        <w:t>3、采购预算</w:t>
      </w:r>
      <w:r>
        <w:rPr>
          <w:rFonts w:hint="eastAsia" w:ascii="宋体" w:hAnsi="宋体"/>
          <w:sz w:val="24"/>
          <w:szCs w:val="24"/>
          <w:lang w:eastAsia="zh-CN"/>
        </w:rPr>
        <w:t>（最高限价）：</w:t>
      </w:r>
      <w:r>
        <w:rPr>
          <w:rFonts w:hint="eastAsia" w:ascii="宋体" w:hAnsi="宋体"/>
          <w:sz w:val="24"/>
          <w:szCs w:val="24"/>
          <w:lang w:val="en-US" w:eastAsia="zh-CN"/>
        </w:rPr>
        <w:t>540万元/年</w:t>
      </w:r>
      <w:r>
        <w:rPr>
          <w:rFonts w:hint="eastAsia" w:ascii="宋体" w:hAnsi="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4、采购需求：</w:t>
      </w:r>
      <w:r>
        <w:rPr>
          <w:rFonts w:hint="eastAsia" w:ascii="宋体" w:hAnsi="宋体"/>
          <w:sz w:val="24"/>
          <w:szCs w:val="24"/>
          <w:lang w:val="en-US" w:eastAsia="zh-CN"/>
        </w:rPr>
        <w:t>宁波市疾病预防控制中心（宁波市健康教育与促进中心）物业管理服务采购项目，详见采购文件</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highlight w:val="yellow"/>
        </w:rPr>
      </w:pPr>
      <w:r>
        <w:rPr>
          <w:rFonts w:hint="eastAsia" w:ascii="宋体" w:hAnsi="宋体"/>
          <w:sz w:val="24"/>
          <w:szCs w:val="24"/>
          <w:highlight w:val="none"/>
        </w:rPr>
        <w:t>5、合同履行期限：</w:t>
      </w:r>
      <w:r>
        <w:rPr>
          <w:rFonts w:hint="eastAsia" w:ascii="宋体" w:hAnsi="宋体"/>
          <w:sz w:val="24"/>
          <w:szCs w:val="24"/>
          <w:highlight w:val="none"/>
          <w:lang w:eastAsia="zh-CN"/>
        </w:rPr>
        <w:t>一招三年，合同</w:t>
      </w:r>
      <w:r>
        <w:rPr>
          <w:rFonts w:hint="eastAsia" w:ascii="宋体" w:hAnsi="宋体"/>
          <w:sz w:val="24"/>
          <w:szCs w:val="24"/>
          <w:highlight w:val="none"/>
        </w:rPr>
        <w:t>一</w:t>
      </w:r>
      <w:r>
        <w:rPr>
          <w:rFonts w:hint="eastAsia" w:ascii="宋体" w:hAnsi="宋体"/>
          <w:sz w:val="24"/>
          <w:szCs w:val="24"/>
          <w:highlight w:val="none"/>
          <w:lang w:val="en-US" w:eastAsia="zh-CN"/>
        </w:rPr>
        <w:t>年一签</w:t>
      </w:r>
      <w:r>
        <w:rPr>
          <w:rFonts w:hint="eastAsia" w:ascii="宋体" w:hAnsi="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rPr>
        <w:t>6、联合体投标：不接受</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二、投标人的资格要求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1、符合《政府采购法》第二十二条</w:t>
      </w:r>
      <w:r>
        <w:rPr>
          <w:rFonts w:ascii="宋体" w:hAnsi="宋体"/>
          <w:sz w:val="24"/>
          <w:szCs w:val="24"/>
        </w:rPr>
        <w:t>的规定</w:t>
      </w:r>
      <w:r>
        <w:rPr>
          <w:rFonts w:hint="eastAsia" w:ascii="宋体" w:hAnsi="宋体"/>
          <w:sz w:val="24"/>
          <w:szCs w:val="24"/>
        </w:rPr>
        <w:t>且未列入“www.creditchina.gov.cn、www.ccgp.gov.cn”网站失信被执行人、重大税收违法案件当事人名单、政府采购严重违法失信记录名单在禁止参加采购期限的供应商。</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rPr>
          <w:rFonts w:hint="eastAsia" w:ascii="宋体" w:hAnsi="宋体"/>
          <w:sz w:val="24"/>
          <w:szCs w:val="24"/>
        </w:rPr>
      </w:pPr>
      <w:r>
        <w:rPr>
          <w:rFonts w:hint="eastAsia" w:ascii="宋体" w:hAnsi="宋体"/>
          <w:sz w:val="24"/>
          <w:szCs w:val="24"/>
          <w:lang w:val="en-US" w:eastAsia="zh-CN"/>
        </w:rPr>
        <w:t>2、落实政府采购政策需满足的资格要求</w:t>
      </w:r>
      <w:r>
        <w:rPr>
          <w:rFonts w:hint="eastAsia" w:ascii="宋体" w:hAnsi="宋体"/>
          <w:b w:val="0"/>
          <w:bCs w:val="0"/>
          <w:sz w:val="24"/>
          <w:szCs w:val="24"/>
          <w:lang w:val="en-US" w:eastAsia="zh-CN"/>
        </w:rPr>
        <w:t>：</w:t>
      </w:r>
      <w:r>
        <w:rPr>
          <w:rFonts w:hint="eastAsia" w:ascii="宋体" w:hAnsi="宋体"/>
          <w:b w:val="0"/>
          <w:bCs w:val="0"/>
          <w:sz w:val="24"/>
          <w:szCs w:val="24"/>
          <w:highlight w:val="none"/>
          <w:lang w:val="en-US" w:eastAsia="zh-CN"/>
        </w:rPr>
        <w:t>无</w:t>
      </w:r>
      <w:r>
        <w:rPr>
          <w:rFonts w:hint="eastAsia" w:ascii="宋体" w:hAnsi="宋体" w:eastAsia="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lang w:val="en-US" w:eastAsia="zh-CN"/>
        </w:rPr>
      </w:pPr>
      <w:r>
        <w:rPr>
          <w:rFonts w:hint="eastAsia" w:ascii="宋体" w:hAnsi="宋体"/>
          <w:sz w:val="24"/>
          <w:szCs w:val="24"/>
          <w:lang w:val="en-US" w:eastAsia="zh-CN"/>
        </w:rPr>
        <w:t>3、</w:t>
      </w:r>
      <w:r>
        <w:rPr>
          <w:rFonts w:hint="eastAsia" w:ascii="宋体" w:hAnsi="宋体"/>
          <w:sz w:val="24"/>
          <w:szCs w:val="24"/>
        </w:rPr>
        <w:t>特定资格要求：</w:t>
      </w:r>
      <w:r>
        <w:rPr>
          <w:rFonts w:hint="eastAsia" w:ascii="宋体" w:hAnsi="宋体"/>
          <w:sz w:val="24"/>
          <w:szCs w:val="24"/>
          <w:lang w:val="en-US" w:eastAsia="zh-CN"/>
        </w:rPr>
        <w:t>无</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三、获取招标文件：请到浙江政府采购网(zfcg.czt.zj.gov.cn)或宁波政府采购网（www.nbzfcg.cn）免费下载电子文件。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四、电子投标和开标事项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szCs w:val="24"/>
          <w:highlight w:val="none"/>
        </w:rPr>
      </w:pPr>
      <w:r>
        <w:rPr>
          <w:rFonts w:hint="eastAsia" w:ascii="宋体" w:hAnsi="宋体"/>
          <w:sz w:val="24"/>
          <w:szCs w:val="24"/>
        </w:rPr>
        <w:t>1、政采云电子投标开标平台：www.zcygov.cn</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highlight w:val="none"/>
        </w:rPr>
        <w:t>2、提交电子投标文件截止时间：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3、电子投标文件解密开标时间：投标截止时间后半小时内。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4、开标现场地址：宁波市鄞州区宁穿路1901号市</w:t>
      </w:r>
      <w:r>
        <w:rPr>
          <w:rFonts w:hint="eastAsia" w:ascii="宋体" w:hAnsi="宋体"/>
          <w:sz w:val="24"/>
          <w:szCs w:val="24"/>
          <w:lang w:eastAsia="zh-CN"/>
        </w:rPr>
        <w:t>政务</w:t>
      </w:r>
      <w:r>
        <w:rPr>
          <w:rFonts w:hint="eastAsia" w:ascii="宋体" w:hAnsi="宋体"/>
          <w:sz w:val="24"/>
          <w:szCs w:val="24"/>
        </w:rPr>
        <w:t>服务中心四楼开标区（具体场所安排详见电子指示屏幕）。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五、公告期限：自公告之日起5个工作日。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六、其他补充事项：本项目在四楼开标区视频直播评审现场。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七、对本次采购提出询问，请按以下方式联系。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top"/>
        <w:rPr>
          <w:rFonts w:hint="eastAsia" w:ascii="宋体" w:hAnsi="宋体" w:eastAsia="宋体" w:cs="Times New Roman"/>
          <w:sz w:val="24"/>
          <w:szCs w:val="24"/>
          <w:highlight w:val="none"/>
        </w:rPr>
      </w:pPr>
      <w:r>
        <w:rPr>
          <w:rFonts w:hint="eastAsia" w:ascii="宋体" w:hAnsi="宋体"/>
          <w:sz w:val="24"/>
          <w:szCs w:val="24"/>
          <w:highlight w:val="none"/>
        </w:rPr>
        <w:t>1、采购人：</w:t>
      </w:r>
      <w:r>
        <w:rPr>
          <w:rFonts w:hint="eastAsia" w:ascii="宋体" w:hAnsi="宋体"/>
          <w:sz w:val="24"/>
          <w:szCs w:val="24"/>
          <w:lang w:val="en-US" w:eastAsia="zh-CN"/>
        </w:rPr>
        <w:t>宁波市疾病预防控制中心（宁波市健康教育与促进中心）</w:t>
      </w:r>
      <w:r>
        <w:rPr>
          <w:rFonts w:hint="eastAsia" w:ascii="宋体" w:hAnsi="宋体" w:eastAsia="宋体" w:cs="Times New Roman"/>
          <w:sz w:val="24"/>
          <w:szCs w:val="24"/>
          <w:highlight w:val="none"/>
        </w:rPr>
        <w:t>，地址：</w:t>
      </w:r>
      <w:r>
        <w:rPr>
          <w:rFonts w:hint="eastAsia" w:ascii="宋体" w:hAnsi="宋体" w:eastAsia="宋体" w:cs="Times New Roman"/>
          <w:sz w:val="24"/>
          <w:szCs w:val="24"/>
          <w:highlight w:val="none"/>
          <w:lang w:eastAsia="zh-CN"/>
        </w:rPr>
        <w:t>宁波市海曙区范江岸路1166号</w:t>
      </w:r>
      <w:r>
        <w:rPr>
          <w:rFonts w:hint="eastAsia" w:ascii="宋体" w:hAnsi="宋体" w:eastAsia="宋体" w:cs="Times New Roman"/>
          <w:sz w:val="24"/>
          <w:szCs w:val="24"/>
          <w:highlight w:val="none"/>
        </w:rPr>
        <w:t>，联系方式：</w:t>
      </w:r>
      <w:r>
        <w:rPr>
          <w:rFonts w:hint="eastAsia" w:ascii="宋体" w:hAnsi="宋体" w:eastAsia="宋体" w:cs="Times New Roman"/>
          <w:sz w:val="24"/>
          <w:szCs w:val="24"/>
          <w:highlight w:val="none"/>
          <w:lang w:eastAsia="zh-CN"/>
        </w:rPr>
        <w:t>徐</w:t>
      </w:r>
      <w:r>
        <w:rPr>
          <w:rFonts w:hint="eastAsia" w:ascii="宋体" w:hAnsi="宋体" w:eastAsia="宋体" w:cs="Times New Roman"/>
          <w:sz w:val="24"/>
          <w:szCs w:val="24"/>
          <w:highlight w:val="none"/>
          <w:lang w:val="en-US" w:eastAsia="zh-CN"/>
        </w:rPr>
        <w:t>老师0574-87680041</w:t>
      </w:r>
      <w:r>
        <w:rPr>
          <w:rFonts w:hint="eastAsia" w:ascii="宋体" w:hAnsi="宋体"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2、集中采购机构：宁波市政府采购中心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lang w:val="en-US" w:eastAsia="zh-CN"/>
        </w:rPr>
      </w:pPr>
      <w:r>
        <w:rPr>
          <w:rFonts w:hint="eastAsia" w:ascii="宋体" w:hAnsi="宋体"/>
          <w:sz w:val="24"/>
          <w:szCs w:val="24"/>
        </w:rPr>
        <w:t>项目联系人：</w:t>
      </w:r>
      <w:r>
        <w:rPr>
          <w:rFonts w:hint="eastAsia" w:ascii="宋体" w:hAnsi="宋体"/>
          <w:sz w:val="24"/>
          <w:szCs w:val="24"/>
          <w:lang w:val="en-US" w:eastAsia="zh-CN"/>
        </w:rPr>
        <w:t>吴先生</w:t>
      </w:r>
      <w:r>
        <w:rPr>
          <w:rFonts w:hint="eastAsia" w:ascii="宋体" w:hAnsi="宋体"/>
          <w:sz w:val="24"/>
          <w:szCs w:val="24"/>
        </w:rPr>
        <w:tab/>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lang w:eastAsia="zh-CN"/>
        </w:rPr>
        <w:t>电话</w:t>
      </w:r>
      <w:r>
        <w:rPr>
          <w:rFonts w:hint="eastAsia" w:ascii="宋体" w:hAnsi="宋体"/>
          <w:sz w:val="24"/>
          <w:szCs w:val="24"/>
        </w:rPr>
        <w:t>：</w:t>
      </w:r>
      <w:r>
        <w:rPr>
          <w:rFonts w:hint="eastAsia" w:ascii="宋体" w:hAnsi="宋体"/>
          <w:sz w:val="24"/>
          <w:szCs w:val="24"/>
          <w:lang w:val="en-US" w:eastAsia="zh-CN"/>
        </w:rPr>
        <w:t>0574-87187956</w:t>
      </w:r>
      <w:r>
        <w:rPr>
          <w:rFonts w:hint="eastAsia" w:ascii="宋体" w:hAnsi="宋体"/>
          <w:sz w:val="24"/>
          <w:szCs w:val="24"/>
        </w:rPr>
        <w:tab/>
      </w:r>
      <w:r>
        <w:rPr>
          <w:rFonts w:hint="eastAsia" w:ascii="宋体" w:hAnsi="宋体"/>
          <w:sz w:val="24"/>
          <w:szCs w:val="24"/>
          <w:lang w:eastAsia="zh-CN"/>
        </w:rPr>
        <w:t>传真</w:t>
      </w:r>
      <w:r>
        <w:rPr>
          <w:rFonts w:hint="eastAsia" w:ascii="宋体" w:hAnsi="宋体"/>
          <w:sz w:val="24"/>
          <w:szCs w:val="24"/>
        </w:rPr>
        <w:t>：0574-87187961</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地址：宁波市鄞州区宁穿路1901号市</w:t>
      </w:r>
      <w:r>
        <w:rPr>
          <w:rFonts w:hint="eastAsia" w:ascii="宋体" w:hAnsi="宋体"/>
          <w:sz w:val="24"/>
          <w:szCs w:val="24"/>
          <w:lang w:eastAsia="zh-CN"/>
        </w:rPr>
        <w:t>政务</w:t>
      </w:r>
      <w:r>
        <w:rPr>
          <w:rFonts w:hint="eastAsia" w:ascii="宋体" w:hAnsi="宋体"/>
          <w:sz w:val="24"/>
          <w:szCs w:val="24"/>
        </w:rPr>
        <w:t>服务中心五楼  邮编：315066</w:t>
      </w:r>
    </w:p>
    <w:p>
      <w:pPr>
        <w:spacing w:line="440" w:lineRule="exact"/>
        <w:jc w:val="center"/>
        <w:rPr>
          <w:rFonts w:ascii="宋体" w:hAnsi="宋体"/>
          <w:b/>
          <w:sz w:val="36"/>
        </w:rPr>
      </w:pPr>
      <w:r>
        <w:rPr>
          <w:rFonts w:eastAsia="黑体"/>
          <w:sz w:val="32"/>
        </w:rPr>
        <w:br w:type="page"/>
      </w:r>
      <w:r>
        <w:rPr>
          <w:rFonts w:hint="eastAsia" w:ascii="宋体" w:hAnsi="宋体" w:eastAsia="宋体" w:cs="Times New Roman"/>
          <w:b/>
          <w:sz w:val="36"/>
        </w:rPr>
        <w:t>第二部分  项目需求说明及评标标准</w:t>
      </w:r>
    </w:p>
    <w:p>
      <w:pPr>
        <w:spacing w:line="440" w:lineRule="exact"/>
        <w:rPr>
          <w:rFonts w:hint="eastAsia" w:ascii="宋体" w:hAnsi="宋体"/>
          <w:b/>
          <w:sz w:val="32"/>
        </w:rPr>
      </w:pPr>
    </w:p>
    <w:p>
      <w:pPr>
        <w:tabs>
          <w:tab w:val="left" w:pos="2520"/>
        </w:tabs>
        <w:ind w:left="1" w:hanging="1"/>
        <w:rPr>
          <w:rFonts w:hint="eastAsia"/>
          <w:b/>
          <w:sz w:val="28"/>
        </w:rPr>
      </w:pPr>
      <w:r>
        <w:rPr>
          <w:rFonts w:hint="eastAsia"/>
          <w:b/>
          <w:sz w:val="32"/>
        </w:rPr>
        <w:t>特别申明</w:t>
      </w:r>
      <w:r>
        <w:rPr>
          <w:rFonts w:hint="eastAsia"/>
          <w:b/>
          <w:sz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jc w:val="left"/>
        <w:textAlignment w:val="auto"/>
        <w:rPr>
          <w:rFonts w:hint="eastAsia" w:ascii="宋体" w:hAnsi="宋体" w:eastAsia="宋体" w:cs="Times New Roman"/>
          <w:b/>
          <w:bCs/>
          <w:sz w:val="24"/>
          <w:szCs w:val="24"/>
        </w:rPr>
      </w:pPr>
      <w:r>
        <w:rPr>
          <w:rFonts w:hint="eastAsia" w:ascii="宋体" w:hAnsi="宋体" w:eastAsia="宋体" w:cs="Times New Roman"/>
          <w:b/>
          <w:bCs/>
          <w:sz w:val="24"/>
          <w:szCs w:val="24"/>
        </w:rPr>
        <w:t>投标人应列出报价的明细构成表，并附上每项报价的计算方法、过程及依据。</w:t>
      </w:r>
    </w:p>
    <w:p>
      <w:pPr>
        <w:keepNext w:val="0"/>
        <w:keepLines w:val="0"/>
        <w:pageBreakBefore w:val="0"/>
        <w:widowControl w:val="0"/>
        <w:numPr>
          <w:ilvl w:val="0"/>
          <w:numId w:val="2"/>
        </w:numPr>
        <w:tabs>
          <w:tab w:val="left" w:pos="2520"/>
        </w:tabs>
        <w:kinsoku/>
        <w:wordWrap/>
        <w:overflowPunct/>
        <w:topLinePunct w:val="0"/>
        <w:autoSpaceDE/>
        <w:autoSpaceDN/>
        <w:bidi w:val="0"/>
        <w:adjustRightInd/>
        <w:snapToGrid/>
        <w:spacing w:line="400" w:lineRule="exact"/>
        <w:ind w:left="1" w:hanging="1"/>
        <w:textAlignment w:val="auto"/>
        <w:rPr>
          <w:rFonts w:hint="eastAsia"/>
        </w:rPr>
      </w:pPr>
      <w:r>
        <w:rPr>
          <w:rFonts w:hint="eastAsia" w:ascii="Times New Roman" w:hAnsi="Times New Roman" w:eastAsia="宋体" w:cs="Times New Roman"/>
          <w:b/>
          <w:sz w:val="24"/>
          <w:lang w:eastAsia="zh-CN"/>
        </w:rPr>
        <w:t>投标人在政采云平台解密出来的投标报价与投标文件中投标报价不一致的，以投标文件中的投标报价为准。</w:t>
      </w:r>
    </w:p>
    <w:p>
      <w:pPr>
        <w:keepNext w:val="0"/>
        <w:keepLines w:val="0"/>
        <w:pageBreakBefore w:val="0"/>
        <w:widowControl w:val="0"/>
        <w:numPr>
          <w:ilvl w:val="0"/>
          <w:numId w:val="2"/>
        </w:numPr>
        <w:tabs>
          <w:tab w:val="left" w:pos="2520"/>
        </w:tabs>
        <w:kinsoku/>
        <w:wordWrap/>
        <w:overflowPunct/>
        <w:topLinePunct w:val="0"/>
        <w:autoSpaceDE/>
        <w:autoSpaceDN/>
        <w:bidi w:val="0"/>
        <w:adjustRightInd/>
        <w:snapToGrid/>
        <w:spacing w:line="460" w:lineRule="exact"/>
        <w:ind w:left="0" w:firstLine="0"/>
        <w:textAlignment w:val="auto"/>
        <w:rPr>
          <w:rFonts w:hint="eastAsia"/>
          <w:b/>
          <w:sz w:val="24"/>
          <w:highlight w:val="none"/>
        </w:rPr>
      </w:pPr>
      <w:r>
        <w:rPr>
          <w:rFonts w:hint="eastAsia"/>
          <w:b/>
          <w:sz w:val="24"/>
          <w:highlight w:val="none"/>
        </w:rPr>
        <w:t>现场踏勘：参加现场踏勘</w:t>
      </w:r>
      <w:r>
        <w:rPr>
          <w:rFonts w:hint="eastAsia" w:ascii="Times New Roman" w:hAnsi="Times New Roman" w:eastAsia="宋体" w:cs="Times New Roman"/>
          <w:b/>
          <w:sz w:val="24"/>
          <w:highlight w:val="none"/>
        </w:rPr>
        <w:t>的供应商请于</w:t>
      </w:r>
      <w:r>
        <w:rPr>
          <w:rFonts w:hint="eastAsia" w:ascii="Times New Roman" w:hAnsi="Times New Roman" w:eastAsia="宋体" w:cs="Times New Roman"/>
          <w:b/>
          <w:sz w:val="24"/>
          <w:highlight w:val="none"/>
          <w:lang w:val="en-US" w:eastAsia="zh-CN"/>
        </w:rPr>
        <w:t>2023</w:t>
      </w:r>
      <w:r>
        <w:rPr>
          <w:rFonts w:hint="eastAsia" w:ascii="Times New Roman" w:hAnsi="Times New Roman" w:eastAsia="宋体" w:cs="Times New Roman"/>
          <w:b/>
          <w:sz w:val="24"/>
          <w:highlight w:val="none"/>
        </w:rPr>
        <w:t>年</w:t>
      </w:r>
      <w:r>
        <w:rPr>
          <w:rFonts w:hint="eastAsia" w:ascii="Times New Roman" w:hAnsi="Times New Roman" w:eastAsia="宋体" w:cs="Times New Roman"/>
          <w:b/>
          <w:sz w:val="24"/>
          <w:highlight w:val="none"/>
          <w:lang w:val="en-US" w:eastAsia="zh-CN"/>
        </w:rPr>
        <w:t>7</w:t>
      </w:r>
      <w:r>
        <w:rPr>
          <w:rFonts w:hint="eastAsia" w:ascii="Times New Roman" w:hAnsi="Times New Roman" w:eastAsia="宋体" w:cs="Times New Roman"/>
          <w:b/>
          <w:sz w:val="24"/>
          <w:highlight w:val="none"/>
        </w:rPr>
        <w:t>月</w:t>
      </w:r>
      <w:r>
        <w:rPr>
          <w:rFonts w:hint="eastAsia" w:ascii="Times New Roman" w:hAnsi="Times New Roman" w:eastAsia="宋体" w:cs="Times New Roman"/>
          <w:b/>
          <w:sz w:val="24"/>
          <w:highlight w:val="none"/>
          <w:lang w:val="en-US" w:eastAsia="zh-CN"/>
        </w:rPr>
        <w:t>19</w:t>
      </w:r>
      <w:r>
        <w:rPr>
          <w:rFonts w:hint="eastAsia" w:ascii="Times New Roman" w:hAnsi="Times New Roman" w:eastAsia="宋体" w:cs="Times New Roman"/>
          <w:b/>
          <w:sz w:val="24"/>
          <w:highlight w:val="none"/>
        </w:rPr>
        <w:t>日9：30到</w:t>
      </w:r>
      <w:r>
        <w:rPr>
          <w:rFonts w:hint="eastAsia" w:ascii="Times New Roman" w:hAnsi="Times New Roman" w:eastAsia="宋体" w:cs="Times New Roman"/>
          <w:b/>
          <w:sz w:val="24"/>
          <w:highlight w:val="none"/>
          <w:lang w:val="en-US" w:eastAsia="zh-CN"/>
        </w:rPr>
        <w:t>宁波市疾病预防控制中心（宁波市健康教育与促进中心）</w:t>
      </w:r>
      <w:r>
        <w:rPr>
          <w:rFonts w:hint="eastAsia" w:ascii="Times New Roman" w:hAnsi="Times New Roman" w:eastAsia="宋体" w:cs="Times New Roman"/>
          <w:b/>
          <w:sz w:val="24"/>
          <w:highlight w:val="none"/>
        </w:rPr>
        <w:t>（地址：</w:t>
      </w:r>
      <w:r>
        <w:rPr>
          <w:rFonts w:hint="eastAsia" w:ascii="Times New Roman" w:hAnsi="Times New Roman" w:eastAsia="宋体" w:cs="Times New Roman"/>
          <w:b/>
          <w:sz w:val="24"/>
          <w:highlight w:val="none"/>
          <w:lang w:eastAsia="zh-CN"/>
        </w:rPr>
        <w:t>宁波市海曙区范江岸路1166号；</w:t>
      </w:r>
      <w:r>
        <w:rPr>
          <w:rFonts w:hint="eastAsia" w:ascii="Times New Roman" w:hAnsi="Times New Roman" w:eastAsia="宋体" w:cs="Times New Roman"/>
          <w:b/>
          <w:sz w:val="24"/>
          <w:highlight w:val="none"/>
        </w:rPr>
        <w:t>联系人：</w:t>
      </w:r>
      <w:r>
        <w:rPr>
          <w:rFonts w:hint="eastAsia" w:ascii="Times New Roman" w:hAnsi="Times New Roman" w:eastAsia="宋体" w:cs="Times New Roman"/>
          <w:b/>
          <w:sz w:val="24"/>
          <w:highlight w:val="none"/>
          <w:lang w:eastAsia="zh-CN"/>
        </w:rPr>
        <w:t>徐</w:t>
      </w:r>
      <w:r>
        <w:rPr>
          <w:rFonts w:hint="eastAsia" w:ascii="Times New Roman" w:hAnsi="Times New Roman" w:eastAsia="宋体" w:cs="Times New Roman"/>
          <w:b/>
          <w:sz w:val="24"/>
          <w:highlight w:val="none"/>
        </w:rPr>
        <w:t>老师</w:t>
      </w:r>
      <w:r>
        <w:rPr>
          <w:rFonts w:hint="eastAsia" w:ascii="Times New Roman" w:hAnsi="Times New Roman" w:eastAsia="宋体" w:cs="Times New Roman"/>
          <w:b/>
          <w:sz w:val="24"/>
          <w:highlight w:val="none"/>
          <w:lang w:val="en-US" w:eastAsia="zh-CN"/>
        </w:rPr>
        <w:t>/0574-87680041</w:t>
      </w:r>
      <w:r>
        <w:rPr>
          <w:rFonts w:hint="eastAsia" w:ascii="Times New Roman" w:hAnsi="Times New Roman" w:eastAsia="宋体" w:cs="Times New Roman"/>
          <w:b/>
          <w:sz w:val="24"/>
          <w:highlight w:val="none"/>
        </w:rPr>
        <w:t>）。届时请每家潜在</w:t>
      </w:r>
      <w:r>
        <w:rPr>
          <w:rFonts w:hint="eastAsia"/>
          <w:b/>
          <w:sz w:val="24"/>
          <w:highlight w:val="none"/>
        </w:rPr>
        <w:t>投标人安排不超过2人出席，须携带本人身份证原件及加盖投标单位公章的介绍信（证明函）。供应商应认真踏勘现场，中标后，供应商不得以不完全了解施工现场和周围环境情况为借口，提出额外补偿的要求！</w:t>
      </w:r>
    </w:p>
    <w:p>
      <w:pPr>
        <w:keepNext w:val="0"/>
        <w:keepLines w:val="0"/>
        <w:pageBreakBefore w:val="0"/>
        <w:widowControl w:val="0"/>
        <w:numPr>
          <w:ilvl w:val="0"/>
          <w:numId w:val="2"/>
        </w:numPr>
        <w:tabs>
          <w:tab w:val="left" w:pos="2520"/>
        </w:tabs>
        <w:kinsoku/>
        <w:wordWrap/>
        <w:overflowPunct/>
        <w:topLinePunct w:val="0"/>
        <w:autoSpaceDE/>
        <w:autoSpaceDN/>
        <w:bidi w:val="0"/>
        <w:adjustRightInd/>
        <w:snapToGrid/>
        <w:spacing w:line="460" w:lineRule="exact"/>
        <w:ind w:left="0" w:firstLine="0"/>
        <w:textAlignment w:val="auto"/>
        <w:rPr>
          <w:rFonts w:hint="default" w:ascii="Times New Roman" w:hAnsi="Times New Roman" w:eastAsia="宋体" w:cs="Times New Roman"/>
          <w:b/>
          <w:sz w:val="24"/>
          <w:highlight w:val="none"/>
          <w:lang w:val="en-US"/>
        </w:rPr>
      </w:pPr>
      <w:r>
        <w:rPr>
          <w:rFonts w:hint="eastAsia" w:ascii="Times New Roman" w:hAnsi="Times New Roman" w:eastAsia="宋体" w:cs="Times New Roman"/>
          <w:b/>
          <w:sz w:val="24"/>
          <w:highlight w:val="none"/>
          <w:lang w:eastAsia="zh-CN"/>
        </w:rPr>
        <w:t>本项目标的对应所属行业：</w:t>
      </w:r>
      <w:r>
        <w:rPr>
          <w:rFonts w:hint="eastAsia" w:ascii="Times New Roman" w:hAnsi="Times New Roman" w:eastAsia="宋体" w:cs="Times New Roman"/>
          <w:b/>
          <w:sz w:val="24"/>
          <w:highlight w:val="none"/>
          <w:lang w:val="en-US" w:eastAsia="zh-CN"/>
        </w:rPr>
        <w:t>物业管理</w:t>
      </w:r>
      <w:r>
        <w:rPr>
          <w:rFonts w:hint="eastAsia" w:ascii="Times New Roman" w:hAnsi="Times New Roman" w:eastAsia="宋体" w:cs="Times New Roman"/>
          <w:b/>
          <w:sz w:val="24"/>
          <w:highlight w:val="none"/>
          <w:lang w:eastAsia="zh-CN"/>
        </w:rPr>
        <w:t>。</w:t>
      </w:r>
    </w:p>
    <w:p>
      <w:pPr>
        <w:pStyle w:val="12"/>
        <w:rPr>
          <w:rFonts w:hint="eastAsia"/>
        </w:rPr>
      </w:pPr>
    </w:p>
    <w:p>
      <w:pPr>
        <w:pStyle w:val="66"/>
        <w:ind w:firstLine="267" w:firstLineChars="83"/>
        <w:jc w:val="center"/>
        <w:rPr>
          <w:rFonts w:hint="eastAsia"/>
          <w:b/>
          <w:sz w:val="32"/>
        </w:rPr>
      </w:pPr>
    </w:p>
    <w:p>
      <w:pPr>
        <w:pStyle w:val="66"/>
        <w:ind w:firstLine="267" w:firstLineChars="83"/>
        <w:jc w:val="center"/>
        <w:rPr>
          <w:rFonts w:hint="eastAsia" w:ascii="Arial" w:hAnsi="Arial"/>
        </w:rPr>
      </w:pPr>
      <w:r>
        <w:rPr>
          <w:rFonts w:hint="eastAsia"/>
          <w:b/>
          <w:sz w:val="32"/>
        </w:rPr>
        <w:t>项目需求说明</w:t>
      </w:r>
      <w:r>
        <w:rPr>
          <w:rFonts w:hint="eastAsia"/>
          <w:b/>
          <w:sz w:val="28"/>
        </w:rPr>
        <w:t>：</w:t>
      </w:r>
    </w:p>
    <w:p>
      <w:pPr>
        <w:numPr>
          <w:ilvl w:val="0"/>
          <w:numId w:val="3"/>
        </w:numPr>
        <w:spacing w:line="360" w:lineRule="auto"/>
        <w:jc w:val="left"/>
        <w:rPr>
          <w:rFonts w:ascii="宋体" w:hAnsi="宋体" w:cs="宋体"/>
          <w:b/>
          <w:color w:val="000000"/>
          <w:szCs w:val="21"/>
        </w:rPr>
      </w:pPr>
      <w:bookmarkStart w:id="0" w:name="_Toc65917390"/>
      <w:bookmarkStart w:id="1" w:name="_Toc100052360"/>
      <w:bookmarkStart w:id="2" w:name="_Toc72050368"/>
      <w:bookmarkStart w:id="3" w:name="_Toc101074872"/>
      <w:bookmarkStart w:id="4" w:name="工程技术要求"/>
      <w:bookmarkStart w:id="5" w:name="_Toc58910667"/>
      <w:bookmarkStart w:id="6" w:name="_Toc95016343"/>
      <w:bookmarkStart w:id="7" w:name="_Toc69814308"/>
      <w:bookmarkStart w:id="8" w:name="_Toc77407614"/>
      <w:bookmarkStart w:id="9" w:name="_Toc66353737"/>
      <w:r>
        <w:rPr>
          <w:rFonts w:hint="eastAsia" w:ascii="宋体" w:hAnsi="宋体" w:cs="宋体"/>
          <w:b/>
          <w:color w:val="000000"/>
          <w:szCs w:val="21"/>
        </w:rPr>
        <w:t>物业概况</w:t>
      </w:r>
    </w:p>
    <w:p>
      <w:pPr>
        <w:pStyle w:val="85"/>
      </w:pPr>
      <w:r>
        <w:rPr>
          <w:rFonts w:hint="eastAsia"/>
        </w:rPr>
        <w:t>项目用地面积为9396 ㎡。总建筑面积50227.26㎡。其中：地上建筑面积34041.26㎡，地下建筑面积16186㎡。本项目分为综合楼和实验楼两个功能体。其中综合楼共14层，实验楼共18层。综合楼和实验楼通过两层裙房连接, 裙房2层主要为可容纳276人的学术报告厅。</w:t>
      </w:r>
    </w:p>
    <w:p>
      <w:pPr>
        <w:pStyle w:val="85"/>
        <w:rPr>
          <w:rFonts w:hint="eastAsia"/>
        </w:rPr>
      </w:pPr>
      <w:r>
        <w:rPr>
          <w:rFonts w:hint="eastAsia"/>
        </w:rPr>
        <w:t>综合楼功能主要分为专业业务科室、行政科室等。综合楼1层主要为接待大厅，可容纳超300人同时就餐的餐厅及配套的厨房和设备用房，餐厅共两层，2层主要为学术报告厅、培训教室、会议中心等，3-13层主要为各科室办公用房，14层为宁波市公共卫生应急（重大疫情防控）指挥中心。设置2部客梯，1部消防梯。</w:t>
      </w:r>
    </w:p>
    <w:p>
      <w:pPr>
        <w:pStyle w:val="85"/>
        <w:rPr>
          <w:rFonts w:hint="eastAsia"/>
        </w:rPr>
      </w:pPr>
      <w:r>
        <w:rPr>
          <w:rFonts w:hint="eastAsia"/>
        </w:rPr>
        <w:t>实验楼主要为实验区办公用房以及各类实验室、后勤保障类用房，包括疫苗冷链仓库、洗消间、集中灭活处理站、污水处理池、消控监控室、会议室及资料室。共设置4部电梯，其中2部客梯、1部污物电梯、1部样品运送梯。</w:t>
      </w:r>
    </w:p>
    <w:p>
      <w:pPr>
        <w:pStyle w:val="85"/>
      </w:pPr>
      <w:r>
        <w:rPr>
          <w:rFonts w:hint="eastAsia"/>
        </w:rPr>
        <w:t>宁波市疾病预防控制中心是宁波市市级治安保卫重点单位，也是二级重要电力用户，同时有易**、易制爆危险化学品仓库，存放涉及生物安全的菌毒株生物样品库。中心内有多间病原微生物实验室需要保洁员处理高压灭菌后的医疗废弃物。</w:t>
      </w:r>
    </w:p>
    <w:p>
      <w:pPr>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二、管理服务内容及要求</w:t>
      </w:r>
    </w:p>
    <w:p>
      <w:pPr>
        <w:spacing w:line="360" w:lineRule="auto"/>
        <w:ind w:firstLine="422" w:firstLineChars="200"/>
        <w:outlineLvl w:val="0"/>
        <w:rPr>
          <w:rFonts w:ascii="宋体" w:hAnsi="宋体" w:cs="宋体"/>
          <w:b/>
          <w:color w:val="000000"/>
          <w:szCs w:val="21"/>
        </w:rPr>
      </w:pPr>
      <w:r>
        <w:rPr>
          <w:rFonts w:hint="eastAsia" w:ascii="宋体" w:hAnsi="宋体" w:cs="宋体"/>
          <w:b/>
          <w:color w:val="000000"/>
          <w:szCs w:val="21"/>
        </w:rPr>
        <w:t>（一）委托管理范围</w:t>
      </w:r>
    </w:p>
    <w:p>
      <w:pPr>
        <w:pStyle w:val="85"/>
        <w:ind w:firstLineChars="200"/>
      </w:pPr>
      <w:r>
        <w:t>1.</w:t>
      </w:r>
      <w:r>
        <w:rPr>
          <w:rFonts w:hint="eastAsia"/>
        </w:rPr>
        <w:t>负责管理服务区域内安保工作，主要包括门岗、巡逻、消监控、停车管理、特殊场所管控、突发事件应急处置等工作；</w:t>
      </w:r>
    </w:p>
    <w:p>
      <w:pPr>
        <w:pStyle w:val="85"/>
        <w:rPr>
          <w:rFonts w:hint="eastAsia"/>
        </w:rPr>
      </w:pPr>
      <w:r>
        <w:t>2.</w:t>
      </w:r>
      <w:r>
        <w:rPr>
          <w:rFonts w:hint="eastAsia"/>
        </w:rPr>
        <w:t>负责管理服务区域公共环境卫生工作，主要包括公共区域、外围道路、洗手间、垃圾分类、医疗废弃物处理等工作；</w:t>
      </w:r>
    </w:p>
    <w:p>
      <w:pPr>
        <w:pStyle w:val="85"/>
      </w:pPr>
      <w:r>
        <w:t>3.</w:t>
      </w:r>
      <w:r>
        <w:rPr>
          <w:rFonts w:hint="eastAsia"/>
        </w:rPr>
        <w:t>负责管理服务区域内设备设施巡检、保养、维护、日常维修等工作；</w:t>
      </w:r>
    </w:p>
    <w:p>
      <w:pPr>
        <w:pStyle w:val="85"/>
      </w:pPr>
      <w:r>
        <w:rPr>
          <w:rFonts w:hint="eastAsia"/>
        </w:rPr>
        <w:t>4</w:t>
      </w:r>
      <w:r>
        <w:t>.</w:t>
      </w:r>
      <w:r>
        <w:rPr>
          <w:rFonts w:hint="eastAsia"/>
        </w:rPr>
        <w:t>负责会务服务工作，包括会场预订、会场布置、会议服务、会议接待等工作；</w:t>
      </w:r>
    </w:p>
    <w:p>
      <w:pPr>
        <w:pStyle w:val="85"/>
      </w:pPr>
      <w:r>
        <w:rPr>
          <w:rFonts w:hint="eastAsia"/>
        </w:rPr>
        <w:t>5.负责管理服务区域内绿化养护、修剪、施肥、除草、浇水、防冻等工作，绿摆养护工作，包括绿植租摆、修剪、浇水、发现枯萎及时更换等工作；</w:t>
      </w:r>
    </w:p>
    <w:p>
      <w:pPr>
        <w:pStyle w:val="85"/>
      </w:pPr>
      <w:r>
        <w:rPr>
          <w:rFonts w:hint="eastAsia"/>
        </w:rPr>
        <w:t>6</w:t>
      </w:r>
      <w:r>
        <w:t>.</w:t>
      </w:r>
      <w:r>
        <w:rPr>
          <w:rFonts w:hint="eastAsia"/>
        </w:rPr>
        <w:t>协助对计量、校准、检定的仪器到期提醒、收集、整理、外送、合格证标签粘贴等工作；</w:t>
      </w:r>
    </w:p>
    <w:p>
      <w:pPr>
        <w:pStyle w:val="85"/>
        <w:rPr>
          <w:rFonts w:hint="eastAsia"/>
        </w:rPr>
      </w:pPr>
      <w:r>
        <w:rPr>
          <w:rFonts w:hint="eastAsia"/>
        </w:rPr>
        <w:t>7</w:t>
      </w:r>
      <w:r>
        <w:t>.</w:t>
      </w:r>
      <w:r>
        <w:rPr>
          <w:rFonts w:hint="eastAsia"/>
        </w:rPr>
        <w:t>各类快递、报纸接收、归类、管理摆放、提醒业主单位人员接收等工作</w:t>
      </w:r>
    </w:p>
    <w:p>
      <w:pPr>
        <w:pStyle w:val="85"/>
        <w:rPr>
          <w:rFonts w:hint="eastAsia"/>
        </w:rPr>
      </w:pPr>
      <w:r>
        <w:rPr>
          <w:rFonts w:hint="eastAsia"/>
        </w:rPr>
        <w:t>8.选派经培训专人生物样品和其他样品接收、消毒、上送到各个科室等样品收发工作。</w:t>
      </w:r>
    </w:p>
    <w:p>
      <w:pPr>
        <w:pStyle w:val="85"/>
        <w:rPr>
          <w:rFonts w:hint="eastAsia"/>
        </w:rPr>
      </w:pPr>
      <w:r>
        <w:rPr>
          <w:rFonts w:hint="eastAsia"/>
        </w:rPr>
        <w:t>9.其他工作，如临时性的疫苗、试剂、漂白粉消毒药品装卸、台风期间应急防护用品的搬运、仪器设备搬运、家具搬运、外墙清洗、化粪池等工作。</w:t>
      </w:r>
    </w:p>
    <w:p>
      <w:pPr>
        <w:pStyle w:val="85"/>
        <w:rPr>
          <w:rFonts w:hint="eastAsia"/>
        </w:rPr>
      </w:pPr>
      <w:r>
        <w:rPr>
          <w:rFonts w:hint="eastAsia"/>
        </w:rPr>
        <w:t>10、办公网络、会场音控、会议投影等智能化弱电系统维护管理。</w:t>
      </w:r>
    </w:p>
    <w:p>
      <w:pPr>
        <w:pStyle w:val="85"/>
        <w:rPr>
          <w:rFonts w:hint="eastAsia"/>
        </w:rPr>
      </w:pPr>
      <w:r>
        <w:rPr>
          <w:rFonts w:hint="eastAsia"/>
        </w:rPr>
        <w:t>11、大院内可回收的外包装、纸箱按照垃圾分类资源回收处理。</w:t>
      </w:r>
    </w:p>
    <w:p>
      <w:pPr>
        <w:pStyle w:val="85"/>
        <w:rPr>
          <w:rFonts w:hint="eastAsia"/>
        </w:rPr>
      </w:pPr>
      <w:r>
        <w:rPr>
          <w:rFonts w:hint="eastAsia"/>
        </w:rPr>
        <w:t>12. 根据采购人通知要求布置的临时性、突击性、值班、急修、清洁等服务任务，中标方应无条件接受并增派人员按时按质按量完成任务，发生的费用由中标方自行在投标报价时考虑并自行消化，采购人不再另行支付服务费。投标人在报价中可按总费用的5－8％列支不可预见费用，该费用包含（但不限于）以下各项费用开支：突发事件处理、领导视察、大型活动、专题活动、大楼设备急修等及其他非正常性突击任务增派值班、清洁工、维修工等，物品的搬移和增加设备等（无论投标报价中是否列明或计算此项费用，采购人均视为投标人已计入此费用，而不另行支付费用）。</w:t>
      </w:r>
    </w:p>
    <w:p>
      <w:pPr>
        <w:pStyle w:val="85"/>
        <w:rPr>
          <w:rFonts w:hint="eastAsia"/>
        </w:rPr>
      </w:pPr>
      <w:r>
        <w:rPr>
          <w:rFonts w:hint="eastAsia"/>
        </w:rPr>
        <w:t>13．消防年检、电梯年检费用已包含在投标报价中，不再另行支付费用。</w:t>
      </w:r>
    </w:p>
    <w:p>
      <w:pPr>
        <w:pStyle w:val="85"/>
        <w:rPr>
          <w:highlight w:val="yellow"/>
        </w:rPr>
      </w:pPr>
    </w:p>
    <w:p>
      <w:pPr>
        <w:spacing w:line="360" w:lineRule="auto"/>
        <w:ind w:firstLine="422" w:firstLineChars="200"/>
        <w:outlineLvl w:val="0"/>
        <w:rPr>
          <w:rFonts w:hint="eastAsia" w:ascii="宋体" w:hAnsi="宋体"/>
          <w:b/>
          <w:bCs/>
          <w:color w:val="000000"/>
        </w:rPr>
      </w:pPr>
      <w:r>
        <w:rPr>
          <w:rFonts w:hint="eastAsia" w:ascii="宋体" w:hAnsi="宋体"/>
          <w:b/>
          <w:bCs/>
          <w:color w:val="000000"/>
        </w:rPr>
        <w:t>（二）项目管理总体要求</w:t>
      </w:r>
    </w:p>
    <w:p>
      <w:pPr>
        <w:pStyle w:val="85"/>
        <w:rPr>
          <w:rFonts w:hint="eastAsia"/>
        </w:rPr>
      </w:pPr>
      <w:r>
        <w:rPr>
          <w:rFonts w:hint="eastAsia"/>
        </w:rPr>
        <w:t>1.中标方须认真履行职责，严格按协议中的质量保证体系做好各项工作。各岗位人员不得随意顶替调换，确保相对稳定，服务人员要在岗在位，各尽其职，保证服务质量。</w:t>
      </w:r>
    </w:p>
    <w:p>
      <w:pPr>
        <w:pStyle w:val="85"/>
        <w:rPr>
          <w:rFonts w:hint="eastAsia"/>
          <w:highlight w:val="none"/>
        </w:rPr>
      </w:pPr>
      <w:r>
        <w:rPr>
          <w:rFonts w:hint="eastAsia"/>
        </w:rPr>
        <w:t>2.委托方有权对中标方工作质量进行不定期考核，具</w:t>
      </w:r>
      <w:r>
        <w:rPr>
          <w:rFonts w:hint="eastAsia"/>
          <w:highlight w:val="none"/>
        </w:rPr>
        <w:t>体考核方案与中标方协商议定，并在合同中明确，以保证奖罚分明，并作为支付服务费用和续签物业管理服务合同的依据。</w:t>
      </w:r>
    </w:p>
    <w:p>
      <w:pPr>
        <w:pStyle w:val="85"/>
        <w:rPr>
          <w:rFonts w:hint="eastAsia"/>
        </w:rPr>
      </w:pPr>
      <w:r>
        <w:rPr>
          <w:rFonts w:hint="eastAsia"/>
          <w:highlight w:val="none"/>
        </w:rPr>
        <w:t>3.中标方须在委托方配备专职负责人，具有3年以上同规模的物业管理经验。根据招标文件的要求，制定各项行政管理制度，并派专职督导人员每日进行现场</w:t>
      </w:r>
      <w:r>
        <w:rPr>
          <w:rFonts w:hint="eastAsia"/>
        </w:rPr>
        <w:t>管理，落实好各项制度。专职负责人总体负责委托方所委托的日常物业管理工作的监管、协调和考核，需与其他技术管理人员共同遵守国家法律责任。若不遵守相关规定，委托方有权要求调换人员。</w:t>
      </w:r>
    </w:p>
    <w:p>
      <w:pPr>
        <w:pStyle w:val="85"/>
        <w:rPr>
          <w:rFonts w:hint="eastAsia"/>
        </w:rPr>
      </w:pPr>
      <w:r>
        <w:rPr>
          <w:rFonts w:hint="eastAsia"/>
        </w:rPr>
        <w:t>4.中标方必须对上岗人员按规定进行政治审查和岗位培训，并对上岗人员定期进行职业道德教育，教育其端正服务态度，提高服务质量，遵守委托方的各项规章制度及工作规范，维护委托方形象，服从领导。对不遵守劳动纪律、工作作风拖拉的员工，经查实后酌情处罚，情节严重的委托方有权辞退。</w:t>
      </w:r>
    </w:p>
    <w:p>
      <w:pPr>
        <w:pStyle w:val="85"/>
        <w:rPr>
          <w:rFonts w:hint="eastAsia"/>
        </w:rPr>
      </w:pPr>
      <w:r>
        <w:rPr>
          <w:rFonts w:hint="eastAsia"/>
        </w:rPr>
        <w:t>5.中标方建立的物业管理方案、组织架构、人员录用、运作机制、工作流程、信息反馈渠道、控制方式、建立的各项规章制度，在实施前要报告委托方。</w:t>
      </w:r>
    </w:p>
    <w:p>
      <w:pPr>
        <w:pStyle w:val="85"/>
        <w:rPr>
          <w:rFonts w:hint="eastAsia"/>
        </w:rPr>
      </w:pPr>
      <w:r>
        <w:rPr>
          <w:rFonts w:hint="eastAsia"/>
        </w:rPr>
        <w:t>6.在处理特殊事件和紧急、突发事故时，委托方对中标方的人员有直接指挥权。</w:t>
      </w:r>
    </w:p>
    <w:p>
      <w:pPr>
        <w:pStyle w:val="85"/>
        <w:rPr>
          <w:rFonts w:hint="eastAsia"/>
        </w:rPr>
      </w:pPr>
      <w:r>
        <w:rPr>
          <w:rFonts w:hint="eastAsia"/>
        </w:rPr>
        <w:t>7.中标方在做好工作的同时，有责任向委托方提供合理化建议，以提高管理效率和管理质量。</w:t>
      </w:r>
    </w:p>
    <w:p>
      <w:pPr>
        <w:pStyle w:val="85"/>
      </w:pPr>
      <w:r>
        <w:rPr>
          <w:rFonts w:hint="eastAsia"/>
        </w:rPr>
        <w:t>8.中标方协助委托方做好垃圾分类、爱国卫生、节能、安全等方面的工作。</w:t>
      </w:r>
    </w:p>
    <w:p>
      <w:pPr>
        <w:spacing w:line="360" w:lineRule="auto"/>
        <w:ind w:firstLine="422" w:firstLineChars="200"/>
        <w:outlineLvl w:val="0"/>
        <w:rPr>
          <w:rFonts w:ascii="宋体" w:hAnsi="宋体"/>
          <w:color w:val="000000"/>
        </w:rPr>
      </w:pPr>
      <w:r>
        <w:rPr>
          <w:rFonts w:hint="eastAsia" w:ascii="宋体" w:hAnsi="宋体" w:cs="宋体"/>
          <w:b/>
          <w:color w:val="000000"/>
          <w:szCs w:val="21"/>
        </w:rPr>
        <w:t>（三）项目管理具体要求</w:t>
      </w:r>
    </w:p>
    <w:p>
      <w:pPr>
        <w:pStyle w:val="85"/>
      </w:pPr>
      <w:r>
        <w:rPr>
          <w:rFonts w:hint="eastAsia"/>
        </w:rPr>
        <w:t>1.保安服务</w:t>
      </w:r>
    </w:p>
    <w:p>
      <w:pPr>
        <w:pStyle w:val="85"/>
      </w:pPr>
      <w:r>
        <w:rPr>
          <w:rFonts w:hint="eastAsia"/>
        </w:rPr>
        <w:t>1.1重点做好门岗外来人员的进入控制和区域内巡检工作、消防和突发性事件处理等。遇到火警、偷盗、伤人、群众上访等事件，要做到头脑冷静，及时报告、报警或依法处置。</w:t>
      </w:r>
    </w:p>
    <w:p>
      <w:pPr>
        <w:pStyle w:val="85"/>
        <w:rPr>
          <w:rFonts w:hint="eastAsia"/>
        </w:rPr>
      </w:pPr>
      <w:r>
        <w:rPr>
          <w:rFonts w:hint="eastAsia"/>
        </w:rPr>
        <w:t>1.2对大楼内外制定24小时定线和变线巡逻的路线，实行巡逻签到制度，保证巡逻到位，负责适时关闭公共部位的照明和用电设施）。</w:t>
      </w:r>
    </w:p>
    <w:p>
      <w:pPr>
        <w:pStyle w:val="85"/>
      </w:pPr>
      <w:r>
        <w:rPr>
          <w:rFonts w:hint="eastAsia"/>
        </w:rPr>
        <w:t>巡逻保安工作要求</w:t>
      </w:r>
    </w:p>
    <w:p>
      <w:pPr>
        <w:pStyle w:val="85"/>
      </w:pPr>
      <w:r>
        <w:rPr>
          <w:rFonts w:hint="eastAsia"/>
        </w:rPr>
        <w:t>（1）24小时定时进行全域巡逻，负责辖区内财产的安全，认真履行自己的职责，消除各类隐患，确保单位和他人的安全。如遇突发灾害，配合做好相关工作。</w:t>
      </w:r>
    </w:p>
    <w:p>
      <w:pPr>
        <w:pStyle w:val="85"/>
      </w:pPr>
      <w:r>
        <w:rPr>
          <w:rFonts w:hint="eastAsia"/>
        </w:rPr>
        <w:t>（2）做好辖区内消防火警、安防报警处置工作，配合中控室值机人员通知的消防火警安防报警等处置调度，并执行报警处置流程。</w:t>
      </w:r>
    </w:p>
    <w:p>
      <w:pPr>
        <w:pStyle w:val="85"/>
      </w:pPr>
      <w:r>
        <w:rPr>
          <w:rFonts w:hint="eastAsia"/>
        </w:rPr>
        <w:t>（3）加强对重点区域的巡逻，发现可疑情况，应视情况处理及时报告保安主管和中控室值机人员。</w:t>
      </w:r>
    </w:p>
    <w:p>
      <w:pPr>
        <w:pStyle w:val="85"/>
      </w:pPr>
      <w:r>
        <w:rPr>
          <w:rFonts w:hint="eastAsia"/>
        </w:rPr>
        <w:t>（4）按时交接班，做好交接工作，清点岗位范围内的物品、设施、做好记录情况，并办理交接手续，下一班人员未到岗时不得提前离岗。</w:t>
      </w:r>
    </w:p>
    <w:p>
      <w:pPr>
        <w:pStyle w:val="85"/>
      </w:pPr>
      <w:r>
        <w:rPr>
          <w:rFonts w:hint="eastAsia"/>
        </w:rPr>
        <w:t>（5）熟悉掌握使用消防灭火器材和灭火器及救灾基本技能。</w:t>
      </w:r>
    </w:p>
    <w:p>
      <w:pPr>
        <w:pStyle w:val="85"/>
      </w:pPr>
      <w:r>
        <w:rPr>
          <w:rFonts w:hint="eastAsia"/>
        </w:rPr>
        <w:t>（6）对区域内有关部位的钥匙,负责标明、使用、登记、保管。</w:t>
      </w:r>
    </w:p>
    <w:p>
      <w:pPr>
        <w:pStyle w:val="85"/>
      </w:pPr>
      <w:r>
        <w:rPr>
          <w:rFonts w:hint="eastAsia"/>
        </w:rPr>
        <w:t>（7）完成业主指派的其他任务。</w:t>
      </w:r>
    </w:p>
    <w:p>
      <w:pPr>
        <w:pStyle w:val="85"/>
        <w:rPr>
          <w:rFonts w:hint="eastAsia"/>
        </w:rPr>
      </w:pPr>
      <w:r>
        <w:rPr>
          <w:rFonts w:hint="eastAsia"/>
        </w:rPr>
        <w:t>1.3设立门岗问</w:t>
      </w:r>
      <w:r>
        <w:t>询</w:t>
      </w:r>
      <w:r>
        <w:rPr>
          <w:rFonts w:hint="eastAsia"/>
        </w:rPr>
        <w:t>服务。严格控制外来人员的进出，确保无闲杂人员进入。对来访人员核对无误后凭身份证件进行登记。一旦发生突发性事件，熟练应急处置预案，迅速向上级主管及业主方报告情况。</w:t>
      </w:r>
    </w:p>
    <w:p>
      <w:pPr>
        <w:pStyle w:val="85"/>
      </w:pPr>
      <w:r>
        <w:rPr>
          <w:rFonts w:hint="eastAsia"/>
        </w:rPr>
        <w:t>门岗工作要求</w:t>
      </w:r>
    </w:p>
    <w:p>
      <w:pPr>
        <w:pStyle w:val="85"/>
      </w:pPr>
      <w:r>
        <w:rPr>
          <w:rFonts w:hint="eastAsia"/>
        </w:rPr>
        <w:t>（1）遵纪守法，遵守职业道德，服从统一指挥调度。</w:t>
      </w:r>
    </w:p>
    <w:p>
      <w:pPr>
        <w:pStyle w:val="85"/>
      </w:pPr>
      <w:r>
        <w:rPr>
          <w:rFonts w:hint="eastAsia"/>
        </w:rPr>
        <w:t>（2）每天上岗前，按要求做好相关准备工作，如统一着装上岗，调试对讲机，确保通话正常，在岗期间，举止端正，严格落实夜间巡查制度，严禁与他人聊天。</w:t>
      </w:r>
    </w:p>
    <w:p>
      <w:pPr>
        <w:pStyle w:val="85"/>
      </w:pPr>
      <w:r>
        <w:rPr>
          <w:rFonts w:hint="eastAsia"/>
        </w:rPr>
        <w:t>（3）对出入外来人员进行访客登记，禁止可疑人员进入。</w:t>
      </w:r>
    </w:p>
    <w:p>
      <w:pPr>
        <w:pStyle w:val="85"/>
      </w:pPr>
      <w:r>
        <w:rPr>
          <w:rFonts w:hint="eastAsia"/>
        </w:rPr>
        <w:t>（4）对工作人员的信件、报纸、杂志、快递等物件进行分发管理工作。</w:t>
      </w:r>
    </w:p>
    <w:p>
      <w:pPr>
        <w:pStyle w:val="85"/>
      </w:pPr>
      <w:r>
        <w:rPr>
          <w:rFonts w:hint="eastAsia"/>
        </w:rPr>
        <w:t>（5）按时交接班，清点岗位范围内的物品、设施记录情况，并办理交接手续。</w:t>
      </w:r>
    </w:p>
    <w:p>
      <w:pPr>
        <w:pStyle w:val="85"/>
      </w:pPr>
      <w:r>
        <w:rPr>
          <w:rFonts w:hint="eastAsia"/>
        </w:rPr>
        <w:t>（6）对区域内有关部位的钥匙,负责标明、使用、登记、保管。</w:t>
      </w:r>
    </w:p>
    <w:p>
      <w:pPr>
        <w:pStyle w:val="85"/>
      </w:pPr>
      <w:r>
        <w:rPr>
          <w:rFonts w:hint="eastAsia"/>
        </w:rPr>
        <w:t>（7）做好办公区域内消防、安防报警处置工作，配合中控室完成报警处置调度，并执行报警处置流程。</w:t>
      </w:r>
    </w:p>
    <w:p>
      <w:pPr>
        <w:pStyle w:val="85"/>
      </w:pPr>
      <w:r>
        <w:rPr>
          <w:rFonts w:hint="eastAsia"/>
        </w:rPr>
        <w:t>（8）熟练掌握使用消防灭火器材和灭火器及救灾基本技能。</w:t>
      </w:r>
    </w:p>
    <w:p>
      <w:pPr>
        <w:pStyle w:val="85"/>
      </w:pPr>
      <w:r>
        <w:rPr>
          <w:rFonts w:hint="eastAsia"/>
        </w:rPr>
        <w:t>（9）完成业主指派的其他工作。</w:t>
      </w:r>
    </w:p>
    <w:p>
      <w:pPr>
        <w:pStyle w:val="85"/>
        <w:rPr>
          <w:rFonts w:hint="eastAsia"/>
        </w:rPr>
      </w:pPr>
      <w:r>
        <w:rPr>
          <w:rFonts w:hint="eastAsia"/>
        </w:rPr>
        <w:t>1.4中</w:t>
      </w:r>
      <w:r>
        <w:t>控室值</w:t>
      </w:r>
      <w:r>
        <w:rPr>
          <w:rFonts w:hint="eastAsia"/>
        </w:rPr>
        <w:t>班：监控</w:t>
      </w:r>
      <w:r>
        <w:t>室</w:t>
      </w:r>
      <w:r>
        <w:rPr>
          <w:rFonts w:hint="eastAsia"/>
        </w:rPr>
        <w:t>要实行24小时监控值班，做好值班记录，杜绝非工作人员进入，保证仪器和设备的安全，随时提供监控资料。</w:t>
      </w:r>
    </w:p>
    <w:p>
      <w:pPr>
        <w:pStyle w:val="85"/>
      </w:pPr>
      <w:r>
        <w:rPr>
          <w:rFonts w:hint="eastAsia"/>
        </w:rPr>
        <w:t>中控室安全保卫工作要求</w:t>
      </w:r>
    </w:p>
    <w:p>
      <w:pPr>
        <w:pStyle w:val="85"/>
      </w:pPr>
      <w:r>
        <w:rPr>
          <w:rFonts w:hint="eastAsia"/>
        </w:rPr>
        <w:t>（1）中控室实行24小时值班管理，每班次确保至少2人在岗。</w:t>
      </w:r>
    </w:p>
    <w:p>
      <w:pPr>
        <w:pStyle w:val="85"/>
      </w:pPr>
      <w:r>
        <w:rPr>
          <w:rFonts w:hint="eastAsia"/>
        </w:rPr>
        <w:t>（2）必须对中控室外来访客进行登记，并配合做好各类安全、消防检查。</w:t>
      </w:r>
    </w:p>
    <w:p>
      <w:pPr>
        <w:pStyle w:val="85"/>
      </w:pPr>
      <w:r>
        <w:rPr>
          <w:rFonts w:hint="eastAsia"/>
        </w:rPr>
        <w:t>（3）能认真履行自己的职责，负责监控设备、消控设备、安防设备的值机工作，保护财产安全。能及时处理事故，消除隐患，确保单位和他人的安全。</w:t>
      </w:r>
    </w:p>
    <w:p>
      <w:pPr>
        <w:pStyle w:val="85"/>
      </w:pPr>
      <w:r>
        <w:rPr>
          <w:rFonts w:hint="eastAsia"/>
        </w:rPr>
        <w:t>（4）按时交接班，且必须遵循面对面交班规则，交班人员应将当班时发现或需注意的情况告诉接班人，接班人应检查设备的工作和清洁情况，保证设备处于良好的工作状态，交接班完成后应第一时间通知物业安保主管。</w:t>
      </w:r>
    </w:p>
    <w:p>
      <w:pPr>
        <w:pStyle w:val="85"/>
      </w:pPr>
      <w:r>
        <w:rPr>
          <w:rFonts w:hint="eastAsia"/>
        </w:rPr>
        <w:t>（5）每日定时记录中控室网络设备、监控设备、消防设备、电力设备、恒温恒湿空调设备等运行情况，始终确保设备处于正常状态。</w:t>
      </w:r>
    </w:p>
    <w:p>
      <w:pPr>
        <w:pStyle w:val="85"/>
      </w:pPr>
      <w:r>
        <w:rPr>
          <w:rFonts w:hint="eastAsia"/>
        </w:rPr>
        <w:t>（6）能熟练掌握采购单位安防、消防、电力等报警处置流程，熟练使用安全管理平台，做到接警迅速，准确下发处置指令；发现设备异常或故障时，第一时间作出响应，及时通知物业安保主管，及时填写设备故障维保派发单，跟进维保单位维修情况。</w:t>
      </w:r>
    </w:p>
    <w:p>
      <w:pPr>
        <w:pStyle w:val="85"/>
      </w:pPr>
      <w:r>
        <w:rPr>
          <w:rFonts w:hint="eastAsia"/>
        </w:rPr>
        <w:t>（7）熟悉掌握使用消防灭火器材和灭火器及救灾基本技能。</w:t>
      </w:r>
    </w:p>
    <w:p>
      <w:pPr>
        <w:pStyle w:val="85"/>
      </w:pPr>
      <w:r>
        <w:rPr>
          <w:rFonts w:hint="eastAsia"/>
        </w:rPr>
        <w:t>（8）完成领导指派的其他任务。</w:t>
      </w:r>
    </w:p>
    <w:p>
      <w:pPr>
        <w:pStyle w:val="85"/>
      </w:pPr>
      <w:r>
        <w:rPr>
          <w:rFonts w:hint="eastAsia"/>
        </w:rPr>
        <w:t>1.5消防管理：</w:t>
      </w:r>
    </w:p>
    <w:p>
      <w:pPr>
        <w:pStyle w:val="85"/>
      </w:pPr>
      <w:r>
        <w:rPr>
          <w:rFonts w:hint="eastAsia"/>
        </w:rPr>
        <w:t>（1）由中标单位派进场的保卫人员组成微型消防站、明确消防责任人，对消防员定期进行培训、演练，全力配合相关部门做好防火工作；</w:t>
      </w:r>
    </w:p>
    <w:p>
      <w:pPr>
        <w:pStyle w:val="85"/>
      </w:pPr>
      <w:r>
        <w:rPr>
          <w:rFonts w:hint="eastAsia"/>
        </w:rPr>
        <w:t>（2）做好消防监控巡逻工作，认真落实消防管理规定，确保采购单位工作的正常开展；</w:t>
      </w:r>
    </w:p>
    <w:p>
      <w:pPr>
        <w:pStyle w:val="85"/>
      </w:pPr>
      <w:r>
        <w:rPr>
          <w:rFonts w:hint="eastAsia"/>
        </w:rPr>
        <w:t>（3）制订火灾等灾害应急方案，24小时进行巡查，定期检测消防设施设备，避免消防事故发生。</w:t>
      </w:r>
    </w:p>
    <w:p>
      <w:pPr>
        <w:pStyle w:val="85"/>
        <w:rPr>
          <w:rFonts w:hint="eastAsia"/>
        </w:rPr>
      </w:pPr>
      <w:r>
        <w:rPr>
          <w:rFonts w:hint="eastAsia"/>
        </w:rPr>
        <w:t>1.6严格控制外来车辆进入院</w:t>
      </w:r>
      <w:r>
        <w:t>内</w:t>
      </w:r>
      <w:r>
        <w:rPr>
          <w:rFonts w:hint="eastAsia"/>
        </w:rPr>
        <w:t>停车，各种车辆要按规定的位置停放。制定车辆停放应急预案，确保召开会议时车辆停放有序。对出入的车辆进行安全引导服务。</w:t>
      </w:r>
    </w:p>
    <w:p>
      <w:pPr>
        <w:pStyle w:val="85"/>
      </w:pPr>
      <w:r>
        <w:rPr>
          <w:rFonts w:hint="eastAsia"/>
        </w:rPr>
        <w:t>1.7分部门、分类别地做好报刊、文件的分发、保管工作，重要信函即到即送，保证第一时间送达收文部门，对</w:t>
      </w:r>
      <w:r>
        <w:t>需销毁的</w:t>
      </w:r>
      <w:r>
        <w:rPr>
          <w:rFonts w:hint="eastAsia"/>
        </w:rPr>
        <w:t>内</w:t>
      </w:r>
      <w:r>
        <w:t>部文件资料</w:t>
      </w:r>
      <w:r>
        <w:rPr>
          <w:rFonts w:hint="eastAsia"/>
        </w:rPr>
        <w:t>进</w:t>
      </w:r>
      <w:r>
        <w:t>行统一收集</w:t>
      </w:r>
      <w:r>
        <w:rPr>
          <w:rFonts w:hint="eastAsia"/>
        </w:rPr>
        <w:t>，</w:t>
      </w:r>
      <w:r>
        <w:t>指定销毁</w:t>
      </w:r>
      <w:r>
        <w:rPr>
          <w:rFonts w:hint="eastAsia"/>
        </w:rPr>
        <w:t>地点</w:t>
      </w:r>
      <w:r>
        <w:t>进行销毁，</w:t>
      </w:r>
      <w:r>
        <w:rPr>
          <w:rFonts w:hint="eastAsia"/>
        </w:rPr>
        <w:t>做好资料</w:t>
      </w:r>
      <w:r>
        <w:t>的</w:t>
      </w:r>
      <w:r>
        <w:rPr>
          <w:rFonts w:hint="eastAsia"/>
        </w:rPr>
        <w:t>保密工作。</w:t>
      </w:r>
    </w:p>
    <w:p>
      <w:pPr>
        <w:pStyle w:val="85"/>
        <w:rPr>
          <w:rFonts w:hint="eastAsia"/>
        </w:rPr>
      </w:pPr>
      <w:r>
        <w:rPr>
          <w:rFonts w:hint="eastAsia"/>
        </w:rPr>
        <w:t>1.8建立各种应急预案，配合公安部门做好治安和公共秩序的维护。</w:t>
      </w:r>
    </w:p>
    <w:p>
      <w:pPr>
        <w:pStyle w:val="85"/>
      </w:pPr>
      <w:r>
        <w:rPr>
          <w:rFonts w:hint="eastAsia"/>
        </w:rPr>
        <w:t>1.9宁波市疾病预防控制中心为宁波市市级治安保卫重点单位，同时有易**、易制爆危险化学品仓库，存放涉及生物安全的菌毒株生物样品库。需要对重点区域进行重点管控。</w:t>
      </w:r>
    </w:p>
    <w:p>
      <w:pPr>
        <w:pStyle w:val="85"/>
      </w:pPr>
      <w:r>
        <w:rPr>
          <w:rFonts w:hint="eastAsia"/>
        </w:rPr>
        <w:t>2.保洁服务</w:t>
      </w:r>
    </w:p>
    <w:p>
      <w:pPr>
        <w:pStyle w:val="85"/>
      </w:pPr>
      <w:r>
        <w:rPr>
          <w:rFonts w:hint="eastAsia"/>
        </w:rPr>
        <w:t>2.1日常卫生保洁要求：</w:t>
      </w:r>
    </w:p>
    <w:p>
      <w:pPr>
        <w:pStyle w:val="85"/>
      </w:pPr>
      <w:r>
        <w:rPr>
          <w:rFonts w:hint="eastAsia"/>
        </w:rPr>
        <w:t>（1）路面保洁（包括人行道、天井等区域）</w:t>
      </w:r>
    </w:p>
    <w:p>
      <w:pPr>
        <w:pStyle w:val="85"/>
      </w:pPr>
      <w:r>
        <w:rPr>
          <w:rFonts w:hint="eastAsia"/>
        </w:rPr>
        <w:t>要求：每天循环保洁，定人定点开放时间内巡回跟踪清扫。</w:t>
      </w:r>
    </w:p>
    <w:p>
      <w:pPr>
        <w:pStyle w:val="85"/>
      </w:pPr>
      <w:r>
        <w:rPr>
          <w:rFonts w:hint="eastAsia"/>
        </w:rPr>
        <w:t>标准：地面、台阶干净，无明显泥沙污垢，无堆积物，路面无积水，无杂草，无青苔。地面、盆景、草丛、水池等无烟蒂、果皮纸屑等。</w:t>
      </w:r>
    </w:p>
    <w:p>
      <w:pPr>
        <w:pStyle w:val="85"/>
      </w:pPr>
      <w:r>
        <w:rPr>
          <w:rFonts w:hint="eastAsia"/>
        </w:rPr>
        <w:t>（2）水域保洁</w:t>
      </w:r>
    </w:p>
    <w:p>
      <w:pPr>
        <w:pStyle w:val="85"/>
      </w:pPr>
      <w:r>
        <w:rPr>
          <w:rFonts w:hint="eastAsia"/>
        </w:rPr>
        <w:t>要求：每天循环保洁，定人定点开放时间内巡回打捞杂物。</w:t>
      </w:r>
    </w:p>
    <w:p>
      <w:pPr>
        <w:pStyle w:val="85"/>
      </w:pPr>
      <w:r>
        <w:rPr>
          <w:rFonts w:hint="eastAsia"/>
        </w:rPr>
        <w:t>标准：水面无杂物，水质良好，做到观赏鱼存活率达98%以上。</w:t>
      </w:r>
    </w:p>
    <w:p>
      <w:pPr>
        <w:pStyle w:val="85"/>
      </w:pPr>
      <w:r>
        <w:rPr>
          <w:rFonts w:hint="eastAsia"/>
        </w:rPr>
        <w:t>（3）雨后路面无积水</w:t>
      </w:r>
    </w:p>
    <w:p>
      <w:pPr>
        <w:pStyle w:val="85"/>
      </w:pPr>
      <w:r>
        <w:rPr>
          <w:rFonts w:hint="eastAsia"/>
        </w:rPr>
        <w:t>要求：如遇下雨天，雨后做到公共区域和办公区域巡回检查，看到有积水的地方应及时打扫。</w:t>
      </w:r>
    </w:p>
    <w:p>
      <w:pPr>
        <w:pStyle w:val="85"/>
      </w:pPr>
      <w:r>
        <w:rPr>
          <w:rFonts w:hint="eastAsia"/>
        </w:rPr>
        <w:t>标准：排除积水，路面不溜滑。</w:t>
      </w:r>
    </w:p>
    <w:p>
      <w:pPr>
        <w:pStyle w:val="85"/>
      </w:pPr>
      <w:r>
        <w:rPr>
          <w:rFonts w:hint="eastAsia"/>
        </w:rPr>
        <w:t>（4）卫生间保洁</w:t>
      </w:r>
    </w:p>
    <w:p>
      <w:pPr>
        <w:pStyle w:val="85"/>
      </w:pPr>
      <w:r>
        <w:rPr>
          <w:rFonts w:hint="eastAsia"/>
        </w:rPr>
        <w:t>要求：厕所内外做到无纸屑、无果皮（核）、无污水或积水、无粪便、无垃圾及其他废弃物等。厕所内部要保持完好，无乱刻乱画，做到地面洁净，屋顶及周围无尘土、灰吊，无废弃物。厕所要经常清扫，经常喷药消毒，水冲厕所做到无蝇、无异味。污物筐及时处理，垃圾日产日清，保持环境整洁。厕所内便器要跟踪清扫，无污物、纸屑等。公厕及卫生间保洁毛巾应使用五色毛巾，做到每种颜色对应指定的擦拭清洁用途，不交叉不混用。</w:t>
      </w:r>
    </w:p>
    <w:p>
      <w:pPr>
        <w:pStyle w:val="85"/>
      </w:pPr>
      <w:r>
        <w:rPr>
          <w:rFonts w:hint="eastAsia"/>
        </w:rPr>
        <w:t>标准：巡回保洁，地面干燥，无水渍、无污迹等；卫生用品如手纸、洗手液等充足，保持洗手池干净，洁便器清洁无污物，空气中无异味。</w:t>
      </w:r>
    </w:p>
    <w:p>
      <w:pPr>
        <w:pStyle w:val="85"/>
      </w:pPr>
      <w:r>
        <w:rPr>
          <w:rFonts w:hint="eastAsia"/>
        </w:rPr>
        <w:t>（5）垃圾箱保洁</w:t>
      </w:r>
    </w:p>
    <w:p>
      <w:pPr>
        <w:pStyle w:val="85"/>
      </w:pPr>
      <w:r>
        <w:rPr>
          <w:rFonts w:hint="eastAsia"/>
        </w:rPr>
        <w:t>要求：每天清洗一次，垃圾不超过1/3桶，垃圾分类箱表面及周边清洁，无堆积物，无恶臭。</w:t>
      </w:r>
    </w:p>
    <w:p>
      <w:pPr>
        <w:pStyle w:val="85"/>
      </w:pPr>
      <w:r>
        <w:rPr>
          <w:rFonts w:hint="eastAsia"/>
        </w:rPr>
        <w:t>标准：桶内垃圾及时清理，表面无污物、粘附物，每两个月消毒一次。</w:t>
      </w:r>
    </w:p>
    <w:p>
      <w:pPr>
        <w:pStyle w:val="85"/>
      </w:pPr>
      <w:r>
        <w:rPr>
          <w:rFonts w:hint="eastAsia"/>
        </w:rPr>
        <w:t>（6）公共区域、楼梯、走廊保洁</w:t>
      </w:r>
    </w:p>
    <w:p>
      <w:pPr>
        <w:pStyle w:val="85"/>
      </w:pPr>
      <w:r>
        <w:rPr>
          <w:rFonts w:hint="eastAsia"/>
        </w:rPr>
        <w:t>要求：门窗、走廊灯高度2米以下部分，每天用干净毛巾擦试一次。2米以上所有部分，要求每年做高空卫生不少于2次。每天用干净毛巾擦拭窗台、玻璃窗、展柜玻璃、桌椅、扶手等，巡回清扫室内外走廊、楼道、地面等，并拖干净，保持玻璃干净。</w:t>
      </w:r>
    </w:p>
    <w:p>
      <w:pPr>
        <w:pStyle w:val="85"/>
      </w:pPr>
      <w:r>
        <w:rPr>
          <w:rFonts w:hint="eastAsia"/>
        </w:rPr>
        <w:t>标准：2米以下部位，目视干净，手摸无积灰，保持建筑物干净，无附着物，无鞋印等污迹，地面干净。窗台无沉积，玻璃表面无污迹、手印，干净明亮。地面无堆积物、污迹、垃圾，无口香糖胶迹，目视干净。</w:t>
      </w:r>
    </w:p>
    <w:p>
      <w:pPr>
        <w:pStyle w:val="85"/>
      </w:pPr>
      <w:r>
        <w:rPr>
          <w:rFonts w:hint="eastAsia"/>
        </w:rPr>
        <w:t>（7）消防栓和灭火器箱保洁</w:t>
      </w:r>
    </w:p>
    <w:p>
      <w:pPr>
        <w:pStyle w:val="85"/>
      </w:pPr>
      <w:r>
        <w:rPr>
          <w:rFonts w:hint="eastAsia"/>
        </w:rPr>
        <w:t>要求：每周用干净毛巾擦试一次</w:t>
      </w:r>
    </w:p>
    <w:p>
      <w:pPr>
        <w:pStyle w:val="85"/>
      </w:pPr>
      <w:r>
        <w:rPr>
          <w:rFonts w:hint="eastAsia"/>
        </w:rPr>
        <w:t>标准：无污迹，无积灰，消防箱上字迹明显。</w:t>
      </w:r>
    </w:p>
    <w:p>
      <w:pPr>
        <w:pStyle w:val="85"/>
      </w:pPr>
      <w:r>
        <w:rPr>
          <w:rFonts w:hint="eastAsia"/>
        </w:rPr>
        <w:t>（8）绿化带保洁</w:t>
      </w:r>
    </w:p>
    <w:p>
      <w:pPr>
        <w:pStyle w:val="85"/>
      </w:pPr>
      <w:r>
        <w:rPr>
          <w:rFonts w:hint="eastAsia"/>
        </w:rPr>
        <w:t>要求：及时清除绿化带中的杂物，并确保不损伤绿化。</w:t>
      </w:r>
    </w:p>
    <w:p>
      <w:pPr>
        <w:pStyle w:val="85"/>
      </w:pPr>
      <w:r>
        <w:rPr>
          <w:rFonts w:hint="eastAsia"/>
        </w:rPr>
        <w:t>标准：绿化带中目视无垃圾。</w:t>
      </w:r>
    </w:p>
    <w:p>
      <w:pPr>
        <w:pStyle w:val="85"/>
      </w:pPr>
      <w:r>
        <w:rPr>
          <w:rFonts w:hint="eastAsia"/>
        </w:rPr>
        <w:t>（9）办公区域卫生保洁</w:t>
      </w:r>
    </w:p>
    <w:p>
      <w:pPr>
        <w:pStyle w:val="85"/>
      </w:pPr>
      <w:r>
        <w:rPr>
          <w:rFonts w:hint="eastAsia"/>
        </w:rPr>
        <w:t>要求：办公区域要求每天清扫走廊、通道、楼梯、会议室等区域，保持楼梯扶手干净，地面干净；定期擦拭窗台及玻璃窗，确保明亮照人；每天清扫办公室区域，保持室内干净整洁；办公区域垃圾箱应及时清扫，做到每天清理一次，无堆积物、无附着物，无恶臭等，垃圾做到日产日清。办公区域的绿化，在落叶期间要加强打扫。</w:t>
      </w:r>
    </w:p>
    <w:p>
      <w:pPr>
        <w:pStyle w:val="85"/>
        <w:rPr>
          <w:rFonts w:hint="eastAsia"/>
        </w:rPr>
      </w:pPr>
      <w:r>
        <w:rPr>
          <w:rFonts w:hint="eastAsia"/>
        </w:rPr>
        <w:t>标准：地面、楼梯整洁，门窗无污迹、无落灰沉积，办公区域目视无垃圾堆积物；及时清扫会议室；垃圾箱日产日清，无恶臭。</w:t>
      </w:r>
    </w:p>
    <w:p>
      <w:pPr>
        <w:pStyle w:val="85"/>
        <w:rPr>
          <w:rFonts w:hint="eastAsia"/>
        </w:rPr>
      </w:pPr>
      <w:r>
        <w:rPr>
          <w:rFonts w:hint="eastAsia"/>
        </w:rPr>
        <w:t>（10）电梯保洁</w:t>
      </w:r>
    </w:p>
    <w:p>
      <w:pPr>
        <w:pStyle w:val="85"/>
        <w:rPr>
          <w:rFonts w:hint="eastAsia"/>
        </w:rPr>
      </w:pPr>
      <w:r>
        <w:rPr>
          <w:rFonts w:hint="eastAsia"/>
        </w:rPr>
        <w:t>要求：每天擦拭一次，循环清扫；定期不锈钢保养。</w:t>
      </w:r>
    </w:p>
    <w:p>
      <w:pPr>
        <w:pStyle w:val="85"/>
        <w:rPr>
          <w:rFonts w:hint="eastAsia"/>
        </w:rPr>
      </w:pPr>
      <w:r>
        <w:rPr>
          <w:rFonts w:hint="eastAsia"/>
        </w:rPr>
        <w:t>标准：目视地面无垃圾、灰尘，扶手干净，电梯面无污渍、无污迹、手印。</w:t>
      </w:r>
    </w:p>
    <w:p>
      <w:pPr>
        <w:pStyle w:val="85"/>
      </w:pPr>
      <w:r>
        <w:rPr>
          <w:rFonts w:hint="eastAsia"/>
        </w:rPr>
        <w:t>（11）暴雨、台风季节要开展排水作业、排污疏通，及时清理污垢和地面积水。</w:t>
      </w:r>
    </w:p>
    <w:p>
      <w:pPr>
        <w:pStyle w:val="85"/>
        <w:rPr>
          <w:rFonts w:hint="eastAsia"/>
        </w:rPr>
      </w:pPr>
      <w:r>
        <w:rPr>
          <w:rFonts w:hint="eastAsia"/>
        </w:rPr>
        <w:t>（12）寒冷和下雪天气，地面特别是公共通道，冰迹、雪迹要随时清除，防止摔倒跌伤。</w:t>
      </w:r>
    </w:p>
    <w:p>
      <w:pPr>
        <w:pStyle w:val="85"/>
      </w:pPr>
      <w:r>
        <w:rPr>
          <w:rFonts w:hint="eastAsia"/>
        </w:rPr>
        <w:t>2.2垃圾分类及清运工作</w:t>
      </w:r>
    </w:p>
    <w:p>
      <w:pPr>
        <w:pStyle w:val="85"/>
      </w:pPr>
      <w:r>
        <w:rPr>
          <w:rFonts w:hint="eastAsia"/>
        </w:rPr>
        <w:t>（1）积极开展垃圾分类工作，做好垃圾分类台账记录、制度编制、宣传培训等工作。</w:t>
      </w:r>
    </w:p>
    <w:p>
      <w:pPr>
        <w:pStyle w:val="85"/>
      </w:pPr>
      <w:r>
        <w:rPr>
          <w:rFonts w:hint="eastAsia"/>
        </w:rPr>
        <w:t>（2）每天完成辖区内垃圾桶的清洁、清运工作，做到日产日清。垃圾清运过程中无泄露、不造成二次污染。</w:t>
      </w:r>
    </w:p>
    <w:p>
      <w:pPr>
        <w:pStyle w:val="85"/>
      </w:pPr>
      <w:r>
        <w:rPr>
          <w:rFonts w:hint="eastAsia"/>
        </w:rPr>
        <w:t>（3）</w:t>
      </w:r>
      <w:r>
        <w:rPr>
          <w:rFonts w:hint="eastAsia" w:hAnsi="宋体" w:cs="宋体"/>
          <w:kern w:val="0"/>
          <w:szCs w:val="21"/>
        </w:rPr>
        <w:t>医用垃圾及生活垃圾严格区分，标志明显，分类袋装，消毒处理，指定堆放，统一清运。垃圾箱、垃圾房、垃圾运送车需每天至少一次清洗，保持干净</w:t>
      </w:r>
      <w:r>
        <w:rPr>
          <w:rFonts w:hint="eastAsia"/>
        </w:rPr>
        <w:t>。</w:t>
      </w:r>
    </w:p>
    <w:p>
      <w:pPr>
        <w:pStyle w:val="85"/>
      </w:pPr>
      <w:r>
        <w:rPr>
          <w:rFonts w:hint="eastAsia"/>
        </w:rPr>
        <w:t>2.3化粪池清理</w:t>
      </w:r>
    </w:p>
    <w:p>
      <w:pPr>
        <w:pStyle w:val="85"/>
        <w:rPr>
          <w:rFonts w:hint="eastAsia"/>
        </w:rPr>
      </w:pPr>
      <w:r>
        <w:rPr>
          <w:rFonts w:hint="eastAsia"/>
        </w:rPr>
        <w:t>组织定期开展清理粪便池，每季度检查粪便池情况，一旦有堵塞苗头，应立即组织清理。</w:t>
      </w:r>
    </w:p>
    <w:p>
      <w:pPr>
        <w:pStyle w:val="85"/>
        <w:rPr>
          <w:rFonts w:hint="eastAsia"/>
        </w:rPr>
      </w:pPr>
      <w:r>
        <w:rPr>
          <w:rFonts w:hint="eastAsia"/>
        </w:rPr>
        <w:t>2.4医疗废弃物处理</w:t>
      </w:r>
    </w:p>
    <w:p>
      <w:pPr>
        <w:pStyle w:val="85"/>
        <w:rPr>
          <w:rFonts w:hint="eastAsia"/>
        </w:rPr>
      </w:pPr>
      <w:r>
        <w:rPr>
          <w:rFonts w:hint="eastAsia"/>
        </w:rPr>
        <w:t>中心内有多间病原微生物实验室需要保洁员处理高压灭菌后的医疗废弃物。</w:t>
      </w:r>
      <w:r>
        <w:rPr>
          <w:rFonts w:hint="eastAsia" w:hAnsi="宋体"/>
          <w:kern w:val="0"/>
        </w:rPr>
        <w:t>严格管理好医疗废物，专人负责，严格按要求做好医疗废弃物处理工作。</w:t>
      </w:r>
    </w:p>
    <w:p>
      <w:pPr>
        <w:pStyle w:val="85"/>
        <w:rPr>
          <w:rFonts w:hint="eastAsia"/>
        </w:rPr>
      </w:pPr>
      <w:r>
        <w:rPr>
          <w:rFonts w:hint="eastAsia"/>
        </w:rPr>
        <w:t>2.5按规定配合“除四害”工作及灭白蚁工作。</w:t>
      </w:r>
    </w:p>
    <w:p>
      <w:pPr>
        <w:pStyle w:val="85"/>
        <w:rPr>
          <w:rFonts w:hint="eastAsia"/>
        </w:rPr>
      </w:pPr>
      <w:r>
        <w:rPr>
          <w:rFonts w:hint="eastAsia"/>
        </w:rPr>
        <w:t>包括灭鼠、灭蟑、灭蝇、灭蚊、灭白蚁等项目，且应由具备相应资质的人员进行。</w:t>
      </w:r>
    </w:p>
    <w:p>
      <w:pPr>
        <w:pStyle w:val="85"/>
        <w:rPr>
          <w:rFonts w:hint="eastAsia"/>
        </w:rPr>
      </w:pPr>
      <w:r>
        <w:rPr>
          <w:rFonts w:hint="eastAsia"/>
        </w:rPr>
        <w:t>（1）按照疾病控制要求，定期或不定期开展病媒生物预防控制活动，鼠、蚊、蝇、蟑螂的密度达到国家病媒生物密度控制水平标准B级要求。</w:t>
      </w:r>
    </w:p>
    <w:p>
      <w:pPr>
        <w:pStyle w:val="85"/>
        <w:rPr>
          <w:rFonts w:hint="eastAsia"/>
        </w:rPr>
      </w:pPr>
      <w:r>
        <w:rPr>
          <w:rFonts w:hint="eastAsia"/>
        </w:rPr>
        <w:t>（2）所聘用的有害生物防制服务机构(PCO)必须具备相应资质，开展病媒生物控制工作应达到《病媒生物预防控制管理规定》的要求，并按操作规程和服务标准进行规范防制，做好操作记录与报告，操作记录或报告同时交疾控中心办公室存档一份。</w:t>
      </w:r>
    </w:p>
    <w:p>
      <w:pPr>
        <w:pStyle w:val="85"/>
        <w:rPr>
          <w:rFonts w:hint="eastAsia"/>
        </w:rPr>
      </w:pPr>
      <w:r>
        <w:rPr>
          <w:rFonts w:hint="eastAsia"/>
        </w:rPr>
        <w:t>（3）病媒生物控制中使用的卫生杀虫灭鼠剂和器械要符合国家有关法律、法规、标准和规范的要求，其中拟除虫菊酯类杀虫剂的使用应符合《卫生杀虫剂安全使用准则拟除虫菊酯类》（GB/T27779-2011）要求，抗凝血类杀鼠剂应符合《杀鼠剂安全使用准则 抗凝血类》（GB/T27777-2011）要求。化学药物各项合法证件与检测报告齐全，用药渠道规范，不得使用国家禁用的药物。</w:t>
      </w:r>
    </w:p>
    <w:p>
      <w:pPr>
        <w:pStyle w:val="85"/>
        <w:rPr>
          <w:rFonts w:hint="eastAsia" w:hAnsi="宋体"/>
          <w:kern w:val="0"/>
        </w:rPr>
      </w:pPr>
      <w:r>
        <w:rPr>
          <w:rFonts w:hint="eastAsia"/>
        </w:rPr>
        <w:t>（4）蚊媒控制应达到蚊媒防控要求水平。即布雷图指数≤5、标准间指数≤1、诱蚊诱卵器指数≤5、成蚊密度≤2只/人工小时。</w:t>
      </w:r>
    </w:p>
    <w:p>
      <w:pPr>
        <w:pStyle w:val="85"/>
      </w:pPr>
      <w:r>
        <w:rPr>
          <w:rFonts w:hint="eastAsia"/>
        </w:rPr>
        <w:t>3.设备维护保养服务</w:t>
      </w:r>
    </w:p>
    <w:p>
      <w:pPr>
        <w:pStyle w:val="85"/>
      </w:pPr>
      <w:r>
        <w:rPr>
          <w:rFonts w:hint="eastAsia"/>
        </w:rPr>
        <w:t>3.1负责电梯、空调、给排水等设备设施的维修、保养和巡检工作</w:t>
      </w:r>
      <w:r>
        <w:t>,</w:t>
      </w:r>
      <w:r>
        <w:rPr>
          <w:rFonts w:hint="eastAsia"/>
        </w:rPr>
        <w:t>高配间保证时刻有人不间断值班</w:t>
      </w:r>
      <w:r>
        <w:t>,</w:t>
      </w:r>
      <w:r>
        <w:rPr>
          <w:rFonts w:hint="eastAsia"/>
        </w:rPr>
        <w:t>值班人员具有国家规定的有效证件，遵守电力部门有关安全规范，熟练操作高配操作流程，确保安全供电。</w:t>
      </w:r>
    </w:p>
    <w:p>
      <w:pPr>
        <w:pStyle w:val="85"/>
        <w:rPr>
          <w:rFonts w:hint="eastAsia"/>
        </w:rPr>
      </w:pPr>
      <w:r>
        <w:rPr>
          <w:rFonts w:hint="eastAsia"/>
        </w:rPr>
        <w:t>3.2负责水、电、橱窗、墙等的日常维护、小修小补和小改造。要求相应人员有电工操作证等有关上岗证书并能胜任上述工作。</w:t>
      </w:r>
    </w:p>
    <w:p>
      <w:pPr>
        <w:pStyle w:val="85"/>
      </w:pPr>
      <w:r>
        <w:rPr>
          <w:rFonts w:hint="eastAsia"/>
        </w:rPr>
        <w:t>工程维修工作要求</w:t>
      </w:r>
    </w:p>
    <w:p>
      <w:pPr>
        <w:pStyle w:val="85"/>
      </w:pPr>
      <w:r>
        <w:rPr>
          <w:rFonts w:hint="eastAsia"/>
        </w:rPr>
        <w:t>包括采购单位所辖各区域，维修电气线路及所有设备设施（除专用设备外），五金配件、窗玻璃更换等，熟练操作配电间相关操作，相关设施维护、保养等。其工作要求如下：</w:t>
      </w:r>
    </w:p>
    <w:p>
      <w:pPr>
        <w:pStyle w:val="85"/>
      </w:pPr>
      <w:r>
        <w:rPr>
          <w:rFonts w:hint="eastAsia"/>
        </w:rPr>
        <w:t>（1）具有相关的电工上岗证，熟练掌握相关电器设施、水管暖通等维修知识。</w:t>
      </w:r>
    </w:p>
    <w:p>
      <w:pPr>
        <w:pStyle w:val="85"/>
      </w:pPr>
      <w:r>
        <w:rPr>
          <w:rFonts w:hint="eastAsia"/>
        </w:rPr>
        <w:t>（2）注意人身安全，注意水电设备的使用安全。做好管辖区域的用电线路、设备设施的维保工作，保证照明正常，合理使用能源。定期检查，预防火灾隐患。</w:t>
      </w:r>
    </w:p>
    <w:p>
      <w:pPr>
        <w:pStyle w:val="85"/>
      </w:pPr>
      <w:r>
        <w:rPr>
          <w:rFonts w:hint="eastAsia"/>
        </w:rPr>
        <w:t>（3）熟悉各辖区供水、供电、排水管网等设施设备的分布，性能和使用情况。</w:t>
      </w:r>
    </w:p>
    <w:p>
      <w:pPr>
        <w:pStyle w:val="85"/>
      </w:pPr>
      <w:r>
        <w:rPr>
          <w:rFonts w:hint="eastAsia"/>
        </w:rPr>
        <w:t>（4）积极协助其它部门开展工作，对工程的维修和整改提出合理化的建议。</w:t>
      </w:r>
    </w:p>
    <w:p>
      <w:pPr>
        <w:pStyle w:val="85"/>
      </w:pPr>
      <w:r>
        <w:rPr>
          <w:rFonts w:hint="eastAsia"/>
        </w:rPr>
        <w:t>（5）做好院内消防火警、安防报警处置工作，配合中控室值机人员通知的消防火警安防报警等处置调度，并执行报警处置流程。</w:t>
      </w:r>
    </w:p>
    <w:p>
      <w:pPr>
        <w:pStyle w:val="85"/>
      </w:pPr>
      <w:r>
        <w:rPr>
          <w:rFonts w:hint="eastAsia"/>
        </w:rPr>
        <w:t>（6）熟悉掌握使用消防灭火器材和灭火器及救灾基本技能。</w:t>
      </w:r>
    </w:p>
    <w:p>
      <w:pPr>
        <w:pStyle w:val="85"/>
        <w:rPr>
          <w:rFonts w:hint="eastAsia"/>
        </w:rPr>
      </w:pPr>
      <w:r>
        <w:rPr>
          <w:rFonts w:hint="eastAsia"/>
        </w:rPr>
        <w:t>（7）完成领导指派的其他工作。</w:t>
      </w:r>
    </w:p>
    <w:p>
      <w:pPr>
        <w:pStyle w:val="85"/>
      </w:pPr>
      <w:r>
        <w:rPr>
          <w:rFonts w:hint="eastAsia"/>
        </w:rPr>
        <w:t>3.3应急保障服务</w:t>
      </w:r>
    </w:p>
    <w:p>
      <w:pPr>
        <w:pStyle w:val="85"/>
      </w:pPr>
      <w:r>
        <w:rPr>
          <w:rFonts w:hint="eastAsia"/>
        </w:rPr>
        <w:t>（1）供电的应急保障服务。在防汛期间，特别是台风严重影响我市时，突遇各种可能的停电，要及时联系</w:t>
      </w:r>
      <w:r>
        <w:t>相关部门</w:t>
      </w:r>
      <w:r>
        <w:rPr>
          <w:rFonts w:hint="eastAsia"/>
        </w:rPr>
        <w:t>做</w:t>
      </w:r>
      <w:r>
        <w:t>好</w:t>
      </w:r>
      <w:r>
        <w:rPr>
          <w:rFonts w:hint="eastAsia"/>
        </w:rPr>
        <w:t>保</w:t>
      </w:r>
      <w:r>
        <w:t>障工作</w:t>
      </w:r>
      <w:r>
        <w:rPr>
          <w:rFonts w:hint="eastAsia"/>
        </w:rPr>
        <w:t>，确保电器、信息系统的正常运行。24小时在大楼内值班待命。</w:t>
      </w:r>
    </w:p>
    <w:p>
      <w:pPr>
        <w:pStyle w:val="85"/>
      </w:pPr>
      <w:r>
        <w:rPr>
          <w:rFonts w:hint="eastAsia"/>
        </w:rPr>
        <w:t>(2其他应急服务。遇到车库故障、给排水管爆裂、办公室门反锁等突发事件要快速处理妥善解决。</w:t>
      </w:r>
    </w:p>
    <w:p>
      <w:pPr>
        <w:pStyle w:val="85"/>
      </w:pPr>
      <w:r>
        <w:rPr>
          <w:rFonts w:hint="eastAsia"/>
        </w:rPr>
        <w:t>4. 绿植租摆及绿化养护服务要求</w:t>
      </w:r>
    </w:p>
    <w:p>
      <w:pPr>
        <w:pStyle w:val="85"/>
      </w:pPr>
      <w:r>
        <w:rPr>
          <w:rFonts w:hint="eastAsia"/>
        </w:rPr>
        <w:t>中标方需按业主需求设计摆放和养护的花木、盆景和绿化，摆放数量为300盆/年。要求摆放的品种多样化，布局合理，使其有整体观赏效果，绿化养护及时，修剪到位。具体做到以下：</w:t>
      </w:r>
    </w:p>
    <w:p>
      <w:pPr>
        <w:pStyle w:val="85"/>
      </w:pPr>
      <w:r>
        <w:rPr>
          <w:rFonts w:hint="eastAsia"/>
        </w:rPr>
        <w:t>要求摆放的品种多样化，布局合理，使其有整体观赏效果。具体做到以下：</w:t>
      </w:r>
    </w:p>
    <w:p>
      <w:pPr>
        <w:pStyle w:val="85"/>
      </w:pPr>
      <w:r>
        <w:rPr>
          <w:rFonts w:hint="eastAsia"/>
        </w:rPr>
        <w:t>4.1花卉盆景、绿化生长正常，无枯枝残叶，无虫害、无死株。</w:t>
      </w:r>
    </w:p>
    <w:p>
      <w:pPr>
        <w:pStyle w:val="85"/>
      </w:pPr>
      <w:r>
        <w:rPr>
          <w:rFonts w:hint="eastAsia"/>
        </w:rPr>
        <w:t>4.2花卉盆景的盆、缸外观整洁，无青苔、泥迹、破损等现象。</w:t>
      </w:r>
    </w:p>
    <w:p>
      <w:pPr>
        <w:pStyle w:val="85"/>
      </w:pPr>
      <w:r>
        <w:rPr>
          <w:rFonts w:hint="eastAsia"/>
        </w:rPr>
        <w:t>4.3花卉盆景、绿化区内无杂草、无腐叶，无裸土现象，无垃圾。</w:t>
      </w:r>
    </w:p>
    <w:p>
      <w:pPr>
        <w:pStyle w:val="85"/>
        <w:rPr>
          <w:rFonts w:hint="eastAsia"/>
        </w:rPr>
      </w:pPr>
      <w:r>
        <w:rPr>
          <w:rFonts w:hint="eastAsia"/>
        </w:rPr>
        <w:t>4.4春节和国庆及重大节假日活动期间需对展厅绿植进行巡查，确保绿植美观。</w:t>
      </w:r>
    </w:p>
    <w:p>
      <w:pPr>
        <w:pStyle w:val="85"/>
      </w:pPr>
      <w:r>
        <w:rPr>
          <w:rFonts w:hint="eastAsia"/>
        </w:rPr>
        <w:t>4.5养护人员的基本要求：</w:t>
      </w:r>
    </w:p>
    <w:p>
      <w:pPr>
        <w:pStyle w:val="85"/>
      </w:pPr>
      <w:r>
        <w:rPr>
          <w:rFonts w:hint="eastAsia"/>
        </w:rPr>
        <w:t>（1）一律穿着统一服装，挂牌服务。</w:t>
      </w:r>
    </w:p>
    <w:p>
      <w:pPr>
        <w:pStyle w:val="85"/>
      </w:pPr>
      <w:r>
        <w:rPr>
          <w:rFonts w:hint="eastAsia"/>
        </w:rPr>
        <w:t>（2）养护人员必须保证身体健康，并持有本人的健康证明。</w:t>
      </w:r>
    </w:p>
    <w:p>
      <w:pPr>
        <w:pStyle w:val="85"/>
      </w:pPr>
      <w:r>
        <w:rPr>
          <w:rFonts w:hint="eastAsia"/>
        </w:rPr>
        <w:t>（3）工作完毕后必须及时清理周边地面卫生，保持地面清洁，无污水、积水和遗留杂物，做到人走净场。</w:t>
      </w:r>
    </w:p>
    <w:p>
      <w:pPr>
        <w:pStyle w:val="85"/>
        <w:rPr>
          <w:rFonts w:hint="eastAsia"/>
        </w:rPr>
      </w:pPr>
      <w:r>
        <w:rPr>
          <w:rFonts w:hint="eastAsia"/>
        </w:rPr>
        <w:t>4.6做好年度、季度、月度和周计划，严格实施。</w:t>
      </w:r>
    </w:p>
    <w:p>
      <w:pPr>
        <w:pStyle w:val="85"/>
      </w:pPr>
      <w:r>
        <w:rPr>
          <w:rFonts w:hint="eastAsia"/>
        </w:rPr>
        <w:t>5.会务服务</w:t>
      </w:r>
    </w:p>
    <w:p>
      <w:pPr>
        <w:pStyle w:val="85"/>
        <w:rPr>
          <w:rFonts w:hint="eastAsia"/>
        </w:rPr>
      </w:pPr>
      <w:r>
        <w:rPr>
          <w:rFonts w:hint="eastAsia"/>
        </w:rPr>
        <w:t>5.1 会前1小时按参会单位要求完成会场布置，横幅悬挂平整，摆台符合要求；</w:t>
      </w:r>
    </w:p>
    <w:p>
      <w:pPr>
        <w:pStyle w:val="85"/>
        <w:rPr>
          <w:rFonts w:hint="eastAsia"/>
        </w:rPr>
      </w:pPr>
      <w:r>
        <w:rPr>
          <w:rFonts w:hint="eastAsia"/>
        </w:rPr>
        <w:t>5.2.严格履行会议中心会议服务标准，人员配置齐全、服装礼仪规范、个性化服务到位；会场服务引领、服务收档执行到位；</w:t>
      </w:r>
    </w:p>
    <w:p>
      <w:pPr>
        <w:pStyle w:val="85"/>
        <w:rPr>
          <w:rFonts w:hint="eastAsia"/>
        </w:rPr>
      </w:pPr>
      <w:r>
        <w:rPr>
          <w:rFonts w:hint="eastAsia"/>
        </w:rPr>
        <w:t>5.3 会场、休息室、会见厅、应急备用会场随时保持使用状态，临时服务响应到位；</w:t>
      </w:r>
    </w:p>
    <w:p>
      <w:pPr>
        <w:pStyle w:val="85"/>
        <w:rPr>
          <w:rFonts w:hint="eastAsia"/>
        </w:rPr>
      </w:pPr>
      <w:r>
        <w:rPr>
          <w:rFonts w:hint="eastAsia"/>
        </w:rPr>
        <w:t>5.4会场设施、设备保持完好、维护到位；</w:t>
      </w:r>
    </w:p>
    <w:p>
      <w:pPr>
        <w:pStyle w:val="85"/>
        <w:rPr>
          <w:rFonts w:hint="eastAsia"/>
        </w:rPr>
      </w:pPr>
      <w:r>
        <w:rPr>
          <w:rFonts w:hint="eastAsia"/>
        </w:rPr>
        <w:t>5.5重大会议提前拟定服务方案，报采购人监管人员审核通过，服务方主要负责人现场保障。</w:t>
      </w:r>
    </w:p>
    <w:p>
      <w:pPr>
        <w:pStyle w:val="85"/>
        <w:rPr>
          <w:rFonts w:hint="eastAsia"/>
          <w:highlight w:val="none"/>
        </w:rPr>
      </w:pPr>
      <w:r>
        <w:rPr>
          <w:rFonts w:hint="eastAsia"/>
        </w:rPr>
        <w:t>5.6在接到业主会议通知后做好会场的准备工作，烧好开水、备好茶叶、开好空调，这些工作在会议召开前半小时准备完毕。开会时，间隔20分钟倒一次开水。会后收拾好物品，打扫好卫生，茶杯清洗后消毒，关闭空调电源等</w:t>
      </w:r>
      <w:r>
        <w:rPr>
          <w:rFonts w:hint="eastAsia"/>
          <w:highlight w:val="none"/>
        </w:rPr>
        <w:t>。在服务中注意礼仪礼貌。</w:t>
      </w:r>
    </w:p>
    <w:p>
      <w:pPr>
        <w:pStyle w:val="85"/>
        <w:rPr>
          <w:rFonts w:hint="eastAsia"/>
          <w:highlight w:val="none"/>
        </w:rPr>
      </w:pPr>
      <w:r>
        <w:rPr>
          <w:rFonts w:hint="eastAsia"/>
          <w:highlight w:val="none"/>
        </w:rPr>
        <w:t>6.其他服务</w:t>
      </w:r>
    </w:p>
    <w:p>
      <w:pPr>
        <w:pStyle w:val="85"/>
        <w:rPr>
          <w:highlight w:val="none"/>
        </w:rPr>
      </w:pPr>
      <w:r>
        <w:rPr>
          <w:rFonts w:hint="eastAsia"/>
          <w:highlight w:val="none"/>
        </w:rPr>
        <w:t>6.1杂项事务的服务：小件物品搬运及业主需要的能够提供的其他服务。</w:t>
      </w:r>
    </w:p>
    <w:p>
      <w:pPr>
        <w:pStyle w:val="85"/>
        <w:rPr>
          <w:rFonts w:hint="eastAsia"/>
          <w:highlight w:val="none"/>
        </w:rPr>
      </w:pPr>
      <w:r>
        <w:rPr>
          <w:rFonts w:hint="eastAsia"/>
          <w:highlight w:val="none"/>
        </w:rPr>
        <w:t>6.2垃圾清运、</w:t>
      </w:r>
      <w:r>
        <w:rPr>
          <w:rFonts w:hint="eastAsia"/>
          <w:color w:val="auto"/>
          <w:highlight w:val="none"/>
          <w:lang w:eastAsia="zh-CN"/>
        </w:rPr>
        <w:t>地面清洗至少每季度</w:t>
      </w:r>
      <w:r>
        <w:rPr>
          <w:rFonts w:hint="eastAsia"/>
          <w:color w:val="auto"/>
          <w:highlight w:val="none"/>
          <w:lang w:val="en-US" w:eastAsia="zh-CN"/>
        </w:rPr>
        <w:t>1</w:t>
      </w:r>
      <w:r>
        <w:rPr>
          <w:rFonts w:hint="eastAsia"/>
          <w:color w:val="auto"/>
          <w:highlight w:val="none"/>
          <w:lang w:eastAsia="zh-CN"/>
        </w:rPr>
        <w:t>次，</w:t>
      </w:r>
      <w:r>
        <w:rPr>
          <w:rFonts w:hint="eastAsia"/>
          <w:color w:val="auto"/>
          <w:highlight w:val="none"/>
        </w:rPr>
        <w:t>外墙清洗频次</w:t>
      </w:r>
      <w:r>
        <w:rPr>
          <w:rFonts w:hint="eastAsia"/>
          <w:color w:val="auto"/>
          <w:highlight w:val="none"/>
          <w:lang w:eastAsia="zh-CN"/>
        </w:rPr>
        <w:t>至少每年</w:t>
      </w:r>
      <w:r>
        <w:rPr>
          <w:rFonts w:hint="eastAsia"/>
          <w:color w:val="auto"/>
          <w:highlight w:val="none"/>
          <w:lang w:val="en-US" w:eastAsia="zh-CN"/>
        </w:rPr>
        <w:t>2次</w:t>
      </w:r>
      <w:r>
        <w:rPr>
          <w:rFonts w:hint="eastAsia"/>
          <w:color w:val="auto"/>
          <w:highlight w:val="none"/>
        </w:rPr>
        <w:t>、化粪池频次</w:t>
      </w:r>
      <w:r>
        <w:rPr>
          <w:rFonts w:hint="eastAsia"/>
          <w:color w:val="auto"/>
          <w:highlight w:val="none"/>
          <w:lang w:eastAsia="zh-CN"/>
        </w:rPr>
        <w:t>至少每年</w:t>
      </w:r>
      <w:r>
        <w:rPr>
          <w:rFonts w:hint="eastAsia"/>
          <w:color w:val="auto"/>
          <w:highlight w:val="none"/>
          <w:lang w:val="en-US" w:eastAsia="zh-CN"/>
        </w:rPr>
        <w:t>2次</w:t>
      </w:r>
      <w:r>
        <w:rPr>
          <w:rFonts w:hint="eastAsia"/>
          <w:highlight w:val="none"/>
        </w:rPr>
        <w:t>和地面维护等工作。</w:t>
      </w:r>
    </w:p>
    <w:p>
      <w:pPr>
        <w:pStyle w:val="85"/>
        <w:rPr>
          <w:rFonts w:hint="eastAsia"/>
          <w:highlight w:val="none"/>
        </w:rPr>
      </w:pPr>
      <w:r>
        <w:rPr>
          <w:rFonts w:hint="eastAsia"/>
          <w:highlight w:val="none"/>
        </w:rPr>
        <w:t>6.3协助对计量、校准、检定的仪器收集、整理、外送工作。</w:t>
      </w:r>
    </w:p>
    <w:p>
      <w:pPr>
        <w:pStyle w:val="85"/>
        <w:rPr>
          <w:rFonts w:hint="eastAsia"/>
          <w:highlight w:val="none"/>
        </w:rPr>
      </w:pPr>
      <w:r>
        <w:rPr>
          <w:rFonts w:hint="eastAsia"/>
          <w:highlight w:val="none"/>
        </w:rPr>
        <w:t>6.4配合招标方协助仓库管理员做好相关工作</w:t>
      </w:r>
    </w:p>
    <w:p>
      <w:pPr>
        <w:pStyle w:val="85"/>
        <w:rPr>
          <w:rFonts w:hint="eastAsia"/>
          <w:highlight w:val="none"/>
        </w:rPr>
      </w:pPr>
      <w:r>
        <w:rPr>
          <w:rFonts w:hint="eastAsia"/>
          <w:highlight w:val="none"/>
        </w:rPr>
        <w:t>服务范围：入库管理；库存管理；出库管理。</w:t>
      </w:r>
    </w:p>
    <w:p>
      <w:pPr>
        <w:pStyle w:val="85"/>
        <w:rPr>
          <w:rFonts w:hint="eastAsia"/>
          <w:highlight w:val="none"/>
        </w:rPr>
      </w:pPr>
      <w:r>
        <w:rPr>
          <w:rFonts w:hint="eastAsia"/>
          <w:highlight w:val="none"/>
        </w:rPr>
        <w:t>管理程序及服务标准：</w:t>
      </w:r>
    </w:p>
    <w:p>
      <w:pPr>
        <w:pStyle w:val="85"/>
        <w:rPr>
          <w:rFonts w:hint="eastAsia"/>
        </w:rPr>
      </w:pPr>
      <w:r>
        <w:rPr>
          <w:rFonts w:hint="eastAsia"/>
        </w:rPr>
        <w:t>（1）入库管理</w:t>
      </w:r>
    </w:p>
    <w:p>
      <w:pPr>
        <w:pStyle w:val="85"/>
        <w:rPr>
          <w:rFonts w:hint="eastAsia"/>
        </w:rPr>
      </w:pPr>
      <w:r>
        <w:rPr>
          <w:rFonts w:hint="eastAsia"/>
        </w:rPr>
        <w:t>核对入库货物的品种，数量，规格，有效期，批号确定包装完后无损，做好入库登记、发票输机等管理工作，如发现问题及时向设备物资部反馈。</w:t>
      </w:r>
    </w:p>
    <w:p>
      <w:pPr>
        <w:pStyle w:val="85"/>
        <w:rPr>
          <w:rFonts w:hint="eastAsia"/>
        </w:rPr>
      </w:pPr>
      <w:r>
        <w:rPr>
          <w:rFonts w:hint="eastAsia"/>
        </w:rPr>
        <w:t>（2）库存管理</w:t>
      </w:r>
    </w:p>
    <w:p>
      <w:pPr>
        <w:pStyle w:val="85"/>
        <w:rPr>
          <w:rFonts w:hint="eastAsia"/>
        </w:rPr>
      </w:pP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从事消毒药械库、实验杂品库、化学试剂库、文具库、五金杂品库、应急储备库，管理人员对购进验收管理调配应接受相关专业知识培训并建立人员管理档案。</w:t>
      </w:r>
    </w:p>
    <w:p>
      <w:pPr>
        <w:pStyle w:val="85"/>
        <w:rPr>
          <w:rFonts w:hint="eastAsia"/>
        </w:rPr>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保持工作环境卫生整洁，使用的货架应定期清洁，消毒，防止污染。</w:t>
      </w:r>
    </w:p>
    <w:p>
      <w:pPr>
        <w:pStyle w:val="85"/>
        <w:rPr>
          <w:rFonts w:hint="eastAsia"/>
        </w:rPr>
      </w:pP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消杀药械库定期检查库存情况、有接近失效产品，提前2个月告知设备物资部。</w:t>
      </w:r>
    </w:p>
    <w:p>
      <w:pPr>
        <w:pStyle w:val="85"/>
        <w:rPr>
          <w:rFonts w:hint="eastAsia"/>
        </w:rPr>
      </w:pP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每月与管理员核对账物1次，保证账物相符。</w:t>
      </w:r>
    </w:p>
    <w:p>
      <w:pPr>
        <w:pStyle w:val="85"/>
        <w:rPr>
          <w:rFonts w:hint="eastAsia"/>
        </w:rPr>
      </w:pPr>
      <w:r>
        <w:rPr>
          <w:rFonts w:hint="eastAsia"/>
        </w:rPr>
        <w:t>（3）出库管理</w:t>
      </w:r>
    </w:p>
    <w:p>
      <w:pPr>
        <w:pStyle w:val="85"/>
        <w:rPr>
          <w:rFonts w:hint="eastAsia"/>
        </w:rPr>
      </w:pP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发放前要一一核对品种，数量，规格，效期，批号，确保发放无误，并做好登记及办理相关出库手续工作。</w:t>
      </w:r>
    </w:p>
    <w:p>
      <w:pPr>
        <w:pStyle w:val="85"/>
        <w:rPr>
          <w:rFonts w:hint="eastAsia"/>
        </w:rPr>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按效期长短，进货时间顺序有计划的发放。</w:t>
      </w:r>
    </w:p>
    <w:p>
      <w:pPr>
        <w:spacing w:line="420" w:lineRule="exact"/>
        <w:ind w:firstLine="413" w:firstLineChars="196"/>
        <w:textAlignment w:val="top"/>
        <w:outlineLvl w:val="1"/>
        <w:rPr>
          <w:rFonts w:ascii="宋体" w:hAnsi="宋体" w:cs="仿宋"/>
          <w:b/>
          <w:color w:val="000000"/>
          <w:szCs w:val="21"/>
        </w:rPr>
      </w:pPr>
      <w:r>
        <w:rPr>
          <w:rFonts w:hint="eastAsia" w:ascii="宋体" w:hAnsi="宋体" w:cs="仿宋"/>
          <w:b/>
          <w:color w:val="000000"/>
          <w:szCs w:val="21"/>
        </w:rPr>
        <w:t>（四）人员配置及要求</w:t>
      </w:r>
    </w:p>
    <w:tbl>
      <w:tblPr>
        <w:tblStyle w:val="25"/>
        <w:tblW w:w="7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931"/>
        <w:gridCol w:w="442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727" w:type="dxa"/>
            <w:noWrap w:val="0"/>
            <w:vAlign w:val="center"/>
          </w:tcPr>
          <w:p>
            <w:pPr>
              <w:pStyle w:val="86"/>
            </w:pPr>
            <w:r>
              <w:rPr>
                <w:rFonts w:hint="eastAsia"/>
              </w:rPr>
              <w:t>岗位</w:t>
            </w:r>
          </w:p>
        </w:tc>
        <w:tc>
          <w:tcPr>
            <w:tcW w:w="931" w:type="dxa"/>
            <w:noWrap w:val="0"/>
            <w:vAlign w:val="center"/>
          </w:tcPr>
          <w:p>
            <w:pPr>
              <w:pStyle w:val="86"/>
            </w:pPr>
            <w:r>
              <w:rPr>
                <w:rFonts w:hint="eastAsia"/>
              </w:rPr>
              <w:t>人数</w:t>
            </w:r>
          </w:p>
        </w:tc>
        <w:tc>
          <w:tcPr>
            <w:tcW w:w="4420" w:type="dxa"/>
            <w:noWrap w:val="0"/>
            <w:vAlign w:val="center"/>
          </w:tcPr>
          <w:p>
            <w:pPr>
              <w:pStyle w:val="86"/>
            </w:pPr>
            <w:r>
              <w:rPr>
                <w:rFonts w:hint="eastAsia"/>
              </w:rPr>
              <w:t>人员要求</w:t>
            </w:r>
          </w:p>
        </w:tc>
        <w:tc>
          <w:tcPr>
            <w:tcW w:w="915" w:type="dxa"/>
            <w:noWrap w:val="0"/>
            <w:vAlign w:val="center"/>
          </w:tcPr>
          <w:p>
            <w:pPr>
              <w:pStyle w:val="86"/>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727" w:type="dxa"/>
            <w:noWrap w:val="0"/>
            <w:vAlign w:val="center"/>
          </w:tcPr>
          <w:p>
            <w:pPr>
              <w:pStyle w:val="86"/>
            </w:pPr>
            <w:r>
              <w:rPr>
                <w:rFonts w:hint="eastAsia"/>
              </w:rPr>
              <w:t>项目经理</w:t>
            </w:r>
          </w:p>
        </w:tc>
        <w:tc>
          <w:tcPr>
            <w:tcW w:w="931" w:type="dxa"/>
            <w:noWrap w:val="0"/>
            <w:vAlign w:val="center"/>
          </w:tcPr>
          <w:p>
            <w:pPr>
              <w:pStyle w:val="86"/>
            </w:pPr>
            <w:r>
              <w:t>1</w:t>
            </w:r>
          </w:p>
        </w:tc>
        <w:tc>
          <w:tcPr>
            <w:tcW w:w="4420" w:type="dxa"/>
            <w:noWrap w:val="0"/>
            <w:vAlign w:val="center"/>
          </w:tcPr>
          <w:p>
            <w:pPr>
              <w:pStyle w:val="86"/>
            </w:pPr>
            <w:r>
              <w:rPr>
                <w:rFonts w:hint="eastAsia"/>
              </w:rPr>
              <w:t>性别不限，50周岁（含）以下，本科及以上学历，持全国物业管理企业经理证。形象良好，有良好的团队精神和沟通技巧，有良好的指挥协调、语言交流和文字表达能力,有类似物业管理经验3年及以上。</w:t>
            </w: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727" w:type="dxa"/>
            <w:noWrap w:val="0"/>
            <w:vAlign w:val="center"/>
          </w:tcPr>
          <w:p>
            <w:pPr>
              <w:pStyle w:val="86"/>
            </w:pPr>
            <w:r>
              <w:rPr>
                <w:rFonts w:hint="eastAsia"/>
              </w:rPr>
              <w:t>会务客服</w:t>
            </w:r>
          </w:p>
        </w:tc>
        <w:tc>
          <w:tcPr>
            <w:tcW w:w="931" w:type="dxa"/>
            <w:noWrap w:val="0"/>
            <w:vAlign w:val="center"/>
          </w:tcPr>
          <w:p>
            <w:pPr>
              <w:pStyle w:val="86"/>
            </w:pPr>
            <w:r>
              <w:rPr>
                <w:rFonts w:hint="eastAsia"/>
              </w:rPr>
              <w:t>5</w:t>
            </w:r>
          </w:p>
        </w:tc>
        <w:tc>
          <w:tcPr>
            <w:tcW w:w="4420" w:type="dxa"/>
            <w:noWrap w:val="0"/>
            <w:vAlign w:val="center"/>
          </w:tcPr>
          <w:p>
            <w:pPr>
              <w:pStyle w:val="86"/>
            </w:pPr>
            <w:r>
              <w:rPr>
                <w:rFonts w:hint="eastAsia"/>
              </w:rPr>
              <w:t>要求女性，人员年龄45周岁及以下、学历大专及以上学历，沟通交流顺畅。</w:t>
            </w: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727" w:type="dxa"/>
            <w:noWrap w:val="0"/>
            <w:vAlign w:val="center"/>
          </w:tcPr>
          <w:p>
            <w:pPr>
              <w:pStyle w:val="86"/>
            </w:pPr>
            <w:r>
              <w:rPr>
                <w:rFonts w:hint="eastAsia"/>
              </w:rPr>
              <w:t>客服（生物样品收发）</w:t>
            </w:r>
          </w:p>
        </w:tc>
        <w:tc>
          <w:tcPr>
            <w:tcW w:w="931" w:type="dxa"/>
            <w:noWrap w:val="0"/>
            <w:vAlign w:val="center"/>
          </w:tcPr>
          <w:p>
            <w:pPr>
              <w:pStyle w:val="86"/>
            </w:pPr>
            <w:r>
              <w:rPr>
                <w:rFonts w:hint="eastAsia"/>
              </w:rPr>
              <w:t>1</w:t>
            </w:r>
          </w:p>
        </w:tc>
        <w:tc>
          <w:tcPr>
            <w:tcW w:w="4420" w:type="dxa"/>
            <w:noWrap w:val="0"/>
            <w:vAlign w:val="center"/>
          </w:tcPr>
          <w:p>
            <w:pPr>
              <w:pStyle w:val="86"/>
            </w:pPr>
            <w:r>
              <w:rPr>
                <w:rFonts w:hint="eastAsia"/>
              </w:rPr>
              <w:t>要求女性，人员年龄45周岁及以下、学历大专及以上学历，沟通交流顺畅。</w:t>
            </w: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727" w:type="dxa"/>
            <w:noWrap w:val="0"/>
            <w:vAlign w:val="center"/>
          </w:tcPr>
          <w:p>
            <w:pPr>
              <w:pStyle w:val="86"/>
            </w:pPr>
            <w:r>
              <w:rPr>
                <w:rFonts w:hint="eastAsia"/>
              </w:rPr>
              <w:t>秩序维护主管</w:t>
            </w:r>
          </w:p>
        </w:tc>
        <w:tc>
          <w:tcPr>
            <w:tcW w:w="931" w:type="dxa"/>
            <w:noWrap w:val="0"/>
            <w:vAlign w:val="center"/>
          </w:tcPr>
          <w:p>
            <w:pPr>
              <w:pStyle w:val="86"/>
            </w:pPr>
            <w:r>
              <w:rPr>
                <w:rFonts w:hint="eastAsia"/>
              </w:rPr>
              <w:t>1</w:t>
            </w:r>
          </w:p>
        </w:tc>
        <w:tc>
          <w:tcPr>
            <w:tcW w:w="4420" w:type="dxa"/>
            <w:noWrap w:val="0"/>
            <w:vAlign w:val="center"/>
          </w:tcPr>
          <w:p>
            <w:pPr>
              <w:pStyle w:val="86"/>
              <w:rPr>
                <w:highlight w:val="none"/>
              </w:rPr>
            </w:pPr>
            <w:r>
              <w:rPr>
                <w:rFonts w:hint="eastAsia"/>
                <w:highlight w:val="none"/>
              </w:rPr>
              <w:t>男性，年龄50周岁（含）以内，</w:t>
            </w:r>
            <w:r>
              <w:rPr>
                <w:rFonts w:hint="eastAsia"/>
                <w:highlight w:val="none"/>
                <w:lang w:eastAsia="zh-CN"/>
              </w:rPr>
              <w:t>本科</w:t>
            </w:r>
            <w:r>
              <w:rPr>
                <w:rFonts w:hint="eastAsia"/>
                <w:highlight w:val="none"/>
              </w:rPr>
              <w:t>及以上学历；有责任心，能吃苦耐劳，服从各项管理制度，具备一定的组织、人防、物防、技防、制度防范协调能力和管理能力等；具有</w:t>
            </w:r>
            <w:r>
              <w:rPr>
                <w:rFonts w:hint="eastAsia"/>
                <w:highlight w:val="none"/>
                <w:lang w:eastAsia="zh-CN"/>
              </w:rPr>
              <w:t>一级</w:t>
            </w:r>
            <w:r>
              <w:rPr>
                <w:rFonts w:hint="eastAsia"/>
                <w:highlight w:val="none"/>
              </w:rPr>
              <w:t>保安员</w:t>
            </w:r>
            <w:r>
              <w:rPr>
                <w:rFonts w:hint="eastAsia"/>
                <w:highlight w:val="none"/>
                <w:lang w:eastAsia="zh-CN"/>
              </w:rPr>
              <w:t>职业资格证书</w:t>
            </w:r>
            <w:r>
              <w:rPr>
                <w:rFonts w:hint="eastAsia"/>
                <w:highlight w:val="none"/>
              </w:rPr>
              <w:t>。有3年及以上安保服务经验。</w:t>
            </w: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727" w:type="dxa"/>
            <w:noWrap w:val="0"/>
            <w:vAlign w:val="center"/>
          </w:tcPr>
          <w:p>
            <w:pPr>
              <w:pStyle w:val="86"/>
            </w:pPr>
            <w:r>
              <w:rPr>
                <w:rFonts w:hint="eastAsia"/>
              </w:rPr>
              <w:t>门岗</w:t>
            </w:r>
          </w:p>
        </w:tc>
        <w:tc>
          <w:tcPr>
            <w:tcW w:w="931" w:type="dxa"/>
            <w:noWrap w:val="0"/>
            <w:vAlign w:val="center"/>
          </w:tcPr>
          <w:p>
            <w:pPr>
              <w:pStyle w:val="86"/>
            </w:pPr>
            <w:r>
              <w:rPr>
                <w:rFonts w:hint="eastAsia"/>
              </w:rPr>
              <w:t>4</w:t>
            </w:r>
          </w:p>
        </w:tc>
        <w:tc>
          <w:tcPr>
            <w:tcW w:w="4420" w:type="dxa"/>
            <w:vMerge w:val="restart"/>
            <w:noWrap w:val="0"/>
            <w:vAlign w:val="center"/>
          </w:tcPr>
          <w:p>
            <w:pPr>
              <w:pStyle w:val="86"/>
            </w:pPr>
            <w:r>
              <w:rPr>
                <w:rFonts w:hint="eastAsia"/>
              </w:rPr>
              <w:t>男性，年龄在45周岁（含）以内，身体健康，身高1.7</w:t>
            </w:r>
            <w:r>
              <w:t>0</w:t>
            </w:r>
            <w:r>
              <w:rPr>
                <w:rFonts w:hint="eastAsia"/>
              </w:rPr>
              <w:t>米以上，工作认真负责，遵纪守法，服从统一指挥调度，普通话标准，能用宁波话沟通，持有保安员证，有一年及以上保安服务经验。退伍军人优先。</w:t>
            </w: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727" w:type="dxa"/>
            <w:noWrap w:val="0"/>
            <w:vAlign w:val="center"/>
          </w:tcPr>
          <w:p>
            <w:pPr>
              <w:pStyle w:val="86"/>
            </w:pPr>
            <w:r>
              <w:rPr>
                <w:rFonts w:hint="eastAsia"/>
              </w:rPr>
              <w:t>巡逻兼机动</w:t>
            </w:r>
          </w:p>
        </w:tc>
        <w:tc>
          <w:tcPr>
            <w:tcW w:w="931" w:type="dxa"/>
            <w:noWrap w:val="0"/>
            <w:vAlign w:val="center"/>
          </w:tcPr>
          <w:p>
            <w:pPr>
              <w:pStyle w:val="86"/>
            </w:pPr>
            <w:r>
              <w:rPr>
                <w:rFonts w:hint="eastAsia"/>
              </w:rPr>
              <w:t>2</w:t>
            </w:r>
          </w:p>
        </w:tc>
        <w:tc>
          <w:tcPr>
            <w:tcW w:w="4420" w:type="dxa"/>
            <w:vMerge w:val="continue"/>
            <w:noWrap w:val="0"/>
            <w:vAlign w:val="center"/>
          </w:tcPr>
          <w:p>
            <w:pPr>
              <w:pStyle w:val="86"/>
            </w:pP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727" w:type="dxa"/>
            <w:noWrap w:val="0"/>
            <w:vAlign w:val="center"/>
          </w:tcPr>
          <w:p>
            <w:pPr>
              <w:pStyle w:val="86"/>
            </w:pPr>
            <w:r>
              <w:rPr>
                <w:rFonts w:hint="eastAsia"/>
              </w:rPr>
              <w:t>车辆管理</w:t>
            </w:r>
          </w:p>
        </w:tc>
        <w:tc>
          <w:tcPr>
            <w:tcW w:w="931" w:type="dxa"/>
            <w:noWrap w:val="0"/>
            <w:vAlign w:val="center"/>
          </w:tcPr>
          <w:p>
            <w:pPr>
              <w:pStyle w:val="86"/>
            </w:pPr>
            <w:r>
              <w:rPr>
                <w:rFonts w:hint="eastAsia"/>
              </w:rPr>
              <w:t>2</w:t>
            </w:r>
          </w:p>
        </w:tc>
        <w:tc>
          <w:tcPr>
            <w:tcW w:w="4420" w:type="dxa"/>
            <w:vMerge w:val="continue"/>
            <w:noWrap w:val="0"/>
            <w:vAlign w:val="center"/>
          </w:tcPr>
          <w:p>
            <w:pPr>
              <w:pStyle w:val="86"/>
            </w:pP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727" w:type="dxa"/>
            <w:noWrap w:val="0"/>
            <w:vAlign w:val="center"/>
          </w:tcPr>
          <w:p>
            <w:pPr>
              <w:pStyle w:val="86"/>
            </w:pPr>
            <w:r>
              <w:rPr>
                <w:rFonts w:hint="eastAsia"/>
              </w:rPr>
              <w:t>（老大楼）门岗及院内秩序维护</w:t>
            </w:r>
          </w:p>
        </w:tc>
        <w:tc>
          <w:tcPr>
            <w:tcW w:w="931" w:type="dxa"/>
            <w:noWrap w:val="0"/>
            <w:vAlign w:val="center"/>
          </w:tcPr>
          <w:p>
            <w:pPr>
              <w:pStyle w:val="86"/>
            </w:pPr>
            <w:r>
              <w:rPr>
                <w:rFonts w:hint="eastAsia"/>
              </w:rPr>
              <w:t>2</w:t>
            </w:r>
          </w:p>
        </w:tc>
        <w:tc>
          <w:tcPr>
            <w:tcW w:w="4420" w:type="dxa"/>
            <w:vMerge w:val="continue"/>
            <w:noWrap w:val="0"/>
            <w:vAlign w:val="center"/>
          </w:tcPr>
          <w:p>
            <w:pPr>
              <w:pStyle w:val="86"/>
            </w:pP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727" w:type="dxa"/>
            <w:noWrap w:val="0"/>
            <w:vAlign w:val="center"/>
          </w:tcPr>
          <w:p>
            <w:pPr>
              <w:pStyle w:val="86"/>
            </w:pPr>
            <w:r>
              <w:rPr>
                <w:rFonts w:hint="eastAsia"/>
              </w:rPr>
              <w:t>消/监控员</w:t>
            </w:r>
          </w:p>
        </w:tc>
        <w:tc>
          <w:tcPr>
            <w:tcW w:w="931" w:type="dxa"/>
            <w:noWrap w:val="0"/>
            <w:vAlign w:val="center"/>
          </w:tcPr>
          <w:p>
            <w:pPr>
              <w:pStyle w:val="86"/>
            </w:pPr>
            <w:r>
              <w:rPr>
                <w:rFonts w:hint="eastAsia"/>
              </w:rPr>
              <w:t>3</w:t>
            </w:r>
          </w:p>
        </w:tc>
        <w:tc>
          <w:tcPr>
            <w:tcW w:w="4420" w:type="dxa"/>
            <w:noWrap w:val="0"/>
            <w:vAlign w:val="center"/>
          </w:tcPr>
          <w:p>
            <w:pPr>
              <w:pStyle w:val="86"/>
            </w:pPr>
            <w:r>
              <w:rPr>
                <w:rFonts w:hint="eastAsia"/>
              </w:rPr>
              <w:t>男性，年龄50周岁（含）以内，身体健康；有责任心，能吃苦耐劳，服从统一调度；熟悉计算机的基本操作；持有建（构）筑物消防员或消防员设施操作员证书，有1年及以上中控室工作或服务经验者优先。</w:t>
            </w: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727" w:type="dxa"/>
            <w:noWrap w:val="0"/>
            <w:vAlign w:val="center"/>
          </w:tcPr>
          <w:p>
            <w:pPr>
              <w:pStyle w:val="86"/>
            </w:pPr>
            <w:r>
              <w:rPr>
                <w:rFonts w:hint="eastAsia"/>
              </w:rPr>
              <w:t>工程主管</w:t>
            </w:r>
          </w:p>
        </w:tc>
        <w:tc>
          <w:tcPr>
            <w:tcW w:w="931" w:type="dxa"/>
            <w:noWrap w:val="0"/>
            <w:vAlign w:val="center"/>
          </w:tcPr>
          <w:p>
            <w:pPr>
              <w:pStyle w:val="86"/>
            </w:pPr>
            <w:r>
              <w:rPr>
                <w:rFonts w:hint="eastAsia"/>
              </w:rPr>
              <w:t>1</w:t>
            </w:r>
          </w:p>
        </w:tc>
        <w:tc>
          <w:tcPr>
            <w:tcW w:w="4420" w:type="dxa"/>
            <w:noWrap w:val="0"/>
            <w:vAlign w:val="center"/>
          </w:tcPr>
          <w:p>
            <w:pPr>
              <w:pStyle w:val="86"/>
              <w:rPr>
                <w:rFonts w:hint="eastAsia"/>
              </w:rPr>
            </w:pPr>
            <w:r>
              <w:rPr>
                <w:rFonts w:hint="eastAsia"/>
              </w:rPr>
              <w:t>年龄在55周岁（含）以内，大专及以上学历，具有相关工作经验5年以上，要求持有相关职业技能证书，具有</w:t>
            </w:r>
            <w:r>
              <w:rPr>
                <w:rFonts w:hint="eastAsia"/>
                <w:lang w:eastAsia="zh-CN"/>
              </w:rPr>
              <w:t>电气</w:t>
            </w:r>
            <w:r>
              <w:rPr>
                <w:rFonts w:hint="eastAsia"/>
              </w:rPr>
              <w:t>类</w:t>
            </w:r>
            <w:r>
              <w:rPr>
                <w:rFonts w:hint="eastAsia"/>
                <w:lang w:eastAsia="zh-CN"/>
              </w:rPr>
              <w:t>工程师</w:t>
            </w:r>
            <w:r>
              <w:rPr>
                <w:rFonts w:hint="eastAsia"/>
              </w:rPr>
              <w:t>职称优先。</w:t>
            </w: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727" w:type="dxa"/>
            <w:noWrap w:val="0"/>
            <w:vAlign w:val="center"/>
          </w:tcPr>
          <w:p>
            <w:pPr>
              <w:pStyle w:val="86"/>
            </w:pPr>
            <w:r>
              <w:rPr>
                <w:rFonts w:hint="eastAsia"/>
              </w:rPr>
              <w:t>高配</w:t>
            </w:r>
          </w:p>
        </w:tc>
        <w:tc>
          <w:tcPr>
            <w:tcW w:w="931" w:type="dxa"/>
            <w:noWrap w:val="0"/>
            <w:vAlign w:val="center"/>
          </w:tcPr>
          <w:p>
            <w:pPr>
              <w:pStyle w:val="86"/>
            </w:pPr>
            <w:r>
              <w:rPr>
                <w:rFonts w:hint="eastAsia"/>
              </w:rPr>
              <w:t>3</w:t>
            </w:r>
          </w:p>
        </w:tc>
        <w:tc>
          <w:tcPr>
            <w:tcW w:w="4420" w:type="dxa"/>
            <w:vMerge w:val="restart"/>
            <w:noWrap w:val="0"/>
            <w:vAlign w:val="center"/>
          </w:tcPr>
          <w:p>
            <w:pPr>
              <w:pStyle w:val="86"/>
              <w:rPr>
                <w:rFonts w:hint="eastAsia"/>
              </w:rPr>
            </w:pPr>
            <w:r>
              <w:rPr>
                <w:rFonts w:hint="eastAsia"/>
              </w:rPr>
              <w:t>男性，年龄在55周岁（含）以内，高中及以上学历，身体健康，无不良嗜好，工作期间禁止吸烟等，对待工作认真负责，具有相关工作经验2年以上。要求持有相关上岗证。</w:t>
            </w: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727" w:type="dxa"/>
            <w:noWrap w:val="0"/>
            <w:vAlign w:val="center"/>
          </w:tcPr>
          <w:p>
            <w:pPr>
              <w:pStyle w:val="86"/>
            </w:pPr>
            <w:r>
              <w:rPr>
                <w:rFonts w:hint="eastAsia"/>
              </w:rPr>
              <w:t>弱电</w:t>
            </w:r>
          </w:p>
        </w:tc>
        <w:tc>
          <w:tcPr>
            <w:tcW w:w="931" w:type="dxa"/>
            <w:noWrap w:val="0"/>
            <w:vAlign w:val="center"/>
          </w:tcPr>
          <w:p>
            <w:pPr>
              <w:pStyle w:val="86"/>
            </w:pPr>
            <w:r>
              <w:rPr>
                <w:rFonts w:hint="eastAsia"/>
              </w:rPr>
              <w:t>1</w:t>
            </w:r>
          </w:p>
        </w:tc>
        <w:tc>
          <w:tcPr>
            <w:tcW w:w="4420" w:type="dxa"/>
            <w:vMerge w:val="continue"/>
            <w:noWrap w:val="0"/>
            <w:vAlign w:val="center"/>
          </w:tcPr>
          <w:p>
            <w:pPr>
              <w:pStyle w:val="86"/>
            </w:pP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727" w:type="dxa"/>
            <w:noWrap w:val="0"/>
            <w:vAlign w:val="center"/>
          </w:tcPr>
          <w:p>
            <w:pPr>
              <w:pStyle w:val="86"/>
            </w:pPr>
            <w:r>
              <w:rPr>
                <w:rFonts w:hint="eastAsia"/>
              </w:rPr>
              <w:t>万能工</w:t>
            </w:r>
          </w:p>
        </w:tc>
        <w:tc>
          <w:tcPr>
            <w:tcW w:w="931" w:type="dxa"/>
            <w:noWrap w:val="0"/>
            <w:vAlign w:val="center"/>
          </w:tcPr>
          <w:p>
            <w:pPr>
              <w:pStyle w:val="86"/>
            </w:pPr>
            <w:r>
              <w:rPr>
                <w:rFonts w:hint="eastAsia"/>
              </w:rPr>
              <w:t>4</w:t>
            </w:r>
          </w:p>
        </w:tc>
        <w:tc>
          <w:tcPr>
            <w:tcW w:w="4420" w:type="dxa"/>
            <w:vMerge w:val="continue"/>
            <w:noWrap w:val="0"/>
            <w:vAlign w:val="center"/>
          </w:tcPr>
          <w:p>
            <w:pPr>
              <w:pStyle w:val="86"/>
            </w:pP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727" w:type="dxa"/>
            <w:noWrap w:val="0"/>
            <w:vAlign w:val="center"/>
          </w:tcPr>
          <w:p>
            <w:pPr>
              <w:pStyle w:val="86"/>
            </w:pPr>
            <w:r>
              <w:rPr>
                <w:rFonts w:hint="eastAsia"/>
              </w:rPr>
              <w:t>保洁主管</w:t>
            </w:r>
          </w:p>
        </w:tc>
        <w:tc>
          <w:tcPr>
            <w:tcW w:w="931" w:type="dxa"/>
            <w:noWrap w:val="0"/>
            <w:vAlign w:val="center"/>
          </w:tcPr>
          <w:p>
            <w:pPr>
              <w:pStyle w:val="86"/>
            </w:pPr>
            <w:r>
              <w:rPr>
                <w:rFonts w:hint="eastAsia"/>
              </w:rPr>
              <w:t>1</w:t>
            </w:r>
          </w:p>
        </w:tc>
        <w:tc>
          <w:tcPr>
            <w:tcW w:w="4420" w:type="dxa"/>
            <w:noWrap w:val="0"/>
            <w:vAlign w:val="center"/>
          </w:tcPr>
          <w:p>
            <w:pPr>
              <w:widowControl/>
              <w:jc w:val="left"/>
              <w:rPr>
                <w:rFonts w:ascii="宋体" w:eastAsia="宋体"/>
              </w:rPr>
            </w:pPr>
            <w:r>
              <w:rPr>
                <w:rFonts w:hint="eastAsia" w:ascii="宋体" w:eastAsia="宋体"/>
              </w:rPr>
              <w:t>性别不限，50周岁（含）以下，高中及以上学历，形象良好，有良好的团队精神和沟通技巧，能熟练操作计算机并运用办公软件,有同类项目保洁管理经验3年及以上。</w:t>
            </w: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727" w:type="dxa"/>
            <w:noWrap w:val="0"/>
            <w:vAlign w:val="center"/>
          </w:tcPr>
          <w:p>
            <w:pPr>
              <w:pStyle w:val="86"/>
            </w:pPr>
            <w:r>
              <w:rPr>
                <w:rFonts w:hint="eastAsia"/>
              </w:rPr>
              <w:t>技工</w:t>
            </w:r>
          </w:p>
        </w:tc>
        <w:tc>
          <w:tcPr>
            <w:tcW w:w="931" w:type="dxa"/>
            <w:noWrap w:val="0"/>
            <w:vAlign w:val="center"/>
          </w:tcPr>
          <w:p>
            <w:pPr>
              <w:pStyle w:val="86"/>
            </w:pPr>
            <w:r>
              <w:rPr>
                <w:rFonts w:hint="eastAsia"/>
              </w:rPr>
              <w:t>1</w:t>
            </w:r>
          </w:p>
        </w:tc>
        <w:tc>
          <w:tcPr>
            <w:tcW w:w="4420" w:type="dxa"/>
            <w:vMerge w:val="restart"/>
            <w:noWrap w:val="0"/>
            <w:vAlign w:val="center"/>
          </w:tcPr>
          <w:p>
            <w:pPr>
              <w:pStyle w:val="86"/>
              <w:rPr>
                <w:highlight w:val="none"/>
              </w:rPr>
            </w:pPr>
            <w:r>
              <w:rPr>
                <w:rFonts w:hint="eastAsia"/>
                <w:highlight w:val="none"/>
              </w:rPr>
              <w:t>年龄在5</w:t>
            </w:r>
            <w:r>
              <w:rPr>
                <w:rFonts w:hint="eastAsia"/>
                <w:highlight w:val="none"/>
                <w:lang w:val="en-US" w:eastAsia="zh-CN"/>
              </w:rPr>
              <w:t>3</w:t>
            </w:r>
            <w:r>
              <w:rPr>
                <w:rFonts w:hint="eastAsia"/>
                <w:highlight w:val="none"/>
              </w:rPr>
              <w:t>周岁（含）以内，品貌端正，身体健康，朴实肯干，能吃苦耐劳、有责任心，具备清洁工作标准操作技能，懂基本保洁器械的使用和保养，有相应的保洁服务经验。</w:t>
            </w: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727" w:type="dxa"/>
            <w:noWrap w:val="0"/>
            <w:vAlign w:val="center"/>
          </w:tcPr>
          <w:p>
            <w:pPr>
              <w:pStyle w:val="86"/>
            </w:pPr>
            <w:r>
              <w:rPr>
                <w:rFonts w:hint="eastAsia"/>
              </w:rPr>
              <w:t>保洁员</w:t>
            </w:r>
          </w:p>
        </w:tc>
        <w:tc>
          <w:tcPr>
            <w:tcW w:w="931" w:type="dxa"/>
            <w:noWrap w:val="0"/>
            <w:vAlign w:val="center"/>
          </w:tcPr>
          <w:p>
            <w:pPr>
              <w:pStyle w:val="86"/>
            </w:pPr>
            <w:r>
              <w:rPr>
                <w:rFonts w:hint="eastAsia"/>
              </w:rPr>
              <w:t>11</w:t>
            </w:r>
          </w:p>
        </w:tc>
        <w:tc>
          <w:tcPr>
            <w:tcW w:w="4420" w:type="dxa"/>
            <w:vMerge w:val="continue"/>
            <w:noWrap w:val="0"/>
            <w:vAlign w:val="center"/>
          </w:tcPr>
          <w:p>
            <w:pPr>
              <w:pStyle w:val="86"/>
            </w:pP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727" w:type="dxa"/>
            <w:noWrap w:val="0"/>
            <w:vAlign w:val="center"/>
          </w:tcPr>
          <w:p>
            <w:pPr>
              <w:pStyle w:val="86"/>
            </w:pPr>
            <w:r>
              <w:rPr>
                <w:rFonts w:hint="eastAsia"/>
              </w:rPr>
              <w:t>绿化工</w:t>
            </w:r>
          </w:p>
        </w:tc>
        <w:tc>
          <w:tcPr>
            <w:tcW w:w="931" w:type="dxa"/>
            <w:noWrap w:val="0"/>
            <w:vAlign w:val="center"/>
          </w:tcPr>
          <w:p>
            <w:pPr>
              <w:pStyle w:val="86"/>
            </w:pPr>
            <w:r>
              <w:rPr>
                <w:rFonts w:hint="eastAsia"/>
              </w:rPr>
              <w:t>1</w:t>
            </w:r>
          </w:p>
        </w:tc>
        <w:tc>
          <w:tcPr>
            <w:tcW w:w="4420" w:type="dxa"/>
            <w:vMerge w:val="continue"/>
            <w:noWrap w:val="0"/>
            <w:vAlign w:val="center"/>
          </w:tcPr>
          <w:p>
            <w:pPr>
              <w:pStyle w:val="86"/>
            </w:pP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27" w:type="dxa"/>
            <w:noWrap w:val="0"/>
            <w:vAlign w:val="center"/>
          </w:tcPr>
          <w:p>
            <w:pPr>
              <w:pStyle w:val="86"/>
            </w:pPr>
            <w:r>
              <w:rPr>
                <w:rFonts w:hint="eastAsia"/>
              </w:rPr>
              <w:t>洗瓶工</w:t>
            </w:r>
          </w:p>
        </w:tc>
        <w:tc>
          <w:tcPr>
            <w:tcW w:w="931" w:type="dxa"/>
            <w:noWrap w:val="0"/>
            <w:vAlign w:val="center"/>
          </w:tcPr>
          <w:p>
            <w:pPr>
              <w:pStyle w:val="86"/>
            </w:pPr>
            <w:r>
              <w:rPr>
                <w:rFonts w:hint="eastAsia"/>
              </w:rPr>
              <w:t>3</w:t>
            </w:r>
          </w:p>
        </w:tc>
        <w:tc>
          <w:tcPr>
            <w:tcW w:w="4420" w:type="dxa"/>
            <w:vMerge w:val="continue"/>
            <w:noWrap w:val="0"/>
            <w:vAlign w:val="center"/>
          </w:tcPr>
          <w:p>
            <w:pPr>
              <w:pStyle w:val="86"/>
            </w:pP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jc w:val="center"/>
        </w:trPr>
        <w:tc>
          <w:tcPr>
            <w:tcW w:w="1727" w:type="dxa"/>
            <w:noWrap w:val="0"/>
            <w:vAlign w:val="center"/>
          </w:tcPr>
          <w:p>
            <w:pPr>
              <w:pStyle w:val="86"/>
            </w:pPr>
            <w:r>
              <w:rPr>
                <w:rFonts w:hint="eastAsia"/>
              </w:rPr>
              <w:t>垃圾清运</w:t>
            </w:r>
          </w:p>
        </w:tc>
        <w:tc>
          <w:tcPr>
            <w:tcW w:w="931" w:type="dxa"/>
            <w:noWrap w:val="0"/>
            <w:vAlign w:val="center"/>
          </w:tcPr>
          <w:p>
            <w:pPr>
              <w:pStyle w:val="86"/>
            </w:pPr>
            <w:r>
              <w:rPr>
                <w:rFonts w:hint="eastAsia"/>
              </w:rPr>
              <w:t>1</w:t>
            </w:r>
          </w:p>
        </w:tc>
        <w:tc>
          <w:tcPr>
            <w:tcW w:w="4420" w:type="dxa"/>
            <w:vMerge w:val="continue"/>
            <w:noWrap w:val="0"/>
            <w:vAlign w:val="center"/>
          </w:tcPr>
          <w:p>
            <w:pPr>
              <w:pStyle w:val="86"/>
            </w:pPr>
          </w:p>
        </w:tc>
        <w:tc>
          <w:tcPr>
            <w:tcW w:w="915" w:type="dxa"/>
            <w:noWrap w:val="0"/>
            <w:vAlign w:val="center"/>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27" w:type="dxa"/>
            <w:noWrap w:val="0"/>
            <w:vAlign w:val="center"/>
          </w:tcPr>
          <w:p>
            <w:pPr>
              <w:pStyle w:val="86"/>
            </w:pPr>
            <w:r>
              <w:rPr>
                <w:rFonts w:hint="eastAsia"/>
              </w:rPr>
              <w:t>合计：</w:t>
            </w:r>
          </w:p>
        </w:tc>
        <w:tc>
          <w:tcPr>
            <w:tcW w:w="931" w:type="dxa"/>
            <w:noWrap w:val="0"/>
            <w:vAlign w:val="center"/>
          </w:tcPr>
          <w:p>
            <w:pPr>
              <w:pStyle w:val="86"/>
            </w:pPr>
            <w:r>
              <w:fldChar w:fldCharType="begin"/>
            </w:r>
            <w:r>
              <w:instrText xml:space="preserve"> </w:instrText>
            </w:r>
            <w:r>
              <w:rPr>
                <w:rFonts w:hint="eastAsia"/>
              </w:rPr>
              <w:instrText xml:space="preserve">=SUM(ABOVE)</w:instrText>
            </w:r>
            <w:r>
              <w:instrText xml:space="preserve"> </w:instrText>
            </w:r>
            <w:r>
              <w:fldChar w:fldCharType="separate"/>
            </w:r>
            <w:r>
              <w:t>48</w:t>
            </w:r>
            <w:r>
              <w:fldChar w:fldCharType="end"/>
            </w:r>
          </w:p>
        </w:tc>
        <w:tc>
          <w:tcPr>
            <w:tcW w:w="4420" w:type="dxa"/>
            <w:noWrap w:val="0"/>
            <w:vAlign w:val="center"/>
          </w:tcPr>
          <w:p>
            <w:pPr>
              <w:pStyle w:val="86"/>
            </w:pPr>
          </w:p>
        </w:tc>
        <w:tc>
          <w:tcPr>
            <w:tcW w:w="915" w:type="dxa"/>
            <w:noWrap w:val="0"/>
            <w:vAlign w:val="center"/>
          </w:tcPr>
          <w:p>
            <w:pPr>
              <w:pStyle w:val="86"/>
            </w:pPr>
          </w:p>
        </w:tc>
      </w:tr>
    </w:tbl>
    <w:p>
      <w:pPr>
        <w:spacing w:line="420" w:lineRule="exact"/>
        <w:ind w:firstLine="413" w:firstLineChars="196"/>
        <w:textAlignment w:val="top"/>
        <w:rPr>
          <w:rFonts w:ascii="宋体" w:hAnsi="宋体" w:cs="仿宋"/>
          <w:b/>
          <w:color w:val="000000"/>
          <w:szCs w:val="21"/>
        </w:rPr>
      </w:pPr>
    </w:p>
    <w:p>
      <w:pPr>
        <w:spacing w:line="420" w:lineRule="exact"/>
        <w:ind w:firstLine="413" w:firstLineChars="196"/>
        <w:textAlignment w:val="top"/>
        <w:rPr>
          <w:b/>
        </w:rPr>
      </w:pPr>
      <w:r>
        <w:rPr>
          <w:rFonts w:hint="eastAsia"/>
          <w:b/>
        </w:rPr>
        <w:t>（五）管理目标和标准</w:t>
      </w:r>
    </w:p>
    <w:p>
      <w:pPr>
        <w:pStyle w:val="85"/>
        <w:rPr>
          <w:rFonts w:hint="eastAsia"/>
        </w:rPr>
      </w:pPr>
      <w:r>
        <w:rPr>
          <w:rFonts w:hint="eastAsia"/>
        </w:rPr>
        <w:t>1、因管理原因引起的治安案件、失窃案件发生率为零；安保措施保证率100%；突发事件控制率</w:t>
      </w:r>
      <w:r>
        <w:t>100%</w:t>
      </w:r>
      <w:r>
        <w:rPr>
          <w:rFonts w:hint="eastAsia"/>
        </w:rPr>
        <w:t>。中标方的工作人员在采购人委托管理项目内发生违法、违规行为的，所造成一切后果及损失，由中标方负全部责任。</w:t>
      </w:r>
    </w:p>
    <w:p>
      <w:pPr>
        <w:pStyle w:val="85"/>
      </w:pPr>
      <w:r>
        <w:rPr>
          <w:rFonts w:hint="eastAsia"/>
        </w:rPr>
        <w:t>2、整体满意度90%以上。</w:t>
      </w:r>
    </w:p>
    <w:p>
      <w:pPr>
        <w:pStyle w:val="85"/>
        <w:rPr>
          <w:rFonts w:hint="eastAsia"/>
        </w:rPr>
      </w:pPr>
      <w:r>
        <w:rPr>
          <w:rFonts w:hint="eastAsia"/>
        </w:rPr>
        <w:t>3、保洁率应到100%，地面、窗台、门面无灰尘、无杂物、无烟蒂。墙角无蛛网，卫生间无异味，无积水。会议室桌椅无污渍，地面无垃圾烟蒂。冷库、资料库等地面、货架的清扫、擦抹，要求无明显积尘、污迹，每月不少于2次。</w:t>
      </w:r>
    </w:p>
    <w:p>
      <w:pPr>
        <w:pStyle w:val="85"/>
      </w:pPr>
      <w:r>
        <w:rPr>
          <w:rFonts w:hint="eastAsia"/>
        </w:rPr>
        <w:t>4、有效投诉率低于2%；投诉处理率100%。</w:t>
      </w:r>
    </w:p>
    <w:p>
      <w:pPr>
        <w:pStyle w:val="85"/>
      </w:pPr>
      <w:r>
        <w:rPr>
          <w:rFonts w:hint="eastAsia"/>
        </w:rPr>
        <w:t>5、做好各项保密工作。对党政要务以及其他事物和文件，严格做到不打听、不偷看、不传播、不擅自处理保密纸物等。</w:t>
      </w:r>
    </w:p>
    <w:p>
      <w:pPr>
        <w:pStyle w:val="85"/>
      </w:pPr>
      <w:r>
        <w:rPr>
          <w:rFonts w:hint="eastAsia"/>
        </w:rPr>
        <w:t xml:space="preserve">6、维修及时率100%。   </w:t>
      </w:r>
    </w:p>
    <w:p>
      <w:pPr>
        <w:pStyle w:val="85"/>
      </w:pPr>
      <w:r>
        <w:rPr>
          <w:rFonts w:hint="eastAsia"/>
        </w:rPr>
        <w:t>7、在物业管理工作中所涉及到业主单位的设备、设施完好率达到100%。</w:t>
      </w:r>
    </w:p>
    <w:p>
      <w:pPr>
        <w:pStyle w:val="85"/>
      </w:pPr>
      <w:r>
        <w:rPr>
          <w:rFonts w:hint="eastAsia"/>
        </w:rPr>
        <w:t>8、建立健全物业管理档案资料。</w:t>
      </w:r>
    </w:p>
    <w:p>
      <w:pPr>
        <w:rPr>
          <w:rFonts w:ascii="宋体" w:hAnsi="宋体"/>
          <w:b/>
          <w:bCs/>
          <w:sz w:val="24"/>
          <w:szCs w:val="28"/>
        </w:rPr>
      </w:pPr>
    </w:p>
    <w:p>
      <w:pPr>
        <w:pStyle w:val="6"/>
      </w:pPr>
    </w:p>
    <w:p>
      <w:pPr>
        <w:pStyle w:val="85"/>
        <w:jc w:val="center"/>
        <w:rPr>
          <w:b/>
          <w:sz w:val="28"/>
          <w:szCs w:val="28"/>
        </w:rPr>
      </w:pPr>
      <w:r>
        <w:rPr>
          <w:rFonts w:hint="eastAsia"/>
          <w:b/>
          <w:sz w:val="28"/>
          <w:szCs w:val="28"/>
        </w:rPr>
        <w:t>三、管理费用及补充说明</w:t>
      </w:r>
    </w:p>
    <w:p>
      <w:pPr>
        <w:pStyle w:val="85"/>
      </w:pPr>
      <w:r>
        <w:rPr>
          <w:rFonts w:hint="eastAsia"/>
        </w:rPr>
        <w:t>（一）管理费用包括以下内容：</w:t>
      </w:r>
    </w:p>
    <w:p>
      <w:pPr>
        <w:pStyle w:val="85"/>
      </w:pPr>
      <w:r>
        <w:rPr>
          <w:rFonts w:hint="eastAsia"/>
        </w:rPr>
        <w:t>1．人工工资费用（必须符合劳动法及相关法律法规及宁波市人社局规定，否则作无效标处理）</w:t>
      </w:r>
    </w:p>
    <w:p>
      <w:pPr>
        <w:pStyle w:val="85"/>
      </w:pPr>
      <w:r>
        <w:rPr>
          <w:rFonts w:hint="eastAsia"/>
        </w:rPr>
        <w:t>2．社会保险（必须符合劳动法及相关法律法规及宁波市人社局规定，否则作无效标处理）</w:t>
      </w:r>
    </w:p>
    <w:p>
      <w:pPr>
        <w:pStyle w:val="85"/>
        <w:rPr>
          <w:rFonts w:hint="eastAsia"/>
        </w:rPr>
      </w:pPr>
      <w:r>
        <w:rPr>
          <w:rFonts w:hint="eastAsia"/>
        </w:rPr>
        <w:t>3．福利包括高温费、工会、培训等。</w:t>
      </w:r>
    </w:p>
    <w:p>
      <w:pPr>
        <w:pStyle w:val="85"/>
      </w:pPr>
      <w:r>
        <w:rPr>
          <w:rFonts w:hint="eastAsia"/>
        </w:rPr>
        <w:t>4．节假日加班费用</w:t>
      </w:r>
    </w:p>
    <w:p>
      <w:pPr>
        <w:pStyle w:val="85"/>
      </w:pPr>
      <w:r>
        <w:rPr>
          <w:rFonts w:hint="eastAsia"/>
        </w:rPr>
        <w:t>5．员工的服装费用：物业公司承担员工的工作服费用，款式及颜色需经委托方认可。</w:t>
      </w:r>
    </w:p>
    <w:p>
      <w:pPr>
        <w:pStyle w:val="85"/>
      </w:pPr>
      <w:r>
        <w:rPr>
          <w:rFonts w:hint="eastAsia"/>
        </w:rPr>
        <w:t>6．管理费用。</w:t>
      </w:r>
    </w:p>
    <w:p>
      <w:pPr>
        <w:pStyle w:val="85"/>
      </w:pPr>
      <w:r>
        <w:rPr>
          <w:rFonts w:hint="eastAsia"/>
        </w:rPr>
        <w:t>7．法定税费。</w:t>
      </w:r>
    </w:p>
    <w:p>
      <w:pPr>
        <w:pStyle w:val="85"/>
      </w:pPr>
      <w:r>
        <w:rPr>
          <w:rFonts w:hint="eastAsia"/>
        </w:rPr>
        <w:t>8、其他费用：电梯、空调、给排水、消防等各项维保费用；洗地机、抛光打蜡机、高压水枪等设备设施工具及擦手纸、洗手液等耗材费用；维修耗材单次费用300元以内由投标方负责，300元以上经业主确认后承担；绿摆租赁、外墙清洗、垃圾清运、四害消杀、化粪池和前期开荒等物业服务相关的一切费用。</w:t>
      </w:r>
    </w:p>
    <w:p>
      <w:pPr>
        <w:pStyle w:val="85"/>
      </w:pPr>
      <w:r>
        <w:rPr>
          <w:rFonts w:hint="eastAsia"/>
        </w:rPr>
        <w:t>（二）其它补充说明</w:t>
      </w:r>
    </w:p>
    <w:p>
      <w:pPr>
        <w:pStyle w:val="85"/>
      </w:pPr>
      <w:r>
        <w:rPr>
          <w:rFonts w:hint="eastAsia"/>
        </w:rPr>
        <w:t>1、本次招标，委托管理权限为三年,合同为一年一签，第二年续约情况视物业管理服务运行情况和财政资金保障情况而定。一般情况下一年结束后，经考核，考核标准在合同中明确，如采购人满意，双方协商一致，续签下一年度管理服务合同，如采购人不满意，可终止管理服务合同。管理服务费用由各投标方自行报价，中标价格将作为合同价格执行三年；如在合同执行期间，遇到社保缴费基数、比例及最低工资标准上调，则合同中的人员工资相应部分按实际情况予以调整，确保用工合法，由此增加的费用由中标方负责，采购人不再追加相应费用。</w:t>
      </w:r>
    </w:p>
    <w:p>
      <w:pPr>
        <w:pStyle w:val="85"/>
      </w:pPr>
      <w:r>
        <w:rPr>
          <w:rFonts w:hint="eastAsia"/>
        </w:rPr>
        <w:t>2、中标单位根据有关物业管理法规与采购人签订物业管理合同，对本物业实行管理，自主经营，自负盈亏。投标报价必须提供费用明细表，人工费用标准应严格执行相关劳动法规，若发现有违规的则作无效标处理。</w:t>
      </w:r>
    </w:p>
    <w:p>
      <w:pPr>
        <w:pStyle w:val="85"/>
        <w:rPr>
          <w:szCs w:val="24"/>
        </w:rPr>
      </w:pPr>
      <w:r>
        <w:rPr>
          <w:rFonts w:hint="eastAsia"/>
        </w:rPr>
        <w:t>3、物业管理企业需在本项目中指定一名负责人负责本项目的协调管理，按本项目管理的要求配备相应的工作人员。中标单位必须严格管理，制订相应的规章制度，人员要坚守岗位，实行专人负责制，负责人必须跟班作业，服从管理，做到服务第一，质量第一。特定岗位员工须持有效证件上</w:t>
      </w:r>
      <w:r>
        <w:rPr>
          <w:rFonts w:hint="eastAsia"/>
          <w:szCs w:val="24"/>
        </w:rPr>
        <w:t>岗。</w:t>
      </w:r>
    </w:p>
    <w:p>
      <w:pPr>
        <w:pStyle w:val="85"/>
        <w:rPr>
          <w:szCs w:val="24"/>
        </w:rPr>
      </w:pPr>
      <w:r>
        <w:rPr>
          <w:rFonts w:hint="eastAsia"/>
          <w:szCs w:val="24"/>
        </w:rPr>
        <w:t>4、管理费用结算具体时间为：按季度支付，分别为每季度末，中标单位正常履行合同前提下，采购人根据上述规定时间每次支付年物业管理费的25%。</w:t>
      </w:r>
    </w:p>
    <w:p>
      <w:pPr>
        <w:pStyle w:val="85"/>
        <w:rPr>
          <w:szCs w:val="24"/>
        </w:rPr>
      </w:pPr>
      <w:r>
        <w:rPr>
          <w:rFonts w:hint="eastAsia"/>
          <w:szCs w:val="24"/>
        </w:rPr>
        <w:t>5、委托管理费以中标单位在标书中提供的最后价格为准。</w:t>
      </w:r>
    </w:p>
    <w:p>
      <w:pPr>
        <w:pStyle w:val="85"/>
        <w:rPr>
          <w:szCs w:val="24"/>
        </w:rPr>
      </w:pPr>
      <w:r>
        <w:rPr>
          <w:rFonts w:hint="eastAsia"/>
          <w:szCs w:val="24"/>
        </w:rPr>
        <w:t>6、业主在适当时候对该物业管理进行考核评比，如达不到考核要求，限期不做更正的,可酌情扣除物业管理费用、直至终止委托管理合同，考核标准在签订合同时明确。</w:t>
      </w:r>
    </w:p>
    <w:p>
      <w:pPr>
        <w:pStyle w:val="4"/>
      </w:pPr>
    </w:p>
    <w:p>
      <w:pPr>
        <w:pStyle w:val="85"/>
        <w:jc w:val="center"/>
        <w:rPr>
          <w:b/>
          <w:sz w:val="28"/>
          <w:szCs w:val="28"/>
        </w:rPr>
      </w:pPr>
      <w:r>
        <w:rPr>
          <w:rFonts w:hint="eastAsia"/>
          <w:b/>
          <w:sz w:val="28"/>
          <w:szCs w:val="28"/>
        </w:rPr>
        <w:t>四、注意事项</w:t>
      </w:r>
    </w:p>
    <w:p>
      <w:pPr>
        <w:pStyle w:val="85"/>
      </w:pPr>
      <w:r>
        <w:rPr>
          <w:rFonts w:hint="eastAsia"/>
        </w:rPr>
        <w:t>1、中标人不得将项目非法分包或整体转包给任何单位和个人。否则，采购人有权即刻解除合同，并要求中标人按合同约定赔偿相应损失。</w:t>
      </w:r>
    </w:p>
    <w:p>
      <w:pPr>
        <w:pStyle w:val="85"/>
      </w:pPr>
      <w:r>
        <w:rPr>
          <w:rFonts w:hint="eastAsia"/>
        </w:rPr>
        <w:t>2、投标人若认为招标文件的技术要求或其他要求有倾向性或不公正性，可在招标答疑阶段提出，以维护招标行为的公平、公正。</w:t>
      </w:r>
    </w:p>
    <w:p>
      <w:pPr>
        <w:pStyle w:val="85"/>
      </w:pPr>
      <w:r>
        <w:rPr>
          <w:rFonts w:hint="eastAsia"/>
        </w:rPr>
        <w:t>3、投标人使用的标准必须是国际公认或国家、或地方政府颁布的同等或更高的标准，如投标人使用的标准低于上述标准，评标委员会将有权不予接受，投标人必须列表将明显的差异详细说明。</w:t>
      </w:r>
    </w:p>
    <w:p>
      <w:pPr>
        <w:pStyle w:val="85"/>
      </w:pPr>
      <w:r>
        <w:rPr>
          <w:rFonts w:hint="eastAsia"/>
        </w:rPr>
        <w:t>4、如投标人提交伪造资质证书、合同文件，一经发现按有关规定进行处罚，通报批评，并在宁波市政府采购网上公布。</w:t>
      </w:r>
    </w:p>
    <w:p>
      <w:pPr>
        <w:pStyle w:val="85"/>
      </w:pPr>
      <w:r>
        <w:rPr>
          <w:rFonts w:hint="eastAsia"/>
        </w:rPr>
        <w:t>5、违反招标文件规定及在投标过程中违法违纪，或以任何形式采取不正当竞争手段的，一经查实，由招标单位按规定给予处罚，取消本次投标资格，已经中标的解除委托管理合同，一切后果由责任者自负。</w:t>
      </w:r>
    </w:p>
    <w:p/>
    <w:p>
      <w:pPr>
        <w:pStyle w:val="2"/>
        <w:ind w:firstLine="562"/>
        <w:jc w:val="center"/>
        <w:rPr>
          <w:b/>
          <w:sz w:val="28"/>
          <w:szCs w:val="28"/>
        </w:rPr>
      </w:pPr>
      <w:r>
        <w:rPr>
          <w:rFonts w:hint="eastAsia"/>
          <w:b/>
          <w:sz w:val="28"/>
          <w:szCs w:val="28"/>
        </w:rPr>
        <w:t>五、考核办法</w:t>
      </w:r>
    </w:p>
    <w:p>
      <w:pPr>
        <w:jc w:val="center"/>
        <w:rPr>
          <w:rFonts w:ascii="宋体" w:hAnsi="宋体" w:cs="宋体"/>
        </w:rPr>
      </w:pPr>
      <w:r>
        <w:rPr>
          <w:rFonts w:hint="eastAsia"/>
          <w:b/>
        </w:rPr>
        <w:t>物业管理考核表</w:t>
      </w:r>
    </w:p>
    <w:tbl>
      <w:tblPr>
        <w:tblStyle w:val="25"/>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01"/>
        <w:gridCol w:w="3679"/>
        <w:gridCol w:w="2559"/>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9" w:type="dxa"/>
            <w:noWrap w:val="0"/>
            <w:vAlign w:val="center"/>
          </w:tcPr>
          <w:p>
            <w:pPr>
              <w:pStyle w:val="86"/>
            </w:pPr>
            <w:r>
              <w:rPr>
                <w:rFonts w:hint="eastAsia"/>
              </w:rPr>
              <w:t>序号</w:t>
            </w:r>
          </w:p>
        </w:tc>
        <w:tc>
          <w:tcPr>
            <w:tcW w:w="1301" w:type="dxa"/>
            <w:noWrap w:val="0"/>
            <w:vAlign w:val="center"/>
          </w:tcPr>
          <w:p>
            <w:pPr>
              <w:pStyle w:val="86"/>
            </w:pPr>
            <w:r>
              <w:rPr>
                <w:rFonts w:hint="eastAsia"/>
              </w:rPr>
              <w:t>考核项目</w:t>
            </w:r>
          </w:p>
        </w:tc>
        <w:tc>
          <w:tcPr>
            <w:tcW w:w="3679" w:type="dxa"/>
            <w:noWrap w:val="0"/>
            <w:vAlign w:val="center"/>
          </w:tcPr>
          <w:p>
            <w:pPr>
              <w:pStyle w:val="86"/>
            </w:pPr>
            <w:r>
              <w:rPr>
                <w:rFonts w:hint="eastAsia"/>
              </w:rPr>
              <w:t>考核内容</w:t>
            </w:r>
          </w:p>
        </w:tc>
        <w:tc>
          <w:tcPr>
            <w:tcW w:w="2559" w:type="dxa"/>
            <w:noWrap w:val="0"/>
            <w:vAlign w:val="center"/>
          </w:tcPr>
          <w:p>
            <w:pPr>
              <w:pStyle w:val="86"/>
            </w:pPr>
            <w:r>
              <w:rPr>
                <w:rFonts w:hint="eastAsia"/>
              </w:rPr>
              <w:t>考核评分标准</w:t>
            </w:r>
          </w:p>
        </w:tc>
        <w:tc>
          <w:tcPr>
            <w:tcW w:w="884" w:type="dxa"/>
            <w:noWrap w:val="0"/>
            <w:vAlign w:val="center"/>
          </w:tcPr>
          <w:p>
            <w:pPr>
              <w:pStyle w:val="86"/>
            </w:pPr>
            <w:r>
              <w:rPr>
                <w:rFonts w:hint="eastAsia"/>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9" w:type="dxa"/>
            <w:vMerge w:val="restart"/>
            <w:noWrap w:val="0"/>
            <w:vAlign w:val="center"/>
          </w:tcPr>
          <w:p>
            <w:pPr>
              <w:pStyle w:val="86"/>
            </w:pPr>
            <w:r>
              <w:rPr>
                <w:rFonts w:hint="eastAsia"/>
              </w:rPr>
              <w:t>一</w:t>
            </w:r>
          </w:p>
        </w:tc>
        <w:tc>
          <w:tcPr>
            <w:tcW w:w="1301" w:type="dxa"/>
            <w:vMerge w:val="restart"/>
            <w:noWrap w:val="0"/>
            <w:vAlign w:val="center"/>
          </w:tcPr>
          <w:p>
            <w:pPr>
              <w:pStyle w:val="86"/>
            </w:pPr>
            <w:r>
              <w:rPr>
                <w:rFonts w:hint="eastAsia"/>
              </w:rPr>
              <w:t>管理处                                          （20分）</w:t>
            </w:r>
          </w:p>
        </w:tc>
        <w:tc>
          <w:tcPr>
            <w:tcW w:w="3679" w:type="dxa"/>
            <w:noWrap w:val="0"/>
            <w:vAlign w:val="center"/>
          </w:tcPr>
          <w:p>
            <w:pPr>
              <w:pStyle w:val="86"/>
            </w:pPr>
            <w:r>
              <w:rPr>
                <w:rFonts w:hint="eastAsia"/>
              </w:rPr>
              <w:t>1. 制定各岗位工作职责和标准，并有具体落实措施和考核办法。有月度和周工作计划和完成工作总结。</w:t>
            </w:r>
          </w:p>
        </w:tc>
        <w:tc>
          <w:tcPr>
            <w:tcW w:w="2559" w:type="dxa"/>
            <w:noWrap w:val="0"/>
            <w:vAlign w:val="center"/>
          </w:tcPr>
          <w:p>
            <w:pPr>
              <w:pStyle w:val="86"/>
            </w:pPr>
            <w:r>
              <w:rPr>
                <w:rFonts w:hint="eastAsia"/>
              </w:rPr>
              <w:t>未制定标准和办法各扣1分；无工作计划1分，无工作总结扣1分。</w:t>
            </w:r>
          </w:p>
        </w:tc>
        <w:tc>
          <w:tcPr>
            <w:tcW w:w="884" w:type="dxa"/>
            <w:noWrap w:val="0"/>
            <w:vAlign w:val="center"/>
          </w:tcPr>
          <w:p>
            <w:pPr>
              <w:pStyle w:val="86"/>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2. 员工统一着装，佩戴明显标志。无着便装上班的行为。</w:t>
            </w:r>
          </w:p>
        </w:tc>
        <w:tc>
          <w:tcPr>
            <w:tcW w:w="2559" w:type="dxa"/>
            <w:noWrap w:val="0"/>
            <w:vAlign w:val="center"/>
          </w:tcPr>
          <w:p>
            <w:pPr>
              <w:pStyle w:val="86"/>
            </w:pPr>
            <w:r>
              <w:rPr>
                <w:rFonts w:hint="eastAsia"/>
              </w:rPr>
              <w:t>未佩带标志发现一起扣0.5分，便装上班扣0.5分。</w:t>
            </w:r>
          </w:p>
        </w:tc>
        <w:tc>
          <w:tcPr>
            <w:tcW w:w="884" w:type="dxa"/>
            <w:noWrap w:val="0"/>
            <w:vAlign w:val="center"/>
          </w:tcPr>
          <w:p>
            <w:pPr>
              <w:pStyle w:val="8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3. 员工服务语言规范，态度亲和。无粗话、无和业主争吵的行为。</w:t>
            </w:r>
          </w:p>
        </w:tc>
        <w:tc>
          <w:tcPr>
            <w:tcW w:w="2559" w:type="dxa"/>
            <w:noWrap w:val="0"/>
            <w:vAlign w:val="center"/>
          </w:tcPr>
          <w:p>
            <w:pPr>
              <w:pStyle w:val="86"/>
            </w:pPr>
            <w:r>
              <w:rPr>
                <w:rFonts w:hint="eastAsia"/>
              </w:rPr>
              <w:t>每发现一次在工作中使用脏话或态度恶劣，与业主无理争吵扣0.5分。</w:t>
            </w:r>
          </w:p>
        </w:tc>
        <w:tc>
          <w:tcPr>
            <w:tcW w:w="884" w:type="dxa"/>
            <w:noWrap w:val="0"/>
            <w:vAlign w:val="center"/>
          </w:tcPr>
          <w:p>
            <w:pPr>
              <w:pStyle w:val="8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4. 接受服务报修、求助、建议、问询、投诉等各类信息的收集和反馈，小修在当日解决，不能当日内解决的，必须制定解决期限，每次维修有回访制度和记录。</w:t>
            </w:r>
          </w:p>
        </w:tc>
        <w:tc>
          <w:tcPr>
            <w:tcW w:w="2559" w:type="dxa"/>
            <w:noWrap w:val="0"/>
            <w:vAlign w:val="center"/>
          </w:tcPr>
          <w:p>
            <w:pPr>
              <w:pStyle w:val="86"/>
            </w:pPr>
            <w:r>
              <w:rPr>
                <w:rFonts w:hint="eastAsia"/>
              </w:rPr>
              <w:t>发现一起对各类信息未收集和处理扣0.5分，未及时修理扣0.5分，处理后未回访或未记录扣0.5分。</w:t>
            </w:r>
          </w:p>
        </w:tc>
        <w:tc>
          <w:tcPr>
            <w:tcW w:w="884" w:type="dxa"/>
            <w:noWrap w:val="0"/>
            <w:vAlign w:val="center"/>
          </w:tcPr>
          <w:p>
            <w:pPr>
              <w:pStyle w:val="86"/>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5、清洁用品、器材、安保用品是否进行合理使用与维护，无浪费</w:t>
            </w:r>
          </w:p>
        </w:tc>
        <w:tc>
          <w:tcPr>
            <w:tcW w:w="2559" w:type="dxa"/>
            <w:noWrap w:val="0"/>
            <w:vAlign w:val="center"/>
          </w:tcPr>
          <w:p>
            <w:pPr>
              <w:pStyle w:val="86"/>
            </w:pPr>
            <w:r>
              <w:rPr>
                <w:rFonts w:hint="eastAsia"/>
              </w:rPr>
              <w:t>清洁用品、器材、安保用品未进行合理使用与维护，造成浪费，发现一起扣0.5分。</w:t>
            </w:r>
          </w:p>
        </w:tc>
        <w:tc>
          <w:tcPr>
            <w:tcW w:w="884" w:type="dxa"/>
            <w:noWrap w:val="0"/>
            <w:vAlign w:val="center"/>
          </w:tcPr>
          <w:p>
            <w:pPr>
              <w:pStyle w:val="8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6、人员变动在两个工作日内上报业主方，重要岗位的员工招聘，在一个工作日内上报。</w:t>
            </w:r>
          </w:p>
        </w:tc>
        <w:tc>
          <w:tcPr>
            <w:tcW w:w="2559" w:type="dxa"/>
            <w:noWrap w:val="0"/>
            <w:vAlign w:val="center"/>
          </w:tcPr>
          <w:p>
            <w:pPr>
              <w:pStyle w:val="86"/>
            </w:pPr>
            <w:r>
              <w:rPr>
                <w:rFonts w:hint="eastAsia"/>
              </w:rPr>
              <w:t>发现人员变动没有及时上报扣0.5分。</w:t>
            </w:r>
          </w:p>
        </w:tc>
        <w:tc>
          <w:tcPr>
            <w:tcW w:w="884" w:type="dxa"/>
            <w:noWrap w:val="0"/>
            <w:vAlign w:val="center"/>
          </w:tcPr>
          <w:p>
            <w:pPr>
              <w:pStyle w:val="8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7、落实节能改造要求，及时关闭负载较轻的变压器。电脑、打印机等做到上班开、下班关。</w:t>
            </w:r>
          </w:p>
        </w:tc>
        <w:tc>
          <w:tcPr>
            <w:tcW w:w="2559" w:type="dxa"/>
            <w:noWrap w:val="0"/>
            <w:vAlign w:val="center"/>
          </w:tcPr>
          <w:p>
            <w:pPr>
              <w:pStyle w:val="86"/>
            </w:pPr>
            <w:r>
              <w:rPr>
                <w:rFonts w:hint="eastAsia"/>
              </w:rPr>
              <w:t>每少一个项目扣0.5分。</w:t>
            </w:r>
          </w:p>
        </w:tc>
        <w:tc>
          <w:tcPr>
            <w:tcW w:w="884" w:type="dxa"/>
            <w:noWrap w:val="0"/>
            <w:vAlign w:val="center"/>
          </w:tcPr>
          <w:p>
            <w:pPr>
              <w:pStyle w:val="86"/>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8、上班时间不做与工作无关的事，严禁打瞌睡，脱岗。</w:t>
            </w:r>
          </w:p>
        </w:tc>
        <w:tc>
          <w:tcPr>
            <w:tcW w:w="2559" w:type="dxa"/>
            <w:noWrap w:val="0"/>
            <w:vAlign w:val="center"/>
          </w:tcPr>
          <w:p>
            <w:pPr>
              <w:pStyle w:val="86"/>
            </w:pPr>
            <w:r>
              <w:rPr>
                <w:rFonts w:hint="eastAsia"/>
              </w:rPr>
              <w:t>上班做与工作无关的事每次扣0.5分，脱岗每次扣1分。</w:t>
            </w:r>
          </w:p>
        </w:tc>
        <w:tc>
          <w:tcPr>
            <w:tcW w:w="884" w:type="dxa"/>
            <w:noWrap w:val="0"/>
            <w:vAlign w:val="center"/>
          </w:tcPr>
          <w:p>
            <w:pPr>
              <w:pStyle w:val="86"/>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9" w:type="dxa"/>
            <w:vMerge w:val="restart"/>
            <w:noWrap w:val="0"/>
            <w:vAlign w:val="center"/>
          </w:tcPr>
          <w:p>
            <w:pPr>
              <w:pStyle w:val="86"/>
            </w:pPr>
            <w:r>
              <w:rPr>
                <w:rFonts w:hint="eastAsia"/>
              </w:rPr>
              <w:t>二</w:t>
            </w:r>
          </w:p>
        </w:tc>
        <w:tc>
          <w:tcPr>
            <w:tcW w:w="1301" w:type="dxa"/>
            <w:vMerge w:val="restart"/>
            <w:noWrap w:val="0"/>
            <w:vAlign w:val="center"/>
          </w:tcPr>
          <w:p>
            <w:pPr>
              <w:pStyle w:val="86"/>
            </w:pPr>
            <w:r>
              <w:rPr>
                <w:rFonts w:hint="eastAsia"/>
              </w:rPr>
              <w:t>设备维护                                                （15分）</w:t>
            </w:r>
          </w:p>
        </w:tc>
        <w:tc>
          <w:tcPr>
            <w:tcW w:w="3679" w:type="dxa"/>
            <w:noWrap w:val="0"/>
            <w:vAlign w:val="center"/>
          </w:tcPr>
          <w:p>
            <w:pPr>
              <w:pStyle w:val="86"/>
            </w:pPr>
            <w:r>
              <w:rPr>
                <w:rFonts w:hint="eastAsia"/>
              </w:rPr>
              <w:t>1. 制定岗位制度、每月巡查1次大楼公共区域设施设备。</w:t>
            </w:r>
          </w:p>
        </w:tc>
        <w:tc>
          <w:tcPr>
            <w:tcW w:w="2559" w:type="dxa"/>
            <w:noWrap w:val="0"/>
            <w:vAlign w:val="center"/>
          </w:tcPr>
          <w:p>
            <w:pPr>
              <w:pStyle w:val="86"/>
            </w:pPr>
            <w:r>
              <w:rPr>
                <w:rFonts w:hint="eastAsia"/>
              </w:rPr>
              <w:t>无制度扣1分，每少一次巡查扣1分。</w:t>
            </w:r>
          </w:p>
        </w:tc>
        <w:tc>
          <w:tcPr>
            <w:tcW w:w="884" w:type="dxa"/>
            <w:noWrap w:val="0"/>
            <w:vAlign w:val="center"/>
          </w:tcPr>
          <w:p>
            <w:pPr>
              <w:pStyle w:val="86"/>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2. 对房屋存在的问题，及时上报业主方，并协助完成维修。</w:t>
            </w:r>
          </w:p>
        </w:tc>
        <w:tc>
          <w:tcPr>
            <w:tcW w:w="2559" w:type="dxa"/>
            <w:noWrap w:val="0"/>
            <w:vAlign w:val="center"/>
          </w:tcPr>
          <w:p>
            <w:pPr>
              <w:pStyle w:val="86"/>
            </w:pPr>
            <w:r>
              <w:rPr>
                <w:rFonts w:hint="eastAsia"/>
              </w:rPr>
              <w:t>发现问题不及时处理扣</w:t>
            </w:r>
            <w:r>
              <w:t>1</w:t>
            </w:r>
            <w:r>
              <w:rPr>
                <w:rFonts w:hint="eastAsia"/>
              </w:rPr>
              <w:t>分,无上报、无协助修理的一次扣1分。</w:t>
            </w:r>
          </w:p>
        </w:tc>
        <w:tc>
          <w:tcPr>
            <w:tcW w:w="884" w:type="dxa"/>
            <w:noWrap w:val="0"/>
            <w:vAlign w:val="center"/>
          </w:tcPr>
          <w:p>
            <w:pPr>
              <w:pStyle w:val="86"/>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3. 水、电、门窗、桌椅等范围内的维修，小型维修，当日完成，不能当日完成的，限时完成。</w:t>
            </w:r>
          </w:p>
        </w:tc>
        <w:tc>
          <w:tcPr>
            <w:tcW w:w="2559" w:type="dxa"/>
            <w:noWrap w:val="0"/>
            <w:vAlign w:val="center"/>
          </w:tcPr>
          <w:p>
            <w:pPr>
              <w:pStyle w:val="86"/>
            </w:pPr>
            <w:r>
              <w:rPr>
                <w:rFonts w:hint="eastAsia"/>
              </w:rPr>
              <w:t>接报和检查出的小修，当日或限时未完成，一次扣0.5分。</w:t>
            </w:r>
          </w:p>
        </w:tc>
        <w:tc>
          <w:tcPr>
            <w:tcW w:w="884" w:type="dxa"/>
            <w:noWrap w:val="0"/>
            <w:vAlign w:val="center"/>
          </w:tcPr>
          <w:p>
            <w:pPr>
              <w:pStyle w:val="86"/>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4、做好日常小修小补，做好日常巡查计划</w:t>
            </w:r>
          </w:p>
        </w:tc>
        <w:tc>
          <w:tcPr>
            <w:tcW w:w="2559" w:type="dxa"/>
            <w:noWrap w:val="0"/>
            <w:vAlign w:val="center"/>
          </w:tcPr>
          <w:p>
            <w:pPr>
              <w:pStyle w:val="86"/>
            </w:pPr>
            <w:r>
              <w:rPr>
                <w:rFonts w:hint="eastAsia"/>
              </w:rPr>
              <w:t>无巡查计划扣0.5分，漏填记录一次扣0.5分，无上报、无协助修理的一次扣1分。</w:t>
            </w:r>
          </w:p>
        </w:tc>
        <w:tc>
          <w:tcPr>
            <w:tcW w:w="884" w:type="dxa"/>
            <w:noWrap w:val="0"/>
            <w:vAlign w:val="center"/>
          </w:tcPr>
          <w:p>
            <w:pPr>
              <w:pStyle w:val="86"/>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49" w:type="dxa"/>
            <w:vMerge w:val="restart"/>
            <w:noWrap w:val="0"/>
            <w:vAlign w:val="center"/>
          </w:tcPr>
          <w:p>
            <w:pPr>
              <w:pStyle w:val="86"/>
            </w:pPr>
            <w:r>
              <w:rPr>
                <w:rFonts w:hint="eastAsia"/>
              </w:rPr>
              <w:t>三</w:t>
            </w:r>
          </w:p>
        </w:tc>
        <w:tc>
          <w:tcPr>
            <w:tcW w:w="1301" w:type="dxa"/>
            <w:vMerge w:val="restart"/>
            <w:noWrap w:val="0"/>
            <w:vAlign w:val="center"/>
          </w:tcPr>
          <w:p>
            <w:pPr>
              <w:pStyle w:val="86"/>
            </w:pPr>
            <w:r>
              <w:rPr>
                <w:rFonts w:hint="eastAsia"/>
              </w:rPr>
              <w:t>秩序维护                                                                                                                                  （20分）</w:t>
            </w:r>
          </w:p>
        </w:tc>
        <w:tc>
          <w:tcPr>
            <w:tcW w:w="3679" w:type="dxa"/>
            <w:noWrap w:val="0"/>
            <w:vAlign w:val="center"/>
          </w:tcPr>
          <w:p>
            <w:pPr>
              <w:pStyle w:val="86"/>
            </w:pPr>
            <w:r>
              <w:rPr>
                <w:rFonts w:hint="eastAsia"/>
              </w:rPr>
              <w:t>1. 保安人员熟悉区域环境，文明执勤，实行24小时值班，每天十二次巡逻，严禁脱岗。</w:t>
            </w:r>
          </w:p>
        </w:tc>
        <w:tc>
          <w:tcPr>
            <w:tcW w:w="2559" w:type="dxa"/>
            <w:noWrap w:val="0"/>
            <w:vAlign w:val="center"/>
          </w:tcPr>
          <w:p>
            <w:pPr>
              <w:pStyle w:val="86"/>
            </w:pPr>
            <w:r>
              <w:rPr>
                <w:rFonts w:hint="eastAsia"/>
              </w:rPr>
              <w:t>没有按时巡逻，每次扣1分，脱岗一次扣2分。</w:t>
            </w:r>
          </w:p>
        </w:tc>
        <w:tc>
          <w:tcPr>
            <w:tcW w:w="884" w:type="dxa"/>
            <w:noWrap w:val="0"/>
            <w:vAlign w:val="center"/>
          </w:tcPr>
          <w:p>
            <w:pPr>
              <w:pStyle w:val="86"/>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2. 制订安全防范措施，对外来人员进行询问、检查、登记率100%凭证通行制度。</w:t>
            </w:r>
          </w:p>
        </w:tc>
        <w:tc>
          <w:tcPr>
            <w:tcW w:w="2559" w:type="dxa"/>
            <w:noWrap w:val="0"/>
            <w:vAlign w:val="center"/>
          </w:tcPr>
          <w:p>
            <w:pPr>
              <w:pStyle w:val="86"/>
            </w:pPr>
            <w:r>
              <w:rPr>
                <w:rFonts w:hint="eastAsia"/>
              </w:rPr>
              <w:t>无措施扣1分，每发现一次未对外来访客进行登记扣1分。</w:t>
            </w:r>
          </w:p>
        </w:tc>
        <w:tc>
          <w:tcPr>
            <w:tcW w:w="884" w:type="dxa"/>
            <w:noWrap w:val="0"/>
            <w:vAlign w:val="center"/>
          </w:tcPr>
          <w:p>
            <w:pPr>
              <w:pStyle w:val="86"/>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3. 对各种车辆管理有序，有专人指挥、疏导率100%，无堵塞交通现象，不影响行人通行。</w:t>
            </w:r>
          </w:p>
        </w:tc>
        <w:tc>
          <w:tcPr>
            <w:tcW w:w="2559" w:type="dxa"/>
            <w:noWrap w:val="0"/>
            <w:vAlign w:val="center"/>
          </w:tcPr>
          <w:p>
            <w:pPr>
              <w:pStyle w:val="86"/>
            </w:pPr>
            <w:r>
              <w:rPr>
                <w:rFonts w:hint="eastAsia"/>
              </w:rPr>
              <w:t>每发现一次未对车辆进行指挥、疏通造成交通堵塞扣1分。</w:t>
            </w:r>
          </w:p>
        </w:tc>
        <w:tc>
          <w:tcPr>
            <w:tcW w:w="884" w:type="dxa"/>
            <w:noWrap w:val="0"/>
            <w:vAlign w:val="center"/>
          </w:tcPr>
          <w:p>
            <w:pPr>
              <w:pStyle w:val="86"/>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4、熟练操作监控设备，每天检查一次消防设备及监控设备。</w:t>
            </w:r>
          </w:p>
        </w:tc>
        <w:tc>
          <w:tcPr>
            <w:tcW w:w="2559" w:type="dxa"/>
            <w:noWrap w:val="0"/>
            <w:vAlign w:val="center"/>
          </w:tcPr>
          <w:p>
            <w:pPr>
              <w:pStyle w:val="86"/>
            </w:pPr>
            <w:r>
              <w:rPr>
                <w:rFonts w:hint="eastAsia"/>
              </w:rPr>
              <w:t>消防设备无检查一次扣1分，不熟练操作设备扣2分。</w:t>
            </w:r>
          </w:p>
        </w:tc>
        <w:tc>
          <w:tcPr>
            <w:tcW w:w="884" w:type="dxa"/>
            <w:noWrap w:val="0"/>
            <w:vAlign w:val="center"/>
          </w:tcPr>
          <w:p>
            <w:pPr>
              <w:pStyle w:val="86"/>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5、严格检查进出的货物，防止危险品进入区域，外出的物品，需与业主单位出具的出门条相符合方可外出。</w:t>
            </w:r>
          </w:p>
        </w:tc>
        <w:tc>
          <w:tcPr>
            <w:tcW w:w="2559" w:type="dxa"/>
            <w:noWrap w:val="0"/>
            <w:vAlign w:val="center"/>
          </w:tcPr>
          <w:p>
            <w:pPr>
              <w:pStyle w:val="86"/>
            </w:pPr>
            <w:r>
              <w:rPr>
                <w:rFonts w:hint="eastAsia"/>
              </w:rPr>
              <w:t>发生违规物品进出，一次扣2分。</w:t>
            </w:r>
          </w:p>
        </w:tc>
        <w:tc>
          <w:tcPr>
            <w:tcW w:w="884" w:type="dxa"/>
            <w:noWrap w:val="0"/>
            <w:vAlign w:val="center"/>
          </w:tcPr>
          <w:p>
            <w:pPr>
              <w:pStyle w:val="8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6、收取业主的报刊和邮件，收到邮件后妥善保管并及时和业主联系。</w:t>
            </w:r>
          </w:p>
        </w:tc>
        <w:tc>
          <w:tcPr>
            <w:tcW w:w="2559" w:type="dxa"/>
            <w:noWrap w:val="0"/>
            <w:vAlign w:val="center"/>
          </w:tcPr>
          <w:p>
            <w:pPr>
              <w:pStyle w:val="86"/>
            </w:pPr>
            <w:r>
              <w:rPr>
                <w:rFonts w:hint="eastAsia"/>
              </w:rPr>
              <w:t>发现丢失现象，一次扣1分。</w:t>
            </w:r>
          </w:p>
        </w:tc>
        <w:tc>
          <w:tcPr>
            <w:tcW w:w="884" w:type="dxa"/>
            <w:noWrap w:val="0"/>
            <w:vAlign w:val="center"/>
          </w:tcPr>
          <w:p>
            <w:pPr>
              <w:pStyle w:val="8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49" w:type="dxa"/>
            <w:vMerge w:val="restart"/>
            <w:noWrap w:val="0"/>
            <w:vAlign w:val="center"/>
          </w:tcPr>
          <w:p>
            <w:pPr>
              <w:pStyle w:val="86"/>
            </w:pPr>
            <w:r>
              <w:rPr>
                <w:rFonts w:hint="eastAsia"/>
              </w:rPr>
              <w:t>四</w:t>
            </w:r>
          </w:p>
        </w:tc>
        <w:tc>
          <w:tcPr>
            <w:tcW w:w="1301" w:type="dxa"/>
            <w:vMerge w:val="restart"/>
            <w:noWrap w:val="0"/>
            <w:vAlign w:val="center"/>
          </w:tcPr>
          <w:p>
            <w:pPr>
              <w:pStyle w:val="86"/>
            </w:pPr>
            <w:r>
              <w:rPr>
                <w:rFonts w:hint="eastAsia"/>
              </w:rPr>
              <w:t>会务服务                                                                                                                                    （15分）</w:t>
            </w:r>
          </w:p>
        </w:tc>
        <w:tc>
          <w:tcPr>
            <w:tcW w:w="3679" w:type="dxa"/>
            <w:noWrap w:val="0"/>
            <w:vAlign w:val="center"/>
          </w:tcPr>
          <w:p>
            <w:pPr>
              <w:pStyle w:val="86"/>
            </w:pPr>
            <w:r>
              <w:rPr>
                <w:rFonts w:hint="eastAsia"/>
              </w:rPr>
              <w:t>1、茶水服务,会议服务准确及时，客户满意率90%以上。</w:t>
            </w:r>
          </w:p>
        </w:tc>
        <w:tc>
          <w:tcPr>
            <w:tcW w:w="2559" w:type="dxa"/>
            <w:noWrap w:val="0"/>
            <w:vAlign w:val="center"/>
          </w:tcPr>
          <w:p>
            <w:pPr>
              <w:pStyle w:val="86"/>
            </w:pPr>
            <w:r>
              <w:rPr>
                <w:rFonts w:hint="eastAsia"/>
              </w:rPr>
              <w:t>会议服务、茶水服务不及时每次扣1分，无服务一次扣2分。</w:t>
            </w:r>
          </w:p>
        </w:tc>
        <w:tc>
          <w:tcPr>
            <w:tcW w:w="884" w:type="dxa"/>
            <w:noWrap w:val="0"/>
            <w:vAlign w:val="center"/>
          </w:tcPr>
          <w:p>
            <w:pPr>
              <w:pStyle w:val="86"/>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2、保证视频会议的正常率100%以上。发现视频设备出现故障未及时上报。</w:t>
            </w:r>
          </w:p>
        </w:tc>
        <w:tc>
          <w:tcPr>
            <w:tcW w:w="2559" w:type="dxa"/>
            <w:noWrap w:val="0"/>
            <w:vAlign w:val="center"/>
          </w:tcPr>
          <w:p>
            <w:pPr>
              <w:pStyle w:val="86"/>
            </w:pPr>
            <w:r>
              <w:rPr>
                <w:rFonts w:hint="eastAsia"/>
              </w:rPr>
              <w:t>因工作失误，导致会议无法正常进行，每次扣1分，发现设备故障，不及时上报，每次扣2分。</w:t>
            </w:r>
          </w:p>
        </w:tc>
        <w:tc>
          <w:tcPr>
            <w:tcW w:w="884" w:type="dxa"/>
            <w:noWrap w:val="0"/>
            <w:vAlign w:val="center"/>
          </w:tcPr>
          <w:p>
            <w:pPr>
              <w:pStyle w:val="86"/>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3、会议室内桌椅物品摆放整齐，卫生整洁。</w:t>
            </w:r>
          </w:p>
        </w:tc>
        <w:tc>
          <w:tcPr>
            <w:tcW w:w="2559" w:type="dxa"/>
            <w:noWrap w:val="0"/>
            <w:vAlign w:val="center"/>
          </w:tcPr>
          <w:p>
            <w:pPr>
              <w:pStyle w:val="86"/>
            </w:pPr>
            <w:r>
              <w:rPr>
                <w:rFonts w:hint="eastAsia"/>
              </w:rPr>
              <w:t>桌椅物品不整齐扣0.5分，卫生无清理扣0.5分，摆放不整齐且无清理一次扣1分。</w:t>
            </w:r>
          </w:p>
        </w:tc>
        <w:tc>
          <w:tcPr>
            <w:tcW w:w="884" w:type="dxa"/>
            <w:noWrap w:val="0"/>
            <w:vAlign w:val="center"/>
          </w:tcPr>
          <w:p>
            <w:pPr>
              <w:pStyle w:val="86"/>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49" w:type="dxa"/>
            <w:vMerge w:val="restart"/>
            <w:noWrap w:val="0"/>
            <w:vAlign w:val="center"/>
          </w:tcPr>
          <w:p>
            <w:pPr>
              <w:pStyle w:val="86"/>
            </w:pPr>
            <w:r>
              <w:rPr>
                <w:rFonts w:hint="eastAsia"/>
              </w:rPr>
              <w:t>五</w:t>
            </w:r>
          </w:p>
        </w:tc>
        <w:tc>
          <w:tcPr>
            <w:tcW w:w="1301" w:type="dxa"/>
            <w:vMerge w:val="restart"/>
            <w:noWrap w:val="0"/>
            <w:vAlign w:val="center"/>
          </w:tcPr>
          <w:p>
            <w:pPr>
              <w:pStyle w:val="86"/>
            </w:pPr>
            <w:r>
              <w:rPr>
                <w:rFonts w:hint="eastAsia"/>
              </w:rPr>
              <w:t>卫生保洁                                                                                                                                   （20分）</w:t>
            </w:r>
          </w:p>
        </w:tc>
        <w:tc>
          <w:tcPr>
            <w:tcW w:w="3679" w:type="dxa"/>
            <w:noWrap w:val="0"/>
            <w:vAlign w:val="center"/>
          </w:tcPr>
          <w:p>
            <w:pPr>
              <w:pStyle w:val="86"/>
            </w:pPr>
            <w:r>
              <w:rPr>
                <w:rFonts w:hint="eastAsia"/>
              </w:rPr>
              <w:t>1.公共环境卫生整洁实行8小时清洁保洁工作，垃圾桶、果皮箱内垃圾每天清倒二次以上，做到垃圾日产日清（包括餐饮垃圾）；车库每天打扫一次，每两天拖洗一次，保持无杂物、垃圾、积水；无擅自占用和堆放杂物现象。</w:t>
            </w:r>
          </w:p>
        </w:tc>
        <w:tc>
          <w:tcPr>
            <w:tcW w:w="2559" w:type="dxa"/>
            <w:noWrap w:val="0"/>
            <w:vAlign w:val="center"/>
          </w:tcPr>
          <w:p>
            <w:pPr>
              <w:pStyle w:val="86"/>
            </w:pPr>
            <w:r>
              <w:rPr>
                <w:rFonts w:hint="eastAsia"/>
              </w:rPr>
              <w:t>主要检查房屋公共部位道路、楼道等保洁是否到位，有无积灰、蜘蛛网、有无占用公共部位乱堆、乱放、乱挂等现象。若发现一项不符扣0.5分直至扣完该项分值</w:t>
            </w:r>
          </w:p>
        </w:tc>
        <w:tc>
          <w:tcPr>
            <w:tcW w:w="884" w:type="dxa"/>
            <w:noWrap w:val="0"/>
            <w:vAlign w:val="center"/>
          </w:tcPr>
          <w:p>
            <w:pPr>
              <w:pStyle w:val="86"/>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2.楼</w:t>
            </w:r>
            <w:r>
              <w:t>层通道</w:t>
            </w:r>
            <w:r>
              <w:rPr>
                <w:rFonts w:hint="eastAsia"/>
              </w:rPr>
              <w:t>玻璃窗、门等无污垢，光亮、有光泽，公共部位盆花无纸屑、烟头等杂物。</w:t>
            </w:r>
          </w:p>
        </w:tc>
        <w:tc>
          <w:tcPr>
            <w:tcW w:w="2559" w:type="dxa"/>
            <w:noWrap w:val="0"/>
            <w:vAlign w:val="center"/>
          </w:tcPr>
          <w:p>
            <w:pPr>
              <w:pStyle w:val="86"/>
            </w:pPr>
            <w:r>
              <w:rPr>
                <w:rFonts w:hint="eastAsia"/>
              </w:rPr>
              <w:t>主要检查保洁是否到位，玻璃门窗无明显污垢，电梯桥箱无明显油渍。若发现一项不符扣0.5分直至扣完该项分值</w:t>
            </w:r>
          </w:p>
        </w:tc>
        <w:tc>
          <w:tcPr>
            <w:tcW w:w="884" w:type="dxa"/>
            <w:noWrap w:val="0"/>
            <w:vAlign w:val="center"/>
          </w:tcPr>
          <w:p>
            <w:pPr>
              <w:pStyle w:val="86"/>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3.卫生间等每天定时滚动保洁、消毒，做到无异味，无大片水污渍；卫生间洗手池干净整洁，镜面无大片水污渍；</w:t>
            </w:r>
          </w:p>
        </w:tc>
        <w:tc>
          <w:tcPr>
            <w:tcW w:w="2559" w:type="dxa"/>
            <w:noWrap w:val="0"/>
            <w:vAlign w:val="center"/>
          </w:tcPr>
          <w:p>
            <w:pPr>
              <w:pStyle w:val="86"/>
            </w:pPr>
            <w:r>
              <w:rPr>
                <w:rFonts w:hint="eastAsia"/>
              </w:rPr>
              <w:t>卫生间每小时滚动保洁、消毒，做到无异味，无大片水污渍；卫生间洗手池干净整洁，镜面无大片水污渍；若发现一项不符扣0.5分直至扣完该项分值</w:t>
            </w:r>
          </w:p>
        </w:tc>
        <w:tc>
          <w:tcPr>
            <w:tcW w:w="884" w:type="dxa"/>
            <w:noWrap w:val="0"/>
            <w:vAlign w:val="center"/>
          </w:tcPr>
          <w:p>
            <w:pPr>
              <w:pStyle w:val="86"/>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49" w:type="dxa"/>
            <w:vMerge w:val="continue"/>
            <w:noWrap w:val="0"/>
            <w:vAlign w:val="center"/>
          </w:tcPr>
          <w:p>
            <w:pPr>
              <w:pStyle w:val="86"/>
            </w:pPr>
          </w:p>
        </w:tc>
        <w:tc>
          <w:tcPr>
            <w:tcW w:w="1301" w:type="dxa"/>
            <w:vMerge w:val="continue"/>
            <w:noWrap w:val="0"/>
            <w:vAlign w:val="center"/>
          </w:tcPr>
          <w:p>
            <w:pPr>
              <w:pStyle w:val="86"/>
            </w:pPr>
          </w:p>
        </w:tc>
        <w:tc>
          <w:tcPr>
            <w:tcW w:w="3679" w:type="dxa"/>
            <w:noWrap w:val="0"/>
            <w:vAlign w:val="center"/>
          </w:tcPr>
          <w:p>
            <w:pPr>
              <w:pStyle w:val="86"/>
            </w:pPr>
            <w:r>
              <w:rPr>
                <w:rFonts w:hint="eastAsia"/>
              </w:rPr>
              <w:t>4.外</w:t>
            </w:r>
            <w:r>
              <w:t>围通道</w:t>
            </w:r>
            <w:r>
              <w:rPr>
                <w:rFonts w:hint="eastAsia"/>
              </w:rPr>
              <w:t>卫生每天巡视、清洁，保持无杂物、垃圾、果皮、纸屑；做</w:t>
            </w:r>
            <w:r>
              <w:t>好</w:t>
            </w:r>
            <w:r>
              <w:rPr>
                <w:rFonts w:hint="eastAsia"/>
              </w:rPr>
              <w:t>化粪池清理联络</w:t>
            </w:r>
            <w:r>
              <w:t>工作</w:t>
            </w:r>
            <w:r>
              <w:rPr>
                <w:rFonts w:hint="eastAsia"/>
              </w:rPr>
              <w:t>，保持污水井随时排污，确保化粪池、污水井不外溢；</w:t>
            </w:r>
          </w:p>
        </w:tc>
        <w:tc>
          <w:tcPr>
            <w:tcW w:w="2559" w:type="dxa"/>
            <w:noWrap w:val="0"/>
            <w:vAlign w:val="center"/>
          </w:tcPr>
          <w:p>
            <w:pPr>
              <w:pStyle w:val="86"/>
            </w:pPr>
            <w:r>
              <w:rPr>
                <w:rFonts w:hint="eastAsia"/>
              </w:rPr>
              <w:t>外</w:t>
            </w:r>
            <w:r>
              <w:t>围</w:t>
            </w:r>
            <w:r>
              <w:rPr>
                <w:rFonts w:hint="eastAsia"/>
              </w:rPr>
              <w:t>卫生每天巡视、清洁打扫，无杂物；污水井随时排污，确保化粪池、污水井不外溢；若发现一项不符扣0.5分直至扣完该项分值</w:t>
            </w:r>
          </w:p>
        </w:tc>
        <w:tc>
          <w:tcPr>
            <w:tcW w:w="884" w:type="dxa"/>
            <w:noWrap w:val="0"/>
            <w:vAlign w:val="center"/>
          </w:tcPr>
          <w:p>
            <w:pPr>
              <w:pStyle w:val="86"/>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9" w:type="dxa"/>
            <w:noWrap w:val="0"/>
            <w:vAlign w:val="center"/>
          </w:tcPr>
          <w:p>
            <w:pPr>
              <w:pStyle w:val="86"/>
            </w:pPr>
            <w:r>
              <w:rPr>
                <w:rFonts w:hint="eastAsia"/>
              </w:rPr>
              <w:t>七</w:t>
            </w:r>
          </w:p>
        </w:tc>
        <w:tc>
          <w:tcPr>
            <w:tcW w:w="1301" w:type="dxa"/>
            <w:noWrap w:val="0"/>
            <w:vAlign w:val="center"/>
          </w:tcPr>
          <w:p>
            <w:pPr>
              <w:pStyle w:val="86"/>
            </w:pPr>
            <w:r>
              <w:rPr>
                <w:rFonts w:hint="eastAsia"/>
              </w:rPr>
              <w:t>其他    （10分）</w:t>
            </w:r>
          </w:p>
        </w:tc>
        <w:tc>
          <w:tcPr>
            <w:tcW w:w="3679" w:type="dxa"/>
            <w:noWrap w:val="0"/>
            <w:vAlign w:val="center"/>
          </w:tcPr>
          <w:p>
            <w:pPr>
              <w:pStyle w:val="86"/>
            </w:pPr>
            <w:r>
              <w:rPr>
                <w:rFonts w:hint="eastAsia"/>
              </w:rPr>
              <w:t>因工作失误导致安全事故及治安案事件。</w:t>
            </w:r>
          </w:p>
        </w:tc>
        <w:tc>
          <w:tcPr>
            <w:tcW w:w="2559" w:type="dxa"/>
            <w:noWrap w:val="0"/>
            <w:vAlign w:val="center"/>
          </w:tcPr>
          <w:p>
            <w:pPr>
              <w:pStyle w:val="86"/>
            </w:pPr>
            <w:r>
              <w:rPr>
                <w:rFonts w:hint="eastAsia"/>
              </w:rPr>
              <w:t>出现一次，扣除2分，</w:t>
            </w:r>
          </w:p>
        </w:tc>
        <w:tc>
          <w:tcPr>
            <w:tcW w:w="884" w:type="dxa"/>
            <w:noWrap w:val="0"/>
            <w:vAlign w:val="center"/>
          </w:tcPr>
          <w:p>
            <w:pPr>
              <w:pStyle w:val="86"/>
            </w:pPr>
            <w:r>
              <w:rPr>
                <w:rFonts w:hint="eastAsia"/>
              </w:rPr>
              <w:t>10</w:t>
            </w: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b/>
          <w:sz w:val="32"/>
        </w:rPr>
      </w:pPr>
      <w:r>
        <w:rPr>
          <w:rFonts w:hint="eastAsia" w:ascii="宋体" w:hAnsi="宋体"/>
          <w:b/>
          <w:sz w:val="32"/>
          <w:szCs w:val="32"/>
          <w:highlight w:val="none"/>
        </w:rPr>
        <w:br w:type="page"/>
      </w:r>
      <w:bookmarkEnd w:id="0"/>
      <w:bookmarkEnd w:id="1"/>
      <w:bookmarkEnd w:id="2"/>
      <w:bookmarkEnd w:id="3"/>
      <w:bookmarkEnd w:id="4"/>
      <w:bookmarkEnd w:id="5"/>
      <w:bookmarkEnd w:id="6"/>
      <w:bookmarkEnd w:id="7"/>
      <w:bookmarkEnd w:id="8"/>
      <w:bookmarkEnd w:id="9"/>
      <w:r>
        <w:rPr>
          <w:b/>
          <w:sz w:val="32"/>
        </w:rPr>
        <w:t>评标</w:t>
      </w:r>
      <w:r>
        <w:rPr>
          <w:rFonts w:hint="eastAsia"/>
          <w:b/>
          <w:sz w:val="32"/>
        </w:rPr>
        <w:t>标准与评标</w:t>
      </w:r>
      <w:r>
        <w:rPr>
          <w:b/>
          <w:sz w:val="32"/>
        </w:rPr>
        <w:t>办法</w:t>
      </w:r>
    </w:p>
    <w:p>
      <w:pPr>
        <w:pStyle w:val="65"/>
        <w:spacing w:line="440" w:lineRule="exact"/>
        <w:rPr>
          <w:rFonts w:hint="eastAsia" w:ascii="宋体" w:hAnsi="宋体"/>
          <w:color w:val="000000"/>
          <w:szCs w:val="24"/>
        </w:rPr>
      </w:pPr>
    </w:p>
    <w:p>
      <w:pPr>
        <w:pStyle w:val="65"/>
        <w:spacing w:line="440" w:lineRule="exact"/>
        <w:rPr>
          <w:rFonts w:hint="eastAsia" w:ascii="宋体" w:hAnsi="宋体" w:eastAsia="宋体" w:cs="Times New Roman"/>
          <w:b/>
          <w:color w:val="000000"/>
          <w:szCs w:val="24"/>
        </w:rPr>
      </w:pPr>
      <w:r>
        <w:rPr>
          <w:rFonts w:hint="eastAsia" w:ascii="宋体" w:hAnsi="宋体" w:eastAsia="宋体" w:cs="Times New Roman"/>
          <w:b/>
          <w:color w:val="000000"/>
          <w:szCs w:val="24"/>
        </w:rPr>
        <w:t>一、评标原则</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ascii="宋体" w:hAnsi="宋体"/>
          <w:color w:val="000000"/>
          <w:sz w:val="24"/>
        </w:rPr>
        <w:t>1、公平、公正地对待所有合格的投标人</w:t>
      </w:r>
      <w:r>
        <w:rPr>
          <w:rFonts w:hint="eastAsia" w:ascii="宋体" w:hAnsi="宋体"/>
          <w:color w:val="000000"/>
          <w:sz w:val="24"/>
        </w:rPr>
        <w:t>。</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ascii="宋体" w:hAnsi="宋体"/>
          <w:color w:val="000000"/>
          <w:sz w:val="24"/>
        </w:rPr>
        <w:t>2、遵守《中华</w:t>
      </w:r>
      <w:r>
        <w:rPr>
          <w:rFonts w:hint="eastAsia" w:ascii="宋体" w:hAnsi="宋体"/>
          <w:color w:val="000000"/>
          <w:sz w:val="24"/>
        </w:rPr>
        <w:t>人民</w:t>
      </w:r>
      <w:r>
        <w:rPr>
          <w:rFonts w:ascii="宋体" w:hAnsi="宋体"/>
          <w:color w:val="000000"/>
          <w:sz w:val="24"/>
        </w:rPr>
        <w:t>共和国政府采购法》</w:t>
      </w:r>
      <w:r>
        <w:rPr>
          <w:rFonts w:hint="eastAsia" w:ascii="宋体" w:hAnsi="宋体"/>
          <w:color w:val="000000"/>
          <w:sz w:val="24"/>
        </w:rPr>
        <w:t>等</w:t>
      </w:r>
      <w:r>
        <w:rPr>
          <w:rFonts w:ascii="宋体" w:hAnsi="宋体"/>
          <w:color w:val="000000"/>
          <w:sz w:val="24"/>
        </w:rPr>
        <w:t>有关</w:t>
      </w:r>
      <w:r>
        <w:rPr>
          <w:rFonts w:hint="eastAsia" w:ascii="宋体" w:hAnsi="宋体"/>
          <w:color w:val="000000"/>
          <w:sz w:val="24"/>
        </w:rPr>
        <w:t>法律法规的</w:t>
      </w:r>
      <w:r>
        <w:rPr>
          <w:rFonts w:ascii="宋体" w:hAnsi="宋体"/>
          <w:color w:val="000000"/>
          <w:sz w:val="24"/>
        </w:rPr>
        <w:t>规定</w:t>
      </w:r>
      <w:r>
        <w:rPr>
          <w:rFonts w:hint="eastAsia" w:ascii="宋体" w:hAnsi="宋体"/>
          <w:color w:val="000000"/>
          <w:sz w:val="24"/>
        </w:rPr>
        <w:t>。</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ascii="宋体" w:hAnsi="宋体"/>
          <w:color w:val="000000"/>
          <w:sz w:val="24"/>
        </w:rPr>
        <w:t>3、评标必须以招标文件中各项规定条件为准</w:t>
      </w:r>
      <w:r>
        <w:rPr>
          <w:rFonts w:hint="eastAsia" w:ascii="宋体" w:hAnsi="宋体"/>
          <w:color w:val="000000"/>
          <w:sz w:val="24"/>
        </w:rPr>
        <w:t>。</w:t>
      </w:r>
    </w:p>
    <w:p>
      <w:pPr>
        <w:pStyle w:val="65"/>
        <w:spacing w:line="440" w:lineRule="exact"/>
        <w:rPr>
          <w:rFonts w:ascii="宋体" w:hAnsi="宋体"/>
          <w:color w:val="000000"/>
          <w:szCs w:val="24"/>
        </w:rPr>
      </w:pPr>
      <w:r>
        <w:rPr>
          <w:rFonts w:hint="eastAsia" w:ascii="宋体" w:hAnsi="宋体"/>
          <w:color w:val="000000"/>
          <w:szCs w:val="24"/>
        </w:rPr>
        <w:t>二、</w:t>
      </w:r>
      <w:r>
        <w:rPr>
          <w:rFonts w:hint="eastAsia" w:ascii="宋体" w:hAnsi="宋体"/>
          <w:b/>
          <w:color w:val="000000"/>
          <w:szCs w:val="24"/>
        </w:rPr>
        <w:t>无效标</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color w:val="000000"/>
          <w:sz w:val="24"/>
        </w:rPr>
      </w:pPr>
      <w:r>
        <w:rPr>
          <w:rFonts w:hint="eastAsia" w:ascii="宋体" w:hAnsi="宋体" w:eastAsia="宋体" w:cs="Times New Roman"/>
          <w:color w:val="000000"/>
          <w:sz w:val="24"/>
        </w:rPr>
        <w:t>资格审查由</w:t>
      </w:r>
      <w:r>
        <w:rPr>
          <w:rFonts w:hint="eastAsia" w:ascii="宋体" w:hAnsi="宋体" w:eastAsia="宋体" w:cs="Times New Roman"/>
          <w:color w:val="000000"/>
          <w:sz w:val="24"/>
          <w:lang w:eastAsia="zh-CN"/>
        </w:rPr>
        <w:t>采购人或招标人</w:t>
      </w:r>
      <w:r>
        <w:rPr>
          <w:rFonts w:hint="eastAsia" w:ascii="宋体" w:hAnsi="宋体" w:eastAsia="宋体" w:cs="Times New Roman"/>
          <w:color w:val="000000"/>
          <w:sz w:val="24"/>
        </w:rPr>
        <w:t>负责，符合性审查及评审由评审委员会负责。凡出现以下情况之一的投标文件将被视为无效标，不进入技术评议及综合打分：</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1、</w:t>
      </w:r>
      <w:r>
        <w:rPr>
          <w:rFonts w:hint="eastAsia" w:ascii="宋体" w:hAnsi="宋体" w:eastAsia="宋体" w:cs="Times New Roman"/>
          <w:color w:val="000000"/>
          <w:sz w:val="24"/>
        </w:rPr>
        <w:t>符合下列条件之一的，资格性审查不合格：</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sz w:val="24"/>
        </w:rPr>
      </w:pPr>
      <w:r>
        <w:rPr>
          <w:rFonts w:hint="eastAsia" w:ascii="宋体" w:hAnsi="宋体"/>
          <w:sz w:val="24"/>
        </w:rPr>
        <w:t>不符合政府采购法第</w:t>
      </w:r>
      <w:r>
        <w:rPr>
          <w:rFonts w:hint="eastAsia" w:ascii="宋体" w:hAnsi="宋体"/>
          <w:sz w:val="24"/>
          <w:lang w:eastAsia="zh-CN"/>
        </w:rPr>
        <w:t>二十二</w:t>
      </w:r>
      <w:r>
        <w:rPr>
          <w:rFonts w:hint="eastAsia" w:ascii="宋体" w:hAnsi="宋体"/>
          <w:sz w:val="24"/>
        </w:rPr>
        <w:t>条第</w:t>
      </w:r>
      <w:r>
        <w:rPr>
          <w:rFonts w:hint="eastAsia" w:ascii="宋体" w:hAnsi="宋体"/>
          <w:sz w:val="24"/>
          <w:lang w:eastAsia="zh-CN"/>
        </w:rPr>
        <w:t>一</w:t>
      </w:r>
      <w:r>
        <w:rPr>
          <w:rFonts w:hint="eastAsia" w:ascii="宋体" w:hAnsi="宋体"/>
          <w:sz w:val="24"/>
        </w:rPr>
        <w:t>款之规定；</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sz w:val="24"/>
        </w:rPr>
      </w:pPr>
      <w:r>
        <w:rPr>
          <w:rFonts w:hint="eastAsia" w:ascii="宋体" w:hAnsi="宋体"/>
          <w:sz w:val="24"/>
          <w:szCs w:val="24"/>
        </w:rPr>
        <w:t>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sz w:val="24"/>
        </w:rPr>
      </w:pPr>
      <w:r>
        <w:rPr>
          <w:rFonts w:hint="eastAsia" w:ascii="宋体" w:hAnsi="宋体"/>
          <w:sz w:val="24"/>
        </w:rPr>
        <w:t>（3）不符合特定资格条件</w:t>
      </w:r>
      <w:r>
        <w:rPr>
          <w:rFonts w:hint="eastAsia" w:ascii="宋体" w:hAnsi="宋体"/>
          <w:sz w:val="24"/>
          <w:lang w:eastAsia="zh-CN"/>
        </w:rPr>
        <w:t>或者落实政府采购政策需满足的资格要求</w:t>
      </w:r>
      <w:r>
        <w:rPr>
          <w:rFonts w:hint="eastAsia" w:ascii="宋体" w:hAnsi="宋体"/>
          <w:sz w:val="24"/>
        </w:rPr>
        <w:t>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sz w:val="24"/>
        </w:rPr>
      </w:pPr>
      <w:r>
        <w:rPr>
          <w:rFonts w:hint="eastAsia" w:ascii="宋体" w:hAnsi="宋体"/>
          <w:sz w:val="24"/>
        </w:rPr>
        <w:t>（4）未按规定缴纳投标保证金（若有）。</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2、</w:t>
      </w:r>
      <w:r>
        <w:rPr>
          <w:rFonts w:hint="eastAsia" w:ascii="宋体" w:hAnsi="宋体" w:eastAsia="宋体" w:cs="Times New Roman"/>
          <w:color w:val="000000"/>
          <w:sz w:val="24"/>
        </w:rPr>
        <w:t>符合下列条件之一的，符合性审查不合格：</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color w:val="FF0000"/>
          <w:sz w:val="24"/>
          <w:szCs w:val="22"/>
        </w:rPr>
      </w:pPr>
      <w:r>
        <w:rPr>
          <w:rFonts w:hint="eastAsia" w:ascii="宋体" w:hAnsi="宋体"/>
          <w:b/>
          <w:color w:val="FF0000"/>
          <w:sz w:val="24"/>
        </w:rPr>
        <w:t>未按要求提供诚信投标承诺书、</w:t>
      </w:r>
      <w:r>
        <w:rPr>
          <w:rFonts w:hint="eastAsia" w:ascii="宋体" w:hAnsi="宋体"/>
          <w:b/>
          <w:color w:val="FF0000"/>
          <w:sz w:val="24"/>
          <w:szCs w:val="22"/>
        </w:rPr>
        <w:t>投标函、开标一览表的；</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sz w:val="24"/>
          <w:szCs w:val="22"/>
        </w:rPr>
      </w:pPr>
      <w:r>
        <w:rPr>
          <w:rFonts w:hint="eastAsia" w:ascii="宋体" w:hAnsi="宋体"/>
          <w:b/>
          <w:sz w:val="24"/>
          <w:szCs w:val="22"/>
        </w:rPr>
        <w:t>应当提供法定代表人授权书而未提供的；</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sz w:val="24"/>
          <w:szCs w:val="22"/>
        </w:rPr>
      </w:pPr>
      <w:r>
        <w:rPr>
          <w:rFonts w:hint="eastAsia" w:ascii="宋体" w:hAnsi="宋体"/>
          <w:b/>
          <w:sz w:val="24"/>
          <w:szCs w:val="22"/>
          <w:lang w:eastAsia="zh-CN"/>
        </w:rPr>
        <w:t>配备人数不满足招标文件要求的</w:t>
      </w:r>
      <w:r>
        <w:rPr>
          <w:rFonts w:hint="eastAsia" w:ascii="宋体" w:hAnsi="宋体"/>
          <w:b/>
          <w:sz w:val="24"/>
          <w:szCs w:val="22"/>
        </w:rPr>
        <w:t>；</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bCs/>
          <w:sz w:val="24"/>
        </w:rPr>
      </w:pPr>
      <w:r>
        <w:rPr>
          <w:rFonts w:hint="eastAsia" w:ascii="宋体" w:hAnsi="宋体"/>
          <w:b/>
          <w:bCs/>
          <w:sz w:val="24"/>
        </w:rPr>
        <w:t>投标有效期少于招标文件要求的；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bCs/>
          <w:sz w:val="24"/>
        </w:rPr>
      </w:pPr>
      <w:r>
        <w:rPr>
          <w:rFonts w:hint="eastAsia" w:ascii="宋体" w:hAnsi="宋体"/>
          <w:b/>
          <w:bCs/>
          <w:sz w:val="24"/>
        </w:rPr>
        <w:t>（5）</w:t>
      </w:r>
      <w:r>
        <w:rPr>
          <w:rFonts w:hint="eastAsia" w:ascii="宋体" w:hAnsi="宋体"/>
          <w:b/>
          <w:bCs/>
          <w:sz w:val="24"/>
          <w:szCs w:val="24"/>
        </w:rPr>
        <w:t>投标人应填写全称，加盖与全称相一致的公章（不得加盖带有“专用章”等字样的印章），</w:t>
      </w:r>
      <w:r>
        <w:rPr>
          <w:rFonts w:hint="eastAsia" w:ascii="宋体" w:hAnsi="宋体"/>
          <w:b/>
          <w:bCs/>
          <w:sz w:val="24"/>
        </w:rPr>
        <w:t>未按规定签署、盖章的，影响投标效力的；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bCs/>
          <w:sz w:val="24"/>
        </w:rPr>
      </w:pPr>
      <w:r>
        <w:rPr>
          <w:rFonts w:hint="eastAsia" w:ascii="宋体" w:hAnsi="宋体"/>
          <w:b/>
          <w:bCs/>
          <w:sz w:val="24"/>
        </w:rPr>
        <w:t>（6）投标文件未按要求编制，内容缺失、不完整，导致无法评审的；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bCs/>
          <w:sz w:val="24"/>
        </w:rPr>
      </w:pPr>
      <w:r>
        <w:rPr>
          <w:rFonts w:hint="eastAsia" w:ascii="宋体" w:hAnsi="宋体"/>
          <w:b/>
          <w:bCs/>
          <w:sz w:val="24"/>
        </w:rPr>
        <w:t>（7）投标价格错误且不同意按招标文件要求进行修正的；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bCs/>
          <w:sz w:val="24"/>
        </w:rPr>
      </w:pPr>
      <w:r>
        <w:rPr>
          <w:rFonts w:hint="eastAsia" w:ascii="宋体" w:hAnsi="宋体" w:eastAsia="宋体" w:cs="Times New Roman"/>
          <w:b/>
          <w:bCs/>
          <w:sz w:val="24"/>
          <w:lang w:eastAsia="zh-CN"/>
        </w:rPr>
        <w:t>（</w:t>
      </w:r>
      <w:r>
        <w:rPr>
          <w:rFonts w:hint="eastAsia" w:ascii="宋体" w:hAnsi="宋体" w:eastAsia="宋体" w:cs="Times New Roman"/>
          <w:b/>
          <w:bCs/>
          <w:sz w:val="24"/>
          <w:lang w:val="en-US" w:eastAsia="zh-CN"/>
        </w:rPr>
        <w:t>8</w:t>
      </w:r>
      <w:r>
        <w:rPr>
          <w:rFonts w:hint="eastAsia" w:ascii="宋体" w:hAnsi="宋体" w:eastAsia="宋体" w:cs="Times New Roman"/>
          <w:b/>
          <w:bCs/>
          <w:sz w:val="24"/>
          <w:lang w:eastAsia="zh-CN"/>
        </w:rPr>
        <w:t>）</w:t>
      </w:r>
      <w:r>
        <w:rPr>
          <w:rFonts w:hint="eastAsia" w:ascii="宋体" w:hAnsi="宋体"/>
          <w:b/>
          <w:bCs/>
          <w:sz w:val="24"/>
        </w:rPr>
        <w:t>出现招标文件规定作无效标处理的其他情形。</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法律、法规和规章规定的其他情形。</w:t>
      </w:r>
    </w:p>
    <w:p>
      <w:pPr>
        <w:pStyle w:val="65"/>
        <w:spacing w:line="440" w:lineRule="exact"/>
        <w:rPr>
          <w:rFonts w:hint="eastAsia" w:ascii="宋体" w:hAnsi="宋体" w:eastAsia="宋体" w:cs="Times New Roman"/>
          <w:b/>
          <w:color w:val="000000"/>
          <w:szCs w:val="24"/>
        </w:rPr>
      </w:pPr>
      <w:r>
        <w:rPr>
          <w:rFonts w:hint="eastAsia" w:ascii="宋体" w:hAnsi="宋体" w:eastAsia="宋体" w:cs="Times New Roman"/>
          <w:b/>
          <w:color w:val="000000"/>
          <w:szCs w:val="24"/>
        </w:rPr>
        <w:t>三、废标</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凡出现以下情况之一的，本项目废标：</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（1）合格投标人不足三家的；</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（2）法律法规规定的其他情形。</w:t>
      </w:r>
    </w:p>
    <w:p>
      <w:pPr>
        <w:pStyle w:val="65"/>
        <w:spacing w:line="440" w:lineRule="exact"/>
        <w:rPr>
          <w:rFonts w:hint="eastAsia" w:ascii="宋体" w:hAnsi="宋体" w:eastAsia="宋体" w:cs="Times New Roman"/>
          <w:b/>
          <w:color w:val="000000"/>
          <w:szCs w:val="24"/>
        </w:rPr>
      </w:pPr>
      <w:r>
        <w:rPr>
          <w:rFonts w:hint="eastAsia" w:ascii="宋体" w:hAnsi="宋体" w:eastAsia="宋体" w:cs="Times New Roman"/>
          <w:b/>
          <w:color w:val="000000"/>
          <w:szCs w:val="24"/>
          <w:lang w:val="en-US" w:eastAsia="zh-CN"/>
        </w:rPr>
        <w:t>四</w:t>
      </w:r>
      <w:r>
        <w:rPr>
          <w:rFonts w:hint="eastAsia" w:ascii="宋体" w:hAnsi="宋体" w:eastAsia="宋体" w:cs="Times New Roman"/>
          <w:b/>
          <w:color w:val="000000"/>
          <w:szCs w:val="24"/>
        </w:rPr>
        <w:t>、评审程序</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1、招标人工作人员按评审委员会名单核对评委身份，组织评委及监管等人员签到。</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2、招标人工作人员宣布评审纪律，征询评委有无回避情形；</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3、评审委员会确定评审组长，负责组织主持评审活动；</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4、招标人工作人员对每个评委评审情况进行复核，有差错的、或</w:t>
      </w:r>
      <w:r>
        <w:rPr>
          <w:rFonts w:hint="eastAsia" w:ascii="宋体" w:hAnsi="宋体" w:eastAsia="宋体" w:cs="Times New Roman"/>
          <w:b/>
          <w:bCs/>
          <w:color w:val="000000"/>
          <w:sz w:val="24"/>
        </w:rPr>
        <w:t>畸高畸低</w:t>
      </w:r>
      <w:r>
        <w:rPr>
          <w:rFonts w:hint="eastAsia" w:ascii="宋体" w:hAnsi="宋体" w:eastAsia="宋体" w:cs="Times New Roman"/>
          <w:color w:val="000000"/>
          <w:sz w:val="24"/>
        </w:rPr>
        <w:t>的，提醒评委进行修正，评委拒绝修正的，提交评委会按少数服从多数原则集体决定，并记入评审记录内。情节严重的，报监管部门处理。</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5、招标人工作人员协助做好价格分和评审情况的计算、汇总工作。</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6、评审委员会形成评标报告，应由全体成员签字确认。有保留意见的可以在评标报告中申明，未申明且拒绝签字的视同默认评标报告并载明此情形。</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7、招标人工作人员宣布会议结束。</w:t>
      </w:r>
    </w:p>
    <w:p>
      <w:pPr>
        <w:pStyle w:val="65"/>
        <w:spacing w:line="440" w:lineRule="exact"/>
        <w:rPr>
          <w:rFonts w:hint="eastAsia" w:ascii="宋体" w:hAnsi="宋体" w:eastAsia="宋体" w:cs="Times New Roman"/>
          <w:b/>
          <w:color w:val="000000"/>
          <w:szCs w:val="24"/>
        </w:rPr>
      </w:pPr>
      <w:r>
        <w:rPr>
          <w:rFonts w:hint="eastAsia" w:ascii="宋体" w:hAnsi="宋体" w:eastAsia="宋体" w:cs="Times New Roman"/>
          <w:b/>
          <w:color w:val="000000"/>
          <w:szCs w:val="24"/>
          <w:lang w:val="en-US" w:eastAsia="zh-CN"/>
        </w:rPr>
        <w:t>五</w:t>
      </w:r>
      <w:r>
        <w:rPr>
          <w:rFonts w:hint="eastAsia" w:ascii="宋体" w:hAnsi="宋体" w:eastAsia="宋体" w:cs="Times New Roman"/>
          <w:b/>
          <w:color w:val="000000"/>
          <w:szCs w:val="24"/>
        </w:rPr>
        <w:t>、评标方法</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以招标文件要求为基础，考虑各项相关因素的影响，将相关因素以定量计算的方法转换成分数表示形式，以评标得分高低确定评标结果顺序。</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本次招标的评标采用综合评分法。</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综合评分法：根据本项目招标文件的要求，按照本办法规定的内容和分值设置，对投标人的投标文件中进行评分，最终得出该投标的总分；按评估分自高向低次序排出评标结果排序。</w:t>
      </w:r>
    </w:p>
    <w:p>
      <w:pPr>
        <w:pStyle w:val="65"/>
        <w:spacing w:line="440" w:lineRule="exact"/>
        <w:rPr>
          <w:rFonts w:hint="eastAsia" w:ascii="宋体" w:hAnsi="宋体" w:eastAsia="宋体" w:cs="Times New Roman"/>
          <w:b/>
          <w:color w:val="000000"/>
          <w:szCs w:val="24"/>
        </w:rPr>
      </w:pPr>
      <w:r>
        <w:rPr>
          <w:rFonts w:hint="eastAsia" w:ascii="宋体" w:hAnsi="宋体" w:eastAsia="宋体" w:cs="Times New Roman"/>
          <w:b/>
          <w:color w:val="000000"/>
          <w:szCs w:val="24"/>
          <w:lang w:val="en-US" w:eastAsia="zh-CN"/>
        </w:rPr>
        <w:t>六</w:t>
      </w:r>
      <w:r>
        <w:rPr>
          <w:rFonts w:hint="eastAsia" w:ascii="宋体" w:hAnsi="宋体" w:eastAsia="宋体" w:cs="Times New Roman"/>
          <w:b/>
          <w:color w:val="000000"/>
          <w:szCs w:val="24"/>
        </w:rPr>
        <w:t>、评标细则</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首先根据招标文件的完整性、有效性及资格等方面进行审查，通过审查的投标文件才能进入综合比较与评议。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color w:val="000000"/>
          <w:sz w:val="24"/>
        </w:rPr>
      </w:pPr>
      <w:r>
        <w:rPr>
          <w:rFonts w:ascii="宋体" w:hAnsi="宋体"/>
          <w:b/>
          <w:bCs/>
          <w:color w:val="000000"/>
          <w:sz w:val="24"/>
        </w:rPr>
        <w:t xml:space="preserve">(一)  </w:t>
      </w:r>
      <w:r>
        <w:rPr>
          <w:rFonts w:hint="eastAsia" w:ascii="宋体" w:hAnsi="宋体"/>
          <w:b/>
          <w:bCs/>
          <w:color w:val="000000"/>
          <w:sz w:val="24"/>
        </w:rPr>
        <w:t>评分标准</w:t>
      </w:r>
    </w:p>
    <w:p>
      <w:pPr>
        <w:pStyle w:val="52"/>
        <w:rPr>
          <w:rFonts w:hint="eastAsia" w:ascii="宋体"/>
          <w:color w:val="000000"/>
          <w:sz w:val="24"/>
        </w:rPr>
      </w:pPr>
      <w:r>
        <w:rPr>
          <w:rFonts w:hint="eastAsia" w:ascii="宋体"/>
          <w:color w:val="000000"/>
          <w:sz w:val="24"/>
        </w:rPr>
        <w:t>评分表</w:t>
      </w:r>
    </w:p>
    <w:tbl>
      <w:tblPr>
        <w:tblStyle w:val="25"/>
        <w:tblpPr w:leftFromText="180" w:rightFromText="180" w:vertAnchor="text" w:horzAnchor="page" w:tblpX="1101" w:tblpY="416"/>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60"/>
        <w:gridCol w:w="709"/>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评审因素</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分值</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评审标准及说明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价格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rPr>
            </w:pPr>
            <w:r>
              <w:rPr>
                <w:rFonts w:hint="eastAsia" w:ascii="宋体" w:hAnsi="宋体"/>
                <w:sz w:val="24"/>
              </w:rPr>
              <w:t>10</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pacing w:line="380" w:lineRule="exact"/>
              <w:rPr>
                <w:rFonts w:ascii="宋体" w:hAnsi="宋体"/>
                <w:sz w:val="24"/>
              </w:rPr>
            </w:pPr>
            <w:r>
              <w:rPr>
                <w:rFonts w:hint="eastAsia" w:ascii="宋体" w:hAnsi="宋体"/>
                <w:sz w:val="24"/>
              </w:rPr>
              <w:t>投标人为小微企业的，投标价格给予10%的价格扣除后参与评审（监狱企业和残疾人福利性单位视同小微企业）。</w:t>
            </w:r>
          </w:p>
          <w:p>
            <w:pPr>
              <w:numPr>
                <w:ilvl w:val="0"/>
                <w:numId w:val="6"/>
              </w:numPr>
              <w:spacing w:line="380" w:lineRule="exact"/>
              <w:rPr>
                <w:rFonts w:ascii="宋体" w:hAnsi="宋体"/>
                <w:sz w:val="24"/>
              </w:rPr>
            </w:pPr>
            <w:r>
              <w:rPr>
                <w:rFonts w:hint="eastAsia" w:ascii="宋体" w:hAnsi="宋体"/>
                <w:sz w:val="24"/>
              </w:rPr>
              <w:t>基准价=所有有效投标中的最低评审价格，基准价得10分。</w:t>
            </w:r>
          </w:p>
          <w:p>
            <w:pPr>
              <w:spacing w:line="380" w:lineRule="exact"/>
              <w:rPr>
                <w:rFonts w:hint="eastAsia" w:ascii="宋体" w:hAnsi="宋体"/>
                <w:sz w:val="24"/>
              </w:rPr>
            </w:pPr>
            <w:r>
              <w:rPr>
                <w:rFonts w:hint="eastAsia" w:ascii="宋体" w:hAnsi="宋体"/>
                <w:sz w:val="24"/>
              </w:rPr>
              <w:t>投标报价得分=基准价/评审价格×10（保留二位小数）。</w:t>
            </w:r>
          </w:p>
          <w:p>
            <w:pPr>
              <w:spacing w:line="380" w:lineRule="exact"/>
            </w:pPr>
            <w:r>
              <w:rPr>
                <w:rFonts w:hint="eastAsia" w:ascii="宋体" w:hAnsi="宋体"/>
                <w:sz w:val="24"/>
              </w:rPr>
              <w:t>3、投标报价得分，最高为10分，最低为0分。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管理体系认证</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lang w:eastAsia="zh-CN"/>
              </w:rPr>
            </w:pPr>
            <w:r>
              <w:rPr>
                <w:rFonts w:hint="eastAsia" w:ascii="宋体" w:hAnsi="宋体" w:eastAsia="宋体"/>
                <w:sz w:val="24"/>
                <w:lang w:val="en-US" w:eastAsia="zh-CN"/>
              </w:rPr>
              <w:t>4</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rPr>
            </w:pPr>
            <w:r>
              <w:rPr>
                <w:rFonts w:hint="eastAsia" w:ascii="宋体" w:hAnsi="宋体"/>
                <w:sz w:val="24"/>
              </w:rPr>
              <w:t>投标人具有有效质量管理体系认证、环境管理体系认证、职业健康管理体系认证、能源管理体系认证证书证书的，</w:t>
            </w:r>
            <w:r>
              <w:rPr>
                <w:rFonts w:hint="eastAsia" w:ascii="宋体" w:hAnsi="宋体"/>
                <w:b/>
                <w:sz w:val="24"/>
              </w:rPr>
              <w:t>提供证书扫描件</w:t>
            </w:r>
            <w:r>
              <w:rPr>
                <w:rFonts w:hint="eastAsia" w:ascii="宋体" w:hAnsi="宋体"/>
                <w:sz w:val="24"/>
              </w:rPr>
              <w:t>，每有一项得1分，最多得</w:t>
            </w:r>
            <w:r>
              <w:rPr>
                <w:rFonts w:hint="eastAsia" w:ascii="宋体" w:hAnsi="宋体"/>
                <w:sz w:val="24"/>
                <w:lang w:val="en-US" w:eastAsia="zh-CN"/>
              </w:rPr>
              <w:t>4</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项目管理业绩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eastAsia="宋体"/>
                <w:sz w:val="24"/>
              </w:rPr>
            </w:pPr>
            <w:r>
              <w:rPr>
                <w:rFonts w:hint="eastAsia" w:ascii="宋体" w:hAnsi="宋体" w:eastAsia="宋体"/>
                <w:sz w:val="24"/>
              </w:rPr>
              <w:t>1</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pPr>
            <w:r>
              <w:rPr>
                <w:rFonts w:hint="eastAsia" w:ascii="宋体" w:hAnsi="宋体" w:cs="宋体"/>
                <w:sz w:val="24"/>
              </w:rPr>
              <w:t>2020年以来，投标人管理过或在管</w:t>
            </w:r>
            <w:r>
              <w:rPr>
                <w:rFonts w:hint="eastAsia" w:ascii="宋体" w:hAnsi="宋体" w:eastAsia="宋体" w:cs="宋体"/>
                <w:sz w:val="24"/>
              </w:rPr>
              <w:t>的党政机关、事业单位大楼物业管理服务项</w:t>
            </w:r>
            <w:r>
              <w:rPr>
                <w:rFonts w:hint="eastAsia" w:ascii="宋体" w:hAnsi="宋体" w:cs="宋体"/>
                <w:sz w:val="24"/>
              </w:rPr>
              <w:t>目业绩，服务内容至少应包括安保、保洁、</w:t>
            </w:r>
            <w:r>
              <w:rPr>
                <w:rFonts w:hint="eastAsia" w:ascii="宋体" w:hAnsi="宋体" w:cs="宋体"/>
                <w:sz w:val="24"/>
                <w:lang w:eastAsia="zh-CN"/>
              </w:rPr>
              <w:t>工程（维修）、会务</w:t>
            </w:r>
            <w:r>
              <w:rPr>
                <w:rFonts w:hint="eastAsia" w:ascii="宋体" w:hAnsi="宋体" w:cs="宋体"/>
                <w:color w:val="auto"/>
                <w:sz w:val="24"/>
              </w:rPr>
              <w:t>服务，每有一个符合要求的得0.5分，最多得1分</w:t>
            </w:r>
            <w:r>
              <w:rPr>
                <w:rFonts w:hint="eastAsia" w:ascii="宋体" w:hAnsi="宋体"/>
                <w:color w:val="auto"/>
                <w:sz w:val="24"/>
                <w:szCs w:val="24"/>
              </w:rPr>
              <w:t>，同一项目只计1次分，不累计</w:t>
            </w:r>
            <w:r>
              <w:rPr>
                <w:rFonts w:hint="eastAsia" w:ascii="宋体" w:hAnsi="宋体" w:cs="宋体"/>
                <w:color w:val="auto"/>
                <w:sz w:val="24"/>
              </w:rPr>
              <w:t>。提供</w:t>
            </w:r>
            <w:r>
              <w:rPr>
                <w:rFonts w:hint="eastAsia" w:ascii="宋体" w:hAnsi="宋体" w:cs="宋体"/>
                <w:b/>
                <w:bCs/>
                <w:sz w:val="24"/>
              </w:rPr>
              <w:t>合同扫描件</w:t>
            </w:r>
            <w:r>
              <w:rPr>
                <w:rFonts w:hint="eastAsia" w:ascii="宋体" w:hAnsi="宋体" w:cs="宋体"/>
                <w:sz w:val="24"/>
              </w:rPr>
              <w:t>，合同内容没有清晰表述服务内容事项的，需另行提供用户证明材料佐证。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cs="宋体"/>
                <w:sz w:val="24"/>
              </w:rPr>
              <w:t>总体设想及策划方案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lang w:eastAsia="zh-CN"/>
              </w:rPr>
            </w:pPr>
            <w:r>
              <w:rPr>
                <w:rFonts w:hint="eastAsia" w:ascii="宋体" w:hAnsi="宋体" w:eastAsia="宋体" w:cs="宋体"/>
                <w:sz w:val="24"/>
                <w:lang w:val="en-US" w:eastAsia="zh-CN"/>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 w:val="24"/>
              </w:rPr>
            </w:pPr>
            <w:r>
              <w:rPr>
                <w:rFonts w:hint="eastAsia" w:ascii="宋体" w:hAnsi="宋体" w:cs="宋体"/>
                <w:sz w:val="24"/>
              </w:rPr>
              <w:t>对本项目整体构想的创新性、充分性和相符程度；物业管理目标明确性，起点高低程度及设置合理性。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管理指标及措施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lang w:eastAsia="zh-CN"/>
              </w:rPr>
            </w:pPr>
            <w:r>
              <w:rPr>
                <w:rFonts w:hint="eastAsia" w:ascii="宋体" w:hAnsi="宋体" w:eastAsia="宋体"/>
                <w:sz w:val="24"/>
                <w:lang w:val="en-US" w:eastAsia="zh-CN"/>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sz w:val="24"/>
              </w:rPr>
            </w:pPr>
            <w:r>
              <w:rPr>
                <w:rFonts w:hint="eastAsia" w:ascii="宋体" w:hAnsi="宋体"/>
                <w:sz w:val="24"/>
              </w:rPr>
              <w:t>管理指标与整体定位是否准确；指标标准是否合理；达成指标的措施是否有效和可行。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r>
              <w:rPr>
                <w:rFonts w:hint="eastAsia" w:ascii="Calibri" w:hAnsi="Calibri"/>
                <w:bCs/>
                <w:snapToGrid w:val="0"/>
                <w:kern w:val="0"/>
                <w:sz w:val="24"/>
              </w:rPr>
              <w:t>管理方式和工作计划</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sz w:val="24"/>
              </w:rPr>
            </w:pPr>
            <w:r>
              <w:rPr>
                <w:rFonts w:hint="eastAsia" w:ascii="宋体" w:hAnsi="宋体"/>
                <w:sz w:val="24"/>
              </w:rPr>
              <w:t>管理方式与管理措施是否相符；工作计划与管理指标是否相符；工作计划的是否可行和合理。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lang w:eastAsia="zh-CN"/>
              </w:rPr>
            </w:pPr>
            <w:r>
              <w:rPr>
                <w:rFonts w:hint="eastAsia" w:ascii="宋体" w:hAnsi="宋体" w:eastAsia="宋体" w:cs="宋体"/>
                <w:sz w:val="24"/>
                <w:lang w:eastAsia="zh-CN"/>
              </w:rPr>
              <w:t>人员配备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380" w:lineRule="exact"/>
              <w:rPr>
                <w:rFonts w:hint="eastAsia" w:ascii="宋体" w:hAnsi="宋体" w:eastAsia="宋体"/>
                <w:sz w:val="24"/>
                <w:highlight w:val="none"/>
              </w:rPr>
            </w:pPr>
            <w:r>
              <w:rPr>
                <w:rFonts w:hint="eastAsia" w:ascii="宋体" w:hAnsi="宋体" w:eastAsia="宋体"/>
                <w:sz w:val="24"/>
                <w:highlight w:val="none"/>
              </w:rPr>
              <w:t>项目经理：（1）具有本科及以上学历得1分，提供证明材料；（2）具有全国物业管理企业经理证的得1分，提供证明材料；（3）具有3年物业管理项目负责人经验得1分，提供证明材料或承诺函，格式自拟。</w:t>
            </w:r>
          </w:p>
          <w:p>
            <w:pPr>
              <w:numPr>
                <w:ilvl w:val="0"/>
                <w:numId w:val="7"/>
              </w:numPr>
              <w:spacing w:line="380" w:lineRule="exact"/>
              <w:rPr>
                <w:rFonts w:hint="eastAsia" w:ascii="宋体" w:hAnsi="宋体" w:eastAsia="宋体"/>
                <w:sz w:val="24"/>
                <w:highlight w:val="none"/>
              </w:rPr>
            </w:pPr>
            <w:r>
              <w:rPr>
                <w:rFonts w:hint="eastAsia" w:ascii="宋体" w:hAnsi="宋体" w:eastAsia="宋体"/>
                <w:sz w:val="24"/>
                <w:highlight w:val="none"/>
              </w:rPr>
              <w:t>工程主管：（1）具有大专及以上学历得1分，提供证明材料；（2）同时具有高压和低压电工证的得1分，具有电气</w:t>
            </w:r>
            <w:r>
              <w:rPr>
                <w:rFonts w:hint="eastAsia" w:ascii="宋体" w:hAnsi="宋体" w:eastAsia="宋体"/>
                <w:sz w:val="24"/>
                <w:highlight w:val="none"/>
                <w:lang w:eastAsia="zh-CN"/>
              </w:rPr>
              <w:t>类相关</w:t>
            </w:r>
            <w:r>
              <w:rPr>
                <w:rFonts w:hint="eastAsia" w:ascii="宋体" w:hAnsi="宋体" w:eastAsia="宋体"/>
                <w:sz w:val="24"/>
                <w:highlight w:val="none"/>
              </w:rPr>
              <w:t>工程师证书得1分，提供证明材料。</w:t>
            </w:r>
          </w:p>
          <w:p>
            <w:pPr>
              <w:numPr>
                <w:ilvl w:val="0"/>
                <w:numId w:val="7"/>
              </w:numPr>
              <w:spacing w:line="380" w:lineRule="exact"/>
              <w:rPr>
                <w:rFonts w:hint="eastAsia" w:ascii="宋体" w:hAnsi="宋体" w:eastAsia="宋体"/>
                <w:sz w:val="24"/>
                <w:highlight w:val="none"/>
              </w:rPr>
            </w:pPr>
            <w:r>
              <w:rPr>
                <w:rFonts w:hint="eastAsia" w:ascii="宋体" w:hAnsi="宋体" w:eastAsia="宋体"/>
                <w:sz w:val="24"/>
                <w:highlight w:val="none"/>
              </w:rPr>
              <w:t>秩序维护主管：（1）具有本科及以上学历得1分，提供证明材料；（2）具有一级保安员</w:t>
            </w:r>
            <w:r>
              <w:rPr>
                <w:rFonts w:hint="eastAsia" w:ascii="宋体" w:hAnsi="宋体" w:eastAsia="宋体"/>
                <w:sz w:val="24"/>
                <w:highlight w:val="none"/>
                <w:lang w:eastAsia="zh-CN"/>
              </w:rPr>
              <w:t>职业资格证书</w:t>
            </w:r>
            <w:r>
              <w:rPr>
                <w:rFonts w:hint="eastAsia" w:ascii="宋体" w:hAnsi="宋体" w:eastAsia="宋体"/>
                <w:sz w:val="24"/>
                <w:highlight w:val="none"/>
              </w:rPr>
              <w:t>的得</w:t>
            </w:r>
            <w:r>
              <w:rPr>
                <w:rFonts w:hint="eastAsia" w:ascii="宋体" w:hAnsi="宋体" w:eastAsia="宋体"/>
                <w:sz w:val="24"/>
                <w:highlight w:val="none"/>
                <w:lang w:val="en-US" w:eastAsia="zh-CN"/>
              </w:rPr>
              <w:t>2</w:t>
            </w:r>
            <w:r>
              <w:rPr>
                <w:rFonts w:hint="eastAsia" w:ascii="宋体" w:hAnsi="宋体" w:eastAsia="宋体"/>
                <w:sz w:val="24"/>
                <w:highlight w:val="none"/>
              </w:rPr>
              <w:t>分，其他不得分，提供证明材料。</w:t>
            </w:r>
          </w:p>
          <w:p>
            <w:pPr>
              <w:numPr>
                <w:ilvl w:val="0"/>
                <w:numId w:val="0"/>
              </w:numPr>
              <w:spacing w:line="380" w:lineRule="exact"/>
              <w:rPr>
                <w:kern w:val="2"/>
                <w:sz w:val="21"/>
                <w:highlight w:val="none"/>
                <w:lang w:val="en-US" w:eastAsia="zh-CN" w:bidi="ar-SA"/>
              </w:rPr>
            </w:pPr>
            <w:r>
              <w:rPr>
                <w:rFonts w:hint="eastAsia" w:ascii="宋体" w:hAnsi="宋体" w:eastAsia="宋体"/>
                <w:sz w:val="24"/>
                <w:highlight w:val="none"/>
              </w:rPr>
              <w:t>以上人员提供</w:t>
            </w:r>
            <w:r>
              <w:rPr>
                <w:rFonts w:hint="eastAsia" w:ascii="宋体" w:hAnsi="宋体" w:eastAsia="宋体"/>
                <w:color w:val="000000"/>
                <w:sz w:val="24"/>
                <w:highlight w:val="none"/>
              </w:rPr>
              <w:t>开标前</w:t>
            </w:r>
            <w:r>
              <w:rPr>
                <w:rFonts w:hint="eastAsia" w:ascii="宋体" w:hAnsi="宋体" w:eastAsia="宋体"/>
                <w:color w:val="000000"/>
                <w:sz w:val="24"/>
                <w:highlight w:val="none"/>
                <w:lang w:eastAsia="zh-CN"/>
              </w:rPr>
              <w:t>近</w:t>
            </w:r>
            <w:r>
              <w:rPr>
                <w:rFonts w:hint="eastAsia" w:ascii="宋体" w:hAnsi="宋体" w:eastAsia="宋体"/>
                <w:color w:val="000000"/>
                <w:sz w:val="24"/>
                <w:highlight w:val="none"/>
              </w:rPr>
              <w:t>三个月</w:t>
            </w:r>
            <w:r>
              <w:rPr>
                <w:rFonts w:hint="eastAsia" w:ascii="宋体" w:hAnsi="宋体" w:eastAsia="宋体"/>
                <w:color w:val="000000"/>
                <w:sz w:val="24"/>
                <w:highlight w:val="none"/>
                <w:lang w:eastAsia="zh-CN"/>
              </w:rPr>
              <w:t>中任意一个月</w:t>
            </w:r>
            <w:r>
              <w:rPr>
                <w:rFonts w:hint="eastAsia" w:ascii="宋体" w:hAnsi="宋体" w:eastAsia="宋体"/>
                <w:color w:val="000000"/>
                <w:sz w:val="24"/>
                <w:highlight w:val="none"/>
              </w:rPr>
              <w:t>投标人为其缴纳的</w:t>
            </w:r>
            <w:r>
              <w:rPr>
                <w:rFonts w:hint="eastAsia" w:ascii="宋体" w:hAnsi="宋体" w:eastAsia="宋体"/>
                <w:sz w:val="24"/>
                <w:highlight w:val="none"/>
              </w:rPr>
              <w:t>社保证明，否则对应评分项不得分。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rPr>
            </w:pPr>
            <w:r>
              <w:rPr>
                <w:rFonts w:hint="eastAsia" w:ascii="宋体" w:hAnsi="宋体"/>
                <w:sz w:val="24"/>
              </w:rPr>
              <w:t>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lang w:val="en-US" w:eastAsia="zh-CN" w:bidi="ar-SA"/>
              </w:rPr>
            </w:pPr>
            <w:r>
              <w:rPr>
                <w:rFonts w:hint="eastAsia" w:ascii="宋体" w:hAnsi="宋体" w:cs="宋体"/>
                <w:sz w:val="24"/>
              </w:rPr>
              <w:t>其他人员配备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lang w:val="en-US" w:eastAsia="zh-CN" w:bidi="ar-SA"/>
              </w:rPr>
            </w:pPr>
            <w:r>
              <w:rPr>
                <w:rFonts w:hint="eastAsia" w:ascii="宋体" w:hAnsi="宋体" w:eastAsia="宋体" w:cs="宋体"/>
                <w:sz w:val="24"/>
                <w:lang w:val="en-US" w:eastAsia="zh-CN"/>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kern w:val="2"/>
                <w:sz w:val="24"/>
                <w:lang w:val="en-US" w:eastAsia="zh-CN" w:bidi="ar-SA"/>
              </w:rPr>
            </w:pPr>
            <w:r>
              <w:rPr>
                <w:rFonts w:hint="eastAsia" w:ascii="宋体" w:hAnsi="宋体" w:eastAsia="宋体"/>
                <w:sz w:val="24"/>
              </w:rPr>
              <w:t>根据其他岗位配备的人员能力、资质、从业经验与项目定位及要求是否相符和合理进行综合评议；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rPr>
            </w:pPr>
            <w:r>
              <w:rPr>
                <w:rFonts w:hint="eastAsia" w:ascii="宋体" w:hAnsi="宋体" w:eastAsia="宋体"/>
                <w:sz w:val="24"/>
              </w:rPr>
              <w:t>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sz w:val="24"/>
              </w:rPr>
              <w:t>人员的培训</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eastAsia="宋体"/>
                <w:kern w:val="2"/>
                <w:sz w:val="21"/>
                <w:lang w:val="en-US" w:eastAsia="zh-CN" w:bidi="ar-SA"/>
              </w:rPr>
            </w:pPr>
            <w:r>
              <w:rPr>
                <w:rFonts w:hint="eastAsia" w:ascii="宋体" w:hAnsi="宋体" w:eastAsia="宋体"/>
                <w:sz w:val="24"/>
              </w:rPr>
              <w:t>根据人员的安全教育、素质教育、培训方案、培训内容是否与项目内容匹配合理、培训机制与运行机制是否科学、培训内容与项目定位和管理目标是否相符、管理方案是否合情合理进行综合评议。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rPr>
            </w:pPr>
            <w:r>
              <w:rPr>
                <w:rFonts w:hint="eastAsia" w:ascii="宋体" w:hAnsi="宋体" w:eastAsia="宋体"/>
                <w:sz w:val="24"/>
              </w:rPr>
              <w:t>10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人员稳定性保障</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kern w:val="2"/>
                <w:sz w:val="24"/>
                <w:lang w:val="en-US" w:eastAsia="zh-CN" w:bidi="ar-SA"/>
              </w:rPr>
            </w:pPr>
            <w:r>
              <w:rPr>
                <w:rFonts w:hint="eastAsia" w:ascii="宋体" w:hAnsi="宋体"/>
                <w:sz w:val="24"/>
              </w:rPr>
              <w:t>3</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kern w:val="2"/>
                <w:sz w:val="24"/>
                <w:lang w:val="en-US" w:eastAsia="zh-CN" w:bidi="ar-SA"/>
              </w:rPr>
            </w:pPr>
            <w:r>
              <w:rPr>
                <w:rFonts w:hint="eastAsia" w:ascii="宋体" w:hAnsi="宋体"/>
                <w:sz w:val="24"/>
              </w:rPr>
              <w:t>针对本项目的员工稳定性保障措施和方案的合理性和可行性综合评议。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eastAsia="宋体"/>
                <w:sz w:val="24"/>
              </w:rPr>
            </w:pPr>
            <w:r>
              <w:rPr>
                <w:rFonts w:hint="eastAsia" w:ascii="宋体" w:hAnsi="宋体"/>
                <w:sz w:val="24"/>
              </w:rPr>
              <w:t>1</w:t>
            </w:r>
            <w:r>
              <w:rPr>
                <w:rFonts w:hint="eastAsia" w:ascii="宋体" w:hAnsi="宋体" w:eastAsia="宋体"/>
                <w:sz w:val="24"/>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安保管理具体措施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kern w:val="2"/>
                <w:sz w:val="24"/>
                <w:lang w:val="en-US" w:eastAsia="zh-CN" w:bidi="ar-SA"/>
              </w:rPr>
            </w:pPr>
            <w:r>
              <w:rPr>
                <w:rFonts w:hint="eastAsia" w:ascii="宋体" w:hAnsi="宋体"/>
                <w:sz w:val="24"/>
              </w:rPr>
              <w:t>8</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kern w:val="2"/>
                <w:sz w:val="24"/>
                <w:lang w:val="en-US" w:eastAsia="zh-CN" w:bidi="ar-SA"/>
              </w:rPr>
            </w:pPr>
            <w:r>
              <w:rPr>
                <w:rFonts w:hint="eastAsia" w:ascii="宋体" w:hAnsi="宋体" w:cs="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eastAsia="宋体"/>
                <w:sz w:val="24"/>
              </w:rPr>
            </w:pPr>
            <w:r>
              <w:rPr>
                <w:rFonts w:hint="eastAsia" w:ascii="宋体" w:hAnsi="宋体"/>
                <w:sz w:val="24"/>
              </w:rPr>
              <w:t>1</w:t>
            </w:r>
            <w:r>
              <w:rPr>
                <w:rFonts w:hint="eastAsia" w:ascii="宋体" w:hAnsi="宋体" w:eastAsia="宋体"/>
                <w:sz w:val="24"/>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保洁服务具体措施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lang w:val="en-US" w:eastAsia="zh-CN"/>
              </w:rPr>
              <w:t>8</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kern w:val="2"/>
                <w:sz w:val="24"/>
                <w:lang w:val="en-US" w:eastAsia="zh-CN" w:bidi="ar-SA"/>
              </w:rPr>
            </w:pPr>
            <w:r>
              <w:rPr>
                <w:rFonts w:hint="eastAsia" w:ascii="宋体" w:hAnsi="宋体" w:cs="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sz w:val="24"/>
              </w:rPr>
              <w:t>1</w:t>
            </w:r>
            <w:r>
              <w:rPr>
                <w:rFonts w:hint="eastAsia" w:ascii="宋体" w:hAnsi="宋体" w:eastAsia="宋体"/>
                <w:sz w:val="24"/>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设备、设施日常维修</w:t>
            </w:r>
            <w:r>
              <w:rPr>
                <w:rFonts w:hint="eastAsia" w:ascii="宋体" w:hAnsi="宋体" w:eastAsia="宋体"/>
                <w:sz w:val="24"/>
                <w:lang w:eastAsia="zh-CN"/>
              </w:rPr>
              <w:t>服务</w:t>
            </w:r>
            <w:r>
              <w:rPr>
                <w:rFonts w:hint="eastAsia" w:ascii="宋体" w:hAnsi="宋体" w:eastAsia="宋体"/>
                <w:sz w:val="24"/>
              </w:rPr>
              <w:t>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kern w:val="2"/>
                <w:sz w:val="24"/>
                <w:lang w:val="en-US" w:eastAsia="zh-CN" w:bidi="ar-SA"/>
              </w:rPr>
            </w:pPr>
            <w:r>
              <w:rPr>
                <w:rFonts w:hint="eastAsia" w:ascii="宋体" w:hAnsi="宋体" w:cs="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eastAsia="宋体"/>
                <w:kern w:val="2"/>
                <w:sz w:val="24"/>
                <w:lang w:val="en-US" w:eastAsia="zh-CN" w:bidi="ar-SA"/>
              </w:rPr>
            </w:pPr>
            <w:r>
              <w:rPr>
                <w:rFonts w:hint="eastAsia" w:ascii="宋体" w:hAnsi="宋体"/>
                <w:sz w:val="24"/>
              </w:rPr>
              <w:t>1</w:t>
            </w:r>
            <w:r>
              <w:rPr>
                <w:rFonts w:hint="eastAsia" w:ascii="宋体" w:hAnsi="宋体" w:eastAsia="宋体"/>
                <w:sz w:val="24"/>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sz w:val="24"/>
                <w:lang w:eastAsia="zh-CN"/>
              </w:rPr>
              <w:t>绿化、绿植租摆</w:t>
            </w:r>
            <w:r>
              <w:rPr>
                <w:rFonts w:hint="eastAsia" w:ascii="宋体" w:hAnsi="宋体" w:eastAsia="宋体"/>
                <w:sz w:val="24"/>
              </w:rPr>
              <w:t>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3</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eastAsia="宋体"/>
                <w:kern w:val="2"/>
                <w:sz w:val="24"/>
                <w:lang w:val="en-US" w:eastAsia="zh-CN" w:bidi="ar-SA"/>
              </w:rPr>
            </w:pPr>
            <w:r>
              <w:rPr>
                <w:rFonts w:hint="eastAsia" w:ascii="宋体" w:hAnsi="宋体"/>
                <w:sz w:val="24"/>
              </w:rPr>
              <w:t>1</w:t>
            </w:r>
            <w:r>
              <w:rPr>
                <w:rFonts w:hint="eastAsia" w:ascii="宋体" w:hAnsi="宋体" w:eastAsia="宋体"/>
                <w:sz w:val="24"/>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会务及其他服务</w:t>
            </w:r>
            <w:r>
              <w:rPr>
                <w:rFonts w:hint="eastAsia" w:ascii="宋体" w:hAnsi="宋体" w:eastAsia="宋体"/>
                <w:sz w:val="24"/>
              </w:rPr>
              <w:t>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6</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cs="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sz w:val="24"/>
              </w:rPr>
              <w:t>1</w:t>
            </w:r>
            <w:r>
              <w:rPr>
                <w:rFonts w:hint="eastAsia" w:ascii="宋体" w:hAnsi="宋体" w:eastAsia="宋体"/>
                <w:sz w:val="24"/>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sz w:val="24"/>
              </w:rPr>
              <w:t>拟投入本项目的物资装备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3</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sz w:val="24"/>
              </w:rPr>
              <w:t>投入和物资装备是否符合项目的管理需要，是否合理及专业化程度（提供清单）。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sz w:val="24"/>
              </w:rPr>
              <w:t>1</w:t>
            </w:r>
            <w:r>
              <w:rPr>
                <w:rFonts w:hint="eastAsia" w:ascii="宋体" w:hAnsi="宋体" w:eastAsia="宋体"/>
                <w:sz w:val="24"/>
              </w:rPr>
              <w:t>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制度和档案的建立与管理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kern w:val="2"/>
                <w:sz w:val="24"/>
                <w:lang w:val="en-US" w:eastAsia="zh-CN" w:bidi="ar-SA"/>
              </w:rPr>
            </w:pPr>
            <w:r>
              <w:rPr>
                <w:rFonts w:hint="eastAsia" w:ascii="宋体" w:hAnsi="宋体"/>
                <w:sz w:val="24"/>
              </w:rPr>
              <w:t>2</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sz w:val="24"/>
              </w:rPr>
              <w:t>根据投标人针对本项目的各项管理制度是否齐全、合理、规范；档案管理方案是否科学、完善进行评议。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olor w:val="FF0000"/>
                <w:kern w:val="2"/>
                <w:sz w:val="24"/>
                <w:lang w:val="en-US" w:eastAsia="zh-CN" w:bidi="ar-SA"/>
              </w:rPr>
            </w:pPr>
            <w:r>
              <w:rPr>
                <w:rFonts w:hint="eastAsia" w:ascii="宋体" w:hAnsi="宋体"/>
                <w:sz w:val="24"/>
              </w:rPr>
              <w:t>1</w:t>
            </w:r>
            <w:r>
              <w:rPr>
                <w:rFonts w:hint="eastAsia" w:ascii="宋体" w:hAnsi="宋体" w:eastAsia="宋体"/>
                <w:sz w:val="24"/>
              </w:rPr>
              <w:t>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突发事件保障方案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kern w:val="2"/>
                <w:sz w:val="24"/>
                <w:lang w:val="en-US" w:eastAsia="zh-CN" w:bidi="ar-SA"/>
              </w:rPr>
            </w:pPr>
            <w:r>
              <w:rPr>
                <w:rFonts w:hint="eastAsia" w:ascii="宋体" w:hAnsi="宋体"/>
                <w:sz w:val="24"/>
              </w:rPr>
              <w:t>针对突发事件</w:t>
            </w:r>
            <w:r>
              <w:rPr>
                <w:rFonts w:hint="eastAsia" w:ascii="宋体" w:hAnsi="宋体"/>
                <w:sz w:val="24"/>
                <w:lang w:eastAsia="zh-CN"/>
              </w:rPr>
              <w:t>（</w:t>
            </w:r>
            <w:r>
              <w:rPr>
                <w:rFonts w:hint="eastAsia" w:ascii="宋体" w:hAnsi="宋体"/>
                <w:sz w:val="24"/>
              </w:rPr>
              <w:t>防火、防盗、防破坏、防自然灾害事故、群体性事件等</w:t>
            </w:r>
            <w:r>
              <w:rPr>
                <w:rFonts w:hint="eastAsia" w:ascii="宋体" w:hAnsi="宋体"/>
                <w:sz w:val="24"/>
                <w:lang w:eastAsia="zh-CN"/>
              </w:rPr>
              <w:t>）</w:t>
            </w:r>
            <w:r>
              <w:rPr>
                <w:rFonts w:hint="eastAsia" w:ascii="宋体" w:hAnsi="宋体"/>
                <w:sz w:val="24"/>
              </w:rPr>
              <w:t>所制定的预案和措施是否完善、周密、可行，是否具有针对性、可操作性进行评议。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olor w:val="FF0000"/>
                <w:kern w:val="2"/>
                <w:sz w:val="24"/>
                <w:lang w:val="en-US" w:eastAsia="zh-CN" w:bidi="ar-SA"/>
              </w:rPr>
            </w:pPr>
            <w:r>
              <w:rPr>
                <w:rFonts w:hint="eastAsia" w:ascii="宋体" w:hAnsi="宋体"/>
                <w:sz w:val="24"/>
              </w:rPr>
              <w:t>1</w:t>
            </w:r>
            <w:r>
              <w:rPr>
                <w:rFonts w:hint="eastAsia" w:ascii="宋体" w:hAnsi="宋体" w:eastAsia="宋体"/>
                <w:sz w:val="24"/>
              </w:rPr>
              <w:t>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特殊时期应急保障方案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kern w:val="2"/>
                <w:sz w:val="24"/>
                <w:lang w:val="en-US" w:eastAsia="zh-CN" w:bidi="ar-SA"/>
              </w:rPr>
            </w:pPr>
            <w:r>
              <w:rPr>
                <w:rFonts w:hint="eastAsia" w:ascii="宋体" w:hAnsi="宋体"/>
                <w:sz w:val="24"/>
              </w:rPr>
              <w:t>根据各类特殊时期（大型活动、节庆假日、防台防汛等）保障方案的合理性、可行性，应急的速度及可临时投入的人力、物力进行评议。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20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项目管理服务的重点、难点分析</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lang w:val="en-US" w:eastAsia="zh-CN"/>
              </w:rPr>
              <w:t>3</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kern w:val="2"/>
                <w:sz w:val="24"/>
                <w:lang w:val="en-US" w:eastAsia="zh-CN" w:bidi="ar-SA"/>
              </w:rPr>
            </w:pPr>
            <w:r>
              <w:rPr>
                <w:rFonts w:hint="eastAsia" w:ascii="宋体" w:hAnsi="宋体"/>
                <w:sz w:val="24"/>
              </w:rPr>
              <w:t>根据投标人针对本项目重难点分析情况及提出的解决措施综合评议。</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（二）评分办法</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sz w:val="24"/>
        </w:rPr>
      </w:pPr>
      <w:r>
        <w:rPr>
          <w:rFonts w:hint="eastAsia" w:ascii="宋体" w:hAnsi="宋体"/>
          <w:sz w:val="24"/>
        </w:rPr>
        <w:t>由评委对各投标人的投标文件进行审阅，然后根据需要对投标人进行询标和评议，并按以上指标（除价格部分外）进行记名打分。</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sz w:val="24"/>
        </w:rPr>
      </w:pPr>
      <w:r>
        <w:rPr>
          <w:rFonts w:hint="eastAsia"/>
          <w:sz w:val="24"/>
        </w:rPr>
        <w:t>统计、汇总所有评委对每一份投标文件的评分，然后用算术平均法求出每一份投标文件非价格部分的平均得分。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ascii="宋体" w:hAnsi="宋体"/>
          <w:b/>
          <w:sz w:val="24"/>
        </w:rPr>
      </w:pPr>
      <w:r>
        <w:rPr>
          <w:rFonts w:hint="eastAsia" w:ascii="宋体" w:hAnsi="宋体"/>
          <w:b/>
          <w:sz w:val="24"/>
          <w:lang w:val="en-US" w:eastAsia="zh-CN"/>
        </w:rPr>
        <w:t>1、</w:t>
      </w:r>
      <w:r>
        <w:rPr>
          <w:rFonts w:hint="eastAsia" w:ascii="宋体" w:hAnsi="宋体"/>
          <w:b/>
          <w:sz w:val="24"/>
        </w:rPr>
        <w:t>价格</w:t>
      </w:r>
      <w:r>
        <w:rPr>
          <w:rFonts w:ascii="宋体" w:hAnsi="宋体"/>
          <w:b/>
          <w:sz w:val="24"/>
        </w:rPr>
        <w:t>部分</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sz w:val="24"/>
        </w:rPr>
      </w:pPr>
      <w:r>
        <w:rPr>
          <w:rFonts w:hint="eastAsia" w:ascii="宋体" w:hAnsi="宋体"/>
          <w:sz w:val="24"/>
        </w:rPr>
        <w:t>先由评委会对各投标人的分项报价进行分析。审查投标报价是否符合招标文件的基本要求，有无明显漏项、漏量等情况，在取得基本一致的意见后进行判别计算。对出现漏项、漏量情况的标书由评委会</w:t>
      </w:r>
      <w:r>
        <w:rPr>
          <w:rFonts w:hint="eastAsia" w:ascii="宋体" w:hAnsi="宋体"/>
          <w:sz w:val="24"/>
          <w:lang w:eastAsia="zh-CN"/>
        </w:rPr>
        <w:t>根据招标文件约定</w:t>
      </w:r>
      <w:r>
        <w:rPr>
          <w:rFonts w:hint="eastAsia" w:ascii="宋体" w:hAnsi="宋体"/>
          <w:sz w:val="24"/>
        </w:rPr>
        <w:t>进行调整，得出评</w:t>
      </w:r>
      <w:r>
        <w:rPr>
          <w:rFonts w:hint="eastAsia" w:ascii="宋体" w:hAnsi="宋体"/>
          <w:sz w:val="24"/>
          <w:lang w:eastAsia="zh-CN"/>
        </w:rPr>
        <w:t>审</w:t>
      </w:r>
      <w:r>
        <w:rPr>
          <w:rFonts w:hint="eastAsia" w:ascii="宋体" w:hAnsi="宋体"/>
          <w:sz w:val="24"/>
        </w:rPr>
        <w:t>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ascii="宋体" w:hAnsi="宋体"/>
          <w:b/>
          <w:sz w:val="24"/>
        </w:rPr>
      </w:pPr>
      <w:r>
        <w:rPr>
          <w:rFonts w:hint="eastAsia" w:ascii="宋体" w:hAnsi="宋体"/>
          <w:b/>
          <w:sz w:val="24"/>
          <w:lang w:val="en-US" w:eastAsia="zh-CN"/>
        </w:rPr>
        <w:t>2、</w:t>
      </w:r>
      <w:r>
        <w:rPr>
          <w:rFonts w:hint="eastAsia" w:ascii="宋体" w:hAnsi="宋体"/>
          <w:b/>
          <w:sz w:val="24"/>
        </w:rPr>
        <w:t>其他</w:t>
      </w:r>
      <w:r>
        <w:rPr>
          <w:rFonts w:ascii="宋体" w:hAnsi="宋体"/>
          <w:b/>
          <w:sz w:val="24"/>
        </w:rPr>
        <w:t>部分</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sz w:val="24"/>
        </w:rPr>
      </w:pPr>
      <w:r>
        <w:rPr>
          <w:rFonts w:hint="eastAsia" w:ascii="宋体" w:hAnsi="宋体"/>
          <w:sz w:val="24"/>
        </w:rPr>
        <w:t>除明确给出评判标准的项目外，由评委根据投标人情况综合</w:t>
      </w:r>
      <w:r>
        <w:rPr>
          <w:rFonts w:hint="eastAsia"/>
          <w:color w:val="000000"/>
          <w:sz w:val="24"/>
        </w:rPr>
        <w:t>评定，</w:t>
      </w:r>
      <w:r>
        <w:rPr>
          <w:rFonts w:ascii="宋体" w:hAnsi="宋体"/>
          <w:sz w:val="24"/>
        </w:rPr>
        <w:t>各项指标的最小打分单位为0.1分。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ascii="宋体" w:hAnsi="宋体"/>
          <w:b/>
          <w:sz w:val="24"/>
        </w:rPr>
      </w:pPr>
      <w:r>
        <w:rPr>
          <w:rFonts w:hint="eastAsia" w:ascii="宋体" w:hAnsi="宋体"/>
          <w:b/>
          <w:sz w:val="24"/>
          <w:lang w:val="en-US" w:eastAsia="zh-CN"/>
        </w:rPr>
        <w:t>3、</w:t>
      </w:r>
      <w:r>
        <w:rPr>
          <w:rFonts w:ascii="宋体" w:hAnsi="宋体"/>
          <w:b/>
          <w:sz w:val="24"/>
        </w:rPr>
        <w:t>最终得分与中标人的确定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各投标人最终分按以下方法进行计算：最终得分＝价格得分+其他得分；</w:t>
      </w:r>
    </w:p>
    <w:p>
      <w:pPr>
        <w:spacing w:line="440" w:lineRule="exact"/>
        <w:ind w:firstLine="480" w:firstLineChars="200"/>
        <w:jc w:val="left"/>
        <w:rPr>
          <w:rFonts w:hint="eastAsia" w:ascii="宋体" w:hAnsi="宋体"/>
          <w:sz w:val="24"/>
        </w:rPr>
      </w:pPr>
      <w:r>
        <w:rPr>
          <w:rFonts w:hint="eastAsia" w:ascii="宋体" w:hAnsi="宋体"/>
          <w:sz w:val="24"/>
          <w:lang w:val="en-US" w:eastAsia="zh-CN"/>
        </w:rPr>
        <w:t>2)</w:t>
      </w:r>
      <w:r>
        <w:rPr>
          <w:rFonts w:hint="eastAsia" w:ascii="宋体" w:hAnsi="宋体"/>
          <w:sz w:val="24"/>
        </w:rPr>
        <w:t>各投标人的最终得分若出现并列分，则由报价低的排列在前，价格和其他得分均相同的则由</w:t>
      </w:r>
      <w:r>
        <w:rPr>
          <w:rFonts w:hint="eastAsia" w:ascii="宋体" w:hAnsi="宋体" w:cs="宋体"/>
          <w:sz w:val="24"/>
          <w:szCs w:val="24"/>
        </w:rPr>
        <w:t>随机抽取的方式确定</w:t>
      </w:r>
      <w:r>
        <w:rPr>
          <w:rFonts w:hint="eastAsia" w:ascii="宋体" w:hAnsi="宋体"/>
          <w:sz w:val="24"/>
        </w:rPr>
        <w:t>。</w:t>
      </w:r>
    </w:p>
    <w:p>
      <w:pPr>
        <w:pStyle w:val="66"/>
        <w:spacing w:line="440" w:lineRule="exact"/>
        <w:ind w:firstLine="480"/>
        <w:rPr>
          <w:rFonts w:hint="eastAsia" w:eastAsia="黑体"/>
          <w:sz w:val="32"/>
        </w:rPr>
      </w:pPr>
      <w:r>
        <w:rPr>
          <w:rFonts w:hint="eastAsia"/>
        </w:rPr>
        <w:t>评审委员会在审标、询标的基础上根据事先制定的评标办法对各投标人的投标文件进行评定，评出综合得分排名第一</w:t>
      </w:r>
      <w:r>
        <w:rPr>
          <w:rFonts w:hint="eastAsia"/>
          <w:lang w:eastAsia="zh-CN"/>
        </w:rPr>
        <w:t>的</w:t>
      </w:r>
      <w:r>
        <w:rPr>
          <w:rFonts w:hint="eastAsia"/>
        </w:rPr>
        <w:t>投标人为推荐中标人。采购人根据评委会的评审报告确定中标人。确定中标人后由招标人向中标人发出中标通知书。</w:t>
      </w:r>
    </w:p>
    <w:p>
      <w:pPr>
        <w:tabs>
          <w:tab w:val="left" w:pos="105"/>
          <w:tab w:val="left" w:pos="735"/>
          <w:tab w:val="left" w:pos="945"/>
          <w:tab w:val="left" w:pos="3360"/>
        </w:tabs>
        <w:spacing w:line="500" w:lineRule="exact"/>
        <w:jc w:val="center"/>
        <w:rPr>
          <w:rFonts w:hint="eastAsia"/>
          <w:b/>
          <w:sz w:val="28"/>
          <w:szCs w:val="28"/>
        </w:rPr>
      </w:pPr>
      <w:r>
        <w:rPr>
          <w:rFonts w:hint="eastAsia"/>
          <w:b/>
          <w:sz w:val="28"/>
          <w:szCs w:val="28"/>
        </w:rPr>
        <w:br w:type="page"/>
      </w:r>
      <w:r>
        <w:rPr>
          <w:rFonts w:hint="eastAsia" w:ascii="宋体" w:hAnsi="宋体" w:eastAsia="宋体" w:cs="Times New Roman"/>
          <w:b/>
          <w:sz w:val="36"/>
        </w:rPr>
        <w:t>第三部分  投标人须知资料表</w:t>
      </w:r>
    </w:p>
    <w:p>
      <w:pPr>
        <w:tabs>
          <w:tab w:val="left" w:pos="105"/>
          <w:tab w:val="left" w:pos="735"/>
          <w:tab w:val="left" w:pos="945"/>
          <w:tab w:val="left" w:pos="3360"/>
        </w:tabs>
        <w:spacing w:line="500" w:lineRule="exact"/>
        <w:jc w:val="center"/>
        <w:rPr>
          <w:rFonts w:hint="eastAsia"/>
          <w:b/>
          <w:sz w:val="28"/>
          <w:szCs w:val="28"/>
        </w:rPr>
      </w:pP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1701"/>
        <w:gridCol w:w="691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88" w:hRule="atLeast"/>
        </w:trPr>
        <w:tc>
          <w:tcPr>
            <w:tcW w:w="363" w:type="pct"/>
            <w:noWrap w:val="0"/>
            <w:vAlign w:val="center"/>
          </w:tcPr>
          <w:p>
            <w:pPr>
              <w:tabs>
                <w:tab w:val="left" w:pos="105"/>
                <w:tab w:val="left" w:pos="735"/>
                <w:tab w:val="left" w:pos="945"/>
                <w:tab w:val="left" w:pos="3360"/>
              </w:tabs>
              <w:jc w:val="center"/>
              <w:rPr>
                <w:rFonts w:hint="eastAsia" w:ascii="宋体" w:hAnsi="宋体"/>
                <w:b/>
                <w:szCs w:val="21"/>
              </w:rPr>
            </w:pPr>
            <w:r>
              <w:rPr>
                <w:rFonts w:hint="eastAsia" w:ascii="宋体" w:hAnsi="宋体"/>
                <w:b/>
                <w:szCs w:val="21"/>
              </w:rPr>
              <w:t>序号</w:t>
            </w:r>
          </w:p>
        </w:tc>
        <w:tc>
          <w:tcPr>
            <w:tcW w:w="916" w:type="pct"/>
            <w:noWrap w:val="0"/>
            <w:vAlign w:val="center"/>
          </w:tcPr>
          <w:p>
            <w:pPr>
              <w:tabs>
                <w:tab w:val="left" w:pos="105"/>
                <w:tab w:val="left" w:pos="735"/>
                <w:tab w:val="left" w:pos="945"/>
                <w:tab w:val="left" w:pos="3360"/>
              </w:tabs>
              <w:jc w:val="center"/>
              <w:rPr>
                <w:rFonts w:hint="eastAsia" w:ascii="宋体" w:hAnsi="宋体"/>
                <w:b/>
                <w:szCs w:val="21"/>
              </w:rPr>
            </w:pPr>
            <w:r>
              <w:rPr>
                <w:rFonts w:hint="eastAsia" w:ascii="宋体" w:hAnsi="宋体"/>
                <w:b/>
                <w:szCs w:val="21"/>
              </w:rPr>
              <w:t>内  容</w:t>
            </w:r>
          </w:p>
        </w:tc>
        <w:tc>
          <w:tcPr>
            <w:tcW w:w="3721" w:type="pct"/>
            <w:noWrap w:val="0"/>
            <w:vAlign w:val="center"/>
          </w:tcPr>
          <w:p>
            <w:pPr>
              <w:tabs>
                <w:tab w:val="left" w:pos="105"/>
                <w:tab w:val="left" w:pos="735"/>
                <w:tab w:val="left" w:pos="945"/>
                <w:tab w:val="left" w:pos="3360"/>
              </w:tabs>
              <w:jc w:val="center"/>
              <w:rPr>
                <w:rFonts w:hint="eastAsia"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1409"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1</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招标人情况</w:t>
            </w:r>
          </w:p>
        </w:tc>
        <w:tc>
          <w:tcPr>
            <w:tcW w:w="3721" w:type="pct"/>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rPr>
              <w:t>招标人名称：宁波市政府采购中心</w:t>
            </w:r>
          </w:p>
          <w:p>
            <w:pPr>
              <w:tabs>
                <w:tab w:val="left" w:pos="105"/>
                <w:tab w:val="left" w:pos="735"/>
                <w:tab w:val="left" w:pos="945"/>
                <w:tab w:val="left" w:pos="3360"/>
              </w:tabs>
              <w:rPr>
                <w:rFonts w:ascii="宋体" w:hAnsi="宋体"/>
                <w:szCs w:val="21"/>
              </w:rPr>
            </w:pPr>
            <w:r>
              <w:rPr>
                <w:rFonts w:hint="eastAsia" w:ascii="宋体" w:hAnsi="宋体"/>
                <w:szCs w:val="21"/>
              </w:rPr>
              <w:t>开户行：中国建设银行宁波东城支行</w:t>
            </w:r>
          </w:p>
          <w:p>
            <w:pPr>
              <w:tabs>
                <w:tab w:val="left" w:pos="105"/>
                <w:tab w:val="left" w:pos="735"/>
                <w:tab w:val="left" w:pos="945"/>
                <w:tab w:val="left" w:pos="3360"/>
              </w:tabs>
              <w:rPr>
                <w:rFonts w:ascii="宋体" w:hAnsi="宋体"/>
                <w:szCs w:val="21"/>
              </w:rPr>
            </w:pPr>
            <w:r>
              <w:rPr>
                <w:rFonts w:hint="eastAsia" w:ascii="宋体" w:hAnsi="宋体"/>
                <w:szCs w:val="21"/>
              </w:rPr>
              <w:t>银行帐号：33150198367100000022</w:t>
            </w:r>
          </w:p>
          <w:p>
            <w:pPr>
              <w:tabs>
                <w:tab w:val="left" w:pos="105"/>
                <w:tab w:val="left" w:pos="735"/>
                <w:tab w:val="left" w:pos="945"/>
                <w:tab w:val="left" w:pos="3360"/>
              </w:tabs>
              <w:rPr>
                <w:rFonts w:ascii="宋体" w:hAnsi="宋体" w:eastAsia="宋体"/>
                <w:szCs w:val="21"/>
              </w:rPr>
            </w:pPr>
            <w:r>
              <w:rPr>
                <w:rFonts w:hint="eastAsia" w:ascii="宋体" w:hAnsi="宋体"/>
                <w:szCs w:val="21"/>
              </w:rPr>
              <w:t>质疑接收：</w:t>
            </w:r>
            <w:r>
              <w:rPr>
                <w:rFonts w:hint="eastAsia" w:ascii="宋体" w:hAnsi="宋体"/>
                <w:szCs w:val="21"/>
                <w:lang w:eastAsia="zh-CN"/>
              </w:rPr>
              <w:t>陈</w:t>
            </w:r>
            <w:r>
              <w:rPr>
                <w:rFonts w:hint="eastAsia" w:ascii="宋体" w:hAnsi="宋体"/>
                <w:szCs w:val="21"/>
              </w:rPr>
              <w:t>先生 TEL：0574-8718795</w:t>
            </w:r>
            <w:r>
              <w:rPr>
                <w:rFonts w:hint="eastAsia" w:ascii="宋体" w:hAnsi="宋体"/>
                <w:szCs w:val="21"/>
                <w:lang w:val="en-US" w:eastAsia="zh-CN"/>
              </w:rPr>
              <w:t>9</w:t>
            </w:r>
            <w:r>
              <w:rPr>
                <w:rFonts w:hint="eastAsia" w:ascii="宋体" w:hAnsi="宋体"/>
                <w:szCs w:val="21"/>
              </w:rPr>
              <w:t xml:space="preserve"> FAX：87187961</w:t>
            </w:r>
          </w:p>
          <w:p>
            <w:pPr>
              <w:tabs>
                <w:tab w:val="left" w:pos="105"/>
                <w:tab w:val="left" w:pos="735"/>
                <w:tab w:val="left" w:pos="945"/>
                <w:tab w:val="left" w:pos="3360"/>
              </w:tabs>
              <w:rPr>
                <w:rFonts w:hint="eastAsia" w:ascii="宋体" w:hAnsi="宋体"/>
                <w:szCs w:val="21"/>
              </w:rPr>
            </w:pPr>
            <w:r>
              <w:rPr>
                <w:rFonts w:hint="eastAsia" w:ascii="宋体" w:hAnsi="宋体"/>
                <w:szCs w:val="21"/>
              </w:rPr>
              <w:t>地址：宁波市鄞州区宁穿路1901号市</w:t>
            </w:r>
            <w:r>
              <w:rPr>
                <w:rFonts w:hint="eastAsia" w:ascii="宋体" w:hAnsi="宋体"/>
                <w:szCs w:val="21"/>
                <w:lang w:eastAsia="zh-CN"/>
              </w:rPr>
              <w:t>政务</w:t>
            </w:r>
            <w:r>
              <w:rPr>
                <w:rFonts w:hint="eastAsia" w:ascii="宋体" w:hAnsi="宋体"/>
                <w:szCs w:val="21"/>
              </w:rPr>
              <w:t>服务中心</w:t>
            </w:r>
            <w:r>
              <w:rPr>
                <w:rFonts w:hint="eastAsia" w:ascii="宋体" w:hAnsi="宋体"/>
                <w:szCs w:val="21"/>
                <w:lang w:eastAsia="zh-CN"/>
              </w:rPr>
              <w:t>（原宁波市行政服务助中心）</w:t>
            </w:r>
            <w:r>
              <w:rPr>
                <w:rFonts w:hint="eastAsia" w:ascii="宋体" w:hAnsi="宋体" w:eastAsia="宋体"/>
                <w:szCs w:val="21"/>
              </w:rPr>
              <w:t>五</w:t>
            </w:r>
            <w:r>
              <w:rPr>
                <w:rFonts w:hint="eastAsia" w:ascii="宋体" w:hAnsi="宋体"/>
                <w:szCs w:val="21"/>
              </w:rPr>
              <w:t>楼</w:t>
            </w:r>
          </w:p>
          <w:p>
            <w:pPr>
              <w:tabs>
                <w:tab w:val="left" w:pos="105"/>
                <w:tab w:val="left" w:pos="735"/>
                <w:tab w:val="left" w:pos="945"/>
                <w:tab w:val="left" w:pos="3360"/>
              </w:tabs>
              <w:rPr>
                <w:rFonts w:hint="eastAsia" w:ascii="宋体" w:hAnsi="宋体"/>
                <w:szCs w:val="21"/>
              </w:rPr>
            </w:pPr>
            <w:r>
              <w:rPr>
                <w:rFonts w:hint="eastAsia" w:ascii="宋体" w:hAnsi="宋体"/>
                <w:szCs w:val="21"/>
              </w:rPr>
              <w:t>邮编：315066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5"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2</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采购方式</w:t>
            </w:r>
          </w:p>
        </w:tc>
        <w:tc>
          <w:tcPr>
            <w:tcW w:w="3721" w:type="pct"/>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rPr>
              <w:t>公开招标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3</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联合体投标</w:t>
            </w:r>
          </w:p>
        </w:tc>
        <w:tc>
          <w:tcPr>
            <w:tcW w:w="3721" w:type="pct"/>
            <w:noWrap w:val="0"/>
            <w:vAlign w:val="center"/>
          </w:tcPr>
          <w:p>
            <w:pPr>
              <w:tabs>
                <w:tab w:val="left" w:pos="105"/>
                <w:tab w:val="left" w:pos="735"/>
                <w:tab w:val="left" w:pos="945"/>
                <w:tab w:val="left" w:pos="3360"/>
              </w:tabs>
              <w:rPr>
                <w:rFonts w:hint="eastAsia" w:ascii="宋体" w:hAnsi="宋体" w:eastAsia="宋体"/>
                <w:szCs w:val="21"/>
                <w:u w:val="single"/>
              </w:rPr>
            </w:pPr>
            <w:r>
              <w:rPr>
                <w:rFonts w:hint="eastAsia" w:ascii="宋体" w:hAnsi="宋体" w:eastAsia="宋体"/>
                <w:szCs w:val="21"/>
                <w:bdr w:val="single" w:color="auto" w:sz="4" w:space="0"/>
                <w:lang w:bidi="ar"/>
              </w:rPr>
              <w:t>√</w:t>
            </w:r>
            <w:r>
              <w:rPr>
                <w:rFonts w:hint="eastAsia" w:ascii="宋体" w:hAnsi="宋体" w:eastAsia="宋体"/>
                <w:szCs w:val="21"/>
                <w:lang w:bidi="ar"/>
              </w:rPr>
              <w:t>不接受；</w:t>
            </w:r>
            <w:r>
              <w:rPr>
                <w:rFonts w:hint="eastAsia" w:ascii="宋体" w:hAnsi="宋体"/>
                <w:szCs w:val="21"/>
                <w:bdr w:val="single" w:color="auto" w:sz="4" w:space="0"/>
              </w:rPr>
              <w:t xml:space="preserve">  </w:t>
            </w:r>
            <w:r>
              <w:rPr>
                <w:rFonts w:hint="eastAsia" w:ascii="宋体" w:hAnsi="宋体" w:eastAsia="宋体"/>
                <w:szCs w:val="21"/>
                <w:lang w:bidi="ar"/>
              </w:rPr>
              <w:t>接受，最多</w:t>
            </w:r>
            <w:r>
              <w:rPr>
                <w:rFonts w:hint="eastAsia" w:ascii="宋体" w:hAnsi="宋体" w:eastAsia="宋体"/>
                <w:szCs w:val="21"/>
                <w:u w:val="single"/>
                <w:lang w:bidi="ar"/>
              </w:rPr>
              <w:t xml:space="preserve">  </w:t>
            </w:r>
            <w:r>
              <w:rPr>
                <w:rFonts w:hint="eastAsia" w:ascii="宋体" w:hAnsi="宋体" w:eastAsia="宋体"/>
                <w:szCs w:val="21"/>
                <w:lang w:bidi="ar"/>
              </w:rPr>
              <w:t>家，联合体要求：XXX。</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45"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4</w:t>
            </w:r>
          </w:p>
        </w:tc>
        <w:tc>
          <w:tcPr>
            <w:tcW w:w="916" w:type="pct"/>
            <w:noWrap w:val="0"/>
            <w:vAlign w:val="center"/>
          </w:tcPr>
          <w:p>
            <w:pPr>
              <w:tabs>
                <w:tab w:val="left" w:pos="105"/>
                <w:tab w:val="left" w:pos="735"/>
                <w:tab w:val="left" w:pos="945"/>
                <w:tab w:val="left" w:pos="3360"/>
              </w:tabs>
              <w:jc w:val="center"/>
              <w:rPr>
                <w:rFonts w:hint="eastAsia" w:ascii="宋体" w:hAnsi="宋体"/>
                <w:szCs w:val="21"/>
                <w:highlight w:val="none"/>
              </w:rPr>
            </w:pPr>
            <w:r>
              <w:rPr>
                <w:rFonts w:hint="eastAsia" w:ascii="宋体" w:hAnsi="宋体"/>
                <w:szCs w:val="21"/>
                <w:highlight w:val="none"/>
              </w:rPr>
              <w:t>专门面向中小微企业招标</w:t>
            </w:r>
          </w:p>
        </w:tc>
        <w:tc>
          <w:tcPr>
            <w:tcW w:w="3721" w:type="pct"/>
            <w:noWrap w:val="0"/>
            <w:vAlign w:val="center"/>
          </w:tcPr>
          <w:p>
            <w:pPr>
              <w:tabs>
                <w:tab w:val="left" w:pos="105"/>
                <w:tab w:val="left" w:pos="735"/>
                <w:tab w:val="left" w:pos="945"/>
                <w:tab w:val="left" w:pos="3360"/>
              </w:tabs>
              <w:rPr>
                <w:rFonts w:hint="eastAsia" w:ascii="宋体" w:hAnsi="宋体"/>
                <w:szCs w:val="21"/>
                <w:highlight w:val="none"/>
              </w:rPr>
            </w:pPr>
            <w:r>
              <w:rPr>
                <w:rFonts w:hint="eastAsia" w:ascii="宋体" w:hAnsi="宋体"/>
                <w:szCs w:val="21"/>
                <w:highlight w:val="none"/>
                <w:bdr w:val="single" w:color="auto" w:sz="4" w:space="0"/>
              </w:rPr>
              <w:t xml:space="preserve">  </w:t>
            </w:r>
            <w:r>
              <w:rPr>
                <w:rFonts w:hint="eastAsia" w:ascii="宋体" w:hAnsi="宋体"/>
                <w:szCs w:val="21"/>
                <w:highlight w:val="none"/>
              </w:rPr>
              <w:t>是；</w:t>
            </w:r>
            <w:r>
              <w:rPr>
                <w:rFonts w:hint="eastAsia" w:ascii="宋体" w:hAnsi="宋体"/>
                <w:szCs w:val="21"/>
                <w:highlight w:val="none"/>
                <w:bdr w:val="single" w:color="auto" w:sz="4" w:space="0"/>
              </w:rPr>
              <w:t>√</w:t>
            </w:r>
            <w:r>
              <w:rPr>
                <w:rFonts w:hint="eastAsia" w:ascii="宋体" w:hAnsi="宋体"/>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Pr>
        <w:tc>
          <w:tcPr>
            <w:tcW w:w="363" w:type="pct"/>
            <w:noWrap w:val="0"/>
            <w:vAlign w:val="center"/>
          </w:tcPr>
          <w:p>
            <w:pPr>
              <w:tabs>
                <w:tab w:val="left" w:pos="105"/>
                <w:tab w:val="left" w:pos="735"/>
                <w:tab w:val="left" w:pos="945"/>
                <w:tab w:val="left" w:pos="3360"/>
              </w:tabs>
              <w:jc w:val="center"/>
              <w:rPr>
                <w:rFonts w:hint="eastAsia" w:ascii="宋体" w:hAnsi="宋体"/>
                <w:szCs w:val="21"/>
                <w:highlight w:val="none"/>
              </w:rPr>
            </w:pPr>
            <w:r>
              <w:rPr>
                <w:rFonts w:hint="eastAsia" w:ascii="宋体" w:hAnsi="宋体"/>
                <w:szCs w:val="21"/>
                <w:highlight w:val="none"/>
              </w:rPr>
              <w:t>5</w:t>
            </w:r>
          </w:p>
        </w:tc>
        <w:tc>
          <w:tcPr>
            <w:tcW w:w="916" w:type="pct"/>
            <w:noWrap w:val="0"/>
            <w:vAlign w:val="center"/>
          </w:tcPr>
          <w:p>
            <w:pPr>
              <w:tabs>
                <w:tab w:val="left" w:pos="105"/>
                <w:tab w:val="left" w:pos="735"/>
                <w:tab w:val="left" w:pos="945"/>
                <w:tab w:val="left" w:pos="3360"/>
              </w:tabs>
              <w:jc w:val="center"/>
              <w:rPr>
                <w:rFonts w:hint="eastAsia" w:ascii="宋体" w:hAnsi="宋体"/>
                <w:b/>
                <w:szCs w:val="21"/>
                <w:highlight w:val="none"/>
              </w:rPr>
            </w:pPr>
            <w:r>
              <w:rPr>
                <w:rFonts w:hint="eastAsia" w:ascii="宋体" w:hAnsi="宋体"/>
                <w:b/>
                <w:szCs w:val="21"/>
                <w:highlight w:val="none"/>
              </w:rPr>
              <w:t>集中现场踏勘(答疑)</w:t>
            </w:r>
          </w:p>
        </w:tc>
        <w:tc>
          <w:tcPr>
            <w:tcW w:w="3721" w:type="pct"/>
            <w:noWrap w:val="0"/>
            <w:vAlign w:val="center"/>
          </w:tcPr>
          <w:p>
            <w:pPr>
              <w:tabs>
                <w:tab w:val="left" w:pos="105"/>
                <w:tab w:val="left" w:pos="735"/>
                <w:tab w:val="left" w:pos="945"/>
                <w:tab w:val="left" w:pos="3360"/>
              </w:tabs>
              <w:rPr>
                <w:rFonts w:hint="eastAsia" w:ascii="宋体" w:hAnsi="宋体" w:eastAsia="宋体"/>
                <w:szCs w:val="21"/>
                <w:highlight w:val="none"/>
              </w:rPr>
            </w:pPr>
            <w:r>
              <w:rPr>
                <w:rFonts w:hint="eastAsia" w:ascii="宋体" w:hAnsi="宋体"/>
                <w:szCs w:val="21"/>
                <w:highlight w:val="none"/>
                <w:bdr w:val="single" w:color="auto" w:sz="4" w:space="0"/>
              </w:rPr>
              <w:t xml:space="preserve">  </w:t>
            </w:r>
            <w:r>
              <w:rPr>
                <w:rFonts w:hint="eastAsia" w:ascii="宋体" w:hAnsi="宋体"/>
                <w:szCs w:val="21"/>
                <w:highlight w:val="none"/>
              </w:rPr>
              <w:t>无</w:t>
            </w:r>
            <w:r>
              <w:rPr>
                <w:rFonts w:hint="eastAsia" w:ascii="宋体" w:hAnsi="宋体" w:eastAsia="宋体"/>
                <w:szCs w:val="21"/>
                <w:highlight w:val="none"/>
              </w:rPr>
              <w:t>；</w:t>
            </w:r>
            <w:r>
              <w:rPr>
                <w:rFonts w:hint="eastAsia" w:ascii="宋体" w:hAnsi="宋体"/>
                <w:szCs w:val="21"/>
                <w:highlight w:val="none"/>
                <w:bdr w:val="single" w:color="auto" w:sz="4" w:space="0"/>
              </w:rPr>
              <w:t>√</w:t>
            </w:r>
            <w:r>
              <w:rPr>
                <w:rFonts w:hint="eastAsia" w:ascii="宋体" w:hAnsi="宋体"/>
                <w:szCs w:val="21"/>
                <w:highlight w:val="none"/>
              </w:rPr>
              <w:t>有。</w:t>
            </w:r>
            <w:r>
              <w:rPr>
                <w:rFonts w:hint="eastAsia" w:ascii="宋体" w:hAnsi="宋体" w:eastAsia="宋体" w:cs="Times New Roman"/>
                <w:szCs w:val="21"/>
                <w:highlight w:val="none"/>
                <w:lang w:eastAsia="zh-CN"/>
              </w:rPr>
              <w:t>具体要求详见“第二部分  项目需求说明及评标标准”</w:t>
            </w:r>
            <w:r>
              <w:rPr>
                <w:rFonts w:hint="eastAsia" w:ascii="宋体" w:hAnsi="宋体"/>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6</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讲标与演示</w:t>
            </w:r>
          </w:p>
        </w:tc>
        <w:tc>
          <w:tcPr>
            <w:tcW w:w="3721" w:type="pct"/>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bdr w:val="single" w:color="auto" w:sz="4" w:space="0"/>
              </w:rPr>
              <w:t>√</w:t>
            </w:r>
            <w:r>
              <w:rPr>
                <w:rFonts w:hint="eastAsia" w:ascii="宋体" w:hAnsi="宋体"/>
                <w:szCs w:val="21"/>
              </w:rPr>
              <w:t>无；</w:t>
            </w:r>
            <w:r>
              <w:rPr>
                <w:rFonts w:hint="eastAsia" w:ascii="宋体" w:hAnsi="宋体"/>
                <w:szCs w:val="21"/>
                <w:bdr w:val="single" w:color="auto" w:sz="4" w:space="0"/>
              </w:rPr>
              <w:t xml:space="preserve">  </w:t>
            </w:r>
            <w:r>
              <w:rPr>
                <w:rFonts w:hint="eastAsia" w:ascii="宋体" w:hAnsi="宋体"/>
                <w:szCs w:val="21"/>
              </w:rPr>
              <w:t>有，具体要求见需求说明。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639"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7</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备选报价方案</w:t>
            </w:r>
          </w:p>
        </w:tc>
        <w:tc>
          <w:tcPr>
            <w:tcW w:w="3721" w:type="pct"/>
            <w:noWrap w:val="0"/>
            <w:vAlign w:val="center"/>
          </w:tcPr>
          <w:p>
            <w:pPr>
              <w:tabs>
                <w:tab w:val="left" w:pos="105"/>
                <w:tab w:val="left" w:pos="735"/>
                <w:tab w:val="left" w:pos="945"/>
                <w:tab w:val="left" w:pos="3360"/>
              </w:tabs>
              <w:rPr>
                <w:rFonts w:hint="eastAsia" w:ascii="宋体" w:hAnsi="宋体" w:eastAsia="宋体"/>
                <w:szCs w:val="21"/>
                <w:lang w:bidi="ar"/>
              </w:rPr>
            </w:pPr>
            <w:r>
              <w:rPr>
                <w:rFonts w:hint="eastAsia" w:ascii="宋体" w:hAnsi="宋体" w:eastAsia="宋体"/>
                <w:szCs w:val="21"/>
                <w:bdr w:val="single" w:color="auto" w:sz="4" w:space="0"/>
                <w:lang w:bidi="ar"/>
              </w:rPr>
              <w:t>√</w:t>
            </w:r>
            <w:r>
              <w:rPr>
                <w:rFonts w:hint="eastAsia" w:ascii="宋体" w:hAnsi="宋体" w:eastAsia="宋体"/>
                <w:szCs w:val="21"/>
                <w:lang w:bidi="ar"/>
              </w:rPr>
              <w:t>不接受；</w:t>
            </w:r>
          </w:p>
          <w:p>
            <w:pPr>
              <w:tabs>
                <w:tab w:val="left" w:pos="105"/>
                <w:tab w:val="left" w:pos="735"/>
                <w:tab w:val="left" w:pos="945"/>
                <w:tab w:val="left" w:pos="3360"/>
              </w:tabs>
              <w:rPr>
                <w:rFonts w:hint="eastAsia" w:ascii="宋体" w:hAnsi="宋体"/>
                <w:szCs w:val="21"/>
                <w:bdr w:val="single" w:color="auto" w:sz="4" w:space="0"/>
              </w:rPr>
            </w:pPr>
            <w:r>
              <w:rPr>
                <w:rFonts w:hint="eastAsia" w:ascii="宋体" w:hAnsi="宋体"/>
                <w:szCs w:val="21"/>
                <w:bdr w:val="single" w:color="auto" w:sz="4" w:space="0"/>
              </w:rPr>
              <w:t xml:space="preserve">  </w:t>
            </w:r>
            <w:r>
              <w:rPr>
                <w:rFonts w:hint="eastAsia" w:ascii="宋体" w:hAnsi="宋体" w:eastAsia="宋体"/>
                <w:szCs w:val="21"/>
                <w:lang w:bidi="ar"/>
              </w:rPr>
              <w:t>接受，</w:t>
            </w:r>
            <w:r>
              <w:rPr>
                <w:rFonts w:hint="eastAsia" w:ascii="宋体" w:hAnsi="宋体"/>
                <w:szCs w:val="21"/>
              </w:rPr>
              <w:t>投标文件未明确主备方案的视为无效标。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8</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服务对象及地点</w:t>
            </w:r>
          </w:p>
        </w:tc>
        <w:tc>
          <w:tcPr>
            <w:tcW w:w="3721" w:type="pct"/>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eastAsia="宋体"/>
                <w:szCs w:val="21"/>
              </w:rPr>
              <w:t>采购人指定，详见</w:t>
            </w:r>
            <w:r>
              <w:rPr>
                <w:rFonts w:hint="eastAsia" w:ascii="宋体" w:hAnsi="宋体"/>
                <w:szCs w:val="21"/>
              </w:rPr>
              <w:t>项目需求说明</w:t>
            </w:r>
            <w:r>
              <w:rPr>
                <w:rFonts w:hint="eastAsia" w:ascii="宋体" w:hAnsi="宋体"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342"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9</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投标有效期</w:t>
            </w:r>
          </w:p>
        </w:tc>
        <w:tc>
          <w:tcPr>
            <w:tcW w:w="3721" w:type="pct"/>
            <w:noWrap w:val="0"/>
            <w:vAlign w:val="center"/>
          </w:tcPr>
          <w:p>
            <w:pPr>
              <w:tabs>
                <w:tab w:val="left" w:pos="105"/>
                <w:tab w:val="left" w:pos="735"/>
                <w:tab w:val="left" w:pos="945"/>
                <w:tab w:val="left" w:pos="3360"/>
              </w:tabs>
              <w:rPr>
                <w:rFonts w:hint="eastAsia" w:ascii="宋体" w:hAnsi="宋体"/>
                <w:b/>
                <w:szCs w:val="21"/>
              </w:rPr>
            </w:pPr>
            <w:r>
              <w:rPr>
                <w:rFonts w:hint="eastAsia" w:ascii="宋体" w:hAnsi="宋体"/>
                <w:b/>
                <w:szCs w:val="21"/>
              </w:rPr>
              <w:t>开标后90天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25"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10</w:t>
            </w:r>
          </w:p>
        </w:tc>
        <w:tc>
          <w:tcPr>
            <w:tcW w:w="916" w:type="pct"/>
            <w:noWrap w:val="0"/>
            <w:vAlign w:val="center"/>
          </w:tcPr>
          <w:p>
            <w:pPr>
              <w:tabs>
                <w:tab w:val="left" w:pos="105"/>
                <w:tab w:val="left" w:pos="735"/>
                <w:tab w:val="left" w:pos="945"/>
                <w:tab w:val="left" w:pos="3360"/>
              </w:tabs>
              <w:jc w:val="center"/>
              <w:rPr>
                <w:rFonts w:hint="eastAsia" w:ascii="宋体" w:hAnsi="宋体"/>
                <w:b/>
                <w:szCs w:val="21"/>
              </w:rPr>
            </w:pPr>
            <w:r>
              <w:rPr>
                <w:rFonts w:hint="eastAsia" w:ascii="宋体" w:hAnsi="宋体"/>
                <w:b/>
                <w:szCs w:val="21"/>
              </w:rPr>
              <w:t>招标文件工本费及中标服务费</w:t>
            </w:r>
          </w:p>
        </w:tc>
        <w:tc>
          <w:tcPr>
            <w:tcW w:w="3721" w:type="pct"/>
            <w:noWrap w:val="0"/>
            <w:vAlign w:val="center"/>
          </w:tcPr>
          <w:p>
            <w:pPr>
              <w:tabs>
                <w:tab w:val="left" w:pos="105"/>
                <w:tab w:val="left" w:pos="735"/>
                <w:tab w:val="left" w:pos="945"/>
                <w:tab w:val="left" w:pos="3360"/>
              </w:tabs>
              <w:rPr>
                <w:rFonts w:hint="eastAsia" w:ascii="宋体" w:hAnsi="宋体"/>
                <w:b/>
                <w:szCs w:val="21"/>
              </w:rPr>
            </w:pPr>
            <w:r>
              <w:rPr>
                <w:rFonts w:hint="eastAsia" w:ascii="宋体" w:hAnsi="宋体"/>
                <w:bCs/>
                <w:szCs w:val="21"/>
              </w:rPr>
              <w:t>不收取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34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11</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投标保证金</w:t>
            </w:r>
          </w:p>
        </w:tc>
        <w:tc>
          <w:tcPr>
            <w:tcW w:w="3721" w:type="pct"/>
            <w:noWrap w:val="0"/>
            <w:vAlign w:val="center"/>
          </w:tcPr>
          <w:p>
            <w:pPr>
              <w:tabs>
                <w:tab w:val="left" w:pos="105"/>
                <w:tab w:val="left" w:pos="735"/>
                <w:tab w:val="left" w:pos="945"/>
                <w:tab w:val="left" w:pos="3360"/>
              </w:tabs>
              <w:rPr>
                <w:rFonts w:hint="eastAsia" w:ascii="宋体" w:hAnsi="宋体" w:eastAsia="宋体"/>
                <w:szCs w:val="21"/>
              </w:rPr>
            </w:pPr>
            <w:r>
              <w:rPr>
                <w:rFonts w:hint="eastAsia" w:ascii="宋体" w:hAnsi="宋体"/>
                <w:szCs w:val="21"/>
              </w:rPr>
              <w:t>不收取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23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12</w:t>
            </w:r>
          </w:p>
        </w:tc>
        <w:tc>
          <w:tcPr>
            <w:tcW w:w="916" w:type="pct"/>
            <w:noWrap w:val="0"/>
            <w:vAlign w:val="center"/>
          </w:tcPr>
          <w:p>
            <w:pPr>
              <w:tabs>
                <w:tab w:val="left" w:pos="105"/>
                <w:tab w:val="left" w:pos="735"/>
                <w:tab w:val="left" w:pos="945"/>
                <w:tab w:val="left" w:pos="3360"/>
              </w:tabs>
              <w:jc w:val="center"/>
              <w:rPr>
                <w:rFonts w:hint="eastAsia" w:ascii="宋体" w:hAnsi="宋体"/>
                <w:szCs w:val="21"/>
                <w:highlight w:val="none"/>
              </w:rPr>
            </w:pPr>
            <w:r>
              <w:rPr>
                <w:rFonts w:hint="eastAsia" w:ascii="宋体" w:hAnsi="宋体"/>
                <w:szCs w:val="21"/>
                <w:highlight w:val="none"/>
              </w:rPr>
              <w:t>履约保证金</w:t>
            </w:r>
          </w:p>
        </w:tc>
        <w:tc>
          <w:tcPr>
            <w:tcW w:w="3721" w:type="pct"/>
            <w:noWrap w:val="0"/>
            <w:vAlign w:val="center"/>
          </w:tcPr>
          <w:p>
            <w:pPr>
              <w:tabs>
                <w:tab w:val="left" w:pos="105"/>
                <w:tab w:val="left" w:pos="735"/>
                <w:tab w:val="left" w:pos="945"/>
                <w:tab w:val="left" w:pos="3360"/>
              </w:tabs>
              <w:rPr>
                <w:rFonts w:hint="eastAsia" w:ascii="宋体" w:hAnsi="宋体" w:eastAsia="宋体"/>
                <w:szCs w:val="21"/>
                <w:highlight w:val="none"/>
              </w:rPr>
            </w:pPr>
            <w:r>
              <w:rPr>
                <w:rFonts w:hint="eastAsia" w:ascii="宋体" w:hAnsi="宋体"/>
                <w:szCs w:val="21"/>
                <w:highlight w:val="none"/>
                <w:bdr w:val="single" w:color="auto" w:sz="4" w:space="0"/>
              </w:rPr>
              <w:t>√</w:t>
            </w:r>
            <w:r>
              <w:rPr>
                <w:rFonts w:hint="eastAsia" w:ascii="宋体" w:hAnsi="宋体"/>
                <w:szCs w:val="21"/>
                <w:highlight w:val="none"/>
              </w:rPr>
              <w:t>不收取；</w:t>
            </w:r>
            <w:r>
              <w:rPr>
                <w:rFonts w:hint="eastAsia" w:ascii="宋体" w:hAnsi="宋体"/>
                <w:szCs w:val="21"/>
                <w:bdr w:val="single" w:color="auto" w:sz="4" w:space="0"/>
              </w:rPr>
              <w:t xml:space="preserve">  </w:t>
            </w:r>
            <w:r>
              <w:rPr>
                <w:rFonts w:hint="eastAsia" w:ascii="宋体" w:hAnsi="宋体"/>
                <w:szCs w:val="21"/>
                <w:highlight w:val="none"/>
              </w:rPr>
              <w:t>收取，合同金额的</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eastAsia="zh-CN"/>
              </w:rPr>
              <w:t>详见需求说明</w:t>
            </w: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35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13</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采购资金支付方式、时间和条件</w:t>
            </w:r>
          </w:p>
        </w:tc>
        <w:tc>
          <w:tcPr>
            <w:tcW w:w="3721" w:type="pct"/>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bdr w:val="single" w:color="auto" w:sz="4" w:space="0"/>
              </w:rPr>
              <w:t xml:space="preserve">  </w:t>
            </w:r>
            <w:r>
              <w:rPr>
                <w:rFonts w:hint="eastAsia" w:ascii="宋体" w:hAnsi="宋体"/>
                <w:szCs w:val="21"/>
              </w:rPr>
              <w:t>一次性支付：验收合格后15日内一次性支付合同金额的100%；</w:t>
            </w:r>
          </w:p>
          <w:p>
            <w:pPr>
              <w:tabs>
                <w:tab w:val="left" w:pos="105"/>
                <w:tab w:val="left" w:pos="735"/>
                <w:tab w:val="left" w:pos="945"/>
                <w:tab w:val="left" w:pos="3360"/>
              </w:tabs>
              <w:rPr>
                <w:rFonts w:hint="eastAsia" w:ascii="宋体" w:hAnsi="宋体"/>
                <w:szCs w:val="21"/>
              </w:rPr>
            </w:pPr>
            <w:r>
              <w:rPr>
                <w:rFonts w:hint="eastAsia" w:ascii="宋体" w:hAnsi="宋体"/>
                <w:szCs w:val="21"/>
                <w:bdr w:val="single" w:color="auto" w:sz="4" w:space="0"/>
              </w:rPr>
              <w:t>√</w:t>
            </w:r>
            <w:r>
              <w:rPr>
                <w:rFonts w:hint="eastAsia" w:ascii="宋体" w:hAnsi="宋体"/>
                <w:szCs w:val="21"/>
              </w:rPr>
              <w:t>分批支付：</w:t>
            </w:r>
            <w:r>
              <w:rPr>
                <w:rFonts w:hint="eastAsia" w:ascii="宋体" w:hAnsi="宋体" w:eastAsia="宋体"/>
                <w:szCs w:val="21"/>
              </w:rPr>
              <w:t>按季度支付。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693" w:hRule="atLeast"/>
        </w:trPr>
        <w:tc>
          <w:tcPr>
            <w:tcW w:w="363" w:type="pct"/>
            <w:noWrap w:val="0"/>
            <w:vAlign w:val="center"/>
          </w:tcPr>
          <w:p>
            <w:pPr>
              <w:tabs>
                <w:tab w:val="left" w:pos="105"/>
                <w:tab w:val="left" w:pos="735"/>
                <w:tab w:val="left" w:pos="945"/>
                <w:tab w:val="left" w:pos="3360"/>
              </w:tabs>
              <w:jc w:val="center"/>
              <w:rPr>
                <w:rFonts w:ascii="宋体" w:hAnsi="宋体"/>
                <w:szCs w:val="21"/>
              </w:rPr>
            </w:pPr>
            <w:r>
              <w:rPr>
                <w:rFonts w:hint="eastAsia" w:ascii="宋体" w:hAnsi="宋体"/>
                <w:szCs w:val="21"/>
              </w:rPr>
              <w:t>14</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投标文件提交方式</w:t>
            </w:r>
          </w:p>
        </w:tc>
        <w:tc>
          <w:tcPr>
            <w:tcW w:w="3721" w:type="pct"/>
            <w:noWrap w:val="0"/>
            <w:vAlign w:val="center"/>
          </w:tcPr>
          <w:p>
            <w:pPr>
              <w:tabs>
                <w:tab w:val="left" w:pos="105"/>
                <w:tab w:val="left" w:pos="735"/>
                <w:tab w:val="left" w:pos="945"/>
                <w:tab w:val="left" w:pos="3360"/>
              </w:tabs>
              <w:rPr>
                <w:rFonts w:hint="eastAsia" w:ascii="宋体" w:hAnsi="宋体"/>
                <w:b/>
                <w:bCs/>
                <w:szCs w:val="21"/>
              </w:rPr>
            </w:pPr>
            <w:r>
              <w:rPr>
                <w:rFonts w:hint="eastAsia" w:ascii="宋体" w:hAnsi="宋体" w:eastAsia="宋体"/>
                <w:b/>
                <w:bCs/>
                <w:szCs w:val="21"/>
              </w:rPr>
              <w:t>本项目通过政采云平台进行电子投标，投标人须通过浙江政府采购网（zfcg.czt.zj.gov.cn）发布的政采云电子交易客户端（浙江政府采购网首页“下载专区”下载）制作并上传加密电子投标文件，招标人不接受以纸质文件或其他形式提交的投标文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ascii="宋体" w:hAnsi="宋体"/>
                <w:szCs w:val="21"/>
              </w:rPr>
            </w:pPr>
            <w:r>
              <w:rPr>
                <w:rFonts w:hint="eastAsia" w:ascii="宋体" w:hAnsi="宋体"/>
                <w:szCs w:val="21"/>
              </w:rPr>
              <w:t>15</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其他</w:t>
            </w:r>
          </w:p>
        </w:tc>
        <w:tc>
          <w:tcPr>
            <w:tcW w:w="3721" w:type="pct"/>
            <w:noWrap w:val="0"/>
            <w:vAlign w:val="center"/>
          </w:tcPr>
          <w:p>
            <w:pPr>
              <w:tabs>
                <w:tab w:val="left" w:pos="105"/>
                <w:tab w:val="left" w:pos="735"/>
                <w:tab w:val="left" w:pos="945"/>
                <w:tab w:val="left" w:pos="3360"/>
              </w:tabs>
              <w:rPr>
                <w:rFonts w:hint="eastAsia" w:ascii="宋体" w:hAnsi="宋体" w:eastAsia="宋体"/>
                <w:b/>
                <w:bCs/>
                <w:sz w:val="24"/>
                <w:szCs w:val="24"/>
              </w:rPr>
            </w:pPr>
            <w:r>
              <w:rPr>
                <w:rFonts w:hint="eastAsia" w:ascii="宋体" w:hAnsi="宋体"/>
                <w:b/>
                <w:bCs/>
                <w:sz w:val="24"/>
                <w:szCs w:val="24"/>
              </w:rPr>
              <w:t>无</w:t>
            </w:r>
          </w:p>
        </w:tc>
      </w:tr>
    </w:tbl>
    <w:p>
      <w:pPr>
        <w:spacing w:line="500" w:lineRule="exact"/>
        <w:jc w:val="center"/>
        <w:rPr>
          <w:rFonts w:hint="eastAsia" w:eastAsia="黑体"/>
          <w:b/>
          <w:sz w:val="32"/>
        </w:rPr>
      </w:pPr>
      <w:r>
        <w:rPr>
          <w:rFonts w:eastAsia="黑体"/>
          <w:sz w:val="32"/>
        </w:rPr>
        <w:br w:type="page"/>
      </w:r>
      <w:r>
        <w:rPr>
          <w:rFonts w:hint="eastAsia" w:ascii="宋体" w:hAnsi="宋体" w:eastAsia="宋体" w:cs="Times New Roman"/>
          <w:b/>
          <w:sz w:val="36"/>
        </w:rPr>
        <w:t>第四部分    投标人须知</w:t>
      </w: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宋体" w:hAnsi="宋体"/>
          <w:sz w:val="24"/>
          <w:szCs w:val="24"/>
        </w:rPr>
      </w:pPr>
    </w:p>
    <w:p>
      <w:pPr>
        <w:spacing w:line="500" w:lineRule="exact"/>
        <w:jc w:val="center"/>
        <w:rPr>
          <w:rFonts w:ascii="宋体" w:hAnsi="宋体"/>
          <w:b/>
          <w:bCs/>
          <w:sz w:val="24"/>
          <w:szCs w:val="24"/>
        </w:rPr>
      </w:pPr>
      <w:r>
        <w:rPr>
          <w:rFonts w:hint="eastAsia" w:ascii="宋体" w:hAnsi="宋体"/>
          <w:b/>
          <w:bCs/>
          <w:sz w:val="24"/>
          <w:szCs w:val="24"/>
        </w:rPr>
        <w:t>A 总则</w:t>
      </w:r>
    </w:p>
    <w:p>
      <w:pPr>
        <w:spacing w:line="440" w:lineRule="exact"/>
        <w:rPr>
          <w:rFonts w:hint="eastAsia" w:ascii="宋体" w:hAnsi="宋体"/>
          <w:sz w:val="24"/>
          <w:szCs w:val="24"/>
        </w:rPr>
      </w:pPr>
      <w:r>
        <w:rPr>
          <w:rFonts w:hint="eastAsia" w:ascii="宋体" w:hAnsi="宋体"/>
          <w:sz w:val="24"/>
          <w:szCs w:val="24"/>
        </w:rPr>
        <w:t>1、适用范围</w:t>
      </w:r>
    </w:p>
    <w:p>
      <w:pPr>
        <w:spacing w:line="440" w:lineRule="exact"/>
        <w:ind w:firstLine="480" w:firstLineChars="200"/>
        <w:rPr>
          <w:rFonts w:hint="eastAsia" w:ascii="宋体" w:hAnsi="宋体"/>
          <w:sz w:val="24"/>
          <w:szCs w:val="24"/>
        </w:rPr>
      </w:pPr>
      <w:r>
        <w:rPr>
          <w:rFonts w:hint="eastAsia" w:ascii="宋体" w:hAnsi="宋体"/>
          <w:sz w:val="24"/>
          <w:szCs w:val="24"/>
        </w:rPr>
        <w:t>1.1 本招标文件适用于投标邀请中所述项目的采购。</w:t>
      </w:r>
    </w:p>
    <w:p>
      <w:pPr>
        <w:spacing w:line="440" w:lineRule="exact"/>
        <w:rPr>
          <w:rFonts w:hint="eastAsia" w:ascii="宋体" w:hAnsi="宋体"/>
          <w:sz w:val="24"/>
          <w:szCs w:val="24"/>
        </w:rPr>
      </w:pPr>
      <w:r>
        <w:rPr>
          <w:rFonts w:hint="eastAsia" w:ascii="宋体" w:hAnsi="宋体"/>
          <w:sz w:val="24"/>
          <w:szCs w:val="24"/>
        </w:rPr>
        <w:t>2、定义</w:t>
      </w:r>
    </w:p>
    <w:p>
      <w:pPr>
        <w:spacing w:line="440" w:lineRule="exact"/>
        <w:ind w:firstLine="480" w:firstLineChars="200"/>
        <w:rPr>
          <w:rFonts w:hint="eastAsia" w:ascii="宋体" w:hAnsi="宋体"/>
          <w:sz w:val="24"/>
          <w:szCs w:val="24"/>
        </w:rPr>
      </w:pPr>
      <w:r>
        <w:rPr>
          <w:rFonts w:hint="eastAsia" w:ascii="宋体" w:hAnsi="宋体"/>
          <w:sz w:val="24"/>
          <w:szCs w:val="24"/>
        </w:rPr>
        <w:t>2.1 “采购人”系指依法进行政府采购的国家机关、事业单位、团体组织。</w:t>
      </w:r>
    </w:p>
    <w:p>
      <w:pPr>
        <w:spacing w:line="440" w:lineRule="exact"/>
        <w:ind w:firstLine="480" w:firstLineChars="200"/>
        <w:rPr>
          <w:rFonts w:hint="eastAsia" w:ascii="宋体" w:hAnsi="宋体"/>
          <w:sz w:val="24"/>
          <w:szCs w:val="24"/>
        </w:rPr>
      </w:pPr>
      <w:r>
        <w:rPr>
          <w:rFonts w:hint="eastAsia" w:ascii="宋体" w:hAnsi="宋体"/>
          <w:sz w:val="24"/>
          <w:szCs w:val="24"/>
        </w:rPr>
        <w:t>2.2 “集中采购机构”即宁波市政府采购中心，系指统一组织实施纳入政府采购目录项目采购活动的非营利事业法人。</w:t>
      </w:r>
    </w:p>
    <w:p>
      <w:pPr>
        <w:spacing w:line="440" w:lineRule="exact"/>
        <w:ind w:firstLine="480" w:firstLineChars="200"/>
        <w:rPr>
          <w:rFonts w:hint="eastAsia" w:ascii="宋体" w:hAnsi="宋体"/>
          <w:sz w:val="24"/>
          <w:szCs w:val="24"/>
        </w:rPr>
      </w:pPr>
      <w:r>
        <w:rPr>
          <w:rFonts w:hint="eastAsia" w:ascii="宋体" w:hAnsi="宋体"/>
          <w:sz w:val="24"/>
          <w:szCs w:val="24"/>
        </w:rPr>
        <w:t>2.3 “招标人”系指组织本次招标活动的集中采购机构。</w:t>
      </w:r>
    </w:p>
    <w:p>
      <w:pPr>
        <w:spacing w:line="440" w:lineRule="exact"/>
        <w:ind w:firstLine="480" w:firstLineChars="200"/>
        <w:rPr>
          <w:rFonts w:hint="eastAsia" w:ascii="宋体" w:hAnsi="宋体"/>
          <w:sz w:val="24"/>
          <w:szCs w:val="24"/>
        </w:rPr>
      </w:pPr>
      <w:r>
        <w:rPr>
          <w:rFonts w:hint="eastAsia" w:ascii="宋体" w:hAnsi="宋体"/>
          <w:sz w:val="24"/>
          <w:szCs w:val="24"/>
        </w:rPr>
        <w:t>2.4 “投标人”系指参加本次招标活动符合资格条件的供应商。</w:t>
      </w:r>
    </w:p>
    <w:p>
      <w:pPr>
        <w:spacing w:line="440" w:lineRule="exact"/>
        <w:ind w:firstLine="480" w:firstLineChars="200"/>
        <w:rPr>
          <w:rFonts w:hint="eastAsia" w:ascii="宋体" w:hAnsi="宋体"/>
          <w:sz w:val="24"/>
          <w:szCs w:val="24"/>
        </w:rPr>
      </w:pPr>
      <w:r>
        <w:rPr>
          <w:rFonts w:hint="eastAsia" w:ascii="宋体" w:hAnsi="宋体"/>
          <w:sz w:val="24"/>
          <w:szCs w:val="24"/>
        </w:rPr>
        <w:t>2.5 “投标人代理人”系指参加本次投标活动的投标人授权代表。</w:t>
      </w:r>
    </w:p>
    <w:p>
      <w:pPr>
        <w:spacing w:line="440" w:lineRule="exact"/>
        <w:rPr>
          <w:rFonts w:hint="eastAsia" w:ascii="宋体" w:hAnsi="宋体"/>
          <w:sz w:val="24"/>
          <w:szCs w:val="24"/>
        </w:rPr>
      </w:pPr>
      <w:r>
        <w:rPr>
          <w:rFonts w:hint="eastAsia" w:ascii="宋体" w:hAnsi="宋体"/>
          <w:sz w:val="24"/>
          <w:szCs w:val="24"/>
        </w:rPr>
        <w:t>3、合格的投标人和投标产品</w:t>
      </w:r>
    </w:p>
    <w:p>
      <w:pPr>
        <w:spacing w:line="440" w:lineRule="exact"/>
        <w:ind w:firstLine="480" w:firstLineChars="200"/>
        <w:rPr>
          <w:rFonts w:hint="eastAsia" w:ascii="宋体" w:hAnsi="宋体"/>
          <w:sz w:val="24"/>
          <w:szCs w:val="24"/>
        </w:rPr>
      </w:pPr>
      <w:r>
        <w:rPr>
          <w:rFonts w:hint="eastAsia" w:ascii="宋体" w:hAnsi="宋体"/>
          <w:sz w:val="24"/>
          <w:szCs w:val="24"/>
        </w:rPr>
        <w:t>3.1合格的投标人应具备以下条件：</w:t>
      </w:r>
    </w:p>
    <w:p>
      <w:pPr>
        <w:spacing w:line="440" w:lineRule="exact"/>
        <w:ind w:firstLine="480" w:firstLineChars="200"/>
        <w:rPr>
          <w:rFonts w:hint="eastAsia" w:ascii="宋体" w:hAnsi="宋体"/>
          <w:sz w:val="24"/>
          <w:szCs w:val="24"/>
        </w:rPr>
      </w:pPr>
      <w:r>
        <w:rPr>
          <w:rFonts w:hint="eastAsia" w:ascii="宋体" w:hAnsi="宋体"/>
          <w:sz w:val="24"/>
          <w:szCs w:val="24"/>
        </w:rPr>
        <w:t>3.1.1 符合《政府采购法》第二十二条第一款规定的关于供应商基本资格条件。</w:t>
      </w:r>
    </w:p>
    <w:p>
      <w:pPr>
        <w:spacing w:line="440" w:lineRule="exact"/>
        <w:ind w:firstLine="480" w:firstLineChars="200"/>
        <w:rPr>
          <w:rFonts w:hint="eastAsia" w:ascii="宋体" w:hAnsi="宋体"/>
          <w:sz w:val="24"/>
          <w:szCs w:val="24"/>
        </w:rPr>
      </w:pPr>
      <w:r>
        <w:rPr>
          <w:rFonts w:hint="eastAsia" w:ascii="宋体" w:hAnsi="宋体"/>
          <w:sz w:val="24"/>
          <w:szCs w:val="24"/>
        </w:rPr>
        <w:t>3.1.2 投标人应遵守中国的有关法律、法规和规章。</w:t>
      </w:r>
    </w:p>
    <w:p>
      <w:pPr>
        <w:spacing w:line="440" w:lineRule="exact"/>
        <w:ind w:firstLine="480" w:firstLineChars="200"/>
        <w:rPr>
          <w:rFonts w:hint="eastAsia" w:ascii="宋体" w:hAnsi="宋体"/>
          <w:sz w:val="24"/>
          <w:szCs w:val="24"/>
        </w:rPr>
      </w:pPr>
      <w:r>
        <w:rPr>
          <w:rFonts w:hint="eastAsia" w:ascii="宋体" w:hAnsi="宋体"/>
          <w:sz w:val="24"/>
          <w:szCs w:val="24"/>
        </w:rPr>
        <w:t>3.1.3 有能力提供本次招标产品并符合投标邀请中规定资质要求的合法营销资格的国内企事业单位，均可参加投标（</w:t>
      </w:r>
      <w:r>
        <w:rPr>
          <w:rFonts w:hint="eastAsia" w:ascii="宋体" w:hAnsi="宋体"/>
          <w:b/>
          <w:bCs/>
          <w:sz w:val="24"/>
          <w:szCs w:val="24"/>
        </w:rPr>
        <w:t>电信、银行、保险等行业实行许可证属地经营的本地分公司可直接参加</w:t>
      </w:r>
      <w:r>
        <w:rPr>
          <w:rFonts w:hint="eastAsia" w:ascii="宋体" w:hAnsi="宋体"/>
          <w:b/>
          <w:bCs/>
          <w:color w:val="FF0000"/>
          <w:sz w:val="24"/>
          <w:szCs w:val="24"/>
        </w:rPr>
        <w:t>许可证范围内项目</w:t>
      </w:r>
      <w:r>
        <w:rPr>
          <w:rFonts w:hint="eastAsia" w:ascii="宋体" w:hAnsi="宋体"/>
          <w:b/>
          <w:bCs/>
          <w:sz w:val="24"/>
          <w:szCs w:val="24"/>
        </w:rPr>
        <w:t>的投标，本地分公司参加</w:t>
      </w:r>
      <w:r>
        <w:rPr>
          <w:rFonts w:hint="eastAsia" w:ascii="宋体" w:hAnsi="宋体"/>
          <w:b/>
          <w:bCs/>
          <w:color w:val="FF0000"/>
          <w:sz w:val="24"/>
          <w:szCs w:val="24"/>
        </w:rPr>
        <w:t>非许可证范围内项目</w:t>
      </w:r>
      <w:r>
        <w:rPr>
          <w:rFonts w:hint="eastAsia" w:ascii="宋体" w:hAnsi="宋体"/>
          <w:b/>
          <w:bCs/>
          <w:sz w:val="24"/>
          <w:szCs w:val="24"/>
        </w:rPr>
        <w:t>投标的须提供公司的授权</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3.1.4 投标人与采购人一般应无任何直接或间接的关联。</w:t>
      </w:r>
      <w:r>
        <w:rPr>
          <w:rFonts w:hint="eastAsia" w:ascii="宋体" w:hAnsi="宋体"/>
          <w:b/>
          <w:bCs/>
          <w:sz w:val="24"/>
          <w:szCs w:val="24"/>
        </w:rPr>
        <w:t>有关联的，投标人应当在投标截止时间3日前告知招标人，在“诚信投标承诺书”中如实说明，并提供关联关系材料。</w:t>
      </w:r>
    </w:p>
    <w:p>
      <w:pPr>
        <w:spacing w:line="440" w:lineRule="exact"/>
        <w:ind w:firstLine="480" w:firstLineChars="200"/>
        <w:rPr>
          <w:rFonts w:hint="eastAsia" w:ascii="宋体" w:hAnsi="宋体"/>
          <w:sz w:val="24"/>
          <w:szCs w:val="24"/>
        </w:rPr>
      </w:pPr>
      <w:r>
        <w:rPr>
          <w:rFonts w:hint="eastAsia" w:ascii="宋体" w:hAnsi="宋体"/>
          <w:sz w:val="24"/>
          <w:szCs w:val="24"/>
        </w:rPr>
        <w:t>3.1.5 投标人存在下列关联关系情形之一的，不得参加同一标包投标：</w:t>
      </w:r>
    </w:p>
    <w:p>
      <w:pPr>
        <w:spacing w:line="440" w:lineRule="exact"/>
        <w:ind w:firstLine="482" w:firstLineChars="200"/>
        <w:rPr>
          <w:rFonts w:hint="eastAsia" w:ascii="宋体" w:hAnsi="宋体"/>
          <w:b/>
          <w:bCs/>
          <w:sz w:val="24"/>
          <w:szCs w:val="24"/>
        </w:rPr>
      </w:pPr>
      <w:r>
        <w:rPr>
          <w:rFonts w:hint="eastAsia" w:ascii="宋体" w:hAnsi="宋体"/>
          <w:b/>
          <w:bCs/>
          <w:sz w:val="24"/>
          <w:szCs w:val="24"/>
        </w:rPr>
        <w:t>（1）单位负责人（含法定代表人、实际控制人）是同一人的供应商；</w:t>
      </w:r>
    </w:p>
    <w:p>
      <w:pPr>
        <w:spacing w:line="440" w:lineRule="exact"/>
        <w:ind w:firstLine="482" w:firstLineChars="200"/>
        <w:rPr>
          <w:rFonts w:hint="eastAsia" w:ascii="宋体" w:hAnsi="宋体"/>
          <w:b/>
          <w:bCs/>
          <w:sz w:val="24"/>
          <w:szCs w:val="24"/>
        </w:rPr>
      </w:pPr>
      <w:r>
        <w:rPr>
          <w:rFonts w:hint="eastAsia" w:ascii="宋体" w:hAnsi="宋体"/>
          <w:b/>
          <w:bCs/>
          <w:sz w:val="24"/>
          <w:szCs w:val="24"/>
        </w:rPr>
        <w:t>（2）母公司、直接控股的被投资公司；</w:t>
      </w:r>
    </w:p>
    <w:p>
      <w:pPr>
        <w:spacing w:line="440" w:lineRule="exact"/>
        <w:ind w:firstLine="482" w:firstLineChars="200"/>
        <w:rPr>
          <w:rFonts w:hint="eastAsia" w:ascii="宋体" w:hAnsi="宋体"/>
          <w:sz w:val="24"/>
          <w:szCs w:val="24"/>
        </w:rPr>
      </w:pPr>
      <w:r>
        <w:rPr>
          <w:rFonts w:hint="eastAsia" w:ascii="宋体" w:hAnsi="宋体"/>
          <w:b/>
          <w:bCs/>
          <w:sz w:val="24"/>
          <w:szCs w:val="24"/>
        </w:rPr>
        <w:t>（3）为项目提供整体设计、规范编制或者项目管理、监理、检测等服务的供应商，不得再参加该项目的其他采购（具体实施）活动。</w:t>
      </w:r>
      <w:r>
        <w:rPr>
          <w:rFonts w:hint="eastAsia" w:ascii="宋体" w:hAnsi="宋体"/>
          <w:sz w:val="24"/>
          <w:szCs w:val="24"/>
        </w:rPr>
        <w:t xml:space="preserve"> </w:t>
      </w:r>
    </w:p>
    <w:p>
      <w:pPr>
        <w:spacing w:line="440" w:lineRule="exact"/>
        <w:ind w:firstLine="480" w:firstLineChars="200"/>
        <w:rPr>
          <w:rFonts w:hint="eastAsia" w:ascii="宋体" w:hAnsi="宋体"/>
          <w:sz w:val="24"/>
          <w:szCs w:val="24"/>
        </w:rPr>
      </w:pPr>
      <w:r>
        <w:rPr>
          <w:rFonts w:hint="eastAsia" w:ascii="宋体" w:hAnsi="宋体"/>
          <w:sz w:val="24"/>
          <w:szCs w:val="24"/>
        </w:rPr>
        <w:t>3.1.6 一个投标人对一个标包只能提交一个投标文件。</w:t>
      </w:r>
    </w:p>
    <w:p>
      <w:pPr>
        <w:spacing w:line="440" w:lineRule="exact"/>
        <w:ind w:firstLine="480" w:firstLineChars="200"/>
        <w:rPr>
          <w:rFonts w:hint="eastAsia" w:ascii="宋体" w:hAnsi="宋体"/>
          <w:sz w:val="24"/>
          <w:szCs w:val="24"/>
        </w:rPr>
      </w:pPr>
      <w:r>
        <w:rPr>
          <w:rFonts w:hint="eastAsia" w:ascii="宋体" w:hAnsi="宋体"/>
          <w:sz w:val="24"/>
          <w:szCs w:val="24"/>
        </w:rPr>
        <w:t>3.1.7 投标人代理人只能接受一个投标人委托参加投标。</w:t>
      </w:r>
    </w:p>
    <w:p>
      <w:pPr>
        <w:spacing w:line="440" w:lineRule="exact"/>
        <w:ind w:firstLine="480" w:firstLineChars="200"/>
        <w:rPr>
          <w:rFonts w:hint="eastAsia" w:ascii="宋体" w:hAnsi="宋体"/>
          <w:sz w:val="24"/>
          <w:szCs w:val="24"/>
        </w:rPr>
      </w:pPr>
      <w:r>
        <w:rPr>
          <w:rFonts w:hint="eastAsia" w:ascii="宋体" w:hAnsi="宋体"/>
          <w:sz w:val="24"/>
          <w:szCs w:val="24"/>
        </w:rPr>
        <w:t>3.1.8 如投标人代理人不是法定代表人，须持有《法定代表人授权书》。</w:t>
      </w:r>
    </w:p>
    <w:p>
      <w:pPr>
        <w:spacing w:line="440" w:lineRule="exact"/>
        <w:ind w:firstLine="480" w:firstLineChars="200"/>
        <w:rPr>
          <w:rFonts w:hint="eastAsia" w:ascii="宋体" w:hAnsi="宋体"/>
          <w:sz w:val="24"/>
          <w:szCs w:val="24"/>
        </w:rPr>
      </w:pPr>
      <w:r>
        <w:rPr>
          <w:rFonts w:hint="eastAsia" w:ascii="宋体" w:hAnsi="宋体"/>
          <w:sz w:val="24"/>
          <w:szCs w:val="24"/>
        </w:rPr>
        <w:t>3.1.9 除招标文件有规定外，两个或两个以上供应商可以组成一个投标联合体，以一个投标人的身份参加投标。</w:t>
      </w:r>
    </w:p>
    <w:p>
      <w:pPr>
        <w:spacing w:line="440" w:lineRule="exact"/>
        <w:ind w:firstLine="480" w:firstLineChars="200"/>
        <w:rPr>
          <w:rFonts w:hint="eastAsia" w:ascii="宋体" w:hAnsi="宋体"/>
          <w:sz w:val="24"/>
          <w:szCs w:val="24"/>
        </w:rPr>
      </w:pPr>
      <w:r>
        <w:rPr>
          <w:rFonts w:hint="eastAsia" w:ascii="宋体" w:hAnsi="宋体"/>
          <w:sz w:val="24"/>
          <w:szCs w:val="24"/>
        </w:rPr>
        <w:t>以联合体形式参加投标的，联合体各方均应符合《政府采购法》第二十二条第一款规定的关于供应商基本资格条件，联合体中至少应当有一方符合招标文件规定的特定条件。</w:t>
      </w:r>
    </w:p>
    <w:p>
      <w:pPr>
        <w:spacing w:line="440" w:lineRule="exact"/>
        <w:ind w:firstLine="480" w:firstLineChars="200"/>
        <w:rPr>
          <w:rFonts w:hint="eastAsia" w:ascii="宋体" w:hAnsi="宋体"/>
          <w:sz w:val="24"/>
          <w:szCs w:val="24"/>
        </w:rPr>
      </w:pPr>
      <w:r>
        <w:rPr>
          <w:rFonts w:hint="eastAsia" w:ascii="宋体" w:hAnsi="宋体"/>
          <w:sz w:val="24"/>
          <w:szCs w:val="24"/>
        </w:rPr>
        <w:t>联合体各方之间应当签订共同投标协议，明确约定联合体各方承担的工作和相应责任，并将共同投标协议连同投标文件一并提交。</w:t>
      </w:r>
    </w:p>
    <w:p>
      <w:pPr>
        <w:spacing w:line="440" w:lineRule="exact"/>
        <w:ind w:firstLine="480" w:firstLineChars="200"/>
        <w:rPr>
          <w:rFonts w:hint="eastAsia" w:ascii="宋体" w:hAnsi="宋体"/>
          <w:sz w:val="24"/>
          <w:szCs w:val="24"/>
        </w:rPr>
      </w:pPr>
      <w:r>
        <w:rPr>
          <w:rFonts w:hint="eastAsia" w:ascii="宋体" w:hAnsi="宋体"/>
          <w:sz w:val="24"/>
          <w:szCs w:val="24"/>
        </w:rPr>
        <w:t>联合体各方不得再以自己名义单独在同一项目中投标，也不得组成新的联合体参加同一项目投标。</w:t>
      </w:r>
    </w:p>
    <w:p>
      <w:pPr>
        <w:spacing w:line="440" w:lineRule="exact"/>
        <w:ind w:firstLine="480" w:firstLineChars="200"/>
        <w:rPr>
          <w:rFonts w:hint="eastAsia" w:ascii="宋体" w:hAnsi="宋体"/>
          <w:sz w:val="24"/>
          <w:szCs w:val="24"/>
        </w:rPr>
      </w:pPr>
      <w:r>
        <w:rPr>
          <w:rFonts w:hint="eastAsia" w:ascii="宋体" w:hAnsi="宋体"/>
          <w:sz w:val="24"/>
          <w:szCs w:val="24"/>
        </w:rPr>
        <w:t>3.2合格的投标产品或服务</w:t>
      </w:r>
    </w:p>
    <w:p>
      <w:pPr>
        <w:spacing w:line="440" w:lineRule="exact"/>
        <w:ind w:firstLine="480" w:firstLineChars="200"/>
        <w:rPr>
          <w:rFonts w:hint="eastAsia" w:ascii="宋体" w:hAnsi="宋体"/>
          <w:sz w:val="24"/>
          <w:szCs w:val="24"/>
        </w:rPr>
      </w:pPr>
      <w:r>
        <w:rPr>
          <w:rFonts w:hint="eastAsia" w:ascii="宋体" w:hAnsi="宋体"/>
          <w:sz w:val="24"/>
          <w:szCs w:val="24"/>
        </w:rPr>
        <w:t>3.2.1应该是中国境内生产的产品或提供的服务。</w:t>
      </w:r>
    </w:p>
    <w:p>
      <w:pPr>
        <w:spacing w:line="440" w:lineRule="exact"/>
        <w:ind w:firstLine="480" w:firstLineChars="200"/>
        <w:rPr>
          <w:rFonts w:hint="eastAsia" w:ascii="宋体" w:hAnsi="宋体"/>
          <w:sz w:val="24"/>
          <w:szCs w:val="24"/>
        </w:rPr>
      </w:pPr>
      <w:r>
        <w:rPr>
          <w:rFonts w:hint="eastAsia" w:ascii="宋体" w:hAnsi="宋体"/>
          <w:sz w:val="24"/>
          <w:szCs w:val="24"/>
        </w:rPr>
        <w:t>若投标产品或服务属于国家实行许可证制度或生产注册证制度的产品或服务，则应具备相应有效的证书。</w:t>
      </w:r>
    </w:p>
    <w:p>
      <w:pPr>
        <w:spacing w:line="440" w:lineRule="exact"/>
        <w:ind w:firstLine="480" w:firstLineChars="200"/>
        <w:rPr>
          <w:rFonts w:hint="eastAsia" w:ascii="宋体" w:hAnsi="宋体"/>
          <w:sz w:val="24"/>
          <w:szCs w:val="24"/>
        </w:rPr>
      </w:pPr>
      <w:r>
        <w:rPr>
          <w:rFonts w:hint="eastAsia" w:ascii="宋体" w:hAnsi="宋体"/>
          <w:sz w:val="24"/>
          <w:szCs w:val="24"/>
        </w:rPr>
        <w:t>若投标产品属于进口产品，则应按照《政府采购进口产品管理办法》（财库[2007]119号）文件和《关于政府采购进口产品管理有关问题的通知》（财办库[2008]248号）文件办理。</w:t>
      </w:r>
    </w:p>
    <w:p>
      <w:pPr>
        <w:spacing w:line="440" w:lineRule="exact"/>
        <w:ind w:firstLine="480" w:firstLineChars="200"/>
        <w:rPr>
          <w:rFonts w:hint="eastAsia" w:ascii="宋体" w:hAnsi="宋体"/>
          <w:sz w:val="24"/>
          <w:szCs w:val="24"/>
        </w:rPr>
      </w:pPr>
      <w:r>
        <w:rPr>
          <w:rFonts w:hint="eastAsia" w:ascii="宋体" w:hAnsi="宋体"/>
          <w:sz w:val="24"/>
          <w:szCs w:val="24"/>
        </w:rPr>
        <w:t>3.2.2投标人应保证所提供的产品或服务免受第三方提出侵犯其知识产权（专利权、商标权、工业设计权及使用权等）的索赔或起诉，否则由此可能产生的一切法律责任和经济责任均由投标人承担。</w:t>
      </w:r>
    </w:p>
    <w:p>
      <w:pPr>
        <w:spacing w:line="440" w:lineRule="exact"/>
        <w:rPr>
          <w:rFonts w:hint="eastAsia" w:ascii="宋体" w:hAnsi="宋体"/>
          <w:sz w:val="24"/>
          <w:szCs w:val="24"/>
        </w:rPr>
      </w:pPr>
      <w:r>
        <w:rPr>
          <w:rFonts w:hint="eastAsia" w:ascii="宋体" w:hAnsi="宋体"/>
          <w:sz w:val="24"/>
          <w:szCs w:val="24"/>
        </w:rPr>
        <w:t xml:space="preserve"> 4、投标费用</w:t>
      </w:r>
    </w:p>
    <w:p>
      <w:pPr>
        <w:spacing w:line="440" w:lineRule="exact"/>
        <w:ind w:firstLine="480" w:firstLineChars="200"/>
        <w:rPr>
          <w:rFonts w:hint="eastAsia" w:ascii="宋体" w:hAnsi="宋体"/>
          <w:sz w:val="24"/>
          <w:szCs w:val="24"/>
        </w:rPr>
      </w:pPr>
      <w:r>
        <w:rPr>
          <w:rFonts w:hint="eastAsia" w:ascii="宋体" w:hAnsi="宋体"/>
          <w:sz w:val="24"/>
          <w:szCs w:val="24"/>
        </w:rPr>
        <w:t>4.1 无论投标结果如何，投标人自行承担所有与参加投标有关的全部费用。</w:t>
      </w:r>
    </w:p>
    <w:p>
      <w:pPr>
        <w:spacing w:line="440" w:lineRule="exact"/>
        <w:rPr>
          <w:rFonts w:hint="eastAsia" w:ascii="宋体" w:hAnsi="宋体"/>
          <w:sz w:val="24"/>
          <w:szCs w:val="24"/>
        </w:rPr>
      </w:pPr>
      <w:r>
        <w:rPr>
          <w:rFonts w:hint="eastAsia" w:ascii="宋体" w:hAnsi="宋体"/>
          <w:sz w:val="24"/>
          <w:szCs w:val="24"/>
        </w:rPr>
        <w:t>5、信息公告媒体</w:t>
      </w:r>
    </w:p>
    <w:p>
      <w:pPr>
        <w:spacing w:line="440" w:lineRule="exact"/>
        <w:ind w:firstLine="480" w:firstLineChars="200"/>
        <w:rPr>
          <w:rFonts w:hint="eastAsia" w:ascii="宋体" w:hAnsi="宋体"/>
          <w:b/>
          <w:bCs/>
          <w:sz w:val="24"/>
          <w:szCs w:val="24"/>
        </w:rPr>
      </w:pPr>
      <w:r>
        <w:rPr>
          <w:rFonts w:hint="eastAsia" w:ascii="宋体" w:hAnsi="宋体"/>
          <w:sz w:val="24"/>
          <w:szCs w:val="24"/>
        </w:rPr>
        <w:t>5.1 浙江政府采购网(zfcg.czt.zj.gov.cn)和宁波政府采购网(www.nbzfcg.cn)为政府采购监督管理部门指定的政府采购信息发布媒体。本次政府采购活动有关信息均在该网站上予以公布，公布信息视同送达所有潜在投标人。</w:t>
      </w:r>
      <w:r>
        <w:rPr>
          <w:rFonts w:hint="eastAsia" w:ascii="宋体" w:hAnsi="宋体"/>
          <w:b/>
          <w:bCs/>
          <w:sz w:val="24"/>
          <w:szCs w:val="24"/>
        </w:rPr>
        <w:t xml:space="preserve"> </w:t>
      </w:r>
    </w:p>
    <w:p>
      <w:pPr>
        <w:spacing w:line="500" w:lineRule="exact"/>
        <w:jc w:val="center"/>
        <w:rPr>
          <w:rFonts w:hint="eastAsia" w:ascii="宋体" w:hAnsi="宋体"/>
          <w:b/>
          <w:bCs/>
          <w:sz w:val="24"/>
          <w:szCs w:val="24"/>
        </w:rPr>
      </w:pPr>
      <w:r>
        <w:rPr>
          <w:rFonts w:hint="eastAsia" w:ascii="宋体" w:hAnsi="宋体"/>
          <w:b/>
          <w:bCs/>
          <w:sz w:val="24"/>
          <w:szCs w:val="24"/>
        </w:rPr>
        <w:t>B   招标文件</w:t>
      </w:r>
    </w:p>
    <w:p>
      <w:pPr>
        <w:spacing w:line="440" w:lineRule="exact"/>
        <w:rPr>
          <w:rFonts w:hint="eastAsia" w:ascii="宋体" w:hAnsi="宋体"/>
          <w:sz w:val="24"/>
          <w:szCs w:val="24"/>
        </w:rPr>
      </w:pPr>
      <w:r>
        <w:rPr>
          <w:rFonts w:hint="eastAsia" w:ascii="宋体" w:hAnsi="宋体"/>
          <w:sz w:val="24"/>
          <w:szCs w:val="24"/>
        </w:rPr>
        <w:t>6、招标文件</w:t>
      </w:r>
    </w:p>
    <w:p>
      <w:pPr>
        <w:spacing w:line="440" w:lineRule="exact"/>
        <w:ind w:firstLine="480" w:firstLineChars="200"/>
        <w:rPr>
          <w:rFonts w:hint="eastAsia" w:ascii="宋体" w:hAnsi="宋体"/>
          <w:sz w:val="24"/>
          <w:szCs w:val="24"/>
        </w:rPr>
      </w:pPr>
      <w:r>
        <w:rPr>
          <w:rFonts w:hint="eastAsia" w:ascii="宋体" w:hAnsi="宋体"/>
          <w:sz w:val="24"/>
          <w:szCs w:val="24"/>
        </w:rPr>
        <w:t>6.1招标文件由招标文件总目录所列内容组成。</w:t>
      </w:r>
    </w:p>
    <w:p>
      <w:pPr>
        <w:spacing w:line="440" w:lineRule="exact"/>
        <w:ind w:firstLine="480" w:firstLineChars="200"/>
        <w:rPr>
          <w:rFonts w:hint="eastAsia" w:ascii="宋体" w:hAnsi="宋体"/>
          <w:sz w:val="24"/>
          <w:szCs w:val="24"/>
        </w:rPr>
      </w:pPr>
      <w:r>
        <w:rPr>
          <w:rFonts w:hint="eastAsia" w:ascii="宋体" w:hAnsi="宋体"/>
          <w:sz w:val="24"/>
          <w:szCs w:val="24"/>
        </w:rPr>
        <w:t>6.2投标人应详细阅读招标文件的全部内容。不按招标文件的要求提供的投标文件和资料，则可能被视为无效标而导致投标被拒绝。</w:t>
      </w:r>
    </w:p>
    <w:p>
      <w:pPr>
        <w:spacing w:line="440" w:lineRule="exact"/>
        <w:ind w:firstLine="480" w:firstLineChars="200"/>
        <w:rPr>
          <w:rFonts w:hint="eastAsia" w:ascii="宋体" w:hAnsi="宋体"/>
          <w:b/>
          <w:bCs/>
          <w:sz w:val="24"/>
          <w:szCs w:val="24"/>
        </w:rPr>
      </w:pPr>
      <w:r>
        <w:rPr>
          <w:rFonts w:hint="eastAsia" w:ascii="宋体" w:hAnsi="宋体"/>
          <w:sz w:val="24"/>
          <w:szCs w:val="24"/>
        </w:rPr>
        <w:t>6.3为保证招标的公平性，若招标文件的技术指标要求存在排他性或歧视性条款，请投标人核实后，应在</w:t>
      </w:r>
      <w:r>
        <w:rPr>
          <w:rFonts w:hint="eastAsia" w:ascii="宋体" w:hAnsi="宋体"/>
          <w:color w:val="000000"/>
          <w:sz w:val="24"/>
          <w:szCs w:val="24"/>
        </w:rPr>
        <w:t>公告期限届满之日</w:t>
      </w:r>
      <w:r>
        <w:rPr>
          <w:rFonts w:hint="eastAsia" w:ascii="宋体" w:hAnsi="宋体"/>
          <w:sz w:val="24"/>
          <w:szCs w:val="24"/>
        </w:rPr>
        <w:t>起7个工作日内，以书面形式（加盖单位公章）向招标人提出质疑请求、理由及事实证据材料。</w:t>
      </w:r>
    </w:p>
    <w:p>
      <w:pPr>
        <w:spacing w:line="440" w:lineRule="exact"/>
        <w:ind w:firstLine="480" w:firstLineChars="200"/>
        <w:rPr>
          <w:rFonts w:hint="eastAsia" w:ascii="宋体" w:hAnsi="宋体"/>
          <w:sz w:val="24"/>
          <w:szCs w:val="24"/>
        </w:rPr>
      </w:pPr>
      <w:r>
        <w:rPr>
          <w:rFonts w:hint="eastAsia" w:ascii="宋体" w:hAnsi="宋体"/>
          <w:sz w:val="24"/>
          <w:szCs w:val="24"/>
        </w:rPr>
        <w:t>6.4投标人可在投标截止时间5日前，对招标文件如有疑问要求澄清的，可用书面形式通知招标人，招标人应用书面作答（包括网上公告形式）。如有必要，可将答复内容包括原提出的问题（但不标明问题查询的来源），以网上公告形式通告潜在投标人。</w:t>
      </w:r>
    </w:p>
    <w:p>
      <w:pPr>
        <w:spacing w:line="440" w:lineRule="exact"/>
        <w:ind w:firstLine="480" w:firstLineChars="200"/>
        <w:rPr>
          <w:rFonts w:hint="eastAsia" w:ascii="宋体" w:hAnsi="宋体"/>
          <w:sz w:val="24"/>
          <w:szCs w:val="24"/>
        </w:rPr>
      </w:pPr>
      <w:r>
        <w:rPr>
          <w:rFonts w:hint="eastAsia" w:ascii="宋体" w:hAnsi="宋体"/>
          <w:sz w:val="24"/>
          <w:szCs w:val="24"/>
        </w:rPr>
        <w:t>6.5招标人在投标截止时间前，可对招标文件做必要的澄清或修改，并在指定的政府采购信息发布媒体上发布补充公告。该澄清或者修改的内容为招标文件的组成部分。</w:t>
      </w:r>
    </w:p>
    <w:p>
      <w:pPr>
        <w:spacing w:line="440" w:lineRule="exact"/>
        <w:ind w:firstLine="480" w:firstLineChars="200"/>
        <w:rPr>
          <w:rFonts w:hint="eastAsia" w:ascii="宋体" w:hAnsi="宋体"/>
          <w:sz w:val="24"/>
          <w:szCs w:val="24"/>
        </w:rPr>
      </w:pPr>
      <w:r>
        <w:rPr>
          <w:rFonts w:hint="eastAsia" w:ascii="宋体" w:hAnsi="宋体"/>
          <w:sz w:val="24"/>
          <w:szCs w:val="24"/>
        </w:rPr>
        <w:t>6.6因6.4条款或6.5条款做出实质性澄清或修改影响投标人编制投标文件的，至投标截止时间不足15日的，应顺延推迟投标截止时间和开标时间，并在指定的政府采购信息发布媒体上发布补充公告。</w:t>
      </w:r>
    </w:p>
    <w:p>
      <w:pPr>
        <w:spacing w:line="500" w:lineRule="exact"/>
        <w:jc w:val="center"/>
        <w:rPr>
          <w:rFonts w:hint="eastAsia" w:ascii="宋体" w:hAnsi="宋体"/>
          <w:b/>
          <w:bCs/>
          <w:sz w:val="24"/>
          <w:szCs w:val="24"/>
        </w:rPr>
      </w:pPr>
      <w:r>
        <w:rPr>
          <w:rFonts w:hint="eastAsia" w:ascii="宋体" w:hAnsi="宋体"/>
          <w:b/>
          <w:bCs/>
          <w:sz w:val="24"/>
          <w:szCs w:val="24"/>
        </w:rPr>
        <w:t>C  投标文件</w:t>
      </w:r>
    </w:p>
    <w:p>
      <w:pPr>
        <w:spacing w:line="440" w:lineRule="exact"/>
        <w:rPr>
          <w:rFonts w:hint="eastAsia" w:ascii="宋体" w:hAnsi="宋体"/>
          <w:sz w:val="24"/>
          <w:szCs w:val="24"/>
        </w:rPr>
      </w:pPr>
      <w:r>
        <w:rPr>
          <w:rFonts w:hint="eastAsia" w:ascii="宋体" w:hAnsi="宋体"/>
          <w:sz w:val="24"/>
          <w:szCs w:val="24"/>
        </w:rPr>
        <w:t>7、投标文件语言和计量单位</w:t>
      </w:r>
    </w:p>
    <w:p>
      <w:pPr>
        <w:pStyle w:val="3"/>
        <w:spacing w:line="440" w:lineRule="exact"/>
        <w:ind w:firstLine="480" w:firstLineChars="200"/>
        <w:rPr>
          <w:rFonts w:hint="eastAsia" w:ascii="宋体" w:hAnsi="宋体"/>
          <w:sz w:val="24"/>
          <w:szCs w:val="24"/>
        </w:rPr>
      </w:pPr>
      <w:r>
        <w:rPr>
          <w:rFonts w:hint="eastAsia" w:ascii="宋体" w:hAnsi="宋体"/>
          <w:sz w:val="24"/>
          <w:szCs w:val="24"/>
        </w:rPr>
        <w:t>7.1投标文件应用中文书写。投标文件中所附或所引用的原件不是中文时，应附中文译本。</w:t>
      </w:r>
    </w:p>
    <w:p>
      <w:pPr>
        <w:pStyle w:val="3"/>
        <w:spacing w:line="440" w:lineRule="exact"/>
        <w:ind w:firstLine="480" w:firstLineChars="200"/>
        <w:rPr>
          <w:rFonts w:hint="eastAsia" w:ascii="宋体" w:hAnsi="宋体"/>
          <w:sz w:val="24"/>
          <w:szCs w:val="24"/>
        </w:rPr>
      </w:pPr>
      <w:r>
        <w:rPr>
          <w:rFonts w:hint="eastAsia" w:ascii="宋体" w:hAnsi="宋体"/>
          <w:sz w:val="24"/>
          <w:szCs w:val="24"/>
        </w:rPr>
        <w:t>7.2投标文件中所使用的计量单位，除招标文件中有特殊要求外，应采用国家法定计量单位。</w:t>
      </w:r>
    </w:p>
    <w:p>
      <w:pPr>
        <w:spacing w:line="440" w:lineRule="exact"/>
        <w:rPr>
          <w:rFonts w:hint="eastAsia" w:ascii="宋体" w:hAnsi="宋体"/>
          <w:sz w:val="24"/>
          <w:szCs w:val="24"/>
        </w:rPr>
      </w:pPr>
      <w:r>
        <w:rPr>
          <w:rFonts w:hint="eastAsia" w:ascii="宋体" w:hAnsi="宋体"/>
          <w:sz w:val="24"/>
          <w:szCs w:val="24"/>
        </w:rPr>
        <w:t>8、投标文件的制作</w:t>
      </w:r>
    </w:p>
    <w:p>
      <w:pPr>
        <w:spacing w:line="440" w:lineRule="exact"/>
        <w:ind w:firstLine="480" w:firstLineChars="200"/>
        <w:rPr>
          <w:rFonts w:hint="eastAsia" w:ascii="宋体" w:hAnsi="宋体"/>
          <w:sz w:val="24"/>
          <w:szCs w:val="24"/>
        </w:rPr>
      </w:pPr>
      <w:r>
        <w:rPr>
          <w:rFonts w:hint="eastAsia" w:ascii="宋体" w:hAnsi="宋体"/>
          <w:sz w:val="24"/>
          <w:szCs w:val="24"/>
        </w:rPr>
        <w:t>8.1</w:t>
      </w:r>
      <w:r>
        <w:rPr>
          <w:rFonts w:hint="eastAsia"/>
          <w:sz w:val="24"/>
          <w:szCs w:val="24"/>
        </w:rPr>
        <w:t xml:space="preserve"> 投标文件规格幅面（A4）应与正文一致，按照招标文件第六部分对投标文件格式部分规定的顺序，统一编目编码并编制目录。由于编排混乱导致投标文件被误读或查找不到，责任应当由投标人承担。</w:t>
      </w:r>
    </w:p>
    <w:p>
      <w:pPr>
        <w:spacing w:line="440" w:lineRule="exact"/>
        <w:ind w:firstLine="482" w:firstLineChars="200"/>
        <w:rPr>
          <w:rFonts w:hint="eastAsia" w:ascii="宋体" w:hAnsi="宋体"/>
          <w:b/>
          <w:bCs/>
          <w:sz w:val="24"/>
          <w:szCs w:val="24"/>
        </w:rPr>
      </w:pPr>
      <w:r>
        <w:rPr>
          <w:rFonts w:hint="eastAsia" w:ascii="宋体" w:hAnsi="宋体"/>
          <w:b/>
          <w:bCs/>
          <w:sz w:val="24"/>
          <w:szCs w:val="24"/>
        </w:rPr>
        <w:t>8.2 制作电子投标文件的系统配置要求：</w:t>
      </w:r>
      <w:r>
        <w:rPr>
          <w:rFonts w:hint="eastAsia" w:ascii="宋体" w:hAnsi="宋体"/>
          <w:b/>
          <w:bCs/>
          <w:color w:val="FF0000"/>
          <w:sz w:val="24"/>
          <w:szCs w:val="24"/>
        </w:rPr>
        <w:t>64位的windows7及以上操作系统</w:t>
      </w:r>
      <w:r>
        <w:rPr>
          <w:rFonts w:hint="eastAsia" w:ascii="宋体" w:hAnsi="宋体"/>
          <w:b/>
          <w:bCs/>
          <w:sz w:val="24"/>
          <w:szCs w:val="24"/>
        </w:rPr>
        <w:t>。</w:t>
      </w:r>
    </w:p>
    <w:p>
      <w:pPr>
        <w:spacing w:line="440" w:lineRule="exact"/>
        <w:ind w:firstLine="482" w:firstLineChars="200"/>
        <w:rPr>
          <w:rFonts w:hint="eastAsia" w:ascii="宋体" w:hAnsi="宋体"/>
          <w:sz w:val="24"/>
          <w:szCs w:val="24"/>
        </w:rPr>
      </w:pPr>
      <w:r>
        <w:rPr>
          <w:rFonts w:hint="eastAsia" w:ascii="宋体" w:hAnsi="宋体"/>
          <w:b/>
          <w:bCs/>
          <w:sz w:val="24"/>
          <w:szCs w:val="24"/>
        </w:rPr>
        <w:t>8.3潜在供应商应提前完成供应商注册，成为浙江省政府采购网(zfcg.czt.zj.gov.cn)正式供应商，并完成CA数字证书办理（CA驱动和申领流程：浙江政府采购网 &gt; 下载专区 &gt; 电子交易客户端 &gt; CA驱动和申领流程）。因未注册入库、未办理CA数字证书等原因造成无法投标或投标失败等后果由供应商自行承担。</w:t>
      </w:r>
    </w:p>
    <w:p>
      <w:pPr>
        <w:spacing w:line="440" w:lineRule="exact"/>
        <w:ind w:firstLine="480" w:firstLineChars="200"/>
        <w:rPr>
          <w:rFonts w:hint="eastAsia" w:ascii="宋体" w:hAnsi="宋体"/>
          <w:sz w:val="24"/>
          <w:szCs w:val="24"/>
        </w:rPr>
      </w:pPr>
      <w:r>
        <w:rPr>
          <w:rFonts w:hint="eastAsia" w:ascii="宋体" w:hAnsi="宋体"/>
          <w:sz w:val="24"/>
          <w:szCs w:val="24"/>
        </w:rPr>
        <w:t>8.4供应商通过政采云电子交易客户端（下载位置：浙江政府采购网 &gt; 下载专区 &gt; 电子交易客户端 &gt; 政采云电子交易客户端）制作电子加密投标文件（后缀jmbs），按“供应商-电子交易操作手册.pdf”及本招标文件规定的格式和顺序编制并进行关联定位、加密并在投标截止时间前上传。</w:t>
      </w:r>
    </w:p>
    <w:p>
      <w:pPr>
        <w:spacing w:line="440" w:lineRule="exact"/>
        <w:ind w:firstLine="480" w:firstLineChars="200"/>
        <w:rPr>
          <w:rFonts w:hint="eastAsia" w:ascii="宋体" w:hAnsi="宋体"/>
          <w:sz w:val="24"/>
          <w:szCs w:val="24"/>
        </w:rPr>
      </w:pPr>
      <w:r>
        <w:rPr>
          <w:rFonts w:hint="eastAsia" w:ascii="宋体" w:hAnsi="宋体"/>
          <w:sz w:val="24"/>
          <w:szCs w:val="24"/>
        </w:rPr>
        <w:t>8.5 供应商在使用电子交易平台进行投标的过程中遇到涉及平台使用的任何问题，可致电政采云平台技术支持热线咨询，联系方式：</w:t>
      </w:r>
      <w:r>
        <w:rPr>
          <w:rFonts w:hint="eastAsia" w:ascii="宋体" w:hAnsi="宋体"/>
          <w:sz w:val="24"/>
          <w:szCs w:val="24"/>
          <w:lang w:val="en-US" w:eastAsia="zh-CN"/>
        </w:rPr>
        <w:t>95763</w:t>
      </w:r>
      <w:r>
        <w:rPr>
          <w:rFonts w:hint="eastAsia" w:ascii="宋体" w:hAnsi="宋体"/>
          <w:sz w:val="24"/>
          <w:szCs w:val="24"/>
        </w:rPr>
        <w:t>（服务时间：工作日8：00-20：00）。</w:t>
      </w:r>
    </w:p>
    <w:p>
      <w:pPr>
        <w:spacing w:line="440" w:lineRule="exact"/>
        <w:rPr>
          <w:rFonts w:hint="eastAsia" w:ascii="宋体" w:hAnsi="宋体"/>
          <w:sz w:val="24"/>
          <w:szCs w:val="24"/>
        </w:rPr>
      </w:pPr>
      <w:r>
        <w:rPr>
          <w:rFonts w:hint="eastAsia" w:ascii="宋体" w:hAnsi="宋体"/>
          <w:sz w:val="24"/>
          <w:szCs w:val="24"/>
        </w:rPr>
        <w:t>9、投标报价</w:t>
      </w:r>
    </w:p>
    <w:p>
      <w:pPr>
        <w:spacing w:line="440" w:lineRule="exact"/>
        <w:ind w:firstLine="480" w:firstLineChars="200"/>
        <w:rPr>
          <w:rFonts w:hint="eastAsia" w:ascii="宋体" w:hAnsi="宋体"/>
          <w:sz w:val="24"/>
          <w:szCs w:val="24"/>
        </w:rPr>
      </w:pPr>
      <w:r>
        <w:rPr>
          <w:rFonts w:hint="eastAsia" w:ascii="宋体" w:hAnsi="宋体"/>
          <w:sz w:val="24"/>
          <w:szCs w:val="24"/>
        </w:rPr>
        <w:t>9.1投标人要按投标产品数量、价格表的内容要求完整填写。</w:t>
      </w:r>
    </w:p>
    <w:p>
      <w:pPr>
        <w:spacing w:line="440" w:lineRule="exact"/>
        <w:ind w:firstLine="480" w:firstLineChars="200"/>
        <w:rPr>
          <w:rFonts w:hint="eastAsia" w:ascii="宋体" w:hAnsi="宋体"/>
          <w:sz w:val="24"/>
          <w:szCs w:val="24"/>
        </w:rPr>
      </w:pPr>
      <w:r>
        <w:rPr>
          <w:rFonts w:hint="eastAsia" w:ascii="宋体" w:hAnsi="宋体"/>
          <w:sz w:val="24"/>
          <w:szCs w:val="24"/>
        </w:rPr>
        <w:t>9.2对于非标准产品的投标，还应填报报价明细表（报价明细表格式由投标人自行设计）。</w:t>
      </w:r>
    </w:p>
    <w:p>
      <w:pPr>
        <w:spacing w:line="440" w:lineRule="exact"/>
        <w:ind w:firstLine="480" w:firstLineChars="200"/>
        <w:rPr>
          <w:rFonts w:hint="eastAsia" w:ascii="宋体" w:hAnsi="宋体"/>
          <w:sz w:val="24"/>
          <w:szCs w:val="24"/>
        </w:rPr>
      </w:pPr>
      <w:r>
        <w:rPr>
          <w:rFonts w:hint="eastAsia" w:ascii="宋体" w:hAnsi="宋体"/>
          <w:sz w:val="24"/>
          <w:szCs w:val="24"/>
        </w:rPr>
        <w:t>9.3所有投标均以人民币报价，投标人如需用外汇购入某些投标产品，须折合人民币计入总报价中，同时提供美金报价、折扣率、与人民币比值。</w:t>
      </w:r>
    </w:p>
    <w:p>
      <w:pPr>
        <w:spacing w:line="440" w:lineRule="exact"/>
        <w:ind w:firstLine="480" w:firstLineChars="200"/>
        <w:rPr>
          <w:rFonts w:hint="eastAsia" w:ascii="宋体" w:hAnsi="宋体"/>
          <w:sz w:val="24"/>
          <w:szCs w:val="24"/>
        </w:rPr>
      </w:pPr>
      <w:r>
        <w:rPr>
          <w:rFonts w:hint="eastAsia" w:ascii="宋体" w:hAnsi="宋体"/>
          <w:sz w:val="24"/>
          <w:szCs w:val="24"/>
        </w:rPr>
        <w:t>9.4除招标文件中有特殊规定外，招标人不接受任何选择报价，投标人对每一种产品只允许有一个报价。</w:t>
      </w:r>
    </w:p>
    <w:p>
      <w:pPr>
        <w:spacing w:line="440" w:lineRule="exact"/>
        <w:ind w:firstLine="480" w:firstLineChars="200"/>
        <w:rPr>
          <w:rFonts w:hint="eastAsia" w:ascii="宋体" w:hAnsi="宋体"/>
          <w:sz w:val="24"/>
          <w:szCs w:val="24"/>
        </w:rPr>
      </w:pPr>
      <w:r>
        <w:rPr>
          <w:rFonts w:hint="eastAsia" w:ascii="宋体" w:hAnsi="宋体"/>
          <w:sz w:val="24"/>
          <w:szCs w:val="24"/>
        </w:rPr>
        <w:t>9.5最低报价不能作为中标的保证。</w:t>
      </w:r>
    </w:p>
    <w:p>
      <w:pPr>
        <w:spacing w:line="440" w:lineRule="exact"/>
        <w:rPr>
          <w:rFonts w:hint="eastAsia" w:ascii="宋体" w:hAnsi="宋体"/>
          <w:sz w:val="24"/>
          <w:szCs w:val="24"/>
        </w:rPr>
      </w:pPr>
      <w:r>
        <w:rPr>
          <w:rFonts w:hint="eastAsia" w:ascii="宋体" w:hAnsi="宋体"/>
          <w:sz w:val="24"/>
          <w:szCs w:val="24"/>
        </w:rPr>
        <w:t>10、投标文件的有效期</w:t>
      </w:r>
    </w:p>
    <w:p>
      <w:pPr>
        <w:spacing w:line="440" w:lineRule="exact"/>
        <w:ind w:firstLine="480" w:firstLineChars="200"/>
        <w:rPr>
          <w:rFonts w:hint="eastAsia" w:ascii="宋体" w:hAnsi="宋体"/>
          <w:sz w:val="24"/>
          <w:szCs w:val="24"/>
        </w:rPr>
      </w:pPr>
      <w:r>
        <w:rPr>
          <w:rFonts w:hint="eastAsia" w:ascii="宋体" w:hAnsi="宋体"/>
          <w:sz w:val="24"/>
          <w:szCs w:val="24"/>
        </w:rPr>
        <w:t>10.1在投标有效期内，投标文件应保持有效。</w:t>
      </w:r>
    </w:p>
    <w:p>
      <w:pPr>
        <w:spacing w:line="440" w:lineRule="exact"/>
        <w:ind w:firstLine="480" w:firstLineChars="200"/>
        <w:rPr>
          <w:rFonts w:hint="eastAsia" w:ascii="宋体" w:hAnsi="宋体"/>
          <w:sz w:val="24"/>
          <w:szCs w:val="24"/>
        </w:rPr>
      </w:pPr>
      <w:r>
        <w:rPr>
          <w:rFonts w:hint="eastAsia" w:ascii="宋体" w:hAnsi="宋体"/>
          <w:sz w:val="24"/>
          <w:szCs w:val="24"/>
        </w:rPr>
        <w:t>10.2在特殊情况下，招标人可与投标人协商延长投标标书的有效期，这种要求和答复都应以书面的形式进行，同意延长有效期的投标人不能修改投标文件。</w:t>
      </w:r>
    </w:p>
    <w:p>
      <w:pPr>
        <w:spacing w:line="440" w:lineRule="exact"/>
        <w:rPr>
          <w:rFonts w:hint="eastAsia" w:ascii="宋体" w:hAnsi="宋体"/>
          <w:sz w:val="24"/>
          <w:szCs w:val="24"/>
        </w:rPr>
      </w:pPr>
      <w:r>
        <w:rPr>
          <w:rFonts w:hint="eastAsia" w:ascii="宋体" w:hAnsi="宋体"/>
          <w:sz w:val="24"/>
          <w:szCs w:val="24"/>
        </w:rPr>
        <w:t>11、投标文件的签署</w:t>
      </w:r>
    </w:p>
    <w:p>
      <w:pPr>
        <w:spacing w:line="440" w:lineRule="exact"/>
        <w:ind w:firstLine="480" w:firstLineChars="200"/>
        <w:rPr>
          <w:rFonts w:hint="eastAsia" w:ascii="宋体" w:hAnsi="宋体"/>
          <w:sz w:val="24"/>
          <w:szCs w:val="24"/>
        </w:rPr>
      </w:pPr>
      <w:r>
        <w:rPr>
          <w:rFonts w:hint="eastAsia" w:ascii="宋体" w:hAnsi="宋体"/>
          <w:sz w:val="24"/>
          <w:szCs w:val="24"/>
        </w:rPr>
        <w:t>投标文件应按招标文件第六部分对投标文件格式部分规定的要求进行签署。</w:t>
      </w:r>
    </w:p>
    <w:p>
      <w:pPr>
        <w:spacing w:line="500" w:lineRule="exact"/>
        <w:rPr>
          <w:rFonts w:hint="eastAsia" w:ascii="宋体" w:hAnsi="宋体"/>
          <w:sz w:val="24"/>
          <w:szCs w:val="24"/>
        </w:rPr>
      </w:pPr>
      <w:r>
        <w:rPr>
          <w:rFonts w:hint="eastAsia" w:ascii="宋体" w:hAnsi="宋体"/>
          <w:sz w:val="24"/>
          <w:szCs w:val="24"/>
        </w:rPr>
        <w:t xml:space="preserve"> </w:t>
      </w:r>
    </w:p>
    <w:p>
      <w:pPr>
        <w:spacing w:line="500" w:lineRule="exact"/>
        <w:jc w:val="center"/>
        <w:rPr>
          <w:rFonts w:hint="eastAsia" w:ascii="宋体" w:hAnsi="宋体"/>
          <w:b/>
          <w:bCs/>
          <w:sz w:val="24"/>
          <w:szCs w:val="24"/>
        </w:rPr>
      </w:pPr>
      <w:r>
        <w:rPr>
          <w:rFonts w:hint="eastAsia" w:ascii="宋体" w:hAnsi="宋体"/>
          <w:b/>
          <w:bCs/>
          <w:sz w:val="24"/>
          <w:szCs w:val="24"/>
        </w:rPr>
        <w:t>D投标文件的递交</w:t>
      </w:r>
    </w:p>
    <w:p>
      <w:pPr>
        <w:numPr>
          <w:ilvl w:val="0"/>
          <w:numId w:val="8"/>
        </w:numPr>
        <w:spacing w:line="440" w:lineRule="exact"/>
        <w:rPr>
          <w:rFonts w:hint="eastAsia" w:ascii="宋体" w:hAnsi="宋体"/>
          <w:sz w:val="24"/>
          <w:szCs w:val="24"/>
        </w:rPr>
      </w:pPr>
      <w:r>
        <w:rPr>
          <w:rFonts w:hint="eastAsia" w:ascii="宋体" w:hAnsi="宋体"/>
          <w:sz w:val="24"/>
          <w:szCs w:val="24"/>
        </w:rPr>
        <w:t>投标截止时间</w:t>
      </w:r>
    </w:p>
    <w:p>
      <w:pPr>
        <w:spacing w:line="440" w:lineRule="exact"/>
        <w:ind w:firstLine="480" w:firstLineChars="200"/>
        <w:rPr>
          <w:rFonts w:hint="eastAsia" w:ascii="宋体" w:hAnsi="宋体"/>
          <w:sz w:val="24"/>
          <w:szCs w:val="24"/>
        </w:rPr>
      </w:pPr>
      <w:r>
        <w:rPr>
          <w:rFonts w:hint="eastAsia" w:ascii="宋体" w:hAnsi="宋体"/>
          <w:sz w:val="24"/>
          <w:szCs w:val="24"/>
        </w:rPr>
        <w:t>投标文件须按照招标文件规定的投标时间上传。截至投标截止时间，电子投标通道将关闭，投标人未完成电子投标文件上传的，投标将被拒绝。</w:t>
      </w:r>
    </w:p>
    <w:p>
      <w:pPr>
        <w:snapToGrid w:val="0"/>
        <w:spacing w:line="440" w:lineRule="exact"/>
        <w:rPr>
          <w:rFonts w:hint="eastAsia" w:ascii="微软雅黑" w:hAnsi="微软雅黑" w:eastAsia="微软雅黑"/>
          <w:szCs w:val="21"/>
        </w:rPr>
      </w:pPr>
      <w:r>
        <w:rPr>
          <w:rFonts w:hint="eastAsia"/>
          <w:sz w:val="24"/>
          <w:szCs w:val="24"/>
        </w:rPr>
        <w:t>13、投标文件的补充、修改和撤回</w:t>
      </w:r>
    </w:p>
    <w:p>
      <w:pPr>
        <w:spacing w:line="440" w:lineRule="exact"/>
        <w:ind w:firstLine="480" w:firstLineChars="200"/>
        <w:rPr>
          <w:rFonts w:hint="eastAsia" w:ascii="宋体" w:hAnsi="宋体"/>
          <w:sz w:val="24"/>
          <w:szCs w:val="24"/>
        </w:rPr>
      </w:pPr>
      <w:r>
        <w:rPr>
          <w:rFonts w:hint="eastAsia" w:ascii="宋体" w:hAnsi="宋体"/>
          <w:sz w:val="24"/>
          <w:szCs w:val="24"/>
        </w:rPr>
        <w:t>13.1 投标人在投标截止时间前，可对其所递交的投标文件进行补充、修改或者撤回。</w:t>
      </w:r>
    </w:p>
    <w:p>
      <w:pPr>
        <w:spacing w:line="440" w:lineRule="exact"/>
        <w:ind w:firstLine="480" w:firstLineChars="200"/>
        <w:rPr>
          <w:rFonts w:hint="eastAsia" w:ascii="宋体" w:hAnsi="宋体"/>
          <w:sz w:val="24"/>
          <w:szCs w:val="24"/>
        </w:rPr>
      </w:pPr>
      <w:r>
        <w:rPr>
          <w:rFonts w:hint="eastAsia" w:ascii="宋体" w:hAnsi="宋体"/>
          <w:sz w:val="24"/>
          <w:szCs w:val="24"/>
        </w:rPr>
        <w:t>13.2 投标人在投标截止时间前需要对投标文件进行补充、修改的，应当使用投标文件制作工具重新制作并上传。</w:t>
      </w:r>
    </w:p>
    <w:p>
      <w:pPr>
        <w:spacing w:line="440" w:lineRule="exact"/>
        <w:ind w:firstLine="480" w:firstLineChars="200"/>
        <w:rPr>
          <w:rFonts w:hint="eastAsia" w:ascii="宋体" w:hAnsi="宋体"/>
          <w:sz w:val="24"/>
          <w:szCs w:val="24"/>
        </w:rPr>
      </w:pPr>
      <w:r>
        <w:rPr>
          <w:rFonts w:hint="eastAsia" w:ascii="宋体" w:hAnsi="宋体"/>
          <w:sz w:val="24"/>
          <w:szCs w:val="24"/>
        </w:rPr>
        <w:t>13.3 在投标截止时间之后，投标人不得撤回投标。</w:t>
      </w:r>
    </w:p>
    <w:p>
      <w:pPr>
        <w:spacing w:line="500" w:lineRule="exact"/>
        <w:ind w:firstLine="420"/>
        <w:jc w:val="center"/>
        <w:rPr>
          <w:rFonts w:hint="eastAsia" w:ascii="宋体" w:hAnsi="宋体"/>
          <w:b/>
          <w:bCs/>
          <w:sz w:val="24"/>
          <w:szCs w:val="24"/>
        </w:rPr>
      </w:pPr>
      <w:r>
        <w:rPr>
          <w:rFonts w:hint="eastAsia" w:ascii="宋体" w:hAnsi="宋体"/>
          <w:b/>
          <w:bCs/>
          <w:sz w:val="24"/>
          <w:szCs w:val="24"/>
        </w:rPr>
        <w:t xml:space="preserve"> </w:t>
      </w:r>
    </w:p>
    <w:p>
      <w:pPr>
        <w:spacing w:line="500" w:lineRule="exact"/>
        <w:jc w:val="center"/>
        <w:rPr>
          <w:rFonts w:hint="eastAsia" w:ascii="宋体" w:hAnsi="宋体"/>
          <w:b/>
          <w:bCs/>
          <w:sz w:val="24"/>
          <w:szCs w:val="24"/>
        </w:rPr>
      </w:pPr>
      <w:r>
        <w:rPr>
          <w:rFonts w:hint="eastAsia" w:ascii="宋体" w:hAnsi="宋体"/>
          <w:b/>
          <w:bCs/>
          <w:sz w:val="24"/>
          <w:szCs w:val="24"/>
        </w:rPr>
        <w:t>E  开标及评标</w:t>
      </w:r>
    </w:p>
    <w:p>
      <w:pPr>
        <w:spacing w:line="440" w:lineRule="exact"/>
        <w:rPr>
          <w:rFonts w:hint="eastAsia" w:ascii="宋体" w:hAnsi="宋体"/>
          <w:sz w:val="24"/>
          <w:szCs w:val="24"/>
        </w:rPr>
      </w:pPr>
      <w:r>
        <w:rPr>
          <w:rFonts w:hint="eastAsia" w:ascii="宋体" w:hAnsi="宋体"/>
          <w:sz w:val="24"/>
          <w:szCs w:val="24"/>
        </w:rPr>
        <w:t>14、 开标评标过程中出现以下情形，导致电子交易平台无法正常运行，且无法保证电子交易的公平、公正和安全时，招标人可暂停电子交易活动：</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14.1电子交易平台发生故障而无法登录访问的； </w:t>
      </w:r>
    </w:p>
    <w:p>
      <w:pPr>
        <w:spacing w:line="440" w:lineRule="exact"/>
        <w:ind w:firstLine="480" w:firstLineChars="200"/>
        <w:rPr>
          <w:rFonts w:hint="eastAsia" w:ascii="宋体" w:hAnsi="宋体"/>
          <w:sz w:val="24"/>
          <w:szCs w:val="24"/>
        </w:rPr>
      </w:pPr>
      <w:r>
        <w:rPr>
          <w:rFonts w:hint="eastAsia" w:ascii="宋体" w:hAnsi="宋体"/>
          <w:sz w:val="24"/>
          <w:szCs w:val="24"/>
        </w:rPr>
        <w:t>14.2电子交易平台应用或数据库出现错误，不能进行正常操作的；</w:t>
      </w:r>
    </w:p>
    <w:p>
      <w:pPr>
        <w:spacing w:line="440" w:lineRule="exact"/>
        <w:ind w:firstLine="480" w:firstLineChars="200"/>
        <w:rPr>
          <w:rFonts w:hint="eastAsia" w:ascii="宋体" w:hAnsi="宋体"/>
          <w:sz w:val="24"/>
          <w:szCs w:val="24"/>
        </w:rPr>
      </w:pPr>
      <w:r>
        <w:rPr>
          <w:rFonts w:hint="eastAsia" w:ascii="宋体" w:hAnsi="宋体"/>
          <w:sz w:val="24"/>
          <w:szCs w:val="24"/>
        </w:rPr>
        <w:t>14.3电子交易平台发现严重安全漏洞，有潜在泄密危险的；</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14.4病毒发作导致不能进行正常操作的； </w:t>
      </w:r>
    </w:p>
    <w:p>
      <w:pPr>
        <w:spacing w:line="440" w:lineRule="exact"/>
        <w:ind w:firstLine="480" w:firstLineChars="200"/>
        <w:rPr>
          <w:rFonts w:hint="eastAsia" w:ascii="宋体" w:hAnsi="宋体"/>
          <w:sz w:val="24"/>
          <w:szCs w:val="24"/>
        </w:rPr>
      </w:pPr>
      <w:r>
        <w:rPr>
          <w:rFonts w:hint="eastAsia" w:ascii="宋体" w:hAnsi="宋体"/>
          <w:sz w:val="24"/>
          <w:szCs w:val="24"/>
        </w:rPr>
        <w:t>14.5其他无法保证电子交易的公平、公正和安全的情况。</w:t>
      </w:r>
    </w:p>
    <w:p>
      <w:pPr>
        <w:spacing w:line="440" w:lineRule="exact"/>
        <w:ind w:firstLine="480" w:firstLineChars="200"/>
        <w:rPr>
          <w:rFonts w:hint="eastAsia" w:ascii="宋体" w:hAnsi="宋体"/>
          <w:sz w:val="24"/>
          <w:szCs w:val="24"/>
        </w:rPr>
      </w:pPr>
      <w:r>
        <w:rPr>
          <w:rFonts w:hint="eastAsia" w:ascii="宋体" w:hAnsi="宋体"/>
          <w:sz w:val="24"/>
          <w:szCs w:val="24"/>
        </w:rPr>
        <w:t xml:space="preserve">出现前款规定情形，不影响采购公平、公正性的，招标人可以待上述情形消除后继续组织电子交易活动；影响或可能影响采购公平、公正性的，应当重新组织采购。 </w:t>
      </w:r>
    </w:p>
    <w:p>
      <w:pPr>
        <w:spacing w:line="440" w:lineRule="exact"/>
        <w:rPr>
          <w:rFonts w:hint="eastAsia" w:ascii="宋体" w:hAnsi="宋体"/>
          <w:sz w:val="24"/>
          <w:szCs w:val="24"/>
        </w:rPr>
      </w:pPr>
      <w:r>
        <w:rPr>
          <w:rFonts w:hint="eastAsia" w:ascii="宋体" w:hAnsi="宋体"/>
          <w:sz w:val="24"/>
          <w:szCs w:val="24"/>
        </w:rPr>
        <w:t>15、电子开标</w:t>
      </w:r>
    </w:p>
    <w:p>
      <w:pPr>
        <w:spacing w:line="440" w:lineRule="exact"/>
        <w:ind w:firstLine="480" w:firstLineChars="200"/>
        <w:rPr>
          <w:rFonts w:hint="eastAsia" w:ascii="宋体" w:hAnsi="宋体"/>
          <w:sz w:val="24"/>
          <w:szCs w:val="24"/>
        </w:rPr>
      </w:pPr>
      <w:r>
        <w:rPr>
          <w:rFonts w:hint="eastAsia" w:ascii="宋体" w:hAnsi="宋体"/>
          <w:sz w:val="24"/>
          <w:szCs w:val="24"/>
        </w:rPr>
        <w:t>15.1  招标人在政采云平台主持电子开标。</w:t>
      </w:r>
    </w:p>
    <w:p>
      <w:pPr>
        <w:spacing w:line="440" w:lineRule="exact"/>
        <w:ind w:firstLine="480" w:firstLineChars="200"/>
        <w:rPr>
          <w:rFonts w:hint="eastAsia" w:ascii="宋体" w:hAnsi="宋体"/>
          <w:sz w:val="24"/>
          <w:szCs w:val="24"/>
        </w:rPr>
      </w:pPr>
      <w:r>
        <w:rPr>
          <w:rFonts w:hint="eastAsia" w:ascii="宋体" w:hAnsi="宋体"/>
          <w:sz w:val="24"/>
          <w:szCs w:val="24"/>
        </w:rPr>
        <w:t>15.1.1 投标截止时间到，投标人不足3家，不进入标书解密开标程序。</w:t>
      </w:r>
    </w:p>
    <w:p>
      <w:pPr>
        <w:spacing w:line="440" w:lineRule="exact"/>
        <w:ind w:firstLine="480" w:firstLineChars="200"/>
        <w:rPr>
          <w:rFonts w:hint="eastAsia" w:ascii="宋体" w:hAnsi="宋体"/>
          <w:color w:val="FF0000"/>
          <w:sz w:val="24"/>
          <w:szCs w:val="24"/>
        </w:rPr>
      </w:pPr>
      <w:r>
        <w:rPr>
          <w:rFonts w:hint="eastAsia" w:ascii="宋体" w:hAnsi="宋体"/>
          <w:sz w:val="24"/>
          <w:szCs w:val="24"/>
        </w:rPr>
        <w:t>15.1.2 投标人须登录政采云平台在</w:t>
      </w:r>
      <w:r>
        <w:rPr>
          <w:rFonts w:hint="eastAsia" w:ascii="宋体" w:hAnsi="宋体"/>
          <w:b/>
          <w:bCs/>
          <w:sz w:val="24"/>
          <w:szCs w:val="24"/>
        </w:rPr>
        <w:t>投标截止时间后30分钟内</w:t>
      </w:r>
      <w:r>
        <w:rPr>
          <w:rFonts w:hint="eastAsia" w:ascii="宋体" w:hAnsi="宋体"/>
          <w:sz w:val="24"/>
          <w:szCs w:val="24"/>
        </w:rPr>
        <w:t>用制作加密投标文件的数字认证证书（</w:t>
      </w:r>
      <w:r>
        <w:rPr>
          <w:rFonts w:hint="eastAsia" w:ascii="宋体" w:hAnsi="宋体"/>
          <w:b/>
          <w:bCs/>
          <w:sz w:val="24"/>
          <w:szCs w:val="24"/>
        </w:rPr>
        <w:t>同一个CA证书</w:t>
      </w:r>
      <w:r>
        <w:rPr>
          <w:rFonts w:hint="eastAsia" w:ascii="宋体" w:hAnsi="宋体"/>
          <w:sz w:val="24"/>
          <w:szCs w:val="24"/>
        </w:rPr>
        <w:t>）完成投标文件解密工作，公布开标一览表内容。</w:t>
      </w:r>
      <w:r>
        <w:rPr>
          <w:rFonts w:hint="eastAsia" w:ascii="宋体" w:hAnsi="宋体"/>
          <w:b/>
          <w:bCs/>
          <w:sz w:val="24"/>
          <w:szCs w:val="24"/>
        </w:rPr>
        <w:t>解密结束时间后，系统自动关闭解密通道，未解密的投标文件将作为无效投标被拒绝。</w:t>
      </w:r>
      <w:r>
        <w:rPr>
          <w:rFonts w:hint="eastAsia" w:ascii="宋体" w:hAnsi="宋体"/>
          <w:color w:val="FF0000"/>
          <w:sz w:val="24"/>
          <w:szCs w:val="24"/>
        </w:rPr>
        <w:t>为避免投标工具驱动安装、系统兼容性和网络环境等问题，建议投标人用制作投标文件的电脑进行解密。</w:t>
      </w:r>
    </w:p>
    <w:p>
      <w:pPr>
        <w:spacing w:line="440" w:lineRule="exact"/>
        <w:ind w:firstLine="480" w:firstLineChars="200"/>
        <w:rPr>
          <w:rFonts w:hint="eastAsia" w:ascii="宋体" w:hAnsi="宋体"/>
          <w:color w:val="FF0000"/>
          <w:sz w:val="24"/>
          <w:szCs w:val="24"/>
        </w:rPr>
      </w:pPr>
      <w:r>
        <w:rPr>
          <w:rFonts w:hint="eastAsia" w:ascii="宋体" w:hAnsi="宋体"/>
          <w:sz w:val="24"/>
          <w:szCs w:val="24"/>
        </w:rPr>
        <w:t>15.2 需要参加项目现场讲标（答辩）的，授权代表应当参加，并在投标现场提供参加人员名单及身份证明材料。</w:t>
      </w:r>
    </w:p>
    <w:p>
      <w:pPr>
        <w:spacing w:line="440" w:lineRule="exact"/>
        <w:rPr>
          <w:rFonts w:hint="eastAsia" w:ascii="宋体" w:hAnsi="宋体"/>
          <w:color w:val="FF0000"/>
          <w:sz w:val="24"/>
          <w:szCs w:val="24"/>
        </w:rPr>
      </w:pPr>
      <w:r>
        <w:rPr>
          <w:rFonts w:hint="eastAsia" w:ascii="宋体" w:hAnsi="宋体"/>
          <w:sz w:val="24"/>
          <w:szCs w:val="24"/>
        </w:rPr>
        <w:t>16、对投标文件的初审</w:t>
      </w:r>
    </w:p>
    <w:p>
      <w:pPr>
        <w:spacing w:line="440" w:lineRule="exact"/>
        <w:ind w:firstLine="480" w:firstLineChars="200"/>
        <w:rPr>
          <w:rFonts w:hint="eastAsia" w:ascii="宋体" w:hAnsi="宋体"/>
          <w:sz w:val="24"/>
          <w:szCs w:val="24"/>
        </w:rPr>
      </w:pPr>
      <w:r>
        <w:rPr>
          <w:rFonts w:hint="eastAsia" w:ascii="宋体" w:hAnsi="宋体"/>
          <w:sz w:val="24"/>
          <w:szCs w:val="24"/>
        </w:rPr>
        <w:t>16.1初审内容为投标文件是否符合招标文件的要求、内容是否完整、有无计算错误，文件签署是否齐全。</w:t>
      </w:r>
    </w:p>
    <w:p>
      <w:pPr>
        <w:spacing w:line="440" w:lineRule="exact"/>
        <w:ind w:firstLine="480" w:firstLineChars="200"/>
        <w:rPr>
          <w:rFonts w:hint="eastAsia" w:ascii="宋体" w:hAnsi="宋体"/>
          <w:sz w:val="24"/>
          <w:szCs w:val="24"/>
        </w:rPr>
      </w:pPr>
      <w:r>
        <w:rPr>
          <w:rFonts w:hint="eastAsia" w:ascii="宋体" w:hAnsi="宋体"/>
          <w:sz w:val="24"/>
          <w:szCs w:val="24"/>
        </w:rPr>
        <w:t>16.2对价格错误，评审委员会按下述原则修正：</w:t>
      </w:r>
    </w:p>
    <w:p>
      <w:pPr>
        <w:numPr>
          <w:ilvl w:val="0"/>
          <w:numId w:val="9"/>
        </w:numPr>
        <w:spacing w:line="440" w:lineRule="exact"/>
        <w:ind w:left="0" w:firstLine="480" w:firstLineChars="200"/>
        <w:rPr>
          <w:rFonts w:hint="eastAsia" w:ascii="宋体" w:hAnsi="宋体"/>
          <w:sz w:val="24"/>
          <w:szCs w:val="24"/>
        </w:rPr>
      </w:pPr>
      <w:r>
        <w:rPr>
          <w:rFonts w:hint="eastAsia" w:ascii="宋体" w:hAnsi="宋体"/>
          <w:sz w:val="24"/>
          <w:szCs w:val="24"/>
        </w:rPr>
        <w:t>开标一览表与分项报价表等投标文件相应内容不一致的，以开标一览表为准；</w:t>
      </w:r>
    </w:p>
    <w:p>
      <w:pPr>
        <w:numPr>
          <w:ilvl w:val="0"/>
          <w:numId w:val="9"/>
        </w:numPr>
        <w:spacing w:line="440" w:lineRule="exact"/>
        <w:ind w:left="0" w:firstLine="480" w:firstLineChars="200"/>
        <w:rPr>
          <w:rFonts w:hint="eastAsia" w:ascii="宋体" w:hAnsi="宋体"/>
          <w:sz w:val="24"/>
          <w:szCs w:val="24"/>
        </w:rPr>
      </w:pPr>
      <w:r>
        <w:rPr>
          <w:rFonts w:hint="eastAsia" w:ascii="宋体" w:hAnsi="宋体"/>
          <w:sz w:val="24"/>
          <w:szCs w:val="24"/>
        </w:rPr>
        <w:t>大写金额与小写金额不一致的，以大写金额为准；</w:t>
      </w:r>
    </w:p>
    <w:p>
      <w:pPr>
        <w:numPr>
          <w:ilvl w:val="0"/>
          <w:numId w:val="9"/>
        </w:numPr>
        <w:spacing w:line="440" w:lineRule="exact"/>
        <w:ind w:left="0" w:firstLine="480" w:firstLineChars="200"/>
        <w:rPr>
          <w:rFonts w:hint="eastAsia" w:ascii="宋体" w:hAnsi="宋体"/>
          <w:sz w:val="24"/>
          <w:szCs w:val="24"/>
        </w:rPr>
      </w:pPr>
      <w:r>
        <w:rPr>
          <w:rFonts w:hint="eastAsia" w:ascii="宋体" w:hAnsi="宋体"/>
          <w:sz w:val="24"/>
          <w:szCs w:val="24"/>
        </w:rPr>
        <w:t>单价金额小数点或者百分比有明显错位的，以开标一览表的总价为准，并修改单价；</w:t>
      </w:r>
    </w:p>
    <w:p>
      <w:pPr>
        <w:numPr>
          <w:ilvl w:val="0"/>
          <w:numId w:val="9"/>
        </w:numPr>
        <w:spacing w:line="440" w:lineRule="exact"/>
        <w:ind w:left="0" w:firstLine="480" w:firstLineChars="200"/>
        <w:rPr>
          <w:rFonts w:hint="eastAsia" w:ascii="宋体" w:hAnsi="宋体"/>
          <w:sz w:val="24"/>
          <w:szCs w:val="24"/>
        </w:rPr>
      </w:pPr>
      <w:r>
        <w:rPr>
          <w:rFonts w:hint="eastAsia" w:ascii="宋体" w:hAnsi="宋体"/>
          <w:sz w:val="24"/>
          <w:szCs w:val="24"/>
        </w:rPr>
        <w:t>总价金额与按单价汇总金额不一致的，以单价金额计算结果为准；</w:t>
      </w:r>
    </w:p>
    <w:p>
      <w:pPr>
        <w:spacing w:line="440" w:lineRule="exact"/>
        <w:ind w:firstLine="480" w:firstLineChars="200"/>
        <w:rPr>
          <w:rFonts w:hint="eastAsia" w:ascii="宋体" w:hAnsi="宋体"/>
          <w:sz w:val="24"/>
          <w:szCs w:val="24"/>
        </w:rPr>
      </w:pPr>
      <w:r>
        <w:rPr>
          <w:rFonts w:hint="eastAsia" w:ascii="宋体" w:hAnsi="宋体"/>
          <w:sz w:val="24"/>
          <w:szCs w:val="24"/>
        </w:rPr>
        <w:t>同时出现两种以上不一致的，按照前款规定的顺序修正。修正后的报价经投标人确认后产生约束力，投标人不确认的，其</w:t>
      </w:r>
      <w:r>
        <w:rPr>
          <w:rFonts w:hint="eastAsia" w:ascii="宋体" w:hAnsi="宋体"/>
          <w:b/>
          <w:bCs/>
          <w:sz w:val="24"/>
          <w:szCs w:val="24"/>
        </w:rPr>
        <w:t>投标无效</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16.3投标文件内容有歧义或不一致的，按不利于投标人作出认定。</w:t>
      </w:r>
    </w:p>
    <w:p>
      <w:pPr>
        <w:spacing w:line="440" w:lineRule="exact"/>
        <w:ind w:firstLine="480" w:firstLineChars="200"/>
        <w:rPr>
          <w:rFonts w:hint="eastAsia" w:ascii="宋体" w:hAnsi="宋体"/>
          <w:sz w:val="24"/>
          <w:szCs w:val="24"/>
        </w:rPr>
      </w:pPr>
      <w:r>
        <w:rPr>
          <w:rFonts w:hint="eastAsia" w:ascii="宋体" w:hAnsi="宋体"/>
          <w:sz w:val="24"/>
          <w:szCs w:val="24"/>
        </w:rPr>
        <w:t>16.4招标人对投标文件的判定，只依据投标内容本身，不依靠开标后的任何外来证明。</w:t>
      </w:r>
    </w:p>
    <w:p>
      <w:pPr>
        <w:spacing w:line="440" w:lineRule="exact"/>
        <w:ind w:firstLine="480" w:firstLineChars="200"/>
        <w:rPr>
          <w:rFonts w:hint="eastAsia" w:ascii="宋体" w:hAnsi="宋体"/>
          <w:sz w:val="24"/>
          <w:szCs w:val="24"/>
        </w:rPr>
      </w:pPr>
      <w:r>
        <w:rPr>
          <w:rFonts w:hint="eastAsia" w:ascii="宋体" w:hAnsi="宋体"/>
          <w:sz w:val="24"/>
          <w:szCs w:val="24"/>
        </w:rPr>
        <w:t>16.5 在评审过程中发现投标人有恶意串通、妨碍其他投标人竞争、损害采购人或其他投标人合法权益情形的，其</w:t>
      </w:r>
      <w:r>
        <w:rPr>
          <w:rFonts w:hint="eastAsia" w:ascii="宋体" w:hAnsi="宋体"/>
          <w:b/>
          <w:bCs/>
          <w:sz w:val="24"/>
          <w:szCs w:val="24"/>
        </w:rPr>
        <w:t>投标无效</w:t>
      </w:r>
      <w:r>
        <w:rPr>
          <w:rFonts w:hint="eastAsia" w:ascii="宋体" w:hAnsi="宋体"/>
          <w:sz w:val="24"/>
          <w:szCs w:val="24"/>
        </w:rPr>
        <w:t>，并报告本级财政部门。</w:t>
      </w:r>
    </w:p>
    <w:p>
      <w:pPr>
        <w:spacing w:line="440" w:lineRule="exact"/>
        <w:ind w:firstLine="480" w:firstLineChars="200"/>
        <w:rPr>
          <w:rFonts w:hint="eastAsia" w:ascii="宋体" w:hAnsi="宋体"/>
          <w:sz w:val="24"/>
          <w:szCs w:val="24"/>
        </w:rPr>
      </w:pPr>
      <w:r>
        <w:rPr>
          <w:rFonts w:hint="eastAsia" w:ascii="宋体" w:hAnsi="宋体"/>
          <w:sz w:val="24"/>
          <w:szCs w:val="24"/>
        </w:rPr>
        <w:t>16.6 有下列情形之一的，视为投标人串通投标，其</w:t>
      </w:r>
      <w:r>
        <w:rPr>
          <w:rFonts w:hint="eastAsia" w:ascii="宋体" w:hAnsi="宋体"/>
          <w:b/>
          <w:bCs/>
          <w:sz w:val="24"/>
          <w:szCs w:val="24"/>
        </w:rPr>
        <w:t>投标无效</w:t>
      </w:r>
      <w:r>
        <w:rPr>
          <w:rFonts w:hint="eastAsia" w:ascii="宋体" w:hAnsi="宋体"/>
          <w:sz w:val="24"/>
          <w:szCs w:val="24"/>
        </w:rPr>
        <w:t>，并报告本级财政部门：</w:t>
      </w:r>
    </w:p>
    <w:p>
      <w:pPr>
        <w:spacing w:line="440" w:lineRule="exact"/>
        <w:ind w:firstLine="480" w:firstLineChars="200"/>
        <w:rPr>
          <w:rFonts w:hint="eastAsia" w:ascii="宋体" w:hAnsi="宋体"/>
          <w:sz w:val="24"/>
          <w:szCs w:val="24"/>
        </w:rPr>
      </w:pPr>
      <w:r>
        <w:rPr>
          <w:rFonts w:hint="eastAsia" w:ascii="宋体" w:hAnsi="宋体"/>
          <w:sz w:val="24"/>
          <w:szCs w:val="24"/>
        </w:rPr>
        <w:t>16.6.1 不同投标人的投标文件由同一单位或者个人编制；</w:t>
      </w:r>
    </w:p>
    <w:p>
      <w:pPr>
        <w:spacing w:line="440" w:lineRule="exact"/>
        <w:ind w:firstLine="480" w:firstLineChars="200"/>
        <w:rPr>
          <w:rFonts w:hint="eastAsia" w:ascii="宋体" w:hAnsi="宋体"/>
          <w:sz w:val="24"/>
          <w:szCs w:val="24"/>
        </w:rPr>
      </w:pPr>
      <w:r>
        <w:rPr>
          <w:rFonts w:hint="eastAsia" w:ascii="宋体" w:hAnsi="宋体"/>
          <w:sz w:val="24"/>
          <w:szCs w:val="24"/>
        </w:rPr>
        <w:t>16.6.2 不同投标人委托同一单位或者个人办理投标事宜；</w:t>
      </w:r>
    </w:p>
    <w:p>
      <w:pPr>
        <w:spacing w:line="440" w:lineRule="exact"/>
        <w:ind w:firstLine="480" w:firstLineChars="200"/>
        <w:rPr>
          <w:rFonts w:hint="eastAsia" w:ascii="宋体" w:hAnsi="宋体"/>
          <w:sz w:val="24"/>
          <w:szCs w:val="24"/>
        </w:rPr>
      </w:pPr>
      <w:r>
        <w:rPr>
          <w:rFonts w:hint="eastAsia" w:ascii="宋体" w:hAnsi="宋体"/>
          <w:sz w:val="24"/>
          <w:szCs w:val="24"/>
        </w:rPr>
        <w:t>16.6.3 不同投标人的投标文件载明的项目管理成员或者联系人员为同一人；</w:t>
      </w:r>
    </w:p>
    <w:p>
      <w:pPr>
        <w:spacing w:line="440" w:lineRule="exact"/>
        <w:ind w:firstLine="480" w:firstLineChars="200"/>
        <w:rPr>
          <w:rFonts w:hint="eastAsia" w:ascii="宋体" w:hAnsi="宋体"/>
          <w:sz w:val="24"/>
          <w:szCs w:val="24"/>
        </w:rPr>
      </w:pPr>
      <w:r>
        <w:rPr>
          <w:rFonts w:hint="eastAsia" w:ascii="宋体" w:hAnsi="宋体"/>
          <w:sz w:val="24"/>
          <w:szCs w:val="24"/>
        </w:rPr>
        <w:t>16.6.4 不同投标人的投标文件异常一致或者投标报价呈规律性差异；</w:t>
      </w:r>
    </w:p>
    <w:p>
      <w:pPr>
        <w:spacing w:line="440" w:lineRule="exact"/>
        <w:ind w:firstLine="480" w:firstLineChars="200"/>
        <w:rPr>
          <w:rFonts w:hint="eastAsia" w:ascii="宋体" w:hAnsi="宋体"/>
          <w:sz w:val="24"/>
          <w:szCs w:val="24"/>
        </w:rPr>
      </w:pPr>
      <w:r>
        <w:rPr>
          <w:rFonts w:hint="eastAsia" w:ascii="宋体" w:hAnsi="宋体"/>
          <w:sz w:val="24"/>
          <w:szCs w:val="24"/>
        </w:rPr>
        <w:t>16.6.5 不同投标人的投标文件互相混装；</w:t>
      </w:r>
    </w:p>
    <w:p>
      <w:pPr>
        <w:spacing w:line="440" w:lineRule="exact"/>
        <w:ind w:firstLine="480" w:firstLineChars="200"/>
        <w:rPr>
          <w:rFonts w:hint="eastAsia" w:ascii="宋体" w:hAnsi="宋体"/>
          <w:sz w:val="24"/>
          <w:szCs w:val="24"/>
        </w:rPr>
      </w:pPr>
      <w:r>
        <w:rPr>
          <w:rFonts w:hint="eastAsia" w:ascii="宋体" w:hAnsi="宋体"/>
          <w:sz w:val="24"/>
          <w:szCs w:val="24"/>
        </w:rPr>
        <w:t>16.6.6 不同投标人的投标文件出自同一终端设备或在相同Internet主机分配地址（相同IP地址）网上报名投标。</w:t>
      </w:r>
    </w:p>
    <w:p>
      <w:pPr>
        <w:spacing w:line="440" w:lineRule="exact"/>
        <w:ind w:firstLine="480" w:firstLineChars="200"/>
        <w:rPr>
          <w:rFonts w:hint="eastAsia" w:ascii="宋体" w:hAnsi="宋体"/>
          <w:sz w:val="24"/>
          <w:szCs w:val="24"/>
        </w:rPr>
      </w:pPr>
      <w:r>
        <w:rPr>
          <w:rFonts w:hint="eastAsia" w:ascii="宋体" w:hAnsi="宋体"/>
          <w:sz w:val="24"/>
          <w:szCs w:val="24"/>
        </w:rPr>
        <w:t>16.7 有下列情形之一的，属于恶意串通投标，其投标无效，并报告本级财政部门：</w:t>
      </w:r>
    </w:p>
    <w:p>
      <w:pPr>
        <w:spacing w:line="440" w:lineRule="exact"/>
        <w:ind w:firstLine="480" w:firstLineChars="200"/>
        <w:rPr>
          <w:rFonts w:hint="eastAsia" w:ascii="宋体" w:hAnsi="宋体"/>
          <w:sz w:val="24"/>
          <w:szCs w:val="24"/>
        </w:rPr>
      </w:pPr>
      <w:r>
        <w:rPr>
          <w:rFonts w:hint="eastAsia" w:ascii="宋体" w:hAnsi="宋体"/>
          <w:sz w:val="24"/>
          <w:szCs w:val="24"/>
        </w:rPr>
        <w:t>16.7.1投标人直接或者间接从采购人或者采购机构处获得其他投标人的相关情况并修改其投标文件或者响应文件；</w:t>
      </w:r>
    </w:p>
    <w:p>
      <w:pPr>
        <w:spacing w:line="440" w:lineRule="exact"/>
        <w:ind w:firstLine="480" w:firstLineChars="200"/>
        <w:rPr>
          <w:rFonts w:hint="eastAsia" w:ascii="宋体" w:hAnsi="宋体"/>
          <w:sz w:val="24"/>
          <w:szCs w:val="24"/>
        </w:rPr>
      </w:pPr>
      <w:r>
        <w:rPr>
          <w:rFonts w:hint="eastAsia" w:ascii="宋体" w:hAnsi="宋体"/>
          <w:sz w:val="24"/>
          <w:szCs w:val="24"/>
        </w:rPr>
        <w:t>16.7.2投标人按照采购人或者采购机构的授意撤换、修改投标文件或者响应文件；</w:t>
      </w:r>
    </w:p>
    <w:p>
      <w:pPr>
        <w:spacing w:line="440" w:lineRule="exact"/>
        <w:ind w:firstLine="480" w:firstLineChars="200"/>
        <w:rPr>
          <w:rFonts w:hint="eastAsia" w:ascii="宋体" w:hAnsi="宋体"/>
          <w:sz w:val="24"/>
          <w:szCs w:val="24"/>
        </w:rPr>
      </w:pPr>
      <w:r>
        <w:rPr>
          <w:rFonts w:hint="eastAsia" w:ascii="宋体" w:hAnsi="宋体"/>
          <w:sz w:val="24"/>
          <w:szCs w:val="24"/>
        </w:rPr>
        <w:t>16.7.3投标人之间协商报价、技术方案等投标文件或者响应文件的实质性内容；</w:t>
      </w:r>
    </w:p>
    <w:p>
      <w:pPr>
        <w:spacing w:line="440" w:lineRule="exact"/>
        <w:ind w:firstLine="480" w:firstLineChars="200"/>
        <w:rPr>
          <w:rFonts w:hint="eastAsia" w:ascii="宋体" w:hAnsi="宋体"/>
          <w:sz w:val="24"/>
          <w:szCs w:val="24"/>
        </w:rPr>
      </w:pPr>
      <w:r>
        <w:rPr>
          <w:rFonts w:hint="eastAsia" w:ascii="宋体" w:hAnsi="宋体"/>
          <w:sz w:val="24"/>
          <w:szCs w:val="24"/>
        </w:rPr>
        <w:t>16.7.4属于同一集团、协会、商会等组织成员的投标人按照该组织要求协同参加政府采购活动；</w:t>
      </w:r>
    </w:p>
    <w:p>
      <w:pPr>
        <w:spacing w:line="440" w:lineRule="exact"/>
        <w:ind w:firstLine="480" w:firstLineChars="200"/>
        <w:rPr>
          <w:rFonts w:hint="eastAsia" w:ascii="宋体" w:hAnsi="宋体"/>
          <w:sz w:val="24"/>
          <w:szCs w:val="24"/>
        </w:rPr>
      </w:pPr>
      <w:r>
        <w:rPr>
          <w:rFonts w:hint="eastAsia" w:ascii="宋体" w:hAnsi="宋体"/>
          <w:sz w:val="24"/>
          <w:szCs w:val="24"/>
        </w:rPr>
        <w:t>16.7.5投标人之间事先约定由某一特定投标人中标、成交；</w:t>
      </w:r>
    </w:p>
    <w:p>
      <w:pPr>
        <w:spacing w:line="440" w:lineRule="exact"/>
        <w:ind w:firstLine="480" w:firstLineChars="200"/>
        <w:rPr>
          <w:rFonts w:hint="eastAsia" w:ascii="宋体" w:hAnsi="宋体"/>
          <w:sz w:val="24"/>
          <w:szCs w:val="24"/>
        </w:rPr>
      </w:pPr>
      <w:r>
        <w:rPr>
          <w:rFonts w:hint="eastAsia" w:ascii="宋体" w:hAnsi="宋体"/>
          <w:sz w:val="24"/>
          <w:szCs w:val="24"/>
        </w:rPr>
        <w:t>16.7.6投标人之间商定部分投标人放弃参加政府采购活动或者放弃中标、成交；</w:t>
      </w:r>
    </w:p>
    <w:p>
      <w:pPr>
        <w:spacing w:line="440" w:lineRule="exact"/>
        <w:ind w:firstLine="480" w:firstLineChars="200"/>
        <w:rPr>
          <w:rFonts w:hint="eastAsia" w:ascii="宋体" w:hAnsi="宋体"/>
          <w:sz w:val="24"/>
          <w:szCs w:val="24"/>
        </w:rPr>
      </w:pPr>
      <w:r>
        <w:rPr>
          <w:rFonts w:hint="eastAsia" w:ascii="宋体" w:hAnsi="宋体"/>
          <w:sz w:val="24"/>
          <w:szCs w:val="24"/>
        </w:rPr>
        <w:t>16.7.7投标人与采购人或者采购机构之间、投标人相互之间，为谋求特定投标人中标、成交或者排斥其他投标人的其他串通行为。</w:t>
      </w:r>
    </w:p>
    <w:p>
      <w:pPr>
        <w:spacing w:line="440" w:lineRule="exact"/>
        <w:rPr>
          <w:rFonts w:hint="eastAsia" w:ascii="宋体" w:hAnsi="宋体"/>
          <w:sz w:val="24"/>
          <w:szCs w:val="24"/>
        </w:rPr>
      </w:pPr>
      <w:r>
        <w:rPr>
          <w:rFonts w:hint="eastAsia" w:ascii="宋体" w:hAnsi="宋体"/>
          <w:sz w:val="24"/>
          <w:szCs w:val="24"/>
        </w:rPr>
        <w:t>17、讲标（答辩）及投标的澄清</w:t>
      </w:r>
    </w:p>
    <w:p>
      <w:pPr>
        <w:spacing w:line="440" w:lineRule="exact"/>
        <w:ind w:firstLine="480" w:firstLineChars="200"/>
        <w:rPr>
          <w:rFonts w:hint="eastAsia" w:ascii="宋体" w:hAnsi="宋体"/>
          <w:sz w:val="24"/>
          <w:szCs w:val="24"/>
        </w:rPr>
      </w:pPr>
      <w:r>
        <w:rPr>
          <w:rFonts w:hint="eastAsia" w:ascii="宋体" w:hAnsi="宋体"/>
          <w:sz w:val="24"/>
          <w:szCs w:val="24"/>
        </w:rPr>
        <w:t>17.1需要讲标（答辩）的，招标人工作人员应核对投标人讲标（答辩）人员，依次逐个带领投标人代表进出讲标（答辩）场所。</w:t>
      </w:r>
    </w:p>
    <w:p>
      <w:pPr>
        <w:spacing w:line="440" w:lineRule="exact"/>
        <w:ind w:firstLine="480" w:firstLineChars="200"/>
        <w:rPr>
          <w:rFonts w:hint="eastAsia" w:ascii="宋体" w:hAnsi="宋体"/>
          <w:sz w:val="24"/>
          <w:szCs w:val="24"/>
        </w:rPr>
      </w:pPr>
      <w:r>
        <w:rPr>
          <w:rFonts w:hint="eastAsia" w:ascii="宋体" w:hAnsi="宋体"/>
          <w:sz w:val="24"/>
          <w:szCs w:val="24"/>
        </w:rPr>
        <w:t>17.2招标人有权就投标文件中含混之处向投标人提出询问或澄清要求，投标人应当按照招标人通知的时间、地点进行答疑和澄清。</w:t>
      </w:r>
    </w:p>
    <w:p>
      <w:pPr>
        <w:spacing w:line="440" w:lineRule="exact"/>
        <w:ind w:firstLine="480" w:firstLineChars="200"/>
        <w:rPr>
          <w:rFonts w:hint="eastAsia" w:ascii="宋体" w:hAnsi="宋体"/>
          <w:sz w:val="24"/>
          <w:szCs w:val="24"/>
        </w:rPr>
      </w:pPr>
      <w:r>
        <w:rPr>
          <w:rFonts w:hint="eastAsia" w:ascii="宋体" w:hAnsi="宋体"/>
          <w:sz w:val="24"/>
          <w:szCs w:val="24"/>
        </w:rPr>
        <w:t>17.3必要时招标人可要求投标人就澄清的问题作书面回答，该书面回答应有投标全权代表的签章，并将作为投标内容的一部分。</w:t>
      </w:r>
    </w:p>
    <w:p>
      <w:pPr>
        <w:spacing w:line="440" w:lineRule="exact"/>
        <w:ind w:firstLine="480" w:firstLineChars="200"/>
        <w:rPr>
          <w:rFonts w:hint="eastAsia" w:ascii="宋体" w:hAnsi="宋体"/>
          <w:sz w:val="24"/>
          <w:szCs w:val="24"/>
        </w:rPr>
      </w:pPr>
      <w:r>
        <w:rPr>
          <w:rFonts w:hint="eastAsia" w:ascii="宋体" w:hAnsi="宋体"/>
          <w:sz w:val="24"/>
          <w:szCs w:val="24"/>
        </w:rPr>
        <w:t>17.4投标人对投标文件的澄清不得改变投标价格及实质内容。</w:t>
      </w:r>
    </w:p>
    <w:p>
      <w:pPr>
        <w:spacing w:line="440" w:lineRule="exact"/>
        <w:rPr>
          <w:rFonts w:hint="eastAsia" w:ascii="宋体" w:hAnsi="宋体"/>
          <w:sz w:val="24"/>
          <w:szCs w:val="24"/>
        </w:rPr>
      </w:pPr>
      <w:r>
        <w:rPr>
          <w:rFonts w:hint="eastAsia" w:ascii="宋体" w:hAnsi="宋体"/>
          <w:sz w:val="24"/>
          <w:szCs w:val="24"/>
        </w:rPr>
        <w:t>18、比较及评价</w:t>
      </w:r>
    </w:p>
    <w:p>
      <w:pPr>
        <w:spacing w:line="440" w:lineRule="exact"/>
        <w:ind w:firstLine="480" w:firstLineChars="200"/>
        <w:rPr>
          <w:rFonts w:hint="eastAsia" w:ascii="宋体" w:hAnsi="宋体"/>
          <w:sz w:val="24"/>
          <w:szCs w:val="24"/>
        </w:rPr>
      </w:pPr>
      <w:r>
        <w:rPr>
          <w:rFonts w:hint="eastAsia" w:ascii="宋体" w:hAnsi="宋体"/>
          <w:sz w:val="24"/>
          <w:szCs w:val="24"/>
        </w:rPr>
        <w:t>18.1招标人根据招标产品特点组建评审委员会，对具备实质性响应的投标文件进行评估和比较。评审委员会由招标人、产品需求方、技术、经济、法律专家和其他有关方面的代表组成。</w:t>
      </w:r>
    </w:p>
    <w:p>
      <w:pPr>
        <w:spacing w:line="440" w:lineRule="exact"/>
        <w:ind w:firstLine="480" w:firstLineChars="200"/>
        <w:rPr>
          <w:rFonts w:hint="eastAsia" w:ascii="宋体" w:hAnsi="宋体"/>
          <w:sz w:val="24"/>
          <w:szCs w:val="24"/>
        </w:rPr>
      </w:pPr>
      <w:r>
        <w:rPr>
          <w:rFonts w:hint="eastAsia" w:ascii="宋体" w:hAnsi="宋体"/>
          <w:sz w:val="24"/>
          <w:szCs w:val="24"/>
        </w:rPr>
        <w:t>18.2评标标准及评标方法详细见招标文件第二部分。</w:t>
      </w:r>
    </w:p>
    <w:p>
      <w:pPr>
        <w:spacing w:line="440" w:lineRule="exact"/>
        <w:rPr>
          <w:rFonts w:hint="eastAsia" w:ascii="宋体" w:hAnsi="宋体"/>
          <w:sz w:val="24"/>
          <w:szCs w:val="24"/>
        </w:rPr>
      </w:pPr>
      <w:r>
        <w:rPr>
          <w:rFonts w:hint="eastAsia" w:ascii="宋体" w:hAnsi="宋体"/>
          <w:sz w:val="24"/>
          <w:szCs w:val="24"/>
        </w:rPr>
        <w:t>19、评标过程保密</w:t>
      </w:r>
    </w:p>
    <w:p>
      <w:pPr>
        <w:spacing w:line="440" w:lineRule="exact"/>
        <w:ind w:firstLine="480" w:firstLineChars="200"/>
        <w:rPr>
          <w:rFonts w:hint="eastAsia" w:ascii="宋体" w:hAnsi="宋体"/>
          <w:sz w:val="24"/>
          <w:szCs w:val="24"/>
        </w:rPr>
      </w:pPr>
      <w:r>
        <w:rPr>
          <w:rFonts w:hint="eastAsia" w:ascii="宋体" w:hAnsi="宋体"/>
          <w:sz w:val="24"/>
          <w:szCs w:val="24"/>
        </w:rPr>
        <w:t>19.1开标之后，直到评标结束，凡是属于审查、澄清、评价和比较投标的有关资料以及授标意向等，均不得向投标人或其他无关的人员透露。</w:t>
      </w:r>
    </w:p>
    <w:p>
      <w:pPr>
        <w:spacing w:line="440" w:lineRule="exact"/>
        <w:ind w:firstLine="480" w:firstLineChars="200"/>
        <w:rPr>
          <w:rFonts w:hint="eastAsia" w:ascii="宋体" w:hAnsi="宋体"/>
          <w:sz w:val="24"/>
          <w:szCs w:val="24"/>
        </w:rPr>
      </w:pPr>
      <w:r>
        <w:rPr>
          <w:rFonts w:hint="eastAsia" w:ascii="宋体" w:hAnsi="宋体"/>
          <w:sz w:val="24"/>
          <w:szCs w:val="24"/>
        </w:rPr>
        <w:t>19.2 在评标期间，投标人企图影响招标人的任何活动，将导致投标被拒绝，并承担相应法律责任。</w:t>
      </w:r>
    </w:p>
    <w:p>
      <w:pPr>
        <w:spacing w:line="500" w:lineRule="exact"/>
        <w:jc w:val="center"/>
        <w:rPr>
          <w:rFonts w:hint="eastAsia" w:ascii="宋体" w:hAnsi="宋体"/>
          <w:b/>
          <w:bCs/>
          <w:sz w:val="24"/>
          <w:szCs w:val="24"/>
        </w:rPr>
      </w:pPr>
      <w:r>
        <w:rPr>
          <w:rFonts w:hint="eastAsia" w:ascii="宋体" w:hAnsi="宋体"/>
          <w:b/>
          <w:bCs/>
          <w:sz w:val="24"/>
          <w:szCs w:val="24"/>
        </w:rPr>
        <w:tab/>
      </w:r>
      <w:r>
        <w:rPr>
          <w:rFonts w:hint="eastAsia" w:ascii="宋体" w:hAnsi="宋体"/>
          <w:b/>
          <w:bCs/>
          <w:sz w:val="24"/>
          <w:szCs w:val="24"/>
        </w:rPr>
        <w:t>F  授予合同</w:t>
      </w:r>
    </w:p>
    <w:p>
      <w:pPr>
        <w:spacing w:line="440" w:lineRule="exact"/>
        <w:rPr>
          <w:rFonts w:hint="eastAsia" w:ascii="宋体" w:hAnsi="宋体"/>
          <w:sz w:val="24"/>
          <w:szCs w:val="24"/>
        </w:rPr>
      </w:pPr>
      <w:r>
        <w:rPr>
          <w:rFonts w:hint="eastAsia" w:ascii="宋体" w:hAnsi="宋体"/>
          <w:sz w:val="24"/>
          <w:szCs w:val="24"/>
        </w:rPr>
        <w:t>20、公示及定标</w:t>
      </w:r>
    </w:p>
    <w:p>
      <w:pPr>
        <w:spacing w:line="440" w:lineRule="exact"/>
        <w:ind w:firstLine="480" w:firstLineChars="200"/>
        <w:rPr>
          <w:rFonts w:hint="eastAsia" w:ascii="宋体" w:hAnsi="宋体"/>
          <w:sz w:val="24"/>
          <w:szCs w:val="24"/>
        </w:rPr>
      </w:pPr>
      <w:r>
        <w:rPr>
          <w:rFonts w:hint="eastAsia" w:ascii="宋体" w:hAnsi="宋体"/>
          <w:sz w:val="24"/>
          <w:szCs w:val="24"/>
        </w:rPr>
        <w:t>20.1评标结果公示。招标人在评标结束后，评标结果在政府采购监督管理部门指定媒体上公示，投标人可询问自身评审综合得分与排序。</w:t>
      </w:r>
    </w:p>
    <w:p>
      <w:pPr>
        <w:spacing w:line="440" w:lineRule="exact"/>
        <w:ind w:firstLine="480" w:firstLineChars="200"/>
        <w:rPr>
          <w:rFonts w:hint="eastAsia" w:ascii="宋体" w:hAnsi="宋体"/>
          <w:sz w:val="24"/>
          <w:szCs w:val="24"/>
        </w:rPr>
      </w:pPr>
      <w:r>
        <w:rPr>
          <w:rFonts w:hint="eastAsia" w:ascii="宋体" w:hAnsi="宋体"/>
          <w:sz w:val="24"/>
          <w:szCs w:val="24"/>
        </w:rPr>
        <w:t>20.2定标的形式有二种，一种是经采购人授权，由评审委员会直接确定中标方，另一种是由采购人对预中标进行审查确认中标方。</w:t>
      </w:r>
    </w:p>
    <w:p>
      <w:pPr>
        <w:spacing w:line="440" w:lineRule="exact"/>
        <w:ind w:firstLine="480" w:firstLineChars="200"/>
        <w:rPr>
          <w:rFonts w:hint="eastAsia" w:ascii="宋体" w:hAnsi="宋体"/>
          <w:sz w:val="24"/>
          <w:szCs w:val="24"/>
        </w:rPr>
      </w:pPr>
      <w:r>
        <w:rPr>
          <w:rFonts w:hint="eastAsia" w:ascii="宋体" w:hAnsi="宋体"/>
          <w:sz w:val="24"/>
          <w:szCs w:val="24"/>
        </w:rPr>
        <w:t>20.3接受最终审查的预中标方，应当予以配合并提供所需的有关资料。</w:t>
      </w:r>
    </w:p>
    <w:p>
      <w:pPr>
        <w:spacing w:line="440" w:lineRule="exact"/>
        <w:rPr>
          <w:rFonts w:hint="eastAsia" w:ascii="宋体" w:hAnsi="宋体"/>
          <w:sz w:val="24"/>
          <w:szCs w:val="24"/>
        </w:rPr>
      </w:pPr>
      <w:r>
        <w:rPr>
          <w:rFonts w:hint="eastAsia" w:ascii="宋体" w:hAnsi="宋体"/>
          <w:sz w:val="24"/>
          <w:szCs w:val="24"/>
        </w:rPr>
        <w:t>21、招标人在授标时有变更数量的权力</w:t>
      </w:r>
    </w:p>
    <w:p>
      <w:pPr>
        <w:spacing w:line="440" w:lineRule="exact"/>
        <w:ind w:firstLine="480" w:firstLineChars="200"/>
        <w:rPr>
          <w:rFonts w:hint="eastAsia" w:ascii="宋体" w:hAnsi="宋体"/>
          <w:sz w:val="24"/>
          <w:szCs w:val="24"/>
        </w:rPr>
      </w:pPr>
      <w:r>
        <w:rPr>
          <w:rFonts w:hint="eastAsia" w:ascii="宋体" w:hAnsi="宋体"/>
          <w:sz w:val="24"/>
          <w:szCs w:val="24"/>
        </w:rPr>
        <w:t>在向投标人授予中标通知书时，招标人有权按有关规定变更数量和服务的内容。</w:t>
      </w:r>
    </w:p>
    <w:p>
      <w:pPr>
        <w:spacing w:line="440" w:lineRule="exact"/>
        <w:rPr>
          <w:rFonts w:hint="eastAsia" w:ascii="宋体" w:hAnsi="宋体"/>
          <w:sz w:val="24"/>
          <w:szCs w:val="24"/>
        </w:rPr>
      </w:pPr>
      <w:r>
        <w:rPr>
          <w:rFonts w:hint="eastAsia" w:ascii="宋体" w:hAnsi="宋体"/>
          <w:sz w:val="24"/>
          <w:szCs w:val="24"/>
        </w:rPr>
        <w:t>22、中标通知</w:t>
      </w:r>
    </w:p>
    <w:p>
      <w:pPr>
        <w:spacing w:line="440" w:lineRule="exact"/>
        <w:ind w:firstLine="480" w:firstLineChars="200"/>
        <w:rPr>
          <w:rFonts w:hint="eastAsia" w:ascii="宋体" w:hAnsi="宋体"/>
          <w:sz w:val="24"/>
          <w:szCs w:val="24"/>
        </w:rPr>
      </w:pPr>
      <w:r>
        <w:rPr>
          <w:rFonts w:hint="eastAsia" w:ascii="宋体" w:hAnsi="宋体"/>
          <w:sz w:val="24"/>
          <w:szCs w:val="24"/>
        </w:rPr>
        <w:t>22.1在投标有效期内，招标人以书面形式（包括网站公布）通知所选定的中标方。</w:t>
      </w:r>
    </w:p>
    <w:p>
      <w:pPr>
        <w:spacing w:line="440" w:lineRule="exact"/>
        <w:ind w:firstLine="480" w:firstLineChars="200"/>
        <w:rPr>
          <w:rFonts w:hint="eastAsia" w:ascii="宋体" w:hAnsi="宋体"/>
          <w:sz w:val="24"/>
          <w:szCs w:val="24"/>
        </w:rPr>
      </w:pPr>
      <w:r>
        <w:rPr>
          <w:rFonts w:hint="eastAsia" w:ascii="宋体" w:hAnsi="宋体"/>
          <w:sz w:val="24"/>
          <w:szCs w:val="24"/>
        </w:rPr>
        <w:t>22.2中标通知书将是合同的一个组成部分。</w:t>
      </w:r>
    </w:p>
    <w:p>
      <w:pPr>
        <w:spacing w:line="440" w:lineRule="exact"/>
        <w:rPr>
          <w:rFonts w:hint="eastAsia" w:ascii="宋体" w:hAnsi="宋体"/>
          <w:sz w:val="24"/>
          <w:szCs w:val="24"/>
        </w:rPr>
      </w:pPr>
      <w:r>
        <w:rPr>
          <w:rFonts w:hint="eastAsia" w:ascii="宋体" w:hAnsi="宋体"/>
          <w:sz w:val="24"/>
          <w:szCs w:val="24"/>
        </w:rPr>
        <w:t>23、签订合同</w:t>
      </w:r>
    </w:p>
    <w:p>
      <w:pPr>
        <w:spacing w:line="440" w:lineRule="exact"/>
        <w:ind w:firstLine="480" w:firstLineChars="200"/>
        <w:rPr>
          <w:rFonts w:hint="eastAsia" w:ascii="宋体" w:hAnsi="宋体"/>
          <w:sz w:val="24"/>
          <w:szCs w:val="24"/>
        </w:rPr>
      </w:pPr>
      <w:r>
        <w:rPr>
          <w:rFonts w:hint="eastAsia" w:ascii="宋体" w:hAnsi="宋体"/>
          <w:sz w:val="24"/>
          <w:szCs w:val="24"/>
        </w:rPr>
        <w:t>23.1中标方应按规定的时间、地点与买方签订中标经济合同，否则按开标后撤回投标处理。</w:t>
      </w:r>
    </w:p>
    <w:p>
      <w:pPr>
        <w:spacing w:line="440" w:lineRule="exact"/>
        <w:ind w:firstLine="480" w:firstLineChars="200"/>
        <w:rPr>
          <w:rFonts w:hint="eastAsia" w:ascii="宋体" w:hAnsi="宋体"/>
          <w:sz w:val="24"/>
          <w:szCs w:val="24"/>
        </w:rPr>
      </w:pPr>
      <w:r>
        <w:rPr>
          <w:rFonts w:hint="eastAsia" w:ascii="宋体" w:hAnsi="宋体"/>
          <w:sz w:val="24"/>
          <w:szCs w:val="24"/>
        </w:rPr>
        <w:t>23.2招标文件，中标方的投标文件及评标过程中有关澄清文件均应作为合同附件。</w:t>
      </w:r>
    </w:p>
    <w:p>
      <w:pPr>
        <w:spacing w:line="440" w:lineRule="exact"/>
        <w:rPr>
          <w:rFonts w:hint="eastAsia" w:ascii="宋体" w:hAnsi="宋体"/>
          <w:sz w:val="24"/>
          <w:szCs w:val="24"/>
        </w:rPr>
      </w:pPr>
      <w:r>
        <w:rPr>
          <w:rFonts w:hint="eastAsia" w:ascii="宋体" w:hAnsi="宋体"/>
          <w:sz w:val="24"/>
          <w:szCs w:val="24"/>
        </w:rPr>
        <w:t>24、履约保证金</w:t>
      </w:r>
    </w:p>
    <w:p>
      <w:pPr>
        <w:spacing w:line="440" w:lineRule="exact"/>
        <w:ind w:firstLine="480" w:firstLineChars="200"/>
        <w:rPr>
          <w:rFonts w:hint="eastAsia" w:ascii="宋体" w:hAnsi="宋体"/>
          <w:sz w:val="24"/>
          <w:szCs w:val="24"/>
        </w:rPr>
      </w:pPr>
      <w:r>
        <w:rPr>
          <w:rFonts w:hint="eastAsia" w:ascii="宋体" w:hAnsi="宋体"/>
          <w:sz w:val="24"/>
          <w:szCs w:val="24"/>
        </w:rPr>
        <w:t>24.1中标方在收到中标通知书后，应在规定的时间内，向买方提供履约保证金，履约保证金金额不超过合同金额的</w:t>
      </w:r>
      <w:r>
        <w:rPr>
          <w:rFonts w:hint="eastAsia" w:ascii="宋体" w:hAnsi="宋体"/>
          <w:sz w:val="24"/>
          <w:szCs w:val="24"/>
          <w:lang w:val="en-US" w:eastAsia="zh-CN"/>
        </w:rPr>
        <w:t>1</w:t>
      </w:r>
      <w:r>
        <w:rPr>
          <w:rFonts w:hint="eastAsia" w:ascii="宋体" w:hAnsi="宋体"/>
          <w:sz w:val="24"/>
          <w:szCs w:val="24"/>
        </w:rPr>
        <w:t>%（招标文件第三部分有约定的，从其约定）。</w:t>
      </w:r>
    </w:p>
    <w:p>
      <w:pPr>
        <w:spacing w:line="440" w:lineRule="exact"/>
        <w:ind w:firstLine="480" w:firstLineChars="200"/>
        <w:rPr>
          <w:rFonts w:hint="eastAsia" w:ascii="宋体" w:hAnsi="宋体"/>
          <w:sz w:val="24"/>
          <w:szCs w:val="24"/>
        </w:rPr>
      </w:pPr>
      <w:r>
        <w:rPr>
          <w:rFonts w:hint="eastAsia" w:ascii="宋体" w:hAnsi="宋体"/>
          <w:sz w:val="24"/>
          <w:szCs w:val="24"/>
        </w:rPr>
        <w:t>24.2中标方如未按第23.1及24.1条的规定办理，招标人有权撤销其中标资格。在这种情况下，招标人可另选中标方或另行招标。</w:t>
      </w:r>
    </w:p>
    <w:p>
      <w:pPr>
        <w:spacing w:line="440" w:lineRule="exact"/>
        <w:ind w:firstLine="480" w:firstLineChars="200"/>
        <w:rPr>
          <w:rFonts w:hint="eastAsia" w:ascii="宋体" w:hAnsi="宋体"/>
          <w:sz w:val="24"/>
          <w:szCs w:val="24"/>
        </w:rPr>
      </w:pPr>
      <w:r>
        <w:rPr>
          <w:rFonts w:hint="eastAsia" w:ascii="宋体" w:hAnsi="宋体"/>
          <w:sz w:val="24"/>
          <w:szCs w:val="24"/>
        </w:rPr>
        <w:t>24.3履约保证金在合同履行完毕后无息退还。</w:t>
      </w:r>
    </w:p>
    <w:p>
      <w:pPr>
        <w:spacing w:line="500" w:lineRule="exact"/>
        <w:ind w:firstLine="480"/>
        <w:rPr>
          <w:rFonts w:hint="eastAsia" w:ascii="宋体" w:hAnsi="宋体"/>
          <w:sz w:val="24"/>
          <w:szCs w:val="24"/>
        </w:rPr>
      </w:pPr>
      <w:r>
        <w:rPr>
          <w:rFonts w:hint="eastAsia" w:ascii="宋体" w:hAnsi="宋体"/>
          <w:sz w:val="24"/>
          <w:szCs w:val="24"/>
        </w:rPr>
        <w:tab/>
      </w:r>
    </w:p>
    <w:p>
      <w:pPr>
        <w:spacing w:line="500" w:lineRule="exact"/>
        <w:jc w:val="center"/>
        <w:rPr>
          <w:rFonts w:hint="eastAsia" w:ascii="宋体" w:hAnsi="宋体"/>
          <w:b/>
          <w:bCs/>
          <w:sz w:val="24"/>
          <w:szCs w:val="24"/>
        </w:rPr>
      </w:pPr>
      <w:r>
        <w:rPr>
          <w:rFonts w:hint="eastAsia" w:ascii="宋体" w:hAnsi="宋体"/>
          <w:b/>
          <w:bCs/>
          <w:sz w:val="24"/>
          <w:szCs w:val="24"/>
        </w:rPr>
        <w:t>G  风险监督</w:t>
      </w:r>
    </w:p>
    <w:p>
      <w:pPr>
        <w:spacing w:line="440" w:lineRule="exact"/>
        <w:rPr>
          <w:rFonts w:hint="eastAsia" w:ascii="宋体" w:hAnsi="宋体"/>
          <w:sz w:val="24"/>
          <w:szCs w:val="24"/>
        </w:rPr>
      </w:pPr>
      <w:r>
        <w:rPr>
          <w:rFonts w:hint="eastAsia" w:ascii="宋体" w:hAnsi="宋体"/>
          <w:sz w:val="24"/>
          <w:szCs w:val="24"/>
        </w:rPr>
        <w:t>25</w:t>
      </w:r>
      <w:r>
        <w:rPr>
          <w:rFonts w:hint="eastAsia" w:ascii="宋体" w:hAnsi="宋体"/>
          <w:sz w:val="24"/>
          <w:szCs w:val="24"/>
          <w:lang w:eastAsia="zh-CN"/>
        </w:rPr>
        <w:t>、</w:t>
      </w:r>
      <w:r>
        <w:rPr>
          <w:rFonts w:hint="eastAsia" w:ascii="宋体" w:hAnsi="宋体"/>
          <w:sz w:val="24"/>
          <w:szCs w:val="24"/>
        </w:rPr>
        <w:t>廉洁自律规定</w:t>
      </w:r>
    </w:p>
    <w:p>
      <w:pPr>
        <w:spacing w:line="440" w:lineRule="exact"/>
        <w:ind w:firstLine="480" w:firstLineChars="200"/>
        <w:rPr>
          <w:rFonts w:hint="eastAsia" w:ascii="宋体" w:hAnsi="宋体"/>
          <w:sz w:val="24"/>
          <w:szCs w:val="24"/>
        </w:rPr>
      </w:pPr>
      <w:r>
        <w:rPr>
          <w:rFonts w:hint="eastAsia" w:ascii="宋体" w:hAnsi="宋体"/>
          <w:sz w:val="24"/>
          <w:szCs w:val="24"/>
        </w:rPr>
        <w:t>25.1集中采购机构工作人员不得与采购人、供应商恶意串通。</w:t>
      </w:r>
    </w:p>
    <w:p>
      <w:pPr>
        <w:spacing w:line="440" w:lineRule="exact"/>
        <w:ind w:firstLine="480" w:firstLineChars="200"/>
        <w:rPr>
          <w:rFonts w:hint="eastAsia" w:ascii="宋体" w:hAnsi="宋体"/>
          <w:sz w:val="24"/>
          <w:szCs w:val="24"/>
        </w:rPr>
      </w:pPr>
      <w:r>
        <w:rPr>
          <w:rFonts w:hint="eastAsia" w:ascii="宋体" w:hAnsi="宋体"/>
          <w:sz w:val="24"/>
          <w:szCs w:val="24"/>
        </w:rPr>
        <w:t>25.2集中采购机构工作人员不得接受采购人或者供应商组织的宴请、旅游、娱乐，不得收受礼品、现金、有价证券等，不得向采购人或者供应商报销应当由个人承担的费用。</w:t>
      </w:r>
    </w:p>
    <w:p>
      <w:pPr>
        <w:spacing w:line="440" w:lineRule="exact"/>
        <w:rPr>
          <w:rFonts w:hint="eastAsia" w:ascii="宋体" w:hAnsi="宋体"/>
          <w:sz w:val="24"/>
          <w:szCs w:val="24"/>
        </w:rPr>
      </w:pPr>
      <w:r>
        <w:rPr>
          <w:rFonts w:hint="eastAsia" w:ascii="宋体" w:hAnsi="宋体"/>
          <w:sz w:val="24"/>
          <w:szCs w:val="24"/>
        </w:rPr>
        <w:t>26</w:t>
      </w:r>
      <w:r>
        <w:rPr>
          <w:rFonts w:hint="eastAsia" w:ascii="宋体" w:hAnsi="宋体"/>
          <w:sz w:val="24"/>
          <w:szCs w:val="24"/>
          <w:lang w:eastAsia="zh-CN"/>
        </w:rPr>
        <w:t>、</w:t>
      </w:r>
      <w:r>
        <w:rPr>
          <w:rFonts w:hint="eastAsia" w:ascii="宋体" w:hAnsi="宋体"/>
          <w:sz w:val="24"/>
          <w:szCs w:val="24"/>
        </w:rPr>
        <w:t>人员回避</w:t>
      </w:r>
    </w:p>
    <w:p>
      <w:pPr>
        <w:spacing w:line="440" w:lineRule="exact"/>
        <w:ind w:firstLine="480" w:firstLineChars="200"/>
        <w:rPr>
          <w:rFonts w:hint="eastAsia" w:ascii="宋体" w:hAnsi="宋体"/>
          <w:sz w:val="24"/>
          <w:szCs w:val="24"/>
        </w:rPr>
      </w:pPr>
      <w:r>
        <w:rPr>
          <w:rFonts w:hint="eastAsia" w:ascii="宋体" w:hAnsi="宋体"/>
          <w:sz w:val="24"/>
          <w:szCs w:val="24"/>
        </w:rPr>
        <w:t>潜在投标人认为招标文件使自己的权益受到损害的，投标人认为采购人员及其相关人员有法律法规所列与其他供应商有利害关系的，可以向集中采购机构书面提出回避申请，并说明理由。</w:t>
      </w:r>
    </w:p>
    <w:p>
      <w:pPr>
        <w:spacing w:line="440" w:lineRule="exact"/>
        <w:rPr>
          <w:rFonts w:hint="eastAsia" w:ascii="宋体" w:hAnsi="宋体"/>
          <w:b/>
          <w:bCs/>
          <w:sz w:val="24"/>
          <w:szCs w:val="24"/>
        </w:rPr>
      </w:pPr>
      <w:r>
        <w:rPr>
          <w:rFonts w:hint="eastAsia" w:ascii="宋体" w:hAnsi="宋体"/>
          <w:sz w:val="24"/>
          <w:szCs w:val="24"/>
        </w:rPr>
        <w:t>27</w:t>
      </w:r>
      <w:r>
        <w:rPr>
          <w:rFonts w:hint="eastAsia" w:ascii="宋体" w:hAnsi="宋体"/>
          <w:sz w:val="24"/>
          <w:szCs w:val="24"/>
          <w:lang w:eastAsia="zh-CN"/>
        </w:rPr>
        <w:t>、</w:t>
      </w:r>
      <w:r>
        <w:rPr>
          <w:rFonts w:hint="eastAsia" w:ascii="宋体" w:hAnsi="宋体"/>
          <w:sz w:val="24"/>
          <w:szCs w:val="24"/>
        </w:rPr>
        <w:t>质疑的提出与接收</w:t>
      </w:r>
    </w:p>
    <w:p>
      <w:pPr>
        <w:spacing w:line="440" w:lineRule="exact"/>
        <w:ind w:firstLine="480" w:firstLineChars="200"/>
        <w:rPr>
          <w:rFonts w:hint="eastAsia" w:ascii="宋体" w:hAnsi="宋体"/>
          <w:sz w:val="24"/>
          <w:szCs w:val="24"/>
        </w:rPr>
      </w:pPr>
      <w:r>
        <w:rPr>
          <w:rFonts w:hint="eastAsia" w:ascii="宋体" w:hAnsi="宋体"/>
          <w:sz w:val="24"/>
          <w:szCs w:val="24"/>
        </w:rPr>
        <w:t>27.1投标人认为招标文件、招标过程和中标结果使自己的权益受到损害的，可以根据《中华人民共和国政府采购法》、《中华人民共和国政府采购法实施条例》和《政府采购质疑和投诉办法》的有关规定，依法向集中采购机构提出质疑。</w:t>
      </w:r>
    </w:p>
    <w:p>
      <w:pPr>
        <w:spacing w:line="440" w:lineRule="exact"/>
        <w:ind w:firstLine="480" w:firstLineChars="200"/>
        <w:rPr>
          <w:rFonts w:hint="eastAsia" w:ascii="宋体" w:hAnsi="宋体"/>
          <w:sz w:val="24"/>
          <w:szCs w:val="24"/>
        </w:rPr>
      </w:pPr>
      <w:r>
        <w:rPr>
          <w:rFonts w:hint="eastAsia" w:ascii="宋体" w:hAnsi="宋体"/>
          <w:sz w:val="24"/>
          <w:szCs w:val="24"/>
        </w:rPr>
        <w:t>27.2质疑供应商应按照财政部制定的《政府采购质疑函范本》格式（可从www.ccgp.gov.cn网站下载）和《政府采购质疑和投诉办法》的要求，在法定质疑期内以书面形式提出质疑，针对同一采购程序环节的质疑应一次性提出。</w:t>
      </w:r>
    </w:p>
    <w:p>
      <w:pPr>
        <w:spacing w:line="440" w:lineRule="exact"/>
        <w:ind w:firstLine="480" w:firstLineChars="200"/>
        <w:rPr>
          <w:rFonts w:hint="eastAsia" w:ascii="宋体" w:hAnsi="宋体"/>
          <w:sz w:val="24"/>
          <w:szCs w:val="24"/>
        </w:rPr>
      </w:pPr>
      <w:r>
        <w:rPr>
          <w:rFonts w:hint="eastAsia" w:ascii="宋体" w:hAnsi="宋体"/>
          <w:sz w:val="24"/>
          <w:szCs w:val="24"/>
        </w:rPr>
        <w:t>超出法定质疑期提交的质疑将被拒绝。</w:t>
      </w:r>
    </w:p>
    <w:p>
      <w:pPr>
        <w:spacing w:line="440" w:lineRule="exact"/>
        <w:ind w:firstLine="480" w:firstLineChars="200"/>
        <w:rPr>
          <w:rFonts w:hint="eastAsia" w:ascii="宋体" w:hAnsi="宋体"/>
          <w:sz w:val="24"/>
          <w:szCs w:val="24"/>
        </w:rPr>
      </w:pPr>
      <w:r>
        <w:rPr>
          <w:rFonts w:hint="eastAsia" w:ascii="宋体" w:hAnsi="宋体"/>
          <w:sz w:val="24"/>
          <w:szCs w:val="24"/>
        </w:rPr>
        <w:t>重复或分次提出的、内容或形式不符合《政府采购质疑和投诉办法》的，质疑供应商将依法承担不利后果。</w:t>
      </w:r>
    </w:p>
    <w:p>
      <w:pPr>
        <w:spacing w:line="440" w:lineRule="exact"/>
        <w:ind w:firstLine="480" w:firstLineChars="200"/>
        <w:rPr>
          <w:rFonts w:hint="eastAsia" w:ascii="宋体" w:hAnsi="宋体"/>
          <w:sz w:val="24"/>
          <w:szCs w:val="24"/>
        </w:rPr>
      </w:pPr>
      <w:r>
        <w:rPr>
          <w:rFonts w:hint="eastAsia" w:ascii="宋体" w:hAnsi="宋体"/>
          <w:sz w:val="24"/>
          <w:szCs w:val="24"/>
        </w:rPr>
        <w:t>27.3质疑函接收联系人、联系电话和通讯地址见投标资料表。</w:t>
      </w: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黑体" w:eastAsia="黑体"/>
          <w:sz w:val="32"/>
          <w:szCs w:val="32"/>
        </w:rPr>
      </w:pPr>
      <w:r>
        <w:rPr>
          <w:rFonts w:hint="eastAsia" w:ascii="宋体" w:hAnsi="宋体"/>
          <w:sz w:val="24"/>
          <w:szCs w:val="24"/>
        </w:rPr>
        <w:br w:type="page"/>
      </w:r>
      <w:r>
        <w:rPr>
          <w:rFonts w:hint="eastAsia" w:ascii="宋体" w:hAnsi="宋体" w:eastAsia="宋体" w:cs="Times New Roman"/>
          <w:b/>
          <w:sz w:val="36"/>
        </w:rPr>
        <w:t>第五部分 合同格式</w:t>
      </w:r>
    </w:p>
    <w:p>
      <w:pPr>
        <w:spacing w:line="500" w:lineRule="exact"/>
        <w:rPr>
          <w:rFonts w:hint="eastAsia" w:eastAsia="黑体"/>
          <w:sz w:val="32"/>
          <w:u w:val="single"/>
        </w:rPr>
      </w:pPr>
    </w:p>
    <w:p>
      <w:pPr>
        <w:spacing w:line="460" w:lineRule="exact"/>
        <w:jc w:val="center"/>
        <w:rPr>
          <w:rFonts w:hint="eastAsia" w:ascii="宋体"/>
          <w:b/>
          <w:sz w:val="36"/>
        </w:rPr>
      </w:pPr>
      <w:r>
        <w:rPr>
          <w:rFonts w:hint="eastAsia" w:ascii="宋体"/>
          <w:b/>
          <w:sz w:val="36"/>
        </w:rPr>
        <w:t>宁波市政府采购合同（</w:t>
      </w:r>
      <w:r>
        <w:rPr>
          <w:rFonts w:hint="eastAsia" w:ascii="宋体"/>
          <w:b/>
          <w:sz w:val="36"/>
          <w:lang w:eastAsia="zh-CN"/>
        </w:rPr>
        <w:t>模板</w:t>
      </w:r>
      <w:r>
        <w:rPr>
          <w:rFonts w:hint="eastAsia" w:ascii="宋体"/>
          <w:b/>
          <w:sz w:val="36"/>
        </w:rPr>
        <w:t>）</w:t>
      </w:r>
    </w:p>
    <w:p>
      <w:pPr>
        <w:spacing w:line="460" w:lineRule="exact"/>
        <w:jc w:val="center"/>
        <w:rPr>
          <w:rFonts w:hint="eastAsia" w:ascii="宋体"/>
          <w:bCs/>
          <w:i/>
          <w:iCs/>
          <w:sz w:val="28"/>
        </w:rPr>
      </w:pP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 xml:space="preserve">采购编号：NBZFCG                           </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 xml:space="preserve">合同地点：                                 </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采购人（甲方）：</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供应商（乙方）：</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甲、乙双方根据《中华人民共和国</w:t>
      </w:r>
      <w:r>
        <w:rPr>
          <w:rFonts w:hint="eastAsia" w:ascii="宋体" w:hAnsi="宋体"/>
          <w:sz w:val="24"/>
          <w:szCs w:val="24"/>
          <w:lang w:eastAsia="zh-CN"/>
        </w:rPr>
        <w:t>民法典</w:t>
      </w:r>
      <w:r>
        <w:rPr>
          <w:rFonts w:hint="eastAsia" w:ascii="宋体" w:hAnsi="宋体"/>
          <w:sz w:val="24"/>
          <w:szCs w:val="24"/>
        </w:rPr>
        <w:t>》、《中华人民共和国政府采购法》、《物业管理条例》和宁波市政府采购有关办法，甲、乙双方在平等、自愿的基础上，经协商一致，就以下物业管理事项达成协议。</w:t>
      </w:r>
    </w:p>
    <w:p>
      <w:pPr>
        <w:keepNext w:val="0"/>
        <w:keepLines w:val="0"/>
        <w:pageBreakBefore w:val="0"/>
        <w:widowControl w:val="0"/>
        <w:kinsoku/>
        <w:overflowPunct/>
        <w:topLinePunct w:val="0"/>
        <w:bidi w:val="0"/>
        <w:adjustRightInd/>
        <w:spacing w:line="360" w:lineRule="exact"/>
        <w:textAlignment w:val="auto"/>
        <w:rPr>
          <w:rFonts w:ascii="宋体" w:hAnsi="宋体"/>
          <w:b/>
          <w:bCs/>
          <w:kern w:val="0"/>
          <w:sz w:val="24"/>
          <w:szCs w:val="24"/>
        </w:rPr>
      </w:pPr>
      <w:r>
        <w:rPr>
          <w:rFonts w:hint="eastAsia" w:ascii="宋体" w:hAnsi="宋体"/>
          <w:b/>
          <w:bCs/>
          <w:kern w:val="0"/>
          <w:sz w:val="24"/>
          <w:szCs w:val="24"/>
        </w:rPr>
        <w:t>第一条物业基本情况</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rPr>
        <w:t>详见合同附件。</w:t>
      </w:r>
    </w:p>
    <w:p>
      <w:pPr>
        <w:keepNext w:val="0"/>
        <w:keepLines w:val="0"/>
        <w:pageBreakBefore w:val="0"/>
        <w:widowControl w:val="0"/>
        <w:kinsoku/>
        <w:overflowPunct/>
        <w:topLinePunct w:val="0"/>
        <w:bidi w:val="0"/>
        <w:adjustRightInd/>
        <w:spacing w:line="360" w:lineRule="exact"/>
        <w:textAlignment w:val="auto"/>
        <w:rPr>
          <w:rFonts w:hint="eastAsia" w:ascii="宋体" w:hAnsi="宋体"/>
          <w:kern w:val="0"/>
          <w:sz w:val="24"/>
          <w:szCs w:val="24"/>
        </w:rPr>
      </w:pPr>
      <w:r>
        <w:rPr>
          <w:rFonts w:hint="eastAsia" w:ascii="宋体" w:hAnsi="宋体"/>
          <w:kern w:val="0"/>
          <w:sz w:val="24"/>
          <w:szCs w:val="24"/>
        </w:rPr>
        <w:t xml:space="preserve"> </w:t>
      </w:r>
    </w:p>
    <w:p>
      <w:pPr>
        <w:keepNext w:val="0"/>
        <w:keepLines w:val="0"/>
        <w:pageBreakBefore w:val="0"/>
        <w:widowControl w:val="0"/>
        <w:kinsoku/>
        <w:overflowPunct/>
        <w:topLinePunct w:val="0"/>
        <w:bidi w:val="0"/>
        <w:adjustRightInd/>
        <w:spacing w:line="360" w:lineRule="exact"/>
        <w:textAlignment w:val="auto"/>
        <w:rPr>
          <w:rFonts w:hint="eastAsia" w:ascii="宋体" w:hAnsi="宋体"/>
          <w:b/>
          <w:bCs/>
          <w:kern w:val="0"/>
          <w:sz w:val="24"/>
          <w:szCs w:val="24"/>
        </w:rPr>
      </w:pPr>
      <w:r>
        <w:rPr>
          <w:rFonts w:hint="eastAsia" w:ascii="宋体" w:hAnsi="宋体"/>
          <w:b/>
          <w:bCs/>
          <w:kern w:val="0"/>
          <w:sz w:val="24"/>
          <w:szCs w:val="24"/>
        </w:rPr>
        <w:t>第二条物业管理范围</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b/>
          <w:bCs/>
          <w:kern w:val="0"/>
          <w:sz w:val="24"/>
          <w:szCs w:val="24"/>
        </w:rPr>
      </w:pPr>
      <w:r>
        <w:rPr>
          <w:rFonts w:hint="eastAsia" w:ascii="宋体" w:hAnsi="宋体"/>
          <w:sz w:val="24"/>
          <w:szCs w:val="24"/>
        </w:rPr>
        <w:t>乙方所接受的物业管理范围是物业建筑产权标注及周边区域、设施设备等资产在内的服务，不涉及资产的所有权。</w:t>
      </w:r>
    </w:p>
    <w:p>
      <w:pPr>
        <w:keepNext w:val="0"/>
        <w:keepLines w:val="0"/>
        <w:pageBreakBefore w:val="0"/>
        <w:widowControl w:val="0"/>
        <w:kinsoku/>
        <w:overflowPunct/>
        <w:topLinePunct w:val="0"/>
        <w:autoSpaceDE w:val="0"/>
        <w:autoSpaceDN w:val="0"/>
        <w:bidi w:val="0"/>
        <w:adjustRightInd/>
        <w:spacing w:line="360" w:lineRule="exact"/>
        <w:jc w:val="left"/>
        <w:textAlignment w:val="auto"/>
        <w:rPr>
          <w:rFonts w:hint="eastAsia" w:ascii="宋体" w:hAnsi="宋体"/>
          <w:sz w:val="24"/>
          <w:szCs w:val="24"/>
          <w:u w:val="single"/>
        </w:rPr>
      </w:pPr>
      <w:r>
        <w:rPr>
          <w:rFonts w:hint="eastAsia" w:ascii="宋体" w:hAnsi="宋体"/>
          <w:sz w:val="24"/>
          <w:szCs w:val="24"/>
          <w:u w:val="single"/>
        </w:rPr>
        <w:t xml:space="preserve"> </w:t>
      </w:r>
    </w:p>
    <w:p>
      <w:pPr>
        <w:keepNext w:val="0"/>
        <w:keepLines w:val="0"/>
        <w:pageBreakBefore w:val="0"/>
        <w:widowControl w:val="0"/>
        <w:kinsoku/>
        <w:overflowPunct/>
        <w:topLinePunct w:val="0"/>
        <w:bidi w:val="0"/>
        <w:adjustRightInd/>
        <w:spacing w:line="360" w:lineRule="exact"/>
        <w:ind w:left="602" w:hanging="602" w:hangingChars="250"/>
        <w:textAlignment w:val="auto"/>
        <w:rPr>
          <w:rFonts w:hint="eastAsia" w:ascii="宋体" w:hAnsi="宋体"/>
          <w:b/>
          <w:bCs/>
          <w:sz w:val="24"/>
          <w:szCs w:val="24"/>
        </w:rPr>
      </w:pPr>
      <w:r>
        <w:rPr>
          <w:rFonts w:hint="eastAsia" w:ascii="宋体" w:hAnsi="宋体"/>
          <w:b/>
          <w:bCs/>
          <w:sz w:val="24"/>
          <w:szCs w:val="24"/>
        </w:rPr>
        <w:t xml:space="preserve">第三条管理服务内容 </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sz w:val="24"/>
          <w:szCs w:val="24"/>
        </w:rPr>
      </w:pPr>
      <w:r>
        <w:rPr>
          <w:rFonts w:hint="eastAsia" w:ascii="宋体" w:hAnsi="宋体"/>
          <w:sz w:val="24"/>
          <w:szCs w:val="24"/>
        </w:rPr>
        <w:t>（一）</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sz w:val="24"/>
          <w:szCs w:val="24"/>
        </w:rPr>
      </w:pPr>
      <w:r>
        <w:rPr>
          <w:rFonts w:hint="eastAsia" w:ascii="宋体" w:hAnsi="宋体"/>
          <w:sz w:val="24"/>
          <w:szCs w:val="24"/>
        </w:rPr>
        <w:t>（二）</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sz w:val="24"/>
          <w:szCs w:val="24"/>
        </w:rPr>
      </w:pPr>
      <w:r>
        <w:rPr>
          <w:rFonts w:hint="eastAsia" w:ascii="宋体" w:hAnsi="宋体"/>
          <w:sz w:val="24"/>
          <w:szCs w:val="24"/>
        </w:rPr>
        <w:t>（三）</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u w:val="single"/>
        </w:rPr>
      </w:pPr>
      <w:r>
        <w:rPr>
          <w:rFonts w:hint="eastAsia" w:ascii="宋体" w:hAnsi="宋体"/>
          <w:sz w:val="24"/>
          <w:szCs w:val="24"/>
        </w:rPr>
        <w:t>以上各项服务内容详见合同附件。</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b/>
          <w:bCs/>
          <w:sz w:val="24"/>
          <w:szCs w:val="24"/>
        </w:rPr>
        <w:t>第四条物业管理期限</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sz w:val="24"/>
          <w:szCs w:val="24"/>
        </w:rPr>
      </w:pPr>
      <w:r>
        <w:rPr>
          <w:rFonts w:hint="eastAsia" w:ascii="宋体" w:hAnsi="宋体"/>
          <w:sz w:val="24"/>
          <w:szCs w:val="24"/>
        </w:rPr>
        <w:t>物业管理的期限为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p>
    <w:p>
      <w:pPr>
        <w:keepNext w:val="0"/>
        <w:keepLines w:val="0"/>
        <w:pageBreakBefore w:val="0"/>
        <w:widowControl w:val="0"/>
        <w:kinsoku/>
        <w:overflowPunct/>
        <w:topLinePunct w:val="0"/>
        <w:bidi w:val="0"/>
        <w:adjustRightInd/>
        <w:spacing w:line="360" w:lineRule="exact"/>
        <w:textAlignment w:val="auto"/>
        <w:rPr>
          <w:rFonts w:hint="eastAsia" w:ascii="宋体" w:hAnsi="宋体"/>
          <w:b/>
          <w:bCs/>
          <w:sz w:val="24"/>
          <w:szCs w:val="24"/>
        </w:rPr>
      </w:pPr>
      <w:r>
        <w:rPr>
          <w:rFonts w:hint="eastAsia" w:ascii="宋体" w:hAnsi="宋体"/>
          <w:b/>
          <w:bCs/>
          <w:sz w:val="24"/>
          <w:szCs w:val="24"/>
        </w:rPr>
        <w:t>第五条物业管理的质量标准</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sz w:val="24"/>
          <w:szCs w:val="24"/>
        </w:rPr>
      </w:pPr>
      <w:r>
        <w:rPr>
          <w:rFonts w:hint="eastAsia" w:ascii="宋体" w:hAnsi="宋体"/>
          <w:sz w:val="24"/>
          <w:szCs w:val="24"/>
        </w:rPr>
        <w:t>乙方应在本合同履行期限内，对本项目的物业管理达到甲方在招标文件中提出的、乙方在投标文件中承诺的、以及在服务方案中具体表明的质量标准。</w:t>
      </w:r>
    </w:p>
    <w:p>
      <w:pPr>
        <w:pStyle w:val="62"/>
        <w:keepNext w:val="0"/>
        <w:keepLines w:val="0"/>
        <w:pageBreakBefore w:val="0"/>
        <w:widowControl w:val="0"/>
        <w:kinsoku/>
        <w:overflowPunct/>
        <w:topLinePunct w:val="0"/>
        <w:bidi w:val="0"/>
        <w:adjustRightInd/>
        <w:spacing w:line="360" w:lineRule="exact"/>
        <w:ind w:firstLine="0" w:firstLineChars="0"/>
        <w:jc w:val="left"/>
        <w:textAlignment w:val="auto"/>
        <w:rPr>
          <w:rFonts w:hint="eastAsia" w:ascii="宋体" w:cs="Times New Roman"/>
          <w:b/>
          <w:bCs/>
          <w:sz w:val="24"/>
          <w:szCs w:val="24"/>
        </w:rPr>
      </w:pPr>
      <w:r>
        <w:rPr>
          <w:rFonts w:hint="eastAsia" w:ascii="宋体" w:hAnsi="宋体" w:cs="Times New Roman"/>
          <w:b/>
          <w:bCs/>
          <w:sz w:val="24"/>
          <w:szCs w:val="24"/>
        </w:rPr>
        <w:t>第六条物业管理费用及支付方式</w:t>
      </w:r>
    </w:p>
    <w:p>
      <w:pPr>
        <w:pStyle w:val="61"/>
        <w:keepNext w:val="0"/>
        <w:keepLines w:val="0"/>
        <w:pageBreakBefore w:val="0"/>
        <w:widowControl w:val="0"/>
        <w:kinsoku/>
        <w:overflowPunct/>
        <w:topLinePunct w:val="0"/>
        <w:bidi w:val="0"/>
        <w:adjustRightInd/>
        <w:spacing w:line="360" w:lineRule="exact"/>
        <w:ind w:left="279" w:leftChars="133" w:firstLine="240" w:firstLineChars="100"/>
        <w:jc w:val="left"/>
        <w:textAlignment w:val="auto"/>
        <w:rPr>
          <w:rFonts w:hint="eastAsia" w:ascii="宋体" w:hAnsi="宋体" w:cs="Calibri"/>
          <w:sz w:val="24"/>
          <w:szCs w:val="24"/>
        </w:rPr>
      </w:pPr>
      <w:r>
        <w:rPr>
          <w:rFonts w:hint="eastAsia" w:ascii="宋体" w:hAnsi="宋体"/>
          <w:sz w:val="24"/>
          <w:szCs w:val="24"/>
        </w:rPr>
        <w:t>（一）物业管理费用按招标文件内容、范围，合计：大写人民币元/年。</w:t>
      </w:r>
    </w:p>
    <w:p>
      <w:pPr>
        <w:pStyle w:val="61"/>
        <w:keepNext w:val="0"/>
        <w:keepLines w:val="0"/>
        <w:pageBreakBefore w:val="0"/>
        <w:widowControl w:val="0"/>
        <w:kinsoku/>
        <w:overflowPunct/>
        <w:topLinePunct w:val="0"/>
        <w:bidi w:val="0"/>
        <w:adjustRightInd/>
        <w:spacing w:line="360" w:lineRule="exact"/>
        <w:ind w:firstLine="480"/>
        <w:jc w:val="left"/>
        <w:textAlignment w:val="auto"/>
        <w:rPr>
          <w:rFonts w:hint="eastAsia" w:ascii="宋体" w:hAnsi="宋体"/>
          <w:sz w:val="24"/>
          <w:szCs w:val="24"/>
        </w:rPr>
      </w:pPr>
      <w:r>
        <w:rPr>
          <w:rFonts w:hint="eastAsia" w:ascii="宋体" w:hAnsi="宋体"/>
          <w:sz w:val="24"/>
          <w:szCs w:val="24"/>
        </w:rPr>
        <w:t>（二）物业管理费支付方式：</w:t>
      </w:r>
    </w:p>
    <w:p>
      <w:pPr>
        <w:pStyle w:val="61"/>
        <w:keepNext w:val="0"/>
        <w:keepLines w:val="0"/>
        <w:pageBreakBefore w:val="0"/>
        <w:widowControl w:val="0"/>
        <w:kinsoku/>
        <w:overflowPunct/>
        <w:topLinePunct w:val="0"/>
        <w:bidi w:val="0"/>
        <w:adjustRightInd/>
        <w:spacing w:line="360" w:lineRule="exact"/>
        <w:ind w:firstLine="480"/>
        <w:jc w:val="left"/>
        <w:textAlignment w:val="auto"/>
        <w:rPr>
          <w:rFonts w:hint="eastAsia" w:ascii="宋体" w:hAnsi="宋体"/>
          <w:sz w:val="24"/>
          <w:szCs w:val="24"/>
        </w:rPr>
      </w:pPr>
      <w:r>
        <w:rPr>
          <w:rFonts w:hint="eastAsia" w:ascii="宋体" w:hAnsi="宋体"/>
          <w:sz w:val="24"/>
          <w:szCs w:val="24"/>
        </w:rPr>
        <w:t xml:space="preserve">（三）合同期内价格调整： </w:t>
      </w:r>
    </w:p>
    <w:p>
      <w:pPr>
        <w:pStyle w:val="61"/>
        <w:keepNext w:val="0"/>
        <w:keepLines w:val="0"/>
        <w:pageBreakBefore w:val="0"/>
        <w:widowControl w:val="0"/>
        <w:kinsoku/>
        <w:overflowPunct/>
        <w:topLinePunct w:val="0"/>
        <w:bidi w:val="0"/>
        <w:adjustRightInd/>
        <w:spacing w:line="360" w:lineRule="exact"/>
        <w:ind w:firstLine="480"/>
        <w:jc w:val="left"/>
        <w:textAlignment w:val="auto"/>
        <w:rPr>
          <w:rFonts w:hint="eastAsia" w:ascii="宋体" w:hAnsi="宋体"/>
          <w:sz w:val="24"/>
          <w:szCs w:val="24"/>
        </w:rPr>
      </w:pPr>
      <w:r>
        <w:rPr>
          <w:rFonts w:hint="eastAsia" w:ascii="宋体" w:hAnsi="宋体"/>
          <w:sz w:val="24"/>
          <w:szCs w:val="24"/>
        </w:rPr>
        <w:t xml:space="preserve">（四）其它约定：        </w:t>
      </w:r>
    </w:p>
    <w:p>
      <w:pPr>
        <w:keepNext w:val="0"/>
        <w:keepLines w:val="0"/>
        <w:pageBreakBefore w:val="0"/>
        <w:widowControl w:val="0"/>
        <w:kinsoku/>
        <w:overflowPunct/>
        <w:topLinePunct w:val="0"/>
        <w:bidi w:val="0"/>
        <w:adjustRightInd/>
        <w:spacing w:line="360" w:lineRule="exact"/>
        <w:textAlignment w:val="auto"/>
        <w:rPr>
          <w:rFonts w:hint="eastAsia" w:ascii="宋体" w:hAnsi="宋体"/>
          <w:b/>
          <w:bCs/>
          <w:sz w:val="24"/>
          <w:szCs w:val="24"/>
        </w:rPr>
      </w:pPr>
      <w:r>
        <w:rPr>
          <w:rFonts w:hint="eastAsia" w:ascii="宋体" w:hAnsi="宋体"/>
          <w:b/>
          <w:bCs/>
          <w:sz w:val="24"/>
          <w:szCs w:val="24"/>
        </w:rPr>
        <w:t>第七条双方的权利义务</w:t>
      </w:r>
    </w:p>
    <w:p>
      <w:pPr>
        <w:keepNext w:val="0"/>
        <w:keepLines w:val="0"/>
        <w:pageBreakBefore w:val="0"/>
        <w:widowControl w:val="0"/>
        <w:kinsoku/>
        <w:overflowPunct/>
        <w:topLinePunct w:val="0"/>
        <w:bidi w:val="0"/>
        <w:adjustRightInd/>
        <w:spacing w:line="360" w:lineRule="exact"/>
        <w:ind w:firstLine="472" w:firstLineChars="196"/>
        <w:textAlignment w:val="auto"/>
        <w:rPr>
          <w:rFonts w:hint="eastAsia" w:ascii="宋体" w:hAnsi="宋体"/>
          <w:b/>
          <w:bCs/>
          <w:sz w:val="24"/>
          <w:szCs w:val="24"/>
        </w:rPr>
      </w:pPr>
      <w:r>
        <w:rPr>
          <w:rFonts w:hint="eastAsia" w:ascii="宋体" w:hAnsi="宋体"/>
          <w:b/>
          <w:bCs/>
          <w:sz w:val="24"/>
          <w:szCs w:val="24"/>
        </w:rPr>
        <w:t>（一）甲方的权利义务</w:t>
      </w:r>
    </w:p>
    <w:p>
      <w:pPr>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hAnsi="宋体"/>
          <w:sz w:val="24"/>
          <w:szCs w:val="24"/>
        </w:rPr>
      </w:pPr>
      <w:r>
        <w:rPr>
          <w:rFonts w:hint="eastAsia" w:ascii="宋体" w:hAnsi="宋体"/>
          <w:sz w:val="24"/>
          <w:szCs w:val="24"/>
        </w:rPr>
        <w:t>1.有权审定乙方编制的服务方案、人员编制、费用预算。</w:t>
      </w:r>
    </w:p>
    <w:p>
      <w:pPr>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hAnsi="宋体"/>
          <w:sz w:val="24"/>
          <w:szCs w:val="24"/>
        </w:rPr>
      </w:pPr>
      <w:r>
        <w:rPr>
          <w:rFonts w:hint="eastAsia" w:ascii="宋体" w:hAnsi="宋体"/>
          <w:sz w:val="24"/>
          <w:szCs w:val="24"/>
        </w:rPr>
        <w:t>2.有权对乙方服务的质量进行监督，对不符合质量标准的服务有权建议整改，对不称职人员可以要求乙方更换。</w:t>
      </w:r>
    </w:p>
    <w:p>
      <w:pPr>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hAnsi="宋体"/>
          <w:sz w:val="24"/>
          <w:szCs w:val="24"/>
        </w:rPr>
      </w:pPr>
      <w:r>
        <w:rPr>
          <w:rFonts w:hint="eastAsia" w:ascii="宋体" w:hAnsi="宋体"/>
          <w:sz w:val="24"/>
          <w:szCs w:val="24"/>
        </w:rPr>
        <w:t>3.为乙方的服务提供必要的工作条件及所必需的相关资料，包括办公用房、设备工具库房、员工更衣及休息场所等设施和涉及本后勤物业管理外包所需的验收图纸、资料等。为乙方的物业管理服务提供相应的协助和配合。</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4.按合同约定的费用额度、支付方式和支付程序，</w:t>
      </w:r>
      <w:r>
        <w:rPr>
          <w:rFonts w:hint="eastAsia" w:ascii="宋体" w:cs="Times New Roman"/>
          <w:sz w:val="24"/>
          <w:szCs w:val="24"/>
          <w:lang w:eastAsia="zh-CN"/>
        </w:rPr>
        <w:t>按季</w:t>
      </w:r>
      <w:r>
        <w:rPr>
          <w:rFonts w:hint="eastAsia" w:ascii="宋体" w:cs="Times New Roman"/>
          <w:sz w:val="24"/>
          <w:szCs w:val="24"/>
        </w:rPr>
        <w:t>支付后勤物业管理费用。</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5.甲方享有对乙方服务人员指定、更换或调整的权利。</w:t>
      </w:r>
    </w:p>
    <w:p>
      <w:pPr>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hAnsi="宋体"/>
          <w:sz w:val="24"/>
          <w:szCs w:val="24"/>
        </w:rPr>
      </w:pPr>
      <w:r>
        <w:rPr>
          <w:rFonts w:hint="eastAsia" w:ascii="宋体" w:hAnsi="宋体"/>
          <w:sz w:val="24"/>
          <w:szCs w:val="24"/>
        </w:rPr>
        <w:t>6.按法律规定或经双方商定由甲方承担的其他责任和义务。</w:t>
      </w:r>
    </w:p>
    <w:p>
      <w:pPr>
        <w:keepNext w:val="0"/>
        <w:keepLines w:val="0"/>
        <w:pageBreakBefore w:val="0"/>
        <w:widowControl w:val="0"/>
        <w:kinsoku/>
        <w:overflowPunct/>
        <w:topLinePunct w:val="0"/>
        <w:bidi w:val="0"/>
        <w:adjustRightInd/>
        <w:spacing w:line="360" w:lineRule="exact"/>
        <w:ind w:firstLine="482" w:firstLineChars="200"/>
        <w:jc w:val="left"/>
        <w:textAlignment w:val="auto"/>
        <w:rPr>
          <w:rFonts w:hint="eastAsia" w:ascii="宋体" w:hAnsi="宋体"/>
          <w:b/>
          <w:bCs/>
          <w:sz w:val="24"/>
          <w:szCs w:val="24"/>
        </w:rPr>
      </w:pPr>
      <w:r>
        <w:rPr>
          <w:rFonts w:hint="eastAsia" w:ascii="宋体" w:hAnsi="宋体"/>
          <w:b/>
          <w:bCs/>
          <w:sz w:val="24"/>
          <w:szCs w:val="24"/>
        </w:rPr>
        <w:t>（二）乙方的权利义务</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1.应根据法律、法规的规定及本合同约定，编制物业管理方案、人员编制和费用预算，报送甲方审定。</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2.保证从事本项目的人员具备相应的职业资格和应有的素质要求。如需调整技术骨干应事先通报甲方，对甲方提出认为不适合的在岗人员，乙方应作出相应调整。乙方在聘用、任命、调整、调换有关主要管理服务人员之前，须征得甲方同意。在实施物业管理管理工作过程中，若乙方对投标时及合同中承诺的服务人员安排情况自行变动而未经甲方同意的，将按照违约处理，情况严重者，甲方有权终止合同。</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3. 合同期间，乙方派出本项目的项目总负责人和各部门主管不得在其他项目中同时任职。</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4. 对物业管理涉及的专业性、技术性要求较高的工作内容，可另行委托第三方承担，但必须得到甲方的书面同意。委托的工作内容仅限于分项内容，整体物业管理项目不得转让给第三方。</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5.合同终止时，乙方应向甲方提交物业管理总结报告。在约定时间内向甲方移交房屋、物料、设备、工具、档案和图纸资料；所有移交的内容都应有清单并由双方签收；全部手续完成后签署移交确认书。</w:t>
      </w:r>
    </w:p>
    <w:p>
      <w:pPr>
        <w:pStyle w:val="15"/>
        <w:keepNext w:val="0"/>
        <w:keepLines w:val="0"/>
        <w:pageBreakBefore w:val="0"/>
        <w:widowControl w:val="0"/>
        <w:kinsoku/>
        <w:overflowPunct/>
        <w:topLinePunct w:val="0"/>
        <w:bidi w:val="0"/>
        <w:adjustRightInd/>
        <w:spacing w:line="360" w:lineRule="exact"/>
        <w:ind w:firstLine="241" w:firstLineChars="100"/>
        <w:textAlignment w:val="auto"/>
        <w:rPr>
          <w:rFonts w:hint="eastAsia" w:ascii="宋体"/>
          <w:sz w:val="24"/>
          <w:szCs w:val="24"/>
        </w:rPr>
      </w:pPr>
      <w:r>
        <w:rPr>
          <w:rFonts w:hint="eastAsia"/>
          <w:b/>
          <w:bCs/>
          <w:sz w:val="24"/>
          <w:szCs w:val="24"/>
        </w:rPr>
        <w:t>6.按法律规定或经双方商定应由乙方承担的其他责任和义务。</w:t>
      </w:r>
    </w:p>
    <w:p>
      <w:pPr>
        <w:pStyle w:val="62"/>
        <w:keepNext w:val="0"/>
        <w:keepLines w:val="0"/>
        <w:pageBreakBefore w:val="0"/>
        <w:widowControl w:val="0"/>
        <w:kinsoku/>
        <w:overflowPunct/>
        <w:topLinePunct w:val="0"/>
        <w:bidi w:val="0"/>
        <w:adjustRightInd/>
        <w:spacing w:line="360" w:lineRule="exact"/>
        <w:ind w:firstLine="0" w:firstLineChars="0"/>
        <w:jc w:val="left"/>
        <w:textAlignment w:val="auto"/>
        <w:rPr>
          <w:rFonts w:hint="eastAsia" w:ascii="宋体" w:cs="Times New Roman"/>
          <w:b/>
          <w:bCs/>
          <w:sz w:val="24"/>
          <w:szCs w:val="24"/>
        </w:rPr>
      </w:pPr>
      <w:r>
        <w:rPr>
          <w:rFonts w:hint="eastAsia" w:ascii="宋体" w:hAnsi="宋体" w:cs="Times New Roman"/>
          <w:b/>
          <w:bCs/>
          <w:sz w:val="24"/>
          <w:szCs w:val="24"/>
        </w:rPr>
        <w:t>第八条违约责任</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hAnsi="宋体" w:cs="Times New Roman"/>
          <w:sz w:val="24"/>
          <w:szCs w:val="24"/>
        </w:rPr>
        <w:t>（一）乙方未按合同约定的质量标准履行物业管理职责，但未给甲方造成损失的，甲方可要求乙方整改，直至乙方达到物业管理质量标准后，甲方再支付相应的物业管理费用。</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hAnsi="宋体" w:cs="Times New Roman"/>
          <w:sz w:val="24"/>
          <w:szCs w:val="24"/>
        </w:rPr>
        <w:t>（二）乙方未按合同约定的质量标准履行物业管理职责，且给甲方造成损失的，甲方可要求乙方按实赔偿；情况严重的，甲方可根据损失情况，最多可要求乙方支付合同总额</w:t>
      </w:r>
      <w:r>
        <w:rPr>
          <w:rFonts w:hint="eastAsia" w:ascii="宋体" w:cs="Times New Roman"/>
          <w:sz w:val="24"/>
          <w:szCs w:val="24"/>
          <w:u w:val="single"/>
        </w:rPr>
        <w:t xml:space="preserve"> 5 </w:t>
      </w:r>
      <w:r>
        <w:rPr>
          <w:rFonts w:hint="eastAsia" w:ascii="宋体" w:cs="Times New Roman"/>
          <w:sz w:val="24"/>
          <w:szCs w:val="24"/>
        </w:rPr>
        <w:t>%的违约金；因乙方物业管理质量问题导致甲方无法实现合同目的时，甲方有权单方面解除合同。</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hAnsi="宋体" w:cs="Times New Roman"/>
          <w:sz w:val="24"/>
          <w:szCs w:val="24"/>
        </w:rPr>
        <w:t>（三）因乙方原因导致重大火灾、失窃等事件或其他违反法律、法规和规章规定的行为的，甲方有权单方解除合同，并要求乙方赔偿相关损失。</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b/>
          <w:bCs/>
          <w:sz w:val="24"/>
          <w:szCs w:val="24"/>
        </w:rPr>
      </w:pPr>
      <w:r>
        <w:rPr>
          <w:rFonts w:hint="eastAsia" w:ascii="宋体" w:hAnsi="宋体"/>
          <w:b/>
          <w:bCs/>
          <w:sz w:val="24"/>
          <w:szCs w:val="24"/>
        </w:rPr>
        <w:t xml:space="preserve"> </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b/>
          <w:bCs/>
          <w:sz w:val="24"/>
          <w:szCs w:val="24"/>
        </w:rPr>
        <w:t>第九条争议解决方式</w:t>
      </w:r>
    </w:p>
    <w:p>
      <w:pPr>
        <w:keepNext w:val="0"/>
        <w:keepLines w:val="0"/>
        <w:pageBreakBefore w:val="0"/>
        <w:widowControl w:val="0"/>
        <w:kinsoku/>
        <w:wordWrap w:val="0"/>
        <w:overflowPunct/>
        <w:topLinePunct w:val="0"/>
        <w:bidi w:val="0"/>
        <w:adjustRightInd/>
        <w:snapToGrid w:val="0"/>
        <w:spacing w:line="360" w:lineRule="exact"/>
        <w:ind w:firstLine="567"/>
        <w:textAlignment w:val="auto"/>
        <w:rPr>
          <w:rFonts w:hint="eastAsia" w:ascii="宋体" w:hAnsi="宋体"/>
          <w:sz w:val="24"/>
          <w:szCs w:val="24"/>
        </w:rPr>
      </w:pPr>
      <w:r>
        <w:rPr>
          <w:rFonts w:hint="eastAsia" w:ascii="宋体" w:hAnsi="宋体"/>
          <w:sz w:val="24"/>
          <w:szCs w:val="24"/>
        </w:rPr>
        <w:t>双方发生争议的，可协商解决，或向有关部门申请调解；也可（请在选择项中打“√”）</w:t>
      </w:r>
    </w:p>
    <w:p>
      <w:pPr>
        <w:keepNext w:val="0"/>
        <w:keepLines w:val="0"/>
        <w:pageBreakBefore w:val="0"/>
        <w:widowControl w:val="0"/>
        <w:kinsoku/>
        <w:overflowPunct/>
        <w:topLinePunct w:val="0"/>
        <w:bidi w:val="0"/>
        <w:adjustRightInd/>
        <w:spacing w:line="360" w:lineRule="exact"/>
        <w:ind w:firstLine="567"/>
        <w:textAlignment w:val="auto"/>
        <w:rPr>
          <w:rFonts w:hint="eastAsia" w:ascii="宋体" w:hAnsi="宋体"/>
          <w:sz w:val="24"/>
          <w:szCs w:val="24"/>
        </w:rPr>
      </w:pPr>
      <w:r>
        <w:rPr>
          <w:rFonts w:hint="eastAsia" w:ascii="宋体" w:hAnsi="宋体"/>
          <w:sz w:val="24"/>
          <w:szCs w:val="24"/>
          <w:u w:val="single"/>
        </w:rPr>
        <w:t>□</w:t>
      </w:r>
      <w:r>
        <w:rPr>
          <w:rFonts w:hint="eastAsia" w:ascii="宋体" w:hAnsi="宋体"/>
          <w:sz w:val="24"/>
          <w:szCs w:val="24"/>
        </w:rPr>
        <w:t>提请宁波仲裁委员会仲裁。</w:t>
      </w:r>
    </w:p>
    <w:p>
      <w:pPr>
        <w:keepNext w:val="0"/>
        <w:keepLines w:val="0"/>
        <w:pageBreakBefore w:val="0"/>
        <w:widowControl w:val="0"/>
        <w:kinsoku/>
        <w:overflowPunct/>
        <w:topLinePunct w:val="0"/>
        <w:bidi w:val="0"/>
        <w:adjustRightInd/>
        <w:spacing w:line="360" w:lineRule="exact"/>
        <w:ind w:firstLine="567"/>
        <w:textAlignment w:val="auto"/>
        <w:rPr>
          <w:rFonts w:hint="eastAsia" w:ascii="宋体" w:hAnsi="宋体"/>
          <w:b/>
          <w:bCs/>
          <w:sz w:val="24"/>
          <w:szCs w:val="24"/>
        </w:rPr>
      </w:pPr>
      <w:r>
        <w:rPr>
          <w:rFonts w:hint="eastAsia" w:ascii="宋体" w:hAnsi="宋体"/>
          <w:b/>
          <w:bCs/>
          <w:sz w:val="24"/>
          <w:szCs w:val="24"/>
          <w:bdr w:val="single" w:color="auto" w:sz="4" w:space="0"/>
        </w:rPr>
        <w:t>√</w:t>
      </w:r>
      <w:r>
        <w:rPr>
          <w:rFonts w:hint="eastAsia" w:ascii="宋体" w:hAnsi="宋体"/>
          <w:b/>
          <w:bCs/>
          <w:sz w:val="24"/>
          <w:szCs w:val="24"/>
        </w:rPr>
        <w:t>向甲方所在地法院提起诉讼。</w:t>
      </w:r>
    </w:p>
    <w:p>
      <w:pPr>
        <w:keepNext w:val="0"/>
        <w:keepLines w:val="0"/>
        <w:pageBreakBefore w:val="0"/>
        <w:widowControl w:val="0"/>
        <w:kinsoku/>
        <w:overflowPunct/>
        <w:topLinePunct w:val="0"/>
        <w:bidi w:val="0"/>
        <w:adjustRightInd/>
        <w:spacing w:line="360" w:lineRule="exact"/>
        <w:ind w:firstLine="567"/>
        <w:textAlignment w:val="auto"/>
        <w:rPr>
          <w:rFonts w:hint="eastAsia" w:ascii="宋体" w:hAnsi="宋体"/>
          <w:b/>
          <w:bCs/>
          <w:sz w:val="24"/>
          <w:szCs w:val="24"/>
        </w:rPr>
      </w:pPr>
      <w:r>
        <w:rPr>
          <w:rFonts w:hint="eastAsia" w:ascii="宋体" w:hAnsi="宋体"/>
          <w:b/>
          <w:bCs/>
          <w:sz w:val="24"/>
          <w:szCs w:val="24"/>
        </w:rPr>
        <w:t>合同附件</w:t>
      </w:r>
    </w:p>
    <w:p>
      <w:pPr>
        <w:keepNext w:val="0"/>
        <w:keepLines w:val="0"/>
        <w:pageBreakBefore w:val="0"/>
        <w:widowControl w:val="0"/>
        <w:kinsoku/>
        <w:overflowPunct/>
        <w:topLinePunct w:val="0"/>
        <w:bidi w:val="0"/>
        <w:adjustRightInd/>
        <w:snapToGrid w:val="0"/>
        <w:spacing w:line="360" w:lineRule="exact"/>
        <w:ind w:firstLine="240" w:firstLineChars="100"/>
        <w:textAlignment w:val="auto"/>
        <w:rPr>
          <w:rFonts w:hint="eastAsia" w:ascii="宋体" w:hAnsi="宋体"/>
          <w:b/>
          <w:bCs/>
          <w:sz w:val="24"/>
          <w:szCs w:val="24"/>
        </w:rPr>
      </w:pPr>
      <w:r>
        <w:rPr>
          <w:rFonts w:hint="eastAsia" w:ascii="宋体" w:hAnsi="宋体"/>
          <w:sz w:val="24"/>
          <w:szCs w:val="24"/>
        </w:rPr>
        <w:t>（一）本项目招投标过程中的有关招投标文件作为本合同的附件，与本合同具有同等法律效力。如招投标文件内容同本合同条款有不一致处，以本合同条款为准。</w:t>
      </w:r>
    </w:p>
    <w:p>
      <w:pPr>
        <w:keepNext w:val="0"/>
        <w:keepLines w:val="0"/>
        <w:pageBreakBefore w:val="0"/>
        <w:widowControl w:val="0"/>
        <w:kinsoku/>
        <w:overflowPunct/>
        <w:topLinePunct w:val="0"/>
        <w:bidi w:val="0"/>
        <w:adjustRightInd/>
        <w:snapToGrid w:val="0"/>
        <w:spacing w:line="360" w:lineRule="exact"/>
        <w:ind w:firstLine="240" w:firstLineChars="100"/>
        <w:textAlignment w:val="auto"/>
        <w:rPr>
          <w:rFonts w:hint="eastAsia" w:ascii="宋体" w:hAnsi="宋体"/>
          <w:sz w:val="24"/>
          <w:szCs w:val="24"/>
        </w:rPr>
      </w:pPr>
      <w:r>
        <w:rPr>
          <w:rFonts w:hint="eastAsia" w:ascii="宋体" w:hAnsi="宋体"/>
          <w:sz w:val="24"/>
          <w:szCs w:val="24"/>
        </w:rPr>
        <w:t>（二）对本合同的未尽事宜，可经双方协商一致后另行签署补充协议。补充协议作为本合同的组成部分，与本合同具有同等法律效力。补充协议内容与本合同不一致处，从补充协议。</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b/>
          <w:bCs/>
          <w:sz w:val="24"/>
          <w:szCs w:val="24"/>
        </w:rPr>
        <w:t>第十一条合同生效</w:t>
      </w:r>
    </w:p>
    <w:p>
      <w:pPr>
        <w:keepNext w:val="0"/>
        <w:keepLines w:val="0"/>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sz w:val="24"/>
          <w:szCs w:val="24"/>
        </w:rPr>
      </w:pPr>
      <w:r>
        <w:rPr>
          <w:rFonts w:hint="eastAsia" w:ascii="宋体" w:hAnsi="宋体"/>
          <w:sz w:val="24"/>
          <w:szCs w:val="24"/>
        </w:rPr>
        <w:t>本合同签订后经双方签字、盖章后生效。本合同一式四份，甲乙双方各执两份。</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甲方：                                  乙方：</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法定代表人：                            法定代表人：</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委托代理人：                            委托代理人：</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电话：                                  电话：</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签订时间：年月日                        签订时间：年月日</w:t>
      </w:r>
    </w:p>
    <w:p>
      <w:pPr>
        <w:pStyle w:val="13"/>
        <w:snapToGrid w:val="0"/>
        <w:spacing w:line="240" w:lineRule="auto"/>
        <w:rPr>
          <w:rFonts w:hint="eastAsia" w:hAnsi="宋体"/>
        </w:rPr>
      </w:pPr>
    </w:p>
    <w:p>
      <w:pPr>
        <w:ind w:firstLine="425"/>
        <w:jc w:val="center"/>
        <w:rPr>
          <w:rFonts w:hint="eastAsia" w:eastAsia="黑体"/>
          <w:sz w:val="32"/>
        </w:rPr>
      </w:pPr>
      <w:r>
        <w:rPr>
          <w:rFonts w:eastAsia="黑体"/>
          <w:sz w:val="32"/>
        </w:rPr>
        <w:br w:type="page"/>
      </w:r>
      <w:r>
        <w:rPr>
          <w:rFonts w:hint="eastAsia" w:ascii="宋体" w:hAnsi="宋体" w:eastAsia="宋体" w:cs="Times New Roman"/>
          <w:b/>
          <w:sz w:val="36"/>
        </w:rPr>
        <w:t>第六部分 投标文件格式</w:t>
      </w:r>
    </w:p>
    <w:p>
      <w:pPr>
        <w:jc w:val="left"/>
        <w:rPr>
          <w:rFonts w:hint="eastAsia" w:eastAsia="黑体"/>
          <w:sz w:val="32"/>
        </w:rPr>
      </w:pPr>
      <w:r>
        <w:rPr>
          <w:rFonts w:hint="eastAsia" w:eastAsia="黑体"/>
          <w:sz w:val="32"/>
        </w:rPr>
        <w:t xml:space="preserve">封面 </w:t>
      </w:r>
    </w:p>
    <w:p>
      <w:pPr>
        <w:jc w:val="left"/>
        <w:rPr>
          <w:rFonts w:hint="eastAsia" w:eastAsia="黑体"/>
          <w:sz w:val="32"/>
        </w:rPr>
      </w:pPr>
    </w:p>
    <w:p>
      <w:pPr>
        <w:jc w:val="left"/>
        <w:rPr>
          <w:rFonts w:hint="eastAsia" w:eastAsia="黑体"/>
          <w:sz w:val="32"/>
        </w:rPr>
      </w:pPr>
    </w:p>
    <w:p>
      <w:pPr>
        <w:rPr>
          <w:rFonts w:hint="eastAsia"/>
        </w:rPr>
      </w:pPr>
    </w:p>
    <w:p>
      <w:pPr>
        <w:spacing w:line="360" w:lineRule="auto"/>
        <w:jc w:val="center"/>
        <w:rPr>
          <w:rFonts w:ascii="宋体" w:hAnsi="宋体"/>
          <w:b/>
          <w:sz w:val="72"/>
          <w:szCs w:val="72"/>
        </w:rPr>
      </w:pPr>
      <w:r>
        <w:rPr>
          <w:rFonts w:hint="eastAsia" w:ascii="宋体" w:hAnsi="宋体"/>
          <w:b/>
          <w:sz w:val="72"/>
          <w:szCs w:val="72"/>
        </w:rPr>
        <w:t>投</w:t>
      </w:r>
    </w:p>
    <w:p>
      <w:pPr>
        <w:spacing w:line="360" w:lineRule="auto"/>
        <w:jc w:val="center"/>
        <w:rPr>
          <w:rFonts w:ascii="宋体" w:hAnsi="宋体"/>
          <w:b/>
          <w:sz w:val="72"/>
          <w:szCs w:val="72"/>
        </w:rPr>
      </w:pPr>
      <w:r>
        <w:rPr>
          <w:rFonts w:hint="eastAsia" w:ascii="宋体" w:hAnsi="宋体"/>
          <w:b/>
          <w:sz w:val="72"/>
          <w:szCs w:val="72"/>
        </w:rPr>
        <w:t>标</w:t>
      </w: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hint="eastAsia" w:ascii="宋体" w:hAnsi="宋体"/>
          <w:b/>
          <w:sz w:val="72"/>
          <w:szCs w:val="72"/>
        </w:rPr>
      </w:pPr>
      <w:r>
        <w:rPr>
          <w:rFonts w:hint="eastAsia" w:ascii="宋体" w:hAnsi="宋体"/>
          <w:b/>
          <w:sz w:val="72"/>
          <w:szCs w:val="72"/>
        </w:rPr>
        <w:t>件</w:t>
      </w:r>
    </w:p>
    <w:p>
      <w:pPr>
        <w:rPr>
          <w:rFonts w:hint="eastAsia"/>
        </w:rPr>
      </w:pPr>
    </w:p>
    <w:p>
      <w:pPr>
        <w:rPr>
          <w:rFonts w:hint="eastAsia"/>
        </w:rPr>
      </w:pPr>
    </w:p>
    <w:p>
      <w:pPr>
        <w:rPr>
          <w:rFonts w:hint="eastAsia"/>
        </w:rPr>
      </w:pPr>
    </w:p>
    <w:p>
      <w:pPr>
        <w:rPr>
          <w:rFonts w:hint="eastAsia"/>
        </w:rPr>
      </w:pPr>
    </w:p>
    <w:p>
      <w:pPr>
        <w:jc w:val="center"/>
        <w:rPr>
          <w:rFonts w:hint="eastAsia" w:ascii="黑体" w:eastAsia="黑体"/>
          <w:sz w:val="36"/>
        </w:rPr>
      </w:pPr>
      <w:r>
        <w:rPr>
          <w:rFonts w:hint="eastAsia" w:ascii="黑体" w:eastAsia="黑体"/>
          <w:sz w:val="36"/>
        </w:rPr>
        <w:t>采购编号:________________________</w:t>
      </w:r>
    </w:p>
    <w:p>
      <w:pPr>
        <w:jc w:val="center"/>
        <w:rPr>
          <w:rFonts w:hint="eastAsia" w:ascii="黑体" w:eastAsia="黑体"/>
          <w:sz w:val="36"/>
        </w:rPr>
      </w:pPr>
      <w:r>
        <w:rPr>
          <w:rFonts w:hint="eastAsia" w:ascii="黑体" w:eastAsia="黑体"/>
          <w:sz w:val="36"/>
        </w:rPr>
        <w:t>项目名称:________________________</w:t>
      </w:r>
    </w:p>
    <w:p>
      <w:pPr>
        <w:jc w:val="center"/>
        <w:rPr>
          <w:rFonts w:hint="eastAsia" w:ascii="黑体" w:eastAsia="黑体"/>
          <w:sz w:val="36"/>
        </w:rPr>
      </w:pPr>
    </w:p>
    <w:p>
      <w:pPr>
        <w:jc w:val="center"/>
        <w:rPr>
          <w:rFonts w:hint="eastAsia" w:ascii="黑体" w:eastAsia="黑体"/>
          <w:sz w:val="36"/>
        </w:rPr>
      </w:pPr>
      <w:r>
        <w:rPr>
          <w:rFonts w:hint="eastAsia" w:ascii="黑体" w:eastAsia="黑体"/>
          <w:sz w:val="36"/>
        </w:rPr>
        <w:t>投 标 人:________________________</w:t>
      </w:r>
    </w:p>
    <w:p>
      <w:pPr>
        <w:jc w:val="center"/>
        <w:rPr>
          <w:rFonts w:hint="eastAsia" w:ascii="黑体" w:eastAsia="黑体"/>
          <w:sz w:val="36"/>
        </w:rPr>
      </w:pPr>
    </w:p>
    <w:p>
      <w:pPr>
        <w:jc w:val="center"/>
        <w:rPr>
          <w:rFonts w:hint="eastAsia" w:ascii="黑体" w:eastAsia="黑体"/>
          <w:sz w:val="32"/>
        </w:rPr>
      </w:pPr>
      <w:r>
        <w:rPr>
          <w:rFonts w:hint="eastAsia" w:ascii="黑体" w:eastAsia="黑体"/>
          <w:sz w:val="32"/>
          <w:u w:val="single"/>
        </w:rPr>
        <w:t xml:space="preserve">   </w:t>
      </w:r>
      <w:r>
        <w:rPr>
          <w:rFonts w:hint="eastAsia" w:ascii="黑体" w:eastAsia="黑体"/>
          <w:sz w:val="32"/>
        </w:rPr>
        <w:t>年</w:t>
      </w:r>
      <w:r>
        <w:rPr>
          <w:rFonts w:hint="eastAsia" w:ascii="黑体" w:eastAsia="黑体"/>
          <w:sz w:val="32"/>
          <w:u w:val="single"/>
        </w:rPr>
        <w:t xml:space="preserve">   </w:t>
      </w:r>
      <w:r>
        <w:rPr>
          <w:rFonts w:hint="eastAsia" w:ascii="黑体" w:eastAsia="黑体"/>
          <w:sz w:val="32"/>
        </w:rPr>
        <w:t>月</w:t>
      </w:r>
      <w:r>
        <w:rPr>
          <w:rFonts w:hint="eastAsia" w:ascii="黑体" w:eastAsia="黑体"/>
          <w:sz w:val="32"/>
          <w:u w:val="single"/>
        </w:rPr>
        <w:t xml:space="preserve">   </w:t>
      </w:r>
      <w:r>
        <w:rPr>
          <w:rFonts w:hint="eastAsia" w:ascii="黑体" w:eastAsia="黑体"/>
          <w:sz w:val="32"/>
        </w:rPr>
        <w:t>日</w:t>
      </w:r>
    </w:p>
    <w:p>
      <w:pPr>
        <w:rPr>
          <w:rFonts w:hint="eastAsia"/>
        </w:rPr>
      </w:pPr>
    </w:p>
    <w:p>
      <w:pPr>
        <w:rPr>
          <w:rFonts w:hint="eastAsia"/>
        </w:rPr>
      </w:pPr>
    </w:p>
    <w:p>
      <w:pPr>
        <w:jc w:val="center"/>
        <w:rPr>
          <w:rFonts w:hint="eastAsia" w:ascii="宋体" w:hAnsi="宋体" w:cs="宋体"/>
          <w:b/>
          <w:bCs/>
          <w:sz w:val="44"/>
          <w:szCs w:val="44"/>
        </w:rPr>
      </w:pPr>
      <w:r>
        <w:br w:type="page"/>
      </w:r>
      <w:r>
        <w:rPr>
          <w:rFonts w:hint="eastAsia"/>
          <w:b/>
          <w:bCs/>
          <w:sz w:val="24"/>
          <w:szCs w:val="24"/>
        </w:rPr>
        <w:t>投标应答索引表</w:t>
      </w:r>
    </w:p>
    <w:tbl>
      <w:tblPr>
        <w:tblStyle w:val="25"/>
        <w:tblW w:w="92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4"/>
        <w:gridCol w:w="3231"/>
        <w:gridCol w:w="1979"/>
        <w:gridCol w:w="1240"/>
        <w:gridCol w:w="2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trPr>
        <w:tc>
          <w:tcPr>
            <w:tcW w:w="554"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3231"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项目</w:t>
            </w:r>
          </w:p>
        </w:tc>
        <w:tc>
          <w:tcPr>
            <w:tcW w:w="1979"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投标人应答内容</w:t>
            </w:r>
          </w:p>
        </w:tc>
        <w:tc>
          <w:tcPr>
            <w:tcW w:w="1240"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在投标文件中页码</w:t>
            </w:r>
          </w:p>
        </w:tc>
        <w:tc>
          <w:tcPr>
            <w:tcW w:w="2214"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一</w:t>
            </w:r>
          </w:p>
        </w:tc>
        <w:tc>
          <w:tcPr>
            <w:tcW w:w="3231" w:type="dxa"/>
            <w:noWrap w:val="0"/>
            <w:vAlign w:val="center"/>
          </w:tcPr>
          <w:p>
            <w:pPr>
              <w:snapToGrid w:val="0"/>
              <w:spacing w:line="400" w:lineRule="exact"/>
              <w:rPr>
                <w:rFonts w:hint="eastAsia" w:ascii="微软雅黑" w:hAnsi="微软雅黑" w:eastAsia="微软雅黑" w:cs="微软雅黑"/>
                <w:szCs w:val="21"/>
              </w:rPr>
            </w:pPr>
            <w:r>
              <w:rPr>
                <w:rFonts w:hint="eastAsia" w:ascii="微软雅黑" w:hAnsi="微软雅黑" w:eastAsia="微软雅黑" w:cs="微软雅黑"/>
                <w:b/>
                <w:bCs/>
                <w:szCs w:val="21"/>
              </w:rPr>
              <w:t>报价部分</w:t>
            </w:r>
          </w:p>
        </w:tc>
        <w:tc>
          <w:tcPr>
            <w:tcW w:w="1979"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240"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221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投标函</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w:t>
            </w:r>
          </w:p>
        </w:tc>
        <w:tc>
          <w:tcPr>
            <w:tcW w:w="3231" w:type="dxa"/>
            <w:noWrap w:val="0"/>
            <w:vAlign w:val="center"/>
          </w:tcPr>
          <w:p>
            <w:pPr>
              <w:snapToGrid w:val="0"/>
              <w:spacing w:line="400" w:lineRule="exact"/>
              <w:rPr>
                <w:rFonts w:hint="eastAsia" w:ascii="微软雅黑" w:hAnsi="微软雅黑" w:eastAsia="微软雅黑" w:cs="微软雅黑"/>
                <w:szCs w:val="21"/>
              </w:rPr>
            </w:pPr>
            <w:r>
              <w:rPr>
                <w:rFonts w:hint="eastAsia" w:ascii="微软雅黑" w:hAnsi="微软雅黑" w:eastAsia="微软雅黑" w:cs="微软雅黑"/>
                <w:szCs w:val="24"/>
              </w:rPr>
              <w:t>开标一览表</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w:t>
            </w:r>
          </w:p>
        </w:tc>
        <w:tc>
          <w:tcPr>
            <w:tcW w:w="3231" w:type="dxa"/>
            <w:noWrap w:val="0"/>
            <w:vAlign w:val="center"/>
          </w:tcPr>
          <w:p>
            <w:pPr>
              <w:snapToGrid w:val="0"/>
              <w:spacing w:line="400" w:lineRule="exact"/>
              <w:rPr>
                <w:rFonts w:hint="eastAsia" w:ascii="微软雅黑" w:hAnsi="微软雅黑" w:eastAsia="微软雅黑" w:cs="微软雅黑"/>
                <w:szCs w:val="21"/>
              </w:rPr>
            </w:pPr>
            <w:r>
              <w:rPr>
                <w:rFonts w:hint="eastAsia" w:ascii="微软雅黑" w:hAnsi="微软雅黑" w:eastAsia="微软雅黑" w:cs="微软雅黑"/>
                <w:szCs w:val="24"/>
              </w:rPr>
              <w:t>管理费构成明细报价表</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4</w:t>
            </w:r>
          </w:p>
        </w:tc>
        <w:tc>
          <w:tcPr>
            <w:tcW w:w="3231" w:type="dxa"/>
            <w:noWrap w:val="0"/>
            <w:vAlign w:val="center"/>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为完成本项目配备设备明细表</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5</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其他报价资料</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二</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商务技术部分</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1240"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221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投标人情况介绍</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类似项目案例</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有或没有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项目人员组成</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4</w:t>
            </w:r>
          </w:p>
        </w:tc>
        <w:tc>
          <w:tcPr>
            <w:tcW w:w="3231" w:type="dxa"/>
            <w:noWrap w:val="0"/>
            <w:vAlign w:val="center"/>
          </w:tcPr>
          <w:p>
            <w:pPr>
              <w:snapToGrid w:val="0"/>
              <w:spacing w:line="400" w:lineRule="exact"/>
              <w:rPr>
                <w:rFonts w:hint="eastAsia" w:ascii="微软雅黑" w:hAnsi="微软雅黑" w:eastAsia="微软雅黑" w:cs="微软雅黑"/>
                <w:szCs w:val="21"/>
                <w:lang w:val="zh-CN"/>
              </w:rPr>
            </w:pPr>
            <w:r>
              <w:rPr>
                <w:rFonts w:hint="eastAsia" w:ascii="微软雅黑" w:hAnsi="微软雅黑" w:eastAsia="微软雅黑" w:cs="微软雅黑"/>
                <w:szCs w:val="21"/>
                <w:lang w:val="zh-CN"/>
              </w:rPr>
              <w:t>应急保障措施</w:t>
            </w:r>
          </w:p>
        </w:tc>
        <w:tc>
          <w:tcPr>
            <w:tcW w:w="1979" w:type="dxa"/>
            <w:noWrap w:val="0"/>
            <w:vAlign w:val="center"/>
          </w:tcPr>
          <w:p>
            <w:pPr>
              <w:snapToGrid w:val="0"/>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5</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4"/>
              </w:rPr>
              <w:t>其他商务技术资料</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三</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资格响应部分</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1240"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221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w:t>
            </w:r>
          </w:p>
        </w:tc>
        <w:tc>
          <w:tcPr>
            <w:tcW w:w="3231" w:type="dxa"/>
            <w:noWrap w:val="0"/>
            <w:vAlign w:val="top"/>
          </w:tcPr>
          <w:p>
            <w:pPr>
              <w:snapToGrid w:val="0"/>
              <w:spacing w:line="400" w:lineRule="exact"/>
              <w:rPr>
                <w:rFonts w:hint="eastAsia" w:ascii="微软雅黑" w:hAnsi="微软雅黑" w:eastAsia="微软雅黑" w:cs="微软雅黑"/>
                <w:szCs w:val="24"/>
                <w:highlight w:val="yellow"/>
              </w:rPr>
            </w:pPr>
            <w:r>
              <w:rPr>
                <w:rFonts w:hint="eastAsia" w:ascii="微软雅黑" w:hAnsi="微软雅黑" w:eastAsia="微软雅黑" w:cs="微软雅黑"/>
                <w:szCs w:val="24"/>
              </w:rPr>
              <w:t>特定资格条件证明材料</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有或没有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w:t>
            </w:r>
          </w:p>
        </w:tc>
        <w:tc>
          <w:tcPr>
            <w:tcW w:w="3231"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营业执照、事业单位、社团组织、民办非企业等登记证副本</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w:t>
            </w:r>
          </w:p>
        </w:tc>
        <w:tc>
          <w:tcPr>
            <w:tcW w:w="3231" w:type="dxa"/>
            <w:noWrap w:val="0"/>
            <w:vAlign w:val="center"/>
          </w:tcPr>
          <w:p>
            <w:pPr>
              <w:snapToGrid w:val="0"/>
              <w:spacing w:line="400" w:lineRule="exac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szCs w:val="24"/>
              </w:rPr>
              <w:t>法定代表人授权书</w:t>
            </w:r>
          </w:p>
        </w:tc>
        <w:tc>
          <w:tcPr>
            <w:tcW w:w="1979" w:type="dxa"/>
            <w:noWrap w:val="0"/>
            <w:vAlign w:val="center"/>
          </w:tcPr>
          <w:p>
            <w:pPr>
              <w:snapToGrid w:val="0"/>
              <w:spacing w:line="4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有或没有</w:t>
            </w:r>
          </w:p>
        </w:tc>
        <w:tc>
          <w:tcPr>
            <w:tcW w:w="1240" w:type="dxa"/>
            <w:noWrap w:val="0"/>
            <w:vAlign w:val="center"/>
          </w:tcPr>
          <w:p>
            <w:pPr>
              <w:snapToGrid w:val="0"/>
              <w:spacing w:line="400" w:lineRule="exact"/>
              <w:rPr>
                <w:rFonts w:hint="eastAsia" w:ascii="微软雅黑" w:hAnsi="微软雅黑" w:eastAsia="微软雅黑" w:cs="微软雅黑"/>
                <w:kern w:val="2"/>
                <w:sz w:val="21"/>
                <w:szCs w:val="21"/>
                <w:lang w:val="en-US" w:eastAsia="zh-CN" w:bidi="ar-SA"/>
              </w:rPr>
            </w:pPr>
          </w:p>
        </w:tc>
        <w:tc>
          <w:tcPr>
            <w:tcW w:w="2214" w:type="dxa"/>
            <w:noWrap w:val="0"/>
            <w:vAlign w:val="center"/>
          </w:tcPr>
          <w:p>
            <w:pPr>
              <w:snapToGrid w:val="0"/>
              <w:spacing w:line="400" w:lineRule="exac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授权他人的需要提供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4</w:t>
            </w:r>
          </w:p>
        </w:tc>
        <w:tc>
          <w:tcPr>
            <w:tcW w:w="3231" w:type="dxa"/>
            <w:noWrap w:val="0"/>
            <w:vAlign w:val="center"/>
          </w:tcPr>
          <w:p>
            <w:pPr>
              <w:snapToGrid w:val="0"/>
              <w:spacing w:line="400" w:lineRule="exac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szCs w:val="24"/>
              </w:rPr>
              <w:t>诚信投标承诺书</w:t>
            </w:r>
          </w:p>
        </w:tc>
        <w:tc>
          <w:tcPr>
            <w:tcW w:w="1979" w:type="dxa"/>
            <w:noWrap w:val="0"/>
            <w:vAlign w:val="center"/>
          </w:tcPr>
          <w:p>
            <w:pPr>
              <w:snapToGrid w:val="0"/>
              <w:spacing w:line="40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kern w:val="2"/>
                <w:sz w:val="21"/>
                <w:szCs w:val="21"/>
                <w:lang w:val="en-US" w:eastAsia="zh-CN" w:bidi="ar-SA"/>
              </w:rPr>
            </w:pPr>
          </w:p>
        </w:tc>
        <w:tc>
          <w:tcPr>
            <w:tcW w:w="2214" w:type="dxa"/>
            <w:noWrap w:val="0"/>
            <w:vAlign w:val="center"/>
          </w:tcPr>
          <w:p>
            <w:pPr>
              <w:snapToGrid w:val="0"/>
              <w:spacing w:line="400" w:lineRule="exact"/>
              <w:rPr>
                <w:rFonts w:ascii="微软雅黑" w:hAnsi="微软雅黑" w:eastAsia="微软雅黑" w:cs="微软雅黑"/>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5</w:t>
            </w:r>
          </w:p>
        </w:tc>
        <w:tc>
          <w:tcPr>
            <w:tcW w:w="3231" w:type="dxa"/>
            <w:noWrap w:val="0"/>
            <w:vAlign w:val="top"/>
          </w:tcPr>
          <w:p>
            <w:pPr>
              <w:snapToGrid w:val="0"/>
              <w:spacing w:line="400" w:lineRule="exact"/>
              <w:rPr>
                <w:rFonts w:hint="eastAsia" w:ascii="微软雅黑" w:hAnsi="微软雅黑" w:eastAsia="微软雅黑" w:cs="微软雅黑"/>
                <w:kern w:val="2"/>
                <w:sz w:val="21"/>
                <w:szCs w:val="24"/>
                <w:highlight w:val="yellow"/>
                <w:lang w:val="en-US" w:eastAsia="zh-CN" w:bidi="ar-SA"/>
              </w:rPr>
            </w:pPr>
            <w:r>
              <w:rPr>
                <w:rFonts w:hint="eastAsia" w:ascii="微软雅黑" w:hAnsi="微软雅黑" w:eastAsia="微软雅黑" w:cs="微软雅黑"/>
                <w:szCs w:val="24"/>
              </w:rPr>
              <w:t>中小微企业申明函</w:t>
            </w:r>
          </w:p>
        </w:tc>
        <w:tc>
          <w:tcPr>
            <w:tcW w:w="1979" w:type="dxa"/>
            <w:noWrap w:val="0"/>
            <w:vAlign w:val="center"/>
          </w:tcPr>
          <w:p>
            <w:pPr>
              <w:snapToGrid w:val="0"/>
              <w:spacing w:line="400" w:lineRule="exact"/>
              <w:jc w:val="center"/>
              <w:rPr>
                <w:rFonts w:hint="eastAsia" w:ascii="微软雅黑" w:hAnsi="微软雅黑" w:eastAsia="微软雅黑" w:cs="微软雅黑"/>
                <w:kern w:val="2"/>
                <w:sz w:val="21"/>
                <w:szCs w:val="21"/>
                <w:u w:val="single"/>
                <w:lang w:val="en-US" w:eastAsia="zh-CN" w:bidi="ar-SA"/>
              </w:rPr>
            </w:pPr>
            <w:r>
              <w:rPr>
                <w:rFonts w:hint="eastAsia" w:ascii="微软雅黑" w:hAnsi="微软雅黑" w:eastAsia="微软雅黑" w:cs="微软雅黑"/>
                <w:szCs w:val="21"/>
              </w:rPr>
              <w:t>有</w:t>
            </w:r>
            <w:r>
              <w:rPr>
                <w:rFonts w:hint="eastAsia" w:ascii="微软雅黑" w:hAnsi="微软雅黑" w:eastAsia="微软雅黑" w:cs="微软雅黑"/>
                <w:szCs w:val="21"/>
                <w:lang w:eastAsia="zh-CN"/>
              </w:rPr>
              <w:t>或没有</w:t>
            </w:r>
          </w:p>
        </w:tc>
        <w:tc>
          <w:tcPr>
            <w:tcW w:w="1240" w:type="dxa"/>
            <w:noWrap w:val="0"/>
            <w:vAlign w:val="center"/>
          </w:tcPr>
          <w:p>
            <w:pPr>
              <w:snapToGrid w:val="0"/>
              <w:spacing w:line="400" w:lineRule="exact"/>
              <w:rPr>
                <w:rFonts w:ascii="微软雅黑" w:hAnsi="微软雅黑" w:eastAsia="微软雅黑" w:cs="微软雅黑"/>
                <w:kern w:val="2"/>
                <w:sz w:val="21"/>
                <w:szCs w:val="21"/>
                <w:lang w:val="en-US" w:eastAsia="zh-CN" w:bidi="ar-SA"/>
              </w:rPr>
            </w:pPr>
          </w:p>
        </w:tc>
        <w:tc>
          <w:tcPr>
            <w:tcW w:w="2214" w:type="dxa"/>
            <w:noWrap w:val="0"/>
            <w:vAlign w:val="center"/>
          </w:tcPr>
          <w:p>
            <w:pPr>
              <w:snapToGrid w:val="0"/>
              <w:spacing w:line="400" w:lineRule="exact"/>
              <w:rPr>
                <w:rFonts w:hint="eastAsia" w:ascii="微软雅黑" w:hAnsi="微软雅黑" w:eastAsia="微软雅黑" w:cs="微软雅黑"/>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6</w:t>
            </w:r>
          </w:p>
        </w:tc>
        <w:tc>
          <w:tcPr>
            <w:tcW w:w="3231" w:type="dxa"/>
            <w:noWrap w:val="0"/>
            <w:vAlign w:val="top"/>
          </w:tcPr>
          <w:p>
            <w:pPr>
              <w:snapToGrid w:val="0"/>
              <w:spacing w:line="400" w:lineRule="exact"/>
              <w:rPr>
                <w:rFonts w:hint="eastAsia" w:ascii="微软雅黑" w:hAnsi="微软雅黑" w:eastAsia="微软雅黑" w:cs="微软雅黑"/>
                <w:kern w:val="2"/>
                <w:sz w:val="21"/>
                <w:szCs w:val="24"/>
                <w:highlight w:val="yellow"/>
                <w:lang w:val="en-US" w:eastAsia="zh-CN" w:bidi="ar-SA"/>
              </w:rPr>
            </w:pPr>
            <w:r>
              <w:rPr>
                <w:rFonts w:hint="eastAsia" w:ascii="微软雅黑" w:hAnsi="微软雅黑" w:eastAsia="微软雅黑" w:cs="微软雅黑"/>
                <w:szCs w:val="24"/>
              </w:rPr>
              <w:t>残疾人福利性单位声明函</w:t>
            </w:r>
          </w:p>
        </w:tc>
        <w:tc>
          <w:tcPr>
            <w:tcW w:w="1979" w:type="dxa"/>
            <w:noWrap w:val="0"/>
            <w:vAlign w:val="center"/>
          </w:tcPr>
          <w:p>
            <w:pPr>
              <w:snapToGrid w:val="0"/>
              <w:spacing w:line="4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有或没有</w:t>
            </w:r>
          </w:p>
        </w:tc>
        <w:tc>
          <w:tcPr>
            <w:tcW w:w="1240" w:type="dxa"/>
            <w:tcBorders>
              <w:bottom w:val="single" w:color="auto" w:sz="4" w:space="0"/>
            </w:tcBorders>
            <w:noWrap w:val="0"/>
            <w:vAlign w:val="center"/>
          </w:tcPr>
          <w:p>
            <w:pPr>
              <w:snapToGrid w:val="0"/>
              <w:spacing w:line="400" w:lineRule="exact"/>
              <w:rPr>
                <w:rFonts w:ascii="微软雅黑" w:hAnsi="微软雅黑" w:eastAsia="微软雅黑" w:cs="微软雅黑"/>
                <w:kern w:val="2"/>
                <w:sz w:val="21"/>
                <w:szCs w:val="21"/>
                <w:lang w:val="en-US" w:eastAsia="zh-CN" w:bidi="ar-SA"/>
              </w:rPr>
            </w:pPr>
          </w:p>
        </w:tc>
        <w:tc>
          <w:tcPr>
            <w:tcW w:w="2214" w:type="dxa"/>
            <w:tcBorders>
              <w:bottom w:val="single" w:color="auto" w:sz="4" w:space="0"/>
            </w:tcBorders>
            <w:noWrap w:val="0"/>
            <w:vAlign w:val="center"/>
          </w:tcPr>
          <w:p>
            <w:pPr>
              <w:snapToGrid w:val="0"/>
              <w:spacing w:line="400" w:lineRule="exact"/>
              <w:rPr>
                <w:rFonts w:hint="eastAsia" w:ascii="微软雅黑" w:hAnsi="微软雅黑" w:eastAsia="微软雅黑" w:cs="微软雅黑"/>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7</w:t>
            </w:r>
          </w:p>
        </w:tc>
        <w:tc>
          <w:tcPr>
            <w:tcW w:w="3231" w:type="dxa"/>
            <w:noWrap w:val="0"/>
            <w:vAlign w:val="center"/>
          </w:tcPr>
          <w:p>
            <w:pPr>
              <w:snapToGrid w:val="0"/>
              <w:spacing w:line="400" w:lineRule="exac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szCs w:val="24"/>
              </w:rPr>
              <w:t>其他资格证明资料</w:t>
            </w:r>
          </w:p>
        </w:tc>
        <w:tc>
          <w:tcPr>
            <w:tcW w:w="1979" w:type="dxa"/>
            <w:noWrap w:val="0"/>
            <w:vAlign w:val="center"/>
          </w:tcPr>
          <w:p>
            <w:pPr>
              <w:snapToGrid w:val="0"/>
              <w:spacing w:line="400" w:lineRule="exact"/>
              <w:jc w:val="center"/>
              <w:rPr>
                <w:rFonts w:ascii="微软雅黑" w:hAnsi="微软雅黑" w:eastAsia="微软雅黑" w:cs="微软雅黑"/>
                <w:kern w:val="2"/>
                <w:sz w:val="21"/>
                <w:szCs w:val="21"/>
                <w:lang w:val="en-US" w:eastAsia="zh-CN" w:bidi="ar-SA"/>
              </w:rPr>
            </w:pPr>
          </w:p>
        </w:tc>
        <w:tc>
          <w:tcPr>
            <w:tcW w:w="1240" w:type="dxa"/>
            <w:tcBorders>
              <w:bottom w:val="single" w:color="auto" w:sz="4" w:space="0"/>
            </w:tcBorders>
            <w:noWrap w:val="0"/>
            <w:vAlign w:val="center"/>
          </w:tcPr>
          <w:p>
            <w:pPr>
              <w:snapToGrid w:val="0"/>
              <w:spacing w:line="400" w:lineRule="exact"/>
              <w:rPr>
                <w:rFonts w:ascii="微软雅黑" w:hAnsi="微软雅黑" w:eastAsia="微软雅黑" w:cs="微软雅黑"/>
                <w:kern w:val="2"/>
                <w:sz w:val="21"/>
                <w:szCs w:val="21"/>
                <w:lang w:val="en-US" w:eastAsia="zh-CN" w:bidi="ar-SA"/>
              </w:rPr>
            </w:pPr>
          </w:p>
        </w:tc>
        <w:tc>
          <w:tcPr>
            <w:tcW w:w="2214" w:type="dxa"/>
            <w:tcBorders>
              <w:bottom w:val="single" w:color="auto" w:sz="4" w:space="0"/>
            </w:tcBorders>
            <w:noWrap w:val="0"/>
            <w:vAlign w:val="center"/>
          </w:tcPr>
          <w:p>
            <w:pPr>
              <w:snapToGrid w:val="0"/>
              <w:spacing w:line="400" w:lineRule="exact"/>
              <w:rPr>
                <w:rFonts w:hint="eastAsia" w:ascii="微软雅黑" w:hAnsi="微软雅黑" w:eastAsia="微软雅黑" w:cs="微软雅黑"/>
                <w:kern w:val="2"/>
                <w:sz w:val="21"/>
                <w:szCs w:val="21"/>
                <w:lang w:val="en-US" w:eastAsia="zh-CN" w:bidi="ar-SA"/>
              </w:rPr>
            </w:pPr>
          </w:p>
        </w:tc>
      </w:tr>
    </w:tbl>
    <w:p>
      <w:pPr>
        <w:pStyle w:val="12"/>
        <w:ind w:left="316" w:hanging="316" w:hangingChars="175"/>
        <w:rPr>
          <w:rFonts w:hint="eastAsia" w:ascii="宋体" w:hAnsi="宋体"/>
          <w:b/>
          <w:szCs w:val="21"/>
        </w:rPr>
      </w:pPr>
    </w:p>
    <w:p>
      <w:pPr>
        <w:pStyle w:val="12"/>
        <w:ind w:left="562" w:hanging="562" w:hangingChars="175"/>
        <w:jc w:val="center"/>
        <w:rPr>
          <w:rFonts w:hint="eastAsia" w:ascii="仿宋_GB2312" w:hAnsi="宋体" w:eastAsia="仿宋_GB2312"/>
          <w:b/>
          <w:i w:val="0"/>
          <w:iCs/>
          <w:sz w:val="32"/>
          <w:szCs w:val="32"/>
        </w:rPr>
      </w:pPr>
      <w:r>
        <w:rPr>
          <w:rFonts w:hint="eastAsia" w:ascii="仿宋_GB2312" w:hAnsi="宋体" w:eastAsia="仿宋_GB2312"/>
          <w:b/>
          <w:i w:val="0"/>
          <w:iCs/>
          <w:sz w:val="32"/>
          <w:szCs w:val="32"/>
        </w:rPr>
        <w:br w:type="page"/>
      </w:r>
      <w:r>
        <w:rPr>
          <w:rFonts w:hint="eastAsia" w:ascii="宋体" w:hAnsi="宋体" w:eastAsia="宋体" w:cs="宋体"/>
          <w:b/>
          <w:i w:val="0"/>
          <w:iCs/>
          <w:sz w:val="36"/>
          <w:szCs w:val="36"/>
        </w:rPr>
        <w:t>一、报价部分</w:t>
      </w:r>
    </w:p>
    <w:p>
      <w:pPr>
        <w:pStyle w:val="12"/>
        <w:ind w:left="562" w:hanging="562" w:hangingChars="175"/>
        <w:jc w:val="center"/>
        <w:rPr>
          <w:rFonts w:hint="eastAsia" w:ascii="仿宋_GB2312" w:hAnsi="宋体" w:eastAsia="仿宋_GB2312"/>
          <w:b/>
          <w:i w:val="0"/>
          <w:iCs/>
          <w:sz w:val="32"/>
          <w:szCs w:val="32"/>
        </w:rPr>
      </w:pPr>
      <w:r>
        <w:rPr>
          <w:rFonts w:hint="eastAsia" w:ascii="仿宋_GB2312" w:hAnsi="宋体" w:eastAsia="仿宋_GB2312"/>
          <w:b/>
          <w:i w:val="0"/>
          <w:iCs/>
          <w:sz w:val="32"/>
          <w:szCs w:val="32"/>
        </w:rPr>
        <w:t>1、投标函</w:t>
      </w:r>
    </w:p>
    <w:p>
      <w:pPr>
        <w:spacing w:line="400" w:lineRule="exact"/>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宁波市政府采购中心</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我方参加贵方组织</w:t>
      </w:r>
      <w:r>
        <w:rPr>
          <w:rFonts w:hint="eastAsia" w:ascii="宋体" w:hAnsi="宋体"/>
          <w:i/>
          <w:iCs/>
          <w:sz w:val="24"/>
          <w:szCs w:val="24"/>
          <w:u w:val="single"/>
        </w:rPr>
        <w:t>项目名称(</w:t>
      </w:r>
      <w:r>
        <w:rPr>
          <w:rFonts w:hint="eastAsia" w:ascii="宋体" w:hAnsi="宋体"/>
          <w:sz w:val="24"/>
          <w:szCs w:val="24"/>
        </w:rPr>
        <w:t>采购编号</w:t>
      </w:r>
      <w:r>
        <w:rPr>
          <w:rFonts w:hint="eastAsia" w:ascii="宋体" w:hAnsi="宋体"/>
          <w:sz w:val="24"/>
          <w:szCs w:val="24"/>
          <w:u w:val="single"/>
        </w:rPr>
        <w:t>XXXXX</w:t>
      </w:r>
      <w:r>
        <w:rPr>
          <w:rFonts w:hint="eastAsia" w:ascii="宋体" w:hAnsi="宋体"/>
          <w:i/>
          <w:iCs/>
          <w:sz w:val="24"/>
          <w:szCs w:val="24"/>
          <w:u w:val="single"/>
        </w:rPr>
        <w:t>)</w:t>
      </w:r>
      <w:r>
        <w:rPr>
          <w:rFonts w:hint="eastAsia" w:ascii="宋体" w:hAnsi="宋体"/>
          <w:sz w:val="24"/>
          <w:szCs w:val="24"/>
        </w:rPr>
        <w:t>招标的有关活动，并进行电子投标。据此函，我方宣布同意如下：</w:t>
      </w:r>
    </w:p>
    <w:p>
      <w:pPr>
        <w:keepNext w:val="0"/>
        <w:keepLines w:val="0"/>
        <w:pageBreakBefore w:val="0"/>
        <w:widowControl w:val="0"/>
        <w:numPr>
          <w:ilvl w:val="0"/>
          <w:numId w:val="10"/>
        </w:numPr>
        <w:tabs>
          <w:tab w:val="left" w:pos="840"/>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提供投标须知规定的全部电子投标文件，上传到“政采云”平台。</w:t>
      </w:r>
    </w:p>
    <w:p>
      <w:pPr>
        <w:keepNext w:val="0"/>
        <w:keepLines w:val="0"/>
        <w:pageBreakBefore w:val="0"/>
        <w:widowControl w:val="0"/>
        <w:numPr>
          <w:ilvl w:val="0"/>
          <w:numId w:val="10"/>
        </w:numPr>
        <w:tabs>
          <w:tab w:val="left" w:pos="840"/>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投标报价详见开标一览表。</w:t>
      </w:r>
    </w:p>
    <w:p>
      <w:pPr>
        <w:keepNext w:val="0"/>
        <w:keepLines w:val="0"/>
        <w:pageBreakBefore w:val="0"/>
        <w:widowControl w:val="0"/>
        <w:numPr>
          <w:ilvl w:val="0"/>
          <w:numId w:val="10"/>
        </w:numPr>
        <w:tabs>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ascii="宋体" w:hAnsi="宋体"/>
          <w:sz w:val="24"/>
          <w:szCs w:val="24"/>
        </w:rPr>
        <w:t>已详细审查全部招标文件，包括修改文件（如</w:t>
      </w:r>
      <w:r>
        <w:rPr>
          <w:rFonts w:hint="eastAsia" w:ascii="宋体" w:hAnsi="宋体"/>
          <w:sz w:val="24"/>
          <w:szCs w:val="24"/>
        </w:rPr>
        <w:t>有的话</w:t>
      </w:r>
      <w:r>
        <w:rPr>
          <w:rFonts w:ascii="宋体" w:hAnsi="宋体"/>
          <w:sz w:val="24"/>
          <w:szCs w:val="24"/>
        </w:rPr>
        <w:t>）以及全部参考资料和有关附件</w:t>
      </w:r>
      <w:r>
        <w:rPr>
          <w:rFonts w:hint="eastAsia" w:ascii="宋体" w:hAnsi="宋体"/>
          <w:sz w:val="24"/>
          <w:szCs w:val="24"/>
        </w:rPr>
        <w:t>，</w:t>
      </w:r>
      <w:r>
        <w:rPr>
          <w:rFonts w:ascii="宋体" w:hAnsi="宋体"/>
          <w:sz w:val="24"/>
          <w:szCs w:val="24"/>
        </w:rPr>
        <w:t>我</w:t>
      </w:r>
      <w:r>
        <w:rPr>
          <w:rFonts w:hint="eastAsia" w:ascii="宋体" w:hAnsi="宋体"/>
          <w:sz w:val="24"/>
          <w:szCs w:val="24"/>
        </w:rPr>
        <w:t>方</w:t>
      </w:r>
      <w:r>
        <w:rPr>
          <w:rFonts w:ascii="宋体" w:hAnsi="宋体"/>
          <w:sz w:val="24"/>
          <w:szCs w:val="24"/>
        </w:rPr>
        <w:t>完全理解并同意放弃对这方面有不明及误解的权利。</w:t>
      </w:r>
    </w:p>
    <w:p>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保证遵守招标文件中的有关规定，承担规定的责任义务</w:t>
      </w:r>
      <w:r>
        <w:rPr>
          <w:rFonts w:ascii="宋体" w:hAnsi="宋体"/>
          <w:sz w:val="24"/>
          <w:szCs w:val="24"/>
        </w:rPr>
        <w:t>。</w:t>
      </w:r>
    </w:p>
    <w:p>
      <w:pPr>
        <w:keepNext w:val="0"/>
        <w:keepLines w:val="0"/>
        <w:pageBreakBefore w:val="0"/>
        <w:widowControl w:val="0"/>
        <w:numPr>
          <w:ilvl w:val="0"/>
          <w:numId w:val="10"/>
        </w:numPr>
        <w:tabs>
          <w:tab w:val="left" w:pos="-315"/>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ascii="宋体" w:hAnsi="宋体"/>
          <w:sz w:val="24"/>
          <w:szCs w:val="24"/>
        </w:rPr>
        <w:t>提供按照贵方可能要求的与其投标有关的一切数据或资料</w:t>
      </w:r>
      <w:r>
        <w:rPr>
          <w:rFonts w:hint="eastAsia" w:ascii="宋体" w:hAnsi="宋体"/>
          <w:sz w:val="24"/>
          <w:szCs w:val="24"/>
        </w:rPr>
        <w:t>，完全理解贵方不一定接受最低价的投标或收到的任何投标</w:t>
      </w:r>
      <w:r>
        <w:rPr>
          <w:rFonts w:ascii="宋体" w:hAnsi="宋体"/>
          <w:sz w:val="24"/>
          <w:szCs w:val="24"/>
        </w:rPr>
        <w:t>。</w:t>
      </w:r>
    </w:p>
    <w:p>
      <w:pPr>
        <w:keepNext w:val="0"/>
        <w:keepLines w:val="0"/>
        <w:pageBreakBefore w:val="0"/>
        <w:widowControl w:val="0"/>
        <w:numPr>
          <w:ilvl w:val="0"/>
          <w:numId w:val="10"/>
        </w:numPr>
        <w:tabs>
          <w:tab w:val="left" w:pos="-315"/>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投标文件内容有歧义或不一致的，同意按不利于我方作出解释。</w:t>
      </w:r>
    </w:p>
    <w:p>
      <w:pPr>
        <w:keepNext w:val="0"/>
        <w:keepLines w:val="0"/>
        <w:pageBreakBefore w:val="0"/>
        <w:widowControl w:val="0"/>
        <w:numPr>
          <w:ilvl w:val="0"/>
          <w:numId w:val="10"/>
        </w:numPr>
        <w:tabs>
          <w:tab w:val="left" w:pos="840"/>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投标有效期：</w:t>
      </w:r>
      <w:r>
        <w:rPr>
          <w:rFonts w:hint="eastAsia" w:ascii="宋体" w:hAnsi="宋体"/>
          <w:sz w:val="24"/>
          <w:szCs w:val="24"/>
          <w:u w:val="single"/>
        </w:rPr>
        <w:t>90</w:t>
      </w:r>
      <w:r>
        <w:rPr>
          <w:rFonts w:hint="eastAsia" w:ascii="宋体" w:hAnsi="宋体"/>
          <w:sz w:val="24"/>
          <w:szCs w:val="24"/>
        </w:rPr>
        <w:t>天。</w:t>
      </w: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r>
        <w:rPr>
          <w:rFonts w:hint="eastAsia" w:ascii="宋体" w:hAnsi="宋体"/>
          <w:sz w:val="24"/>
          <w:szCs w:val="24"/>
        </w:rPr>
        <w:t>与本投标有关的一切往来通讯方式：</w:t>
      </w: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r>
        <w:rPr>
          <w:rFonts w:hint="eastAsia" w:ascii="宋体" w:hAnsi="宋体"/>
          <w:sz w:val="24"/>
          <w:szCs w:val="24"/>
        </w:rPr>
        <w:t>投标单位全称：</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邮编： </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 xml:space="preserve">电话： </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r>
        <w:rPr>
          <w:rFonts w:hint="eastAsia" w:ascii="宋体" w:hAnsi="宋体"/>
          <w:sz w:val="24"/>
          <w:szCs w:val="24"/>
        </w:rPr>
        <w:t>移动电话：</w:t>
      </w:r>
      <w:r>
        <w:rPr>
          <w:rFonts w:hint="eastAsia" w:ascii="宋体" w:hAnsi="宋体"/>
          <w:sz w:val="24"/>
          <w:szCs w:val="24"/>
          <w:u w:val="single"/>
        </w:rPr>
        <w:t xml:space="preserve">             </w:t>
      </w:r>
      <w:r>
        <w:rPr>
          <w:rFonts w:hint="eastAsia" w:ascii="宋体" w:hAnsi="宋体"/>
          <w:sz w:val="24"/>
          <w:szCs w:val="24"/>
        </w:rPr>
        <w:t>电子邮件：</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525" w:leftChars="0"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525" w:leftChars="0" w:firstLine="480" w:firstLineChars="200"/>
        <w:textAlignment w:val="auto"/>
        <w:rPr>
          <w:rFonts w:hint="eastAsia" w:ascii="宋体" w:hAnsi="宋体"/>
          <w:sz w:val="24"/>
          <w:szCs w:val="24"/>
        </w:rPr>
      </w:pPr>
      <w:r>
        <w:rPr>
          <w:rFonts w:hint="eastAsia" w:ascii="宋体" w:hAnsi="宋体"/>
          <w:sz w:val="24"/>
          <w:szCs w:val="24"/>
        </w:rPr>
        <w:t>投标单位（盖章）：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525" w:leftChars="0" w:firstLine="480" w:firstLineChars="200"/>
        <w:textAlignment w:val="auto"/>
        <w:rPr>
          <w:rFonts w:hint="eastAsia" w:ascii="宋体" w:hAnsi="宋体"/>
          <w:sz w:val="24"/>
          <w:szCs w:val="24"/>
        </w:rPr>
      </w:pPr>
      <w:r>
        <w:rPr>
          <w:rFonts w:hint="eastAsia" w:ascii="宋体" w:hAnsi="宋体"/>
          <w:sz w:val="24"/>
          <w:szCs w:val="24"/>
        </w:rPr>
        <w:t>法定代表人或其委托代理人（签字或签章）：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szCs w:val="24"/>
        </w:rPr>
      </w:pPr>
      <w:r>
        <w:rPr>
          <w:rFonts w:hint="eastAsia" w:ascii="宋体" w:hAnsi="宋体"/>
          <w:sz w:val="24"/>
          <w:szCs w:val="24"/>
        </w:rPr>
        <w:t>日期：</w:t>
      </w:r>
    </w:p>
    <w:p>
      <w:pPr>
        <w:spacing w:line="400" w:lineRule="exact"/>
        <w:ind w:firstLine="480"/>
        <w:rPr>
          <w:rFonts w:hint="eastAsia" w:ascii="宋体" w:hAnsi="宋体"/>
          <w:b/>
          <w:i/>
          <w:iCs/>
          <w:sz w:val="24"/>
          <w:szCs w:val="24"/>
        </w:rPr>
      </w:pPr>
    </w:p>
    <w:p>
      <w:pPr>
        <w:pStyle w:val="5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i w:val="0"/>
          <w:iCs w:val="0"/>
          <w:sz w:val="24"/>
          <w:szCs w:val="24"/>
        </w:rPr>
      </w:pPr>
      <w:r>
        <w:rPr>
          <w:rFonts w:hint="eastAsia" w:ascii="宋体" w:hAnsi="宋体"/>
          <w:b/>
          <w:i w:val="0"/>
          <w:iCs w:val="0"/>
          <w:szCs w:val="21"/>
          <w:lang w:eastAsia="zh-CN"/>
        </w:rPr>
        <w:t>可</w:t>
      </w:r>
      <w:r>
        <w:rPr>
          <w:rFonts w:hint="eastAsia" w:ascii="宋体" w:hAnsi="宋体"/>
          <w:b/>
          <w:i w:val="0"/>
          <w:iCs w:val="0"/>
          <w:szCs w:val="21"/>
        </w:rPr>
        <w:t>先进行纸质打印，代表签字或签章后</w:t>
      </w:r>
      <w:r>
        <w:rPr>
          <w:rFonts w:hint="eastAsia" w:ascii="宋体" w:hAnsi="宋体"/>
          <w:b/>
          <w:i w:val="0"/>
          <w:iCs w:val="0"/>
          <w:szCs w:val="21"/>
          <w:lang w:eastAsia="zh-CN"/>
        </w:rPr>
        <w:t>，再进行扫描提交</w:t>
      </w:r>
      <w:r>
        <w:rPr>
          <w:rFonts w:hint="eastAsia" w:ascii="宋体" w:hAnsi="宋体"/>
          <w:b/>
          <w:i w:val="0"/>
          <w:iCs w:val="0"/>
          <w:szCs w:val="21"/>
        </w:rPr>
        <w:t>。</w:t>
      </w:r>
    </w:p>
    <w:p>
      <w:pPr>
        <w:spacing w:line="400" w:lineRule="exact"/>
        <w:jc w:val="center"/>
        <w:rPr>
          <w:rFonts w:hint="eastAsia" w:ascii="仿宋_GB2312" w:eastAsia="仿宋_GB2312"/>
          <w:b/>
          <w:sz w:val="32"/>
        </w:rPr>
      </w:pPr>
      <w:r>
        <w:rPr>
          <w:rFonts w:hint="eastAsia" w:ascii="仿宋_GB2312" w:eastAsia="仿宋_GB2312"/>
          <w:b/>
          <w:sz w:val="32"/>
        </w:rPr>
        <w:br w:type="page"/>
      </w:r>
      <w:r>
        <w:rPr>
          <w:rFonts w:hint="eastAsia" w:ascii="仿宋_GB2312" w:eastAsia="仿宋_GB2312"/>
          <w:b/>
          <w:sz w:val="32"/>
        </w:rPr>
        <w:t>2、开标一览表</w:t>
      </w:r>
    </w:p>
    <w:p>
      <w:pPr>
        <w:rPr>
          <w:rFonts w:hint="eastAsia"/>
        </w:rPr>
      </w:pPr>
    </w:p>
    <w:p>
      <w:pPr>
        <w:spacing w:line="400" w:lineRule="exact"/>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XXXX</w:t>
      </w:r>
      <w:r>
        <w:rPr>
          <w:rFonts w:hint="eastAsia" w:ascii="宋体" w:hAnsi="宋体" w:cs="宋体"/>
          <w:sz w:val="24"/>
          <w:szCs w:val="24"/>
        </w:rPr>
        <w:t xml:space="preserve"> </w:t>
      </w:r>
    </w:p>
    <w:p>
      <w:pPr>
        <w:spacing w:line="400" w:lineRule="exact"/>
        <w:rPr>
          <w:rFonts w:hint="eastAsia" w:ascii="宋体" w:hAnsi="宋体" w:cs="宋体"/>
          <w:sz w:val="24"/>
          <w:szCs w:val="24"/>
        </w:rPr>
      </w:pPr>
      <w:r>
        <w:rPr>
          <w:rFonts w:hint="eastAsia" w:ascii="宋体" w:hAnsi="宋体" w:cs="宋体"/>
          <w:sz w:val="24"/>
          <w:szCs w:val="24"/>
        </w:rPr>
        <w:t>采购编号：</w:t>
      </w:r>
      <w:r>
        <w:rPr>
          <w:rFonts w:hint="eastAsia" w:ascii="宋体" w:hAnsi="宋体" w:cs="宋体"/>
          <w:sz w:val="24"/>
          <w:szCs w:val="24"/>
          <w:u w:val="single"/>
        </w:rPr>
        <w:t>XXXX</w:t>
      </w:r>
      <w:r>
        <w:rPr>
          <w:rFonts w:hint="eastAsia" w:ascii="宋体" w:hAnsi="宋体" w:cs="宋体"/>
          <w:sz w:val="24"/>
          <w:szCs w:val="24"/>
        </w:rPr>
        <w:t xml:space="preserve"> </w:t>
      </w:r>
    </w:p>
    <w:p>
      <w:pPr>
        <w:spacing w:line="400" w:lineRule="exact"/>
        <w:rPr>
          <w:rFonts w:hint="eastAsia" w:ascii="宋体" w:hAnsi="宋体" w:cs="宋体"/>
          <w:sz w:val="24"/>
          <w:szCs w:val="24"/>
          <w:u w:val="single"/>
        </w:rPr>
      </w:pPr>
      <w:r>
        <w:rPr>
          <w:rFonts w:hint="eastAsia" w:ascii="宋体" w:hAnsi="宋体" w:cs="宋体"/>
          <w:sz w:val="24"/>
          <w:szCs w:val="24"/>
        </w:rPr>
        <w:t>标包号</w:t>
      </w:r>
      <w:r>
        <w:rPr>
          <w:rFonts w:hint="eastAsia" w:ascii="宋体" w:hAnsi="宋体" w:cs="宋体"/>
          <w:sz w:val="24"/>
          <w:szCs w:val="24"/>
          <w:u w:val="single"/>
        </w:rPr>
        <w:t xml:space="preserve">：XX </w:t>
      </w:r>
    </w:p>
    <w:p>
      <w:pPr>
        <w:spacing w:line="400" w:lineRule="exact"/>
        <w:rPr>
          <w:rFonts w:hint="eastAsia"/>
          <w:u w:val="single"/>
        </w:rPr>
      </w:pP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6436"/>
        <w:gridCol w:w="1153"/>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396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4"/>
                <w:szCs w:val="24"/>
              </w:rPr>
            </w:pPr>
            <w:r>
              <w:rPr>
                <w:rFonts w:hint="eastAsia" w:ascii="宋体" w:hAnsi="宋体" w:eastAsia="宋体"/>
                <w:b/>
                <w:sz w:val="24"/>
                <w:szCs w:val="24"/>
              </w:rPr>
              <w:t>本项目收费报价</w:t>
            </w:r>
          </w:p>
        </w:tc>
        <w:tc>
          <w:tcPr>
            <w:tcW w:w="621" w:type="pct"/>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b/>
                <w:sz w:val="24"/>
                <w:szCs w:val="24"/>
              </w:rPr>
            </w:pPr>
            <w:r>
              <w:rPr>
                <w:rFonts w:hint="eastAsia" w:ascii="宋体" w:hAnsi="宋体" w:eastAsia="宋体"/>
                <w:b/>
                <w:sz w:val="24"/>
                <w:szCs w:val="24"/>
              </w:rPr>
              <w:t>单位</w:t>
            </w:r>
          </w:p>
        </w:tc>
        <w:tc>
          <w:tcPr>
            <w:tcW w:w="414" w:type="pct"/>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b/>
                <w:sz w:val="24"/>
                <w:szCs w:val="24"/>
              </w:rPr>
            </w:pPr>
            <w:r>
              <w:rPr>
                <w:rFonts w:ascii="宋体" w:hAnsi="宋体"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合计</w:t>
            </w:r>
          </w:p>
        </w:tc>
        <w:tc>
          <w:tcPr>
            <w:tcW w:w="3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24"/>
                <w:szCs w:val="24"/>
              </w:rPr>
            </w:pPr>
            <w:r>
              <w:rPr>
                <w:rFonts w:hint="eastAsia" w:ascii="宋体" w:hAnsi="宋体" w:eastAsia="宋体"/>
                <w:sz w:val="24"/>
                <w:szCs w:val="24"/>
              </w:rPr>
              <w:t>________________________（大写）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kern w:val="2"/>
                <w:sz w:val="24"/>
                <w:szCs w:val="24"/>
                <w:lang w:val="en-US" w:eastAsia="zh-CN" w:bidi="ar-SA"/>
              </w:rPr>
            </w:pPr>
            <w:r>
              <w:rPr>
                <w:rFonts w:hint="eastAsia" w:ascii="宋体" w:hAnsi="宋体" w:eastAsia="宋体"/>
                <w:sz w:val="24"/>
                <w:szCs w:val="24"/>
              </w:rPr>
              <w:t>________________________（小写）</w:t>
            </w:r>
          </w:p>
        </w:tc>
        <w:tc>
          <w:tcPr>
            <w:tcW w:w="621"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kern w:val="2"/>
                <w:sz w:val="24"/>
                <w:szCs w:val="24"/>
                <w:lang w:val="en-US" w:eastAsia="zh-CN" w:bidi="ar-SA"/>
              </w:rPr>
            </w:pPr>
            <w:r>
              <w:rPr>
                <w:rFonts w:hint="eastAsia" w:ascii="宋体" w:hAnsi="宋体" w:eastAsia="宋体"/>
                <w:sz w:val="24"/>
                <w:szCs w:val="24"/>
              </w:rPr>
              <w:t>元/年</w:t>
            </w:r>
          </w:p>
        </w:tc>
        <w:tc>
          <w:tcPr>
            <w:tcW w:w="414" w:type="pct"/>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szCs w:val="24"/>
              </w:rPr>
            </w:pPr>
          </w:p>
        </w:tc>
      </w:tr>
    </w:tbl>
    <w:p>
      <w:pPr>
        <w:pStyle w:val="2"/>
        <w:rPr>
          <w:rFonts w:hint="eastAsia"/>
        </w:rPr>
      </w:pPr>
    </w:p>
    <w:p>
      <w:pPr>
        <w:rPr>
          <w:rFonts w:hint="eastAsia" w:ascii="宋体" w:hAnsi="宋体"/>
          <w:b/>
          <w:sz w:val="24"/>
          <w:szCs w:val="24"/>
        </w:rPr>
      </w:pPr>
      <w:r>
        <w:rPr>
          <w:rFonts w:hint="eastAsia" w:ascii="宋体" w:hAnsi="宋体"/>
          <w:b/>
          <w:sz w:val="24"/>
          <w:szCs w:val="24"/>
        </w:rPr>
        <w:t>投标单位名称：</w:t>
      </w:r>
      <w:r>
        <w:rPr>
          <w:rFonts w:hint="eastAsia" w:ascii="宋体" w:hAnsi="宋体"/>
          <w:b/>
          <w:sz w:val="24"/>
          <w:szCs w:val="24"/>
          <w:u w:val="single"/>
        </w:rPr>
        <w:t xml:space="preserve">                            </w:t>
      </w:r>
      <w:r>
        <w:rPr>
          <w:rFonts w:hint="eastAsia" w:ascii="宋体" w:hAnsi="宋体"/>
          <w:b/>
          <w:sz w:val="24"/>
          <w:szCs w:val="24"/>
        </w:rPr>
        <w:t>（盖章）</w:t>
      </w:r>
    </w:p>
    <w:p>
      <w:pPr>
        <w:rPr>
          <w:rFonts w:hint="eastAsia" w:ascii="宋体" w:hAnsi="宋体"/>
          <w:b/>
          <w:sz w:val="24"/>
          <w:szCs w:val="24"/>
        </w:rPr>
      </w:pPr>
    </w:p>
    <w:p>
      <w:pPr>
        <w:rPr>
          <w:rFonts w:hint="eastAsia" w:ascii="宋体" w:hAnsi="宋体"/>
          <w:b/>
          <w:sz w:val="24"/>
          <w:szCs w:val="24"/>
        </w:rPr>
      </w:pPr>
      <w:r>
        <w:rPr>
          <w:rFonts w:hint="eastAsia" w:ascii="宋体" w:hAnsi="宋体"/>
          <w:b/>
          <w:sz w:val="24"/>
          <w:szCs w:val="24"/>
        </w:rPr>
        <w:t>日        期：</w:t>
      </w:r>
      <w:r>
        <w:rPr>
          <w:rFonts w:hint="eastAsia" w:ascii="宋体" w:hAnsi="宋体"/>
          <w:b/>
          <w:sz w:val="24"/>
          <w:szCs w:val="24"/>
          <w:u w:val="single"/>
        </w:rPr>
        <w:t xml:space="preserve">      </w:t>
      </w:r>
      <w:r>
        <w:rPr>
          <w:rFonts w:hint="eastAsia" w:ascii="宋体" w:hAnsi="宋体"/>
          <w:b/>
          <w:sz w:val="24"/>
          <w:szCs w:val="24"/>
        </w:rPr>
        <w:t xml:space="preserve"> 年</w:t>
      </w:r>
      <w:r>
        <w:rPr>
          <w:rFonts w:hint="eastAsia" w:ascii="宋体" w:hAnsi="宋体"/>
          <w:b/>
          <w:sz w:val="24"/>
          <w:szCs w:val="24"/>
          <w:u w:val="single"/>
        </w:rPr>
        <w:t xml:space="preserve">      </w:t>
      </w:r>
      <w:r>
        <w:rPr>
          <w:rFonts w:hint="eastAsia" w:ascii="宋体" w:hAnsi="宋体"/>
          <w:b/>
          <w:sz w:val="24"/>
          <w:szCs w:val="24"/>
        </w:rPr>
        <w:t xml:space="preserve"> 月</w:t>
      </w:r>
      <w:r>
        <w:rPr>
          <w:rFonts w:hint="eastAsia" w:ascii="宋体" w:hAnsi="宋体"/>
          <w:b/>
          <w:sz w:val="24"/>
          <w:szCs w:val="24"/>
          <w:u w:val="single"/>
        </w:rPr>
        <w:t xml:space="preserve">      </w:t>
      </w:r>
      <w:r>
        <w:rPr>
          <w:rFonts w:hint="eastAsia" w:ascii="宋体" w:hAnsi="宋体"/>
          <w:b/>
          <w:sz w:val="24"/>
          <w:szCs w:val="24"/>
        </w:rPr>
        <w:t xml:space="preserve"> 日</w:t>
      </w:r>
    </w:p>
    <w:p>
      <w:pPr>
        <w:rPr>
          <w:rFonts w:hint="eastAsia" w:ascii="楷体_GB2312" w:eastAsia="楷体_GB2312"/>
          <w:b/>
          <w:i/>
          <w:iCs/>
          <w:szCs w:val="21"/>
        </w:rPr>
      </w:pPr>
    </w:p>
    <w:p>
      <w:pPr>
        <w:rPr>
          <w:rFonts w:ascii="宋体" w:hAnsi="宋体"/>
          <w:kern w:val="0"/>
        </w:rPr>
      </w:pPr>
      <w:r>
        <w:rPr>
          <w:rFonts w:hint="eastAsia" w:ascii="宋体" w:hAnsi="宋体"/>
          <w:kern w:val="0"/>
        </w:rPr>
        <w:t>注：</w:t>
      </w:r>
    </w:p>
    <w:p>
      <w:pPr>
        <w:spacing w:line="360" w:lineRule="auto"/>
        <w:rPr>
          <w:rFonts w:hint="eastAsia" w:ascii="宋体" w:hAnsi="宋体"/>
          <w:kern w:val="0"/>
        </w:rPr>
      </w:pPr>
      <w:r>
        <w:rPr>
          <w:rFonts w:hint="eastAsia" w:ascii="宋体" w:hAnsi="宋体"/>
          <w:kern w:val="0"/>
          <w:lang w:val="en-US" w:eastAsia="zh-CN"/>
        </w:rPr>
        <w:t>1</w:t>
      </w:r>
      <w:r>
        <w:rPr>
          <w:rFonts w:hint="eastAsia" w:ascii="宋体" w:hAnsi="宋体"/>
          <w:kern w:val="0"/>
        </w:rPr>
        <w:t>、</w:t>
      </w:r>
      <w:r>
        <w:rPr>
          <w:rFonts w:hint="eastAsia" w:ascii="宋体" w:hAnsi="宋体"/>
        </w:rPr>
        <w:t>本项目</w:t>
      </w:r>
      <w:r>
        <w:rPr>
          <w:rFonts w:hint="eastAsia" w:ascii="宋体" w:hAnsi="宋体"/>
          <w:kern w:val="0"/>
        </w:rPr>
        <w:t>总收费：指招标文件中所规定的所有服务项目合同期内全年的总报价，此报价作为投标方的投标总价。</w:t>
      </w:r>
    </w:p>
    <w:p>
      <w:pPr>
        <w:spacing w:line="360" w:lineRule="auto"/>
        <w:rPr>
          <w:rFonts w:hint="eastAsia" w:ascii="宋体" w:hAnsi="宋体"/>
          <w:kern w:val="0"/>
        </w:rPr>
      </w:pPr>
      <w:r>
        <w:rPr>
          <w:rFonts w:hint="eastAsia" w:ascii="宋体" w:hAnsi="宋体"/>
          <w:kern w:val="0"/>
          <w:lang w:val="en-US" w:eastAsia="zh-CN"/>
        </w:rPr>
        <w:t>2</w:t>
      </w:r>
      <w:r>
        <w:rPr>
          <w:rFonts w:hint="eastAsia" w:ascii="宋体" w:hAnsi="宋体"/>
          <w:kern w:val="0"/>
        </w:rPr>
        <w:t>、各投标单位还必须按项目内容对各项服务单独报价，并列出报价表。</w:t>
      </w:r>
    </w:p>
    <w:p>
      <w:pPr>
        <w:spacing w:line="400" w:lineRule="exact"/>
        <w:rPr>
          <w:rFonts w:ascii="宋体"/>
          <w:sz w:val="30"/>
        </w:rPr>
        <w:sectPr>
          <w:headerReference r:id="rId3" w:type="default"/>
          <w:footerReference r:id="rId4" w:type="default"/>
          <w:pgSz w:w="11907" w:h="16840"/>
          <w:pgMar w:top="1418" w:right="1418" w:bottom="1418" w:left="1418" w:header="851" w:footer="851" w:gutter="0"/>
          <w:pgNumType w:fmt="decimal"/>
          <w:cols w:space="720" w:num="1"/>
          <w:docGrid w:type="lines" w:linePitch="312" w:charSpace="0"/>
        </w:sectPr>
      </w:pPr>
    </w:p>
    <w:p>
      <w:pPr>
        <w:spacing w:line="400" w:lineRule="exact"/>
        <w:jc w:val="center"/>
        <w:rPr>
          <w:rFonts w:hint="eastAsia" w:ascii="仿宋_GB2312" w:eastAsia="仿宋_GB2312"/>
          <w:b/>
          <w:sz w:val="32"/>
        </w:rPr>
      </w:pPr>
      <w:r>
        <w:rPr>
          <w:rFonts w:hint="eastAsia" w:ascii="仿宋_GB2312" w:eastAsia="仿宋_GB2312"/>
          <w:b/>
          <w:sz w:val="32"/>
        </w:rPr>
        <w:t>3、管理费构成明细报价表</w:t>
      </w:r>
    </w:p>
    <w:p>
      <w:pPr>
        <w:spacing w:line="400" w:lineRule="exact"/>
        <w:jc w:val="center"/>
        <w:rPr>
          <w:rFonts w:hint="eastAsia" w:ascii="仿宋_GB2312" w:eastAsia="仿宋_GB2312"/>
          <w:b/>
          <w:sz w:val="32"/>
        </w:rPr>
      </w:pPr>
    </w:p>
    <w:p>
      <w:pPr>
        <w:spacing w:line="400" w:lineRule="exact"/>
        <w:jc w:val="center"/>
        <w:rPr>
          <w:rFonts w:hint="eastAsia" w:ascii="仿宋_GB2312" w:eastAsia="仿宋_GB2312"/>
          <w:b/>
          <w:sz w:val="32"/>
        </w:rPr>
      </w:pPr>
    </w:p>
    <w:p>
      <w:pPr>
        <w:ind w:firstLine="5295"/>
        <w:jc w:val="right"/>
        <w:rPr>
          <w:rFonts w:hint="eastAsia" w:ascii="宋体" w:hAnsi="宋体"/>
          <w:sz w:val="24"/>
          <w:szCs w:val="24"/>
        </w:rPr>
      </w:pPr>
      <w:r>
        <w:rPr>
          <w:rFonts w:hint="eastAsia" w:ascii="宋体" w:hAnsi="宋体"/>
          <w:sz w:val="24"/>
          <w:szCs w:val="24"/>
        </w:rPr>
        <w:t>（单位：元/月）</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452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5000" w:type="pct"/>
            <w:gridSpan w:val="3"/>
            <w:noWrap w:val="0"/>
            <w:vAlign w:val="center"/>
          </w:tcPr>
          <w:p>
            <w:pPr>
              <w:jc w:val="center"/>
              <w:rPr>
                <w:rFonts w:hint="eastAsia" w:ascii="宋体" w:hAnsi="宋体" w:eastAsia="宋体"/>
                <w:sz w:val="24"/>
                <w:szCs w:val="24"/>
              </w:rPr>
            </w:pPr>
            <w:r>
              <w:rPr>
                <w:rFonts w:hint="eastAsia" w:ascii="宋体" w:hAnsi="宋体" w:eastAsia="宋体"/>
                <w:sz w:val="24"/>
                <w:szCs w:val="24"/>
              </w:rPr>
              <w:t>管理费构成测算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spacing w:before="120" w:after="120"/>
              <w:jc w:val="center"/>
              <w:rPr>
                <w:rFonts w:hint="eastAsia" w:ascii="宋体" w:hAnsi="宋体" w:eastAsia="宋体"/>
                <w:b/>
                <w:bCs/>
                <w:caps/>
                <w:sz w:val="24"/>
                <w:szCs w:val="24"/>
              </w:rPr>
            </w:pPr>
            <w:r>
              <w:rPr>
                <w:rFonts w:hint="eastAsia" w:ascii="宋体" w:hAnsi="宋体" w:eastAsia="宋体"/>
                <w:b/>
                <w:bCs/>
                <w:caps/>
                <w:sz w:val="24"/>
                <w:szCs w:val="24"/>
              </w:rPr>
              <w:t>序号</w:t>
            </w:r>
          </w:p>
        </w:tc>
        <w:tc>
          <w:tcPr>
            <w:tcW w:w="2293" w:type="pct"/>
            <w:noWrap w:val="0"/>
            <w:vAlign w:val="center"/>
          </w:tcPr>
          <w:p>
            <w:pPr>
              <w:jc w:val="center"/>
              <w:rPr>
                <w:rFonts w:hint="eastAsia" w:ascii="宋体" w:hAnsi="宋体" w:eastAsia="宋体"/>
                <w:sz w:val="24"/>
                <w:szCs w:val="24"/>
              </w:rPr>
            </w:pPr>
            <w:r>
              <w:rPr>
                <w:rFonts w:hint="eastAsia" w:ascii="宋体" w:hAnsi="宋体" w:eastAsia="宋体"/>
                <w:sz w:val="24"/>
                <w:szCs w:val="24"/>
              </w:rPr>
              <w:t>项目</w:t>
            </w:r>
          </w:p>
        </w:tc>
        <w:tc>
          <w:tcPr>
            <w:tcW w:w="1872" w:type="pct"/>
            <w:noWrap w:val="0"/>
            <w:vAlign w:val="center"/>
          </w:tcPr>
          <w:p>
            <w:pPr>
              <w:jc w:val="center"/>
              <w:rPr>
                <w:rFonts w:hint="eastAsia" w:ascii="宋体" w:hAnsi="宋体" w:eastAsia="宋体"/>
                <w:sz w:val="24"/>
                <w:szCs w:val="24"/>
              </w:rPr>
            </w:pPr>
            <w:r>
              <w:rPr>
                <w:rFonts w:hint="eastAsia" w:ascii="宋体" w:hAnsi="宋体" w:eastAsia="宋体"/>
                <w:sz w:val="24"/>
                <w:szCs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1</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2</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3</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4</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5</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6</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7</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8</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9</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10</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p>
        </w:tc>
        <w:tc>
          <w:tcPr>
            <w:tcW w:w="2293" w:type="pct"/>
            <w:noWrap w:val="0"/>
            <w:vAlign w:val="center"/>
          </w:tcPr>
          <w:p>
            <w:pPr>
              <w:jc w:val="center"/>
              <w:rPr>
                <w:rFonts w:hint="eastAsia" w:ascii="宋体" w:hAnsi="宋体" w:eastAsia="宋体"/>
                <w:sz w:val="24"/>
                <w:szCs w:val="24"/>
              </w:rPr>
            </w:pPr>
            <w:r>
              <w:rPr>
                <w:rFonts w:hint="eastAsia" w:ascii="宋体" w:hAnsi="宋体" w:eastAsia="宋体"/>
                <w:sz w:val="24"/>
                <w:szCs w:val="24"/>
              </w:rPr>
              <w:t>……</w:t>
            </w: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小计</w:t>
            </w:r>
          </w:p>
        </w:tc>
        <w:tc>
          <w:tcPr>
            <w:tcW w:w="4165" w:type="pct"/>
            <w:gridSpan w:val="2"/>
            <w:noWrap w:val="0"/>
            <w:vAlign w:val="center"/>
          </w:tcPr>
          <w:p>
            <w:pPr>
              <w:jc w:val="center"/>
              <w:rPr>
                <w:rFonts w:hint="eastAsia" w:ascii="宋体" w:hAnsi="宋体" w:eastAsia="宋体"/>
                <w:sz w:val="24"/>
                <w:szCs w:val="24"/>
              </w:rPr>
            </w:pPr>
          </w:p>
        </w:tc>
      </w:tr>
    </w:tbl>
    <w:p>
      <w:pPr>
        <w:keepNext/>
        <w:keepLines/>
        <w:numPr>
          <w:ilvl w:val="0"/>
          <w:numId w:val="0"/>
        </w:numPr>
        <w:spacing w:before="120" w:after="120" w:line="413" w:lineRule="auto"/>
        <w:ind w:left="105" w:leftChars="0"/>
        <w:rPr>
          <w:rFonts w:hint="eastAsia" w:ascii="宋体" w:hAnsi="宋体"/>
          <w:sz w:val="24"/>
          <w:szCs w:val="24"/>
        </w:rPr>
      </w:pPr>
      <w:r>
        <w:rPr>
          <w:rFonts w:hint="eastAsia" w:ascii="宋体" w:hAnsi="宋体"/>
          <w:sz w:val="24"/>
          <w:szCs w:val="24"/>
        </w:rPr>
        <w:t>注：1、物业管理费构成中的人工费用部分必须提供费用构成明细</w:t>
      </w:r>
      <w:r>
        <w:rPr>
          <w:rFonts w:hint="eastAsia" w:ascii="宋体" w:hAnsi="宋体"/>
          <w:sz w:val="24"/>
          <w:szCs w:val="24"/>
          <w:lang w:eastAsia="zh-CN"/>
        </w:rPr>
        <w:t>（如</w:t>
      </w:r>
      <w:r>
        <w:rPr>
          <w:rFonts w:hint="eastAsia" w:ascii="宋体" w:hAnsi="宋体"/>
          <w:sz w:val="24"/>
          <w:szCs w:val="24"/>
        </w:rPr>
        <w:t>人工工资费用、社会保险</w:t>
      </w:r>
      <w:r>
        <w:rPr>
          <w:rFonts w:hint="eastAsia" w:ascii="宋体" w:hAnsi="宋体"/>
          <w:sz w:val="24"/>
          <w:szCs w:val="24"/>
          <w:lang w:eastAsia="zh-CN"/>
        </w:rPr>
        <w:t>、</w:t>
      </w:r>
      <w:r>
        <w:rPr>
          <w:rFonts w:hint="eastAsia" w:ascii="宋体" w:hAnsi="宋体"/>
          <w:sz w:val="24"/>
          <w:szCs w:val="24"/>
        </w:rPr>
        <w:t>福利、节假日加班费用</w:t>
      </w:r>
      <w:r>
        <w:rPr>
          <w:rFonts w:hint="eastAsia" w:ascii="宋体" w:hAnsi="宋体"/>
          <w:sz w:val="24"/>
          <w:szCs w:val="24"/>
          <w:lang w:eastAsia="zh-CN"/>
        </w:rPr>
        <w:t>等）</w:t>
      </w:r>
      <w:r>
        <w:rPr>
          <w:rFonts w:hint="eastAsia" w:ascii="宋体" w:hAnsi="宋体"/>
          <w:sz w:val="24"/>
          <w:szCs w:val="24"/>
        </w:rPr>
        <w:t>，可另附表说明。</w:t>
      </w:r>
    </w:p>
    <w:p>
      <w:pPr>
        <w:spacing w:line="400" w:lineRule="exact"/>
        <w:jc w:val="center"/>
        <w:rPr>
          <w:rFonts w:ascii="仿宋_GB2312" w:eastAsia="仿宋_GB2312"/>
          <w:b/>
          <w:sz w:val="32"/>
        </w:rPr>
      </w:pPr>
    </w:p>
    <w:p>
      <w:pPr>
        <w:spacing w:line="460" w:lineRule="exact"/>
        <w:sectPr>
          <w:pgSz w:w="11907" w:h="16840"/>
          <w:pgMar w:top="1418" w:right="1134" w:bottom="1418" w:left="1134" w:header="851" w:footer="851" w:gutter="0"/>
          <w:pgNumType w:fmt="decimal"/>
          <w:cols w:space="720" w:num="1"/>
          <w:docGrid w:type="lines" w:linePitch="312" w:charSpace="0"/>
        </w:sectPr>
      </w:pPr>
    </w:p>
    <w:p>
      <w:pPr>
        <w:spacing w:line="400" w:lineRule="exact"/>
        <w:jc w:val="center"/>
        <w:rPr>
          <w:rFonts w:hint="eastAsia" w:ascii="仿宋_GB2312" w:eastAsia="仿宋_GB2312"/>
          <w:b/>
          <w:sz w:val="32"/>
        </w:rPr>
      </w:pPr>
      <w:r>
        <w:rPr>
          <w:rFonts w:hint="eastAsia" w:ascii="仿宋_GB2312" w:eastAsia="仿宋_GB2312"/>
          <w:b/>
          <w:sz w:val="32"/>
        </w:rPr>
        <w:t>4、为完成本项目配备设备明细表</w:t>
      </w:r>
    </w:p>
    <w:p>
      <w:pPr>
        <w:spacing w:before="156" w:after="156"/>
        <w:ind w:left="420"/>
        <w:jc w:val="center"/>
        <w:rPr>
          <w:rFonts w:hint="eastAsia" w:ascii="宋体" w:hAnsi="宋体"/>
          <w:b/>
          <w:bCs/>
          <w:sz w:val="24"/>
          <w:szCs w:val="24"/>
        </w:rPr>
      </w:pPr>
      <w:r>
        <w:rPr>
          <w:rFonts w:hint="eastAsia" w:ascii="宋体" w:hAnsi="宋体"/>
          <w:b/>
          <w:bCs/>
          <w:sz w:val="24"/>
          <w:szCs w:val="24"/>
        </w:rPr>
        <w:t>（备注：若业主方提供相关设备，则本项下相关表格可不填）</w:t>
      </w:r>
    </w:p>
    <w:p>
      <w:pPr>
        <w:spacing w:before="156" w:after="156"/>
        <w:rPr>
          <w:rFonts w:hint="eastAsia" w:ascii="宋体" w:hAnsi="宋体"/>
          <w:sz w:val="24"/>
          <w:szCs w:val="24"/>
        </w:rPr>
      </w:pPr>
      <w:r>
        <w:rPr>
          <w:rFonts w:hint="eastAsia" w:ascii="宋体" w:hAnsi="宋体"/>
          <w:sz w:val="24"/>
          <w:szCs w:val="24"/>
        </w:rPr>
        <w:t>（一）办公设备</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085"/>
        <w:gridCol w:w="922"/>
        <w:gridCol w:w="923"/>
        <w:gridCol w:w="923"/>
        <w:gridCol w:w="826"/>
        <w:gridCol w:w="10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center"/>
          </w:tcPr>
          <w:p>
            <w:pPr>
              <w:jc w:val="center"/>
              <w:rPr>
                <w:rFonts w:hint="eastAsia" w:ascii="宋体" w:hAnsi="宋体" w:eastAsia="宋体"/>
                <w:sz w:val="24"/>
                <w:szCs w:val="24"/>
              </w:rPr>
            </w:pPr>
            <w:r>
              <w:rPr>
                <w:rFonts w:hint="eastAsia" w:ascii="宋体" w:hAnsi="宋体" w:eastAsia="宋体"/>
                <w:sz w:val="24"/>
                <w:szCs w:val="24"/>
              </w:rPr>
              <w:t>序号</w:t>
            </w:r>
          </w:p>
        </w:tc>
        <w:tc>
          <w:tcPr>
            <w:tcW w:w="584" w:type="pct"/>
            <w:noWrap w:val="0"/>
            <w:vAlign w:val="center"/>
          </w:tcPr>
          <w:p>
            <w:pPr>
              <w:spacing w:before="120" w:after="120"/>
              <w:jc w:val="center"/>
              <w:rPr>
                <w:rFonts w:hint="eastAsia" w:ascii="宋体" w:hAnsi="宋体" w:eastAsia="宋体"/>
                <w:bCs/>
                <w:caps/>
                <w:sz w:val="24"/>
                <w:szCs w:val="24"/>
              </w:rPr>
            </w:pPr>
            <w:r>
              <w:rPr>
                <w:rFonts w:hint="eastAsia" w:ascii="宋体" w:hAnsi="宋体" w:eastAsia="宋体"/>
                <w:bCs/>
                <w:caps/>
                <w:sz w:val="24"/>
                <w:szCs w:val="24"/>
              </w:rPr>
              <w:t>名称</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数量</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单价</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金额</w:t>
            </w:r>
          </w:p>
        </w:tc>
        <w:tc>
          <w:tcPr>
            <w:tcW w:w="444" w:type="pct"/>
            <w:noWrap w:val="0"/>
            <w:vAlign w:val="center"/>
          </w:tcPr>
          <w:p>
            <w:pPr>
              <w:jc w:val="center"/>
              <w:rPr>
                <w:rFonts w:hint="eastAsia" w:ascii="宋体" w:hAnsi="宋体" w:eastAsia="宋体"/>
                <w:sz w:val="24"/>
                <w:szCs w:val="24"/>
              </w:rPr>
            </w:pPr>
            <w:r>
              <w:rPr>
                <w:rFonts w:hint="eastAsia" w:ascii="宋体" w:hAnsi="宋体" w:eastAsia="宋体"/>
                <w:sz w:val="24"/>
                <w:szCs w:val="24"/>
              </w:rPr>
              <w:t>序号</w:t>
            </w:r>
          </w:p>
        </w:tc>
        <w:tc>
          <w:tcPr>
            <w:tcW w:w="550" w:type="pct"/>
            <w:noWrap w:val="0"/>
            <w:vAlign w:val="center"/>
          </w:tcPr>
          <w:p>
            <w:pPr>
              <w:jc w:val="center"/>
              <w:rPr>
                <w:rFonts w:hint="eastAsia" w:ascii="宋体" w:hAnsi="宋体" w:eastAsia="宋体"/>
                <w:sz w:val="24"/>
                <w:szCs w:val="24"/>
              </w:rPr>
            </w:pPr>
            <w:r>
              <w:rPr>
                <w:rFonts w:hint="eastAsia" w:ascii="宋体" w:hAnsi="宋体" w:eastAsia="宋体"/>
                <w:sz w:val="24"/>
                <w:szCs w:val="24"/>
              </w:rPr>
              <w:t>名称</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数量</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单价</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jc w:val="center"/>
              <w:rPr>
                <w:rFonts w:hint="eastAsia" w:ascii="宋体" w:hAnsi="宋体" w:eastAsia="宋体"/>
                <w:sz w:val="24"/>
                <w:szCs w:val="24"/>
              </w:rPr>
            </w:pPr>
            <w:r>
              <w:rPr>
                <w:rFonts w:hint="eastAsia" w:ascii="宋体" w:hAnsi="宋体" w:eastAsia="宋体"/>
                <w:sz w:val="24"/>
                <w:szCs w:val="24"/>
              </w:rPr>
              <w:t>1</w:t>
            </w:r>
          </w:p>
        </w:tc>
        <w:tc>
          <w:tcPr>
            <w:tcW w:w="584"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5</w:t>
            </w:r>
          </w:p>
        </w:tc>
        <w:tc>
          <w:tcPr>
            <w:tcW w:w="550"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jc w:val="center"/>
              <w:rPr>
                <w:rFonts w:hint="eastAsia" w:ascii="宋体" w:hAnsi="宋体" w:eastAsia="宋体"/>
                <w:sz w:val="24"/>
                <w:szCs w:val="24"/>
              </w:rPr>
            </w:pPr>
            <w:r>
              <w:rPr>
                <w:rFonts w:hint="eastAsia" w:ascii="宋体" w:hAnsi="宋体" w:eastAsia="宋体"/>
                <w:sz w:val="24"/>
                <w:szCs w:val="24"/>
              </w:rPr>
              <w:t>2</w:t>
            </w:r>
          </w:p>
        </w:tc>
        <w:tc>
          <w:tcPr>
            <w:tcW w:w="584"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6</w:t>
            </w:r>
          </w:p>
        </w:tc>
        <w:tc>
          <w:tcPr>
            <w:tcW w:w="550"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jc w:val="center"/>
              <w:rPr>
                <w:rFonts w:hint="eastAsia" w:ascii="宋体" w:hAnsi="宋体" w:eastAsia="宋体"/>
                <w:sz w:val="24"/>
                <w:szCs w:val="24"/>
              </w:rPr>
            </w:pPr>
            <w:r>
              <w:rPr>
                <w:rFonts w:hint="eastAsia" w:ascii="宋体" w:hAnsi="宋体" w:eastAsia="宋体"/>
                <w:sz w:val="24"/>
                <w:szCs w:val="24"/>
              </w:rPr>
              <w:t>3</w:t>
            </w:r>
          </w:p>
        </w:tc>
        <w:tc>
          <w:tcPr>
            <w:tcW w:w="584"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7</w:t>
            </w:r>
          </w:p>
        </w:tc>
        <w:tc>
          <w:tcPr>
            <w:tcW w:w="550"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r>
    </w:tbl>
    <w:p>
      <w:pPr>
        <w:spacing w:before="156" w:after="156"/>
        <w:rPr>
          <w:rFonts w:hint="eastAsia" w:ascii="宋体" w:hAnsi="宋体"/>
          <w:sz w:val="24"/>
          <w:szCs w:val="24"/>
        </w:rPr>
      </w:pPr>
      <w:r>
        <w:rPr>
          <w:rFonts w:hint="eastAsia" w:ascii="宋体" w:hAnsi="宋体"/>
          <w:sz w:val="24"/>
          <w:szCs w:val="24"/>
        </w:rPr>
        <w:t>（</w:t>
      </w:r>
      <w:r>
        <w:rPr>
          <w:rFonts w:hint="eastAsia" w:ascii="宋体" w:hAnsi="宋体"/>
          <w:sz w:val="24"/>
          <w:szCs w:val="24"/>
          <w:lang w:eastAsia="zh-CN"/>
        </w:rPr>
        <w:t>二</w:t>
      </w:r>
      <w:r>
        <w:rPr>
          <w:rFonts w:hint="eastAsia" w:ascii="宋体" w:hAnsi="宋体"/>
          <w:sz w:val="24"/>
          <w:szCs w:val="24"/>
        </w:rPr>
        <w:t>）安保设备</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87"/>
        <w:gridCol w:w="923"/>
        <w:gridCol w:w="923"/>
        <w:gridCol w:w="923"/>
        <w:gridCol w:w="825"/>
        <w:gridCol w:w="1023"/>
        <w:gridCol w:w="923"/>
        <w:gridCol w:w="92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序号</w:t>
            </w:r>
          </w:p>
        </w:tc>
        <w:tc>
          <w:tcPr>
            <w:tcW w:w="585" w:type="pct"/>
            <w:noWrap w:val="0"/>
            <w:vAlign w:val="top"/>
          </w:tcPr>
          <w:p>
            <w:pPr>
              <w:jc w:val="center"/>
              <w:rPr>
                <w:rFonts w:hint="eastAsia" w:ascii="宋体" w:hAnsi="宋体" w:eastAsia="宋体"/>
                <w:sz w:val="24"/>
                <w:szCs w:val="24"/>
              </w:rPr>
            </w:pPr>
            <w:r>
              <w:rPr>
                <w:rFonts w:hint="eastAsia" w:ascii="宋体" w:hAnsi="宋体" w:eastAsia="宋体"/>
                <w:sz w:val="24"/>
                <w:szCs w:val="24"/>
              </w:rPr>
              <w:t>名称</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数量</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单价</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金额</w:t>
            </w: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序号</w:t>
            </w:r>
          </w:p>
        </w:tc>
        <w:tc>
          <w:tcPr>
            <w:tcW w:w="551" w:type="pct"/>
            <w:noWrap w:val="0"/>
            <w:vAlign w:val="top"/>
          </w:tcPr>
          <w:p>
            <w:pPr>
              <w:jc w:val="center"/>
              <w:rPr>
                <w:rFonts w:hint="eastAsia" w:ascii="宋体" w:hAnsi="宋体" w:eastAsia="宋体"/>
                <w:sz w:val="24"/>
                <w:szCs w:val="24"/>
              </w:rPr>
            </w:pPr>
            <w:r>
              <w:rPr>
                <w:rFonts w:hint="eastAsia" w:ascii="宋体" w:hAnsi="宋体" w:eastAsia="宋体"/>
                <w:sz w:val="24"/>
                <w:szCs w:val="24"/>
              </w:rPr>
              <w:t>名称</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数量</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单价</w:t>
            </w:r>
          </w:p>
        </w:tc>
        <w:tc>
          <w:tcPr>
            <w:tcW w:w="496" w:type="pct"/>
            <w:noWrap w:val="0"/>
            <w:vAlign w:val="top"/>
          </w:tcPr>
          <w:p>
            <w:pPr>
              <w:jc w:val="center"/>
              <w:rPr>
                <w:rFonts w:hint="eastAsia" w:ascii="宋体" w:hAnsi="宋体" w:eastAsia="宋体"/>
                <w:sz w:val="24"/>
                <w:szCs w:val="24"/>
              </w:rPr>
            </w:pPr>
            <w:r>
              <w:rPr>
                <w:rFonts w:hint="eastAsia" w:ascii="宋体" w:hAnsi="宋体" w:eastAsia="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1</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5</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2</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6</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3</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7</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4</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8</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bl>
    <w:p>
      <w:pPr>
        <w:spacing w:before="156" w:after="156"/>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w:t>
      </w:r>
      <w:r>
        <w:rPr>
          <w:rFonts w:hint="eastAsia" w:ascii="宋体" w:hAnsi="宋体"/>
          <w:sz w:val="24"/>
          <w:szCs w:val="24"/>
          <w:lang w:eastAsia="zh-CN"/>
        </w:rPr>
        <w:t>其他</w:t>
      </w:r>
      <w:r>
        <w:rPr>
          <w:rFonts w:hint="eastAsia" w:ascii="宋体" w:hAnsi="宋体"/>
          <w:sz w:val="24"/>
          <w:szCs w:val="24"/>
        </w:rPr>
        <w:t>设备</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87"/>
        <w:gridCol w:w="923"/>
        <w:gridCol w:w="923"/>
        <w:gridCol w:w="923"/>
        <w:gridCol w:w="825"/>
        <w:gridCol w:w="1023"/>
        <w:gridCol w:w="923"/>
        <w:gridCol w:w="92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序号</w:t>
            </w:r>
          </w:p>
        </w:tc>
        <w:tc>
          <w:tcPr>
            <w:tcW w:w="585" w:type="pct"/>
            <w:noWrap w:val="0"/>
            <w:vAlign w:val="top"/>
          </w:tcPr>
          <w:p>
            <w:pPr>
              <w:jc w:val="center"/>
              <w:rPr>
                <w:rFonts w:hint="eastAsia" w:ascii="宋体" w:hAnsi="宋体" w:eastAsia="宋体"/>
                <w:sz w:val="24"/>
                <w:szCs w:val="24"/>
              </w:rPr>
            </w:pPr>
            <w:r>
              <w:rPr>
                <w:rFonts w:hint="eastAsia" w:ascii="宋体" w:hAnsi="宋体" w:eastAsia="宋体"/>
                <w:sz w:val="24"/>
                <w:szCs w:val="24"/>
              </w:rPr>
              <w:t>名称</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数量</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单价</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金额</w:t>
            </w: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序号</w:t>
            </w:r>
          </w:p>
        </w:tc>
        <w:tc>
          <w:tcPr>
            <w:tcW w:w="551" w:type="pct"/>
            <w:noWrap w:val="0"/>
            <w:vAlign w:val="top"/>
          </w:tcPr>
          <w:p>
            <w:pPr>
              <w:jc w:val="center"/>
              <w:rPr>
                <w:rFonts w:hint="eastAsia" w:ascii="宋体" w:hAnsi="宋体" w:eastAsia="宋体"/>
                <w:sz w:val="24"/>
                <w:szCs w:val="24"/>
              </w:rPr>
            </w:pPr>
            <w:r>
              <w:rPr>
                <w:rFonts w:hint="eastAsia" w:ascii="宋体" w:hAnsi="宋体" w:eastAsia="宋体"/>
                <w:sz w:val="24"/>
                <w:szCs w:val="24"/>
              </w:rPr>
              <w:t>名称</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数量</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单价</w:t>
            </w:r>
          </w:p>
        </w:tc>
        <w:tc>
          <w:tcPr>
            <w:tcW w:w="496" w:type="pct"/>
            <w:noWrap w:val="0"/>
            <w:vAlign w:val="top"/>
          </w:tcPr>
          <w:p>
            <w:pPr>
              <w:jc w:val="center"/>
              <w:rPr>
                <w:rFonts w:hint="eastAsia" w:ascii="宋体" w:hAnsi="宋体" w:eastAsia="宋体"/>
                <w:sz w:val="24"/>
                <w:szCs w:val="24"/>
              </w:rPr>
            </w:pPr>
            <w:r>
              <w:rPr>
                <w:rFonts w:hint="eastAsia" w:ascii="宋体" w:hAnsi="宋体" w:eastAsia="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1</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5</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2</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6</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3</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7</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4</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8</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bl>
    <w:p>
      <w:pPr>
        <w:spacing w:before="156" w:after="156"/>
        <w:jc w:val="center"/>
        <w:rPr>
          <w:rFonts w:hint="eastAsia" w:ascii="宋体" w:hAnsi="宋体"/>
          <w:bCs/>
          <w:sz w:val="24"/>
          <w:szCs w:val="24"/>
        </w:rPr>
      </w:pPr>
      <w:r>
        <w:rPr>
          <w:rFonts w:hint="eastAsia" w:ascii="宋体" w:hAnsi="宋体"/>
          <w:bCs/>
          <w:sz w:val="24"/>
          <w:szCs w:val="24"/>
        </w:rPr>
        <w:t>其它根据项目要求自行增删表格……</w:t>
      </w: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5、其他报价资料</w:t>
      </w:r>
    </w:p>
    <w:p>
      <w:pPr>
        <w:jc w:val="center"/>
        <w:rPr>
          <w:rFonts w:hint="eastAsia" w:ascii="仿宋_GB2312" w:eastAsia="仿宋_GB2312"/>
          <w:b/>
          <w:sz w:val="32"/>
          <w:szCs w:val="32"/>
        </w:rPr>
      </w:pPr>
      <w:r>
        <w:rPr>
          <w:rFonts w:hint="eastAsia" w:ascii="仿宋_GB2312" w:eastAsia="仿宋_GB2312"/>
          <w:b/>
          <w:i/>
          <w:iCs/>
          <w:sz w:val="32"/>
          <w:szCs w:val="32"/>
        </w:rPr>
        <w:t>投标人可结合招标文件及自身情况提供其他认为必要的资料</w:t>
      </w:r>
      <w:r>
        <w:rPr>
          <w:rFonts w:hint="eastAsia" w:ascii="仿宋_GB2312" w:eastAsia="仿宋_GB2312"/>
          <w:b/>
          <w:i/>
          <w:iCs/>
          <w:sz w:val="32"/>
          <w:szCs w:val="32"/>
          <w:lang w:eastAsia="zh-CN"/>
        </w:rPr>
        <w:t>。</w:t>
      </w:r>
      <w:r>
        <w:rPr>
          <w:rFonts w:hint="eastAsia" w:ascii="仿宋_GB2312" w:eastAsia="仿宋_GB2312"/>
          <w:b/>
          <w:sz w:val="32"/>
          <w:szCs w:val="32"/>
        </w:rPr>
        <w:br w:type="page"/>
      </w:r>
      <w:r>
        <w:rPr>
          <w:rFonts w:hint="eastAsia" w:ascii="宋体" w:hAnsi="宋体" w:eastAsia="宋体" w:cs="宋体"/>
          <w:b/>
          <w:i w:val="0"/>
          <w:iCs w:val="0"/>
          <w:kern w:val="2"/>
          <w:sz w:val="36"/>
          <w:szCs w:val="36"/>
          <w:lang w:val="en-US" w:eastAsia="zh-CN" w:bidi="ar-SA"/>
        </w:rPr>
        <w:t>二、商务技术部分</w:t>
      </w:r>
    </w:p>
    <w:p>
      <w:pPr>
        <w:spacing w:before="156" w:after="156"/>
        <w:jc w:val="center"/>
        <w:rPr>
          <w:rFonts w:hint="eastAsia" w:ascii="宋体" w:hAnsi="宋体"/>
          <w:b/>
          <w:bCs/>
          <w:sz w:val="28"/>
        </w:rPr>
      </w:pPr>
    </w:p>
    <w:p>
      <w:pPr>
        <w:jc w:val="center"/>
        <w:rPr>
          <w:rFonts w:hint="eastAsia" w:ascii="仿宋_GB2312" w:eastAsia="仿宋_GB2312"/>
          <w:b/>
          <w:sz w:val="32"/>
          <w:szCs w:val="32"/>
        </w:rPr>
      </w:pPr>
      <w:r>
        <w:rPr>
          <w:rFonts w:hint="eastAsia" w:ascii="仿宋_GB2312" w:eastAsia="仿宋_GB2312"/>
          <w:b/>
          <w:sz w:val="32"/>
          <w:szCs w:val="32"/>
        </w:rPr>
        <w:t>1、投标人情况介绍</w:t>
      </w:r>
    </w:p>
    <w:tbl>
      <w:tblPr>
        <w:tblStyle w:val="25"/>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405"/>
        <w:gridCol w:w="1980"/>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 w:hRule="atLeast"/>
          <w:jc w:val="center"/>
        </w:trPr>
        <w:tc>
          <w:tcPr>
            <w:tcW w:w="746" w:type="pct"/>
            <w:noWrap w:val="0"/>
            <w:vAlign w:val="center"/>
          </w:tcPr>
          <w:p>
            <w:pPr>
              <w:jc w:val="center"/>
              <w:rPr>
                <w:rFonts w:hint="eastAsia" w:ascii="宋体" w:hAnsi="宋体" w:eastAsia="宋体"/>
                <w:sz w:val="24"/>
                <w:szCs w:val="24"/>
              </w:rPr>
            </w:pPr>
            <w:r>
              <w:rPr>
                <w:rFonts w:hint="eastAsia" w:ascii="宋体" w:hAnsi="宋体" w:eastAsia="宋体"/>
                <w:sz w:val="24"/>
                <w:szCs w:val="24"/>
              </w:rPr>
              <w:t>投标人名称</w:t>
            </w:r>
          </w:p>
        </w:tc>
        <w:tc>
          <w:tcPr>
            <w:tcW w:w="1297" w:type="pct"/>
            <w:noWrap w:val="0"/>
            <w:vAlign w:val="center"/>
          </w:tcPr>
          <w:p>
            <w:pPr>
              <w:jc w:val="center"/>
              <w:rPr>
                <w:rFonts w:hint="eastAsia" w:ascii="宋体" w:hAnsi="宋体" w:eastAsia="宋体"/>
                <w:sz w:val="24"/>
                <w:szCs w:val="24"/>
              </w:rPr>
            </w:pPr>
            <w:r>
              <w:rPr>
                <w:rFonts w:hint="eastAsia" w:ascii="宋体" w:hAnsi="宋体" w:eastAsia="宋体"/>
                <w:sz w:val="24"/>
                <w:szCs w:val="24"/>
              </w:rPr>
              <w:t>注册年度及注册编号</w:t>
            </w:r>
          </w:p>
        </w:tc>
        <w:tc>
          <w:tcPr>
            <w:tcW w:w="1068" w:type="pct"/>
            <w:noWrap w:val="0"/>
            <w:vAlign w:val="center"/>
          </w:tcPr>
          <w:p>
            <w:pPr>
              <w:jc w:val="center"/>
              <w:rPr>
                <w:rFonts w:hint="eastAsia" w:ascii="宋体" w:hAnsi="宋体" w:eastAsia="宋体"/>
                <w:sz w:val="24"/>
                <w:szCs w:val="24"/>
              </w:rPr>
            </w:pPr>
            <w:r>
              <w:rPr>
                <w:rFonts w:hint="eastAsia" w:ascii="宋体" w:hAnsi="宋体" w:eastAsia="宋体"/>
                <w:sz w:val="24"/>
                <w:szCs w:val="24"/>
              </w:rPr>
              <w:t>注册资金（万元）</w:t>
            </w:r>
          </w:p>
        </w:tc>
        <w:tc>
          <w:tcPr>
            <w:tcW w:w="1889" w:type="pct"/>
            <w:noWrap w:val="0"/>
            <w:vAlign w:val="center"/>
          </w:tcPr>
          <w:p>
            <w:pPr>
              <w:jc w:val="center"/>
              <w:rPr>
                <w:rFonts w:hint="eastAsia" w:ascii="宋体" w:hAnsi="宋体" w:eastAsia="宋体"/>
                <w:sz w:val="24"/>
                <w:szCs w:val="24"/>
              </w:rPr>
            </w:pPr>
            <w:r>
              <w:rPr>
                <w:rFonts w:hint="eastAsia" w:ascii="宋体" w:hAnsi="宋体" w:eastAsia="宋体"/>
                <w:sz w:val="24"/>
                <w:szCs w:val="24"/>
              </w:rPr>
              <w:t>资格（质）证书批准单位、等级</w:t>
            </w:r>
          </w:p>
          <w:p>
            <w:pPr>
              <w:jc w:val="center"/>
              <w:rPr>
                <w:rFonts w:hint="eastAsia" w:ascii="宋体" w:hAnsi="宋体" w:eastAsia="宋体"/>
                <w:sz w:val="24"/>
                <w:szCs w:val="24"/>
              </w:rPr>
            </w:pPr>
            <w:r>
              <w:rPr>
                <w:rFonts w:hint="eastAsia" w:ascii="宋体" w:hAnsi="宋体" w:eastAsia="宋体"/>
                <w:sz w:val="24"/>
                <w:szCs w:val="24"/>
              </w:rPr>
              <w:t>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3" w:hRule="atLeast"/>
          <w:jc w:val="center"/>
        </w:trPr>
        <w:tc>
          <w:tcPr>
            <w:tcW w:w="746" w:type="pct"/>
            <w:noWrap w:val="0"/>
            <w:vAlign w:val="center"/>
          </w:tcPr>
          <w:p>
            <w:pPr>
              <w:jc w:val="center"/>
              <w:rPr>
                <w:rFonts w:hint="eastAsia" w:ascii="宋体" w:hAnsi="宋体" w:eastAsia="宋体"/>
                <w:sz w:val="24"/>
                <w:szCs w:val="24"/>
              </w:rPr>
            </w:pPr>
          </w:p>
        </w:tc>
        <w:tc>
          <w:tcPr>
            <w:tcW w:w="1297" w:type="pct"/>
            <w:noWrap w:val="0"/>
            <w:vAlign w:val="center"/>
          </w:tcPr>
          <w:p>
            <w:pPr>
              <w:jc w:val="center"/>
              <w:rPr>
                <w:rFonts w:ascii="宋体" w:hAnsi="宋体" w:eastAsia="宋体"/>
                <w:sz w:val="24"/>
                <w:szCs w:val="24"/>
              </w:rPr>
            </w:pPr>
          </w:p>
        </w:tc>
        <w:tc>
          <w:tcPr>
            <w:tcW w:w="1068" w:type="pct"/>
            <w:noWrap w:val="0"/>
            <w:vAlign w:val="center"/>
          </w:tcPr>
          <w:p>
            <w:pPr>
              <w:jc w:val="center"/>
              <w:rPr>
                <w:rFonts w:ascii="宋体" w:hAnsi="宋体" w:eastAsia="宋体"/>
                <w:sz w:val="24"/>
                <w:szCs w:val="24"/>
              </w:rPr>
            </w:pPr>
          </w:p>
        </w:tc>
        <w:tc>
          <w:tcPr>
            <w:tcW w:w="1889" w:type="pct"/>
            <w:noWrap w:val="0"/>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 w:hRule="atLeast"/>
          <w:jc w:val="center"/>
        </w:trPr>
        <w:tc>
          <w:tcPr>
            <w:tcW w:w="746" w:type="pct"/>
            <w:noWrap w:val="0"/>
            <w:vAlign w:val="center"/>
          </w:tcPr>
          <w:p>
            <w:pPr>
              <w:jc w:val="center"/>
              <w:rPr>
                <w:rFonts w:hint="eastAsia" w:ascii="宋体" w:hAnsi="宋体" w:eastAsia="宋体"/>
                <w:sz w:val="24"/>
                <w:szCs w:val="24"/>
              </w:rPr>
            </w:pPr>
            <w:r>
              <w:rPr>
                <w:rFonts w:hint="eastAsia" w:ascii="宋体" w:hAnsi="宋体" w:eastAsia="宋体"/>
                <w:sz w:val="24"/>
                <w:szCs w:val="24"/>
              </w:rPr>
              <w:t>税务登记证编号</w:t>
            </w:r>
          </w:p>
        </w:tc>
        <w:tc>
          <w:tcPr>
            <w:tcW w:w="1297" w:type="pct"/>
            <w:noWrap w:val="0"/>
            <w:vAlign w:val="center"/>
          </w:tcPr>
          <w:p>
            <w:pPr>
              <w:jc w:val="center"/>
              <w:rPr>
                <w:rFonts w:ascii="宋体" w:hAnsi="宋体" w:eastAsia="宋体"/>
                <w:sz w:val="24"/>
                <w:szCs w:val="24"/>
              </w:rPr>
            </w:pPr>
            <w:r>
              <w:rPr>
                <w:rFonts w:hint="eastAsia" w:ascii="宋体" w:hAnsi="宋体" w:eastAsia="宋体"/>
                <w:sz w:val="24"/>
                <w:szCs w:val="24"/>
              </w:rPr>
              <w:t>经营场所</w:t>
            </w:r>
          </w:p>
        </w:tc>
        <w:tc>
          <w:tcPr>
            <w:tcW w:w="1068" w:type="pct"/>
            <w:noWrap w:val="0"/>
            <w:vAlign w:val="center"/>
          </w:tcPr>
          <w:p>
            <w:pPr>
              <w:jc w:val="center"/>
              <w:rPr>
                <w:rFonts w:ascii="宋体" w:hAnsi="宋体" w:eastAsia="宋体"/>
                <w:sz w:val="24"/>
                <w:szCs w:val="24"/>
              </w:rPr>
            </w:pPr>
            <w:r>
              <w:rPr>
                <w:rFonts w:hint="eastAsia" w:ascii="宋体" w:hAnsi="宋体" w:eastAsia="宋体"/>
                <w:sz w:val="24"/>
                <w:szCs w:val="24"/>
              </w:rPr>
              <w:t>在职技术人数</w:t>
            </w:r>
          </w:p>
        </w:tc>
        <w:tc>
          <w:tcPr>
            <w:tcW w:w="1889" w:type="pct"/>
            <w:noWrap w:val="0"/>
            <w:vAlign w:val="center"/>
          </w:tcPr>
          <w:p>
            <w:pPr>
              <w:jc w:val="center"/>
              <w:rPr>
                <w:rFonts w:ascii="宋体" w:hAnsi="宋体" w:eastAsia="宋体"/>
                <w:sz w:val="24"/>
                <w:szCs w:val="24"/>
              </w:rPr>
            </w:pPr>
            <w:r>
              <w:rPr>
                <w:rFonts w:hint="eastAsia" w:ascii="宋体" w:hAnsi="宋体" w:eastAsia="宋体"/>
                <w:sz w:val="24"/>
                <w:szCs w:val="24"/>
              </w:rPr>
              <w:t>得奖或评优项目数量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4" w:hRule="atLeast"/>
          <w:jc w:val="center"/>
        </w:trPr>
        <w:tc>
          <w:tcPr>
            <w:tcW w:w="746" w:type="pct"/>
            <w:noWrap w:val="0"/>
            <w:vAlign w:val="center"/>
          </w:tcPr>
          <w:p>
            <w:pPr>
              <w:rPr>
                <w:rFonts w:hint="eastAsia" w:ascii="宋体" w:hAnsi="宋体" w:eastAsia="宋体"/>
                <w:sz w:val="24"/>
                <w:szCs w:val="24"/>
              </w:rPr>
            </w:pPr>
          </w:p>
        </w:tc>
        <w:tc>
          <w:tcPr>
            <w:tcW w:w="1297" w:type="pct"/>
            <w:noWrap w:val="0"/>
            <w:vAlign w:val="center"/>
          </w:tcPr>
          <w:p>
            <w:pPr>
              <w:rPr>
                <w:rFonts w:ascii="宋体" w:hAnsi="宋体" w:eastAsia="宋体"/>
                <w:sz w:val="24"/>
                <w:szCs w:val="24"/>
              </w:rPr>
            </w:pPr>
          </w:p>
        </w:tc>
        <w:tc>
          <w:tcPr>
            <w:tcW w:w="1068" w:type="pct"/>
            <w:noWrap w:val="0"/>
            <w:vAlign w:val="center"/>
          </w:tcPr>
          <w:p>
            <w:pPr>
              <w:rPr>
                <w:rFonts w:ascii="宋体" w:hAnsi="宋体" w:eastAsia="宋体"/>
                <w:sz w:val="24"/>
                <w:szCs w:val="24"/>
              </w:rPr>
            </w:pPr>
          </w:p>
        </w:tc>
        <w:tc>
          <w:tcPr>
            <w:tcW w:w="1889" w:type="pct"/>
            <w:noWrap w:val="0"/>
            <w:vAlign w:val="center"/>
          </w:tcPr>
          <w:p>
            <w:pPr>
              <w:rPr>
                <w:rFonts w:ascii="宋体" w:hAnsi="宋体" w:eastAsia="宋体"/>
                <w:sz w:val="24"/>
                <w:szCs w:val="24"/>
              </w:rPr>
            </w:pPr>
          </w:p>
        </w:tc>
      </w:tr>
    </w:tbl>
    <w:p>
      <w:pPr>
        <w:ind w:left="632" w:hanging="632"/>
        <w:rPr>
          <w:rFonts w:hint="eastAsia" w:ascii="宋体" w:hAnsi="宋体"/>
          <w:b/>
          <w:sz w:val="24"/>
          <w:szCs w:val="24"/>
        </w:rPr>
      </w:pPr>
      <w:r>
        <w:rPr>
          <w:rFonts w:hint="eastAsia" w:ascii="宋体" w:hAnsi="宋体"/>
          <w:b/>
          <w:sz w:val="24"/>
          <w:szCs w:val="24"/>
        </w:rPr>
        <w:t>注：1、在按要求填写好此表格后，各投标单位可以用其它的方式，就公司整体情况作出详细的介绍。</w:t>
      </w:r>
    </w:p>
    <w:p>
      <w:pPr>
        <w:ind w:firstLine="420"/>
        <w:rPr>
          <w:rFonts w:hint="eastAsia" w:ascii="宋体" w:hAnsi="宋体"/>
          <w:b/>
          <w:sz w:val="24"/>
          <w:szCs w:val="24"/>
        </w:rPr>
      </w:pPr>
      <w:r>
        <w:rPr>
          <w:rFonts w:hint="eastAsia" w:ascii="宋体" w:hAnsi="宋体"/>
          <w:b/>
          <w:sz w:val="24"/>
          <w:szCs w:val="24"/>
        </w:rPr>
        <w:t>2、有关资质和获奖情况需提供证书扫描件。</w:t>
      </w:r>
    </w:p>
    <w:p>
      <w:pPr>
        <w:ind w:firstLine="420"/>
        <w:rPr>
          <w:rFonts w:hint="eastAsia" w:ascii="宋体" w:hAnsi="宋体"/>
          <w:b/>
          <w:sz w:val="24"/>
          <w:szCs w:val="24"/>
        </w:rPr>
      </w:pPr>
    </w:p>
    <w:p>
      <w:pPr>
        <w:ind w:firstLine="420"/>
        <w:rPr>
          <w:rFonts w:hint="eastAsia" w:ascii="宋体" w:hAnsi="宋体"/>
          <w:b/>
          <w:sz w:val="24"/>
          <w:szCs w:val="24"/>
        </w:rPr>
        <w:sectPr>
          <w:headerReference r:id="rId5" w:type="default"/>
          <w:footerReference r:id="rId6" w:type="default"/>
          <w:pgSz w:w="11907" w:h="16840"/>
          <w:pgMar w:top="1134" w:right="1418" w:bottom="1134" w:left="1418" w:header="851" w:footer="851" w:gutter="0"/>
          <w:pgNumType w:fmt="decimal"/>
          <w:cols w:space="720" w:num="1"/>
          <w:docGrid w:type="lines" w:linePitch="312" w:charSpace="0"/>
        </w:sectPr>
      </w:pPr>
    </w:p>
    <w:p>
      <w:pPr>
        <w:jc w:val="center"/>
        <w:rPr>
          <w:rFonts w:ascii="仿宋_GB2312" w:eastAsia="仿宋_GB2312"/>
          <w:b/>
          <w:sz w:val="32"/>
          <w:szCs w:val="32"/>
        </w:rPr>
      </w:pPr>
      <w:r>
        <w:rPr>
          <w:rFonts w:hint="eastAsia" w:ascii="仿宋_GB2312" w:eastAsia="仿宋_GB2312"/>
          <w:b/>
          <w:sz w:val="32"/>
          <w:szCs w:val="32"/>
        </w:rPr>
        <w:t>2、项目案例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4" w:type="dxa"/>
          <w:bottom w:w="0" w:type="dxa"/>
          <w:right w:w="54" w:type="dxa"/>
        </w:tblCellMar>
      </w:tblPr>
      <w:tblGrid>
        <w:gridCol w:w="699"/>
        <w:gridCol w:w="1481"/>
        <w:gridCol w:w="991"/>
        <w:gridCol w:w="1278"/>
        <w:gridCol w:w="1278"/>
        <w:gridCol w:w="852"/>
        <w:gridCol w:w="141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ascii="宋体" w:hAnsi="宋体" w:eastAsia="宋体"/>
                <w:sz w:val="24"/>
                <w:szCs w:val="24"/>
              </w:rPr>
            </w:pPr>
            <w:r>
              <w:rPr>
                <w:rFonts w:hint="eastAsia" w:ascii="宋体" w:hAnsi="宋体" w:eastAsia="宋体"/>
                <w:sz w:val="24"/>
                <w:szCs w:val="24"/>
              </w:rPr>
              <w:t>序号</w:t>
            </w:r>
          </w:p>
        </w:tc>
        <w:tc>
          <w:tcPr>
            <w:tcW w:w="807" w:type="pct"/>
            <w:noWrap w:val="0"/>
            <w:vAlign w:val="center"/>
          </w:tcPr>
          <w:p>
            <w:pPr>
              <w:jc w:val="center"/>
              <w:rPr>
                <w:rFonts w:ascii="宋体" w:hAnsi="宋体" w:eastAsia="宋体"/>
                <w:sz w:val="24"/>
                <w:szCs w:val="24"/>
              </w:rPr>
            </w:pPr>
            <w:r>
              <w:rPr>
                <w:rFonts w:hint="eastAsia" w:ascii="宋体" w:hAnsi="宋体" w:eastAsia="宋体"/>
                <w:sz w:val="24"/>
                <w:szCs w:val="24"/>
                <w:lang w:eastAsia="zh-CN"/>
              </w:rPr>
              <w:t>项目</w:t>
            </w:r>
            <w:r>
              <w:rPr>
                <w:rFonts w:hint="eastAsia" w:ascii="宋体" w:hAnsi="宋体" w:eastAsia="宋体"/>
                <w:sz w:val="24"/>
                <w:szCs w:val="24"/>
              </w:rPr>
              <w:t>名称</w:t>
            </w:r>
          </w:p>
        </w:tc>
        <w:tc>
          <w:tcPr>
            <w:tcW w:w="540" w:type="pct"/>
            <w:noWrap w:val="0"/>
            <w:vAlign w:val="center"/>
          </w:tcPr>
          <w:p>
            <w:pPr>
              <w:jc w:val="center"/>
              <w:rPr>
                <w:rFonts w:hint="eastAsia" w:ascii="宋体" w:hAnsi="宋体" w:eastAsia="宋体"/>
                <w:sz w:val="24"/>
                <w:szCs w:val="24"/>
              </w:rPr>
            </w:pPr>
            <w:r>
              <w:rPr>
                <w:rFonts w:hint="eastAsia" w:ascii="宋体" w:hAnsi="宋体" w:eastAsia="宋体"/>
                <w:sz w:val="24"/>
                <w:szCs w:val="24"/>
              </w:rPr>
              <w:t>业主</w:t>
            </w:r>
          </w:p>
        </w:tc>
        <w:tc>
          <w:tcPr>
            <w:tcW w:w="696" w:type="pct"/>
            <w:noWrap w:val="0"/>
            <w:vAlign w:val="center"/>
          </w:tcPr>
          <w:p>
            <w:pPr>
              <w:jc w:val="center"/>
              <w:rPr>
                <w:rFonts w:ascii="宋体" w:hAnsi="宋体" w:eastAsia="宋体"/>
                <w:sz w:val="24"/>
                <w:szCs w:val="24"/>
              </w:rPr>
            </w:pPr>
            <w:r>
              <w:rPr>
                <w:rFonts w:hint="eastAsia" w:ascii="宋体" w:hAnsi="宋体" w:eastAsia="宋体"/>
                <w:sz w:val="24"/>
                <w:szCs w:val="24"/>
                <w:lang w:eastAsia="zh-CN"/>
              </w:rPr>
              <w:t>项目</w:t>
            </w:r>
            <w:r>
              <w:rPr>
                <w:rFonts w:hint="eastAsia" w:ascii="宋体" w:hAnsi="宋体" w:eastAsia="宋体"/>
                <w:sz w:val="24"/>
                <w:szCs w:val="24"/>
              </w:rPr>
              <w:t>规模（平方米）</w:t>
            </w:r>
          </w:p>
        </w:tc>
        <w:tc>
          <w:tcPr>
            <w:tcW w:w="6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合同金额</w:t>
            </w:r>
          </w:p>
        </w:tc>
        <w:tc>
          <w:tcPr>
            <w:tcW w:w="464" w:type="pct"/>
            <w:noWrap w:val="0"/>
            <w:vAlign w:val="center"/>
          </w:tcPr>
          <w:p>
            <w:pPr>
              <w:jc w:val="center"/>
              <w:rPr>
                <w:rFonts w:hint="eastAsia" w:ascii="宋体" w:hAnsi="宋体" w:eastAsia="宋体"/>
                <w:sz w:val="24"/>
                <w:szCs w:val="24"/>
              </w:rPr>
            </w:pPr>
            <w:r>
              <w:rPr>
                <w:rFonts w:hint="eastAsia" w:ascii="宋体" w:hAnsi="宋体" w:eastAsia="宋体"/>
                <w:sz w:val="24"/>
                <w:szCs w:val="24"/>
              </w:rPr>
              <w:t>合同起始时间</w:t>
            </w:r>
          </w:p>
        </w:tc>
        <w:tc>
          <w:tcPr>
            <w:tcW w:w="772" w:type="pct"/>
            <w:noWrap w:val="0"/>
            <w:vAlign w:val="center"/>
          </w:tcPr>
          <w:p>
            <w:pPr>
              <w:jc w:val="center"/>
              <w:rPr>
                <w:rFonts w:hint="eastAsia" w:ascii="宋体" w:hAnsi="宋体" w:eastAsia="宋体"/>
                <w:sz w:val="24"/>
                <w:szCs w:val="24"/>
              </w:rPr>
            </w:pPr>
            <w:r>
              <w:rPr>
                <w:rFonts w:hint="eastAsia" w:ascii="宋体" w:hAnsi="宋体" w:eastAsia="宋体"/>
                <w:sz w:val="24"/>
                <w:szCs w:val="24"/>
              </w:rPr>
              <w:t>业主联系人</w:t>
            </w:r>
          </w:p>
        </w:tc>
        <w:tc>
          <w:tcPr>
            <w:tcW w:w="644" w:type="pct"/>
            <w:noWrap w:val="0"/>
            <w:vAlign w:val="center"/>
          </w:tcPr>
          <w:p>
            <w:pPr>
              <w:rPr>
                <w:rFonts w:ascii="宋体" w:hAnsi="宋体" w:eastAsia="宋体"/>
                <w:sz w:val="24"/>
                <w:szCs w:val="24"/>
              </w:rPr>
            </w:pPr>
            <w:r>
              <w:rPr>
                <w:rFonts w:hint="eastAsia" w:ascii="宋体" w:hAnsi="宋体" w:eastAsia="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hint="eastAsia" w:ascii="宋体" w:hAnsi="宋体" w:eastAsia="宋体"/>
                <w:sz w:val="24"/>
                <w:szCs w:val="24"/>
              </w:rPr>
            </w:pPr>
          </w:p>
        </w:tc>
        <w:tc>
          <w:tcPr>
            <w:tcW w:w="807" w:type="pct"/>
            <w:noWrap w:val="0"/>
            <w:vAlign w:val="center"/>
          </w:tcPr>
          <w:p>
            <w:pPr>
              <w:rPr>
                <w:rFonts w:ascii="宋体" w:hAnsi="宋体" w:eastAsia="宋体"/>
                <w:sz w:val="24"/>
                <w:szCs w:val="24"/>
              </w:rPr>
            </w:pPr>
          </w:p>
        </w:tc>
        <w:tc>
          <w:tcPr>
            <w:tcW w:w="540"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464" w:type="pct"/>
            <w:noWrap w:val="0"/>
            <w:vAlign w:val="center"/>
          </w:tcPr>
          <w:p>
            <w:pPr>
              <w:rPr>
                <w:rFonts w:ascii="宋体" w:hAnsi="宋体" w:eastAsia="宋体"/>
                <w:sz w:val="24"/>
                <w:szCs w:val="24"/>
              </w:rPr>
            </w:pPr>
          </w:p>
        </w:tc>
        <w:tc>
          <w:tcPr>
            <w:tcW w:w="772" w:type="pct"/>
            <w:noWrap w:val="0"/>
            <w:vAlign w:val="center"/>
          </w:tcPr>
          <w:p>
            <w:pPr>
              <w:rPr>
                <w:rFonts w:ascii="宋体" w:hAnsi="宋体" w:eastAsia="宋体"/>
                <w:sz w:val="24"/>
                <w:szCs w:val="24"/>
              </w:rPr>
            </w:pPr>
          </w:p>
        </w:tc>
        <w:tc>
          <w:tcPr>
            <w:tcW w:w="644" w:type="pct"/>
            <w:noWrap w:val="0"/>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ascii="宋体" w:hAnsi="宋体" w:eastAsia="宋体"/>
                <w:sz w:val="24"/>
                <w:szCs w:val="24"/>
              </w:rPr>
            </w:pPr>
          </w:p>
        </w:tc>
        <w:tc>
          <w:tcPr>
            <w:tcW w:w="807" w:type="pct"/>
            <w:noWrap w:val="0"/>
            <w:vAlign w:val="center"/>
          </w:tcPr>
          <w:p>
            <w:pPr>
              <w:rPr>
                <w:rFonts w:ascii="宋体" w:hAnsi="宋体" w:eastAsia="宋体"/>
                <w:sz w:val="24"/>
                <w:szCs w:val="24"/>
              </w:rPr>
            </w:pPr>
          </w:p>
        </w:tc>
        <w:tc>
          <w:tcPr>
            <w:tcW w:w="540"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464" w:type="pct"/>
            <w:noWrap w:val="0"/>
            <w:vAlign w:val="center"/>
          </w:tcPr>
          <w:p>
            <w:pPr>
              <w:rPr>
                <w:rFonts w:ascii="宋体" w:hAnsi="宋体" w:eastAsia="宋体"/>
                <w:sz w:val="24"/>
                <w:szCs w:val="24"/>
              </w:rPr>
            </w:pPr>
          </w:p>
        </w:tc>
        <w:tc>
          <w:tcPr>
            <w:tcW w:w="772" w:type="pct"/>
            <w:noWrap w:val="0"/>
            <w:vAlign w:val="center"/>
          </w:tcPr>
          <w:p>
            <w:pPr>
              <w:rPr>
                <w:rFonts w:ascii="宋体" w:hAnsi="宋体" w:eastAsia="宋体"/>
                <w:sz w:val="24"/>
                <w:szCs w:val="24"/>
              </w:rPr>
            </w:pPr>
          </w:p>
        </w:tc>
        <w:tc>
          <w:tcPr>
            <w:tcW w:w="644" w:type="pct"/>
            <w:noWrap w:val="0"/>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ascii="宋体" w:hAnsi="宋体" w:eastAsia="宋体"/>
                <w:sz w:val="24"/>
                <w:szCs w:val="24"/>
              </w:rPr>
            </w:pPr>
          </w:p>
        </w:tc>
        <w:tc>
          <w:tcPr>
            <w:tcW w:w="807" w:type="pct"/>
            <w:noWrap w:val="0"/>
            <w:vAlign w:val="center"/>
          </w:tcPr>
          <w:p>
            <w:pPr>
              <w:rPr>
                <w:rFonts w:ascii="宋体" w:hAnsi="宋体" w:eastAsia="宋体"/>
                <w:sz w:val="24"/>
                <w:szCs w:val="24"/>
              </w:rPr>
            </w:pPr>
          </w:p>
        </w:tc>
        <w:tc>
          <w:tcPr>
            <w:tcW w:w="540"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464" w:type="pct"/>
            <w:noWrap w:val="0"/>
            <w:vAlign w:val="center"/>
          </w:tcPr>
          <w:p>
            <w:pPr>
              <w:rPr>
                <w:rFonts w:ascii="宋体" w:hAnsi="宋体" w:eastAsia="宋体"/>
                <w:sz w:val="24"/>
                <w:szCs w:val="24"/>
              </w:rPr>
            </w:pPr>
          </w:p>
        </w:tc>
        <w:tc>
          <w:tcPr>
            <w:tcW w:w="772" w:type="pct"/>
            <w:noWrap w:val="0"/>
            <w:vAlign w:val="center"/>
          </w:tcPr>
          <w:p>
            <w:pPr>
              <w:rPr>
                <w:rFonts w:ascii="宋体" w:hAnsi="宋体" w:eastAsia="宋体"/>
                <w:sz w:val="24"/>
                <w:szCs w:val="24"/>
              </w:rPr>
            </w:pPr>
          </w:p>
        </w:tc>
        <w:tc>
          <w:tcPr>
            <w:tcW w:w="644" w:type="pct"/>
            <w:noWrap w:val="0"/>
            <w:vAlign w:val="center"/>
          </w:tcPr>
          <w:p>
            <w:pPr>
              <w:rPr>
                <w:rFonts w:ascii="宋体" w:hAnsi="宋体" w:eastAsia="宋体"/>
                <w:sz w:val="24"/>
                <w:szCs w:val="24"/>
              </w:rPr>
            </w:pPr>
          </w:p>
        </w:tc>
      </w:tr>
    </w:tbl>
    <w:p>
      <w:pPr>
        <w:jc w:val="center"/>
        <w:rPr>
          <w:rFonts w:hint="eastAsia" w:ascii="仿宋_GB2312" w:eastAsia="仿宋_GB2312"/>
          <w:b/>
          <w:sz w:val="32"/>
          <w:szCs w:val="32"/>
        </w:rPr>
      </w:pPr>
      <w:bookmarkStart w:id="10" w:name="_Toc100052472"/>
      <w:bookmarkStart w:id="11" w:name="_Toc73517709"/>
      <w:bookmarkStart w:id="12" w:name="_Toc73521705"/>
      <w:bookmarkStart w:id="13" w:name="_Toc73518187"/>
      <w:bookmarkStart w:id="14" w:name="_Toc73521617"/>
      <w:bookmarkStart w:id="15" w:name="_Toc71860061"/>
      <w:bookmarkStart w:id="16" w:name="_Toc101074902"/>
      <w:bookmarkStart w:id="17" w:name="_Toc70748069"/>
    </w:p>
    <w:p>
      <w:pPr>
        <w:jc w:val="center"/>
        <w:rPr>
          <w:rFonts w:hint="eastAsia" w:ascii="仿宋_GB2312" w:eastAsia="仿宋_GB2312"/>
          <w:b/>
          <w:sz w:val="32"/>
          <w:szCs w:val="32"/>
        </w:rPr>
        <w:sectPr>
          <w:pgSz w:w="11907" w:h="16840"/>
          <w:pgMar w:top="1134" w:right="1418" w:bottom="1134" w:left="1418" w:header="851" w:footer="851" w:gutter="0"/>
          <w:pgNumType w:fmt="decimal"/>
          <w:cols w:space="720" w:num="1"/>
          <w:docGrid w:type="lines" w:linePitch="312" w:charSpace="0"/>
        </w:sectPr>
      </w:pPr>
    </w:p>
    <w:p>
      <w:pPr>
        <w:pStyle w:val="2"/>
        <w:rPr>
          <w:rFonts w:hint="eastAsia"/>
        </w:rPr>
      </w:pPr>
    </w:p>
    <w:p>
      <w:pPr>
        <w:jc w:val="center"/>
        <w:rPr>
          <w:rFonts w:hint="eastAsia" w:ascii="仿宋_GB2312" w:eastAsia="仿宋_GB2312"/>
          <w:b/>
          <w:sz w:val="32"/>
          <w:szCs w:val="32"/>
        </w:rPr>
      </w:pPr>
      <w:r>
        <w:rPr>
          <w:rFonts w:hint="eastAsia" w:ascii="仿宋_GB2312" w:eastAsia="仿宋_GB2312"/>
          <w:b/>
          <w:sz w:val="32"/>
          <w:szCs w:val="32"/>
        </w:rPr>
        <w:t>3、</w:t>
      </w:r>
      <w:bookmarkEnd w:id="10"/>
      <w:bookmarkEnd w:id="11"/>
      <w:bookmarkEnd w:id="12"/>
      <w:bookmarkEnd w:id="13"/>
      <w:bookmarkEnd w:id="14"/>
      <w:bookmarkEnd w:id="15"/>
      <w:bookmarkEnd w:id="16"/>
      <w:bookmarkEnd w:id="17"/>
      <w:r>
        <w:rPr>
          <w:rFonts w:hint="eastAsia" w:ascii="仿宋_GB2312" w:eastAsia="仿宋_GB2312"/>
          <w:b/>
          <w:sz w:val="32"/>
          <w:szCs w:val="32"/>
        </w:rPr>
        <w:t>项目人员组成</w:t>
      </w:r>
    </w:p>
    <w:p>
      <w:pPr>
        <w:widowControl/>
        <w:jc w:val="left"/>
        <w:rPr>
          <w:rFonts w:ascii="Calibri Light" w:hAnsi="Calibri Light"/>
          <w:b/>
          <w:bCs/>
          <w:sz w:val="24"/>
        </w:rPr>
      </w:pPr>
      <w:bookmarkStart w:id="18" w:name="_Toc73521619"/>
      <w:bookmarkStart w:id="19" w:name="_Toc101074904"/>
      <w:bookmarkStart w:id="20" w:name="_Toc100052474"/>
      <w:bookmarkStart w:id="21" w:name="_Toc73521707"/>
      <w:r>
        <w:rPr>
          <w:rFonts w:hint="eastAsia" w:ascii="Calibri Light" w:hAnsi="Calibri Light"/>
          <w:b/>
          <w:bCs/>
          <w:sz w:val="24"/>
        </w:rPr>
        <w:t>（一）</w:t>
      </w:r>
      <w:bookmarkEnd w:id="18"/>
      <w:bookmarkEnd w:id="19"/>
      <w:bookmarkEnd w:id="20"/>
      <w:bookmarkEnd w:id="21"/>
      <w:r>
        <w:rPr>
          <w:rFonts w:hint="eastAsia" w:ascii="Calibri Light" w:hAnsi="Calibri Light"/>
          <w:b/>
          <w:bCs/>
          <w:sz w:val="24"/>
          <w:lang w:val="en-US" w:eastAsia="zh-CN"/>
        </w:rPr>
        <w:t>项目</w:t>
      </w:r>
      <w:r>
        <w:rPr>
          <w:rFonts w:hint="eastAsia" w:ascii="Calibri Light" w:hAnsi="Calibri Light"/>
          <w:b/>
          <w:bCs/>
          <w:sz w:val="24"/>
          <w:lang w:val="en-US" w:eastAsia="zh-CN"/>
        </w:rPr>
        <w:t>经理</w:t>
      </w:r>
      <w:r>
        <w:rPr>
          <w:rFonts w:hint="eastAsia" w:ascii="Calibri Light" w:hAnsi="Calibri Light"/>
          <w:b/>
          <w:bCs/>
          <w:sz w:val="24"/>
        </w:rPr>
        <w:t>简历表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14"/>
        <w:gridCol w:w="817"/>
        <w:gridCol w:w="1321"/>
        <w:gridCol w:w="162"/>
        <w:gridCol w:w="1059"/>
        <w:gridCol w:w="1729"/>
        <w:gridCol w:w="212"/>
        <w:gridCol w:w="884"/>
        <w:gridCol w:w="62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姓 名</w:t>
            </w:r>
          </w:p>
        </w:tc>
        <w:tc>
          <w:tcPr>
            <w:tcW w:w="1238" w:type="pct"/>
            <w:gridSpan w:val="3"/>
            <w:noWrap w:val="0"/>
            <w:vAlign w:val="center"/>
          </w:tcPr>
          <w:p>
            <w:pPr>
              <w:jc w:val="center"/>
              <w:rPr>
                <w:rFonts w:hint="eastAsia" w:ascii="宋体" w:hAnsi="宋体" w:eastAsia="宋体"/>
                <w:sz w:val="24"/>
                <w:szCs w:val="24"/>
              </w:rPr>
            </w:pPr>
          </w:p>
        </w:tc>
        <w:tc>
          <w:tcPr>
            <w:tcW w:w="570" w:type="pct"/>
            <w:noWrap w:val="0"/>
            <w:vAlign w:val="center"/>
          </w:tcPr>
          <w:p>
            <w:pPr>
              <w:jc w:val="center"/>
              <w:rPr>
                <w:rFonts w:hint="eastAsia" w:ascii="宋体" w:hAnsi="宋体" w:eastAsia="宋体"/>
                <w:sz w:val="24"/>
                <w:szCs w:val="24"/>
              </w:rPr>
            </w:pPr>
            <w:r>
              <w:rPr>
                <w:rFonts w:hint="eastAsia" w:ascii="宋体" w:hAnsi="宋体" w:eastAsia="宋体"/>
                <w:sz w:val="24"/>
                <w:szCs w:val="24"/>
              </w:rPr>
              <w:t>性 别</w:t>
            </w:r>
          </w:p>
        </w:tc>
        <w:tc>
          <w:tcPr>
            <w:tcW w:w="931" w:type="pct"/>
            <w:noWrap w:val="0"/>
            <w:vAlign w:val="center"/>
          </w:tcPr>
          <w:p>
            <w:pPr>
              <w:jc w:val="center"/>
              <w:rPr>
                <w:rFonts w:hint="eastAsia" w:ascii="宋体" w:hAnsi="宋体" w:eastAsia="宋体"/>
                <w:sz w:val="24"/>
                <w:szCs w:val="24"/>
              </w:rPr>
            </w:pPr>
          </w:p>
        </w:tc>
        <w:tc>
          <w:tcPr>
            <w:tcW w:w="590"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年 龄</w:t>
            </w:r>
          </w:p>
        </w:tc>
        <w:tc>
          <w:tcPr>
            <w:tcW w:w="1008" w:type="pct"/>
            <w:gridSpan w:val="2"/>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职 务</w:t>
            </w:r>
          </w:p>
        </w:tc>
        <w:tc>
          <w:tcPr>
            <w:tcW w:w="1238" w:type="pct"/>
            <w:gridSpan w:val="3"/>
            <w:noWrap w:val="0"/>
            <w:vAlign w:val="center"/>
          </w:tcPr>
          <w:p>
            <w:pPr>
              <w:jc w:val="center"/>
              <w:rPr>
                <w:rFonts w:hint="eastAsia" w:ascii="宋体" w:hAnsi="宋体" w:eastAsia="宋体"/>
                <w:sz w:val="24"/>
                <w:szCs w:val="24"/>
              </w:rPr>
            </w:pPr>
          </w:p>
        </w:tc>
        <w:tc>
          <w:tcPr>
            <w:tcW w:w="570" w:type="pct"/>
            <w:noWrap w:val="0"/>
            <w:vAlign w:val="center"/>
          </w:tcPr>
          <w:p>
            <w:pPr>
              <w:jc w:val="center"/>
              <w:rPr>
                <w:rFonts w:hint="eastAsia" w:ascii="宋体" w:hAnsi="宋体" w:eastAsia="宋体"/>
                <w:sz w:val="24"/>
                <w:szCs w:val="24"/>
              </w:rPr>
            </w:pPr>
            <w:r>
              <w:rPr>
                <w:rFonts w:hint="eastAsia" w:ascii="宋体" w:hAnsi="宋体" w:eastAsia="宋体"/>
                <w:sz w:val="24"/>
                <w:szCs w:val="24"/>
              </w:rPr>
              <w:t>职 称</w:t>
            </w:r>
          </w:p>
        </w:tc>
        <w:tc>
          <w:tcPr>
            <w:tcW w:w="931" w:type="pct"/>
            <w:noWrap w:val="0"/>
            <w:vAlign w:val="center"/>
          </w:tcPr>
          <w:p>
            <w:pPr>
              <w:jc w:val="center"/>
              <w:rPr>
                <w:rFonts w:hint="eastAsia" w:ascii="宋体" w:hAnsi="宋体" w:eastAsia="宋体"/>
                <w:sz w:val="24"/>
                <w:szCs w:val="24"/>
              </w:rPr>
            </w:pPr>
          </w:p>
        </w:tc>
        <w:tc>
          <w:tcPr>
            <w:tcW w:w="590"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学 历</w:t>
            </w:r>
          </w:p>
        </w:tc>
        <w:tc>
          <w:tcPr>
            <w:tcW w:w="1008" w:type="pct"/>
            <w:gridSpan w:val="2"/>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3" w:type="pct"/>
            <w:gridSpan w:val="3"/>
            <w:noWrap w:val="0"/>
            <w:vAlign w:val="center"/>
          </w:tcPr>
          <w:p>
            <w:pPr>
              <w:jc w:val="center"/>
              <w:rPr>
                <w:rFonts w:hint="eastAsia" w:ascii="宋体" w:hAnsi="宋体" w:eastAsia="宋体"/>
                <w:sz w:val="24"/>
                <w:szCs w:val="24"/>
              </w:rPr>
            </w:pPr>
            <w:r>
              <w:rPr>
                <w:rFonts w:hint="eastAsia" w:ascii="宋体" w:hAnsi="宋体" w:eastAsia="宋体"/>
                <w:sz w:val="24"/>
                <w:szCs w:val="24"/>
              </w:rPr>
              <w:t>参加工作时间</w:t>
            </w:r>
          </w:p>
        </w:tc>
        <w:tc>
          <w:tcPr>
            <w:tcW w:w="3897" w:type="pct"/>
            <w:gridSpan w:val="8"/>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1" w:type="pct"/>
            <w:gridSpan w:val="5"/>
            <w:noWrap w:val="0"/>
            <w:vAlign w:val="center"/>
          </w:tcPr>
          <w:p>
            <w:pPr>
              <w:jc w:val="center"/>
              <w:rPr>
                <w:rFonts w:hint="eastAsia" w:ascii="宋体" w:hAnsi="宋体" w:eastAsia="宋体"/>
                <w:sz w:val="24"/>
                <w:szCs w:val="24"/>
              </w:rPr>
            </w:pPr>
            <w:r>
              <w:rPr>
                <w:rFonts w:hint="eastAsia" w:ascii="宋体" w:hAnsi="宋体" w:eastAsia="宋体"/>
                <w:sz w:val="24"/>
                <w:szCs w:val="24"/>
              </w:rPr>
              <w:t>专业</w:t>
            </w:r>
          </w:p>
        </w:tc>
        <w:tc>
          <w:tcPr>
            <w:tcW w:w="3099" w:type="pct"/>
            <w:gridSpan w:val="6"/>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1" w:type="pct"/>
            <w:gridSpan w:val="5"/>
            <w:noWrap w:val="0"/>
            <w:vAlign w:val="center"/>
          </w:tcPr>
          <w:p>
            <w:pPr>
              <w:jc w:val="center"/>
              <w:rPr>
                <w:rFonts w:hint="eastAsia" w:ascii="宋体" w:hAnsi="宋体" w:eastAsia="宋体"/>
                <w:sz w:val="24"/>
                <w:szCs w:val="24"/>
              </w:rPr>
            </w:pPr>
            <w:r>
              <w:rPr>
                <w:rFonts w:hint="eastAsia" w:ascii="宋体" w:hAnsi="宋体" w:eastAsia="宋体"/>
                <w:sz w:val="24"/>
                <w:szCs w:val="24"/>
              </w:rPr>
              <w:t>相关资格证书</w:t>
            </w:r>
          </w:p>
        </w:tc>
        <w:tc>
          <w:tcPr>
            <w:tcW w:w="3099" w:type="pct"/>
            <w:gridSpan w:val="6"/>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11"/>
            <w:noWrap w:val="0"/>
            <w:vAlign w:val="center"/>
          </w:tcPr>
          <w:p>
            <w:pPr>
              <w:jc w:val="center"/>
              <w:rPr>
                <w:rFonts w:hint="eastAsia" w:ascii="宋体" w:hAnsi="宋体" w:eastAsia="宋体"/>
                <w:sz w:val="24"/>
                <w:szCs w:val="24"/>
              </w:rPr>
            </w:pPr>
            <w:r>
              <w:rPr>
                <w:rFonts w:hint="eastAsia" w:ascii="宋体" w:hAnsi="宋体" w:eastAsia="宋体"/>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noWrap w:val="0"/>
            <w:vAlign w:val="center"/>
          </w:tcPr>
          <w:p>
            <w:pPr>
              <w:jc w:val="center"/>
              <w:rPr>
                <w:rFonts w:hint="eastAsia" w:ascii="宋体" w:hAnsi="宋体" w:eastAsia="宋体"/>
                <w:sz w:val="24"/>
                <w:szCs w:val="24"/>
              </w:rPr>
            </w:pPr>
            <w:r>
              <w:rPr>
                <w:rFonts w:hint="eastAsia" w:ascii="宋体" w:hAnsi="宋体" w:eastAsia="宋体"/>
                <w:sz w:val="24"/>
                <w:szCs w:val="24"/>
              </w:rPr>
              <w:t>业主</w:t>
            </w:r>
          </w:p>
        </w:tc>
        <w:tc>
          <w:tcPr>
            <w:tcW w:w="663"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物业名称</w:t>
            </w:r>
          </w:p>
        </w:tc>
        <w:tc>
          <w:tcPr>
            <w:tcW w:w="711" w:type="pct"/>
            <w:noWrap w:val="0"/>
            <w:vAlign w:val="center"/>
          </w:tcPr>
          <w:p>
            <w:pPr>
              <w:jc w:val="center"/>
              <w:rPr>
                <w:rFonts w:hint="eastAsia" w:ascii="宋体" w:hAnsi="宋体" w:eastAsia="宋体"/>
                <w:sz w:val="24"/>
                <w:szCs w:val="24"/>
              </w:rPr>
            </w:pPr>
            <w:r>
              <w:rPr>
                <w:rFonts w:hint="eastAsia" w:ascii="宋体" w:hAnsi="宋体" w:eastAsia="宋体"/>
                <w:sz w:val="24"/>
                <w:szCs w:val="24"/>
              </w:rPr>
              <w:t>担任职务</w:t>
            </w:r>
          </w:p>
        </w:tc>
        <w:tc>
          <w:tcPr>
            <w:tcW w:w="1702" w:type="pct"/>
            <w:gridSpan w:val="4"/>
            <w:noWrap w:val="0"/>
            <w:vAlign w:val="center"/>
          </w:tcPr>
          <w:p>
            <w:pPr>
              <w:jc w:val="center"/>
              <w:rPr>
                <w:rFonts w:hint="eastAsia" w:ascii="宋体" w:hAnsi="宋体" w:eastAsia="宋体"/>
                <w:sz w:val="24"/>
                <w:szCs w:val="24"/>
              </w:rPr>
            </w:pPr>
            <w:r>
              <w:rPr>
                <w:rFonts w:hint="eastAsia" w:ascii="宋体" w:hAnsi="宋体" w:eastAsia="宋体"/>
                <w:sz w:val="24"/>
                <w:szCs w:val="24"/>
              </w:rPr>
              <w:t>相应岗位工作起止时间</w:t>
            </w:r>
          </w:p>
        </w:tc>
        <w:tc>
          <w:tcPr>
            <w:tcW w:w="814"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业主联系人</w:t>
            </w:r>
          </w:p>
        </w:tc>
        <w:tc>
          <w:tcPr>
            <w:tcW w:w="670" w:type="pct"/>
            <w:noWrap w:val="0"/>
            <w:vAlign w:val="center"/>
          </w:tcPr>
          <w:p>
            <w:pPr>
              <w:jc w:val="center"/>
              <w:rPr>
                <w:rFonts w:hint="eastAsia" w:ascii="宋体" w:hAnsi="宋体" w:eastAsia="宋体"/>
                <w:sz w:val="24"/>
                <w:szCs w:val="24"/>
              </w:rPr>
            </w:pPr>
            <w:r>
              <w:rPr>
                <w:rFonts w:hint="eastAsia" w:ascii="宋体" w:hAnsi="宋体" w:eastAsia="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noWrap w:val="0"/>
            <w:vAlign w:val="center"/>
          </w:tcPr>
          <w:p>
            <w:pPr>
              <w:rPr>
                <w:rFonts w:hint="eastAsia" w:ascii="宋体" w:hAnsi="宋体" w:eastAsia="宋体"/>
                <w:sz w:val="24"/>
                <w:szCs w:val="24"/>
              </w:rPr>
            </w:pPr>
          </w:p>
        </w:tc>
        <w:tc>
          <w:tcPr>
            <w:tcW w:w="663" w:type="pct"/>
            <w:gridSpan w:val="2"/>
            <w:noWrap w:val="0"/>
            <w:vAlign w:val="center"/>
          </w:tcPr>
          <w:p>
            <w:pPr>
              <w:rPr>
                <w:rFonts w:hint="eastAsia" w:ascii="宋体" w:hAnsi="宋体" w:eastAsia="宋体"/>
                <w:sz w:val="24"/>
                <w:szCs w:val="24"/>
              </w:rPr>
            </w:pPr>
          </w:p>
        </w:tc>
        <w:tc>
          <w:tcPr>
            <w:tcW w:w="711" w:type="pct"/>
            <w:noWrap w:val="0"/>
            <w:vAlign w:val="center"/>
          </w:tcPr>
          <w:p>
            <w:pPr>
              <w:rPr>
                <w:rFonts w:hint="eastAsia" w:ascii="宋体" w:hAnsi="宋体" w:eastAsia="宋体"/>
                <w:sz w:val="24"/>
                <w:szCs w:val="24"/>
              </w:rPr>
            </w:pPr>
          </w:p>
        </w:tc>
        <w:tc>
          <w:tcPr>
            <w:tcW w:w="1702" w:type="pct"/>
            <w:gridSpan w:val="4"/>
            <w:noWrap w:val="0"/>
            <w:vAlign w:val="center"/>
          </w:tcPr>
          <w:p>
            <w:pPr>
              <w:rPr>
                <w:rFonts w:hint="eastAsia" w:ascii="宋体" w:hAnsi="宋体" w:eastAsia="宋体"/>
                <w:sz w:val="24"/>
                <w:szCs w:val="24"/>
              </w:rPr>
            </w:pPr>
          </w:p>
        </w:tc>
        <w:tc>
          <w:tcPr>
            <w:tcW w:w="814" w:type="pct"/>
            <w:gridSpan w:val="2"/>
            <w:noWrap w:val="0"/>
            <w:vAlign w:val="center"/>
          </w:tcPr>
          <w:p>
            <w:pPr>
              <w:rPr>
                <w:rFonts w:hint="eastAsia" w:ascii="宋体" w:hAnsi="宋体" w:eastAsia="宋体"/>
                <w:sz w:val="24"/>
                <w:szCs w:val="24"/>
              </w:rPr>
            </w:pPr>
          </w:p>
        </w:tc>
        <w:tc>
          <w:tcPr>
            <w:tcW w:w="670" w:type="pct"/>
            <w:noWrap w:val="0"/>
            <w:vAlign w:val="center"/>
          </w:tcPr>
          <w:p>
            <w:pPr>
              <w:rPr>
                <w:rFonts w:hint="eastAsia" w:ascii="宋体" w:hAnsi="宋体" w:eastAsia="宋体"/>
                <w:sz w:val="24"/>
                <w:szCs w:val="24"/>
              </w:rPr>
            </w:pPr>
          </w:p>
        </w:tc>
      </w:tr>
    </w:tbl>
    <w:p>
      <w:pPr>
        <w:widowControl/>
        <w:jc w:val="center"/>
        <w:rPr>
          <w:rFonts w:hint="eastAsia" w:ascii="Calibri Light" w:hAnsi="Calibri Light"/>
          <w:bCs/>
          <w:sz w:val="24"/>
        </w:rPr>
      </w:pPr>
    </w:p>
    <w:p>
      <w:pPr>
        <w:widowControl/>
        <w:jc w:val="left"/>
        <w:rPr>
          <w:b/>
        </w:rPr>
      </w:pPr>
      <w:r>
        <w:rPr>
          <w:rFonts w:hint="eastAsia" w:ascii="Calibri Light" w:hAnsi="Calibri Light"/>
          <w:b/>
          <w:bCs/>
          <w:sz w:val="24"/>
        </w:rPr>
        <w:t>（</w:t>
      </w:r>
      <w:r>
        <w:rPr>
          <w:rFonts w:hint="eastAsia" w:ascii="Calibri Light" w:hAnsi="Calibri Light"/>
          <w:b/>
          <w:bCs/>
          <w:sz w:val="24"/>
          <w:lang w:eastAsia="zh-CN"/>
        </w:rPr>
        <w:t>二</w:t>
      </w:r>
      <w:r>
        <w:rPr>
          <w:rFonts w:hint="eastAsia" w:ascii="Calibri Light" w:hAnsi="Calibri Light"/>
          <w:b/>
          <w:bCs/>
          <w:sz w:val="24"/>
        </w:rPr>
        <w:t>）其他成员承诺表</w:t>
      </w:r>
    </w:p>
    <w:tbl>
      <w:tblPr>
        <w:tblStyle w:val="25"/>
        <w:tblW w:w="5000" w:type="pct"/>
        <w:jc w:val="center"/>
        <w:tblLayout w:type="autofit"/>
        <w:tblCellMar>
          <w:top w:w="0" w:type="dxa"/>
          <w:left w:w="54" w:type="dxa"/>
          <w:bottom w:w="0" w:type="dxa"/>
          <w:right w:w="54" w:type="dxa"/>
        </w:tblCellMar>
      </w:tblPr>
      <w:tblGrid>
        <w:gridCol w:w="741"/>
        <w:gridCol w:w="874"/>
        <w:gridCol w:w="707"/>
        <w:gridCol w:w="709"/>
        <w:gridCol w:w="710"/>
        <w:gridCol w:w="1841"/>
        <w:gridCol w:w="1928"/>
        <w:gridCol w:w="1669"/>
      </w:tblGrid>
      <w:tr>
        <w:tblPrEx>
          <w:tblCellMar>
            <w:top w:w="0" w:type="dxa"/>
            <w:left w:w="54" w:type="dxa"/>
            <w:bottom w:w="0" w:type="dxa"/>
            <w:right w:w="54" w:type="dxa"/>
          </w:tblCellMar>
        </w:tblPrEx>
        <w:trPr>
          <w:wBefore w:w="0" w:type="dxa"/>
          <w:wAfter w:w="0" w:type="dxa"/>
          <w:trHeight w:val="402" w:hRule="atLeas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4"/>
                <w:szCs w:val="24"/>
              </w:rPr>
            </w:pPr>
            <w:r>
              <w:rPr>
                <w:rFonts w:hint="eastAsia" w:ascii="宋体" w:hAnsi="宋体" w:eastAsia="宋体"/>
                <w:sz w:val="24"/>
                <w:szCs w:val="24"/>
              </w:rPr>
              <w:t>序号</w:t>
            </w:r>
          </w:p>
        </w:tc>
        <w:tc>
          <w:tcPr>
            <w:tcW w:w="476"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4"/>
                <w:szCs w:val="24"/>
              </w:rPr>
            </w:pPr>
            <w:r>
              <w:rPr>
                <w:rFonts w:hint="eastAsia" w:ascii="宋体" w:hAnsi="宋体" w:eastAsia="宋体"/>
                <w:sz w:val="24"/>
                <w:szCs w:val="24"/>
              </w:rPr>
              <w:t>姓名</w:t>
            </w:r>
          </w:p>
        </w:tc>
        <w:tc>
          <w:tcPr>
            <w:tcW w:w="385" w:type="pct"/>
            <w:tcBorders>
              <w:top w:val="single" w:color="auto" w:sz="6" w:space="0"/>
              <w:left w:val="single" w:color="auto" w:sz="6" w:space="0"/>
              <w:bottom w:val="single" w:color="auto" w:sz="6" w:space="0"/>
              <w:right w:val="single" w:color="auto" w:sz="4" w:space="0"/>
            </w:tcBorders>
            <w:noWrap w:val="0"/>
            <w:vAlign w:val="top"/>
          </w:tcPr>
          <w:p>
            <w:pPr>
              <w:jc w:val="center"/>
              <w:rPr>
                <w:rFonts w:ascii="宋体" w:hAnsi="宋体" w:eastAsia="宋体"/>
                <w:sz w:val="24"/>
                <w:szCs w:val="24"/>
              </w:rPr>
            </w:pPr>
            <w:r>
              <w:rPr>
                <w:rFonts w:hint="eastAsia" w:ascii="宋体" w:hAnsi="宋体" w:eastAsia="宋体"/>
                <w:sz w:val="24"/>
                <w:szCs w:val="24"/>
              </w:rPr>
              <w:t>年龄</w:t>
            </w:r>
          </w:p>
        </w:tc>
        <w:tc>
          <w:tcPr>
            <w:tcW w:w="386" w:type="pct"/>
            <w:tcBorders>
              <w:top w:val="single" w:color="auto" w:sz="6" w:space="0"/>
              <w:left w:val="single" w:color="auto" w:sz="4" w:space="0"/>
              <w:bottom w:val="single" w:color="auto" w:sz="6" w:space="0"/>
              <w:right w:val="single" w:color="auto" w:sz="4" w:space="0"/>
            </w:tcBorders>
            <w:noWrap w:val="0"/>
            <w:vAlign w:val="top"/>
          </w:tcPr>
          <w:p>
            <w:pPr>
              <w:jc w:val="center"/>
              <w:rPr>
                <w:rFonts w:ascii="宋体" w:hAnsi="宋体" w:eastAsia="宋体"/>
                <w:sz w:val="24"/>
                <w:szCs w:val="24"/>
              </w:rPr>
            </w:pPr>
            <w:r>
              <w:rPr>
                <w:rFonts w:hint="eastAsia" w:ascii="宋体" w:hAnsi="宋体" w:eastAsia="宋体"/>
                <w:sz w:val="24"/>
                <w:szCs w:val="24"/>
              </w:rPr>
              <w:t>姓别</w:t>
            </w:r>
          </w:p>
        </w:tc>
        <w:tc>
          <w:tcPr>
            <w:tcW w:w="387" w:type="pct"/>
            <w:tcBorders>
              <w:top w:val="single" w:color="auto" w:sz="6" w:space="0"/>
              <w:left w:val="single" w:color="auto" w:sz="4" w:space="0"/>
              <w:bottom w:val="single" w:color="auto" w:sz="6" w:space="0"/>
              <w:right w:val="single" w:color="auto" w:sz="4" w:space="0"/>
            </w:tcBorders>
            <w:noWrap w:val="0"/>
            <w:vAlign w:val="top"/>
          </w:tcPr>
          <w:p>
            <w:pPr>
              <w:jc w:val="center"/>
              <w:rPr>
                <w:rFonts w:ascii="宋体" w:hAnsi="宋体" w:eastAsia="宋体"/>
                <w:sz w:val="24"/>
                <w:szCs w:val="24"/>
              </w:rPr>
            </w:pPr>
            <w:r>
              <w:rPr>
                <w:rFonts w:hint="eastAsia" w:ascii="宋体" w:hAnsi="宋体" w:eastAsia="宋体"/>
                <w:sz w:val="24"/>
                <w:szCs w:val="24"/>
              </w:rPr>
              <w:t>学历</w:t>
            </w:r>
          </w:p>
        </w:tc>
        <w:tc>
          <w:tcPr>
            <w:tcW w:w="1003" w:type="pct"/>
            <w:tcBorders>
              <w:top w:val="single" w:color="auto" w:sz="6" w:space="0"/>
              <w:left w:val="single" w:color="auto" w:sz="4" w:space="0"/>
              <w:bottom w:val="single" w:color="auto" w:sz="6" w:space="0"/>
              <w:right w:val="single" w:color="auto" w:sz="6" w:space="0"/>
            </w:tcBorders>
            <w:noWrap w:val="0"/>
            <w:vAlign w:val="top"/>
          </w:tcPr>
          <w:p>
            <w:pPr>
              <w:jc w:val="center"/>
              <w:rPr>
                <w:rFonts w:ascii="宋体" w:hAnsi="宋体" w:eastAsia="宋体"/>
                <w:sz w:val="24"/>
                <w:szCs w:val="24"/>
              </w:rPr>
            </w:pPr>
            <w:r>
              <w:rPr>
                <w:rFonts w:hint="eastAsia" w:ascii="宋体" w:hAnsi="宋体" w:eastAsia="宋体"/>
                <w:sz w:val="24"/>
                <w:szCs w:val="24"/>
              </w:rPr>
              <w:t>拟任岗位及职务</w:t>
            </w:r>
          </w:p>
        </w:tc>
        <w:tc>
          <w:tcPr>
            <w:tcW w:w="1050"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4"/>
                <w:szCs w:val="24"/>
              </w:rPr>
            </w:pPr>
            <w:r>
              <w:rPr>
                <w:rFonts w:hint="eastAsia" w:ascii="宋体" w:hAnsi="宋体" w:eastAsia="宋体"/>
                <w:sz w:val="24"/>
                <w:szCs w:val="24"/>
              </w:rPr>
              <w:t>持何种资格证件</w:t>
            </w:r>
          </w:p>
        </w:tc>
        <w:tc>
          <w:tcPr>
            <w:tcW w:w="90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4"/>
                <w:szCs w:val="24"/>
              </w:rPr>
            </w:pPr>
            <w:r>
              <w:rPr>
                <w:rFonts w:hint="eastAsia" w:ascii="宋体" w:hAnsi="宋体" w:eastAsia="宋体"/>
                <w:sz w:val="24"/>
                <w:szCs w:val="24"/>
              </w:rPr>
              <w:t>相关工作经验</w:t>
            </w: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1</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2</w:t>
            </w:r>
          </w:p>
        </w:tc>
        <w:tc>
          <w:tcPr>
            <w:tcW w:w="476" w:type="pct"/>
            <w:tcBorders>
              <w:top w:val="single" w:color="auto" w:sz="6" w:space="0"/>
              <w:left w:val="single" w:color="auto" w:sz="6" w:space="0"/>
              <w:bottom w:val="single" w:color="auto" w:sz="6" w:space="0"/>
              <w:right w:val="single" w:color="auto" w:sz="6" w:space="0"/>
            </w:tcBorders>
            <w:noWrap w:val="0"/>
            <w:vAlign w:val="top"/>
          </w:tcPr>
          <w:p>
            <w:pPr>
              <w:spacing w:before="120" w:after="120"/>
              <w:jc w:val="left"/>
              <w:rPr>
                <w:rFonts w:ascii="宋体" w:hAnsi="宋体" w:eastAsia="宋体"/>
                <w:b/>
                <w:bCs/>
                <w:caps/>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3</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4</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5</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6</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7</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nil"/>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8</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9</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nil"/>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10</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bl>
    <w:p>
      <w:pPr>
        <w:rPr>
          <w:rFonts w:hint="eastAsia" w:ascii="宋体"/>
          <w:b/>
          <w:bCs/>
          <w:sz w:val="18"/>
        </w:rPr>
      </w:pPr>
    </w:p>
    <w:p>
      <w:pPr>
        <w:rPr>
          <w:rFonts w:ascii="宋体"/>
          <w:b/>
          <w:bCs/>
          <w:sz w:val="18"/>
        </w:rPr>
      </w:pPr>
      <w:r>
        <w:rPr>
          <w:rFonts w:hint="eastAsia" w:ascii="宋体"/>
          <w:b/>
          <w:bCs/>
          <w:sz w:val="18"/>
        </w:rPr>
        <w:t>注： 1、填写时，如本表格不适合供应商的实际情况，可根据本表格格式自行划表填写。</w:t>
      </w:r>
    </w:p>
    <w:p>
      <w:pPr>
        <w:rPr>
          <w:rFonts w:ascii="宋体"/>
          <w:b/>
          <w:bCs/>
          <w:sz w:val="18"/>
        </w:rPr>
      </w:pPr>
      <w:r>
        <w:rPr>
          <w:rFonts w:hint="eastAsia" w:ascii="宋体"/>
          <w:b/>
          <w:bCs/>
          <w:sz w:val="18"/>
        </w:rPr>
        <w:t>　　 2、项目经理、主要管理人员需明确姓名及具体信息；其他成员表可以按招标需求以承诺的方式填写，无须明确姓名，中标后签订合同时，应提供具体人员名单及证件，若不履约，中标人须承担相应责任。</w:t>
      </w:r>
    </w:p>
    <w:p>
      <w:pPr>
        <w:ind w:firstLine="425"/>
        <w:rPr>
          <w:rFonts w:ascii="宋体"/>
          <w:b/>
          <w:bCs/>
          <w:sz w:val="18"/>
        </w:rPr>
      </w:pPr>
      <w:r>
        <w:rPr>
          <w:rFonts w:hint="eastAsia" w:ascii="宋体"/>
          <w:b/>
          <w:bCs/>
          <w:sz w:val="18"/>
        </w:rPr>
        <w:t>3、项目人员组成所要求填写的人员是指供应商将安排在此项目的具体人员。</w:t>
      </w:r>
    </w:p>
    <w:p>
      <w:pPr>
        <w:jc w:val="center"/>
        <w:rPr>
          <w:rFonts w:hint="eastAsia" w:ascii="仿宋_GB2312" w:eastAsia="仿宋_GB2312"/>
          <w:b/>
          <w:sz w:val="32"/>
          <w:szCs w:val="32"/>
        </w:rPr>
      </w:pPr>
      <w:r>
        <w:rPr>
          <w:rFonts w:ascii="Arial" w:hAnsi="Arial" w:eastAsia="仿宋_GB2312"/>
          <w:sz w:val="28"/>
        </w:rPr>
        <w:br w:type="page"/>
      </w:r>
      <w:r>
        <w:rPr>
          <w:rFonts w:hint="eastAsia" w:ascii="仿宋_GB2312" w:eastAsia="仿宋_GB2312"/>
          <w:b/>
          <w:sz w:val="32"/>
          <w:szCs w:val="32"/>
        </w:rPr>
        <w:t>4、</w:t>
      </w:r>
      <w:r>
        <w:rPr>
          <w:rFonts w:hint="eastAsia" w:ascii="仿宋_GB2312" w:eastAsia="仿宋_GB2312"/>
          <w:b/>
          <w:sz w:val="32"/>
          <w:szCs w:val="32"/>
          <w:lang w:val="zh-CN"/>
        </w:rPr>
        <w:t>应急保障措施</w:t>
      </w:r>
    </w:p>
    <w:p>
      <w:pPr>
        <w:jc w:val="center"/>
        <w:rPr>
          <w:rFonts w:hint="eastAsia" w:ascii="仿宋_GB2312" w:eastAsia="仿宋_GB2312"/>
          <w:b/>
          <w:i w:val="0"/>
          <w:iCs w:val="0"/>
          <w:sz w:val="32"/>
          <w:szCs w:val="32"/>
        </w:rPr>
      </w:pPr>
    </w:p>
    <w:p>
      <w:pPr>
        <w:jc w:val="center"/>
        <w:rPr>
          <w:rFonts w:hint="eastAsia" w:ascii="仿宋_GB2312" w:eastAsia="仿宋_GB2312"/>
          <w:b/>
          <w:i w:val="0"/>
          <w:i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b w:val="0"/>
          <w:bCs/>
          <w:i w:val="0"/>
          <w:iCs w:val="0"/>
          <w:sz w:val="32"/>
          <w:szCs w:val="32"/>
          <w:lang w:eastAsia="zh-CN"/>
        </w:rPr>
      </w:pPr>
      <w:r>
        <w:rPr>
          <w:rFonts w:hint="eastAsia" w:ascii="仿宋_GB2312" w:eastAsia="仿宋_GB2312"/>
          <w:b w:val="0"/>
          <w:bCs/>
          <w:i w:val="0"/>
          <w:iCs w:val="0"/>
          <w:sz w:val="32"/>
          <w:szCs w:val="32"/>
        </w:rPr>
        <w:t>投标人结合</w:t>
      </w:r>
      <w:r>
        <w:rPr>
          <w:rFonts w:hint="eastAsia" w:ascii="仿宋_GB2312" w:eastAsia="仿宋_GB2312"/>
          <w:b w:val="0"/>
          <w:bCs/>
          <w:i w:val="0"/>
          <w:iCs w:val="0"/>
          <w:sz w:val="32"/>
          <w:szCs w:val="32"/>
          <w:lang w:eastAsia="zh-CN"/>
        </w:rPr>
        <w:t>项目特点提出具体应急管理措施和应急预案。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eastAsia="仿宋_GB2312"/>
          <w:b w:val="0"/>
          <w:bCs/>
          <w:i w:val="0"/>
          <w:iCs w:val="0"/>
          <w:sz w:val="32"/>
          <w:szCs w:val="32"/>
          <w:lang w:val="en-US" w:eastAsia="zh-CN"/>
        </w:rPr>
      </w:pPr>
      <w:r>
        <w:rPr>
          <w:rFonts w:hint="eastAsia" w:ascii="仿宋_GB2312" w:eastAsia="仿宋_GB2312"/>
          <w:b w:val="0"/>
          <w:bCs/>
          <w:i w:val="0"/>
          <w:iCs w:val="0"/>
          <w:sz w:val="32"/>
          <w:szCs w:val="32"/>
          <w:lang w:eastAsia="zh-CN"/>
        </w:rPr>
        <w:t>方案必须明确遇突发情况可调派用于本项目的同岗位人员情况（包括但不限于现工作项目单位的排班情况、可调派人员数量、到本项目现场的承诺时长）</w:t>
      </w:r>
      <w:r>
        <w:rPr>
          <w:rFonts w:hint="eastAsia" w:ascii="仿宋_GB2312" w:eastAsia="仿宋_GB2312"/>
          <w:b w:val="0"/>
          <w:bCs/>
          <w:i w:val="0"/>
          <w:iCs w:val="0"/>
          <w:sz w:val="32"/>
          <w:szCs w:val="32"/>
          <w:lang w:val="en-US" w:eastAsia="zh-CN"/>
        </w:rPr>
        <w:t>。</w:t>
      </w: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sz w:val="32"/>
          <w:szCs w:val="32"/>
        </w:rPr>
      </w:pPr>
      <w:r>
        <w:rPr>
          <w:rFonts w:hint="eastAsia" w:ascii="Arial" w:hAnsi="Arial" w:eastAsia="仿宋_GB2312"/>
          <w:sz w:val="28"/>
          <w:lang w:val="en-US" w:eastAsia="zh-CN"/>
        </w:rPr>
        <w:t>5</w:t>
      </w:r>
      <w:r>
        <w:rPr>
          <w:rFonts w:hint="eastAsia" w:ascii="Arial" w:hAnsi="Arial" w:eastAsia="仿宋_GB2312"/>
          <w:sz w:val="28"/>
        </w:rPr>
        <w:t>、</w:t>
      </w:r>
      <w:r>
        <w:rPr>
          <w:rFonts w:hint="eastAsia" w:ascii="仿宋_GB2312" w:eastAsia="仿宋_GB2312"/>
          <w:b/>
          <w:sz w:val="32"/>
          <w:szCs w:val="32"/>
        </w:rPr>
        <w:t>其他商务技术资料</w:t>
      </w:r>
    </w:p>
    <w:p>
      <w:pPr>
        <w:jc w:val="center"/>
        <w:rPr>
          <w:rFonts w:hint="eastAsia" w:ascii="宋体" w:hAnsi="宋体"/>
          <w:b/>
          <w:bCs/>
          <w:sz w:val="32"/>
          <w:szCs w:val="32"/>
        </w:rPr>
      </w:pPr>
      <w:r>
        <w:rPr>
          <w:rFonts w:hint="eastAsia" w:ascii="仿宋_GB2312" w:eastAsia="仿宋_GB2312"/>
          <w:b/>
          <w:i/>
          <w:iCs/>
          <w:sz w:val="32"/>
          <w:szCs w:val="32"/>
        </w:rPr>
        <w:t>投标人可结合招标文件及自身情况提供其他认为必要的资料.</w:t>
      </w:r>
      <w:r>
        <w:rPr>
          <w:rFonts w:ascii="Arial" w:hAnsi="Arial" w:eastAsia="仿宋_GB2312"/>
          <w:sz w:val="28"/>
        </w:rPr>
        <w:br w:type="page"/>
      </w:r>
      <w:r>
        <w:rPr>
          <w:rFonts w:hint="eastAsia" w:ascii="宋体" w:hAnsi="宋体" w:eastAsia="宋体" w:cs="宋体"/>
          <w:b/>
          <w:i w:val="0"/>
          <w:iCs w:val="0"/>
          <w:kern w:val="2"/>
          <w:sz w:val="36"/>
          <w:szCs w:val="36"/>
          <w:lang w:val="en-US" w:eastAsia="zh-CN" w:bidi="ar-SA"/>
        </w:rPr>
        <w:t>三、资格响应部分</w:t>
      </w:r>
    </w:p>
    <w:p>
      <w:pPr>
        <w:jc w:val="center"/>
        <w:rPr>
          <w:rFonts w:hint="eastAsia" w:ascii="宋体" w:hAnsi="宋体"/>
          <w:b/>
          <w:bCs/>
          <w:sz w:val="32"/>
          <w:szCs w:val="32"/>
        </w:rPr>
      </w:pPr>
    </w:p>
    <w:p>
      <w:pPr>
        <w:jc w:val="center"/>
        <w:rPr>
          <w:rFonts w:hint="eastAsia" w:ascii="宋体" w:hAnsi="宋体"/>
          <w:b/>
          <w:bCs/>
          <w:sz w:val="32"/>
          <w:szCs w:val="32"/>
        </w:rPr>
      </w:pPr>
    </w:p>
    <w:p>
      <w:pPr>
        <w:pStyle w:val="12"/>
        <w:jc w:val="left"/>
        <w:rPr>
          <w:rFonts w:hint="eastAsia" w:ascii="宋体" w:hAnsi="宋体" w:eastAsia="宋体" w:cs="宋体"/>
          <w:b/>
          <w:i w:val="0"/>
          <w:iCs w:val="0"/>
          <w:sz w:val="28"/>
          <w:szCs w:val="28"/>
        </w:rPr>
      </w:pPr>
      <w:r>
        <w:rPr>
          <w:rFonts w:hint="eastAsia" w:ascii="宋体" w:hAnsi="宋体" w:eastAsia="宋体" w:cs="宋体"/>
          <w:b/>
          <w:i w:val="0"/>
          <w:iCs w:val="0"/>
          <w:sz w:val="28"/>
          <w:szCs w:val="28"/>
        </w:rPr>
        <w:t>1、特定资格条件证明材料</w:t>
      </w:r>
    </w:p>
    <w:p>
      <w:pPr>
        <w:spacing w:line="360" w:lineRule="auto"/>
        <w:ind w:firstLine="480" w:firstLineChars="200"/>
        <w:jc w:val="left"/>
        <w:rPr>
          <w:rFonts w:hint="eastAsia" w:ascii="宋体" w:hAnsi="宋体"/>
          <w:i w:val="0"/>
          <w:iCs w:val="0"/>
          <w:sz w:val="24"/>
          <w:szCs w:val="24"/>
        </w:rPr>
      </w:pPr>
      <w:r>
        <w:rPr>
          <w:rFonts w:hint="eastAsia" w:ascii="宋体" w:hAnsi="宋体"/>
          <w:i w:val="0"/>
          <w:iCs w:val="0"/>
          <w:sz w:val="24"/>
          <w:szCs w:val="24"/>
        </w:rPr>
        <w:t>投标人可结合招标文件及自身情况提供必要的资料。</w:t>
      </w:r>
    </w:p>
    <w:p>
      <w:pPr>
        <w:jc w:val="left"/>
        <w:rPr>
          <w:rFonts w:hint="eastAsia" w:ascii="宋体" w:hAnsi="宋体"/>
          <w:b/>
          <w:i w:val="0"/>
          <w:iCs w:val="0"/>
          <w:sz w:val="28"/>
          <w:szCs w:val="28"/>
        </w:rPr>
      </w:pPr>
    </w:p>
    <w:p>
      <w:pPr>
        <w:pStyle w:val="12"/>
        <w:jc w:val="left"/>
        <w:rPr>
          <w:rFonts w:hint="eastAsia" w:ascii="宋体" w:hAnsi="宋体" w:eastAsia="宋体" w:cs="宋体"/>
          <w:b/>
          <w:i w:val="0"/>
          <w:iCs w:val="0"/>
          <w:sz w:val="28"/>
          <w:szCs w:val="28"/>
        </w:rPr>
      </w:pPr>
      <w:r>
        <w:rPr>
          <w:rFonts w:hint="eastAsia" w:ascii="宋体" w:hAnsi="宋体" w:eastAsia="宋体" w:cs="宋体"/>
          <w:b/>
          <w:i w:val="0"/>
          <w:iCs w:val="0"/>
          <w:sz w:val="28"/>
          <w:szCs w:val="28"/>
        </w:rPr>
        <w:t>2、营业执照、事业单位、社团组织、民办非企业等</w:t>
      </w:r>
    </w:p>
    <w:p>
      <w:pPr>
        <w:spacing w:line="360" w:lineRule="auto"/>
        <w:ind w:firstLine="480" w:firstLineChars="200"/>
        <w:jc w:val="left"/>
        <w:rPr>
          <w:rFonts w:hint="eastAsia" w:ascii="宋体" w:hAnsi="宋体" w:eastAsia="宋体" w:cs="Times New Roman"/>
          <w:i w:val="0"/>
          <w:iCs w:val="0"/>
          <w:color w:val="auto"/>
          <w:sz w:val="24"/>
          <w:szCs w:val="24"/>
          <w:lang w:eastAsia="zh-CN"/>
        </w:rPr>
      </w:pPr>
      <w:r>
        <w:rPr>
          <w:rFonts w:hint="eastAsia" w:ascii="宋体" w:hAnsi="宋体" w:eastAsia="宋体" w:cs="Times New Roman"/>
          <w:i w:val="0"/>
          <w:iCs w:val="0"/>
          <w:color w:val="auto"/>
          <w:sz w:val="24"/>
          <w:szCs w:val="24"/>
        </w:rPr>
        <w:t>登记证副本扫描件</w:t>
      </w:r>
      <w:r>
        <w:rPr>
          <w:rFonts w:hint="eastAsia" w:ascii="宋体" w:hAnsi="宋体" w:eastAsia="宋体" w:cs="Times New Roman"/>
          <w:i w:val="0"/>
          <w:iCs w:val="0"/>
          <w:color w:val="auto"/>
          <w:sz w:val="24"/>
          <w:szCs w:val="24"/>
          <w:lang w:eastAsia="zh-CN"/>
        </w:rPr>
        <w:t>。</w:t>
      </w:r>
    </w:p>
    <w:p>
      <w:pPr>
        <w:spacing w:line="360" w:lineRule="auto"/>
        <w:ind w:firstLine="480" w:firstLineChars="200"/>
        <w:jc w:val="left"/>
        <w:rPr>
          <w:rFonts w:hint="eastAsia" w:ascii="宋体" w:hAnsi="宋体" w:eastAsia="宋体" w:cs="Times New Roman"/>
          <w:i w:val="0"/>
          <w:iCs w:val="0"/>
          <w:color w:val="FF0000"/>
          <w:sz w:val="24"/>
          <w:szCs w:val="24"/>
          <w:lang w:eastAsia="zh-CN"/>
        </w:rPr>
      </w:pPr>
    </w:p>
    <w:p>
      <w:pPr>
        <w:jc w:val="left"/>
        <w:rPr>
          <w:rFonts w:hint="eastAsia" w:ascii="仿宋_GB2312" w:eastAsia="仿宋_GB2312"/>
          <w:sz w:val="32"/>
          <w:szCs w:val="22"/>
        </w:rPr>
      </w:pPr>
    </w:p>
    <w:p>
      <w:pPr>
        <w:jc w:val="center"/>
        <w:rPr>
          <w:rFonts w:hint="eastAsia" w:ascii="仿宋_GB2312" w:eastAsia="仿宋_GB2312"/>
          <w:b/>
          <w:bCs/>
          <w:sz w:val="32"/>
          <w:szCs w:val="22"/>
        </w:rPr>
      </w:pPr>
    </w:p>
    <w:p>
      <w:pPr>
        <w:tabs>
          <w:tab w:val="left" w:pos="1575"/>
        </w:tabs>
        <w:spacing w:line="500" w:lineRule="exact"/>
        <w:jc w:val="center"/>
        <w:rPr>
          <w:rFonts w:hint="eastAsia" w:ascii="仿宋_GB2312" w:eastAsia="仿宋_GB2312"/>
          <w:b/>
          <w:sz w:val="32"/>
        </w:rPr>
      </w:pPr>
      <w:r>
        <w:rPr>
          <w:rFonts w:hint="eastAsia" w:ascii="宋体" w:hAnsi="宋体"/>
          <w:b/>
          <w:bCs/>
          <w:sz w:val="30"/>
          <w:szCs w:val="30"/>
        </w:rPr>
        <w:br w:type="page"/>
      </w:r>
      <w:r>
        <w:rPr>
          <w:rFonts w:hint="eastAsia" w:ascii="仿宋_GB2312" w:eastAsia="仿宋_GB2312"/>
          <w:b/>
          <w:bCs/>
          <w:sz w:val="32"/>
          <w:lang w:val="en-US" w:eastAsia="zh-CN"/>
        </w:rPr>
        <w:t>3</w:t>
      </w:r>
      <w:r>
        <w:rPr>
          <w:rFonts w:hint="eastAsia" w:ascii="仿宋_GB2312" w:eastAsia="仿宋_GB2312"/>
          <w:b/>
          <w:bCs/>
          <w:sz w:val="32"/>
        </w:rPr>
        <w:t>、</w:t>
      </w:r>
      <w:r>
        <w:rPr>
          <w:rFonts w:hint="eastAsia" w:ascii="仿宋_GB2312" w:eastAsia="仿宋_GB2312"/>
          <w:b/>
          <w:sz w:val="32"/>
        </w:rPr>
        <w:t>法定代表人授权书</w:t>
      </w:r>
    </w:p>
    <w:p>
      <w:pPr>
        <w:tabs>
          <w:tab w:val="left" w:pos="1575"/>
        </w:tabs>
        <w:spacing w:line="500" w:lineRule="exact"/>
        <w:jc w:val="center"/>
        <w:rPr>
          <w:rFonts w:hint="eastAsia" w:ascii="仿宋_GB2312" w:eastAsia="仿宋_GB2312"/>
          <w:sz w:val="32"/>
        </w:rPr>
      </w:pPr>
    </w:p>
    <w:p>
      <w:pPr>
        <w:spacing w:line="500" w:lineRule="exact"/>
        <w:jc w:val="left"/>
        <w:rPr>
          <w:rFonts w:hint="eastAsia" w:ascii="宋体" w:hAnsi="宋体"/>
          <w:sz w:val="24"/>
          <w:szCs w:val="24"/>
          <w:u w:val="single"/>
        </w:rPr>
      </w:pPr>
      <w:r>
        <w:rPr>
          <w:rFonts w:hint="eastAsia" w:ascii="宋体" w:hAnsi="宋体"/>
          <w:sz w:val="24"/>
          <w:szCs w:val="24"/>
        </w:rPr>
        <w:t>致：</w:t>
      </w:r>
      <w:r>
        <w:rPr>
          <w:rFonts w:hint="eastAsia" w:ascii="宋体" w:hAnsi="宋体"/>
          <w:sz w:val="24"/>
          <w:szCs w:val="24"/>
          <w:u w:val="single"/>
        </w:rPr>
        <w:t>宁波市政府采购中心</w:t>
      </w:r>
    </w:p>
    <w:p>
      <w:pPr>
        <w:spacing w:line="500" w:lineRule="exact"/>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XXXXX</w:t>
      </w:r>
      <w:r>
        <w:rPr>
          <w:rFonts w:hint="eastAsia" w:ascii="宋体" w:hAnsi="宋体"/>
          <w:sz w:val="24"/>
          <w:szCs w:val="24"/>
        </w:rPr>
        <w:t>（投标单位全称）法定代表人</w:t>
      </w:r>
      <w:r>
        <w:rPr>
          <w:rFonts w:hint="eastAsia" w:ascii="宋体" w:hAnsi="宋体"/>
          <w:sz w:val="24"/>
          <w:szCs w:val="24"/>
          <w:u w:val="single"/>
        </w:rPr>
        <w:t xml:space="preserve">XXX </w:t>
      </w:r>
      <w:r>
        <w:rPr>
          <w:rFonts w:hint="eastAsia" w:ascii="宋体" w:hAnsi="宋体"/>
          <w:sz w:val="24"/>
          <w:szCs w:val="24"/>
        </w:rPr>
        <w:t>（姓名）</w:t>
      </w:r>
      <w:r>
        <w:rPr>
          <w:rFonts w:hint="eastAsia" w:ascii="宋体" w:hAnsi="宋体"/>
          <w:sz w:val="24"/>
          <w:szCs w:val="24"/>
          <w:u w:val="single"/>
        </w:rPr>
        <w:t>XXXXX</w:t>
      </w:r>
      <w:r>
        <w:rPr>
          <w:rFonts w:hint="eastAsia" w:ascii="宋体" w:hAnsi="宋体"/>
          <w:sz w:val="24"/>
          <w:szCs w:val="24"/>
        </w:rPr>
        <w:t>（身份证件号码）授权</w:t>
      </w:r>
      <w:r>
        <w:rPr>
          <w:rFonts w:hint="eastAsia" w:ascii="宋体" w:hAnsi="宋体"/>
          <w:sz w:val="24"/>
          <w:szCs w:val="24"/>
          <w:u w:val="single"/>
        </w:rPr>
        <w:t>XXX</w:t>
      </w:r>
      <w:r>
        <w:rPr>
          <w:rFonts w:hint="eastAsia" w:ascii="宋体" w:hAnsi="宋体"/>
          <w:sz w:val="24"/>
          <w:szCs w:val="24"/>
        </w:rPr>
        <w:t>（姓名、职务）</w:t>
      </w:r>
      <w:r>
        <w:rPr>
          <w:rFonts w:hint="eastAsia" w:ascii="宋体" w:hAnsi="宋体"/>
          <w:sz w:val="24"/>
          <w:szCs w:val="24"/>
          <w:u w:val="single"/>
        </w:rPr>
        <w:t>XXXXX</w:t>
      </w:r>
      <w:r>
        <w:rPr>
          <w:rFonts w:hint="eastAsia" w:ascii="宋体" w:hAnsi="宋体"/>
          <w:sz w:val="24"/>
          <w:szCs w:val="24"/>
        </w:rPr>
        <w:t xml:space="preserve">（身份证件号码）为委托代理人，参加贵方组织的 </w:t>
      </w:r>
      <w:r>
        <w:rPr>
          <w:rFonts w:hint="eastAsia" w:ascii="宋体" w:hAnsi="宋体"/>
          <w:sz w:val="24"/>
          <w:szCs w:val="24"/>
          <w:u w:val="single"/>
        </w:rPr>
        <w:t xml:space="preserve">XXXX </w:t>
      </w:r>
      <w:r>
        <w:rPr>
          <w:rFonts w:hint="eastAsia" w:ascii="宋体" w:hAnsi="宋体"/>
          <w:sz w:val="24"/>
          <w:szCs w:val="24"/>
        </w:rPr>
        <w:t>项目（采购编号</w:t>
      </w:r>
      <w:r>
        <w:rPr>
          <w:rFonts w:hint="eastAsia" w:ascii="宋体" w:hAnsi="宋体"/>
          <w:sz w:val="24"/>
          <w:szCs w:val="24"/>
          <w:u w:val="single"/>
        </w:rPr>
        <w:t>XXXXX</w:t>
      </w:r>
      <w:r>
        <w:rPr>
          <w:rFonts w:hint="eastAsia" w:ascii="宋体" w:hAnsi="宋体"/>
          <w:sz w:val="24"/>
          <w:szCs w:val="24"/>
        </w:rPr>
        <w:t>）政府采购活动，全权处理政府采购活动中的一切事宜。</w:t>
      </w:r>
    </w:p>
    <w:p>
      <w:pPr>
        <w:spacing w:line="500" w:lineRule="exact"/>
        <w:jc w:val="left"/>
        <w:rPr>
          <w:rFonts w:hint="eastAsia" w:ascii="宋体" w:hAnsi="宋体"/>
          <w:sz w:val="24"/>
          <w:szCs w:val="24"/>
        </w:rPr>
      </w:pPr>
      <w:r>
        <w:rPr>
          <w:rFonts w:hint="eastAsia" w:ascii="宋体" w:hAnsi="宋体"/>
          <w:sz w:val="24"/>
          <w:szCs w:val="24"/>
        </w:rPr>
        <w:t xml:space="preserve">    本授权书于</w:t>
      </w:r>
      <w:r>
        <w:rPr>
          <w:rFonts w:hint="eastAsia" w:ascii="宋体" w:hAnsi="宋体"/>
          <w:sz w:val="24"/>
          <w:szCs w:val="24"/>
          <w:u w:val="single"/>
        </w:rPr>
        <w:t>XXXX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日签署生效，特此声明。</w:t>
      </w:r>
    </w:p>
    <w:p>
      <w:pPr>
        <w:spacing w:line="500" w:lineRule="exact"/>
        <w:jc w:val="left"/>
        <w:rPr>
          <w:rFonts w:hint="eastAsia" w:ascii="宋体" w:hAnsi="宋体"/>
          <w:sz w:val="24"/>
          <w:szCs w:val="24"/>
        </w:rPr>
      </w:pPr>
    </w:p>
    <w:p>
      <w:pPr>
        <w:spacing w:line="500" w:lineRule="exact"/>
        <w:jc w:val="left"/>
        <w:rPr>
          <w:rFonts w:hint="eastAsia" w:ascii="宋体" w:hAnsi="宋体"/>
          <w:sz w:val="24"/>
          <w:szCs w:val="24"/>
        </w:rPr>
      </w:pPr>
      <w:r>
        <w:rPr>
          <w:rFonts w:hint="eastAsia" w:ascii="宋体" w:hAnsi="宋体"/>
          <w:sz w:val="24"/>
          <w:szCs w:val="24"/>
        </w:rPr>
        <w:t>投标单位全称（盖章）：</w:t>
      </w:r>
    </w:p>
    <w:p>
      <w:pPr>
        <w:spacing w:line="500" w:lineRule="exact"/>
        <w:jc w:val="left"/>
        <w:rPr>
          <w:rFonts w:hint="eastAsia" w:ascii="宋体" w:hAnsi="宋体"/>
          <w:sz w:val="24"/>
          <w:szCs w:val="24"/>
        </w:rPr>
      </w:pPr>
    </w:p>
    <w:p>
      <w:pPr>
        <w:spacing w:line="500" w:lineRule="exact"/>
        <w:jc w:val="left"/>
        <w:rPr>
          <w:rFonts w:hint="eastAsia" w:ascii="宋体" w:hAnsi="宋体"/>
          <w:sz w:val="24"/>
          <w:szCs w:val="24"/>
        </w:rPr>
      </w:pPr>
      <w:r>
        <w:rPr>
          <w:rFonts w:hint="eastAsia" w:ascii="宋体" w:hAnsi="宋体"/>
          <w:sz w:val="24"/>
          <w:szCs w:val="24"/>
        </w:rPr>
        <w:t>法定代表人（签字或签章）：</w:t>
      </w:r>
    </w:p>
    <w:p>
      <w:pPr>
        <w:spacing w:line="500" w:lineRule="exact"/>
        <w:jc w:val="left"/>
        <w:rPr>
          <w:rFonts w:hint="eastAsia" w:ascii="宋体" w:hAnsi="宋体"/>
          <w:sz w:val="24"/>
          <w:szCs w:val="24"/>
        </w:rPr>
      </w:pPr>
    </w:p>
    <w:p>
      <w:pPr>
        <w:spacing w:line="500" w:lineRule="exact"/>
        <w:jc w:val="left"/>
        <w:rPr>
          <w:rFonts w:hint="eastAsia" w:ascii="宋体" w:hAnsi="宋体"/>
          <w:sz w:val="24"/>
          <w:szCs w:val="24"/>
        </w:rPr>
      </w:pPr>
      <w:r>
        <w:rPr>
          <w:rFonts w:hint="eastAsia" w:ascii="宋体" w:hAnsi="宋体"/>
          <w:sz w:val="24"/>
          <w:szCs w:val="24"/>
        </w:rPr>
        <w:t>日期：</w:t>
      </w:r>
    </w:p>
    <w:p>
      <w:pPr>
        <w:spacing w:line="500" w:lineRule="exact"/>
        <w:rPr>
          <w:rFonts w:hint="eastAsia" w:ascii="宋体" w:hAnsi="宋体"/>
          <w:sz w:val="24"/>
          <w:szCs w:val="24"/>
        </w:rPr>
      </w:pPr>
      <w:r>
        <w:rPr>
          <w:rFonts w:hint="eastAsia" w:ascii="宋体" w:hAnsi="宋体"/>
          <w:sz w:val="24"/>
          <w:szCs w:val="24"/>
        </w:rPr>
        <w:t xml:space="preserve"> </w:t>
      </w:r>
    </w:p>
    <w:p>
      <w:pPr>
        <w:spacing w:line="500" w:lineRule="exact"/>
        <w:rPr>
          <w:rFonts w:hint="eastAsia" w:ascii="宋体" w:hAnsi="宋体"/>
          <w:sz w:val="24"/>
          <w:szCs w:val="24"/>
        </w:rPr>
      </w:pPr>
      <w:r>
        <w:rPr>
          <w:rFonts w:hint="eastAsia" w:ascii="宋体" w:hAnsi="宋体"/>
          <w:sz w:val="24"/>
          <w:szCs w:val="24"/>
        </w:rPr>
        <w:t xml:space="preserve"> </w:t>
      </w: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360" w:lineRule="auto"/>
        <w:ind w:firstLine="480"/>
        <w:rPr>
          <w:rFonts w:ascii="仿宋_GB2312" w:hAnsi="宋体" w:eastAsia="仿宋_GB2312"/>
          <w:b/>
          <w:i/>
          <w:iCs/>
          <w:sz w:val="24"/>
        </w:rPr>
      </w:pPr>
      <w:r>
        <w:rPr>
          <w:rFonts w:hint="eastAsia" w:ascii="仿宋_GB2312" w:hAnsi="宋体" w:eastAsia="仿宋_GB2312"/>
          <w:b/>
          <w:i/>
          <w:iCs/>
          <w:sz w:val="24"/>
        </w:rPr>
        <w:t>注：1.法定代表人作为投标授权代表的，本表无需提供。2、</w:t>
      </w:r>
      <w:r>
        <w:rPr>
          <w:rFonts w:hint="eastAsia" w:ascii="宋体" w:hAnsi="宋体"/>
          <w:b/>
          <w:i/>
          <w:iCs/>
          <w:sz w:val="24"/>
          <w:szCs w:val="24"/>
        </w:rPr>
        <w:t>可先进行纸质打印，代表签字或签章后，再进行扫描提交。</w:t>
      </w:r>
    </w:p>
    <w:p>
      <w:pPr>
        <w:tabs>
          <w:tab w:val="left" w:pos="1575"/>
        </w:tabs>
        <w:spacing w:line="500" w:lineRule="exact"/>
        <w:jc w:val="center"/>
        <w:rPr>
          <w:rFonts w:hint="eastAsia" w:ascii="仿宋_GB2312" w:eastAsia="仿宋_GB2312"/>
          <w:b/>
          <w:bCs/>
          <w:sz w:val="32"/>
        </w:rPr>
      </w:pPr>
      <w:r>
        <w:rPr>
          <w:rFonts w:hint="eastAsia" w:ascii="仿宋_GB2312" w:eastAsia="仿宋_GB2312"/>
          <w:b/>
          <w:bCs/>
          <w:sz w:val="32"/>
        </w:rPr>
        <w:br w:type="page"/>
      </w:r>
      <w:r>
        <w:rPr>
          <w:rFonts w:hint="eastAsia" w:ascii="仿宋_GB2312" w:eastAsia="仿宋_GB2312"/>
          <w:b/>
          <w:bCs/>
          <w:sz w:val="32"/>
        </w:rPr>
        <w:t>法定代表人、被授权人身份证明</w:t>
      </w:r>
    </w:p>
    <w:p>
      <w:pPr>
        <w:tabs>
          <w:tab w:val="left" w:pos="1575"/>
        </w:tabs>
        <w:spacing w:line="500" w:lineRule="exact"/>
        <w:jc w:val="center"/>
        <w:rPr>
          <w:rFonts w:hint="eastAsia" w:ascii="仿宋_GB2312" w:eastAsia="仿宋_GB2312"/>
          <w:b/>
          <w:bCs/>
          <w:sz w:val="32"/>
        </w:rPr>
      </w:pPr>
    </w:p>
    <w:p>
      <w:pPr>
        <w:pStyle w:val="71"/>
        <w:spacing w:line="440" w:lineRule="exact"/>
        <w:rPr>
          <w:rFonts w:hint="eastAsia" w:hAnsi="宋体" w:cs="宋体"/>
          <w:bCs/>
          <w:sz w:val="24"/>
          <w:szCs w:val="24"/>
        </w:rPr>
      </w:pPr>
      <w:r>
        <w:rPr>
          <w:rFonts w:hint="eastAsia" w:hAnsi="宋体" w:cs="宋体"/>
          <w:bCs/>
          <w:sz w:val="24"/>
          <w:szCs w:val="24"/>
        </w:rPr>
        <w:t>1、法定代表人身份证</w:t>
      </w:r>
      <w:r>
        <w:rPr>
          <w:rFonts w:hint="eastAsia" w:hAnsi="宋体" w:cs="宋体"/>
          <w:bCs/>
          <w:sz w:val="24"/>
          <w:szCs w:val="24"/>
          <w:lang w:eastAsia="zh-CN"/>
        </w:rPr>
        <w:t>扫描</w:t>
      </w:r>
      <w:r>
        <w:rPr>
          <w:rFonts w:hint="eastAsia" w:hAnsi="宋体" w:cs="宋体"/>
          <w:bCs/>
          <w:sz w:val="24"/>
          <w:szCs w:val="24"/>
        </w:rPr>
        <w:t>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71"/>
              <w:spacing w:line="440" w:lineRule="exact"/>
              <w:rPr>
                <w:rFonts w:hint="eastAsia" w:hAnsi="宋体" w:cs="宋体"/>
                <w:bCs/>
                <w:sz w:val="24"/>
                <w:szCs w:val="24"/>
              </w:rPr>
            </w:pPr>
            <w:r>
              <w:rPr>
                <w:rFonts w:hint="eastAsia" w:hAnsi="宋体" w:cs="宋体"/>
                <w:bCs/>
                <w:sz w:val="24"/>
                <w:szCs w:val="24"/>
              </w:rPr>
              <w:t>正面：                                 反面：</w:t>
            </w:r>
          </w:p>
          <w:p>
            <w:pPr>
              <w:pStyle w:val="71"/>
              <w:spacing w:line="440" w:lineRule="exact"/>
              <w:rPr>
                <w:rFonts w:hint="eastAsia" w:hAnsi="宋体" w:cs="宋体"/>
                <w:bCs/>
                <w:sz w:val="24"/>
                <w:szCs w:val="24"/>
              </w:rPr>
            </w:pPr>
          </w:p>
        </w:tc>
      </w:tr>
    </w:tbl>
    <w:p>
      <w:pPr>
        <w:pStyle w:val="71"/>
        <w:spacing w:line="440" w:lineRule="exact"/>
        <w:rPr>
          <w:rFonts w:hint="eastAsia" w:hAnsi="宋体" w:cs="宋体"/>
          <w:bCs/>
          <w:sz w:val="24"/>
          <w:szCs w:val="24"/>
        </w:rPr>
      </w:pPr>
    </w:p>
    <w:p>
      <w:pPr>
        <w:pStyle w:val="71"/>
        <w:spacing w:line="440" w:lineRule="exact"/>
        <w:rPr>
          <w:rFonts w:hint="eastAsia" w:hAnsi="宋体" w:cs="宋体"/>
          <w:bCs/>
          <w:sz w:val="24"/>
          <w:szCs w:val="24"/>
        </w:rPr>
      </w:pPr>
      <w:r>
        <w:rPr>
          <w:rFonts w:hint="eastAsia" w:hAnsi="宋体" w:cs="宋体"/>
          <w:bCs/>
          <w:sz w:val="24"/>
          <w:szCs w:val="24"/>
        </w:rPr>
        <w:t>2、授权代表身份证</w:t>
      </w:r>
      <w:r>
        <w:rPr>
          <w:rFonts w:hint="eastAsia" w:hAnsi="宋体" w:cs="宋体"/>
          <w:bCs/>
          <w:sz w:val="24"/>
          <w:szCs w:val="24"/>
          <w:lang w:eastAsia="zh-CN"/>
        </w:rPr>
        <w:t>扫描</w:t>
      </w:r>
      <w:r>
        <w:rPr>
          <w:rFonts w:hint="eastAsia" w:hAnsi="宋体" w:cs="宋体"/>
          <w:bCs/>
          <w:sz w:val="24"/>
          <w:szCs w:val="24"/>
        </w:rPr>
        <w:t>件：（如法定代表人直接参加投标并对投标文件中的相应材料签字的，则无需提供）</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71"/>
              <w:spacing w:line="440" w:lineRule="exact"/>
              <w:rPr>
                <w:rFonts w:hint="eastAsia" w:hAnsi="宋体" w:cs="宋体"/>
                <w:bCs/>
                <w:sz w:val="24"/>
                <w:szCs w:val="24"/>
              </w:rPr>
            </w:pPr>
            <w:r>
              <w:rPr>
                <w:rFonts w:hint="eastAsia" w:hAnsi="宋体" w:cs="宋体"/>
                <w:bCs/>
                <w:sz w:val="24"/>
                <w:szCs w:val="24"/>
              </w:rPr>
              <w:t>正面：                                 反面：</w:t>
            </w:r>
          </w:p>
          <w:p>
            <w:pPr>
              <w:pStyle w:val="71"/>
              <w:spacing w:line="440" w:lineRule="exact"/>
              <w:rPr>
                <w:rFonts w:hint="eastAsia" w:hAnsi="宋体" w:cs="宋体"/>
                <w:bCs/>
                <w:sz w:val="24"/>
                <w:szCs w:val="24"/>
              </w:rPr>
            </w:pPr>
          </w:p>
        </w:tc>
      </w:tr>
    </w:tbl>
    <w:p>
      <w:pPr>
        <w:spacing w:line="400" w:lineRule="exact"/>
        <w:rPr>
          <w:rFonts w:hint="eastAsia" w:ascii="宋体" w:hAnsi="宋体" w:cs="宋体"/>
          <w:b/>
          <w:sz w:val="32"/>
          <w:szCs w:val="32"/>
        </w:rPr>
      </w:pPr>
    </w:p>
    <w:p>
      <w:pPr>
        <w:spacing w:line="400" w:lineRule="exact"/>
        <w:rPr>
          <w:rFonts w:hint="eastAsia" w:ascii="宋体" w:hAnsi="宋体" w:cs="宋体"/>
          <w:b/>
          <w:sz w:val="32"/>
          <w:szCs w:val="32"/>
        </w:rPr>
      </w:pPr>
    </w:p>
    <w:p>
      <w:pPr>
        <w:spacing w:line="400" w:lineRule="exact"/>
        <w:rPr>
          <w:rFonts w:hint="eastAsia" w:ascii="宋体" w:hAnsi="宋体" w:cs="宋体"/>
          <w:b/>
          <w:sz w:val="32"/>
          <w:szCs w:val="32"/>
        </w:rPr>
      </w:pPr>
    </w:p>
    <w:p>
      <w:pPr>
        <w:pStyle w:val="3"/>
        <w:spacing w:line="520" w:lineRule="exact"/>
        <w:ind w:firstLine="0"/>
        <w:jc w:val="both"/>
        <w:rPr>
          <w:rFonts w:ascii="仿宋" w:hAnsi="仿宋" w:eastAsia="仿宋"/>
          <w:sz w:val="24"/>
        </w:rPr>
      </w:pPr>
    </w:p>
    <w:p>
      <w:pPr>
        <w:wordWrap w:val="0"/>
        <w:spacing w:line="400" w:lineRule="exact"/>
        <w:jc w:val="right"/>
        <w:rPr>
          <w:rFonts w:hint="eastAsia" w:ascii="仿宋" w:hAnsi="仿宋" w:eastAsia="仿宋"/>
          <w:sz w:val="24"/>
        </w:rPr>
      </w:pPr>
      <w:r>
        <w:rPr>
          <w:rFonts w:hint="eastAsia" w:ascii="仿宋" w:hAnsi="仿宋" w:eastAsia="仿宋"/>
          <w:sz w:val="24"/>
        </w:rPr>
        <w:t xml:space="preserve">    </w:t>
      </w:r>
    </w:p>
    <w:p>
      <w:pPr>
        <w:jc w:val="center"/>
        <w:rPr>
          <w:rFonts w:hint="eastAsia" w:ascii="宋体" w:hAnsi="宋体"/>
          <w:b/>
          <w:bCs/>
          <w:sz w:val="30"/>
          <w:szCs w:val="30"/>
        </w:rPr>
      </w:pPr>
      <w:r>
        <w:rPr>
          <w:rFonts w:ascii="Arial" w:hAnsi="Arial" w:eastAsia="仿宋_GB2312"/>
          <w:sz w:val="28"/>
        </w:rPr>
        <w:br w:type="page"/>
      </w:r>
      <w:r>
        <w:rPr>
          <w:rFonts w:hint="eastAsia" w:ascii="宋体" w:hAnsi="宋体" w:eastAsia="仿宋_GB2312"/>
          <w:b/>
          <w:bCs/>
          <w:sz w:val="30"/>
          <w:szCs w:val="30"/>
          <w:lang w:val="en-US" w:eastAsia="zh-CN"/>
        </w:rPr>
        <w:t>4</w:t>
      </w:r>
      <w:r>
        <w:rPr>
          <w:rFonts w:hint="eastAsia" w:ascii="宋体" w:hAnsi="宋体"/>
          <w:b/>
          <w:bCs/>
          <w:sz w:val="30"/>
          <w:szCs w:val="30"/>
        </w:rPr>
        <w:t>、诚信投标承诺书</w:t>
      </w:r>
    </w:p>
    <w:p>
      <w:pPr>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sz w:val="24"/>
        </w:rPr>
      </w:pPr>
      <w:r>
        <w:rPr>
          <w:rFonts w:hint="eastAsia" w:ascii="宋体" w:hAnsi="宋体"/>
          <w:sz w:val="24"/>
        </w:rPr>
        <w:t>宁波市政府采购中心：</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我方愿意参与“</w:t>
      </w:r>
      <w:r>
        <w:rPr>
          <w:rFonts w:hint="eastAsia" w:ascii="宋体" w:hAnsi="宋体"/>
          <w:sz w:val="24"/>
          <w:u w:val="single"/>
        </w:rPr>
        <w:t>XXX</w:t>
      </w:r>
      <w:r>
        <w:rPr>
          <w:rFonts w:ascii="宋体" w:hAnsi="宋体"/>
          <w:sz w:val="24"/>
        </w:rPr>
        <w:t>项目</w:t>
      </w:r>
      <w:r>
        <w:rPr>
          <w:rFonts w:hint="eastAsia" w:ascii="宋体" w:hAnsi="宋体"/>
          <w:sz w:val="24"/>
        </w:rPr>
        <w:t>（采购编号：</w:t>
      </w:r>
      <w:r>
        <w:rPr>
          <w:rFonts w:hint="eastAsia" w:ascii="宋体" w:hAnsi="宋体"/>
          <w:sz w:val="24"/>
          <w:u w:val="single"/>
        </w:rPr>
        <w:t>XXX</w:t>
      </w:r>
      <w:r>
        <w:rPr>
          <w:rFonts w:hint="eastAsia" w:ascii="宋体" w:hAnsi="宋体"/>
          <w:sz w:val="24"/>
        </w:rPr>
        <w:t>）”的投标，并作出如下承诺：</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textAlignment w:val="auto"/>
        <w:rPr>
          <w:rFonts w:hint="eastAsia" w:ascii="宋体" w:hAnsi="宋体"/>
          <w:sz w:val="24"/>
        </w:rPr>
      </w:pPr>
      <w:r>
        <w:rPr>
          <w:rFonts w:hint="eastAsia" w:ascii="宋体" w:hAnsi="宋体" w:cs="宋体"/>
          <w:color w:val="000000"/>
          <w:kern w:val="0"/>
          <w:sz w:val="24"/>
          <w:szCs w:val="24"/>
        </w:rPr>
        <w:t>我方符合政府采购法第</w:t>
      </w:r>
      <w:r>
        <w:rPr>
          <w:rFonts w:hint="eastAsia" w:ascii="宋体" w:hAnsi="宋体" w:cs="宋体"/>
          <w:color w:val="000000"/>
          <w:kern w:val="0"/>
          <w:sz w:val="24"/>
          <w:szCs w:val="24"/>
          <w:lang w:eastAsia="zh-CN"/>
        </w:rPr>
        <w:t>二十二</w:t>
      </w:r>
      <w:r>
        <w:rPr>
          <w:rFonts w:hint="eastAsia" w:ascii="宋体" w:hAnsi="宋体" w:cs="宋体"/>
          <w:color w:val="000000"/>
          <w:kern w:val="0"/>
          <w:sz w:val="24"/>
          <w:szCs w:val="24"/>
        </w:rPr>
        <w:t>条规定的条件，且在本项目公告日前3年内没有因违法经营受到刑事处罚或者责令停产停业、吊销许可证或者执照、较大数额罚款（认定标准按《财政部关于&lt;中华人民共和国政府采购法实施条例&gt;第十九条第一款“较大数额罚款”具体适用问题的意见》（财库〔2022〕3 号））等行政处罚的重大违法记录。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与采购人</w:t>
      </w:r>
      <w:r>
        <w:rPr>
          <w:rFonts w:hint="eastAsia" w:ascii="宋体" w:hAnsi="宋体"/>
          <w:sz w:val="24"/>
          <w:u w:val="single"/>
        </w:rPr>
        <w:t>XXX</w:t>
      </w:r>
      <w:r>
        <w:rPr>
          <w:rFonts w:hint="eastAsia" w:ascii="宋体" w:hAnsi="宋体"/>
          <w:sz w:val="24"/>
        </w:rPr>
        <w:t>（填“有/无”）关联，没有采取任何影响公平投标的行为。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在招投标过程中，不做以下任何事项：</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（1）投标截止时间后撤回投标（包括开标后拒绝应当进行的讲标演示）；</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（2）投标文件中提供虚假材料或不实材料；</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（3）与其他投标人达成可能限制竞争的协议；</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（4）为影响投标而向有关招标当事人提供金钱、物质及服务；</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（5）与其他投标人围标、陪标；</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（6）其他任何串通投标行为。</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、若中标后，保证按照投标承诺及时签订合同并履约。</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我方若违背以上承诺，接受在政府采购指定媒体上公告曝光处理，同时承担依据国家法律法规追究的其他责任。</w:t>
      </w:r>
    </w:p>
    <w:p>
      <w:pPr>
        <w:spacing w:line="240" w:lineRule="atLeast"/>
        <w:ind w:left="-720" w:leftChars="-343" w:right="-960" w:firstLine="480" w:firstLineChars="200"/>
        <w:rPr>
          <w:rFonts w:hint="eastAsia" w:ascii="宋体" w:hAnsi="宋体"/>
          <w:sz w:val="24"/>
          <w:szCs w:val="24"/>
        </w:rPr>
      </w:pPr>
    </w:p>
    <w:p>
      <w:pPr>
        <w:spacing w:line="240" w:lineRule="atLeast"/>
        <w:ind w:left="-720" w:leftChars="-343" w:right="-960" w:firstLine="480" w:firstLineChars="200"/>
        <w:rPr>
          <w:rFonts w:hint="eastAsia" w:ascii="宋体" w:hAnsi="宋体"/>
          <w:sz w:val="24"/>
          <w:szCs w:val="24"/>
        </w:rPr>
      </w:pPr>
      <w:r>
        <w:rPr>
          <w:rFonts w:hint="eastAsia" w:ascii="宋体" w:hAnsi="宋体"/>
          <w:sz w:val="24"/>
          <w:szCs w:val="24"/>
        </w:rPr>
        <w:t xml:space="preserve">                         投标单位</w:t>
      </w:r>
      <w:r>
        <w:rPr>
          <w:rFonts w:hint="eastAsia" w:ascii="宋体" w:hAnsi="宋体"/>
          <w:b/>
          <w:color w:val="auto"/>
          <w:sz w:val="24"/>
          <w:szCs w:val="24"/>
        </w:rPr>
        <w:t>（盖章）</w:t>
      </w:r>
      <w:r>
        <w:rPr>
          <w:rFonts w:hint="eastAsia" w:ascii="宋体" w:hAnsi="宋体"/>
          <w:color w:val="auto"/>
          <w:sz w:val="24"/>
          <w:szCs w:val="24"/>
        </w:rPr>
        <w:t>：</w:t>
      </w:r>
    </w:p>
    <w:p>
      <w:pPr>
        <w:tabs>
          <w:tab w:val="left" w:pos="845"/>
        </w:tabs>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 xml:space="preserve">    </w:t>
      </w:r>
    </w:p>
    <w:p>
      <w:pPr>
        <w:tabs>
          <w:tab w:val="left" w:pos="845"/>
        </w:tabs>
        <w:spacing w:line="360" w:lineRule="auto"/>
        <w:jc w:val="center"/>
        <w:rPr>
          <w:rFonts w:hint="eastAsia" w:ascii="宋体" w:hAnsi="宋体"/>
          <w:b/>
          <w:bCs/>
          <w:sz w:val="24"/>
          <w:szCs w:val="24"/>
        </w:rPr>
      </w:pPr>
      <w:r>
        <w:rPr>
          <w:rFonts w:hint="eastAsia" w:ascii="宋体" w:hAnsi="宋体"/>
          <w:sz w:val="24"/>
          <w:szCs w:val="24"/>
        </w:rPr>
        <w:t>日  期：</w:t>
      </w:r>
    </w:p>
    <w:p>
      <w:pPr>
        <w:tabs>
          <w:tab w:val="left" w:pos="845"/>
        </w:tabs>
        <w:spacing w:line="360" w:lineRule="auto"/>
        <w:rPr>
          <w:rFonts w:hint="eastAsia" w:ascii="宋体" w:hAnsi="宋体"/>
          <w:b/>
          <w:bCs/>
          <w:sz w:val="24"/>
          <w:szCs w:val="24"/>
        </w:rPr>
      </w:pPr>
      <w:r>
        <w:rPr>
          <w:rFonts w:hint="eastAsia" w:ascii="宋体" w:hAnsi="宋体"/>
          <w:b/>
          <w:bCs/>
          <w:sz w:val="24"/>
          <w:szCs w:val="24"/>
        </w:rPr>
        <w:t>特别说明：本承诺书不得实质性改动，否则视为无效标。</w:t>
      </w:r>
    </w:p>
    <w:p>
      <w:pPr>
        <w:tabs>
          <w:tab w:val="left" w:pos="845"/>
        </w:tabs>
        <w:spacing w:line="360" w:lineRule="auto"/>
        <w:jc w:val="center"/>
        <w:rPr>
          <w:rFonts w:hint="eastAsia" w:ascii="黑体" w:hAnsi="宋体" w:eastAsia="黑体"/>
          <w:b/>
          <w:bCs/>
          <w:sz w:val="28"/>
          <w:szCs w:val="28"/>
        </w:rPr>
      </w:pPr>
      <w:r>
        <w:rPr>
          <w:rFonts w:hint="eastAsia" w:ascii="黑体" w:hAnsi="宋体" w:eastAsia="黑体"/>
          <w:b/>
          <w:bCs/>
          <w:sz w:val="28"/>
          <w:szCs w:val="28"/>
        </w:rPr>
        <w:br w:type="page"/>
      </w:r>
      <w:r>
        <w:rPr>
          <w:rFonts w:hint="eastAsia" w:ascii="黑体" w:hAnsi="宋体" w:eastAsia="黑体"/>
          <w:b/>
          <w:bCs/>
          <w:sz w:val="28"/>
          <w:szCs w:val="28"/>
          <w:lang w:val="en-US" w:eastAsia="zh-CN"/>
        </w:rPr>
        <w:t>5</w:t>
      </w:r>
      <w:r>
        <w:rPr>
          <w:rFonts w:hint="eastAsia" w:ascii="黑体" w:hAnsi="宋体" w:eastAsia="黑体"/>
          <w:b/>
          <w:bCs/>
          <w:sz w:val="28"/>
          <w:szCs w:val="28"/>
        </w:rPr>
        <w:t>、中小企业</w:t>
      </w:r>
      <w:r>
        <w:rPr>
          <w:rFonts w:ascii="黑体" w:hAnsi="宋体" w:eastAsia="黑体"/>
          <w:b/>
          <w:bCs/>
          <w:sz w:val="28"/>
          <w:szCs w:val="28"/>
        </w:rPr>
        <w:t>声明函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32"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根据《政府采购促进中小企业发展</w:t>
      </w:r>
      <w:r>
        <w:rPr>
          <w:rFonts w:hint="eastAsia" w:ascii="宋体" w:hAnsi="宋体" w:cs="宋体"/>
          <w:color w:val="000000"/>
          <w:kern w:val="0"/>
          <w:sz w:val="24"/>
          <w:szCs w:val="24"/>
          <w:lang w:eastAsia="zh-CN"/>
        </w:rPr>
        <w:t>管理</w:t>
      </w:r>
      <w:r>
        <w:rPr>
          <w:rFonts w:hint="eastAsia" w:ascii="宋体" w:hAnsi="宋体" w:cs="宋体"/>
          <w:color w:val="000000"/>
          <w:kern w:val="0"/>
          <w:sz w:val="24"/>
          <w:szCs w:val="24"/>
        </w:rPr>
        <w:t>办法》（财库[20</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46</w:t>
      </w:r>
      <w:r>
        <w:rPr>
          <w:rFonts w:hint="eastAsia" w:ascii="宋体" w:hAnsi="宋体" w:cs="宋体"/>
          <w:color w:val="000000"/>
          <w:kern w:val="0"/>
          <w:sz w:val="24"/>
          <w:szCs w:val="24"/>
        </w:rPr>
        <w:t>号）的规定，本单位参加</w:t>
      </w:r>
      <w:r>
        <w:rPr>
          <w:rFonts w:hint="eastAsia" w:ascii="宋体" w:hAnsi="宋体" w:cs="宋体"/>
          <w:color w:val="000000"/>
          <w:kern w:val="0"/>
          <w:sz w:val="24"/>
          <w:szCs w:val="24"/>
          <w:u w:val="single"/>
        </w:rPr>
        <w:t>XXXXXX</w:t>
      </w:r>
      <w:r>
        <w:rPr>
          <w:rFonts w:hint="eastAsia" w:ascii="宋体" w:hAnsi="宋体" w:cs="宋体"/>
          <w:color w:val="000000"/>
          <w:kern w:val="0"/>
          <w:sz w:val="24"/>
          <w:szCs w:val="24"/>
        </w:rPr>
        <w:t>项目（采购编号</w:t>
      </w:r>
      <w:r>
        <w:rPr>
          <w:rFonts w:hint="eastAsia" w:ascii="宋体" w:hAnsi="宋体" w:cs="宋体"/>
          <w:color w:val="000000"/>
          <w:kern w:val="0"/>
          <w:sz w:val="24"/>
          <w:szCs w:val="24"/>
          <w:u w:val="single"/>
        </w:rPr>
        <w:t>XXXX</w:t>
      </w:r>
      <w:r>
        <w:rPr>
          <w:rFonts w:hint="eastAsia" w:ascii="宋体" w:hAnsi="宋体" w:cs="宋体"/>
          <w:color w:val="000000"/>
          <w:kern w:val="0"/>
          <w:sz w:val="24"/>
          <w:szCs w:val="24"/>
        </w:rPr>
        <w:t>标包</w:t>
      </w:r>
      <w:r>
        <w:rPr>
          <w:rFonts w:hint="eastAsia" w:ascii="宋体" w:hAnsi="宋体" w:cs="宋体"/>
          <w:color w:val="000000"/>
          <w:kern w:val="0"/>
          <w:sz w:val="24"/>
          <w:szCs w:val="24"/>
          <w:u w:val="single"/>
        </w:rPr>
        <w:t>X</w:t>
      </w:r>
      <w:r>
        <w:rPr>
          <w:rFonts w:hint="eastAsia" w:ascii="宋体" w:hAnsi="宋体" w:cs="宋体"/>
          <w:color w:val="000000"/>
          <w:kern w:val="0"/>
          <w:sz w:val="24"/>
          <w:szCs w:val="24"/>
        </w:rPr>
        <w:t>）采购活动</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郑重声明</w:t>
      </w:r>
      <w:r>
        <w:rPr>
          <w:rFonts w:hint="eastAsia" w:ascii="宋体" w:hAnsi="宋体" w:cs="宋体"/>
          <w:color w:val="000000"/>
          <w:kern w:val="0"/>
          <w:sz w:val="24"/>
          <w:szCs w:val="24"/>
          <w:lang w:eastAsia="zh-CN"/>
        </w:rPr>
        <w:t>提供的服务</w:t>
      </w:r>
      <w:r>
        <w:rPr>
          <w:rFonts w:hint="eastAsia" w:ascii="宋体" w:hAnsi="宋体" w:cs="宋体"/>
          <w:color w:val="000000"/>
          <w:kern w:val="0"/>
          <w:sz w:val="24"/>
          <w:szCs w:val="24"/>
          <w:lang w:val="en-US" w:eastAsia="zh-CN"/>
        </w:rPr>
        <w:t>全部</w:t>
      </w:r>
      <w:r>
        <w:rPr>
          <w:rFonts w:hint="eastAsia" w:ascii="宋体" w:hAnsi="宋体" w:cs="宋体"/>
          <w:color w:val="000000"/>
          <w:kern w:val="0"/>
          <w:sz w:val="24"/>
          <w:szCs w:val="24"/>
          <w:lang w:eastAsia="zh-CN"/>
        </w:rPr>
        <w:t>由符合政策要求的中小微企业承接，具体情况如下</w:t>
      </w:r>
      <w:r>
        <w:rPr>
          <w:rFonts w:hint="eastAsia" w:ascii="宋体" w:hAnsi="宋体" w:cs="宋体"/>
          <w:color w:val="000000"/>
          <w:kern w:val="0"/>
          <w:sz w:val="24"/>
          <w:szCs w:val="24"/>
        </w:rPr>
        <w:t>：</w:t>
      </w:r>
    </w:p>
    <w:p>
      <w:pPr>
        <w:keepNext w:val="0"/>
        <w:keepLines w:val="0"/>
        <w:pageBreakBefore w:val="0"/>
        <w:widowControl/>
        <w:numPr>
          <w:ilvl w:val="0"/>
          <w:numId w:val="12"/>
        </w:numPr>
        <w:kinsoku/>
        <w:wordWrap/>
        <w:overflowPunct/>
        <w:topLinePunct w:val="0"/>
        <w:autoSpaceDE/>
        <w:autoSpaceDN/>
        <w:bidi w:val="0"/>
        <w:adjustRightInd/>
        <w:snapToGrid/>
        <w:spacing w:beforeAutospacing="0" w:afterAutospacing="0" w:line="432"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b w:val="0"/>
          <w:bCs w:val="0"/>
          <w:i/>
          <w:iCs/>
          <w:color w:val="000000"/>
          <w:kern w:val="0"/>
          <w:sz w:val="24"/>
          <w:szCs w:val="24"/>
          <w:u w:val="single"/>
          <w:lang w:eastAsia="zh-CN"/>
        </w:rPr>
        <w:t>（标的名称、</w:t>
      </w:r>
      <w:r>
        <w:rPr>
          <w:rFonts w:hint="eastAsia" w:ascii="宋体" w:hAnsi="宋体" w:cs="宋体"/>
          <w:b w:val="0"/>
          <w:bCs w:val="0"/>
          <w:i/>
          <w:iCs/>
          <w:color w:val="000000"/>
          <w:kern w:val="0"/>
          <w:sz w:val="24"/>
          <w:szCs w:val="24"/>
          <w:u w:val="single"/>
          <w:lang w:val="en-US" w:eastAsia="zh-CN"/>
        </w:rPr>
        <w:t>...</w:t>
      </w:r>
      <w:r>
        <w:rPr>
          <w:rFonts w:hint="eastAsia" w:ascii="宋体" w:hAnsi="宋体" w:cs="宋体"/>
          <w:b w:val="0"/>
          <w:bCs w:val="0"/>
          <w:i/>
          <w:iCs/>
          <w:color w:val="000000"/>
          <w:kern w:val="0"/>
          <w:sz w:val="24"/>
          <w:szCs w:val="24"/>
          <w:u w:val="single"/>
          <w:lang w:eastAsia="zh-CN"/>
        </w:rPr>
        <w:t>）</w:t>
      </w:r>
      <w:r>
        <w:rPr>
          <w:rFonts w:hint="eastAsia" w:ascii="宋体" w:hAnsi="宋体" w:cs="宋体"/>
          <w:b w:val="0"/>
          <w:bCs w:val="0"/>
          <w:i w:val="0"/>
          <w:iCs w:val="0"/>
          <w:color w:val="000000"/>
          <w:kern w:val="0"/>
          <w:sz w:val="24"/>
          <w:szCs w:val="24"/>
          <w:u w:val="none"/>
          <w:lang w:eastAsia="zh-CN"/>
        </w:rPr>
        <w:t>，</w:t>
      </w:r>
      <w:r>
        <w:rPr>
          <w:rFonts w:hint="eastAsia" w:ascii="宋体" w:hAnsi="宋体" w:cs="宋体"/>
          <w:color w:val="000000"/>
          <w:kern w:val="0"/>
          <w:sz w:val="24"/>
          <w:szCs w:val="24"/>
        </w:rPr>
        <w:t>所属行业为</w:t>
      </w:r>
      <w:r>
        <w:rPr>
          <w:rFonts w:hint="eastAsia" w:ascii="宋体" w:hAnsi="宋体" w:cs="宋体"/>
          <w:i/>
          <w:iCs/>
          <w:color w:val="000000"/>
          <w:kern w:val="0"/>
          <w:sz w:val="24"/>
          <w:szCs w:val="24"/>
          <w:u w:val="single"/>
        </w:rPr>
        <w:t>物业管理</w:t>
      </w:r>
      <w:r>
        <w:rPr>
          <w:rFonts w:hint="eastAsia" w:ascii="宋体" w:hAnsi="宋体" w:cs="宋体"/>
          <w:color w:val="000000"/>
          <w:kern w:val="0"/>
          <w:sz w:val="24"/>
          <w:szCs w:val="24"/>
          <w:u w:val="none"/>
          <w:lang w:eastAsia="zh-CN"/>
        </w:rPr>
        <w:t>；服务商为</w:t>
      </w:r>
      <w:r>
        <w:rPr>
          <w:rFonts w:hint="eastAsia" w:ascii="宋体" w:hAnsi="宋体" w:cs="宋体"/>
          <w:b w:val="0"/>
          <w:bCs w:val="0"/>
          <w:i/>
          <w:iCs/>
          <w:color w:val="000000"/>
          <w:kern w:val="0"/>
          <w:sz w:val="24"/>
          <w:szCs w:val="24"/>
          <w:u w:val="single"/>
          <w:lang w:eastAsia="zh-CN"/>
        </w:rPr>
        <w:t>（企业名称）</w:t>
      </w:r>
      <w:r>
        <w:rPr>
          <w:rFonts w:hint="eastAsia" w:ascii="宋体" w:hAnsi="宋体" w:cs="宋体"/>
          <w:b w:val="0"/>
          <w:bCs w:val="0"/>
          <w:i w:val="0"/>
          <w:iCs w:val="0"/>
          <w:color w:val="000000"/>
          <w:kern w:val="0"/>
          <w:sz w:val="24"/>
          <w:szCs w:val="24"/>
          <w:u w:val="none"/>
          <w:lang w:eastAsia="zh-CN"/>
        </w:rPr>
        <w:t>，</w:t>
      </w:r>
      <w:r>
        <w:rPr>
          <w:rFonts w:hint="eastAsia" w:ascii="宋体" w:hAnsi="宋体" w:cs="宋体"/>
          <w:color w:val="000000"/>
          <w:kern w:val="0"/>
          <w:sz w:val="24"/>
          <w:szCs w:val="24"/>
        </w:rPr>
        <w:t>上年末从业人员</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人</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上年营业收入</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万元</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上年资产总额</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万元</w:t>
      </w:r>
      <w:r>
        <w:rPr>
          <w:rFonts w:hint="eastAsia" w:ascii="宋体" w:hAnsi="宋体" w:cs="宋体"/>
          <w:color w:val="000000"/>
          <w:kern w:val="0"/>
          <w:sz w:val="24"/>
          <w:szCs w:val="24"/>
          <w:lang w:eastAsia="zh-CN"/>
        </w:rPr>
        <w:t>，属于</w:t>
      </w:r>
      <w:r>
        <w:rPr>
          <w:rFonts w:hint="eastAsia" w:ascii="宋体" w:hAnsi="宋体" w:cs="宋体"/>
          <w:i/>
          <w:iCs/>
          <w:color w:val="000000"/>
          <w:kern w:val="0"/>
          <w:sz w:val="24"/>
          <w:szCs w:val="24"/>
          <w:u w:val="single"/>
        </w:rPr>
        <w:t>（中型、小型、微型）</w:t>
      </w:r>
      <w:r>
        <w:rPr>
          <w:rFonts w:hint="eastAsia" w:ascii="宋体" w:hAnsi="宋体" w:cs="宋体"/>
          <w:color w:val="000000"/>
          <w:kern w:val="0"/>
          <w:sz w:val="24"/>
          <w:szCs w:val="24"/>
        </w:rPr>
        <w:t>企业</w:t>
      </w:r>
      <w:r>
        <w:rPr>
          <w:rFonts w:hint="eastAsia" w:ascii="宋体" w:hAnsi="宋体" w:cs="宋体"/>
          <w:color w:val="000000"/>
          <w:kern w:val="0"/>
          <w:sz w:val="24"/>
          <w:szCs w:val="24"/>
          <w:lang w:eastAsia="zh-CN"/>
        </w:rPr>
        <w:t>；</w:t>
      </w:r>
    </w:p>
    <w:p>
      <w:pPr>
        <w:keepNext w:val="0"/>
        <w:keepLines w:val="0"/>
        <w:pageBreakBefore w:val="0"/>
        <w:widowControl/>
        <w:numPr>
          <w:ilvl w:val="0"/>
          <w:numId w:val="12"/>
        </w:numPr>
        <w:kinsoku/>
        <w:wordWrap/>
        <w:overflowPunct/>
        <w:topLinePunct w:val="0"/>
        <w:autoSpaceDE/>
        <w:autoSpaceDN/>
        <w:bidi w:val="0"/>
        <w:adjustRightInd/>
        <w:snapToGrid/>
        <w:spacing w:beforeAutospacing="0" w:afterAutospacing="0" w:line="432" w:lineRule="auto"/>
        <w:ind w:firstLine="480" w:firstLineChars="200"/>
        <w:jc w:val="left"/>
        <w:textAlignment w:val="auto"/>
        <w:rPr>
          <w:rFonts w:hint="eastAsia" w:ascii="宋体" w:hAnsi="宋体" w:cs="宋体"/>
          <w:b/>
          <w:bCs/>
          <w:color w:val="000000"/>
          <w:kern w:val="0"/>
          <w:sz w:val="24"/>
          <w:szCs w:val="24"/>
        </w:rPr>
      </w:pPr>
      <w:r>
        <w:rPr>
          <w:rFonts w:hint="eastAsia" w:ascii="宋体" w:hAnsi="宋体" w:cs="宋体"/>
          <w:b w:val="0"/>
          <w:bCs w:val="0"/>
          <w:i/>
          <w:iCs/>
          <w:color w:val="000000"/>
          <w:kern w:val="0"/>
          <w:sz w:val="24"/>
          <w:szCs w:val="24"/>
          <w:u w:val="single"/>
          <w:lang w:eastAsia="zh-CN"/>
        </w:rPr>
        <w:t>（标的名称、</w:t>
      </w:r>
      <w:r>
        <w:rPr>
          <w:rFonts w:hint="eastAsia" w:ascii="宋体" w:hAnsi="宋体" w:cs="宋体"/>
          <w:b w:val="0"/>
          <w:bCs w:val="0"/>
          <w:i/>
          <w:iCs/>
          <w:color w:val="000000"/>
          <w:kern w:val="0"/>
          <w:sz w:val="24"/>
          <w:szCs w:val="24"/>
          <w:u w:val="single"/>
          <w:lang w:val="en-US" w:eastAsia="zh-CN"/>
        </w:rPr>
        <w:t>...</w:t>
      </w:r>
      <w:r>
        <w:rPr>
          <w:rFonts w:hint="eastAsia" w:ascii="宋体" w:hAnsi="宋体" w:cs="宋体"/>
          <w:b w:val="0"/>
          <w:bCs w:val="0"/>
          <w:i/>
          <w:iCs/>
          <w:color w:val="000000"/>
          <w:kern w:val="0"/>
          <w:sz w:val="24"/>
          <w:szCs w:val="24"/>
          <w:u w:val="single"/>
          <w:lang w:eastAsia="zh-CN"/>
        </w:rPr>
        <w:t>）</w:t>
      </w:r>
      <w:r>
        <w:rPr>
          <w:rFonts w:hint="eastAsia" w:ascii="宋体" w:hAnsi="宋体" w:cs="宋体"/>
          <w:b w:val="0"/>
          <w:bCs w:val="0"/>
          <w:i w:val="0"/>
          <w:iCs w:val="0"/>
          <w:color w:val="000000"/>
          <w:kern w:val="0"/>
          <w:sz w:val="24"/>
          <w:szCs w:val="24"/>
          <w:u w:val="none"/>
          <w:lang w:eastAsia="zh-CN"/>
        </w:rPr>
        <w:t>，</w:t>
      </w:r>
      <w:r>
        <w:rPr>
          <w:rFonts w:hint="eastAsia" w:ascii="宋体" w:hAnsi="宋体" w:cs="宋体"/>
          <w:color w:val="000000"/>
          <w:kern w:val="0"/>
          <w:sz w:val="24"/>
          <w:szCs w:val="24"/>
        </w:rPr>
        <w:t>所属行业为</w:t>
      </w:r>
      <w:r>
        <w:rPr>
          <w:rFonts w:hint="eastAsia" w:ascii="宋体" w:hAnsi="宋体" w:cs="宋体"/>
          <w:i/>
          <w:iCs/>
          <w:color w:val="000000"/>
          <w:kern w:val="0"/>
          <w:sz w:val="24"/>
          <w:szCs w:val="24"/>
          <w:u w:val="single"/>
        </w:rPr>
        <w:t>XXXXX</w:t>
      </w:r>
      <w:r>
        <w:rPr>
          <w:rFonts w:hint="eastAsia" w:ascii="宋体" w:hAnsi="宋体" w:cs="宋体"/>
          <w:color w:val="000000"/>
          <w:kern w:val="0"/>
          <w:sz w:val="24"/>
          <w:szCs w:val="24"/>
          <w:u w:val="none"/>
          <w:lang w:eastAsia="zh-CN"/>
        </w:rPr>
        <w:t>；服务商为</w:t>
      </w:r>
      <w:r>
        <w:rPr>
          <w:rFonts w:hint="eastAsia" w:ascii="宋体" w:hAnsi="宋体" w:cs="宋体"/>
          <w:b w:val="0"/>
          <w:bCs w:val="0"/>
          <w:i/>
          <w:iCs/>
          <w:color w:val="000000"/>
          <w:kern w:val="0"/>
          <w:sz w:val="24"/>
          <w:szCs w:val="24"/>
          <w:u w:val="single"/>
          <w:lang w:eastAsia="zh-CN"/>
        </w:rPr>
        <w:t>（企业名称）</w:t>
      </w:r>
      <w:r>
        <w:rPr>
          <w:rFonts w:hint="eastAsia" w:ascii="宋体" w:hAnsi="宋体" w:cs="宋体"/>
          <w:b w:val="0"/>
          <w:bCs w:val="0"/>
          <w:i w:val="0"/>
          <w:iCs w:val="0"/>
          <w:color w:val="000000"/>
          <w:kern w:val="0"/>
          <w:sz w:val="24"/>
          <w:szCs w:val="24"/>
          <w:u w:val="none"/>
          <w:lang w:eastAsia="zh-CN"/>
        </w:rPr>
        <w:t>，</w:t>
      </w:r>
      <w:r>
        <w:rPr>
          <w:rFonts w:hint="eastAsia" w:ascii="宋体" w:hAnsi="宋体" w:cs="宋体"/>
          <w:color w:val="000000"/>
          <w:kern w:val="0"/>
          <w:sz w:val="24"/>
          <w:szCs w:val="24"/>
        </w:rPr>
        <w:t>上年末从业人员</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人</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上年营业收入</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万元</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上年资产总额</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万元</w:t>
      </w:r>
      <w:r>
        <w:rPr>
          <w:rFonts w:hint="eastAsia" w:ascii="宋体" w:hAnsi="宋体" w:cs="宋体"/>
          <w:color w:val="000000"/>
          <w:kern w:val="0"/>
          <w:sz w:val="24"/>
          <w:szCs w:val="24"/>
          <w:lang w:eastAsia="zh-CN"/>
        </w:rPr>
        <w:t>，属于</w:t>
      </w:r>
      <w:r>
        <w:rPr>
          <w:rFonts w:hint="eastAsia" w:ascii="宋体" w:hAnsi="宋体" w:cs="宋体"/>
          <w:i/>
          <w:iCs/>
          <w:color w:val="000000"/>
          <w:kern w:val="0"/>
          <w:sz w:val="24"/>
          <w:szCs w:val="24"/>
          <w:u w:val="single"/>
        </w:rPr>
        <w:t>（中型、小型、微型）</w:t>
      </w:r>
      <w:r>
        <w:rPr>
          <w:rFonts w:hint="eastAsia" w:ascii="宋体" w:hAnsi="宋体" w:cs="宋体"/>
          <w:color w:val="000000"/>
          <w:kern w:val="0"/>
          <w:sz w:val="24"/>
          <w:szCs w:val="24"/>
        </w:rPr>
        <w:t>企业</w:t>
      </w:r>
      <w:r>
        <w:rPr>
          <w:rFonts w:hint="eastAsia" w:ascii="宋体" w:hAnsi="宋体" w:cs="宋体"/>
          <w:color w:val="000000"/>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32" w:lineRule="auto"/>
        <w:ind w:firstLine="480" w:firstLineChars="200"/>
        <w:jc w:val="left"/>
        <w:textAlignment w:val="auto"/>
        <w:rPr>
          <w:rFonts w:hint="default" w:ascii="宋体" w:hAnsi="宋体" w:eastAsia="宋体" w:cs="宋体"/>
          <w:b/>
          <w:bCs/>
          <w:color w:val="000000"/>
          <w:kern w:val="0"/>
          <w:sz w:val="24"/>
          <w:szCs w:val="24"/>
          <w:lang w:val="en-US" w:eastAsia="zh-CN"/>
        </w:rPr>
      </w:pPr>
      <w:r>
        <w:rPr>
          <w:rFonts w:hint="eastAsia" w:ascii="宋体" w:hAnsi="宋体" w:cs="宋体"/>
          <w:color w:val="00000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32"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beforeAutospacing="0" w:afterAutospacing="0" w:line="432"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本单位对上述声明的真实性负责</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如有虚假，依法承担相应责任。</w:t>
      </w:r>
    </w:p>
    <w:p>
      <w:pPr>
        <w:keepNext w:val="0"/>
        <w:keepLines w:val="0"/>
        <w:pageBreakBefore w:val="0"/>
        <w:widowControl/>
        <w:kinsoku/>
        <w:wordWrap/>
        <w:overflowPunct/>
        <w:topLinePunct w:val="0"/>
        <w:autoSpaceDE/>
        <w:autoSpaceDN/>
        <w:bidi w:val="0"/>
        <w:adjustRightInd/>
        <w:snapToGrid/>
        <w:spacing w:beforeAutospacing="0" w:afterAutospacing="0" w:line="432"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beforeAutospacing="0" w:afterAutospacing="0" w:line="432"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投标单位名</w:t>
      </w:r>
      <w:r>
        <w:rPr>
          <w:rFonts w:hint="eastAsia" w:ascii="宋体" w:hAnsi="宋体" w:cs="宋体"/>
          <w:color w:val="auto"/>
          <w:kern w:val="0"/>
          <w:sz w:val="24"/>
          <w:szCs w:val="24"/>
        </w:rPr>
        <w:t>称</w:t>
      </w:r>
      <w:r>
        <w:rPr>
          <w:rFonts w:hint="eastAsia" w:ascii="宋体" w:hAnsi="宋体"/>
          <w:b/>
          <w:color w:val="auto"/>
          <w:sz w:val="24"/>
          <w:szCs w:val="24"/>
        </w:rPr>
        <w:t>（盖章）</w:t>
      </w:r>
      <w:r>
        <w:rPr>
          <w:rFonts w:hint="eastAsia" w:ascii="宋体" w:hAnsi="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32"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日  期：</w:t>
      </w:r>
    </w:p>
    <w:p>
      <w:pPr>
        <w:pStyle w:val="3"/>
        <w:spacing w:line="520" w:lineRule="exact"/>
        <w:ind w:firstLine="0"/>
        <w:rPr>
          <w:rFonts w:hint="eastAsia"/>
        </w:rPr>
      </w:pPr>
    </w:p>
    <w:p>
      <w:pPr>
        <w:pStyle w:val="3"/>
        <w:keepNext w:val="0"/>
        <w:keepLines w:val="0"/>
        <w:pageBreakBefore w:val="0"/>
        <w:kinsoku/>
        <w:wordWrap/>
        <w:overflowPunct/>
        <w:topLinePunct w:val="0"/>
        <w:autoSpaceDE/>
        <w:autoSpaceDN/>
        <w:bidi w:val="0"/>
        <w:adjustRightInd/>
        <w:snapToGrid/>
        <w:spacing w:line="320" w:lineRule="exact"/>
        <w:ind w:firstLine="0"/>
        <w:textAlignment w:val="auto"/>
        <w:rPr>
          <w:rFonts w:hint="eastAsia" w:ascii="宋体" w:hAnsi="宋体" w:eastAsia="宋体" w:cs="宋体"/>
          <w:sz w:val="21"/>
          <w:szCs w:val="21"/>
        </w:rPr>
      </w:pPr>
      <w:r>
        <w:rPr>
          <w:rFonts w:hint="eastAsia"/>
        </w:rPr>
        <w:br w:type="page"/>
      </w:r>
      <w:r>
        <w:rPr>
          <w:rFonts w:hint="eastAsia" w:ascii="宋体" w:hAnsi="宋体" w:eastAsia="宋体" w:cs="宋体"/>
          <w:sz w:val="21"/>
          <w:szCs w:val="21"/>
          <w:lang w:eastAsia="zh-CN"/>
        </w:rPr>
        <w:t>填写说明</w:t>
      </w:r>
      <w:r>
        <w:rPr>
          <w:rFonts w:hint="eastAsia" w:ascii="宋体" w:hAnsi="宋体" w:eastAsia="宋体" w:cs="宋体"/>
          <w:sz w:val="21"/>
          <w:szCs w:val="21"/>
        </w:rPr>
        <w:t>：</w:t>
      </w:r>
    </w:p>
    <w:p>
      <w:pPr>
        <w:pStyle w:val="3"/>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eastAsia="zh-CN"/>
        </w:rPr>
        <w:t>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pStyle w:val="3"/>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b/>
          <w:bCs/>
          <w:color w:val="000000"/>
          <w:kern w:val="0"/>
          <w:sz w:val="21"/>
          <w:szCs w:val="21"/>
          <w:lang w:eastAsia="zh-CN"/>
        </w:rPr>
        <w:t>项目专门面向中小企业采购的，投标人必须按要求提供本表，且投标货物和服务必须</w:t>
      </w:r>
      <w:r>
        <w:rPr>
          <w:rFonts w:hint="eastAsia" w:ascii="宋体" w:hAnsi="宋体" w:eastAsia="宋体" w:cs="宋体"/>
          <w:b/>
          <w:bCs/>
          <w:color w:val="FF0000"/>
          <w:kern w:val="0"/>
          <w:sz w:val="21"/>
          <w:szCs w:val="21"/>
          <w:lang w:eastAsia="zh-CN"/>
        </w:rPr>
        <w:t>全部</w:t>
      </w:r>
      <w:r>
        <w:rPr>
          <w:rFonts w:hint="eastAsia" w:ascii="宋体" w:hAnsi="宋体" w:eastAsia="宋体" w:cs="宋体"/>
          <w:b/>
          <w:bCs/>
          <w:color w:val="000000"/>
          <w:kern w:val="0"/>
          <w:sz w:val="21"/>
          <w:szCs w:val="21"/>
          <w:lang w:eastAsia="zh-CN"/>
        </w:rPr>
        <w:t>由中小企业制造或者承接。如有虚假，将对投标人按</w:t>
      </w:r>
      <w:r>
        <w:rPr>
          <w:rFonts w:hint="eastAsia" w:ascii="宋体" w:hAnsi="宋体" w:eastAsia="宋体" w:cs="宋体"/>
          <w:b/>
          <w:bCs/>
          <w:color w:val="000000"/>
          <w:kern w:val="0"/>
          <w:sz w:val="21"/>
          <w:szCs w:val="21"/>
          <w:lang w:val="en-US" w:eastAsia="zh-CN"/>
        </w:rPr>
        <w:t>虚假材料谋取中标论处。</w:t>
      </w:r>
    </w:p>
    <w:p>
      <w:pPr>
        <w:pStyle w:val="3"/>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r>
        <w:rPr>
          <w:rFonts w:hint="eastAsia" w:ascii="宋体" w:hAnsi="宋体" w:eastAsia="宋体" w:cs="宋体"/>
          <w:b/>
          <w:bCs/>
          <w:color w:val="000000"/>
          <w:kern w:val="0"/>
          <w:sz w:val="21"/>
          <w:szCs w:val="21"/>
          <w:lang w:val="en-US" w:eastAsia="zh-CN"/>
        </w:rPr>
        <w:t>项目不是</w:t>
      </w:r>
      <w:r>
        <w:rPr>
          <w:rFonts w:hint="eastAsia" w:ascii="宋体" w:hAnsi="宋体" w:eastAsia="宋体" w:cs="宋体"/>
          <w:b/>
          <w:bCs/>
          <w:color w:val="000000"/>
          <w:kern w:val="0"/>
          <w:sz w:val="21"/>
          <w:szCs w:val="21"/>
          <w:lang w:eastAsia="zh-CN"/>
        </w:rPr>
        <w:t>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w:t>
      </w:r>
      <w:r>
        <w:rPr>
          <w:rFonts w:hint="eastAsia" w:ascii="宋体" w:hAnsi="宋体" w:eastAsia="宋体" w:cs="宋体"/>
          <w:b/>
          <w:bCs/>
          <w:color w:val="FF0000"/>
          <w:kern w:val="0"/>
          <w:sz w:val="21"/>
          <w:szCs w:val="21"/>
          <w:lang w:eastAsia="zh-CN"/>
        </w:rPr>
        <w:t>对相关制造商信息了解不充分，或者不能确定相关信息真实、准确的，不建议出具《中小企业声明函》。</w:t>
      </w:r>
    </w:p>
    <w:p>
      <w:pPr>
        <w:pStyle w:val="3"/>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依据工业和信息化部、国家统计局、国家发展和改革委员会、财政部《关于印发中小企业划型标准规定的通知》（工信部联企业[2011]300号）规定，具体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各行业企业划型标准：</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bCs/>
          <w:color w:val="000000"/>
          <w:kern w:val="0"/>
          <w:sz w:val="21"/>
          <w:szCs w:val="21"/>
          <w:lang w:eastAsia="zh-CN"/>
        </w:rPr>
        <w:t>中型企业标准上限即为大型企业标准下限。</w:t>
      </w:r>
      <w:r>
        <w:rPr>
          <w:rFonts w:hint="eastAsia" w:ascii="宋体" w:hAnsi="宋体" w:eastAsia="宋体" w:cs="宋体"/>
          <w:b/>
          <w:bCs/>
          <w:sz w:val="21"/>
          <w:szCs w:val="21"/>
          <w:lang w:eastAsia="zh-CN"/>
        </w:rPr>
        <w:t>无上年度数据的</w:t>
      </w:r>
      <w:r>
        <w:rPr>
          <w:rFonts w:hint="eastAsia" w:ascii="宋体" w:hAnsi="宋体" w:eastAsia="宋体" w:cs="宋体"/>
          <w:b/>
          <w:bCs/>
          <w:sz w:val="21"/>
          <w:szCs w:val="21"/>
        </w:rPr>
        <w:t>新成立企业暂以当前实际数据填报。</w:t>
      </w:r>
      <w:r>
        <w:rPr>
          <w:rStyle w:val="28"/>
          <w:rFonts w:hint="eastAsia" w:ascii="宋体" w:hAnsi="宋体" w:eastAsia="宋体" w:cs="宋体"/>
          <w:sz w:val="21"/>
          <w:szCs w:val="21"/>
        </w:rPr>
        <w:t>从业人数包括与企业</w:t>
      </w:r>
      <w:r>
        <w:rPr>
          <w:rStyle w:val="28"/>
          <w:rFonts w:hint="eastAsia" w:ascii="宋体" w:hAnsi="宋体" w:eastAsia="宋体" w:cs="宋体"/>
          <w:sz w:val="21"/>
          <w:szCs w:val="21"/>
          <w:lang w:eastAsia="zh-CN"/>
        </w:rPr>
        <w:t>订立</w:t>
      </w:r>
      <w:r>
        <w:rPr>
          <w:rStyle w:val="28"/>
          <w:rFonts w:hint="eastAsia" w:ascii="宋体" w:hAnsi="宋体" w:eastAsia="宋体" w:cs="宋体"/>
          <w:sz w:val="21"/>
          <w:szCs w:val="21"/>
        </w:rPr>
        <w:t>劳动</w:t>
      </w:r>
      <w:r>
        <w:rPr>
          <w:rStyle w:val="28"/>
          <w:rFonts w:hint="eastAsia" w:ascii="宋体" w:hAnsi="宋体" w:eastAsia="宋体" w:cs="宋体"/>
          <w:sz w:val="21"/>
          <w:szCs w:val="21"/>
          <w:lang w:eastAsia="zh-CN"/>
        </w:rPr>
        <w:t>合同</w:t>
      </w:r>
      <w:r>
        <w:rPr>
          <w:rStyle w:val="28"/>
          <w:rFonts w:hint="eastAsia" w:ascii="宋体" w:hAnsi="宋体" w:eastAsia="宋体" w:cs="宋体"/>
          <w:sz w:val="21"/>
          <w:szCs w:val="21"/>
        </w:rPr>
        <w:t>的职工人数和企业接受的劳务派遣用工人数。</w:t>
      </w:r>
      <w:r>
        <w:rPr>
          <w:rFonts w:hint="eastAsia" w:ascii="宋体" w:hAnsi="宋体" w:eastAsia="宋体" w:cs="宋体"/>
          <w:b/>
          <w:sz w:val="21"/>
          <w:szCs w:val="21"/>
        </w:rPr>
        <w:t>以分公司投标的，须填写法人公司的企业划型。</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联合体投标的，由联合体</w:t>
      </w:r>
      <w:r>
        <w:rPr>
          <w:rFonts w:hint="eastAsia" w:ascii="宋体" w:hAnsi="宋体" w:eastAsia="宋体" w:cs="宋体"/>
          <w:sz w:val="21"/>
          <w:szCs w:val="21"/>
          <w:lang w:eastAsia="zh-CN"/>
        </w:rPr>
        <w:t>牵头方</w:t>
      </w:r>
      <w:r>
        <w:rPr>
          <w:rFonts w:hint="eastAsia" w:ascii="宋体" w:hAnsi="宋体" w:eastAsia="宋体" w:cs="宋体"/>
          <w:sz w:val="21"/>
          <w:szCs w:val="21"/>
        </w:rPr>
        <w:t>提供本表。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pStyle w:val="3"/>
        <w:numPr>
          <w:ilvl w:val="0"/>
          <w:numId w:val="0"/>
        </w:numPr>
        <w:spacing w:line="520" w:lineRule="exact"/>
        <w:rPr>
          <w:rFonts w:hint="eastAsia" w:ascii="宋体" w:hAnsi="宋体"/>
          <w:szCs w:val="21"/>
        </w:rPr>
      </w:pPr>
    </w:p>
    <w:p>
      <w:pPr>
        <w:pStyle w:val="3"/>
        <w:spacing w:line="520" w:lineRule="exact"/>
        <w:ind w:firstLine="0"/>
        <w:rPr>
          <w:rFonts w:hint="eastAsia"/>
        </w:rPr>
      </w:pPr>
    </w:p>
    <w:p>
      <w:pPr>
        <w:rPr>
          <w:rFonts w:hint="eastAsia" w:ascii="ˎ̥" w:hAnsi="ˎ̥"/>
          <w:i/>
          <w:szCs w:val="21"/>
        </w:rPr>
      </w:pPr>
    </w:p>
    <w:p>
      <w:pPr>
        <w:spacing w:line="588" w:lineRule="exact"/>
        <w:jc w:val="center"/>
        <w:rPr>
          <w:rFonts w:ascii="仿宋_GB2312" w:eastAsia="仿宋_GB2312"/>
          <w:b/>
          <w:spacing w:val="6"/>
          <w:sz w:val="32"/>
          <w:szCs w:val="32"/>
        </w:rPr>
      </w:pPr>
      <w:r>
        <w:rPr>
          <w:rFonts w:ascii="仿宋_GB2312" w:eastAsia="仿宋_GB2312"/>
          <w:sz w:val="32"/>
        </w:rPr>
        <w:br w:type="page"/>
      </w:r>
      <w:bookmarkStart w:id="22" w:name="OLE_LINK14"/>
      <w:bookmarkStart w:id="23" w:name="OLE_LINK13"/>
      <w:r>
        <w:rPr>
          <w:rFonts w:hint="eastAsia" w:ascii="仿宋_GB2312" w:eastAsia="仿宋_GB2312"/>
          <w:sz w:val="32"/>
          <w:lang w:val="en-US" w:eastAsia="zh-CN"/>
        </w:rPr>
        <w:t>6</w:t>
      </w:r>
      <w:r>
        <w:rPr>
          <w:rFonts w:hint="eastAsia" w:ascii="仿宋_GB2312" w:eastAsia="仿宋_GB2312"/>
          <w:sz w:val="32"/>
        </w:rPr>
        <w:t>、</w:t>
      </w:r>
      <w:r>
        <w:rPr>
          <w:rFonts w:hint="eastAsia" w:ascii="仿宋_GB2312" w:eastAsia="仿宋_GB2312"/>
          <w:b/>
          <w:spacing w:val="6"/>
          <w:sz w:val="32"/>
          <w:szCs w:val="32"/>
        </w:rPr>
        <w:t>残疾人福利性单位声明函</w:t>
      </w:r>
    </w:p>
    <w:bookmarkEnd w:id="22"/>
    <w:bookmarkEnd w:id="23"/>
    <w:p>
      <w:pPr>
        <w:spacing w:line="588" w:lineRule="exact"/>
        <w:rPr>
          <w:rFonts w:ascii="仿宋_GB2312" w:eastAsia="仿宋_GB2312"/>
          <w:b/>
          <w:spacing w:val="6"/>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504" w:firstLineChars="200"/>
        <w:jc w:val="left"/>
        <w:textAlignment w:val="auto"/>
        <w:rPr>
          <w:rFonts w:hint="eastAsia"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z w:val="24"/>
          <w:szCs w:val="24"/>
        </w:rPr>
        <w:t>“</w:t>
      </w:r>
      <w:r>
        <w:rPr>
          <w:rFonts w:hint="eastAsia" w:ascii="宋体" w:hAnsi="宋体" w:cs="宋体"/>
          <w:sz w:val="24"/>
          <w:szCs w:val="24"/>
          <w:u w:val="single"/>
        </w:rPr>
        <w:t>XXXX</w:t>
      </w:r>
      <w:r>
        <w:rPr>
          <w:rFonts w:hint="eastAsia" w:ascii="宋体" w:hAnsi="宋体" w:cs="宋体"/>
          <w:sz w:val="24"/>
          <w:szCs w:val="24"/>
        </w:rPr>
        <w:t>项目（采购编号：</w:t>
      </w:r>
      <w:r>
        <w:rPr>
          <w:rFonts w:hint="eastAsia" w:ascii="宋体" w:hAnsi="宋体" w:cs="宋体"/>
          <w:sz w:val="24"/>
          <w:szCs w:val="24"/>
          <w:u w:val="single"/>
        </w:rPr>
        <w:t>XXXX</w:t>
      </w:r>
      <w:r>
        <w:rPr>
          <w:rFonts w:hint="eastAsia" w:ascii="宋体" w:hAnsi="宋体" w:cs="宋体"/>
          <w:sz w:val="24"/>
          <w:szCs w:val="24"/>
        </w:rPr>
        <w:t>）”</w:t>
      </w:r>
      <w:r>
        <w:rPr>
          <w:rFonts w:hint="eastAsia" w:ascii="宋体" w:hAnsi="宋体" w:cs="宋体"/>
          <w:spacing w:val="6"/>
          <w:sz w:val="24"/>
          <w:szCs w:val="24"/>
        </w:rPr>
        <w:t>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600" w:lineRule="exact"/>
        <w:ind w:firstLine="504" w:firstLineChars="200"/>
        <w:jc w:val="left"/>
        <w:textAlignment w:val="auto"/>
        <w:rPr>
          <w:rFonts w:hint="eastAsia"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hint="eastAsia" w:ascii="宋体" w:hAnsi="宋体" w:cs="宋体"/>
          <w:spacing w:val="6"/>
          <w:sz w:val="24"/>
          <w:szCs w:val="24"/>
        </w:rPr>
      </w:pPr>
    </w:p>
    <w:p>
      <w:pPr>
        <w:spacing w:line="588" w:lineRule="exact"/>
        <w:ind w:firstLine="504" w:firstLineChars="200"/>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投标单位名</w:t>
      </w:r>
      <w:r>
        <w:rPr>
          <w:rFonts w:hint="eastAsia" w:ascii="宋体" w:hAnsi="宋体" w:cs="宋体"/>
          <w:color w:val="auto"/>
          <w:spacing w:val="6"/>
          <w:sz w:val="24"/>
          <w:szCs w:val="24"/>
        </w:rPr>
        <w:t>称</w:t>
      </w:r>
      <w:r>
        <w:rPr>
          <w:rFonts w:hint="eastAsia" w:ascii="宋体" w:hAnsi="宋体"/>
          <w:b/>
          <w:color w:val="auto"/>
          <w:sz w:val="24"/>
          <w:szCs w:val="24"/>
        </w:rPr>
        <w:t>（盖章）</w:t>
      </w:r>
      <w:r>
        <w:rPr>
          <w:rFonts w:hint="eastAsia" w:ascii="宋体" w:hAnsi="宋体" w:cs="宋体"/>
          <w:color w:val="auto"/>
          <w:spacing w:val="6"/>
          <w:sz w:val="24"/>
          <w:szCs w:val="24"/>
        </w:rPr>
        <w:t>：</w:t>
      </w: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日  期：</w:t>
      </w:r>
    </w:p>
    <w:p>
      <w:pPr>
        <w:tabs>
          <w:tab w:val="left" w:pos="4860"/>
        </w:tabs>
        <w:spacing w:line="588" w:lineRule="exact"/>
        <w:ind w:right="1560"/>
        <w:jc w:val="left"/>
        <w:rPr>
          <w:rFonts w:hint="eastAsia" w:ascii="宋体" w:hAnsi="宋体" w:cs="宋体"/>
          <w:spacing w:val="6"/>
          <w:sz w:val="24"/>
          <w:szCs w:val="24"/>
        </w:rPr>
      </w:pPr>
      <w:r>
        <w:rPr>
          <w:rFonts w:hint="eastAsia" w:ascii="宋体" w:hAnsi="宋体" w:cs="宋体"/>
          <w:spacing w:val="6"/>
          <w:sz w:val="24"/>
          <w:szCs w:val="24"/>
        </w:rPr>
        <w:br w:type="page"/>
      </w:r>
      <w:r>
        <w:rPr>
          <w:rFonts w:hint="eastAsia" w:ascii="宋体" w:hAnsi="宋体" w:cs="宋体"/>
          <w:spacing w:val="6"/>
          <w:sz w:val="24"/>
          <w:szCs w:val="24"/>
        </w:rPr>
        <w:t>填写说明：</w:t>
      </w:r>
    </w:p>
    <w:p>
      <w:pPr>
        <w:keepNext w:val="0"/>
        <w:keepLines w:val="0"/>
        <w:pageBreakBefore w:val="0"/>
        <w:widowControl w:val="0"/>
        <w:numPr>
          <w:ilvl w:val="0"/>
          <w:numId w:val="0"/>
        </w:numPr>
        <w:tabs>
          <w:tab w:val="left" w:pos="4860"/>
        </w:tabs>
        <w:kinsoku/>
        <w:wordWrap/>
        <w:overflowPunct/>
        <w:topLinePunct w:val="0"/>
        <w:autoSpaceDE/>
        <w:autoSpaceDN/>
        <w:bidi w:val="0"/>
        <w:adjustRightInd/>
        <w:snapToGrid/>
        <w:spacing w:beforeAutospacing="0" w:afterAutospacing="0" w:line="460" w:lineRule="exact"/>
        <w:ind w:right="0" w:rightChars="0" w:firstLine="504" w:firstLineChars="200"/>
        <w:jc w:val="left"/>
        <w:textAlignment w:val="auto"/>
        <w:rPr>
          <w:rFonts w:hint="eastAsia" w:ascii="宋体" w:hAnsi="宋体" w:cs="宋体"/>
          <w:sz w:val="24"/>
          <w:szCs w:val="24"/>
        </w:rPr>
      </w:pPr>
      <w:r>
        <w:rPr>
          <w:rFonts w:hint="eastAsia" w:ascii="宋体" w:hAnsi="宋体" w:cs="宋体"/>
          <w:spacing w:val="6"/>
          <w:sz w:val="24"/>
          <w:szCs w:val="24"/>
          <w:lang w:val="en-US" w:eastAsia="zh-CN"/>
        </w:rPr>
        <w:t>1、</w:t>
      </w:r>
      <w:r>
        <w:rPr>
          <w:rFonts w:hint="eastAsia" w:ascii="宋体" w:hAnsi="宋体" w:cs="宋体"/>
          <w:spacing w:val="6"/>
          <w:sz w:val="24"/>
          <w:szCs w:val="24"/>
        </w:rPr>
        <w:t>本声明是残疾人福利性单位的提供，其他单位无需提供。</w:t>
      </w:r>
    </w:p>
    <w:p>
      <w:pPr>
        <w:keepNext w:val="0"/>
        <w:keepLines w:val="0"/>
        <w:pageBreakBefore w:val="0"/>
        <w:widowControl w:val="0"/>
        <w:numPr>
          <w:ilvl w:val="0"/>
          <w:numId w:val="0"/>
        </w:numPr>
        <w:tabs>
          <w:tab w:val="left" w:pos="4860"/>
        </w:tabs>
        <w:kinsoku/>
        <w:wordWrap/>
        <w:overflowPunct/>
        <w:topLinePunct w:val="0"/>
        <w:autoSpaceDE/>
        <w:autoSpaceDN/>
        <w:bidi w:val="0"/>
        <w:adjustRightInd/>
        <w:snapToGrid/>
        <w:spacing w:beforeAutospacing="0" w:afterAutospacing="0" w:line="460" w:lineRule="exact"/>
        <w:ind w:right="0" w:rightChars="0" w:firstLine="480" w:firstLineChars="200"/>
        <w:jc w:val="left"/>
        <w:textAlignment w:val="auto"/>
        <w:rPr>
          <w:rFonts w:hint="eastAsia" w:ascii="宋体" w:hAnsi="宋体" w:cs="宋体"/>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享受政府采购支持政策的残疾人福利性单位应当同时满足以下条件：</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（1）安置的残疾人占本单位在职职工人数的比例不低于25%（含25%），并且安置的残疾人人数不少于10人（含10人）；</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（2）依法与安置的每位残疾人签订了一年以上（含一年）的劳动合同或服务协议；</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（3）为安置的每位残疾人按月足额缴纳了基本养老保险、基本医疗保险、失业保险、工伤保险和生育保险等社会保险费；</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（4）通过银行等金融机构向安置的每位残疾人，按月支付了不低于单位所在区县适用的经省级人民政府批准的月最低工资标准的工资；</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（5）提供本单位制造的货物、承担的工程或者服务（以下简称产品），或者提供其他残疾人福利性单位制造的货物（不包括使用非残疾人福利性单位注册商标的货物）。</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pacing w:line="450" w:lineRule="atLeast"/>
        <w:jc w:val="both"/>
        <w:rPr>
          <w:rFonts w:hint="eastAsia"/>
          <w:sz w:val="21"/>
          <w:szCs w:val="21"/>
        </w:rPr>
      </w:pPr>
    </w:p>
    <w:p>
      <w:pPr>
        <w:pStyle w:val="21"/>
        <w:spacing w:line="450" w:lineRule="atLeast"/>
        <w:jc w:val="both"/>
        <w:rPr>
          <w:rFonts w:hint="eastAsia"/>
          <w:sz w:val="21"/>
          <w:szCs w:val="21"/>
        </w:rPr>
      </w:pPr>
    </w:p>
    <w:p>
      <w:pPr>
        <w:tabs>
          <w:tab w:val="left" w:pos="4860"/>
        </w:tabs>
        <w:spacing w:line="588" w:lineRule="exact"/>
        <w:ind w:right="1560"/>
        <w:jc w:val="left"/>
        <w:rPr>
          <w:rFonts w:hint="eastAsia" w:ascii="宋体" w:hAnsi="宋体" w:cs="宋体"/>
          <w:spacing w:val="6"/>
          <w:sz w:val="24"/>
          <w:szCs w:val="24"/>
        </w:rPr>
      </w:pPr>
    </w:p>
    <w:p>
      <w:pPr>
        <w:tabs>
          <w:tab w:val="left" w:pos="4860"/>
        </w:tabs>
        <w:spacing w:line="588" w:lineRule="exact"/>
        <w:ind w:right="1560" w:firstLine="504" w:firstLineChars="200"/>
        <w:jc w:val="left"/>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spacing w:line="500" w:lineRule="exact"/>
        <w:jc w:val="center"/>
        <w:rPr>
          <w:rFonts w:hint="eastAsia" w:ascii="仿宋_GB2312" w:eastAsia="仿宋_GB2312"/>
          <w:b/>
          <w:sz w:val="32"/>
          <w:szCs w:val="32"/>
        </w:rPr>
      </w:pPr>
      <w:r>
        <w:rPr>
          <w:rFonts w:ascii="仿宋_GB2312" w:eastAsia="仿宋_GB2312"/>
          <w:sz w:val="32"/>
        </w:rPr>
        <w:br w:type="page"/>
      </w:r>
      <w:r>
        <w:rPr>
          <w:rFonts w:hint="eastAsia" w:ascii="仿宋_GB2312" w:eastAsia="仿宋_GB2312"/>
          <w:sz w:val="32"/>
          <w:lang w:val="en-US" w:eastAsia="zh-CN"/>
        </w:rPr>
        <w:t>7</w:t>
      </w:r>
      <w:r>
        <w:rPr>
          <w:rFonts w:hint="eastAsia" w:ascii="仿宋_GB2312" w:eastAsia="仿宋_GB2312"/>
          <w:b/>
          <w:sz w:val="32"/>
          <w:szCs w:val="32"/>
        </w:rPr>
        <w:t>、其他资格证明资料</w:t>
      </w:r>
    </w:p>
    <w:p>
      <w:pPr>
        <w:spacing w:line="400" w:lineRule="exact"/>
        <w:jc w:val="center"/>
        <w:rPr>
          <w:rFonts w:hint="eastAsia" w:eastAsia="仿宋_GB2312"/>
          <w:b/>
          <w:bCs/>
          <w:sz w:val="32"/>
          <w:szCs w:val="32"/>
          <w:lang w:val="zh-CN"/>
        </w:rPr>
      </w:pPr>
      <w:r>
        <w:rPr>
          <w:rFonts w:hint="eastAsia" w:ascii="仿宋_GB2312" w:eastAsia="仿宋_GB2312"/>
          <w:b/>
          <w:i/>
          <w:iCs/>
          <w:sz w:val="32"/>
          <w:szCs w:val="32"/>
        </w:rPr>
        <w:t>投标人可结合招标文件及自身情况提供其他认为必要的资料。</w:t>
      </w:r>
      <w:r>
        <w:rPr>
          <w:rFonts w:hint="eastAsia" w:ascii="仿宋_GB2312" w:eastAsia="仿宋_GB2312"/>
          <w:b/>
          <w:i/>
          <w:iCs/>
          <w:sz w:val="32"/>
          <w:szCs w:val="32"/>
        </w:rPr>
        <w:br w:type="page"/>
      </w:r>
      <w:r>
        <w:rPr>
          <w:rFonts w:hint="eastAsia" w:ascii="宋体" w:hAnsi="宋体" w:eastAsia="宋体" w:cs="Times New Roman"/>
          <w:b/>
          <w:sz w:val="36"/>
        </w:rPr>
        <w:t>第七部分 其他文件格式</w:t>
      </w:r>
    </w:p>
    <w:p>
      <w:pPr>
        <w:spacing w:line="500" w:lineRule="exact"/>
        <w:jc w:val="center"/>
        <w:rPr>
          <w:rFonts w:hint="eastAsia" w:ascii="仿宋_GB2312" w:eastAsia="仿宋_GB2312"/>
          <w:b/>
          <w:sz w:val="32"/>
          <w:szCs w:val="32"/>
        </w:rPr>
      </w:pPr>
      <w:r>
        <w:rPr>
          <w:rFonts w:hint="eastAsia" w:ascii="仿宋_GB2312" w:eastAsia="仿宋_GB2312"/>
          <w:b/>
          <w:sz w:val="32"/>
          <w:szCs w:val="32"/>
        </w:rPr>
        <w:t>履约保证金保函</w:t>
      </w:r>
    </w:p>
    <w:p>
      <w:pPr>
        <w:spacing w:line="500" w:lineRule="exact"/>
        <w:jc w:val="center"/>
        <w:rPr>
          <w:rFonts w:hint="eastAsia" w:eastAsia="楷体_GB2312"/>
          <w:b/>
        </w:rPr>
      </w:pPr>
      <w:r>
        <w:rPr>
          <w:rFonts w:hint="eastAsia" w:eastAsia="楷体_GB2312"/>
          <w:b/>
        </w:rPr>
        <w:t>（若采用保函的，在中标后开具提交采购人）</w:t>
      </w:r>
    </w:p>
    <w:p>
      <w:pPr>
        <w:spacing w:line="500" w:lineRule="exact"/>
        <w:rPr>
          <w:rFonts w:hint="eastAsia"/>
        </w:rPr>
      </w:pPr>
    </w:p>
    <w:p>
      <w:pPr>
        <w:spacing w:line="500" w:lineRule="exact"/>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宁波市政府采购中心</w:t>
      </w:r>
    </w:p>
    <w:p>
      <w:pPr>
        <w:spacing w:line="500" w:lineRule="exact"/>
        <w:ind w:firstLine="630"/>
        <w:rPr>
          <w:rFonts w:hint="eastAsia" w:ascii="宋体" w:hAnsi="宋体"/>
          <w:sz w:val="24"/>
          <w:szCs w:val="24"/>
        </w:rPr>
      </w:pPr>
      <w:r>
        <w:rPr>
          <w:rFonts w:hint="eastAsia" w:ascii="宋体" w:hAnsi="宋体"/>
          <w:sz w:val="24"/>
          <w:szCs w:val="24"/>
        </w:rPr>
        <w:t>本保函是我行（</w:t>
      </w:r>
      <w:r>
        <w:rPr>
          <w:rFonts w:hint="eastAsia" w:ascii="宋体" w:hAnsi="宋体"/>
          <w:sz w:val="24"/>
          <w:szCs w:val="24"/>
          <w:u w:val="single"/>
        </w:rPr>
        <w:t xml:space="preserve">                                         </w:t>
      </w:r>
      <w:r>
        <w:rPr>
          <w:rFonts w:hint="eastAsia" w:ascii="宋体" w:hAnsi="宋体"/>
          <w:sz w:val="24"/>
          <w:szCs w:val="24"/>
        </w:rPr>
        <w:t>[银行全称]）为</w:t>
      </w:r>
    </w:p>
    <w:p>
      <w:pPr>
        <w:spacing w:line="500" w:lineRule="exact"/>
        <w:rPr>
          <w:rFonts w:hint="eastAsia"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（以下简称卖方）根据贵处组织的</w:t>
      </w:r>
    </w:p>
    <w:p>
      <w:pPr>
        <w:spacing w:line="5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项目（采购编号）招标结果，将与</w:t>
      </w:r>
    </w:p>
    <w:p>
      <w:pPr>
        <w:spacing w:line="5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（以下简称买方）签订的经济合同及执行合同提供的担保。保证金金额为（大写人民币）</w:t>
      </w:r>
      <w:r>
        <w:rPr>
          <w:rFonts w:hint="eastAsia" w:ascii="宋体" w:hAnsi="宋体"/>
          <w:sz w:val="24"/>
          <w:szCs w:val="24"/>
          <w:u w:val="single"/>
        </w:rPr>
        <w:t xml:space="preserve">                      </w:t>
      </w:r>
      <w:r>
        <w:rPr>
          <w:rFonts w:hint="eastAsia" w:ascii="宋体" w:hAnsi="宋体"/>
          <w:sz w:val="24"/>
          <w:szCs w:val="24"/>
        </w:rPr>
        <w:t>元。</w:t>
      </w:r>
    </w:p>
    <w:p>
      <w:pPr>
        <w:spacing w:line="500" w:lineRule="exact"/>
        <w:ind w:firstLine="630"/>
        <w:rPr>
          <w:rFonts w:hint="eastAsia" w:ascii="宋体" w:hAnsi="宋体"/>
          <w:sz w:val="24"/>
          <w:szCs w:val="24"/>
        </w:rPr>
      </w:pPr>
      <w:r>
        <w:rPr>
          <w:rFonts w:hint="eastAsia" w:ascii="宋体" w:hAnsi="宋体"/>
          <w:sz w:val="24"/>
          <w:szCs w:val="24"/>
        </w:rPr>
        <w:t>当我行在收到贵处说明卖方违约的书面通知后，在20天内按通知要求金额无条件地支付给买方。</w:t>
      </w:r>
    </w:p>
    <w:p>
      <w:pPr>
        <w:spacing w:line="500" w:lineRule="exact"/>
        <w:ind w:firstLine="630"/>
        <w:rPr>
          <w:rFonts w:hint="eastAsia" w:ascii="宋体" w:hAnsi="宋体"/>
          <w:sz w:val="24"/>
          <w:szCs w:val="24"/>
        </w:rPr>
      </w:pPr>
      <w:r>
        <w:rPr>
          <w:rFonts w:hint="eastAsia" w:ascii="宋体" w:hAnsi="宋体"/>
          <w:sz w:val="24"/>
          <w:szCs w:val="24"/>
        </w:rPr>
        <w:t>本保函的有效期为自开出之日起，至合同履约结束之日止。</w:t>
      </w: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r>
        <w:rPr>
          <w:rFonts w:hint="eastAsia" w:ascii="宋体" w:hAnsi="宋体"/>
          <w:sz w:val="24"/>
          <w:szCs w:val="24"/>
        </w:rPr>
        <w:t xml:space="preserve">银行全称： </w:t>
      </w:r>
    </w:p>
    <w:p>
      <w:pPr>
        <w:spacing w:line="500" w:lineRule="exact"/>
        <w:rPr>
          <w:rFonts w:hint="eastAsia" w:ascii="宋体" w:hAnsi="宋体"/>
          <w:sz w:val="24"/>
          <w:szCs w:val="24"/>
        </w:rPr>
      </w:pPr>
      <w:r>
        <w:rPr>
          <w:rFonts w:hint="eastAsia" w:ascii="宋体" w:hAnsi="宋体"/>
          <w:sz w:val="24"/>
          <w:szCs w:val="24"/>
        </w:rPr>
        <w:t xml:space="preserve">（盖章） </w:t>
      </w:r>
    </w:p>
    <w:p>
      <w:pPr>
        <w:spacing w:line="500" w:lineRule="exact"/>
        <w:rPr>
          <w:rFonts w:hint="eastAsia" w:ascii="宋体" w:hAnsi="宋体"/>
          <w:sz w:val="24"/>
          <w:szCs w:val="24"/>
        </w:rPr>
      </w:pPr>
    </w:p>
    <w:p>
      <w:pPr>
        <w:spacing w:line="500" w:lineRule="exact"/>
        <w:rPr>
          <w:rFonts w:hint="eastAsia" w:ascii="宋体" w:hAnsi="宋体"/>
          <w:sz w:val="24"/>
          <w:szCs w:val="24"/>
        </w:rPr>
      </w:pPr>
      <w:r>
        <w:rPr>
          <w:rFonts w:hint="eastAsia" w:ascii="宋体" w:hAnsi="宋体"/>
          <w:sz w:val="24"/>
          <w:szCs w:val="24"/>
        </w:rPr>
        <w:t xml:space="preserve">开具人（签字）： </w:t>
      </w:r>
    </w:p>
    <w:p>
      <w:pPr>
        <w:spacing w:line="500" w:lineRule="exact"/>
        <w:rPr>
          <w:rFonts w:hint="eastAsia" w:ascii="宋体" w:hAnsi="宋体"/>
          <w:sz w:val="24"/>
          <w:szCs w:val="24"/>
        </w:rPr>
      </w:pPr>
      <w:r>
        <w:rPr>
          <w:rFonts w:hint="eastAsia" w:ascii="宋体" w:hAnsi="宋体"/>
          <w:sz w:val="24"/>
          <w:szCs w:val="24"/>
        </w:rPr>
        <w:t xml:space="preserve">职务： </w:t>
      </w:r>
    </w:p>
    <w:p>
      <w:pPr>
        <w:spacing w:line="500" w:lineRule="exact"/>
        <w:rPr>
          <w:rFonts w:hint="eastAsia" w:ascii="宋体" w:hAnsi="宋体"/>
          <w:sz w:val="24"/>
          <w:szCs w:val="24"/>
        </w:rPr>
      </w:pPr>
      <w:r>
        <w:rPr>
          <w:rFonts w:hint="eastAsia" w:ascii="宋体" w:hAnsi="宋体"/>
          <w:sz w:val="24"/>
          <w:szCs w:val="24"/>
        </w:rPr>
        <w:t>日期：</w:t>
      </w:r>
    </w:p>
    <w:p>
      <w:pPr>
        <w:jc w:val="center"/>
        <w:rPr>
          <w:b/>
          <w:kern w:val="2"/>
          <w:sz w:val="32"/>
          <w:szCs w:val="32"/>
        </w:rPr>
      </w:pPr>
      <w:r>
        <w:br w:type="page"/>
      </w:r>
      <w:r>
        <w:rPr>
          <w:rFonts w:hint="eastAsia" w:ascii="仿宋_GB2312" w:hAnsi="Times New Roman" w:eastAsia="仿宋_GB2312" w:cs="Times New Roman"/>
          <w:b/>
          <w:sz w:val="32"/>
          <w:szCs w:val="32"/>
        </w:rPr>
        <w:t>政府采购履约情况反馈表</w:t>
      </w:r>
    </w:p>
    <w:p>
      <w:pPr>
        <w:spacing w:line="240" w:lineRule="atLeast"/>
        <w:rPr>
          <w:rFonts w:hint="eastAsia" w:ascii="宋体" w:hAnsi="宋体"/>
          <w:b/>
          <w:szCs w:val="21"/>
        </w:rPr>
      </w:pPr>
      <w:r>
        <w:rPr>
          <w:rFonts w:hint="eastAsia" w:ascii="宋体" w:hAnsi="宋体"/>
          <w:b/>
          <w:szCs w:val="21"/>
        </w:rPr>
        <w:t>采购人名称：                       联系人及电话：</w:t>
      </w:r>
    </w:p>
    <w:p>
      <w:pPr>
        <w:spacing w:line="60" w:lineRule="exact"/>
        <w:rPr>
          <w:rFonts w:hint="eastAsia" w:ascii="宋体" w:hAnsi="宋体"/>
          <w:b/>
          <w:szCs w:val="21"/>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0" w:hRule="atLeast"/>
          <w:jc w:val="center"/>
        </w:trPr>
        <w:tc>
          <w:tcPr>
            <w:tcW w:w="2282" w:type="dxa"/>
            <w:gridSpan w:val="3"/>
            <w:noWrap w:val="0"/>
            <w:vAlign w:val="center"/>
          </w:tcPr>
          <w:p>
            <w:pPr>
              <w:spacing w:line="240" w:lineRule="atLeast"/>
              <w:jc w:val="center"/>
              <w:rPr>
                <w:rFonts w:hint="eastAsia" w:ascii="宋体" w:hAnsi="宋体"/>
                <w:szCs w:val="21"/>
              </w:rPr>
            </w:pPr>
            <w:r>
              <w:rPr>
                <w:rFonts w:hint="eastAsia" w:ascii="宋体" w:hAnsi="宋体"/>
                <w:szCs w:val="21"/>
              </w:rPr>
              <w:t>采购项目名称</w:t>
            </w:r>
          </w:p>
        </w:tc>
        <w:tc>
          <w:tcPr>
            <w:tcW w:w="2520" w:type="dxa"/>
            <w:noWrap w:val="0"/>
            <w:vAlign w:val="center"/>
          </w:tcPr>
          <w:p>
            <w:pPr>
              <w:spacing w:line="240" w:lineRule="atLeast"/>
              <w:jc w:val="center"/>
              <w:rPr>
                <w:rFonts w:hint="eastAsia" w:ascii="宋体" w:hAnsi="宋体"/>
                <w:szCs w:val="21"/>
              </w:rPr>
            </w:pPr>
          </w:p>
        </w:tc>
        <w:tc>
          <w:tcPr>
            <w:tcW w:w="1980" w:type="dxa"/>
            <w:noWrap w:val="0"/>
            <w:vAlign w:val="center"/>
          </w:tcPr>
          <w:p>
            <w:pPr>
              <w:spacing w:line="240" w:lineRule="atLeast"/>
              <w:jc w:val="center"/>
              <w:rPr>
                <w:rFonts w:hint="eastAsia" w:ascii="宋体" w:hAnsi="宋体"/>
                <w:szCs w:val="21"/>
              </w:rPr>
            </w:pPr>
            <w:r>
              <w:rPr>
                <w:rFonts w:hint="eastAsia" w:ascii="宋体" w:hAnsi="宋体"/>
                <w:szCs w:val="21"/>
              </w:rPr>
              <w:t>项目编号</w:t>
            </w:r>
          </w:p>
        </w:tc>
        <w:tc>
          <w:tcPr>
            <w:tcW w:w="2135" w:type="dxa"/>
            <w:noWrap w:val="0"/>
            <w:vAlign w:val="center"/>
          </w:tcPr>
          <w:p>
            <w:pPr>
              <w:spacing w:line="240" w:lineRule="atLeast"/>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61" w:hRule="atLeast"/>
          <w:jc w:val="center"/>
        </w:trPr>
        <w:tc>
          <w:tcPr>
            <w:tcW w:w="2282" w:type="dxa"/>
            <w:gridSpan w:val="3"/>
            <w:noWrap w:val="0"/>
            <w:vAlign w:val="center"/>
          </w:tcPr>
          <w:p>
            <w:pPr>
              <w:spacing w:line="240" w:lineRule="atLeast"/>
              <w:jc w:val="center"/>
              <w:rPr>
                <w:rFonts w:hint="eastAsia" w:ascii="宋体" w:hAnsi="宋体"/>
                <w:szCs w:val="21"/>
              </w:rPr>
            </w:pPr>
            <w:r>
              <w:rPr>
                <w:rFonts w:hint="eastAsia" w:ascii="宋体" w:hAnsi="宋体"/>
                <w:szCs w:val="21"/>
              </w:rPr>
              <w:t>中标供应商名称</w:t>
            </w:r>
          </w:p>
        </w:tc>
        <w:tc>
          <w:tcPr>
            <w:tcW w:w="2520" w:type="dxa"/>
            <w:noWrap w:val="0"/>
            <w:vAlign w:val="center"/>
          </w:tcPr>
          <w:p>
            <w:pPr>
              <w:spacing w:line="240" w:lineRule="atLeast"/>
              <w:jc w:val="center"/>
              <w:rPr>
                <w:rFonts w:hint="eastAsia" w:ascii="宋体" w:hAnsi="宋体"/>
                <w:szCs w:val="21"/>
              </w:rPr>
            </w:pPr>
          </w:p>
        </w:tc>
        <w:tc>
          <w:tcPr>
            <w:tcW w:w="1980" w:type="dxa"/>
            <w:noWrap w:val="0"/>
            <w:vAlign w:val="center"/>
          </w:tcPr>
          <w:p>
            <w:pPr>
              <w:spacing w:line="240" w:lineRule="atLeast"/>
              <w:jc w:val="center"/>
              <w:rPr>
                <w:rFonts w:hint="eastAsia" w:ascii="宋体" w:hAnsi="宋体"/>
                <w:szCs w:val="21"/>
              </w:rPr>
            </w:pPr>
            <w:r>
              <w:rPr>
                <w:rFonts w:hint="eastAsia" w:ascii="宋体" w:hAnsi="宋体"/>
                <w:szCs w:val="21"/>
              </w:rPr>
              <w:t>供应商</w:t>
            </w:r>
          </w:p>
          <w:p>
            <w:pPr>
              <w:spacing w:line="240" w:lineRule="atLeast"/>
              <w:jc w:val="center"/>
              <w:rPr>
                <w:rFonts w:hint="eastAsia" w:ascii="宋体" w:hAnsi="宋体"/>
                <w:szCs w:val="21"/>
              </w:rPr>
            </w:pPr>
            <w:r>
              <w:rPr>
                <w:rFonts w:hint="eastAsia" w:ascii="宋体" w:hAnsi="宋体"/>
                <w:szCs w:val="21"/>
              </w:rPr>
              <w:t>联系人及电话</w:t>
            </w:r>
          </w:p>
        </w:tc>
        <w:tc>
          <w:tcPr>
            <w:tcW w:w="2135" w:type="dxa"/>
            <w:noWrap w:val="0"/>
            <w:vAlign w:val="center"/>
          </w:tcPr>
          <w:p>
            <w:pPr>
              <w:spacing w:line="240" w:lineRule="atLeast"/>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8" w:hRule="atLeast"/>
          <w:jc w:val="center"/>
        </w:trPr>
        <w:tc>
          <w:tcPr>
            <w:tcW w:w="2282" w:type="dxa"/>
            <w:gridSpan w:val="3"/>
            <w:noWrap w:val="0"/>
            <w:vAlign w:val="center"/>
          </w:tcPr>
          <w:p>
            <w:pPr>
              <w:spacing w:line="240" w:lineRule="atLeast"/>
              <w:jc w:val="center"/>
              <w:rPr>
                <w:rFonts w:hint="eastAsia" w:ascii="宋体" w:hAnsi="宋体"/>
                <w:szCs w:val="21"/>
              </w:rPr>
            </w:pPr>
            <w:r>
              <w:rPr>
                <w:rFonts w:hint="eastAsia" w:ascii="宋体" w:hAnsi="宋体"/>
                <w:szCs w:val="21"/>
              </w:rPr>
              <w:t>中标金额</w:t>
            </w:r>
          </w:p>
        </w:tc>
        <w:tc>
          <w:tcPr>
            <w:tcW w:w="2520" w:type="dxa"/>
            <w:noWrap w:val="0"/>
            <w:vAlign w:val="center"/>
          </w:tcPr>
          <w:p>
            <w:pPr>
              <w:spacing w:line="240" w:lineRule="atLeast"/>
              <w:jc w:val="center"/>
              <w:rPr>
                <w:rFonts w:hint="eastAsia" w:ascii="宋体" w:hAnsi="宋体"/>
                <w:szCs w:val="21"/>
              </w:rPr>
            </w:pPr>
          </w:p>
        </w:tc>
        <w:tc>
          <w:tcPr>
            <w:tcW w:w="1980" w:type="dxa"/>
            <w:noWrap w:val="0"/>
            <w:vAlign w:val="center"/>
          </w:tcPr>
          <w:p>
            <w:pPr>
              <w:spacing w:line="240" w:lineRule="atLeast"/>
              <w:jc w:val="center"/>
              <w:rPr>
                <w:rFonts w:hint="eastAsia" w:ascii="宋体" w:hAnsi="宋体"/>
                <w:szCs w:val="21"/>
              </w:rPr>
            </w:pPr>
            <w:r>
              <w:rPr>
                <w:rFonts w:hint="eastAsia" w:ascii="宋体" w:hAnsi="宋体"/>
                <w:szCs w:val="21"/>
              </w:rPr>
              <w:t>合同履约时间</w:t>
            </w:r>
          </w:p>
        </w:tc>
        <w:tc>
          <w:tcPr>
            <w:tcW w:w="2135" w:type="dxa"/>
            <w:noWrap w:val="0"/>
            <w:vAlign w:val="center"/>
          </w:tcPr>
          <w:p>
            <w:pPr>
              <w:spacing w:line="240" w:lineRule="atLeast"/>
              <w:rPr>
                <w:rFonts w:hint="eastAsia"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4" w:hRule="atLeast"/>
          <w:jc w:val="center"/>
        </w:trPr>
        <w:tc>
          <w:tcPr>
            <w:tcW w:w="842" w:type="dxa"/>
            <w:vMerge w:val="restart"/>
            <w:noWrap w:val="0"/>
            <w:vAlign w:val="center"/>
          </w:tcPr>
          <w:p>
            <w:pPr>
              <w:spacing w:line="240" w:lineRule="atLeast"/>
              <w:jc w:val="center"/>
              <w:rPr>
                <w:rFonts w:hint="eastAsia" w:ascii="宋体" w:hAnsi="宋体"/>
                <w:b/>
                <w:szCs w:val="21"/>
              </w:rPr>
            </w:pPr>
            <w:r>
              <w:rPr>
                <w:rFonts w:hint="eastAsia" w:ascii="宋体" w:hAnsi="宋体"/>
                <w:b/>
                <w:szCs w:val="21"/>
              </w:rPr>
              <w:t>履约情况评价</w:t>
            </w:r>
          </w:p>
        </w:tc>
        <w:tc>
          <w:tcPr>
            <w:tcW w:w="1440" w:type="dxa"/>
            <w:gridSpan w:val="2"/>
            <w:tcBorders>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总体评价</w:t>
            </w:r>
          </w:p>
        </w:tc>
        <w:tc>
          <w:tcPr>
            <w:tcW w:w="6635" w:type="dxa"/>
            <w:gridSpan w:val="3"/>
            <w:tcBorders>
              <w:left w:val="single" w:color="auto" w:sz="4" w:space="0"/>
            </w:tcBorders>
            <w:noWrap w:val="0"/>
            <w:vAlign w:val="center"/>
          </w:tcPr>
          <w:p>
            <w:pPr>
              <w:spacing w:line="240" w:lineRule="atLeast"/>
              <w:ind w:firstLine="105" w:firstLineChars="50"/>
              <w:jc w:val="center"/>
              <w:rPr>
                <w:rFonts w:hint="eastAsia"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restart"/>
            <w:tcBorders>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质量方面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价格方面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服务方面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时间方面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环境保护</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27"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其他</w:t>
            </w:r>
          </w:p>
        </w:tc>
        <w:tc>
          <w:tcPr>
            <w:tcW w:w="6635" w:type="dxa"/>
            <w:gridSpan w:val="3"/>
            <w:tcBorders>
              <w:left w:val="single" w:color="auto" w:sz="4" w:space="0"/>
            </w:tcBorders>
            <w:noWrap w:val="0"/>
            <w:vAlign w:val="center"/>
          </w:tcPr>
          <w:p>
            <w:pPr>
              <w:spacing w:before="156" w:beforeLines="50" w:after="156" w:afterLines="50" w:line="240" w:lineRule="atLeast"/>
              <w:rPr>
                <w:rFonts w:hint="eastAsia"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156" w:beforeLines="50" w:after="156" w:afterLines="50" w:line="240" w:lineRule="atLeast"/>
              <w:rPr>
                <w:rFonts w:hint="eastAsia"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616" w:hRule="atLeast"/>
          <w:jc w:val="center"/>
        </w:trPr>
        <w:tc>
          <w:tcPr>
            <w:tcW w:w="1562" w:type="dxa"/>
            <w:gridSpan w:val="2"/>
            <w:noWrap w:val="0"/>
            <w:vAlign w:val="center"/>
          </w:tcPr>
          <w:p>
            <w:pPr>
              <w:spacing w:line="240" w:lineRule="atLeast"/>
              <w:jc w:val="center"/>
              <w:rPr>
                <w:rFonts w:hint="eastAsia" w:ascii="宋体" w:hAnsi="宋体"/>
                <w:szCs w:val="21"/>
              </w:rPr>
            </w:pPr>
            <w:r>
              <w:rPr>
                <w:rFonts w:hint="eastAsia" w:ascii="宋体" w:hAnsi="宋体"/>
                <w:szCs w:val="21"/>
              </w:rPr>
              <w:t>具体情况说明</w:t>
            </w:r>
          </w:p>
        </w:tc>
        <w:tc>
          <w:tcPr>
            <w:tcW w:w="7355" w:type="dxa"/>
            <w:gridSpan w:val="4"/>
            <w:noWrap w:val="0"/>
            <w:vAlign w:val="top"/>
          </w:tcPr>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210" w:hRule="atLeast"/>
          <w:jc w:val="center"/>
        </w:trPr>
        <w:tc>
          <w:tcPr>
            <w:tcW w:w="1562" w:type="dxa"/>
            <w:gridSpan w:val="2"/>
            <w:noWrap w:val="0"/>
            <w:vAlign w:val="center"/>
          </w:tcPr>
          <w:p>
            <w:pPr>
              <w:spacing w:line="240" w:lineRule="atLeast"/>
              <w:jc w:val="center"/>
              <w:rPr>
                <w:rFonts w:hint="eastAsia" w:ascii="宋体" w:hAnsi="宋体"/>
                <w:szCs w:val="21"/>
              </w:rPr>
            </w:pPr>
            <w:r>
              <w:rPr>
                <w:rFonts w:hint="eastAsia" w:ascii="宋体" w:hAnsi="宋体"/>
                <w:szCs w:val="21"/>
              </w:rPr>
              <w:t>采购人意见</w:t>
            </w:r>
          </w:p>
          <w:p>
            <w:pPr>
              <w:spacing w:line="240" w:lineRule="atLeast"/>
              <w:jc w:val="center"/>
              <w:rPr>
                <w:rFonts w:hint="eastAsia" w:ascii="宋体" w:hAnsi="宋体"/>
                <w:szCs w:val="21"/>
              </w:rPr>
            </w:pPr>
            <w:r>
              <w:rPr>
                <w:rFonts w:hint="eastAsia" w:ascii="宋体" w:hAnsi="宋体"/>
                <w:szCs w:val="21"/>
              </w:rPr>
              <w:t>（公章）</w:t>
            </w:r>
          </w:p>
        </w:tc>
        <w:tc>
          <w:tcPr>
            <w:tcW w:w="7355" w:type="dxa"/>
            <w:gridSpan w:val="4"/>
            <w:noWrap w:val="0"/>
            <w:vAlign w:val="center"/>
          </w:tcPr>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r>
              <w:rPr>
                <w:rFonts w:hint="eastAsia" w:ascii="宋体" w:hAnsi="宋体"/>
                <w:szCs w:val="21"/>
              </w:rPr>
              <w:t xml:space="preserve">                                        </w:t>
            </w:r>
          </w:p>
          <w:p>
            <w:pPr>
              <w:spacing w:line="240" w:lineRule="atLeast"/>
              <w:ind w:firstLine="3780" w:firstLineChars="1800"/>
              <w:rPr>
                <w:rFonts w:hint="eastAsia" w:ascii="宋体" w:hAnsi="宋体"/>
                <w:szCs w:val="21"/>
              </w:rPr>
            </w:pPr>
          </w:p>
          <w:p>
            <w:pPr>
              <w:spacing w:line="240" w:lineRule="atLeast"/>
              <w:ind w:firstLine="3780" w:firstLineChars="1800"/>
              <w:rPr>
                <w:rFonts w:hint="eastAsia" w:ascii="宋体" w:hAnsi="宋体"/>
                <w:szCs w:val="21"/>
              </w:rPr>
            </w:pPr>
            <w:r>
              <w:rPr>
                <w:rFonts w:hint="eastAsia" w:ascii="宋体" w:hAnsi="宋体"/>
                <w:szCs w:val="21"/>
              </w:rPr>
              <w:t>日期：   年   月   日</w:t>
            </w:r>
          </w:p>
        </w:tc>
      </w:tr>
    </w:tbl>
    <w:p>
      <w:pPr>
        <w:spacing w:line="240" w:lineRule="atLeast"/>
        <w:rPr>
          <w:rFonts w:hint="eastAsia" w:ascii="宋体" w:hAnsi="宋体"/>
          <w:szCs w:val="21"/>
        </w:rPr>
      </w:pPr>
      <w:r>
        <w:rPr>
          <w:rFonts w:hint="eastAsia" w:ascii="宋体" w:hAnsi="宋体"/>
          <w:szCs w:val="21"/>
        </w:rPr>
        <w:t>说明：</w:t>
      </w:r>
    </w:p>
    <w:p>
      <w:pPr>
        <w:spacing w:line="240" w:lineRule="atLeast"/>
        <w:rPr>
          <w:rFonts w:hint="eastAsia" w:ascii="宋体" w:hAnsi="宋体"/>
          <w:szCs w:val="21"/>
        </w:rPr>
      </w:pPr>
      <w:r>
        <w:rPr>
          <w:rFonts w:hint="eastAsia" w:ascii="宋体" w:hAnsi="宋体"/>
          <w:szCs w:val="21"/>
        </w:rPr>
        <w:t>1、本表为采购人向宁波市政府采购中心反映政府采购项目履约情况时所用；</w:t>
      </w:r>
    </w:p>
    <w:p>
      <w:pPr>
        <w:autoSpaceDE w:val="0"/>
        <w:autoSpaceDN w:val="0"/>
        <w:adjustRightInd w:val="0"/>
        <w:spacing w:line="360" w:lineRule="auto"/>
        <w:rPr>
          <w:rFonts w:hint="eastAsia"/>
          <w:i/>
          <w:iCs/>
          <w:sz w:val="32"/>
        </w:rPr>
      </w:pPr>
      <w:r>
        <w:rPr>
          <w:rFonts w:hint="eastAsia" w:ascii="宋体" w:hAnsi="宋体"/>
          <w:szCs w:val="21"/>
        </w:rPr>
        <w:t>2、履约情况评价分为优、良、中、差四个等级，请在对应的框前打“√”，然后在“具体情况说明”一栏详细说明有关情况。</w:t>
      </w:r>
    </w:p>
    <w:sectPr>
      <w:pgSz w:w="11907" w:h="16840"/>
      <w:pgMar w:top="1134" w:right="1418" w:bottom="1134" w:left="1418"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 PAGE   \* MERGEFORMAT </w:instrText>
                          </w:r>
                          <w:r>
                            <w:fldChar w:fldCharType="separate"/>
                          </w:r>
                          <w:r>
                            <w:rPr>
                              <w:lang w:val="zh-CN"/>
                            </w:rPr>
                            <w:t>34</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sbe8cBAACZAwAADgAAAGRycy9lMm9Eb2MueG1srVPNjtMwEL4j8Q6W 79TZHlAUNV2BqkVICJAWHsB17MaS/+Rxm/QF4A04ceHOc/U5GDtJd1kue+DijGfG38z3zWRzO1pD TjKC9q6lN6uKEumE77Q7tPTrl7tXNSWQuOu48U629CyB3m5fvtgMoZFr33vTyUgQxEEzhJb2KYWG MRC9tBxWPkiHQeWj5Qmv8cC6yAdEt4atq+o1G3zsQvRCAqB3NwXpjBifA+iV0kLuvDha6dKEGqXh CSlBrwPQbelWKSnSJ6VAJmJaikxTObEI2vt8su2GN4fIQ6/F3AJ/TgtPOFmuHRa9Qu144uQY9T9Q Vovowau0Et6yiUhRBFncVE+0ue95kIULSg3hKjr8P1jx8fQ5Et21dE2J4xYHfvnx/fLz9+XXN1Jn eYYADWbdB8xL41s/4tIsfkBnZj2qaPMX+RCMo7jnq7hyTETkR/W6risMCYwtF8RnD89DhPROekuy 0dKI0yui8tMHSFPqkpKrOX+njSkTNO4vB2JmD8u9Tz1mK437cSa0990Z+Qw4+JY63HNKzHuHuuYd WYy4GPvFOIaoD31ZolwPwptjwiZKb7nCBDsXxokVdvN25ZV4fC9ZD3/U9g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qsbe8cBAACZAwAADgAAAAAAAAABACAAAAAeAQAAZHJzL2Uyb0RvYy54 bWxQSwUGAAAAAAYABgBZAQAAVwUAAAAA ">
              <v:fill on="f" focussize="0,0"/>
              <v:stroke on="f"/>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34</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Style w:val="29"/>
                            </w:rPr>
                          </w:pPr>
                          <w:r>
                            <w:fldChar w:fldCharType="begin"/>
                          </w:r>
                          <w:r>
                            <w:rPr>
                              <w:rStyle w:val="29"/>
                            </w:rPr>
                            <w:instrText xml:space="preserve">PAGE  </w:instrText>
                          </w:r>
                          <w:r>
                            <w:fldChar w:fldCharType="separate"/>
                          </w:r>
                          <w:r>
                            <w:rPr>
                              <w:rStyle w:val="29"/>
                            </w:rPr>
                            <w:t>52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FKFoN4BAAC+AwAADgAAAGRycy9lMm9Eb2MueG1srVNLjhMxEN0jcQfL e+KejISiVjojmGgQEgKkgQM4bnfaku2yyk66wwHgBqzYsOdcOQfl/mRg2MyCTXe5XH713nN5fdM7 y44aowFf8atFwZn2Cmrj9xX//OnuxYqzmKSvpQWvK37Skd9snj9bd6HUS2jB1hoZgfhYdqHibUqh FCKqVjsZFxC0p80G0MlES9yLGmVH6M6KZVG8FB1gHRCUjpGy23GTT4j4FEBoGqP0FtTBaZ9GVNRW JpIUWxMi3wxsm0ar9KFpok7MVpyUpuFLTSje5a/YrGW5RxlaoyYK8ikUHmly0nhqeoHayiTZAc0/ UM4ohAhNWihwYhQyOEIqropH3ty3MuhBC1kdw8X0+P9g1fvjR2SmpkngzEtHF37+/u3849f551d2 ne3pQiyp6j5QXepfQ59Lp3ykZFbdN+jyn/Qw2idzTxdzdZ+YyodWy9WqoC1Fe/OCcMTD8YAxvdHg WA4qjnR7g6ny+C6msXQuyd083BlrKS9L6/9KEGbOiMx95Jij1O/6ifgO6hPpoWdAfVrAL5x1NAQV 9zTznNm3njzO8zIHOAe7OZBe0cGKJ87G8DaNc3UIaPbtMGmZVAyvDomYDgIyjbH3xI6udbBgGsE8 N3+uh6qHZ7f5D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CcUoWg3gEAAL4DAAAOAAAAAAAA AAEAIAAAAB4BAABkcnMvZTJvRG9jLnhtbFBLBQYAAAAABgAGAFkBAABuBQAAAAA= ">
              <v:fill on="f" focussize="0,0"/>
              <v:stroke on="f"/>
              <v:imagedata o:title=""/>
              <o:lock v:ext="edit" aspectratio="f"/>
              <v:textbox inset="0mm,0mm,0mm,0mm" style="mso-fit-shape-to-text:t;">
                <w:txbxContent>
                  <w:p>
                    <w:pPr>
                      <w:pStyle w:val="17"/>
                      <w:rPr>
                        <w:rStyle w:val="29"/>
                      </w:rPr>
                    </w:pPr>
                    <w:r>
                      <w:fldChar w:fldCharType="begin"/>
                    </w:r>
                    <w:r>
                      <w:rPr>
                        <w:rStyle w:val="29"/>
                      </w:rPr>
                      <w:instrText xml:space="preserve">PAGE  </w:instrText>
                    </w:r>
                    <w:r>
                      <w:fldChar w:fldCharType="separate"/>
                    </w:r>
                    <w:r>
                      <w:rPr>
                        <w:rStyle w:val="29"/>
                      </w:rPr>
                      <w:t>52</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sz w:val="21"/>
      </w:rPr>
    </w:pPr>
    <w:r>
      <w:rPr>
        <w:rFonts w:hint="eastAsia"/>
        <w:sz w:val="21"/>
      </w:rPr>
      <w:t>招标文件202</w:t>
    </w:r>
    <w:r>
      <w:rPr>
        <w:rFonts w:hint="eastAsia"/>
        <w:sz w:val="21"/>
        <w:lang w:val="en-US" w:eastAsia="zh-CN"/>
      </w:rPr>
      <w:t>3</w:t>
    </w:r>
    <w:r>
      <w:rPr>
        <w:rFonts w:hint="eastAsia"/>
        <w:sz w:val="21"/>
      </w:rPr>
      <w:t xml:space="preserve">版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rPr>
      <w:t>招标文件202</w:t>
    </w:r>
    <w:r>
      <w:rPr>
        <w:rFonts w:hint="eastAsia"/>
        <w:lang w:val="en-US" w:eastAsia="zh-CN"/>
      </w:rPr>
      <w:t>3</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08505"/>
    <w:multiLevelType w:val="singleLevel"/>
    <w:tmpl w:val="9BB08505"/>
    <w:lvl w:ilvl="0" w:tentative="0">
      <w:start w:val="1"/>
      <w:numFmt w:val="decimal"/>
      <w:suff w:val="nothing"/>
      <w:lvlText w:val="%1、"/>
      <w:lvlJc w:val="left"/>
    </w:lvl>
  </w:abstractNum>
  <w:abstractNum w:abstractNumId="1">
    <w:nsid w:val="B1DEB753"/>
    <w:multiLevelType w:val="singleLevel"/>
    <w:tmpl w:val="B1DEB753"/>
    <w:lvl w:ilvl="0" w:tentative="0">
      <w:start w:val="1"/>
      <w:numFmt w:val="decimal"/>
      <w:suff w:val="nothing"/>
      <w:lvlText w:val="%1、"/>
      <w:lvlJc w:val="left"/>
    </w:lvl>
  </w:abstractNum>
  <w:abstractNum w:abstractNumId="2">
    <w:nsid w:val="0000001A"/>
    <w:multiLevelType w:val="multilevel"/>
    <w:tmpl w:val="0000001A"/>
    <w:lvl w:ilvl="0" w:tentative="0">
      <w:start w:val="1"/>
      <w:numFmt w:val="decimal"/>
      <w:pStyle w:val="7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BC80080"/>
    <w:multiLevelType w:val="multilevel"/>
    <w:tmpl w:val="1BC80080"/>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37CC45BC"/>
    <w:multiLevelType w:val="singleLevel"/>
    <w:tmpl w:val="37CC45BC"/>
    <w:lvl w:ilvl="0" w:tentative="0">
      <w:start w:val="1"/>
      <w:numFmt w:val="decimal"/>
      <w:lvlText w:val="%1、"/>
      <w:lvlJc w:val="left"/>
      <w:pPr>
        <w:tabs>
          <w:tab w:val="left" w:pos="420"/>
        </w:tabs>
        <w:ind w:left="420" w:hanging="315"/>
      </w:pPr>
      <w:rPr>
        <w:rFonts w:hint="eastAsia"/>
      </w:rPr>
    </w:lvl>
  </w:abstractNum>
  <w:abstractNum w:abstractNumId="5">
    <w:nsid w:val="38B94313"/>
    <w:multiLevelType w:val="multilevel"/>
    <w:tmpl w:val="38B94313"/>
    <w:lvl w:ilvl="0" w:tentative="0">
      <w:start w:val="1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7BFE25A"/>
    <w:multiLevelType w:val="singleLevel"/>
    <w:tmpl w:val="57BFE25A"/>
    <w:lvl w:ilvl="0" w:tentative="0">
      <w:start w:val="1"/>
      <w:numFmt w:val="decimal"/>
      <w:suff w:val="nothing"/>
      <w:lvlText w:val="%1、"/>
      <w:lvlJc w:val="left"/>
    </w:lvl>
  </w:abstractNum>
  <w:abstractNum w:abstractNumId="7">
    <w:nsid w:val="5805C4F9"/>
    <w:multiLevelType w:val="singleLevel"/>
    <w:tmpl w:val="5805C4F9"/>
    <w:lvl w:ilvl="0" w:tentative="0">
      <w:start w:val="1"/>
      <w:numFmt w:val="decimal"/>
      <w:suff w:val="nothing"/>
      <w:lvlText w:val="%1、"/>
      <w:lvlJc w:val="left"/>
    </w:lvl>
  </w:abstractNum>
  <w:abstractNum w:abstractNumId="8">
    <w:nsid w:val="5982E4E7"/>
    <w:multiLevelType w:val="singleLevel"/>
    <w:tmpl w:val="5982E4E7"/>
    <w:lvl w:ilvl="0" w:tentative="0">
      <w:start w:val="1"/>
      <w:numFmt w:val="decimal"/>
      <w:suff w:val="nothing"/>
      <w:lvlText w:val="（%1）"/>
      <w:lvlJc w:val="left"/>
    </w:lvl>
  </w:abstractNum>
  <w:abstractNum w:abstractNumId="9">
    <w:nsid w:val="5983D080"/>
    <w:multiLevelType w:val="singleLevel"/>
    <w:tmpl w:val="5983D080"/>
    <w:lvl w:ilvl="0" w:tentative="0">
      <w:start w:val="1"/>
      <w:numFmt w:val="decimal"/>
      <w:suff w:val="nothing"/>
      <w:lvlText w:val="（%1）"/>
      <w:lvlJc w:val="left"/>
    </w:lvl>
  </w:abstractNum>
  <w:abstractNum w:abstractNumId="10">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11">
    <w:nsid w:val="76FC75A0"/>
    <w:multiLevelType w:val="multilevel"/>
    <w:tmpl w:val="76FC75A0"/>
    <w:lvl w:ilvl="0" w:tentative="0">
      <w:start w:val="1"/>
      <w:numFmt w:val="decimal"/>
      <w:lvlText w:val="（%1）"/>
      <w:lvlJc w:val="left"/>
      <w:pPr>
        <w:tabs>
          <w:tab w:val="left" w:pos="945"/>
        </w:tabs>
        <w:ind w:left="945" w:hanging="525"/>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7"/>
  </w:num>
  <w:num w:numId="3">
    <w:abstractNumId w:val="3"/>
  </w:num>
  <w:num w:numId="4">
    <w:abstractNumId w:val="9"/>
  </w:num>
  <w:num w:numId="5">
    <w:abstractNumId w:val="8"/>
  </w:num>
  <w:num w:numId="6">
    <w:abstractNumId w:val="0"/>
  </w:num>
  <w:num w:numId="7">
    <w:abstractNumId w:val="1"/>
  </w:num>
  <w:num w:numId="8">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ODU1M2EzZWFjMzBhOGUyMDExMjY4ZDVlOGM0MjkifQ=="/>
  </w:docVars>
  <w:rsids>
    <w:rsidRoot w:val="0043702D"/>
    <w:rsid w:val="000047D3"/>
    <w:rsid w:val="000059A4"/>
    <w:rsid w:val="00013441"/>
    <w:rsid w:val="00014B80"/>
    <w:rsid w:val="00021FB1"/>
    <w:rsid w:val="00022345"/>
    <w:rsid w:val="00024C24"/>
    <w:rsid w:val="000250B0"/>
    <w:rsid w:val="00026B63"/>
    <w:rsid w:val="00026D88"/>
    <w:rsid w:val="00031DC2"/>
    <w:rsid w:val="0003495E"/>
    <w:rsid w:val="00037F0E"/>
    <w:rsid w:val="0004211B"/>
    <w:rsid w:val="0004534C"/>
    <w:rsid w:val="0004576F"/>
    <w:rsid w:val="000463A9"/>
    <w:rsid w:val="00053CAE"/>
    <w:rsid w:val="00061ADF"/>
    <w:rsid w:val="00070D0C"/>
    <w:rsid w:val="00072705"/>
    <w:rsid w:val="00072CB0"/>
    <w:rsid w:val="00076D33"/>
    <w:rsid w:val="00077731"/>
    <w:rsid w:val="0008053B"/>
    <w:rsid w:val="000805FB"/>
    <w:rsid w:val="000820C4"/>
    <w:rsid w:val="00082B2B"/>
    <w:rsid w:val="00084B2C"/>
    <w:rsid w:val="00085037"/>
    <w:rsid w:val="0008743B"/>
    <w:rsid w:val="00087510"/>
    <w:rsid w:val="00090A24"/>
    <w:rsid w:val="00094B5A"/>
    <w:rsid w:val="000961F3"/>
    <w:rsid w:val="00096CC2"/>
    <w:rsid w:val="000A032D"/>
    <w:rsid w:val="000A073C"/>
    <w:rsid w:val="000A45C5"/>
    <w:rsid w:val="000A7147"/>
    <w:rsid w:val="000B00E2"/>
    <w:rsid w:val="000B2157"/>
    <w:rsid w:val="000B2F91"/>
    <w:rsid w:val="000B35BB"/>
    <w:rsid w:val="000B6209"/>
    <w:rsid w:val="000C257D"/>
    <w:rsid w:val="000D0B65"/>
    <w:rsid w:val="000D642E"/>
    <w:rsid w:val="000D7AD6"/>
    <w:rsid w:val="000E0493"/>
    <w:rsid w:val="000E20AD"/>
    <w:rsid w:val="000E2989"/>
    <w:rsid w:val="000E7259"/>
    <w:rsid w:val="000F1182"/>
    <w:rsid w:val="000F179C"/>
    <w:rsid w:val="000F1C9A"/>
    <w:rsid w:val="000F3B14"/>
    <w:rsid w:val="000F60C6"/>
    <w:rsid w:val="00104476"/>
    <w:rsid w:val="0010498F"/>
    <w:rsid w:val="001064A9"/>
    <w:rsid w:val="00111627"/>
    <w:rsid w:val="00112913"/>
    <w:rsid w:val="00115425"/>
    <w:rsid w:val="00123CB5"/>
    <w:rsid w:val="001264A0"/>
    <w:rsid w:val="00131AC0"/>
    <w:rsid w:val="001324DF"/>
    <w:rsid w:val="001338A6"/>
    <w:rsid w:val="00133AB3"/>
    <w:rsid w:val="00146CFE"/>
    <w:rsid w:val="001470D3"/>
    <w:rsid w:val="001510DF"/>
    <w:rsid w:val="0015297F"/>
    <w:rsid w:val="00152F4F"/>
    <w:rsid w:val="00154E35"/>
    <w:rsid w:val="00155A03"/>
    <w:rsid w:val="001566C3"/>
    <w:rsid w:val="00165A87"/>
    <w:rsid w:val="00165BD9"/>
    <w:rsid w:val="001701E3"/>
    <w:rsid w:val="0017145F"/>
    <w:rsid w:val="001834B9"/>
    <w:rsid w:val="00184083"/>
    <w:rsid w:val="001A01E6"/>
    <w:rsid w:val="001B3B12"/>
    <w:rsid w:val="001B67C2"/>
    <w:rsid w:val="001B6A34"/>
    <w:rsid w:val="001C3ED2"/>
    <w:rsid w:val="001D003E"/>
    <w:rsid w:val="001D074A"/>
    <w:rsid w:val="001D0C0E"/>
    <w:rsid w:val="001D2776"/>
    <w:rsid w:val="001D4E4A"/>
    <w:rsid w:val="001D54FC"/>
    <w:rsid w:val="001D608F"/>
    <w:rsid w:val="001E01A5"/>
    <w:rsid w:val="001E1827"/>
    <w:rsid w:val="001E3918"/>
    <w:rsid w:val="001E65F7"/>
    <w:rsid w:val="001E70ED"/>
    <w:rsid w:val="001F18AB"/>
    <w:rsid w:val="001F3B4E"/>
    <w:rsid w:val="001F422B"/>
    <w:rsid w:val="002046A5"/>
    <w:rsid w:val="0020470F"/>
    <w:rsid w:val="00207D95"/>
    <w:rsid w:val="00211334"/>
    <w:rsid w:val="0021731C"/>
    <w:rsid w:val="0021746E"/>
    <w:rsid w:val="0022402A"/>
    <w:rsid w:val="00224EFC"/>
    <w:rsid w:val="00230223"/>
    <w:rsid w:val="0023535F"/>
    <w:rsid w:val="00235A00"/>
    <w:rsid w:val="002371E4"/>
    <w:rsid w:val="002409D4"/>
    <w:rsid w:val="00245F5B"/>
    <w:rsid w:val="00245FA7"/>
    <w:rsid w:val="0025350C"/>
    <w:rsid w:val="002537D5"/>
    <w:rsid w:val="00254E54"/>
    <w:rsid w:val="00256D78"/>
    <w:rsid w:val="00264E8D"/>
    <w:rsid w:val="0026745F"/>
    <w:rsid w:val="00267E83"/>
    <w:rsid w:val="0027184F"/>
    <w:rsid w:val="00274149"/>
    <w:rsid w:val="00276091"/>
    <w:rsid w:val="0028133F"/>
    <w:rsid w:val="0028274D"/>
    <w:rsid w:val="002909CA"/>
    <w:rsid w:val="00291393"/>
    <w:rsid w:val="00294BE2"/>
    <w:rsid w:val="002A0F19"/>
    <w:rsid w:val="002A4953"/>
    <w:rsid w:val="002A71AA"/>
    <w:rsid w:val="002B4876"/>
    <w:rsid w:val="002C01DA"/>
    <w:rsid w:val="002C2597"/>
    <w:rsid w:val="002D5955"/>
    <w:rsid w:val="002D7889"/>
    <w:rsid w:val="002E1531"/>
    <w:rsid w:val="002E4B3E"/>
    <w:rsid w:val="002E68B0"/>
    <w:rsid w:val="002E7025"/>
    <w:rsid w:val="002E7594"/>
    <w:rsid w:val="00307753"/>
    <w:rsid w:val="00313EC9"/>
    <w:rsid w:val="003152BD"/>
    <w:rsid w:val="00315814"/>
    <w:rsid w:val="00315A5F"/>
    <w:rsid w:val="0032018F"/>
    <w:rsid w:val="00321F93"/>
    <w:rsid w:val="00322D6C"/>
    <w:rsid w:val="00325A0E"/>
    <w:rsid w:val="00326700"/>
    <w:rsid w:val="003307EA"/>
    <w:rsid w:val="003369E5"/>
    <w:rsid w:val="00345CDA"/>
    <w:rsid w:val="00346DB2"/>
    <w:rsid w:val="00353462"/>
    <w:rsid w:val="00354776"/>
    <w:rsid w:val="00356108"/>
    <w:rsid w:val="00360D6A"/>
    <w:rsid w:val="0036680C"/>
    <w:rsid w:val="0036686B"/>
    <w:rsid w:val="003735E0"/>
    <w:rsid w:val="003870C3"/>
    <w:rsid w:val="00390974"/>
    <w:rsid w:val="003929C0"/>
    <w:rsid w:val="00392E3D"/>
    <w:rsid w:val="003951A9"/>
    <w:rsid w:val="00396022"/>
    <w:rsid w:val="00396D8D"/>
    <w:rsid w:val="003A23F7"/>
    <w:rsid w:val="003A51B1"/>
    <w:rsid w:val="003A74AE"/>
    <w:rsid w:val="003B05B0"/>
    <w:rsid w:val="003B5334"/>
    <w:rsid w:val="003C2F4E"/>
    <w:rsid w:val="003D0D99"/>
    <w:rsid w:val="003D383C"/>
    <w:rsid w:val="003E1CCA"/>
    <w:rsid w:val="003E5C66"/>
    <w:rsid w:val="003E7AF3"/>
    <w:rsid w:val="003F1B0F"/>
    <w:rsid w:val="003F4C8C"/>
    <w:rsid w:val="00401D0D"/>
    <w:rsid w:val="00403512"/>
    <w:rsid w:val="00405905"/>
    <w:rsid w:val="00405C5E"/>
    <w:rsid w:val="004102AA"/>
    <w:rsid w:val="004120D2"/>
    <w:rsid w:val="004152E4"/>
    <w:rsid w:val="0043385B"/>
    <w:rsid w:val="004353E0"/>
    <w:rsid w:val="004354A9"/>
    <w:rsid w:val="0043702D"/>
    <w:rsid w:val="00442FC1"/>
    <w:rsid w:val="00452325"/>
    <w:rsid w:val="00453177"/>
    <w:rsid w:val="00455D48"/>
    <w:rsid w:val="00461CAA"/>
    <w:rsid w:val="00462FD8"/>
    <w:rsid w:val="00464CC2"/>
    <w:rsid w:val="00465724"/>
    <w:rsid w:val="004657E0"/>
    <w:rsid w:val="00466498"/>
    <w:rsid w:val="00466A57"/>
    <w:rsid w:val="00470C2E"/>
    <w:rsid w:val="004717A6"/>
    <w:rsid w:val="004721F8"/>
    <w:rsid w:val="00476012"/>
    <w:rsid w:val="00477B90"/>
    <w:rsid w:val="00482A79"/>
    <w:rsid w:val="00482AA5"/>
    <w:rsid w:val="00482F42"/>
    <w:rsid w:val="00482FB4"/>
    <w:rsid w:val="00484E44"/>
    <w:rsid w:val="00486353"/>
    <w:rsid w:val="004874FE"/>
    <w:rsid w:val="0049147F"/>
    <w:rsid w:val="004949BD"/>
    <w:rsid w:val="004968CC"/>
    <w:rsid w:val="004978B6"/>
    <w:rsid w:val="004A0B63"/>
    <w:rsid w:val="004A3967"/>
    <w:rsid w:val="004A66D9"/>
    <w:rsid w:val="004A7F66"/>
    <w:rsid w:val="004B3383"/>
    <w:rsid w:val="004B46DD"/>
    <w:rsid w:val="004B510C"/>
    <w:rsid w:val="004B5778"/>
    <w:rsid w:val="004B72FC"/>
    <w:rsid w:val="004C2D48"/>
    <w:rsid w:val="004C2E15"/>
    <w:rsid w:val="004C3DE2"/>
    <w:rsid w:val="004D58D6"/>
    <w:rsid w:val="004E3D0C"/>
    <w:rsid w:val="004F26BE"/>
    <w:rsid w:val="004F494E"/>
    <w:rsid w:val="004F589D"/>
    <w:rsid w:val="00511024"/>
    <w:rsid w:val="0051541A"/>
    <w:rsid w:val="00515B9B"/>
    <w:rsid w:val="00527E67"/>
    <w:rsid w:val="0053012C"/>
    <w:rsid w:val="005329F8"/>
    <w:rsid w:val="00532E52"/>
    <w:rsid w:val="00535FE9"/>
    <w:rsid w:val="005415C1"/>
    <w:rsid w:val="00542047"/>
    <w:rsid w:val="00545057"/>
    <w:rsid w:val="005541F4"/>
    <w:rsid w:val="00554CF1"/>
    <w:rsid w:val="0056152B"/>
    <w:rsid w:val="00561A85"/>
    <w:rsid w:val="0056475E"/>
    <w:rsid w:val="0056479B"/>
    <w:rsid w:val="00566F1E"/>
    <w:rsid w:val="005704E2"/>
    <w:rsid w:val="00571BF0"/>
    <w:rsid w:val="00572D63"/>
    <w:rsid w:val="0057736E"/>
    <w:rsid w:val="00582CD6"/>
    <w:rsid w:val="00590A9D"/>
    <w:rsid w:val="00590D36"/>
    <w:rsid w:val="005A5912"/>
    <w:rsid w:val="005B2CD3"/>
    <w:rsid w:val="005B3347"/>
    <w:rsid w:val="005B3A02"/>
    <w:rsid w:val="005B3BC7"/>
    <w:rsid w:val="005B78AF"/>
    <w:rsid w:val="005C26B6"/>
    <w:rsid w:val="005C3B1C"/>
    <w:rsid w:val="005C60B2"/>
    <w:rsid w:val="005D0596"/>
    <w:rsid w:val="005D22ED"/>
    <w:rsid w:val="005D2B50"/>
    <w:rsid w:val="005D422F"/>
    <w:rsid w:val="005D5FB8"/>
    <w:rsid w:val="005D671D"/>
    <w:rsid w:val="005E4668"/>
    <w:rsid w:val="005E547A"/>
    <w:rsid w:val="005F7759"/>
    <w:rsid w:val="00601531"/>
    <w:rsid w:val="006153E9"/>
    <w:rsid w:val="006204EA"/>
    <w:rsid w:val="00631F11"/>
    <w:rsid w:val="00632BE5"/>
    <w:rsid w:val="00633E07"/>
    <w:rsid w:val="006348F9"/>
    <w:rsid w:val="00640422"/>
    <w:rsid w:val="00644092"/>
    <w:rsid w:val="00644740"/>
    <w:rsid w:val="00645C9C"/>
    <w:rsid w:val="00650C5E"/>
    <w:rsid w:val="006510CC"/>
    <w:rsid w:val="006517BB"/>
    <w:rsid w:val="00652830"/>
    <w:rsid w:val="00653382"/>
    <w:rsid w:val="00666106"/>
    <w:rsid w:val="00671286"/>
    <w:rsid w:val="00672D96"/>
    <w:rsid w:val="0067656E"/>
    <w:rsid w:val="006872EC"/>
    <w:rsid w:val="00687A0E"/>
    <w:rsid w:val="00692F97"/>
    <w:rsid w:val="00694F6E"/>
    <w:rsid w:val="006A124E"/>
    <w:rsid w:val="006A1DF2"/>
    <w:rsid w:val="006A4502"/>
    <w:rsid w:val="006A4E10"/>
    <w:rsid w:val="006A7103"/>
    <w:rsid w:val="006B2585"/>
    <w:rsid w:val="006B5A5A"/>
    <w:rsid w:val="006C15D2"/>
    <w:rsid w:val="006C3025"/>
    <w:rsid w:val="006C4BE9"/>
    <w:rsid w:val="006D4E29"/>
    <w:rsid w:val="006D7564"/>
    <w:rsid w:val="006E2615"/>
    <w:rsid w:val="006E4F57"/>
    <w:rsid w:val="006E68ED"/>
    <w:rsid w:val="006E6D93"/>
    <w:rsid w:val="006F3F07"/>
    <w:rsid w:val="00712AE3"/>
    <w:rsid w:val="00713324"/>
    <w:rsid w:val="00720506"/>
    <w:rsid w:val="00723AE4"/>
    <w:rsid w:val="0072649C"/>
    <w:rsid w:val="007317D6"/>
    <w:rsid w:val="007368FF"/>
    <w:rsid w:val="007445DE"/>
    <w:rsid w:val="00744CBC"/>
    <w:rsid w:val="00745B56"/>
    <w:rsid w:val="00747BBB"/>
    <w:rsid w:val="0075078E"/>
    <w:rsid w:val="00751ABF"/>
    <w:rsid w:val="00752F5C"/>
    <w:rsid w:val="00754DFB"/>
    <w:rsid w:val="00757BA0"/>
    <w:rsid w:val="00760F53"/>
    <w:rsid w:val="007610C2"/>
    <w:rsid w:val="007720B1"/>
    <w:rsid w:val="00772DBE"/>
    <w:rsid w:val="0077485A"/>
    <w:rsid w:val="00774FF1"/>
    <w:rsid w:val="0077548F"/>
    <w:rsid w:val="00780BE0"/>
    <w:rsid w:val="007839E8"/>
    <w:rsid w:val="00791273"/>
    <w:rsid w:val="007922CD"/>
    <w:rsid w:val="00795447"/>
    <w:rsid w:val="007A04BD"/>
    <w:rsid w:val="007A0B69"/>
    <w:rsid w:val="007A41BC"/>
    <w:rsid w:val="007A7DAB"/>
    <w:rsid w:val="007B0C44"/>
    <w:rsid w:val="007B6191"/>
    <w:rsid w:val="007C17FD"/>
    <w:rsid w:val="007C4AB7"/>
    <w:rsid w:val="007C54BA"/>
    <w:rsid w:val="007C694A"/>
    <w:rsid w:val="007D1DA1"/>
    <w:rsid w:val="007E01FC"/>
    <w:rsid w:val="007E0625"/>
    <w:rsid w:val="007E1255"/>
    <w:rsid w:val="007E5CAF"/>
    <w:rsid w:val="007F38FC"/>
    <w:rsid w:val="007F4508"/>
    <w:rsid w:val="007F5EFF"/>
    <w:rsid w:val="0080220E"/>
    <w:rsid w:val="00804EFA"/>
    <w:rsid w:val="00806738"/>
    <w:rsid w:val="00807301"/>
    <w:rsid w:val="008117FB"/>
    <w:rsid w:val="0081346B"/>
    <w:rsid w:val="00816721"/>
    <w:rsid w:val="00821EBF"/>
    <w:rsid w:val="00825F9B"/>
    <w:rsid w:val="00827053"/>
    <w:rsid w:val="008279AC"/>
    <w:rsid w:val="008316C6"/>
    <w:rsid w:val="008333E6"/>
    <w:rsid w:val="00833DC6"/>
    <w:rsid w:val="00834A77"/>
    <w:rsid w:val="0083629E"/>
    <w:rsid w:val="00844F81"/>
    <w:rsid w:val="00850DBD"/>
    <w:rsid w:val="008566CF"/>
    <w:rsid w:val="00861021"/>
    <w:rsid w:val="00861459"/>
    <w:rsid w:val="00865345"/>
    <w:rsid w:val="008727E5"/>
    <w:rsid w:val="00873B4E"/>
    <w:rsid w:val="00877AF1"/>
    <w:rsid w:val="0088125E"/>
    <w:rsid w:val="00882D37"/>
    <w:rsid w:val="0089395F"/>
    <w:rsid w:val="00893E43"/>
    <w:rsid w:val="0089588D"/>
    <w:rsid w:val="00896DBF"/>
    <w:rsid w:val="008A1DDC"/>
    <w:rsid w:val="008C44E9"/>
    <w:rsid w:val="008D3A59"/>
    <w:rsid w:val="008E03C2"/>
    <w:rsid w:val="008E2AF0"/>
    <w:rsid w:val="008E3F73"/>
    <w:rsid w:val="008E7432"/>
    <w:rsid w:val="008F22BF"/>
    <w:rsid w:val="008F2D97"/>
    <w:rsid w:val="008F3678"/>
    <w:rsid w:val="008F4528"/>
    <w:rsid w:val="008F4C3D"/>
    <w:rsid w:val="008F50F0"/>
    <w:rsid w:val="008F5311"/>
    <w:rsid w:val="008F6218"/>
    <w:rsid w:val="008F6461"/>
    <w:rsid w:val="009003DD"/>
    <w:rsid w:val="00900E79"/>
    <w:rsid w:val="009013E9"/>
    <w:rsid w:val="00903981"/>
    <w:rsid w:val="00906045"/>
    <w:rsid w:val="00913491"/>
    <w:rsid w:val="009143F1"/>
    <w:rsid w:val="009214D1"/>
    <w:rsid w:val="0092586D"/>
    <w:rsid w:val="00925F90"/>
    <w:rsid w:val="00926804"/>
    <w:rsid w:val="00943DBE"/>
    <w:rsid w:val="00947EB1"/>
    <w:rsid w:val="00955828"/>
    <w:rsid w:val="0095606E"/>
    <w:rsid w:val="00956210"/>
    <w:rsid w:val="00961A0D"/>
    <w:rsid w:val="009625C0"/>
    <w:rsid w:val="00965C98"/>
    <w:rsid w:val="00971253"/>
    <w:rsid w:val="00972337"/>
    <w:rsid w:val="009739D8"/>
    <w:rsid w:val="00974BAA"/>
    <w:rsid w:val="0097522C"/>
    <w:rsid w:val="0097770C"/>
    <w:rsid w:val="00985F7B"/>
    <w:rsid w:val="00986AC3"/>
    <w:rsid w:val="009930CD"/>
    <w:rsid w:val="00994F44"/>
    <w:rsid w:val="00996134"/>
    <w:rsid w:val="009A0DE4"/>
    <w:rsid w:val="009A2A39"/>
    <w:rsid w:val="009A5A7B"/>
    <w:rsid w:val="009A761A"/>
    <w:rsid w:val="009B1874"/>
    <w:rsid w:val="009B1E3E"/>
    <w:rsid w:val="009B48AD"/>
    <w:rsid w:val="009B76E6"/>
    <w:rsid w:val="009C3DD3"/>
    <w:rsid w:val="009C656F"/>
    <w:rsid w:val="009C74F1"/>
    <w:rsid w:val="009D1797"/>
    <w:rsid w:val="009D761E"/>
    <w:rsid w:val="009D79E9"/>
    <w:rsid w:val="009E4FAC"/>
    <w:rsid w:val="009E592D"/>
    <w:rsid w:val="009F0534"/>
    <w:rsid w:val="009F2A99"/>
    <w:rsid w:val="009F4E30"/>
    <w:rsid w:val="009F723E"/>
    <w:rsid w:val="00A05150"/>
    <w:rsid w:val="00A06A78"/>
    <w:rsid w:val="00A101BD"/>
    <w:rsid w:val="00A10806"/>
    <w:rsid w:val="00A11B3A"/>
    <w:rsid w:val="00A13518"/>
    <w:rsid w:val="00A16A82"/>
    <w:rsid w:val="00A17787"/>
    <w:rsid w:val="00A23F69"/>
    <w:rsid w:val="00A26054"/>
    <w:rsid w:val="00A26262"/>
    <w:rsid w:val="00A26325"/>
    <w:rsid w:val="00A26792"/>
    <w:rsid w:val="00A269B0"/>
    <w:rsid w:val="00A30961"/>
    <w:rsid w:val="00A34FF8"/>
    <w:rsid w:val="00A42C45"/>
    <w:rsid w:val="00A433D0"/>
    <w:rsid w:val="00A51015"/>
    <w:rsid w:val="00A62544"/>
    <w:rsid w:val="00A63CB5"/>
    <w:rsid w:val="00A63E22"/>
    <w:rsid w:val="00A651EB"/>
    <w:rsid w:val="00A657A0"/>
    <w:rsid w:val="00A71F7E"/>
    <w:rsid w:val="00A84AF5"/>
    <w:rsid w:val="00A859BE"/>
    <w:rsid w:val="00A86BCF"/>
    <w:rsid w:val="00A9222A"/>
    <w:rsid w:val="00A92586"/>
    <w:rsid w:val="00A927F7"/>
    <w:rsid w:val="00AA0285"/>
    <w:rsid w:val="00AA5F6D"/>
    <w:rsid w:val="00AA62F3"/>
    <w:rsid w:val="00AB4FCA"/>
    <w:rsid w:val="00AB5E60"/>
    <w:rsid w:val="00AC6FF9"/>
    <w:rsid w:val="00AD25B6"/>
    <w:rsid w:val="00AD4DB9"/>
    <w:rsid w:val="00AE4086"/>
    <w:rsid w:val="00AE5855"/>
    <w:rsid w:val="00AE6DCD"/>
    <w:rsid w:val="00AF1B78"/>
    <w:rsid w:val="00AF2BF3"/>
    <w:rsid w:val="00AF561A"/>
    <w:rsid w:val="00AF65F0"/>
    <w:rsid w:val="00B0252F"/>
    <w:rsid w:val="00B0626B"/>
    <w:rsid w:val="00B07973"/>
    <w:rsid w:val="00B10BB7"/>
    <w:rsid w:val="00B2414D"/>
    <w:rsid w:val="00B26B35"/>
    <w:rsid w:val="00B36EE8"/>
    <w:rsid w:val="00B37170"/>
    <w:rsid w:val="00B42742"/>
    <w:rsid w:val="00B43B03"/>
    <w:rsid w:val="00B450CB"/>
    <w:rsid w:val="00B51297"/>
    <w:rsid w:val="00B55253"/>
    <w:rsid w:val="00B60550"/>
    <w:rsid w:val="00B609AC"/>
    <w:rsid w:val="00B619E6"/>
    <w:rsid w:val="00B61F3A"/>
    <w:rsid w:val="00B643AA"/>
    <w:rsid w:val="00B66F9D"/>
    <w:rsid w:val="00B7015A"/>
    <w:rsid w:val="00B802A0"/>
    <w:rsid w:val="00B836E3"/>
    <w:rsid w:val="00BA04B1"/>
    <w:rsid w:val="00BA4220"/>
    <w:rsid w:val="00BA49B5"/>
    <w:rsid w:val="00BA7C27"/>
    <w:rsid w:val="00BB3E1F"/>
    <w:rsid w:val="00BB4642"/>
    <w:rsid w:val="00BC04D7"/>
    <w:rsid w:val="00BC37AC"/>
    <w:rsid w:val="00BC4132"/>
    <w:rsid w:val="00BD246A"/>
    <w:rsid w:val="00BD7770"/>
    <w:rsid w:val="00BE109A"/>
    <w:rsid w:val="00BE48DB"/>
    <w:rsid w:val="00BF05A1"/>
    <w:rsid w:val="00BF2FBE"/>
    <w:rsid w:val="00BF4289"/>
    <w:rsid w:val="00BF76C9"/>
    <w:rsid w:val="00C045D6"/>
    <w:rsid w:val="00C05ADB"/>
    <w:rsid w:val="00C12FFD"/>
    <w:rsid w:val="00C13CF4"/>
    <w:rsid w:val="00C147C8"/>
    <w:rsid w:val="00C231BC"/>
    <w:rsid w:val="00C24B89"/>
    <w:rsid w:val="00C26261"/>
    <w:rsid w:val="00C32646"/>
    <w:rsid w:val="00C34DB9"/>
    <w:rsid w:val="00C358D5"/>
    <w:rsid w:val="00C42B22"/>
    <w:rsid w:val="00C5044E"/>
    <w:rsid w:val="00C512F0"/>
    <w:rsid w:val="00C63CE1"/>
    <w:rsid w:val="00C65573"/>
    <w:rsid w:val="00C74320"/>
    <w:rsid w:val="00C744C4"/>
    <w:rsid w:val="00C77D55"/>
    <w:rsid w:val="00C86DD3"/>
    <w:rsid w:val="00C877B3"/>
    <w:rsid w:val="00C96BD9"/>
    <w:rsid w:val="00C97B05"/>
    <w:rsid w:val="00CA0878"/>
    <w:rsid w:val="00CA2163"/>
    <w:rsid w:val="00CA407A"/>
    <w:rsid w:val="00CA5C1F"/>
    <w:rsid w:val="00CA6576"/>
    <w:rsid w:val="00CB2381"/>
    <w:rsid w:val="00CB5B67"/>
    <w:rsid w:val="00CB720D"/>
    <w:rsid w:val="00CC5886"/>
    <w:rsid w:val="00CD26D5"/>
    <w:rsid w:val="00CE0BED"/>
    <w:rsid w:val="00CE3CEB"/>
    <w:rsid w:val="00CE583A"/>
    <w:rsid w:val="00CE6321"/>
    <w:rsid w:val="00CE67CB"/>
    <w:rsid w:val="00CF2000"/>
    <w:rsid w:val="00CF3604"/>
    <w:rsid w:val="00CF441C"/>
    <w:rsid w:val="00CF5F13"/>
    <w:rsid w:val="00D00543"/>
    <w:rsid w:val="00D00F7A"/>
    <w:rsid w:val="00D06637"/>
    <w:rsid w:val="00D06761"/>
    <w:rsid w:val="00D157BC"/>
    <w:rsid w:val="00D166F5"/>
    <w:rsid w:val="00D16715"/>
    <w:rsid w:val="00D169EE"/>
    <w:rsid w:val="00D16D87"/>
    <w:rsid w:val="00D252B9"/>
    <w:rsid w:val="00D32114"/>
    <w:rsid w:val="00D33DCC"/>
    <w:rsid w:val="00D346B5"/>
    <w:rsid w:val="00D35786"/>
    <w:rsid w:val="00D43E8A"/>
    <w:rsid w:val="00D4460D"/>
    <w:rsid w:val="00D5177A"/>
    <w:rsid w:val="00D52E65"/>
    <w:rsid w:val="00D56492"/>
    <w:rsid w:val="00D60614"/>
    <w:rsid w:val="00D70323"/>
    <w:rsid w:val="00D81AFA"/>
    <w:rsid w:val="00D850A2"/>
    <w:rsid w:val="00D929D7"/>
    <w:rsid w:val="00D97B7B"/>
    <w:rsid w:val="00DA031F"/>
    <w:rsid w:val="00DA1CD4"/>
    <w:rsid w:val="00DB0D31"/>
    <w:rsid w:val="00DB4F6E"/>
    <w:rsid w:val="00DB50DC"/>
    <w:rsid w:val="00DB748C"/>
    <w:rsid w:val="00DC15B9"/>
    <w:rsid w:val="00DC3EEF"/>
    <w:rsid w:val="00DC5253"/>
    <w:rsid w:val="00DC6D4A"/>
    <w:rsid w:val="00DD0CF0"/>
    <w:rsid w:val="00DD12B2"/>
    <w:rsid w:val="00DD1ABD"/>
    <w:rsid w:val="00DD368E"/>
    <w:rsid w:val="00DE0AF9"/>
    <w:rsid w:val="00DF1260"/>
    <w:rsid w:val="00DF5564"/>
    <w:rsid w:val="00E04744"/>
    <w:rsid w:val="00E0629E"/>
    <w:rsid w:val="00E07654"/>
    <w:rsid w:val="00E07E9B"/>
    <w:rsid w:val="00E1263C"/>
    <w:rsid w:val="00E12CD5"/>
    <w:rsid w:val="00E154BA"/>
    <w:rsid w:val="00E21C6B"/>
    <w:rsid w:val="00E2553E"/>
    <w:rsid w:val="00E3177C"/>
    <w:rsid w:val="00E3182C"/>
    <w:rsid w:val="00E35305"/>
    <w:rsid w:val="00E451CC"/>
    <w:rsid w:val="00E5053C"/>
    <w:rsid w:val="00E5581E"/>
    <w:rsid w:val="00E62D07"/>
    <w:rsid w:val="00E63F09"/>
    <w:rsid w:val="00E6696E"/>
    <w:rsid w:val="00E67189"/>
    <w:rsid w:val="00E673C9"/>
    <w:rsid w:val="00E67785"/>
    <w:rsid w:val="00E739CE"/>
    <w:rsid w:val="00E75A80"/>
    <w:rsid w:val="00E812D7"/>
    <w:rsid w:val="00E81F83"/>
    <w:rsid w:val="00E842B0"/>
    <w:rsid w:val="00E85879"/>
    <w:rsid w:val="00E85DCE"/>
    <w:rsid w:val="00E86DA3"/>
    <w:rsid w:val="00E940E6"/>
    <w:rsid w:val="00E94F92"/>
    <w:rsid w:val="00EA4AC5"/>
    <w:rsid w:val="00EB0570"/>
    <w:rsid w:val="00EB1030"/>
    <w:rsid w:val="00EB3964"/>
    <w:rsid w:val="00EB67CD"/>
    <w:rsid w:val="00EC160E"/>
    <w:rsid w:val="00EC4C79"/>
    <w:rsid w:val="00EC6778"/>
    <w:rsid w:val="00EC70A7"/>
    <w:rsid w:val="00EC753F"/>
    <w:rsid w:val="00ED081C"/>
    <w:rsid w:val="00ED34F2"/>
    <w:rsid w:val="00ED6A35"/>
    <w:rsid w:val="00EE0CAD"/>
    <w:rsid w:val="00EE654C"/>
    <w:rsid w:val="00EE6A14"/>
    <w:rsid w:val="00EF544F"/>
    <w:rsid w:val="00EF6844"/>
    <w:rsid w:val="00F01744"/>
    <w:rsid w:val="00F046FD"/>
    <w:rsid w:val="00F17104"/>
    <w:rsid w:val="00F2078E"/>
    <w:rsid w:val="00F227B5"/>
    <w:rsid w:val="00F22D89"/>
    <w:rsid w:val="00F25358"/>
    <w:rsid w:val="00F27A8A"/>
    <w:rsid w:val="00F27DCA"/>
    <w:rsid w:val="00F31BE5"/>
    <w:rsid w:val="00F354FF"/>
    <w:rsid w:val="00F35D62"/>
    <w:rsid w:val="00F3780C"/>
    <w:rsid w:val="00F559D1"/>
    <w:rsid w:val="00F579DB"/>
    <w:rsid w:val="00F57FD4"/>
    <w:rsid w:val="00F62926"/>
    <w:rsid w:val="00F651C5"/>
    <w:rsid w:val="00F74450"/>
    <w:rsid w:val="00F7505B"/>
    <w:rsid w:val="00F87D43"/>
    <w:rsid w:val="00F9250A"/>
    <w:rsid w:val="00F925B3"/>
    <w:rsid w:val="00F94E14"/>
    <w:rsid w:val="00FA2D52"/>
    <w:rsid w:val="00FB0731"/>
    <w:rsid w:val="00FB533E"/>
    <w:rsid w:val="00FB7F8B"/>
    <w:rsid w:val="00FC0B96"/>
    <w:rsid w:val="00FC3CFF"/>
    <w:rsid w:val="00FC6AEA"/>
    <w:rsid w:val="00FD3D84"/>
    <w:rsid w:val="00FD3EE6"/>
    <w:rsid w:val="00FD6AD7"/>
    <w:rsid w:val="00FE7772"/>
    <w:rsid w:val="00FF242A"/>
    <w:rsid w:val="00FF33DE"/>
    <w:rsid w:val="011352EE"/>
    <w:rsid w:val="013A74C9"/>
    <w:rsid w:val="01A71FB2"/>
    <w:rsid w:val="01B72C95"/>
    <w:rsid w:val="01D35132"/>
    <w:rsid w:val="01F637FB"/>
    <w:rsid w:val="02CC716D"/>
    <w:rsid w:val="02D01BA7"/>
    <w:rsid w:val="02F70A1C"/>
    <w:rsid w:val="03142241"/>
    <w:rsid w:val="031B6B7F"/>
    <w:rsid w:val="031E7B7B"/>
    <w:rsid w:val="03CE6A70"/>
    <w:rsid w:val="03D35490"/>
    <w:rsid w:val="03D436D9"/>
    <w:rsid w:val="0404413A"/>
    <w:rsid w:val="043E570B"/>
    <w:rsid w:val="04B20B02"/>
    <w:rsid w:val="04E854F5"/>
    <w:rsid w:val="052A5A3F"/>
    <w:rsid w:val="0554711E"/>
    <w:rsid w:val="05E30C6F"/>
    <w:rsid w:val="06D51BAA"/>
    <w:rsid w:val="0717123D"/>
    <w:rsid w:val="07302F8E"/>
    <w:rsid w:val="07D13A79"/>
    <w:rsid w:val="07D24B26"/>
    <w:rsid w:val="07D55F4A"/>
    <w:rsid w:val="081E6F45"/>
    <w:rsid w:val="082314D5"/>
    <w:rsid w:val="088D1D6E"/>
    <w:rsid w:val="088F1091"/>
    <w:rsid w:val="08B56D56"/>
    <w:rsid w:val="09375D7F"/>
    <w:rsid w:val="09C50658"/>
    <w:rsid w:val="09DB6EA8"/>
    <w:rsid w:val="09EA30F8"/>
    <w:rsid w:val="09F417AF"/>
    <w:rsid w:val="09F978E2"/>
    <w:rsid w:val="0A5E18FC"/>
    <w:rsid w:val="0A6C7801"/>
    <w:rsid w:val="0AA269B4"/>
    <w:rsid w:val="0B485316"/>
    <w:rsid w:val="0B900AFD"/>
    <w:rsid w:val="0BD2051C"/>
    <w:rsid w:val="0BDA5A95"/>
    <w:rsid w:val="0BF9ED73"/>
    <w:rsid w:val="0C1A31C8"/>
    <w:rsid w:val="0D1C56D7"/>
    <w:rsid w:val="0D4412D1"/>
    <w:rsid w:val="0D5E75B2"/>
    <w:rsid w:val="0D815D13"/>
    <w:rsid w:val="0E5E729E"/>
    <w:rsid w:val="0EDF959D"/>
    <w:rsid w:val="0EEF68E2"/>
    <w:rsid w:val="0EFDA7FD"/>
    <w:rsid w:val="0EFFA722"/>
    <w:rsid w:val="0F5420ED"/>
    <w:rsid w:val="0F6949FB"/>
    <w:rsid w:val="0F6B0FEF"/>
    <w:rsid w:val="0F6E2FA7"/>
    <w:rsid w:val="0FBC57CD"/>
    <w:rsid w:val="103E5B2A"/>
    <w:rsid w:val="10704177"/>
    <w:rsid w:val="113A3891"/>
    <w:rsid w:val="11A847BC"/>
    <w:rsid w:val="11B2294F"/>
    <w:rsid w:val="11B529CE"/>
    <w:rsid w:val="11E953BA"/>
    <w:rsid w:val="123116B1"/>
    <w:rsid w:val="12567615"/>
    <w:rsid w:val="12A13996"/>
    <w:rsid w:val="12EC1DC7"/>
    <w:rsid w:val="12EE7D82"/>
    <w:rsid w:val="130C4CDB"/>
    <w:rsid w:val="134128D2"/>
    <w:rsid w:val="13AF6A10"/>
    <w:rsid w:val="13BE6AAB"/>
    <w:rsid w:val="13CC125A"/>
    <w:rsid w:val="140A12D4"/>
    <w:rsid w:val="14192A31"/>
    <w:rsid w:val="141E14B7"/>
    <w:rsid w:val="143A2C60"/>
    <w:rsid w:val="14844C7F"/>
    <w:rsid w:val="148B3AF2"/>
    <w:rsid w:val="14A32643"/>
    <w:rsid w:val="14D754AF"/>
    <w:rsid w:val="14F77F59"/>
    <w:rsid w:val="15BE0144"/>
    <w:rsid w:val="15E917CC"/>
    <w:rsid w:val="161A14EB"/>
    <w:rsid w:val="16292E07"/>
    <w:rsid w:val="16296E4A"/>
    <w:rsid w:val="165C6742"/>
    <w:rsid w:val="16615E82"/>
    <w:rsid w:val="16704936"/>
    <w:rsid w:val="16B40158"/>
    <w:rsid w:val="171F109B"/>
    <w:rsid w:val="176E25A4"/>
    <w:rsid w:val="17885987"/>
    <w:rsid w:val="179C724C"/>
    <w:rsid w:val="17BE4CD9"/>
    <w:rsid w:val="17E4A24F"/>
    <w:rsid w:val="17F074AB"/>
    <w:rsid w:val="17F925C0"/>
    <w:rsid w:val="180B370A"/>
    <w:rsid w:val="183E15A9"/>
    <w:rsid w:val="184575BD"/>
    <w:rsid w:val="186C1E69"/>
    <w:rsid w:val="187D305F"/>
    <w:rsid w:val="18A26221"/>
    <w:rsid w:val="18B27877"/>
    <w:rsid w:val="18CA5080"/>
    <w:rsid w:val="18FF0968"/>
    <w:rsid w:val="190B2C1D"/>
    <w:rsid w:val="1965085B"/>
    <w:rsid w:val="19C74C6A"/>
    <w:rsid w:val="19EB1817"/>
    <w:rsid w:val="1A082747"/>
    <w:rsid w:val="1A102387"/>
    <w:rsid w:val="1A2D4715"/>
    <w:rsid w:val="1A554A52"/>
    <w:rsid w:val="1AE86287"/>
    <w:rsid w:val="1B2B7382"/>
    <w:rsid w:val="1B592A5A"/>
    <w:rsid w:val="1B6D559E"/>
    <w:rsid w:val="1B9A04EF"/>
    <w:rsid w:val="1BA81C64"/>
    <w:rsid w:val="1BDE3899"/>
    <w:rsid w:val="1BE7320B"/>
    <w:rsid w:val="1BE974A7"/>
    <w:rsid w:val="1C4C3BCF"/>
    <w:rsid w:val="1C7CA71A"/>
    <w:rsid w:val="1CA728E0"/>
    <w:rsid w:val="1CAE619B"/>
    <w:rsid w:val="1D1F0CC8"/>
    <w:rsid w:val="1D201767"/>
    <w:rsid w:val="1D27184F"/>
    <w:rsid w:val="1D66901D"/>
    <w:rsid w:val="1D6D33D9"/>
    <w:rsid w:val="1DF20632"/>
    <w:rsid w:val="1E0E1394"/>
    <w:rsid w:val="1E150BD9"/>
    <w:rsid w:val="1EA471F4"/>
    <w:rsid w:val="1EB05819"/>
    <w:rsid w:val="1EBF5AB2"/>
    <w:rsid w:val="1EDF7C27"/>
    <w:rsid w:val="1EE74EDE"/>
    <w:rsid w:val="1F086FD0"/>
    <w:rsid w:val="1F4A66CB"/>
    <w:rsid w:val="1F7F7E72"/>
    <w:rsid w:val="1F841458"/>
    <w:rsid w:val="1F99634F"/>
    <w:rsid w:val="1FC52418"/>
    <w:rsid w:val="1FDC6146"/>
    <w:rsid w:val="1FEFFAF2"/>
    <w:rsid w:val="1FF79345"/>
    <w:rsid w:val="203408A9"/>
    <w:rsid w:val="20582817"/>
    <w:rsid w:val="20951352"/>
    <w:rsid w:val="20FBD4DB"/>
    <w:rsid w:val="20FF0C42"/>
    <w:rsid w:val="21163D3F"/>
    <w:rsid w:val="21C34ACD"/>
    <w:rsid w:val="21DA0166"/>
    <w:rsid w:val="222759DD"/>
    <w:rsid w:val="222F4B99"/>
    <w:rsid w:val="22571251"/>
    <w:rsid w:val="22616744"/>
    <w:rsid w:val="22814516"/>
    <w:rsid w:val="228276F3"/>
    <w:rsid w:val="22DE2C86"/>
    <w:rsid w:val="23286B18"/>
    <w:rsid w:val="232A1E72"/>
    <w:rsid w:val="23A72329"/>
    <w:rsid w:val="23B75F74"/>
    <w:rsid w:val="23F8402A"/>
    <w:rsid w:val="24281053"/>
    <w:rsid w:val="245A45C2"/>
    <w:rsid w:val="24A11AF9"/>
    <w:rsid w:val="24A35BD5"/>
    <w:rsid w:val="24AA60B7"/>
    <w:rsid w:val="24CC1412"/>
    <w:rsid w:val="24EA7F6E"/>
    <w:rsid w:val="255745DD"/>
    <w:rsid w:val="25826AB6"/>
    <w:rsid w:val="258D36BB"/>
    <w:rsid w:val="25DF2F08"/>
    <w:rsid w:val="25F046F9"/>
    <w:rsid w:val="26020916"/>
    <w:rsid w:val="26A863BA"/>
    <w:rsid w:val="26D838D7"/>
    <w:rsid w:val="26FA635D"/>
    <w:rsid w:val="2735710D"/>
    <w:rsid w:val="274677AC"/>
    <w:rsid w:val="274AB643"/>
    <w:rsid w:val="27723FEE"/>
    <w:rsid w:val="27766DC3"/>
    <w:rsid w:val="278E7E49"/>
    <w:rsid w:val="27BDF61B"/>
    <w:rsid w:val="27C87EB2"/>
    <w:rsid w:val="27DF1D5F"/>
    <w:rsid w:val="27FF2B73"/>
    <w:rsid w:val="28181BE6"/>
    <w:rsid w:val="282A223D"/>
    <w:rsid w:val="2832442B"/>
    <w:rsid w:val="286E5EF6"/>
    <w:rsid w:val="28786659"/>
    <w:rsid w:val="288C0C93"/>
    <w:rsid w:val="28AE6642"/>
    <w:rsid w:val="28E87769"/>
    <w:rsid w:val="29061987"/>
    <w:rsid w:val="293C4A01"/>
    <w:rsid w:val="294C27FE"/>
    <w:rsid w:val="29AB0D33"/>
    <w:rsid w:val="29EE68C6"/>
    <w:rsid w:val="2A842385"/>
    <w:rsid w:val="2B560E1B"/>
    <w:rsid w:val="2B917E0C"/>
    <w:rsid w:val="2BFBCFB8"/>
    <w:rsid w:val="2C132B67"/>
    <w:rsid w:val="2C5D38CE"/>
    <w:rsid w:val="2C913ADD"/>
    <w:rsid w:val="2CBE7A70"/>
    <w:rsid w:val="2CDF763D"/>
    <w:rsid w:val="2CEA7054"/>
    <w:rsid w:val="2D5F522F"/>
    <w:rsid w:val="2D6D5694"/>
    <w:rsid w:val="2D7D4405"/>
    <w:rsid w:val="2D8A4B55"/>
    <w:rsid w:val="2D933319"/>
    <w:rsid w:val="2D9B763C"/>
    <w:rsid w:val="2D9BF85F"/>
    <w:rsid w:val="2D9FC9B6"/>
    <w:rsid w:val="2DBD3BFA"/>
    <w:rsid w:val="2DC96C13"/>
    <w:rsid w:val="2DF32732"/>
    <w:rsid w:val="2E455D94"/>
    <w:rsid w:val="2E775F2D"/>
    <w:rsid w:val="2EB265AC"/>
    <w:rsid w:val="2F67157E"/>
    <w:rsid w:val="2F7F2540"/>
    <w:rsid w:val="2F96641B"/>
    <w:rsid w:val="2F9C0D1A"/>
    <w:rsid w:val="2F9FF831"/>
    <w:rsid w:val="2FB836C9"/>
    <w:rsid w:val="2FBFC4C3"/>
    <w:rsid w:val="2FBFD856"/>
    <w:rsid w:val="2FC92E14"/>
    <w:rsid w:val="2FFA61B3"/>
    <w:rsid w:val="2FFAE650"/>
    <w:rsid w:val="2FFE3564"/>
    <w:rsid w:val="3012724A"/>
    <w:rsid w:val="305F2AEA"/>
    <w:rsid w:val="30A048D2"/>
    <w:rsid w:val="30AC3C25"/>
    <w:rsid w:val="315B31EF"/>
    <w:rsid w:val="31900FC5"/>
    <w:rsid w:val="31CE629F"/>
    <w:rsid w:val="31F6EC7A"/>
    <w:rsid w:val="32C522FC"/>
    <w:rsid w:val="33843AB8"/>
    <w:rsid w:val="338C3DE9"/>
    <w:rsid w:val="33DD6EF7"/>
    <w:rsid w:val="33E246A2"/>
    <w:rsid w:val="33F56453"/>
    <w:rsid w:val="34251F16"/>
    <w:rsid w:val="344B116C"/>
    <w:rsid w:val="34790579"/>
    <w:rsid w:val="34AE06FF"/>
    <w:rsid w:val="35B427CB"/>
    <w:rsid w:val="35F252F3"/>
    <w:rsid w:val="35FB7409"/>
    <w:rsid w:val="361F6FE5"/>
    <w:rsid w:val="363D557D"/>
    <w:rsid w:val="36DEEC3B"/>
    <w:rsid w:val="36E6C5F7"/>
    <w:rsid w:val="376B7C44"/>
    <w:rsid w:val="37796BEA"/>
    <w:rsid w:val="37FF4536"/>
    <w:rsid w:val="38137EAB"/>
    <w:rsid w:val="38462B7D"/>
    <w:rsid w:val="38706E0B"/>
    <w:rsid w:val="38934559"/>
    <w:rsid w:val="391B3B67"/>
    <w:rsid w:val="391C2993"/>
    <w:rsid w:val="399B16B2"/>
    <w:rsid w:val="39BE568C"/>
    <w:rsid w:val="3A2A0747"/>
    <w:rsid w:val="3A3E785D"/>
    <w:rsid w:val="3A69949E"/>
    <w:rsid w:val="3AAFE413"/>
    <w:rsid w:val="3AEF18C8"/>
    <w:rsid w:val="3B7C4C07"/>
    <w:rsid w:val="3BA44332"/>
    <w:rsid w:val="3BB328D7"/>
    <w:rsid w:val="3BD5C9D6"/>
    <w:rsid w:val="3BD7B623"/>
    <w:rsid w:val="3BFD2226"/>
    <w:rsid w:val="3BFE254B"/>
    <w:rsid w:val="3BFF155D"/>
    <w:rsid w:val="3C010F64"/>
    <w:rsid w:val="3C04218D"/>
    <w:rsid w:val="3C085C60"/>
    <w:rsid w:val="3C222B9B"/>
    <w:rsid w:val="3C6954AF"/>
    <w:rsid w:val="3C93717B"/>
    <w:rsid w:val="3CA6DBA5"/>
    <w:rsid w:val="3CAF3BA6"/>
    <w:rsid w:val="3CBB206E"/>
    <w:rsid w:val="3CBF0F32"/>
    <w:rsid w:val="3CEC1036"/>
    <w:rsid w:val="3CF8B88B"/>
    <w:rsid w:val="3D015F84"/>
    <w:rsid w:val="3D743A9A"/>
    <w:rsid w:val="3D7FBF4F"/>
    <w:rsid w:val="3DC53272"/>
    <w:rsid w:val="3DDE5043"/>
    <w:rsid w:val="3DE968F4"/>
    <w:rsid w:val="3DFEC67A"/>
    <w:rsid w:val="3E1D259F"/>
    <w:rsid w:val="3E34751A"/>
    <w:rsid w:val="3E3E4CB3"/>
    <w:rsid w:val="3E723DCF"/>
    <w:rsid w:val="3E774AE9"/>
    <w:rsid w:val="3EAA538D"/>
    <w:rsid w:val="3F718527"/>
    <w:rsid w:val="3F7533C7"/>
    <w:rsid w:val="3F7ED758"/>
    <w:rsid w:val="3F841505"/>
    <w:rsid w:val="3F93524C"/>
    <w:rsid w:val="3F97364E"/>
    <w:rsid w:val="3F9BA26C"/>
    <w:rsid w:val="3F9FBEB6"/>
    <w:rsid w:val="3FC75BFF"/>
    <w:rsid w:val="3FCF7574"/>
    <w:rsid w:val="3FEFD65E"/>
    <w:rsid w:val="3FF6CD7D"/>
    <w:rsid w:val="3FFA96D2"/>
    <w:rsid w:val="401D5EC1"/>
    <w:rsid w:val="40507859"/>
    <w:rsid w:val="408D6B37"/>
    <w:rsid w:val="410E7C07"/>
    <w:rsid w:val="412C68AB"/>
    <w:rsid w:val="41744FE4"/>
    <w:rsid w:val="418A788F"/>
    <w:rsid w:val="418E5414"/>
    <w:rsid w:val="41BB25FB"/>
    <w:rsid w:val="41C62146"/>
    <w:rsid w:val="42111CAB"/>
    <w:rsid w:val="421E7D41"/>
    <w:rsid w:val="42494709"/>
    <w:rsid w:val="424E69E5"/>
    <w:rsid w:val="427412DB"/>
    <w:rsid w:val="427FDC3F"/>
    <w:rsid w:val="429226F3"/>
    <w:rsid w:val="42AF172B"/>
    <w:rsid w:val="42CC49FA"/>
    <w:rsid w:val="42FD2AAE"/>
    <w:rsid w:val="430C2D0E"/>
    <w:rsid w:val="43422D0B"/>
    <w:rsid w:val="434C0EB3"/>
    <w:rsid w:val="437F9020"/>
    <w:rsid w:val="43997FDD"/>
    <w:rsid w:val="439B73D3"/>
    <w:rsid w:val="43AA17DB"/>
    <w:rsid w:val="43D474DA"/>
    <w:rsid w:val="43E9CE6C"/>
    <w:rsid w:val="43F64480"/>
    <w:rsid w:val="43F931E4"/>
    <w:rsid w:val="441200AF"/>
    <w:rsid w:val="446D4740"/>
    <w:rsid w:val="44B43DCE"/>
    <w:rsid w:val="44E23D5F"/>
    <w:rsid w:val="451945FF"/>
    <w:rsid w:val="451D3402"/>
    <w:rsid w:val="452F4B04"/>
    <w:rsid w:val="4549325A"/>
    <w:rsid w:val="45674E2D"/>
    <w:rsid w:val="459B20B4"/>
    <w:rsid w:val="45A162CD"/>
    <w:rsid w:val="46931FE0"/>
    <w:rsid w:val="46AA1991"/>
    <w:rsid w:val="46C37D04"/>
    <w:rsid w:val="476F0273"/>
    <w:rsid w:val="479B78C0"/>
    <w:rsid w:val="47A715A5"/>
    <w:rsid w:val="47B7C788"/>
    <w:rsid w:val="47CE3496"/>
    <w:rsid w:val="483C4DB9"/>
    <w:rsid w:val="490A2F27"/>
    <w:rsid w:val="494F67C8"/>
    <w:rsid w:val="497F3B90"/>
    <w:rsid w:val="49A21130"/>
    <w:rsid w:val="4A3E1BCF"/>
    <w:rsid w:val="4A525DFC"/>
    <w:rsid w:val="4A806761"/>
    <w:rsid w:val="4A9D5E61"/>
    <w:rsid w:val="4AD75345"/>
    <w:rsid w:val="4BCD40C8"/>
    <w:rsid w:val="4C6027FA"/>
    <w:rsid w:val="4C683EE3"/>
    <w:rsid w:val="4C827D17"/>
    <w:rsid w:val="4CBA1AAC"/>
    <w:rsid w:val="4D506A5A"/>
    <w:rsid w:val="4D774483"/>
    <w:rsid w:val="4D7E3606"/>
    <w:rsid w:val="4DC06D21"/>
    <w:rsid w:val="4E6D3241"/>
    <w:rsid w:val="4EB78228"/>
    <w:rsid w:val="4EE2093E"/>
    <w:rsid w:val="4EE77D5F"/>
    <w:rsid w:val="4EFF67B2"/>
    <w:rsid w:val="4F2534E5"/>
    <w:rsid w:val="4F7A885B"/>
    <w:rsid w:val="4FB82040"/>
    <w:rsid w:val="4FBDAE38"/>
    <w:rsid w:val="4FD92A79"/>
    <w:rsid w:val="4FEFBAEA"/>
    <w:rsid w:val="4FFCC820"/>
    <w:rsid w:val="4FFEB40B"/>
    <w:rsid w:val="50074025"/>
    <w:rsid w:val="50237E6A"/>
    <w:rsid w:val="508C6CCD"/>
    <w:rsid w:val="50DB3569"/>
    <w:rsid w:val="519E0114"/>
    <w:rsid w:val="51BC2DA9"/>
    <w:rsid w:val="51CE5C6C"/>
    <w:rsid w:val="51E746DB"/>
    <w:rsid w:val="520143D1"/>
    <w:rsid w:val="52407136"/>
    <w:rsid w:val="5263765E"/>
    <w:rsid w:val="529C1530"/>
    <w:rsid w:val="53047D1E"/>
    <w:rsid w:val="532A14D2"/>
    <w:rsid w:val="53521169"/>
    <w:rsid w:val="536163A4"/>
    <w:rsid w:val="53B45601"/>
    <w:rsid w:val="53B7441A"/>
    <w:rsid w:val="53B93BEA"/>
    <w:rsid w:val="53BE7F4C"/>
    <w:rsid w:val="53DC4273"/>
    <w:rsid w:val="541115BE"/>
    <w:rsid w:val="54B321EB"/>
    <w:rsid w:val="54D74153"/>
    <w:rsid w:val="54D84760"/>
    <w:rsid w:val="550F5D13"/>
    <w:rsid w:val="551B3CC7"/>
    <w:rsid w:val="55294508"/>
    <w:rsid w:val="552DACB8"/>
    <w:rsid w:val="55663F0B"/>
    <w:rsid w:val="55761A69"/>
    <w:rsid w:val="557FCEA7"/>
    <w:rsid w:val="5590236E"/>
    <w:rsid w:val="55A4262D"/>
    <w:rsid w:val="55C44BBE"/>
    <w:rsid w:val="55DEDA43"/>
    <w:rsid w:val="55F8D52A"/>
    <w:rsid w:val="56745ACE"/>
    <w:rsid w:val="568C5DF4"/>
    <w:rsid w:val="56984696"/>
    <w:rsid w:val="56A859F1"/>
    <w:rsid w:val="571109CA"/>
    <w:rsid w:val="57491C26"/>
    <w:rsid w:val="57847D5C"/>
    <w:rsid w:val="57B7F95F"/>
    <w:rsid w:val="57BDC628"/>
    <w:rsid w:val="57C95ADC"/>
    <w:rsid w:val="57FEF6C1"/>
    <w:rsid w:val="5841705A"/>
    <w:rsid w:val="58633F23"/>
    <w:rsid w:val="58DD040D"/>
    <w:rsid w:val="58ED6A9D"/>
    <w:rsid w:val="590A7F26"/>
    <w:rsid w:val="592242BA"/>
    <w:rsid w:val="592D5508"/>
    <w:rsid w:val="59661D4E"/>
    <w:rsid w:val="597410D3"/>
    <w:rsid w:val="59BA29BB"/>
    <w:rsid w:val="59CF4495"/>
    <w:rsid w:val="59EB7134"/>
    <w:rsid w:val="59FF70D9"/>
    <w:rsid w:val="5A017AA3"/>
    <w:rsid w:val="5A1D3F88"/>
    <w:rsid w:val="5A7E443B"/>
    <w:rsid w:val="5ADA6DEA"/>
    <w:rsid w:val="5B145358"/>
    <w:rsid w:val="5B3A652A"/>
    <w:rsid w:val="5B47572D"/>
    <w:rsid w:val="5B4D623E"/>
    <w:rsid w:val="5B8628FA"/>
    <w:rsid w:val="5B8C4E25"/>
    <w:rsid w:val="5BB3B01A"/>
    <w:rsid w:val="5BBA2DDA"/>
    <w:rsid w:val="5BBF32CE"/>
    <w:rsid w:val="5BCA2F03"/>
    <w:rsid w:val="5BD79AD9"/>
    <w:rsid w:val="5BFFF589"/>
    <w:rsid w:val="5BFFF843"/>
    <w:rsid w:val="5C077DA4"/>
    <w:rsid w:val="5C151C80"/>
    <w:rsid w:val="5C1E34DF"/>
    <w:rsid w:val="5C1E5968"/>
    <w:rsid w:val="5C1F5E6B"/>
    <w:rsid w:val="5C4C6FFF"/>
    <w:rsid w:val="5C9D0CED"/>
    <w:rsid w:val="5D472FDD"/>
    <w:rsid w:val="5D7C12E6"/>
    <w:rsid w:val="5D7F4E5B"/>
    <w:rsid w:val="5D941486"/>
    <w:rsid w:val="5DAB684E"/>
    <w:rsid w:val="5DEDA04F"/>
    <w:rsid w:val="5DFBA080"/>
    <w:rsid w:val="5E0D2AAE"/>
    <w:rsid w:val="5E50032A"/>
    <w:rsid w:val="5E501647"/>
    <w:rsid w:val="5E6B690B"/>
    <w:rsid w:val="5EA42BA9"/>
    <w:rsid w:val="5ED52CB7"/>
    <w:rsid w:val="5EE5080A"/>
    <w:rsid w:val="5EFEEBCD"/>
    <w:rsid w:val="5EFF89B5"/>
    <w:rsid w:val="5EFFDDC6"/>
    <w:rsid w:val="5F5FC6E6"/>
    <w:rsid w:val="5F781FA8"/>
    <w:rsid w:val="5F794376"/>
    <w:rsid w:val="5F7CA413"/>
    <w:rsid w:val="5FCD7695"/>
    <w:rsid w:val="5FD9D2B1"/>
    <w:rsid w:val="5FD9E502"/>
    <w:rsid w:val="5FE44286"/>
    <w:rsid w:val="5FE604F3"/>
    <w:rsid w:val="5FE65F0C"/>
    <w:rsid w:val="5FF69770"/>
    <w:rsid w:val="5FF7A1BE"/>
    <w:rsid w:val="5FFF7696"/>
    <w:rsid w:val="5FFF9B25"/>
    <w:rsid w:val="5FFFE45B"/>
    <w:rsid w:val="600F7DB2"/>
    <w:rsid w:val="60574AA1"/>
    <w:rsid w:val="611B3E9F"/>
    <w:rsid w:val="614F2CD2"/>
    <w:rsid w:val="61665302"/>
    <w:rsid w:val="61B64532"/>
    <w:rsid w:val="61D260B1"/>
    <w:rsid w:val="61D935B0"/>
    <w:rsid w:val="62311F87"/>
    <w:rsid w:val="62486BC1"/>
    <w:rsid w:val="624A02CE"/>
    <w:rsid w:val="62545D33"/>
    <w:rsid w:val="62716736"/>
    <w:rsid w:val="62981AEF"/>
    <w:rsid w:val="62E220E0"/>
    <w:rsid w:val="62E37631"/>
    <w:rsid w:val="62EA078C"/>
    <w:rsid w:val="63237BAB"/>
    <w:rsid w:val="63356E3C"/>
    <w:rsid w:val="634808EB"/>
    <w:rsid w:val="635E6166"/>
    <w:rsid w:val="63FD3C94"/>
    <w:rsid w:val="640D41B6"/>
    <w:rsid w:val="642A1F5E"/>
    <w:rsid w:val="64383CB0"/>
    <w:rsid w:val="649D3CBC"/>
    <w:rsid w:val="64A966B5"/>
    <w:rsid w:val="64B2415B"/>
    <w:rsid w:val="64BC1BBD"/>
    <w:rsid w:val="64DB8AD5"/>
    <w:rsid w:val="64FF04F8"/>
    <w:rsid w:val="654137EB"/>
    <w:rsid w:val="657F2D42"/>
    <w:rsid w:val="65963936"/>
    <w:rsid w:val="65993834"/>
    <w:rsid w:val="65BD8525"/>
    <w:rsid w:val="65DD5C2C"/>
    <w:rsid w:val="667106A3"/>
    <w:rsid w:val="669B5377"/>
    <w:rsid w:val="669F6473"/>
    <w:rsid w:val="66AE496D"/>
    <w:rsid w:val="66BE37AB"/>
    <w:rsid w:val="66FB256E"/>
    <w:rsid w:val="66FD4C82"/>
    <w:rsid w:val="67067877"/>
    <w:rsid w:val="673D732A"/>
    <w:rsid w:val="675F3905"/>
    <w:rsid w:val="677ED1B2"/>
    <w:rsid w:val="678577BC"/>
    <w:rsid w:val="67B2125E"/>
    <w:rsid w:val="67B96ACB"/>
    <w:rsid w:val="67DB38E4"/>
    <w:rsid w:val="67F151D3"/>
    <w:rsid w:val="67F5B207"/>
    <w:rsid w:val="67FC669A"/>
    <w:rsid w:val="6847086A"/>
    <w:rsid w:val="68686C9A"/>
    <w:rsid w:val="68703114"/>
    <w:rsid w:val="68773B79"/>
    <w:rsid w:val="688E19E3"/>
    <w:rsid w:val="68DE4AAD"/>
    <w:rsid w:val="699827BC"/>
    <w:rsid w:val="69C03DB7"/>
    <w:rsid w:val="69F546C4"/>
    <w:rsid w:val="6A6F3043"/>
    <w:rsid w:val="6ABFF390"/>
    <w:rsid w:val="6AC1042B"/>
    <w:rsid w:val="6B7602AE"/>
    <w:rsid w:val="6B9A7254"/>
    <w:rsid w:val="6BBBCDC6"/>
    <w:rsid w:val="6BBD1C2E"/>
    <w:rsid w:val="6BBFEF47"/>
    <w:rsid w:val="6BC50CDD"/>
    <w:rsid w:val="6BF7B65E"/>
    <w:rsid w:val="6BFF3591"/>
    <w:rsid w:val="6C2459E5"/>
    <w:rsid w:val="6C27202E"/>
    <w:rsid w:val="6C4D5602"/>
    <w:rsid w:val="6CDE55F4"/>
    <w:rsid w:val="6CFF7AEA"/>
    <w:rsid w:val="6D091252"/>
    <w:rsid w:val="6D7AEEB1"/>
    <w:rsid w:val="6D820732"/>
    <w:rsid w:val="6D9C0778"/>
    <w:rsid w:val="6DF5804B"/>
    <w:rsid w:val="6DF71F43"/>
    <w:rsid w:val="6DFD0A8C"/>
    <w:rsid w:val="6DFDE6E6"/>
    <w:rsid w:val="6DFE9B1D"/>
    <w:rsid w:val="6E6F3CED"/>
    <w:rsid w:val="6E7F230C"/>
    <w:rsid w:val="6EDE6ACB"/>
    <w:rsid w:val="6EE06913"/>
    <w:rsid w:val="6EF237BE"/>
    <w:rsid w:val="6EFD8B99"/>
    <w:rsid w:val="6F0A61C2"/>
    <w:rsid w:val="6F222748"/>
    <w:rsid w:val="6F6E001A"/>
    <w:rsid w:val="6F6F5F38"/>
    <w:rsid w:val="6F7B6315"/>
    <w:rsid w:val="6F7BBC6D"/>
    <w:rsid w:val="6F8140F2"/>
    <w:rsid w:val="6F8F3A02"/>
    <w:rsid w:val="6F95E294"/>
    <w:rsid w:val="6FADA20C"/>
    <w:rsid w:val="6FBD7216"/>
    <w:rsid w:val="6FBF3D38"/>
    <w:rsid w:val="6FDB1714"/>
    <w:rsid w:val="6FDF3A3F"/>
    <w:rsid w:val="6FDFFD27"/>
    <w:rsid w:val="6FE79999"/>
    <w:rsid w:val="6FE7F823"/>
    <w:rsid w:val="6FEFA7F2"/>
    <w:rsid w:val="6FF567A0"/>
    <w:rsid w:val="6FF72D5C"/>
    <w:rsid w:val="6FFFDB10"/>
    <w:rsid w:val="6FFFF395"/>
    <w:rsid w:val="703300FF"/>
    <w:rsid w:val="706E4072"/>
    <w:rsid w:val="709F1957"/>
    <w:rsid w:val="70B62E00"/>
    <w:rsid w:val="70FB6C85"/>
    <w:rsid w:val="70FF32FC"/>
    <w:rsid w:val="71321A19"/>
    <w:rsid w:val="717E3DC1"/>
    <w:rsid w:val="719862FC"/>
    <w:rsid w:val="71B16911"/>
    <w:rsid w:val="71F71C71"/>
    <w:rsid w:val="71F8090B"/>
    <w:rsid w:val="71FFF273"/>
    <w:rsid w:val="72450A64"/>
    <w:rsid w:val="724E1948"/>
    <w:rsid w:val="7282422A"/>
    <w:rsid w:val="72880799"/>
    <w:rsid w:val="7290729B"/>
    <w:rsid w:val="731A2304"/>
    <w:rsid w:val="731D45F4"/>
    <w:rsid w:val="73431101"/>
    <w:rsid w:val="73443517"/>
    <w:rsid w:val="73480C28"/>
    <w:rsid w:val="73B22242"/>
    <w:rsid w:val="73F72045"/>
    <w:rsid w:val="73FFE90B"/>
    <w:rsid w:val="74117110"/>
    <w:rsid w:val="746133DD"/>
    <w:rsid w:val="7477B510"/>
    <w:rsid w:val="7480130A"/>
    <w:rsid w:val="74913A48"/>
    <w:rsid w:val="74A84AC1"/>
    <w:rsid w:val="74C57A14"/>
    <w:rsid w:val="7514126D"/>
    <w:rsid w:val="75295C02"/>
    <w:rsid w:val="7577604A"/>
    <w:rsid w:val="75894347"/>
    <w:rsid w:val="759952E6"/>
    <w:rsid w:val="75DC0638"/>
    <w:rsid w:val="75E25F21"/>
    <w:rsid w:val="75ED663B"/>
    <w:rsid w:val="75FCA734"/>
    <w:rsid w:val="75FEC980"/>
    <w:rsid w:val="75FF4CFF"/>
    <w:rsid w:val="760C88D0"/>
    <w:rsid w:val="763F942F"/>
    <w:rsid w:val="76587081"/>
    <w:rsid w:val="769F3EF8"/>
    <w:rsid w:val="76A1005E"/>
    <w:rsid w:val="76DF1901"/>
    <w:rsid w:val="76FB2EFB"/>
    <w:rsid w:val="77242AE5"/>
    <w:rsid w:val="7734077D"/>
    <w:rsid w:val="776FE0D2"/>
    <w:rsid w:val="7779CA41"/>
    <w:rsid w:val="777D9C6E"/>
    <w:rsid w:val="777E7A65"/>
    <w:rsid w:val="77993211"/>
    <w:rsid w:val="779BFC8E"/>
    <w:rsid w:val="77A7304B"/>
    <w:rsid w:val="77B772D9"/>
    <w:rsid w:val="77B7B0BB"/>
    <w:rsid w:val="77B7D8B5"/>
    <w:rsid w:val="77C45F05"/>
    <w:rsid w:val="77C5C3FB"/>
    <w:rsid w:val="77D70F96"/>
    <w:rsid w:val="77D9AC8C"/>
    <w:rsid w:val="77E7B730"/>
    <w:rsid w:val="77E8232D"/>
    <w:rsid w:val="77ECF52E"/>
    <w:rsid w:val="77F78455"/>
    <w:rsid w:val="77F96EDD"/>
    <w:rsid w:val="77FDC3BA"/>
    <w:rsid w:val="77FEDDE2"/>
    <w:rsid w:val="77FF16B7"/>
    <w:rsid w:val="77FF73B7"/>
    <w:rsid w:val="77FF744B"/>
    <w:rsid w:val="78204877"/>
    <w:rsid w:val="78BB5A56"/>
    <w:rsid w:val="78E9CF6F"/>
    <w:rsid w:val="78EE3408"/>
    <w:rsid w:val="7925489F"/>
    <w:rsid w:val="79264919"/>
    <w:rsid w:val="79299219"/>
    <w:rsid w:val="793F2E71"/>
    <w:rsid w:val="79713E6D"/>
    <w:rsid w:val="797D862D"/>
    <w:rsid w:val="798D7B94"/>
    <w:rsid w:val="799B16BB"/>
    <w:rsid w:val="79A33C1D"/>
    <w:rsid w:val="79C37329"/>
    <w:rsid w:val="79EC0ABA"/>
    <w:rsid w:val="79EF4DD7"/>
    <w:rsid w:val="79F65A42"/>
    <w:rsid w:val="79FDAA61"/>
    <w:rsid w:val="79FF098C"/>
    <w:rsid w:val="7A2C73B0"/>
    <w:rsid w:val="7A331D84"/>
    <w:rsid w:val="7AD7638A"/>
    <w:rsid w:val="7ADC323E"/>
    <w:rsid w:val="7AF73778"/>
    <w:rsid w:val="7AFB66BD"/>
    <w:rsid w:val="7B0D668C"/>
    <w:rsid w:val="7B6D68D4"/>
    <w:rsid w:val="7B733FFE"/>
    <w:rsid w:val="7B7D6740"/>
    <w:rsid w:val="7BAF4662"/>
    <w:rsid w:val="7BBCB257"/>
    <w:rsid w:val="7BBF7AE8"/>
    <w:rsid w:val="7BBF9938"/>
    <w:rsid w:val="7BE83D04"/>
    <w:rsid w:val="7BF6F37A"/>
    <w:rsid w:val="7BF9B3A9"/>
    <w:rsid w:val="7BFDF515"/>
    <w:rsid w:val="7BFE1C15"/>
    <w:rsid w:val="7BFF503B"/>
    <w:rsid w:val="7BFFA8E3"/>
    <w:rsid w:val="7C1447C8"/>
    <w:rsid w:val="7C3F40A9"/>
    <w:rsid w:val="7C646E2F"/>
    <w:rsid w:val="7C7FC1FD"/>
    <w:rsid w:val="7C94681C"/>
    <w:rsid w:val="7CA817D8"/>
    <w:rsid w:val="7CDE1C0C"/>
    <w:rsid w:val="7CE601BF"/>
    <w:rsid w:val="7CF06971"/>
    <w:rsid w:val="7CF34F06"/>
    <w:rsid w:val="7D2FDC25"/>
    <w:rsid w:val="7D491640"/>
    <w:rsid w:val="7D771EED"/>
    <w:rsid w:val="7D7FA958"/>
    <w:rsid w:val="7D8A75FE"/>
    <w:rsid w:val="7DAC4B31"/>
    <w:rsid w:val="7DBFFEAD"/>
    <w:rsid w:val="7DD7D927"/>
    <w:rsid w:val="7DEA7EED"/>
    <w:rsid w:val="7DEF8B66"/>
    <w:rsid w:val="7DF88603"/>
    <w:rsid w:val="7DF9528F"/>
    <w:rsid w:val="7DFE93AB"/>
    <w:rsid w:val="7DFED0F6"/>
    <w:rsid w:val="7E25253C"/>
    <w:rsid w:val="7E594CD6"/>
    <w:rsid w:val="7E601733"/>
    <w:rsid w:val="7E61CA7F"/>
    <w:rsid w:val="7E634904"/>
    <w:rsid w:val="7E6C76D7"/>
    <w:rsid w:val="7E7F75E4"/>
    <w:rsid w:val="7EBC71AE"/>
    <w:rsid w:val="7EBEBF9E"/>
    <w:rsid w:val="7EC743E3"/>
    <w:rsid w:val="7EDC7A08"/>
    <w:rsid w:val="7EE46858"/>
    <w:rsid w:val="7EF55071"/>
    <w:rsid w:val="7EF5E87A"/>
    <w:rsid w:val="7EF6FD70"/>
    <w:rsid w:val="7EF75527"/>
    <w:rsid w:val="7EFF01ED"/>
    <w:rsid w:val="7EFF0221"/>
    <w:rsid w:val="7EFF7E09"/>
    <w:rsid w:val="7EFF87BE"/>
    <w:rsid w:val="7EFFFB59"/>
    <w:rsid w:val="7F0F5E47"/>
    <w:rsid w:val="7F7D2163"/>
    <w:rsid w:val="7F7D4EED"/>
    <w:rsid w:val="7F7F7EE9"/>
    <w:rsid w:val="7F7F8355"/>
    <w:rsid w:val="7F7FFE12"/>
    <w:rsid w:val="7F912BD9"/>
    <w:rsid w:val="7F9F823B"/>
    <w:rsid w:val="7FAF749C"/>
    <w:rsid w:val="7FB363EB"/>
    <w:rsid w:val="7FB58077"/>
    <w:rsid w:val="7FBADE44"/>
    <w:rsid w:val="7FBC794C"/>
    <w:rsid w:val="7FBD1303"/>
    <w:rsid w:val="7FBD6C86"/>
    <w:rsid w:val="7FBDC60A"/>
    <w:rsid w:val="7FBDEA4D"/>
    <w:rsid w:val="7FBE9B25"/>
    <w:rsid w:val="7FCE1277"/>
    <w:rsid w:val="7FD706DB"/>
    <w:rsid w:val="7FDF2701"/>
    <w:rsid w:val="7FDF40B8"/>
    <w:rsid w:val="7FDFFBEC"/>
    <w:rsid w:val="7FED6A39"/>
    <w:rsid w:val="7FEF06FB"/>
    <w:rsid w:val="7FF34E9E"/>
    <w:rsid w:val="7FF7D4FF"/>
    <w:rsid w:val="7FFB5DAA"/>
    <w:rsid w:val="7FFBD863"/>
    <w:rsid w:val="7FFC8635"/>
    <w:rsid w:val="7FFDF0A5"/>
    <w:rsid w:val="7FFE302A"/>
    <w:rsid w:val="7FFE3798"/>
    <w:rsid w:val="7FFE5FED"/>
    <w:rsid w:val="7FFE7A10"/>
    <w:rsid w:val="7FFE968F"/>
    <w:rsid w:val="7FFF7841"/>
    <w:rsid w:val="7FFFA8DC"/>
    <w:rsid w:val="7FFFB37B"/>
    <w:rsid w:val="7FFFC8C7"/>
    <w:rsid w:val="884B0928"/>
    <w:rsid w:val="8FE345D4"/>
    <w:rsid w:val="91F62A81"/>
    <w:rsid w:val="959FF47E"/>
    <w:rsid w:val="98273B6C"/>
    <w:rsid w:val="9975EC3A"/>
    <w:rsid w:val="9B3DC01A"/>
    <w:rsid w:val="9C752382"/>
    <w:rsid w:val="9D6CDC44"/>
    <w:rsid w:val="9D7ECDC1"/>
    <w:rsid w:val="9DB14CEC"/>
    <w:rsid w:val="9DFF7617"/>
    <w:rsid w:val="9EFED6FB"/>
    <w:rsid w:val="9FBE06D0"/>
    <w:rsid w:val="9FEFD6B0"/>
    <w:rsid w:val="9FFBF9B8"/>
    <w:rsid w:val="9FFF318B"/>
    <w:rsid w:val="9FFFBE68"/>
    <w:rsid w:val="A53B183E"/>
    <w:rsid w:val="A76B8A78"/>
    <w:rsid w:val="A7DFF96A"/>
    <w:rsid w:val="A96D5D86"/>
    <w:rsid w:val="A9D4EF77"/>
    <w:rsid w:val="AAFF8187"/>
    <w:rsid w:val="AD2F7AE1"/>
    <w:rsid w:val="ADDC3D69"/>
    <w:rsid w:val="ADDC598D"/>
    <w:rsid w:val="AE1B4F82"/>
    <w:rsid w:val="AEFCFA9F"/>
    <w:rsid w:val="AEFF9AB5"/>
    <w:rsid w:val="AF6D5513"/>
    <w:rsid w:val="AFA92F00"/>
    <w:rsid w:val="B3BFCDDF"/>
    <w:rsid w:val="B3DFD03E"/>
    <w:rsid w:val="B3FED39C"/>
    <w:rsid w:val="B44BAF35"/>
    <w:rsid w:val="B4FF9DD1"/>
    <w:rsid w:val="B6FC3946"/>
    <w:rsid w:val="B74D15A5"/>
    <w:rsid w:val="B75F9C71"/>
    <w:rsid w:val="B7CEFC27"/>
    <w:rsid w:val="B7FB0F9F"/>
    <w:rsid w:val="B7FEDFFC"/>
    <w:rsid w:val="B7FEF53E"/>
    <w:rsid w:val="BA399FD2"/>
    <w:rsid w:val="BA7F9462"/>
    <w:rsid w:val="BB77150C"/>
    <w:rsid w:val="BBB49101"/>
    <w:rsid w:val="BBFE48B8"/>
    <w:rsid w:val="BBFFFC6E"/>
    <w:rsid w:val="BCD7A539"/>
    <w:rsid w:val="BCFF85C6"/>
    <w:rsid w:val="BD15FDEE"/>
    <w:rsid w:val="BDBFE653"/>
    <w:rsid w:val="BDF29487"/>
    <w:rsid w:val="BE6F58A9"/>
    <w:rsid w:val="BE72B5EE"/>
    <w:rsid w:val="BEFA973E"/>
    <w:rsid w:val="BEFC78A6"/>
    <w:rsid w:val="BF1F0E64"/>
    <w:rsid w:val="BF3F6A0A"/>
    <w:rsid w:val="BFBB8016"/>
    <w:rsid w:val="BFD30868"/>
    <w:rsid w:val="BFD51EA7"/>
    <w:rsid w:val="BFFB884F"/>
    <w:rsid w:val="BFFD9A92"/>
    <w:rsid w:val="BFFF4952"/>
    <w:rsid w:val="BFFF706F"/>
    <w:rsid w:val="C1F7B14C"/>
    <w:rsid w:val="C1FECB0A"/>
    <w:rsid w:val="C7FF2064"/>
    <w:rsid w:val="C856D629"/>
    <w:rsid w:val="CB4EE2F0"/>
    <w:rsid w:val="CB6F2D76"/>
    <w:rsid w:val="CB7BE529"/>
    <w:rsid w:val="CBFE6663"/>
    <w:rsid w:val="CDD7EA71"/>
    <w:rsid w:val="CDEA4076"/>
    <w:rsid w:val="CE9F9ECA"/>
    <w:rsid w:val="CF7BF90C"/>
    <w:rsid w:val="CFFEA0FE"/>
    <w:rsid w:val="D5F9C3C5"/>
    <w:rsid w:val="D6FFF645"/>
    <w:rsid w:val="D75DFC9E"/>
    <w:rsid w:val="D7E74D0E"/>
    <w:rsid w:val="D7FB49B1"/>
    <w:rsid w:val="D9CD1B8A"/>
    <w:rsid w:val="D9FE3325"/>
    <w:rsid w:val="D9FF9E65"/>
    <w:rsid w:val="DB2DF91C"/>
    <w:rsid w:val="DB864425"/>
    <w:rsid w:val="DB97AE06"/>
    <w:rsid w:val="DBD8B01E"/>
    <w:rsid w:val="DBFCBE42"/>
    <w:rsid w:val="DCDF50E8"/>
    <w:rsid w:val="DCF56A29"/>
    <w:rsid w:val="DCFFB841"/>
    <w:rsid w:val="DD812722"/>
    <w:rsid w:val="DDBAAE83"/>
    <w:rsid w:val="DDE9BCEB"/>
    <w:rsid w:val="DDFF7228"/>
    <w:rsid w:val="DEF7D2C5"/>
    <w:rsid w:val="DF5EA5CB"/>
    <w:rsid w:val="DF7EF22B"/>
    <w:rsid w:val="DFA55A14"/>
    <w:rsid w:val="DFB28732"/>
    <w:rsid w:val="DFBB094D"/>
    <w:rsid w:val="DFBF9E53"/>
    <w:rsid w:val="DFCF273E"/>
    <w:rsid w:val="DFDF6EF8"/>
    <w:rsid w:val="DFE31A0B"/>
    <w:rsid w:val="DFE7A813"/>
    <w:rsid w:val="DFEFEB19"/>
    <w:rsid w:val="E27BD1C6"/>
    <w:rsid w:val="E2CDD10C"/>
    <w:rsid w:val="E3FE3AB9"/>
    <w:rsid w:val="E4EB412E"/>
    <w:rsid w:val="E4FE4ED4"/>
    <w:rsid w:val="E5572125"/>
    <w:rsid w:val="E5DFA24B"/>
    <w:rsid w:val="E5FF6026"/>
    <w:rsid w:val="E6F739BF"/>
    <w:rsid w:val="E7DD87E0"/>
    <w:rsid w:val="E7DFBB0A"/>
    <w:rsid w:val="E7FB2F98"/>
    <w:rsid w:val="E95FEEA1"/>
    <w:rsid w:val="E97F5152"/>
    <w:rsid w:val="E9D0B65F"/>
    <w:rsid w:val="EACE9478"/>
    <w:rsid w:val="EB377C7E"/>
    <w:rsid w:val="EB59480E"/>
    <w:rsid w:val="EBB5BCDA"/>
    <w:rsid w:val="EBCD56A3"/>
    <w:rsid w:val="EBDBA27A"/>
    <w:rsid w:val="EBFF7D6B"/>
    <w:rsid w:val="EC2FF763"/>
    <w:rsid w:val="EDC88784"/>
    <w:rsid w:val="EDDE25BA"/>
    <w:rsid w:val="EDFFDAD9"/>
    <w:rsid w:val="EDFFF617"/>
    <w:rsid w:val="EE2D23F6"/>
    <w:rsid w:val="EE73C1DD"/>
    <w:rsid w:val="EE73F7D5"/>
    <w:rsid w:val="EEBF71F6"/>
    <w:rsid w:val="EED459A9"/>
    <w:rsid w:val="EEF7777F"/>
    <w:rsid w:val="EF62FFE2"/>
    <w:rsid w:val="EF6EB87A"/>
    <w:rsid w:val="EF7E1FD5"/>
    <w:rsid w:val="EF8BB83A"/>
    <w:rsid w:val="EFCE0DF5"/>
    <w:rsid w:val="EFDB37C9"/>
    <w:rsid w:val="EFDF4EF6"/>
    <w:rsid w:val="EFEC9BB0"/>
    <w:rsid w:val="EFEF6325"/>
    <w:rsid w:val="EFF8DAF6"/>
    <w:rsid w:val="EFFD1C70"/>
    <w:rsid w:val="EFFF4121"/>
    <w:rsid w:val="EFFFECB6"/>
    <w:rsid w:val="F06DEBCE"/>
    <w:rsid w:val="F0AA78A2"/>
    <w:rsid w:val="F38EEAE1"/>
    <w:rsid w:val="F3BE5797"/>
    <w:rsid w:val="F3BF2987"/>
    <w:rsid w:val="F3DB5257"/>
    <w:rsid w:val="F3DB59B3"/>
    <w:rsid w:val="F3DF1ED7"/>
    <w:rsid w:val="F3F7F969"/>
    <w:rsid w:val="F3FCACFB"/>
    <w:rsid w:val="F3FE7A51"/>
    <w:rsid w:val="F4EAB5A9"/>
    <w:rsid w:val="F55A6818"/>
    <w:rsid w:val="F5C112A0"/>
    <w:rsid w:val="F5FE967A"/>
    <w:rsid w:val="F6DF5AD6"/>
    <w:rsid w:val="F6FFF2D0"/>
    <w:rsid w:val="F704A640"/>
    <w:rsid w:val="F73C3246"/>
    <w:rsid w:val="F77F6A34"/>
    <w:rsid w:val="F796D9AE"/>
    <w:rsid w:val="F7BF61BF"/>
    <w:rsid w:val="F7BFBF75"/>
    <w:rsid w:val="F7BFF79F"/>
    <w:rsid w:val="F7CD7A32"/>
    <w:rsid w:val="F7DF5D2E"/>
    <w:rsid w:val="F7DF5FEC"/>
    <w:rsid w:val="F7DFED2D"/>
    <w:rsid w:val="F7E50537"/>
    <w:rsid w:val="F7EEE696"/>
    <w:rsid w:val="F7EF9F88"/>
    <w:rsid w:val="F7F7A257"/>
    <w:rsid w:val="F7FABED8"/>
    <w:rsid w:val="F7FF21AB"/>
    <w:rsid w:val="F7FF25B5"/>
    <w:rsid w:val="F7FFCEC9"/>
    <w:rsid w:val="F95791D2"/>
    <w:rsid w:val="F9739682"/>
    <w:rsid w:val="F9BF63F7"/>
    <w:rsid w:val="F9DD8441"/>
    <w:rsid w:val="F9DEE829"/>
    <w:rsid w:val="F9FE1FCC"/>
    <w:rsid w:val="FA96D252"/>
    <w:rsid w:val="FAA4AEAE"/>
    <w:rsid w:val="FABF6DDC"/>
    <w:rsid w:val="FACF3526"/>
    <w:rsid w:val="FAFF86BE"/>
    <w:rsid w:val="FAFFABE5"/>
    <w:rsid w:val="FB6F18A9"/>
    <w:rsid w:val="FB7F727C"/>
    <w:rsid w:val="FB7FB173"/>
    <w:rsid w:val="FBAFD0CF"/>
    <w:rsid w:val="FBBBE7D5"/>
    <w:rsid w:val="FBBD9849"/>
    <w:rsid w:val="FBDDA13A"/>
    <w:rsid w:val="FBDF0A66"/>
    <w:rsid w:val="FBDF7E1C"/>
    <w:rsid w:val="FBDFA0B2"/>
    <w:rsid w:val="FBDFA711"/>
    <w:rsid w:val="FBFBAF86"/>
    <w:rsid w:val="FBFE3B40"/>
    <w:rsid w:val="FCEE30A6"/>
    <w:rsid w:val="FCEF3754"/>
    <w:rsid w:val="FCF5D3B1"/>
    <w:rsid w:val="FCFD454D"/>
    <w:rsid w:val="FCFF41EE"/>
    <w:rsid w:val="FD6E6DC8"/>
    <w:rsid w:val="FD7F1577"/>
    <w:rsid w:val="FD91981A"/>
    <w:rsid w:val="FDD9BBF5"/>
    <w:rsid w:val="FDD9ED86"/>
    <w:rsid w:val="FDEF0E2B"/>
    <w:rsid w:val="FDEF1F7B"/>
    <w:rsid w:val="FDF379F4"/>
    <w:rsid w:val="FDF4ADB8"/>
    <w:rsid w:val="FDF7A4EB"/>
    <w:rsid w:val="FDF7FAE7"/>
    <w:rsid w:val="FDF91F25"/>
    <w:rsid w:val="FDFD79EA"/>
    <w:rsid w:val="FE6B1036"/>
    <w:rsid w:val="FED804FE"/>
    <w:rsid w:val="FEDDDA16"/>
    <w:rsid w:val="FEFDDE84"/>
    <w:rsid w:val="FEFE9B5F"/>
    <w:rsid w:val="FEFEED50"/>
    <w:rsid w:val="FEFF2494"/>
    <w:rsid w:val="FEFF651E"/>
    <w:rsid w:val="FEFFE2A8"/>
    <w:rsid w:val="FF1F5F26"/>
    <w:rsid w:val="FF2A7948"/>
    <w:rsid w:val="FF3F6728"/>
    <w:rsid w:val="FF5F93A4"/>
    <w:rsid w:val="FF689685"/>
    <w:rsid w:val="FF6FAC29"/>
    <w:rsid w:val="FF77CBC5"/>
    <w:rsid w:val="FF7F6FE0"/>
    <w:rsid w:val="FF7FC998"/>
    <w:rsid w:val="FFB59692"/>
    <w:rsid w:val="FFB703E0"/>
    <w:rsid w:val="FFB718C9"/>
    <w:rsid w:val="FFBB14BA"/>
    <w:rsid w:val="FFBEA19B"/>
    <w:rsid w:val="FFBEBD71"/>
    <w:rsid w:val="FFD38D01"/>
    <w:rsid w:val="FFDB51C0"/>
    <w:rsid w:val="FFDB7047"/>
    <w:rsid w:val="FFDCFA2E"/>
    <w:rsid w:val="FFDF7815"/>
    <w:rsid w:val="FFE3F581"/>
    <w:rsid w:val="FFE7E1F6"/>
    <w:rsid w:val="FFE9613C"/>
    <w:rsid w:val="FFE9CDD9"/>
    <w:rsid w:val="FFEC63C7"/>
    <w:rsid w:val="FFED0374"/>
    <w:rsid w:val="FFEDC5EB"/>
    <w:rsid w:val="FFEF178B"/>
    <w:rsid w:val="FFF288F9"/>
    <w:rsid w:val="FFF7F713"/>
    <w:rsid w:val="FFF8FF23"/>
    <w:rsid w:val="FFFAB0A0"/>
    <w:rsid w:val="FFFB0EE2"/>
    <w:rsid w:val="FFFC01CA"/>
    <w:rsid w:val="FFFD7907"/>
    <w:rsid w:val="FFFE313C"/>
    <w:rsid w:val="FFFF28DC"/>
    <w:rsid w:val="FFFF4393"/>
    <w:rsid w:val="FFFF510E"/>
    <w:rsid w:val="FFFFB2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5">
    <w:name w:val="heading 1"/>
    <w:basedOn w:val="1"/>
    <w:next w:val="1"/>
    <w:qFormat/>
    <w:uiPriority w:val="0"/>
    <w:pPr>
      <w:autoSpaceDE w:val="0"/>
      <w:autoSpaceDN w:val="0"/>
      <w:adjustRightInd w:val="0"/>
      <w:jc w:val="left"/>
      <w:outlineLvl w:val="0"/>
    </w:pPr>
    <w:rPr>
      <w:kern w:val="0"/>
      <w:sz w:val="20"/>
      <w:szCs w:val="24"/>
    </w:rPr>
  </w:style>
  <w:style w:type="paragraph" w:styleId="6">
    <w:name w:val="heading 2"/>
    <w:basedOn w:val="1"/>
    <w:next w:val="7"/>
    <w:qFormat/>
    <w:uiPriority w:val="0"/>
    <w:pPr>
      <w:autoSpaceDE w:val="0"/>
      <w:autoSpaceDN w:val="0"/>
      <w:adjustRightInd w:val="0"/>
      <w:jc w:val="left"/>
      <w:outlineLvl w:val="1"/>
    </w:pPr>
    <w:rPr>
      <w:kern w:val="0"/>
      <w:sz w:val="20"/>
      <w:szCs w:val="24"/>
    </w:rPr>
  </w:style>
  <w:style w:type="paragraph" w:styleId="8">
    <w:name w:val="heading 3"/>
    <w:basedOn w:val="1"/>
    <w:next w:val="7"/>
    <w:qFormat/>
    <w:uiPriority w:val="0"/>
    <w:pPr>
      <w:keepNext/>
      <w:keepLines/>
      <w:spacing w:before="260" w:after="260" w:line="416" w:lineRule="auto"/>
      <w:outlineLvl w:val="2"/>
    </w:pPr>
    <w:rPr>
      <w:b/>
      <w:bCs/>
      <w:sz w:val="32"/>
      <w:szCs w:val="32"/>
    </w:rPr>
  </w:style>
  <w:style w:type="paragraph" w:styleId="9">
    <w:name w:val="heading 6"/>
    <w:basedOn w:val="1"/>
    <w:next w:val="1"/>
    <w:qFormat/>
    <w:uiPriority w:val="0"/>
    <w:pPr>
      <w:widowControl/>
      <w:spacing w:before="60" w:after="60" w:line="440" w:lineRule="atLeast"/>
      <w:textAlignment w:val="baseline"/>
      <w:outlineLvl w:val="5"/>
    </w:pPr>
    <w:rPr>
      <w:rFonts w:ascii="宋体" w:hAnsi="Arial"/>
      <w:kern w:val="0"/>
      <w:sz w:val="24"/>
      <w:szCs w:val="20"/>
    </w:rPr>
  </w:style>
  <w:style w:type="character" w:default="1" w:styleId="27">
    <w:name w:val="Default Paragraph Font"/>
    <w:semiHidden/>
    <w:uiPriority w:val="0"/>
  </w:style>
  <w:style w:type="table" w:default="1" w:styleId="2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5"/>
      <w:tblCellMar>
        <w:top w:w="0" w:type="dxa"/>
        <w:left w:w="108" w:type="dxa"/>
        <w:bottom w:w="0" w:type="dxa"/>
        <w:right w:w="108" w:type="dxa"/>
      </w:tblCellMar>
    </w:tblPr>
  </w:style>
  <w:style w:type="paragraph" w:styleId="2">
    <w:name w:val="Body Text First Indent 2"/>
    <w:basedOn w:val="3"/>
    <w:next w:val="4"/>
    <w:link w:val="41"/>
    <w:uiPriority w:val="0"/>
    <w:pPr>
      <w:spacing w:after="120" w:line="240" w:lineRule="auto"/>
      <w:ind w:left="420" w:leftChars="200" w:firstLineChars="200"/>
    </w:pPr>
  </w:style>
  <w:style w:type="paragraph" w:styleId="3">
    <w:name w:val="Body Text Indent"/>
    <w:basedOn w:val="1"/>
    <w:next w:val="1"/>
    <w:link w:val="40"/>
    <w:uiPriority w:val="0"/>
    <w:pPr>
      <w:spacing w:line="500" w:lineRule="exact"/>
      <w:ind w:firstLine="420"/>
    </w:pPr>
  </w:style>
  <w:style w:type="paragraph" w:styleId="4">
    <w:name w:val="toa heading"/>
    <w:basedOn w:val="1"/>
    <w:next w:val="1"/>
    <w:qFormat/>
    <w:uiPriority w:val="0"/>
    <w:pPr>
      <w:spacing w:before="120"/>
    </w:pPr>
    <w:rPr>
      <w:rFonts w:ascii="Arial" w:hAnsi="Arial"/>
      <w:sz w:val="24"/>
    </w:rPr>
  </w:style>
  <w:style w:type="paragraph" w:styleId="7">
    <w:name w:val="Normal Indent"/>
    <w:basedOn w:val="1"/>
    <w:next w:val="1"/>
    <w:uiPriority w:val="0"/>
    <w:pPr>
      <w:adjustRightInd w:val="0"/>
      <w:spacing w:line="360" w:lineRule="atLeast"/>
      <w:ind w:firstLine="420" w:firstLineChars="200"/>
      <w:jc w:val="left"/>
      <w:textAlignment w:val="baseline"/>
    </w:pPr>
    <w:rPr>
      <w:kern w:val="0"/>
      <w:sz w:val="24"/>
    </w:rPr>
  </w:style>
  <w:style w:type="paragraph" w:styleId="10">
    <w:name w:val="caption"/>
    <w:basedOn w:val="1"/>
    <w:next w:val="1"/>
    <w:qFormat/>
    <w:uiPriority w:val="0"/>
    <w:pPr>
      <w:spacing w:before="152" w:after="160"/>
    </w:pPr>
    <w:rPr>
      <w:rFonts w:ascii="Arial" w:hAnsi="Arial" w:eastAsia="黑体"/>
    </w:rPr>
  </w:style>
  <w:style w:type="paragraph" w:styleId="11">
    <w:name w:val="annotation text"/>
    <w:basedOn w:val="1"/>
    <w:link w:val="42"/>
    <w:uiPriority w:val="0"/>
    <w:pPr>
      <w:jc w:val="left"/>
    </w:pPr>
  </w:style>
  <w:style w:type="paragraph" w:styleId="12">
    <w:name w:val="Body Text"/>
    <w:basedOn w:val="1"/>
    <w:next w:val="1"/>
    <w:uiPriority w:val="0"/>
    <w:rPr>
      <w:i/>
      <w:sz w:val="18"/>
    </w:rPr>
  </w:style>
  <w:style w:type="paragraph" w:styleId="13">
    <w:name w:val="Plain Text"/>
    <w:basedOn w:val="1"/>
    <w:uiPriority w:val="0"/>
    <w:pPr>
      <w:spacing w:before="156" w:beforeLines="50" w:after="156" w:afterLines="50" w:line="400" w:lineRule="exact"/>
    </w:pPr>
    <w:rPr>
      <w:rFonts w:ascii="宋体" w:hAnsi="Courier New"/>
      <w:sz w:val="24"/>
      <w:szCs w:val="24"/>
    </w:rPr>
  </w:style>
  <w:style w:type="paragraph" w:styleId="14">
    <w:name w:val="Date"/>
    <w:basedOn w:val="1"/>
    <w:next w:val="1"/>
    <w:uiPriority w:val="0"/>
  </w:style>
  <w:style w:type="paragraph" w:styleId="15">
    <w:name w:val="Body Text Indent 2"/>
    <w:basedOn w:val="1"/>
    <w:link w:val="43"/>
    <w:uiPriority w:val="0"/>
    <w:pPr>
      <w:spacing w:after="120" w:line="480" w:lineRule="auto"/>
      <w:ind w:left="420" w:leftChars="200"/>
    </w:pPr>
  </w:style>
  <w:style w:type="paragraph" w:styleId="16">
    <w:name w:val="Balloon Text"/>
    <w:basedOn w:val="1"/>
    <w:link w:val="44"/>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envelope return"/>
    <w:basedOn w:val="1"/>
    <w:qFormat/>
    <w:uiPriority w:val="0"/>
    <w:pPr>
      <w:snapToGrid w:val="0"/>
    </w:pPr>
    <w:rPr>
      <w:rFonts w:ascii="Arial" w:hAnsi="Arial"/>
    </w:rPr>
  </w:style>
  <w:style w:type="paragraph" w:styleId="19">
    <w:name w:val="header"/>
    <w:basedOn w:val="1"/>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pPr>
      <w:spacing w:line="360" w:lineRule="auto"/>
    </w:pPr>
    <w:rPr>
      <w:sz w:val="28"/>
    </w:rPr>
  </w:style>
  <w:style w:type="paragraph" w:styleId="21">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paragraph" w:styleId="2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23">
    <w:name w:val="annotation subject"/>
    <w:basedOn w:val="11"/>
    <w:next w:val="11"/>
    <w:link w:val="45"/>
    <w:uiPriority w:val="0"/>
    <w:rPr>
      <w:b/>
      <w:bCs/>
    </w:rPr>
  </w:style>
  <w:style w:type="paragraph" w:styleId="24">
    <w:name w:val="Body Text First Indent"/>
    <w:basedOn w:val="12"/>
    <w:unhideWhenUsed/>
    <w:qFormat/>
    <w:uiPriority w:val="99"/>
    <w:pPr>
      <w:spacing w:after="120"/>
      <w:ind w:firstLine="420" w:firstLineChars="100"/>
    </w:pPr>
    <w:rPr>
      <w:i w:val="0"/>
      <w:sz w:val="21"/>
    </w:rPr>
  </w:style>
  <w:style w:type="table" w:styleId="26">
    <w:name w:val="Table Grid"/>
    <w:basedOn w:val="25"/>
    <w:unhideWhenUsed/>
    <w:uiPriority w:val="99"/>
    <w:pPr>
      <w:widowControl w:val="0"/>
      <w:jc w:val="both"/>
    </w:p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uiPriority w:val="0"/>
  </w:style>
  <w:style w:type="character" w:styleId="30">
    <w:name w:val="FollowedHyperlink"/>
    <w:uiPriority w:val="0"/>
    <w:rPr>
      <w:color w:val="3F88BF"/>
      <w:u w:val="none"/>
    </w:rPr>
  </w:style>
  <w:style w:type="character" w:styleId="31">
    <w:name w:val="Emphasis"/>
    <w:qFormat/>
    <w:uiPriority w:val="0"/>
  </w:style>
  <w:style w:type="character" w:styleId="32">
    <w:name w:val="HTML Definition"/>
    <w:uiPriority w:val="0"/>
  </w:style>
  <w:style w:type="character" w:styleId="33">
    <w:name w:val="HTML Variable"/>
    <w:uiPriority w:val="0"/>
  </w:style>
  <w:style w:type="character" w:styleId="34">
    <w:name w:val="Hyperlink"/>
    <w:uiPriority w:val="0"/>
    <w:rPr>
      <w:color w:val="3F88BF"/>
      <w:u w:val="none"/>
    </w:rPr>
  </w:style>
  <w:style w:type="character" w:styleId="35">
    <w:name w:val="HTML Code"/>
    <w:uiPriority w:val="0"/>
    <w:rPr>
      <w:rFonts w:hint="default" w:ascii="Arial" w:hAnsi="Arial" w:eastAsia="Arial" w:cs="Arial"/>
      <w:sz w:val="20"/>
    </w:rPr>
  </w:style>
  <w:style w:type="character" w:styleId="36">
    <w:name w:val="annotation reference"/>
    <w:uiPriority w:val="99"/>
    <w:rPr>
      <w:sz w:val="21"/>
      <w:szCs w:val="21"/>
    </w:rPr>
  </w:style>
  <w:style w:type="character" w:styleId="37">
    <w:name w:val="HTML Cite"/>
    <w:uiPriority w:val="0"/>
  </w:style>
  <w:style w:type="character" w:styleId="38">
    <w:name w:val="HTML Keyboard"/>
    <w:uiPriority w:val="0"/>
    <w:rPr>
      <w:rFonts w:hint="default" w:ascii="Arial" w:hAnsi="Arial" w:eastAsia="Arial" w:cs="Arial"/>
      <w:sz w:val="20"/>
    </w:rPr>
  </w:style>
  <w:style w:type="character" w:styleId="39">
    <w:name w:val="HTML Sample"/>
    <w:uiPriority w:val="0"/>
    <w:rPr>
      <w:rFonts w:hint="eastAsia" w:ascii="Arial" w:hAnsi="Arial" w:eastAsia="Arial" w:cs="Arial"/>
    </w:rPr>
  </w:style>
  <w:style w:type="character" w:customStyle="1" w:styleId="40">
    <w:name w:val="正文文本缩进 Char"/>
    <w:link w:val="3"/>
    <w:uiPriority w:val="0"/>
    <w:rPr>
      <w:kern w:val="2"/>
      <w:sz w:val="21"/>
    </w:rPr>
  </w:style>
  <w:style w:type="character" w:customStyle="1" w:styleId="41">
    <w:name w:val="正文首行缩进 2 Char"/>
    <w:basedOn w:val="40"/>
    <w:link w:val="2"/>
    <w:uiPriority w:val="0"/>
  </w:style>
  <w:style w:type="character" w:customStyle="1" w:styleId="42">
    <w:name w:val="批注文字 Char"/>
    <w:link w:val="11"/>
    <w:uiPriority w:val="0"/>
    <w:rPr>
      <w:kern w:val="2"/>
      <w:sz w:val="21"/>
    </w:rPr>
  </w:style>
  <w:style w:type="character" w:customStyle="1" w:styleId="43">
    <w:name w:val="正文文本缩进 2 Char"/>
    <w:link w:val="15"/>
    <w:uiPriority w:val="0"/>
    <w:rPr>
      <w:kern w:val="2"/>
      <w:sz w:val="21"/>
    </w:rPr>
  </w:style>
  <w:style w:type="character" w:customStyle="1" w:styleId="44">
    <w:name w:val="批注框文本 Char"/>
    <w:link w:val="16"/>
    <w:uiPriority w:val="0"/>
    <w:rPr>
      <w:kern w:val="2"/>
      <w:sz w:val="18"/>
      <w:szCs w:val="18"/>
    </w:rPr>
  </w:style>
  <w:style w:type="character" w:customStyle="1" w:styleId="45">
    <w:name w:val="批注主题 Char"/>
    <w:link w:val="23"/>
    <w:uiPriority w:val="0"/>
    <w:rPr>
      <w:b/>
      <w:bCs/>
      <w:kern w:val="2"/>
      <w:sz w:val="21"/>
    </w:rPr>
  </w:style>
  <w:style w:type="paragraph" w:customStyle="1" w:styleId="46">
    <w:name w:val="Body Text First Indent 21"/>
    <w:basedOn w:val="47"/>
    <w:qFormat/>
    <w:uiPriority w:val="0"/>
    <w:pPr>
      <w:ind w:left="420" w:leftChars="200" w:firstLine="420"/>
    </w:pPr>
  </w:style>
  <w:style w:type="paragraph" w:customStyle="1" w:styleId="47">
    <w:name w:val="Body Text Indent1"/>
    <w:basedOn w:val="1"/>
    <w:qFormat/>
    <w:uiPriority w:val="99"/>
    <w:pPr>
      <w:ind w:left="420" w:leftChars="200"/>
    </w:pPr>
    <w:rPr>
      <w:rFonts w:ascii="Times New Roman" w:hAnsi="Times New Roman" w:eastAsia="宋体" w:cs="Times New Roman"/>
    </w:rPr>
  </w:style>
  <w:style w:type="paragraph" w:customStyle="1" w:styleId="48">
    <w:name w:val="_Style 3"/>
    <w:basedOn w:val="1"/>
    <w:qFormat/>
    <w:uiPriority w:val="0"/>
    <w:pPr>
      <w:adjustRightInd/>
      <w:ind w:firstLine="420" w:firstLineChars="200"/>
    </w:pPr>
    <w:rPr>
      <w:rFonts w:eastAsia="仿宋_GB2312"/>
      <w:sz w:val="28"/>
    </w:rPr>
  </w:style>
  <w:style w:type="paragraph" w:customStyle="1" w:styleId="49">
    <w:name w:val="Default"/>
    <w:next w:val="50"/>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2">
    <w:name w:val="表格文字"/>
    <w:basedOn w:val="1"/>
    <w:next w:val="12"/>
    <w:uiPriority w:val="0"/>
    <w:pPr>
      <w:adjustRightInd w:val="0"/>
      <w:spacing w:line="420" w:lineRule="atLeast"/>
      <w:jc w:val="left"/>
      <w:textAlignment w:val="baseline"/>
    </w:pPr>
    <w:rPr>
      <w:kern w:val="0"/>
      <w:szCs w:val="21"/>
    </w:rPr>
  </w:style>
  <w:style w:type="character" w:customStyle="1" w:styleId="53">
    <w:name w:val="批注文字 Char1"/>
    <w:uiPriority w:val="0"/>
    <w:rPr>
      <w:rFonts w:ascii="Tahoma" w:hAnsi="Tahoma" w:eastAsia="宋体" w:cs="Times New Roman"/>
      <w:sz w:val="22"/>
      <w:szCs w:val="22"/>
    </w:rPr>
  </w:style>
  <w:style w:type="character" w:customStyle="1" w:styleId="54">
    <w:name w:val="release-day"/>
    <w:uiPriority w:val="0"/>
    <w:rPr>
      <w:bdr w:val="single" w:color="BDEBB0" w:sz="6" w:space="0"/>
      <w:shd w:val="clear" w:color="auto" w:fill="F5FFF1"/>
    </w:rPr>
  </w:style>
  <w:style w:type="character" w:customStyle="1" w:styleId="55">
    <w:name w:val="num"/>
    <w:uiPriority w:val="0"/>
    <w:rPr>
      <w:b/>
      <w:color w:val="FF7800"/>
    </w:rPr>
  </w:style>
  <w:style w:type="character" w:customStyle="1" w:styleId="56">
    <w:name w:val="selected"/>
    <w:uiPriority w:val="0"/>
    <w:rPr>
      <w:shd w:val="clear" w:color="auto" w:fill="B00006"/>
    </w:rPr>
  </w:style>
  <w:style w:type="character" w:customStyle="1" w:styleId="57">
    <w:name w:val="gpa"/>
    <w:uiPriority w:val="0"/>
    <w:rPr>
      <w:rFonts w:ascii="Arial" w:hAnsi="Arial" w:cs="Arial"/>
      <w:sz w:val="15"/>
      <w:szCs w:val="15"/>
    </w:rPr>
  </w:style>
  <w:style w:type="character" w:customStyle="1" w:styleId="58">
    <w:name w:val="answer-title10"/>
    <w:basedOn w:val="27"/>
    <w:uiPriority w:val="0"/>
  </w:style>
  <w:style w:type="character" w:customStyle="1" w:styleId="59">
    <w:name w:val="displayarti"/>
    <w:uiPriority w:val="0"/>
    <w:rPr>
      <w:color w:val="FFFFFF"/>
      <w:shd w:val="clear" w:color="auto" w:fill="A00000"/>
    </w:rPr>
  </w:style>
  <w:style w:type="paragraph" w:customStyle="1" w:styleId="60">
    <w:name w:val=" Char Char Char Char1 Char Char Char Char"/>
    <w:basedOn w:val="1"/>
    <w:uiPriority w:val="0"/>
    <w:pPr>
      <w:widowControl/>
      <w:spacing w:after="160" w:line="240" w:lineRule="exact"/>
      <w:jc w:val="left"/>
    </w:pPr>
  </w:style>
  <w:style w:type="paragraph" w:styleId="61">
    <w:name w:val="List Paragraph"/>
    <w:basedOn w:val="1"/>
    <w:qFormat/>
    <w:uiPriority w:val="99"/>
    <w:pPr>
      <w:spacing w:before="100" w:beforeAutospacing="1"/>
      <w:ind w:firstLine="420" w:firstLineChars="200"/>
    </w:pPr>
    <w:rPr>
      <w:rFonts w:ascii="Calibri" w:hAnsi="Calibri"/>
      <w:szCs w:val="21"/>
    </w:rPr>
  </w:style>
  <w:style w:type="paragraph" w:customStyle="1" w:styleId="62">
    <w:name w:val="列出段落1"/>
    <w:basedOn w:val="1"/>
    <w:uiPriority w:val="0"/>
    <w:pPr>
      <w:ind w:firstLine="200" w:firstLineChars="200"/>
    </w:pPr>
    <w:rPr>
      <w:rFonts w:ascii="Calibri" w:hAnsi="Calibri" w:cs="Arial"/>
      <w:szCs w:val="21"/>
    </w:rPr>
  </w:style>
  <w:style w:type="paragraph" w:customStyle="1" w:styleId="63">
    <w:name w:val=" Char"/>
    <w:basedOn w:val="1"/>
    <w:uiPriority w:val="0"/>
    <w:rPr>
      <w:rFonts w:ascii="Tahoma" w:hAnsi="Tahoma"/>
      <w:sz w:val="24"/>
    </w:rPr>
  </w:style>
  <w:style w:type="paragraph" w:customStyle="1" w:styleId="64">
    <w:name w:val="默认段落字体 Para Char Char Char Char"/>
    <w:basedOn w:val="1"/>
    <w:uiPriority w:val="0"/>
    <w:pPr>
      <w:adjustRightInd w:val="0"/>
      <w:spacing w:line="360" w:lineRule="auto"/>
    </w:pPr>
    <w:rPr>
      <w:kern w:val="0"/>
      <w:sz w:val="24"/>
    </w:rPr>
  </w:style>
  <w:style w:type="paragraph" w:customStyle="1" w:styleId="65">
    <w:name w:val="样式 表格正文 + 两端对齐"/>
    <w:basedOn w:val="1"/>
    <w:uiPriority w:val="0"/>
    <w:pPr>
      <w:spacing w:line="300" w:lineRule="auto"/>
    </w:pPr>
    <w:rPr>
      <w:sz w:val="24"/>
    </w:rPr>
  </w:style>
  <w:style w:type="paragraph" w:customStyle="1" w:styleId="66">
    <w:name w:val="此正文"/>
    <w:basedOn w:val="1"/>
    <w:uiPriority w:val="0"/>
    <w:pPr>
      <w:spacing w:line="360" w:lineRule="auto"/>
      <w:ind w:firstLine="200" w:firstLineChars="200"/>
    </w:pPr>
    <w:rPr>
      <w:sz w:val="24"/>
      <w:szCs w:val="24"/>
    </w:rPr>
  </w:style>
  <w:style w:type="paragraph" w:customStyle="1" w:styleId="67">
    <w:name w:val=" Char Char Char Char"/>
    <w:basedOn w:val="1"/>
    <w:uiPriority w:val="0"/>
    <w:rPr>
      <w:rFonts w:ascii="仿宋_GB2312" w:eastAsia="仿宋_GB2312"/>
      <w:b/>
      <w:sz w:val="32"/>
      <w:szCs w:val="32"/>
    </w:rPr>
  </w:style>
  <w:style w:type="paragraph" w:customStyle="1" w:styleId="68">
    <w:name w:val="Char Char Char1 Char"/>
    <w:basedOn w:val="1"/>
    <w:semiHidden/>
    <w:uiPriority w:val="0"/>
    <w:pPr>
      <w:spacing w:line="360" w:lineRule="auto"/>
      <w:ind w:firstLine="200" w:firstLineChars="200"/>
    </w:pPr>
    <w:rPr>
      <w:rFonts w:ascii="宋体" w:hAnsi="宋体" w:cs="宋体"/>
      <w:sz w:val="24"/>
      <w:szCs w:val="24"/>
    </w:rPr>
  </w:style>
  <w:style w:type="paragraph" w:customStyle="1" w:styleId="69">
    <w:name w:val="Char Char Char Char Char Char Char"/>
    <w:basedOn w:val="1"/>
    <w:uiPriority w:val="0"/>
    <w:pPr>
      <w:widowControl/>
      <w:spacing w:after="160" w:line="240" w:lineRule="exact"/>
      <w:jc w:val="left"/>
    </w:pPr>
    <w:rPr>
      <w:rFonts w:ascii="宋体" w:hAnsi="宋体"/>
      <w:b/>
      <w:sz w:val="24"/>
    </w:rPr>
  </w:style>
  <w:style w:type="paragraph" w:customStyle="1" w:styleId="70">
    <w:name w:val="样式1"/>
    <w:basedOn w:val="1"/>
    <w:qFormat/>
    <w:uiPriority w:val="0"/>
    <w:pPr>
      <w:numPr>
        <w:ilvl w:val="0"/>
        <w:numId w:val="1"/>
      </w:numPr>
      <w:spacing w:line="240" w:lineRule="auto"/>
      <w:jc w:val="both"/>
    </w:pPr>
    <w:rPr>
      <w:rFonts w:ascii="宋体" w:hAnsi="宋体"/>
      <w:sz w:val="21"/>
      <w:szCs w:val="21"/>
    </w:rPr>
  </w:style>
  <w:style w:type="paragraph" w:customStyle="1" w:styleId="71">
    <w:name w:val="纯文本_0_0"/>
    <w:basedOn w:val="72"/>
    <w:qFormat/>
    <w:uiPriority w:val="0"/>
    <w:rPr>
      <w:rFonts w:ascii="宋体" w:hAnsi="Courier New"/>
      <w:szCs w:val="21"/>
    </w:rPr>
  </w:style>
  <w:style w:type="paragraph" w:customStyle="1" w:styleId="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列出段落3"/>
    <w:basedOn w:val="1"/>
    <w:qFormat/>
    <w:uiPriority w:val="34"/>
    <w:pPr>
      <w:ind w:firstLine="420" w:firstLineChars="200"/>
    </w:pPr>
    <w:rPr>
      <w:rFonts w:ascii="Calibri" w:hAnsi="Calibri" w:eastAsia="宋体" w:cs="Times New Roman"/>
    </w:rPr>
  </w:style>
  <w:style w:type="paragraph" w:customStyle="1" w:styleId="75">
    <w:name w:val="Table Paragraph"/>
    <w:basedOn w:val="1"/>
    <w:qFormat/>
    <w:uiPriority w:val="1"/>
    <w:rPr>
      <w:rFonts w:ascii="宋体" w:hAnsi="宋体" w:eastAsia="宋体"/>
      <w:sz w:val="20"/>
      <w:szCs w:val="20"/>
    </w:rPr>
  </w:style>
  <w:style w:type="table" w:customStyle="1" w:styleId="76">
    <w:name w:val="Table Normal"/>
    <w:unhideWhenUsed/>
    <w:qFormat/>
    <w:uiPriority w:val="2"/>
    <w:pPr>
      <w:widowControl w:val="0"/>
      <w:autoSpaceDE w:val="0"/>
      <w:autoSpaceDN w:val="0"/>
    </w:pPr>
    <w:rPr>
      <w:sz w:val="22"/>
      <w:lang w:eastAsia="en-US"/>
    </w:rPr>
    <w:tblPr>
      <w:tblStyle w:val="25"/>
      <w:tblCellMar>
        <w:top w:w="0" w:type="dxa"/>
        <w:left w:w="0" w:type="dxa"/>
        <w:bottom w:w="0" w:type="dxa"/>
        <w:right w:w="0" w:type="dxa"/>
      </w:tblCellMar>
    </w:tblPr>
  </w:style>
  <w:style w:type="paragraph" w:customStyle="1" w:styleId="77">
    <w:name w:val="NormalIndent"/>
    <w:basedOn w:val="1"/>
    <w:qFormat/>
    <w:uiPriority w:val="0"/>
    <w:pPr>
      <w:widowControl/>
      <w:tabs>
        <w:tab w:val="left" w:pos="2040"/>
      </w:tabs>
      <w:ind w:firstLine="420"/>
    </w:pPr>
  </w:style>
  <w:style w:type="paragraph" w:customStyle="1" w:styleId="78">
    <w:name w:val="纯文本11"/>
    <w:basedOn w:val="1"/>
    <w:qFormat/>
    <w:uiPriority w:val="0"/>
    <w:rPr>
      <w:rFonts w:ascii="宋体" w:hAnsi="Courier New" w:cs="Courier New"/>
      <w:kern w:val="0"/>
      <w:szCs w:val="21"/>
    </w:rPr>
  </w:style>
  <w:style w:type="paragraph" w:customStyle="1" w:styleId="79">
    <w:name w:val="正文2"/>
    <w:basedOn w:val="1"/>
    <w:qFormat/>
    <w:uiPriority w:val="99"/>
    <w:pPr>
      <w:spacing w:beforeLines="50" w:afterLines="50" w:line="360" w:lineRule="auto"/>
      <w:ind w:firstLine="480" w:firstLineChars="200"/>
    </w:pPr>
    <w:rPr>
      <w:rFonts w:ascii="宋体" w:hAnsi="宋体"/>
      <w:sz w:val="24"/>
      <w:szCs w:val="24"/>
    </w:rPr>
  </w:style>
  <w:style w:type="paragraph" w:customStyle="1" w:styleId="80">
    <w:name w:val="样式 正文2 + 仿宋_GB2312 黑色 段前: 0 磅 行距: 固定值 23 磅"/>
    <w:basedOn w:val="79"/>
    <w:qFormat/>
    <w:uiPriority w:val="99"/>
    <w:pPr>
      <w:spacing w:line="360" w:lineRule="exact"/>
      <w:ind w:left="-51" w:leftChars="-51" w:firstLine="0" w:firstLineChars="0"/>
    </w:pPr>
    <w:rPr>
      <w:rFonts w:ascii="仿宋_GB2312" w:hAnsi="仿宋_GB2312" w:eastAsia="仿宋_GB2312" w:cs="宋体"/>
      <w:color w:val="000000"/>
    </w:rPr>
  </w:style>
  <w:style w:type="paragraph" w:customStyle="1" w:styleId="81">
    <w:name w:val="样式3"/>
    <w:basedOn w:val="13"/>
    <w:qFormat/>
    <w:uiPriority w:val="0"/>
    <w:pPr>
      <w:widowControl/>
      <w:spacing w:before="100" w:beforeAutospacing="1" w:after="100" w:afterAutospacing="1" w:line="0" w:lineRule="atLeast"/>
      <w:jc w:val="left"/>
      <w:outlineLvl w:val="0"/>
    </w:pPr>
    <w:rPr>
      <w:rFonts w:hAnsi="宋体" w:cs="宋体"/>
      <w:color w:val="000000"/>
      <w:kern w:val="0"/>
      <w:sz w:val="28"/>
      <w:szCs w:val="24"/>
    </w:rPr>
  </w:style>
  <w:style w:type="paragraph" w:customStyle="1" w:styleId="82">
    <w:name w:val="图"/>
    <w:basedOn w:val="1"/>
    <w:qFormat/>
    <w:uiPriority w:val="0"/>
    <w:pPr>
      <w:keepNext/>
      <w:adjustRightInd w:val="0"/>
      <w:spacing w:before="60" w:after="60" w:line="300" w:lineRule="auto"/>
      <w:jc w:val="center"/>
      <w:textAlignment w:val="center"/>
    </w:pPr>
    <w:rPr>
      <w:spacing w:val="20"/>
      <w:kern w:val="0"/>
      <w:sz w:val="24"/>
    </w:r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BodyText1I2"/>
    <w:basedOn w:val="1"/>
    <w:qFormat/>
    <w:uiPriority w:val="0"/>
    <w:pPr>
      <w:spacing w:after="120"/>
      <w:ind w:left="420" w:leftChars="200" w:firstLine="420"/>
      <w:textAlignment w:val="baseline"/>
    </w:pPr>
    <w:rPr>
      <w:rFonts w:ascii="Times New Roman" w:hAnsi="Times New Roman"/>
      <w:szCs w:val="20"/>
    </w:rPr>
  </w:style>
  <w:style w:type="paragraph" w:customStyle="1" w:styleId="85">
    <w:name w:val="文字"/>
    <w:basedOn w:val="1"/>
    <w:qFormat/>
    <w:uiPriority w:val="0"/>
    <w:pPr>
      <w:tabs>
        <w:tab w:val="left" w:pos="2040"/>
      </w:tabs>
      <w:adjustRightInd w:val="0"/>
      <w:snapToGrid w:val="0"/>
      <w:spacing w:line="360" w:lineRule="auto"/>
      <w:ind w:firstLine="420"/>
    </w:pPr>
    <w:rPr>
      <w:rFonts w:ascii="宋体"/>
    </w:rPr>
  </w:style>
  <w:style w:type="paragraph" w:customStyle="1" w:styleId="86">
    <w:name w:val="表格"/>
    <w:basedOn w:val="47"/>
    <w:qFormat/>
    <w:uiPriority w:val="0"/>
    <w:pPr>
      <w:adjustRightInd w:val="0"/>
      <w:snapToGrid w:val="0"/>
      <w:ind w:left="0" w:leftChars="0"/>
    </w:pPr>
    <w:rPr>
      <w:rFonts w:ascii="宋体"/>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56</Pages>
  <Words>31233</Words>
  <Characters>32832</Characters>
  <Lines>214</Lines>
  <Paragraphs>60</Paragraphs>
  <TotalTime>13</TotalTime>
  <ScaleCrop>false</ScaleCrop>
  <LinksUpToDate>false</LinksUpToDate>
  <CharactersWithSpaces>34653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2000-04-23T16:39:00Z</dcterms:created>
  <dc:creator>guest</dc:creator>
  <cp:lastModifiedBy>WPS_1701756769</cp:lastModifiedBy>
  <cp:lastPrinted>2023-07-07T08:40:45Z</cp:lastPrinted>
  <dcterms:modified xsi:type="dcterms:W3CDTF">2024-02-26T01:52:32Z</dcterms:modified>
  <cp:revision>9</cp:revision>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FE4B0D9F1512423EAD97FF743A5BDE4B_13</vt:lpwstr>
  </property>
</Properties>
</file>