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bookmarkStart w:id="29" w:name="_GoBack"/>
      <w:bookmarkEnd w:id="29"/>
    </w:p>
    <w:p>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eastAsia" w:hAnsi="宋体"/>
          <w:color w:val="000000"/>
        </w:rPr>
      </w:pPr>
      <w:r>
        <w:drawing>
          <wp:inline distT="0" distB="0" distL="114300" distR="114300">
            <wp:extent cx="5527675" cy="7817485"/>
            <wp:effectExtent l="0" t="0" r="15875" b="1206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a:stretch>
                      <a:fillRect/>
                    </a:stretch>
                  </pic:blipFill>
                  <pic:spPr>
                    <a:xfrm>
                      <a:off x="0" y="0"/>
                      <a:ext cx="5527675" cy="7817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eastAsia" w:hAnsi="宋体"/>
          <w:color w:val="000000"/>
        </w:rPr>
      </w:pPr>
    </w:p>
    <w:p>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eastAsia" w:hAnsi="宋体"/>
          <w:color w:val="000000"/>
        </w:rPr>
      </w:pPr>
    </w:p>
    <w:p>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eastAsia" w:hAnsi="宋体"/>
          <w:color w:val="000000"/>
        </w:rPr>
      </w:pP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eastAsia" w:hAnsi="宋体"/>
          <w:color w:val="000000"/>
        </w:rPr>
      </w:pPr>
    </w:p>
    <w:p>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eastAsia" w:hAnsi="宋体"/>
          <w:color w:val="000000"/>
        </w:rPr>
      </w:pPr>
    </w:p>
    <w:p>
      <w:pPr>
        <w:keepNext w:val="0"/>
        <w:keepLines w:val="0"/>
        <w:pageBreakBefore w:val="0"/>
        <w:widowControl w:val="0"/>
        <w:kinsoku/>
        <w:wordWrap/>
        <w:overflowPunct/>
        <w:topLinePunct w:val="0"/>
        <w:autoSpaceDE/>
        <w:autoSpaceDN/>
        <w:bidi w:val="0"/>
        <w:adjustRightInd/>
        <w:snapToGrid/>
        <w:spacing w:line="360" w:lineRule="auto"/>
        <w:ind w:right="420"/>
        <w:textAlignment w:val="auto"/>
        <w:rPr>
          <w:rFonts w:hint="eastAsia" w:hAnsi="宋体"/>
          <w:color w:val="000000"/>
        </w:rPr>
      </w:pPr>
    </w:p>
    <w:p>
      <w:pPr>
        <w:pStyle w:val="15"/>
        <w:spacing w:before="120" w:after="120" w:line="360" w:lineRule="auto"/>
        <w:jc w:val="center"/>
        <w:rPr>
          <w:rFonts w:ascii="创艺简标宋" w:hAnsi="宋体" w:eastAsia="创艺简标宋"/>
          <w:color w:val="000000"/>
          <w:sz w:val="44"/>
          <w:szCs w:val="44"/>
        </w:rPr>
      </w:pPr>
      <w:r>
        <w:rPr>
          <w:rFonts w:ascii="创艺简标宋" w:hAnsi="宋体" w:eastAsia="创艺简标宋"/>
          <w:color w:val="000000"/>
          <w:sz w:val="44"/>
          <w:szCs w:val="44"/>
        </w:rPr>
        <w:t>目</w:t>
      </w:r>
      <w:r>
        <w:rPr>
          <w:rFonts w:hint="eastAsia" w:ascii="创艺简标宋" w:hAnsi="宋体" w:eastAsia="创艺简标宋"/>
          <w:color w:val="000000"/>
          <w:sz w:val="44"/>
          <w:szCs w:val="44"/>
        </w:rPr>
        <w:t xml:space="preserve">    </w:t>
      </w:r>
      <w:r>
        <w:rPr>
          <w:rFonts w:ascii="创艺简标宋" w:hAnsi="宋体" w:eastAsia="创艺简标宋"/>
          <w:color w:val="000000"/>
          <w:sz w:val="44"/>
          <w:szCs w:val="44"/>
        </w:rPr>
        <w:t>录</w:t>
      </w:r>
    </w:p>
    <w:p>
      <w:pPr>
        <w:pStyle w:val="21"/>
        <w:tabs>
          <w:tab w:val="right" w:leader="dot" w:pos="8302"/>
        </w:tabs>
        <w:spacing w:line="360" w:lineRule="auto"/>
        <w:rPr>
          <w:rFonts w:ascii="宋体" w:hAnsi="宋体"/>
          <w:color w:val="000000"/>
          <w:sz w:val="30"/>
          <w:szCs w:val="30"/>
          <w:lang/>
        </w:rPr>
      </w:pPr>
      <w:r>
        <w:rPr>
          <w:rFonts w:ascii="宋体" w:hAnsi="宋体"/>
          <w:color w:val="000000"/>
          <w:sz w:val="30"/>
          <w:szCs w:val="30"/>
        </w:rPr>
        <w:fldChar w:fldCharType="begin"/>
      </w:r>
      <w:r>
        <w:rPr>
          <w:rFonts w:ascii="宋体" w:hAnsi="宋体"/>
          <w:color w:val="000000"/>
          <w:sz w:val="30"/>
          <w:szCs w:val="30"/>
        </w:rPr>
        <w:instrText xml:space="preserve"> TOC \o "1-1" \u </w:instrText>
      </w:r>
      <w:r>
        <w:rPr>
          <w:rFonts w:ascii="宋体" w:hAnsi="宋体"/>
          <w:color w:val="000000"/>
          <w:sz w:val="30"/>
          <w:szCs w:val="30"/>
        </w:rPr>
        <w:fldChar w:fldCharType="separate"/>
      </w:r>
      <w:r>
        <w:rPr>
          <w:rFonts w:hint="eastAsia" w:ascii="宋体" w:hAnsi="宋体"/>
          <w:color w:val="000000"/>
          <w:sz w:val="30"/>
          <w:szCs w:val="30"/>
          <w:lang/>
        </w:rPr>
        <w:t>第一章</w:t>
      </w:r>
      <w:r>
        <w:rPr>
          <w:rFonts w:ascii="宋体" w:hAnsi="宋体"/>
          <w:color w:val="000000"/>
          <w:sz w:val="30"/>
          <w:szCs w:val="30"/>
          <w:lang/>
        </w:rPr>
        <w:t xml:space="preserve">  </w:t>
      </w:r>
      <w:r>
        <w:rPr>
          <w:rFonts w:hint="eastAsia" w:ascii="宋体" w:hAnsi="宋体"/>
          <w:color w:val="000000"/>
          <w:sz w:val="30"/>
          <w:szCs w:val="30"/>
          <w:lang/>
        </w:rPr>
        <w:t>公开招标采购公告</w:t>
      </w:r>
      <w:r>
        <w:rPr>
          <w:rFonts w:ascii="宋体" w:hAnsi="宋体"/>
          <w:color w:val="000000"/>
          <w:sz w:val="30"/>
          <w:szCs w:val="30"/>
          <w:lang/>
        </w:rPr>
        <w:tab/>
      </w:r>
      <w:r>
        <w:rPr>
          <w:rFonts w:ascii="宋体" w:hAnsi="宋体"/>
          <w:color w:val="000000"/>
          <w:sz w:val="30"/>
          <w:szCs w:val="30"/>
          <w:lang/>
        </w:rPr>
        <w:fldChar w:fldCharType="begin"/>
      </w:r>
      <w:r>
        <w:rPr>
          <w:rFonts w:ascii="宋体" w:hAnsi="宋体"/>
          <w:color w:val="000000"/>
          <w:sz w:val="30"/>
          <w:szCs w:val="30"/>
          <w:lang/>
        </w:rPr>
        <w:instrText xml:space="preserve"> PAGEREF _Toc496687406 \h </w:instrText>
      </w:r>
      <w:r>
        <w:rPr>
          <w:rFonts w:ascii="宋体" w:hAnsi="宋体"/>
          <w:color w:val="000000"/>
          <w:sz w:val="30"/>
          <w:szCs w:val="30"/>
          <w:lang/>
        </w:rPr>
        <w:fldChar w:fldCharType="separate"/>
      </w:r>
      <w:r>
        <w:rPr>
          <w:rFonts w:ascii="宋体" w:hAnsi="宋体"/>
          <w:color w:val="000000"/>
          <w:sz w:val="30"/>
          <w:szCs w:val="30"/>
          <w:lang/>
        </w:rPr>
        <w:t>3</w:t>
      </w:r>
      <w:r>
        <w:rPr>
          <w:rFonts w:ascii="宋体" w:hAnsi="宋体"/>
          <w:color w:val="000000"/>
          <w:sz w:val="30"/>
          <w:szCs w:val="30"/>
          <w:lang/>
        </w:rPr>
        <w:fldChar w:fldCharType="end"/>
      </w:r>
    </w:p>
    <w:p>
      <w:pPr>
        <w:pStyle w:val="21"/>
        <w:tabs>
          <w:tab w:val="right" w:leader="dot" w:pos="8302"/>
        </w:tabs>
        <w:spacing w:line="360" w:lineRule="auto"/>
        <w:rPr>
          <w:rFonts w:ascii="宋体" w:hAnsi="宋体"/>
          <w:color w:val="000000"/>
          <w:sz w:val="30"/>
          <w:szCs w:val="30"/>
          <w:lang/>
        </w:rPr>
      </w:pPr>
      <w:r>
        <w:rPr>
          <w:rFonts w:hint="eastAsia" w:ascii="宋体" w:hAnsi="宋体"/>
          <w:color w:val="000000"/>
          <w:sz w:val="30"/>
          <w:szCs w:val="30"/>
          <w:lang/>
        </w:rPr>
        <w:t>第二章</w:t>
      </w:r>
      <w:r>
        <w:rPr>
          <w:rFonts w:ascii="宋体" w:hAnsi="宋体"/>
          <w:color w:val="000000"/>
          <w:sz w:val="30"/>
          <w:szCs w:val="30"/>
          <w:lang/>
        </w:rPr>
        <w:t xml:space="preserve">  </w:t>
      </w:r>
      <w:r>
        <w:rPr>
          <w:rFonts w:hint="eastAsia" w:ascii="宋体" w:hAnsi="宋体"/>
          <w:color w:val="000000"/>
          <w:sz w:val="30"/>
          <w:szCs w:val="30"/>
          <w:lang/>
        </w:rPr>
        <w:t>招标需求</w:t>
      </w:r>
      <w:r>
        <w:rPr>
          <w:rFonts w:ascii="宋体" w:hAnsi="宋体"/>
          <w:color w:val="000000"/>
          <w:sz w:val="30"/>
          <w:szCs w:val="30"/>
          <w:lang/>
        </w:rPr>
        <w:tab/>
      </w:r>
      <w:r>
        <w:rPr>
          <w:rFonts w:ascii="宋体" w:hAnsi="宋体"/>
          <w:color w:val="000000"/>
          <w:sz w:val="30"/>
          <w:szCs w:val="30"/>
          <w:lang/>
        </w:rPr>
        <w:t>5</w:t>
      </w:r>
    </w:p>
    <w:p>
      <w:pPr>
        <w:pStyle w:val="21"/>
        <w:tabs>
          <w:tab w:val="right" w:leader="dot" w:pos="8302"/>
        </w:tabs>
        <w:spacing w:line="360" w:lineRule="auto"/>
        <w:rPr>
          <w:rFonts w:ascii="宋体" w:hAnsi="宋体"/>
          <w:color w:val="000000"/>
          <w:sz w:val="30"/>
          <w:szCs w:val="30"/>
          <w:lang/>
        </w:rPr>
      </w:pPr>
      <w:r>
        <w:rPr>
          <w:rFonts w:hint="eastAsia" w:ascii="宋体" w:hAnsi="宋体"/>
          <w:color w:val="000000"/>
          <w:sz w:val="30"/>
          <w:szCs w:val="30"/>
          <w:lang/>
        </w:rPr>
        <w:t>第三章</w:t>
      </w:r>
      <w:r>
        <w:rPr>
          <w:rFonts w:ascii="宋体" w:hAnsi="宋体"/>
          <w:color w:val="000000"/>
          <w:sz w:val="30"/>
          <w:szCs w:val="30"/>
          <w:lang/>
        </w:rPr>
        <w:t xml:space="preserve">  </w:t>
      </w:r>
      <w:r>
        <w:rPr>
          <w:rFonts w:hint="eastAsia" w:ascii="宋体" w:hAnsi="宋体"/>
          <w:color w:val="000000"/>
          <w:sz w:val="30"/>
          <w:szCs w:val="30"/>
          <w:lang/>
        </w:rPr>
        <w:t>投标人须知</w:t>
      </w:r>
      <w:r>
        <w:rPr>
          <w:rFonts w:ascii="宋体" w:hAnsi="宋体"/>
          <w:color w:val="000000"/>
          <w:sz w:val="30"/>
          <w:szCs w:val="30"/>
          <w:lang/>
        </w:rPr>
        <w:tab/>
      </w:r>
      <w:r>
        <w:rPr>
          <w:rFonts w:ascii="宋体" w:hAnsi="宋体"/>
          <w:color w:val="000000"/>
          <w:sz w:val="30"/>
          <w:szCs w:val="30"/>
          <w:lang/>
        </w:rPr>
        <w:fldChar w:fldCharType="begin"/>
      </w:r>
      <w:r>
        <w:rPr>
          <w:rFonts w:ascii="宋体" w:hAnsi="宋体"/>
          <w:color w:val="000000"/>
          <w:sz w:val="30"/>
          <w:szCs w:val="30"/>
          <w:lang/>
        </w:rPr>
        <w:instrText xml:space="preserve"> PAGEREF _Toc496687411 \h </w:instrText>
      </w:r>
      <w:r>
        <w:rPr>
          <w:rFonts w:ascii="宋体" w:hAnsi="宋体"/>
          <w:color w:val="000000"/>
          <w:sz w:val="30"/>
          <w:szCs w:val="30"/>
          <w:lang/>
        </w:rPr>
        <w:fldChar w:fldCharType="separate"/>
      </w:r>
      <w:r>
        <w:rPr>
          <w:rFonts w:ascii="宋体" w:hAnsi="宋体"/>
          <w:color w:val="000000"/>
          <w:sz w:val="30"/>
          <w:szCs w:val="30"/>
          <w:lang/>
        </w:rPr>
        <w:t>39</w:t>
      </w:r>
      <w:r>
        <w:rPr>
          <w:rFonts w:ascii="宋体" w:hAnsi="宋体"/>
          <w:color w:val="000000"/>
          <w:sz w:val="30"/>
          <w:szCs w:val="30"/>
          <w:lang/>
        </w:rPr>
        <w:fldChar w:fldCharType="end"/>
      </w:r>
    </w:p>
    <w:p>
      <w:pPr>
        <w:pStyle w:val="21"/>
        <w:tabs>
          <w:tab w:val="right" w:leader="dot" w:pos="8302"/>
        </w:tabs>
        <w:spacing w:line="360" w:lineRule="auto"/>
        <w:rPr>
          <w:rFonts w:ascii="宋体" w:hAnsi="宋体"/>
          <w:color w:val="000000"/>
          <w:sz w:val="30"/>
          <w:szCs w:val="30"/>
          <w:lang/>
        </w:rPr>
      </w:pPr>
      <w:r>
        <w:rPr>
          <w:rFonts w:hint="eastAsia" w:ascii="宋体" w:hAnsi="宋体"/>
          <w:color w:val="000000"/>
          <w:sz w:val="30"/>
          <w:szCs w:val="30"/>
          <w:lang/>
        </w:rPr>
        <w:t>第四章</w:t>
      </w:r>
      <w:r>
        <w:rPr>
          <w:rFonts w:ascii="宋体" w:hAnsi="宋体"/>
          <w:color w:val="000000"/>
          <w:sz w:val="30"/>
          <w:szCs w:val="30"/>
          <w:lang/>
        </w:rPr>
        <w:t xml:space="preserve">  </w:t>
      </w:r>
      <w:r>
        <w:rPr>
          <w:rFonts w:hint="eastAsia" w:ascii="宋体" w:hAnsi="宋体"/>
          <w:color w:val="000000"/>
          <w:sz w:val="30"/>
          <w:szCs w:val="30"/>
          <w:lang/>
        </w:rPr>
        <w:t>评标办法及评分标准</w:t>
      </w:r>
      <w:r>
        <w:rPr>
          <w:rFonts w:ascii="宋体" w:hAnsi="宋体"/>
          <w:color w:val="000000"/>
          <w:sz w:val="30"/>
          <w:szCs w:val="30"/>
          <w:lang/>
        </w:rPr>
        <w:tab/>
      </w:r>
      <w:r>
        <w:rPr>
          <w:rFonts w:ascii="宋体" w:hAnsi="宋体"/>
          <w:color w:val="000000"/>
          <w:sz w:val="30"/>
          <w:szCs w:val="30"/>
          <w:lang/>
        </w:rPr>
        <w:fldChar w:fldCharType="begin"/>
      </w:r>
      <w:r>
        <w:rPr>
          <w:rFonts w:ascii="宋体" w:hAnsi="宋体"/>
          <w:color w:val="000000"/>
          <w:sz w:val="30"/>
          <w:szCs w:val="30"/>
          <w:lang/>
        </w:rPr>
        <w:instrText xml:space="preserve"> PAGEREF _Toc496687420 \h </w:instrText>
      </w:r>
      <w:r>
        <w:rPr>
          <w:rFonts w:ascii="宋体" w:hAnsi="宋体"/>
          <w:color w:val="000000"/>
          <w:sz w:val="30"/>
          <w:szCs w:val="30"/>
          <w:lang/>
        </w:rPr>
        <w:fldChar w:fldCharType="separate"/>
      </w:r>
      <w:r>
        <w:rPr>
          <w:rFonts w:ascii="宋体" w:hAnsi="宋体"/>
          <w:color w:val="000000"/>
          <w:sz w:val="30"/>
          <w:szCs w:val="30"/>
          <w:lang/>
        </w:rPr>
        <w:t>53</w:t>
      </w:r>
      <w:r>
        <w:rPr>
          <w:rFonts w:ascii="宋体" w:hAnsi="宋体"/>
          <w:color w:val="000000"/>
          <w:sz w:val="30"/>
          <w:szCs w:val="30"/>
          <w:lang/>
        </w:rPr>
        <w:fldChar w:fldCharType="end"/>
      </w:r>
    </w:p>
    <w:p>
      <w:pPr>
        <w:pStyle w:val="21"/>
        <w:tabs>
          <w:tab w:val="right" w:leader="dot" w:pos="8302"/>
        </w:tabs>
        <w:spacing w:line="360" w:lineRule="auto"/>
        <w:rPr>
          <w:rFonts w:ascii="宋体" w:hAnsi="宋体"/>
          <w:color w:val="000000"/>
          <w:sz w:val="30"/>
          <w:szCs w:val="30"/>
          <w:lang/>
        </w:rPr>
      </w:pPr>
      <w:r>
        <w:rPr>
          <w:rFonts w:hint="eastAsia" w:ascii="宋体" w:hAnsi="宋体"/>
          <w:color w:val="000000"/>
          <w:sz w:val="30"/>
          <w:szCs w:val="30"/>
          <w:lang/>
        </w:rPr>
        <w:t>第五章</w:t>
      </w:r>
      <w:r>
        <w:rPr>
          <w:rFonts w:ascii="宋体" w:hAnsi="宋体"/>
          <w:color w:val="000000"/>
          <w:sz w:val="30"/>
          <w:szCs w:val="30"/>
          <w:lang/>
        </w:rPr>
        <w:t xml:space="preserve">  </w:t>
      </w:r>
      <w:r>
        <w:rPr>
          <w:rFonts w:hint="eastAsia" w:ascii="宋体" w:hAnsi="宋体"/>
          <w:color w:val="000000"/>
          <w:sz w:val="30"/>
          <w:szCs w:val="30"/>
          <w:lang/>
        </w:rPr>
        <w:t>合同主要条款</w:t>
      </w:r>
      <w:r>
        <w:rPr>
          <w:rFonts w:ascii="宋体" w:hAnsi="宋体"/>
          <w:color w:val="000000"/>
          <w:sz w:val="30"/>
          <w:szCs w:val="30"/>
          <w:lang/>
        </w:rPr>
        <w:tab/>
      </w:r>
      <w:r>
        <w:rPr>
          <w:rFonts w:ascii="宋体" w:hAnsi="宋体"/>
          <w:color w:val="000000"/>
          <w:sz w:val="30"/>
          <w:szCs w:val="30"/>
          <w:lang/>
        </w:rPr>
        <w:fldChar w:fldCharType="begin"/>
      </w:r>
      <w:r>
        <w:rPr>
          <w:rFonts w:ascii="宋体" w:hAnsi="宋体"/>
          <w:color w:val="000000"/>
          <w:sz w:val="30"/>
          <w:szCs w:val="30"/>
          <w:lang/>
        </w:rPr>
        <w:instrText xml:space="preserve"> PAGEREF _Toc496687422 \h </w:instrText>
      </w:r>
      <w:r>
        <w:rPr>
          <w:rFonts w:ascii="宋体" w:hAnsi="宋体"/>
          <w:color w:val="000000"/>
          <w:sz w:val="30"/>
          <w:szCs w:val="30"/>
          <w:lang/>
        </w:rPr>
        <w:fldChar w:fldCharType="separate"/>
      </w:r>
      <w:r>
        <w:rPr>
          <w:rFonts w:ascii="宋体" w:hAnsi="宋体"/>
          <w:color w:val="000000"/>
          <w:sz w:val="30"/>
          <w:szCs w:val="30"/>
          <w:lang/>
        </w:rPr>
        <w:t>55</w:t>
      </w:r>
      <w:r>
        <w:rPr>
          <w:rFonts w:ascii="宋体" w:hAnsi="宋体"/>
          <w:color w:val="000000"/>
          <w:sz w:val="30"/>
          <w:szCs w:val="30"/>
          <w:lang/>
        </w:rPr>
        <w:fldChar w:fldCharType="end"/>
      </w:r>
    </w:p>
    <w:p>
      <w:pPr>
        <w:pStyle w:val="21"/>
        <w:tabs>
          <w:tab w:val="right" w:leader="dot" w:pos="8302"/>
        </w:tabs>
        <w:spacing w:line="360" w:lineRule="auto"/>
        <w:rPr>
          <w:rFonts w:ascii="宋体" w:hAnsi="宋体"/>
          <w:color w:val="000000"/>
          <w:sz w:val="30"/>
          <w:szCs w:val="30"/>
          <w:lang/>
        </w:rPr>
      </w:pPr>
      <w:r>
        <w:rPr>
          <w:rFonts w:hint="eastAsia" w:ascii="宋体" w:hAnsi="宋体"/>
          <w:color w:val="000000"/>
          <w:sz w:val="30"/>
          <w:szCs w:val="30"/>
          <w:lang/>
        </w:rPr>
        <w:t>第六章　投标文件格式</w:t>
      </w:r>
      <w:r>
        <w:rPr>
          <w:rFonts w:ascii="宋体" w:hAnsi="宋体"/>
          <w:color w:val="000000"/>
          <w:sz w:val="30"/>
          <w:szCs w:val="30"/>
          <w:lang/>
        </w:rPr>
        <w:tab/>
      </w:r>
      <w:r>
        <w:rPr>
          <w:rFonts w:ascii="宋体" w:hAnsi="宋体"/>
          <w:color w:val="000000"/>
          <w:sz w:val="30"/>
          <w:szCs w:val="30"/>
          <w:lang/>
        </w:rPr>
        <w:fldChar w:fldCharType="begin"/>
      </w:r>
      <w:r>
        <w:rPr>
          <w:rFonts w:ascii="宋体" w:hAnsi="宋体"/>
          <w:color w:val="000000"/>
          <w:sz w:val="30"/>
          <w:szCs w:val="30"/>
          <w:lang/>
        </w:rPr>
        <w:instrText xml:space="preserve"> PAGEREF _Toc496687424 \h </w:instrText>
      </w:r>
      <w:r>
        <w:rPr>
          <w:rFonts w:ascii="宋体" w:hAnsi="宋体"/>
          <w:color w:val="000000"/>
          <w:sz w:val="30"/>
          <w:szCs w:val="30"/>
          <w:lang/>
        </w:rPr>
        <w:fldChar w:fldCharType="separate"/>
      </w:r>
      <w:r>
        <w:rPr>
          <w:rFonts w:ascii="宋体" w:hAnsi="宋体"/>
          <w:color w:val="000000"/>
          <w:sz w:val="30"/>
          <w:szCs w:val="30"/>
          <w:lang/>
        </w:rPr>
        <w:t>59</w:t>
      </w:r>
      <w:r>
        <w:rPr>
          <w:rFonts w:ascii="宋体" w:hAnsi="宋体"/>
          <w:color w:val="000000"/>
          <w:sz w:val="30"/>
          <w:szCs w:val="30"/>
          <w:lang/>
        </w:rPr>
        <w:fldChar w:fldCharType="end"/>
      </w:r>
    </w:p>
    <w:p>
      <w:pPr>
        <w:spacing w:line="360" w:lineRule="auto"/>
        <w:rPr>
          <w:color w:val="000000"/>
        </w:rPr>
      </w:pPr>
      <w:r>
        <w:rPr>
          <w:rFonts w:ascii="宋体" w:hAnsi="宋体"/>
          <w:color w:val="000000"/>
          <w:sz w:val="30"/>
          <w:szCs w:val="30"/>
        </w:rPr>
        <w:fldChar w:fldCharType="end"/>
      </w:r>
    </w:p>
    <w:p>
      <w:pPr>
        <w:pStyle w:val="15"/>
        <w:snapToGrid w:val="0"/>
        <w:spacing w:before="120" w:after="120" w:line="440" w:lineRule="exact"/>
        <w:jc w:val="center"/>
        <w:outlineLvl w:val="0"/>
        <w:rPr>
          <w:rFonts w:hint="eastAsia" w:ascii="黑体" w:hAnsi="宋体" w:eastAsia="黑体"/>
          <w:color w:val="000000"/>
          <w:sz w:val="30"/>
          <w:szCs w:val="30"/>
        </w:rPr>
      </w:pPr>
      <w:r>
        <w:rPr>
          <w:rFonts w:hAnsi="宋体"/>
          <w:color w:val="000000"/>
        </w:rPr>
        <w:br w:type="page"/>
      </w:r>
      <w:bookmarkStart w:id="0" w:name="_Toc496687406"/>
      <w:r>
        <w:rPr>
          <w:rFonts w:hint="eastAsia" w:ascii="黑体" w:hAnsi="宋体" w:eastAsia="黑体"/>
          <w:color w:val="000000"/>
          <w:sz w:val="30"/>
          <w:szCs w:val="30"/>
        </w:rPr>
        <w:t>第一章  公开招标采购公告</w:t>
      </w:r>
      <w:bookmarkEnd w:id="0"/>
    </w:p>
    <w:p>
      <w:pPr>
        <w:widowControl/>
        <w:spacing w:line="380" w:lineRule="exact"/>
        <w:ind w:right="-191" w:rightChars="-91"/>
        <w:rPr>
          <w:rFonts w:hint="eastAsia" w:ascii="宋体" w:hAnsi="宋体" w:cs="Arial"/>
          <w:bCs/>
          <w:color w:val="000000"/>
          <w:szCs w:val="21"/>
        </w:rPr>
      </w:pPr>
      <w:bookmarkStart w:id="1" w:name="_Toc496687407"/>
      <w:r>
        <w:rPr>
          <w:rFonts w:hint="eastAsia" w:ascii="宋体" w:hAnsi="宋体" w:cs="Arial"/>
          <w:bCs/>
          <w:color w:val="000000"/>
          <w:szCs w:val="21"/>
        </w:rPr>
        <w:t>项目登记号：19CGJB0205</w:t>
      </w:r>
      <w:r>
        <w:rPr>
          <w:rFonts w:ascii="宋体" w:hAnsi="宋体" w:cs="Arial"/>
          <w:bCs/>
          <w:color w:val="000000"/>
          <w:szCs w:val="21"/>
        </w:rPr>
        <w:t xml:space="preserve"> </w:t>
      </w:r>
    </w:p>
    <w:p>
      <w:pPr>
        <w:widowControl/>
        <w:spacing w:line="380" w:lineRule="exact"/>
        <w:ind w:right="-191" w:rightChars="-91"/>
        <w:rPr>
          <w:rFonts w:hint="eastAsia" w:ascii="宋体" w:hAnsi="宋体"/>
          <w:color w:val="000000"/>
          <w:szCs w:val="21"/>
          <w:lang w:val="en-US" w:eastAsia="zh-CN"/>
        </w:rPr>
      </w:pPr>
      <w:r>
        <w:rPr>
          <w:rFonts w:hint="eastAsia" w:ascii="宋体" w:hAnsi="宋体"/>
          <w:color w:val="000000"/>
          <w:szCs w:val="21"/>
        </w:rPr>
        <w:t xml:space="preserve">项目编号：TC【2019】CG1056号 </w:t>
      </w:r>
      <w:r>
        <w:rPr>
          <w:rFonts w:hint="eastAsia" w:ascii="宋体" w:hAnsi="宋体"/>
          <w:color w:val="000000"/>
          <w:szCs w:val="21"/>
          <w:lang w:val="en-US" w:eastAsia="zh-CN"/>
        </w:rPr>
        <w:t xml:space="preserve"> </w:t>
      </w:r>
    </w:p>
    <w:p>
      <w:pPr>
        <w:widowControl/>
        <w:spacing w:line="380" w:lineRule="exact"/>
        <w:ind w:right="-191" w:rightChars="-91"/>
        <w:rPr>
          <w:rFonts w:hint="eastAsia" w:ascii="宋体" w:hAnsi="宋体"/>
          <w:b/>
          <w:color w:val="000000"/>
          <w:szCs w:val="21"/>
        </w:rPr>
      </w:pPr>
      <w:r>
        <w:rPr>
          <w:rFonts w:hint="eastAsia" w:ascii="宋体" w:hAnsi="宋体"/>
          <w:color w:val="000000"/>
          <w:szCs w:val="21"/>
        </w:rPr>
        <w:t>发布</w:t>
      </w:r>
      <w:r>
        <w:rPr>
          <w:rFonts w:ascii="宋体" w:hAnsi="宋体"/>
          <w:color w:val="000000"/>
          <w:szCs w:val="21"/>
        </w:rPr>
        <w:t>日期：</w:t>
      </w:r>
      <w:r>
        <w:rPr>
          <w:rFonts w:hint="eastAsia" w:ascii="宋体" w:hAnsi="宋体"/>
          <w:color w:val="000000"/>
          <w:szCs w:val="21"/>
          <w:u w:val="single"/>
        </w:rPr>
        <w:t>201</w:t>
      </w:r>
      <w:r>
        <w:rPr>
          <w:rFonts w:hint="eastAsia" w:ascii="宋体" w:hAnsi="宋体"/>
          <w:color w:val="000000"/>
          <w:szCs w:val="21"/>
          <w:u w:val="single"/>
          <w:lang w:val="en-US" w:eastAsia="zh-CN"/>
        </w:rPr>
        <w:t>9</w:t>
      </w:r>
      <w:r>
        <w:rPr>
          <w:rFonts w:hint="eastAsia" w:ascii="宋体" w:hAnsi="宋体"/>
          <w:color w:val="000000"/>
          <w:szCs w:val="21"/>
        </w:rPr>
        <w:t>年</w:t>
      </w:r>
      <w:r>
        <w:rPr>
          <w:rFonts w:hint="eastAsia" w:ascii="宋体" w:hAnsi="宋体"/>
          <w:color w:val="000000"/>
          <w:szCs w:val="21"/>
          <w:u w:val="single"/>
          <w:lang w:val="en-US" w:eastAsia="zh-CN"/>
        </w:rPr>
        <w:t>9</w:t>
      </w:r>
      <w:r>
        <w:rPr>
          <w:rFonts w:hint="eastAsia" w:ascii="宋体" w:hAnsi="宋体"/>
          <w:color w:val="000000"/>
          <w:szCs w:val="21"/>
        </w:rPr>
        <w:t>月</w:t>
      </w:r>
      <w:r>
        <w:rPr>
          <w:rFonts w:hint="eastAsia" w:ascii="宋体" w:hAnsi="宋体"/>
          <w:color w:val="000000"/>
          <w:szCs w:val="21"/>
          <w:u w:val="single"/>
          <w:lang w:val="en-US" w:eastAsia="zh-CN"/>
        </w:rPr>
        <w:t xml:space="preserve"> 28</w:t>
      </w:r>
      <w:r>
        <w:rPr>
          <w:rFonts w:hint="eastAsia" w:ascii="宋体" w:hAnsi="宋体"/>
          <w:color w:val="000000"/>
          <w:szCs w:val="21"/>
        </w:rPr>
        <w:t>日</w:t>
      </w:r>
    </w:p>
    <w:p>
      <w:pPr>
        <w:pStyle w:val="53"/>
        <w:widowControl w:val="0"/>
        <w:spacing w:afterLines="0" w:line="380" w:lineRule="exact"/>
        <w:ind w:firstLine="420"/>
        <w:rPr>
          <w:rFonts w:ascii="宋体" w:hAnsi="宋体"/>
          <w:color w:val="000000"/>
          <w:sz w:val="21"/>
          <w:szCs w:val="21"/>
        </w:rPr>
      </w:pPr>
      <w:r>
        <w:rPr>
          <w:rFonts w:hint="eastAsia" w:ascii="宋体" w:hAnsi="宋体"/>
          <w:color w:val="000000"/>
          <w:sz w:val="21"/>
          <w:szCs w:val="21"/>
        </w:rPr>
        <w:t>根据《中华人民共和国政府采购法》、《政府采购货物和服务招标投标管理办法》规定，经江北区采购办批准，现就</w:t>
      </w:r>
      <w:r>
        <w:rPr>
          <w:rFonts w:hint="eastAsia" w:ascii="宋体" w:hAnsi="宋体"/>
          <w:color w:val="000000"/>
          <w:sz w:val="21"/>
          <w:szCs w:val="21"/>
          <w:u w:val="single"/>
          <w:lang w:eastAsia="zh-CN"/>
        </w:rPr>
        <w:t>甬江数字经济产业园（弘茂大厦）智能化建设相关软硬件服务采购</w:t>
      </w:r>
      <w:r>
        <w:rPr>
          <w:rFonts w:ascii="宋体" w:hAnsi="宋体"/>
          <w:color w:val="000000"/>
          <w:sz w:val="21"/>
          <w:szCs w:val="21"/>
        </w:rPr>
        <w:t>进行公开招标采购，</w:t>
      </w:r>
      <w:r>
        <w:rPr>
          <w:rFonts w:hint="eastAsia" w:ascii="宋体" w:hAnsi="宋体"/>
          <w:color w:val="000000"/>
          <w:sz w:val="21"/>
          <w:szCs w:val="21"/>
        </w:rPr>
        <w:t>欢迎符合资格要求的供应商前来投标。</w:t>
      </w:r>
    </w:p>
    <w:p>
      <w:pPr>
        <w:widowControl/>
        <w:spacing w:line="380" w:lineRule="exact"/>
        <w:ind w:right="-191" w:rightChars="-91" w:firstLine="420" w:firstLineChars="200"/>
        <w:rPr>
          <w:rFonts w:hint="default" w:ascii="宋体" w:hAnsi="宋体" w:eastAsia="宋体" w:cs="Arial"/>
          <w:color w:val="000000"/>
          <w:szCs w:val="21"/>
          <w:lang w:val="en-US" w:eastAsia="zh-CN"/>
        </w:rPr>
      </w:pPr>
      <w:r>
        <w:rPr>
          <w:rFonts w:hint="eastAsia" w:ascii="宋体" w:hAnsi="宋体" w:cs="Arial"/>
          <w:color w:val="000000"/>
          <w:szCs w:val="21"/>
        </w:rPr>
        <w:t>一、</w:t>
      </w:r>
      <w:r>
        <w:rPr>
          <w:rFonts w:hint="eastAsia" w:ascii="宋体" w:hAnsi="宋体" w:cs="Arial"/>
          <w:bCs/>
          <w:color w:val="000000"/>
          <w:szCs w:val="21"/>
        </w:rPr>
        <w:t xml:space="preserve">项目编号：TC【2019】CG1056号 </w:t>
      </w:r>
      <w:r>
        <w:rPr>
          <w:rFonts w:hint="eastAsia" w:ascii="宋体" w:hAnsi="宋体"/>
          <w:color w:val="000000"/>
          <w:szCs w:val="21"/>
          <w:lang w:val="en-US" w:eastAsia="zh-CN"/>
        </w:rPr>
        <w:t xml:space="preserve">    </w:t>
      </w:r>
      <w:r>
        <w:rPr>
          <w:rFonts w:hint="eastAsia" w:ascii="宋体" w:hAnsi="宋体" w:cs="Arial"/>
          <w:bCs/>
          <w:color w:val="000000"/>
          <w:szCs w:val="21"/>
          <w:lang w:val="en-US" w:eastAsia="zh-CN"/>
        </w:rPr>
        <w:t xml:space="preserve"> </w:t>
      </w:r>
      <w:r>
        <w:rPr>
          <w:rFonts w:hint="eastAsia" w:ascii="宋体" w:hAnsi="宋体" w:cs="Arial"/>
          <w:bCs/>
          <w:color w:val="000000"/>
          <w:szCs w:val="21"/>
          <w:lang w:val="en-US" w:eastAsia="zh-CN"/>
        </w:rPr>
        <w:t xml:space="preserve">  </w:t>
      </w:r>
      <w:r>
        <w:rPr>
          <w:rFonts w:hint="eastAsia" w:ascii="宋体" w:hAnsi="宋体" w:cs="Arial"/>
          <w:bCs/>
          <w:color w:val="000000"/>
          <w:szCs w:val="21"/>
        </w:rPr>
        <w:t xml:space="preserve"> 项目登记号：19CGJB0205</w:t>
      </w:r>
      <w:r>
        <w:rPr>
          <w:rFonts w:hint="eastAsia" w:ascii="宋体" w:hAnsi="宋体" w:cs="Arial"/>
          <w:bCs/>
          <w:color w:val="000000"/>
          <w:szCs w:val="21"/>
          <w:lang w:val="en-US" w:eastAsia="zh-CN"/>
        </w:rPr>
        <w:t xml:space="preserve">    </w:t>
      </w:r>
    </w:p>
    <w:p>
      <w:pPr>
        <w:snapToGrid w:val="0"/>
        <w:spacing w:line="380" w:lineRule="exact"/>
        <w:ind w:firstLine="420" w:firstLineChars="200"/>
        <w:rPr>
          <w:rFonts w:hint="eastAsia" w:ascii="宋体" w:hAnsi="宋体" w:cs="Arial"/>
          <w:bCs/>
          <w:color w:val="000000"/>
          <w:szCs w:val="21"/>
        </w:rPr>
      </w:pPr>
      <w:r>
        <w:rPr>
          <w:rFonts w:hint="eastAsia" w:ascii="宋体" w:hAnsi="宋体" w:cs="Arial"/>
          <w:color w:val="000000"/>
          <w:szCs w:val="21"/>
        </w:rPr>
        <w:t>二、</w:t>
      </w:r>
      <w:r>
        <w:rPr>
          <w:rFonts w:hint="eastAsia" w:ascii="宋体" w:hAnsi="宋体" w:cs="Arial"/>
          <w:bCs/>
          <w:color w:val="000000"/>
          <w:szCs w:val="21"/>
        </w:rPr>
        <w:t>项目概况：</w:t>
      </w:r>
    </w:p>
    <w:tbl>
      <w:tblPr>
        <w:tblStyle w:val="2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4"/>
        <w:gridCol w:w="4503"/>
        <w:gridCol w:w="1525"/>
        <w:gridCol w:w="21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88" w:hRule="atLeast"/>
        </w:trPr>
        <w:tc>
          <w:tcPr>
            <w:tcW w:w="914" w:type="dxa"/>
            <w:tcBorders>
              <w:top w:val="double" w:color="auto" w:sz="4" w:space="0"/>
              <w:left w:val="double" w:color="auto" w:sz="4" w:space="0"/>
              <w:bottom w:val="double" w:color="auto" w:sz="4" w:space="0"/>
              <w:right w:val="single" w:color="auto" w:sz="4" w:space="0"/>
            </w:tcBorders>
            <w:noWrap w:val="0"/>
            <w:vAlign w:val="center"/>
          </w:tcPr>
          <w:p>
            <w:pPr>
              <w:snapToGrid w:val="0"/>
              <w:spacing w:line="440" w:lineRule="exact"/>
              <w:jc w:val="center"/>
              <w:rPr>
                <w:rFonts w:ascii="宋体" w:hAnsi="宋体" w:cs="Arial"/>
                <w:bCs/>
                <w:szCs w:val="21"/>
              </w:rPr>
            </w:pPr>
            <w:r>
              <w:rPr>
                <w:rFonts w:hint="eastAsia" w:ascii="宋体" w:hAnsi="宋体" w:cs="Arial"/>
                <w:bCs/>
                <w:szCs w:val="21"/>
              </w:rPr>
              <w:t>子包</w:t>
            </w:r>
          </w:p>
        </w:tc>
        <w:tc>
          <w:tcPr>
            <w:tcW w:w="4503" w:type="dxa"/>
            <w:tcBorders>
              <w:top w:val="double" w:color="auto" w:sz="4" w:space="0"/>
              <w:left w:val="single" w:color="auto" w:sz="4" w:space="0"/>
              <w:bottom w:val="double" w:color="auto" w:sz="4" w:space="0"/>
              <w:right w:val="single" w:color="auto" w:sz="4" w:space="0"/>
            </w:tcBorders>
            <w:noWrap w:val="0"/>
            <w:vAlign w:val="center"/>
          </w:tcPr>
          <w:p>
            <w:pPr>
              <w:snapToGrid w:val="0"/>
              <w:spacing w:line="440" w:lineRule="exact"/>
              <w:jc w:val="center"/>
              <w:rPr>
                <w:rFonts w:ascii="宋体" w:hAnsi="宋体" w:cs="Arial"/>
                <w:bCs/>
                <w:szCs w:val="21"/>
              </w:rPr>
            </w:pPr>
            <w:r>
              <w:rPr>
                <w:rFonts w:hint="eastAsia" w:ascii="宋体" w:hAnsi="宋体" w:cs="Arial"/>
                <w:bCs/>
                <w:szCs w:val="21"/>
              </w:rPr>
              <w:t>采购内容</w:t>
            </w:r>
          </w:p>
        </w:tc>
        <w:tc>
          <w:tcPr>
            <w:tcW w:w="1525" w:type="dxa"/>
            <w:tcBorders>
              <w:top w:val="double" w:color="auto" w:sz="4" w:space="0"/>
              <w:left w:val="single" w:color="auto" w:sz="4" w:space="0"/>
              <w:bottom w:val="double" w:color="auto" w:sz="4" w:space="0"/>
              <w:right w:val="single" w:color="auto" w:sz="4" w:space="0"/>
            </w:tcBorders>
            <w:noWrap w:val="0"/>
            <w:vAlign w:val="center"/>
          </w:tcPr>
          <w:p>
            <w:pPr>
              <w:snapToGrid w:val="0"/>
              <w:spacing w:line="440" w:lineRule="exact"/>
              <w:ind w:left="210" w:hanging="210" w:hangingChars="100"/>
              <w:jc w:val="center"/>
              <w:rPr>
                <w:rFonts w:hint="eastAsia" w:ascii="宋体" w:hAnsi="宋体" w:eastAsia="宋体" w:cs="Arial"/>
                <w:bCs/>
                <w:szCs w:val="21"/>
                <w:lang w:val="en-US" w:eastAsia="zh-CN"/>
              </w:rPr>
            </w:pPr>
            <w:r>
              <w:rPr>
                <w:rFonts w:hint="eastAsia" w:ascii="宋体" w:hAnsi="宋体" w:cs="Arial"/>
                <w:bCs/>
                <w:szCs w:val="21"/>
                <w:lang w:eastAsia="zh-CN"/>
              </w:rPr>
              <w:t>预算金额（元）</w:t>
            </w:r>
          </w:p>
        </w:tc>
        <w:tc>
          <w:tcPr>
            <w:tcW w:w="2198" w:type="dxa"/>
            <w:tcBorders>
              <w:top w:val="double" w:color="auto" w:sz="4" w:space="0"/>
              <w:left w:val="single" w:color="auto" w:sz="4" w:space="0"/>
              <w:bottom w:val="double" w:color="auto" w:sz="4" w:space="0"/>
              <w:right w:val="double" w:color="auto" w:sz="4" w:space="0"/>
            </w:tcBorders>
            <w:noWrap w:val="0"/>
            <w:vAlign w:val="center"/>
          </w:tcPr>
          <w:p>
            <w:pPr>
              <w:snapToGrid w:val="0"/>
              <w:spacing w:line="440" w:lineRule="exact"/>
              <w:jc w:val="center"/>
              <w:rPr>
                <w:rFonts w:hint="eastAsia" w:ascii="宋体" w:hAnsi="宋体" w:eastAsia="宋体" w:cs="Arial"/>
                <w:bCs/>
                <w:szCs w:val="21"/>
                <w:lang w:eastAsia="zh-CN"/>
              </w:rPr>
            </w:pPr>
            <w:r>
              <w:rPr>
                <w:rFonts w:hint="eastAsia" w:ascii="宋体" w:hAnsi="宋体" w:cs="Arial"/>
                <w:bCs/>
                <w:szCs w:val="21"/>
                <w:lang w:eastAsia="zh-CN"/>
              </w:rPr>
              <w:t>服务期限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731" w:hRule="atLeast"/>
        </w:trPr>
        <w:tc>
          <w:tcPr>
            <w:tcW w:w="914" w:type="dxa"/>
            <w:tcBorders>
              <w:top w:val="double" w:color="auto" w:sz="4" w:space="0"/>
              <w:left w:val="double" w:color="auto" w:sz="4" w:space="0"/>
              <w:bottom w:val="double" w:color="auto" w:sz="4" w:space="0"/>
              <w:right w:val="single" w:color="auto" w:sz="4" w:space="0"/>
            </w:tcBorders>
            <w:noWrap w:val="0"/>
            <w:vAlign w:val="center"/>
          </w:tcPr>
          <w:p>
            <w:pPr>
              <w:snapToGrid w:val="0"/>
              <w:spacing w:line="440" w:lineRule="exact"/>
              <w:jc w:val="center"/>
              <w:rPr>
                <w:rFonts w:hint="eastAsia" w:ascii="宋体" w:hAnsi="宋体" w:cs="Arial"/>
                <w:bCs/>
                <w:szCs w:val="21"/>
              </w:rPr>
            </w:pPr>
            <w:r>
              <w:rPr>
                <w:rFonts w:hint="eastAsia" w:ascii="宋体" w:hAnsi="宋体" w:cs="Arial"/>
                <w:bCs/>
                <w:szCs w:val="21"/>
              </w:rPr>
              <w:t>1</w:t>
            </w:r>
          </w:p>
        </w:tc>
        <w:tc>
          <w:tcPr>
            <w:tcW w:w="4503" w:type="dxa"/>
            <w:tcBorders>
              <w:top w:val="double" w:color="auto" w:sz="4" w:space="0"/>
              <w:left w:val="single" w:color="auto" w:sz="4" w:space="0"/>
              <w:bottom w:val="double" w:color="auto" w:sz="4" w:space="0"/>
              <w:right w:val="single" w:color="auto" w:sz="4" w:space="0"/>
            </w:tcBorders>
            <w:noWrap w:val="0"/>
            <w:vAlign w:val="center"/>
          </w:tcPr>
          <w:p>
            <w:pPr>
              <w:snapToGrid w:val="0"/>
              <w:spacing w:line="440" w:lineRule="exact"/>
              <w:jc w:val="left"/>
              <w:rPr>
                <w:rFonts w:hint="eastAsia" w:ascii="宋体" w:hAnsi="宋体" w:eastAsia="宋体" w:cs="Arial"/>
                <w:bCs/>
                <w:szCs w:val="21"/>
                <w:lang w:eastAsia="zh-CN"/>
              </w:rPr>
            </w:pPr>
            <w:r>
              <w:rPr>
                <w:rFonts w:hint="eastAsia" w:ascii="宋体" w:hAnsi="宋体"/>
                <w:color w:val="000000"/>
                <w:sz w:val="21"/>
                <w:szCs w:val="21"/>
                <w:u w:val="none"/>
                <w:lang w:eastAsia="zh-CN"/>
              </w:rPr>
              <w:t>甬江数字经济产业园（弘茂大厦）智能化建设相关软硬件服务采购，含云平台租赁费用。</w:t>
            </w:r>
          </w:p>
        </w:tc>
        <w:tc>
          <w:tcPr>
            <w:tcW w:w="1525" w:type="dxa"/>
            <w:tcBorders>
              <w:top w:val="double" w:color="auto" w:sz="4" w:space="0"/>
              <w:left w:val="single" w:color="auto" w:sz="4" w:space="0"/>
              <w:bottom w:val="double" w:color="auto" w:sz="4" w:space="0"/>
              <w:right w:val="single" w:color="auto" w:sz="4" w:space="0"/>
            </w:tcBorders>
            <w:noWrap w:val="0"/>
            <w:vAlign w:val="center"/>
          </w:tcPr>
          <w:p>
            <w:pPr>
              <w:snapToGrid w:val="0"/>
              <w:spacing w:line="440" w:lineRule="exact"/>
              <w:jc w:val="center"/>
              <w:rPr>
                <w:rFonts w:hint="default" w:ascii="宋体" w:hAnsi="宋体" w:cs="Arial"/>
                <w:bCs/>
                <w:szCs w:val="21"/>
                <w:lang w:val="en-US"/>
              </w:rPr>
            </w:pPr>
            <w:r>
              <w:rPr>
                <w:rFonts w:hint="eastAsia" w:ascii="宋体" w:hAnsi="宋体" w:cs="Arial"/>
                <w:bCs/>
                <w:szCs w:val="21"/>
                <w:lang w:val="en-US" w:eastAsia="zh-CN"/>
              </w:rPr>
              <w:t xml:space="preserve">  9711576</w:t>
            </w:r>
          </w:p>
        </w:tc>
        <w:tc>
          <w:tcPr>
            <w:tcW w:w="2198" w:type="dxa"/>
            <w:tcBorders>
              <w:top w:val="double" w:color="auto" w:sz="4" w:space="0"/>
              <w:left w:val="single" w:color="auto" w:sz="4" w:space="0"/>
              <w:bottom w:val="double" w:color="auto" w:sz="4" w:space="0"/>
              <w:right w:val="double" w:color="auto" w:sz="4" w:space="0"/>
            </w:tcBorders>
            <w:noWrap w:val="0"/>
            <w:vAlign w:val="center"/>
          </w:tcPr>
          <w:p>
            <w:pPr>
              <w:snapToGrid w:val="0"/>
              <w:spacing w:line="440" w:lineRule="exact"/>
              <w:jc w:val="center"/>
              <w:rPr>
                <w:rFonts w:hint="eastAsia" w:ascii="宋体" w:hAnsi="宋体" w:eastAsia="宋体" w:cs="Arial"/>
                <w:bCs/>
                <w:szCs w:val="21"/>
                <w:lang w:eastAsia="zh-CN"/>
              </w:rPr>
            </w:pPr>
            <w:r>
              <w:rPr>
                <w:rFonts w:hint="eastAsia" w:ascii="宋体" w:hAnsi="宋体" w:cs="Arial"/>
                <w:bCs/>
                <w:szCs w:val="21"/>
                <w:lang w:eastAsia="zh-CN"/>
              </w:rPr>
              <w:t>详见第二章招标需求</w:t>
            </w:r>
          </w:p>
        </w:tc>
      </w:tr>
    </w:tbl>
    <w:p>
      <w:pPr>
        <w:snapToGrid w:val="0"/>
        <w:spacing w:line="380" w:lineRule="exact"/>
        <w:ind w:firstLine="420" w:firstLineChars="200"/>
        <w:rPr>
          <w:rFonts w:ascii="宋体" w:hAnsi="宋体" w:cs="Arial"/>
          <w:bCs/>
          <w:color w:val="000000"/>
          <w:szCs w:val="21"/>
        </w:rPr>
      </w:pPr>
      <w:r>
        <w:rPr>
          <w:rFonts w:hint="eastAsia" w:ascii="宋体" w:hAnsi="宋体" w:cs="Arial"/>
          <w:color w:val="000000"/>
          <w:szCs w:val="21"/>
        </w:rPr>
        <w:t>三、</w:t>
      </w:r>
      <w:r>
        <w:rPr>
          <w:rFonts w:hint="eastAsia" w:ascii="宋体" w:hAnsi="宋体"/>
          <w:color w:val="000000"/>
          <w:szCs w:val="21"/>
        </w:rPr>
        <w:t>供应商资格要求：</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1、符合《中华人民共和国政府采购法》第二十二条的规定,且必须为未被列入信用中国网</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宋体"/>
          <w:szCs w:val="21"/>
        </w:rPr>
      </w:pPr>
      <w:r>
        <w:rPr>
          <w:rFonts w:hint="eastAsia" w:ascii="宋体" w:hAnsi="宋体" w:cs="宋体"/>
          <w:szCs w:val="21"/>
        </w:rPr>
        <w:t>站(www.creditchina.gov.cn)、中国政府采购网(www.ccgp.gov.cn)渠道信用记录失信被执行人、重大税收违法案件当事人名单、政府采购严重违法失信行为记录名单的投标人；</w:t>
      </w:r>
    </w:p>
    <w:p>
      <w:pPr>
        <w:spacing w:line="460" w:lineRule="exact"/>
        <w:ind w:firstLine="420" w:firstLineChars="200"/>
        <w:rPr>
          <w:rFonts w:hint="eastAsia" w:ascii="宋体" w:hAnsi="宋体" w:eastAsia="宋体" w:cs="宋体"/>
          <w:szCs w:val="21"/>
          <w:lang w:eastAsia="zh-CN"/>
        </w:rPr>
      </w:pPr>
      <w:r>
        <w:rPr>
          <w:rFonts w:hint="eastAsia" w:ascii="宋体" w:hAnsi="宋体" w:cs="宋体"/>
          <w:szCs w:val="21"/>
        </w:rPr>
        <w:t>2、投标人的特定条件：投标单位须为在中国境内注册的独立法人，具有合法有效的营业执照，能提供本次采购所需的服务</w:t>
      </w:r>
      <w:r>
        <w:rPr>
          <w:rFonts w:hint="eastAsia" w:ascii="宋体" w:hAnsi="宋体" w:cs="宋体"/>
          <w:szCs w:val="21"/>
          <w:lang w:eastAsia="zh-CN"/>
        </w:rPr>
        <w:t>。</w:t>
      </w:r>
    </w:p>
    <w:p>
      <w:pPr>
        <w:snapToGrid w:val="0"/>
        <w:spacing w:line="380" w:lineRule="exact"/>
        <w:ind w:firstLine="420"/>
        <w:rPr>
          <w:rFonts w:hint="eastAsia" w:ascii="宋体" w:hAnsi="宋体" w:cs="Arial"/>
          <w:color w:val="000000"/>
          <w:szCs w:val="21"/>
        </w:rPr>
      </w:pPr>
      <w:r>
        <w:rPr>
          <w:rFonts w:hint="eastAsia" w:ascii="宋体" w:hAnsi="宋体" w:cs="Arial"/>
          <w:color w:val="000000"/>
          <w:szCs w:val="21"/>
        </w:rPr>
        <w:t>3、本项目不接受联合体投标。</w:t>
      </w:r>
    </w:p>
    <w:p>
      <w:pPr>
        <w:snapToGrid w:val="0"/>
        <w:spacing w:line="380" w:lineRule="exact"/>
        <w:ind w:firstLine="420"/>
        <w:rPr>
          <w:rFonts w:hint="eastAsia" w:ascii="宋体" w:hAnsi="宋体" w:cs="Arial"/>
          <w:color w:val="000000"/>
          <w:szCs w:val="21"/>
        </w:rPr>
      </w:pPr>
      <w:r>
        <w:rPr>
          <w:rFonts w:hint="eastAsia" w:ascii="宋体" w:hAnsi="宋体"/>
          <w:color w:val="000000"/>
          <w:szCs w:val="21"/>
        </w:rPr>
        <w:t>四、招标文件发售日期：</w:t>
      </w:r>
      <w:r>
        <w:rPr>
          <w:rFonts w:ascii="宋体" w:hAnsi="宋体" w:cs="Arial"/>
          <w:color w:val="000000"/>
          <w:szCs w:val="21"/>
          <w:u w:val="single"/>
        </w:rPr>
        <w:t xml:space="preserve"> </w:t>
      </w:r>
      <w:r>
        <w:rPr>
          <w:rFonts w:hint="eastAsia" w:ascii="宋体" w:hAnsi="宋体" w:cs="Arial"/>
          <w:color w:val="000000"/>
          <w:szCs w:val="21"/>
          <w:u w:val="single"/>
        </w:rPr>
        <w:t>201</w:t>
      </w:r>
      <w:r>
        <w:rPr>
          <w:rFonts w:hint="eastAsia" w:ascii="宋体" w:hAnsi="宋体" w:cs="Arial"/>
          <w:color w:val="000000"/>
          <w:szCs w:val="21"/>
          <w:u w:val="single"/>
          <w:lang w:val="en-US" w:eastAsia="zh-CN"/>
        </w:rPr>
        <w:t>9</w:t>
      </w:r>
      <w:r>
        <w:rPr>
          <w:rFonts w:hint="eastAsia" w:ascii="宋体" w:hAnsi="宋体" w:cs="Arial"/>
          <w:color w:val="000000"/>
          <w:szCs w:val="21"/>
        </w:rPr>
        <w:t>年</w:t>
      </w:r>
      <w:r>
        <w:rPr>
          <w:rFonts w:hint="eastAsia" w:ascii="宋体" w:hAnsi="宋体" w:cs="Arial"/>
          <w:color w:val="000000"/>
          <w:szCs w:val="21"/>
          <w:u w:val="single"/>
          <w:lang w:val="en-US" w:eastAsia="zh-CN"/>
        </w:rPr>
        <w:t>9</w:t>
      </w:r>
      <w:r>
        <w:rPr>
          <w:rFonts w:hint="eastAsia" w:ascii="宋体" w:hAnsi="宋体" w:cs="Arial"/>
          <w:color w:val="000000"/>
          <w:szCs w:val="21"/>
        </w:rPr>
        <w:t>月</w:t>
      </w:r>
      <w:r>
        <w:rPr>
          <w:rFonts w:hint="eastAsia" w:ascii="宋体" w:hAnsi="宋体" w:cs="Arial"/>
          <w:color w:val="000000"/>
          <w:szCs w:val="21"/>
          <w:u w:val="single"/>
          <w:lang w:val="en-US" w:eastAsia="zh-CN"/>
        </w:rPr>
        <w:t>29</w:t>
      </w:r>
      <w:r>
        <w:rPr>
          <w:rFonts w:hint="eastAsia" w:ascii="宋体" w:hAnsi="宋体" w:cs="Arial"/>
          <w:color w:val="000000"/>
          <w:szCs w:val="21"/>
        </w:rPr>
        <w:t>日至</w:t>
      </w:r>
      <w:r>
        <w:rPr>
          <w:rFonts w:hint="eastAsia" w:ascii="宋体" w:hAnsi="宋体" w:cs="Arial"/>
          <w:color w:val="000000"/>
          <w:szCs w:val="21"/>
          <w:u w:val="single"/>
        </w:rPr>
        <w:t>201</w:t>
      </w:r>
      <w:r>
        <w:rPr>
          <w:rFonts w:hint="eastAsia" w:ascii="宋体" w:hAnsi="宋体" w:cs="Arial"/>
          <w:color w:val="000000"/>
          <w:szCs w:val="21"/>
          <w:u w:val="single"/>
          <w:lang w:val="en-US" w:eastAsia="zh-CN"/>
        </w:rPr>
        <w:t>9</w:t>
      </w:r>
      <w:r>
        <w:rPr>
          <w:rFonts w:hint="eastAsia" w:ascii="宋体" w:hAnsi="宋体" w:cs="Arial"/>
          <w:color w:val="000000"/>
          <w:szCs w:val="21"/>
        </w:rPr>
        <w:t>年</w:t>
      </w:r>
      <w:r>
        <w:rPr>
          <w:rFonts w:hint="eastAsia" w:ascii="宋体" w:hAnsi="宋体" w:cs="Arial"/>
          <w:color w:val="000000"/>
          <w:szCs w:val="21"/>
          <w:u w:val="single"/>
          <w:lang w:val="en-US" w:eastAsia="zh-CN"/>
        </w:rPr>
        <w:t>10</w:t>
      </w:r>
      <w:r>
        <w:rPr>
          <w:rFonts w:hint="eastAsia" w:ascii="宋体" w:hAnsi="宋体" w:cs="Arial"/>
          <w:color w:val="000000"/>
          <w:szCs w:val="21"/>
        </w:rPr>
        <w:t>月</w:t>
      </w:r>
      <w:r>
        <w:rPr>
          <w:rFonts w:hint="eastAsia" w:ascii="宋体" w:hAnsi="宋体" w:cs="Arial"/>
          <w:color w:val="000000"/>
          <w:szCs w:val="21"/>
          <w:u w:val="single"/>
          <w:lang w:val="en-US" w:eastAsia="zh-CN"/>
        </w:rPr>
        <w:t>14</w:t>
      </w:r>
      <w:r>
        <w:rPr>
          <w:rFonts w:hint="eastAsia" w:ascii="宋体" w:hAnsi="宋体" w:cs="Arial"/>
          <w:color w:val="000000"/>
          <w:szCs w:val="21"/>
        </w:rPr>
        <w:t>日，</w:t>
      </w:r>
      <w:r>
        <w:rPr>
          <w:rFonts w:ascii="宋体" w:hAnsi="宋体"/>
          <w:color w:val="000000"/>
          <w:szCs w:val="21"/>
        </w:rPr>
        <w:t>上午</w:t>
      </w:r>
      <w:r>
        <w:rPr>
          <w:rFonts w:hint="eastAsia" w:ascii="宋体" w:hAnsi="宋体"/>
          <w:color w:val="000000"/>
          <w:szCs w:val="21"/>
        </w:rPr>
        <w:t>：</w:t>
      </w:r>
      <w:r>
        <w:rPr>
          <w:rFonts w:ascii="宋体" w:hAnsi="宋体"/>
          <w:color w:val="000000"/>
          <w:szCs w:val="21"/>
        </w:rPr>
        <w:t>9:00～11:30下午</w:t>
      </w:r>
      <w:r>
        <w:rPr>
          <w:rFonts w:hint="eastAsia" w:ascii="宋体" w:hAnsi="宋体"/>
          <w:color w:val="000000"/>
          <w:szCs w:val="21"/>
        </w:rPr>
        <w:t>：</w:t>
      </w:r>
      <w:r>
        <w:rPr>
          <w:rFonts w:ascii="宋体" w:hAnsi="宋体"/>
          <w:color w:val="000000"/>
          <w:szCs w:val="21"/>
        </w:rPr>
        <w:t>13:30～1</w:t>
      </w:r>
      <w:r>
        <w:rPr>
          <w:rFonts w:hint="eastAsia" w:ascii="宋体" w:hAnsi="宋体"/>
          <w:color w:val="000000"/>
          <w:szCs w:val="21"/>
        </w:rPr>
        <w:t>6</w:t>
      </w:r>
      <w:r>
        <w:rPr>
          <w:rFonts w:ascii="宋体" w:hAnsi="宋体"/>
          <w:color w:val="000000"/>
          <w:szCs w:val="21"/>
        </w:rPr>
        <w:t>:00（北京时间，</w:t>
      </w:r>
      <w:r>
        <w:rPr>
          <w:rFonts w:hint="eastAsia" w:ascii="宋体" w:hAnsi="宋体"/>
          <w:color w:val="000000"/>
          <w:szCs w:val="21"/>
        </w:rPr>
        <w:t>双休日及法定</w:t>
      </w:r>
      <w:r>
        <w:rPr>
          <w:rFonts w:ascii="宋体" w:hAnsi="宋体"/>
          <w:color w:val="000000"/>
          <w:szCs w:val="21"/>
        </w:rPr>
        <w:t>节假日除外）</w:t>
      </w:r>
      <w:r>
        <w:rPr>
          <w:rFonts w:hint="eastAsia" w:ascii="宋体" w:hAnsi="宋体" w:cs="Arial"/>
          <w:color w:val="000000"/>
          <w:szCs w:val="21"/>
        </w:rPr>
        <w:t>。</w:t>
      </w:r>
    </w:p>
    <w:p>
      <w:pPr>
        <w:snapToGrid w:val="0"/>
        <w:spacing w:line="380" w:lineRule="exact"/>
        <w:ind w:firstLine="420"/>
        <w:rPr>
          <w:rFonts w:hint="eastAsia" w:ascii="宋体" w:hAnsi="宋体"/>
          <w:color w:val="000000"/>
          <w:szCs w:val="21"/>
        </w:rPr>
      </w:pPr>
      <w:r>
        <w:rPr>
          <w:rFonts w:hint="eastAsia" w:ascii="宋体" w:hAnsi="宋体"/>
          <w:color w:val="000000"/>
          <w:szCs w:val="21"/>
        </w:rPr>
        <w:t>招标文件发售截止时间后至投标截止时间前允许潜在供应商前来认购招标文件。</w:t>
      </w:r>
    </w:p>
    <w:p>
      <w:pPr>
        <w:snapToGrid w:val="0"/>
        <w:spacing w:line="380" w:lineRule="exact"/>
        <w:ind w:firstLine="411" w:firstLineChars="196"/>
        <w:rPr>
          <w:rFonts w:hint="eastAsia" w:ascii="宋体" w:hAnsi="宋体"/>
          <w:color w:val="000000"/>
          <w:szCs w:val="21"/>
        </w:rPr>
      </w:pPr>
      <w:r>
        <w:rPr>
          <w:rFonts w:hint="eastAsia" w:ascii="宋体" w:hAnsi="宋体"/>
          <w:color w:val="000000"/>
          <w:szCs w:val="21"/>
        </w:rPr>
        <w:t>五、招标文件售价、地点及方式：</w:t>
      </w:r>
    </w:p>
    <w:p>
      <w:pPr>
        <w:snapToGrid w:val="0"/>
        <w:spacing w:line="380" w:lineRule="exact"/>
        <w:ind w:firstLine="411" w:firstLineChars="196"/>
        <w:rPr>
          <w:rFonts w:hint="eastAsia" w:ascii="宋体" w:hAnsi="宋体" w:cs="Arial"/>
          <w:color w:val="000000"/>
          <w:szCs w:val="21"/>
        </w:rPr>
      </w:pPr>
      <w:r>
        <w:rPr>
          <w:rFonts w:hint="eastAsia" w:ascii="宋体" w:hAnsi="宋体" w:cs="Arial"/>
          <w:color w:val="000000"/>
          <w:szCs w:val="21"/>
        </w:rPr>
        <w:t>　1、招标文件售价：每份300元人民币，招标文件售后不退。本公告附 件中具有可供潜在供应商阅读的</w:t>
      </w:r>
      <w:r>
        <w:rPr>
          <w:rFonts w:hint="eastAsia" w:ascii="宋体" w:hAnsi="宋体"/>
          <w:color w:val="000000"/>
          <w:szCs w:val="21"/>
        </w:rPr>
        <w:t>招标文件电子版，</w:t>
      </w:r>
      <w:r>
        <w:rPr>
          <w:rFonts w:hint="eastAsia" w:ascii="宋体" w:hAnsi="宋体" w:cs="Arial"/>
          <w:color w:val="000000"/>
          <w:szCs w:val="21"/>
        </w:rPr>
        <w:t>凡有意参加投标者，</w:t>
      </w:r>
      <w:r>
        <w:rPr>
          <w:rFonts w:hint="eastAsia" w:ascii="宋体" w:hAnsi="宋体"/>
          <w:color w:val="000000"/>
          <w:szCs w:val="21"/>
        </w:rPr>
        <w:t>应在招标文件发售期内到招标代理机构购买</w:t>
      </w:r>
      <w:r>
        <w:rPr>
          <w:rFonts w:hint="eastAsia" w:ascii="宋体" w:hAnsi="宋体" w:cs="Arial"/>
          <w:color w:val="000000"/>
          <w:szCs w:val="21"/>
        </w:rPr>
        <w:t>招标文件书面文本，若供阅读的招标文件电子版与书面文本不一致的，最终以书面文本为准，未购买招标文件的投标将被拒绝。</w:t>
      </w:r>
    </w:p>
    <w:p>
      <w:pPr>
        <w:snapToGrid w:val="0"/>
        <w:spacing w:line="380" w:lineRule="exact"/>
        <w:ind w:firstLine="411" w:firstLineChars="196"/>
        <w:rPr>
          <w:rFonts w:hint="eastAsia" w:ascii="宋体" w:hAnsi="宋体"/>
          <w:szCs w:val="21"/>
        </w:rPr>
      </w:pPr>
      <w:r>
        <w:rPr>
          <w:rFonts w:ascii="宋体" w:hAnsi="宋体"/>
          <w:szCs w:val="21"/>
        </w:rPr>
        <w:t>凡有意参加投标者，应在招标文件发售期内</w:t>
      </w:r>
      <w:r>
        <w:rPr>
          <w:rFonts w:hint="eastAsia" w:ascii="宋体" w:hAnsi="宋体"/>
          <w:szCs w:val="21"/>
        </w:rPr>
        <w:t>携带：营业执照复印件</w:t>
      </w:r>
      <w:r>
        <w:rPr>
          <w:rFonts w:hint="eastAsia" w:ascii="宋体" w:hAnsi="宋体"/>
          <w:szCs w:val="21"/>
          <w:lang w:eastAsia="zh-CN"/>
        </w:rPr>
        <w:t>并加盖单位公章。</w:t>
      </w:r>
      <w:r>
        <w:rPr>
          <w:rFonts w:hint="eastAsia" w:ascii="宋体" w:hAnsi="宋体"/>
          <w:szCs w:val="21"/>
        </w:rPr>
        <w:t>至</w:t>
      </w:r>
      <w:r>
        <w:rPr>
          <w:rFonts w:ascii="宋体" w:hAnsi="宋体"/>
          <w:szCs w:val="21"/>
        </w:rPr>
        <w:t>采购代理机构购买招标文件，未购买招标文件的投标将被拒绝。</w:t>
      </w:r>
    </w:p>
    <w:p>
      <w:pPr>
        <w:snapToGrid w:val="0"/>
        <w:spacing w:line="380" w:lineRule="exact"/>
        <w:ind w:firstLine="411" w:firstLineChars="196"/>
        <w:rPr>
          <w:rFonts w:hint="eastAsia" w:ascii="宋体" w:hAnsi="宋体"/>
          <w:snapToGrid w:val="0"/>
          <w:color w:val="000000"/>
          <w:szCs w:val="21"/>
        </w:rPr>
      </w:pPr>
      <w:r>
        <w:rPr>
          <w:rFonts w:hint="eastAsia" w:ascii="宋体" w:hAnsi="宋体" w:cs="Arial"/>
          <w:color w:val="000000"/>
          <w:szCs w:val="21"/>
        </w:rPr>
        <w:t>　2、购买招标文件地点：</w:t>
      </w:r>
      <w:r>
        <w:rPr>
          <w:rFonts w:hint="eastAsia" w:ascii="宋体" w:hAnsi="宋体"/>
          <w:snapToGrid w:val="0"/>
          <w:color w:val="000000"/>
          <w:szCs w:val="21"/>
        </w:rPr>
        <w:t>浙江天诚工程咨询有限公司（宁波市高新区江南路599号科技大厦4楼）。</w:t>
      </w:r>
    </w:p>
    <w:p>
      <w:pPr>
        <w:snapToGrid w:val="0"/>
        <w:spacing w:line="380" w:lineRule="exact"/>
        <w:ind w:firstLine="411" w:firstLineChars="196"/>
        <w:rPr>
          <w:rFonts w:hint="eastAsia" w:ascii="宋体" w:hAnsi="宋体" w:cs="Arial"/>
          <w:color w:val="000000"/>
          <w:szCs w:val="21"/>
        </w:rPr>
      </w:pPr>
      <w:r>
        <w:rPr>
          <w:rFonts w:hint="eastAsia" w:ascii="宋体" w:hAnsi="宋体" w:cs="Arial"/>
          <w:color w:val="000000"/>
          <w:szCs w:val="21"/>
        </w:rPr>
        <w:t>六、投标截止时间：</w:t>
      </w:r>
      <w:r>
        <w:rPr>
          <w:rFonts w:hint="eastAsia" w:ascii="宋体" w:hAnsi="宋体" w:cs="Arial"/>
          <w:color w:val="000000"/>
          <w:szCs w:val="21"/>
          <w:u w:val="single"/>
        </w:rPr>
        <w:t>201</w:t>
      </w:r>
      <w:r>
        <w:rPr>
          <w:rFonts w:hint="eastAsia" w:ascii="宋体" w:hAnsi="宋体" w:cs="Arial"/>
          <w:color w:val="000000"/>
          <w:szCs w:val="21"/>
          <w:u w:val="single"/>
          <w:lang w:val="en-US" w:eastAsia="zh-CN"/>
        </w:rPr>
        <w:t>9</w:t>
      </w:r>
      <w:r>
        <w:rPr>
          <w:rFonts w:hint="eastAsia" w:ascii="宋体" w:hAnsi="宋体" w:cs="Arial"/>
          <w:color w:val="000000"/>
          <w:szCs w:val="21"/>
        </w:rPr>
        <w:t>年</w:t>
      </w:r>
      <w:r>
        <w:rPr>
          <w:rFonts w:hint="eastAsia" w:ascii="宋体" w:hAnsi="宋体" w:cs="Arial"/>
          <w:color w:val="000000"/>
          <w:szCs w:val="21"/>
          <w:u w:val="single"/>
          <w:lang w:val="en-US" w:eastAsia="zh-CN"/>
        </w:rPr>
        <w:t>10</w:t>
      </w:r>
      <w:r>
        <w:rPr>
          <w:rFonts w:hint="eastAsia" w:ascii="宋体" w:hAnsi="宋体" w:cs="Arial"/>
          <w:color w:val="000000"/>
          <w:szCs w:val="21"/>
        </w:rPr>
        <w:t>月</w:t>
      </w:r>
      <w:r>
        <w:rPr>
          <w:rFonts w:hint="eastAsia" w:ascii="宋体" w:hAnsi="宋体" w:cs="Arial"/>
          <w:color w:val="000000"/>
          <w:szCs w:val="21"/>
          <w:u w:val="single"/>
          <w:lang w:val="en-US" w:eastAsia="zh-CN"/>
        </w:rPr>
        <w:t xml:space="preserve"> 21</w:t>
      </w:r>
      <w:r>
        <w:rPr>
          <w:rFonts w:hint="eastAsia" w:ascii="宋体" w:hAnsi="宋体" w:cs="Arial"/>
          <w:color w:val="000000"/>
          <w:szCs w:val="21"/>
        </w:rPr>
        <w:t>日</w:t>
      </w:r>
      <w:r>
        <w:rPr>
          <w:rFonts w:hint="eastAsia" w:ascii="宋体" w:hAnsi="宋体"/>
          <w:color w:val="000000"/>
          <w:szCs w:val="21"/>
          <w:u w:val="single"/>
          <w:lang w:val="en-US" w:eastAsia="zh-CN"/>
        </w:rPr>
        <w:t>9</w:t>
      </w:r>
      <w:r>
        <w:rPr>
          <w:rFonts w:hint="eastAsia" w:ascii="宋体" w:hAnsi="宋体"/>
          <w:color w:val="000000"/>
          <w:szCs w:val="21"/>
          <w:u w:val="single"/>
        </w:rPr>
        <w:t>：</w:t>
      </w:r>
      <w:r>
        <w:rPr>
          <w:rFonts w:hint="eastAsia" w:ascii="宋体" w:hAnsi="宋体"/>
          <w:color w:val="000000"/>
          <w:szCs w:val="21"/>
          <w:u w:val="single"/>
          <w:lang w:val="en-US" w:eastAsia="zh-CN"/>
        </w:rPr>
        <w:t>0</w:t>
      </w:r>
      <w:r>
        <w:rPr>
          <w:rFonts w:hint="eastAsia" w:ascii="宋体" w:hAnsi="宋体"/>
          <w:color w:val="000000"/>
          <w:szCs w:val="21"/>
          <w:u w:val="single"/>
        </w:rPr>
        <w:t>0</w:t>
      </w:r>
      <w:r>
        <w:rPr>
          <w:rFonts w:hint="eastAsia" w:ascii="宋体" w:hAnsi="宋体"/>
          <w:color w:val="000000"/>
          <w:szCs w:val="21"/>
        </w:rPr>
        <w:t>。</w:t>
      </w:r>
    </w:p>
    <w:p>
      <w:pPr>
        <w:snapToGrid w:val="0"/>
        <w:spacing w:line="380" w:lineRule="exact"/>
        <w:ind w:firstLine="411" w:firstLineChars="196"/>
        <w:rPr>
          <w:rFonts w:hint="eastAsia" w:ascii="宋体" w:hAnsi="宋体" w:cs="Arial"/>
          <w:color w:val="000000"/>
          <w:szCs w:val="21"/>
        </w:rPr>
      </w:pPr>
      <w:r>
        <w:rPr>
          <w:rFonts w:hint="eastAsia" w:ascii="宋体" w:hAnsi="宋体" w:cs="Arial"/>
          <w:color w:val="000000"/>
          <w:szCs w:val="21"/>
        </w:rPr>
        <w:t>七、投标地点：宁波市江北区公共资源交易中心（</w:t>
      </w:r>
      <w:r>
        <w:rPr>
          <w:rFonts w:hint="eastAsia" w:ascii="宋体" w:hAnsi="宋体" w:cs="宋体"/>
          <w:color w:val="000000"/>
          <w:szCs w:val="21"/>
        </w:rPr>
        <w:t>江北区丽江东路85弄16号江北区行政服务中心2楼</w:t>
      </w:r>
      <w:r>
        <w:rPr>
          <w:rFonts w:hint="eastAsia" w:ascii="宋体" w:hAnsi="宋体" w:cs="Arial"/>
          <w:color w:val="000000"/>
          <w:szCs w:val="21"/>
        </w:rPr>
        <w:t>）。</w:t>
      </w:r>
    </w:p>
    <w:p>
      <w:pPr>
        <w:snapToGrid w:val="0"/>
        <w:spacing w:line="380" w:lineRule="exact"/>
        <w:ind w:firstLine="411" w:firstLineChars="196"/>
        <w:rPr>
          <w:rFonts w:hint="eastAsia" w:ascii="宋体" w:hAnsi="宋体" w:cs="Arial"/>
          <w:color w:val="000000"/>
          <w:szCs w:val="21"/>
        </w:rPr>
      </w:pPr>
      <w:r>
        <w:rPr>
          <w:rFonts w:hint="eastAsia" w:ascii="宋体" w:hAnsi="宋体" w:cs="Arial"/>
          <w:color w:val="000000"/>
          <w:szCs w:val="21"/>
        </w:rPr>
        <w:t>八、开标时间：</w:t>
      </w:r>
      <w:r>
        <w:rPr>
          <w:rFonts w:hint="eastAsia" w:ascii="宋体" w:hAnsi="宋体" w:cs="Arial"/>
          <w:color w:val="000000"/>
          <w:szCs w:val="21"/>
          <w:u w:val="single"/>
        </w:rPr>
        <w:t>201</w:t>
      </w:r>
      <w:r>
        <w:rPr>
          <w:rFonts w:hint="eastAsia" w:ascii="宋体" w:hAnsi="宋体" w:cs="Arial"/>
          <w:color w:val="000000"/>
          <w:szCs w:val="21"/>
          <w:u w:val="single"/>
          <w:lang w:val="en-US" w:eastAsia="zh-CN"/>
        </w:rPr>
        <w:t>9</w:t>
      </w:r>
      <w:r>
        <w:rPr>
          <w:rFonts w:hint="eastAsia" w:ascii="宋体" w:hAnsi="宋体" w:cs="Arial"/>
          <w:color w:val="000000"/>
          <w:szCs w:val="21"/>
        </w:rPr>
        <w:t>年</w:t>
      </w:r>
      <w:r>
        <w:rPr>
          <w:rFonts w:hint="eastAsia" w:ascii="宋体" w:hAnsi="宋体" w:cs="Arial"/>
          <w:color w:val="000000"/>
          <w:szCs w:val="21"/>
          <w:u w:val="single"/>
          <w:lang w:val="en-US" w:eastAsia="zh-CN"/>
        </w:rPr>
        <w:t>10</w:t>
      </w:r>
      <w:r>
        <w:rPr>
          <w:rFonts w:hint="eastAsia" w:ascii="宋体" w:hAnsi="宋体" w:cs="Arial"/>
          <w:color w:val="000000"/>
          <w:szCs w:val="21"/>
        </w:rPr>
        <w:t>月</w:t>
      </w:r>
      <w:r>
        <w:rPr>
          <w:rFonts w:hint="eastAsia" w:ascii="宋体" w:hAnsi="宋体" w:cs="Arial"/>
          <w:color w:val="000000"/>
          <w:szCs w:val="21"/>
          <w:u w:val="single"/>
          <w:lang w:val="en-US" w:eastAsia="zh-CN"/>
        </w:rPr>
        <w:t xml:space="preserve"> 21</w:t>
      </w:r>
      <w:r>
        <w:rPr>
          <w:rFonts w:hint="eastAsia" w:ascii="宋体" w:hAnsi="宋体" w:cs="Arial"/>
          <w:color w:val="000000"/>
          <w:szCs w:val="21"/>
        </w:rPr>
        <w:t>日</w:t>
      </w:r>
      <w:r>
        <w:rPr>
          <w:rFonts w:hint="eastAsia" w:ascii="宋体" w:hAnsi="宋体"/>
          <w:color w:val="000000"/>
          <w:szCs w:val="21"/>
          <w:u w:val="single"/>
          <w:lang w:val="en-US" w:eastAsia="zh-CN"/>
        </w:rPr>
        <w:t>9</w:t>
      </w:r>
      <w:r>
        <w:rPr>
          <w:rFonts w:hint="eastAsia" w:ascii="宋体" w:hAnsi="宋体"/>
          <w:color w:val="000000"/>
          <w:szCs w:val="21"/>
          <w:u w:val="single"/>
        </w:rPr>
        <w:t>：</w:t>
      </w:r>
      <w:r>
        <w:rPr>
          <w:rFonts w:hint="eastAsia" w:ascii="宋体" w:hAnsi="宋体"/>
          <w:color w:val="000000"/>
          <w:szCs w:val="21"/>
          <w:u w:val="single"/>
          <w:lang w:val="en-US" w:eastAsia="zh-CN"/>
        </w:rPr>
        <w:t>0</w:t>
      </w:r>
      <w:r>
        <w:rPr>
          <w:rFonts w:hint="eastAsia" w:ascii="宋体" w:hAnsi="宋体"/>
          <w:color w:val="000000"/>
          <w:szCs w:val="21"/>
          <w:u w:val="single"/>
        </w:rPr>
        <w:t>0</w:t>
      </w:r>
      <w:r>
        <w:rPr>
          <w:rFonts w:hint="eastAsia" w:ascii="宋体" w:hAnsi="宋体"/>
          <w:color w:val="000000"/>
          <w:szCs w:val="21"/>
        </w:rPr>
        <w:t>。</w:t>
      </w:r>
    </w:p>
    <w:p>
      <w:pPr>
        <w:snapToGrid w:val="0"/>
        <w:spacing w:line="380" w:lineRule="exact"/>
        <w:ind w:firstLine="411" w:firstLineChars="196"/>
        <w:rPr>
          <w:rFonts w:hint="eastAsia" w:ascii="宋体" w:hAnsi="宋体" w:cs="Arial"/>
          <w:color w:val="000000"/>
          <w:szCs w:val="21"/>
        </w:rPr>
      </w:pPr>
      <w:r>
        <w:rPr>
          <w:rFonts w:hint="eastAsia" w:ascii="宋体" w:hAnsi="宋体" w:cs="Arial"/>
          <w:color w:val="000000"/>
          <w:szCs w:val="21"/>
        </w:rPr>
        <w:t>九、开标地点：宁波市江北区公共资源交易中心（</w:t>
      </w:r>
      <w:r>
        <w:rPr>
          <w:rFonts w:hint="eastAsia" w:ascii="宋体" w:hAnsi="宋体" w:cs="宋体"/>
          <w:color w:val="000000"/>
          <w:szCs w:val="21"/>
        </w:rPr>
        <w:t>江北区丽江东路85弄16号江北区行政服务中心2楼</w:t>
      </w:r>
      <w:r>
        <w:rPr>
          <w:rFonts w:hint="eastAsia" w:ascii="宋体" w:hAnsi="宋体" w:cs="Arial"/>
          <w:color w:val="000000"/>
          <w:szCs w:val="21"/>
        </w:rPr>
        <w:t>）。</w:t>
      </w:r>
    </w:p>
    <w:p>
      <w:pPr>
        <w:snapToGrid w:val="0"/>
        <w:spacing w:line="380" w:lineRule="exact"/>
        <w:ind w:firstLine="411" w:firstLineChars="196"/>
        <w:rPr>
          <w:rFonts w:hint="eastAsia" w:ascii="宋体" w:hAnsi="宋体" w:cs="Arial"/>
          <w:color w:val="000000"/>
          <w:szCs w:val="21"/>
        </w:rPr>
      </w:pPr>
      <w:r>
        <w:rPr>
          <w:rFonts w:hint="eastAsia" w:ascii="宋体" w:hAnsi="宋体" w:cs="Arial"/>
          <w:color w:val="000000"/>
          <w:szCs w:val="21"/>
        </w:rPr>
        <w:t>十、其他事项：</w:t>
      </w:r>
    </w:p>
    <w:p>
      <w:pPr>
        <w:pStyle w:val="28"/>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line="360" w:lineRule="auto"/>
        <w:ind w:right="0" w:firstLine="420" w:firstLineChars="200"/>
        <w:textAlignment w:val="auto"/>
        <w:rPr>
          <w:rFonts w:hint="eastAsia" w:ascii="宋体" w:hAnsi="宋体" w:cs="Arial"/>
          <w:color w:val="000000"/>
          <w:kern w:val="2"/>
          <w:sz w:val="21"/>
          <w:szCs w:val="21"/>
          <w:lang w:val="en-US" w:eastAsia="zh-CN" w:bidi="ar-SA"/>
        </w:rPr>
      </w:pPr>
      <w:r>
        <w:rPr>
          <w:rFonts w:hint="eastAsia" w:ascii="宋体" w:hAnsi="宋体" w:cs="Arial"/>
          <w:color w:val="000000"/>
          <w:kern w:val="2"/>
          <w:sz w:val="21"/>
          <w:szCs w:val="21"/>
          <w:lang w:val="en-US" w:eastAsia="zh-CN" w:bidi="ar-SA"/>
        </w:rPr>
        <w:t>1.特别提醒：特别提醒：参加投标的供应商应于投标前到“浙江政府采购网</w:t>
      </w:r>
    </w:p>
    <w:p>
      <w:pPr>
        <w:pStyle w:val="28"/>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line="360" w:lineRule="auto"/>
        <w:ind w:right="0" w:firstLine="420" w:firstLineChars="200"/>
        <w:textAlignment w:val="auto"/>
        <w:rPr>
          <w:rFonts w:hint="eastAsia" w:ascii="宋体" w:hAnsi="宋体" w:cs="Arial"/>
          <w:color w:val="000000"/>
          <w:kern w:val="2"/>
          <w:sz w:val="21"/>
          <w:szCs w:val="21"/>
          <w:lang w:val="en-US" w:eastAsia="zh-CN" w:bidi="ar-SA"/>
        </w:rPr>
      </w:pPr>
      <w:r>
        <w:rPr>
          <w:rFonts w:hint="eastAsia" w:ascii="宋体" w:hAnsi="宋体" w:cs="Arial"/>
          <w:color w:val="000000"/>
          <w:kern w:val="2"/>
          <w:sz w:val="21"/>
          <w:szCs w:val="21"/>
          <w:lang w:val="en-US" w:eastAsia="zh-CN" w:bidi="ar-SA"/>
        </w:rPr>
        <w:t>(www.zjzfcg.gov.cn)”上进行供应商注册申请，并通过财政部门的终审后登记加入到“浙江省政府采购供应商库”。中标或成交供应商必须注册并登记加入“浙江省政府采购供应商库”。具体要求及注册申请流程详见《浙江省政府采购供应商注册及诚信管理暂行办法》(浙财采监字{2009}28号)和浙江政府采购网“网上办事指南”的“供应商注册申请”。</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40" w:beforeAutospacing="0" w:after="40" w:afterAutospacing="0" w:line="360" w:lineRule="auto"/>
        <w:ind w:right="0" w:rightChars="0" w:firstLine="420" w:firstLineChars="200"/>
        <w:textAlignment w:val="auto"/>
        <w:rPr>
          <w:rFonts w:hint="eastAsia" w:ascii="宋体" w:hAnsi="宋体" w:cs="Arial"/>
          <w:color w:val="000000"/>
          <w:kern w:val="2"/>
          <w:sz w:val="21"/>
          <w:szCs w:val="21"/>
          <w:lang w:val="en-US" w:eastAsia="zh-CN" w:bidi="ar-SA"/>
        </w:rPr>
      </w:pPr>
      <w:r>
        <w:rPr>
          <w:rFonts w:hint="eastAsia" w:ascii="宋体" w:hAnsi="宋体" w:cs="Arial"/>
          <w:color w:val="000000"/>
          <w:kern w:val="2"/>
          <w:sz w:val="21"/>
          <w:szCs w:val="21"/>
          <w:lang w:val="en-US" w:eastAsia="zh-CN" w:bidi="ar-SA"/>
        </w:rPr>
        <w:t>2、本次政府采购活动有关信息在“浙江政府采购网”、“宁波市公共资源交易网江北分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40" w:beforeAutospacing="0" w:after="40" w:afterAutospacing="0" w:line="360" w:lineRule="auto"/>
        <w:ind w:right="0" w:rightChars="0"/>
        <w:textAlignment w:val="auto"/>
        <w:rPr>
          <w:rFonts w:hint="eastAsia" w:ascii="宋体" w:hAnsi="宋体" w:cs="Arial"/>
          <w:color w:val="000000"/>
          <w:kern w:val="2"/>
          <w:sz w:val="21"/>
          <w:szCs w:val="21"/>
          <w:lang w:val="en-US" w:eastAsia="zh-CN" w:bidi="ar-SA"/>
        </w:rPr>
      </w:pPr>
      <w:r>
        <w:rPr>
          <w:rFonts w:hint="eastAsia" w:ascii="宋体" w:hAnsi="宋体" w:cs="Arial"/>
          <w:color w:val="000000"/>
          <w:kern w:val="2"/>
          <w:sz w:val="21"/>
          <w:szCs w:val="21"/>
          <w:lang w:val="en-US" w:eastAsia="zh-CN" w:bidi="ar-SA"/>
        </w:rPr>
        <w:t>网”上公布，公布信息视同送达所有潜在供应商。</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40" w:beforeAutospacing="0" w:after="40" w:afterAutospacing="0" w:line="360" w:lineRule="auto"/>
        <w:ind w:right="0" w:rightChars="0" w:firstLine="420" w:firstLineChars="200"/>
        <w:textAlignment w:val="auto"/>
        <w:rPr>
          <w:rFonts w:hint="eastAsia" w:ascii="宋体" w:hAnsi="宋体" w:cs="Arial"/>
          <w:color w:val="000000"/>
          <w:kern w:val="2"/>
          <w:sz w:val="21"/>
          <w:szCs w:val="21"/>
          <w:lang w:val="en-US" w:eastAsia="zh-CN" w:bidi="ar-SA"/>
        </w:rPr>
      </w:pPr>
      <w:r>
        <w:rPr>
          <w:rFonts w:hint="eastAsia" w:ascii="宋体" w:hAnsi="宋体" w:cs="Arial"/>
          <w:color w:val="000000"/>
          <w:kern w:val="2"/>
          <w:sz w:val="21"/>
          <w:szCs w:val="21"/>
          <w:lang w:val="en-US" w:eastAsia="zh-CN" w:bidi="ar-SA"/>
        </w:rPr>
        <w:t>3、单位负责人为同一人或者存在直接控股、管理关系的不同供应商，不得参加同一子包</w:t>
      </w:r>
    </w:p>
    <w:p>
      <w:pPr>
        <w:pStyle w:val="28"/>
        <w:keepNext w:val="0"/>
        <w:keepLines w:val="0"/>
        <w:pageBreakBefore w:val="0"/>
        <w:widowControl/>
        <w:numPr>
          <w:ilvl w:val="0"/>
          <w:numId w:val="0"/>
        </w:numPr>
        <w:suppressLineNumbers w:val="0"/>
        <w:kinsoku/>
        <w:wordWrap/>
        <w:overflowPunct/>
        <w:topLinePunct w:val="0"/>
        <w:autoSpaceDE/>
        <w:autoSpaceDN/>
        <w:bidi w:val="0"/>
        <w:adjustRightInd/>
        <w:snapToGrid/>
        <w:spacing w:before="40" w:beforeAutospacing="0" w:after="40" w:afterAutospacing="0" w:line="360" w:lineRule="auto"/>
        <w:ind w:right="0" w:rightChars="0"/>
        <w:textAlignment w:val="auto"/>
        <w:rPr>
          <w:rFonts w:hint="eastAsia" w:ascii="宋体" w:hAnsi="宋体" w:cs="Arial"/>
          <w:color w:val="000000"/>
          <w:kern w:val="2"/>
          <w:sz w:val="21"/>
          <w:szCs w:val="21"/>
          <w:lang w:val="en-US" w:eastAsia="zh-CN" w:bidi="ar-SA"/>
        </w:rPr>
      </w:pPr>
      <w:r>
        <w:rPr>
          <w:rFonts w:hint="eastAsia" w:ascii="宋体" w:hAnsi="宋体" w:cs="Arial"/>
          <w:color w:val="000000"/>
          <w:kern w:val="2"/>
          <w:sz w:val="21"/>
          <w:szCs w:val="21"/>
          <w:lang w:val="en-US" w:eastAsia="zh-CN" w:bidi="ar-SA"/>
        </w:rPr>
        <w:t>号的投标。</w:t>
      </w:r>
    </w:p>
    <w:p>
      <w:pPr>
        <w:pStyle w:val="28"/>
        <w:keepNext w:val="0"/>
        <w:keepLines w:val="0"/>
        <w:pageBreakBefore w:val="0"/>
        <w:widowControl/>
        <w:suppressLineNumbers w:val="0"/>
        <w:kinsoku/>
        <w:wordWrap/>
        <w:overflowPunct/>
        <w:topLinePunct w:val="0"/>
        <w:autoSpaceDE/>
        <w:autoSpaceDN/>
        <w:bidi w:val="0"/>
        <w:adjustRightInd/>
        <w:snapToGrid/>
        <w:spacing w:before="40" w:beforeAutospacing="0" w:after="40" w:afterAutospacing="0" w:line="360" w:lineRule="auto"/>
        <w:ind w:right="0" w:firstLine="420" w:firstLineChars="200"/>
        <w:textAlignment w:val="auto"/>
        <w:rPr>
          <w:rFonts w:hint="eastAsia" w:ascii="宋体" w:hAnsi="宋体" w:cs="Arial"/>
          <w:color w:val="000000"/>
          <w:kern w:val="2"/>
          <w:sz w:val="21"/>
          <w:szCs w:val="21"/>
          <w:lang w:val="en-US" w:eastAsia="zh-CN" w:bidi="ar-SA"/>
        </w:rPr>
      </w:pPr>
      <w:r>
        <w:rPr>
          <w:rFonts w:hint="eastAsia" w:ascii="宋体" w:hAnsi="宋体" w:cs="Arial"/>
          <w:color w:val="000000"/>
          <w:kern w:val="2"/>
          <w:sz w:val="21"/>
          <w:szCs w:val="21"/>
          <w:lang w:val="en-US" w:eastAsia="zh-CN" w:bidi="ar-SA"/>
        </w:rPr>
        <w:t>4、本项目需要落实的政府采购政策：促进中小企业发展、残疾人福利性单位等。</w:t>
      </w:r>
    </w:p>
    <w:p>
      <w:pPr>
        <w:tabs>
          <w:tab w:val="left" w:pos="315"/>
          <w:tab w:val="left" w:pos="420"/>
          <w:tab w:val="left" w:pos="448"/>
        </w:tabs>
        <w:spacing w:line="440" w:lineRule="exact"/>
        <w:ind w:firstLine="420" w:firstLineChars="200"/>
        <w:contextualSpacing/>
        <w:rPr>
          <w:szCs w:val="24"/>
        </w:rPr>
      </w:pPr>
      <w:r>
        <w:rPr>
          <w:rFonts w:hint="eastAsia"/>
          <w:szCs w:val="24"/>
          <w:lang w:eastAsia="zh-CN"/>
        </w:rPr>
        <w:t>十一</w:t>
      </w:r>
      <w:r>
        <w:rPr>
          <w:rFonts w:hint="eastAsia"/>
          <w:szCs w:val="24"/>
        </w:rPr>
        <w:t>、联系方式：</w:t>
      </w:r>
    </w:p>
    <w:p>
      <w:pPr>
        <w:tabs>
          <w:tab w:val="left" w:pos="426"/>
        </w:tabs>
        <w:spacing w:line="440" w:lineRule="exact"/>
        <w:ind w:firstLine="420" w:firstLineChars="200"/>
        <w:contextualSpacing/>
        <w:rPr>
          <w:rFonts w:hint="eastAsia" w:eastAsia="宋体"/>
          <w:szCs w:val="24"/>
          <w:lang w:eastAsia="zh-CN"/>
        </w:rPr>
      </w:pPr>
      <w:r>
        <w:rPr>
          <w:rFonts w:hint="eastAsia"/>
          <w:szCs w:val="24"/>
        </w:rPr>
        <w:t>采购单位：</w:t>
      </w:r>
      <w:r>
        <w:rPr>
          <w:rFonts w:hint="eastAsia"/>
          <w:szCs w:val="24"/>
          <w:lang w:eastAsia="zh-CN"/>
        </w:rPr>
        <w:t>宁波市江北甬江资产经营公司</w:t>
      </w:r>
    </w:p>
    <w:p>
      <w:pPr>
        <w:tabs>
          <w:tab w:val="left" w:pos="426"/>
        </w:tabs>
        <w:spacing w:line="440" w:lineRule="exact"/>
        <w:ind w:firstLine="420" w:firstLineChars="200"/>
        <w:contextualSpacing/>
        <w:rPr>
          <w:rFonts w:hint="eastAsia" w:eastAsia="宋体"/>
          <w:szCs w:val="24"/>
          <w:lang w:eastAsia="zh-CN"/>
        </w:rPr>
      </w:pPr>
      <w:r>
        <w:rPr>
          <w:rFonts w:hint="eastAsia"/>
          <w:szCs w:val="24"/>
        </w:rPr>
        <w:t>联系人：</w:t>
      </w:r>
      <w:r>
        <w:rPr>
          <w:rFonts w:hint="eastAsia"/>
          <w:szCs w:val="24"/>
          <w:lang w:val="en-US" w:eastAsia="zh-CN"/>
        </w:rPr>
        <w:t xml:space="preserve"> 王工</w:t>
      </w:r>
    </w:p>
    <w:p>
      <w:pPr>
        <w:tabs>
          <w:tab w:val="left" w:pos="426"/>
        </w:tabs>
        <w:spacing w:line="440" w:lineRule="exact"/>
        <w:ind w:firstLine="420" w:firstLineChars="200"/>
        <w:contextualSpacing/>
        <w:rPr>
          <w:rFonts w:hint="default"/>
          <w:szCs w:val="24"/>
          <w:lang w:val="en-US" w:eastAsia="zh-CN"/>
        </w:rPr>
      </w:pPr>
      <w:r>
        <w:rPr>
          <w:rFonts w:hint="eastAsia"/>
          <w:szCs w:val="24"/>
        </w:rPr>
        <w:t>联系电话：</w:t>
      </w:r>
      <w:r>
        <w:rPr>
          <w:rFonts w:hint="eastAsia"/>
          <w:szCs w:val="24"/>
          <w:lang w:val="en-US" w:eastAsia="zh-CN"/>
        </w:rPr>
        <w:t xml:space="preserve"> 0574-87634535</w:t>
      </w:r>
    </w:p>
    <w:p>
      <w:pPr>
        <w:tabs>
          <w:tab w:val="left" w:pos="426"/>
        </w:tabs>
        <w:spacing w:line="440" w:lineRule="exact"/>
        <w:ind w:firstLine="420" w:firstLineChars="200"/>
        <w:contextualSpacing/>
        <w:rPr>
          <w:rFonts w:hint="eastAsia"/>
          <w:szCs w:val="24"/>
        </w:rPr>
      </w:pPr>
      <w:r>
        <w:rPr>
          <w:rFonts w:hint="eastAsia"/>
          <w:szCs w:val="24"/>
        </w:rPr>
        <w:t>招标代理</w:t>
      </w:r>
      <w:r>
        <w:rPr>
          <w:rFonts w:hint="eastAsia"/>
          <w:szCs w:val="24"/>
          <w:lang w:eastAsia="zh-CN"/>
        </w:rPr>
        <w:t>机构</w:t>
      </w:r>
      <w:r>
        <w:rPr>
          <w:rFonts w:hint="eastAsia"/>
          <w:szCs w:val="24"/>
        </w:rPr>
        <w:t>：浙江天诚工程咨询有限公司</w:t>
      </w:r>
    </w:p>
    <w:p>
      <w:pPr>
        <w:tabs>
          <w:tab w:val="left" w:pos="426"/>
        </w:tabs>
        <w:spacing w:line="440" w:lineRule="exact"/>
        <w:ind w:firstLine="420" w:firstLineChars="200"/>
        <w:contextualSpacing/>
        <w:rPr>
          <w:rFonts w:hint="eastAsia"/>
          <w:szCs w:val="24"/>
        </w:rPr>
      </w:pPr>
      <w:r>
        <w:rPr>
          <w:rFonts w:hint="eastAsia"/>
          <w:szCs w:val="24"/>
        </w:rPr>
        <w:t>地址：宁波市高新区江南路599号科技大厦4楼</w:t>
      </w:r>
    </w:p>
    <w:p>
      <w:pPr>
        <w:tabs>
          <w:tab w:val="left" w:pos="426"/>
        </w:tabs>
        <w:spacing w:line="440" w:lineRule="exact"/>
        <w:ind w:firstLine="420" w:firstLineChars="200"/>
        <w:contextualSpacing/>
        <w:rPr>
          <w:rFonts w:hint="eastAsia"/>
          <w:szCs w:val="24"/>
        </w:rPr>
      </w:pPr>
      <w:r>
        <w:rPr>
          <w:rFonts w:hint="eastAsia"/>
          <w:szCs w:val="24"/>
        </w:rPr>
        <w:t>联系人：何丁华</w:t>
      </w:r>
    </w:p>
    <w:p>
      <w:pPr>
        <w:tabs>
          <w:tab w:val="left" w:pos="426"/>
        </w:tabs>
        <w:spacing w:line="440" w:lineRule="exact"/>
        <w:ind w:firstLine="420" w:firstLineChars="200"/>
        <w:contextualSpacing/>
        <w:rPr>
          <w:rFonts w:hint="eastAsia"/>
          <w:szCs w:val="24"/>
        </w:rPr>
      </w:pPr>
      <w:r>
        <w:rPr>
          <w:rFonts w:hint="eastAsia"/>
          <w:szCs w:val="24"/>
        </w:rPr>
        <w:t xml:space="preserve">联系电话：0574-87939871 </w:t>
      </w:r>
    </w:p>
    <w:p>
      <w:pPr>
        <w:tabs>
          <w:tab w:val="left" w:pos="426"/>
        </w:tabs>
        <w:spacing w:line="440" w:lineRule="exact"/>
        <w:contextualSpacing/>
        <w:rPr>
          <w:rFonts w:hint="eastAsia"/>
          <w:szCs w:val="24"/>
        </w:rPr>
      </w:pPr>
    </w:p>
    <w:p>
      <w:pPr>
        <w:tabs>
          <w:tab w:val="left" w:pos="426"/>
        </w:tabs>
        <w:spacing w:line="440" w:lineRule="exact"/>
        <w:ind w:firstLine="420" w:firstLineChars="200"/>
        <w:contextualSpacing/>
        <w:rPr>
          <w:rFonts w:hint="eastAsia" w:hAnsi="宋体" w:cs="Arial"/>
          <w:color w:val="000000"/>
          <w:sz w:val="21"/>
          <w:szCs w:val="21"/>
        </w:rPr>
      </w:pPr>
      <w:r>
        <w:rPr>
          <w:rFonts w:hint="eastAsia" w:hAnsi="宋体" w:cs="Arial"/>
          <w:color w:val="000000"/>
          <w:sz w:val="21"/>
          <w:szCs w:val="21"/>
        </w:rPr>
        <w:t>监管及投诉受理单位：宁波市江北区政府采购办公室/0574-87388097</w:t>
      </w:r>
    </w:p>
    <w:p>
      <w:pPr>
        <w:pStyle w:val="15"/>
        <w:snapToGrid w:val="0"/>
        <w:spacing w:before="120" w:after="120" w:line="440" w:lineRule="exact"/>
        <w:jc w:val="center"/>
        <w:outlineLvl w:val="0"/>
        <w:rPr>
          <w:rFonts w:hint="eastAsia" w:ascii="黑体" w:hAnsi="宋体" w:eastAsia="黑体"/>
          <w:color w:val="000000"/>
          <w:sz w:val="30"/>
          <w:szCs w:val="30"/>
        </w:rPr>
      </w:pPr>
      <w:r>
        <w:rPr>
          <w:rFonts w:ascii="黑体" w:hAnsi="宋体" w:eastAsia="黑体"/>
          <w:color w:val="000000"/>
          <w:sz w:val="30"/>
          <w:szCs w:val="30"/>
        </w:rPr>
        <w:br w:type="page"/>
      </w:r>
      <w:r>
        <w:rPr>
          <w:rFonts w:hint="eastAsia" w:ascii="黑体" w:hAnsi="宋体" w:eastAsia="黑体"/>
          <w:color w:val="000000"/>
          <w:sz w:val="30"/>
          <w:szCs w:val="30"/>
        </w:rPr>
        <w:t>第二章  招标需求</w:t>
      </w:r>
      <w:bookmarkEnd w:id="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十三五”规划中提出，我国将支持绿色城市、智慧城市、森林城市建设和城际基础设施互联互通。智慧城市建设的发展在中国步入快车道，智慧园区作为智慧城市的关键组件亦纷纷涌现，新一代的云计算、物联网、决策分析优化等信息技术，对现有互联网技术、传感器技术、智能信息处理等信息技术高度集成，通过监测、分析、整合以及智慧响应的方式，采取感知化、互联化、智能化的手段，将园区中分散的、各自为政的物理基础设施、信息基础设施、社会基础设施和商业基础设施连接起来，成为新一代的智慧化基础设施，从而提升为一个具有较好协同能力和调控能力的有机整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符合数字甬江的智慧管理要求、满足弘茂大厦管理服务的业务需求，需要加强园区的信息化建设，融合“互联网+”的产业模式，提升园区的服务管理能力与效率，搭建园区一体化智能服务平台，帮助入驻企业提升整理形象，为园区内的员工提供便利的生活配套服务，打造社区化的智慧产业园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b/>
          <w:sz w:val="24"/>
          <w:szCs w:val="24"/>
        </w:rPr>
      </w:pPr>
      <w:r>
        <w:rPr>
          <w:b/>
          <w:sz w:val="24"/>
          <w:szCs w:val="24"/>
        </w:rPr>
        <w:t>一、建设目标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项目建设目标为：利用现代室内外空间展示、物联网、云计算、大数据、安防等技术，建成园区统一的“智慧园区”综合信息服务平台，融合园区安防管理、资产管理、物业管理、能耗管理、巡更管理、访客管理、园区管理等模块，达到街道主导、园区联动、入驻企业参与的良好工作局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项目将达到以下实效：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1、整合资源，综合展示，实现园区管理工作“看的见、叫的应”。将各类设施的现状普查、资源调度、企业管理、人才管理等信息集成整合到一张图上。通过企业商务管理、物业管理、一卡通平台、门禁系统、访客系统等信息统一应用到一个平台上。通过智慧园区系统把园区的整体情况以信息、数据，实时显示、实时监控显现出来。通过智慧园区管理平台将各园区的日常信息管理起来，围绕园区提档升级工作打造一支“找得到、叫得应”的强有力的战斗队。同时实现与江北区计划搭建的华为工业物联网平台对接。将园区服务、安防控制、资产管理、园区规划、入驻企业服务等功能有机集成，实现全盘掌控，科学调配，全面统筹“智慧园区”管理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2、详细记录，全面展示，实现园区管理工作进展“实况直播”。建成后的园区管理系统，将运用资产管理、租赁管理、门禁平台、梯控系统、信息发布平台、线上线下展示厅的数据整合、挖掘将园区现状及时“实况直播”，既方便管理，又能全面、充分向入驻企业、社会各界宣传数字甬江形象，多方位展现园区管理的工作成效，营造良好的创业氛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3、标准统一，共建共享，实现园区管理信息的“互联互通”。制定一系列的数据、软件、硬件、接口的方面的标准规范，加强对智慧园区成熟模块或功能的在辖区内其他产业园区的推广应用。通过对接“区空间资源管理”平台实现功能应用外部延伸，探索应用新模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4、效率优先，技术引领，实现园区管理“智慧化”。依托园区物业管理平台及空间展示平台，充分利用物联网、云计算、大数据、社交网络等技术，按照统一的标准规范，采集普查基础数据资料，集成各产业园区专题数据资料和实时监控、实时信息发布服务，整合相关部门业务系统，实现园区管理相关业务信息的交换和共享，最终形成园区大数据的集成，通过对大数据的深入挖掘，提供科学合理的方案，最终实现“智慧园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sz w:val="21"/>
          <w:szCs w:val="21"/>
        </w:rPr>
      </w:pPr>
      <w:r>
        <w:rPr>
          <w:b/>
          <w:bCs/>
          <w:sz w:val="21"/>
          <w:szCs w:val="21"/>
        </w:rPr>
        <w:t>二、系统架构</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b/>
          <w:bCs/>
          <w:sz w:val="21"/>
          <w:szCs w:val="21"/>
        </w:rPr>
      </w:pPr>
      <w:r>
        <w:rPr>
          <w:sz w:val="21"/>
          <w:szCs w:val="21"/>
        </w:rPr>
        <w:t>技术架构采用B/S架构，自下而上依次为应用层、业务应用层、数字中台、通用能力层组成。▲要求基于阿里云、华为云、腾讯云等知名主流云服务平台搭建业务应用。以“云服务平台”+“系统应用”+IOT模式实现“智慧园区”应用。</w:t>
      </w:r>
      <w:r>
        <w:rPr>
          <w:rFonts w:hint="default"/>
          <w:color w:val="FF0000"/>
          <w:sz w:val="21"/>
          <w:szCs w:val="21"/>
        </w:rPr>
        <w:drawing>
          <wp:inline distT="0" distB="0" distL="114300" distR="114300">
            <wp:extent cx="5464810" cy="2447290"/>
            <wp:effectExtent l="0" t="0" r="254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8"/>
                    <a:stretch>
                      <a:fillRect/>
                    </a:stretch>
                  </pic:blipFill>
                  <pic:spPr>
                    <a:xfrm>
                      <a:off x="0" y="0"/>
                      <a:ext cx="5464810" cy="2447290"/>
                    </a:xfrm>
                    <a:prstGeom prst="rect">
                      <a:avLst/>
                    </a:prstGeom>
                    <a:noFill/>
                    <a:ln>
                      <a:noFill/>
                    </a:ln>
                  </pic:spPr>
                </pic:pic>
              </a:graphicData>
            </a:graphic>
          </wp:inline>
        </w:drawing>
      </w:r>
      <w:r>
        <w:rPr>
          <w:sz w:val="21"/>
          <w:szCs w:val="21"/>
        </w:rPr>
        <w:br w:type="page"/>
      </w:r>
      <w:r>
        <w:rPr>
          <w:b/>
          <w:bCs/>
          <w:sz w:val="21"/>
          <w:szCs w:val="21"/>
        </w:rPr>
        <w:t>系统拓扑要求</w:t>
      </w:r>
    </w:p>
    <w:p>
      <w:pPr>
        <w:pageBreakBefore w:val="0"/>
        <w:kinsoku/>
        <w:wordWrap/>
        <w:overflowPunct/>
        <w:topLinePunct w:val="0"/>
        <w:autoSpaceDE/>
        <w:autoSpaceDN/>
        <w:bidi w:val="0"/>
        <w:adjustRightInd/>
        <w:snapToGrid/>
        <w:spacing w:line="360" w:lineRule="auto"/>
        <w:textAlignment w:val="auto"/>
        <w:rPr>
          <w:rFonts w:hint="default"/>
          <w:sz w:val="21"/>
          <w:szCs w:val="21"/>
        </w:rPr>
      </w:pPr>
      <w:r>
        <w:rPr>
          <w:sz w:val="21"/>
          <w:szCs w:val="21"/>
        </w:rPr>
        <w:tab/>
      </w:r>
      <w:r>
        <w:rPr>
          <w:sz w:val="21"/>
          <w:szCs w:val="21"/>
        </w:rPr>
        <w:t>为了消除数据孤岛，提供数据共享利用水平，同时保证园区的数据安全，数据中心数据能够输出到应用平台给予应用平台的使用，能够数据共享。</w:t>
      </w:r>
    </w:p>
    <w:p>
      <w:pPr>
        <w:pageBreakBefore w:val="0"/>
        <w:kinsoku/>
        <w:wordWrap/>
        <w:overflowPunct/>
        <w:topLinePunct w:val="0"/>
        <w:autoSpaceDE/>
        <w:autoSpaceDN/>
        <w:bidi w:val="0"/>
        <w:adjustRightInd/>
        <w:snapToGrid/>
        <w:spacing w:line="360" w:lineRule="auto"/>
        <w:textAlignment w:val="auto"/>
        <w:outlineLvl w:val="0"/>
        <w:rPr>
          <w:rFonts w:hint="default"/>
          <w:b/>
          <w:sz w:val="21"/>
          <w:szCs w:val="21"/>
        </w:rPr>
      </w:pPr>
      <w:r>
        <w:rPr>
          <w:b/>
          <w:sz w:val="21"/>
          <w:szCs w:val="21"/>
        </w:rPr>
        <w:t>三、功能描述</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sz w:val="24"/>
          <w:szCs w:val="24"/>
          <w:highlight w:val="none"/>
          <w:lang w:eastAsia="zh-CN"/>
        </w:rPr>
      </w:pPr>
      <w:r>
        <w:rPr>
          <w:b/>
          <w:sz w:val="21"/>
          <w:szCs w:val="21"/>
          <w:highlight w:val="none"/>
        </w:rPr>
        <w:t>3.1云服务产品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highlight w:val="none"/>
          <w:lang w:eastAsia="zh-CN"/>
        </w:rPr>
      </w:pPr>
      <w:r>
        <w:rPr>
          <w:rFonts w:hint="eastAsia"/>
          <w:b/>
          <w:bCs/>
          <w:sz w:val="24"/>
          <w:szCs w:val="24"/>
          <w:highlight w:val="none"/>
          <w:lang w:eastAsia="zh-CN"/>
        </w:rPr>
        <w:t>要求选用主流云服务产品平台自有或租赁，租赁期3年。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highlight w:val="none"/>
          <w:lang w:eastAsia="zh-CN"/>
        </w:rPr>
      </w:pPr>
      <w:r>
        <w:rPr>
          <w:rFonts w:hint="eastAsia"/>
          <w:b/>
          <w:bCs/>
          <w:sz w:val="24"/>
          <w:szCs w:val="24"/>
          <w:highlight w:val="none"/>
          <w:lang w:eastAsia="zh-CN"/>
        </w:rPr>
        <w:t>云服务产品必须满足以下技术参数要求：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highlight w:val="none"/>
          <w:lang w:eastAsia="zh-CN"/>
        </w:rPr>
      </w:pPr>
      <w:r>
        <w:rPr>
          <w:rFonts w:hint="eastAsia"/>
          <w:b/>
          <w:bCs/>
          <w:sz w:val="24"/>
          <w:szCs w:val="24"/>
          <w:highlight w:val="none"/>
          <w:lang w:eastAsia="zh-CN"/>
        </w:rPr>
        <w:t>▲如提供的云服务产品平台为租赁，云服务产品提供商须为阿里云、华为云、腾讯云等同档次及以上的云服务产品提供商。供应商选择阿里云或华为云或腾讯云，须在投标文件中提供合作证明；如供应商选择产品性能不低于招标人选用技术要求的其他云服务产品提供商，必须在投标文件中提供有关技术参数对照资料及合作证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highlight w:val="none"/>
        </w:rPr>
      </w:pPr>
      <w:r>
        <w:rPr>
          <w:b/>
          <w:bCs/>
          <w:sz w:val="24"/>
          <w:szCs w:val="24"/>
          <w:highlight w:val="none"/>
        </w:rPr>
        <w:t>▲</w:t>
      </w:r>
      <w:r>
        <w:rPr>
          <w:rFonts w:hint="eastAsia"/>
          <w:b/>
          <w:bCs/>
          <w:sz w:val="24"/>
          <w:szCs w:val="24"/>
          <w:highlight w:val="none"/>
        </w:rPr>
        <w:t>如提供的云服务产品平台为自有平台，请</w:t>
      </w:r>
      <w:r>
        <w:rPr>
          <w:rFonts w:hint="eastAsia"/>
          <w:b/>
          <w:bCs/>
          <w:sz w:val="24"/>
          <w:szCs w:val="24"/>
          <w:highlight w:val="none"/>
          <w:lang w:eastAsia="zh-CN"/>
        </w:rPr>
        <w:t>在标书中</w:t>
      </w:r>
      <w:r>
        <w:rPr>
          <w:rFonts w:hint="eastAsia"/>
          <w:b/>
          <w:bCs/>
          <w:sz w:val="24"/>
          <w:szCs w:val="24"/>
          <w:highlight w:val="none"/>
        </w:rPr>
        <w:t>提供相关符合标书技术参数标准的平台自有证明。</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sz w:val="21"/>
          <w:szCs w:val="21"/>
          <w:lang w:eastAsia="zh-CN"/>
        </w:rPr>
      </w:pPr>
      <w:r>
        <w:rPr>
          <w:rFonts w:hint="eastAsia"/>
          <w:sz w:val="21"/>
          <w:szCs w:val="21"/>
          <w:lang w:eastAsia="zh-CN"/>
        </w:rPr>
        <w:t>此次提供基础云资源平台、数据集成平台、视频分析平台、边缘计算平台等产品，且必须满足以下技术参数要求。</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云计算</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云主机服务可用性不低于99.9%；云主机数据可靠性不低于99.99%。</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提供用户自服务门户和API接口，用户可自行创建不同规格的虚拟主机，自定义CPU、内存、网络、磁盘等属性。</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提供虚拟主机的动态升级、快照备份、性能监测分析、异常告警、日志管理等功能。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支持整机备份：整机备份为云服务器下所有云硬盘创建一致性在线备份，无需关机。针对病毒入侵、人为误删除、软硬件故障等场景，可将数据恢复到任意备份点。</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支持添加共享盘且商用：支持创建共享盘，有些场景多个虚拟机间需要共享盘进行数据共享。</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提供快照和自定义镜像能力，支持对运行或停止状态的虚拟主机生成快照，提供快照回滚功能。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要求虚拟机可自动宕机迁移，自动快照备份，数据恢复方便。</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自定义安全防护功能，新创建的云主机要求默认关闭除管理端口之外的所有端口。</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提供帐号防暴力破解功能，如提供连续密码输入错误帐号被锁定机制，提供密码复杂度强制要求检查机制。</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提供数据传输加密功能，系统内部采用SSL协议加密；</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虚拟主机支持自定义镜像和增量快照。</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提供镜像服务console界面导入导出功能。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支持并配置计算能力的垂直伸缩，支持对CPU和内存的升级与降级操作，支持增加、减少磁盘。</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支持并配置计算能力的水平伸缩，可以通过API和控制台创建、销毁虚拟主机实例，通过与负载均衡配合实现水平伸缩。</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虚拟主机的技术方案支持在线升级，计算能力、存储容量和总IO带宽等同步线性扩容。</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块存储</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平均每个虚拟云主机的块存储空间不低于100G，跨度最少支持1G至2TB。</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能够进行块设备的在线备份。能够支持针对任意备份点进行回滚恢复等操作。</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磁盘的创建和删除，挂载与卸载等。</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快照的创建，删除，恢复到原磁盘，回滚等功能。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提供控制台、API及远程终端等多种管理方式。</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删除用户磁盘时，支持选择是否彻底清除磁盘数据，以保证数据的安全。</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磁盘支持在线扩容，处于挂载状态时支持扩容，包括系统卷和数据卷。</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无单点故障，服务可用性不低于99.9999999%。</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IO吞吐最高可达350MB/s，IOPS最高可达30000以上。</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弹性负载均衡</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负载均衡支持软件方式实现。</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支持4层、7层负载均衡，支持HTTP,HTTPS,TCP,UDP负载均衡。</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支持并配置轮询、最小连接数等流量分发策略。</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可以对配置的虚拟主机进行健康检查，自动隔离异常状态虚拟主机。一旦发现健康问题，迅速将服务切换，确保服务可用性。</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提供支持HTTP/HTTPS/TCP/UDP协议的负载均衡器，并提供会话保持功能。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提供用户自服务门户和API接口，用户可自行创建负载均衡实例，并对其进行配置。</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网络服务</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支持BGP网络，云机房直接接入运营商的网络链路（至少支持移动、联通、电信），要求提供证明并加盖原厂商公章。</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在不停止服务的前提下用户可以自由的对带宽进行弹性升降。</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能够独立申请使用公网IP地址。弹性公网IP可以按需的绑定到相同地域下专有网络类型的云产品实例上，绑定和解绑操作都即时生效。</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数据库</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所有的规格都支持最多4TB的存储空间，支持最大实例规格不低于60核512G。</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实例的底层资源（cpu和内存）独享的，不受其他实例影响，性能更稳定。</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提供统一的认证模式、支持SSL/TSL加密，支持打通异构系统间的认证与权限。</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数据存储在云硬盘中，支持3副本存储，提供7个9的可靠性。</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支持创建数据库时指定实例IP地址，支持修改数据库实例IP地址。</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支持分钟级实现磁盘扩容，对业务无影响。</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可挂载的指定的弹性IP。</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安全服务</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云计算环境必须具备不同租户之间基本的网络、存储、虚拟机等资源的逻辑或者物理隔离功能。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针对DDOS、ATP等常见网络攻击能提供一定级别的防护，并且对于一个月内的攻击可以提供详细记录。</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提供定期检测虚拟主机面向Internet开放的端口的能力，将端口开放情况及时通知给用户。</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提供主机密码暴力破解防护、异地登录提醒、漏洞防护等主机安全防护措施。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提供漏洞检测、修补等安全措施。</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提供后门检测、木马检测、防病毒软件及定期病毒查杀等应用层安全措施的接口。</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云服务商需与租用云服务的用户签订保密协议，不得擅自非法使用或者向其他第三方机构提供用户数据。</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云计算平台需有完善的数据备份与恢复机制，能根据用户的实际需求进行定制。</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云计算平台提供商需有完整的管理机制，确保其工作人员未经用户授权查看、使用或修改用户数据。</w:t>
      </w:r>
    </w:p>
    <w:p>
      <w:pPr>
        <w:pStyle w:val="3"/>
        <w:pageBreakBefore w:val="0"/>
        <w:widowControl/>
        <w:numPr>
          <w:ilvl w:val="1"/>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数据集成平台</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统一集成平台管理</w:t>
      </w:r>
    </w:p>
    <w:p>
      <w:pPr>
        <w:pageBreakBefore w:val="0"/>
        <w:kinsoku/>
        <w:wordWrap/>
        <w:overflowPunct/>
        <w:topLinePunct w:val="0"/>
        <w:autoSpaceDE/>
        <w:autoSpaceDN/>
        <w:bidi w:val="0"/>
        <w:adjustRightInd/>
        <w:snapToGrid/>
        <w:spacing w:line="360" w:lineRule="auto"/>
        <w:ind w:firstLine="422" w:firstLineChars="200"/>
        <w:textAlignment w:val="auto"/>
        <w:rPr>
          <w:rFonts w:hint="default"/>
          <w:sz w:val="21"/>
          <w:szCs w:val="21"/>
        </w:rPr>
      </w:pPr>
      <w:r>
        <w:rPr>
          <w:b/>
          <w:sz w:val="21"/>
          <w:szCs w:val="21"/>
        </w:rPr>
        <w:t>▲企业级的统一集成平台，提供应用和数据连接能力</w:t>
      </w:r>
      <w:r>
        <w:rPr>
          <w:sz w:val="21"/>
          <w:szCs w:val="21"/>
        </w:rPr>
        <w:t>。单一平台将数据、服务、消息、设备等集成技术融合到一个平台内，内部拉通，统一管理，唯一的主数据、权限、事件、规则、租户、任务调度等，可以做到企业数据的融合集成，打破数据孤岛，驱动企业数字化转型。</w:t>
      </w:r>
    </w:p>
    <w:p>
      <w:pPr>
        <w:pageBreakBefore w:val="0"/>
        <w:kinsoku/>
        <w:wordWrap/>
        <w:overflowPunct/>
        <w:topLinePunct w:val="0"/>
        <w:autoSpaceDE/>
        <w:autoSpaceDN/>
        <w:bidi w:val="0"/>
        <w:adjustRightInd/>
        <w:snapToGrid/>
        <w:spacing w:line="360" w:lineRule="auto"/>
        <w:ind w:firstLine="422" w:firstLineChars="200"/>
        <w:textAlignment w:val="auto"/>
        <w:rPr>
          <w:rFonts w:hint="default"/>
          <w:sz w:val="21"/>
          <w:szCs w:val="21"/>
          <w:highlight w:val="yellow"/>
        </w:rPr>
      </w:pPr>
      <w:r>
        <w:rPr>
          <w:b/>
          <w:sz w:val="21"/>
          <w:szCs w:val="21"/>
        </w:rPr>
        <w:t>▲统一集成平台支持多云数据采集能力，一个控制台可管理包括公有云、私有云及边缘等多个节点，打通云上云下企业应用、数据、设备及合作伙伴等领域信息孤岛，实现信息共享。</w:t>
      </w:r>
      <w:r>
        <w:rPr>
          <w:sz w:val="21"/>
          <w:szCs w:val="21"/>
        </w:rPr>
        <w:t>支持不暴露公网IP的情况下连接不同公有云及用户私有本地数据源，数据采集上云的同时，不破坏企业的安全边界。</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统一集成平台支持引入第三方业务能力，提供认证、鉴权、流控等管理能力，开放接口供业务系统使用。</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统一集成平台提供统一的认证模式、支持SSL/TSL加密，支持打通异构系统间的认证与权限。</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支持集群化部署与跨AZ部署，确保服务高可用性。</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企业的数字化转型的核心要务就是将信息技术(IT)与运营技术(OT)融合在一起，统一集成平台应与业内主流的IT系统、工业设备等进行预对接适配，支持Oracle、MySQL、SQL Server、Ka**a、API、WebSocket等主流异构数据源的直接采集及modbus、OPC-UA等常用工业协议，应用无需修改，无缝集成提供认证、鉴权、流控等管理能力，开放接口供业务系统使用。</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应用集成</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支持API生命周期管理、API版本管理并支持使用页面调试工具简化API开发。</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支持秒级API流控，针对不同的业务等级、用户等级，可实施API级别的精细流控，保护集成业务的稳定运行。</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统一集成平台提供API策略路由能力，支持根据不同的Header、Query来定制API接口的后端集成路径。</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★统一集成平台支持Backend as a Service能力，具备将legacy核心系统改造为微服务化架构的能力。可将多种文件系统、数据源快速开放为Restful接口。提供API接口编排能力，方便与创新业务及创新应用对接，帮助企业构建可持续演进的IT架构。兼容过去、演绎未来。</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数据集成</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★支持Oracle、SQLServer、MySQL、Restful API、WebSocket、Ka**a等多种异构数据源同步。</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支持灵活的数据集成任务调度，包含：全量、增量（需时间戳）、自定义周期的数据集成模式。</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支持用户自定义需要集成的数据库表及数据库字段。</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统一集成平台支持自定义及自动映射两种方式关联数据源字段与目标数据源字段。</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消息集成</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支持消息的发布与订阅、支持消息组播、广播并提供消息队列的公网访问。</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sz w:val="21"/>
          <w:szCs w:val="21"/>
        </w:rPr>
      </w:pPr>
      <w:r>
        <w:rPr>
          <w:sz w:val="21"/>
          <w:szCs w:val="21"/>
        </w:rPr>
        <w:t>支持消息队列多协议接入：HTTP Restful API、KA**A SDK接入。</w:t>
      </w:r>
    </w:p>
    <w:p>
      <w:pPr>
        <w:pStyle w:val="4"/>
        <w:pageBreakBefore w:val="0"/>
        <w:widowControl/>
        <w:numPr>
          <w:ilvl w:val="2"/>
          <w:numId w:val="0"/>
        </w:numPr>
        <w:kinsoku/>
        <w:wordWrap/>
        <w:overflowPunct/>
        <w:topLinePunct w:val="0"/>
        <w:autoSpaceDE/>
        <w:autoSpaceDN/>
        <w:bidi w:val="0"/>
        <w:adjustRightInd/>
        <w:snapToGrid/>
        <w:spacing w:before="0" w:after="0" w:line="360" w:lineRule="auto"/>
        <w:jc w:val="left"/>
        <w:textAlignment w:val="auto"/>
        <w:rPr>
          <w:rFonts w:hint="default" w:ascii="仿宋" w:hAnsi="仿宋" w:eastAsia="仿宋" w:cs="MS Mincho"/>
          <w:sz w:val="21"/>
          <w:szCs w:val="21"/>
        </w:rPr>
      </w:pPr>
      <w:r>
        <w:rPr>
          <w:rFonts w:ascii="仿宋" w:hAnsi="仿宋" w:eastAsia="仿宋" w:cs="MS Mincho"/>
          <w:sz w:val="21"/>
          <w:szCs w:val="21"/>
        </w:rPr>
        <w:t>设备集成</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cs="宋体"/>
          <w:bCs/>
          <w:color w:val="000000"/>
          <w:sz w:val="21"/>
          <w:szCs w:val="21"/>
        </w:rPr>
      </w:pPr>
      <w:r>
        <w:rPr>
          <w:rFonts w:cs="宋体"/>
          <w:bCs/>
          <w:color w:val="000000"/>
          <w:sz w:val="21"/>
          <w:szCs w:val="21"/>
        </w:rPr>
        <w:t>统一集成平台提供设备接入能力，支持标准的MQTT协议，实现设备数据接入云端，完成IT与OT打通。</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cs="宋体"/>
          <w:bCs/>
          <w:color w:val="000000"/>
          <w:sz w:val="21"/>
          <w:szCs w:val="21"/>
        </w:rPr>
      </w:pPr>
      <w:r>
        <w:rPr>
          <w:rFonts w:cs="宋体"/>
          <w:bCs/>
          <w:color w:val="000000"/>
          <w:sz w:val="21"/>
          <w:szCs w:val="21"/>
        </w:rPr>
        <w:t>支持设备管理，设备模型定义，规则引擎转发，设备影子，物模型，物解析等能力。</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cs="宋体"/>
          <w:bCs/>
          <w:color w:val="000000"/>
          <w:sz w:val="21"/>
          <w:szCs w:val="21"/>
        </w:rPr>
      </w:pPr>
      <w:r>
        <w:rPr>
          <w:rFonts w:cs="宋体"/>
          <w:bCs/>
          <w:color w:val="000000"/>
          <w:sz w:val="21"/>
          <w:szCs w:val="21"/>
        </w:rPr>
        <w:t>支持规则引擎，支持SQL、二进制数据解析成json格式，方便获取设备数据。</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cs="宋体"/>
          <w:bCs/>
          <w:color w:val="000000"/>
          <w:sz w:val="21"/>
          <w:szCs w:val="21"/>
        </w:rPr>
      </w:pPr>
      <w:r>
        <w:rPr>
          <w:rFonts w:cs="宋体"/>
          <w:bCs/>
          <w:color w:val="000000"/>
          <w:sz w:val="21"/>
          <w:szCs w:val="21"/>
        </w:rPr>
        <w:t>支持一型一密及一机一密两种设备认证模式，保障设备接入安全。</w:t>
      </w:r>
    </w:p>
    <w:p>
      <w:pPr>
        <w:pageBreakBefore w:val="0"/>
        <w:kinsoku/>
        <w:wordWrap/>
        <w:overflowPunct/>
        <w:topLinePunct w:val="0"/>
        <w:autoSpaceDE/>
        <w:autoSpaceDN/>
        <w:bidi w:val="0"/>
        <w:adjustRightInd/>
        <w:snapToGrid/>
        <w:spacing w:line="360" w:lineRule="auto"/>
        <w:ind w:firstLine="420" w:firstLineChars="200"/>
        <w:textAlignment w:val="auto"/>
        <w:rPr>
          <w:rFonts w:hint="default" w:cs="宋体"/>
          <w:bCs/>
          <w:color w:val="000000"/>
          <w:sz w:val="21"/>
          <w:szCs w:val="21"/>
        </w:rPr>
      </w:pPr>
      <w:r>
        <w:rPr>
          <w:rFonts w:cs="宋体"/>
          <w:bCs/>
          <w:color w:val="000000"/>
          <w:sz w:val="21"/>
          <w:szCs w:val="21"/>
        </w:rPr>
        <w:t>园区视频分析将人工智能应用于园区的管理与监控，通过视频分析、数据挖掘等技术更高效地管理、规划园区的生产生活。</w:t>
      </w:r>
    </w:p>
    <w:p>
      <w:pPr>
        <w:pageBreakBefore w:val="0"/>
        <w:kinsoku/>
        <w:wordWrap/>
        <w:overflowPunct/>
        <w:topLinePunct w:val="0"/>
        <w:autoSpaceDE/>
        <w:autoSpaceDN/>
        <w:bidi w:val="0"/>
        <w:adjustRightInd/>
        <w:snapToGrid/>
        <w:spacing w:line="360" w:lineRule="auto"/>
        <w:ind w:firstLine="420" w:firstLineChars="200"/>
        <w:textAlignment w:val="auto"/>
        <w:rPr>
          <w:rFonts w:cs="宋体"/>
          <w:bCs/>
          <w:color w:val="000000"/>
          <w:sz w:val="21"/>
          <w:szCs w:val="21"/>
        </w:rPr>
      </w:pPr>
      <w:r>
        <w:rPr>
          <w:rFonts w:cs="宋体"/>
          <w:bCs/>
          <w:color w:val="000000"/>
          <w:sz w:val="21"/>
          <w:szCs w:val="21"/>
        </w:rPr>
        <w:t>智能边缘平台满足客户对边缘计算资源的远程管控、数据处理、分析决策、智能化的诉求， 为用户提供完整的边缘和云协同的一体化服务。</w:t>
      </w:r>
    </w:p>
    <w:p>
      <w:pPr>
        <w:ind w:left="-372" w:leftChars="-177"/>
        <w:rPr>
          <w:rFonts w:hint="default" w:cs="宋体"/>
          <w:b/>
          <w:bCs/>
          <w:color w:val="000000"/>
          <w:sz w:val="21"/>
          <w:szCs w:val="21"/>
        </w:rPr>
      </w:pPr>
      <w:r>
        <w:rPr>
          <w:rFonts w:cs="宋体"/>
          <w:b/>
          <w:bCs/>
          <w:color w:val="000000"/>
          <w:sz w:val="21"/>
          <w:szCs w:val="21"/>
        </w:rPr>
        <w:t>硬件配置清单</w:t>
      </w:r>
    </w:p>
    <w:tbl>
      <w:tblPr>
        <w:tblStyle w:val="29"/>
        <w:tblW w:w="0" w:type="auto"/>
        <w:tblInd w:w="-318" w:type="dxa"/>
        <w:tblLayout w:type="fixed"/>
        <w:tblCellMar>
          <w:top w:w="0" w:type="dxa"/>
          <w:left w:w="108" w:type="dxa"/>
          <w:bottom w:w="0" w:type="dxa"/>
          <w:right w:w="108" w:type="dxa"/>
        </w:tblCellMar>
      </w:tblPr>
      <w:tblGrid>
        <w:gridCol w:w="2060"/>
        <w:gridCol w:w="2040"/>
        <w:gridCol w:w="5824"/>
      </w:tblGrid>
      <w:tr>
        <w:tblPrEx>
          <w:tblCellMar>
            <w:top w:w="0" w:type="dxa"/>
            <w:left w:w="108" w:type="dxa"/>
            <w:bottom w:w="0" w:type="dxa"/>
            <w:right w:w="108" w:type="dxa"/>
          </w:tblCellMar>
        </w:tblPrEx>
        <w:trPr>
          <w:trHeight w:val="360"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default" w:cs="宋体"/>
                <w:b/>
                <w:bCs/>
                <w:color w:val="000000"/>
                <w:sz w:val="21"/>
                <w:szCs w:val="21"/>
              </w:rPr>
            </w:pPr>
            <w:r>
              <w:rPr>
                <w:rFonts w:cs="宋体"/>
                <w:b/>
                <w:bCs/>
                <w:color w:val="000000"/>
                <w:sz w:val="21"/>
                <w:szCs w:val="21"/>
              </w:rPr>
              <w:t>科目</w:t>
            </w:r>
          </w:p>
        </w:tc>
        <w:tc>
          <w:tcPr>
            <w:tcW w:w="2040" w:type="dxa"/>
            <w:tcBorders>
              <w:top w:val="single" w:color="auto" w:sz="4" w:space="0"/>
              <w:left w:val="nil"/>
              <w:bottom w:val="single" w:color="auto" w:sz="4" w:space="0"/>
              <w:right w:val="single" w:color="auto" w:sz="4" w:space="0"/>
            </w:tcBorders>
            <w:shd w:val="clear" w:color="000000" w:fill="FFFFFF"/>
            <w:noWrap w:val="0"/>
            <w:vAlign w:val="center"/>
          </w:tcPr>
          <w:p>
            <w:pPr>
              <w:jc w:val="center"/>
              <w:rPr>
                <w:rFonts w:hint="default" w:cs="宋体"/>
                <w:b/>
                <w:bCs/>
                <w:color w:val="000000"/>
                <w:sz w:val="21"/>
                <w:szCs w:val="21"/>
              </w:rPr>
            </w:pPr>
            <w:r>
              <w:rPr>
                <w:rFonts w:cs="宋体"/>
                <w:b/>
                <w:bCs/>
                <w:color w:val="000000"/>
                <w:sz w:val="21"/>
                <w:szCs w:val="21"/>
              </w:rPr>
              <w:t>科目内容</w:t>
            </w:r>
          </w:p>
        </w:tc>
        <w:tc>
          <w:tcPr>
            <w:tcW w:w="5824" w:type="dxa"/>
            <w:tcBorders>
              <w:top w:val="single" w:color="auto" w:sz="4" w:space="0"/>
              <w:left w:val="nil"/>
              <w:bottom w:val="single" w:color="auto" w:sz="4" w:space="0"/>
              <w:right w:val="single" w:color="auto" w:sz="4" w:space="0"/>
            </w:tcBorders>
            <w:shd w:val="clear" w:color="000000" w:fill="FFFFFF"/>
            <w:noWrap w:val="0"/>
            <w:vAlign w:val="center"/>
          </w:tcPr>
          <w:p>
            <w:pPr>
              <w:jc w:val="center"/>
              <w:rPr>
                <w:rFonts w:hint="default" w:cs="宋体"/>
                <w:b/>
                <w:bCs/>
                <w:color w:val="000000"/>
                <w:sz w:val="21"/>
                <w:szCs w:val="21"/>
              </w:rPr>
            </w:pPr>
            <w:r>
              <w:rPr>
                <w:rFonts w:cs="宋体"/>
                <w:b/>
                <w:bCs/>
                <w:color w:val="000000"/>
                <w:sz w:val="21"/>
                <w:szCs w:val="21"/>
              </w:rPr>
              <w:t>内容描述</w:t>
            </w:r>
          </w:p>
        </w:tc>
      </w:tr>
      <w:tr>
        <w:tblPrEx>
          <w:tblCellMar>
            <w:top w:w="0" w:type="dxa"/>
            <w:left w:w="108" w:type="dxa"/>
            <w:bottom w:w="0" w:type="dxa"/>
            <w:right w:w="108" w:type="dxa"/>
          </w:tblCellMar>
        </w:tblPrEx>
        <w:trPr>
          <w:trHeight w:val="4290" w:hRule="atLeast"/>
        </w:trPr>
        <w:tc>
          <w:tcPr>
            <w:tcW w:w="2060" w:type="dxa"/>
            <w:tcBorders>
              <w:top w:val="nil"/>
              <w:left w:val="single" w:color="auto" w:sz="4" w:space="0"/>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bCs/>
                <w:color w:val="000000"/>
                <w:sz w:val="21"/>
                <w:szCs w:val="21"/>
              </w:rPr>
            </w:pPr>
            <w:r>
              <w:rPr>
                <w:rFonts w:cs="宋体"/>
                <w:bCs/>
                <w:color w:val="000000"/>
                <w:sz w:val="21"/>
                <w:szCs w:val="21"/>
              </w:rPr>
              <w:t>边缘节点服务器</w:t>
            </w:r>
          </w:p>
        </w:tc>
        <w:tc>
          <w:tcPr>
            <w:tcW w:w="2040" w:type="dxa"/>
            <w:tcBorders>
              <w:top w:val="single" w:color="auto" w:sz="4" w:space="0"/>
              <w:left w:val="nil"/>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bCs/>
                <w:color w:val="000000"/>
                <w:sz w:val="21"/>
                <w:szCs w:val="21"/>
              </w:rPr>
            </w:pPr>
            <w:r>
              <w:rPr>
                <w:rFonts w:cs="宋体"/>
                <w:bCs/>
                <w:color w:val="000000"/>
                <w:sz w:val="21"/>
                <w:szCs w:val="21"/>
              </w:rPr>
              <w:t>2台GPU服务器</w:t>
            </w:r>
          </w:p>
        </w:tc>
        <w:tc>
          <w:tcPr>
            <w:tcW w:w="5824" w:type="dxa"/>
            <w:tcBorders>
              <w:top w:val="single" w:color="auto" w:sz="4" w:space="0"/>
              <w:left w:val="nil"/>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bCs/>
                <w:color w:val="000000"/>
                <w:sz w:val="21"/>
                <w:szCs w:val="21"/>
              </w:rPr>
            </w:pPr>
            <w:r>
              <w:rPr>
                <w:rFonts w:cs="宋体"/>
                <w:bCs/>
                <w:color w:val="000000"/>
                <w:sz w:val="21"/>
                <w:szCs w:val="21"/>
              </w:rPr>
              <w:t>硬件要求：</w:t>
            </w:r>
            <w:r>
              <w:rPr>
                <w:rFonts w:cs="宋体"/>
                <w:bCs/>
                <w:color w:val="000000"/>
                <w:sz w:val="21"/>
                <w:szCs w:val="21"/>
              </w:rPr>
              <w:br w:type="textWrapping"/>
            </w:r>
            <w:r>
              <w:rPr>
                <w:rFonts w:cs="宋体"/>
                <w:bCs/>
                <w:color w:val="000000"/>
                <w:sz w:val="21"/>
                <w:szCs w:val="21"/>
              </w:rPr>
              <w:t>CPU&gt;16物理核(32逻辑核)</w:t>
            </w:r>
            <w:r>
              <w:rPr>
                <w:rFonts w:cs="宋体"/>
                <w:bCs/>
                <w:color w:val="000000"/>
                <w:sz w:val="21"/>
                <w:szCs w:val="21"/>
              </w:rPr>
              <w:br w:type="textWrapping"/>
            </w:r>
            <w:r>
              <w:rPr>
                <w:rFonts w:cs="宋体"/>
                <w:bCs/>
                <w:color w:val="000000"/>
                <w:sz w:val="21"/>
                <w:szCs w:val="21"/>
              </w:rPr>
              <w:t>内存&gt;64G</w:t>
            </w:r>
            <w:r>
              <w:rPr>
                <w:rFonts w:cs="宋体"/>
                <w:bCs/>
                <w:color w:val="000000"/>
                <w:sz w:val="21"/>
                <w:szCs w:val="21"/>
              </w:rPr>
              <w:br w:type="textWrapping"/>
            </w:r>
            <w:r>
              <w:rPr>
                <w:rFonts w:cs="宋体"/>
                <w:bCs/>
                <w:color w:val="000000"/>
                <w:sz w:val="21"/>
                <w:szCs w:val="21"/>
              </w:rPr>
              <w:t>单台服务器最少插4块P4卡</w:t>
            </w:r>
            <w:r>
              <w:rPr>
                <w:rFonts w:cs="宋体"/>
                <w:bCs/>
                <w:color w:val="000000"/>
                <w:sz w:val="21"/>
                <w:szCs w:val="21"/>
              </w:rPr>
              <w:br w:type="textWrapping"/>
            </w:r>
            <w:r>
              <w:rPr>
                <w:rFonts w:cs="宋体"/>
                <w:bCs/>
                <w:color w:val="000000"/>
                <w:sz w:val="21"/>
                <w:szCs w:val="21"/>
              </w:rPr>
              <w:t>软件要求：</w:t>
            </w:r>
            <w:r>
              <w:rPr>
                <w:rFonts w:cs="宋体"/>
                <w:bCs/>
                <w:color w:val="000000"/>
                <w:sz w:val="21"/>
                <w:szCs w:val="21"/>
              </w:rPr>
              <w:br w:type="textWrapping"/>
            </w:r>
            <w:r>
              <w:rPr>
                <w:rFonts w:cs="宋体"/>
                <w:bCs/>
                <w:color w:val="000000"/>
                <w:sz w:val="21"/>
                <w:szCs w:val="21"/>
              </w:rPr>
              <w:t>操作系统 Ubuntu 16.04 LTS(Xenial Xerus)</w:t>
            </w:r>
            <w:r>
              <w:rPr>
                <w:rFonts w:cs="宋体"/>
                <w:bCs/>
                <w:color w:val="000000"/>
                <w:sz w:val="21"/>
                <w:szCs w:val="21"/>
              </w:rPr>
              <w:br w:type="textWrapping"/>
            </w:r>
            <w:r>
              <w:rPr>
                <w:rFonts w:cs="宋体"/>
                <w:bCs/>
                <w:color w:val="000000"/>
                <w:sz w:val="21"/>
                <w:szCs w:val="21"/>
              </w:rPr>
              <w:t>Ubuntu 14.04 LTS(Trusty Tahr)</w:t>
            </w:r>
            <w:r>
              <w:rPr>
                <w:rFonts w:cs="宋体"/>
                <w:bCs/>
                <w:color w:val="000000"/>
                <w:sz w:val="21"/>
                <w:szCs w:val="21"/>
              </w:rPr>
              <w:br w:type="textWrapping"/>
            </w:r>
            <w:r>
              <w:rPr>
                <w:rFonts w:cs="宋体"/>
                <w:bCs/>
                <w:color w:val="000000"/>
                <w:sz w:val="21"/>
                <w:szCs w:val="21"/>
              </w:rPr>
              <w:t>CentOS 7</w:t>
            </w:r>
            <w:r>
              <w:rPr>
                <w:rFonts w:cs="宋体"/>
                <w:bCs/>
                <w:color w:val="000000"/>
                <w:sz w:val="21"/>
                <w:szCs w:val="21"/>
              </w:rPr>
              <w:br w:type="textWrapping"/>
            </w:r>
            <w:r>
              <w:rPr>
                <w:rFonts w:cs="宋体"/>
                <w:bCs/>
                <w:color w:val="000000"/>
                <w:sz w:val="21"/>
                <w:szCs w:val="21"/>
              </w:rPr>
              <w:t>RHEL7</w:t>
            </w:r>
            <w:r>
              <w:rPr>
                <w:rFonts w:cs="宋体"/>
                <w:bCs/>
                <w:color w:val="000000"/>
                <w:sz w:val="21"/>
                <w:szCs w:val="21"/>
              </w:rPr>
              <w:br w:type="textWrapping"/>
            </w:r>
            <w:r>
              <w:rPr>
                <w:rFonts w:cs="宋体"/>
                <w:bCs/>
                <w:color w:val="000000"/>
                <w:sz w:val="21"/>
                <w:szCs w:val="21"/>
              </w:rPr>
              <w:t>内核版本：3.10.0以上</w:t>
            </w:r>
            <w:r>
              <w:rPr>
                <w:rFonts w:cs="宋体"/>
                <w:bCs/>
                <w:color w:val="000000"/>
                <w:sz w:val="21"/>
                <w:szCs w:val="21"/>
              </w:rPr>
              <w:br w:type="textWrapping"/>
            </w:r>
            <w:r>
              <w:rPr>
                <w:rFonts w:cs="宋体"/>
                <w:bCs/>
                <w:color w:val="000000"/>
                <w:sz w:val="21"/>
                <w:szCs w:val="21"/>
              </w:rPr>
              <w:t>其他：glibc 2.17</w:t>
            </w:r>
            <w:r>
              <w:rPr>
                <w:rFonts w:cs="宋体"/>
                <w:bCs/>
                <w:color w:val="000000"/>
                <w:sz w:val="21"/>
                <w:szCs w:val="21"/>
              </w:rPr>
              <w:br w:type="textWrapping"/>
            </w:r>
            <w:r>
              <w:rPr>
                <w:rFonts w:cs="宋体"/>
                <w:bCs/>
                <w:color w:val="000000"/>
                <w:sz w:val="21"/>
                <w:szCs w:val="21"/>
              </w:rPr>
              <w:t>docker 17.06及以上</w:t>
            </w:r>
            <w:r>
              <w:rPr>
                <w:rFonts w:cs="宋体"/>
                <w:bCs/>
                <w:color w:val="000000"/>
                <w:sz w:val="21"/>
                <w:szCs w:val="21"/>
              </w:rPr>
              <w:br w:type="textWrapping"/>
            </w:r>
            <w:r>
              <w:rPr>
                <w:rFonts w:cs="宋体"/>
                <w:bCs/>
                <w:color w:val="000000"/>
                <w:sz w:val="21"/>
                <w:szCs w:val="21"/>
              </w:rPr>
              <w:t>Mosquitto</w:t>
            </w:r>
          </w:p>
        </w:tc>
      </w:tr>
    </w:tbl>
    <w:p>
      <w:pPr>
        <w:ind w:left="-372" w:leftChars="-177"/>
        <w:rPr>
          <w:rFonts w:hint="default" w:cs="仿宋_GB2312"/>
          <w:b/>
          <w:bCs/>
          <w:color w:val="FF0000"/>
          <w:sz w:val="21"/>
          <w:szCs w:val="21"/>
        </w:rPr>
      </w:pPr>
      <w:r>
        <w:rPr>
          <w:rFonts w:cs="仿宋_GB2312"/>
          <w:b/>
          <w:bCs/>
          <w:sz w:val="21"/>
          <w:szCs w:val="21"/>
        </w:rPr>
        <w:t>3.2</w:t>
      </w:r>
      <w:r>
        <w:rPr>
          <w:rFonts w:cs="仿宋_GB2312"/>
          <w:b/>
          <w:bCs/>
          <w:color w:val="000000"/>
          <w:sz w:val="21"/>
          <w:szCs w:val="21"/>
        </w:rPr>
        <w:t>软件部分</w:t>
      </w:r>
    </w:p>
    <w:tbl>
      <w:tblPr>
        <w:tblStyle w:val="29"/>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474"/>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Borders>
              <w:top w:val="single" w:color="auto" w:sz="4" w:space="0"/>
              <w:left w:val="single" w:color="auto" w:sz="4" w:space="0"/>
              <w:bottom w:val="single" w:color="auto" w:sz="4" w:space="0"/>
              <w:right w:val="single" w:color="auto" w:sz="4" w:space="0"/>
            </w:tcBorders>
            <w:noWrap w:val="0"/>
            <w:vAlign w:val="top"/>
          </w:tcPr>
          <w:p>
            <w:pPr>
              <w:pStyle w:val="52"/>
              <w:ind w:left="-470" w:leftChars="-224" w:firstLine="0" w:firstLineChars="0"/>
              <w:jc w:val="center"/>
              <w:rPr>
                <w:rFonts w:ascii="仿宋" w:hAnsi="仿宋" w:eastAsia="仿宋" w:cs="Times New Roman"/>
                <w:b/>
                <w:sz w:val="21"/>
                <w:szCs w:val="21"/>
              </w:rPr>
            </w:pPr>
            <w:r>
              <w:rPr>
                <w:rFonts w:hint="eastAsia" w:ascii="仿宋" w:hAnsi="仿宋" w:eastAsia="仿宋" w:cs="Times New Roman"/>
                <w:b/>
                <w:sz w:val="21"/>
                <w:szCs w:val="21"/>
              </w:rPr>
              <w:t>序号</w:t>
            </w:r>
          </w:p>
        </w:tc>
        <w:tc>
          <w:tcPr>
            <w:tcW w:w="1474" w:type="dxa"/>
            <w:tcBorders>
              <w:top w:val="single" w:color="auto" w:sz="4" w:space="0"/>
              <w:left w:val="nil"/>
              <w:bottom w:val="single" w:color="auto" w:sz="4" w:space="0"/>
              <w:right w:val="single" w:color="auto" w:sz="4" w:space="0"/>
            </w:tcBorders>
            <w:noWrap w:val="0"/>
            <w:vAlign w:val="top"/>
          </w:tcPr>
          <w:p>
            <w:pPr>
              <w:pStyle w:val="52"/>
              <w:ind w:firstLine="0" w:firstLineChars="0"/>
              <w:jc w:val="center"/>
              <w:rPr>
                <w:rFonts w:ascii="仿宋" w:hAnsi="仿宋" w:eastAsia="仿宋" w:cs="Times New Roman"/>
                <w:b/>
                <w:sz w:val="21"/>
                <w:szCs w:val="21"/>
              </w:rPr>
            </w:pPr>
            <w:r>
              <w:rPr>
                <w:rFonts w:hint="eastAsia" w:ascii="仿宋" w:hAnsi="仿宋" w:eastAsia="仿宋" w:cs="Times New Roman"/>
                <w:b/>
                <w:sz w:val="21"/>
                <w:szCs w:val="21"/>
              </w:rPr>
              <w:t>子系统名称</w:t>
            </w:r>
          </w:p>
        </w:tc>
        <w:tc>
          <w:tcPr>
            <w:tcW w:w="7451" w:type="dxa"/>
            <w:tcBorders>
              <w:top w:val="single" w:color="auto" w:sz="4" w:space="0"/>
              <w:left w:val="nil"/>
              <w:bottom w:val="single" w:color="auto" w:sz="4" w:space="0"/>
              <w:right w:val="single" w:color="auto" w:sz="4" w:space="0"/>
            </w:tcBorders>
            <w:noWrap w:val="0"/>
            <w:vAlign w:val="top"/>
          </w:tcPr>
          <w:p>
            <w:pPr>
              <w:pStyle w:val="52"/>
              <w:ind w:firstLine="0" w:firstLineChars="0"/>
              <w:jc w:val="center"/>
              <w:rPr>
                <w:rFonts w:ascii="仿宋" w:hAnsi="仿宋" w:eastAsia="仿宋" w:cs="Times New Roman"/>
                <w:b/>
                <w:sz w:val="21"/>
                <w:szCs w:val="21"/>
              </w:rPr>
            </w:pPr>
            <w:r>
              <w:rPr>
                <w:rFonts w:hint="eastAsia" w:ascii="仿宋" w:hAnsi="仿宋" w:eastAsia="仿宋" w:cs="Times New Roman"/>
                <w:b/>
                <w:sz w:val="21"/>
                <w:szCs w:val="21"/>
              </w:rPr>
              <w:t>功能参数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Borders>
              <w:top w:val="single" w:color="auto" w:sz="4" w:space="0"/>
              <w:left w:val="single" w:color="auto" w:sz="4" w:space="0"/>
              <w:bottom w:val="single" w:color="auto" w:sz="4" w:space="0"/>
              <w:right w:val="single" w:color="auto" w:sz="4" w:space="0"/>
            </w:tcBorders>
            <w:noWrap w:val="0"/>
            <w:vAlign w:val="center"/>
          </w:tcPr>
          <w:p>
            <w:pPr>
              <w:pStyle w:val="52"/>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ascii="仿宋" w:hAnsi="仿宋" w:eastAsia="仿宋" w:cs="Times New Roman"/>
                <w:sz w:val="21"/>
                <w:szCs w:val="21"/>
              </w:rPr>
            </w:pPr>
            <w:r>
              <w:rPr>
                <w:rFonts w:hint="eastAsia" w:ascii="仿宋" w:hAnsi="仿宋" w:eastAsia="仿宋" w:cs="Times New Roman"/>
                <w:sz w:val="21"/>
                <w:szCs w:val="21"/>
              </w:rPr>
              <w:t>1</w:t>
            </w:r>
          </w:p>
        </w:tc>
        <w:tc>
          <w:tcPr>
            <w:tcW w:w="1474" w:type="dxa"/>
            <w:tcBorders>
              <w:top w:val="single" w:color="auto" w:sz="4" w:space="0"/>
              <w:left w:val="nil"/>
              <w:bottom w:val="single" w:color="auto" w:sz="4" w:space="0"/>
              <w:right w:val="single" w:color="auto" w:sz="4" w:space="0"/>
            </w:tcBorders>
            <w:noWrap w:val="0"/>
            <w:vAlign w:val="center"/>
          </w:tcPr>
          <w:p>
            <w:pPr>
              <w:pStyle w:val="52"/>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仿宋" w:hAnsi="仿宋" w:eastAsia="仿宋" w:cs="Times New Roman"/>
                <w:sz w:val="21"/>
                <w:szCs w:val="21"/>
              </w:rPr>
            </w:pPr>
            <w:r>
              <w:rPr>
                <w:rFonts w:hint="eastAsia" w:ascii="仿宋" w:hAnsi="仿宋" w:eastAsia="仿宋"/>
                <w:color w:val="000000"/>
                <w:sz w:val="21"/>
                <w:szCs w:val="21"/>
              </w:rPr>
              <w:t>“智慧园区”信息系统</w:t>
            </w:r>
          </w:p>
        </w:tc>
        <w:tc>
          <w:tcPr>
            <w:tcW w:w="7451" w:type="dxa"/>
            <w:tcBorders>
              <w:top w:val="single" w:color="auto" w:sz="4" w:space="0"/>
              <w:left w:val="nil"/>
              <w:bottom w:val="single" w:color="auto" w:sz="4" w:space="0"/>
              <w:right w:val="single" w:color="auto" w:sz="4" w:space="0"/>
            </w:tcBorders>
            <w:noWrap w:val="0"/>
            <w:vAlign w:val="top"/>
          </w:tcPr>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园区管理PC端：</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资产管理：模块主要面向园区管理人员。主要服务于园区管理需要，按资产属性分类进行统一的平台化管理，通过资产清册、销控展示、物业合同管理完成资产全生命周期管理。</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客户管理：主要包含客户资源的获取和客户信息的维护，保证整个招商的时效性和信息化，</w:t>
            </w:r>
            <w:r>
              <w:rPr>
                <w:color w:val="000000"/>
                <w:sz w:val="21"/>
                <w:szCs w:val="21"/>
              </w:rPr>
              <w:t>客户基础信息管理、客户员工信息管理。</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收费管理：包含费用账单管理、催缴、开具发票、结转统计等功能，可对账单进行账单拆分，核销，减免等，同时可以短信，邮件，APP多种方式催交提醒，支持收费规则自定义</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设备管理：硬件设备管理主要用于管理园区内的硬件设施，包括门禁,梯控,道闸、监控设备等的设备信息、使用状态以及日常的维保巡检、设备维保、过保提醒等功能，大大提高管理人员效率。</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巡更管理：主要包含巡更点管理、巡更路线制定、巡更计划管理、巡更任务管理、巡更记录查询、巡更预警等</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访客管理：访客管理系统可与通道、梯控及楼层门禁系统实现无缝对接，使单位内外人员出入都能得到很好的管理，大幅提升场所安全级别。</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停车管理：停车场管理、停车位管理、车辆管理、缴费管理及缴费规则设定</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报事报修：工单管理主要包括了园区业主的报事处理。审核后的报事工单将会分配给物业服务人员进行处理，并实时跟进处理情况。</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门禁管理：通过门禁设备进行管理，可实现园区管理单位为进驻的企业配置门禁信息，园区内部人员及相关企业人员，可自行管理企业所有的门禁权限等操作，使园区的运营更加自主化。对接人脸识别设备，支持人脸识别功能。</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监控管理：对视频监控设备进行统一管控，并实现监控查看</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电表管理：电表管理、远程查表数据统计查看及其缴费历史信息查询等</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水电能耗管理：</w:t>
            </w:r>
          </w:p>
          <w:p>
            <w:pPr>
              <w:keepNext w:val="0"/>
              <w:keepLines w:val="0"/>
              <w:pageBreakBefore w:val="0"/>
              <w:kinsoku/>
              <w:wordWrap/>
              <w:overflowPunct/>
              <w:topLinePunct w:val="0"/>
              <w:autoSpaceDE/>
              <w:autoSpaceDN/>
              <w:bidi w:val="0"/>
              <w:adjustRightInd/>
              <w:snapToGrid/>
              <w:spacing w:line="360" w:lineRule="auto"/>
              <w:ind w:left="850"/>
              <w:textAlignment w:val="auto"/>
              <w:rPr>
                <w:rFonts w:hint="default"/>
                <w:sz w:val="21"/>
                <w:szCs w:val="21"/>
              </w:rPr>
            </w:pPr>
            <w:r>
              <w:rPr>
                <w:sz w:val="21"/>
                <w:szCs w:val="21"/>
              </w:rPr>
              <w:t>1.12.1实现水电能耗的计费、充值以及自动扣款功能，根据消费情况，进行消费提醒、欠费告警等信息推送，并能够按照缴费情况实现远程的停水、停电功能。</w:t>
            </w:r>
            <w:r>
              <w:rPr>
                <w:sz w:val="21"/>
                <w:szCs w:val="21"/>
              </w:rPr>
              <w:br w:type="textWrapping"/>
            </w:r>
            <w:r>
              <w:rPr>
                <w:sz w:val="21"/>
                <w:szCs w:val="21"/>
              </w:rPr>
              <w:t>1.12.2按照楼宇楼层进行水电能耗的使用统计，并根据日、月、年用量分别进行对比和分析，并将分析结构进行呈现；</w:t>
            </w:r>
            <w:r>
              <w:rPr>
                <w:sz w:val="21"/>
                <w:szCs w:val="21"/>
              </w:rPr>
              <w:br w:type="textWrapping"/>
            </w:r>
            <w:r>
              <w:rPr>
                <w:sz w:val="21"/>
                <w:szCs w:val="21"/>
              </w:rPr>
              <w:t>1.12.3历史用量、历史消费、历史充值等数据可以进行查询、导出、对比等。</w:t>
            </w:r>
            <w:r>
              <w:rPr>
                <w:sz w:val="21"/>
                <w:szCs w:val="21"/>
              </w:rPr>
              <w:br w:type="textWrapping"/>
            </w:r>
            <w:r>
              <w:rPr>
                <w:sz w:val="21"/>
                <w:szCs w:val="21"/>
              </w:rPr>
              <w:t>▲1.12.4实现与园区现有APP进行对接，提供相应的数据接口。</w:t>
            </w:r>
            <w:r>
              <w:rPr>
                <w:sz w:val="21"/>
                <w:szCs w:val="21"/>
              </w:rPr>
              <w:br w:type="textWrapping"/>
            </w:r>
            <w:r>
              <w:rPr>
                <w:sz w:val="21"/>
                <w:szCs w:val="21"/>
              </w:rPr>
              <w:t>1.12.5针对每天系统运行的情况，形成日志，并记录、保存以便查询。</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充电桩管理：高效、智能化的完成充电桩的管理，实现充电桩快速预约、充电缴费及其缴费信息的轻松查看</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食堂管理：主要功能为充值、缴费信息查看</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报表系统：系统采集沉淀全部数据，将来源庞杂的数据通过数据清理、数据集成等手段进行处理。以报表的形式按月度、季度、年度的维度，以基础报表及相关定制化报表形式输出并支持数据可视化展示</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系统管理：组织架构管理、系统权限设置和维护、账户权限、系统参数管理等</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会议室管理：会议预约、取消、参会人员设置、会议扫码签到、出勤率查看、会议预约信息查看（日历式）</w:t>
            </w:r>
          </w:p>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企业商务系统：</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员工权限管理：员工权限管理包含梯控及楼层门禁系统管理，使单位内外人员出入都能得到很好的管理，大幅提升场所安全级别。</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账单管理：将财务、账单等相关数据全部沉淀，包含各类账单统计、供财务人员工作使用，便捷、准确、智能化。</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企业服务：面向企业提供金融服务、知识产权、财税服务、法律服务、人力资源等服务等第三方服务对接</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监控查看：</w:t>
            </w:r>
            <w:r>
              <w:rPr>
                <w:color w:val="000000"/>
                <w:sz w:val="21"/>
                <w:szCs w:val="21"/>
              </w:rPr>
              <w:t>主要提供监控视频的查看,管理者通过查看各园区监控视频，提升应急事件响应效率。提升各园区的安全管理，事件处置能力，并对监控盲区提升改造。</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企业信息：企业法人、注册资金、营业执照、行业领域、联系方式等，园区运营沉淀数据，包含企业能耗数据、企业人数规模、员工工作情况、租金缴纳情况等</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消息中心：园区管理人员可以通过后台，推送日常公告通知，无需在园区纸质张贴，APP端会实时推送提醒，用户即可在线查看，覆盖率广。</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智能停车：为管理园区公共停车位提供智能停车管理</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统一一卡通平台：一卡通平台主要面向园区企业员工及工作人员,园区内的一卡通用于向企业及员工提供更便利的服务，通过一张卡连通门禁、电梯等。</w:t>
            </w:r>
            <w:r>
              <w:rPr>
                <w:rFonts w:cs="宋体"/>
                <w:kern w:val="0"/>
                <w:sz w:val="21"/>
                <w:szCs w:val="21"/>
              </w:rPr>
              <w:t>为一卡通各类应用系统提供相应服务，包括电子支付、聚合支付、访问控制、身份识别、转账充值、清分清算、消息处理等服务组件，支持分布式部署。</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园区信息发布：面向开发区主管部门、园区管理者、园区物业。提供信息发布使用。</w:t>
            </w:r>
          </w:p>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物管APP：</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我的工单：主要用于处理物业管理平台分配的服务工单，平台会实时推送最新的工单任务，每个服务人员可以通过物管APP查看自己的任务工单及上传工单的处理进度。</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我的任务：巡更、巡检、维保任务提醒、处理、进度查看。</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园区人员通讯录：通过查看联络方式，高效便捷工作，从而提高工作效率</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访客登记：支持企业员工在APP端申请访客门禁，系统生成临时的访客门禁二维码，访客信息记录、来访查询等</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车辆登记：车辆进出记录，及其相关信息记录</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报事报修：对于园区日常的报修报事,用户可通过APP一键操作，并可查看报事处理状态，并对处理结果进行满意度评价。</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远程抄表：远程抄表功能</w:t>
            </w:r>
          </w:p>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客户app端：</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访客申请：访客通行主要用于园区用户邀请园外人员进园，用户只需在APP上填写访客信息，系统会生成通行二维码，限定通行时间、区域，并将其发给访客，园区的硬件设备会扫描后放行，访客就可凭二维码自由通行园区。</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停车月卡：用户可通过APP实现停车缴费功能</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充电桩预约：充电记录查询、在线缴费</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园区社交：通过园区公告、园区活动、园区论坛对园区的活动进行聚合，方便活动发布者、参加者参与活动。</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园区通行：主要面向园区企业员工及工作人员,提供更便利的服务，通过一卡通进行门禁、电梯等通行管控</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用户帐单：一卡通消费账单记录、查询</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企业账单：账单缴费信息查看及在线缴费</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监控查看：企业用户可单独查看本楼层实时监控图像</w:t>
            </w:r>
          </w:p>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政府/园区管理app端：</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资产管理：资产清册、销控展示、物业合同管理等</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客户管理：</w:t>
            </w:r>
            <w:r>
              <w:rPr>
                <w:color w:val="000000"/>
                <w:sz w:val="21"/>
                <w:szCs w:val="21"/>
              </w:rPr>
              <w:t>客户基础信息管理、客户员工信息管理。</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
                <w:color w:val="000000"/>
                <w:kern w:val="0"/>
                <w:sz w:val="21"/>
                <w:szCs w:val="21"/>
              </w:rPr>
            </w:pPr>
            <w:r>
              <w:rPr>
                <w:sz w:val="21"/>
                <w:szCs w:val="21"/>
              </w:rPr>
              <w:t>报表管理：</w:t>
            </w:r>
            <w:r>
              <w:rPr>
                <w:color w:val="000000"/>
                <w:sz w:val="21"/>
                <w:szCs w:val="21"/>
              </w:rPr>
              <w:t>针对记录、分析、报表图表、反馈、提供决策依据和管理依据，输出基础报表及定制化报表。保证管理的规范化、科学化。</w:t>
            </w:r>
          </w:p>
          <w:p>
            <w:pPr>
              <w:keepNext w:val="0"/>
              <w:keepLines w:val="0"/>
              <w:pageBreakBefore w:val="0"/>
              <w:numPr>
                <w:ilvl w:val="1"/>
                <w:numId w:val="4"/>
              </w:numPr>
              <w:kinsoku/>
              <w:wordWrap/>
              <w:overflowPunct/>
              <w:topLinePunct w:val="0"/>
              <w:autoSpaceDE/>
              <w:autoSpaceDN/>
              <w:bidi w:val="0"/>
              <w:adjustRightInd/>
              <w:snapToGrid/>
              <w:spacing w:line="360" w:lineRule="auto"/>
              <w:textAlignment w:val="auto"/>
              <w:rPr>
                <w:rFonts w:hint="default" w:cs="宋体"/>
                <w:sz w:val="21"/>
                <w:szCs w:val="21"/>
              </w:rPr>
            </w:pPr>
            <w:r>
              <w:rPr>
                <w:sz w:val="21"/>
                <w:szCs w:val="21"/>
              </w:rPr>
              <w:t>监控管理</w:t>
            </w:r>
            <w:r>
              <w:rPr>
                <w:color w:val="000000"/>
                <w:sz w:val="21"/>
                <w:szCs w:val="21"/>
              </w:rPr>
              <w:t>：主要提供监控视频的查看,管理者通过查看各园区监控视频，提升应急事件响应效率。提升各园区的安全管理，事件处置能力，并对监控盲区提升改造。</w:t>
            </w:r>
          </w:p>
          <w:p>
            <w:pPr>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default"/>
                <w:sz w:val="21"/>
                <w:szCs w:val="21"/>
              </w:rPr>
            </w:pPr>
            <w:r>
              <w:rPr>
                <w:sz w:val="21"/>
                <w:szCs w:val="21"/>
              </w:rPr>
              <w:t>IOT平台对接（▲所有对接需包含所有对接费用、接口费用）：</w:t>
            </w:r>
          </w:p>
          <w:p>
            <w:pPr>
              <w:keepNext w:val="0"/>
              <w:keepLines w:val="0"/>
              <w:pageBreakBefore w:val="0"/>
              <w:kinsoku/>
              <w:wordWrap/>
              <w:overflowPunct/>
              <w:topLinePunct w:val="0"/>
              <w:autoSpaceDE/>
              <w:autoSpaceDN/>
              <w:bidi w:val="0"/>
              <w:adjustRightInd/>
              <w:snapToGrid/>
              <w:spacing w:line="360" w:lineRule="auto"/>
              <w:ind w:left="425"/>
              <w:textAlignment w:val="auto"/>
              <w:rPr>
                <w:rFonts w:hint="default"/>
                <w:sz w:val="21"/>
                <w:szCs w:val="21"/>
              </w:rPr>
            </w:pPr>
            <w:r>
              <w:rPr>
                <w:sz w:val="21"/>
                <w:szCs w:val="21"/>
              </w:rPr>
              <w:t>▲系统需与原有监控平台对接（备注：原有监控设备及监控平台为海康）；</w:t>
            </w:r>
          </w:p>
          <w:p>
            <w:pPr>
              <w:keepNext w:val="0"/>
              <w:keepLines w:val="0"/>
              <w:pageBreakBefore w:val="0"/>
              <w:kinsoku/>
              <w:wordWrap/>
              <w:overflowPunct/>
              <w:topLinePunct w:val="0"/>
              <w:autoSpaceDE/>
              <w:autoSpaceDN/>
              <w:bidi w:val="0"/>
              <w:adjustRightInd/>
              <w:snapToGrid/>
              <w:spacing w:line="360" w:lineRule="auto"/>
              <w:ind w:left="425"/>
              <w:textAlignment w:val="auto"/>
              <w:rPr>
                <w:rFonts w:hint="default"/>
                <w:sz w:val="21"/>
                <w:szCs w:val="21"/>
              </w:rPr>
            </w:pPr>
            <w:r>
              <w:rPr>
                <w:sz w:val="21"/>
                <w:szCs w:val="21"/>
              </w:rPr>
              <w:t>系统与门禁对接；</w:t>
            </w:r>
          </w:p>
          <w:p>
            <w:pPr>
              <w:keepNext w:val="0"/>
              <w:keepLines w:val="0"/>
              <w:pageBreakBefore w:val="0"/>
              <w:kinsoku/>
              <w:wordWrap/>
              <w:overflowPunct/>
              <w:topLinePunct w:val="0"/>
              <w:autoSpaceDE/>
              <w:autoSpaceDN/>
              <w:bidi w:val="0"/>
              <w:adjustRightInd/>
              <w:snapToGrid/>
              <w:spacing w:line="360" w:lineRule="auto"/>
              <w:ind w:left="425"/>
              <w:textAlignment w:val="auto"/>
              <w:rPr>
                <w:rFonts w:hint="default"/>
                <w:sz w:val="21"/>
                <w:szCs w:val="21"/>
              </w:rPr>
            </w:pPr>
            <w:r>
              <w:rPr>
                <w:sz w:val="21"/>
                <w:szCs w:val="21"/>
              </w:rPr>
              <w:t>系统与户内机、单元门口机、访客机、巡更设备对接；</w:t>
            </w:r>
          </w:p>
          <w:p>
            <w:pPr>
              <w:keepNext w:val="0"/>
              <w:keepLines w:val="0"/>
              <w:pageBreakBefore w:val="0"/>
              <w:kinsoku/>
              <w:wordWrap/>
              <w:overflowPunct/>
              <w:topLinePunct w:val="0"/>
              <w:autoSpaceDE/>
              <w:autoSpaceDN/>
              <w:bidi w:val="0"/>
              <w:adjustRightInd/>
              <w:snapToGrid/>
              <w:spacing w:line="360" w:lineRule="auto"/>
              <w:ind w:left="425"/>
              <w:textAlignment w:val="auto"/>
              <w:rPr>
                <w:rFonts w:hint="default"/>
                <w:sz w:val="21"/>
                <w:szCs w:val="21"/>
              </w:rPr>
            </w:pPr>
            <w:r>
              <w:rPr>
                <w:sz w:val="21"/>
                <w:szCs w:val="21"/>
              </w:rPr>
              <w:t>▲系统与原有电梯对接，实现梯控管理（支持通过一卡通、二维码、人脸识别功能到达指定楼层，支持对接三维可视化平台实现电梯运行状态实时监控，备注：</w:t>
            </w:r>
            <w:r>
              <w:rPr>
                <w:rFonts w:cs="宋体"/>
                <w:kern w:val="0"/>
                <w:sz w:val="21"/>
                <w:szCs w:val="21"/>
              </w:rPr>
              <w:t>原有电梯厂商为东芝</w:t>
            </w:r>
            <w:r>
              <w:rPr>
                <w:sz w:val="21"/>
                <w:szCs w:val="21"/>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cs="宋体"/>
                <w:sz w:val="21"/>
                <w:szCs w:val="21"/>
              </w:rPr>
            </w:pPr>
            <w:r>
              <w:rPr>
                <w:rFonts w:cs="宋体"/>
                <w:sz w:val="21"/>
                <w:szCs w:val="21"/>
              </w:rPr>
              <w:t>系统与车辆摆闸对接；</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cs="宋体"/>
                <w:sz w:val="21"/>
                <w:szCs w:val="21"/>
              </w:rPr>
            </w:pPr>
            <w:r>
              <w:rPr>
                <w:rFonts w:cs="宋体"/>
                <w:sz w:val="21"/>
                <w:szCs w:val="21"/>
              </w:rPr>
              <w:t>系统与充电桩对接，实时查看充电情况；</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cs="宋体"/>
                <w:sz w:val="21"/>
                <w:szCs w:val="21"/>
              </w:rPr>
            </w:pPr>
            <w:r>
              <w:rPr>
                <w:rFonts w:cs="宋体"/>
                <w:sz w:val="21"/>
                <w:szCs w:val="21"/>
              </w:rPr>
              <w:t>系统与水电表对接，实现能耗管理；</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cs="宋体"/>
                <w:sz w:val="21"/>
                <w:szCs w:val="21"/>
              </w:rPr>
            </w:pPr>
            <w:r>
              <w:rPr>
                <w:rFonts w:cs="宋体"/>
                <w:sz w:val="21"/>
                <w:szCs w:val="21"/>
              </w:rPr>
              <w:t>★系统与楼宇外部灯光设备对接，实时监控能耗；</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cs="宋体"/>
                <w:sz w:val="21"/>
                <w:szCs w:val="21"/>
              </w:rPr>
            </w:pPr>
            <w:r>
              <w:rPr>
                <w:rFonts w:cs="宋体"/>
                <w:sz w:val="21"/>
                <w:szCs w:val="21"/>
              </w:rPr>
              <w:t>系统与消费一卡通、通行一卡通等平台对接；</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cs="宋体"/>
                <w:sz w:val="21"/>
                <w:szCs w:val="21"/>
              </w:rPr>
            </w:pPr>
            <w:r>
              <w:rPr>
                <w:rFonts w:cs="宋体"/>
                <w:sz w:val="21"/>
                <w:szCs w:val="21"/>
              </w:rPr>
              <w:t>★系统与三维展示平台对接；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Borders>
              <w:top w:val="single" w:color="auto" w:sz="4" w:space="0"/>
              <w:left w:val="single" w:color="auto" w:sz="4" w:space="0"/>
              <w:bottom w:val="single" w:color="auto" w:sz="4" w:space="0"/>
              <w:right w:val="single" w:color="auto" w:sz="4" w:space="0"/>
            </w:tcBorders>
            <w:noWrap w:val="0"/>
            <w:vAlign w:val="center"/>
          </w:tcPr>
          <w:p>
            <w:pPr>
              <w:pStyle w:val="52"/>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ascii="仿宋" w:hAnsi="仿宋" w:eastAsia="仿宋" w:cs="Times New Roman"/>
                <w:sz w:val="21"/>
                <w:szCs w:val="21"/>
              </w:rPr>
            </w:pPr>
            <w:r>
              <w:rPr>
                <w:rFonts w:hint="eastAsia" w:ascii="仿宋" w:hAnsi="仿宋" w:eastAsia="仿宋" w:cs="Times New Roman"/>
                <w:sz w:val="21"/>
                <w:szCs w:val="21"/>
              </w:rPr>
              <w:t>2</w:t>
            </w:r>
          </w:p>
        </w:tc>
        <w:tc>
          <w:tcPr>
            <w:tcW w:w="1474" w:type="dxa"/>
            <w:tcBorders>
              <w:top w:val="single" w:color="auto" w:sz="4" w:space="0"/>
              <w:left w:val="nil"/>
              <w:bottom w:val="single" w:color="auto" w:sz="4" w:space="0"/>
              <w:right w:val="single" w:color="auto" w:sz="4" w:space="0"/>
            </w:tcBorders>
            <w:noWrap w:val="0"/>
            <w:vAlign w:val="center"/>
          </w:tcPr>
          <w:p>
            <w:pPr>
              <w:pStyle w:val="52"/>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Ansi="华文中宋" w:eastAsia="华文中宋" w:cs="仿宋_GB2312"/>
                <w:bCs/>
                <w:sz w:val="21"/>
                <w:szCs w:val="21"/>
              </w:rPr>
            </w:pPr>
            <w:r>
              <w:rPr>
                <w:rFonts w:ascii="仿宋" w:hAnsi="仿宋" w:eastAsia="仿宋"/>
                <w:color w:val="000000"/>
                <w:sz w:val="21"/>
                <w:szCs w:val="21"/>
              </w:rPr>
              <w:t>三维展示子系统</w:t>
            </w:r>
          </w:p>
        </w:tc>
        <w:tc>
          <w:tcPr>
            <w:tcW w:w="7451" w:type="dxa"/>
            <w:tcBorders>
              <w:top w:val="single" w:color="auto" w:sz="4" w:space="0"/>
              <w:left w:val="nil"/>
              <w:bottom w:val="single" w:color="auto" w:sz="4" w:space="0"/>
              <w:right w:val="single" w:color="auto" w:sz="4" w:space="0"/>
            </w:tcBorders>
            <w:noWrap w:val="0"/>
            <w:vAlign w:val="top"/>
          </w:tcPr>
          <w:p>
            <w:pPr>
              <w:pStyle w:val="47"/>
              <w:keepNext w:val="0"/>
              <w:keepLines w:val="0"/>
              <w:pageBreakBefore w:val="0"/>
              <w:numPr>
                <w:ilvl w:val="0"/>
                <w:numId w:val="5"/>
              </w:numPr>
              <w:kinsoku/>
              <w:wordWrap/>
              <w:overflowPunct/>
              <w:topLinePunct w:val="0"/>
              <w:autoSpaceDE/>
              <w:autoSpaceDN/>
              <w:bidi w:val="0"/>
              <w:adjustRightInd/>
              <w:snapToGrid/>
              <w:spacing w:line="360" w:lineRule="auto"/>
              <w:ind w:firstLineChars="0"/>
              <w:textAlignment w:val="auto"/>
              <w:rPr>
                <w:rFonts w:hint="default" w:cs="宋体"/>
                <w:sz w:val="21"/>
                <w:szCs w:val="21"/>
              </w:rPr>
            </w:pPr>
            <w:r>
              <w:rPr>
                <w:rFonts w:cs="宋体"/>
                <w:sz w:val="21"/>
                <w:szCs w:val="21"/>
              </w:rPr>
              <w:t>3D基础场景模型开发</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1.1、系统主要采用B/S结构，应具备很好易用性、易浏览性和可操作性，界面友好，输入输出方便；</w:t>
            </w:r>
            <w:r>
              <w:rPr>
                <w:rFonts w:cs="宋体"/>
                <w:sz w:val="21"/>
                <w:szCs w:val="21"/>
              </w:rPr>
              <w:br w:type="textWrapping"/>
            </w:r>
            <w:r>
              <w:rPr>
                <w:rFonts w:cs="宋体"/>
                <w:sz w:val="21"/>
                <w:szCs w:val="21"/>
              </w:rPr>
              <w:t>▲1.2、数据库采用MYSQL，支持基于OpenGL技术的图形图像引擎。</w:t>
            </w:r>
            <w:r>
              <w:rPr>
                <w:rFonts w:cs="宋体"/>
                <w:sz w:val="21"/>
                <w:szCs w:val="21"/>
              </w:rPr>
              <w:br w:type="textWrapping"/>
            </w:r>
            <w:r>
              <w:rPr>
                <w:rFonts w:cs="宋体"/>
                <w:sz w:val="21"/>
                <w:szCs w:val="21"/>
              </w:rPr>
              <w:t>1、3、支持访问控制、数据安全、IP限制等必要安全策略。</w:t>
            </w:r>
            <w:r>
              <w:rPr>
                <w:rFonts w:cs="宋体"/>
                <w:sz w:val="21"/>
                <w:szCs w:val="21"/>
              </w:rPr>
              <w:br w:type="textWrapping"/>
            </w:r>
            <w:r>
              <w:rPr>
                <w:rFonts w:cs="宋体"/>
                <w:sz w:val="21"/>
                <w:szCs w:val="21"/>
              </w:rPr>
              <w:t>1、4、要基于区域内的现实环境，进行三维模型建设，以建立区域内的精细的、数字化的三维数字场景，支持.fbx 文件格式；</w:t>
            </w:r>
            <w:r>
              <w:rPr>
                <w:rFonts w:cs="宋体"/>
                <w:sz w:val="21"/>
                <w:szCs w:val="21"/>
              </w:rPr>
              <w:br w:type="textWrapping"/>
            </w:r>
            <w:r>
              <w:rPr>
                <w:rFonts w:cs="宋体"/>
                <w:sz w:val="21"/>
                <w:szCs w:val="21"/>
              </w:rPr>
              <w:t>1、5、材质与贴图的命名格式要统一 、建筑体、楼层应单独命名；</w:t>
            </w:r>
            <w:r>
              <w:rPr>
                <w:rFonts w:cs="宋体"/>
                <w:sz w:val="21"/>
                <w:szCs w:val="21"/>
              </w:rPr>
              <w:br w:type="textWrapping"/>
            </w:r>
            <w:r>
              <w:rPr>
                <w:rFonts w:cs="宋体"/>
                <w:sz w:val="21"/>
                <w:szCs w:val="21"/>
              </w:rPr>
              <w:t>▲1、6、三维场景设备设施具有独立的模型库，可自由在场景中增删改，部分模式的属性用户可自定义；</w:t>
            </w:r>
            <w:r>
              <w:rPr>
                <w:rFonts w:cs="宋体"/>
                <w:sz w:val="21"/>
                <w:szCs w:val="21"/>
              </w:rPr>
              <w:br w:type="textWrapping"/>
            </w:r>
            <w:r>
              <w:rPr>
                <w:rFonts w:cs="宋体"/>
                <w:sz w:val="21"/>
                <w:szCs w:val="21"/>
              </w:rPr>
              <w:t>1、7、场景应具有指南针、透视、拉升等三维可视化展现功能；</w:t>
            </w:r>
          </w:p>
          <w:p>
            <w:pPr>
              <w:pStyle w:val="47"/>
              <w:keepNext w:val="0"/>
              <w:keepLines w:val="0"/>
              <w:pageBreakBefore w:val="0"/>
              <w:numPr>
                <w:ilvl w:val="0"/>
                <w:numId w:val="5"/>
              </w:numPr>
              <w:kinsoku/>
              <w:wordWrap/>
              <w:overflowPunct/>
              <w:topLinePunct w:val="0"/>
              <w:autoSpaceDE/>
              <w:autoSpaceDN/>
              <w:bidi w:val="0"/>
              <w:adjustRightInd/>
              <w:snapToGrid/>
              <w:spacing w:line="360" w:lineRule="auto"/>
              <w:ind w:firstLineChars="0"/>
              <w:textAlignment w:val="auto"/>
              <w:rPr>
                <w:rFonts w:hint="default" w:cs="宋体"/>
                <w:sz w:val="21"/>
                <w:szCs w:val="21"/>
              </w:rPr>
            </w:pPr>
            <w:r>
              <w:rPr>
                <w:rFonts w:cs="宋体"/>
                <w:sz w:val="21"/>
                <w:szCs w:val="21"/>
              </w:rPr>
              <w:t>展示模块</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2.1★电梯管理：能够在模型上面显示电梯当前的位置、停靠的楼层，要求同步现场实施运行情况，根据实施运行情况，显示电梯的升降动态效果。</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2.2视频监控：要求将园区内的摄像头接入到模型当中，通过模型平台，可以查看摄像头点位的实时图像情况。</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2.3门禁管理：要求将园区内的门禁接入，通过模型平台可以查看门禁的相关信息，并在模型当中显示当前门禁的状态，同时，根据门禁提供的信息，可以显示楼层当前的人数以及人员的身份。</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2.4★能耗管理: 对接能耗管理子系统，并在模型中标注能耗采集点的点位信息，并通过点位信息可以查询能耗使用的有关情况。</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2.5设备设施管理: 要求显示园区内配电柜的位置、部分导览设备的位置，并通过模型平台可以查看相关设备的信息。</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2.6车辆管理: 要求在模型平台当中对地下、地面的提车车位进行标注，并对接停车管理系统，根据系统的信息，及时在模型中更新停车位信息。其中，园区大门的车闸系统，需要根据车辆进出的实时信息，进行动态呈现。</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2.7巡更管理: 要求在模型平台中显示巡更设备的点位信息，并可以在平台中通过点击设备，查阅相关的巡更情况及设备工作情况。</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cs="宋体"/>
                <w:sz w:val="21"/>
                <w:szCs w:val="21"/>
              </w:rPr>
            </w:pPr>
            <w:r>
              <w:rPr>
                <w:rFonts w:cs="宋体"/>
                <w:sz w:val="21"/>
                <w:szCs w:val="21"/>
              </w:rPr>
              <w:t>2.8企业信息管理: 在模型平台中，可以查询每一层中任意企业的相关信息，如企业技术信息、企业运营情况、企业视频媒体资料等</w:t>
            </w:r>
          </w:p>
          <w:p>
            <w:pPr>
              <w:pStyle w:val="47"/>
              <w:keepNext w:val="0"/>
              <w:keepLines w:val="0"/>
              <w:pageBreakBefore w:val="0"/>
              <w:kinsoku/>
              <w:wordWrap/>
              <w:overflowPunct/>
              <w:topLinePunct w:val="0"/>
              <w:autoSpaceDE/>
              <w:autoSpaceDN/>
              <w:bidi w:val="0"/>
              <w:adjustRightInd/>
              <w:snapToGrid/>
              <w:spacing w:line="360" w:lineRule="auto"/>
              <w:ind w:left="360" w:firstLine="0" w:firstLineChars="0"/>
              <w:textAlignment w:val="auto"/>
              <w:rPr>
                <w:rFonts w:hint="default"/>
                <w:sz w:val="21"/>
                <w:szCs w:val="21"/>
              </w:rPr>
            </w:pPr>
            <w:r>
              <w:rPr>
                <w:rFonts w:cs="宋体"/>
                <w:sz w:val="21"/>
                <w:szCs w:val="21"/>
              </w:rPr>
              <w:t>2.9</w:t>
            </w:r>
            <w:r>
              <w:rPr>
                <w:sz w:val="21"/>
                <w:szCs w:val="21"/>
              </w:rPr>
              <w:t>▲</w:t>
            </w:r>
            <w:r>
              <w:rPr>
                <w:rFonts w:cs="宋体"/>
                <w:sz w:val="21"/>
                <w:szCs w:val="21"/>
              </w:rPr>
              <w:t>结合以上内容制作一段10分钟左右的展示宣传视频。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Borders>
              <w:top w:val="single" w:color="auto" w:sz="4" w:space="0"/>
              <w:left w:val="single" w:color="auto" w:sz="4" w:space="0"/>
              <w:bottom w:val="single" w:color="auto" w:sz="4" w:space="0"/>
              <w:right w:val="single" w:color="auto" w:sz="4" w:space="0"/>
            </w:tcBorders>
            <w:noWrap w:val="0"/>
            <w:vAlign w:val="center"/>
          </w:tcPr>
          <w:p>
            <w:pPr>
              <w:pStyle w:val="52"/>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ascii="仿宋" w:hAnsi="仿宋" w:eastAsia="仿宋" w:cs="Times New Roman"/>
                <w:sz w:val="21"/>
                <w:szCs w:val="21"/>
              </w:rPr>
            </w:pPr>
            <w:r>
              <w:rPr>
                <w:rFonts w:hint="eastAsia" w:ascii="仿宋" w:hAnsi="仿宋" w:eastAsia="仿宋" w:cs="Times New Roman"/>
                <w:sz w:val="21"/>
                <w:szCs w:val="21"/>
              </w:rPr>
              <w:t>3</w:t>
            </w:r>
          </w:p>
        </w:tc>
        <w:tc>
          <w:tcPr>
            <w:tcW w:w="1474" w:type="dxa"/>
            <w:tcBorders>
              <w:top w:val="single" w:color="auto" w:sz="4" w:space="0"/>
              <w:left w:val="nil"/>
              <w:bottom w:val="single" w:color="auto" w:sz="4" w:space="0"/>
              <w:right w:val="single" w:color="auto" w:sz="4" w:space="0"/>
            </w:tcBorders>
            <w:noWrap w:val="0"/>
            <w:vAlign w:val="center"/>
          </w:tcPr>
          <w:p>
            <w:pPr>
              <w:pStyle w:val="52"/>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仿宋" w:hAnsi="仿宋" w:eastAsia="仿宋"/>
                <w:color w:val="000000"/>
                <w:sz w:val="21"/>
                <w:szCs w:val="21"/>
              </w:rPr>
            </w:pPr>
            <w:r>
              <w:rPr>
                <w:rFonts w:hint="eastAsia" w:ascii="仿宋" w:hAnsi="仿宋" w:eastAsia="仿宋"/>
                <w:color w:val="000000"/>
                <w:sz w:val="21"/>
                <w:szCs w:val="21"/>
              </w:rPr>
              <w:t>集成平台</w:t>
            </w:r>
          </w:p>
        </w:tc>
        <w:tc>
          <w:tcPr>
            <w:tcW w:w="7451" w:type="dxa"/>
            <w:tcBorders>
              <w:top w:val="single" w:color="auto" w:sz="4" w:space="0"/>
              <w:left w:val="nil"/>
              <w:bottom w:val="single" w:color="auto" w:sz="4" w:space="0"/>
              <w:right w:val="single" w:color="auto" w:sz="4" w:space="0"/>
            </w:tcBorders>
            <w:noWrap w:val="0"/>
            <w:vAlign w:val="top"/>
          </w:tcPr>
          <w:p>
            <w:pPr>
              <w:pStyle w:val="47"/>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cs="宋体"/>
                <w:sz w:val="21"/>
                <w:szCs w:val="21"/>
                <w:highlight w:val="none"/>
              </w:rPr>
            </w:pPr>
            <w:r>
              <w:rPr>
                <w:rFonts w:hint="eastAsia"/>
                <w:sz w:val="21"/>
                <w:szCs w:val="21"/>
                <w:lang w:val="en-US" w:eastAsia="zh-CN"/>
              </w:rPr>
              <w:t>1、</w:t>
            </w:r>
            <w:r>
              <w:rPr>
                <w:sz w:val="21"/>
                <w:szCs w:val="21"/>
              </w:rPr>
              <w:t>▲</w:t>
            </w:r>
            <w:r>
              <w:rPr>
                <w:rFonts w:cs="宋体"/>
                <w:sz w:val="21"/>
                <w:szCs w:val="21"/>
              </w:rPr>
              <w:t>系统与江北区空间资源管理平台对接，实现物业端、街道端实时楼宇数据上传、审核；</w:t>
            </w:r>
          </w:p>
          <w:p>
            <w:pPr>
              <w:pStyle w:val="47"/>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cs="宋体"/>
                <w:sz w:val="21"/>
                <w:szCs w:val="21"/>
              </w:rPr>
            </w:pPr>
            <w:r>
              <w:rPr>
                <w:rFonts w:hint="eastAsia"/>
                <w:sz w:val="21"/>
                <w:szCs w:val="21"/>
                <w:highlight w:val="none"/>
                <w:lang w:val="en-US" w:eastAsia="zh-CN"/>
              </w:rPr>
              <w:t>2、</w:t>
            </w:r>
            <w:r>
              <w:rPr>
                <w:sz w:val="21"/>
                <w:szCs w:val="21"/>
                <w:highlight w:val="none"/>
              </w:rPr>
              <w:t>★系统接入江北区计划搭建的工业</w:t>
            </w:r>
            <w:r>
              <w:rPr>
                <w:rFonts w:hint="eastAsia"/>
                <w:sz w:val="21"/>
                <w:szCs w:val="21"/>
                <w:highlight w:val="none"/>
              </w:rPr>
              <w:t>物联网平台</w:t>
            </w:r>
            <w:r>
              <w:rPr>
                <w:sz w:val="21"/>
                <w:szCs w:val="21"/>
                <w:highlight w:val="none"/>
              </w:rPr>
              <w:t>；</w:t>
            </w:r>
          </w:p>
        </w:tc>
      </w:tr>
    </w:tbl>
    <w:p>
      <w:pPr>
        <w:keepNext w:val="0"/>
        <w:keepLines w:val="0"/>
        <w:pageBreakBefore w:val="0"/>
        <w:kinsoku/>
        <w:wordWrap/>
        <w:overflowPunct/>
        <w:topLinePunct w:val="0"/>
        <w:autoSpaceDE/>
        <w:autoSpaceDN/>
        <w:bidi w:val="0"/>
        <w:adjustRightInd/>
        <w:snapToGrid/>
        <w:spacing w:line="360" w:lineRule="auto"/>
        <w:ind w:left="-372" w:leftChars="-177"/>
        <w:textAlignment w:val="auto"/>
        <w:rPr>
          <w:rFonts w:hint="default" w:cs="宋体"/>
          <w:b/>
          <w:sz w:val="21"/>
          <w:szCs w:val="21"/>
        </w:rPr>
      </w:pPr>
      <w:r>
        <w:rPr>
          <w:rFonts w:cs="宋体"/>
          <w:b/>
          <w:sz w:val="21"/>
          <w:szCs w:val="21"/>
        </w:rPr>
        <w:t>3.3硬件配置清单</w:t>
      </w:r>
    </w:p>
    <w:tbl>
      <w:tblPr>
        <w:tblStyle w:val="29"/>
        <w:tblW w:w="0" w:type="auto"/>
        <w:tblInd w:w="-318" w:type="dxa"/>
        <w:tblLayout w:type="fixed"/>
        <w:tblCellMar>
          <w:top w:w="0" w:type="dxa"/>
          <w:left w:w="108" w:type="dxa"/>
          <w:bottom w:w="0" w:type="dxa"/>
          <w:right w:w="108" w:type="dxa"/>
        </w:tblCellMar>
      </w:tblPr>
      <w:tblGrid>
        <w:gridCol w:w="1193"/>
        <w:gridCol w:w="2307"/>
        <w:gridCol w:w="5152"/>
        <w:gridCol w:w="608"/>
        <w:gridCol w:w="649"/>
      </w:tblGrid>
      <w:tr>
        <w:tblPrEx>
          <w:tblCellMar>
            <w:top w:w="0" w:type="dxa"/>
            <w:left w:w="108" w:type="dxa"/>
            <w:bottom w:w="0" w:type="dxa"/>
            <w:right w:w="108" w:type="dxa"/>
          </w:tblCellMar>
        </w:tblPrEx>
        <w:trPr>
          <w:trHeight w:val="345" w:hRule="atLeast"/>
        </w:trPr>
        <w:tc>
          <w:tcPr>
            <w:tcW w:w="119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cs="宋体"/>
                <w:b/>
                <w:kern w:val="0"/>
                <w:sz w:val="21"/>
                <w:szCs w:val="21"/>
              </w:rPr>
            </w:pPr>
            <w:r>
              <w:rPr>
                <w:rFonts w:cs="宋体"/>
                <w:b/>
                <w:kern w:val="0"/>
                <w:sz w:val="21"/>
                <w:szCs w:val="21"/>
              </w:rPr>
              <w:t>子平台</w:t>
            </w: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103" w:firstLineChars="49"/>
              <w:textAlignment w:val="auto"/>
              <w:rPr>
                <w:rFonts w:hint="default" w:cs="宋体"/>
                <w:b/>
                <w:kern w:val="0"/>
                <w:sz w:val="21"/>
                <w:szCs w:val="21"/>
              </w:rPr>
            </w:pPr>
            <w:r>
              <w:rPr>
                <w:rFonts w:cs="宋体"/>
                <w:b/>
                <w:kern w:val="0"/>
                <w:sz w:val="21"/>
                <w:szCs w:val="21"/>
              </w:rPr>
              <w:t xml:space="preserve"> 名 称</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keepNext w:val="0"/>
              <w:keepLines w:val="0"/>
              <w:pageBreakBefore w:val="0"/>
              <w:widowControl/>
              <w:kinsoku/>
              <w:wordWrap/>
              <w:overflowPunct/>
              <w:topLinePunct w:val="0"/>
              <w:autoSpaceDE/>
              <w:autoSpaceDN/>
              <w:bidi w:val="0"/>
              <w:adjustRightInd/>
              <w:snapToGrid/>
              <w:spacing w:line="360" w:lineRule="auto"/>
              <w:ind w:firstLine="2066" w:firstLineChars="980"/>
              <w:textAlignment w:val="auto"/>
              <w:rPr>
                <w:rFonts w:hint="default" w:cs="宋体"/>
                <w:b/>
                <w:kern w:val="0"/>
                <w:sz w:val="21"/>
                <w:szCs w:val="21"/>
              </w:rPr>
            </w:pPr>
            <w:r>
              <w:rPr>
                <w:rFonts w:cs="宋体"/>
                <w:b/>
                <w:kern w:val="0"/>
                <w:sz w:val="21"/>
                <w:szCs w:val="21"/>
              </w:rPr>
              <w:t>参 数</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cs="宋体"/>
                <w:b/>
                <w:kern w:val="0"/>
                <w:sz w:val="21"/>
                <w:szCs w:val="21"/>
              </w:rPr>
            </w:pPr>
            <w:r>
              <w:rPr>
                <w:rFonts w:cs="宋体"/>
                <w:b/>
                <w:kern w:val="0"/>
                <w:sz w:val="21"/>
                <w:szCs w:val="21"/>
              </w:rPr>
              <w:t>数量</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cs="宋体"/>
                <w:b/>
                <w:kern w:val="0"/>
                <w:sz w:val="21"/>
                <w:szCs w:val="21"/>
              </w:rPr>
            </w:pPr>
            <w:r>
              <w:rPr>
                <w:rFonts w:cs="宋体"/>
                <w:b/>
                <w:kern w:val="0"/>
                <w:sz w:val="21"/>
                <w:szCs w:val="21"/>
              </w:rPr>
              <w:t>单位</w:t>
            </w:r>
          </w:p>
        </w:tc>
      </w:tr>
      <w:tr>
        <w:tblPrEx>
          <w:tblCellMar>
            <w:top w:w="0" w:type="dxa"/>
            <w:left w:w="108" w:type="dxa"/>
            <w:bottom w:w="0" w:type="dxa"/>
            <w:right w:w="108" w:type="dxa"/>
          </w:tblCellMar>
        </w:tblPrEx>
        <w:trPr>
          <w:trHeight w:val="673"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cs="宋体"/>
                <w:kern w:val="0"/>
                <w:sz w:val="21"/>
                <w:szCs w:val="21"/>
              </w:rPr>
            </w:pPr>
            <w:r>
              <w:rPr>
                <w:rFonts w:cs="宋体"/>
                <w:kern w:val="0"/>
                <w:sz w:val="21"/>
                <w:szCs w:val="21"/>
              </w:rPr>
              <w:t>监控子系统</w:t>
            </w: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cs="宋体"/>
                <w:kern w:val="0"/>
                <w:sz w:val="21"/>
                <w:szCs w:val="21"/>
              </w:rPr>
            </w:pPr>
            <w:r>
              <w:rPr>
                <w:rFonts w:cs="宋体"/>
                <w:kern w:val="0"/>
                <w:sz w:val="21"/>
                <w:szCs w:val="21"/>
              </w:rPr>
              <w:t>高清网络枪机＋支架</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cs="宋体"/>
                <w:kern w:val="0"/>
                <w:sz w:val="21"/>
                <w:szCs w:val="21"/>
              </w:rPr>
            </w:pPr>
            <w:r>
              <w:rPr>
                <w:rFonts w:cs="宋体"/>
                <w:kern w:val="0"/>
                <w:sz w:val="21"/>
                <w:szCs w:val="21"/>
              </w:rPr>
              <w:t>200万1/2.7”CMOS ICR红外阵列筒型网络摄像机；</w:t>
            </w:r>
            <w:r>
              <w:rPr>
                <w:rFonts w:cs="宋体"/>
                <w:kern w:val="0"/>
                <w:sz w:val="21"/>
                <w:szCs w:val="21"/>
              </w:rPr>
              <w:br w:type="textWrapping"/>
            </w:r>
            <w:r>
              <w:rPr>
                <w:rFonts w:cs="宋体"/>
                <w:kern w:val="0"/>
                <w:sz w:val="21"/>
                <w:szCs w:val="21"/>
              </w:rPr>
              <w:t>最小照度 0.01Lux @(F1.2,AGC ON) ,0 Lux with IR；</w:t>
            </w:r>
            <w:r>
              <w:rPr>
                <w:rFonts w:cs="宋体"/>
                <w:kern w:val="0"/>
                <w:sz w:val="21"/>
                <w:szCs w:val="21"/>
              </w:rPr>
              <w:br w:type="textWrapping"/>
            </w:r>
            <w:r>
              <w:rPr>
                <w:rFonts w:cs="宋体"/>
                <w:kern w:val="0"/>
                <w:sz w:val="21"/>
                <w:szCs w:val="21"/>
              </w:rPr>
              <w:t>快门 1/3秒至1/100,000秒；</w:t>
            </w:r>
            <w:r>
              <w:rPr>
                <w:rFonts w:cs="宋体"/>
                <w:kern w:val="0"/>
                <w:sz w:val="21"/>
                <w:szCs w:val="21"/>
              </w:rPr>
              <w:br w:type="textWrapping"/>
            </w:r>
            <w:r>
              <w:rPr>
                <w:rFonts w:cs="宋体"/>
                <w:kern w:val="0"/>
                <w:sz w:val="21"/>
                <w:szCs w:val="21"/>
              </w:rPr>
              <w:t>镜头 4mm, 水平视场角:90.3°(6mm,8mm,12mm可选)；</w:t>
            </w:r>
            <w:r>
              <w:rPr>
                <w:rFonts w:cs="宋体"/>
                <w:kern w:val="0"/>
                <w:sz w:val="21"/>
                <w:szCs w:val="21"/>
              </w:rPr>
              <w:br w:type="textWrapping"/>
            </w:r>
            <w:r>
              <w:rPr>
                <w:rFonts w:cs="宋体"/>
                <w:kern w:val="0"/>
                <w:sz w:val="21"/>
                <w:szCs w:val="21"/>
              </w:rPr>
              <w:t>数字降噪 3D数字降噪；</w:t>
            </w:r>
            <w:r>
              <w:rPr>
                <w:rFonts w:cs="宋体"/>
                <w:kern w:val="0"/>
                <w:sz w:val="21"/>
                <w:szCs w:val="21"/>
              </w:rPr>
              <w:br w:type="textWrapping"/>
            </w:r>
            <w:r>
              <w:rPr>
                <w:rFonts w:cs="宋体"/>
                <w:kern w:val="0"/>
                <w:sz w:val="21"/>
                <w:szCs w:val="21"/>
              </w:rPr>
              <w:t>宽动态范围 120dB；</w:t>
            </w:r>
            <w:r>
              <w:rPr>
                <w:rFonts w:cs="宋体"/>
                <w:kern w:val="0"/>
                <w:sz w:val="21"/>
                <w:szCs w:val="21"/>
              </w:rPr>
              <w:br w:type="textWrapping"/>
            </w:r>
            <w:r>
              <w:rPr>
                <w:rFonts w:cs="宋体"/>
                <w:kern w:val="0"/>
                <w:sz w:val="21"/>
                <w:szCs w:val="21"/>
              </w:rPr>
              <w:t>视频压缩标准 H.265 / H.264 / MJPEG;H.265编码类型 Main Profile；</w:t>
            </w:r>
            <w:r>
              <w:rPr>
                <w:rFonts w:cs="宋体"/>
                <w:kern w:val="0"/>
                <w:sz w:val="21"/>
                <w:szCs w:val="21"/>
              </w:rPr>
              <w:br w:type="textWrapping"/>
            </w:r>
            <w:r>
              <w:rPr>
                <w:rFonts w:cs="宋体"/>
                <w:kern w:val="0"/>
                <w:sz w:val="21"/>
                <w:szCs w:val="21"/>
              </w:rPr>
              <w:t>帧率 50Hz: 25fps (1920 × 1080,1280 × 960,1280 × 720)；</w:t>
            </w:r>
            <w:r>
              <w:rPr>
                <w:rFonts w:cs="宋体"/>
                <w:kern w:val="0"/>
                <w:sz w:val="21"/>
                <w:szCs w:val="21"/>
              </w:rPr>
              <w:br w:type="textWrapping"/>
            </w:r>
            <w:r>
              <w:rPr>
                <w:rFonts w:cs="宋体"/>
                <w:kern w:val="0"/>
                <w:sz w:val="21"/>
                <w:szCs w:val="21"/>
              </w:rPr>
              <w:t>感兴趣区域 ROI支持三码流分别设置1个固定区域；</w:t>
            </w:r>
            <w:r>
              <w:rPr>
                <w:rFonts w:cs="宋体"/>
                <w:kern w:val="0"/>
                <w:sz w:val="21"/>
                <w:szCs w:val="21"/>
              </w:rPr>
              <w:br w:type="textWrapping"/>
            </w:r>
            <w:r>
              <w:rPr>
                <w:rFonts w:cs="宋体"/>
                <w:kern w:val="0"/>
                <w:sz w:val="21"/>
                <w:szCs w:val="21"/>
              </w:rPr>
              <w:t>存储功能 NAS(NFS,SMB/CIFS均支持) ；</w:t>
            </w:r>
            <w:r>
              <w:rPr>
                <w:rFonts w:cs="宋体"/>
                <w:kern w:val="0"/>
                <w:sz w:val="21"/>
                <w:szCs w:val="21"/>
              </w:rPr>
              <w:br w:type="textWrapping"/>
            </w:r>
            <w:r>
              <w:rPr>
                <w:rFonts w:cs="宋体"/>
                <w:kern w:val="0"/>
                <w:sz w:val="21"/>
                <w:szCs w:val="21"/>
              </w:rPr>
              <w:t>智能报警 越界侦测,区域入侵侦测,场景变更侦测,人脸侦测,虚焦侦测，物品遗留侦测,物品拾取侦测,非法停车侦测,人员聚集侦测,徘徊侦测,快速移动侦测,进入区域侦测,离开区域侦测；</w:t>
            </w:r>
            <w:r>
              <w:rPr>
                <w:rFonts w:cs="宋体"/>
                <w:kern w:val="0"/>
                <w:sz w:val="21"/>
                <w:szCs w:val="21"/>
              </w:rPr>
              <w:br w:type="textWrapping"/>
            </w:r>
            <w:r>
              <w:rPr>
                <w:rFonts w:cs="宋体"/>
                <w:kern w:val="0"/>
                <w:sz w:val="21"/>
                <w:szCs w:val="21"/>
              </w:rPr>
              <w:t>工作温度和湿度 -30℃~60℃,湿度小于95%(无凝结)</w:t>
            </w:r>
            <w:r>
              <w:rPr>
                <w:rFonts w:cs="宋体"/>
                <w:kern w:val="0"/>
                <w:sz w:val="21"/>
                <w:szCs w:val="21"/>
              </w:rPr>
              <w:br w:type="textWrapping"/>
            </w:r>
            <w:r>
              <w:rPr>
                <w:rFonts w:cs="宋体"/>
                <w:kern w:val="0"/>
                <w:sz w:val="21"/>
                <w:szCs w:val="21"/>
              </w:rPr>
              <w:t>电源供应 DC12V±25%；</w:t>
            </w:r>
            <w:r>
              <w:rPr>
                <w:rFonts w:cs="宋体"/>
                <w:kern w:val="0"/>
                <w:sz w:val="21"/>
                <w:szCs w:val="21"/>
              </w:rPr>
              <w:br w:type="textWrapping"/>
            </w:r>
            <w:r>
              <w:rPr>
                <w:rFonts w:cs="宋体"/>
                <w:kern w:val="0"/>
                <w:sz w:val="21"/>
                <w:szCs w:val="21"/>
              </w:rPr>
              <w:t>电源接口类型 圆头电源接口；</w:t>
            </w:r>
            <w:r>
              <w:rPr>
                <w:rFonts w:cs="宋体"/>
                <w:kern w:val="0"/>
                <w:sz w:val="21"/>
                <w:szCs w:val="21"/>
              </w:rPr>
              <w:br w:type="textWrapping"/>
            </w:r>
            <w:r>
              <w:rPr>
                <w:rFonts w:cs="宋体"/>
                <w:kern w:val="0"/>
                <w:sz w:val="21"/>
                <w:szCs w:val="21"/>
              </w:rPr>
              <w:t>功耗 5.5W MAX；</w:t>
            </w:r>
            <w:r>
              <w:rPr>
                <w:rFonts w:cs="宋体"/>
                <w:kern w:val="0"/>
                <w:sz w:val="21"/>
                <w:szCs w:val="21"/>
              </w:rPr>
              <w:br w:type="textWrapping"/>
            </w:r>
            <w:r>
              <w:rPr>
                <w:rFonts w:cs="宋体"/>
                <w:kern w:val="0"/>
                <w:sz w:val="21"/>
                <w:szCs w:val="21"/>
              </w:rPr>
              <w:t>红外照射距离最远可达 30米；</w:t>
            </w:r>
            <w:r>
              <w:rPr>
                <w:rFonts w:cs="宋体"/>
                <w:kern w:val="0"/>
                <w:sz w:val="21"/>
                <w:szCs w:val="21"/>
              </w:rPr>
              <w:br w:type="textWrapping"/>
            </w:r>
            <w:r>
              <w:rPr>
                <w:rFonts w:cs="宋体"/>
                <w:kern w:val="0"/>
                <w:sz w:val="21"/>
                <w:szCs w:val="21"/>
              </w:rPr>
              <w:t>防护等级 IP67</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cs="宋体"/>
                <w:kern w:val="0"/>
                <w:sz w:val="21"/>
                <w:szCs w:val="21"/>
              </w:rPr>
            </w:pPr>
            <w:r>
              <w:rPr>
                <w:rFonts w:cs="宋体"/>
                <w:kern w:val="0"/>
                <w:sz w:val="21"/>
                <w:szCs w:val="21"/>
              </w:rPr>
              <w:t>55</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983"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高清网络半球</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200万1/2.7”CMOS ICR日夜型半球型网络摄像机；</w:t>
            </w:r>
            <w:r>
              <w:rPr>
                <w:rFonts w:cs="宋体"/>
                <w:kern w:val="0"/>
                <w:sz w:val="21"/>
                <w:szCs w:val="21"/>
              </w:rPr>
              <w:br w:type="textWrapping"/>
            </w:r>
            <w:r>
              <w:rPr>
                <w:rFonts w:cs="宋体"/>
                <w:kern w:val="0"/>
                <w:sz w:val="21"/>
                <w:szCs w:val="21"/>
              </w:rPr>
              <w:t>视频压缩标准 H.265 / H.264 / MJPEG；</w:t>
            </w:r>
            <w:r>
              <w:rPr>
                <w:rFonts w:cs="宋体"/>
                <w:kern w:val="0"/>
                <w:sz w:val="21"/>
                <w:szCs w:val="21"/>
              </w:rPr>
              <w:br w:type="textWrapping"/>
            </w:r>
            <w:r>
              <w:rPr>
                <w:rFonts w:cs="宋体"/>
                <w:kern w:val="0"/>
                <w:sz w:val="21"/>
                <w:szCs w:val="21"/>
              </w:rPr>
              <w:t>最小照度 0.01 Lux @(F1.2,AGC ON), 0 Lux with IR；</w:t>
            </w:r>
            <w:r>
              <w:rPr>
                <w:rFonts w:cs="宋体"/>
                <w:kern w:val="0"/>
                <w:sz w:val="21"/>
                <w:szCs w:val="21"/>
              </w:rPr>
              <w:br w:type="textWrapping"/>
            </w:r>
            <w:r>
              <w:rPr>
                <w:rFonts w:cs="宋体"/>
                <w:kern w:val="0"/>
                <w:sz w:val="21"/>
                <w:szCs w:val="21"/>
              </w:rPr>
              <w:t>快门 1/3秒至1/100,000秒；</w:t>
            </w:r>
            <w:r>
              <w:rPr>
                <w:rFonts w:cs="宋体"/>
                <w:kern w:val="0"/>
                <w:sz w:val="21"/>
                <w:szCs w:val="21"/>
              </w:rPr>
              <w:br w:type="textWrapping"/>
            </w:r>
            <w:r>
              <w:rPr>
                <w:rFonts w:cs="宋体"/>
                <w:kern w:val="0"/>
                <w:sz w:val="21"/>
                <w:szCs w:val="21"/>
              </w:rPr>
              <w:t>镜头 2.8mm, 水平视场角: 113.5°(4mm,6mm,8mm可选)；</w:t>
            </w:r>
            <w:r>
              <w:rPr>
                <w:rFonts w:cs="宋体"/>
                <w:kern w:val="0"/>
                <w:sz w:val="21"/>
                <w:szCs w:val="21"/>
              </w:rPr>
              <w:br w:type="textWrapping"/>
            </w:r>
            <w:r>
              <w:rPr>
                <w:rFonts w:cs="宋体"/>
                <w:kern w:val="0"/>
                <w:sz w:val="21"/>
                <w:szCs w:val="21"/>
              </w:rPr>
              <w:t>调整角度 水平:0°~360°;垂直:0°~ 75°;旋转:0°~360°</w:t>
            </w:r>
            <w:r>
              <w:rPr>
                <w:rFonts w:cs="宋体"/>
                <w:kern w:val="0"/>
                <w:sz w:val="21"/>
                <w:szCs w:val="21"/>
              </w:rPr>
              <w:br w:type="textWrapping"/>
            </w:r>
            <w:r>
              <w:rPr>
                <w:rFonts w:cs="宋体"/>
                <w:kern w:val="0"/>
                <w:sz w:val="21"/>
                <w:szCs w:val="21"/>
              </w:rPr>
              <w:t>宽动态范围 120dB；</w:t>
            </w:r>
            <w:r>
              <w:rPr>
                <w:rFonts w:cs="宋体"/>
                <w:kern w:val="0"/>
                <w:sz w:val="21"/>
                <w:szCs w:val="21"/>
              </w:rPr>
              <w:br w:type="textWrapping"/>
            </w:r>
            <w:r>
              <w:rPr>
                <w:rFonts w:cs="宋体"/>
                <w:kern w:val="0"/>
                <w:sz w:val="21"/>
                <w:szCs w:val="21"/>
              </w:rPr>
              <w:t>帧率：50Hz: 25fps (1920 × 1080,1280 × 960,1280 × 720)；</w:t>
            </w:r>
            <w:r>
              <w:rPr>
                <w:rFonts w:cs="宋体"/>
                <w:kern w:val="0"/>
                <w:sz w:val="21"/>
                <w:szCs w:val="21"/>
              </w:rPr>
              <w:br w:type="textWrapping"/>
            </w:r>
            <w:r>
              <w:rPr>
                <w:rFonts w:cs="宋体"/>
                <w:kern w:val="0"/>
                <w:sz w:val="21"/>
                <w:szCs w:val="21"/>
              </w:rPr>
              <w:t>感兴趣区域：ROI支持三码流分别设置1个固定区域；</w:t>
            </w:r>
            <w:r>
              <w:rPr>
                <w:rFonts w:cs="宋体"/>
                <w:kern w:val="0"/>
                <w:sz w:val="21"/>
                <w:szCs w:val="21"/>
              </w:rPr>
              <w:br w:type="textWrapping"/>
            </w:r>
            <w:r>
              <w:rPr>
                <w:rFonts w:cs="宋体"/>
                <w:kern w:val="0"/>
                <w:sz w:val="21"/>
                <w:szCs w:val="21"/>
              </w:rPr>
              <w:t>存储功能：NAS(NFS,SMB/CIFS均支持)；</w:t>
            </w:r>
            <w:r>
              <w:rPr>
                <w:rFonts w:cs="宋体"/>
                <w:kern w:val="0"/>
                <w:sz w:val="21"/>
                <w:szCs w:val="21"/>
              </w:rPr>
              <w:br w:type="textWrapping"/>
            </w:r>
            <w:r>
              <w:rPr>
                <w:rFonts w:cs="宋体"/>
                <w:kern w:val="0"/>
                <w:sz w:val="21"/>
                <w:szCs w:val="21"/>
              </w:rPr>
              <w:t>智能报警：越界侦测,区域入侵侦测,场景变更侦测,人脸侦测,虚焦侦测；物品遗留侦测,物品拾取侦测,非法停车侦测,人员聚集侦测,徘徊侦测,快速移动侦测,进入区域侦测,离开区域侦测；</w:t>
            </w:r>
            <w:r>
              <w:rPr>
                <w:rFonts w:cs="宋体"/>
                <w:kern w:val="0"/>
                <w:sz w:val="21"/>
                <w:szCs w:val="21"/>
              </w:rPr>
              <w:br w:type="textWrapping"/>
            </w:r>
            <w:r>
              <w:rPr>
                <w:rFonts w:cs="宋体"/>
                <w:kern w:val="0"/>
                <w:sz w:val="21"/>
                <w:szCs w:val="21"/>
              </w:rPr>
              <w:t>支持智能后检索，配合NVR支持事件的二次检索分析；</w:t>
            </w:r>
            <w:r>
              <w:rPr>
                <w:rFonts w:cs="宋体"/>
                <w:kern w:val="0"/>
                <w:sz w:val="21"/>
                <w:szCs w:val="21"/>
              </w:rPr>
              <w:br w:type="textWrapping"/>
            </w:r>
            <w:r>
              <w:rPr>
                <w:rFonts w:cs="宋体"/>
                <w:kern w:val="0"/>
                <w:sz w:val="21"/>
                <w:szCs w:val="21"/>
              </w:rPr>
              <w:t>通讯接口 1 个RJ45 10M / 100M 自适应以太网口</w:t>
            </w:r>
            <w:r>
              <w:rPr>
                <w:rFonts w:cs="宋体"/>
                <w:kern w:val="0"/>
                <w:sz w:val="21"/>
                <w:szCs w:val="21"/>
              </w:rPr>
              <w:br w:type="textWrapping"/>
            </w:r>
            <w:r>
              <w:rPr>
                <w:rFonts w:cs="宋体"/>
                <w:kern w:val="0"/>
                <w:sz w:val="21"/>
                <w:szCs w:val="21"/>
              </w:rPr>
              <w:t>工作温度和湿度 -30℃~60℃,湿度小于95%(无凝结)；</w:t>
            </w:r>
            <w:r>
              <w:rPr>
                <w:rFonts w:cs="宋体"/>
                <w:kern w:val="0"/>
                <w:sz w:val="21"/>
                <w:szCs w:val="21"/>
              </w:rPr>
              <w:br w:type="textWrapping"/>
            </w:r>
            <w:r>
              <w:rPr>
                <w:rFonts w:cs="宋体"/>
                <w:kern w:val="0"/>
                <w:sz w:val="21"/>
                <w:szCs w:val="21"/>
              </w:rPr>
              <w:t>电源供应 DC12V±25% ；</w:t>
            </w:r>
            <w:r>
              <w:rPr>
                <w:rFonts w:cs="宋体"/>
                <w:kern w:val="0"/>
                <w:sz w:val="21"/>
                <w:szCs w:val="21"/>
              </w:rPr>
              <w:br w:type="textWrapping"/>
            </w:r>
            <w:r>
              <w:rPr>
                <w:rFonts w:cs="宋体"/>
                <w:kern w:val="0"/>
                <w:sz w:val="21"/>
                <w:szCs w:val="21"/>
              </w:rPr>
              <w:t>电源接口类型 圆头电源接口</w:t>
            </w:r>
            <w:r>
              <w:rPr>
                <w:rFonts w:cs="宋体"/>
                <w:kern w:val="0"/>
                <w:sz w:val="21"/>
                <w:szCs w:val="21"/>
              </w:rPr>
              <w:br w:type="textWrapping"/>
            </w:r>
            <w:r>
              <w:rPr>
                <w:rFonts w:cs="宋体"/>
                <w:kern w:val="0"/>
                <w:sz w:val="21"/>
                <w:szCs w:val="21"/>
              </w:rPr>
              <w:t>功耗 5.5W MAX；</w:t>
            </w:r>
            <w:r>
              <w:rPr>
                <w:rFonts w:cs="宋体"/>
                <w:kern w:val="0"/>
                <w:sz w:val="21"/>
                <w:szCs w:val="21"/>
              </w:rPr>
              <w:br w:type="textWrapping"/>
            </w:r>
            <w:r>
              <w:rPr>
                <w:rFonts w:cs="宋体"/>
                <w:kern w:val="0"/>
                <w:sz w:val="21"/>
                <w:szCs w:val="21"/>
              </w:rPr>
              <w:t>红外照射距离 EXIR：20-30米；</w:t>
            </w:r>
            <w:r>
              <w:rPr>
                <w:rFonts w:cs="宋体"/>
                <w:kern w:val="0"/>
                <w:sz w:val="21"/>
                <w:szCs w:val="21"/>
              </w:rPr>
              <w:br w:type="textWrapping"/>
            </w:r>
            <w:r>
              <w:rPr>
                <w:rFonts w:cs="宋体"/>
                <w:kern w:val="0"/>
                <w:sz w:val="21"/>
                <w:szCs w:val="21"/>
              </w:rPr>
              <w:t>防护等级 IP67</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44</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240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高清NVR</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2U标准机架式</w:t>
            </w:r>
            <w:r>
              <w:rPr>
                <w:rFonts w:cs="宋体"/>
                <w:kern w:val="0"/>
                <w:sz w:val="21"/>
                <w:szCs w:val="21"/>
              </w:rPr>
              <w:br w:type="textWrapping"/>
            </w:r>
            <w:r>
              <w:rPr>
                <w:rFonts w:cs="宋体"/>
                <w:kern w:val="0"/>
                <w:sz w:val="21"/>
                <w:szCs w:val="21"/>
              </w:rPr>
              <w:t>2个HDMI，2个VGA,HDMI+VGA组内同源</w:t>
            </w:r>
            <w:r>
              <w:rPr>
                <w:rFonts w:cs="宋体"/>
                <w:kern w:val="0"/>
                <w:sz w:val="21"/>
                <w:szCs w:val="21"/>
              </w:rPr>
              <w:br w:type="textWrapping"/>
            </w:r>
            <w:r>
              <w:rPr>
                <w:rFonts w:cs="宋体"/>
                <w:kern w:val="0"/>
                <w:sz w:val="21"/>
                <w:szCs w:val="21"/>
              </w:rPr>
              <w:t xml:space="preserve">8盘位，可满配6TB硬盘 </w:t>
            </w:r>
            <w:r>
              <w:rPr>
                <w:rFonts w:cs="宋体"/>
                <w:kern w:val="0"/>
                <w:sz w:val="21"/>
                <w:szCs w:val="21"/>
              </w:rPr>
              <w:br w:type="textWrapping"/>
            </w:r>
            <w:r>
              <w:rPr>
                <w:rFonts w:cs="宋体"/>
                <w:kern w:val="0"/>
                <w:sz w:val="21"/>
                <w:szCs w:val="21"/>
              </w:rPr>
              <w:t>2个千兆网口</w:t>
            </w:r>
            <w:r>
              <w:rPr>
                <w:rFonts w:cs="宋体"/>
                <w:kern w:val="0"/>
                <w:sz w:val="21"/>
                <w:szCs w:val="21"/>
              </w:rPr>
              <w:br w:type="textWrapping"/>
            </w:r>
            <w:r>
              <w:rPr>
                <w:rFonts w:cs="宋体"/>
                <w:kern w:val="0"/>
                <w:sz w:val="21"/>
                <w:szCs w:val="21"/>
              </w:rPr>
              <w:t>2个USB2.0接口、1个USB3.0接口</w:t>
            </w:r>
            <w:r>
              <w:rPr>
                <w:rFonts w:cs="宋体"/>
                <w:kern w:val="0"/>
                <w:sz w:val="21"/>
                <w:szCs w:val="21"/>
              </w:rPr>
              <w:br w:type="textWrapping"/>
            </w:r>
            <w:r>
              <w:rPr>
                <w:rFonts w:cs="宋体"/>
                <w:kern w:val="0"/>
                <w:sz w:val="21"/>
                <w:szCs w:val="21"/>
              </w:rPr>
              <w:t>1个eSATA接口</w:t>
            </w:r>
            <w:r>
              <w:rPr>
                <w:rFonts w:cs="宋体"/>
                <w:kern w:val="0"/>
                <w:sz w:val="21"/>
                <w:szCs w:val="21"/>
              </w:rPr>
              <w:br w:type="textWrapping"/>
            </w:r>
            <w:r>
              <w:rPr>
                <w:rFonts w:cs="宋体"/>
                <w:kern w:val="0"/>
                <w:sz w:val="21"/>
                <w:szCs w:val="21"/>
              </w:rPr>
              <w:t>报警IO：16进4路（可选配8出）</w:t>
            </w:r>
            <w:r>
              <w:rPr>
                <w:rFonts w:cs="宋体"/>
                <w:kern w:val="0"/>
                <w:sz w:val="21"/>
                <w:szCs w:val="21"/>
              </w:rPr>
              <w:br w:type="textWrapping"/>
            </w:r>
            <w:r>
              <w:rPr>
                <w:rFonts w:cs="宋体"/>
                <w:kern w:val="0"/>
                <w:sz w:val="21"/>
                <w:szCs w:val="21"/>
              </w:rPr>
              <w:t>软件性能：</w:t>
            </w:r>
            <w:r>
              <w:rPr>
                <w:rFonts w:cs="宋体"/>
                <w:kern w:val="0"/>
                <w:sz w:val="21"/>
                <w:szCs w:val="21"/>
              </w:rPr>
              <w:br w:type="textWrapping"/>
            </w:r>
            <w:r>
              <w:rPr>
                <w:rFonts w:cs="宋体"/>
                <w:kern w:val="0"/>
                <w:sz w:val="21"/>
                <w:szCs w:val="21"/>
              </w:rPr>
              <w:t>输入带宽：256M</w:t>
            </w:r>
            <w:r>
              <w:rPr>
                <w:rFonts w:cs="宋体"/>
                <w:kern w:val="0"/>
                <w:sz w:val="21"/>
                <w:szCs w:val="21"/>
              </w:rPr>
              <w:br w:type="textWrapping"/>
            </w:r>
            <w:r>
              <w:rPr>
                <w:rFonts w:cs="宋体"/>
                <w:kern w:val="0"/>
                <w:sz w:val="21"/>
                <w:szCs w:val="21"/>
              </w:rPr>
              <w:t>32路H.264、H.265混合接入</w:t>
            </w:r>
            <w:r>
              <w:rPr>
                <w:rFonts w:cs="宋体"/>
                <w:kern w:val="0"/>
                <w:sz w:val="21"/>
                <w:szCs w:val="21"/>
              </w:rPr>
              <w:br w:type="textWrapping"/>
            </w:r>
            <w:r>
              <w:rPr>
                <w:rFonts w:cs="宋体"/>
                <w:kern w:val="0"/>
                <w:sz w:val="21"/>
                <w:szCs w:val="21"/>
              </w:rPr>
              <w:t>最大支持8×1080P解码</w:t>
            </w:r>
            <w:r>
              <w:rPr>
                <w:rFonts w:cs="宋体"/>
                <w:kern w:val="0"/>
                <w:sz w:val="21"/>
                <w:szCs w:val="21"/>
              </w:rPr>
              <w:br w:type="textWrapping"/>
            </w:r>
            <w:r>
              <w:rPr>
                <w:rFonts w:cs="宋体"/>
                <w:kern w:val="0"/>
                <w:sz w:val="21"/>
                <w:szCs w:val="21"/>
              </w:rPr>
              <w:t>支持H.265、H.264解码</w:t>
            </w:r>
            <w:r>
              <w:rPr>
                <w:rFonts w:cs="宋体"/>
                <w:kern w:val="0"/>
                <w:sz w:val="21"/>
                <w:szCs w:val="21"/>
              </w:rPr>
              <w:br w:type="textWrapping"/>
            </w:r>
            <w:r>
              <w:rPr>
                <w:rFonts w:cs="宋体"/>
                <w:kern w:val="0"/>
                <w:sz w:val="21"/>
                <w:szCs w:val="21"/>
              </w:rPr>
              <w:t>Smart 2.0/整机热备/ANR/智能检索/智能回放/车牌检索/人脸检索/热度图/客流量统计/分时段回放/超高倍速回放/双系统备份</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5</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监控专用硬盘</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4TB/128MB(6Gb/秒 NCQ)/7200RPM/SATA3</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20</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块</w:t>
            </w:r>
          </w:p>
        </w:tc>
      </w:tr>
      <w:tr>
        <w:tblPrEx>
          <w:tblCellMar>
            <w:top w:w="0" w:type="dxa"/>
            <w:left w:w="108" w:type="dxa"/>
            <w:bottom w:w="0" w:type="dxa"/>
            <w:right w:w="108" w:type="dxa"/>
          </w:tblCellMar>
        </w:tblPrEx>
        <w:trPr>
          <w:trHeight w:val="66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监控专用硬盘</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SEAGATE,ENTERPRISE CAPACITY 3.5 HDD,8TB,7200RPM, 256MB, SATA 6Gb/s</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20</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块</w:t>
            </w:r>
          </w:p>
        </w:tc>
      </w:tr>
      <w:tr>
        <w:tblPrEx>
          <w:tblCellMar>
            <w:top w:w="0" w:type="dxa"/>
            <w:left w:w="108" w:type="dxa"/>
            <w:bottom w:w="0" w:type="dxa"/>
            <w:right w:w="108" w:type="dxa"/>
          </w:tblCellMar>
        </w:tblPrEx>
        <w:trPr>
          <w:trHeight w:val="1553"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变焦摄像头</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800万1/1.8” CMOS  AI轻智能抓拍筒型网络摄像机</w:t>
            </w:r>
            <w:r>
              <w:rPr>
                <w:rFonts w:cs="宋体"/>
                <w:kern w:val="0"/>
                <w:sz w:val="21"/>
                <w:szCs w:val="21"/>
              </w:rPr>
              <w:br w:type="textWrapping"/>
            </w:r>
            <w:r>
              <w:rPr>
                <w:rFonts w:cs="宋体"/>
                <w:kern w:val="0"/>
                <w:sz w:val="21"/>
                <w:szCs w:val="21"/>
              </w:rPr>
              <w:t>人脸抓拍:</w:t>
            </w:r>
            <w:r>
              <w:rPr>
                <w:rFonts w:cs="宋体"/>
                <w:kern w:val="0"/>
                <w:sz w:val="21"/>
                <w:szCs w:val="21"/>
              </w:rPr>
              <w:br w:type="textWrapping"/>
            </w:r>
            <w:r>
              <w:rPr>
                <w:rFonts w:cs="宋体"/>
                <w:kern w:val="0"/>
                <w:sz w:val="21"/>
                <w:szCs w:val="21"/>
              </w:rPr>
              <w:t>a)支持，同时检测30张人脸，对运动人脸进行检测、跟踪、抓拍、评分、筛选，输出最优的人脸抓图</w:t>
            </w:r>
            <w:r>
              <w:rPr>
                <w:rFonts w:cs="宋体"/>
                <w:kern w:val="0"/>
                <w:sz w:val="21"/>
                <w:szCs w:val="21"/>
              </w:rPr>
              <w:br w:type="textWrapping"/>
            </w:r>
            <w:r>
              <w:rPr>
                <w:rFonts w:cs="宋体"/>
                <w:kern w:val="0"/>
                <w:sz w:val="21"/>
                <w:szCs w:val="21"/>
              </w:rPr>
              <w:t>b)支持人脸小图自定义可设置。</w:t>
            </w:r>
            <w:r>
              <w:rPr>
                <w:rFonts w:cs="宋体"/>
                <w:kern w:val="0"/>
                <w:sz w:val="21"/>
                <w:szCs w:val="21"/>
              </w:rPr>
              <w:br w:type="textWrapping"/>
            </w:r>
            <w:r>
              <w:rPr>
                <w:rFonts w:cs="宋体"/>
                <w:kern w:val="0"/>
                <w:sz w:val="21"/>
                <w:szCs w:val="21"/>
              </w:rPr>
              <w:t>c)支持快速抓拍和最佳抓拍。</w:t>
            </w:r>
            <w:r>
              <w:rPr>
                <w:rFonts w:cs="宋体"/>
                <w:kern w:val="0"/>
                <w:sz w:val="21"/>
                <w:szCs w:val="21"/>
              </w:rPr>
              <w:br w:type="textWrapping"/>
            </w:r>
            <w:r>
              <w:rPr>
                <w:rFonts w:cs="宋体"/>
                <w:kern w:val="0"/>
                <w:sz w:val="21"/>
                <w:szCs w:val="21"/>
              </w:rPr>
              <w:t>道路监控:</w:t>
            </w:r>
            <w:r>
              <w:rPr>
                <w:rFonts w:cs="宋体"/>
                <w:kern w:val="0"/>
                <w:sz w:val="21"/>
                <w:szCs w:val="21"/>
              </w:rPr>
              <w:br w:type="textWrapping"/>
            </w:r>
            <w:r>
              <w:rPr>
                <w:rFonts w:cs="宋体"/>
                <w:kern w:val="0"/>
                <w:sz w:val="21"/>
                <w:szCs w:val="21"/>
              </w:rPr>
              <w:t>车辆检测：支持车牌识别，车型/车标/车身颜色/车牌颜色识别</w:t>
            </w:r>
            <w:r>
              <w:rPr>
                <w:rFonts w:cs="宋体"/>
                <w:kern w:val="0"/>
                <w:sz w:val="21"/>
                <w:szCs w:val="21"/>
              </w:rPr>
              <w:br w:type="textWrapping"/>
            </w:r>
            <w:r>
              <w:rPr>
                <w:rFonts w:cs="宋体"/>
                <w:kern w:val="0"/>
                <w:sz w:val="21"/>
                <w:szCs w:val="21"/>
              </w:rPr>
              <w:t>混行检测：检测正向或逆向行驶的车辆以及行人和非机动车，自动对车辆牌照进行识别，可以抓拍无车牌的车辆图片。</w:t>
            </w:r>
            <w:r>
              <w:rPr>
                <w:rFonts w:cs="宋体"/>
                <w:kern w:val="0"/>
                <w:sz w:val="21"/>
                <w:szCs w:val="21"/>
              </w:rPr>
              <w:br w:type="textWrapping"/>
            </w:r>
            <w:r>
              <w:rPr>
                <w:rFonts w:cs="宋体"/>
                <w:kern w:val="0"/>
                <w:sz w:val="21"/>
                <w:szCs w:val="21"/>
              </w:rPr>
              <w:t>智能补光:补光灯集成白光灯和红外灯，分为白光模式和混合模式，白光模式只开启白光灯，混合模式下是开启红外，另外用白光做补偿。</w:t>
            </w:r>
            <w:r>
              <w:rPr>
                <w:rFonts w:cs="宋体"/>
                <w:kern w:val="0"/>
                <w:sz w:val="21"/>
                <w:szCs w:val="21"/>
              </w:rPr>
              <w:br w:type="textWrapping"/>
            </w:r>
            <w:r>
              <w:rPr>
                <w:rFonts w:cs="宋体"/>
                <w:kern w:val="0"/>
                <w:sz w:val="21"/>
                <w:szCs w:val="21"/>
              </w:rPr>
              <w:t>最低照度:彩色:0.002 Lux @ (F1.2, AGC ON) 黑白:0.0002 Lux @ (F1.2, AGC ON), 0 Lux with IR</w:t>
            </w:r>
            <w:r>
              <w:rPr>
                <w:rFonts w:cs="宋体"/>
                <w:kern w:val="0"/>
                <w:sz w:val="21"/>
                <w:szCs w:val="21"/>
              </w:rPr>
              <w:br w:type="textWrapping"/>
            </w:r>
            <w:r>
              <w:rPr>
                <w:rFonts w:cs="宋体"/>
                <w:kern w:val="0"/>
                <w:sz w:val="21"/>
                <w:szCs w:val="21"/>
              </w:rPr>
              <w:t>镜头:（2.8-12mm）@F1.2，水平视场角：100.7°~39.2°</w:t>
            </w:r>
            <w:r>
              <w:rPr>
                <w:rFonts w:cs="宋体"/>
                <w:kern w:val="0"/>
                <w:sz w:val="21"/>
                <w:szCs w:val="21"/>
              </w:rPr>
              <w:br w:type="textWrapping"/>
            </w:r>
            <w:r>
              <w:rPr>
                <w:rFonts w:cs="宋体"/>
                <w:kern w:val="0"/>
                <w:sz w:val="21"/>
                <w:szCs w:val="21"/>
              </w:rPr>
              <w:t>宽动态:超宽动态范围达120dB，室内逆光环境下监控</w:t>
            </w:r>
            <w:r>
              <w:rPr>
                <w:rFonts w:cs="宋体"/>
                <w:kern w:val="0"/>
                <w:sz w:val="21"/>
                <w:szCs w:val="21"/>
              </w:rPr>
              <w:br w:type="textWrapping"/>
            </w:r>
            <w:r>
              <w:rPr>
                <w:rFonts w:cs="宋体"/>
                <w:kern w:val="0"/>
                <w:sz w:val="21"/>
                <w:szCs w:val="21"/>
              </w:rPr>
              <w:t>视频压缩标准:H.265/H.264 / MJPEG</w:t>
            </w:r>
            <w:r>
              <w:rPr>
                <w:rFonts w:cs="宋体"/>
                <w:kern w:val="0"/>
                <w:sz w:val="21"/>
                <w:szCs w:val="21"/>
              </w:rPr>
              <w:br w:type="textWrapping"/>
            </w:r>
            <w:r>
              <w:rPr>
                <w:rFonts w:cs="宋体"/>
                <w:kern w:val="0"/>
                <w:sz w:val="21"/>
                <w:szCs w:val="21"/>
              </w:rPr>
              <w:t>最大图像尺寸:4096 x 2160</w:t>
            </w:r>
            <w:r>
              <w:rPr>
                <w:rFonts w:cs="宋体"/>
                <w:kern w:val="0"/>
                <w:sz w:val="21"/>
                <w:szCs w:val="21"/>
              </w:rPr>
              <w:br w:type="textWrapping"/>
            </w:r>
            <w:r>
              <w:rPr>
                <w:rFonts w:cs="宋体"/>
                <w:kern w:val="0"/>
                <w:sz w:val="21"/>
                <w:szCs w:val="21"/>
              </w:rPr>
              <w:t xml:space="preserve">存储功能:支持Micro SD(即TF卡)/Micro SDHC /Micro SDXC卡(128G)断网本地存储，NAS(NFS、SMB/CIFS均支持) </w:t>
            </w:r>
            <w:r>
              <w:rPr>
                <w:rFonts w:cs="宋体"/>
                <w:kern w:val="0"/>
                <w:sz w:val="21"/>
                <w:szCs w:val="21"/>
              </w:rPr>
              <w:br w:type="textWrapping"/>
            </w:r>
            <w:r>
              <w:rPr>
                <w:rFonts w:cs="宋体"/>
                <w:kern w:val="0"/>
                <w:sz w:val="21"/>
                <w:szCs w:val="21"/>
              </w:rPr>
              <w:t>通讯接口:1 个RJ45 10M / 100M /1000M自适应以太网口</w:t>
            </w:r>
            <w:r>
              <w:rPr>
                <w:rFonts w:cs="宋体"/>
                <w:kern w:val="0"/>
                <w:sz w:val="21"/>
                <w:szCs w:val="21"/>
              </w:rPr>
              <w:br w:type="textWrapping"/>
            </w:r>
            <w:r>
              <w:rPr>
                <w:rFonts w:cs="宋体"/>
                <w:kern w:val="0"/>
                <w:sz w:val="21"/>
                <w:szCs w:val="21"/>
              </w:rPr>
              <w:t>视频输出:1Vp-p Composite Output(75Ω/CVBS)</w:t>
            </w:r>
            <w:r>
              <w:rPr>
                <w:rFonts w:cs="宋体"/>
                <w:kern w:val="0"/>
                <w:sz w:val="21"/>
                <w:szCs w:val="21"/>
              </w:rPr>
              <w:br w:type="textWrapping"/>
            </w:r>
            <w:r>
              <w:rPr>
                <w:rFonts w:cs="宋体"/>
                <w:kern w:val="0"/>
                <w:sz w:val="21"/>
                <w:szCs w:val="21"/>
              </w:rPr>
              <w:t>工作温度和湿度:-30℃~60℃,湿度小于95%(无凝结)</w:t>
            </w:r>
            <w:r>
              <w:rPr>
                <w:rFonts w:cs="宋体"/>
                <w:kern w:val="0"/>
                <w:sz w:val="21"/>
                <w:szCs w:val="21"/>
              </w:rPr>
              <w:br w:type="textWrapping"/>
            </w:r>
            <w:r>
              <w:rPr>
                <w:rFonts w:cs="宋体"/>
                <w:kern w:val="0"/>
                <w:sz w:val="21"/>
                <w:szCs w:val="21"/>
              </w:rPr>
              <w:t>电源供应:DC：12V；PoE：802.3at，class 4</w:t>
            </w:r>
            <w:r>
              <w:rPr>
                <w:rFonts w:cs="宋体"/>
                <w:kern w:val="0"/>
                <w:sz w:val="21"/>
                <w:szCs w:val="21"/>
              </w:rPr>
              <w:br w:type="textWrapping"/>
            </w:r>
            <w:r>
              <w:rPr>
                <w:rFonts w:cs="宋体"/>
                <w:kern w:val="0"/>
                <w:sz w:val="21"/>
                <w:szCs w:val="21"/>
              </w:rPr>
              <w:t>电源接口类型:三芯电源接口</w:t>
            </w:r>
            <w:r>
              <w:rPr>
                <w:rFonts w:cs="宋体"/>
                <w:kern w:val="0"/>
                <w:sz w:val="21"/>
                <w:szCs w:val="21"/>
              </w:rPr>
              <w:br w:type="textWrapping"/>
            </w:r>
            <w:r>
              <w:rPr>
                <w:rFonts w:cs="宋体"/>
                <w:kern w:val="0"/>
                <w:sz w:val="21"/>
                <w:szCs w:val="21"/>
              </w:rPr>
              <w:t>功耗:DC12V, 1.6A, Max: 19W；PoE(802.3at,42.5-57V), 0.4-0.5A, MAX: 20W</w:t>
            </w:r>
            <w:r>
              <w:rPr>
                <w:rFonts w:cs="宋体"/>
                <w:kern w:val="0"/>
                <w:sz w:val="21"/>
                <w:szCs w:val="21"/>
              </w:rPr>
              <w:br w:type="textWrapping"/>
            </w:r>
            <w:r>
              <w:rPr>
                <w:rFonts w:cs="宋体"/>
                <w:kern w:val="0"/>
                <w:sz w:val="21"/>
                <w:szCs w:val="21"/>
              </w:rPr>
              <w:t>防护等级:IP66</w:t>
            </w:r>
            <w:r>
              <w:rPr>
                <w:rFonts w:cs="宋体"/>
                <w:kern w:val="0"/>
                <w:sz w:val="21"/>
                <w:szCs w:val="21"/>
              </w:rPr>
              <w:br w:type="textWrapping"/>
            </w:r>
            <w:r>
              <w:rPr>
                <w:rFonts w:cs="宋体"/>
                <w:kern w:val="0"/>
                <w:sz w:val="21"/>
                <w:szCs w:val="21"/>
              </w:rPr>
              <w:t>补光距离:白光：30米（人脸5米）;混合：30米（人脸7米）</w:t>
            </w:r>
            <w:r>
              <w:rPr>
                <w:rFonts w:cs="宋体"/>
                <w:kern w:val="0"/>
                <w:sz w:val="21"/>
                <w:szCs w:val="21"/>
              </w:rPr>
              <w:br w:type="textWrapping"/>
            </w:r>
            <w:r>
              <w:rPr>
                <w:rFonts w:cs="宋体"/>
                <w:kern w:val="0"/>
                <w:sz w:val="21"/>
                <w:szCs w:val="21"/>
              </w:rPr>
              <w:t>红外波长:750nm</w:t>
            </w:r>
            <w:r>
              <w:rPr>
                <w:rFonts w:cs="宋体"/>
                <w:kern w:val="0"/>
                <w:sz w:val="21"/>
                <w:szCs w:val="21"/>
              </w:rPr>
              <w:br w:type="textWrapping"/>
            </w:r>
            <w:r>
              <w:rPr>
                <w:rFonts w:cs="宋体"/>
                <w:kern w:val="0"/>
                <w:sz w:val="21"/>
                <w:szCs w:val="21"/>
              </w:rPr>
              <w:t>尺寸(mm):206.5×103.9×100</w:t>
            </w:r>
            <w:r>
              <w:rPr>
                <w:rFonts w:cs="宋体"/>
                <w:kern w:val="0"/>
                <w:sz w:val="21"/>
                <w:szCs w:val="21"/>
              </w:rPr>
              <w:br w:type="textWrapping"/>
            </w:r>
            <w:r>
              <w:rPr>
                <w:rFonts w:cs="宋体"/>
                <w:kern w:val="0"/>
                <w:sz w:val="21"/>
                <w:szCs w:val="21"/>
              </w:rPr>
              <w:t>重量:1360g</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12</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6794"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云台筒机</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800万1/1.8” CMOS  AI轻智能抓拍筒型网络摄像机</w:t>
            </w:r>
            <w:r>
              <w:rPr>
                <w:rFonts w:cs="宋体"/>
                <w:kern w:val="0"/>
                <w:sz w:val="21"/>
                <w:szCs w:val="21"/>
              </w:rPr>
              <w:br w:type="textWrapping"/>
            </w:r>
            <w:r>
              <w:rPr>
                <w:rFonts w:cs="宋体"/>
                <w:kern w:val="0"/>
                <w:sz w:val="21"/>
                <w:szCs w:val="21"/>
              </w:rPr>
              <w:t>人脸抓拍:</w:t>
            </w:r>
            <w:r>
              <w:rPr>
                <w:rFonts w:cs="宋体"/>
                <w:kern w:val="0"/>
                <w:sz w:val="21"/>
                <w:szCs w:val="21"/>
              </w:rPr>
              <w:br w:type="textWrapping"/>
            </w:r>
            <w:r>
              <w:rPr>
                <w:rFonts w:cs="宋体"/>
                <w:kern w:val="0"/>
                <w:sz w:val="21"/>
                <w:szCs w:val="21"/>
              </w:rPr>
              <w:t>a)支持，同时检测30张人脸，对运动人脸进行检测、跟踪、抓拍、评分、筛选，输出最优的人脸抓图</w:t>
            </w:r>
            <w:r>
              <w:rPr>
                <w:rFonts w:cs="宋体"/>
                <w:kern w:val="0"/>
                <w:sz w:val="21"/>
                <w:szCs w:val="21"/>
              </w:rPr>
              <w:br w:type="textWrapping"/>
            </w:r>
            <w:r>
              <w:rPr>
                <w:rFonts w:cs="宋体"/>
                <w:kern w:val="0"/>
                <w:sz w:val="21"/>
                <w:szCs w:val="21"/>
              </w:rPr>
              <w:t>b)支持人脸小图自定义可设置。</w:t>
            </w:r>
            <w:r>
              <w:rPr>
                <w:rFonts w:cs="宋体"/>
                <w:kern w:val="0"/>
                <w:sz w:val="21"/>
                <w:szCs w:val="21"/>
              </w:rPr>
              <w:br w:type="textWrapping"/>
            </w:r>
            <w:r>
              <w:rPr>
                <w:rFonts w:cs="宋体"/>
                <w:kern w:val="0"/>
                <w:sz w:val="21"/>
                <w:szCs w:val="21"/>
              </w:rPr>
              <w:t>c)支持快速抓拍和最佳抓拍。</w:t>
            </w:r>
            <w:r>
              <w:rPr>
                <w:rFonts w:cs="宋体"/>
                <w:kern w:val="0"/>
                <w:sz w:val="21"/>
                <w:szCs w:val="21"/>
              </w:rPr>
              <w:br w:type="textWrapping"/>
            </w:r>
            <w:r>
              <w:rPr>
                <w:rFonts w:cs="宋体"/>
                <w:kern w:val="0"/>
                <w:sz w:val="21"/>
                <w:szCs w:val="21"/>
              </w:rPr>
              <w:t>道路监控:</w:t>
            </w:r>
            <w:r>
              <w:rPr>
                <w:rFonts w:cs="宋体"/>
                <w:kern w:val="0"/>
                <w:sz w:val="21"/>
                <w:szCs w:val="21"/>
              </w:rPr>
              <w:br w:type="textWrapping"/>
            </w:r>
            <w:r>
              <w:rPr>
                <w:rFonts w:cs="宋体"/>
                <w:kern w:val="0"/>
                <w:sz w:val="21"/>
                <w:szCs w:val="21"/>
              </w:rPr>
              <w:t>车辆检测：支持车牌识别，车型/车标/车身颜色/车牌颜色识别</w:t>
            </w:r>
            <w:r>
              <w:rPr>
                <w:rFonts w:cs="宋体"/>
                <w:kern w:val="0"/>
                <w:sz w:val="21"/>
                <w:szCs w:val="21"/>
              </w:rPr>
              <w:br w:type="textWrapping"/>
            </w:r>
            <w:r>
              <w:rPr>
                <w:rFonts w:cs="宋体"/>
                <w:kern w:val="0"/>
                <w:sz w:val="21"/>
                <w:szCs w:val="21"/>
              </w:rPr>
              <w:t>混行检测：检测正向或逆向行驶的车辆以及行人和非机动车，自动对车辆牌照进行识别，可以抓拍无车牌的车辆图片。</w:t>
            </w:r>
            <w:r>
              <w:rPr>
                <w:rFonts w:cs="宋体"/>
                <w:kern w:val="0"/>
                <w:sz w:val="21"/>
                <w:szCs w:val="21"/>
              </w:rPr>
              <w:br w:type="textWrapping"/>
            </w:r>
            <w:r>
              <w:rPr>
                <w:rFonts w:cs="宋体"/>
                <w:kern w:val="0"/>
                <w:sz w:val="21"/>
                <w:szCs w:val="21"/>
              </w:rPr>
              <w:t>智能补光:补光灯集成白光灯和红外灯，分为白光模式和混合模式，白光模式只开启白光灯，混合模式下是开启红外，另外用白光做补偿。</w:t>
            </w:r>
            <w:r>
              <w:rPr>
                <w:rFonts w:cs="宋体"/>
                <w:kern w:val="0"/>
                <w:sz w:val="21"/>
                <w:szCs w:val="21"/>
              </w:rPr>
              <w:br w:type="textWrapping"/>
            </w:r>
            <w:r>
              <w:rPr>
                <w:rFonts w:cs="宋体"/>
                <w:kern w:val="0"/>
                <w:sz w:val="21"/>
                <w:szCs w:val="21"/>
              </w:rPr>
              <w:t>最低照度:彩色:0.002 Lux @ (F1.2, AGC ON) 黑白:0.0002 Lux @ (F1.2, AGC ON), 0 Lux with IR</w:t>
            </w:r>
            <w:r>
              <w:rPr>
                <w:rFonts w:cs="宋体"/>
                <w:kern w:val="0"/>
                <w:sz w:val="21"/>
                <w:szCs w:val="21"/>
              </w:rPr>
              <w:br w:type="textWrapping"/>
            </w:r>
            <w:r>
              <w:rPr>
                <w:rFonts w:cs="宋体"/>
                <w:kern w:val="0"/>
                <w:sz w:val="21"/>
                <w:szCs w:val="21"/>
              </w:rPr>
              <w:t>镜头:（8-32mm）@F1.6，水平视场角：39°~15.6°</w:t>
            </w:r>
            <w:r>
              <w:rPr>
                <w:rFonts w:cs="宋体"/>
                <w:kern w:val="0"/>
                <w:sz w:val="21"/>
                <w:szCs w:val="21"/>
              </w:rPr>
              <w:br w:type="textWrapping"/>
            </w:r>
            <w:r>
              <w:rPr>
                <w:rFonts w:cs="宋体"/>
                <w:kern w:val="0"/>
                <w:sz w:val="21"/>
                <w:szCs w:val="21"/>
              </w:rPr>
              <w:t>宽动态:超宽动态范围达120dB，室内逆光环境下监控</w:t>
            </w:r>
            <w:r>
              <w:rPr>
                <w:rFonts w:cs="宋体"/>
                <w:kern w:val="0"/>
                <w:sz w:val="21"/>
                <w:szCs w:val="21"/>
              </w:rPr>
              <w:br w:type="textWrapping"/>
            </w:r>
            <w:r>
              <w:rPr>
                <w:rFonts w:cs="宋体"/>
                <w:kern w:val="0"/>
                <w:sz w:val="21"/>
                <w:szCs w:val="21"/>
              </w:rPr>
              <w:t>视频压缩标准:H.265/H.264 / MJPEG</w:t>
            </w:r>
            <w:r>
              <w:rPr>
                <w:rFonts w:cs="宋体"/>
                <w:kern w:val="0"/>
                <w:sz w:val="21"/>
                <w:szCs w:val="21"/>
              </w:rPr>
              <w:br w:type="textWrapping"/>
            </w:r>
            <w:r>
              <w:rPr>
                <w:rFonts w:cs="宋体"/>
                <w:kern w:val="0"/>
                <w:sz w:val="21"/>
                <w:szCs w:val="21"/>
              </w:rPr>
              <w:t>最大图像尺寸:4096 x 2160</w:t>
            </w:r>
            <w:r>
              <w:rPr>
                <w:rFonts w:cs="宋体"/>
                <w:kern w:val="0"/>
                <w:sz w:val="21"/>
                <w:szCs w:val="21"/>
              </w:rPr>
              <w:br w:type="textWrapping"/>
            </w:r>
            <w:r>
              <w:rPr>
                <w:rFonts w:cs="宋体"/>
                <w:kern w:val="0"/>
                <w:sz w:val="21"/>
                <w:szCs w:val="21"/>
              </w:rPr>
              <w:t xml:space="preserve">存储功能:支持Micro SD(即TF卡)/Micro SDHC /Micro SDXC卡(128G)断网本地存储，NAS(NFS、SMB/CIFS均支持) </w:t>
            </w:r>
            <w:r>
              <w:rPr>
                <w:rFonts w:cs="宋体"/>
                <w:kern w:val="0"/>
                <w:sz w:val="21"/>
                <w:szCs w:val="21"/>
              </w:rPr>
              <w:br w:type="textWrapping"/>
            </w:r>
            <w:r>
              <w:rPr>
                <w:rFonts w:cs="宋体"/>
                <w:kern w:val="0"/>
                <w:sz w:val="21"/>
                <w:szCs w:val="21"/>
              </w:rPr>
              <w:t>通讯接口:1 个RJ45 10M / 100M /1000M自适应以太网口</w:t>
            </w:r>
            <w:r>
              <w:rPr>
                <w:rFonts w:cs="宋体"/>
                <w:kern w:val="0"/>
                <w:sz w:val="21"/>
                <w:szCs w:val="21"/>
              </w:rPr>
              <w:br w:type="textWrapping"/>
            </w:r>
            <w:r>
              <w:rPr>
                <w:rFonts w:cs="宋体"/>
                <w:kern w:val="0"/>
                <w:sz w:val="21"/>
                <w:szCs w:val="21"/>
              </w:rPr>
              <w:t>视频输出:1Vp-p Composite Output(75Ω/CVBS)</w:t>
            </w:r>
            <w:r>
              <w:rPr>
                <w:rFonts w:cs="宋体"/>
                <w:kern w:val="0"/>
                <w:sz w:val="21"/>
                <w:szCs w:val="21"/>
              </w:rPr>
              <w:br w:type="textWrapping"/>
            </w:r>
            <w:r>
              <w:rPr>
                <w:rFonts w:cs="宋体"/>
                <w:kern w:val="0"/>
                <w:sz w:val="21"/>
                <w:szCs w:val="21"/>
              </w:rPr>
              <w:t>工作温度和湿度:-30℃~60℃,湿度小于95%(无凝结)</w:t>
            </w:r>
            <w:r>
              <w:rPr>
                <w:rFonts w:cs="宋体"/>
                <w:kern w:val="0"/>
                <w:sz w:val="21"/>
                <w:szCs w:val="21"/>
              </w:rPr>
              <w:br w:type="textWrapping"/>
            </w:r>
            <w:r>
              <w:rPr>
                <w:rFonts w:cs="宋体"/>
                <w:kern w:val="0"/>
                <w:sz w:val="21"/>
                <w:szCs w:val="21"/>
              </w:rPr>
              <w:t>电源供应:DC：12V；PoE：802.3at，class 4</w:t>
            </w:r>
            <w:r>
              <w:rPr>
                <w:rFonts w:cs="宋体"/>
                <w:kern w:val="0"/>
                <w:sz w:val="21"/>
                <w:szCs w:val="21"/>
              </w:rPr>
              <w:br w:type="textWrapping"/>
            </w:r>
            <w:r>
              <w:rPr>
                <w:rFonts w:cs="宋体"/>
                <w:kern w:val="0"/>
                <w:sz w:val="21"/>
                <w:szCs w:val="21"/>
              </w:rPr>
              <w:t>电源接口类型:三芯电源接口</w:t>
            </w:r>
            <w:r>
              <w:rPr>
                <w:rFonts w:cs="宋体"/>
                <w:kern w:val="0"/>
                <w:sz w:val="21"/>
                <w:szCs w:val="21"/>
              </w:rPr>
              <w:br w:type="textWrapping"/>
            </w:r>
            <w:r>
              <w:rPr>
                <w:rFonts w:cs="宋体"/>
                <w:kern w:val="0"/>
                <w:sz w:val="21"/>
                <w:szCs w:val="21"/>
              </w:rPr>
              <w:t>功耗:DC12V, 1.6A, Max: 19W；PoE(802.3at,42.5-57V), 0.4-0.5A, MAX: 20W</w:t>
            </w:r>
            <w:r>
              <w:rPr>
                <w:rFonts w:cs="宋体"/>
                <w:kern w:val="0"/>
                <w:sz w:val="21"/>
                <w:szCs w:val="21"/>
              </w:rPr>
              <w:br w:type="textWrapping"/>
            </w:r>
            <w:r>
              <w:rPr>
                <w:rFonts w:cs="宋体"/>
                <w:kern w:val="0"/>
                <w:sz w:val="21"/>
                <w:szCs w:val="21"/>
              </w:rPr>
              <w:t>防护等级:IP66</w:t>
            </w:r>
            <w:r>
              <w:rPr>
                <w:rFonts w:cs="宋体"/>
                <w:kern w:val="0"/>
                <w:sz w:val="21"/>
                <w:szCs w:val="21"/>
              </w:rPr>
              <w:br w:type="textWrapping"/>
            </w:r>
            <w:r>
              <w:rPr>
                <w:rFonts w:cs="宋体"/>
                <w:kern w:val="0"/>
                <w:sz w:val="21"/>
                <w:szCs w:val="21"/>
              </w:rPr>
              <w:t>补光距离:白光：80米（人脸10米）;混合：80米（人脸15米）</w:t>
            </w:r>
            <w:r>
              <w:rPr>
                <w:rFonts w:cs="宋体"/>
                <w:kern w:val="0"/>
                <w:sz w:val="21"/>
                <w:szCs w:val="21"/>
              </w:rPr>
              <w:br w:type="textWrapping"/>
            </w:r>
            <w:r>
              <w:rPr>
                <w:rFonts w:cs="宋体"/>
                <w:kern w:val="0"/>
                <w:sz w:val="21"/>
                <w:szCs w:val="21"/>
              </w:rPr>
              <w:t>红外波长:750nm</w:t>
            </w:r>
            <w:r>
              <w:rPr>
                <w:rFonts w:cs="宋体"/>
                <w:kern w:val="0"/>
                <w:sz w:val="21"/>
                <w:szCs w:val="21"/>
              </w:rPr>
              <w:br w:type="textWrapping"/>
            </w:r>
            <w:r>
              <w:rPr>
                <w:rFonts w:cs="宋体"/>
                <w:kern w:val="0"/>
                <w:sz w:val="21"/>
                <w:szCs w:val="21"/>
              </w:rPr>
              <w:t>尺寸(mm):206.5×103.9×100</w:t>
            </w:r>
            <w:r>
              <w:rPr>
                <w:rFonts w:cs="宋体"/>
                <w:kern w:val="0"/>
                <w:sz w:val="21"/>
                <w:szCs w:val="21"/>
              </w:rPr>
              <w:br w:type="textWrapping"/>
            </w:r>
            <w:r>
              <w:rPr>
                <w:rFonts w:cs="宋体"/>
                <w:kern w:val="0"/>
                <w:sz w:val="21"/>
                <w:szCs w:val="21"/>
              </w:rPr>
              <w:t>重量:1360g</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12</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132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ISC综合安防平台</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1、支持系统内的组织、人员、车辆、用户、角色、认证、区域等的配置和管理；</w:t>
            </w:r>
            <w:r>
              <w:rPr>
                <w:rFonts w:cs="宋体"/>
                <w:kern w:val="0"/>
                <w:sz w:val="21"/>
                <w:szCs w:val="21"/>
              </w:rPr>
              <w:br w:type="textWrapping"/>
            </w:r>
            <w:r>
              <w:rPr>
                <w:rFonts w:cs="宋体"/>
                <w:kern w:val="0"/>
                <w:sz w:val="21"/>
                <w:szCs w:val="21"/>
              </w:rPr>
              <w:t>2、包含图上监控、事件联动、视频网管、门禁网管、紧急报警、违停球接入等功能。</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66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视频监控管理</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1、支持前端编码设备的集中管理；</w:t>
            </w:r>
            <w:r>
              <w:rPr>
                <w:rFonts w:cs="宋体"/>
                <w:kern w:val="0"/>
                <w:sz w:val="21"/>
                <w:szCs w:val="21"/>
              </w:rPr>
              <w:br w:type="textWrapping"/>
            </w:r>
            <w:r>
              <w:rPr>
                <w:rFonts w:cs="宋体"/>
                <w:kern w:val="0"/>
                <w:sz w:val="21"/>
                <w:szCs w:val="21"/>
              </w:rPr>
              <w:t>2、支持视频预览、录像回放、图片查看、解码上墙等功能；</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200</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路</w:t>
            </w:r>
          </w:p>
        </w:tc>
      </w:tr>
      <w:tr>
        <w:tblPrEx>
          <w:tblCellMar>
            <w:top w:w="0" w:type="dxa"/>
            <w:left w:w="108" w:type="dxa"/>
            <w:bottom w:w="0" w:type="dxa"/>
            <w:right w:w="108" w:type="dxa"/>
          </w:tblCellMar>
        </w:tblPrEx>
        <w:trPr>
          <w:trHeight w:val="4877"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门禁可视对讲</w:t>
            </w: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10寸人脸识别门口机</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摄像头：CMOS低照度200W像素双目摄像机；</w:t>
            </w:r>
            <w:r>
              <w:rPr>
                <w:rFonts w:cs="宋体"/>
                <w:kern w:val="0"/>
                <w:sz w:val="21"/>
                <w:szCs w:val="21"/>
              </w:rPr>
              <w:br w:type="textWrapping"/>
            </w:r>
            <w:r>
              <w:rPr>
                <w:rFonts w:cs="宋体"/>
                <w:kern w:val="0"/>
                <w:sz w:val="21"/>
                <w:szCs w:val="21"/>
              </w:rPr>
              <w:t>视频压缩标准:H.264，分辨率：1920*1080；</w:t>
            </w:r>
            <w:r>
              <w:rPr>
                <w:rFonts w:cs="宋体"/>
                <w:kern w:val="0"/>
                <w:sz w:val="21"/>
                <w:szCs w:val="21"/>
              </w:rPr>
              <w:br w:type="textWrapping"/>
            </w:r>
            <w:r>
              <w:rPr>
                <w:rFonts w:cs="宋体"/>
                <w:kern w:val="0"/>
                <w:sz w:val="21"/>
                <w:szCs w:val="21"/>
              </w:rPr>
              <w:t>深度学习人脸识别算法，人脸白名单容量：3000张；</w:t>
            </w:r>
            <w:r>
              <w:rPr>
                <w:rFonts w:cs="宋体"/>
                <w:kern w:val="0"/>
                <w:sz w:val="21"/>
                <w:szCs w:val="21"/>
              </w:rPr>
              <w:br w:type="textWrapping"/>
            </w:r>
            <w:r>
              <w:rPr>
                <w:rFonts w:cs="宋体"/>
                <w:kern w:val="0"/>
                <w:sz w:val="21"/>
                <w:szCs w:val="21"/>
              </w:rPr>
              <w:t>显示屏：10寸彩色触摸IPS屏，分辨率：1024*600；</w:t>
            </w:r>
            <w:r>
              <w:rPr>
                <w:rFonts w:cs="宋体"/>
                <w:kern w:val="0"/>
                <w:sz w:val="21"/>
                <w:szCs w:val="21"/>
              </w:rPr>
              <w:br w:type="textWrapping"/>
            </w:r>
            <w:r>
              <w:rPr>
                <w:rFonts w:cs="宋体"/>
                <w:kern w:val="0"/>
                <w:sz w:val="21"/>
                <w:szCs w:val="21"/>
              </w:rPr>
              <w:t xml:space="preserve">操作方式：电容触摸屏； </w:t>
            </w:r>
            <w:r>
              <w:rPr>
                <w:rFonts w:cs="宋体"/>
                <w:kern w:val="0"/>
                <w:sz w:val="21"/>
                <w:szCs w:val="21"/>
              </w:rPr>
              <w:br w:type="textWrapping"/>
            </w:r>
            <w:r>
              <w:rPr>
                <w:rFonts w:cs="宋体"/>
                <w:kern w:val="0"/>
                <w:sz w:val="21"/>
                <w:szCs w:val="21"/>
              </w:rPr>
              <w:t>操作界面：液晶显示，简易菜单；</w:t>
            </w:r>
            <w:r>
              <w:rPr>
                <w:rFonts w:cs="宋体"/>
                <w:kern w:val="0"/>
                <w:sz w:val="21"/>
                <w:szCs w:val="21"/>
              </w:rPr>
              <w:br w:type="textWrapping"/>
            </w:r>
            <w:r>
              <w:rPr>
                <w:rFonts w:cs="宋体"/>
                <w:kern w:val="0"/>
                <w:sz w:val="21"/>
                <w:szCs w:val="21"/>
              </w:rPr>
              <w:t xml:space="preserve">音频输入和输出：内置全指向麦克风和扬声器； </w:t>
            </w:r>
            <w:r>
              <w:rPr>
                <w:rFonts w:cs="宋体"/>
                <w:kern w:val="0"/>
                <w:sz w:val="21"/>
                <w:szCs w:val="21"/>
              </w:rPr>
              <w:br w:type="textWrapping"/>
            </w:r>
            <w:r>
              <w:rPr>
                <w:rFonts w:cs="宋体"/>
                <w:kern w:val="0"/>
                <w:sz w:val="21"/>
                <w:szCs w:val="21"/>
              </w:rPr>
              <w:t>内置IC卡读卡器；</w:t>
            </w:r>
            <w:r>
              <w:rPr>
                <w:rFonts w:cs="宋体"/>
                <w:kern w:val="0"/>
                <w:sz w:val="21"/>
                <w:szCs w:val="21"/>
              </w:rPr>
              <w:br w:type="textWrapping"/>
            </w:r>
            <w:r>
              <w:rPr>
                <w:rFonts w:cs="宋体"/>
                <w:kern w:val="0"/>
                <w:sz w:val="21"/>
                <w:szCs w:val="21"/>
              </w:rPr>
              <w:t>支持二维码开门；</w:t>
            </w:r>
            <w:r>
              <w:rPr>
                <w:rFonts w:cs="宋体"/>
                <w:kern w:val="0"/>
                <w:sz w:val="21"/>
                <w:szCs w:val="21"/>
              </w:rPr>
              <w:br w:type="textWrapping"/>
            </w:r>
            <w:r>
              <w:rPr>
                <w:rFonts w:cs="宋体"/>
                <w:kern w:val="0"/>
                <w:sz w:val="21"/>
                <w:szCs w:val="21"/>
              </w:rPr>
              <w:t xml:space="preserve">RS485：1个，RS485半双工； </w:t>
            </w:r>
            <w:r>
              <w:rPr>
                <w:rFonts w:cs="宋体"/>
                <w:kern w:val="0"/>
                <w:sz w:val="21"/>
                <w:szCs w:val="21"/>
              </w:rPr>
              <w:br w:type="textWrapping"/>
            </w:r>
            <w:r>
              <w:rPr>
                <w:rFonts w:cs="宋体"/>
                <w:kern w:val="0"/>
                <w:sz w:val="21"/>
                <w:szCs w:val="21"/>
              </w:rPr>
              <w:t>网络参数:10M/100M/1000M自适应,支持TCP/IP、SIP、RTSP等协议；</w:t>
            </w:r>
            <w:r>
              <w:rPr>
                <w:rFonts w:cs="宋体"/>
                <w:kern w:val="0"/>
                <w:sz w:val="21"/>
                <w:szCs w:val="21"/>
              </w:rPr>
              <w:br w:type="textWrapping"/>
            </w:r>
            <w:r>
              <w:rPr>
                <w:rFonts w:cs="宋体"/>
                <w:kern w:val="0"/>
                <w:sz w:val="21"/>
                <w:szCs w:val="21"/>
              </w:rPr>
              <w:t>IO输入：3个；</w:t>
            </w:r>
            <w:r>
              <w:rPr>
                <w:rFonts w:cs="宋体"/>
                <w:kern w:val="0"/>
                <w:sz w:val="21"/>
                <w:szCs w:val="21"/>
              </w:rPr>
              <w:br w:type="textWrapping"/>
            </w:r>
            <w:r>
              <w:rPr>
                <w:rFonts w:cs="宋体"/>
                <w:kern w:val="0"/>
                <w:sz w:val="21"/>
                <w:szCs w:val="21"/>
              </w:rPr>
              <w:t>IO输出：2个；</w:t>
            </w:r>
            <w:r>
              <w:rPr>
                <w:rFonts w:cs="宋体"/>
                <w:kern w:val="0"/>
                <w:sz w:val="21"/>
                <w:szCs w:val="21"/>
              </w:rPr>
              <w:br w:type="textWrapping"/>
            </w:r>
            <w:r>
              <w:rPr>
                <w:rFonts w:cs="宋体"/>
                <w:kern w:val="0"/>
                <w:sz w:val="21"/>
                <w:szCs w:val="21"/>
              </w:rPr>
              <w:t>本地发卡：支持；</w:t>
            </w:r>
            <w:r>
              <w:rPr>
                <w:rFonts w:cs="宋体"/>
                <w:kern w:val="0"/>
                <w:sz w:val="21"/>
                <w:szCs w:val="21"/>
              </w:rPr>
              <w:br w:type="textWrapping"/>
            </w:r>
            <w:r>
              <w:rPr>
                <w:rFonts w:cs="宋体"/>
                <w:kern w:val="0"/>
                <w:sz w:val="21"/>
                <w:szCs w:val="21"/>
              </w:rPr>
              <w:t>本地录入人脸：支持；</w:t>
            </w:r>
            <w:r>
              <w:rPr>
                <w:rFonts w:cs="宋体"/>
                <w:kern w:val="0"/>
                <w:sz w:val="21"/>
                <w:szCs w:val="21"/>
              </w:rPr>
              <w:br w:type="textWrapping"/>
            </w:r>
            <w:r>
              <w:rPr>
                <w:rFonts w:cs="宋体"/>
                <w:kern w:val="0"/>
                <w:sz w:val="21"/>
                <w:szCs w:val="21"/>
              </w:rPr>
              <w:t>外形尺寸：413mm*175mm*48mm（长*宽*高）。</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26</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66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10寸人脸识别门口机配件</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适用DS-KD9613-A、DS-KD9613-AF机型，包括底盒、螺丝包；预埋尺寸：404mm*175mm*40mm；</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26</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3707"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10寸屏室内机</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显示屏：10.1寸彩色触摸TFT LCD；</w:t>
            </w:r>
            <w:r>
              <w:rPr>
                <w:rFonts w:cs="宋体"/>
                <w:kern w:val="0"/>
                <w:sz w:val="21"/>
                <w:szCs w:val="21"/>
              </w:rPr>
              <w:br w:type="textWrapping"/>
            </w:r>
            <w:r>
              <w:rPr>
                <w:rFonts w:cs="宋体"/>
                <w:kern w:val="0"/>
                <w:sz w:val="21"/>
                <w:szCs w:val="21"/>
              </w:rPr>
              <w:t>显示屏分辨率：1024*600；</w:t>
            </w:r>
            <w:r>
              <w:rPr>
                <w:rFonts w:cs="宋体"/>
                <w:kern w:val="0"/>
                <w:sz w:val="21"/>
                <w:szCs w:val="21"/>
              </w:rPr>
              <w:br w:type="textWrapping"/>
            </w:r>
            <w:r>
              <w:rPr>
                <w:rFonts w:cs="宋体"/>
                <w:kern w:val="0"/>
                <w:sz w:val="21"/>
                <w:szCs w:val="21"/>
              </w:rPr>
              <w:t>操作方式：电容式触摸屏；</w:t>
            </w:r>
            <w:r>
              <w:rPr>
                <w:rFonts w:cs="宋体"/>
                <w:kern w:val="0"/>
                <w:sz w:val="21"/>
                <w:szCs w:val="21"/>
              </w:rPr>
              <w:br w:type="textWrapping"/>
            </w:r>
            <w:r>
              <w:rPr>
                <w:rFonts w:cs="宋体"/>
                <w:kern w:val="0"/>
                <w:sz w:val="21"/>
                <w:szCs w:val="21"/>
              </w:rPr>
              <w:t>摄像头：无；</w:t>
            </w:r>
            <w:r>
              <w:rPr>
                <w:rFonts w:cs="宋体"/>
                <w:kern w:val="0"/>
                <w:sz w:val="21"/>
                <w:szCs w:val="21"/>
              </w:rPr>
              <w:br w:type="textWrapping"/>
            </w:r>
            <w:r>
              <w:rPr>
                <w:rFonts w:cs="宋体"/>
                <w:kern w:val="0"/>
                <w:sz w:val="21"/>
                <w:szCs w:val="21"/>
              </w:rPr>
              <w:t>wifi模块：无；</w:t>
            </w:r>
            <w:r>
              <w:rPr>
                <w:rFonts w:cs="宋体"/>
                <w:kern w:val="0"/>
                <w:sz w:val="21"/>
                <w:szCs w:val="21"/>
              </w:rPr>
              <w:br w:type="textWrapping"/>
            </w:r>
            <w:r>
              <w:rPr>
                <w:rFonts w:cs="宋体"/>
                <w:kern w:val="0"/>
                <w:sz w:val="21"/>
                <w:szCs w:val="21"/>
              </w:rPr>
              <w:t>网线供电：支持；</w:t>
            </w:r>
            <w:r>
              <w:rPr>
                <w:rFonts w:cs="宋体"/>
                <w:kern w:val="0"/>
                <w:sz w:val="21"/>
                <w:szCs w:val="21"/>
              </w:rPr>
              <w:br w:type="textWrapping"/>
            </w:r>
            <w:r>
              <w:rPr>
                <w:rFonts w:cs="宋体"/>
                <w:kern w:val="0"/>
                <w:sz w:val="21"/>
                <w:szCs w:val="21"/>
              </w:rPr>
              <w:t>防区数：8防区；</w:t>
            </w:r>
            <w:r>
              <w:rPr>
                <w:rFonts w:cs="宋体"/>
                <w:kern w:val="0"/>
                <w:sz w:val="21"/>
                <w:szCs w:val="21"/>
              </w:rPr>
              <w:br w:type="textWrapping"/>
            </w:r>
            <w:r>
              <w:rPr>
                <w:rFonts w:cs="宋体"/>
                <w:kern w:val="0"/>
                <w:sz w:val="21"/>
                <w:szCs w:val="21"/>
              </w:rPr>
              <w:t>网口：10M/100M自适应以太网口；</w:t>
            </w:r>
            <w:r>
              <w:rPr>
                <w:rFonts w:cs="宋体"/>
                <w:kern w:val="0"/>
                <w:sz w:val="21"/>
                <w:szCs w:val="21"/>
              </w:rPr>
              <w:br w:type="textWrapping"/>
            </w:r>
            <w:r>
              <w:rPr>
                <w:rFonts w:cs="宋体"/>
                <w:kern w:val="0"/>
                <w:sz w:val="21"/>
                <w:szCs w:val="21"/>
              </w:rPr>
              <w:t xml:space="preserve">IO输出：无；                                                                                                </w:t>
            </w:r>
            <w:r>
              <w:rPr>
                <w:rFonts w:cs="宋体"/>
                <w:kern w:val="0"/>
                <w:sz w:val="21"/>
                <w:szCs w:val="21"/>
              </w:rPr>
              <w:br w:type="textWrapping"/>
            </w:r>
            <w:r>
              <w:rPr>
                <w:rFonts w:cs="宋体"/>
                <w:kern w:val="0"/>
                <w:sz w:val="21"/>
                <w:szCs w:val="21"/>
              </w:rPr>
              <w:t xml:space="preserve">SD卡扩展：不支持；                                                                               </w:t>
            </w:r>
            <w:r>
              <w:rPr>
                <w:rFonts w:cs="宋体"/>
                <w:kern w:val="0"/>
                <w:sz w:val="21"/>
                <w:szCs w:val="21"/>
              </w:rPr>
              <w:br w:type="textWrapping"/>
            </w:r>
            <w:r>
              <w:rPr>
                <w:rFonts w:cs="宋体"/>
                <w:kern w:val="0"/>
                <w:sz w:val="21"/>
                <w:szCs w:val="21"/>
              </w:rPr>
              <w:t>外观尺寸：254mm×166mm×14.7mm（长*宽*高） ；</w:t>
            </w:r>
            <w:r>
              <w:rPr>
                <w:rFonts w:cs="宋体"/>
                <w:kern w:val="0"/>
                <w:sz w:val="21"/>
                <w:szCs w:val="21"/>
              </w:rPr>
              <w:br w:type="textWrapping"/>
            </w:r>
            <w:r>
              <w:rPr>
                <w:rFonts w:cs="宋体"/>
                <w:kern w:val="0"/>
                <w:sz w:val="21"/>
                <w:szCs w:val="21"/>
              </w:rPr>
              <w:t>电源：网线供电或DC12V ；</w:t>
            </w:r>
            <w:r>
              <w:rPr>
                <w:rFonts w:cs="宋体"/>
                <w:kern w:val="0"/>
                <w:sz w:val="21"/>
                <w:szCs w:val="21"/>
              </w:rPr>
              <w:br w:type="textWrapping"/>
            </w:r>
            <w:r>
              <w:rPr>
                <w:rFonts w:cs="宋体"/>
                <w:kern w:val="0"/>
                <w:sz w:val="21"/>
                <w:szCs w:val="21"/>
              </w:rPr>
              <w:t>功耗：≤6W  。</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20</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66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10寸屏室内机配件</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包括室内机挂板、电源端子、一根10芯排线、螺丝包；挂板适合86盒及120盒安装</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20</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231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12口数字解码器</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1) 接口数量：16个10/100M网口（含12个非标准POE网口和2个上行下行口及2个串联口）；</w:t>
            </w:r>
            <w:r>
              <w:rPr>
                <w:rFonts w:cs="宋体"/>
                <w:kern w:val="0"/>
                <w:sz w:val="21"/>
                <w:szCs w:val="21"/>
              </w:rPr>
              <w:br w:type="textWrapping"/>
            </w:r>
            <w:r>
              <w:rPr>
                <w:rFonts w:cs="宋体"/>
                <w:kern w:val="0"/>
                <w:sz w:val="21"/>
                <w:szCs w:val="21"/>
              </w:rPr>
              <w:t>2) 最大层级数为4级</w:t>
            </w:r>
            <w:r>
              <w:rPr>
                <w:rFonts w:cs="宋体"/>
                <w:kern w:val="0"/>
                <w:sz w:val="21"/>
                <w:szCs w:val="21"/>
              </w:rPr>
              <w:br w:type="textWrapping"/>
            </w:r>
            <w:r>
              <w:rPr>
                <w:rFonts w:cs="宋体"/>
                <w:kern w:val="0"/>
                <w:sz w:val="21"/>
                <w:szCs w:val="21"/>
              </w:rPr>
              <w:t>3) 供电电源：AC220V；</w:t>
            </w:r>
            <w:r>
              <w:rPr>
                <w:rFonts w:cs="宋体"/>
                <w:kern w:val="0"/>
                <w:sz w:val="21"/>
                <w:szCs w:val="21"/>
              </w:rPr>
              <w:br w:type="textWrapping"/>
            </w:r>
            <w:r>
              <w:rPr>
                <w:rFonts w:cs="宋体"/>
                <w:kern w:val="0"/>
                <w:sz w:val="21"/>
                <w:szCs w:val="21"/>
              </w:rPr>
              <w:t>4) 功耗：6W；</w:t>
            </w:r>
            <w:r>
              <w:rPr>
                <w:rFonts w:cs="宋体"/>
                <w:kern w:val="0"/>
                <w:sz w:val="21"/>
                <w:szCs w:val="21"/>
              </w:rPr>
              <w:br w:type="textWrapping"/>
            </w:r>
            <w:r>
              <w:rPr>
                <w:rFonts w:cs="宋体"/>
                <w:kern w:val="0"/>
                <w:sz w:val="21"/>
                <w:szCs w:val="21"/>
              </w:rPr>
              <w:t>5) 工作温度：-10-+55</w:t>
            </w:r>
            <w:r>
              <w:rPr>
                <w:rFonts w:hAnsi="Arial Unicode MS" w:eastAsia="Arial Unicode MS" w:cs="Arial Unicode MS"/>
                <w:kern w:val="0"/>
                <w:sz w:val="21"/>
                <w:szCs w:val="21"/>
              </w:rPr>
              <w:t>˚</w:t>
            </w:r>
            <w:r>
              <w:rPr>
                <w:rFonts w:cs="宋体"/>
                <w:kern w:val="0"/>
                <w:sz w:val="21"/>
                <w:szCs w:val="21"/>
              </w:rPr>
              <w:t>C；</w:t>
            </w:r>
            <w:r>
              <w:rPr>
                <w:rFonts w:cs="宋体"/>
                <w:kern w:val="0"/>
                <w:sz w:val="21"/>
                <w:szCs w:val="21"/>
              </w:rPr>
              <w:br w:type="textWrapping"/>
            </w:r>
            <w:r>
              <w:rPr>
                <w:rFonts w:cs="宋体"/>
                <w:kern w:val="0"/>
                <w:sz w:val="21"/>
                <w:szCs w:val="21"/>
              </w:rPr>
              <w:t>6) 尺寸：268.6mm×118.4mm×102.2mm(长×宽×高)。</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046"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访客机</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1、高清双屏显示，带有15.6寸电容触摸显示屏和11.6寸液晶显示屏；</w:t>
            </w:r>
            <w:r>
              <w:rPr>
                <w:rFonts w:cs="宋体"/>
                <w:kern w:val="0"/>
                <w:sz w:val="21"/>
                <w:szCs w:val="21"/>
              </w:rPr>
              <w:br w:type="textWrapping"/>
            </w:r>
            <w:r>
              <w:rPr>
                <w:rFonts w:cs="宋体"/>
                <w:kern w:val="0"/>
                <w:sz w:val="21"/>
                <w:szCs w:val="21"/>
              </w:rPr>
              <w:t>2、内置200万高清摄像头、居民身份证阅读器，支持1：1人证比对功能；</w:t>
            </w:r>
            <w:r>
              <w:rPr>
                <w:rFonts w:cs="宋体"/>
                <w:kern w:val="0"/>
                <w:sz w:val="21"/>
                <w:szCs w:val="21"/>
              </w:rPr>
              <w:br w:type="textWrapping"/>
            </w:r>
            <w:r>
              <w:rPr>
                <w:rFonts w:cs="宋体"/>
                <w:kern w:val="0"/>
                <w:sz w:val="21"/>
                <w:szCs w:val="21"/>
              </w:rPr>
              <w:t>3、双网口设计，支持TCP/IP有线网络通讯；</w:t>
            </w:r>
            <w:r>
              <w:rPr>
                <w:rFonts w:cs="宋体"/>
                <w:kern w:val="0"/>
                <w:sz w:val="21"/>
                <w:szCs w:val="21"/>
              </w:rPr>
              <w:br w:type="textWrapping"/>
            </w:r>
            <w:r>
              <w:rPr>
                <w:rFonts w:cs="宋体"/>
                <w:kern w:val="0"/>
                <w:sz w:val="21"/>
                <w:szCs w:val="21"/>
              </w:rPr>
              <w:t>4、内置二维码扫描仪，可识别访客单的二维码；</w:t>
            </w:r>
            <w:r>
              <w:rPr>
                <w:rFonts w:cs="宋体"/>
                <w:kern w:val="0"/>
                <w:sz w:val="21"/>
                <w:szCs w:val="21"/>
              </w:rPr>
              <w:br w:type="textWrapping"/>
            </w:r>
            <w:r>
              <w:rPr>
                <w:rFonts w:cs="宋体"/>
                <w:kern w:val="0"/>
                <w:sz w:val="21"/>
                <w:szCs w:val="21"/>
              </w:rPr>
              <w:t>5、高速热敏打印机、纸宽58mm、纸卷直径≤45mm；</w:t>
            </w:r>
            <w:r>
              <w:rPr>
                <w:rFonts w:cs="宋体"/>
                <w:kern w:val="0"/>
                <w:sz w:val="21"/>
                <w:szCs w:val="21"/>
              </w:rPr>
              <w:br w:type="textWrapping"/>
            </w:r>
            <w:r>
              <w:rPr>
                <w:rFonts w:cs="宋体"/>
                <w:kern w:val="0"/>
                <w:sz w:val="21"/>
                <w:szCs w:val="21"/>
              </w:rPr>
              <w:t>输入电压：AC220V；</w:t>
            </w:r>
            <w:r>
              <w:rPr>
                <w:rFonts w:cs="宋体"/>
                <w:kern w:val="0"/>
                <w:sz w:val="21"/>
                <w:szCs w:val="21"/>
              </w:rPr>
              <w:br w:type="textWrapping"/>
            </w:r>
            <w:r>
              <w:rPr>
                <w:rFonts w:cs="宋体"/>
                <w:kern w:val="0"/>
                <w:sz w:val="21"/>
                <w:szCs w:val="21"/>
              </w:rPr>
              <w:t>工作功率：≤59W；</w:t>
            </w:r>
            <w:r>
              <w:rPr>
                <w:rFonts w:cs="宋体"/>
                <w:kern w:val="0"/>
                <w:sz w:val="21"/>
                <w:szCs w:val="21"/>
              </w:rPr>
              <w:br w:type="textWrapping"/>
            </w:r>
            <w:r>
              <w:rPr>
                <w:rFonts w:cs="宋体"/>
                <w:kern w:val="0"/>
                <w:sz w:val="21"/>
                <w:szCs w:val="21"/>
              </w:rPr>
              <w:t>重量：净重17.64KG；</w:t>
            </w:r>
            <w:r>
              <w:rPr>
                <w:rFonts w:cs="宋体"/>
                <w:kern w:val="0"/>
                <w:sz w:val="21"/>
                <w:szCs w:val="21"/>
              </w:rPr>
              <w:br w:type="textWrapping"/>
            </w:r>
            <w:r>
              <w:rPr>
                <w:rFonts w:cs="宋体"/>
                <w:kern w:val="0"/>
                <w:sz w:val="21"/>
                <w:szCs w:val="21"/>
              </w:rPr>
              <w:t>尺寸：390*426*400mm</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可视对讲系统</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通过管理可视对讲设备，使物业、小区业主、访客进行出入管理</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20</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户</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访客模块</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支持访客预约、来访记录查询、访客权限管理</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模块</w:t>
            </w:r>
          </w:p>
        </w:tc>
      </w:tr>
      <w:tr>
        <w:tblPrEx>
          <w:tblCellMar>
            <w:top w:w="0" w:type="dxa"/>
            <w:left w:w="108" w:type="dxa"/>
            <w:bottom w:w="0" w:type="dxa"/>
            <w:right w:w="108" w:type="dxa"/>
          </w:tblCellMar>
        </w:tblPrEx>
        <w:trPr>
          <w:trHeight w:val="557"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USB摄像机</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200万USB电视摄像机</w:t>
            </w:r>
            <w:r>
              <w:rPr>
                <w:rFonts w:cs="宋体"/>
                <w:kern w:val="0"/>
                <w:sz w:val="21"/>
                <w:szCs w:val="21"/>
              </w:rPr>
              <w:br w:type="textWrapping"/>
            </w:r>
            <w:r>
              <w:rPr>
                <w:rFonts w:cs="宋体"/>
                <w:kern w:val="0"/>
                <w:sz w:val="21"/>
                <w:szCs w:val="21"/>
              </w:rPr>
              <w:t>传感器类型:2.0 Mega Progressive Scan CMOS</w:t>
            </w:r>
            <w:r>
              <w:rPr>
                <w:rFonts w:cs="宋体"/>
                <w:kern w:val="0"/>
                <w:sz w:val="21"/>
                <w:szCs w:val="21"/>
              </w:rPr>
              <w:br w:type="textWrapping"/>
            </w:r>
            <w:r>
              <w:rPr>
                <w:rFonts w:cs="宋体"/>
                <w:kern w:val="0"/>
                <w:sz w:val="21"/>
                <w:szCs w:val="21"/>
              </w:rPr>
              <w:t>总像素:1920(水平)×1080(垂直)</w:t>
            </w:r>
            <w:r>
              <w:rPr>
                <w:rFonts w:cs="宋体"/>
                <w:kern w:val="0"/>
                <w:sz w:val="21"/>
                <w:szCs w:val="21"/>
              </w:rPr>
              <w:br w:type="textWrapping"/>
            </w:r>
            <w:r>
              <w:rPr>
                <w:rFonts w:cs="宋体"/>
                <w:kern w:val="0"/>
                <w:sz w:val="21"/>
                <w:szCs w:val="21"/>
              </w:rPr>
              <w:t>最低照度:0.1Lux @ (F1.2,AGC ON)</w:t>
            </w:r>
            <w:r>
              <w:rPr>
                <w:rFonts w:cs="宋体"/>
                <w:kern w:val="0"/>
                <w:sz w:val="21"/>
                <w:szCs w:val="21"/>
              </w:rPr>
              <w:br w:type="textWrapping"/>
            </w:r>
            <w:r>
              <w:rPr>
                <w:rFonts w:cs="宋体"/>
                <w:kern w:val="0"/>
                <w:sz w:val="21"/>
                <w:szCs w:val="21"/>
              </w:rPr>
              <w:t>镜头:6mm(2.1mm可选)</w:t>
            </w:r>
            <w:r>
              <w:rPr>
                <w:rFonts w:cs="宋体"/>
                <w:kern w:val="0"/>
                <w:sz w:val="21"/>
                <w:szCs w:val="21"/>
              </w:rPr>
              <w:br w:type="textWrapping"/>
            </w:r>
            <w:r>
              <w:rPr>
                <w:rFonts w:cs="宋体"/>
                <w:kern w:val="0"/>
                <w:sz w:val="21"/>
                <w:szCs w:val="21"/>
              </w:rPr>
              <w:t>出线长度:2m(2.1mm焦距设备出线为4m)</w:t>
            </w:r>
            <w:r>
              <w:rPr>
                <w:rFonts w:cs="宋体"/>
                <w:kern w:val="0"/>
                <w:sz w:val="21"/>
                <w:szCs w:val="21"/>
              </w:rPr>
              <w:br w:type="textWrapping"/>
            </w:r>
            <w:r>
              <w:rPr>
                <w:rFonts w:cs="宋体"/>
                <w:kern w:val="0"/>
                <w:sz w:val="21"/>
                <w:szCs w:val="21"/>
              </w:rPr>
              <w:t>日夜转换模式:单彩</w:t>
            </w:r>
            <w:r>
              <w:rPr>
                <w:rFonts w:cs="宋体"/>
                <w:kern w:val="0"/>
                <w:sz w:val="21"/>
                <w:szCs w:val="21"/>
              </w:rPr>
              <w:br w:type="textWrapping"/>
            </w:r>
            <w:r>
              <w:rPr>
                <w:rFonts w:cs="宋体"/>
                <w:kern w:val="0"/>
                <w:sz w:val="21"/>
                <w:szCs w:val="21"/>
              </w:rPr>
              <w:t>调整角度:水平:0°;垂直:-10°~30°;旋转:0°</w:t>
            </w:r>
            <w:r>
              <w:rPr>
                <w:rFonts w:cs="宋体"/>
                <w:kern w:val="0"/>
                <w:sz w:val="21"/>
                <w:szCs w:val="21"/>
              </w:rPr>
              <w:br w:type="textWrapping"/>
            </w:r>
            <w:r>
              <w:rPr>
                <w:rFonts w:cs="宋体"/>
                <w:kern w:val="0"/>
                <w:sz w:val="21"/>
                <w:szCs w:val="21"/>
              </w:rPr>
              <w:t>视频帧率:1080p@25fps;1080p@30fps</w:t>
            </w:r>
            <w:r>
              <w:rPr>
                <w:rFonts w:cs="宋体"/>
                <w:kern w:val="0"/>
                <w:sz w:val="21"/>
                <w:szCs w:val="21"/>
              </w:rPr>
              <w:br w:type="textWrapping"/>
            </w:r>
            <w:r>
              <w:rPr>
                <w:rFonts w:cs="宋体"/>
                <w:kern w:val="0"/>
                <w:sz w:val="21"/>
                <w:szCs w:val="21"/>
              </w:rPr>
              <w:t>信噪比:大于62dB</w:t>
            </w:r>
            <w:r>
              <w:rPr>
                <w:rFonts w:cs="宋体"/>
                <w:kern w:val="0"/>
                <w:sz w:val="21"/>
                <w:szCs w:val="21"/>
              </w:rPr>
              <w:br w:type="textWrapping"/>
            </w:r>
            <w:r>
              <w:rPr>
                <w:rFonts w:cs="宋体"/>
                <w:kern w:val="0"/>
                <w:sz w:val="21"/>
                <w:szCs w:val="21"/>
              </w:rPr>
              <w:t>视频输出:USB2.0</w:t>
            </w:r>
            <w:r>
              <w:rPr>
                <w:rFonts w:cs="宋体"/>
                <w:kern w:val="0"/>
                <w:sz w:val="21"/>
                <w:szCs w:val="21"/>
              </w:rPr>
              <w:br w:type="textWrapping"/>
            </w:r>
            <w:r>
              <w:rPr>
                <w:rFonts w:cs="宋体"/>
                <w:kern w:val="0"/>
                <w:sz w:val="21"/>
                <w:szCs w:val="21"/>
              </w:rPr>
              <w:t>音频输入:内置MIC</w:t>
            </w:r>
            <w:r>
              <w:rPr>
                <w:rFonts w:cs="宋体"/>
                <w:kern w:val="0"/>
                <w:sz w:val="21"/>
                <w:szCs w:val="21"/>
              </w:rPr>
              <w:br w:type="textWrapping"/>
            </w:r>
            <w:r>
              <w:rPr>
                <w:rFonts w:cs="宋体"/>
                <w:kern w:val="0"/>
                <w:sz w:val="21"/>
                <w:szCs w:val="21"/>
              </w:rPr>
              <w:t>音频输出:USB2.0</w:t>
            </w:r>
            <w:r>
              <w:rPr>
                <w:rFonts w:cs="宋体"/>
                <w:kern w:val="0"/>
                <w:sz w:val="21"/>
                <w:szCs w:val="21"/>
              </w:rPr>
              <w:br w:type="textWrapping"/>
            </w:r>
            <w:r>
              <w:rPr>
                <w:rFonts w:cs="宋体"/>
                <w:kern w:val="0"/>
                <w:sz w:val="21"/>
                <w:szCs w:val="21"/>
              </w:rPr>
              <w:t>白平衡:自动白平衡</w:t>
            </w:r>
            <w:r>
              <w:rPr>
                <w:rFonts w:cs="宋体"/>
                <w:kern w:val="0"/>
                <w:sz w:val="21"/>
                <w:szCs w:val="21"/>
              </w:rPr>
              <w:br w:type="textWrapping"/>
            </w:r>
            <w:r>
              <w:rPr>
                <w:rFonts w:cs="宋体"/>
                <w:kern w:val="0"/>
                <w:sz w:val="21"/>
                <w:szCs w:val="21"/>
              </w:rPr>
              <w:t>蜂鸣功能:支持</w:t>
            </w:r>
            <w:r>
              <w:rPr>
                <w:rFonts w:cs="宋体"/>
                <w:kern w:val="0"/>
                <w:sz w:val="21"/>
                <w:szCs w:val="21"/>
              </w:rPr>
              <w:br w:type="textWrapping"/>
            </w:r>
            <w:r>
              <w:rPr>
                <w:rFonts w:cs="宋体"/>
                <w:kern w:val="0"/>
                <w:sz w:val="21"/>
                <w:szCs w:val="21"/>
              </w:rPr>
              <w:t>LED指示灯:红色：待机状态; 蓝色：正常视频通话状态; 红色闪烁+蜂鸣：有视频通话请求状态</w:t>
            </w:r>
            <w:r>
              <w:rPr>
                <w:rFonts w:cs="宋体"/>
                <w:kern w:val="0"/>
                <w:sz w:val="21"/>
                <w:szCs w:val="21"/>
              </w:rPr>
              <w:br w:type="textWrapping"/>
            </w:r>
            <w:r>
              <w:rPr>
                <w:rFonts w:cs="宋体"/>
                <w:kern w:val="0"/>
                <w:sz w:val="21"/>
                <w:szCs w:val="21"/>
              </w:rPr>
              <w:t>工作温度和湿度:-10℃~45℃ ,湿度小于90%(无凝结)</w:t>
            </w:r>
            <w:r>
              <w:rPr>
                <w:rFonts w:cs="宋体"/>
                <w:kern w:val="0"/>
                <w:sz w:val="21"/>
                <w:szCs w:val="21"/>
              </w:rPr>
              <w:br w:type="textWrapping"/>
            </w:r>
            <w:r>
              <w:rPr>
                <w:rFonts w:cs="宋体"/>
                <w:kern w:val="0"/>
                <w:sz w:val="21"/>
                <w:szCs w:val="21"/>
              </w:rPr>
              <w:t>电源供应:DC5V±15%（USB接口）</w:t>
            </w:r>
            <w:r>
              <w:rPr>
                <w:rFonts w:cs="宋体"/>
                <w:kern w:val="0"/>
                <w:sz w:val="21"/>
                <w:szCs w:val="21"/>
              </w:rPr>
              <w:br w:type="textWrapping"/>
            </w:r>
            <w:r>
              <w:rPr>
                <w:rFonts w:cs="宋体"/>
                <w:kern w:val="0"/>
                <w:sz w:val="21"/>
                <w:szCs w:val="21"/>
              </w:rPr>
              <w:t>功耗:2W MAX</w:t>
            </w:r>
            <w:r>
              <w:rPr>
                <w:rFonts w:cs="宋体"/>
                <w:kern w:val="0"/>
                <w:sz w:val="21"/>
                <w:szCs w:val="21"/>
              </w:rPr>
              <w:br w:type="textWrapping"/>
            </w:r>
            <w:r>
              <w:rPr>
                <w:rFonts w:cs="宋体"/>
                <w:kern w:val="0"/>
                <w:sz w:val="21"/>
                <w:szCs w:val="21"/>
              </w:rPr>
              <w:t>尺寸(mm):118.0×46.8×54.9</w:t>
            </w:r>
            <w:r>
              <w:rPr>
                <w:rFonts w:cs="宋体"/>
                <w:kern w:val="0"/>
                <w:sz w:val="21"/>
                <w:szCs w:val="21"/>
              </w:rPr>
              <w:br w:type="textWrapping"/>
            </w:r>
            <w:r>
              <w:rPr>
                <w:rFonts w:cs="宋体"/>
                <w:kern w:val="0"/>
                <w:sz w:val="21"/>
                <w:szCs w:val="21"/>
                <w:highlight w:val="none"/>
              </w:rPr>
              <w:t>重量:150g</w:t>
            </w:r>
            <w:r>
              <w:rPr>
                <w:rFonts w:cs="宋体"/>
                <w:kern w:val="0"/>
                <w:sz w:val="21"/>
                <w:szCs w:val="21"/>
                <w:highlight w:val="none"/>
              </w:rPr>
              <w:br w:type="textWrapping"/>
            </w:r>
            <w:r>
              <w:rPr>
                <w:rFonts w:cs="宋体"/>
                <w:kern w:val="0"/>
                <w:sz w:val="21"/>
                <w:szCs w:val="21"/>
                <w:highlight w:val="none"/>
              </w:rPr>
              <w:t>提供SDK做2次开发，可支持windows和安卓系</w:t>
            </w:r>
            <w:r>
              <w:rPr>
                <w:rFonts w:cs="宋体"/>
                <w:kern w:val="0"/>
                <w:sz w:val="21"/>
                <w:szCs w:val="21"/>
              </w:rPr>
              <w:t>统</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231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 xml:space="preserve"> </w:t>
            </w:r>
            <w:r>
              <w:rPr>
                <w:rFonts w:cs="宋体"/>
                <w:kern w:val="0"/>
                <w:sz w:val="21"/>
                <w:szCs w:val="21"/>
              </w:rPr>
              <w:br w:type="textWrapping"/>
            </w:r>
            <w:r>
              <w:rPr>
                <w:rFonts w:cs="宋体"/>
                <w:kern w:val="0"/>
                <w:sz w:val="21"/>
                <w:szCs w:val="21"/>
              </w:rPr>
              <w:t>卡片发卡器</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支持发卡类型：ID卡、Mifare卡号、Mifare卡内容、CPU卡号、CPU卡内容、身份证序列号；</w:t>
            </w:r>
            <w:r>
              <w:rPr>
                <w:rFonts w:cs="宋体"/>
                <w:kern w:val="0"/>
                <w:sz w:val="21"/>
                <w:szCs w:val="21"/>
              </w:rPr>
              <w:br w:type="textWrapping"/>
            </w:r>
            <w:r>
              <w:rPr>
                <w:rFonts w:cs="宋体"/>
                <w:kern w:val="0"/>
                <w:sz w:val="21"/>
                <w:szCs w:val="21"/>
              </w:rPr>
              <w:t>USB2.0接口；</w:t>
            </w:r>
            <w:r>
              <w:rPr>
                <w:rFonts w:cs="宋体"/>
                <w:kern w:val="0"/>
                <w:sz w:val="21"/>
                <w:szCs w:val="21"/>
              </w:rPr>
              <w:br w:type="textWrapping"/>
            </w:r>
            <w:r>
              <w:rPr>
                <w:rFonts w:cs="宋体"/>
                <w:kern w:val="0"/>
                <w:sz w:val="21"/>
                <w:szCs w:val="21"/>
              </w:rPr>
              <w:t>具有2个Sim卡尺寸的PSAM卡座；</w:t>
            </w:r>
            <w:r>
              <w:rPr>
                <w:rFonts w:cs="宋体"/>
                <w:kern w:val="0"/>
                <w:sz w:val="21"/>
                <w:szCs w:val="21"/>
              </w:rPr>
              <w:br w:type="textWrapping"/>
            </w:r>
            <w:r>
              <w:rPr>
                <w:rFonts w:cs="宋体"/>
                <w:kern w:val="0"/>
                <w:sz w:val="21"/>
                <w:szCs w:val="21"/>
              </w:rPr>
              <w:t>工作电压：DC 5V；</w:t>
            </w:r>
            <w:r>
              <w:rPr>
                <w:rFonts w:cs="宋体"/>
                <w:kern w:val="0"/>
                <w:sz w:val="21"/>
                <w:szCs w:val="21"/>
              </w:rPr>
              <w:br w:type="textWrapping"/>
            </w:r>
            <w:r>
              <w:rPr>
                <w:rFonts w:cs="宋体"/>
                <w:kern w:val="0"/>
                <w:sz w:val="21"/>
                <w:szCs w:val="21"/>
              </w:rPr>
              <w:t>工作电流：0.2A；</w:t>
            </w:r>
            <w:r>
              <w:rPr>
                <w:rFonts w:cs="宋体"/>
                <w:kern w:val="0"/>
                <w:sz w:val="21"/>
                <w:szCs w:val="21"/>
              </w:rPr>
              <w:br w:type="textWrapping"/>
            </w:r>
            <w:r>
              <w:rPr>
                <w:rFonts w:cs="宋体"/>
                <w:kern w:val="0"/>
                <w:sz w:val="21"/>
                <w:szCs w:val="21"/>
              </w:rPr>
              <w:t>尺寸：117*67.5*14.3mm</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99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服务器</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4114(10核2.2GHz)×1/32G DDR4/1TB 7.2K</w:t>
            </w:r>
            <w:r>
              <w:rPr>
                <w:rFonts w:ascii="微软雅黑" w:hAnsi="微软雅黑" w:cs="宋体"/>
                <w:kern w:val="0"/>
                <w:sz w:val="21"/>
                <w:szCs w:val="21"/>
              </w:rPr>
              <w:t> </w:t>
            </w:r>
            <w:r>
              <w:rPr>
                <w:rFonts w:cs="宋体"/>
                <w:kern w:val="0"/>
                <w:sz w:val="21"/>
                <w:szCs w:val="21"/>
              </w:rPr>
              <w:t xml:space="preserve"> SATA×2/SAS_HBA/1GbE×2/Win Svr 2016 简中标版/550W(1+1)/2U/16DIMM</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1408"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道闸子系统</w:t>
            </w: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道闸</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【直杆】【快速】5系列道闸</w:t>
            </w:r>
            <w:r>
              <w:rPr>
                <w:rFonts w:cs="宋体"/>
                <w:kern w:val="0"/>
                <w:sz w:val="21"/>
                <w:szCs w:val="21"/>
              </w:rPr>
              <w:br w:type="textWrapping"/>
            </w:r>
            <w:r>
              <w:rPr>
                <w:rFonts w:cs="宋体"/>
                <w:kern w:val="0"/>
                <w:sz w:val="21"/>
                <w:szCs w:val="21"/>
              </w:rPr>
              <w:t>包含：2个遥控器，1个防砸雷达</w:t>
            </w:r>
            <w:r>
              <w:rPr>
                <w:rFonts w:cs="宋体"/>
                <w:kern w:val="0"/>
                <w:sz w:val="21"/>
                <w:szCs w:val="21"/>
              </w:rPr>
              <w:br w:type="textWrapping"/>
            </w:r>
            <w:r>
              <w:rPr>
                <w:rFonts w:cs="宋体"/>
                <w:kern w:val="0"/>
                <w:sz w:val="21"/>
                <w:szCs w:val="21"/>
              </w:rPr>
              <w:t>道闸类型：直杆</w:t>
            </w:r>
            <w:r>
              <w:rPr>
                <w:rFonts w:cs="宋体"/>
                <w:kern w:val="0"/>
                <w:sz w:val="21"/>
                <w:szCs w:val="21"/>
              </w:rPr>
              <w:br w:type="textWrapping"/>
            </w:r>
            <w:r>
              <w:rPr>
                <w:rFonts w:cs="宋体"/>
                <w:kern w:val="0"/>
                <w:sz w:val="21"/>
                <w:szCs w:val="21"/>
              </w:rPr>
              <w:t>道闸方向：全向</w:t>
            </w:r>
            <w:r>
              <w:rPr>
                <w:rFonts w:cs="宋体"/>
                <w:kern w:val="0"/>
                <w:sz w:val="21"/>
                <w:szCs w:val="21"/>
              </w:rPr>
              <w:br w:type="textWrapping"/>
            </w:r>
            <w:r>
              <w:rPr>
                <w:rFonts w:cs="宋体"/>
                <w:kern w:val="0"/>
                <w:sz w:val="21"/>
                <w:szCs w:val="21"/>
              </w:rPr>
              <w:t>道闸杆长：3米</w:t>
            </w:r>
            <w:r>
              <w:rPr>
                <w:rFonts w:cs="宋体"/>
                <w:kern w:val="0"/>
                <w:sz w:val="21"/>
                <w:szCs w:val="21"/>
              </w:rPr>
              <w:br w:type="textWrapping"/>
            </w:r>
            <w:r>
              <w:rPr>
                <w:rFonts w:cs="宋体"/>
                <w:kern w:val="0"/>
                <w:sz w:val="21"/>
                <w:szCs w:val="21"/>
              </w:rPr>
              <w:t>运行速度：0.9~1.8秒</w:t>
            </w:r>
            <w:r>
              <w:rPr>
                <w:rFonts w:cs="宋体"/>
                <w:kern w:val="0"/>
                <w:sz w:val="21"/>
                <w:szCs w:val="21"/>
              </w:rPr>
              <w:br w:type="textWrapping"/>
            </w:r>
            <w:r>
              <w:rPr>
                <w:rFonts w:cs="宋体"/>
                <w:kern w:val="0"/>
                <w:sz w:val="21"/>
                <w:szCs w:val="21"/>
              </w:rPr>
              <w:t>机箱材质：冷轧钢</w:t>
            </w:r>
            <w:r>
              <w:rPr>
                <w:rFonts w:cs="宋体"/>
                <w:kern w:val="0"/>
                <w:sz w:val="21"/>
                <w:szCs w:val="21"/>
              </w:rPr>
              <w:br w:type="textWrapping"/>
            </w:r>
            <w:r>
              <w:rPr>
                <w:rFonts w:cs="宋体"/>
                <w:kern w:val="0"/>
                <w:sz w:val="21"/>
                <w:szCs w:val="21"/>
              </w:rPr>
              <w:t>遥控距离：≥30米</w:t>
            </w:r>
            <w:r>
              <w:rPr>
                <w:rFonts w:cs="宋体"/>
                <w:kern w:val="0"/>
                <w:sz w:val="21"/>
                <w:szCs w:val="21"/>
              </w:rPr>
              <w:br w:type="textWrapping"/>
            </w:r>
            <w:r>
              <w:rPr>
                <w:rFonts w:cs="宋体"/>
                <w:kern w:val="0"/>
                <w:sz w:val="21"/>
                <w:szCs w:val="21"/>
              </w:rPr>
              <w:t>输入电压：220VAC+10%</w:t>
            </w:r>
            <w:r>
              <w:rPr>
                <w:rFonts w:cs="宋体"/>
                <w:kern w:val="0"/>
                <w:sz w:val="21"/>
                <w:szCs w:val="21"/>
              </w:rPr>
              <w:br w:type="textWrapping"/>
            </w:r>
            <w:r>
              <w:rPr>
                <w:rFonts w:cs="宋体"/>
                <w:kern w:val="0"/>
                <w:sz w:val="21"/>
                <w:szCs w:val="21"/>
              </w:rPr>
              <w:t>电机驱动：直流无刷电机驱动控制</w:t>
            </w:r>
            <w:r>
              <w:rPr>
                <w:rFonts w:cs="宋体"/>
                <w:kern w:val="0"/>
                <w:sz w:val="21"/>
                <w:szCs w:val="21"/>
              </w:rPr>
              <w:br w:type="textWrapping"/>
            </w:r>
            <w:r>
              <w:rPr>
                <w:rFonts w:cs="宋体"/>
                <w:kern w:val="0"/>
                <w:sz w:val="21"/>
                <w:szCs w:val="21"/>
              </w:rPr>
              <w:t>电机功率：300W</w:t>
            </w:r>
            <w:r>
              <w:rPr>
                <w:rFonts w:cs="宋体"/>
                <w:kern w:val="0"/>
                <w:sz w:val="21"/>
                <w:szCs w:val="21"/>
              </w:rPr>
              <w:br w:type="textWrapping"/>
            </w:r>
            <w:r>
              <w:rPr>
                <w:rFonts w:cs="宋体"/>
                <w:kern w:val="0"/>
                <w:sz w:val="21"/>
                <w:szCs w:val="21"/>
              </w:rPr>
              <w:t>功能特性：支持防撞、变频、防冷凝、手动锁闸功能</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6</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触发雷达</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【触发雷达】</w:t>
            </w:r>
            <w:r>
              <w:rPr>
                <w:rFonts w:cs="宋体"/>
                <w:color w:val="000000"/>
                <w:kern w:val="0"/>
                <w:sz w:val="21"/>
                <w:szCs w:val="21"/>
              </w:rPr>
              <w:br w:type="textWrapping"/>
            </w:r>
            <w:r>
              <w:rPr>
                <w:rFonts w:cs="宋体"/>
                <w:color w:val="000000"/>
                <w:kern w:val="0"/>
                <w:sz w:val="21"/>
                <w:szCs w:val="21"/>
              </w:rPr>
              <w:t>采用79GHz MMIC技术，分辨率更高，检测更稳定；</w:t>
            </w:r>
            <w:r>
              <w:rPr>
                <w:rFonts w:cs="宋体"/>
                <w:color w:val="000000"/>
                <w:kern w:val="0"/>
                <w:sz w:val="21"/>
                <w:szCs w:val="21"/>
              </w:rPr>
              <w:br w:type="textWrapping"/>
            </w:r>
            <w:r>
              <w:rPr>
                <w:rFonts w:cs="宋体"/>
                <w:color w:val="000000"/>
                <w:kern w:val="0"/>
                <w:sz w:val="21"/>
                <w:szCs w:val="21"/>
              </w:rPr>
              <w:t>雷达检测距离可调，检测宽度可调，操作方便，通用性强；</w:t>
            </w:r>
            <w:r>
              <w:rPr>
                <w:rFonts w:cs="宋体"/>
                <w:color w:val="000000"/>
                <w:kern w:val="0"/>
                <w:sz w:val="21"/>
                <w:szCs w:val="21"/>
              </w:rPr>
              <w:br w:type="textWrapping"/>
            </w:r>
            <w:r>
              <w:rPr>
                <w:rFonts w:cs="宋体"/>
                <w:color w:val="000000"/>
                <w:kern w:val="0"/>
                <w:sz w:val="21"/>
                <w:szCs w:val="21"/>
              </w:rPr>
              <w:t>无需学习背景，适应更多复杂现场环境；</w:t>
            </w:r>
            <w:r>
              <w:rPr>
                <w:rFonts w:cs="宋体"/>
                <w:color w:val="000000"/>
                <w:kern w:val="0"/>
                <w:sz w:val="21"/>
                <w:szCs w:val="21"/>
              </w:rPr>
              <w:br w:type="textWrapping"/>
            </w:r>
            <w:r>
              <w:rPr>
                <w:rFonts w:cs="宋体"/>
                <w:color w:val="000000"/>
                <w:kern w:val="0"/>
                <w:sz w:val="21"/>
                <w:szCs w:val="21"/>
              </w:rPr>
              <w:t>提供RS485串口或者WIFI通讯功能，WIFI版本配备手机APP，可对雷达进行在线调试、固件升级，操作更方便；</w:t>
            </w:r>
            <w:r>
              <w:rPr>
                <w:rFonts w:cs="宋体"/>
                <w:color w:val="000000"/>
                <w:kern w:val="0"/>
                <w:sz w:val="21"/>
                <w:szCs w:val="21"/>
              </w:rPr>
              <w:br w:type="textWrapping"/>
            </w:r>
            <w:r>
              <w:rPr>
                <w:rFonts w:cs="宋体"/>
                <w:color w:val="000000"/>
                <w:kern w:val="0"/>
                <w:sz w:val="21"/>
                <w:szCs w:val="21"/>
              </w:rPr>
              <w:t>安装与维护方便，所需人力少，工时短。</w:t>
            </w:r>
            <w:r>
              <w:rPr>
                <w:rFonts w:cs="宋体"/>
                <w:color w:val="000000"/>
                <w:kern w:val="0"/>
                <w:sz w:val="21"/>
                <w:szCs w:val="21"/>
              </w:rPr>
              <w:br w:type="textWrapping"/>
            </w:r>
            <w:r>
              <w:rPr>
                <w:rFonts w:cs="宋体"/>
                <w:color w:val="000000"/>
                <w:kern w:val="0"/>
                <w:sz w:val="21"/>
                <w:szCs w:val="21"/>
              </w:rPr>
              <w:t>自动记录雷达的配置参数，断电重启后可恢复至之前的工作状态；</w:t>
            </w:r>
            <w:r>
              <w:rPr>
                <w:rFonts w:cs="宋体"/>
                <w:color w:val="000000"/>
                <w:kern w:val="0"/>
                <w:sz w:val="21"/>
                <w:szCs w:val="21"/>
              </w:rPr>
              <w:br w:type="textWrapping"/>
            </w:r>
            <w:r>
              <w:rPr>
                <w:rFonts w:cs="宋体"/>
                <w:color w:val="000000"/>
                <w:kern w:val="0"/>
                <w:sz w:val="21"/>
                <w:szCs w:val="21"/>
              </w:rPr>
              <w:t>环境适应性强，检测性能不受电磁干扰、光照、灰尘、雨雪等外界环境影响。</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6</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1758"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抓拍一体机</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【智能补光抓拍一体机】【深度学习】【大角度识别】</w:t>
            </w:r>
            <w:r>
              <w:rPr>
                <w:rFonts w:cs="宋体"/>
                <w:color w:val="000000"/>
                <w:kern w:val="0"/>
                <w:sz w:val="21"/>
                <w:szCs w:val="21"/>
              </w:rPr>
              <w:br w:type="textWrapping"/>
            </w:r>
            <w:r>
              <w:rPr>
                <w:rFonts w:cs="宋体"/>
                <w:color w:val="000000"/>
                <w:kern w:val="0"/>
                <w:sz w:val="21"/>
                <w:szCs w:val="21"/>
              </w:rPr>
              <w:t>包含：防护罩、镜头、摄像机、2个LED补光灯等</w:t>
            </w:r>
            <w:r>
              <w:rPr>
                <w:rFonts w:cs="宋体"/>
                <w:color w:val="000000"/>
                <w:kern w:val="0"/>
                <w:sz w:val="21"/>
                <w:szCs w:val="21"/>
              </w:rPr>
              <w:br w:type="textWrapping"/>
            </w:r>
            <w:r>
              <w:rPr>
                <w:rFonts w:cs="宋体"/>
                <w:color w:val="000000"/>
                <w:kern w:val="0"/>
                <w:sz w:val="21"/>
                <w:szCs w:val="21"/>
              </w:rPr>
              <w:t>分辨率：200万，1920*1200</w:t>
            </w:r>
            <w:r>
              <w:rPr>
                <w:rFonts w:cs="宋体"/>
                <w:color w:val="000000"/>
                <w:kern w:val="0"/>
                <w:sz w:val="21"/>
                <w:szCs w:val="21"/>
              </w:rPr>
              <w:br w:type="textWrapping"/>
            </w:r>
            <w:r>
              <w:rPr>
                <w:rFonts w:cs="宋体"/>
                <w:color w:val="000000"/>
                <w:kern w:val="0"/>
                <w:sz w:val="21"/>
                <w:szCs w:val="21"/>
              </w:rPr>
              <w:t>帧率：25fps(1920*1080)</w:t>
            </w:r>
            <w:r>
              <w:rPr>
                <w:rFonts w:cs="宋体"/>
                <w:color w:val="000000"/>
                <w:kern w:val="0"/>
                <w:sz w:val="21"/>
                <w:szCs w:val="21"/>
              </w:rPr>
              <w:br w:type="textWrapping"/>
            </w:r>
            <w:r>
              <w:rPr>
                <w:rFonts w:cs="宋体"/>
                <w:color w:val="000000"/>
                <w:kern w:val="0"/>
                <w:sz w:val="21"/>
                <w:szCs w:val="21"/>
              </w:rPr>
              <w:t>传感器类型：1/3"  Progressive Scan CMOS</w:t>
            </w:r>
            <w:r>
              <w:rPr>
                <w:rFonts w:cs="宋体"/>
                <w:color w:val="000000"/>
                <w:kern w:val="0"/>
                <w:sz w:val="21"/>
                <w:szCs w:val="21"/>
              </w:rPr>
              <w:br w:type="textWrapping"/>
            </w:r>
            <w:r>
              <w:rPr>
                <w:rFonts w:cs="宋体"/>
                <w:color w:val="000000"/>
                <w:kern w:val="0"/>
                <w:sz w:val="21"/>
                <w:szCs w:val="21"/>
              </w:rPr>
              <w:t>最小照度：彩色0.002Lux@(F1.2,AGC ON)，黑白0.0002Lux @(F1.2,AGC ON)</w:t>
            </w:r>
            <w:r>
              <w:rPr>
                <w:rFonts w:cs="宋体"/>
                <w:color w:val="000000"/>
                <w:kern w:val="0"/>
                <w:sz w:val="21"/>
                <w:szCs w:val="21"/>
              </w:rPr>
              <w:br w:type="textWrapping"/>
            </w:r>
            <w:r>
              <w:rPr>
                <w:rFonts w:cs="宋体"/>
                <w:color w:val="000000"/>
                <w:kern w:val="0"/>
                <w:sz w:val="21"/>
                <w:szCs w:val="21"/>
              </w:rPr>
              <w:t>镜头：3.1-9mm电动变焦镜头，支持软件自动调焦</w:t>
            </w:r>
            <w:r>
              <w:rPr>
                <w:rFonts w:cs="宋体"/>
                <w:color w:val="000000"/>
                <w:kern w:val="0"/>
                <w:sz w:val="21"/>
                <w:szCs w:val="21"/>
              </w:rPr>
              <w:br w:type="textWrapping"/>
            </w:r>
            <w:r>
              <w:rPr>
                <w:rFonts w:cs="宋体"/>
                <w:color w:val="000000"/>
                <w:kern w:val="0"/>
                <w:sz w:val="21"/>
                <w:szCs w:val="21"/>
              </w:rPr>
              <w:t>自动光圈：DC驱动</w:t>
            </w:r>
            <w:r>
              <w:rPr>
                <w:rFonts w:cs="宋体"/>
                <w:color w:val="000000"/>
                <w:kern w:val="0"/>
                <w:sz w:val="21"/>
                <w:szCs w:val="21"/>
              </w:rPr>
              <w:br w:type="textWrapping"/>
            </w:r>
            <w:r>
              <w:rPr>
                <w:rFonts w:cs="宋体"/>
                <w:color w:val="000000"/>
                <w:kern w:val="0"/>
                <w:sz w:val="21"/>
                <w:szCs w:val="21"/>
              </w:rPr>
              <w:t>ICR切换：支持</w:t>
            </w:r>
            <w:r>
              <w:rPr>
                <w:rFonts w:cs="宋体"/>
                <w:color w:val="000000"/>
                <w:kern w:val="0"/>
                <w:sz w:val="21"/>
                <w:szCs w:val="21"/>
              </w:rPr>
              <w:br w:type="textWrapping"/>
            </w:r>
            <w:r>
              <w:rPr>
                <w:rFonts w:cs="宋体"/>
                <w:color w:val="000000"/>
                <w:kern w:val="0"/>
                <w:sz w:val="21"/>
                <w:szCs w:val="21"/>
              </w:rPr>
              <w:t>视频压缩标准：H.264/H.265/MJPEG</w:t>
            </w:r>
            <w:r>
              <w:rPr>
                <w:rFonts w:cs="宋体"/>
                <w:color w:val="000000"/>
                <w:kern w:val="0"/>
                <w:sz w:val="21"/>
                <w:szCs w:val="21"/>
              </w:rPr>
              <w:br w:type="textWrapping"/>
            </w:r>
            <w:r>
              <w:rPr>
                <w:rFonts w:cs="宋体"/>
                <w:color w:val="000000"/>
                <w:kern w:val="0"/>
                <w:sz w:val="21"/>
                <w:szCs w:val="21"/>
              </w:rPr>
              <w:t>图像设置：饱和度,亮度,对比度,白平衡,增益,3D降噪通过软件可调</w:t>
            </w:r>
            <w:r>
              <w:rPr>
                <w:rFonts w:cs="宋体"/>
                <w:color w:val="000000"/>
                <w:kern w:val="0"/>
                <w:sz w:val="21"/>
                <w:szCs w:val="21"/>
              </w:rPr>
              <w:br w:type="textWrapping"/>
            </w:r>
            <w:r>
              <w:rPr>
                <w:rFonts w:cs="宋体"/>
                <w:color w:val="000000"/>
                <w:kern w:val="0"/>
                <w:sz w:val="21"/>
                <w:szCs w:val="21"/>
              </w:rPr>
              <w:t>存储功能：内置TF卡槽</w:t>
            </w:r>
            <w:r>
              <w:rPr>
                <w:rFonts w:cs="宋体"/>
                <w:color w:val="000000"/>
                <w:kern w:val="0"/>
                <w:sz w:val="21"/>
                <w:szCs w:val="21"/>
              </w:rPr>
              <w:br w:type="textWrapping"/>
            </w:r>
            <w:r>
              <w:rPr>
                <w:rFonts w:cs="宋体"/>
                <w:color w:val="000000"/>
                <w:kern w:val="0"/>
                <w:sz w:val="21"/>
                <w:szCs w:val="21"/>
              </w:rPr>
              <w:t>智能识别：车牌识别、车型识别、车标识别、车身颜色识别</w:t>
            </w:r>
            <w:r>
              <w:rPr>
                <w:rFonts w:cs="宋体"/>
                <w:color w:val="000000"/>
                <w:kern w:val="0"/>
                <w:sz w:val="21"/>
                <w:szCs w:val="21"/>
              </w:rPr>
              <w:br w:type="textWrapping"/>
            </w:r>
            <w:r>
              <w:rPr>
                <w:rFonts w:cs="宋体"/>
                <w:color w:val="000000"/>
                <w:kern w:val="0"/>
                <w:sz w:val="21"/>
                <w:szCs w:val="21"/>
              </w:rPr>
              <w:t>补光灯控制：补光灯自动光控、时控可选</w:t>
            </w:r>
            <w:r>
              <w:rPr>
                <w:rFonts w:cs="宋体"/>
                <w:color w:val="000000"/>
                <w:kern w:val="0"/>
                <w:sz w:val="21"/>
                <w:szCs w:val="21"/>
              </w:rPr>
              <w:br w:type="textWrapping"/>
            </w:r>
            <w:r>
              <w:rPr>
                <w:rFonts w:cs="宋体"/>
                <w:color w:val="000000"/>
                <w:kern w:val="0"/>
                <w:sz w:val="21"/>
                <w:szCs w:val="21"/>
              </w:rPr>
              <w:t>接口：1 个RJ45 10M/100M/1000M 自适应以太网口，1个 RS-485 接口，1个RS-232接口，1路音频输入，1路音频输出，3路触发输入，2路继电器输出</w:t>
            </w:r>
            <w:r>
              <w:rPr>
                <w:rFonts w:cs="宋体"/>
                <w:color w:val="000000"/>
                <w:kern w:val="0"/>
                <w:sz w:val="21"/>
                <w:szCs w:val="21"/>
              </w:rPr>
              <w:br w:type="textWrapping"/>
            </w:r>
            <w:r>
              <w:rPr>
                <w:rFonts w:cs="宋体"/>
                <w:color w:val="000000"/>
                <w:kern w:val="0"/>
                <w:sz w:val="21"/>
                <w:szCs w:val="21"/>
              </w:rPr>
              <w:t>无线模块：（型号带4，表示支持4G传输）</w:t>
            </w:r>
            <w:r>
              <w:rPr>
                <w:rFonts w:cs="宋体"/>
                <w:color w:val="000000"/>
                <w:kern w:val="0"/>
                <w:sz w:val="21"/>
                <w:szCs w:val="21"/>
              </w:rPr>
              <w:br w:type="textWrapping"/>
            </w:r>
            <w:r>
              <w:rPr>
                <w:rFonts w:cs="宋体"/>
                <w:color w:val="000000"/>
                <w:kern w:val="0"/>
                <w:sz w:val="21"/>
                <w:szCs w:val="21"/>
              </w:rPr>
              <w:t>功能特性：外接道闸，布防状态下可根据存储黑白名单自动控制外接道闸开/关；车辆抓拍：支持车牌、车型、车标、车身颜色识别，电动变焦、自动光圈，内置LED补光灯，同步补光，同步录像，黑白名单控制，视频触发</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6</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1417"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立柱</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【DS-TCG227配套立柱】</w:t>
            </w:r>
            <w:r>
              <w:rPr>
                <w:rFonts w:cs="宋体"/>
                <w:color w:val="000000"/>
                <w:kern w:val="0"/>
                <w:sz w:val="21"/>
                <w:szCs w:val="21"/>
              </w:rPr>
              <w:br w:type="textWrapping"/>
            </w:r>
            <w:r>
              <w:rPr>
                <w:rFonts w:cs="宋体"/>
                <w:color w:val="000000"/>
                <w:kern w:val="0"/>
                <w:sz w:val="21"/>
                <w:szCs w:val="21"/>
              </w:rPr>
              <w:t>立柱高度：1.3米</w:t>
            </w:r>
            <w:r>
              <w:rPr>
                <w:rFonts w:cs="宋体"/>
                <w:color w:val="000000"/>
                <w:kern w:val="0"/>
                <w:sz w:val="21"/>
                <w:szCs w:val="21"/>
              </w:rPr>
              <w:br w:type="textWrapping"/>
            </w:r>
            <w:r>
              <w:rPr>
                <w:rFonts w:cs="宋体"/>
                <w:color w:val="000000"/>
                <w:kern w:val="0"/>
                <w:sz w:val="21"/>
                <w:szCs w:val="21"/>
              </w:rPr>
              <w:t>立柱直径：60mm</w:t>
            </w:r>
            <w:r>
              <w:rPr>
                <w:rFonts w:cs="宋体"/>
                <w:color w:val="000000"/>
                <w:kern w:val="0"/>
                <w:sz w:val="21"/>
                <w:szCs w:val="21"/>
              </w:rPr>
              <w:br w:type="textWrapping"/>
            </w:r>
            <w:r>
              <w:rPr>
                <w:rFonts w:cs="宋体"/>
                <w:color w:val="000000"/>
                <w:kern w:val="0"/>
                <w:sz w:val="21"/>
                <w:szCs w:val="21"/>
              </w:rPr>
              <w:t>1.3米处可安装一体机</w:t>
            </w:r>
            <w:r>
              <w:rPr>
                <w:rFonts w:cs="宋体"/>
                <w:color w:val="000000"/>
                <w:kern w:val="0"/>
                <w:sz w:val="21"/>
                <w:szCs w:val="21"/>
              </w:rPr>
              <w:br w:type="textWrapping"/>
            </w:r>
            <w:r>
              <w:rPr>
                <w:rFonts w:cs="宋体"/>
                <w:color w:val="000000"/>
                <w:kern w:val="0"/>
                <w:sz w:val="21"/>
                <w:szCs w:val="21"/>
              </w:rPr>
              <w:t>0.5米处可安装“四行LED显示屏”</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6</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566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显示屏</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【四行四字】室外显示屏</w:t>
            </w:r>
            <w:r>
              <w:rPr>
                <w:rFonts w:cs="宋体"/>
                <w:color w:val="000000"/>
                <w:kern w:val="0"/>
                <w:sz w:val="21"/>
                <w:szCs w:val="21"/>
              </w:rPr>
              <w:br w:type="textWrapping"/>
            </w:r>
            <w:r>
              <w:rPr>
                <w:rFonts w:cs="宋体"/>
                <w:color w:val="000000"/>
                <w:kern w:val="0"/>
                <w:sz w:val="21"/>
                <w:szCs w:val="21"/>
              </w:rPr>
              <w:t>工作电压:AC220V±10％，50Hz</w:t>
            </w:r>
            <w:r>
              <w:rPr>
                <w:rFonts w:cs="宋体"/>
                <w:color w:val="000000"/>
                <w:kern w:val="0"/>
                <w:sz w:val="21"/>
                <w:szCs w:val="21"/>
              </w:rPr>
              <w:br w:type="textWrapping"/>
            </w:r>
            <w:r>
              <w:rPr>
                <w:rFonts w:cs="宋体"/>
                <w:color w:val="000000"/>
                <w:kern w:val="0"/>
                <w:sz w:val="21"/>
                <w:szCs w:val="21"/>
              </w:rPr>
              <w:t>LED亮度:1200cd</w:t>
            </w:r>
            <w:r>
              <w:rPr>
                <w:rFonts w:cs="宋体"/>
                <w:color w:val="000000"/>
                <w:kern w:val="0"/>
                <w:sz w:val="21"/>
                <w:szCs w:val="21"/>
              </w:rPr>
              <w:br w:type="textWrapping"/>
            </w:r>
            <w:r>
              <w:rPr>
                <w:rFonts w:cs="宋体"/>
                <w:color w:val="000000"/>
                <w:kern w:val="0"/>
                <w:sz w:val="21"/>
                <w:szCs w:val="21"/>
              </w:rPr>
              <w:t>LED角度:110°</w:t>
            </w:r>
            <w:r>
              <w:rPr>
                <w:rFonts w:cs="宋体"/>
                <w:color w:val="000000"/>
                <w:kern w:val="0"/>
                <w:sz w:val="21"/>
                <w:szCs w:val="21"/>
              </w:rPr>
              <w:br w:type="textWrapping"/>
            </w:r>
            <w:r>
              <w:rPr>
                <w:rFonts w:cs="宋体"/>
                <w:color w:val="000000"/>
                <w:kern w:val="0"/>
                <w:sz w:val="21"/>
                <w:szCs w:val="21"/>
              </w:rPr>
              <w:t>外框材料:铁框喷塑（显示部分为深色钢化玻璃）</w:t>
            </w:r>
            <w:r>
              <w:rPr>
                <w:rFonts w:cs="宋体"/>
                <w:color w:val="000000"/>
                <w:kern w:val="0"/>
                <w:sz w:val="21"/>
                <w:szCs w:val="21"/>
              </w:rPr>
              <w:br w:type="textWrapping"/>
            </w:r>
            <w:r>
              <w:rPr>
                <w:rFonts w:cs="宋体"/>
                <w:color w:val="000000"/>
                <w:kern w:val="0"/>
                <w:sz w:val="21"/>
                <w:szCs w:val="21"/>
              </w:rPr>
              <w:t>安装方式:背面抱箍</w:t>
            </w:r>
            <w:r>
              <w:rPr>
                <w:rFonts w:cs="宋体"/>
                <w:color w:val="000000"/>
                <w:kern w:val="0"/>
                <w:sz w:val="21"/>
                <w:szCs w:val="21"/>
              </w:rPr>
              <w:br w:type="textWrapping"/>
            </w:r>
            <w:r>
              <w:rPr>
                <w:rFonts w:cs="宋体"/>
                <w:color w:val="000000"/>
                <w:kern w:val="0"/>
                <w:sz w:val="21"/>
                <w:szCs w:val="21"/>
              </w:rPr>
              <w:t>喇叭规格:4Ω10W</w:t>
            </w:r>
            <w:r>
              <w:rPr>
                <w:rFonts w:cs="宋体"/>
                <w:color w:val="000000"/>
                <w:kern w:val="0"/>
                <w:sz w:val="21"/>
                <w:szCs w:val="21"/>
              </w:rPr>
              <w:br w:type="textWrapping"/>
            </w:r>
            <w:r>
              <w:rPr>
                <w:rFonts w:cs="宋体"/>
                <w:color w:val="000000"/>
                <w:kern w:val="0"/>
                <w:sz w:val="21"/>
                <w:szCs w:val="21"/>
              </w:rPr>
              <w:t>防护等级:IP65</w:t>
            </w:r>
            <w:r>
              <w:rPr>
                <w:rFonts w:cs="宋体"/>
                <w:color w:val="000000"/>
                <w:kern w:val="0"/>
                <w:sz w:val="21"/>
                <w:szCs w:val="21"/>
              </w:rPr>
              <w:br w:type="textWrapping"/>
            </w:r>
            <w:r>
              <w:rPr>
                <w:rFonts w:cs="宋体"/>
                <w:color w:val="000000"/>
                <w:kern w:val="0"/>
                <w:sz w:val="21"/>
                <w:szCs w:val="21"/>
              </w:rPr>
              <w:t>点距:P4.75</w:t>
            </w:r>
            <w:r>
              <w:rPr>
                <w:rFonts w:cs="宋体"/>
                <w:color w:val="000000"/>
                <w:kern w:val="0"/>
                <w:sz w:val="21"/>
                <w:szCs w:val="21"/>
              </w:rPr>
              <w:br w:type="textWrapping"/>
            </w:r>
            <w:r>
              <w:rPr>
                <w:rFonts w:cs="宋体"/>
                <w:color w:val="000000"/>
                <w:kern w:val="0"/>
                <w:sz w:val="21"/>
                <w:szCs w:val="21"/>
              </w:rPr>
              <w:t>基色:1红1绿</w:t>
            </w:r>
            <w:r>
              <w:rPr>
                <w:rFonts w:cs="宋体"/>
                <w:color w:val="000000"/>
                <w:kern w:val="0"/>
                <w:sz w:val="21"/>
                <w:szCs w:val="21"/>
              </w:rPr>
              <w:br w:type="textWrapping"/>
            </w:r>
            <w:r>
              <w:rPr>
                <w:rFonts w:cs="宋体"/>
                <w:color w:val="000000"/>
                <w:kern w:val="0"/>
                <w:sz w:val="21"/>
                <w:szCs w:val="21"/>
              </w:rPr>
              <w:t>下行通讯方式:RJ45（特殊场景也支持RS485）</w:t>
            </w:r>
            <w:r>
              <w:rPr>
                <w:rFonts w:cs="宋体"/>
                <w:color w:val="000000"/>
                <w:kern w:val="0"/>
                <w:sz w:val="21"/>
                <w:szCs w:val="21"/>
              </w:rPr>
              <w:br w:type="textWrapping"/>
            </w:r>
            <w:r>
              <w:rPr>
                <w:rFonts w:cs="宋体"/>
                <w:color w:val="000000"/>
                <w:kern w:val="0"/>
                <w:sz w:val="21"/>
                <w:szCs w:val="21"/>
              </w:rPr>
              <w:t>显示方式:即显、左移、上移、上展开、下展开等显示方式</w:t>
            </w:r>
            <w:r>
              <w:rPr>
                <w:rFonts w:cs="宋体"/>
                <w:color w:val="000000"/>
                <w:kern w:val="0"/>
                <w:sz w:val="21"/>
                <w:szCs w:val="21"/>
              </w:rPr>
              <w:br w:type="textWrapping"/>
            </w:r>
            <w:r>
              <w:rPr>
                <w:rFonts w:cs="宋体"/>
                <w:color w:val="000000"/>
                <w:kern w:val="0"/>
                <w:sz w:val="21"/>
                <w:szCs w:val="21"/>
              </w:rPr>
              <w:t>字符显示:支持GB2312字符集，支持16×16点阵常用汉字</w:t>
            </w:r>
            <w:r>
              <w:rPr>
                <w:rFonts w:cs="宋体"/>
                <w:color w:val="000000"/>
                <w:kern w:val="0"/>
                <w:sz w:val="21"/>
                <w:szCs w:val="21"/>
              </w:rPr>
              <w:br w:type="textWrapping"/>
            </w:r>
            <w:r>
              <w:rPr>
                <w:rFonts w:cs="宋体"/>
                <w:color w:val="000000"/>
                <w:kern w:val="0"/>
                <w:sz w:val="21"/>
                <w:szCs w:val="21"/>
              </w:rPr>
              <w:t>通讯距离:RJ45 120米</w:t>
            </w:r>
            <w:r>
              <w:rPr>
                <w:rFonts w:cs="宋体"/>
                <w:color w:val="000000"/>
                <w:kern w:val="0"/>
                <w:sz w:val="21"/>
                <w:szCs w:val="21"/>
              </w:rPr>
              <w:br w:type="textWrapping"/>
            </w:r>
            <w:r>
              <w:rPr>
                <w:rFonts w:cs="宋体"/>
                <w:color w:val="000000"/>
                <w:kern w:val="0"/>
                <w:sz w:val="21"/>
                <w:szCs w:val="21"/>
              </w:rPr>
              <w:t>功耗:最大50W，平均30W</w:t>
            </w:r>
            <w:r>
              <w:rPr>
                <w:rFonts w:cs="宋体"/>
                <w:color w:val="000000"/>
                <w:kern w:val="0"/>
                <w:sz w:val="21"/>
                <w:szCs w:val="21"/>
              </w:rPr>
              <w:br w:type="textWrapping"/>
            </w:r>
            <w:r>
              <w:rPr>
                <w:rFonts w:cs="宋体"/>
                <w:color w:val="000000"/>
                <w:kern w:val="0"/>
                <w:sz w:val="21"/>
                <w:szCs w:val="21"/>
              </w:rPr>
              <w:t>显示面积:高304mm*宽304mm</w:t>
            </w:r>
            <w:r>
              <w:rPr>
                <w:rFonts w:cs="宋体"/>
                <w:color w:val="000000"/>
                <w:kern w:val="0"/>
                <w:sz w:val="21"/>
                <w:szCs w:val="21"/>
              </w:rPr>
              <w:br w:type="textWrapping"/>
            </w:r>
            <w:r>
              <w:rPr>
                <w:rFonts w:cs="宋体"/>
                <w:color w:val="000000"/>
                <w:kern w:val="0"/>
                <w:sz w:val="21"/>
                <w:szCs w:val="21"/>
              </w:rPr>
              <w:t>外形尺寸:宽364mm*高484mm*厚60mm</w:t>
            </w:r>
            <w:r>
              <w:rPr>
                <w:rFonts w:cs="宋体"/>
                <w:color w:val="000000"/>
                <w:kern w:val="0"/>
                <w:sz w:val="21"/>
                <w:szCs w:val="21"/>
              </w:rPr>
              <w:br w:type="textWrapping"/>
            </w:r>
            <w:r>
              <w:rPr>
                <w:rFonts w:cs="宋体"/>
                <w:color w:val="000000"/>
                <w:kern w:val="0"/>
                <w:sz w:val="21"/>
                <w:szCs w:val="21"/>
              </w:rPr>
              <w:t>功能特性：四行，四字，双色，带语音模块及音箱，出入口室外显示屏，P4.75，抱箍安装</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6</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634"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出入口控制终端</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出入口控制终端【裸机带系统，不含软件】</w:t>
            </w:r>
            <w:r>
              <w:rPr>
                <w:rFonts w:cs="宋体"/>
                <w:color w:val="000000"/>
                <w:kern w:val="0"/>
                <w:sz w:val="21"/>
                <w:szCs w:val="21"/>
              </w:rPr>
              <w:br w:type="textWrapping"/>
            </w:r>
            <w:r>
              <w:rPr>
                <w:rFonts w:cs="宋体"/>
                <w:color w:val="000000"/>
                <w:kern w:val="0"/>
                <w:sz w:val="21"/>
                <w:szCs w:val="21"/>
              </w:rPr>
              <w:br w:type="textWrapping"/>
            </w:r>
            <w:r>
              <w:rPr>
                <w:rFonts w:cs="宋体"/>
                <w:color w:val="000000"/>
                <w:kern w:val="0"/>
                <w:sz w:val="21"/>
                <w:szCs w:val="21"/>
              </w:rPr>
              <w:t xml:space="preserve">处理器：Intel Bay Trail平台处理器 </w:t>
            </w:r>
            <w:r>
              <w:rPr>
                <w:rFonts w:cs="宋体"/>
                <w:color w:val="000000"/>
                <w:kern w:val="0"/>
                <w:sz w:val="21"/>
                <w:szCs w:val="21"/>
              </w:rPr>
              <w:br w:type="textWrapping"/>
            </w:r>
            <w:r>
              <w:rPr>
                <w:rFonts w:cs="宋体"/>
                <w:color w:val="000000"/>
                <w:kern w:val="0"/>
                <w:sz w:val="21"/>
                <w:szCs w:val="21"/>
              </w:rPr>
              <w:t>内存：4GB</w:t>
            </w:r>
            <w:r>
              <w:rPr>
                <w:rFonts w:cs="宋体"/>
                <w:color w:val="000000"/>
                <w:kern w:val="0"/>
                <w:sz w:val="21"/>
                <w:szCs w:val="21"/>
              </w:rPr>
              <w:br w:type="textWrapping"/>
            </w:r>
            <w:r>
              <w:rPr>
                <w:rFonts w:cs="宋体"/>
                <w:color w:val="000000"/>
                <w:kern w:val="0"/>
                <w:sz w:val="21"/>
                <w:szCs w:val="21"/>
              </w:rPr>
              <w:t>硬盘存储：1个2.5寸监控级1T硬盘</w:t>
            </w:r>
            <w:r>
              <w:rPr>
                <w:rFonts w:cs="宋体"/>
                <w:color w:val="000000"/>
                <w:kern w:val="0"/>
                <w:sz w:val="21"/>
                <w:szCs w:val="21"/>
              </w:rPr>
              <w:br w:type="textWrapping"/>
            </w:r>
            <w:r>
              <w:rPr>
                <w:rFonts w:cs="宋体"/>
                <w:color w:val="000000"/>
                <w:kern w:val="0"/>
                <w:sz w:val="21"/>
                <w:szCs w:val="21"/>
              </w:rPr>
              <w:t>指示灯：电源指示灯/运行指示灯</w:t>
            </w:r>
            <w:r>
              <w:rPr>
                <w:rFonts w:cs="宋体"/>
                <w:color w:val="000000"/>
                <w:kern w:val="0"/>
                <w:sz w:val="21"/>
                <w:szCs w:val="21"/>
              </w:rPr>
              <w:br w:type="textWrapping"/>
            </w:r>
            <w:r>
              <w:rPr>
                <w:rFonts w:cs="宋体"/>
                <w:color w:val="000000"/>
                <w:kern w:val="0"/>
                <w:sz w:val="21"/>
                <w:szCs w:val="21"/>
              </w:rPr>
              <w:t>显示器分辨率：1920×1080</w:t>
            </w:r>
            <w:r>
              <w:rPr>
                <w:rFonts w:cs="宋体"/>
                <w:color w:val="000000"/>
                <w:kern w:val="0"/>
                <w:sz w:val="21"/>
                <w:szCs w:val="21"/>
              </w:rPr>
              <w:br w:type="textWrapping"/>
            </w:r>
            <w:r>
              <w:rPr>
                <w:rFonts w:cs="宋体"/>
                <w:color w:val="000000"/>
                <w:kern w:val="0"/>
                <w:sz w:val="21"/>
                <w:szCs w:val="21"/>
              </w:rPr>
              <w:t>电源：DC12V/5A适配器</w:t>
            </w:r>
            <w:r>
              <w:rPr>
                <w:rFonts w:cs="宋体"/>
                <w:color w:val="000000"/>
                <w:kern w:val="0"/>
                <w:sz w:val="21"/>
                <w:szCs w:val="21"/>
              </w:rPr>
              <w:br w:type="textWrapping"/>
            </w:r>
            <w:r>
              <w:rPr>
                <w:rFonts w:cs="宋体"/>
                <w:color w:val="000000"/>
                <w:kern w:val="0"/>
                <w:sz w:val="21"/>
                <w:szCs w:val="21"/>
              </w:rPr>
              <w:t>机械特性：尺寸：525mm（宽）×170mm（深）×377mm（高） 黑色铝型材外壳、无风扇热设计，保证机器稳定运行。</w:t>
            </w:r>
            <w:r>
              <w:rPr>
                <w:rFonts w:cs="宋体"/>
                <w:color w:val="000000"/>
                <w:kern w:val="0"/>
                <w:sz w:val="21"/>
                <w:szCs w:val="21"/>
              </w:rPr>
              <w:br w:type="textWrapping"/>
            </w:r>
            <w:r>
              <w:rPr>
                <w:rFonts w:cs="宋体"/>
                <w:color w:val="000000"/>
                <w:kern w:val="0"/>
                <w:sz w:val="21"/>
                <w:szCs w:val="21"/>
              </w:rPr>
              <w:t>功耗：峰值60W，平均35W</w:t>
            </w:r>
            <w:r>
              <w:rPr>
                <w:rFonts w:cs="宋体"/>
                <w:color w:val="000000"/>
                <w:kern w:val="0"/>
                <w:sz w:val="21"/>
                <w:szCs w:val="21"/>
              </w:rPr>
              <w:br w:type="textWrapping"/>
            </w:r>
            <w:r>
              <w:rPr>
                <w:rFonts w:cs="宋体"/>
                <w:color w:val="000000"/>
                <w:kern w:val="0"/>
                <w:sz w:val="21"/>
                <w:szCs w:val="21"/>
              </w:rPr>
              <w:t>工作环境：工作温度0℃～40℃、工作湿度10%～95%</w:t>
            </w:r>
            <w:r>
              <w:rPr>
                <w:rFonts w:cs="宋体"/>
                <w:color w:val="000000"/>
                <w:kern w:val="0"/>
                <w:sz w:val="21"/>
                <w:szCs w:val="21"/>
              </w:rPr>
              <w:br w:type="textWrapping"/>
            </w:r>
            <w:r>
              <w:rPr>
                <w:rFonts w:cs="宋体"/>
                <w:color w:val="000000"/>
                <w:kern w:val="0"/>
                <w:sz w:val="21"/>
                <w:szCs w:val="21"/>
              </w:rPr>
              <w:t>功能特性：无风扇设计，集成交换机、485接口、报警4进4出、麦克风输入、视频HDMI接口，1T硬盘，22寸1080p显示屏，配置键鼠套件，正版32位Windows系统</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198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停车场出入口管理</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1、支持准确记录识别诸如卡号、车牌号等验证凭据，确保车辆的进出有据可查、可控，保障车辆快速通过道闸，支撑停车场的高效和安全运转</w:t>
            </w:r>
            <w:r>
              <w:rPr>
                <w:rFonts w:cs="宋体"/>
                <w:color w:val="000000"/>
                <w:kern w:val="0"/>
                <w:sz w:val="21"/>
                <w:szCs w:val="21"/>
              </w:rPr>
              <w:br w:type="textWrapping"/>
            </w:r>
            <w:r>
              <w:rPr>
                <w:rFonts w:cs="宋体"/>
                <w:color w:val="000000"/>
                <w:kern w:val="0"/>
                <w:sz w:val="21"/>
                <w:szCs w:val="21"/>
              </w:rPr>
              <w:t>2、支持车辆分组管理和充值管理；</w:t>
            </w:r>
            <w:r>
              <w:rPr>
                <w:rFonts w:cs="宋体"/>
                <w:color w:val="000000"/>
                <w:kern w:val="0"/>
                <w:sz w:val="21"/>
                <w:szCs w:val="21"/>
              </w:rPr>
              <w:br w:type="textWrapping"/>
            </w:r>
            <w:r>
              <w:rPr>
                <w:rFonts w:cs="宋体"/>
                <w:color w:val="000000"/>
                <w:kern w:val="0"/>
                <w:sz w:val="21"/>
                <w:szCs w:val="21"/>
              </w:rPr>
              <w:t>3、支持放行规则、收费规则、优惠规则的配置；</w:t>
            </w:r>
            <w:r>
              <w:rPr>
                <w:rFonts w:cs="宋体"/>
                <w:color w:val="000000"/>
                <w:kern w:val="0"/>
                <w:sz w:val="21"/>
                <w:szCs w:val="21"/>
              </w:rPr>
              <w:br w:type="textWrapping"/>
            </w:r>
            <w:r>
              <w:rPr>
                <w:rFonts w:cs="宋体"/>
                <w:color w:val="000000"/>
                <w:kern w:val="0"/>
                <w:sz w:val="21"/>
                <w:szCs w:val="21"/>
              </w:rPr>
              <w:t>4、支持信息记录的查询和统计分析；</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6</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车道</w:t>
            </w:r>
          </w:p>
        </w:tc>
      </w:tr>
      <w:tr>
        <w:tblPrEx>
          <w:tblCellMar>
            <w:top w:w="0" w:type="dxa"/>
            <w:left w:w="108" w:type="dxa"/>
            <w:bottom w:w="0" w:type="dxa"/>
            <w:right w:w="108" w:type="dxa"/>
          </w:tblCellMar>
        </w:tblPrEx>
        <w:trPr>
          <w:trHeight w:val="330" w:hRule="atLeast"/>
        </w:trPr>
        <w:tc>
          <w:tcPr>
            <w:tcW w:w="1193" w:type="dxa"/>
            <w:vMerge w:val="restart"/>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无线覆盖</w:t>
            </w: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无线覆盖</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达到实现无线覆盖要求</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路由器 &amp; 无线控制器</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千兆级</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吸顶无线AP</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千兆级</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8</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restart"/>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梯控</w:t>
            </w: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信息识别器</w:t>
            </w:r>
          </w:p>
        </w:tc>
        <w:tc>
          <w:tcPr>
            <w:tcW w:w="5152" w:type="dxa"/>
            <w:vMerge w:val="restart"/>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highlight w:val="none"/>
              </w:rPr>
            </w:pPr>
            <w:r>
              <w:rPr>
                <w:rFonts w:cs="宋体"/>
                <w:color w:val="000000"/>
                <w:kern w:val="0"/>
                <w:sz w:val="21"/>
                <w:szCs w:val="21"/>
                <w:highlight w:val="none"/>
              </w:rPr>
              <w:t>可实现生成访客二维码，并能刷一次性二维码到指定楼层</w:t>
            </w:r>
          </w:p>
          <w:p>
            <w:pPr>
              <w:widowControl/>
              <w:spacing w:line="240" w:lineRule="auto"/>
              <w:jc w:val="left"/>
              <w:rPr>
                <w:rFonts w:cs="宋体"/>
                <w:color w:val="000000"/>
                <w:kern w:val="0"/>
                <w:sz w:val="21"/>
                <w:szCs w:val="21"/>
                <w:highlight w:val="none"/>
              </w:rPr>
            </w:pPr>
            <w:r>
              <w:rPr>
                <w:rFonts w:cs="宋体"/>
                <w:color w:val="000000"/>
                <w:kern w:val="0"/>
                <w:sz w:val="21"/>
                <w:szCs w:val="21"/>
                <w:highlight w:val="none"/>
              </w:rPr>
              <w:t>★电梯实现无缝对接</w:t>
            </w:r>
          </w:p>
          <w:p>
            <w:pPr>
              <w:widowControl/>
              <w:spacing w:line="240" w:lineRule="auto"/>
              <w:jc w:val="left"/>
              <w:rPr>
                <w:rFonts w:hint="eastAsia" w:eastAsia="宋体" w:cs="宋体"/>
                <w:color w:val="000000"/>
                <w:kern w:val="0"/>
                <w:sz w:val="21"/>
                <w:szCs w:val="21"/>
                <w:highlight w:val="yellow"/>
                <w:lang w:val="en-US" w:eastAsia="zh-CN"/>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层站分层控制器</w:t>
            </w:r>
          </w:p>
        </w:tc>
        <w:tc>
          <w:tcPr>
            <w:tcW w:w="515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块</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控制器电源</w:t>
            </w:r>
          </w:p>
        </w:tc>
        <w:tc>
          <w:tcPr>
            <w:tcW w:w="515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控制器箱体</w:t>
            </w:r>
          </w:p>
        </w:tc>
        <w:tc>
          <w:tcPr>
            <w:tcW w:w="515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授权发行器</w:t>
            </w:r>
          </w:p>
        </w:tc>
        <w:tc>
          <w:tcPr>
            <w:tcW w:w="515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软件平台</w:t>
            </w:r>
          </w:p>
        </w:tc>
        <w:tc>
          <w:tcPr>
            <w:tcW w:w="515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系统开关卡</w:t>
            </w:r>
          </w:p>
        </w:tc>
        <w:tc>
          <w:tcPr>
            <w:tcW w:w="515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张</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软件防盗器</w:t>
            </w:r>
          </w:p>
        </w:tc>
        <w:tc>
          <w:tcPr>
            <w:tcW w:w="515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330" w:hRule="atLeast"/>
        </w:trPr>
        <w:tc>
          <w:tcPr>
            <w:tcW w:w="1193" w:type="dxa"/>
            <w:vMerge w:val="restart"/>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电梯运行状态监测设备</w:t>
            </w: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电梯卫士（参数版）</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实现电梯运行状态实时监测，并给三维建模平台提供软件接口，可在三维建模平台中显示电梯楼层位置及状态</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424"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平层传感器</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工作电压：</w:t>
            </w:r>
            <w:r>
              <w:rPr>
                <w:rFonts w:hint="default" w:cs="宋体"/>
                <w:color w:val="000000"/>
                <w:kern w:val="0"/>
                <w:sz w:val="21"/>
                <w:szCs w:val="21"/>
              </w:rPr>
              <w:t>DC9~16V；</w:t>
            </w:r>
          </w:p>
          <w:p>
            <w:pPr>
              <w:widowControl/>
              <w:spacing w:line="240" w:lineRule="auto"/>
              <w:jc w:val="left"/>
              <w:rPr>
                <w:rFonts w:hint="default" w:cs="宋体"/>
                <w:color w:val="000000"/>
                <w:kern w:val="0"/>
                <w:sz w:val="21"/>
                <w:szCs w:val="21"/>
              </w:rPr>
            </w:pPr>
            <w:r>
              <w:rPr>
                <w:rFonts w:cs="宋体"/>
                <w:color w:val="000000"/>
                <w:kern w:val="0"/>
                <w:sz w:val="21"/>
                <w:szCs w:val="21"/>
              </w:rPr>
              <w:t>消耗电流：《</w:t>
            </w:r>
            <w:r>
              <w:rPr>
                <w:rFonts w:hint="default" w:cs="宋体"/>
                <w:color w:val="000000"/>
                <w:kern w:val="0"/>
                <w:sz w:val="21"/>
                <w:szCs w:val="21"/>
              </w:rPr>
              <w:t>20mA；</w:t>
            </w:r>
          </w:p>
          <w:p>
            <w:pPr>
              <w:widowControl/>
              <w:spacing w:line="240" w:lineRule="auto"/>
              <w:jc w:val="left"/>
              <w:rPr>
                <w:rFonts w:hint="default" w:cs="宋体"/>
                <w:color w:val="000000"/>
                <w:kern w:val="0"/>
                <w:sz w:val="21"/>
                <w:szCs w:val="21"/>
              </w:rPr>
            </w:pPr>
            <w:r>
              <w:rPr>
                <w:rFonts w:cs="宋体"/>
                <w:color w:val="000000"/>
                <w:kern w:val="0"/>
                <w:sz w:val="21"/>
                <w:szCs w:val="21"/>
              </w:rPr>
              <w:t>工作距离：〈</w:t>
            </w:r>
            <w:r>
              <w:rPr>
                <w:rFonts w:hint="default" w:cs="宋体"/>
                <w:color w:val="000000"/>
                <w:kern w:val="0"/>
                <w:sz w:val="21"/>
                <w:szCs w:val="21"/>
              </w:rPr>
              <w:t>60mm；</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门传感器</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工作电压：</w:t>
            </w:r>
            <w:r>
              <w:rPr>
                <w:rFonts w:hint="default" w:cs="宋体"/>
                <w:color w:val="000000"/>
                <w:kern w:val="0"/>
                <w:sz w:val="21"/>
                <w:szCs w:val="21"/>
              </w:rPr>
              <w:t>DC9~16V；</w:t>
            </w:r>
          </w:p>
          <w:p>
            <w:pPr>
              <w:widowControl/>
              <w:spacing w:line="240" w:lineRule="auto"/>
              <w:jc w:val="left"/>
              <w:rPr>
                <w:rFonts w:hint="default" w:cs="宋体"/>
                <w:color w:val="000000"/>
                <w:kern w:val="0"/>
                <w:sz w:val="21"/>
                <w:szCs w:val="21"/>
              </w:rPr>
            </w:pPr>
            <w:r>
              <w:rPr>
                <w:rFonts w:cs="宋体"/>
                <w:color w:val="000000"/>
                <w:kern w:val="0"/>
                <w:sz w:val="21"/>
                <w:szCs w:val="21"/>
              </w:rPr>
              <w:t>环境温度：</w:t>
            </w:r>
            <w:r>
              <w:rPr>
                <w:rFonts w:hint="default" w:cs="宋体"/>
                <w:color w:val="000000"/>
                <w:kern w:val="0"/>
                <w:sz w:val="21"/>
                <w:szCs w:val="21"/>
              </w:rPr>
              <w:t>-20℃~+50℃；</w:t>
            </w:r>
          </w:p>
          <w:p>
            <w:pPr>
              <w:widowControl/>
              <w:spacing w:line="240" w:lineRule="auto"/>
              <w:jc w:val="left"/>
              <w:rPr>
                <w:rFonts w:hint="default" w:cs="宋体"/>
                <w:color w:val="000000"/>
                <w:kern w:val="0"/>
                <w:sz w:val="21"/>
                <w:szCs w:val="21"/>
              </w:rPr>
            </w:pPr>
            <w:r>
              <w:rPr>
                <w:rFonts w:cs="宋体"/>
                <w:color w:val="000000"/>
                <w:kern w:val="0"/>
                <w:sz w:val="21"/>
                <w:szCs w:val="21"/>
              </w:rPr>
              <w:t>监测距离：</w:t>
            </w:r>
            <w:r>
              <w:rPr>
                <w:rFonts w:hint="default" w:cs="宋体"/>
                <w:color w:val="000000"/>
                <w:kern w:val="0"/>
                <w:sz w:val="21"/>
                <w:szCs w:val="21"/>
              </w:rPr>
              <w:t>5~10mm</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人体监测传感器</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工作电压：</w:t>
            </w:r>
            <w:r>
              <w:rPr>
                <w:rFonts w:hint="default" w:cs="宋体"/>
                <w:color w:val="000000"/>
                <w:kern w:val="0"/>
                <w:sz w:val="21"/>
                <w:szCs w:val="21"/>
              </w:rPr>
              <w:t>DC9~16V；</w:t>
            </w:r>
          </w:p>
          <w:p>
            <w:pPr>
              <w:widowControl/>
              <w:spacing w:line="240" w:lineRule="auto"/>
              <w:jc w:val="left"/>
              <w:rPr>
                <w:rFonts w:hint="default" w:cs="宋体"/>
                <w:color w:val="000000"/>
                <w:kern w:val="0"/>
                <w:sz w:val="21"/>
                <w:szCs w:val="21"/>
              </w:rPr>
            </w:pPr>
            <w:r>
              <w:rPr>
                <w:rFonts w:cs="宋体"/>
                <w:color w:val="000000"/>
                <w:kern w:val="0"/>
                <w:sz w:val="21"/>
                <w:szCs w:val="21"/>
              </w:rPr>
              <w:t>消耗电流：《</w:t>
            </w:r>
            <w:r>
              <w:rPr>
                <w:rFonts w:hint="default" w:cs="宋体"/>
                <w:color w:val="000000"/>
                <w:kern w:val="0"/>
                <w:sz w:val="21"/>
                <w:szCs w:val="21"/>
              </w:rPr>
              <w:t>20MA；</w:t>
            </w:r>
          </w:p>
          <w:p>
            <w:pPr>
              <w:widowControl/>
              <w:spacing w:line="240" w:lineRule="auto"/>
              <w:jc w:val="left"/>
              <w:rPr>
                <w:rFonts w:hint="default" w:cs="宋体"/>
                <w:color w:val="000000"/>
                <w:kern w:val="0"/>
                <w:sz w:val="21"/>
                <w:szCs w:val="21"/>
              </w:rPr>
            </w:pPr>
            <w:r>
              <w:rPr>
                <w:rFonts w:cs="宋体"/>
                <w:color w:val="000000"/>
                <w:kern w:val="0"/>
                <w:sz w:val="21"/>
                <w:szCs w:val="21"/>
              </w:rPr>
              <w:t>环境温度：</w:t>
            </w:r>
            <w:r>
              <w:rPr>
                <w:rFonts w:hint="default" w:cs="宋体"/>
                <w:color w:val="000000"/>
                <w:kern w:val="0"/>
                <w:sz w:val="21"/>
                <w:szCs w:val="21"/>
              </w:rPr>
              <w:t>-20℃~+50℃；</w:t>
            </w:r>
          </w:p>
          <w:p>
            <w:pPr>
              <w:widowControl/>
              <w:spacing w:line="240" w:lineRule="auto"/>
              <w:jc w:val="left"/>
              <w:rPr>
                <w:rFonts w:hint="default" w:cs="宋体"/>
                <w:color w:val="000000"/>
                <w:kern w:val="0"/>
                <w:sz w:val="21"/>
                <w:szCs w:val="21"/>
              </w:rPr>
            </w:pPr>
            <w:r>
              <w:rPr>
                <w:rFonts w:cs="宋体"/>
                <w:color w:val="000000"/>
                <w:kern w:val="0"/>
                <w:sz w:val="21"/>
                <w:szCs w:val="21"/>
              </w:rPr>
              <w:t>安装高度：</w:t>
            </w:r>
            <w:r>
              <w:rPr>
                <w:rFonts w:hint="default" w:cs="宋体"/>
                <w:color w:val="000000"/>
                <w:kern w:val="0"/>
                <w:sz w:val="21"/>
                <w:szCs w:val="21"/>
              </w:rPr>
              <w:t>2.5~6m；</w:t>
            </w:r>
          </w:p>
          <w:p>
            <w:pPr>
              <w:widowControl/>
              <w:spacing w:line="240" w:lineRule="auto"/>
              <w:jc w:val="left"/>
              <w:rPr>
                <w:rFonts w:hint="default" w:cs="宋体"/>
                <w:color w:val="000000"/>
                <w:kern w:val="0"/>
                <w:sz w:val="21"/>
                <w:szCs w:val="21"/>
              </w:rPr>
            </w:pPr>
            <w:r>
              <w:rPr>
                <w:rFonts w:cs="宋体"/>
                <w:color w:val="000000"/>
                <w:kern w:val="0"/>
                <w:sz w:val="21"/>
                <w:szCs w:val="21"/>
              </w:rPr>
              <w:t>探测角度：全方位</w:t>
            </w:r>
            <w:r>
              <w:rPr>
                <w:rFonts w:hint="default" w:cs="宋体"/>
                <w:color w:val="000000"/>
                <w:kern w:val="0"/>
                <w:sz w:val="21"/>
                <w:szCs w:val="21"/>
              </w:rPr>
              <w:t>360°；</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流量费</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年</w:t>
            </w:r>
          </w:p>
        </w:tc>
      </w:tr>
      <w:tr>
        <w:tblPrEx>
          <w:tblCellMar>
            <w:top w:w="0" w:type="dxa"/>
            <w:left w:w="108" w:type="dxa"/>
            <w:bottom w:w="0" w:type="dxa"/>
            <w:right w:w="108" w:type="dxa"/>
          </w:tblCellMar>
        </w:tblPrEx>
        <w:trPr>
          <w:trHeight w:val="33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LED屏</w:t>
            </w: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拼接屏</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显示面积：</w:t>
            </w:r>
            <w:r>
              <w:rPr>
                <w:rFonts w:hint="default" w:cs="宋体"/>
                <w:color w:val="000000"/>
                <w:kern w:val="0"/>
                <w:sz w:val="21"/>
                <w:szCs w:val="21"/>
              </w:rPr>
              <w:t>1018.28mm(W)×572.87mm(H)，                                   机身尺寸：1021.98mm×576.57mm×129.2mm；                                      1、▲超薄窄边设计，物理拼缝不大于3.5mm；分辨率≥1920×1080；对比度≥3000：1                                                                           2；亮度≥500cd/m2；响应时间≦8ms；</w:t>
            </w:r>
          </w:p>
          <w:p>
            <w:pPr>
              <w:widowControl/>
              <w:spacing w:line="240" w:lineRule="auto"/>
              <w:jc w:val="left"/>
              <w:rPr>
                <w:rFonts w:hint="default" w:cs="宋体"/>
                <w:color w:val="000000"/>
                <w:kern w:val="0"/>
                <w:sz w:val="21"/>
                <w:szCs w:val="21"/>
              </w:rPr>
            </w:pPr>
            <w:r>
              <w:rPr>
                <w:rFonts w:hint="default" w:cs="宋体"/>
                <w:color w:val="000000"/>
                <w:kern w:val="0"/>
                <w:sz w:val="21"/>
                <w:szCs w:val="21"/>
              </w:rPr>
              <w:t>3、应具有数字降噪、自动显示格式匹配、手动白平衡调节功能；</w:t>
            </w:r>
          </w:p>
          <w:p>
            <w:pPr>
              <w:widowControl/>
              <w:spacing w:line="240" w:lineRule="auto"/>
              <w:jc w:val="left"/>
              <w:rPr>
                <w:rFonts w:hint="default" w:cs="宋体"/>
                <w:color w:val="000000"/>
                <w:kern w:val="0"/>
                <w:sz w:val="21"/>
                <w:szCs w:val="21"/>
              </w:rPr>
            </w:pPr>
            <w:r>
              <w:rPr>
                <w:rFonts w:hint="default" w:cs="宋体"/>
                <w:color w:val="000000"/>
                <w:kern w:val="0"/>
                <w:sz w:val="21"/>
                <w:szCs w:val="21"/>
              </w:rPr>
              <w:t>4、工作湿度：10%~85%，在恶劣环境下仍能正常使用，电源要求：AC100-240V（50/60Hz），工作温度：0℃~ +40℃；</w:t>
            </w:r>
          </w:p>
          <w:p>
            <w:pPr>
              <w:widowControl/>
              <w:spacing w:line="240" w:lineRule="auto"/>
              <w:jc w:val="left"/>
              <w:rPr>
                <w:rFonts w:hint="default" w:cs="宋体"/>
                <w:color w:val="000000"/>
                <w:kern w:val="0"/>
                <w:sz w:val="21"/>
                <w:szCs w:val="21"/>
              </w:rPr>
            </w:pPr>
            <w:r>
              <w:rPr>
                <w:rFonts w:hint="default" w:cs="宋体"/>
                <w:color w:val="000000"/>
                <w:kern w:val="0"/>
                <w:sz w:val="21"/>
                <w:szCs w:val="21"/>
              </w:rPr>
              <w:t>5、产品稳定性试验：设备在正常工作条件下，连续工作168小时，不应出现电、机械或操作系统故障。</w:t>
            </w:r>
          </w:p>
          <w:p>
            <w:pPr>
              <w:widowControl/>
              <w:spacing w:line="240" w:lineRule="auto"/>
              <w:jc w:val="left"/>
              <w:rPr>
                <w:rFonts w:hint="default" w:cs="宋体"/>
                <w:color w:val="000000"/>
                <w:kern w:val="0"/>
                <w:sz w:val="21"/>
                <w:szCs w:val="21"/>
              </w:rPr>
            </w:pPr>
            <w:r>
              <w:rPr>
                <w:rFonts w:hint="default" w:cs="宋体"/>
                <w:color w:val="000000"/>
                <w:kern w:val="0"/>
                <w:sz w:val="21"/>
                <w:szCs w:val="21"/>
              </w:rPr>
              <w:t xml:space="preserve">6、液晶显示单元符合GB9254-2008—30MHz～1000MHz 辐射骚扰场强限值要求；                                           </w:t>
            </w:r>
          </w:p>
          <w:p>
            <w:pPr>
              <w:widowControl/>
              <w:spacing w:line="240" w:lineRule="auto"/>
              <w:jc w:val="left"/>
              <w:rPr>
                <w:rFonts w:hint="default" w:cs="宋体"/>
                <w:color w:val="000000"/>
                <w:kern w:val="0"/>
                <w:sz w:val="21"/>
                <w:szCs w:val="21"/>
              </w:rPr>
            </w:pPr>
            <w:r>
              <w:rPr>
                <w:rFonts w:hint="default" w:cs="宋体"/>
                <w:color w:val="000000"/>
                <w:kern w:val="0"/>
                <w:sz w:val="21"/>
                <w:szCs w:val="21"/>
              </w:rPr>
              <w:t xml:space="preserve">7、液晶显示单元金属外壳符合盐雾试验要求； </w:t>
            </w:r>
          </w:p>
          <w:p>
            <w:pPr>
              <w:widowControl/>
              <w:spacing w:line="240" w:lineRule="auto"/>
              <w:jc w:val="left"/>
              <w:rPr>
                <w:rFonts w:hint="default" w:cs="宋体"/>
                <w:color w:val="000000"/>
                <w:kern w:val="0"/>
                <w:sz w:val="21"/>
                <w:szCs w:val="21"/>
              </w:rPr>
            </w:pPr>
            <w:r>
              <w:rPr>
                <w:rFonts w:hint="default" w:cs="宋体"/>
                <w:color w:val="000000"/>
                <w:kern w:val="0"/>
                <w:sz w:val="21"/>
                <w:szCs w:val="21"/>
              </w:rPr>
              <w:t>8、液晶显示单元金属外壳符合防火试验要求；</w:t>
            </w:r>
          </w:p>
          <w:p>
            <w:pPr>
              <w:widowControl/>
              <w:spacing w:line="240" w:lineRule="auto"/>
              <w:jc w:val="left"/>
              <w:rPr>
                <w:rFonts w:hint="default" w:cs="宋体"/>
                <w:color w:val="000000"/>
                <w:kern w:val="0"/>
                <w:sz w:val="21"/>
                <w:szCs w:val="21"/>
              </w:rPr>
            </w:pPr>
            <w:r>
              <w:rPr>
                <w:rFonts w:hint="default" w:cs="宋体"/>
                <w:color w:val="000000"/>
                <w:kern w:val="0"/>
                <w:sz w:val="21"/>
                <w:szCs w:val="21"/>
              </w:rPr>
              <w:t>9、液晶显示单元漏光度低于 0.02cd/m</w:t>
            </w:r>
            <w:r>
              <w:rPr>
                <w:rFonts w:ascii="宋体" w:hAnsi="宋体" w:eastAsia="宋体" w:cs="宋体"/>
                <w:color w:val="000000"/>
                <w:kern w:val="0"/>
                <w:sz w:val="21"/>
                <w:szCs w:val="21"/>
              </w:rPr>
              <w:t>²</w:t>
            </w:r>
            <w:r>
              <w:rPr>
                <w:rFonts w:hint="default" w:cs="宋体"/>
                <w:color w:val="000000"/>
                <w:kern w:val="0"/>
                <w:sz w:val="21"/>
                <w:szCs w:val="21"/>
              </w:rPr>
              <w:t xml:space="preserve">； </w:t>
            </w:r>
          </w:p>
          <w:p>
            <w:pPr>
              <w:widowControl/>
              <w:spacing w:line="240" w:lineRule="auto"/>
              <w:jc w:val="left"/>
              <w:rPr>
                <w:rFonts w:hint="default" w:cs="宋体"/>
                <w:color w:val="000000"/>
                <w:kern w:val="0"/>
                <w:sz w:val="21"/>
                <w:szCs w:val="21"/>
              </w:rPr>
            </w:pPr>
            <w:r>
              <w:rPr>
                <w:rFonts w:hint="default" w:cs="宋体"/>
                <w:color w:val="000000"/>
                <w:kern w:val="0"/>
                <w:sz w:val="21"/>
                <w:szCs w:val="21"/>
              </w:rPr>
              <w:t>10、液晶拼接单元具备3 组冗余风扇，一个风扇损坏不会影响整机运行；</w:t>
            </w:r>
          </w:p>
          <w:p>
            <w:pPr>
              <w:widowControl/>
              <w:spacing w:line="240" w:lineRule="auto"/>
              <w:jc w:val="left"/>
              <w:rPr>
                <w:rFonts w:hint="default" w:cs="宋体"/>
                <w:color w:val="000000"/>
                <w:kern w:val="0"/>
                <w:sz w:val="21"/>
                <w:szCs w:val="21"/>
              </w:rPr>
            </w:pPr>
            <w:r>
              <w:rPr>
                <w:rFonts w:hint="default" w:cs="宋体"/>
                <w:color w:val="000000"/>
                <w:kern w:val="0"/>
                <w:sz w:val="21"/>
                <w:szCs w:val="21"/>
              </w:rPr>
              <w:t xml:space="preserve">11、拼接单元具有便捷的拼接及调整装置。 </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会议室LED屏</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color w:val="000000"/>
                <w:kern w:val="0"/>
                <w:sz w:val="21"/>
                <w:szCs w:val="21"/>
              </w:rPr>
            </w:pPr>
            <w:r>
              <w:rPr>
                <w:rFonts w:cs="宋体"/>
                <w:color w:val="000000"/>
                <w:kern w:val="0"/>
                <w:sz w:val="21"/>
                <w:szCs w:val="21"/>
              </w:rPr>
              <w:t>净显示尺寸：</w:t>
            </w:r>
            <w:r>
              <w:rPr>
                <w:rFonts w:hint="default" w:cs="宋体"/>
                <w:color w:val="000000"/>
                <w:kern w:val="0"/>
                <w:sz w:val="21"/>
                <w:szCs w:val="21"/>
              </w:rPr>
              <w:t>4160*2240mm                                                                                                                                                                   大屏分辨率点数：1664*896 像素结构 表贴三合一LED</w:t>
            </w:r>
          </w:p>
          <w:p>
            <w:pPr>
              <w:widowControl/>
              <w:spacing w:line="240" w:lineRule="auto"/>
              <w:jc w:val="left"/>
              <w:rPr>
                <w:rFonts w:hint="default" w:cs="宋体"/>
                <w:color w:val="000000"/>
                <w:kern w:val="0"/>
                <w:sz w:val="21"/>
                <w:szCs w:val="21"/>
              </w:rPr>
            </w:pPr>
            <w:r>
              <w:rPr>
                <w:rFonts w:cs="宋体"/>
                <w:color w:val="000000"/>
                <w:kern w:val="0"/>
                <w:sz w:val="21"/>
                <w:szCs w:val="21"/>
              </w:rPr>
              <w:t>像素间距（</w:t>
            </w:r>
            <w:r>
              <w:rPr>
                <w:rFonts w:hint="default" w:cs="宋体"/>
                <w:color w:val="000000"/>
                <w:kern w:val="0"/>
                <w:sz w:val="21"/>
                <w:szCs w:val="21"/>
              </w:rPr>
              <w:t>mm） 2.5</w:t>
            </w:r>
          </w:p>
          <w:p>
            <w:pPr>
              <w:widowControl/>
              <w:spacing w:line="240" w:lineRule="auto"/>
              <w:jc w:val="left"/>
              <w:rPr>
                <w:rFonts w:hint="default" w:cs="宋体"/>
                <w:color w:val="000000"/>
                <w:kern w:val="0"/>
                <w:sz w:val="21"/>
                <w:szCs w:val="21"/>
              </w:rPr>
            </w:pPr>
            <w:r>
              <w:rPr>
                <w:rFonts w:cs="宋体"/>
                <w:color w:val="000000"/>
                <w:kern w:val="0"/>
                <w:sz w:val="21"/>
                <w:szCs w:val="21"/>
              </w:rPr>
              <w:t>模组分辨率（</w:t>
            </w:r>
            <w:r>
              <w:rPr>
                <w:rFonts w:hint="default" w:cs="宋体"/>
                <w:color w:val="000000"/>
                <w:kern w:val="0"/>
                <w:sz w:val="21"/>
                <w:szCs w:val="21"/>
              </w:rPr>
              <w:t>W×H） 128×64</w:t>
            </w:r>
          </w:p>
          <w:p>
            <w:pPr>
              <w:widowControl/>
              <w:spacing w:line="240" w:lineRule="auto"/>
              <w:jc w:val="left"/>
              <w:rPr>
                <w:rFonts w:hint="default" w:cs="宋体"/>
                <w:color w:val="000000"/>
                <w:kern w:val="0"/>
                <w:sz w:val="21"/>
                <w:szCs w:val="21"/>
              </w:rPr>
            </w:pPr>
            <w:r>
              <w:rPr>
                <w:rFonts w:cs="宋体"/>
                <w:color w:val="000000"/>
                <w:kern w:val="0"/>
                <w:sz w:val="21"/>
                <w:szCs w:val="21"/>
              </w:rPr>
              <w:t>模组尺寸（</w:t>
            </w:r>
            <w:r>
              <w:rPr>
                <w:rFonts w:hint="default" w:cs="宋体"/>
                <w:color w:val="000000"/>
                <w:kern w:val="0"/>
                <w:sz w:val="21"/>
                <w:szCs w:val="21"/>
              </w:rPr>
              <w:t>mm）（W×H X D） 320×160×18</w:t>
            </w:r>
          </w:p>
          <w:p>
            <w:pPr>
              <w:widowControl/>
              <w:spacing w:line="240" w:lineRule="auto"/>
              <w:jc w:val="left"/>
              <w:rPr>
                <w:rFonts w:hint="default" w:cs="宋体"/>
                <w:color w:val="000000"/>
                <w:kern w:val="0"/>
                <w:sz w:val="21"/>
                <w:szCs w:val="21"/>
              </w:rPr>
            </w:pPr>
            <w:r>
              <w:rPr>
                <w:rFonts w:cs="宋体"/>
                <w:color w:val="000000"/>
                <w:kern w:val="0"/>
                <w:sz w:val="21"/>
                <w:szCs w:val="21"/>
              </w:rPr>
              <w:t>模组重量（</w:t>
            </w:r>
            <w:r>
              <w:rPr>
                <w:rFonts w:hint="default" w:cs="宋体"/>
                <w:color w:val="000000"/>
                <w:kern w:val="0"/>
                <w:sz w:val="21"/>
                <w:szCs w:val="21"/>
              </w:rPr>
              <w:t>Kg） 0.45</w:t>
            </w:r>
          </w:p>
          <w:p>
            <w:pPr>
              <w:widowControl/>
              <w:spacing w:line="240" w:lineRule="auto"/>
              <w:jc w:val="left"/>
              <w:rPr>
                <w:rFonts w:hint="default" w:cs="宋体"/>
                <w:color w:val="000000"/>
                <w:kern w:val="0"/>
                <w:sz w:val="21"/>
                <w:szCs w:val="21"/>
              </w:rPr>
            </w:pPr>
            <w:r>
              <w:rPr>
                <w:rFonts w:cs="宋体"/>
                <w:color w:val="000000"/>
                <w:kern w:val="0"/>
                <w:sz w:val="21"/>
                <w:szCs w:val="21"/>
              </w:rPr>
              <w:t>单元面积（</w:t>
            </w:r>
            <w:r>
              <w:rPr>
                <w:rFonts w:hint="default" w:cs="宋体"/>
                <w:color w:val="000000"/>
                <w:kern w:val="0"/>
                <w:sz w:val="21"/>
                <w:szCs w:val="21"/>
              </w:rPr>
              <w:t>m2） 0.0412</w:t>
            </w:r>
          </w:p>
          <w:p>
            <w:pPr>
              <w:widowControl/>
              <w:spacing w:line="240" w:lineRule="auto"/>
              <w:jc w:val="left"/>
              <w:rPr>
                <w:rFonts w:hint="default" w:cs="宋体"/>
                <w:color w:val="000000"/>
                <w:kern w:val="0"/>
                <w:sz w:val="21"/>
                <w:szCs w:val="21"/>
              </w:rPr>
            </w:pPr>
            <w:r>
              <w:rPr>
                <w:rFonts w:cs="宋体"/>
                <w:color w:val="000000"/>
                <w:kern w:val="0"/>
                <w:sz w:val="21"/>
                <w:szCs w:val="21"/>
              </w:rPr>
              <w:t>像素密度（点</w:t>
            </w:r>
            <w:r>
              <w:rPr>
                <w:rFonts w:hint="default" w:cs="宋体"/>
                <w:color w:val="000000"/>
                <w:kern w:val="0"/>
                <w:sz w:val="21"/>
                <w:szCs w:val="21"/>
              </w:rPr>
              <w:t>/㎡） 160000</w:t>
            </w:r>
          </w:p>
          <w:p>
            <w:pPr>
              <w:widowControl/>
              <w:spacing w:line="240" w:lineRule="auto"/>
              <w:jc w:val="left"/>
              <w:rPr>
                <w:rFonts w:hint="default" w:cs="宋体"/>
                <w:color w:val="000000"/>
                <w:kern w:val="0"/>
                <w:sz w:val="21"/>
                <w:szCs w:val="21"/>
              </w:rPr>
            </w:pPr>
            <w:r>
              <w:rPr>
                <w:rFonts w:cs="宋体"/>
                <w:color w:val="000000"/>
                <w:kern w:val="0"/>
                <w:sz w:val="21"/>
                <w:szCs w:val="21"/>
              </w:rPr>
              <w:t>白平衡亮度（</w:t>
            </w:r>
            <w:r>
              <w:rPr>
                <w:rFonts w:hint="default" w:cs="宋体"/>
                <w:color w:val="000000"/>
                <w:kern w:val="0"/>
                <w:sz w:val="21"/>
                <w:szCs w:val="21"/>
              </w:rPr>
              <w:t>nits）（校正后） 600</w:t>
            </w:r>
          </w:p>
          <w:p>
            <w:pPr>
              <w:widowControl/>
              <w:spacing w:line="240" w:lineRule="auto"/>
              <w:jc w:val="left"/>
              <w:rPr>
                <w:rFonts w:hint="default" w:cs="宋体"/>
                <w:color w:val="000000"/>
                <w:kern w:val="0"/>
                <w:sz w:val="21"/>
                <w:szCs w:val="21"/>
              </w:rPr>
            </w:pPr>
            <w:r>
              <w:rPr>
                <w:rFonts w:cs="宋体"/>
                <w:color w:val="000000"/>
                <w:kern w:val="0"/>
                <w:sz w:val="21"/>
                <w:szCs w:val="21"/>
              </w:rPr>
              <w:t>水平视角（</w:t>
            </w:r>
            <w:r>
              <w:rPr>
                <w:rFonts w:hint="default" w:cs="宋体"/>
                <w:color w:val="000000"/>
                <w:kern w:val="0"/>
                <w:sz w:val="21"/>
                <w:szCs w:val="21"/>
              </w:rPr>
              <w:t xml:space="preserve"> °） 140</w:t>
            </w:r>
          </w:p>
          <w:p>
            <w:pPr>
              <w:widowControl/>
              <w:spacing w:line="240" w:lineRule="auto"/>
              <w:jc w:val="left"/>
              <w:rPr>
                <w:rFonts w:hint="default" w:cs="宋体"/>
                <w:color w:val="000000"/>
                <w:kern w:val="0"/>
                <w:sz w:val="21"/>
                <w:szCs w:val="21"/>
              </w:rPr>
            </w:pPr>
            <w:r>
              <w:rPr>
                <w:rFonts w:cs="宋体"/>
                <w:color w:val="000000"/>
                <w:kern w:val="0"/>
                <w:sz w:val="21"/>
                <w:szCs w:val="21"/>
              </w:rPr>
              <w:t>垂直视角（</w:t>
            </w:r>
            <w:r>
              <w:rPr>
                <w:rFonts w:hint="default" w:cs="宋体"/>
                <w:color w:val="000000"/>
                <w:kern w:val="0"/>
                <w:sz w:val="21"/>
                <w:szCs w:val="21"/>
              </w:rPr>
              <w:t xml:space="preserve"> °） 130</w:t>
            </w:r>
          </w:p>
          <w:p>
            <w:pPr>
              <w:widowControl/>
              <w:spacing w:line="240" w:lineRule="auto"/>
              <w:jc w:val="left"/>
              <w:rPr>
                <w:rFonts w:hint="default" w:cs="宋体"/>
                <w:color w:val="000000"/>
                <w:kern w:val="0"/>
                <w:sz w:val="21"/>
                <w:szCs w:val="21"/>
              </w:rPr>
            </w:pPr>
            <w:r>
              <w:rPr>
                <w:rFonts w:cs="宋体"/>
                <w:color w:val="000000"/>
                <w:kern w:val="0"/>
                <w:sz w:val="21"/>
                <w:szCs w:val="21"/>
              </w:rPr>
              <w:t>发光点中心距偏差（校正后）</w:t>
            </w:r>
            <w:r>
              <w:rPr>
                <w:rFonts w:hint="default" w:cs="宋体"/>
                <w:color w:val="000000"/>
                <w:kern w:val="0"/>
                <w:sz w:val="21"/>
                <w:szCs w:val="21"/>
              </w:rPr>
              <w:t xml:space="preserve"> &lt;3%</w:t>
            </w:r>
          </w:p>
          <w:p>
            <w:pPr>
              <w:widowControl/>
              <w:spacing w:line="240" w:lineRule="auto"/>
              <w:jc w:val="left"/>
              <w:rPr>
                <w:rFonts w:hint="default" w:cs="宋体"/>
                <w:color w:val="000000"/>
                <w:kern w:val="0"/>
                <w:sz w:val="21"/>
                <w:szCs w:val="21"/>
              </w:rPr>
            </w:pPr>
            <w:r>
              <w:rPr>
                <w:rFonts w:cs="宋体"/>
                <w:color w:val="000000"/>
                <w:kern w:val="0"/>
                <w:sz w:val="21"/>
                <w:szCs w:val="21"/>
              </w:rPr>
              <w:t>峰值功耗（</w:t>
            </w:r>
            <w:r>
              <w:rPr>
                <w:rFonts w:hint="default" w:cs="宋体"/>
                <w:color w:val="000000"/>
                <w:kern w:val="0"/>
                <w:sz w:val="21"/>
                <w:szCs w:val="21"/>
              </w:rPr>
              <w:t>W/m2） 900</w:t>
            </w:r>
          </w:p>
          <w:p>
            <w:pPr>
              <w:widowControl/>
              <w:spacing w:line="240" w:lineRule="auto"/>
              <w:jc w:val="left"/>
              <w:rPr>
                <w:rFonts w:hint="default" w:cs="宋体"/>
                <w:color w:val="000000"/>
                <w:kern w:val="0"/>
                <w:sz w:val="21"/>
                <w:szCs w:val="21"/>
              </w:rPr>
            </w:pPr>
            <w:r>
              <w:rPr>
                <w:rFonts w:cs="宋体"/>
                <w:color w:val="000000"/>
                <w:kern w:val="0"/>
                <w:sz w:val="21"/>
                <w:szCs w:val="21"/>
              </w:rPr>
              <w:t>平均功耗（</w:t>
            </w:r>
            <w:r>
              <w:rPr>
                <w:rFonts w:hint="default" w:cs="宋体"/>
                <w:color w:val="000000"/>
                <w:kern w:val="0"/>
                <w:sz w:val="21"/>
                <w:szCs w:val="21"/>
              </w:rPr>
              <w:t>W/m2） 300</w:t>
            </w:r>
          </w:p>
          <w:p>
            <w:pPr>
              <w:widowControl/>
              <w:spacing w:line="240" w:lineRule="auto"/>
              <w:jc w:val="left"/>
              <w:rPr>
                <w:rFonts w:hint="default" w:cs="宋体"/>
                <w:color w:val="000000"/>
                <w:kern w:val="0"/>
                <w:sz w:val="21"/>
                <w:szCs w:val="21"/>
              </w:rPr>
            </w:pPr>
            <w:r>
              <w:rPr>
                <w:rFonts w:cs="宋体"/>
                <w:color w:val="000000"/>
                <w:kern w:val="0"/>
                <w:sz w:val="21"/>
                <w:szCs w:val="21"/>
              </w:rPr>
              <w:t>供电要求</w:t>
            </w:r>
            <w:r>
              <w:rPr>
                <w:rFonts w:hint="default" w:cs="宋体"/>
                <w:color w:val="000000"/>
                <w:kern w:val="0"/>
                <w:sz w:val="21"/>
                <w:szCs w:val="21"/>
              </w:rPr>
              <w:t xml:space="preserve"> AC100~240V（50-60Hz）</w:t>
            </w:r>
          </w:p>
          <w:p>
            <w:pPr>
              <w:widowControl/>
              <w:spacing w:line="240" w:lineRule="auto"/>
              <w:jc w:val="left"/>
              <w:rPr>
                <w:rFonts w:hint="default" w:cs="宋体"/>
                <w:color w:val="000000"/>
                <w:kern w:val="0"/>
                <w:sz w:val="21"/>
                <w:szCs w:val="21"/>
              </w:rPr>
            </w:pPr>
            <w:r>
              <w:rPr>
                <w:rFonts w:cs="宋体"/>
                <w:color w:val="000000"/>
                <w:kern w:val="0"/>
                <w:sz w:val="21"/>
                <w:szCs w:val="21"/>
              </w:rPr>
              <w:t>驱动方式</w:t>
            </w:r>
            <w:r>
              <w:rPr>
                <w:rFonts w:hint="default" w:cs="宋体"/>
                <w:color w:val="000000"/>
                <w:kern w:val="0"/>
                <w:sz w:val="21"/>
                <w:szCs w:val="21"/>
              </w:rPr>
              <w:t xml:space="preserve"> 恒流驱动8S</w:t>
            </w:r>
          </w:p>
          <w:p>
            <w:pPr>
              <w:widowControl/>
              <w:spacing w:line="240" w:lineRule="auto"/>
              <w:jc w:val="left"/>
              <w:rPr>
                <w:rFonts w:hint="default" w:cs="宋体"/>
                <w:color w:val="000000"/>
                <w:kern w:val="0"/>
                <w:sz w:val="21"/>
                <w:szCs w:val="21"/>
              </w:rPr>
            </w:pPr>
            <w:r>
              <w:rPr>
                <w:rFonts w:cs="宋体"/>
                <w:color w:val="000000"/>
                <w:kern w:val="0"/>
                <w:sz w:val="21"/>
                <w:szCs w:val="21"/>
              </w:rPr>
              <w:t>换帧频率（</w:t>
            </w:r>
            <w:r>
              <w:rPr>
                <w:rFonts w:hint="default" w:cs="宋体"/>
                <w:color w:val="000000"/>
                <w:kern w:val="0"/>
                <w:sz w:val="21"/>
                <w:szCs w:val="21"/>
              </w:rPr>
              <w:t>Hz） 50&amp;60</w:t>
            </w:r>
          </w:p>
          <w:p>
            <w:pPr>
              <w:widowControl/>
              <w:spacing w:line="240" w:lineRule="auto"/>
              <w:jc w:val="left"/>
              <w:rPr>
                <w:rFonts w:hint="default" w:cs="宋体"/>
                <w:color w:val="000000"/>
                <w:kern w:val="0"/>
                <w:sz w:val="21"/>
                <w:szCs w:val="21"/>
              </w:rPr>
            </w:pPr>
            <w:r>
              <w:rPr>
                <w:rFonts w:cs="宋体"/>
                <w:color w:val="000000"/>
                <w:kern w:val="0"/>
                <w:sz w:val="21"/>
                <w:szCs w:val="21"/>
              </w:rPr>
              <w:t>刷新率（</w:t>
            </w:r>
            <w:r>
              <w:rPr>
                <w:rFonts w:hint="default" w:cs="宋体"/>
                <w:color w:val="000000"/>
                <w:kern w:val="0"/>
                <w:sz w:val="21"/>
                <w:szCs w:val="21"/>
              </w:rPr>
              <w:t>Hz） 1920</w:t>
            </w:r>
          </w:p>
          <w:p>
            <w:pPr>
              <w:widowControl/>
              <w:spacing w:line="240" w:lineRule="auto"/>
              <w:jc w:val="left"/>
              <w:rPr>
                <w:rFonts w:hint="default" w:cs="宋体"/>
                <w:color w:val="000000"/>
                <w:kern w:val="0"/>
                <w:sz w:val="21"/>
                <w:szCs w:val="21"/>
              </w:rPr>
            </w:pPr>
            <w:r>
              <w:rPr>
                <w:rFonts w:cs="宋体"/>
                <w:color w:val="000000"/>
                <w:kern w:val="0"/>
                <w:sz w:val="21"/>
                <w:szCs w:val="21"/>
              </w:rPr>
              <w:t>寿命典型值（</w:t>
            </w:r>
            <w:r>
              <w:rPr>
                <w:rFonts w:hint="default" w:cs="宋体"/>
                <w:color w:val="000000"/>
                <w:kern w:val="0"/>
                <w:sz w:val="21"/>
                <w:szCs w:val="21"/>
              </w:rPr>
              <w:t>hrs） 50,000</w:t>
            </w:r>
          </w:p>
          <w:p>
            <w:pPr>
              <w:widowControl/>
              <w:spacing w:line="240" w:lineRule="auto"/>
              <w:jc w:val="left"/>
              <w:rPr>
                <w:rFonts w:hint="default" w:cs="宋体"/>
                <w:color w:val="000000"/>
                <w:kern w:val="0"/>
                <w:sz w:val="21"/>
                <w:szCs w:val="21"/>
              </w:rPr>
            </w:pPr>
            <w:r>
              <w:rPr>
                <w:rFonts w:cs="宋体"/>
                <w:color w:val="000000"/>
                <w:kern w:val="0"/>
                <w:sz w:val="21"/>
                <w:szCs w:val="21"/>
              </w:rPr>
              <w:t>工作温度范围（℃）</w:t>
            </w:r>
            <w:r>
              <w:rPr>
                <w:rFonts w:hint="default" w:cs="宋体"/>
                <w:color w:val="000000"/>
                <w:kern w:val="0"/>
                <w:sz w:val="21"/>
                <w:szCs w:val="21"/>
              </w:rPr>
              <w:t xml:space="preserve"> -10 -- 40</w:t>
            </w:r>
          </w:p>
          <w:p>
            <w:pPr>
              <w:widowControl/>
              <w:spacing w:line="240" w:lineRule="auto"/>
              <w:jc w:val="left"/>
              <w:rPr>
                <w:rFonts w:hint="default" w:cs="宋体"/>
                <w:color w:val="000000"/>
                <w:kern w:val="0"/>
                <w:sz w:val="21"/>
                <w:szCs w:val="21"/>
              </w:rPr>
            </w:pPr>
            <w:r>
              <w:rPr>
                <w:rFonts w:cs="宋体"/>
                <w:color w:val="000000"/>
                <w:kern w:val="0"/>
                <w:sz w:val="21"/>
                <w:szCs w:val="21"/>
              </w:rPr>
              <w:t>存储温度范围（℃）</w:t>
            </w:r>
            <w:r>
              <w:rPr>
                <w:rFonts w:hint="default" w:cs="宋体"/>
                <w:color w:val="000000"/>
                <w:kern w:val="0"/>
                <w:sz w:val="21"/>
                <w:szCs w:val="21"/>
              </w:rPr>
              <w:t xml:space="preserve"> -20 -- 60</w:t>
            </w:r>
          </w:p>
          <w:p>
            <w:pPr>
              <w:widowControl/>
              <w:spacing w:line="240" w:lineRule="auto"/>
              <w:jc w:val="left"/>
              <w:rPr>
                <w:rFonts w:hint="default" w:cs="宋体"/>
                <w:color w:val="000000"/>
                <w:kern w:val="0"/>
                <w:sz w:val="21"/>
                <w:szCs w:val="21"/>
              </w:rPr>
            </w:pPr>
            <w:r>
              <w:rPr>
                <w:rFonts w:cs="宋体"/>
                <w:color w:val="000000"/>
                <w:kern w:val="0"/>
                <w:sz w:val="21"/>
                <w:szCs w:val="21"/>
              </w:rPr>
              <w:t>工作湿度范围（</w:t>
            </w:r>
            <w:r>
              <w:rPr>
                <w:rFonts w:hint="default" w:cs="宋体"/>
                <w:color w:val="000000"/>
                <w:kern w:val="0"/>
                <w:sz w:val="21"/>
                <w:szCs w:val="21"/>
              </w:rPr>
              <w:t>RH） 10 -- 80%无凝露</w:t>
            </w:r>
          </w:p>
          <w:p>
            <w:pPr>
              <w:widowControl/>
              <w:spacing w:line="240" w:lineRule="auto"/>
              <w:jc w:val="left"/>
              <w:rPr>
                <w:rFonts w:hint="default" w:cs="宋体"/>
                <w:color w:val="000000"/>
                <w:kern w:val="0"/>
                <w:sz w:val="21"/>
                <w:szCs w:val="21"/>
              </w:rPr>
            </w:pPr>
            <w:r>
              <w:rPr>
                <w:rFonts w:cs="宋体"/>
                <w:color w:val="000000"/>
                <w:kern w:val="0"/>
                <w:sz w:val="21"/>
                <w:szCs w:val="21"/>
              </w:rPr>
              <w:t>存储湿度范围（</w:t>
            </w:r>
            <w:r>
              <w:rPr>
                <w:rFonts w:hint="default" w:cs="宋体"/>
                <w:color w:val="000000"/>
                <w:kern w:val="0"/>
                <w:sz w:val="21"/>
                <w:szCs w:val="21"/>
              </w:rPr>
              <w:t>RH） 10 -- 85%无凝露</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户外LED屏</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净显示尺寸：</w:t>
            </w:r>
            <w:r>
              <w:rPr>
                <w:rFonts w:hint="default" w:cs="宋体"/>
                <w:kern w:val="0"/>
                <w:sz w:val="21"/>
                <w:szCs w:val="21"/>
              </w:rPr>
              <w:t>3840*2080mm                                                                                                                                                                   大屏分辨率点数：896*544                                                                                                                                                           像素结构 表贴三合一LED</w:t>
            </w:r>
          </w:p>
          <w:p>
            <w:pPr>
              <w:widowControl/>
              <w:spacing w:line="240" w:lineRule="auto"/>
              <w:jc w:val="left"/>
              <w:rPr>
                <w:rFonts w:hint="default" w:cs="宋体"/>
                <w:kern w:val="0"/>
                <w:sz w:val="21"/>
                <w:szCs w:val="21"/>
              </w:rPr>
            </w:pPr>
            <w:r>
              <w:rPr>
                <w:rFonts w:cs="宋体"/>
                <w:kern w:val="0"/>
                <w:sz w:val="21"/>
                <w:szCs w:val="21"/>
              </w:rPr>
              <w:t>像素间距（</w:t>
            </w:r>
            <w:r>
              <w:rPr>
                <w:rFonts w:hint="default" w:cs="宋体"/>
                <w:kern w:val="0"/>
                <w:sz w:val="21"/>
                <w:szCs w:val="21"/>
              </w:rPr>
              <w:t>mm） 5</w:t>
            </w:r>
          </w:p>
          <w:p>
            <w:pPr>
              <w:widowControl/>
              <w:spacing w:line="240" w:lineRule="auto"/>
              <w:jc w:val="left"/>
              <w:rPr>
                <w:rFonts w:hint="default" w:cs="宋体"/>
                <w:kern w:val="0"/>
                <w:sz w:val="21"/>
                <w:szCs w:val="21"/>
              </w:rPr>
            </w:pPr>
            <w:r>
              <w:rPr>
                <w:rFonts w:cs="宋体"/>
                <w:kern w:val="0"/>
                <w:sz w:val="21"/>
                <w:szCs w:val="21"/>
              </w:rPr>
              <w:t>模组分辨率（</w:t>
            </w:r>
            <w:r>
              <w:rPr>
                <w:rFonts w:hint="default" w:cs="宋体"/>
                <w:kern w:val="0"/>
                <w:sz w:val="21"/>
                <w:szCs w:val="21"/>
              </w:rPr>
              <w:t>W×H） 64×32</w:t>
            </w:r>
          </w:p>
          <w:p>
            <w:pPr>
              <w:widowControl/>
              <w:spacing w:line="240" w:lineRule="auto"/>
              <w:jc w:val="left"/>
              <w:rPr>
                <w:rFonts w:hint="default" w:cs="宋体"/>
                <w:kern w:val="0"/>
                <w:sz w:val="21"/>
                <w:szCs w:val="21"/>
              </w:rPr>
            </w:pPr>
            <w:r>
              <w:rPr>
                <w:rFonts w:cs="宋体"/>
                <w:kern w:val="0"/>
                <w:sz w:val="21"/>
                <w:szCs w:val="21"/>
              </w:rPr>
              <w:t>模组尺寸（</w:t>
            </w:r>
            <w:r>
              <w:rPr>
                <w:rFonts w:hint="default" w:cs="宋体"/>
                <w:kern w:val="0"/>
                <w:sz w:val="21"/>
                <w:szCs w:val="21"/>
              </w:rPr>
              <w:t>mm）（W×H X D） 320×160×18</w:t>
            </w:r>
          </w:p>
          <w:p>
            <w:pPr>
              <w:widowControl/>
              <w:spacing w:line="240" w:lineRule="auto"/>
              <w:jc w:val="left"/>
              <w:rPr>
                <w:rFonts w:hint="default" w:cs="宋体"/>
                <w:kern w:val="0"/>
                <w:sz w:val="21"/>
                <w:szCs w:val="21"/>
              </w:rPr>
            </w:pPr>
            <w:r>
              <w:rPr>
                <w:rFonts w:cs="宋体"/>
                <w:kern w:val="0"/>
                <w:sz w:val="21"/>
                <w:szCs w:val="21"/>
              </w:rPr>
              <w:t>模组重量（</w:t>
            </w:r>
            <w:r>
              <w:rPr>
                <w:rFonts w:hint="default" w:cs="宋体"/>
                <w:kern w:val="0"/>
                <w:sz w:val="21"/>
                <w:szCs w:val="21"/>
              </w:rPr>
              <w:t>Kg） 0.45</w:t>
            </w:r>
          </w:p>
          <w:p>
            <w:pPr>
              <w:widowControl/>
              <w:spacing w:line="240" w:lineRule="auto"/>
              <w:jc w:val="left"/>
              <w:rPr>
                <w:rFonts w:hint="default" w:cs="宋体"/>
                <w:kern w:val="0"/>
                <w:sz w:val="21"/>
                <w:szCs w:val="21"/>
              </w:rPr>
            </w:pPr>
            <w:r>
              <w:rPr>
                <w:rFonts w:cs="宋体"/>
                <w:kern w:val="0"/>
                <w:sz w:val="21"/>
                <w:szCs w:val="21"/>
              </w:rPr>
              <w:t>单元面积（</w:t>
            </w:r>
            <w:r>
              <w:rPr>
                <w:rFonts w:hint="default" w:cs="宋体"/>
                <w:kern w:val="0"/>
                <w:sz w:val="21"/>
                <w:szCs w:val="21"/>
              </w:rPr>
              <w:t>m2） 0.0512</w:t>
            </w:r>
          </w:p>
          <w:p>
            <w:pPr>
              <w:widowControl/>
              <w:spacing w:line="240" w:lineRule="auto"/>
              <w:jc w:val="left"/>
              <w:rPr>
                <w:rFonts w:hint="default" w:cs="宋体"/>
                <w:kern w:val="0"/>
                <w:sz w:val="21"/>
                <w:szCs w:val="21"/>
              </w:rPr>
            </w:pPr>
            <w:r>
              <w:rPr>
                <w:rFonts w:cs="宋体"/>
                <w:kern w:val="0"/>
                <w:sz w:val="21"/>
                <w:szCs w:val="21"/>
              </w:rPr>
              <w:t>像素密度（点</w:t>
            </w:r>
            <w:r>
              <w:rPr>
                <w:rFonts w:hint="default" w:cs="宋体"/>
                <w:kern w:val="0"/>
                <w:sz w:val="21"/>
                <w:szCs w:val="21"/>
              </w:rPr>
              <w:t>/㎡） 4000</w:t>
            </w:r>
          </w:p>
          <w:p>
            <w:pPr>
              <w:widowControl/>
              <w:spacing w:line="240" w:lineRule="auto"/>
              <w:jc w:val="left"/>
              <w:rPr>
                <w:rFonts w:hint="default" w:cs="宋体"/>
                <w:kern w:val="0"/>
                <w:sz w:val="21"/>
                <w:szCs w:val="21"/>
              </w:rPr>
            </w:pPr>
            <w:r>
              <w:rPr>
                <w:rFonts w:cs="宋体"/>
                <w:kern w:val="0"/>
                <w:sz w:val="21"/>
                <w:szCs w:val="21"/>
              </w:rPr>
              <w:t>白平衡亮度（</w:t>
            </w:r>
            <w:r>
              <w:rPr>
                <w:rFonts w:hint="default" w:cs="宋体"/>
                <w:kern w:val="0"/>
                <w:sz w:val="21"/>
                <w:szCs w:val="21"/>
              </w:rPr>
              <w:t>nits）（校正后） 5000-6000</w:t>
            </w:r>
          </w:p>
          <w:p>
            <w:pPr>
              <w:widowControl/>
              <w:spacing w:line="240" w:lineRule="auto"/>
              <w:jc w:val="left"/>
              <w:rPr>
                <w:rFonts w:hint="default" w:cs="宋体"/>
                <w:kern w:val="0"/>
                <w:sz w:val="21"/>
                <w:szCs w:val="21"/>
              </w:rPr>
            </w:pPr>
            <w:r>
              <w:rPr>
                <w:rFonts w:cs="宋体"/>
                <w:kern w:val="0"/>
                <w:sz w:val="21"/>
                <w:szCs w:val="21"/>
              </w:rPr>
              <w:t>水平视角（</w:t>
            </w:r>
            <w:r>
              <w:rPr>
                <w:rFonts w:hint="default" w:cs="宋体"/>
                <w:kern w:val="0"/>
                <w:sz w:val="21"/>
                <w:szCs w:val="21"/>
              </w:rPr>
              <w:t xml:space="preserve"> °） 160</w:t>
            </w:r>
          </w:p>
          <w:p>
            <w:pPr>
              <w:widowControl/>
              <w:spacing w:line="240" w:lineRule="auto"/>
              <w:jc w:val="left"/>
              <w:rPr>
                <w:rFonts w:hint="default" w:cs="宋体"/>
                <w:kern w:val="0"/>
                <w:sz w:val="21"/>
                <w:szCs w:val="21"/>
              </w:rPr>
            </w:pPr>
            <w:r>
              <w:rPr>
                <w:rFonts w:cs="宋体"/>
                <w:kern w:val="0"/>
                <w:sz w:val="21"/>
                <w:szCs w:val="21"/>
              </w:rPr>
              <w:t>垂直视角（</w:t>
            </w:r>
            <w:r>
              <w:rPr>
                <w:rFonts w:hint="default" w:cs="宋体"/>
                <w:kern w:val="0"/>
                <w:sz w:val="21"/>
                <w:szCs w:val="21"/>
              </w:rPr>
              <w:t xml:space="preserve"> °） 140</w:t>
            </w:r>
          </w:p>
          <w:p>
            <w:pPr>
              <w:widowControl/>
              <w:spacing w:line="240" w:lineRule="auto"/>
              <w:jc w:val="left"/>
              <w:rPr>
                <w:rFonts w:hint="default" w:cs="宋体"/>
                <w:kern w:val="0"/>
                <w:sz w:val="21"/>
                <w:szCs w:val="21"/>
              </w:rPr>
            </w:pPr>
            <w:r>
              <w:rPr>
                <w:rFonts w:cs="宋体"/>
                <w:kern w:val="0"/>
                <w:sz w:val="21"/>
                <w:szCs w:val="21"/>
              </w:rPr>
              <w:t>发光点中心距偏差（校正后）</w:t>
            </w:r>
            <w:r>
              <w:rPr>
                <w:rFonts w:hint="default" w:cs="宋体"/>
                <w:kern w:val="0"/>
                <w:sz w:val="21"/>
                <w:szCs w:val="21"/>
              </w:rPr>
              <w:t xml:space="preserve"> &lt;3%</w:t>
            </w:r>
          </w:p>
          <w:p>
            <w:pPr>
              <w:widowControl/>
              <w:spacing w:line="240" w:lineRule="auto"/>
              <w:jc w:val="left"/>
              <w:rPr>
                <w:rFonts w:hint="default" w:cs="宋体"/>
                <w:kern w:val="0"/>
                <w:sz w:val="21"/>
                <w:szCs w:val="21"/>
              </w:rPr>
            </w:pPr>
            <w:r>
              <w:rPr>
                <w:rFonts w:cs="宋体"/>
                <w:kern w:val="0"/>
                <w:sz w:val="21"/>
                <w:szCs w:val="21"/>
              </w:rPr>
              <w:t>峰值功耗（</w:t>
            </w:r>
            <w:r>
              <w:rPr>
                <w:rFonts w:hint="default" w:cs="宋体"/>
                <w:kern w:val="0"/>
                <w:sz w:val="21"/>
                <w:szCs w:val="21"/>
              </w:rPr>
              <w:t>W/m2） 900</w:t>
            </w:r>
          </w:p>
          <w:p>
            <w:pPr>
              <w:widowControl/>
              <w:spacing w:line="240" w:lineRule="auto"/>
              <w:jc w:val="left"/>
              <w:rPr>
                <w:rFonts w:hint="default" w:cs="宋体"/>
                <w:kern w:val="0"/>
                <w:sz w:val="21"/>
                <w:szCs w:val="21"/>
              </w:rPr>
            </w:pPr>
            <w:r>
              <w:rPr>
                <w:rFonts w:cs="宋体"/>
                <w:kern w:val="0"/>
                <w:sz w:val="21"/>
                <w:szCs w:val="21"/>
              </w:rPr>
              <w:t>平均功耗（</w:t>
            </w:r>
            <w:r>
              <w:rPr>
                <w:rFonts w:hint="default" w:cs="宋体"/>
                <w:kern w:val="0"/>
                <w:sz w:val="21"/>
                <w:szCs w:val="21"/>
              </w:rPr>
              <w:t>W/m2） 300</w:t>
            </w:r>
          </w:p>
          <w:p>
            <w:pPr>
              <w:widowControl/>
              <w:spacing w:line="240" w:lineRule="auto"/>
              <w:jc w:val="left"/>
              <w:rPr>
                <w:rFonts w:hint="default" w:cs="宋体"/>
                <w:kern w:val="0"/>
                <w:sz w:val="21"/>
                <w:szCs w:val="21"/>
              </w:rPr>
            </w:pPr>
            <w:r>
              <w:rPr>
                <w:rFonts w:cs="宋体"/>
                <w:kern w:val="0"/>
                <w:sz w:val="21"/>
                <w:szCs w:val="21"/>
              </w:rPr>
              <w:t>供电要求</w:t>
            </w:r>
            <w:r>
              <w:rPr>
                <w:rFonts w:hint="default" w:cs="宋体"/>
                <w:kern w:val="0"/>
                <w:sz w:val="21"/>
                <w:szCs w:val="21"/>
              </w:rPr>
              <w:t xml:space="preserve"> AC100~240V（50-60Hz）</w:t>
            </w:r>
          </w:p>
          <w:p>
            <w:pPr>
              <w:widowControl/>
              <w:spacing w:line="240" w:lineRule="auto"/>
              <w:jc w:val="left"/>
              <w:rPr>
                <w:rFonts w:hint="default" w:cs="宋体"/>
                <w:kern w:val="0"/>
                <w:sz w:val="21"/>
                <w:szCs w:val="21"/>
              </w:rPr>
            </w:pPr>
            <w:r>
              <w:rPr>
                <w:rFonts w:cs="宋体"/>
                <w:kern w:val="0"/>
                <w:sz w:val="21"/>
                <w:szCs w:val="21"/>
              </w:rPr>
              <w:t>驱动方式</w:t>
            </w:r>
            <w:r>
              <w:rPr>
                <w:rFonts w:hint="default" w:cs="宋体"/>
                <w:kern w:val="0"/>
                <w:sz w:val="21"/>
                <w:szCs w:val="21"/>
              </w:rPr>
              <w:t xml:space="preserve"> 恒流驱动8S</w:t>
            </w:r>
          </w:p>
          <w:p>
            <w:pPr>
              <w:widowControl/>
              <w:spacing w:line="240" w:lineRule="auto"/>
              <w:jc w:val="left"/>
              <w:rPr>
                <w:rFonts w:hint="default" w:cs="宋体"/>
                <w:kern w:val="0"/>
                <w:sz w:val="21"/>
                <w:szCs w:val="21"/>
              </w:rPr>
            </w:pPr>
            <w:r>
              <w:rPr>
                <w:rFonts w:cs="宋体"/>
                <w:kern w:val="0"/>
                <w:sz w:val="21"/>
                <w:szCs w:val="21"/>
              </w:rPr>
              <w:t>换帧频率（</w:t>
            </w:r>
            <w:r>
              <w:rPr>
                <w:rFonts w:hint="default" w:cs="宋体"/>
                <w:kern w:val="0"/>
                <w:sz w:val="21"/>
                <w:szCs w:val="21"/>
              </w:rPr>
              <w:t>Hz） 50&amp;60</w:t>
            </w:r>
          </w:p>
          <w:p>
            <w:pPr>
              <w:widowControl/>
              <w:spacing w:line="240" w:lineRule="auto"/>
              <w:jc w:val="left"/>
              <w:rPr>
                <w:rFonts w:hint="default" w:cs="宋体"/>
                <w:kern w:val="0"/>
                <w:sz w:val="21"/>
                <w:szCs w:val="21"/>
              </w:rPr>
            </w:pPr>
            <w:r>
              <w:rPr>
                <w:rFonts w:cs="宋体"/>
                <w:kern w:val="0"/>
                <w:sz w:val="21"/>
                <w:szCs w:val="21"/>
              </w:rPr>
              <w:t>刷新率（</w:t>
            </w:r>
            <w:r>
              <w:rPr>
                <w:rFonts w:hint="default" w:cs="宋体"/>
                <w:kern w:val="0"/>
                <w:sz w:val="21"/>
                <w:szCs w:val="21"/>
              </w:rPr>
              <w:t>Hz） 3840</w:t>
            </w:r>
          </w:p>
          <w:p>
            <w:pPr>
              <w:widowControl/>
              <w:spacing w:line="240" w:lineRule="auto"/>
              <w:jc w:val="left"/>
              <w:rPr>
                <w:rFonts w:hint="default" w:cs="宋体"/>
                <w:kern w:val="0"/>
                <w:sz w:val="21"/>
                <w:szCs w:val="21"/>
              </w:rPr>
            </w:pPr>
            <w:r>
              <w:rPr>
                <w:rFonts w:cs="宋体"/>
                <w:kern w:val="0"/>
                <w:sz w:val="21"/>
                <w:szCs w:val="21"/>
              </w:rPr>
              <w:t>寿命典型值（</w:t>
            </w:r>
            <w:r>
              <w:rPr>
                <w:rFonts w:hint="default" w:cs="宋体"/>
                <w:kern w:val="0"/>
                <w:sz w:val="21"/>
                <w:szCs w:val="21"/>
              </w:rPr>
              <w:t>hrs） 50,000</w:t>
            </w:r>
          </w:p>
          <w:p>
            <w:pPr>
              <w:widowControl/>
              <w:spacing w:line="240" w:lineRule="auto"/>
              <w:jc w:val="left"/>
              <w:rPr>
                <w:rFonts w:hint="default" w:cs="宋体"/>
                <w:kern w:val="0"/>
                <w:sz w:val="21"/>
                <w:szCs w:val="21"/>
              </w:rPr>
            </w:pPr>
            <w:r>
              <w:rPr>
                <w:rFonts w:cs="宋体"/>
                <w:kern w:val="0"/>
                <w:sz w:val="21"/>
                <w:szCs w:val="21"/>
              </w:rPr>
              <w:t>工作温度范围（℃）</w:t>
            </w:r>
            <w:r>
              <w:rPr>
                <w:rFonts w:hint="default" w:cs="宋体"/>
                <w:kern w:val="0"/>
                <w:sz w:val="21"/>
                <w:szCs w:val="21"/>
              </w:rPr>
              <w:t xml:space="preserve"> -10 -- 40</w:t>
            </w:r>
          </w:p>
          <w:p>
            <w:pPr>
              <w:widowControl/>
              <w:spacing w:line="240" w:lineRule="auto"/>
              <w:jc w:val="left"/>
              <w:rPr>
                <w:rFonts w:hint="default" w:cs="宋体"/>
                <w:kern w:val="0"/>
                <w:sz w:val="21"/>
                <w:szCs w:val="21"/>
              </w:rPr>
            </w:pPr>
            <w:r>
              <w:rPr>
                <w:rFonts w:cs="宋体"/>
                <w:kern w:val="0"/>
                <w:sz w:val="21"/>
                <w:szCs w:val="21"/>
              </w:rPr>
              <w:t>存储温度范围（℃）</w:t>
            </w:r>
            <w:r>
              <w:rPr>
                <w:rFonts w:hint="default" w:cs="宋体"/>
                <w:kern w:val="0"/>
                <w:sz w:val="21"/>
                <w:szCs w:val="21"/>
              </w:rPr>
              <w:t xml:space="preserve"> -20 -- 60</w:t>
            </w:r>
          </w:p>
          <w:p>
            <w:pPr>
              <w:widowControl/>
              <w:spacing w:line="240" w:lineRule="auto"/>
              <w:jc w:val="left"/>
              <w:rPr>
                <w:rFonts w:hint="default" w:cs="宋体"/>
                <w:kern w:val="0"/>
                <w:sz w:val="21"/>
                <w:szCs w:val="21"/>
              </w:rPr>
            </w:pPr>
            <w:r>
              <w:rPr>
                <w:rFonts w:cs="宋体"/>
                <w:kern w:val="0"/>
                <w:sz w:val="21"/>
                <w:szCs w:val="21"/>
              </w:rPr>
              <w:t>工作湿度范围（</w:t>
            </w:r>
            <w:r>
              <w:rPr>
                <w:rFonts w:hint="default" w:cs="宋体"/>
                <w:kern w:val="0"/>
                <w:sz w:val="21"/>
                <w:szCs w:val="21"/>
              </w:rPr>
              <w:t>RH） 10 -- 80%无凝露</w:t>
            </w:r>
          </w:p>
          <w:p>
            <w:pPr>
              <w:widowControl/>
              <w:spacing w:line="240" w:lineRule="auto"/>
              <w:jc w:val="left"/>
              <w:rPr>
                <w:rFonts w:hint="default" w:cs="宋体"/>
                <w:kern w:val="0"/>
                <w:sz w:val="21"/>
                <w:szCs w:val="21"/>
              </w:rPr>
            </w:pPr>
            <w:r>
              <w:rPr>
                <w:rFonts w:cs="宋体"/>
                <w:kern w:val="0"/>
                <w:sz w:val="21"/>
                <w:szCs w:val="21"/>
              </w:rPr>
              <w:t>存储湿度范围（</w:t>
            </w:r>
            <w:r>
              <w:rPr>
                <w:rFonts w:hint="default" w:cs="宋体"/>
                <w:kern w:val="0"/>
                <w:sz w:val="21"/>
                <w:szCs w:val="21"/>
              </w:rPr>
              <w:t>RH） 10 -- 85%无凝露</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会议室签到屏含系统</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hint="default" w:cs="宋体"/>
                <w:kern w:val="0"/>
                <w:sz w:val="21"/>
                <w:szCs w:val="21"/>
              </w:rPr>
              <w:t>21.5寸，可实现扫描二维码签到，显示当前会议内容与后续会议使用安排</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白板屏</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显示屏尺寸</w:t>
            </w:r>
            <w:r>
              <w:rPr>
                <w:rFonts w:hint="default" w:cs="宋体"/>
                <w:kern w:val="0"/>
                <w:sz w:val="21"/>
                <w:szCs w:val="21"/>
              </w:rPr>
              <w:tab/>
            </w:r>
            <w:r>
              <w:rPr>
                <w:rFonts w:hint="default" w:cs="宋体"/>
                <w:kern w:val="0"/>
                <w:sz w:val="21"/>
                <w:szCs w:val="21"/>
              </w:rPr>
              <w:t>65英寸（16：9）</w:t>
            </w:r>
          </w:p>
          <w:p>
            <w:pPr>
              <w:widowControl/>
              <w:spacing w:line="240" w:lineRule="auto"/>
              <w:jc w:val="left"/>
              <w:rPr>
                <w:rFonts w:hint="default" w:cs="宋体"/>
                <w:kern w:val="0"/>
                <w:sz w:val="21"/>
                <w:szCs w:val="21"/>
              </w:rPr>
            </w:pPr>
            <w:r>
              <w:rPr>
                <w:rFonts w:cs="宋体"/>
                <w:kern w:val="0"/>
                <w:sz w:val="21"/>
                <w:szCs w:val="21"/>
              </w:rPr>
              <w:t>显示屏类型</w:t>
            </w:r>
            <w:r>
              <w:rPr>
                <w:rFonts w:hint="default" w:cs="宋体"/>
                <w:kern w:val="0"/>
                <w:sz w:val="21"/>
                <w:szCs w:val="21"/>
              </w:rPr>
              <w:tab/>
            </w:r>
            <w:r>
              <w:rPr>
                <w:rFonts w:hint="default" w:cs="宋体"/>
                <w:kern w:val="0"/>
                <w:sz w:val="21"/>
                <w:szCs w:val="21"/>
              </w:rPr>
              <w:t>LED液晶显示屏</w:t>
            </w:r>
          </w:p>
          <w:p>
            <w:pPr>
              <w:widowControl/>
              <w:spacing w:line="240" w:lineRule="auto"/>
              <w:jc w:val="left"/>
              <w:rPr>
                <w:rFonts w:hint="default" w:cs="宋体"/>
                <w:kern w:val="0"/>
                <w:sz w:val="21"/>
                <w:szCs w:val="21"/>
              </w:rPr>
            </w:pPr>
            <w:r>
              <w:rPr>
                <w:rFonts w:cs="宋体"/>
                <w:kern w:val="0"/>
                <w:sz w:val="21"/>
                <w:szCs w:val="21"/>
              </w:rPr>
              <w:t>画面显示尺寸</w:t>
            </w:r>
            <w:r>
              <w:rPr>
                <w:rFonts w:hint="default" w:cs="宋体"/>
                <w:kern w:val="0"/>
                <w:sz w:val="21"/>
                <w:szCs w:val="21"/>
              </w:rPr>
              <w:tab/>
            </w:r>
            <w:r>
              <w:rPr>
                <w:rFonts w:hint="default" w:cs="宋体"/>
                <w:kern w:val="0"/>
                <w:sz w:val="21"/>
                <w:szCs w:val="21"/>
              </w:rPr>
              <w:t>1429.5 (H) x 804.5(V)</w:t>
            </w:r>
          </w:p>
          <w:p>
            <w:pPr>
              <w:widowControl/>
              <w:spacing w:line="240" w:lineRule="auto"/>
              <w:jc w:val="left"/>
              <w:rPr>
                <w:rFonts w:hint="default" w:cs="宋体"/>
                <w:kern w:val="0"/>
                <w:sz w:val="21"/>
                <w:szCs w:val="21"/>
              </w:rPr>
            </w:pPr>
            <w:r>
              <w:rPr>
                <w:rFonts w:cs="宋体"/>
                <w:kern w:val="0"/>
                <w:sz w:val="21"/>
                <w:szCs w:val="21"/>
              </w:rPr>
              <w:t>物理分辨率</w:t>
            </w:r>
            <w:r>
              <w:rPr>
                <w:rFonts w:hint="default" w:cs="宋体"/>
                <w:kern w:val="0"/>
                <w:sz w:val="21"/>
                <w:szCs w:val="21"/>
              </w:rPr>
              <w:tab/>
            </w:r>
            <w:r>
              <w:rPr>
                <w:rFonts w:hint="default" w:cs="宋体"/>
                <w:kern w:val="0"/>
                <w:sz w:val="21"/>
                <w:szCs w:val="21"/>
              </w:rPr>
              <w:t>1920（H）×1080（V）</w:t>
            </w:r>
          </w:p>
          <w:p>
            <w:pPr>
              <w:widowControl/>
              <w:spacing w:line="240" w:lineRule="auto"/>
              <w:jc w:val="left"/>
              <w:rPr>
                <w:rFonts w:hint="default" w:cs="宋体"/>
                <w:kern w:val="0"/>
                <w:sz w:val="21"/>
                <w:szCs w:val="21"/>
              </w:rPr>
            </w:pPr>
            <w:r>
              <w:rPr>
                <w:rFonts w:cs="宋体"/>
                <w:kern w:val="0"/>
                <w:sz w:val="21"/>
                <w:szCs w:val="21"/>
              </w:rPr>
              <w:t>显示色彩</w:t>
            </w:r>
            <w:r>
              <w:rPr>
                <w:rFonts w:hint="default" w:cs="宋体"/>
                <w:kern w:val="0"/>
                <w:sz w:val="21"/>
                <w:szCs w:val="21"/>
              </w:rPr>
              <w:tab/>
            </w:r>
            <w:r>
              <w:rPr>
                <w:rFonts w:hint="default" w:cs="宋体"/>
                <w:kern w:val="0"/>
                <w:sz w:val="21"/>
                <w:szCs w:val="21"/>
              </w:rPr>
              <w:t>10bit, 1.07B</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引导机</w:t>
            </w:r>
          </w:p>
        </w:tc>
        <w:tc>
          <w:tcPr>
            <w:tcW w:w="5152" w:type="dxa"/>
            <w:tcBorders>
              <w:top w:val="nil"/>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楼层显示及引导，广告播放</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restart"/>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充电桩</w:t>
            </w: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汽车快充</w:t>
            </w:r>
          </w:p>
        </w:tc>
        <w:tc>
          <w:tcPr>
            <w:tcW w:w="5152" w:type="dxa"/>
            <w:tcBorders>
              <w:top w:val="nil"/>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交流输入电压：AC380V±15%</w:t>
            </w:r>
            <w:r>
              <w:rPr>
                <w:rFonts w:cs="宋体"/>
                <w:kern w:val="0"/>
                <w:sz w:val="21"/>
                <w:szCs w:val="21"/>
              </w:rPr>
              <w:br w:type="textWrapping"/>
            </w:r>
            <w:r>
              <w:rPr>
                <w:rFonts w:cs="宋体"/>
                <w:kern w:val="0"/>
                <w:sz w:val="21"/>
                <w:szCs w:val="21"/>
              </w:rPr>
              <w:t>交流输入频率：50Hz±5Hz</w:t>
            </w:r>
            <w:r>
              <w:rPr>
                <w:rFonts w:cs="宋体"/>
                <w:kern w:val="0"/>
                <w:sz w:val="21"/>
                <w:szCs w:val="21"/>
              </w:rPr>
              <w:br w:type="textWrapping"/>
            </w:r>
            <w:r>
              <w:rPr>
                <w:rFonts w:cs="宋体"/>
                <w:kern w:val="0"/>
                <w:sz w:val="21"/>
                <w:szCs w:val="21"/>
              </w:rPr>
              <w:t>输入功率60KW</w:t>
            </w:r>
            <w:r>
              <w:rPr>
                <w:rFonts w:cs="宋体"/>
                <w:kern w:val="0"/>
                <w:sz w:val="21"/>
                <w:szCs w:val="21"/>
              </w:rPr>
              <w:br w:type="textWrapping"/>
            </w:r>
            <w:r>
              <w:rPr>
                <w:rFonts w:cs="宋体"/>
                <w:kern w:val="0"/>
                <w:sz w:val="21"/>
                <w:szCs w:val="21"/>
              </w:rPr>
              <w:t>计量精度1.0级</w:t>
            </w:r>
            <w:r>
              <w:rPr>
                <w:rFonts w:cs="宋体"/>
                <w:kern w:val="0"/>
                <w:sz w:val="21"/>
                <w:szCs w:val="21"/>
              </w:rPr>
              <w:br w:type="textWrapping"/>
            </w:r>
            <w:r>
              <w:rPr>
                <w:rFonts w:cs="宋体"/>
                <w:kern w:val="0"/>
                <w:sz w:val="21"/>
                <w:szCs w:val="21"/>
              </w:rPr>
              <w:t>稳压精度：±0.5%</w:t>
            </w:r>
            <w:r>
              <w:rPr>
                <w:rFonts w:cs="宋体"/>
                <w:kern w:val="0"/>
                <w:sz w:val="21"/>
                <w:szCs w:val="21"/>
              </w:rPr>
              <w:br w:type="textWrapping"/>
            </w:r>
            <w:r>
              <w:rPr>
                <w:rFonts w:cs="宋体"/>
                <w:kern w:val="0"/>
                <w:sz w:val="21"/>
                <w:szCs w:val="21"/>
              </w:rPr>
              <w:t>稳流精度：±1%</w:t>
            </w:r>
            <w:r>
              <w:rPr>
                <w:rFonts w:cs="宋体"/>
                <w:kern w:val="0"/>
                <w:sz w:val="21"/>
                <w:szCs w:val="21"/>
              </w:rPr>
              <w:br w:type="textWrapping"/>
            </w:r>
            <w:r>
              <w:rPr>
                <w:rFonts w:cs="宋体"/>
                <w:kern w:val="0"/>
                <w:sz w:val="21"/>
                <w:szCs w:val="21"/>
              </w:rPr>
              <w:t>实现数据接口对接</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汽车慢充</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交流输入电压：</w:t>
            </w:r>
            <w:r>
              <w:rPr>
                <w:rFonts w:hint="default" w:cs="宋体"/>
                <w:kern w:val="0"/>
                <w:sz w:val="21"/>
                <w:szCs w:val="21"/>
              </w:rPr>
              <w:t>AC220V±15%</w:t>
            </w:r>
          </w:p>
          <w:p>
            <w:pPr>
              <w:widowControl/>
              <w:spacing w:line="240" w:lineRule="auto"/>
              <w:jc w:val="left"/>
              <w:rPr>
                <w:rFonts w:hint="default" w:cs="宋体"/>
                <w:kern w:val="0"/>
                <w:sz w:val="21"/>
                <w:szCs w:val="21"/>
              </w:rPr>
            </w:pPr>
            <w:r>
              <w:rPr>
                <w:rFonts w:cs="宋体"/>
                <w:kern w:val="0"/>
                <w:sz w:val="21"/>
                <w:szCs w:val="21"/>
              </w:rPr>
              <w:t>交流输入频率：</w:t>
            </w:r>
            <w:r>
              <w:rPr>
                <w:rFonts w:hint="default" w:cs="宋体"/>
                <w:kern w:val="0"/>
                <w:sz w:val="21"/>
                <w:szCs w:val="21"/>
              </w:rPr>
              <w:t>50Hz±5Hz</w:t>
            </w:r>
          </w:p>
          <w:p>
            <w:pPr>
              <w:widowControl/>
              <w:spacing w:line="240" w:lineRule="auto"/>
              <w:jc w:val="left"/>
              <w:rPr>
                <w:rFonts w:hint="default" w:cs="宋体"/>
                <w:kern w:val="0"/>
                <w:sz w:val="21"/>
                <w:szCs w:val="21"/>
              </w:rPr>
            </w:pPr>
            <w:r>
              <w:rPr>
                <w:rFonts w:cs="宋体"/>
                <w:kern w:val="0"/>
                <w:sz w:val="21"/>
                <w:szCs w:val="21"/>
              </w:rPr>
              <w:t>输出电压：</w:t>
            </w:r>
            <w:r>
              <w:rPr>
                <w:rFonts w:hint="default" w:cs="宋体"/>
                <w:kern w:val="0"/>
                <w:sz w:val="21"/>
                <w:szCs w:val="21"/>
              </w:rPr>
              <w:t>AC220V</w:t>
            </w:r>
          </w:p>
          <w:p>
            <w:pPr>
              <w:widowControl/>
              <w:spacing w:line="240" w:lineRule="auto"/>
              <w:jc w:val="left"/>
              <w:rPr>
                <w:rFonts w:hint="default" w:cs="宋体"/>
                <w:kern w:val="0"/>
                <w:sz w:val="21"/>
                <w:szCs w:val="21"/>
              </w:rPr>
            </w:pPr>
            <w:r>
              <w:rPr>
                <w:rFonts w:cs="宋体"/>
                <w:kern w:val="0"/>
                <w:sz w:val="21"/>
                <w:szCs w:val="21"/>
              </w:rPr>
              <w:t>额定输出电流</w:t>
            </w:r>
            <w:r>
              <w:rPr>
                <w:rFonts w:hint="default" w:cs="宋体"/>
                <w:kern w:val="0"/>
                <w:sz w:val="21"/>
                <w:szCs w:val="21"/>
              </w:rPr>
              <w:t>32A</w:t>
            </w:r>
          </w:p>
          <w:p>
            <w:pPr>
              <w:widowControl/>
              <w:spacing w:line="240" w:lineRule="auto"/>
              <w:jc w:val="left"/>
              <w:rPr>
                <w:rFonts w:hint="default" w:cs="宋体"/>
                <w:kern w:val="0"/>
                <w:sz w:val="21"/>
                <w:szCs w:val="21"/>
              </w:rPr>
            </w:pPr>
            <w:r>
              <w:rPr>
                <w:rFonts w:cs="宋体"/>
                <w:kern w:val="0"/>
                <w:sz w:val="21"/>
                <w:szCs w:val="21"/>
              </w:rPr>
              <w:t>输入功率</w:t>
            </w:r>
            <w:r>
              <w:rPr>
                <w:rFonts w:hint="default" w:cs="宋体"/>
                <w:kern w:val="0"/>
                <w:sz w:val="21"/>
                <w:szCs w:val="21"/>
              </w:rPr>
              <w:t>7KW</w:t>
            </w:r>
          </w:p>
          <w:p>
            <w:pPr>
              <w:widowControl/>
              <w:spacing w:line="240" w:lineRule="auto"/>
              <w:jc w:val="left"/>
              <w:rPr>
                <w:rFonts w:hint="default" w:cs="宋体"/>
                <w:kern w:val="0"/>
                <w:sz w:val="21"/>
                <w:szCs w:val="21"/>
              </w:rPr>
            </w:pPr>
            <w:r>
              <w:rPr>
                <w:rFonts w:cs="宋体"/>
                <w:kern w:val="0"/>
                <w:sz w:val="21"/>
                <w:szCs w:val="21"/>
              </w:rPr>
              <w:t>计量精度</w:t>
            </w:r>
            <w:r>
              <w:rPr>
                <w:rFonts w:hint="default" w:cs="宋体"/>
                <w:kern w:val="0"/>
                <w:sz w:val="21"/>
                <w:szCs w:val="21"/>
              </w:rPr>
              <w:t>1.0级</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4</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系统</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电瓶车充电桩</w:t>
            </w:r>
          </w:p>
        </w:tc>
        <w:tc>
          <w:tcPr>
            <w:tcW w:w="5152"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输入电压：</w:t>
            </w:r>
            <w:r>
              <w:rPr>
                <w:rFonts w:hint="default" w:cs="宋体"/>
                <w:kern w:val="0"/>
                <w:sz w:val="21"/>
                <w:szCs w:val="21"/>
              </w:rPr>
              <w:t>AC220V/50HZ</w:t>
            </w:r>
          </w:p>
          <w:p>
            <w:pPr>
              <w:widowControl/>
              <w:spacing w:line="240" w:lineRule="auto"/>
              <w:jc w:val="left"/>
              <w:rPr>
                <w:rFonts w:hint="default" w:cs="宋体"/>
                <w:kern w:val="0"/>
                <w:sz w:val="21"/>
                <w:szCs w:val="21"/>
              </w:rPr>
            </w:pPr>
            <w:r>
              <w:rPr>
                <w:rFonts w:cs="宋体"/>
                <w:kern w:val="0"/>
                <w:sz w:val="21"/>
                <w:szCs w:val="21"/>
              </w:rPr>
              <w:t>输出电压：</w:t>
            </w:r>
            <w:r>
              <w:rPr>
                <w:rFonts w:hint="default" w:cs="宋体"/>
                <w:kern w:val="0"/>
                <w:sz w:val="21"/>
                <w:szCs w:val="21"/>
              </w:rPr>
              <w:t>10路独立保护控制AC220V/50HZ</w:t>
            </w:r>
          </w:p>
          <w:p>
            <w:pPr>
              <w:widowControl/>
              <w:spacing w:line="240" w:lineRule="auto"/>
              <w:jc w:val="left"/>
              <w:rPr>
                <w:rFonts w:hint="default" w:cs="宋体"/>
                <w:kern w:val="0"/>
                <w:sz w:val="21"/>
                <w:szCs w:val="21"/>
              </w:rPr>
            </w:pPr>
            <w:r>
              <w:rPr>
                <w:rFonts w:cs="宋体"/>
                <w:kern w:val="0"/>
                <w:sz w:val="21"/>
                <w:szCs w:val="21"/>
              </w:rPr>
              <w:t>待机功率：</w:t>
            </w:r>
            <w:r>
              <w:rPr>
                <w:rFonts w:hint="default" w:cs="宋体"/>
                <w:kern w:val="0"/>
                <w:sz w:val="21"/>
                <w:szCs w:val="21"/>
              </w:rPr>
              <w:t>3W</w:t>
            </w:r>
          </w:p>
          <w:p>
            <w:pPr>
              <w:widowControl/>
              <w:spacing w:line="240" w:lineRule="auto"/>
              <w:jc w:val="left"/>
              <w:rPr>
                <w:rFonts w:hint="default" w:cs="宋体"/>
                <w:kern w:val="0"/>
                <w:sz w:val="21"/>
                <w:szCs w:val="21"/>
              </w:rPr>
            </w:pPr>
            <w:r>
              <w:rPr>
                <w:rFonts w:cs="宋体"/>
                <w:kern w:val="0"/>
                <w:sz w:val="21"/>
                <w:szCs w:val="21"/>
              </w:rPr>
              <w:t>最大电流：</w:t>
            </w:r>
            <w:r>
              <w:rPr>
                <w:rFonts w:hint="default" w:cs="宋体"/>
                <w:kern w:val="0"/>
                <w:sz w:val="21"/>
                <w:szCs w:val="21"/>
              </w:rPr>
              <w:t>10A/单路（可设）</w:t>
            </w:r>
          </w:p>
          <w:p>
            <w:pPr>
              <w:widowControl/>
              <w:spacing w:line="240" w:lineRule="auto"/>
              <w:jc w:val="left"/>
              <w:rPr>
                <w:rFonts w:hint="default" w:cs="宋体"/>
                <w:kern w:val="0"/>
                <w:sz w:val="21"/>
                <w:szCs w:val="21"/>
              </w:rPr>
            </w:pPr>
            <w:r>
              <w:rPr>
                <w:rFonts w:cs="宋体"/>
                <w:kern w:val="0"/>
                <w:sz w:val="21"/>
                <w:szCs w:val="21"/>
              </w:rPr>
              <w:t>最大负载功率：</w:t>
            </w:r>
            <w:r>
              <w:rPr>
                <w:rFonts w:hint="default" w:cs="宋体"/>
                <w:kern w:val="0"/>
                <w:sz w:val="21"/>
                <w:szCs w:val="21"/>
              </w:rPr>
              <w:t>2200W/单路</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r>
              <w:rPr>
                <w:rFonts w:cs="宋体"/>
                <w:kern w:val="0"/>
                <w:sz w:val="21"/>
                <w:szCs w:val="21"/>
              </w:rPr>
              <w:t>管理电脑</w:t>
            </w:r>
          </w:p>
        </w:tc>
        <w:tc>
          <w:tcPr>
            <w:tcW w:w="2307"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笔记本</w:t>
            </w:r>
          </w:p>
        </w:tc>
        <w:tc>
          <w:tcPr>
            <w:tcW w:w="5152" w:type="dxa"/>
            <w:tcBorders>
              <w:top w:val="nil"/>
              <w:left w:val="single" w:color="000000" w:sz="4" w:space="0"/>
              <w:bottom w:val="single" w:color="000000" w:sz="4" w:space="0"/>
              <w:right w:val="single" w:color="000000" w:sz="4" w:space="0"/>
            </w:tcBorders>
            <w:shd w:val="clear" w:color="auto" w:fill="auto"/>
            <w:noWrap w:val="0"/>
            <w:vAlign w:val="center"/>
          </w:tcPr>
          <w:p>
            <w:pPr>
              <w:widowControl/>
              <w:spacing w:line="240" w:lineRule="auto"/>
              <w:jc w:val="left"/>
              <w:rPr>
                <w:rFonts w:hint="default" w:cs="宋体"/>
                <w:kern w:val="0"/>
                <w:sz w:val="21"/>
                <w:szCs w:val="21"/>
              </w:rPr>
            </w:pPr>
            <w:r>
              <w:rPr>
                <w:rFonts w:hint="default" w:cs="宋体"/>
                <w:kern w:val="0"/>
                <w:sz w:val="21"/>
                <w:szCs w:val="21"/>
              </w:rPr>
              <w:t>I5处理器，8G内存</w:t>
            </w:r>
          </w:p>
        </w:tc>
        <w:tc>
          <w:tcPr>
            <w:tcW w:w="608"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rPr>
                <w:rFonts w:hint="default" w:cs="宋体"/>
                <w:kern w:val="0"/>
                <w:sz w:val="21"/>
                <w:szCs w:val="21"/>
              </w:rPr>
            </w:pPr>
            <w:r>
              <w:rPr>
                <w:rFonts w:cs="宋体"/>
                <w:kern w:val="0"/>
                <w:sz w:val="21"/>
                <w:szCs w:val="21"/>
              </w:rPr>
              <w:t>车库照明</w:t>
            </w: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雷达灯管</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实现车来灯亮车走灯灭</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200</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会议室1</w:t>
            </w: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center"/>
              <w:rPr>
                <w:rFonts w:hint="default" w:cs="宋体"/>
                <w:kern w:val="0"/>
                <w:sz w:val="21"/>
                <w:szCs w:val="21"/>
              </w:rPr>
            </w:pPr>
          </w:p>
          <w:p>
            <w:pPr>
              <w:widowControl/>
              <w:spacing w:line="240" w:lineRule="auto"/>
              <w:jc w:val="left"/>
              <w:rPr>
                <w:rFonts w:hint="default" w:cs="宋体"/>
                <w:kern w:val="0"/>
                <w:sz w:val="21"/>
                <w:szCs w:val="21"/>
              </w:rPr>
            </w:pPr>
          </w:p>
          <w:p>
            <w:pPr>
              <w:rPr>
                <w:rFonts w:hint="default" w:cs="宋体"/>
                <w:kern w:val="0"/>
                <w:sz w:val="21"/>
                <w:szCs w:val="21"/>
              </w:rPr>
            </w:pPr>
          </w:p>
        </w:tc>
        <w:tc>
          <w:tcPr>
            <w:tcW w:w="2307"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两分频10寸全频音箱</w:t>
            </w:r>
          </w:p>
        </w:tc>
        <w:tc>
          <w:tcPr>
            <w:tcW w:w="5152" w:type="dxa"/>
            <w:tcBorders>
              <w:top w:val="single" w:color="000000" w:sz="4" w:space="0"/>
              <w:left w:val="single" w:color="000000" w:sz="4" w:space="0"/>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drawing>
                <wp:anchor distT="0" distB="0" distL="114300" distR="114300" simplePos="0" relativeHeight="251674624" behindDoc="0" locked="0" layoutInCell="1" allowOverlap="1">
                  <wp:simplePos x="0" y="0"/>
                  <wp:positionH relativeFrom="column">
                    <wp:posOffset>819150</wp:posOffset>
                  </wp:positionH>
                  <wp:positionV relativeFrom="paragraph">
                    <wp:posOffset>609600</wp:posOffset>
                  </wp:positionV>
                  <wp:extent cx="0" cy="1066800"/>
                  <wp:effectExtent l="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0" cy="1066800"/>
                          </a:xfrm>
                          <a:prstGeom prst="rect">
                            <a:avLst/>
                          </a:prstGeom>
                          <a:noFill/>
                          <a:ln>
                            <a:noFill/>
                          </a:ln>
                        </pic:spPr>
                      </pic:pic>
                    </a:graphicData>
                  </a:graphic>
                </wp:anchor>
              </w:drawing>
            </w:r>
            <w:r>
              <w:rPr>
                <w:rFonts w:cs="宋体"/>
                <w:kern w:val="0"/>
                <w:sz w:val="21"/>
                <w:szCs w:val="21"/>
              </w:rPr>
              <w:drawing>
                <wp:anchor distT="0" distB="0" distL="114300" distR="114300" simplePos="0" relativeHeight="251675648" behindDoc="0" locked="0" layoutInCell="1" allowOverlap="1">
                  <wp:simplePos x="0" y="0"/>
                  <wp:positionH relativeFrom="column">
                    <wp:posOffset>819150</wp:posOffset>
                  </wp:positionH>
                  <wp:positionV relativeFrom="paragraph">
                    <wp:posOffset>609600</wp:posOffset>
                  </wp:positionV>
                  <wp:extent cx="0" cy="219075"/>
                  <wp:effectExtent l="0" t="0" r="0" b="0"/>
                  <wp:wrapNone/>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9"/>
                          <a:stretch>
                            <a:fillRect/>
                          </a:stretch>
                        </pic:blipFill>
                        <pic:spPr>
                          <a:xfrm>
                            <a:off x="0" y="0"/>
                            <a:ext cx="0" cy="219075"/>
                          </a:xfrm>
                          <a:prstGeom prst="rect">
                            <a:avLst/>
                          </a:prstGeom>
                          <a:noFill/>
                          <a:ln>
                            <a:noFill/>
                          </a:ln>
                        </pic:spPr>
                      </pic:pic>
                    </a:graphicData>
                  </a:graphic>
                </wp:anchor>
              </w:drawing>
            </w:r>
            <w:r>
              <w:rPr>
                <w:rFonts w:cs="宋体"/>
                <w:kern w:val="0"/>
                <w:sz w:val="21"/>
                <w:szCs w:val="21"/>
              </w:rPr>
              <w:t>两单元高级 2 阶分频系统，单元组成：52 mm振膜；1"喉口；</w:t>
            </w:r>
            <w:r>
              <w:rPr>
                <w:rFonts w:cs="宋体"/>
                <w:kern w:val="0"/>
                <w:sz w:val="21"/>
                <w:szCs w:val="21"/>
              </w:rPr>
              <w:br w:type="textWrapping"/>
            </w:r>
            <w:r>
              <w:rPr>
                <w:rFonts w:cs="宋体"/>
                <w:kern w:val="0"/>
                <w:sz w:val="21"/>
                <w:szCs w:val="21"/>
              </w:rPr>
              <w:t>高分子聚合材料压缩驱动器；10"（258 mm）长冲程低频扬声器；</w:t>
            </w:r>
            <w:r>
              <w:rPr>
                <w:rFonts w:cs="宋体"/>
                <w:kern w:val="0"/>
                <w:sz w:val="21"/>
                <w:szCs w:val="21"/>
              </w:rPr>
              <w:br w:type="textWrapping"/>
            </w:r>
            <w:r>
              <w:rPr>
                <w:rFonts w:cs="宋体"/>
                <w:kern w:val="0"/>
                <w:sz w:val="21"/>
                <w:szCs w:val="21"/>
              </w:rPr>
              <w:t>61mm音圈；</w:t>
            </w:r>
            <w:r>
              <w:rPr>
                <w:rFonts w:cs="宋体"/>
                <w:kern w:val="0"/>
                <w:sz w:val="21"/>
                <w:szCs w:val="21"/>
              </w:rPr>
              <w:br w:type="textWrapping"/>
            </w:r>
            <w:r>
              <w:rPr>
                <w:rFonts w:cs="宋体"/>
                <w:kern w:val="0"/>
                <w:sz w:val="21"/>
                <w:szCs w:val="21"/>
              </w:rPr>
              <w:t>特殊音圈散热设计，频率响应（- 3dB）: 49Hz-22KHz，覆盖角度（H×V）：75° x 55°</w:t>
            </w:r>
            <w:r>
              <w:rPr>
                <w:rFonts w:cs="宋体"/>
                <w:kern w:val="0"/>
                <w:sz w:val="21"/>
                <w:szCs w:val="21"/>
              </w:rPr>
              <w:br w:type="textWrapping"/>
            </w:r>
            <w:r>
              <w:rPr>
                <w:rFonts w:cs="宋体"/>
                <w:kern w:val="0"/>
                <w:sz w:val="21"/>
                <w:szCs w:val="21"/>
              </w:rPr>
              <w:t>灵敏度（1米/1W，2.83V）：97 Db</w:t>
            </w:r>
            <w:r>
              <w:rPr>
                <w:rFonts w:cs="宋体"/>
                <w:kern w:val="0"/>
                <w:sz w:val="21"/>
                <w:szCs w:val="21"/>
              </w:rPr>
              <w:br w:type="textWrapping"/>
            </w:r>
            <w:r>
              <w:rPr>
                <w:rFonts w:cs="宋体"/>
                <w:kern w:val="0"/>
                <w:sz w:val="21"/>
                <w:szCs w:val="21"/>
              </w:rPr>
              <w:t>最大声压（MAX SPL）：128 dB SPL</w:t>
            </w:r>
            <w:r>
              <w:rPr>
                <w:rFonts w:cs="宋体"/>
                <w:kern w:val="0"/>
                <w:sz w:val="21"/>
                <w:szCs w:val="21"/>
              </w:rPr>
              <w:br w:type="textWrapping"/>
            </w:r>
            <w:r>
              <w:rPr>
                <w:rFonts w:cs="宋体"/>
                <w:kern w:val="0"/>
                <w:sz w:val="21"/>
                <w:szCs w:val="21"/>
              </w:rPr>
              <w:t>分频点：1800Hz（12dB/Oct）</w:t>
            </w:r>
            <w:r>
              <w:rPr>
                <w:rFonts w:cs="宋体"/>
                <w:kern w:val="0"/>
                <w:sz w:val="21"/>
                <w:szCs w:val="21"/>
              </w:rPr>
              <w:br w:type="textWrapping"/>
            </w:r>
            <w:r>
              <w:rPr>
                <w:rFonts w:cs="宋体"/>
                <w:kern w:val="0"/>
                <w:sz w:val="21"/>
                <w:szCs w:val="21"/>
              </w:rPr>
              <w:t>系统额定功率：持续功率600 W</w:t>
            </w:r>
            <w:r>
              <w:rPr>
                <w:rFonts w:cs="宋体"/>
                <w:kern w:val="0"/>
                <w:sz w:val="21"/>
                <w:szCs w:val="21"/>
              </w:rPr>
              <w:br w:type="textWrapping"/>
            </w:r>
            <w:r>
              <w:rPr>
                <w:rFonts w:cs="宋体"/>
                <w:kern w:val="0"/>
                <w:sz w:val="21"/>
                <w:szCs w:val="21"/>
              </w:rPr>
              <w:t>低频600 W/高频40 W</w:t>
            </w:r>
            <w:r>
              <w:rPr>
                <w:rFonts w:cs="宋体"/>
                <w:kern w:val="0"/>
                <w:sz w:val="21"/>
                <w:szCs w:val="21"/>
              </w:rPr>
              <w:br w:type="textWrapping"/>
            </w:r>
            <w:r>
              <w:rPr>
                <w:rFonts w:cs="宋体"/>
                <w:kern w:val="0"/>
                <w:sz w:val="21"/>
                <w:szCs w:val="21"/>
              </w:rPr>
              <w:t>输入接口：2 Neutrik NL4</w:t>
            </w:r>
            <w:r>
              <w:rPr>
                <w:rFonts w:cs="宋体"/>
                <w:kern w:val="0"/>
                <w:sz w:val="21"/>
                <w:szCs w:val="21"/>
              </w:rPr>
              <w:br w:type="textWrapping"/>
            </w:r>
            <w:r>
              <w:rPr>
                <w:rFonts w:cs="宋体"/>
                <w:kern w:val="0"/>
                <w:sz w:val="21"/>
                <w:szCs w:val="21"/>
              </w:rPr>
              <w:t>额定阻抗：8欧姆（最低6欧姆）</w:t>
            </w:r>
            <w:r>
              <w:rPr>
                <w:rFonts w:cs="宋体"/>
                <w:kern w:val="0"/>
                <w:sz w:val="21"/>
                <w:szCs w:val="21"/>
              </w:rPr>
              <w:br w:type="textWrapping"/>
            </w:r>
            <w:r>
              <w:rPr>
                <w:rFonts w:cs="宋体"/>
                <w:kern w:val="0"/>
                <w:sz w:val="21"/>
                <w:szCs w:val="21"/>
              </w:rPr>
              <w:t>10寸</w:t>
            </w:r>
          </w:p>
        </w:tc>
        <w:tc>
          <w:tcPr>
            <w:tcW w:w="608"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r>
      <w:tr>
        <w:tblPrEx>
          <w:tblCellMar>
            <w:top w:w="0" w:type="dxa"/>
            <w:left w:w="108" w:type="dxa"/>
            <w:bottom w:w="0" w:type="dxa"/>
            <w:right w:w="108" w:type="dxa"/>
          </w:tblCellMar>
        </w:tblPrEx>
        <w:trPr>
          <w:trHeight w:val="330" w:hRule="atLeast"/>
        </w:trPr>
        <w:tc>
          <w:tcPr>
            <w:tcW w:w="1193" w:type="dxa"/>
            <w:vMerge w:val="continue"/>
            <w:tcBorders>
              <w:top w:val="single" w:color="000000" w:sz="4" w:space="0"/>
              <w:left w:val="single" w:color="000000" w:sz="4" w:space="0"/>
              <w:right w:val="single" w:color="000000" w:sz="4" w:space="0"/>
            </w:tcBorders>
            <w:shd w:val="clear" w:color="000000" w:fill="FFFFFF"/>
            <w:noWrap w:val="0"/>
            <w:vAlign w:val="center"/>
          </w:tcPr>
          <w:p>
            <w:pPr>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功放</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输出功率：</w:t>
            </w:r>
            <w:r>
              <w:rPr>
                <w:rFonts w:cs="宋体"/>
                <w:kern w:val="0"/>
                <w:sz w:val="21"/>
                <w:szCs w:val="21"/>
              </w:rPr>
              <w:br w:type="textWrapping"/>
            </w:r>
            <w:r>
              <w:rPr>
                <w:rFonts w:cs="宋体"/>
                <w:kern w:val="0"/>
                <w:sz w:val="21"/>
                <w:szCs w:val="21"/>
              </w:rPr>
              <w:t>立体声模式：2×600W（8ohms），2×900W（4ohms）；</w:t>
            </w:r>
            <w:r>
              <w:rPr>
                <w:rFonts w:cs="宋体"/>
                <w:kern w:val="0"/>
                <w:sz w:val="21"/>
                <w:szCs w:val="21"/>
              </w:rPr>
              <w:br w:type="textWrapping"/>
            </w:r>
            <w:r>
              <w:rPr>
                <w:rFonts w:cs="宋体"/>
                <w:kern w:val="0"/>
                <w:sz w:val="21"/>
                <w:szCs w:val="21"/>
              </w:rPr>
              <w:t>桥接模式：1800W（8ohms）</w:t>
            </w:r>
            <w:r>
              <w:rPr>
                <w:rFonts w:cs="宋体"/>
                <w:kern w:val="0"/>
                <w:sz w:val="21"/>
                <w:szCs w:val="21"/>
              </w:rPr>
              <w:br w:type="textWrapping"/>
            </w:r>
            <w:r>
              <w:rPr>
                <w:rFonts w:cs="宋体"/>
                <w:kern w:val="0"/>
                <w:sz w:val="21"/>
                <w:szCs w:val="21"/>
              </w:rPr>
              <w:t xml:space="preserve">频响：20Hz~20KHz </w:t>
            </w:r>
            <w:r>
              <w:rPr>
                <w:rFonts w:cs="宋体"/>
                <w:kern w:val="0"/>
                <w:sz w:val="21"/>
                <w:szCs w:val="21"/>
              </w:rPr>
              <w:br w:type="textWrapping"/>
            </w:r>
            <w:r>
              <w:rPr>
                <w:rFonts w:cs="宋体"/>
                <w:kern w:val="0"/>
                <w:sz w:val="21"/>
                <w:szCs w:val="21"/>
              </w:rPr>
              <w:t>灵敏度：0.775V</w:t>
            </w:r>
            <w:r>
              <w:rPr>
                <w:rFonts w:cs="宋体"/>
                <w:kern w:val="0"/>
                <w:sz w:val="21"/>
                <w:szCs w:val="21"/>
              </w:rPr>
              <w:br w:type="textWrapping"/>
            </w:r>
            <w:r>
              <w:rPr>
                <w:rFonts w:cs="宋体"/>
                <w:kern w:val="0"/>
                <w:sz w:val="21"/>
                <w:szCs w:val="21"/>
              </w:rPr>
              <w:t xml:space="preserve">信噪比：≥103dB </w:t>
            </w:r>
            <w:r>
              <w:rPr>
                <w:rFonts w:cs="宋体"/>
                <w:kern w:val="0"/>
                <w:sz w:val="21"/>
                <w:szCs w:val="21"/>
              </w:rPr>
              <w:br w:type="textWrapping"/>
            </w:r>
            <w:r>
              <w:rPr>
                <w:rFonts w:cs="宋体"/>
                <w:kern w:val="0"/>
                <w:sz w:val="21"/>
                <w:szCs w:val="21"/>
              </w:rPr>
              <w:t xml:space="preserve">转换速率：45V/us </w:t>
            </w:r>
            <w:r>
              <w:rPr>
                <w:rFonts w:cs="宋体"/>
                <w:kern w:val="0"/>
                <w:sz w:val="21"/>
                <w:szCs w:val="21"/>
              </w:rPr>
              <w:br w:type="textWrapping"/>
            </w:r>
            <w:r>
              <w:rPr>
                <w:rFonts w:cs="宋体"/>
                <w:kern w:val="0"/>
                <w:sz w:val="21"/>
                <w:szCs w:val="21"/>
              </w:rPr>
              <w:t>总谐波失真：≤0.03%</w:t>
            </w:r>
            <w:r>
              <w:rPr>
                <w:rFonts w:cs="宋体"/>
                <w:kern w:val="0"/>
                <w:sz w:val="21"/>
                <w:szCs w:val="21"/>
              </w:rPr>
              <w:br w:type="textWrapping"/>
            </w:r>
            <w:r>
              <w:rPr>
                <w:rFonts w:cs="宋体"/>
                <w:kern w:val="0"/>
                <w:sz w:val="21"/>
                <w:szCs w:val="21"/>
              </w:rPr>
              <w:t xml:space="preserve">阻尼系数：≥500 </w:t>
            </w:r>
            <w:r>
              <w:rPr>
                <w:rFonts w:cs="宋体"/>
                <w:kern w:val="0"/>
                <w:sz w:val="21"/>
                <w:szCs w:val="21"/>
              </w:rPr>
              <w:br w:type="textWrapping"/>
            </w:r>
            <w:r>
              <w:rPr>
                <w:rFonts w:cs="宋体"/>
                <w:kern w:val="0"/>
                <w:sz w:val="21"/>
                <w:szCs w:val="21"/>
              </w:rPr>
              <w:t xml:space="preserve">冷却方式：2-Speed Fan </w:t>
            </w:r>
            <w:r>
              <w:rPr>
                <w:rFonts w:cs="宋体"/>
                <w:kern w:val="0"/>
                <w:sz w:val="21"/>
                <w:szCs w:val="21"/>
              </w:rPr>
              <w:br w:type="textWrapping"/>
            </w:r>
            <w:r>
              <w:rPr>
                <w:rFonts w:cs="宋体"/>
                <w:kern w:val="0"/>
                <w:sz w:val="21"/>
                <w:szCs w:val="21"/>
              </w:rPr>
              <w:t xml:space="preserve">显示指示：POWER/SIGNAL/CLIP/PROT </w:t>
            </w:r>
            <w:r>
              <w:rPr>
                <w:rFonts w:cs="宋体"/>
                <w:kern w:val="0"/>
                <w:sz w:val="21"/>
                <w:szCs w:val="21"/>
              </w:rPr>
              <w:br w:type="textWrapping"/>
            </w:r>
            <w:r>
              <w:rPr>
                <w:rFonts w:cs="宋体"/>
                <w:kern w:val="0"/>
                <w:sz w:val="21"/>
                <w:szCs w:val="21"/>
              </w:rPr>
              <w:t xml:space="preserve">保护方式：DC Safeguard/out Overloading/Chancroid S tarup/Boot-Strap Short </w:t>
            </w:r>
            <w:r>
              <w:rPr>
                <w:rFonts w:cs="宋体"/>
                <w:kern w:val="0"/>
                <w:sz w:val="21"/>
                <w:szCs w:val="21"/>
              </w:rPr>
              <w:br w:type="textWrapping"/>
            </w:r>
            <w:r>
              <w:rPr>
                <w:rFonts w:cs="宋体"/>
                <w:kern w:val="0"/>
                <w:sz w:val="21"/>
                <w:szCs w:val="21"/>
              </w:rPr>
              <w:t>使用电压：AC220V/50Hz±10%</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音频</w:t>
            </w:r>
          </w:p>
          <w:p>
            <w:pPr>
              <w:widowControl/>
              <w:spacing w:line="240" w:lineRule="auto"/>
              <w:jc w:val="left"/>
              <w:rPr>
                <w:rFonts w:hint="default" w:cs="宋体"/>
                <w:kern w:val="0"/>
                <w:sz w:val="21"/>
                <w:szCs w:val="21"/>
              </w:rPr>
            </w:pPr>
            <w:r>
              <w:rPr>
                <w:rFonts w:cs="宋体"/>
                <w:kern w:val="0"/>
                <w:sz w:val="21"/>
                <w:szCs w:val="21"/>
              </w:rPr>
              <w:t>处理器</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 xml:space="preserve">2种可供选择采样率: 24-bi t /48 kHz和24-bi t /96kHz </w:t>
            </w:r>
            <w:r>
              <w:rPr>
                <w:rFonts w:cs="宋体"/>
                <w:kern w:val="0"/>
                <w:sz w:val="21"/>
                <w:szCs w:val="21"/>
              </w:rPr>
              <w:br w:type="textWrapping"/>
            </w:r>
            <w:r>
              <w:rPr>
                <w:rFonts w:cs="宋体"/>
                <w:kern w:val="0"/>
                <w:sz w:val="21"/>
                <w:szCs w:val="21"/>
              </w:rPr>
              <w:t>24路麦克风前级扩大器 ; 24路线性输入 ;</w:t>
            </w:r>
            <w:r>
              <w:rPr>
                <w:rFonts w:cs="宋体"/>
                <w:kern w:val="0"/>
                <w:sz w:val="21"/>
                <w:szCs w:val="21"/>
              </w:rPr>
              <w:br w:type="textWrapping"/>
            </w:r>
            <w:r>
              <w:rPr>
                <w:rFonts w:cs="宋体"/>
                <w:kern w:val="0"/>
                <w:sz w:val="21"/>
                <w:szCs w:val="21"/>
              </w:rPr>
              <w:t>4个子群组 ≥10路辅助信道(8模拟信号辅助输送和2路内部辅助输送)</w:t>
            </w:r>
            <w:r>
              <w:rPr>
                <w:rFonts w:cs="宋体"/>
                <w:kern w:val="0"/>
                <w:sz w:val="21"/>
                <w:szCs w:val="21"/>
              </w:rPr>
              <w:br w:type="textWrapping"/>
            </w:r>
            <w:r>
              <w:rPr>
                <w:rFonts w:cs="宋体"/>
                <w:kern w:val="0"/>
                <w:sz w:val="21"/>
                <w:szCs w:val="21"/>
              </w:rPr>
              <w:t>高分辨率模拟-数字转换器(≥114 dB动态范围)</w:t>
            </w:r>
            <w:r>
              <w:rPr>
                <w:rFonts w:cs="宋体"/>
                <w:kern w:val="0"/>
                <w:sz w:val="21"/>
                <w:szCs w:val="21"/>
              </w:rPr>
              <w:br w:type="textWrapping"/>
            </w:r>
            <w:r>
              <w:rPr>
                <w:rFonts w:cs="宋体"/>
                <w:kern w:val="0"/>
                <w:sz w:val="21"/>
                <w:szCs w:val="21"/>
              </w:rPr>
              <w:t>高容许范围,≥ 32-bi t浮点, 数字混合及效果处理</w:t>
            </w:r>
            <w:r>
              <w:rPr>
                <w:rFonts w:cs="宋体"/>
                <w:kern w:val="0"/>
                <w:sz w:val="21"/>
                <w:szCs w:val="21"/>
              </w:rPr>
              <w:br w:type="textWrapping"/>
            </w:r>
            <w:r>
              <w:rPr>
                <w:rFonts w:cs="宋体"/>
                <w:kern w:val="0"/>
                <w:sz w:val="21"/>
                <w:szCs w:val="21"/>
              </w:rPr>
              <w:t xml:space="preserve">DSP立体声效果(可上载, 保存, 复制) </w:t>
            </w:r>
            <w:r>
              <w:rPr>
                <w:rFonts w:cs="宋体"/>
                <w:kern w:val="0"/>
                <w:sz w:val="21"/>
                <w:szCs w:val="21"/>
              </w:rPr>
              <w:br w:type="textWrapping"/>
            </w:r>
            <w:r>
              <w:rPr>
                <w:rFonts w:cs="宋体"/>
                <w:kern w:val="0"/>
                <w:sz w:val="21"/>
                <w:szCs w:val="21"/>
              </w:rPr>
              <w:t>对讲系统 ; 杂讯门 ; 压缩器</w:t>
            </w:r>
            <w:r>
              <w:rPr>
                <w:rFonts w:cs="宋体"/>
                <w:kern w:val="0"/>
                <w:sz w:val="21"/>
                <w:szCs w:val="21"/>
              </w:rPr>
              <w:br w:type="textWrapping"/>
            </w:r>
            <w:r>
              <w:rPr>
                <w:rFonts w:cs="宋体"/>
                <w:kern w:val="0"/>
                <w:sz w:val="21"/>
                <w:szCs w:val="21"/>
              </w:rPr>
              <w:t>7寸LED操作信息显示屏 ; 5V-0.5A USB灯接口高, 中高, 中低, 低4段全参数E Q 极性反向 ; 时间延迟 ; 音场控制*蓝牙音频接收器</w:t>
            </w:r>
            <w:r>
              <w:rPr>
                <w:rFonts w:cs="宋体"/>
                <w:kern w:val="0"/>
                <w:sz w:val="21"/>
                <w:szCs w:val="21"/>
              </w:rPr>
              <w:br w:type="textWrapping"/>
            </w:r>
            <w:r>
              <w:rPr>
                <w:rFonts w:cs="宋体"/>
                <w:kern w:val="0"/>
                <w:sz w:val="21"/>
                <w:szCs w:val="21"/>
              </w:rPr>
              <w:t>支持增加选配模组,如D U 3 2 3 2 ( 2 4信道录放模组)</w:t>
            </w:r>
            <w:r>
              <w:rPr>
                <w:rFonts w:cs="宋体"/>
                <w:kern w:val="0"/>
                <w:sz w:val="21"/>
                <w:szCs w:val="21"/>
              </w:rPr>
              <w:br w:type="textWrapping"/>
            </w:r>
            <w:r>
              <w:rPr>
                <w:rFonts w:cs="宋体"/>
                <w:kern w:val="0"/>
                <w:sz w:val="21"/>
                <w:szCs w:val="21"/>
              </w:rPr>
              <w:t>经USB接口实现远程电脑控制≥100 mm推杆 ; 高灵敏性按键 ; 1 2 8只实时显示L E D指示灯2路主输出3 1段图示均衡; 4路编组3 1段图示均衡; 8路辅助输出3 1段图示均衡</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手持无线话筒</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U段双手持双接收无线话筒（心型指向）；</w:t>
            </w:r>
            <w:r>
              <w:rPr>
                <w:rFonts w:cs="宋体"/>
                <w:kern w:val="0"/>
                <w:sz w:val="21"/>
                <w:szCs w:val="21"/>
              </w:rPr>
              <w:br w:type="textWrapping"/>
            </w:r>
            <w:r>
              <w:rPr>
                <w:rFonts w:cs="宋体"/>
                <w:kern w:val="0"/>
                <w:sz w:val="21"/>
                <w:szCs w:val="21"/>
              </w:rPr>
              <w:t xml:space="preserve">工作频率：600-900MHz;  </w:t>
            </w:r>
            <w:r>
              <w:rPr>
                <w:rFonts w:cs="宋体"/>
                <w:kern w:val="0"/>
                <w:sz w:val="21"/>
                <w:szCs w:val="21"/>
              </w:rPr>
              <w:br w:type="textWrapping"/>
            </w:r>
            <w:r>
              <w:rPr>
                <w:rFonts w:cs="宋体"/>
                <w:kern w:val="0"/>
                <w:sz w:val="21"/>
                <w:szCs w:val="21"/>
              </w:rPr>
              <w:t xml:space="preserve">调制方式：宽带FM; </w:t>
            </w:r>
            <w:r>
              <w:rPr>
                <w:rFonts w:cs="宋体"/>
                <w:kern w:val="0"/>
                <w:sz w:val="21"/>
                <w:szCs w:val="21"/>
              </w:rPr>
              <w:br w:type="textWrapping"/>
            </w:r>
            <w:r>
              <w:rPr>
                <w:rFonts w:cs="宋体"/>
                <w:kern w:val="0"/>
                <w:sz w:val="21"/>
                <w:szCs w:val="21"/>
              </w:rPr>
              <w:t>信道数目：160，</w:t>
            </w:r>
            <w:r>
              <w:rPr>
                <w:rFonts w:cs="宋体"/>
                <w:kern w:val="0"/>
                <w:sz w:val="21"/>
                <w:szCs w:val="21"/>
              </w:rPr>
              <w:br w:type="textWrapping"/>
            </w:r>
            <w:r>
              <w:rPr>
                <w:rFonts w:cs="宋体"/>
                <w:kern w:val="0"/>
                <w:sz w:val="21"/>
                <w:szCs w:val="21"/>
              </w:rPr>
              <w:t xml:space="preserve">信道间隔：50MHz      </w:t>
            </w:r>
            <w:r>
              <w:rPr>
                <w:rFonts w:cs="宋体"/>
                <w:kern w:val="0"/>
                <w:sz w:val="21"/>
                <w:szCs w:val="21"/>
              </w:rPr>
              <w:br w:type="textWrapping"/>
            </w:r>
            <w:r>
              <w:rPr>
                <w:rFonts w:cs="宋体"/>
                <w:kern w:val="0"/>
                <w:sz w:val="21"/>
                <w:szCs w:val="21"/>
              </w:rPr>
              <w:t>频率范围：60Hz~18KHz；</w:t>
            </w:r>
            <w:r>
              <w:rPr>
                <w:rFonts w:cs="宋体"/>
                <w:kern w:val="0"/>
                <w:sz w:val="21"/>
                <w:szCs w:val="21"/>
              </w:rPr>
              <w:br w:type="textWrapping"/>
            </w:r>
            <w:r>
              <w:rPr>
                <w:rFonts w:cs="宋体"/>
                <w:kern w:val="0"/>
                <w:sz w:val="21"/>
                <w:szCs w:val="21"/>
              </w:rPr>
              <w:t>最大频偏：±55KHz；</w:t>
            </w:r>
            <w:r>
              <w:rPr>
                <w:rFonts w:cs="宋体"/>
                <w:kern w:val="0"/>
                <w:sz w:val="21"/>
                <w:szCs w:val="21"/>
              </w:rPr>
              <w:br w:type="textWrapping"/>
            </w:r>
            <w:r>
              <w:rPr>
                <w:rFonts w:cs="宋体"/>
                <w:kern w:val="0"/>
                <w:sz w:val="21"/>
                <w:szCs w:val="21"/>
              </w:rPr>
              <w:t>频带宽度：50MHz；</w:t>
            </w:r>
            <w:r>
              <w:rPr>
                <w:rFonts w:cs="宋体"/>
                <w:kern w:val="0"/>
                <w:sz w:val="21"/>
                <w:szCs w:val="21"/>
              </w:rPr>
              <w:br w:type="textWrapping"/>
            </w:r>
            <w:r>
              <w:rPr>
                <w:rFonts w:cs="宋体"/>
                <w:kern w:val="0"/>
                <w:sz w:val="21"/>
                <w:szCs w:val="21"/>
              </w:rPr>
              <w:t>信噪比：&gt;102 dB(A)；</w:t>
            </w:r>
            <w:r>
              <w:rPr>
                <w:rFonts w:cs="宋体"/>
                <w:kern w:val="0"/>
                <w:sz w:val="21"/>
                <w:szCs w:val="21"/>
              </w:rPr>
              <w:br w:type="textWrapping"/>
            </w:r>
            <w:r>
              <w:rPr>
                <w:rFonts w:cs="宋体"/>
                <w:kern w:val="0"/>
                <w:sz w:val="21"/>
                <w:szCs w:val="21"/>
              </w:rPr>
              <w:t>失真度：&lt;0.5%；</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rPr>
                <w:rFonts w:hint="default" w:cs="宋体"/>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无线会议话筒</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1拖4</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流动机柜</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16U</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时序电源</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3000W，8路国标插座，带RS485接口</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中控主机</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支持串口*3，IO*4，IR*2</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中控编程</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含入系统</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手机端APP</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实现场景自动编程</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bottom"/>
          </w:tcPr>
          <w:p>
            <w:pPr>
              <w:widowControl/>
              <w:spacing w:line="240" w:lineRule="auto"/>
              <w:jc w:val="left"/>
              <w:rPr>
                <w:rFonts w:hint="default" w:cs="宋体"/>
                <w:color w:val="000000"/>
                <w:kern w:val="0"/>
                <w:sz w:val="21"/>
                <w:szCs w:val="21"/>
              </w:rPr>
            </w:pPr>
            <w:r>
              <w:rPr>
                <w:rFonts w:cs="宋体"/>
                <w:color w:val="000000"/>
                <w:kern w:val="0"/>
                <w:sz w:val="21"/>
                <w:szCs w:val="21"/>
              </w:rPr>
              <w:drawing>
                <wp:anchor distT="0" distB="0" distL="114300" distR="114300" simplePos="0" relativeHeight="251667456" behindDoc="0" locked="0" layoutInCell="1" allowOverlap="1">
                  <wp:simplePos x="0" y="0"/>
                  <wp:positionH relativeFrom="column">
                    <wp:posOffset>1162050</wp:posOffset>
                  </wp:positionH>
                  <wp:positionV relativeFrom="paragraph">
                    <wp:posOffset>-4445</wp:posOffset>
                  </wp:positionV>
                  <wp:extent cx="45720" cy="476250"/>
                  <wp:effectExtent l="0" t="0" r="0" b="0"/>
                  <wp:wrapNone/>
                  <wp:docPr id="9" name="AutoShape 1141"/>
                  <wp:cNvGraphicFramePr>
                    <a:graphicFrameLocks xmlns:a="http://schemas.openxmlformats.org/drawingml/2006/main" noChangeAspect="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81225" y="12458700"/>
                            <a:ext cx="304800" cy="1190625"/>
                            <a:chOff x="2181225" y="12458700"/>
                            <a:chExt cx="304800" cy="1190625"/>
                          </a:xfrm>
                        </a:grpSpPr>
                        <a:sp>
                          <a:nvSpPr>
                            <a:cNvPr id="3" name="AutoShape 1141" descr="c:\users\章建华\appdata\roaming\360se6\USERDA~1\Temp\T1IV0Z~1.WEB"/>
                            <a:cNvSpPr>
                              <a:spLocks noChangeAspect="1"/>
                            </a:cNvSpPr>
                          </a:nvSpPr>
                          <a:spPr bwMode="auto">
                            <a:xfrm>
                              <a:off x="3000375" y="9848850"/>
                              <a:ext cx="304800" cy="1190625"/>
                            </a:xfrm>
                            <a:prstGeom prst="rect">
                              <a:avLst/>
                            </a:prstGeom>
                            <a:noFill/>
                            <a:ln w="9525">
                              <a:noFill/>
                              <a:miter lim="800000"/>
                            </a:ln>
                          </a:spPr>
                        </a:sp>
                      </lc:lockedCanvas>
                    </a:graphicData>
                  </a:graphic>
                </wp:anchor>
              </w:drawing>
            </w:r>
            <w:r>
              <w:rPr>
                <w:rFonts w:cs="宋体"/>
                <w:color w:val="000000"/>
                <w:kern w:val="0"/>
                <w:sz w:val="21"/>
                <w:szCs w:val="21"/>
              </w:rPr>
              <w:drawing>
                <wp:anchor distT="0" distB="0" distL="114300" distR="114300" simplePos="0" relativeHeight="251668480" behindDoc="0" locked="0" layoutInCell="1" allowOverlap="1">
                  <wp:simplePos x="0" y="0"/>
                  <wp:positionH relativeFrom="column">
                    <wp:posOffset>876300</wp:posOffset>
                  </wp:positionH>
                  <wp:positionV relativeFrom="paragraph">
                    <wp:posOffset>0</wp:posOffset>
                  </wp:positionV>
                  <wp:extent cx="323850" cy="228600"/>
                  <wp:effectExtent l="0" t="0" r="0" b="0"/>
                  <wp:wrapNone/>
                  <wp:docPr id="10" name="图片 11"/>
                  <wp:cNvGraphicFramePr>
                    <a:graphicFrameLocks xmlns:a="http://schemas.openxmlformats.org/drawingml/2006/main" noChangeAspect="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81225" y="12458700"/>
                            <a:ext cx="304800" cy="219075"/>
                            <a:chOff x="2181225" y="12458700"/>
                            <a:chExt cx="304800" cy="219075"/>
                          </a:xfrm>
                        </a:grpSpPr>
                        <a:sp>
                          <a:nvSpPr>
                            <a:cNvPr id="5" name="AutoShape 1141" descr="c:\users\章建华\appdata\roaming\360se6\USERDA~1\Temp\T1IV0Z~1.WEB"/>
                            <a:cNvSpPr>
                              <a:spLocks noChangeAspect="1"/>
                            </a:cNvSpPr>
                          </a:nvSpPr>
                          <a:spPr bwMode="auto">
                            <a:xfrm>
                              <a:off x="3000375" y="9848850"/>
                              <a:ext cx="304800" cy="219075"/>
                            </a:xfrm>
                            <a:prstGeom prst="rect">
                              <a:avLst/>
                            </a:prstGeom>
                            <a:noFill/>
                            <a:ln w="9525">
                              <a:noFill/>
                              <a:miter lim="800000"/>
                            </a:ln>
                          </a:spPr>
                        </a:sp>
                      </lc:lockedCanvas>
                    </a:graphicData>
                  </a:graphic>
                </wp:anchor>
              </w:drawing>
            </w:r>
            <w:r>
              <w:rPr>
                <w:rFonts w:cs="宋体"/>
                <w:color w:val="000000"/>
                <w:kern w:val="0"/>
                <w:sz w:val="21"/>
                <w:szCs w:val="21"/>
              </w:rPr>
              <w:drawing>
                <wp:anchor distT="0" distB="0" distL="114300" distR="114300" simplePos="0" relativeHeight="251669504" behindDoc="0" locked="0" layoutInCell="1" allowOverlap="1">
                  <wp:simplePos x="0" y="0"/>
                  <wp:positionH relativeFrom="column">
                    <wp:posOffset>876300</wp:posOffset>
                  </wp:positionH>
                  <wp:positionV relativeFrom="paragraph">
                    <wp:posOffset>0</wp:posOffset>
                  </wp:positionV>
                  <wp:extent cx="323850" cy="228600"/>
                  <wp:effectExtent l="0" t="0" r="0" b="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2181225" y="12458700"/>
                            <a:ext cx="304800" cy="219075"/>
                            <a:chOff x="2181225" y="12458700"/>
                            <a:chExt cx="304800" cy="219075"/>
                          </a:xfrm>
                        </a:grpSpPr>
                        <a:sp>
                          <a:nvSpPr>
                            <a:cNvPr id="6" name="AutoShape 1141" descr="c:\users\章建华\appdata\roaming\360se6\USERDA~1\Temp\T1IV0Z~1.WEB"/>
                            <a:cNvSpPr>
                              <a:spLocks noChangeAspect="1"/>
                            </a:cNvSpPr>
                          </a:nvSpPr>
                          <a:spPr bwMode="auto">
                            <a:xfrm>
                              <a:off x="3000375" y="9848850"/>
                              <a:ext cx="304800" cy="219075"/>
                            </a:xfrm>
                            <a:prstGeom prst="rect">
                              <a:avLst/>
                            </a:prstGeom>
                            <a:noFill/>
                            <a:ln w="9525">
                              <a:noFill/>
                              <a:miter lim="800000"/>
                            </a:ln>
                          </a:spPr>
                        </a:sp>
                      </lc:lockedCanvas>
                    </a:graphicData>
                  </a:graphic>
                </wp:anchor>
              </w:drawing>
            </w:r>
            <w:r>
              <w:rPr>
                <w:rFonts w:cs="宋体"/>
                <w:color w:val="000000"/>
                <w:kern w:val="0"/>
                <w:sz w:val="21"/>
                <w:szCs w:val="21"/>
              </w:rPr>
              <w:drawing>
                <wp:anchor distT="0" distB="0" distL="114300" distR="114300" simplePos="0" relativeHeight="251670528" behindDoc="0" locked="0" layoutInCell="1" allowOverlap="1">
                  <wp:simplePos x="0" y="0"/>
                  <wp:positionH relativeFrom="column">
                    <wp:posOffset>1704975</wp:posOffset>
                  </wp:positionH>
                  <wp:positionV relativeFrom="paragraph">
                    <wp:posOffset>323850</wp:posOffset>
                  </wp:positionV>
                  <wp:extent cx="0" cy="219075"/>
                  <wp:effectExtent l="0" t="0" r="0" b="0"/>
                  <wp:wrapNone/>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9"/>
                          <a:stretch>
                            <a:fillRect/>
                          </a:stretch>
                        </pic:blipFill>
                        <pic:spPr>
                          <a:xfrm>
                            <a:off x="0" y="0"/>
                            <a:ext cx="0" cy="219075"/>
                          </a:xfrm>
                          <a:prstGeom prst="rect">
                            <a:avLst/>
                          </a:prstGeom>
                          <a:noFill/>
                          <a:ln>
                            <a:noFill/>
                          </a:ln>
                        </pic:spPr>
                      </pic:pic>
                    </a:graphicData>
                  </a:graphic>
                </wp:anchor>
              </w:drawing>
            </w:r>
            <w:r>
              <w:rPr>
                <w:rFonts w:cs="宋体"/>
                <w:color w:val="000000"/>
                <w:kern w:val="0"/>
                <w:sz w:val="21"/>
                <w:szCs w:val="21"/>
              </w:rPr>
              <w:drawing>
                <wp:anchor distT="0" distB="0" distL="114300" distR="114300" simplePos="0" relativeHeight="251671552" behindDoc="0" locked="0" layoutInCell="1" allowOverlap="1">
                  <wp:simplePos x="0" y="0"/>
                  <wp:positionH relativeFrom="column">
                    <wp:posOffset>1704975</wp:posOffset>
                  </wp:positionH>
                  <wp:positionV relativeFrom="paragraph">
                    <wp:posOffset>323850</wp:posOffset>
                  </wp:positionV>
                  <wp:extent cx="0" cy="1047750"/>
                  <wp:effectExtent l="0" t="0" r="0" b="0"/>
                  <wp:wrapNone/>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9"/>
                          <a:stretch>
                            <a:fillRect/>
                          </a:stretch>
                        </pic:blipFill>
                        <pic:spPr>
                          <a:xfrm>
                            <a:off x="0" y="0"/>
                            <a:ext cx="0" cy="1047750"/>
                          </a:xfrm>
                          <a:prstGeom prst="rect">
                            <a:avLst/>
                          </a:prstGeom>
                          <a:noFill/>
                          <a:ln>
                            <a:noFill/>
                          </a:ln>
                        </pic:spPr>
                      </pic:pic>
                    </a:graphicData>
                  </a:graphic>
                </wp:anchor>
              </w:drawing>
            </w:r>
            <w:r>
              <w:rPr>
                <w:rFonts w:cs="宋体"/>
                <w:color w:val="000000"/>
                <w:kern w:val="0"/>
                <w:sz w:val="21"/>
                <w:szCs w:val="21"/>
              </w:rPr>
              <w:drawing>
                <wp:anchor distT="0" distB="0" distL="114300" distR="114300" simplePos="0" relativeHeight="251672576" behindDoc="0" locked="0" layoutInCell="1" allowOverlap="1">
                  <wp:simplePos x="0" y="0"/>
                  <wp:positionH relativeFrom="column">
                    <wp:posOffset>1704975</wp:posOffset>
                  </wp:positionH>
                  <wp:positionV relativeFrom="paragraph">
                    <wp:posOffset>323850</wp:posOffset>
                  </wp:positionV>
                  <wp:extent cx="0" cy="1066800"/>
                  <wp:effectExtent l="0" t="0" r="0" b="0"/>
                  <wp:wrapNone/>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9"/>
                          <a:stretch>
                            <a:fillRect/>
                          </a:stretch>
                        </pic:blipFill>
                        <pic:spPr>
                          <a:xfrm>
                            <a:off x="0" y="0"/>
                            <a:ext cx="0" cy="1066800"/>
                          </a:xfrm>
                          <a:prstGeom prst="rect">
                            <a:avLst/>
                          </a:prstGeom>
                          <a:noFill/>
                          <a:ln>
                            <a:noFill/>
                          </a:ln>
                        </pic:spPr>
                      </pic:pic>
                    </a:graphicData>
                  </a:graphic>
                </wp:anchor>
              </w:drawing>
            </w:r>
            <w:r>
              <w:rPr>
                <w:rFonts w:cs="宋体"/>
                <w:color w:val="000000"/>
                <w:kern w:val="0"/>
                <w:sz w:val="21"/>
                <w:szCs w:val="21"/>
              </w:rPr>
              <w:drawing>
                <wp:anchor distT="0" distB="0" distL="114300" distR="114300" simplePos="0" relativeHeight="251673600" behindDoc="0" locked="0" layoutInCell="1" allowOverlap="1">
                  <wp:simplePos x="0" y="0"/>
                  <wp:positionH relativeFrom="column">
                    <wp:posOffset>1704975</wp:posOffset>
                  </wp:positionH>
                  <wp:positionV relativeFrom="paragraph">
                    <wp:posOffset>323850</wp:posOffset>
                  </wp:positionV>
                  <wp:extent cx="0" cy="219075"/>
                  <wp:effectExtent l="0" t="0" r="0" b="0"/>
                  <wp:wrapNone/>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9"/>
                          <a:stretch>
                            <a:fillRect/>
                          </a:stretch>
                        </pic:blipFill>
                        <pic:spPr>
                          <a:xfrm>
                            <a:off x="0" y="0"/>
                            <a:ext cx="0" cy="219075"/>
                          </a:xfrm>
                          <a:prstGeom prst="rect">
                            <a:avLst/>
                          </a:prstGeom>
                          <a:noFill/>
                          <a:ln>
                            <a:noFill/>
                          </a:ln>
                        </pic:spPr>
                      </pic:pic>
                    </a:graphicData>
                  </a:graphic>
                </wp:anchor>
              </w:drawing>
            </w:r>
            <w:r>
              <w:rPr>
                <w:rFonts w:cs="宋体"/>
                <w:color w:val="000000"/>
                <w:kern w:val="0"/>
                <w:sz w:val="21"/>
                <w:szCs w:val="21"/>
              </w:rPr>
              <w:t>灯控：</w:t>
            </w:r>
          </w:p>
          <w:tbl>
            <w:tblPr>
              <w:tblStyle w:val="29"/>
              <w:tblW w:w="0" w:type="auto"/>
              <w:tblCellSpacing w:w="0" w:type="dxa"/>
              <w:tblInd w:w="0" w:type="dxa"/>
              <w:tblLayout w:type="fixed"/>
              <w:tblCellMar>
                <w:top w:w="0" w:type="dxa"/>
                <w:left w:w="0" w:type="dxa"/>
                <w:bottom w:w="0" w:type="dxa"/>
                <w:right w:w="0" w:type="dxa"/>
              </w:tblCellMar>
            </w:tblPr>
            <w:tblGrid>
              <w:gridCol w:w="2086"/>
            </w:tblGrid>
            <w:tr>
              <w:tblPrEx>
                <w:tblCellMar>
                  <w:top w:w="0" w:type="dxa"/>
                  <w:left w:w="0" w:type="dxa"/>
                  <w:bottom w:w="0" w:type="dxa"/>
                  <w:right w:w="0" w:type="dxa"/>
                </w:tblCellMar>
              </w:tblPrEx>
              <w:trPr>
                <w:trHeight w:val="1035" w:hRule="atLeast"/>
                <w:tblCellSpacing w:w="0" w:type="dxa"/>
              </w:trPr>
              <w:tc>
                <w:tcPr>
                  <w:tcW w:w="2086"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4回路数字式可编程调光控制器</w:t>
                  </w:r>
                </w:p>
              </w:tc>
            </w:tr>
          </w:tbl>
          <w:p>
            <w:pPr>
              <w:widowControl/>
              <w:spacing w:line="240" w:lineRule="auto"/>
              <w:jc w:val="left"/>
              <w:rPr>
                <w:rFonts w:hint="default" w:cs="宋体"/>
                <w:color w:val="000000"/>
                <w:kern w:val="0"/>
                <w:sz w:val="21"/>
                <w:szCs w:val="21"/>
              </w:rPr>
            </w:pP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 xml:space="preserve">4回路数字式可编程调光控制器 ，其中3回路10A/路，1回路16A/路，电源输入及每回路输出均配空开保护，输出回路配旁路开关（总功率40A）             </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4路2A可编程智能调光控制器</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4路2A可编程智能调光控制器。最大总负载6A，每回路可设置前沿或后沿调光。</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 xml:space="preserve">7键可编程控制面板 </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7键可编程控制面板（7系列），（86型安装底盒）</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块</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电动卷帘（含布）</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9套</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批</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电动窗帘控制模块</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可控制两台电机（220V交流电机或触点控制方式），自带干接点及RS485接口</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3</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块</w:t>
            </w:r>
          </w:p>
        </w:tc>
      </w:tr>
      <w:tr>
        <w:tblPrEx>
          <w:tblCellMar>
            <w:top w:w="0" w:type="dxa"/>
            <w:left w:w="108" w:type="dxa"/>
            <w:bottom w:w="0" w:type="dxa"/>
            <w:right w:w="108" w:type="dxa"/>
          </w:tblCellMar>
        </w:tblPrEx>
        <w:trPr>
          <w:trHeight w:val="330" w:hRule="atLeast"/>
        </w:trPr>
        <w:tc>
          <w:tcPr>
            <w:tcW w:w="1193" w:type="dxa"/>
            <w:vMerge w:val="restart"/>
            <w:tcBorders>
              <w:top w:val="single" w:color="000000" w:sz="4" w:space="0"/>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p>
            <w:pPr>
              <w:rPr>
                <w:rFonts w:hint="default" w:cs="宋体"/>
                <w:sz w:val="21"/>
                <w:szCs w:val="21"/>
              </w:rPr>
            </w:pPr>
            <w:r>
              <w:rPr>
                <w:rFonts w:cs="宋体"/>
                <w:sz w:val="21"/>
                <w:szCs w:val="21"/>
              </w:rPr>
              <w:t>会议室2</w:t>
            </w: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p>
            <w:pPr>
              <w:rPr>
                <w:rFonts w:hint="default" w:cs="宋体"/>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两分频8寸全频音箱</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两单元高级 2 阶分频系统，单元组成：52 mm振膜；1"喉口；高分子聚合材料压缩驱动器；8"（258 mm）长冲程低频扬声器；61mm音圈；特殊音圈散热设计，频率响应（- 3dB）: 49Hz-22KHz，覆盖角度（H×V）：75° x 55°，灵敏度（1米/1W，2.83V）：97 Db，最大声压（MAX SPL）：128 dB SPL，分频点：1800Hz（12dB/Oct），系统额定功率：持续功率600 W，低频600 W/高频40 W，输入接口：2 Neutrik NL4，额定阻抗：8欧姆（最低6欧姆）</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功放</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输出功率：</w:t>
            </w:r>
            <w:r>
              <w:rPr>
                <w:rFonts w:cs="宋体"/>
                <w:kern w:val="0"/>
                <w:sz w:val="21"/>
                <w:szCs w:val="21"/>
              </w:rPr>
              <w:br w:type="textWrapping"/>
            </w:r>
            <w:r>
              <w:rPr>
                <w:rFonts w:cs="宋体"/>
                <w:kern w:val="0"/>
                <w:sz w:val="21"/>
                <w:szCs w:val="21"/>
              </w:rPr>
              <w:t>立体声模式：2×600W（8ohms），2×900W（4ohms）；</w:t>
            </w:r>
            <w:r>
              <w:rPr>
                <w:rFonts w:cs="宋体"/>
                <w:kern w:val="0"/>
                <w:sz w:val="21"/>
                <w:szCs w:val="21"/>
              </w:rPr>
              <w:br w:type="textWrapping"/>
            </w:r>
            <w:r>
              <w:rPr>
                <w:rFonts w:cs="宋体"/>
                <w:kern w:val="0"/>
                <w:sz w:val="21"/>
                <w:szCs w:val="21"/>
              </w:rPr>
              <w:t>桥接模式：1800W（8ohms）</w:t>
            </w:r>
            <w:r>
              <w:rPr>
                <w:rFonts w:cs="宋体"/>
                <w:kern w:val="0"/>
                <w:sz w:val="21"/>
                <w:szCs w:val="21"/>
              </w:rPr>
              <w:br w:type="textWrapping"/>
            </w:r>
            <w:r>
              <w:rPr>
                <w:rFonts w:cs="宋体"/>
                <w:kern w:val="0"/>
                <w:sz w:val="21"/>
                <w:szCs w:val="21"/>
              </w:rPr>
              <w:t xml:space="preserve">频响：20Hz~20KHz </w:t>
            </w:r>
            <w:r>
              <w:rPr>
                <w:rFonts w:cs="宋体"/>
                <w:kern w:val="0"/>
                <w:sz w:val="21"/>
                <w:szCs w:val="21"/>
              </w:rPr>
              <w:br w:type="textWrapping"/>
            </w:r>
            <w:r>
              <w:rPr>
                <w:rFonts w:cs="宋体"/>
                <w:kern w:val="0"/>
                <w:sz w:val="21"/>
                <w:szCs w:val="21"/>
              </w:rPr>
              <w:t>灵敏度：0.775V</w:t>
            </w:r>
            <w:r>
              <w:rPr>
                <w:rFonts w:cs="宋体"/>
                <w:kern w:val="0"/>
                <w:sz w:val="21"/>
                <w:szCs w:val="21"/>
              </w:rPr>
              <w:br w:type="textWrapping"/>
            </w:r>
            <w:r>
              <w:rPr>
                <w:rFonts w:cs="宋体"/>
                <w:kern w:val="0"/>
                <w:sz w:val="21"/>
                <w:szCs w:val="21"/>
              </w:rPr>
              <w:t xml:space="preserve">信噪比：≥103dB </w:t>
            </w:r>
            <w:r>
              <w:rPr>
                <w:rFonts w:cs="宋体"/>
                <w:kern w:val="0"/>
                <w:sz w:val="21"/>
                <w:szCs w:val="21"/>
              </w:rPr>
              <w:br w:type="textWrapping"/>
            </w:r>
            <w:r>
              <w:rPr>
                <w:rFonts w:cs="宋体"/>
                <w:kern w:val="0"/>
                <w:sz w:val="21"/>
                <w:szCs w:val="21"/>
              </w:rPr>
              <w:t xml:space="preserve">转换速率：45V/us </w:t>
            </w:r>
            <w:r>
              <w:rPr>
                <w:rFonts w:cs="宋体"/>
                <w:kern w:val="0"/>
                <w:sz w:val="21"/>
                <w:szCs w:val="21"/>
              </w:rPr>
              <w:br w:type="textWrapping"/>
            </w:r>
            <w:r>
              <w:rPr>
                <w:rFonts w:cs="宋体"/>
                <w:kern w:val="0"/>
                <w:sz w:val="21"/>
                <w:szCs w:val="21"/>
              </w:rPr>
              <w:t>总谐波失真：≤0.03%</w:t>
            </w:r>
            <w:r>
              <w:rPr>
                <w:rFonts w:cs="宋体"/>
                <w:kern w:val="0"/>
                <w:sz w:val="21"/>
                <w:szCs w:val="21"/>
              </w:rPr>
              <w:br w:type="textWrapping"/>
            </w:r>
            <w:r>
              <w:rPr>
                <w:rFonts w:cs="宋体"/>
                <w:kern w:val="0"/>
                <w:sz w:val="21"/>
                <w:szCs w:val="21"/>
              </w:rPr>
              <w:t xml:space="preserve">阻尼系数：≥500 </w:t>
            </w:r>
            <w:r>
              <w:rPr>
                <w:rFonts w:cs="宋体"/>
                <w:kern w:val="0"/>
                <w:sz w:val="21"/>
                <w:szCs w:val="21"/>
              </w:rPr>
              <w:br w:type="textWrapping"/>
            </w:r>
            <w:r>
              <w:rPr>
                <w:rFonts w:cs="宋体"/>
                <w:kern w:val="0"/>
                <w:sz w:val="21"/>
                <w:szCs w:val="21"/>
              </w:rPr>
              <w:t xml:space="preserve">冷却方式：2-Speed Fan </w:t>
            </w:r>
            <w:r>
              <w:rPr>
                <w:rFonts w:cs="宋体"/>
                <w:kern w:val="0"/>
                <w:sz w:val="21"/>
                <w:szCs w:val="21"/>
              </w:rPr>
              <w:br w:type="textWrapping"/>
            </w:r>
            <w:r>
              <w:rPr>
                <w:rFonts w:cs="宋体"/>
                <w:kern w:val="0"/>
                <w:sz w:val="21"/>
                <w:szCs w:val="21"/>
              </w:rPr>
              <w:t xml:space="preserve">显示指示：POWER/SIGNAL/CLIP/PROT </w:t>
            </w:r>
            <w:r>
              <w:rPr>
                <w:rFonts w:cs="宋体"/>
                <w:kern w:val="0"/>
                <w:sz w:val="21"/>
                <w:szCs w:val="21"/>
              </w:rPr>
              <w:br w:type="textWrapping"/>
            </w:r>
            <w:r>
              <w:rPr>
                <w:rFonts w:cs="宋体"/>
                <w:kern w:val="0"/>
                <w:sz w:val="21"/>
                <w:szCs w:val="21"/>
              </w:rPr>
              <w:t xml:space="preserve">保护方式：DC Safeguard/out Overloading/Chancroid S tarup/Boot-Strap Short </w:t>
            </w:r>
            <w:r>
              <w:rPr>
                <w:rFonts w:cs="宋体"/>
                <w:kern w:val="0"/>
                <w:sz w:val="21"/>
                <w:szCs w:val="21"/>
              </w:rPr>
              <w:br w:type="textWrapping"/>
            </w:r>
            <w:r>
              <w:rPr>
                <w:rFonts w:cs="宋体"/>
                <w:kern w:val="0"/>
                <w:sz w:val="21"/>
                <w:szCs w:val="21"/>
              </w:rPr>
              <w:t>使用电压：AC220V/50Hz±10%</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音频处理器</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数字音频处理器，带网络型调试接口，内置均衡器、延时器、压限器、电子分频器，避免周边过多造成传输衰减；24-bit/48Khz双DSP,高性能数模转换,动态范围高达120dB；内置1/36倍频程Q值可调参量均衡器优化系统频率响应；电子分频器，分频点19.8HZ~21.5KHZ可调；分频滤波器类型和斜率多种选择:12dB、24dB和36dB巴特沃斯、宁克-锐、和贝塞儿，每个通道具有最大682ms的延时线；输出压限器其门限可调，压缩动作及释放自动调整；自动电子平衡输入输出；不计权；THD+噪音：0.001 % (-100 dB) @ 1 kHz / +6 dBu (所有增益为0)；转换精度：24bit；系统延时：0.5 ms (模拟到模拟)；远程界面：10/100Base-TX以太网(IP)连接的RJ45 EtherCon</w:t>
            </w:r>
            <w:r>
              <w:rPr>
                <w:rFonts w:hAnsi="微软雅黑" w:eastAsia="微软雅黑" w:cs="宋体"/>
                <w:kern w:val="0"/>
                <w:sz w:val="21"/>
                <w:szCs w:val="21"/>
              </w:rPr>
              <w:t>™</w:t>
            </w:r>
            <w:r>
              <w:rPr>
                <w:rFonts w:cs="宋体"/>
                <w:kern w:val="0"/>
                <w:sz w:val="21"/>
                <w:szCs w:val="21"/>
              </w:rPr>
              <w:t>接口；</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手持无线话筒</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U段双手持双接收无线话筒（心型指向）；</w:t>
            </w:r>
            <w:r>
              <w:rPr>
                <w:rFonts w:cs="宋体"/>
                <w:kern w:val="0"/>
                <w:sz w:val="21"/>
                <w:szCs w:val="21"/>
              </w:rPr>
              <w:br w:type="textWrapping"/>
            </w:r>
            <w:r>
              <w:rPr>
                <w:rFonts w:cs="宋体"/>
                <w:kern w:val="0"/>
                <w:sz w:val="21"/>
                <w:szCs w:val="21"/>
              </w:rPr>
              <w:t>工作频率：600-900MHz;</w:t>
            </w:r>
            <w:r>
              <w:rPr>
                <w:rFonts w:cs="宋体"/>
                <w:kern w:val="0"/>
                <w:sz w:val="21"/>
                <w:szCs w:val="21"/>
              </w:rPr>
              <w:br w:type="textWrapping"/>
            </w:r>
            <w:r>
              <w:rPr>
                <w:rFonts w:cs="宋体"/>
                <w:kern w:val="0"/>
                <w:sz w:val="21"/>
                <w:szCs w:val="21"/>
              </w:rPr>
              <w:t>调制方式：宽带FM;</w:t>
            </w:r>
            <w:r>
              <w:rPr>
                <w:rFonts w:cs="宋体"/>
                <w:kern w:val="0"/>
                <w:sz w:val="21"/>
                <w:szCs w:val="21"/>
              </w:rPr>
              <w:br w:type="textWrapping"/>
            </w:r>
            <w:r>
              <w:rPr>
                <w:rFonts w:cs="宋体"/>
                <w:kern w:val="0"/>
                <w:sz w:val="21"/>
                <w:szCs w:val="21"/>
              </w:rPr>
              <w:t>信道数目：160；</w:t>
            </w:r>
            <w:r>
              <w:rPr>
                <w:rFonts w:cs="宋体"/>
                <w:kern w:val="0"/>
                <w:sz w:val="21"/>
                <w:szCs w:val="21"/>
              </w:rPr>
              <w:br w:type="textWrapping"/>
            </w:r>
            <w:r>
              <w:rPr>
                <w:rFonts w:cs="宋体"/>
                <w:kern w:val="0"/>
                <w:sz w:val="21"/>
                <w:szCs w:val="21"/>
              </w:rPr>
              <w:t>信道间隔：50MHz；</w:t>
            </w:r>
            <w:r>
              <w:rPr>
                <w:rFonts w:cs="宋体"/>
                <w:kern w:val="0"/>
                <w:sz w:val="21"/>
                <w:szCs w:val="21"/>
              </w:rPr>
              <w:br w:type="textWrapping"/>
            </w:r>
            <w:r>
              <w:rPr>
                <w:rFonts w:cs="宋体"/>
                <w:kern w:val="0"/>
                <w:sz w:val="21"/>
                <w:szCs w:val="21"/>
              </w:rPr>
              <w:t>频率范围：60Hz~18KHz；</w:t>
            </w:r>
            <w:r>
              <w:rPr>
                <w:rFonts w:cs="宋体"/>
                <w:kern w:val="0"/>
                <w:sz w:val="21"/>
                <w:szCs w:val="21"/>
              </w:rPr>
              <w:br w:type="textWrapping"/>
            </w:r>
            <w:r>
              <w:rPr>
                <w:rFonts w:cs="宋体"/>
                <w:kern w:val="0"/>
                <w:sz w:val="21"/>
                <w:szCs w:val="21"/>
              </w:rPr>
              <w:t>最大频偏：±55KHz；</w:t>
            </w:r>
            <w:r>
              <w:rPr>
                <w:rFonts w:cs="宋体"/>
                <w:kern w:val="0"/>
                <w:sz w:val="21"/>
                <w:szCs w:val="21"/>
              </w:rPr>
              <w:br w:type="textWrapping"/>
            </w:r>
            <w:r>
              <w:rPr>
                <w:rFonts w:cs="宋体"/>
                <w:kern w:val="0"/>
                <w:sz w:val="21"/>
                <w:szCs w:val="21"/>
              </w:rPr>
              <w:t>频带宽度：50MHz；</w:t>
            </w:r>
            <w:r>
              <w:rPr>
                <w:rFonts w:cs="宋体"/>
                <w:kern w:val="0"/>
                <w:sz w:val="21"/>
                <w:szCs w:val="21"/>
              </w:rPr>
              <w:br w:type="textWrapping"/>
            </w:r>
            <w:r>
              <w:rPr>
                <w:rFonts w:cs="宋体"/>
                <w:kern w:val="0"/>
                <w:sz w:val="21"/>
                <w:szCs w:val="21"/>
              </w:rPr>
              <w:t>信噪比：&gt;102 dB(A)；</w:t>
            </w:r>
            <w:r>
              <w:rPr>
                <w:rFonts w:cs="宋体"/>
                <w:kern w:val="0"/>
                <w:sz w:val="21"/>
                <w:szCs w:val="21"/>
              </w:rPr>
              <w:br w:type="textWrapping"/>
            </w:r>
            <w:r>
              <w:rPr>
                <w:rFonts w:cs="宋体"/>
                <w:kern w:val="0"/>
                <w:sz w:val="21"/>
                <w:szCs w:val="21"/>
              </w:rPr>
              <w:t>失真度：&lt;0.5%；</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无线会议话筒</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1拖4</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流动机柜</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16U</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时序电源</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3000W，8路国标插座，带RS485接口</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无线控制器</w:t>
            </w:r>
          </w:p>
        </w:tc>
        <w:tc>
          <w:tcPr>
            <w:tcW w:w="5152" w:type="dxa"/>
            <w:tcBorders>
              <w:top w:val="single" w:color="000000" w:sz="4" w:space="0"/>
              <w:left w:val="nil"/>
              <w:bottom w:val="single" w:color="000000" w:sz="4" w:space="0"/>
              <w:right w:val="single" w:color="000000" w:sz="4" w:space="0"/>
            </w:tcBorders>
            <w:shd w:val="clear" w:color="000000" w:fill="FFFFFF"/>
            <w:noWrap w:val="0"/>
            <w:vAlign w:val="bottom"/>
          </w:tcPr>
          <w:p>
            <w:pPr>
              <w:widowControl/>
              <w:spacing w:line="240" w:lineRule="auto"/>
              <w:jc w:val="left"/>
              <w:rPr>
                <w:rFonts w:hint="default" w:cs="宋体"/>
                <w:color w:val="000000"/>
                <w:kern w:val="0"/>
                <w:sz w:val="21"/>
                <w:szCs w:val="21"/>
              </w:rPr>
            </w:pPr>
          </w:p>
          <w:tbl>
            <w:tblPr>
              <w:tblStyle w:val="29"/>
              <w:tblW w:w="0" w:type="auto"/>
              <w:tblCellSpacing w:w="0" w:type="dxa"/>
              <w:tblInd w:w="0" w:type="dxa"/>
              <w:tblLayout w:type="fixed"/>
              <w:tblCellMar>
                <w:top w:w="0" w:type="dxa"/>
                <w:left w:w="0" w:type="dxa"/>
                <w:bottom w:w="0" w:type="dxa"/>
                <w:right w:w="0" w:type="dxa"/>
              </w:tblCellMar>
            </w:tblPr>
            <w:tblGrid>
              <w:gridCol w:w="4859"/>
            </w:tblGrid>
            <w:tr>
              <w:tblPrEx>
                <w:tblCellMar>
                  <w:top w:w="0" w:type="dxa"/>
                  <w:left w:w="0" w:type="dxa"/>
                  <w:bottom w:w="0" w:type="dxa"/>
                  <w:right w:w="0" w:type="dxa"/>
                </w:tblCellMar>
              </w:tblPrEx>
              <w:trPr>
                <w:trHeight w:val="345" w:hRule="atLeast"/>
                <w:tblCellSpacing w:w="0" w:type="dxa"/>
              </w:trPr>
              <w:tc>
                <w:tcPr>
                  <w:tcW w:w="4859"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实现红外遥控复制</w:t>
                  </w:r>
                </w:p>
              </w:tc>
            </w:tr>
          </w:tbl>
          <w:p>
            <w:pPr>
              <w:widowControl/>
              <w:spacing w:line="240" w:lineRule="auto"/>
              <w:jc w:val="left"/>
              <w:rPr>
                <w:rFonts w:hint="default" w:cs="宋体"/>
                <w:color w:val="000000"/>
                <w:kern w:val="0"/>
                <w:sz w:val="21"/>
                <w:szCs w:val="21"/>
              </w:rPr>
            </w:pP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工程投影机</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 xml:space="preserve">标清 5000流明 </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电动投影幕</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　</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幅</w:t>
            </w:r>
          </w:p>
        </w:tc>
      </w:tr>
      <w:tr>
        <w:tblPrEx>
          <w:tblCellMar>
            <w:top w:w="0" w:type="dxa"/>
            <w:left w:w="108" w:type="dxa"/>
            <w:bottom w:w="0" w:type="dxa"/>
            <w:right w:w="108" w:type="dxa"/>
          </w:tblCellMar>
        </w:tblPrEx>
        <w:trPr>
          <w:trHeight w:val="330" w:hRule="atLeast"/>
        </w:trPr>
        <w:tc>
          <w:tcPr>
            <w:tcW w:w="1193" w:type="dxa"/>
            <w:vMerge w:val="restart"/>
            <w:tcBorders>
              <w:top w:val="single" w:color="000000" w:sz="4" w:space="0"/>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消费一卡通子系统</w:t>
            </w: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FF0000"/>
                <w:kern w:val="0"/>
                <w:sz w:val="21"/>
                <w:szCs w:val="21"/>
              </w:rPr>
            </w:pPr>
            <w:r>
              <w:rPr>
                <w:rFonts w:cs="宋体"/>
                <w:kern w:val="0"/>
                <w:sz w:val="21"/>
                <w:szCs w:val="21"/>
              </w:rPr>
              <w:t>一卡通标准版支撑平台</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为一卡通各类应用系统提供相应服务，包括电子支付、聚合支付、访问控制、身份识别、转账充值、清分清算、消息处理等服务组件，支持分布式部署</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套</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一卡通第三方对接系统软件</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智慧一卡通第三方对接系统支持多种模式，为第三方提供一卡通系统基础信息维护、用户信息维护、用户信息获取、支付交易、信息查询等功能</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项</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通用读卡器</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支持13.56MHz非接触式卡片，符合ISO/IEC 14443A/B标准， 0.96英寸OLED屏显示，可显示卡号，持卡人身份、卡片余额等信息， 支持标准字库显示，通讯接口USB，支持1个符合IS07816标准卡尺寸，同时可附加3个符合GSM11.11的Sim卡的卡尺寸SAM卡座。</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系统授权卡</w:t>
            </w:r>
          </w:p>
        </w:tc>
        <w:tc>
          <w:tcPr>
            <w:tcW w:w="5152" w:type="dxa"/>
            <w:tcBorders>
              <w:top w:val="single" w:color="000000" w:sz="4" w:space="0"/>
              <w:left w:val="nil"/>
              <w:bottom w:val="single" w:color="000000" w:sz="4" w:space="0"/>
              <w:right w:val="single" w:color="000000" w:sz="4" w:space="0"/>
            </w:tcBorders>
            <w:shd w:val="clear" w:color="000000" w:fill="FFFFFF"/>
            <w:noWrap w:val="0"/>
            <w:vAlign w:val="top"/>
          </w:tcPr>
          <w:p>
            <w:pPr>
              <w:widowControl/>
              <w:spacing w:line="240" w:lineRule="auto"/>
              <w:jc w:val="left"/>
              <w:rPr>
                <w:rFonts w:hint="default" w:cs="宋体"/>
                <w:kern w:val="0"/>
                <w:sz w:val="21"/>
                <w:szCs w:val="21"/>
              </w:rPr>
            </w:pPr>
            <w:r>
              <w:rPr>
                <w:rFonts w:cs="宋体"/>
                <w:kern w:val="0"/>
                <w:sz w:val="21"/>
                <w:szCs w:val="21"/>
              </w:rPr>
              <w:t xml:space="preserve">高速、无驱智能卡型软件加密锁 </w:t>
            </w:r>
            <w:r>
              <w:rPr>
                <w:rFonts w:cs="宋体"/>
                <w:kern w:val="0"/>
                <w:sz w:val="21"/>
                <w:szCs w:val="21"/>
              </w:rPr>
              <w:br w:type="textWrapping"/>
            </w:r>
            <w:r>
              <w:rPr>
                <w:rFonts w:cs="宋体"/>
                <w:kern w:val="0"/>
                <w:sz w:val="21"/>
                <w:szCs w:val="21"/>
              </w:rPr>
              <w:t xml:space="preserve">内置C51虚拟机 </w:t>
            </w:r>
            <w:r>
              <w:rPr>
                <w:rFonts w:cs="宋体"/>
                <w:kern w:val="0"/>
                <w:sz w:val="21"/>
                <w:szCs w:val="21"/>
              </w:rPr>
              <w:br w:type="textWrapping"/>
            </w:r>
            <w:r>
              <w:rPr>
                <w:rFonts w:cs="宋体"/>
                <w:kern w:val="0"/>
                <w:sz w:val="21"/>
                <w:szCs w:val="21"/>
              </w:rPr>
              <w:t xml:space="preserve">自主知识产权的COS系统—FEITIAN COS </w:t>
            </w:r>
            <w:r>
              <w:rPr>
                <w:rFonts w:cs="宋体"/>
                <w:kern w:val="0"/>
                <w:sz w:val="21"/>
                <w:szCs w:val="21"/>
              </w:rPr>
              <w:br w:type="textWrapping"/>
            </w:r>
            <w:r>
              <w:rPr>
                <w:rFonts w:cs="宋体"/>
                <w:kern w:val="0"/>
                <w:sz w:val="21"/>
                <w:szCs w:val="21"/>
              </w:rPr>
              <w:t xml:space="preserve">提供Keil试用开发环境 </w:t>
            </w:r>
            <w:r>
              <w:rPr>
                <w:rFonts w:cs="宋体"/>
                <w:kern w:val="0"/>
                <w:sz w:val="21"/>
                <w:szCs w:val="21"/>
              </w:rPr>
              <w:br w:type="textWrapping"/>
            </w:r>
            <w:r>
              <w:rPr>
                <w:rFonts w:cs="宋体"/>
                <w:kern w:val="0"/>
                <w:sz w:val="21"/>
                <w:szCs w:val="21"/>
              </w:rPr>
              <w:t xml:space="preserve">全球唯一硬件ID与管理编码 </w:t>
            </w:r>
            <w:r>
              <w:rPr>
                <w:rFonts w:cs="宋体"/>
                <w:kern w:val="0"/>
                <w:sz w:val="21"/>
                <w:szCs w:val="21"/>
              </w:rPr>
              <w:br w:type="textWrapping"/>
            </w:r>
            <w:r>
              <w:rPr>
                <w:rFonts w:cs="宋体"/>
                <w:kern w:val="0"/>
                <w:sz w:val="21"/>
                <w:szCs w:val="21"/>
              </w:rPr>
              <w:t xml:space="preserve">丰富的虚拟机系统调用和开发接口，支持双精度浮点的多种数学运算 </w:t>
            </w:r>
            <w:r>
              <w:rPr>
                <w:rFonts w:cs="宋体"/>
                <w:kern w:val="0"/>
                <w:sz w:val="21"/>
                <w:szCs w:val="21"/>
              </w:rPr>
              <w:br w:type="textWrapping"/>
            </w:r>
            <w:r>
              <w:rPr>
                <w:rFonts w:cs="宋体"/>
                <w:kern w:val="0"/>
                <w:sz w:val="21"/>
                <w:szCs w:val="21"/>
              </w:rPr>
              <w:t xml:space="preserve">内置RSA、DES等算法 </w:t>
            </w:r>
            <w:r>
              <w:rPr>
                <w:rFonts w:cs="宋体"/>
                <w:kern w:val="0"/>
                <w:sz w:val="21"/>
                <w:szCs w:val="21"/>
              </w:rPr>
              <w:br w:type="textWrapping"/>
            </w:r>
            <w:r>
              <w:rPr>
                <w:rFonts w:cs="宋体"/>
                <w:kern w:val="0"/>
                <w:sz w:val="21"/>
                <w:szCs w:val="21"/>
              </w:rPr>
              <w:t xml:space="preserve">强大的文件系统管理，用户可定义多种数据类型和安全级别 </w:t>
            </w:r>
            <w:r>
              <w:rPr>
                <w:rFonts w:cs="宋体"/>
                <w:kern w:val="0"/>
                <w:sz w:val="21"/>
                <w:szCs w:val="21"/>
              </w:rPr>
              <w:br w:type="textWrapping"/>
            </w:r>
            <w:r>
              <w:rPr>
                <w:rFonts w:cs="宋体"/>
                <w:kern w:val="0"/>
                <w:sz w:val="21"/>
                <w:szCs w:val="21"/>
              </w:rPr>
              <w:t xml:space="preserve">提供集成环境、用户可以方便的管理或批量生产ROCKEY6 SMART </w:t>
            </w:r>
            <w:r>
              <w:rPr>
                <w:rFonts w:cs="宋体"/>
                <w:kern w:val="0"/>
                <w:sz w:val="21"/>
                <w:szCs w:val="21"/>
              </w:rPr>
              <w:br w:type="textWrapping"/>
            </w:r>
            <w:r>
              <w:rPr>
                <w:rFonts w:cs="宋体"/>
                <w:kern w:val="0"/>
                <w:sz w:val="21"/>
                <w:szCs w:val="21"/>
              </w:rPr>
              <w:t xml:space="preserve">方便、安全的远程升级和模块管理功能 </w:t>
            </w:r>
            <w:r>
              <w:rPr>
                <w:rFonts w:cs="宋体"/>
                <w:kern w:val="0"/>
                <w:sz w:val="21"/>
                <w:szCs w:val="21"/>
              </w:rPr>
              <w:br w:type="textWrapping"/>
            </w:r>
            <w:r>
              <w:rPr>
                <w:rFonts w:cs="宋体"/>
                <w:kern w:val="0"/>
                <w:sz w:val="21"/>
                <w:szCs w:val="21"/>
              </w:rPr>
              <w:t xml:space="preserve">内置计数器、运行时时钟 </w:t>
            </w:r>
            <w:r>
              <w:rPr>
                <w:rFonts w:cs="宋体"/>
                <w:kern w:val="0"/>
                <w:sz w:val="21"/>
                <w:szCs w:val="21"/>
              </w:rPr>
              <w:br w:type="textWrapping"/>
            </w:r>
            <w:r>
              <w:rPr>
                <w:rFonts w:cs="宋体"/>
                <w:kern w:val="0"/>
                <w:sz w:val="21"/>
                <w:szCs w:val="21"/>
              </w:rPr>
              <w:t xml:space="preserve">约70K的用户使用空间 </w:t>
            </w:r>
            <w:r>
              <w:rPr>
                <w:rFonts w:cs="宋体"/>
                <w:kern w:val="0"/>
                <w:sz w:val="21"/>
                <w:szCs w:val="21"/>
              </w:rPr>
              <w:br w:type="textWrapping"/>
            </w:r>
            <w:r>
              <w:rPr>
                <w:rFonts w:cs="宋体"/>
                <w:kern w:val="0"/>
                <w:sz w:val="21"/>
                <w:szCs w:val="21"/>
              </w:rPr>
              <w:t xml:space="preserve">提供单机锁和网络锁 </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个</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以太网POS机</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消费</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6</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以太网POS机</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现金充值</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IC卡（包含IC卡嵌入软件）</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按实计</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张</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500</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服务器</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根据需要自配，一台数据库，一台应用</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w:t>
            </w:r>
          </w:p>
        </w:tc>
      </w:tr>
      <w:tr>
        <w:tblPrEx>
          <w:tblCellMar>
            <w:top w:w="0" w:type="dxa"/>
            <w:left w:w="108" w:type="dxa"/>
            <w:bottom w:w="0" w:type="dxa"/>
            <w:right w:w="108" w:type="dxa"/>
          </w:tblCellMar>
        </w:tblPrEx>
        <w:trPr>
          <w:trHeight w:val="330" w:hRule="atLeast"/>
        </w:trPr>
        <w:tc>
          <w:tcPr>
            <w:tcW w:w="1193" w:type="dxa"/>
            <w:vMerge w:val="restart"/>
            <w:tcBorders>
              <w:top w:val="single" w:color="000000" w:sz="4" w:space="0"/>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能耗子系统</w:t>
            </w: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color w:val="000000"/>
                <w:kern w:val="0"/>
                <w:sz w:val="21"/>
                <w:szCs w:val="21"/>
              </w:rPr>
              <w:t>远传水表</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型号：DN32</w:t>
            </w:r>
          </w:p>
          <w:p>
            <w:pPr>
              <w:widowControl/>
              <w:spacing w:line="240" w:lineRule="auto"/>
              <w:jc w:val="left"/>
              <w:rPr>
                <w:rFonts w:hint="default" w:cs="宋体"/>
                <w:kern w:val="0"/>
                <w:sz w:val="21"/>
                <w:szCs w:val="21"/>
              </w:rPr>
            </w:pPr>
            <w:r>
              <w:rPr>
                <w:rFonts w:cs="宋体"/>
                <w:color w:val="000000"/>
                <w:kern w:val="0"/>
                <w:sz w:val="21"/>
                <w:szCs w:val="21"/>
              </w:rPr>
              <w:t>1、水表采用RS485有线传输方式连接管理终端。</w:t>
            </w:r>
            <w:r>
              <w:rPr>
                <w:rFonts w:cs="宋体"/>
                <w:color w:val="000000"/>
                <w:kern w:val="0"/>
                <w:sz w:val="21"/>
                <w:szCs w:val="21"/>
              </w:rPr>
              <w:br w:type="textWrapping"/>
            </w:r>
            <w:r>
              <w:rPr>
                <w:rFonts w:cs="宋体"/>
                <w:color w:val="000000"/>
                <w:kern w:val="0"/>
                <w:sz w:val="21"/>
                <w:szCs w:val="21"/>
              </w:rPr>
              <w:t>2、水表传输规约满足《CJ/T188-2004用户计量仪表5、数据传输技术条件》</w:t>
            </w:r>
            <w:r>
              <w:rPr>
                <w:rFonts w:cs="宋体"/>
                <w:color w:val="000000"/>
                <w:kern w:val="0"/>
                <w:sz w:val="21"/>
                <w:szCs w:val="21"/>
              </w:rPr>
              <w:br w:type="textWrapping"/>
            </w:r>
            <w:r>
              <w:rPr>
                <w:rFonts w:cs="宋体"/>
                <w:color w:val="000000"/>
                <w:kern w:val="0"/>
                <w:sz w:val="21"/>
                <w:szCs w:val="21"/>
              </w:rPr>
              <w:t>3、读表方式采用直读技术，直接输出表盘数据。</w:t>
            </w:r>
            <w:r>
              <w:rPr>
                <w:rFonts w:cs="宋体"/>
                <w:color w:val="000000"/>
                <w:kern w:val="0"/>
                <w:sz w:val="21"/>
                <w:szCs w:val="21"/>
              </w:rPr>
              <w:br w:type="textWrapping"/>
            </w:r>
            <w:r>
              <w:rPr>
                <w:rFonts w:cs="宋体"/>
                <w:color w:val="000000"/>
                <w:kern w:val="0"/>
                <w:sz w:val="21"/>
                <w:szCs w:val="21"/>
              </w:rPr>
              <w:t>4、远程控制：内置电磁阀，支持远程开/关水表。</w:t>
            </w:r>
            <w:r>
              <w:rPr>
                <w:rFonts w:cs="宋体"/>
                <w:color w:val="000000"/>
                <w:kern w:val="0"/>
                <w:sz w:val="21"/>
                <w:szCs w:val="21"/>
              </w:rPr>
              <w:br w:type="textWrapping"/>
            </w:r>
            <w:r>
              <w:rPr>
                <w:rFonts w:cs="宋体"/>
                <w:color w:val="000000"/>
                <w:kern w:val="0"/>
                <w:sz w:val="21"/>
                <w:szCs w:val="21"/>
              </w:rPr>
              <w:t>4、精度等级：B级。</w:t>
            </w:r>
            <w:r>
              <w:rPr>
                <w:rFonts w:cs="宋体"/>
                <w:color w:val="000000"/>
                <w:kern w:val="0"/>
                <w:sz w:val="21"/>
                <w:szCs w:val="21"/>
              </w:rPr>
              <w:br w:type="textWrapping"/>
            </w:r>
            <w:r>
              <w:rPr>
                <w:rFonts w:cs="宋体"/>
                <w:color w:val="000000"/>
                <w:kern w:val="0"/>
                <w:sz w:val="21"/>
                <w:szCs w:val="21"/>
              </w:rPr>
              <w:t>5、温度等级：T50。</w:t>
            </w:r>
            <w:r>
              <w:rPr>
                <w:rFonts w:cs="宋体"/>
                <w:color w:val="000000"/>
                <w:kern w:val="0"/>
                <w:sz w:val="21"/>
                <w:szCs w:val="21"/>
              </w:rPr>
              <w:br w:type="textWrapping"/>
            </w:r>
            <w:r>
              <w:rPr>
                <w:rFonts w:cs="宋体"/>
                <w:color w:val="000000"/>
                <w:kern w:val="0"/>
                <w:sz w:val="21"/>
                <w:szCs w:val="21"/>
              </w:rPr>
              <w:t>6、压力等级：MAP10/16。</w:t>
            </w:r>
            <w:r>
              <w:rPr>
                <w:rFonts w:cs="宋体"/>
                <w:color w:val="000000"/>
                <w:kern w:val="0"/>
                <w:sz w:val="21"/>
                <w:szCs w:val="21"/>
              </w:rPr>
              <w:br w:type="textWrapping"/>
            </w:r>
            <w:r>
              <w:rPr>
                <w:rFonts w:cs="宋体"/>
                <w:color w:val="000000"/>
                <w:kern w:val="0"/>
                <w:sz w:val="21"/>
                <w:szCs w:val="21"/>
              </w:rPr>
              <w:t>7、工作环境温度：-20℃~﹢60℃。</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color w:val="000000"/>
                <w:kern w:val="0"/>
                <w:sz w:val="21"/>
                <w:szCs w:val="21"/>
              </w:rPr>
              <w:t>27</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color w:val="000000"/>
                <w:kern w:val="0"/>
                <w:sz w:val="21"/>
                <w:szCs w:val="21"/>
              </w:rPr>
              <w:t>远传电表</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型号：10(80)</w:t>
            </w:r>
          </w:p>
          <w:p>
            <w:pPr>
              <w:widowControl/>
              <w:spacing w:line="240" w:lineRule="auto"/>
              <w:jc w:val="left"/>
              <w:rPr>
                <w:rFonts w:hint="default" w:cs="宋体"/>
                <w:kern w:val="0"/>
                <w:sz w:val="21"/>
                <w:szCs w:val="21"/>
              </w:rPr>
            </w:pPr>
            <w:r>
              <w:rPr>
                <w:rFonts w:cs="宋体"/>
                <w:color w:val="000000"/>
                <w:kern w:val="0"/>
                <w:sz w:val="21"/>
                <w:szCs w:val="21"/>
              </w:rPr>
              <w:t>1、电表采用RS485传输方式连接管理中终端。</w:t>
            </w:r>
            <w:r>
              <w:rPr>
                <w:rFonts w:cs="宋体"/>
                <w:color w:val="000000"/>
                <w:kern w:val="0"/>
                <w:sz w:val="21"/>
                <w:szCs w:val="21"/>
              </w:rPr>
              <w:br w:type="textWrapping"/>
            </w:r>
            <w:r>
              <w:rPr>
                <w:rFonts w:cs="宋体"/>
                <w:color w:val="000000"/>
                <w:kern w:val="0"/>
                <w:sz w:val="21"/>
                <w:szCs w:val="21"/>
              </w:rPr>
              <w:t>2、功耗：在参比温度、参比频率和三相电压等于额定值的条件下，每一电压线路的有功功率和视在功率消耗不大于1.5W/6VA。</w:t>
            </w:r>
            <w:r>
              <w:rPr>
                <w:rFonts w:cs="宋体"/>
                <w:color w:val="000000"/>
                <w:kern w:val="0"/>
                <w:sz w:val="21"/>
                <w:szCs w:val="21"/>
              </w:rPr>
              <w:br w:type="textWrapping"/>
            </w:r>
            <w:r>
              <w:rPr>
                <w:rFonts w:cs="宋体"/>
                <w:color w:val="000000"/>
                <w:kern w:val="0"/>
                <w:sz w:val="21"/>
                <w:szCs w:val="21"/>
              </w:rPr>
              <w:t>3、远程控制：内置继电器，支持远程开/关电表。</w:t>
            </w:r>
            <w:r>
              <w:rPr>
                <w:rFonts w:cs="宋体"/>
                <w:color w:val="000000"/>
                <w:kern w:val="0"/>
                <w:sz w:val="21"/>
                <w:szCs w:val="21"/>
              </w:rPr>
              <w:br w:type="textWrapping"/>
            </w:r>
            <w:r>
              <w:rPr>
                <w:rFonts w:cs="宋体"/>
                <w:color w:val="000000"/>
                <w:kern w:val="0"/>
                <w:sz w:val="21"/>
                <w:szCs w:val="21"/>
              </w:rPr>
              <w:t>4、精度等级：有功0.5S；无功2级</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31</w:t>
            </w:r>
          </w:p>
        </w:tc>
      </w:tr>
      <w:tr>
        <w:tblPrEx>
          <w:tblCellMar>
            <w:top w:w="0" w:type="dxa"/>
            <w:left w:w="108" w:type="dxa"/>
            <w:bottom w:w="0" w:type="dxa"/>
            <w:right w:w="108" w:type="dxa"/>
          </w:tblCellMar>
        </w:tblPrEx>
        <w:trPr>
          <w:trHeight w:val="330" w:hRule="atLeast"/>
        </w:trPr>
        <w:tc>
          <w:tcPr>
            <w:tcW w:w="1193" w:type="dxa"/>
            <w:vMerge w:val="continue"/>
            <w:tcBorders>
              <w:left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p>
        </w:tc>
        <w:tc>
          <w:tcPr>
            <w:tcW w:w="2307"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color w:val="000000"/>
                <w:kern w:val="0"/>
                <w:sz w:val="21"/>
                <w:szCs w:val="21"/>
              </w:rPr>
              <w:t>能耗管理终端</w:t>
            </w:r>
          </w:p>
        </w:tc>
        <w:tc>
          <w:tcPr>
            <w:tcW w:w="515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型号：LYNH</w:t>
            </w:r>
          </w:p>
          <w:p>
            <w:pPr>
              <w:widowControl/>
              <w:spacing w:line="240" w:lineRule="auto"/>
              <w:jc w:val="left"/>
              <w:rPr>
                <w:rFonts w:hint="default" w:cs="宋体"/>
                <w:kern w:val="0"/>
                <w:sz w:val="21"/>
                <w:szCs w:val="21"/>
              </w:rPr>
            </w:pPr>
            <w:r>
              <w:rPr>
                <w:rFonts w:cs="宋体"/>
                <w:color w:val="000000"/>
                <w:kern w:val="0"/>
                <w:sz w:val="21"/>
                <w:szCs w:val="21"/>
              </w:rPr>
              <w:t>▲1、采用GPRS无线传输方式，同时具备RS485接口、232接口、数字量输入接口，数字量输入类型：空节点输入/漏源/源型；</w:t>
            </w:r>
            <w:r>
              <w:rPr>
                <w:rFonts w:cs="宋体"/>
                <w:color w:val="000000"/>
                <w:kern w:val="0"/>
                <w:sz w:val="21"/>
                <w:szCs w:val="21"/>
              </w:rPr>
              <w:br w:type="textWrapping"/>
            </w:r>
            <w:r>
              <w:rPr>
                <w:rFonts w:cs="宋体"/>
                <w:color w:val="000000"/>
                <w:kern w:val="0"/>
                <w:sz w:val="21"/>
                <w:szCs w:val="21"/>
              </w:rPr>
              <w:t>▲2、采用带校验确认机制的RUDP通讯协议，通讯速率支持300~38400bps可选；</w:t>
            </w:r>
            <w:r>
              <w:rPr>
                <w:rFonts w:cs="宋体"/>
                <w:color w:val="000000"/>
                <w:kern w:val="0"/>
                <w:sz w:val="21"/>
                <w:szCs w:val="21"/>
              </w:rPr>
              <w:br w:type="textWrapping"/>
            </w:r>
            <w:r>
              <w:rPr>
                <w:rFonts w:cs="宋体"/>
                <w:color w:val="000000"/>
                <w:kern w:val="0"/>
                <w:sz w:val="21"/>
                <w:szCs w:val="21"/>
              </w:rPr>
              <w:t>3、支持回路负载保护功能，采用光电隔离方式，隔离耐压2500/5000Vr.m.s。</w:t>
            </w:r>
            <w:r>
              <w:rPr>
                <w:rFonts w:cs="宋体"/>
                <w:color w:val="000000"/>
                <w:kern w:val="0"/>
                <w:sz w:val="21"/>
                <w:szCs w:val="21"/>
              </w:rPr>
              <w:br w:type="textWrapping"/>
            </w:r>
            <w:r>
              <w:rPr>
                <w:rFonts w:cs="宋体"/>
                <w:color w:val="000000"/>
                <w:kern w:val="0"/>
                <w:sz w:val="21"/>
                <w:szCs w:val="21"/>
              </w:rPr>
              <w:t>▲4、支持脱网工作，在脱离网络的条件下，终端设备可以根据内在的预设程序运行，根据实时获取到的数据，进行逻辑功能的处理和控制。</w:t>
            </w:r>
            <w:r>
              <w:rPr>
                <w:rFonts w:cs="宋体"/>
                <w:color w:val="000000"/>
                <w:kern w:val="0"/>
                <w:sz w:val="21"/>
                <w:szCs w:val="21"/>
              </w:rPr>
              <w:br w:type="textWrapping"/>
            </w:r>
            <w:r>
              <w:rPr>
                <w:rFonts w:cs="宋体"/>
                <w:color w:val="000000"/>
                <w:kern w:val="0"/>
                <w:sz w:val="21"/>
                <w:szCs w:val="21"/>
              </w:rPr>
              <w:t>5、功率消耗：350/400mA</w:t>
            </w:r>
            <w:r>
              <w:rPr>
                <w:rFonts w:cs="宋体"/>
                <w:color w:val="000000"/>
                <w:kern w:val="0"/>
                <w:sz w:val="21"/>
                <w:szCs w:val="21"/>
              </w:rPr>
              <w:br w:type="textWrapping"/>
            </w:r>
            <w:r>
              <w:rPr>
                <w:rFonts w:cs="宋体"/>
                <w:color w:val="000000"/>
                <w:kern w:val="0"/>
                <w:sz w:val="21"/>
                <w:szCs w:val="21"/>
              </w:rPr>
              <w:t>6、工作温度：-10℃~﹢55℃</w:t>
            </w:r>
            <w:r>
              <w:rPr>
                <w:rFonts w:cs="宋体"/>
                <w:color w:val="000000"/>
                <w:kern w:val="0"/>
                <w:sz w:val="21"/>
                <w:szCs w:val="21"/>
              </w:rPr>
              <w:br w:type="textWrapping"/>
            </w:r>
            <w:r>
              <w:rPr>
                <w:rFonts w:cs="宋体"/>
                <w:color w:val="000000"/>
                <w:kern w:val="0"/>
                <w:sz w:val="21"/>
                <w:szCs w:val="21"/>
              </w:rPr>
              <w:t>7、相对湿度：5%~95%无凝结</w:t>
            </w:r>
            <w:r>
              <w:rPr>
                <w:rFonts w:cs="宋体"/>
                <w:color w:val="000000"/>
                <w:kern w:val="0"/>
                <w:sz w:val="21"/>
                <w:szCs w:val="21"/>
              </w:rPr>
              <w:br w:type="textWrapping"/>
            </w:r>
            <w:r>
              <w:rPr>
                <w:rFonts w:cs="宋体"/>
                <w:color w:val="000000"/>
                <w:kern w:val="0"/>
                <w:sz w:val="21"/>
                <w:szCs w:val="21"/>
              </w:rPr>
              <w:t>8、支持任意扩展，可扩展的类型有数字量输入/输出、模拟量输入、RS485接口、232接口等。</w:t>
            </w:r>
          </w:p>
        </w:tc>
        <w:tc>
          <w:tcPr>
            <w:tcW w:w="608"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c>
          <w:tcPr>
            <w:tcW w:w="649"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10</w:t>
            </w:r>
          </w:p>
        </w:tc>
      </w:tr>
      <w:tr>
        <w:tblPrEx>
          <w:tblCellMar>
            <w:top w:w="0" w:type="dxa"/>
            <w:left w:w="108" w:type="dxa"/>
            <w:bottom w:w="0" w:type="dxa"/>
            <w:right w:w="108" w:type="dxa"/>
          </w:tblCellMar>
        </w:tblPrEx>
        <w:trPr>
          <w:trHeight w:val="330" w:hRule="atLeast"/>
        </w:trPr>
        <w:tc>
          <w:tcPr>
            <w:tcW w:w="119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车位引导子系统</w:t>
            </w:r>
          </w:p>
        </w:tc>
        <w:tc>
          <w:tcPr>
            <w:tcW w:w="8716" w:type="dxa"/>
            <w:gridSpan w:val="4"/>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具体如下表：车位引导子系统硬件配置</w:t>
            </w:r>
          </w:p>
        </w:tc>
      </w:tr>
      <w:tr>
        <w:tblPrEx>
          <w:tblCellMar>
            <w:top w:w="0" w:type="dxa"/>
            <w:left w:w="108" w:type="dxa"/>
            <w:bottom w:w="0" w:type="dxa"/>
            <w:right w:w="108" w:type="dxa"/>
          </w:tblCellMar>
        </w:tblPrEx>
        <w:trPr>
          <w:trHeight w:val="330" w:hRule="atLeast"/>
        </w:trPr>
        <w:tc>
          <w:tcPr>
            <w:tcW w:w="1193"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其他辅料</w:t>
            </w:r>
          </w:p>
        </w:tc>
        <w:tc>
          <w:tcPr>
            <w:tcW w:w="8716" w:type="dxa"/>
            <w:gridSpan w:val="4"/>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具体如下表：</w:t>
            </w:r>
            <w:r>
              <w:rPr>
                <w:rFonts w:cs="仿宋_GB2312"/>
                <w:bCs/>
                <w:sz w:val="21"/>
                <w:szCs w:val="21"/>
              </w:rPr>
              <w:t>其他所需辅料清单</w:t>
            </w:r>
          </w:p>
        </w:tc>
      </w:tr>
    </w:tbl>
    <w:p>
      <w:pPr>
        <w:ind w:left="-372" w:leftChars="-177"/>
        <w:rPr>
          <w:rFonts w:hint="default" w:cs="仿宋_GB2312"/>
          <w:b/>
          <w:bCs/>
          <w:sz w:val="21"/>
          <w:szCs w:val="21"/>
        </w:rPr>
      </w:pPr>
      <w:r>
        <w:rPr>
          <w:rFonts w:cs="仿宋_GB2312"/>
          <w:b/>
          <w:bCs/>
          <w:sz w:val="21"/>
          <w:szCs w:val="21"/>
        </w:rPr>
        <w:t>车位引导系统硬件配置</w:t>
      </w:r>
    </w:p>
    <w:tbl>
      <w:tblPr>
        <w:tblStyle w:val="29"/>
        <w:tblW w:w="0" w:type="auto"/>
        <w:tblInd w:w="-318" w:type="dxa"/>
        <w:tblLayout w:type="fixed"/>
        <w:tblCellMar>
          <w:top w:w="0" w:type="dxa"/>
          <w:left w:w="108" w:type="dxa"/>
          <w:bottom w:w="0" w:type="dxa"/>
          <w:right w:w="108" w:type="dxa"/>
        </w:tblCellMar>
      </w:tblPr>
      <w:tblGrid>
        <w:gridCol w:w="1304"/>
        <w:gridCol w:w="1249"/>
        <w:gridCol w:w="2260"/>
        <w:gridCol w:w="3835"/>
        <w:gridCol w:w="709"/>
        <w:gridCol w:w="567"/>
      </w:tblGrid>
      <w:tr>
        <w:tblPrEx>
          <w:tblCellMar>
            <w:top w:w="0" w:type="dxa"/>
            <w:left w:w="108" w:type="dxa"/>
            <w:bottom w:w="0" w:type="dxa"/>
            <w:right w:w="108" w:type="dxa"/>
          </w:tblCellMar>
        </w:tblPrEx>
        <w:trPr>
          <w:trHeight w:val="360" w:hRule="atLeast"/>
        </w:trPr>
        <w:tc>
          <w:tcPr>
            <w:tcW w:w="2553"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b/>
                <w:bCs/>
                <w:kern w:val="0"/>
                <w:sz w:val="21"/>
                <w:szCs w:val="21"/>
              </w:rPr>
            </w:pPr>
            <w:r>
              <w:rPr>
                <w:rFonts w:cs="宋体"/>
                <w:b/>
                <w:bCs/>
                <w:kern w:val="0"/>
                <w:sz w:val="21"/>
                <w:szCs w:val="21"/>
              </w:rPr>
              <w:t>设备名称</w:t>
            </w:r>
          </w:p>
        </w:tc>
        <w:tc>
          <w:tcPr>
            <w:tcW w:w="2260" w:type="dxa"/>
            <w:tcBorders>
              <w:top w:val="single" w:color="auto" w:sz="4" w:space="0"/>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b/>
                <w:bCs/>
                <w:kern w:val="0"/>
                <w:sz w:val="21"/>
                <w:szCs w:val="21"/>
              </w:rPr>
            </w:pPr>
            <w:r>
              <w:rPr>
                <w:rFonts w:cs="宋体"/>
                <w:b/>
                <w:bCs/>
                <w:kern w:val="0"/>
                <w:sz w:val="21"/>
                <w:szCs w:val="21"/>
              </w:rPr>
              <w:t>产品图片</w:t>
            </w:r>
          </w:p>
        </w:tc>
        <w:tc>
          <w:tcPr>
            <w:tcW w:w="3835" w:type="dxa"/>
            <w:tcBorders>
              <w:top w:val="single" w:color="auto" w:sz="4" w:space="0"/>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b/>
                <w:bCs/>
                <w:kern w:val="0"/>
                <w:sz w:val="21"/>
                <w:szCs w:val="21"/>
              </w:rPr>
            </w:pPr>
            <w:r>
              <w:rPr>
                <w:rFonts w:cs="宋体"/>
                <w:b/>
                <w:bCs/>
                <w:kern w:val="0"/>
                <w:sz w:val="21"/>
                <w:szCs w:val="21"/>
              </w:rPr>
              <w:t>描述</w:t>
            </w:r>
          </w:p>
        </w:tc>
        <w:tc>
          <w:tcPr>
            <w:tcW w:w="709" w:type="dxa"/>
            <w:tcBorders>
              <w:top w:val="single" w:color="auto" w:sz="4" w:space="0"/>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b/>
                <w:bCs/>
                <w:kern w:val="0"/>
                <w:sz w:val="21"/>
                <w:szCs w:val="21"/>
              </w:rPr>
            </w:pPr>
            <w:r>
              <w:rPr>
                <w:rFonts w:cs="宋体"/>
                <w:b/>
                <w:bCs/>
                <w:kern w:val="0"/>
                <w:sz w:val="21"/>
                <w:szCs w:val="21"/>
              </w:rPr>
              <w:t>单位</w:t>
            </w:r>
          </w:p>
        </w:tc>
        <w:tc>
          <w:tcPr>
            <w:tcW w:w="567" w:type="dxa"/>
            <w:tcBorders>
              <w:top w:val="single" w:color="auto" w:sz="4" w:space="0"/>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b/>
                <w:bCs/>
                <w:kern w:val="0"/>
                <w:sz w:val="21"/>
                <w:szCs w:val="21"/>
              </w:rPr>
            </w:pPr>
            <w:r>
              <w:rPr>
                <w:rFonts w:cs="宋体"/>
                <w:b/>
                <w:bCs/>
                <w:kern w:val="0"/>
                <w:sz w:val="21"/>
                <w:szCs w:val="21"/>
              </w:rPr>
              <w:t>数量</w:t>
            </w:r>
          </w:p>
        </w:tc>
      </w:tr>
      <w:tr>
        <w:tblPrEx>
          <w:tblCellMar>
            <w:top w:w="0" w:type="dxa"/>
            <w:left w:w="108" w:type="dxa"/>
            <w:bottom w:w="0" w:type="dxa"/>
            <w:right w:w="108" w:type="dxa"/>
          </w:tblCellMar>
        </w:tblPrEx>
        <w:trPr>
          <w:trHeight w:val="1047" w:hRule="atLeast"/>
        </w:trPr>
        <w:tc>
          <w:tcPr>
            <w:tcW w:w="130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车位监测设备</w:t>
            </w:r>
          </w:p>
        </w:tc>
        <w:tc>
          <w:tcPr>
            <w:tcW w:w="1249"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车位相机</w:t>
            </w:r>
          </w:p>
        </w:tc>
        <w:tc>
          <w:tcPr>
            <w:tcW w:w="2260" w:type="dxa"/>
            <w:vMerge w:val="restart"/>
            <w:tcBorders>
              <w:top w:val="nil"/>
              <w:left w:val="single" w:color="auto" w:sz="4" w:space="0"/>
              <w:bottom w:val="nil"/>
              <w:right w:val="nil"/>
            </w:tcBorders>
            <w:shd w:val="clear" w:color="auto" w:fill="auto"/>
            <w:noWrap/>
            <w:vAlign w:val="bottom"/>
          </w:tcPr>
          <w:p>
            <w:pPr>
              <w:widowControl/>
              <w:spacing w:line="240" w:lineRule="auto"/>
              <w:jc w:val="left"/>
              <w:rPr>
                <w:rFonts w:hint="default" w:cs="宋体"/>
                <w:color w:val="000000"/>
                <w:kern w:val="0"/>
                <w:sz w:val="21"/>
                <w:szCs w:val="21"/>
              </w:rPr>
            </w:pPr>
            <w:r>
              <w:rPr>
                <w:rFonts w:cs="宋体"/>
                <w:color w:val="000000"/>
                <w:kern w:val="0"/>
                <w:sz w:val="21"/>
                <w:szCs w:val="21"/>
              </w:rPr>
              <w:drawing>
                <wp:anchor distT="0" distB="0" distL="114300" distR="114300" simplePos="0" relativeHeight="251660288" behindDoc="0" locked="0" layoutInCell="1" allowOverlap="1">
                  <wp:simplePos x="0" y="0"/>
                  <wp:positionH relativeFrom="column">
                    <wp:posOffset>188595</wp:posOffset>
                  </wp:positionH>
                  <wp:positionV relativeFrom="paragraph">
                    <wp:posOffset>-304165</wp:posOffset>
                  </wp:positionV>
                  <wp:extent cx="656590" cy="857250"/>
                  <wp:effectExtent l="0" t="0" r="10160"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stretch>
                            <a:fillRect/>
                          </a:stretch>
                        </pic:blipFill>
                        <pic:spPr>
                          <a:xfrm>
                            <a:off x="0" y="0"/>
                            <a:ext cx="656590" cy="857250"/>
                          </a:xfrm>
                          <a:prstGeom prst="rect">
                            <a:avLst/>
                          </a:prstGeom>
                          <a:noFill/>
                          <a:ln>
                            <a:noFill/>
                          </a:ln>
                        </pic:spPr>
                      </pic:pic>
                    </a:graphicData>
                  </a:graphic>
                </wp:anchor>
              </w:drawing>
            </w:r>
          </w:p>
          <w:tbl>
            <w:tblPr>
              <w:tblStyle w:val="29"/>
              <w:tblW w:w="0" w:type="auto"/>
              <w:tblCellSpacing w:w="0" w:type="dxa"/>
              <w:tblInd w:w="0" w:type="dxa"/>
              <w:tblLayout w:type="fixed"/>
              <w:tblCellMar>
                <w:top w:w="0" w:type="dxa"/>
                <w:left w:w="0" w:type="dxa"/>
                <w:bottom w:w="0" w:type="dxa"/>
                <w:right w:w="0" w:type="dxa"/>
              </w:tblCellMar>
            </w:tblPr>
            <w:tblGrid>
              <w:gridCol w:w="1660"/>
            </w:tblGrid>
            <w:tr>
              <w:tblPrEx>
                <w:tblCellMar>
                  <w:top w:w="0" w:type="dxa"/>
                  <w:left w:w="0" w:type="dxa"/>
                  <w:bottom w:w="0" w:type="dxa"/>
                  <w:right w:w="0" w:type="dxa"/>
                </w:tblCellMar>
              </w:tblPrEx>
              <w:trPr>
                <w:trHeight w:val="624" w:hRule="atLeast"/>
                <w:tblCellSpacing w:w="0" w:type="dxa"/>
              </w:trPr>
              <w:tc>
                <w:tcPr>
                  <w:tcW w:w="1660" w:type="dxa"/>
                  <w:vMerge w:val="restart"/>
                  <w:tcBorders>
                    <w:top w:val="nil"/>
                    <w:left w:val="single" w:color="auto" w:sz="4" w:space="0"/>
                    <w:bottom w:val="nil"/>
                    <w:right w:val="single" w:color="auto" w:sz="4" w:space="0"/>
                  </w:tcBorders>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　</w:t>
                  </w:r>
                </w:p>
              </w:tc>
            </w:tr>
            <w:tr>
              <w:tblPrEx>
                <w:tblCellMar>
                  <w:top w:w="0" w:type="dxa"/>
                  <w:left w:w="0" w:type="dxa"/>
                  <w:bottom w:w="0" w:type="dxa"/>
                  <w:right w:w="0" w:type="dxa"/>
                </w:tblCellMar>
              </w:tblPrEx>
              <w:trPr>
                <w:trHeight w:val="624" w:hRule="atLeast"/>
                <w:tblCellSpacing w:w="0" w:type="dxa"/>
              </w:trPr>
              <w:tc>
                <w:tcPr>
                  <w:tcW w:w="1660" w:type="dxa"/>
                  <w:vMerge w:val="continue"/>
                  <w:tcBorders>
                    <w:top w:val="nil"/>
                    <w:left w:val="single" w:color="auto" w:sz="4" w:space="0"/>
                    <w:bottom w:val="nil"/>
                    <w:right w:val="single" w:color="auto" w:sz="4" w:space="0"/>
                  </w:tcBorders>
                  <w:noWrap w:val="0"/>
                  <w:vAlign w:val="center"/>
                </w:tcPr>
                <w:p>
                  <w:pPr>
                    <w:widowControl/>
                    <w:spacing w:line="240" w:lineRule="auto"/>
                    <w:jc w:val="left"/>
                    <w:rPr>
                      <w:rFonts w:hint="default" w:cs="宋体"/>
                      <w:color w:val="000000"/>
                      <w:kern w:val="0"/>
                      <w:sz w:val="21"/>
                      <w:szCs w:val="21"/>
                    </w:rPr>
                  </w:pPr>
                </w:p>
              </w:tc>
            </w:tr>
          </w:tbl>
          <w:p>
            <w:pPr>
              <w:widowControl/>
              <w:spacing w:line="240" w:lineRule="auto"/>
              <w:jc w:val="left"/>
              <w:rPr>
                <w:rFonts w:hint="default" w:cs="宋体"/>
                <w:color w:val="000000"/>
                <w:kern w:val="0"/>
                <w:sz w:val="21"/>
                <w:szCs w:val="21"/>
              </w:rPr>
            </w:pPr>
          </w:p>
        </w:tc>
        <w:tc>
          <w:tcPr>
            <w:tcW w:w="3835"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130万4MM镜头相机，支持2车位识别，自带7色LED状态指示灯。（高度2.5M，识别距离3.2-4.0M）</w:t>
            </w:r>
          </w:p>
        </w:tc>
        <w:tc>
          <w:tcPr>
            <w:tcW w:w="709" w:type="dxa"/>
            <w:tcBorders>
              <w:top w:val="nil"/>
              <w:left w:val="nil"/>
              <w:bottom w:val="nil"/>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c>
          <w:tcPr>
            <w:tcW w:w="567"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50</w:t>
            </w:r>
          </w:p>
        </w:tc>
      </w:tr>
      <w:tr>
        <w:tblPrEx>
          <w:tblCellMar>
            <w:top w:w="0" w:type="dxa"/>
            <w:left w:w="108" w:type="dxa"/>
            <w:bottom w:w="0" w:type="dxa"/>
            <w:right w:w="108" w:type="dxa"/>
          </w:tblCellMar>
        </w:tblPrEx>
        <w:trPr>
          <w:trHeight w:val="1320" w:hRule="atLeast"/>
        </w:trPr>
        <w:tc>
          <w:tcPr>
            <w:tcW w:w="130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1249"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2260" w:type="dxa"/>
            <w:vMerge w:val="continue"/>
            <w:tcBorders>
              <w:top w:val="nil"/>
              <w:left w:val="single" w:color="auto" w:sz="4" w:space="0"/>
              <w:bottom w:val="single" w:color="auto" w:sz="4" w:space="0"/>
              <w:right w:val="nil"/>
            </w:tcBorders>
            <w:shd w:val="clear" w:color="auto" w:fill="auto"/>
            <w:noWrap w:val="0"/>
            <w:vAlign w:val="center"/>
          </w:tcPr>
          <w:p>
            <w:pPr>
              <w:widowControl/>
              <w:spacing w:line="240" w:lineRule="auto"/>
              <w:jc w:val="left"/>
              <w:rPr>
                <w:rFonts w:hint="default" w:cs="宋体"/>
                <w:color w:val="000000"/>
                <w:kern w:val="0"/>
                <w:sz w:val="21"/>
                <w:szCs w:val="21"/>
              </w:rPr>
            </w:pPr>
          </w:p>
        </w:tc>
        <w:tc>
          <w:tcPr>
            <w:tcW w:w="3835"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300万4MM镜头相机，支持3车位识别，自带7色LED状态指示灯。（高度2.5M，识别距离4-6M）</w:t>
            </w:r>
          </w:p>
        </w:tc>
        <w:tc>
          <w:tcPr>
            <w:tcW w:w="709"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　</w:t>
            </w:r>
          </w:p>
        </w:tc>
        <w:tc>
          <w:tcPr>
            <w:tcW w:w="567"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25</w:t>
            </w:r>
          </w:p>
        </w:tc>
      </w:tr>
      <w:tr>
        <w:tblPrEx>
          <w:tblCellMar>
            <w:top w:w="0" w:type="dxa"/>
            <w:left w:w="108" w:type="dxa"/>
            <w:bottom w:w="0" w:type="dxa"/>
            <w:right w:w="108" w:type="dxa"/>
          </w:tblCellMar>
        </w:tblPrEx>
        <w:trPr>
          <w:trHeight w:val="1542" w:hRule="atLeast"/>
        </w:trPr>
        <w:tc>
          <w:tcPr>
            <w:tcW w:w="130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124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车位指示灯</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kern w:val="0"/>
                <w:sz w:val="21"/>
                <w:szCs w:val="21"/>
              </w:rPr>
            </w:pPr>
            <w:r>
              <w:rPr>
                <w:rFonts w:cs="宋体"/>
                <w:kern w:val="0"/>
                <w:sz w:val="21"/>
                <w:szCs w:val="21"/>
              </w:rPr>
              <w:drawing>
                <wp:anchor distT="0" distB="0" distL="114300" distR="114300" simplePos="0" relativeHeight="251661312" behindDoc="0" locked="0" layoutInCell="1" allowOverlap="1">
                  <wp:simplePos x="0" y="0"/>
                  <wp:positionH relativeFrom="column">
                    <wp:posOffset>140970</wp:posOffset>
                  </wp:positionH>
                  <wp:positionV relativeFrom="paragraph">
                    <wp:posOffset>44450</wp:posOffset>
                  </wp:positionV>
                  <wp:extent cx="590550" cy="847090"/>
                  <wp:effectExtent l="0" t="0" r="0" b="1016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590550" cy="847090"/>
                          </a:xfrm>
                          <a:prstGeom prst="rect">
                            <a:avLst/>
                          </a:prstGeom>
                          <a:noFill/>
                          <a:ln>
                            <a:noFill/>
                          </a:ln>
                        </pic:spPr>
                      </pic:pic>
                    </a:graphicData>
                  </a:graphic>
                </wp:anchor>
              </w:drawing>
            </w:r>
          </w:p>
        </w:tc>
        <w:tc>
          <w:tcPr>
            <w:tcW w:w="3835" w:type="dxa"/>
            <w:tcBorders>
              <w:top w:val="single" w:color="auto" w:sz="4" w:space="0"/>
              <w:left w:val="nil"/>
              <w:bottom w:val="single" w:color="auto" w:sz="4" w:space="0"/>
              <w:right w:val="single" w:color="auto" w:sz="4" w:space="0"/>
            </w:tcBorders>
            <w:shd w:val="clear" w:color="auto" w:fill="auto"/>
            <w:noWrap w:val="0"/>
            <w:vAlign w:val="center"/>
          </w:tcPr>
          <w:p>
            <w:pPr>
              <w:widowControl/>
              <w:spacing w:line="240" w:lineRule="auto"/>
              <w:jc w:val="left"/>
              <w:rPr>
                <w:rFonts w:hint="default" w:cs="宋体"/>
                <w:kern w:val="0"/>
                <w:sz w:val="21"/>
                <w:szCs w:val="21"/>
              </w:rPr>
            </w:pPr>
            <w:r>
              <w:rPr>
                <w:rFonts w:cs="宋体"/>
                <w:kern w:val="0"/>
                <w:sz w:val="21"/>
                <w:szCs w:val="21"/>
              </w:rPr>
              <w:t>车位相机外接灯，单边车位的情况下使用，数量与车位数相同。</w:t>
            </w:r>
          </w:p>
        </w:tc>
        <w:tc>
          <w:tcPr>
            <w:tcW w:w="709"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只</w:t>
            </w:r>
          </w:p>
        </w:tc>
        <w:tc>
          <w:tcPr>
            <w:tcW w:w="567"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94</w:t>
            </w:r>
          </w:p>
        </w:tc>
      </w:tr>
      <w:tr>
        <w:tblPrEx>
          <w:tblCellMar>
            <w:top w:w="0" w:type="dxa"/>
            <w:left w:w="108" w:type="dxa"/>
            <w:bottom w:w="0" w:type="dxa"/>
            <w:right w:w="108" w:type="dxa"/>
          </w:tblCellMar>
        </w:tblPrEx>
        <w:trPr>
          <w:trHeight w:val="1260" w:hRule="atLeast"/>
        </w:trPr>
        <w:tc>
          <w:tcPr>
            <w:tcW w:w="130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12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诱导管理器</w:t>
            </w:r>
          </w:p>
        </w:tc>
        <w:tc>
          <w:tcPr>
            <w:tcW w:w="2260" w:type="dxa"/>
            <w:tcBorders>
              <w:top w:val="nil"/>
              <w:left w:val="single" w:color="auto" w:sz="4" w:space="0"/>
              <w:bottom w:val="nil"/>
              <w:right w:val="nil"/>
            </w:tcBorders>
            <w:shd w:val="clear" w:color="auto" w:fill="auto"/>
            <w:noWrap/>
            <w:vAlign w:val="bottom"/>
          </w:tcPr>
          <w:p>
            <w:pPr>
              <w:widowControl/>
              <w:spacing w:line="240" w:lineRule="auto"/>
              <w:jc w:val="left"/>
              <w:rPr>
                <w:rFonts w:hint="default" w:cs="宋体"/>
                <w:color w:val="000000"/>
                <w:kern w:val="0"/>
                <w:sz w:val="21"/>
                <w:szCs w:val="21"/>
              </w:rPr>
            </w:pPr>
            <w:r>
              <w:rPr>
                <w:rFonts w:cs="宋体"/>
                <w:color w:val="000000"/>
                <w:kern w:val="0"/>
                <w:sz w:val="21"/>
                <w:szCs w:val="21"/>
              </w:rPr>
              <w:drawing>
                <wp:anchor distT="0" distB="0" distL="114300" distR="114300" simplePos="0" relativeHeight="251665408" behindDoc="0" locked="0" layoutInCell="1" allowOverlap="1">
                  <wp:simplePos x="0" y="0"/>
                  <wp:positionH relativeFrom="column">
                    <wp:posOffset>140970</wp:posOffset>
                  </wp:positionH>
                  <wp:positionV relativeFrom="paragraph">
                    <wp:posOffset>91440</wp:posOffset>
                  </wp:positionV>
                  <wp:extent cx="551815" cy="656590"/>
                  <wp:effectExtent l="0" t="0" r="635" b="1016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51815" cy="656590"/>
                          </a:xfrm>
                          <a:prstGeom prst="rect">
                            <a:avLst/>
                          </a:prstGeom>
                          <a:noFill/>
                          <a:ln>
                            <a:noFill/>
                          </a:ln>
                        </pic:spPr>
                      </pic:pic>
                    </a:graphicData>
                  </a:graphic>
                </wp:anchor>
              </w:drawing>
            </w:r>
          </w:p>
          <w:tbl>
            <w:tblPr>
              <w:tblStyle w:val="29"/>
              <w:tblW w:w="0" w:type="auto"/>
              <w:tblCellSpacing w:w="0" w:type="dxa"/>
              <w:tblInd w:w="0" w:type="dxa"/>
              <w:tblLayout w:type="fixed"/>
              <w:tblCellMar>
                <w:top w:w="0" w:type="dxa"/>
                <w:left w:w="0" w:type="dxa"/>
                <w:bottom w:w="0" w:type="dxa"/>
                <w:right w:w="0" w:type="dxa"/>
              </w:tblCellMar>
            </w:tblPr>
            <w:tblGrid>
              <w:gridCol w:w="1640"/>
            </w:tblGrid>
            <w:tr>
              <w:tblPrEx>
                <w:tblCellMar>
                  <w:top w:w="0" w:type="dxa"/>
                  <w:left w:w="0" w:type="dxa"/>
                  <w:bottom w:w="0" w:type="dxa"/>
                  <w:right w:w="0" w:type="dxa"/>
                </w:tblCellMar>
              </w:tblPrEx>
              <w:trPr>
                <w:trHeight w:val="1260" w:hRule="atLeast"/>
                <w:tblCellSpacing w:w="0" w:type="dxa"/>
              </w:trPr>
              <w:tc>
                <w:tcPr>
                  <w:tcW w:w="1640" w:type="dxa"/>
                  <w:tcBorders>
                    <w:top w:val="nil"/>
                    <w:left w:val="nil"/>
                    <w:bottom w:val="single" w:color="auto" w:sz="4" w:space="0"/>
                    <w:right w:val="single" w:color="auto" w:sz="4" w:space="0"/>
                  </w:tcBorders>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w:t>
                  </w:r>
                </w:p>
              </w:tc>
            </w:tr>
          </w:tbl>
          <w:p>
            <w:pPr>
              <w:widowControl/>
              <w:spacing w:line="240" w:lineRule="auto"/>
              <w:jc w:val="left"/>
              <w:rPr>
                <w:rFonts w:hint="default" w:cs="宋体"/>
                <w:color w:val="000000"/>
                <w:kern w:val="0"/>
                <w:sz w:val="21"/>
                <w:szCs w:val="21"/>
              </w:rPr>
            </w:pPr>
          </w:p>
        </w:tc>
        <w:tc>
          <w:tcPr>
            <w:tcW w:w="3835"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自带2*3T硬盘，支持32路四代车位相机接入。</w:t>
            </w:r>
          </w:p>
        </w:tc>
        <w:tc>
          <w:tcPr>
            <w:tcW w:w="709"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c>
          <w:tcPr>
            <w:tcW w:w="567"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3</w:t>
            </w:r>
          </w:p>
        </w:tc>
      </w:tr>
      <w:tr>
        <w:tblPrEx>
          <w:tblCellMar>
            <w:top w:w="0" w:type="dxa"/>
            <w:left w:w="108" w:type="dxa"/>
            <w:bottom w:w="0" w:type="dxa"/>
            <w:right w:w="108" w:type="dxa"/>
          </w:tblCellMar>
        </w:tblPrEx>
        <w:trPr>
          <w:trHeight w:val="927" w:hRule="atLeast"/>
        </w:trPr>
        <w:tc>
          <w:tcPr>
            <w:tcW w:w="255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auto"/>
              <w:jc w:val="left"/>
              <w:rPr>
                <w:rFonts w:hint="default" w:cs="宋体"/>
                <w:color w:val="000000"/>
                <w:kern w:val="0"/>
                <w:sz w:val="21"/>
                <w:szCs w:val="21"/>
              </w:rPr>
            </w:pPr>
          </w:p>
          <w:tbl>
            <w:tblPr>
              <w:tblStyle w:val="29"/>
              <w:tblW w:w="0" w:type="auto"/>
              <w:tblCellSpacing w:w="0" w:type="dxa"/>
              <w:tblInd w:w="0" w:type="dxa"/>
              <w:tblLayout w:type="fixed"/>
              <w:tblCellMar>
                <w:top w:w="0" w:type="dxa"/>
                <w:left w:w="0" w:type="dxa"/>
                <w:bottom w:w="0" w:type="dxa"/>
                <w:right w:w="0" w:type="dxa"/>
              </w:tblCellMar>
            </w:tblPr>
            <w:tblGrid>
              <w:gridCol w:w="2300"/>
            </w:tblGrid>
            <w:tr>
              <w:tblPrEx>
                <w:tblCellMar>
                  <w:top w:w="0" w:type="dxa"/>
                  <w:left w:w="0" w:type="dxa"/>
                  <w:bottom w:w="0" w:type="dxa"/>
                  <w:right w:w="0" w:type="dxa"/>
                </w:tblCellMar>
              </w:tblPrEx>
              <w:trPr>
                <w:trHeight w:val="624" w:hRule="atLeast"/>
                <w:tblCellSpacing w:w="0" w:type="dxa"/>
              </w:trPr>
              <w:tc>
                <w:tcPr>
                  <w:tcW w:w="2300"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left="-107" w:leftChars="-51" w:firstLine="210" w:firstLineChars="100"/>
                    <w:jc w:val="left"/>
                    <w:rPr>
                      <w:rFonts w:hint="default" w:cs="宋体"/>
                      <w:color w:val="000000"/>
                      <w:kern w:val="0"/>
                      <w:sz w:val="21"/>
                      <w:szCs w:val="21"/>
                    </w:rPr>
                  </w:pPr>
                  <w:r>
                    <w:rPr>
                      <w:rFonts w:cs="宋体"/>
                      <w:color w:val="000000"/>
                      <w:kern w:val="0"/>
                      <w:sz w:val="21"/>
                      <w:szCs w:val="21"/>
                    </w:rPr>
                    <w:t>LED显示屏</w:t>
                  </w:r>
                </w:p>
              </w:tc>
            </w:tr>
            <w:tr>
              <w:tblPrEx>
                <w:tblCellMar>
                  <w:top w:w="0" w:type="dxa"/>
                  <w:left w:w="0" w:type="dxa"/>
                  <w:bottom w:w="0" w:type="dxa"/>
                  <w:right w:w="0" w:type="dxa"/>
                </w:tblCellMar>
              </w:tblPrEx>
              <w:trPr>
                <w:trHeight w:val="624" w:hRule="atLeast"/>
                <w:tblCellSpacing w:w="0" w:type="dxa"/>
              </w:trPr>
              <w:tc>
                <w:tcPr>
                  <w:tcW w:w="23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jc w:val="left"/>
                    <w:rPr>
                      <w:rFonts w:hint="default" w:cs="宋体"/>
                      <w:color w:val="000000"/>
                      <w:kern w:val="0"/>
                      <w:sz w:val="21"/>
                      <w:szCs w:val="21"/>
                    </w:rPr>
                  </w:pPr>
                </w:p>
              </w:tc>
            </w:tr>
          </w:tbl>
          <w:p>
            <w:pPr>
              <w:widowControl/>
              <w:spacing w:line="240" w:lineRule="auto"/>
              <w:jc w:val="left"/>
              <w:rPr>
                <w:rFonts w:hint="default" w:cs="宋体"/>
                <w:color w:val="000000"/>
                <w:kern w:val="0"/>
                <w:sz w:val="21"/>
                <w:szCs w:val="21"/>
              </w:rPr>
            </w:pPr>
          </w:p>
        </w:tc>
        <w:tc>
          <w:tcPr>
            <w:tcW w:w="2260" w:type="dxa"/>
            <w:tcBorders>
              <w:top w:val="nil"/>
              <w:left w:val="single" w:color="auto" w:sz="4" w:space="0"/>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drawing>
                <wp:anchor distT="0" distB="0" distL="114300" distR="114300" simplePos="0" relativeHeight="251662336" behindDoc="0" locked="0" layoutInCell="1" allowOverlap="1">
                  <wp:simplePos x="0" y="0"/>
                  <wp:positionH relativeFrom="column">
                    <wp:posOffset>313055</wp:posOffset>
                  </wp:positionH>
                  <wp:positionV relativeFrom="paragraph">
                    <wp:posOffset>128905</wp:posOffset>
                  </wp:positionV>
                  <wp:extent cx="742315" cy="427990"/>
                  <wp:effectExtent l="0" t="0" r="0" b="10795"/>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rcRect r="55814" b="71352"/>
                          <a:stretch>
                            <a:fillRect/>
                          </a:stretch>
                        </pic:blipFill>
                        <pic:spPr>
                          <a:xfrm>
                            <a:off x="0" y="0"/>
                            <a:ext cx="742315" cy="427990"/>
                          </a:xfrm>
                          <a:prstGeom prst="rect">
                            <a:avLst/>
                          </a:prstGeom>
                          <a:noFill/>
                          <a:ln>
                            <a:noFill/>
                          </a:ln>
                        </pic:spPr>
                      </pic:pic>
                    </a:graphicData>
                  </a:graphic>
                </wp:anchor>
              </w:drawing>
            </w:r>
            <w:r>
              <w:rPr>
                <w:rFonts w:cs="宋体"/>
                <w:color w:val="000000"/>
                <w:kern w:val="0"/>
                <w:sz w:val="21"/>
                <w:szCs w:val="21"/>
              </w:rPr>
              <w:t>　</w:t>
            </w:r>
          </w:p>
        </w:tc>
        <w:tc>
          <w:tcPr>
            <w:tcW w:w="3835"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单向屏，用于直行车道，室内引导。</w:t>
            </w:r>
          </w:p>
        </w:tc>
        <w:tc>
          <w:tcPr>
            <w:tcW w:w="70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块</w:t>
            </w:r>
          </w:p>
        </w:tc>
        <w:tc>
          <w:tcPr>
            <w:tcW w:w="567"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2</w:t>
            </w:r>
          </w:p>
        </w:tc>
      </w:tr>
      <w:tr>
        <w:tblPrEx>
          <w:tblCellMar>
            <w:top w:w="0" w:type="dxa"/>
            <w:left w:w="108" w:type="dxa"/>
            <w:bottom w:w="0" w:type="dxa"/>
            <w:right w:w="108" w:type="dxa"/>
          </w:tblCellMar>
        </w:tblPrEx>
        <w:trPr>
          <w:trHeight w:val="769" w:hRule="atLeast"/>
        </w:trPr>
        <w:tc>
          <w:tcPr>
            <w:tcW w:w="2553"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2260" w:type="dxa"/>
            <w:tcBorders>
              <w:top w:val="nil"/>
              <w:left w:val="single" w:color="auto" w:sz="4" w:space="0"/>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drawing>
                <wp:anchor distT="0" distB="0" distL="114300" distR="114300" simplePos="0" relativeHeight="251663360" behindDoc="0" locked="0" layoutInCell="1" allowOverlap="1">
                  <wp:simplePos x="0" y="0"/>
                  <wp:positionH relativeFrom="column">
                    <wp:posOffset>78740</wp:posOffset>
                  </wp:positionH>
                  <wp:positionV relativeFrom="paragraph">
                    <wp:posOffset>-24765</wp:posOffset>
                  </wp:positionV>
                  <wp:extent cx="971550" cy="400050"/>
                  <wp:effectExtent l="0" t="0" r="0" b="0"/>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3"/>
                          <a:srcRect t="25946" r="29767" b="45406"/>
                          <a:stretch>
                            <a:fillRect/>
                          </a:stretch>
                        </pic:blipFill>
                        <pic:spPr>
                          <a:xfrm>
                            <a:off x="0" y="0"/>
                            <a:ext cx="971550" cy="400050"/>
                          </a:xfrm>
                          <a:prstGeom prst="rect">
                            <a:avLst/>
                          </a:prstGeom>
                          <a:noFill/>
                          <a:ln>
                            <a:noFill/>
                          </a:ln>
                        </pic:spPr>
                      </pic:pic>
                    </a:graphicData>
                  </a:graphic>
                </wp:anchor>
              </w:drawing>
            </w:r>
            <w:r>
              <w:rPr>
                <w:rFonts w:cs="宋体"/>
                <w:color w:val="000000"/>
                <w:kern w:val="0"/>
                <w:sz w:val="21"/>
                <w:szCs w:val="21"/>
              </w:rPr>
              <w:t>　</w:t>
            </w:r>
          </w:p>
        </w:tc>
        <w:tc>
          <w:tcPr>
            <w:tcW w:w="3835"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双向屏，用于三向交叉车道，室内引导。</w:t>
            </w:r>
          </w:p>
        </w:tc>
        <w:tc>
          <w:tcPr>
            <w:tcW w:w="70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块</w:t>
            </w:r>
          </w:p>
        </w:tc>
        <w:tc>
          <w:tcPr>
            <w:tcW w:w="567"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3</w:t>
            </w:r>
          </w:p>
        </w:tc>
      </w:tr>
      <w:tr>
        <w:tblPrEx>
          <w:tblCellMar>
            <w:top w:w="0" w:type="dxa"/>
            <w:left w:w="108" w:type="dxa"/>
            <w:bottom w:w="0" w:type="dxa"/>
            <w:right w:w="108" w:type="dxa"/>
          </w:tblCellMar>
        </w:tblPrEx>
        <w:trPr>
          <w:trHeight w:val="852" w:hRule="atLeast"/>
        </w:trPr>
        <w:tc>
          <w:tcPr>
            <w:tcW w:w="2553"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p>
        </w:tc>
        <w:tc>
          <w:tcPr>
            <w:tcW w:w="2260" w:type="dxa"/>
            <w:tcBorders>
              <w:top w:val="nil"/>
              <w:left w:val="single" w:color="auto" w:sz="4" w:space="0"/>
              <w:bottom w:val="single" w:color="auto" w:sz="4" w:space="0"/>
              <w:right w:val="single" w:color="auto"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drawing>
                <wp:anchor distT="0" distB="0" distL="114300" distR="114300" simplePos="0" relativeHeight="251664384" behindDoc="0" locked="0" layoutInCell="1" allowOverlap="1">
                  <wp:simplePos x="0" y="0"/>
                  <wp:positionH relativeFrom="column">
                    <wp:posOffset>87630</wp:posOffset>
                  </wp:positionH>
                  <wp:positionV relativeFrom="paragraph">
                    <wp:posOffset>-60325</wp:posOffset>
                  </wp:positionV>
                  <wp:extent cx="1219200" cy="419100"/>
                  <wp:effectExtent l="0" t="0" r="0" b="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3"/>
                          <a:srcRect t="53513" b="14594"/>
                          <a:stretch>
                            <a:fillRect/>
                          </a:stretch>
                        </pic:blipFill>
                        <pic:spPr>
                          <a:xfrm>
                            <a:off x="0" y="0"/>
                            <a:ext cx="1219200" cy="419100"/>
                          </a:xfrm>
                          <a:prstGeom prst="rect">
                            <a:avLst/>
                          </a:prstGeom>
                          <a:noFill/>
                          <a:ln>
                            <a:noFill/>
                          </a:ln>
                        </pic:spPr>
                      </pic:pic>
                    </a:graphicData>
                  </a:graphic>
                </wp:anchor>
              </w:drawing>
            </w:r>
            <w:r>
              <w:rPr>
                <w:rFonts w:cs="宋体"/>
                <w:color w:val="000000"/>
                <w:kern w:val="0"/>
                <w:sz w:val="21"/>
                <w:szCs w:val="21"/>
              </w:rPr>
              <w:t>　</w:t>
            </w:r>
          </w:p>
        </w:tc>
        <w:tc>
          <w:tcPr>
            <w:tcW w:w="3835" w:type="dxa"/>
            <w:tcBorders>
              <w:top w:val="nil"/>
              <w:left w:val="nil"/>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三向屏，用于四向叉车道，室内引导。</w:t>
            </w:r>
          </w:p>
        </w:tc>
        <w:tc>
          <w:tcPr>
            <w:tcW w:w="709"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块</w:t>
            </w:r>
          </w:p>
        </w:tc>
        <w:tc>
          <w:tcPr>
            <w:tcW w:w="567" w:type="dxa"/>
            <w:tcBorders>
              <w:top w:val="nil"/>
              <w:left w:val="nil"/>
              <w:bottom w:val="single" w:color="auto" w:sz="4" w:space="0"/>
              <w:right w:val="single" w:color="auto" w:sz="4" w:space="0"/>
            </w:tcBorders>
            <w:shd w:val="clear" w:color="000000" w:fill="FFFFFF"/>
            <w:noWrap/>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1</w:t>
            </w:r>
          </w:p>
        </w:tc>
      </w:tr>
      <w:tr>
        <w:tblPrEx>
          <w:tblCellMar>
            <w:top w:w="0" w:type="dxa"/>
            <w:left w:w="108" w:type="dxa"/>
            <w:bottom w:w="0" w:type="dxa"/>
            <w:right w:w="108" w:type="dxa"/>
          </w:tblCellMar>
        </w:tblPrEx>
        <w:trPr>
          <w:trHeight w:val="2607" w:hRule="atLeast"/>
        </w:trPr>
        <w:tc>
          <w:tcPr>
            <w:tcW w:w="255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kern w:val="0"/>
                <w:sz w:val="21"/>
                <w:szCs w:val="21"/>
              </w:rPr>
            </w:pPr>
            <w:r>
              <w:rPr>
                <w:rFonts w:cs="宋体"/>
                <w:kern w:val="0"/>
                <w:sz w:val="21"/>
                <w:szCs w:val="21"/>
              </w:rPr>
              <w:t>入口信息引导屏</w:t>
            </w:r>
          </w:p>
        </w:tc>
        <w:tc>
          <w:tcPr>
            <w:tcW w:w="226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kern w:val="0"/>
                <w:sz w:val="21"/>
                <w:szCs w:val="21"/>
              </w:rPr>
            </w:pPr>
            <w:r>
              <w:rPr>
                <w:rFonts w:cs="宋体"/>
                <w:kern w:val="0"/>
                <w:sz w:val="21"/>
                <w:szCs w:val="21"/>
              </w:rPr>
              <w:drawing>
                <wp:anchor distT="0" distB="0" distL="114300" distR="114300" simplePos="0" relativeHeight="251666432" behindDoc="0" locked="0" layoutInCell="1" allowOverlap="1">
                  <wp:simplePos x="0" y="0"/>
                  <wp:positionH relativeFrom="column">
                    <wp:posOffset>312420</wp:posOffset>
                  </wp:positionH>
                  <wp:positionV relativeFrom="paragraph">
                    <wp:posOffset>-111760</wp:posOffset>
                  </wp:positionV>
                  <wp:extent cx="561975" cy="1581150"/>
                  <wp:effectExtent l="0" t="0" r="9525"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4"/>
                          <a:stretch>
                            <a:fillRect/>
                          </a:stretch>
                        </pic:blipFill>
                        <pic:spPr>
                          <a:xfrm>
                            <a:off x="0" y="0"/>
                            <a:ext cx="561975" cy="1581150"/>
                          </a:xfrm>
                          <a:prstGeom prst="rect">
                            <a:avLst/>
                          </a:prstGeom>
                          <a:noFill/>
                          <a:ln>
                            <a:noFill/>
                          </a:ln>
                        </pic:spPr>
                      </pic:pic>
                    </a:graphicData>
                  </a:graphic>
                </wp:anchor>
              </w:drawing>
            </w:r>
            <w:r>
              <w:rPr>
                <w:rFonts w:cs="宋体"/>
                <w:kern w:val="0"/>
                <w:sz w:val="21"/>
                <w:szCs w:val="21"/>
              </w:rPr>
              <w:t>　</w:t>
            </w:r>
          </w:p>
        </w:tc>
        <w:tc>
          <w:tcPr>
            <w:tcW w:w="3835" w:type="dxa"/>
            <w:tcBorders>
              <w:top w:val="nil"/>
              <w:left w:val="nil"/>
              <w:bottom w:val="single" w:color="auto" w:sz="4" w:space="0"/>
              <w:right w:val="single" w:color="auto" w:sz="4" w:space="0"/>
            </w:tcBorders>
            <w:shd w:val="clear" w:color="auto" w:fill="auto"/>
            <w:noWrap/>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用于地下停车场入口，指示地下停车场的余位数（一个模组）</w:t>
            </w:r>
          </w:p>
        </w:tc>
        <w:tc>
          <w:tcPr>
            <w:tcW w:w="709"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c>
          <w:tcPr>
            <w:tcW w:w="567" w:type="dxa"/>
            <w:tcBorders>
              <w:top w:val="nil"/>
              <w:left w:val="nil"/>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1</w:t>
            </w:r>
          </w:p>
        </w:tc>
      </w:tr>
      <w:tr>
        <w:tblPrEx>
          <w:tblCellMar>
            <w:top w:w="0" w:type="dxa"/>
            <w:left w:w="108" w:type="dxa"/>
            <w:bottom w:w="0" w:type="dxa"/>
            <w:right w:w="108" w:type="dxa"/>
          </w:tblCellMar>
        </w:tblPrEx>
        <w:trPr>
          <w:trHeight w:val="2607" w:hRule="atLeast"/>
        </w:trPr>
        <w:tc>
          <w:tcPr>
            <w:tcW w:w="255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center"/>
              <w:rPr>
                <w:rFonts w:hint="default" w:cs="宋体"/>
                <w:kern w:val="0"/>
                <w:sz w:val="21"/>
                <w:szCs w:val="21"/>
              </w:rPr>
            </w:pPr>
            <w:r>
              <w:rPr>
                <w:rFonts w:cs="宋体"/>
                <w:kern w:val="0"/>
                <w:sz w:val="21"/>
                <w:szCs w:val="21"/>
              </w:rPr>
              <w:t>平台服务器</w:t>
            </w:r>
          </w:p>
        </w:tc>
        <w:tc>
          <w:tcPr>
            <w:tcW w:w="226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提供系统内的组织、人员、车辆、用户、角色、认证、区域等的配置和管理。已包含：图上监控、事件联动、视频网管</w:t>
            </w:r>
          </w:p>
        </w:tc>
        <w:tc>
          <w:tcPr>
            <w:tcW w:w="383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提供系统内的组织、人员、车辆、用户、角色、认证、区域等的配置和管理。已包含：图上监控、事件联动、视频网管</w:t>
            </w:r>
          </w:p>
        </w:tc>
        <w:tc>
          <w:tcPr>
            <w:tcW w:w="709"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台</w:t>
            </w:r>
          </w:p>
        </w:tc>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1</w:t>
            </w:r>
          </w:p>
        </w:tc>
      </w:tr>
    </w:tbl>
    <w:p>
      <w:pPr>
        <w:tabs>
          <w:tab w:val="left" w:pos="-426"/>
        </w:tabs>
        <w:ind w:left="-371" w:leftChars="-177" w:hanging="1"/>
        <w:rPr>
          <w:rFonts w:hint="default" w:cs="仿宋_GB2312"/>
          <w:b/>
          <w:bCs/>
          <w:sz w:val="21"/>
          <w:szCs w:val="21"/>
        </w:rPr>
      </w:pPr>
      <w:r>
        <w:rPr>
          <w:rFonts w:hint="default" w:cs="仿宋_GB2312"/>
          <w:b/>
          <w:bCs/>
          <w:color w:val="000000"/>
          <w:sz w:val="21"/>
          <w:szCs w:val="21"/>
        </w:rPr>
        <w:tab/>
      </w:r>
      <w:r>
        <w:rPr>
          <w:rFonts w:cs="仿宋_GB2312"/>
          <w:b/>
          <w:bCs/>
          <w:sz w:val="21"/>
          <w:szCs w:val="21"/>
        </w:rPr>
        <w:t>其他所需辅料清单</w:t>
      </w:r>
    </w:p>
    <w:tbl>
      <w:tblPr>
        <w:tblStyle w:val="29"/>
        <w:tblW w:w="0" w:type="auto"/>
        <w:tblInd w:w="-318" w:type="dxa"/>
        <w:tblLayout w:type="fixed"/>
        <w:tblCellMar>
          <w:top w:w="0" w:type="dxa"/>
          <w:left w:w="108" w:type="dxa"/>
          <w:bottom w:w="0" w:type="dxa"/>
          <w:right w:w="108" w:type="dxa"/>
        </w:tblCellMar>
      </w:tblPr>
      <w:tblGrid>
        <w:gridCol w:w="1991"/>
        <w:gridCol w:w="6160"/>
        <w:gridCol w:w="922"/>
        <w:gridCol w:w="851"/>
      </w:tblGrid>
      <w:tr>
        <w:tblPrEx>
          <w:tblCellMar>
            <w:top w:w="0" w:type="dxa"/>
            <w:left w:w="108" w:type="dxa"/>
            <w:bottom w:w="0" w:type="dxa"/>
            <w:right w:w="108" w:type="dxa"/>
          </w:tblCellMar>
        </w:tblPrEx>
        <w:trPr>
          <w:trHeight w:val="624" w:hRule="atLeast"/>
        </w:trPr>
        <w:tc>
          <w:tcPr>
            <w:tcW w:w="1991"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b/>
                <w:bCs/>
                <w:color w:val="000000"/>
                <w:kern w:val="0"/>
                <w:sz w:val="21"/>
                <w:szCs w:val="21"/>
              </w:rPr>
            </w:pPr>
            <w:r>
              <w:rPr>
                <w:rFonts w:cs="宋体"/>
                <w:b/>
                <w:bCs/>
                <w:color w:val="000000"/>
                <w:kern w:val="0"/>
                <w:sz w:val="21"/>
                <w:szCs w:val="21"/>
              </w:rPr>
              <w:t>项目名称</w:t>
            </w:r>
          </w:p>
        </w:tc>
        <w:tc>
          <w:tcPr>
            <w:tcW w:w="6160"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b/>
                <w:bCs/>
                <w:color w:val="000000"/>
                <w:kern w:val="0"/>
                <w:sz w:val="21"/>
                <w:szCs w:val="21"/>
              </w:rPr>
            </w:pPr>
            <w:r>
              <w:rPr>
                <w:rFonts w:cs="宋体"/>
                <w:b/>
                <w:bCs/>
                <w:color w:val="000000"/>
                <w:kern w:val="0"/>
                <w:sz w:val="21"/>
                <w:szCs w:val="21"/>
              </w:rPr>
              <w:t>参数说明</w:t>
            </w:r>
          </w:p>
        </w:tc>
        <w:tc>
          <w:tcPr>
            <w:tcW w:w="922"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b/>
                <w:bCs/>
                <w:color w:val="000000"/>
                <w:kern w:val="0"/>
                <w:sz w:val="21"/>
                <w:szCs w:val="21"/>
              </w:rPr>
            </w:pPr>
            <w:r>
              <w:rPr>
                <w:rFonts w:cs="宋体"/>
                <w:b/>
                <w:bCs/>
                <w:color w:val="000000"/>
                <w:kern w:val="0"/>
                <w:sz w:val="21"/>
                <w:szCs w:val="21"/>
              </w:rPr>
              <w:t>单位</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b/>
                <w:bCs/>
                <w:color w:val="000000"/>
                <w:kern w:val="0"/>
                <w:sz w:val="21"/>
                <w:szCs w:val="21"/>
              </w:rPr>
            </w:pPr>
            <w:r>
              <w:rPr>
                <w:rFonts w:cs="宋体"/>
                <w:b/>
                <w:bCs/>
                <w:color w:val="000000"/>
                <w:kern w:val="0"/>
                <w:sz w:val="21"/>
                <w:szCs w:val="21"/>
              </w:rPr>
              <w:t>数量</w:t>
            </w:r>
          </w:p>
        </w:tc>
      </w:tr>
      <w:tr>
        <w:tblPrEx>
          <w:tblCellMar>
            <w:top w:w="0" w:type="dxa"/>
            <w:left w:w="108" w:type="dxa"/>
            <w:bottom w:w="0" w:type="dxa"/>
            <w:right w:w="108" w:type="dxa"/>
          </w:tblCellMar>
        </w:tblPrEx>
        <w:trPr>
          <w:trHeight w:val="312" w:hRule="atLeast"/>
        </w:trPr>
        <w:tc>
          <w:tcPr>
            <w:tcW w:w="199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default" w:cs="宋体"/>
                <w:b/>
                <w:bCs/>
                <w:color w:val="000000"/>
                <w:kern w:val="0"/>
                <w:sz w:val="21"/>
                <w:szCs w:val="21"/>
              </w:rPr>
            </w:pPr>
          </w:p>
        </w:tc>
        <w:tc>
          <w:tcPr>
            <w:tcW w:w="6160"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default" w:cs="宋体"/>
                <w:b/>
                <w:bCs/>
                <w:color w:val="000000"/>
                <w:kern w:val="0"/>
                <w:sz w:val="21"/>
                <w:szCs w:val="21"/>
              </w:rPr>
            </w:pPr>
          </w:p>
        </w:tc>
        <w:tc>
          <w:tcPr>
            <w:tcW w:w="922"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default" w:cs="宋体"/>
                <w:b/>
                <w:bCs/>
                <w:color w:val="000000"/>
                <w:kern w:val="0"/>
                <w:sz w:val="21"/>
                <w:szCs w:val="21"/>
              </w:rPr>
            </w:pP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default" w:cs="宋体"/>
                <w:b/>
                <w:bCs/>
                <w:color w:val="000000"/>
                <w:kern w:val="0"/>
                <w:sz w:val="21"/>
                <w:szCs w:val="21"/>
              </w:rPr>
            </w:pP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E5E0EC"/>
            <w:noWrap w:val="0"/>
            <w:vAlign w:val="center"/>
          </w:tcPr>
          <w:p>
            <w:pPr>
              <w:widowControl/>
              <w:spacing w:line="240" w:lineRule="auto"/>
              <w:jc w:val="center"/>
              <w:rPr>
                <w:rFonts w:hint="default" w:cs="宋体"/>
                <w:b/>
                <w:bCs/>
                <w:color w:val="000000"/>
                <w:kern w:val="0"/>
                <w:sz w:val="21"/>
                <w:szCs w:val="21"/>
              </w:rPr>
            </w:pPr>
            <w:r>
              <w:rPr>
                <w:rFonts w:cs="宋体"/>
                <w:b/>
                <w:bCs/>
                <w:color w:val="000000"/>
                <w:kern w:val="0"/>
                <w:sz w:val="21"/>
                <w:szCs w:val="21"/>
              </w:rPr>
              <w:t>综合布线系统</w:t>
            </w:r>
          </w:p>
        </w:tc>
        <w:tc>
          <w:tcPr>
            <w:tcW w:w="6160"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　</w:t>
            </w:r>
          </w:p>
        </w:tc>
        <w:tc>
          <w:tcPr>
            <w:tcW w:w="922"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　</w:t>
            </w:r>
          </w:p>
        </w:tc>
        <w:tc>
          <w:tcPr>
            <w:tcW w:w="851"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　</w:t>
            </w:r>
          </w:p>
        </w:tc>
      </w:tr>
      <w:tr>
        <w:tblPrEx>
          <w:tblCellMar>
            <w:top w:w="0" w:type="dxa"/>
            <w:left w:w="108" w:type="dxa"/>
            <w:bottom w:w="0" w:type="dxa"/>
            <w:right w:w="108" w:type="dxa"/>
          </w:tblCellMar>
        </w:tblPrEx>
        <w:trPr>
          <w:trHeight w:val="1833"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信息插座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单口信息插座  含单孔信息面板、6类非屏蔽信息模块、底盒等</w:t>
            </w:r>
            <w:r>
              <w:rPr>
                <w:rFonts w:cs="宋体"/>
                <w:color w:val="000000"/>
                <w:kern w:val="0"/>
                <w:sz w:val="21"/>
                <w:szCs w:val="21"/>
              </w:rPr>
              <w:br w:type="textWrapping"/>
            </w:r>
            <w:r>
              <w:rPr>
                <w:rFonts w:cs="宋体"/>
                <w:color w:val="000000"/>
                <w:kern w:val="0"/>
                <w:sz w:val="21"/>
                <w:szCs w:val="21"/>
              </w:rPr>
              <w:t>双口六类非屏蔽模块安装</w:t>
            </w:r>
            <w:r>
              <w:rPr>
                <w:rFonts w:cs="宋体"/>
                <w:color w:val="000000"/>
                <w:kern w:val="0"/>
                <w:sz w:val="21"/>
                <w:szCs w:val="21"/>
              </w:rPr>
              <w:br w:type="textWrapping"/>
            </w:r>
            <w:r>
              <w:rPr>
                <w:rFonts w:cs="宋体"/>
                <w:color w:val="000000"/>
                <w:kern w:val="0"/>
                <w:sz w:val="21"/>
                <w:szCs w:val="21"/>
              </w:rPr>
              <w:t>Cat6;3.支持近1.2Gbps应用</w:t>
            </w:r>
            <w:r>
              <w:rPr>
                <w:rFonts w:cs="宋体"/>
                <w:color w:val="000000"/>
                <w:kern w:val="0"/>
                <w:sz w:val="21"/>
                <w:szCs w:val="21"/>
              </w:rPr>
              <w:br w:type="textWrapping"/>
            </w:r>
            <w:r>
              <w:rPr>
                <w:rFonts w:cs="宋体"/>
                <w:color w:val="000000"/>
                <w:kern w:val="0"/>
                <w:sz w:val="21"/>
                <w:szCs w:val="21"/>
              </w:rPr>
              <w:t>大于750次重复插拨;</w:t>
            </w:r>
            <w:r>
              <w:rPr>
                <w:rFonts w:cs="宋体"/>
                <w:color w:val="000000"/>
                <w:kern w:val="0"/>
                <w:sz w:val="21"/>
                <w:szCs w:val="21"/>
              </w:rPr>
              <w:br w:type="textWrapping"/>
            </w:r>
            <w:r>
              <w:rPr>
                <w:rFonts w:cs="宋体"/>
                <w:color w:val="000000"/>
                <w:kern w:val="0"/>
                <w:sz w:val="21"/>
                <w:szCs w:val="21"/>
              </w:rPr>
              <w:t>在标准面板上以90度(垂直)或45度角的倾斜度安装;</w:t>
            </w:r>
            <w:r>
              <w:rPr>
                <w:rFonts w:cs="宋体"/>
                <w:color w:val="000000"/>
                <w:kern w:val="0"/>
                <w:sz w:val="21"/>
                <w:szCs w:val="21"/>
              </w:rPr>
              <w:br w:type="textWrapping"/>
            </w:r>
            <w:r>
              <w:rPr>
                <w:rFonts w:cs="宋体"/>
                <w:color w:val="000000"/>
                <w:kern w:val="0"/>
                <w:sz w:val="21"/>
                <w:szCs w:val="21"/>
              </w:rPr>
              <w:t>阻燃;UL94V-0;</w:t>
            </w:r>
            <w:r>
              <w:rPr>
                <w:rFonts w:cs="宋体"/>
                <w:color w:val="000000"/>
                <w:kern w:val="0"/>
                <w:sz w:val="21"/>
                <w:szCs w:val="21"/>
              </w:rPr>
              <w:br w:type="textWrapping"/>
            </w:r>
            <w:r>
              <w:rPr>
                <w:rFonts w:cs="宋体"/>
                <w:color w:val="000000"/>
                <w:kern w:val="0"/>
                <w:sz w:val="21"/>
                <w:szCs w:val="21"/>
              </w:rPr>
              <w:t xml:space="preserve"> 信息模块采用六类原厂产品，可向下支持五类、超五类、六类定义的所有应用。</w:t>
            </w:r>
            <w:r>
              <w:rPr>
                <w:rFonts w:cs="宋体"/>
                <w:color w:val="000000"/>
                <w:kern w:val="0"/>
                <w:sz w:val="21"/>
                <w:szCs w:val="21"/>
              </w:rPr>
              <w:br w:type="textWrapping"/>
            </w:r>
            <w:r>
              <w:rPr>
                <w:rFonts w:cs="宋体"/>
                <w:color w:val="000000"/>
                <w:kern w:val="0"/>
                <w:sz w:val="21"/>
                <w:szCs w:val="21"/>
              </w:rPr>
              <w:t>插针材质宜采用铜铍合金，可采用磷青铜。</w:t>
            </w:r>
            <w:r>
              <w:rPr>
                <w:rFonts w:cs="宋体"/>
                <w:color w:val="000000"/>
                <w:kern w:val="0"/>
                <w:sz w:val="21"/>
                <w:szCs w:val="21"/>
              </w:rPr>
              <w:br w:type="textWrapping"/>
            </w:r>
            <w:r>
              <w:rPr>
                <w:rFonts w:cs="宋体"/>
                <w:color w:val="000000"/>
                <w:kern w:val="0"/>
                <w:sz w:val="21"/>
                <w:szCs w:val="21"/>
              </w:rPr>
              <w:t>背面 IDC 打线端配备防尘盖，且满足至少 1000 次插拔和 250 次的重复端接。</w:t>
            </w:r>
            <w:r>
              <w:rPr>
                <w:rFonts w:cs="宋体"/>
                <w:color w:val="000000"/>
                <w:kern w:val="0"/>
                <w:sz w:val="21"/>
                <w:szCs w:val="21"/>
              </w:rPr>
              <w:br w:type="textWrapping"/>
            </w:r>
            <w:r>
              <w:rPr>
                <w:rFonts w:cs="宋体"/>
                <w:color w:val="000000"/>
                <w:kern w:val="0"/>
                <w:sz w:val="21"/>
                <w:szCs w:val="21"/>
              </w:rPr>
              <w:t>端接（压接）：110 IDC 与中轴成 30 度斜角，可采用传统 110 打线工具，也可采用 8 芯一次打线工具打线，满足快速安装需要。</w:t>
            </w:r>
            <w:r>
              <w:rPr>
                <w:rFonts w:cs="宋体"/>
                <w:color w:val="000000"/>
                <w:kern w:val="0"/>
                <w:sz w:val="21"/>
                <w:szCs w:val="21"/>
              </w:rPr>
              <w:br w:type="textWrapping"/>
            </w:r>
            <w:r>
              <w:rPr>
                <w:rFonts w:cs="宋体"/>
                <w:color w:val="000000"/>
                <w:kern w:val="0"/>
                <w:sz w:val="21"/>
                <w:szCs w:val="21"/>
              </w:rPr>
              <w:t>六类信息插座应采用二层 PCB 补偿技术，能够满足高速数据、语音和视频信号的传输，频率带宽不小于 250MHz。</w:t>
            </w:r>
            <w:r>
              <w:rPr>
                <w:rFonts w:cs="宋体"/>
                <w:color w:val="000000"/>
                <w:kern w:val="0"/>
                <w:sz w:val="21"/>
                <w:szCs w:val="21"/>
              </w:rPr>
              <w:br w:type="textWrapping"/>
            </w:r>
            <w:r>
              <w:rPr>
                <w:rFonts w:cs="宋体"/>
                <w:color w:val="000000"/>
                <w:kern w:val="0"/>
                <w:sz w:val="21"/>
                <w:szCs w:val="21"/>
              </w:rPr>
              <w:t>满足 TSB-155 10GbE 要求，通过 IEEE 802.3 bt PoE 电流容量要求。</w:t>
            </w:r>
            <w:r>
              <w:rPr>
                <w:rFonts w:cs="宋体"/>
                <w:color w:val="000000"/>
                <w:kern w:val="0"/>
                <w:sz w:val="21"/>
                <w:szCs w:val="21"/>
              </w:rPr>
              <w:br w:type="textWrapping"/>
            </w:r>
            <w:r>
              <w:rPr>
                <w:rFonts w:cs="宋体"/>
                <w:color w:val="000000"/>
                <w:kern w:val="0"/>
                <w:sz w:val="21"/>
                <w:szCs w:val="21"/>
              </w:rPr>
              <w:t>应符合 TIA/EIA 568-C、ISO/IEC 11801 相关标准。</w:t>
            </w:r>
            <w:r>
              <w:rPr>
                <w:rFonts w:cs="宋体"/>
                <w:color w:val="000000"/>
                <w:kern w:val="0"/>
                <w:sz w:val="21"/>
                <w:szCs w:val="21"/>
              </w:rPr>
              <w:br w:type="textWrapping"/>
            </w:r>
            <w:r>
              <w:rPr>
                <w:rFonts w:cs="宋体"/>
                <w:color w:val="000000"/>
                <w:kern w:val="0"/>
                <w:sz w:val="21"/>
                <w:szCs w:val="21"/>
              </w:rPr>
              <w:t>采用符合 UL 94V-0 的高强度 PC 材料</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个</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16</w:t>
            </w:r>
          </w:p>
        </w:tc>
      </w:tr>
      <w:tr>
        <w:tblPrEx>
          <w:tblCellMar>
            <w:top w:w="0" w:type="dxa"/>
            <w:left w:w="108" w:type="dxa"/>
            <w:bottom w:w="0" w:type="dxa"/>
            <w:right w:w="108" w:type="dxa"/>
          </w:tblCellMar>
        </w:tblPrEx>
        <w:trPr>
          <w:trHeight w:val="330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配线架 </w:t>
            </w:r>
          </w:p>
        </w:tc>
        <w:tc>
          <w:tcPr>
            <w:tcW w:w="61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12口光配配线架3.11.1 12 或 24 芯 LC 光纤接入能力，有足够空间保证光纤的盘绕、固定和接续，带有管理器及固定附件。</w:t>
            </w:r>
            <w:r>
              <w:rPr>
                <w:rFonts w:cs="宋体"/>
                <w:color w:val="000000"/>
                <w:kern w:val="0"/>
                <w:sz w:val="21"/>
                <w:szCs w:val="21"/>
              </w:rPr>
              <w:br w:type="textWrapping"/>
            </w:r>
            <w:r>
              <w:rPr>
                <w:rFonts w:cs="宋体"/>
                <w:color w:val="000000"/>
                <w:kern w:val="0"/>
                <w:sz w:val="21"/>
                <w:szCs w:val="21"/>
              </w:rPr>
              <w:t>19 英寸机架式安装。要求能提供抽拉式或简易式结构的光纤箱，</w:t>
            </w:r>
            <w:r>
              <w:rPr>
                <w:rFonts w:cs="宋体"/>
                <w:color w:val="000000"/>
                <w:kern w:val="0"/>
                <w:sz w:val="21"/>
                <w:szCs w:val="21"/>
              </w:rPr>
              <w:br w:type="textWrapping"/>
            </w:r>
            <w:r>
              <w:rPr>
                <w:rFonts w:cs="宋体"/>
                <w:color w:val="000000"/>
                <w:kern w:val="0"/>
                <w:sz w:val="21"/>
                <w:szCs w:val="21"/>
              </w:rPr>
              <w:t>使得安装和维护变得更加容易。</w:t>
            </w:r>
            <w:r>
              <w:rPr>
                <w:rFonts w:cs="宋体"/>
                <w:color w:val="000000"/>
                <w:kern w:val="0"/>
                <w:sz w:val="21"/>
                <w:szCs w:val="21"/>
              </w:rPr>
              <w:br w:type="textWrapping"/>
            </w:r>
            <w:r>
              <w:rPr>
                <w:rFonts w:cs="宋体"/>
                <w:color w:val="000000"/>
                <w:kern w:val="0"/>
                <w:sz w:val="21"/>
                <w:szCs w:val="21"/>
              </w:rPr>
              <w:t>应符合 TIA 568-C、ISO/IEC 11801 相关标准。</w:t>
            </w:r>
            <w:r>
              <w:rPr>
                <w:rFonts w:cs="宋体"/>
                <w:color w:val="000000"/>
                <w:kern w:val="0"/>
                <w:sz w:val="21"/>
                <w:szCs w:val="21"/>
              </w:rPr>
              <w:br w:type="textWrapping"/>
            </w:r>
            <w:r>
              <w:rPr>
                <w:rFonts w:cs="宋体"/>
                <w:color w:val="000000"/>
                <w:kern w:val="0"/>
                <w:sz w:val="21"/>
                <w:szCs w:val="21"/>
              </w:rPr>
              <w:t>为了灵活地适应未来的应用，配线架可适合安装各种形式的光纤</w:t>
            </w:r>
            <w:r>
              <w:rPr>
                <w:rFonts w:cs="宋体"/>
                <w:color w:val="000000"/>
                <w:kern w:val="0"/>
                <w:sz w:val="21"/>
                <w:szCs w:val="21"/>
              </w:rPr>
              <w:br w:type="textWrapping"/>
            </w:r>
            <w:r>
              <w:rPr>
                <w:rFonts w:cs="宋体"/>
                <w:color w:val="000000"/>
                <w:kern w:val="0"/>
                <w:sz w:val="21"/>
                <w:szCs w:val="21"/>
              </w:rPr>
              <w:t>耦合器（LC、SC、MTRJ、LC 等）。</w:t>
            </w:r>
            <w:r>
              <w:rPr>
                <w:rFonts w:cs="宋体"/>
                <w:color w:val="000000"/>
                <w:kern w:val="0"/>
                <w:sz w:val="21"/>
                <w:szCs w:val="21"/>
              </w:rPr>
              <w:br w:type="textWrapping"/>
            </w:r>
            <w:r>
              <w:rPr>
                <w:rFonts w:cs="宋体"/>
                <w:color w:val="000000"/>
                <w:kern w:val="0"/>
                <w:sz w:val="21"/>
                <w:szCs w:val="21"/>
              </w:rPr>
              <w:t>随箱提供具有保证光纤弯曲半径的附件及熔纤盘，要求熔纤盘设</w:t>
            </w:r>
            <w:r>
              <w:rPr>
                <w:rFonts w:cs="宋体"/>
                <w:color w:val="000000"/>
                <w:kern w:val="0"/>
                <w:sz w:val="21"/>
                <w:szCs w:val="21"/>
              </w:rPr>
              <w:br w:type="textWrapping"/>
            </w:r>
            <w:r>
              <w:rPr>
                <w:rFonts w:cs="宋体"/>
                <w:color w:val="000000"/>
                <w:kern w:val="0"/>
                <w:sz w:val="21"/>
                <w:szCs w:val="21"/>
              </w:rPr>
              <w:t>计采用翻盖式结构，以便于维护。</w:t>
            </w:r>
            <w:r>
              <w:rPr>
                <w:rFonts w:cs="宋体"/>
                <w:color w:val="000000"/>
                <w:kern w:val="0"/>
                <w:sz w:val="21"/>
                <w:szCs w:val="21"/>
              </w:rPr>
              <w:br w:type="textWrapping"/>
            </w:r>
            <w:r>
              <w:rPr>
                <w:rFonts w:cs="宋体"/>
                <w:color w:val="000000"/>
                <w:kern w:val="0"/>
                <w:sz w:val="21"/>
                <w:szCs w:val="21"/>
              </w:rPr>
              <w:t>光纤箱体要求为全钢结构以获得更大的强度</w:t>
            </w:r>
          </w:p>
        </w:tc>
        <w:tc>
          <w:tcPr>
            <w:tcW w:w="922"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个</w:t>
            </w:r>
          </w:p>
        </w:tc>
        <w:tc>
          <w:tcPr>
            <w:tcW w:w="85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35</w:t>
            </w:r>
          </w:p>
        </w:tc>
      </w:tr>
      <w:tr>
        <w:tblPrEx>
          <w:tblCellMar>
            <w:top w:w="0" w:type="dxa"/>
            <w:left w:w="108" w:type="dxa"/>
            <w:bottom w:w="0" w:type="dxa"/>
            <w:right w:w="108" w:type="dxa"/>
          </w:tblCellMar>
        </w:tblPrEx>
        <w:trPr>
          <w:trHeight w:val="264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配线架 </w:t>
            </w:r>
          </w:p>
        </w:tc>
        <w:tc>
          <w:tcPr>
            <w:tcW w:w="6160"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100对110配线架（含连接块）1.100对110型语音配线架3.10.1 标准 19 寸背板安装，背板采用冷轧钢板</w:t>
            </w:r>
            <w:r>
              <w:rPr>
                <w:rFonts w:cs="宋体"/>
                <w:color w:val="000000"/>
                <w:kern w:val="0"/>
                <w:sz w:val="21"/>
                <w:szCs w:val="21"/>
              </w:rPr>
              <w:br w:type="textWrapping"/>
            </w:r>
            <w:r>
              <w:rPr>
                <w:rFonts w:cs="宋体"/>
                <w:color w:val="000000"/>
                <w:kern w:val="0"/>
                <w:sz w:val="21"/>
                <w:szCs w:val="21"/>
              </w:rPr>
              <w:t>3.10.2 50/100 对 110 结构，有带腿和不带腿可选，含标签。</w:t>
            </w:r>
            <w:r>
              <w:rPr>
                <w:rFonts w:cs="宋体"/>
                <w:color w:val="000000"/>
                <w:kern w:val="0"/>
                <w:sz w:val="21"/>
                <w:szCs w:val="21"/>
              </w:rPr>
              <w:br w:type="textWrapping"/>
            </w:r>
            <w:r>
              <w:rPr>
                <w:rFonts w:cs="宋体"/>
                <w:color w:val="000000"/>
                <w:kern w:val="0"/>
                <w:sz w:val="21"/>
                <w:szCs w:val="21"/>
              </w:rPr>
              <w:t>3.10.3 采用阻燃 PC 材料。</w:t>
            </w:r>
            <w:r>
              <w:rPr>
                <w:rFonts w:cs="宋体"/>
                <w:color w:val="000000"/>
                <w:kern w:val="0"/>
                <w:sz w:val="21"/>
                <w:szCs w:val="21"/>
              </w:rPr>
              <w:br w:type="textWrapping"/>
            </w:r>
            <w:r>
              <w:rPr>
                <w:rFonts w:cs="宋体"/>
                <w:color w:val="000000"/>
                <w:kern w:val="0"/>
                <w:sz w:val="21"/>
                <w:szCs w:val="21"/>
              </w:rPr>
              <w:t>3.10.4 适用于 22~26AWG 芯线规格的线缆。</w:t>
            </w:r>
            <w:r>
              <w:rPr>
                <w:rFonts w:cs="宋体"/>
                <w:color w:val="000000"/>
                <w:kern w:val="0"/>
                <w:sz w:val="21"/>
                <w:szCs w:val="21"/>
              </w:rPr>
              <w:br w:type="textWrapping"/>
            </w:r>
            <w:r>
              <w:rPr>
                <w:rFonts w:cs="宋体"/>
                <w:color w:val="000000"/>
                <w:kern w:val="0"/>
                <w:sz w:val="21"/>
                <w:szCs w:val="21"/>
              </w:rPr>
              <w:t>3.10.5 应符合 TIA/EIA 568-C、ISO/IEC 11801 相关标准。</w:t>
            </w:r>
            <w:r>
              <w:rPr>
                <w:rFonts w:cs="宋体"/>
                <w:color w:val="000000"/>
                <w:kern w:val="0"/>
                <w:sz w:val="21"/>
                <w:szCs w:val="21"/>
              </w:rPr>
              <w:br w:type="textWrapping"/>
            </w:r>
            <w:r>
              <w:rPr>
                <w:rFonts w:cs="宋体"/>
                <w:color w:val="000000"/>
                <w:kern w:val="0"/>
                <w:sz w:val="21"/>
                <w:szCs w:val="21"/>
              </w:rPr>
              <w:t>3.10.6 插拔次数要求不小于 250 次。</w:t>
            </w:r>
            <w:r>
              <w:rPr>
                <w:rFonts w:cs="宋体"/>
                <w:color w:val="000000"/>
                <w:kern w:val="0"/>
                <w:sz w:val="21"/>
                <w:szCs w:val="21"/>
              </w:rPr>
              <w:br w:type="textWrapping"/>
            </w:r>
            <w:r>
              <w:rPr>
                <w:rFonts w:cs="宋体"/>
                <w:color w:val="000000"/>
                <w:kern w:val="0"/>
                <w:sz w:val="21"/>
                <w:szCs w:val="21"/>
              </w:rPr>
              <w:t>3.10.7 配备机架型理线架。</w:t>
            </w:r>
          </w:p>
        </w:tc>
        <w:tc>
          <w:tcPr>
            <w:tcW w:w="92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个</w:t>
            </w:r>
          </w:p>
        </w:tc>
        <w:tc>
          <w:tcPr>
            <w:tcW w:w="851"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26</w:t>
            </w:r>
          </w:p>
        </w:tc>
      </w:tr>
      <w:tr>
        <w:tblPrEx>
          <w:tblCellMar>
            <w:top w:w="0" w:type="dxa"/>
            <w:left w:w="108" w:type="dxa"/>
            <w:bottom w:w="0" w:type="dxa"/>
            <w:right w:w="108" w:type="dxa"/>
          </w:tblCellMar>
        </w:tblPrEx>
        <w:trPr>
          <w:trHeight w:val="1755"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配线架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24口数据配线架3.8.1 采用钢制底板，模块化设计，拆卸灵活，可自由的组合配置所需</w:t>
            </w:r>
            <w:r>
              <w:rPr>
                <w:rFonts w:cs="宋体"/>
                <w:color w:val="000000"/>
                <w:kern w:val="0"/>
                <w:sz w:val="21"/>
                <w:szCs w:val="21"/>
              </w:rPr>
              <w:br w:type="textWrapping"/>
            </w:r>
            <w:r>
              <w:rPr>
                <w:rFonts w:cs="宋体"/>
                <w:color w:val="000000"/>
                <w:kern w:val="0"/>
                <w:sz w:val="21"/>
                <w:szCs w:val="21"/>
              </w:rPr>
              <w:t>的多色彩六类模块，配备可更换的标识，清晰方便端口的管理。</w:t>
            </w:r>
            <w:r>
              <w:rPr>
                <w:rFonts w:cs="宋体"/>
                <w:color w:val="000000"/>
                <w:kern w:val="0"/>
                <w:sz w:val="21"/>
                <w:szCs w:val="21"/>
              </w:rPr>
              <w:br w:type="textWrapping"/>
            </w:r>
            <w:r>
              <w:rPr>
                <w:rFonts w:cs="宋体"/>
                <w:color w:val="000000"/>
                <w:kern w:val="0"/>
                <w:sz w:val="21"/>
                <w:szCs w:val="21"/>
              </w:rPr>
              <w:t>3.8.2 配线架高度为 1U，安装 24 个六类 IDC 非屏蔽模块。</w:t>
            </w:r>
            <w:r>
              <w:rPr>
                <w:rFonts w:cs="宋体"/>
                <w:color w:val="000000"/>
                <w:kern w:val="0"/>
                <w:sz w:val="21"/>
                <w:szCs w:val="21"/>
              </w:rPr>
              <w:br w:type="textWrapping"/>
            </w:r>
            <w:r>
              <w:rPr>
                <w:rFonts w:cs="宋体"/>
                <w:color w:val="000000"/>
                <w:kern w:val="0"/>
                <w:sz w:val="21"/>
                <w:szCs w:val="21"/>
              </w:rPr>
              <w:t>3.8.3 配置后置式理线托架，可提供很好的抗拉能力。</w:t>
            </w:r>
            <w:r>
              <w:rPr>
                <w:rFonts w:cs="宋体"/>
                <w:color w:val="000000"/>
                <w:kern w:val="0"/>
                <w:sz w:val="21"/>
                <w:szCs w:val="21"/>
              </w:rPr>
              <w:br w:type="textWrapping"/>
            </w:r>
            <w:r>
              <w:rPr>
                <w:rFonts w:cs="宋体"/>
                <w:color w:val="000000"/>
                <w:kern w:val="0"/>
                <w:sz w:val="21"/>
                <w:szCs w:val="21"/>
              </w:rPr>
              <w:t>3.8.4 支持 T568A 和 T568B 两种接线方式。</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个</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34</w:t>
            </w:r>
          </w:p>
        </w:tc>
      </w:tr>
      <w:tr>
        <w:tblPrEx>
          <w:tblCellMar>
            <w:top w:w="0" w:type="dxa"/>
            <w:left w:w="108" w:type="dxa"/>
            <w:bottom w:w="0" w:type="dxa"/>
            <w:right w:w="108" w:type="dxa"/>
          </w:tblCellMar>
        </w:tblPrEx>
        <w:trPr>
          <w:trHeight w:val="264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布放尾纤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布放尾纤 单模LC-LC光纤跳线3米、3.7.1 连接交换设备至配线架的光纤跳线应支持万兆以太网，要求与主</w:t>
            </w:r>
            <w:r>
              <w:rPr>
                <w:rFonts w:cs="宋体"/>
                <w:color w:val="000000"/>
                <w:kern w:val="0"/>
                <w:sz w:val="21"/>
                <w:szCs w:val="21"/>
              </w:rPr>
              <w:br w:type="textWrapping"/>
            </w:r>
            <w:r>
              <w:rPr>
                <w:rFonts w:cs="宋体"/>
                <w:color w:val="000000"/>
                <w:kern w:val="0"/>
                <w:sz w:val="21"/>
                <w:szCs w:val="21"/>
              </w:rPr>
              <w:t>干光纤采用相匹配的光纤跳线。</w:t>
            </w:r>
            <w:r>
              <w:rPr>
                <w:rFonts w:cs="宋体"/>
                <w:color w:val="000000"/>
                <w:kern w:val="0"/>
                <w:sz w:val="21"/>
                <w:szCs w:val="21"/>
              </w:rPr>
              <w:br w:type="textWrapping"/>
            </w:r>
            <w:r>
              <w:rPr>
                <w:rFonts w:cs="宋体"/>
                <w:color w:val="000000"/>
                <w:kern w:val="0"/>
                <w:sz w:val="21"/>
                <w:szCs w:val="21"/>
              </w:rPr>
              <w:t>3.7.2 采用 LC 双工接口。</w:t>
            </w:r>
            <w:r>
              <w:rPr>
                <w:rFonts w:cs="宋体"/>
                <w:color w:val="000000"/>
                <w:kern w:val="0"/>
                <w:sz w:val="21"/>
                <w:szCs w:val="21"/>
              </w:rPr>
              <w:br w:type="textWrapping"/>
            </w:r>
            <w:r>
              <w:rPr>
                <w:rFonts w:cs="宋体"/>
                <w:color w:val="000000"/>
                <w:kern w:val="0"/>
                <w:sz w:val="21"/>
                <w:szCs w:val="21"/>
              </w:rPr>
              <w:t>3.7.3 应符合 TIA 568-C、ISO/IEC 11801 相关标准。</w:t>
            </w:r>
            <w:r>
              <w:rPr>
                <w:rFonts w:cs="宋体"/>
                <w:color w:val="000000"/>
                <w:kern w:val="0"/>
                <w:sz w:val="21"/>
                <w:szCs w:val="21"/>
              </w:rPr>
              <w:br w:type="textWrapping"/>
            </w:r>
            <w:r>
              <w:rPr>
                <w:rFonts w:cs="宋体"/>
                <w:color w:val="000000"/>
                <w:kern w:val="0"/>
                <w:sz w:val="21"/>
                <w:szCs w:val="21"/>
              </w:rPr>
              <w:t>3.7.4 最大损耗：&lt; 0.5dB。</w:t>
            </w:r>
            <w:r>
              <w:rPr>
                <w:rFonts w:cs="宋体"/>
                <w:color w:val="000000"/>
                <w:kern w:val="0"/>
                <w:sz w:val="21"/>
                <w:szCs w:val="21"/>
              </w:rPr>
              <w:br w:type="textWrapping"/>
            </w:r>
            <w:r>
              <w:rPr>
                <w:rFonts w:cs="宋体"/>
                <w:color w:val="000000"/>
                <w:kern w:val="0"/>
                <w:sz w:val="21"/>
                <w:szCs w:val="21"/>
              </w:rPr>
              <w:t>3.7.5 所有光纤跳线按照交换机光纤端口数量 1:1 配置，并按照 10%预</w:t>
            </w:r>
            <w:r>
              <w:rPr>
                <w:rFonts w:cs="宋体"/>
                <w:color w:val="000000"/>
                <w:kern w:val="0"/>
                <w:sz w:val="21"/>
                <w:szCs w:val="21"/>
              </w:rPr>
              <w:br w:type="textWrapping"/>
            </w:r>
            <w:r>
              <w:rPr>
                <w:rFonts w:cs="宋体"/>
                <w:color w:val="000000"/>
                <w:kern w:val="0"/>
                <w:sz w:val="21"/>
                <w:szCs w:val="21"/>
              </w:rPr>
              <w:t>留光纤跳线。</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根</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12</w:t>
            </w:r>
          </w:p>
        </w:tc>
      </w:tr>
      <w:tr>
        <w:tblPrEx>
          <w:tblCellMar>
            <w:top w:w="0" w:type="dxa"/>
            <w:left w:w="108" w:type="dxa"/>
            <w:bottom w:w="0" w:type="dxa"/>
            <w:right w:w="108" w:type="dxa"/>
          </w:tblCellMar>
        </w:tblPrEx>
        <w:trPr>
          <w:trHeight w:val="231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布放尾纤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布放尾纤 LC单模尾纤 3.6.1 连接主干光缆至配线架的光纤尾纤应支持万兆以太网，要求与主</w:t>
            </w:r>
            <w:r>
              <w:rPr>
                <w:rFonts w:cs="宋体"/>
                <w:color w:val="000000"/>
                <w:kern w:val="0"/>
                <w:sz w:val="21"/>
                <w:szCs w:val="21"/>
              </w:rPr>
              <w:br w:type="textWrapping"/>
            </w:r>
            <w:r>
              <w:rPr>
                <w:rFonts w:cs="宋体"/>
                <w:color w:val="000000"/>
                <w:kern w:val="0"/>
                <w:sz w:val="21"/>
                <w:szCs w:val="21"/>
              </w:rPr>
              <w:t>干光纤采用相匹配的尾纤。</w:t>
            </w:r>
            <w:r>
              <w:rPr>
                <w:rFonts w:cs="宋体"/>
                <w:color w:val="000000"/>
                <w:kern w:val="0"/>
                <w:sz w:val="21"/>
                <w:szCs w:val="21"/>
              </w:rPr>
              <w:br w:type="textWrapping"/>
            </w:r>
            <w:r>
              <w:rPr>
                <w:rFonts w:cs="宋体"/>
                <w:color w:val="000000"/>
                <w:kern w:val="0"/>
                <w:sz w:val="21"/>
                <w:szCs w:val="21"/>
              </w:rPr>
              <w:t>3.6.2 采用 LC 接口。</w:t>
            </w:r>
            <w:r>
              <w:rPr>
                <w:rFonts w:cs="宋体"/>
                <w:color w:val="000000"/>
                <w:kern w:val="0"/>
                <w:sz w:val="21"/>
                <w:szCs w:val="21"/>
              </w:rPr>
              <w:br w:type="textWrapping"/>
            </w:r>
            <w:r>
              <w:rPr>
                <w:rFonts w:cs="宋体"/>
                <w:color w:val="000000"/>
                <w:kern w:val="0"/>
                <w:sz w:val="21"/>
                <w:szCs w:val="21"/>
              </w:rPr>
              <w:t>3.6.3 应符合 TIA 568-C、ISO/IEC 11801 相关标准。</w:t>
            </w:r>
            <w:r>
              <w:rPr>
                <w:rFonts w:cs="宋体"/>
                <w:color w:val="000000"/>
                <w:kern w:val="0"/>
                <w:sz w:val="21"/>
                <w:szCs w:val="21"/>
              </w:rPr>
              <w:br w:type="textWrapping"/>
            </w:r>
            <w:r>
              <w:rPr>
                <w:rFonts w:cs="宋体"/>
                <w:color w:val="000000"/>
                <w:kern w:val="0"/>
                <w:sz w:val="21"/>
                <w:szCs w:val="21"/>
              </w:rPr>
              <w:t>3.6.4 最大损耗：&lt; 0.5dB。</w:t>
            </w:r>
            <w:r>
              <w:rPr>
                <w:rFonts w:cs="宋体"/>
                <w:color w:val="000000"/>
                <w:kern w:val="0"/>
                <w:sz w:val="21"/>
                <w:szCs w:val="21"/>
              </w:rPr>
              <w:br w:type="textWrapping"/>
            </w:r>
            <w:r>
              <w:rPr>
                <w:rFonts w:cs="宋体"/>
                <w:color w:val="000000"/>
                <w:kern w:val="0"/>
                <w:sz w:val="21"/>
                <w:szCs w:val="21"/>
              </w:rPr>
              <w:t>3.6.5 所有光纤末端均需要熔接尾纤。</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根</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36</w:t>
            </w:r>
          </w:p>
        </w:tc>
      </w:tr>
      <w:tr>
        <w:tblPrEx>
          <w:tblCellMar>
            <w:top w:w="0" w:type="dxa"/>
            <w:left w:w="108" w:type="dxa"/>
            <w:bottom w:w="0" w:type="dxa"/>
            <w:right w:w="108" w:type="dxa"/>
          </w:tblCellMar>
        </w:tblPrEx>
        <w:trPr>
          <w:trHeight w:val="528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跳线 </w:t>
            </w:r>
          </w:p>
        </w:tc>
        <w:tc>
          <w:tcPr>
            <w:tcW w:w="61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跳线 六类跳线2米3.4.1 采用六类 4 对标准 RJ45 至 RJ45 跳线（LSZH 护套），根据使用</w:t>
            </w:r>
            <w:r>
              <w:rPr>
                <w:rFonts w:cs="宋体"/>
                <w:color w:val="000000"/>
                <w:kern w:val="0"/>
                <w:sz w:val="21"/>
                <w:szCs w:val="21"/>
              </w:rPr>
              <w:br w:type="textWrapping"/>
            </w:r>
            <w:r>
              <w:rPr>
                <w:rFonts w:cs="宋体"/>
                <w:color w:val="000000"/>
                <w:kern w:val="0"/>
                <w:sz w:val="21"/>
                <w:szCs w:val="21"/>
              </w:rPr>
              <w:t>需求提供合适的长度。</w:t>
            </w:r>
            <w:r>
              <w:rPr>
                <w:rFonts w:cs="宋体"/>
                <w:color w:val="000000"/>
                <w:kern w:val="0"/>
                <w:sz w:val="21"/>
                <w:szCs w:val="21"/>
              </w:rPr>
              <w:br w:type="textWrapping"/>
            </w:r>
            <w:r>
              <w:rPr>
                <w:rFonts w:cs="宋体"/>
                <w:color w:val="000000"/>
                <w:kern w:val="0"/>
                <w:sz w:val="21"/>
                <w:szCs w:val="21"/>
              </w:rPr>
              <w:t>3.4.2 LSZH 低烟无卤外护套。</w:t>
            </w:r>
            <w:r>
              <w:rPr>
                <w:rFonts w:cs="宋体"/>
                <w:color w:val="000000"/>
                <w:kern w:val="0"/>
                <w:sz w:val="21"/>
                <w:szCs w:val="21"/>
              </w:rPr>
              <w:br w:type="textWrapping"/>
            </w:r>
            <w:r>
              <w:rPr>
                <w:rFonts w:cs="宋体"/>
                <w:color w:val="000000"/>
                <w:kern w:val="0"/>
                <w:sz w:val="21"/>
                <w:szCs w:val="21"/>
              </w:rPr>
              <w:t>3.4.3 传输特性阻抗应为 100±15Ω。</w:t>
            </w:r>
            <w:r>
              <w:rPr>
                <w:rFonts w:cs="宋体"/>
                <w:color w:val="000000"/>
                <w:kern w:val="0"/>
                <w:sz w:val="21"/>
                <w:szCs w:val="21"/>
              </w:rPr>
              <w:br w:type="textWrapping"/>
            </w:r>
            <w:r>
              <w:rPr>
                <w:rFonts w:cs="宋体"/>
                <w:color w:val="000000"/>
                <w:kern w:val="0"/>
                <w:sz w:val="21"/>
                <w:szCs w:val="21"/>
              </w:rPr>
              <w:t>3.4.4 导体直径满足 23AWG 芯线规格，内部为多芯软线结构。</w:t>
            </w:r>
            <w:r>
              <w:rPr>
                <w:rFonts w:cs="宋体"/>
                <w:color w:val="000000"/>
                <w:kern w:val="0"/>
                <w:sz w:val="21"/>
                <w:szCs w:val="21"/>
              </w:rPr>
              <w:br w:type="textWrapping"/>
            </w:r>
            <w:r>
              <w:rPr>
                <w:rFonts w:cs="宋体"/>
                <w:color w:val="000000"/>
                <w:kern w:val="0"/>
                <w:sz w:val="21"/>
                <w:szCs w:val="21"/>
              </w:rPr>
              <w:t>3.4.5 应符合 TIA/EIA 568-C、ISO/IEC 11801 相关标准。</w:t>
            </w:r>
            <w:r>
              <w:rPr>
                <w:rFonts w:cs="宋体"/>
                <w:color w:val="000000"/>
                <w:kern w:val="0"/>
                <w:sz w:val="21"/>
                <w:szCs w:val="21"/>
              </w:rPr>
              <w:br w:type="textWrapping"/>
            </w:r>
            <w:r>
              <w:rPr>
                <w:rFonts w:cs="宋体"/>
                <w:color w:val="000000"/>
                <w:kern w:val="0"/>
                <w:sz w:val="21"/>
                <w:szCs w:val="21"/>
              </w:rPr>
              <w:t>3.4.6 频率带宽应至少满足 250MHz 的标准。</w:t>
            </w:r>
            <w:r>
              <w:rPr>
                <w:rFonts w:cs="宋体"/>
                <w:color w:val="000000"/>
                <w:kern w:val="0"/>
                <w:sz w:val="21"/>
                <w:szCs w:val="21"/>
              </w:rPr>
              <w:br w:type="textWrapping"/>
            </w:r>
            <w:r>
              <w:rPr>
                <w:rFonts w:cs="宋体"/>
                <w:color w:val="000000"/>
                <w:kern w:val="0"/>
                <w:sz w:val="21"/>
                <w:szCs w:val="21"/>
              </w:rPr>
              <w:t>3.4.7 须 100%为原装出厂测试产品。跳线尾部采用模具注塑的尾套，以</w:t>
            </w:r>
            <w:r>
              <w:rPr>
                <w:rFonts w:cs="宋体"/>
                <w:color w:val="000000"/>
                <w:kern w:val="0"/>
                <w:sz w:val="21"/>
                <w:szCs w:val="21"/>
              </w:rPr>
              <w:br w:type="textWrapping"/>
            </w:r>
            <w:r>
              <w:rPr>
                <w:rFonts w:cs="宋体"/>
                <w:color w:val="000000"/>
                <w:kern w:val="0"/>
                <w:sz w:val="21"/>
                <w:szCs w:val="21"/>
              </w:rPr>
              <w:t>保证产品可靠性。所有跳线不得自行装配压制。</w:t>
            </w:r>
            <w:r>
              <w:rPr>
                <w:rFonts w:cs="宋体"/>
                <w:color w:val="000000"/>
                <w:kern w:val="0"/>
                <w:sz w:val="21"/>
                <w:szCs w:val="21"/>
              </w:rPr>
              <w:br w:type="textWrapping"/>
            </w:r>
            <w:r>
              <w:rPr>
                <w:rFonts w:cs="宋体"/>
                <w:color w:val="000000"/>
                <w:kern w:val="0"/>
                <w:sz w:val="21"/>
                <w:szCs w:val="21"/>
              </w:rPr>
              <w:t>3.4.8 插拔次数不应小于 1000 次。</w:t>
            </w:r>
            <w:r>
              <w:rPr>
                <w:rFonts w:cs="宋体"/>
                <w:color w:val="000000"/>
                <w:kern w:val="0"/>
                <w:sz w:val="21"/>
                <w:szCs w:val="21"/>
              </w:rPr>
              <w:br w:type="textWrapping"/>
            </w:r>
            <w:r>
              <w:rPr>
                <w:rFonts w:cs="宋体"/>
                <w:color w:val="000000"/>
                <w:kern w:val="0"/>
                <w:sz w:val="21"/>
                <w:szCs w:val="21"/>
              </w:rPr>
              <w:t>3.4.9 弱电间机柜和工作区都应配置跳线，弱电间机柜内跳线配置数量</w:t>
            </w:r>
            <w:r>
              <w:rPr>
                <w:rFonts w:cs="宋体"/>
                <w:color w:val="000000"/>
                <w:kern w:val="0"/>
                <w:sz w:val="21"/>
                <w:szCs w:val="21"/>
              </w:rPr>
              <w:br w:type="textWrapping"/>
            </w:r>
            <w:r>
              <w:rPr>
                <w:rFonts w:cs="宋体"/>
                <w:color w:val="000000"/>
                <w:kern w:val="0"/>
                <w:sz w:val="21"/>
                <w:szCs w:val="21"/>
              </w:rPr>
              <w:t>应与模块数量比为 1:1 配置，在工作区终端面板处跳线与模块数</w:t>
            </w:r>
            <w:r>
              <w:rPr>
                <w:rFonts w:cs="宋体"/>
                <w:color w:val="000000"/>
                <w:kern w:val="0"/>
                <w:sz w:val="21"/>
                <w:szCs w:val="21"/>
              </w:rPr>
              <w:br w:type="textWrapping"/>
            </w:r>
            <w:r>
              <w:rPr>
                <w:rFonts w:cs="宋体"/>
                <w:color w:val="000000"/>
                <w:kern w:val="0"/>
                <w:sz w:val="21"/>
                <w:szCs w:val="21"/>
              </w:rPr>
              <w:t>量比为 1:1 配置。</w:t>
            </w:r>
            <w:r>
              <w:rPr>
                <w:rFonts w:cs="宋体"/>
                <w:color w:val="000000"/>
                <w:kern w:val="0"/>
                <w:sz w:val="21"/>
                <w:szCs w:val="21"/>
              </w:rPr>
              <w:br w:type="textWrapping"/>
            </w:r>
            <w:r>
              <w:rPr>
                <w:rFonts w:cs="宋体"/>
                <w:color w:val="000000"/>
                <w:kern w:val="0"/>
                <w:sz w:val="21"/>
                <w:szCs w:val="21"/>
              </w:rPr>
              <w:t>3.4.10 根据客用网、管理网、设备网、安防网等不同的网络采用不同颜</w:t>
            </w:r>
            <w:r>
              <w:rPr>
                <w:rFonts w:cs="宋体"/>
                <w:color w:val="000000"/>
                <w:kern w:val="0"/>
                <w:sz w:val="21"/>
                <w:szCs w:val="21"/>
              </w:rPr>
              <w:br w:type="textWrapping"/>
            </w:r>
            <w:r>
              <w:rPr>
                <w:rFonts w:cs="宋体"/>
                <w:color w:val="000000"/>
                <w:kern w:val="0"/>
                <w:sz w:val="21"/>
                <w:szCs w:val="21"/>
              </w:rPr>
              <w:t>色的数据跳线。</w:t>
            </w:r>
          </w:p>
        </w:tc>
        <w:tc>
          <w:tcPr>
            <w:tcW w:w="922"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条</w:t>
            </w:r>
          </w:p>
        </w:tc>
        <w:tc>
          <w:tcPr>
            <w:tcW w:w="85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155</w:t>
            </w:r>
          </w:p>
        </w:tc>
      </w:tr>
      <w:tr>
        <w:tblPrEx>
          <w:tblCellMar>
            <w:top w:w="0" w:type="dxa"/>
            <w:left w:w="108" w:type="dxa"/>
            <w:bottom w:w="0" w:type="dxa"/>
            <w:right w:w="108" w:type="dxa"/>
          </w:tblCellMar>
        </w:tblPrEx>
        <w:trPr>
          <w:trHeight w:val="132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跳线 </w:t>
            </w:r>
          </w:p>
        </w:tc>
        <w:tc>
          <w:tcPr>
            <w:tcW w:w="6160"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跳线 110-RJ45语音跳线2米3.5.1 采用一对/四对式 110-RJ45 语音跳线。</w:t>
            </w:r>
            <w:r>
              <w:rPr>
                <w:rFonts w:cs="宋体"/>
                <w:color w:val="000000"/>
                <w:kern w:val="0"/>
                <w:sz w:val="21"/>
                <w:szCs w:val="21"/>
              </w:rPr>
              <w:br w:type="textWrapping"/>
            </w:r>
            <w:r>
              <w:rPr>
                <w:rFonts w:cs="宋体"/>
                <w:color w:val="000000"/>
                <w:kern w:val="0"/>
                <w:sz w:val="21"/>
                <w:szCs w:val="21"/>
              </w:rPr>
              <w:t>3.5.2 应配置鸭嘴连接头和 RJ45 连接头，不允许直接打线至 110 配线</w:t>
            </w:r>
            <w:r>
              <w:rPr>
                <w:rFonts w:cs="宋体"/>
                <w:color w:val="000000"/>
                <w:kern w:val="0"/>
                <w:sz w:val="21"/>
                <w:szCs w:val="21"/>
              </w:rPr>
              <w:br w:type="textWrapping"/>
            </w:r>
            <w:r>
              <w:rPr>
                <w:rFonts w:cs="宋体"/>
                <w:color w:val="000000"/>
                <w:kern w:val="0"/>
                <w:sz w:val="21"/>
                <w:szCs w:val="21"/>
              </w:rPr>
              <w:t>架。</w:t>
            </w:r>
            <w:r>
              <w:rPr>
                <w:rFonts w:cs="宋体"/>
                <w:color w:val="000000"/>
                <w:kern w:val="0"/>
                <w:sz w:val="21"/>
                <w:szCs w:val="21"/>
              </w:rPr>
              <w:br w:type="textWrapping"/>
            </w:r>
            <w:r>
              <w:rPr>
                <w:rFonts w:cs="宋体"/>
                <w:color w:val="000000"/>
                <w:kern w:val="0"/>
                <w:sz w:val="21"/>
                <w:szCs w:val="21"/>
              </w:rPr>
              <w:t>3.5.3 应符合 TIA/EIA 568-C、ISO/IEC 11801 相关标准。</w:t>
            </w:r>
          </w:p>
        </w:tc>
        <w:tc>
          <w:tcPr>
            <w:tcW w:w="92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条</w:t>
            </w:r>
          </w:p>
        </w:tc>
        <w:tc>
          <w:tcPr>
            <w:tcW w:w="851"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0</w:t>
            </w:r>
          </w:p>
        </w:tc>
      </w:tr>
      <w:tr>
        <w:tblPrEx>
          <w:tblCellMar>
            <w:top w:w="0" w:type="dxa"/>
            <w:left w:w="108" w:type="dxa"/>
            <w:bottom w:w="0" w:type="dxa"/>
            <w:right w:w="108" w:type="dxa"/>
          </w:tblCellMar>
        </w:tblPrEx>
        <w:trPr>
          <w:trHeight w:val="557"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光缆 </w:t>
            </w:r>
          </w:p>
        </w:tc>
        <w:tc>
          <w:tcPr>
            <w:tcW w:w="61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3.2.1 所有光缆应由同一厂家生产。</w:t>
            </w:r>
            <w:r>
              <w:rPr>
                <w:rFonts w:cs="宋体"/>
                <w:color w:val="000000"/>
                <w:kern w:val="0"/>
                <w:sz w:val="21"/>
                <w:szCs w:val="21"/>
              </w:rPr>
              <w:br w:type="textWrapping"/>
            </w:r>
            <w:r>
              <w:rPr>
                <w:rFonts w:cs="宋体"/>
                <w:color w:val="000000"/>
                <w:kern w:val="0"/>
                <w:sz w:val="21"/>
                <w:szCs w:val="21"/>
              </w:rPr>
              <w:t>3.2.2 12 芯多种芯数选择。</w:t>
            </w:r>
            <w:r>
              <w:rPr>
                <w:rFonts w:cs="宋体"/>
                <w:color w:val="000000"/>
                <w:kern w:val="0"/>
                <w:sz w:val="21"/>
                <w:szCs w:val="21"/>
              </w:rPr>
              <w:br w:type="textWrapping"/>
            </w:r>
            <w:r>
              <w:rPr>
                <w:rFonts w:cs="宋体"/>
                <w:color w:val="000000"/>
                <w:kern w:val="0"/>
                <w:sz w:val="21"/>
                <w:szCs w:val="21"/>
              </w:rPr>
              <w:t>3.2.3 LSZH 低烟无卤外护套。</w:t>
            </w:r>
            <w:r>
              <w:rPr>
                <w:rFonts w:cs="宋体"/>
                <w:color w:val="000000"/>
                <w:kern w:val="0"/>
                <w:sz w:val="21"/>
                <w:szCs w:val="21"/>
              </w:rPr>
              <w:br w:type="textWrapping"/>
            </w:r>
            <w:r>
              <w:rPr>
                <w:rFonts w:cs="宋体"/>
                <w:color w:val="000000"/>
                <w:kern w:val="0"/>
                <w:sz w:val="21"/>
                <w:szCs w:val="21"/>
              </w:rPr>
              <w:t>3.2.4 多模光纤应符合 OM4 要求。</w:t>
            </w:r>
            <w:r>
              <w:rPr>
                <w:rFonts w:cs="宋体"/>
                <w:color w:val="000000"/>
                <w:kern w:val="0"/>
                <w:sz w:val="21"/>
                <w:szCs w:val="21"/>
              </w:rPr>
              <w:br w:type="textWrapping"/>
            </w:r>
            <w:r>
              <w:rPr>
                <w:rFonts w:cs="宋体"/>
                <w:color w:val="000000"/>
                <w:kern w:val="0"/>
                <w:sz w:val="21"/>
                <w:szCs w:val="21"/>
              </w:rPr>
              <w:t xml:space="preserve">3.2.5 多模光缆应由 50/125 </w:t>
            </w:r>
            <w:r>
              <w:rPr>
                <w:rFonts w:ascii="宋体" w:hAnsi="宋体" w:eastAsia="宋体" w:cs="宋体"/>
                <w:color w:val="000000"/>
                <w:kern w:val="0"/>
                <w:sz w:val="21"/>
                <w:szCs w:val="21"/>
              </w:rPr>
              <w:t>µ</w:t>
            </w:r>
            <w:r>
              <w:rPr>
                <w:rFonts w:cs="仿宋"/>
                <w:color w:val="000000"/>
                <w:kern w:val="0"/>
                <w:sz w:val="21"/>
                <w:szCs w:val="21"/>
              </w:rPr>
              <w:t xml:space="preserve">m </w:t>
            </w:r>
            <w:r>
              <w:rPr>
                <w:rFonts w:cs="宋体"/>
                <w:color w:val="000000"/>
                <w:kern w:val="0"/>
                <w:sz w:val="21"/>
                <w:szCs w:val="21"/>
              </w:rPr>
              <w:t>光纤组成，单模光缆应由 9/125</w:t>
            </w:r>
            <w:r>
              <w:rPr>
                <w:rFonts w:ascii="宋体" w:hAnsi="宋体" w:eastAsia="宋体" w:cs="宋体"/>
                <w:color w:val="000000"/>
                <w:kern w:val="0"/>
                <w:sz w:val="21"/>
                <w:szCs w:val="21"/>
              </w:rPr>
              <w:t>µ</w:t>
            </w:r>
            <w:r>
              <w:rPr>
                <w:rFonts w:cs="仿宋"/>
                <w:color w:val="000000"/>
                <w:kern w:val="0"/>
                <w:sz w:val="21"/>
                <w:szCs w:val="21"/>
              </w:rPr>
              <w:t xml:space="preserve">m </w:t>
            </w:r>
            <w:r>
              <w:rPr>
                <w:rFonts w:cs="宋体"/>
                <w:color w:val="000000"/>
                <w:kern w:val="0"/>
                <w:sz w:val="21"/>
                <w:szCs w:val="21"/>
              </w:rPr>
              <w:t>光纤</w:t>
            </w:r>
            <w:r>
              <w:rPr>
                <w:rFonts w:cs="宋体"/>
                <w:color w:val="000000"/>
                <w:kern w:val="0"/>
                <w:sz w:val="21"/>
                <w:szCs w:val="21"/>
              </w:rPr>
              <w:br w:type="textWrapping"/>
            </w:r>
            <w:r>
              <w:rPr>
                <w:rFonts w:cs="宋体"/>
                <w:color w:val="000000"/>
                <w:kern w:val="0"/>
                <w:sz w:val="21"/>
                <w:szCs w:val="21"/>
              </w:rPr>
              <w:t>组成。</w:t>
            </w:r>
            <w:r>
              <w:rPr>
                <w:rFonts w:cs="宋体"/>
                <w:color w:val="000000"/>
                <w:kern w:val="0"/>
                <w:sz w:val="21"/>
                <w:szCs w:val="21"/>
              </w:rPr>
              <w:br w:type="textWrapping"/>
            </w:r>
            <w:r>
              <w:rPr>
                <w:rFonts w:cs="宋体"/>
                <w:color w:val="000000"/>
                <w:kern w:val="0"/>
                <w:sz w:val="21"/>
                <w:szCs w:val="21"/>
              </w:rPr>
              <w:t>3.2.6 应符合 TIA 568-C、ISO/IEC 11801 相关标准。</w:t>
            </w:r>
            <w:r>
              <w:rPr>
                <w:rFonts w:cs="宋体"/>
                <w:color w:val="000000"/>
                <w:kern w:val="0"/>
                <w:sz w:val="21"/>
                <w:szCs w:val="21"/>
              </w:rPr>
              <w:br w:type="textWrapping"/>
            </w:r>
            <w:r>
              <w:rPr>
                <w:rFonts w:cs="宋体"/>
                <w:color w:val="000000"/>
                <w:kern w:val="0"/>
                <w:sz w:val="21"/>
                <w:szCs w:val="21"/>
              </w:rPr>
              <w:t>3.2.7 单模 9</w:t>
            </w:r>
            <w:r>
              <w:rPr>
                <w:rFonts w:ascii="宋体" w:hAnsi="宋体" w:eastAsia="宋体" w:cs="宋体"/>
                <w:color w:val="000000"/>
                <w:kern w:val="0"/>
                <w:sz w:val="21"/>
                <w:szCs w:val="21"/>
              </w:rPr>
              <w:t>µ</w:t>
            </w:r>
            <w:r>
              <w:rPr>
                <w:rFonts w:cs="仿宋"/>
                <w:color w:val="000000"/>
                <w:kern w:val="0"/>
                <w:sz w:val="21"/>
                <w:szCs w:val="21"/>
              </w:rPr>
              <w:t xml:space="preserve">m </w:t>
            </w:r>
            <w:r>
              <w:rPr>
                <w:rFonts w:cs="宋体"/>
                <w:color w:val="000000"/>
                <w:kern w:val="0"/>
                <w:sz w:val="21"/>
                <w:szCs w:val="21"/>
              </w:rPr>
              <w:t>光纤在 1310nm 和 1550nm 波长时的损耗分别不得超过</w:t>
            </w:r>
            <w:r>
              <w:rPr>
                <w:rFonts w:cs="宋体"/>
                <w:color w:val="000000"/>
                <w:kern w:val="0"/>
                <w:sz w:val="21"/>
                <w:szCs w:val="21"/>
              </w:rPr>
              <w:br w:type="textWrapping"/>
            </w:r>
            <w:r>
              <w:rPr>
                <w:rFonts w:cs="宋体"/>
                <w:color w:val="000000"/>
                <w:kern w:val="0"/>
                <w:sz w:val="21"/>
                <w:szCs w:val="21"/>
              </w:rPr>
              <w:t>0.5dB/km 和 0.4dB/km。</w:t>
            </w:r>
            <w:r>
              <w:rPr>
                <w:rFonts w:cs="宋体"/>
                <w:color w:val="000000"/>
                <w:kern w:val="0"/>
                <w:sz w:val="21"/>
                <w:szCs w:val="21"/>
              </w:rPr>
              <w:br w:type="textWrapping"/>
            </w:r>
            <w:r>
              <w:rPr>
                <w:rFonts w:cs="宋体"/>
                <w:color w:val="000000"/>
                <w:kern w:val="0"/>
                <w:sz w:val="21"/>
                <w:szCs w:val="21"/>
              </w:rPr>
              <w:t xml:space="preserve">3.2.8 多模 50/125 </w:t>
            </w:r>
            <w:r>
              <w:rPr>
                <w:rFonts w:ascii="宋体" w:hAnsi="宋体" w:eastAsia="宋体" w:cs="宋体"/>
                <w:color w:val="000000"/>
                <w:kern w:val="0"/>
                <w:sz w:val="21"/>
                <w:szCs w:val="21"/>
              </w:rPr>
              <w:t>µ</w:t>
            </w:r>
            <w:r>
              <w:rPr>
                <w:rFonts w:cs="仿宋"/>
                <w:color w:val="000000"/>
                <w:kern w:val="0"/>
                <w:sz w:val="21"/>
                <w:szCs w:val="21"/>
              </w:rPr>
              <w:t xml:space="preserve">m </w:t>
            </w:r>
            <w:r>
              <w:rPr>
                <w:rFonts w:cs="宋体"/>
                <w:color w:val="000000"/>
                <w:kern w:val="0"/>
                <w:sz w:val="21"/>
                <w:szCs w:val="21"/>
              </w:rPr>
              <w:t>光纤在 850nm 和 1300nm 波长时的损耗分别不</w:t>
            </w:r>
            <w:r>
              <w:rPr>
                <w:rFonts w:cs="宋体"/>
                <w:color w:val="000000"/>
                <w:kern w:val="0"/>
                <w:sz w:val="21"/>
                <w:szCs w:val="21"/>
              </w:rPr>
              <w:br w:type="textWrapping"/>
            </w:r>
            <w:r>
              <w:rPr>
                <w:rFonts w:cs="宋体"/>
                <w:color w:val="000000"/>
                <w:kern w:val="0"/>
                <w:sz w:val="21"/>
                <w:szCs w:val="21"/>
              </w:rPr>
              <w:t>得超过 3.5dB/km 和 1.5dB/km。</w:t>
            </w:r>
            <w:r>
              <w:rPr>
                <w:rFonts w:cs="宋体"/>
                <w:color w:val="000000"/>
                <w:kern w:val="0"/>
                <w:sz w:val="21"/>
                <w:szCs w:val="21"/>
              </w:rPr>
              <w:br w:type="textWrapping"/>
            </w:r>
            <w:r>
              <w:rPr>
                <w:rFonts w:cs="宋体"/>
                <w:color w:val="000000"/>
                <w:kern w:val="0"/>
                <w:sz w:val="21"/>
                <w:szCs w:val="21"/>
              </w:rPr>
              <w:t>3.2.9 光纤接头及相应的耦合器应采用先进的高性能、低衰耗、高密度</w:t>
            </w:r>
            <w:r>
              <w:rPr>
                <w:rFonts w:cs="宋体"/>
                <w:color w:val="000000"/>
                <w:kern w:val="0"/>
                <w:sz w:val="21"/>
                <w:szCs w:val="21"/>
              </w:rPr>
              <w:br w:type="textWrapping"/>
            </w:r>
            <w:r>
              <w:rPr>
                <w:rFonts w:cs="宋体"/>
                <w:color w:val="000000"/>
                <w:kern w:val="0"/>
                <w:sz w:val="21"/>
                <w:szCs w:val="21"/>
              </w:rPr>
              <w:t>型光纤接头，要求光纤适配器衰耗量小于 0.35dB。光纤端接要求</w:t>
            </w:r>
            <w:r>
              <w:rPr>
                <w:rFonts w:cs="宋体"/>
                <w:color w:val="000000"/>
                <w:kern w:val="0"/>
                <w:sz w:val="21"/>
                <w:szCs w:val="21"/>
              </w:rPr>
              <w:br w:type="textWrapping"/>
            </w:r>
            <w:r>
              <w:rPr>
                <w:rFonts w:cs="宋体"/>
                <w:color w:val="000000"/>
                <w:kern w:val="0"/>
                <w:sz w:val="21"/>
                <w:szCs w:val="21"/>
              </w:rPr>
              <w:t>采用尾纤按 1：1 配置熔接方式。要求与光纤为同一品牌的原厂原</w:t>
            </w:r>
            <w:r>
              <w:rPr>
                <w:rFonts w:cs="宋体"/>
                <w:color w:val="000000"/>
                <w:kern w:val="0"/>
                <w:sz w:val="21"/>
                <w:szCs w:val="21"/>
              </w:rPr>
              <w:br w:type="textWrapping"/>
            </w:r>
            <w:r>
              <w:rPr>
                <w:rFonts w:cs="宋体"/>
                <w:color w:val="000000"/>
                <w:kern w:val="0"/>
                <w:sz w:val="21"/>
                <w:szCs w:val="21"/>
              </w:rPr>
              <w:t>装产品。</w:t>
            </w:r>
            <w:r>
              <w:rPr>
                <w:rFonts w:cs="宋体"/>
                <w:color w:val="000000"/>
                <w:kern w:val="0"/>
                <w:sz w:val="21"/>
                <w:szCs w:val="21"/>
              </w:rPr>
              <w:br w:type="textWrapping"/>
            </w:r>
            <w:r>
              <w:rPr>
                <w:rFonts w:cs="宋体"/>
                <w:color w:val="000000"/>
                <w:kern w:val="0"/>
                <w:sz w:val="21"/>
                <w:szCs w:val="21"/>
              </w:rPr>
              <w:t>3.2.10 多模和单模光缆应采用 SC\ LC 型连接器进行连接。</w:t>
            </w:r>
          </w:p>
        </w:tc>
        <w:tc>
          <w:tcPr>
            <w:tcW w:w="922"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1950</w:t>
            </w:r>
          </w:p>
        </w:tc>
      </w:tr>
      <w:tr>
        <w:tblPrEx>
          <w:tblCellMar>
            <w:top w:w="0" w:type="dxa"/>
            <w:left w:w="108" w:type="dxa"/>
            <w:bottom w:w="0" w:type="dxa"/>
            <w:right w:w="108" w:type="dxa"/>
          </w:tblCellMar>
        </w:tblPrEx>
        <w:trPr>
          <w:trHeight w:val="330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双绞线缆 </w:t>
            </w:r>
          </w:p>
        </w:tc>
        <w:tc>
          <w:tcPr>
            <w:tcW w:w="61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设备网六类非屏蔽网线（3.1.1 4 对芯线，每芯带有色条区别。</w:t>
            </w:r>
            <w:r>
              <w:rPr>
                <w:rFonts w:cs="宋体"/>
                <w:color w:val="000000"/>
                <w:kern w:val="0"/>
                <w:sz w:val="21"/>
                <w:szCs w:val="21"/>
              </w:rPr>
              <w:br w:type="textWrapping"/>
            </w:r>
            <w:r>
              <w:rPr>
                <w:rFonts w:cs="宋体"/>
                <w:color w:val="000000"/>
                <w:kern w:val="0"/>
                <w:sz w:val="21"/>
                <w:szCs w:val="21"/>
              </w:rPr>
              <w:t>3.1.2 采用十字骨架分隔结构，以减少线对信号干扰和增加物理机械抗</w:t>
            </w:r>
            <w:r>
              <w:rPr>
                <w:rFonts w:cs="宋体"/>
                <w:color w:val="000000"/>
                <w:kern w:val="0"/>
                <w:sz w:val="21"/>
                <w:szCs w:val="21"/>
              </w:rPr>
              <w:br w:type="textWrapping"/>
            </w:r>
            <w:r>
              <w:rPr>
                <w:rFonts w:cs="宋体"/>
                <w:color w:val="000000"/>
                <w:kern w:val="0"/>
                <w:sz w:val="21"/>
                <w:szCs w:val="21"/>
              </w:rPr>
              <w:t>拉性。</w:t>
            </w:r>
            <w:r>
              <w:rPr>
                <w:rFonts w:cs="宋体"/>
                <w:color w:val="000000"/>
                <w:kern w:val="0"/>
                <w:sz w:val="21"/>
                <w:szCs w:val="21"/>
              </w:rPr>
              <w:br w:type="textWrapping"/>
            </w:r>
            <w:r>
              <w:rPr>
                <w:rFonts w:cs="宋体"/>
                <w:color w:val="000000"/>
                <w:kern w:val="0"/>
                <w:sz w:val="21"/>
                <w:szCs w:val="21"/>
              </w:rPr>
              <w:t>3.1.3 LSZH 低烟无卤外护套，印有电缆编码。</w:t>
            </w:r>
            <w:r>
              <w:rPr>
                <w:rFonts w:cs="宋体"/>
                <w:color w:val="000000"/>
                <w:kern w:val="0"/>
                <w:sz w:val="21"/>
                <w:szCs w:val="21"/>
              </w:rPr>
              <w:br w:type="textWrapping"/>
            </w:r>
            <w:r>
              <w:rPr>
                <w:rFonts w:cs="宋体"/>
                <w:color w:val="000000"/>
                <w:kern w:val="0"/>
                <w:sz w:val="21"/>
                <w:szCs w:val="21"/>
              </w:rPr>
              <w:t>3.1.4 传输特性阻抗应为 100±15Ω。</w:t>
            </w:r>
            <w:r>
              <w:rPr>
                <w:rFonts w:cs="宋体"/>
                <w:color w:val="000000"/>
                <w:kern w:val="0"/>
                <w:sz w:val="21"/>
                <w:szCs w:val="21"/>
              </w:rPr>
              <w:br w:type="textWrapping"/>
            </w:r>
            <w:r>
              <w:rPr>
                <w:rFonts w:cs="宋体"/>
                <w:color w:val="000000"/>
                <w:kern w:val="0"/>
                <w:sz w:val="21"/>
                <w:szCs w:val="21"/>
              </w:rPr>
              <w:t>3.1.5 导体直径满足 23AWG 芯线规格。</w:t>
            </w:r>
            <w:r>
              <w:rPr>
                <w:rFonts w:cs="宋体"/>
                <w:color w:val="000000"/>
                <w:kern w:val="0"/>
                <w:sz w:val="21"/>
                <w:szCs w:val="21"/>
              </w:rPr>
              <w:br w:type="textWrapping"/>
            </w:r>
            <w:r>
              <w:rPr>
                <w:rFonts w:cs="宋体"/>
                <w:color w:val="000000"/>
                <w:kern w:val="0"/>
                <w:sz w:val="21"/>
                <w:szCs w:val="21"/>
              </w:rPr>
              <w:t>3.1.6 应符合 TIA/EIA 568-C、ISO/IEC 11801 相关标准。</w:t>
            </w:r>
            <w:r>
              <w:rPr>
                <w:rFonts w:cs="宋体"/>
                <w:color w:val="000000"/>
                <w:kern w:val="0"/>
                <w:sz w:val="21"/>
                <w:szCs w:val="21"/>
              </w:rPr>
              <w:br w:type="textWrapping"/>
            </w:r>
            <w:r>
              <w:rPr>
                <w:rFonts w:cs="宋体"/>
                <w:color w:val="000000"/>
                <w:kern w:val="0"/>
                <w:sz w:val="21"/>
                <w:szCs w:val="21"/>
              </w:rPr>
              <w:t>3.1.7 在衰减、近端串扰衰减、结构回波损耗、近端串扰衰减与衰减比</w:t>
            </w:r>
            <w:r>
              <w:rPr>
                <w:rFonts w:cs="宋体"/>
                <w:color w:val="000000"/>
                <w:kern w:val="0"/>
                <w:sz w:val="21"/>
                <w:szCs w:val="21"/>
              </w:rPr>
              <w:br w:type="textWrapping"/>
            </w:r>
            <w:r>
              <w:rPr>
                <w:rFonts w:cs="宋体"/>
                <w:color w:val="000000"/>
                <w:kern w:val="0"/>
                <w:sz w:val="21"/>
                <w:szCs w:val="21"/>
              </w:rPr>
              <w:t>的技术参数上符合最新六类国际标准。</w:t>
            </w:r>
            <w:r>
              <w:rPr>
                <w:rFonts w:cs="宋体"/>
                <w:color w:val="000000"/>
                <w:kern w:val="0"/>
                <w:sz w:val="21"/>
                <w:szCs w:val="21"/>
              </w:rPr>
              <w:br w:type="textWrapping"/>
            </w:r>
            <w:r>
              <w:rPr>
                <w:rFonts w:cs="宋体"/>
                <w:color w:val="000000"/>
                <w:kern w:val="0"/>
                <w:sz w:val="21"/>
                <w:szCs w:val="21"/>
              </w:rPr>
              <w:t>3.1.8 频率带宽应至少满足 250MHz 的标准</w:t>
            </w:r>
          </w:p>
        </w:tc>
        <w:tc>
          <w:tcPr>
            <w:tcW w:w="922"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8424</w:t>
            </w:r>
          </w:p>
        </w:tc>
      </w:tr>
      <w:tr>
        <w:tblPrEx>
          <w:tblCellMar>
            <w:top w:w="0" w:type="dxa"/>
            <w:left w:w="108" w:type="dxa"/>
            <w:bottom w:w="0" w:type="dxa"/>
            <w:right w:w="108" w:type="dxa"/>
          </w:tblCellMar>
        </w:tblPrEx>
        <w:trPr>
          <w:trHeight w:val="198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大对数电缆 </w:t>
            </w:r>
          </w:p>
        </w:tc>
        <w:tc>
          <w:tcPr>
            <w:tcW w:w="6160"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3类25对大对数电缆（3.3.1，每芯带有彩色护套。</w:t>
            </w:r>
            <w:r>
              <w:rPr>
                <w:rFonts w:cs="宋体"/>
                <w:color w:val="000000"/>
                <w:kern w:val="0"/>
                <w:sz w:val="21"/>
                <w:szCs w:val="21"/>
              </w:rPr>
              <w:br w:type="textWrapping"/>
            </w:r>
            <w:r>
              <w:rPr>
                <w:rFonts w:cs="宋体"/>
                <w:color w:val="000000"/>
                <w:kern w:val="0"/>
                <w:sz w:val="21"/>
                <w:szCs w:val="21"/>
              </w:rPr>
              <w:t>3.3.2 LSZH 低烟无卤外护套（室内），PE 护套（室外）。</w:t>
            </w:r>
            <w:r>
              <w:rPr>
                <w:rFonts w:cs="宋体"/>
                <w:color w:val="000000"/>
                <w:kern w:val="0"/>
                <w:sz w:val="21"/>
                <w:szCs w:val="21"/>
              </w:rPr>
              <w:br w:type="textWrapping"/>
            </w:r>
            <w:r>
              <w:rPr>
                <w:rFonts w:cs="宋体"/>
                <w:color w:val="000000"/>
                <w:kern w:val="0"/>
                <w:sz w:val="21"/>
                <w:szCs w:val="21"/>
              </w:rPr>
              <w:t>3.3.3 应符合 TIA/EIA 568-C、ISO/IEC 11801 相关标准。</w:t>
            </w:r>
            <w:r>
              <w:rPr>
                <w:rFonts w:cs="宋体"/>
                <w:color w:val="000000"/>
                <w:kern w:val="0"/>
                <w:sz w:val="21"/>
                <w:szCs w:val="21"/>
              </w:rPr>
              <w:br w:type="textWrapping"/>
            </w:r>
            <w:r>
              <w:rPr>
                <w:rFonts w:cs="宋体"/>
                <w:color w:val="000000"/>
                <w:kern w:val="0"/>
                <w:sz w:val="21"/>
                <w:szCs w:val="21"/>
              </w:rPr>
              <w:t>3.3.4 传输特性阻抗应为 100±15Ω。</w:t>
            </w:r>
            <w:r>
              <w:rPr>
                <w:rFonts w:cs="宋体"/>
                <w:color w:val="000000"/>
                <w:kern w:val="0"/>
                <w:sz w:val="21"/>
                <w:szCs w:val="21"/>
              </w:rPr>
              <w:br w:type="textWrapping"/>
            </w:r>
            <w:r>
              <w:rPr>
                <w:rFonts w:cs="宋体"/>
                <w:color w:val="000000"/>
                <w:kern w:val="0"/>
                <w:sz w:val="21"/>
                <w:szCs w:val="21"/>
              </w:rPr>
              <w:t>3.3.5 导体直径满足 24AWG 芯线规格。</w:t>
            </w:r>
            <w:r>
              <w:rPr>
                <w:rFonts w:cs="宋体"/>
                <w:color w:val="000000"/>
                <w:kern w:val="0"/>
                <w:sz w:val="21"/>
                <w:szCs w:val="21"/>
              </w:rPr>
              <w:br w:type="textWrapping"/>
            </w:r>
            <w:r>
              <w:rPr>
                <w:rFonts w:cs="宋体"/>
                <w:color w:val="000000"/>
                <w:kern w:val="0"/>
                <w:sz w:val="21"/>
                <w:szCs w:val="21"/>
              </w:rPr>
              <w:t>3.3.6 频率带宽应至少满足 16MHz 的标准。</w:t>
            </w:r>
          </w:p>
        </w:tc>
        <w:tc>
          <w:tcPr>
            <w:tcW w:w="92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1248</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双绞线缆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UTP Cat.6　门禁</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1118</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语音信息点</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语音信息点 ，包括：面板、底盒的供应安装；接线及其它一切所需的物料和工作</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点</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8</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配线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电源线 RVV2*0.75 门禁</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1612</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接地母线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紫铜排 30x3</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156</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铜芯电力电缆敷设 YJV-5*25</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78</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铜芯电力电缆敷设 YJV-5*16</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11</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铜芯电力电缆敷设 YJV-5*10</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63</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铜芯电力电缆敷设 YJV-3x4</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843</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铜芯电力电缆敷设 YJV-3x6</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104</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铜芯电力电缆敷设 YJV-3x2.5</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1326</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电力电缆头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电力电缆头制安 25mm2及以下</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个</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4</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电力电缆头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电力电缆头制安 10mm2及以下</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个</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30</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E5E0EC"/>
            <w:noWrap w:val="0"/>
            <w:vAlign w:val="center"/>
          </w:tcPr>
          <w:p>
            <w:pPr>
              <w:widowControl/>
              <w:spacing w:line="240" w:lineRule="auto"/>
              <w:jc w:val="center"/>
              <w:rPr>
                <w:rFonts w:hint="default" w:cs="宋体"/>
                <w:b/>
                <w:bCs/>
                <w:color w:val="000000"/>
                <w:kern w:val="0"/>
                <w:sz w:val="21"/>
                <w:szCs w:val="21"/>
              </w:rPr>
            </w:pPr>
            <w:r>
              <w:rPr>
                <w:rFonts w:cs="宋体"/>
                <w:b/>
                <w:bCs/>
                <w:color w:val="000000"/>
                <w:kern w:val="0"/>
                <w:sz w:val="21"/>
                <w:szCs w:val="21"/>
              </w:rPr>
              <w:t>综合管网</w:t>
            </w:r>
          </w:p>
        </w:tc>
        <w:tc>
          <w:tcPr>
            <w:tcW w:w="6160"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　</w:t>
            </w:r>
          </w:p>
        </w:tc>
        <w:tc>
          <w:tcPr>
            <w:tcW w:w="922"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　</w:t>
            </w:r>
          </w:p>
        </w:tc>
        <w:tc>
          <w:tcPr>
            <w:tcW w:w="851"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　</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 xml:space="preserve">桥架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金属桥架 100*100 含桥架接地等</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kern w:val="0"/>
                <w:sz w:val="21"/>
                <w:szCs w:val="21"/>
              </w:rPr>
            </w:pPr>
            <w:r>
              <w:rPr>
                <w:rFonts w:cs="宋体"/>
                <w:kern w:val="0"/>
                <w:sz w:val="21"/>
                <w:szCs w:val="21"/>
              </w:rPr>
              <w:t>125</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 xml:space="preserve">桥架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kern w:val="0"/>
                <w:sz w:val="21"/>
                <w:szCs w:val="21"/>
              </w:rPr>
            </w:pPr>
            <w:r>
              <w:rPr>
                <w:rFonts w:cs="宋体"/>
                <w:kern w:val="0"/>
                <w:sz w:val="21"/>
                <w:szCs w:val="21"/>
              </w:rPr>
              <w:t>金属桥架 200*100 含桥架接地等</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kern w:val="0"/>
                <w:sz w:val="21"/>
                <w:szCs w:val="21"/>
              </w:rPr>
            </w:pPr>
            <w:r>
              <w:rPr>
                <w:rFonts w:cs="宋体"/>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kern w:val="0"/>
                <w:sz w:val="21"/>
                <w:szCs w:val="21"/>
              </w:rPr>
            </w:pPr>
            <w:r>
              <w:rPr>
                <w:rFonts w:cs="宋体"/>
                <w:kern w:val="0"/>
                <w:sz w:val="21"/>
                <w:szCs w:val="21"/>
              </w:rPr>
              <w:t>182</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配管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JDG20 综合布线</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247</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配管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JDG20 视频监控</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1209</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配管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JDG15 砖、混凝土结构暗配电线管 含钢管接地等 </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m</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978</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E5E0EC"/>
            <w:noWrap w:val="0"/>
            <w:vAlign w:val="center"/>
          </w:tcPr>
          <w:p>
            <w:pPr>
              <w:widowControl/>
              <w:spacing w:line="240" w:lineRule="auto"/>
              <w:jc w:val="center"/>
              <w:rPr>
                <w:rFonts w:hint="default" w:cs="宋体"/>
                <w:b/>
                <w:bCs/>
                <w:color w:val="000000"/>
                <w:kern w:val="0"/>
                <w:sz w:val="21"/>
                <w:szCs w:val="21"/>
              </w:rPr>
            </w:pPr>
            <w:r>
              <w:rPr>
                <w:rFonts w:cs="宋体"/>
                <w:b/>
                <w:bCs/>
                <w:color w:val="000000"/>
                <w:kern w:val="0"/>
                <w:sz w:val="21"/>
                <w:szCs w:val="21"/>
              </w:rPr>
              <w:t>计算机网络系统</w:t>
            </w:r>
          </w:p>
        </w:tc>
        <w:tc>
          <w:tcPr>
            <w:tcW w:w="6160"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　</w:t>
            </w:r>
          </w:p>
        </w:tc>
        <w:tc>
          <w:tcPr>
            <w:tcW w:w="922"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　</w:t>
            </w:r>
          </w:p>
        </w:tc>
        <w:tc>
          <w:tcPr>
            <w:tcW w:w="851" w:type="dxa"/>
            <w:tcBorders>
              <w:top w:val="nil"/>
              <w:left w:val="nil"/>
              <w:bottom w:val="single" w:color="000000" w:sz="4" w:space="0"/>
              <w:right w:val="single" w:color="000000" w:sz="4" w:space="0"/>
            </w:tcBorders>
            <w:shd w:val="clear" w:color="000000" w:fill="E5E0EC"/>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　</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交换机 门禁</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设备网24口接入交换机</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台</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4</w:t>
            </w:r>
          </w:p>
        </w:tc>
      </w:tr>
      <w:tr>
        <w:tblPrEx>
          <w:tblCellMar>
            <w:top w:w="0" w:type="dxa"/>
            <w:left w:w="108" w:type="dxa"/>
            <w:bottom w:w="0" w:type="dxa"/>
            <w:right w:w="108" w:type="dxa"/>
          </w:tblCellMar>
        </w:tblPrEx>
        <w:trPr>
          <w:trHeight w:val="99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设备核心交换机</w:t>
            </w:r>
          </w:p>
        </w:tc>
        <w:tc>
          <w:tcPr>
            <w:tcW w:w="6160"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三层交换机，交换容量256GBPS,包转发率156Mpps;增强型24端口SFP接口交换机，8个复用的10/100/1000M自适应电口，2 个扩展槽，2个模块化电源插槽，1个USB2.0接口，1个RG-M5000E-AC60电源模块。</w:t>
            </w:r>
          </w:p>
        </w:tc>
        <w:tc>
          <w:tcPr>
            <w:tcW w:w="922"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台</w:t>
            </w:r>
          </w:p>
        </w:tc>
        <w:tc>
          <w:tcPr>
            <w:tcW w:w="85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1</w:t>
            </w:r>
          </w:p>
        </w:tc>
      </w:tr>
      <w:tr>
        <w:tblPrEx>
          <w:tblCellMar>
            <w:top w:w="0" w:type="dxa"/>
            <w:left w:w="108" w:type="dxa"/>
            <w:bottom w:w="0" w:type="dxa"/>
            <w:right w:w="108" w:type="dxa"/>
          </w:tblCellMar>
        </w:tblPrEx>
        <w:trPr>
          <w:trHeight w:val="660" w:hRule="atLeast"/>
        </w:trPr>
        <w:tc>
          <w:tcPr>
            <w:tcW w:w="1991" w:type="dxa"/>
            <w:tcBorders>
              <w:top w:val="single" w:color="000000" w:sz="4" w:space="0"/>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交换机 </w:t>
            </w:r>
          </w:p>
        </w:tc>
        <w:tc>
          <w:tcPr>
            <w:tcW w:w="6160"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设备网24口POE接入交换机 24口千兆电口+2个千兆光口，24口千兆电口支持30WPOE供电，整机最大功率370W</w:t>
            </w:r>
          </w:p>
        </w:tc>
        <w:tc>
          <w:tcPr>
            <w:tcW w:w="922"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台</w:t>
            </w:r>
          </w:p>
        </w:tc>
        <w:tc>
          <w:tcPr>
            <w:tcW w:w="851" w:type="dxa"/>
            <w:tcBorders>
              <w:top w:val="single" w:color="000000" w:sz="4" w:space="0"/>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4</w:t>
            </w:r>
          </w:p>
        </w:tc>
      </w:tr>
      <w:tr>
        <w:tblPrEx>
          <w:tblCellMar>
            <w:top w:w="0" w:type="dxa"/>
            <w:left w:w="108" w:type="dxa"/>
            <w:bottom w:w="0" w:type="dxa"/>
            <w:right w:w="108" w:type="dxa"/>
          </w:tblCellMar>
        </w:tblPrEx>
        <w:trPr>
          <w:trHeight w:val="66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 xml:space="preserve">交换机 </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设备网16口POE接入交换机 16口千兆电口+2个千兆光口，16口千兆电口支持30WPOE供电</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台</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8</w:t>
            </w:r>
          </w:p>
        </w:tc>
      </w:tr>
      <w:tr>
        <w:tblPrEx>
          <w:tblCellMar>
            <w:top w:w="0" w:type="dxa"/>
            <w:left w:w="108" w:type="dxa"/>
            <w:bottom w:w="0" w:type="dxa"/>
            <w:right w:w="108" w:type="dxa"/>
          </w:tblCellMar>
        </w:tblPrEx>
        <w:trPr>
          <w:trHeight w:val="330" w:hRule="atLeast"/>
        </w:trPr>
        <w:tc>
          <w:tcPr>
            <w:tcW w:w="1991" w:type="dxa"/>
            <w:tcBorders>
              <w:top w:val="nil"/>
              <w:left w:val="single" w:color="000000" w:sz="4" w:space="0"/>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光纤适配器模块</w:t>
            </w:r>
          </w:p>
        </w:tc>
        <w:tc>
          <w:tcPr>
            <w:tcW w:w="6160"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left"/>
              <w:rPr>
                <w:rFonts w:hint="default" w:cs="宋体"/>
                <w:color w:val="000000"/>
                <w:kern w:val="0"/>
                <w:sz w:val="21"/>
                <w:szCs w:val="21"/>
              </w:rPr>
            </w:pPr>
            <w:r>
              <w:rPr>
                <w:rFonts w:cs="宋体"/>
                <w:color w:val="000000"/>
                <w:kern w:val="0"/>
                <w:sz w:val="21"/>
                <w:szCs w:val="21"/>
              </w:rPr>
              <w:t>千兆单模SFP光模块，波长1310nm，最大传输距离10km</w:t>
            </w:r>
          </w:p>
        </w:tc>
        <w:tc>
          <w:tcPr>
            <w:tcW w:w="922"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center"/>
              <w:rPr>
                <w:rFonts w:hint="default" w:cs="宋体"/>
                <w:color w:val="000000"/>
                <w:kern w:val="0"/>
                <w:sz w:val="21"/>
                <w:szCs w:val="21"/>
              </w:rPr>
            </w:pPr>
            <w:r>
              <w:rPr>
                <w:rFonts w:cs="宋体"/>
                <w:color w:val="000000"/>
                <w:kern w:val="0"/>
                <w:sz w:val="21"/>
                <w:szCs w:val="21"/>
              </w:rPr>
              <w:t>个</w:t>
            </w:r>
          </w:p>
        </w:tc>
        <w:tc>
          <w:tcPr>
            <w:tcW w:w="851" w:type="dxa"/>
            <w:tcBorders>
              <w:top w:val="nil"/>
              <w:left w:val="nil"/>
              <w:bottom w:val="single" w:color="000000" w:sz="4" w:space="0"/>
              <w:right w:val="single" w:color="000000" w:sz="4" w:space="0"/>
            </w:tcBorders>
            <w:shd w:val="clear" w:color="000000" w:fill="FFFFFF"/>
            <w:noWrap w:val="0"/>
            <w:vAlign w:val="center"/>
          </w:tcPr>
          <w:p>
            <w:pPr>
              <w:widowControl/>
              <w:spacing w:line="240" w:lineRule="auto"/>
              <w:jc w:val="right"/>
              <w:rPr>
                <w:rFonts w:hint="default" w:cs="宋体"/>
                <w:color w:val="000000"/>
                <w:kern w:val="0"/>
                <w:sz w:val="21"/>
                <w:szCs w:val="21"/>
              </w:rPr>
            </w:pPr>
            <w:r>
              <w:rPr>
                <w:rFonts w:cs="宋体"/>
                <w:color w:val="000000"/>
                <w:kern w:val="0"/>
                <w:sz w:val="21"/>
                <w:szCs w:val="21"/>
              </w:rPr>
              <w:t>28</w:t>
            </w:r>
          </w:p>
        </w:tc>
      </w:tr>
    </w:tbl>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left"/>
        <w:textAlignment w:val="auto"/>
        <w:rPr>
          <w:rFonts w:hint="default" w:cs="宋体"/>
          <w:kern w:val="0"/>
          <w:sz w:val="21"/>
          <w:szCs w:val="21"/>
        </w:rPr>
      </w:pPr>
      <w:r>
        <w:rPr>
          <w:rFonts w:cs="宋体"/>
          <w:kern w:val="0"/>
          <w:sz w:val="21"/>
          <w:szCs w:val="21"/>
        </w:rPr>
        <w:t>所有平台及软件应用运行所需的服务器及交换机如上未描述，请自行按需配置。</w:t>
      </w:r>
    </w:p>
    <w:p>
      <w:pPr>
        <w:keepNext w:val="0"/>
        <w:keepLines w:val="0"/>
        <w:pageBreakBefore w:val="0"/>
        <w:kinsoku/>
        <w:wordWrap/>
        <w:overflowPunct/>
        <w:topLinePunct w:val="0"/>
        <w:autoSpaceDE/>
        <w:autoSpaceDN/>
        <w:bidi w:val="0"/>
        <w:adjustRightInd/>
        <w:spacing w:line="360" w:lineRule="auto"/>
        <w:ind w:left="0" w:leftChars="0" w:firstLine="422" w:firstLineChars="200"/>
        <w:jc w:val="left"/>
        <w:textAlignment w:val="auto"/>
        <w:rPr>
          <w:rFonts w:hint="default"/>
          <w:b/>
          <w:bCs/>
          <w:sz w:val="21"/>
          <w:szCs w:val="21"/>
        </w:rPr>
      </w:pPr>
      <w:r>
        <w:rPr>
          <w:b/>
          <w:bCs/>
          <w:sz w:val="21"/>
          <w:szCs w:val="21"/>
        </w:rPr>
        <w:t>四、工期、质量及售后要求</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rFonts w:cs="宋体"/>
          <w:sz w:val="21"/>
          <w:szCs w:val="21"/>
        </w:rPr>
        <w:t>4.1设备说明</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sz w:val="21"/>
          <w:szCs w:val="21"/>
        </w:rPr>
        <w:t>1</w:t>
      </w:r>
      <w:r>
        <w:rPr>
          <w:rFonts w:cs="宋体"/>
          <w:sz w:val="21"/>
          <w:szCs w:val="21"/>
        </w:rPr>
        <w:t>、建设内容及设备清单中所列示的参考品牌（如有）仅对设备的性能和应达到的质量标准作进一步的说明作用，投标人可以根据各自的方案提供合理的设备品牌与型号，并可以对具体配置进行合理增减（但必须达到采购人的标准规范），数量不得少于文件要求，并详细提供品牌型号、技术参数、集成说明等技术资料。</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sz w:val="21"/>
          <w:szCs w:val="21"/>
        </w:rPr>
        <w:t>2</w:t>
      </w:r>
      <w:r>
        <w:rPr>
          <w:rFonts w:cs="宋体"/>
          <w:sz w:val="21"/>
          <w:szCs w:val="21"/>
        </w:rPr>
        <w:t>、本次采购的软件及设备，采购人要求投标人提供的产品不低于以上主要技术指标的，如出现集成与技术差异，投标人应提供说明（具体技术指标详见招标文件），并在投标文件的技术商务标中提供该产品的技术参数或检测报告或相关证书。</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sz w:val="21"/>
          <w:szCs w:val="21"/>
        </w:rPr>
        <w:t>3</w:t>
      </w:r>
      <w:r>
        <w:rPr>
          <w:rFonts w:cs="宋体"/>
          <w:sz w:val="21"/>
          <w:szCs w:val="21"/>
        </w:rPr>
        <w:t>、设备清单中所列举的要求为一个基本的功能配置要求，为达到该要求，投标人需在设备清单中详细列明所提供的品牌、型号、配置数量等具体信息，未提供或提供不全相关产品资料以及评标委员会根据投标人提供的资料认为所选品牌型号、配置信息不能达到招标文件的技术指标、功能要求及品牌档次的，则在评审时将作出对其不利的评定，并有可能导致被判定为重大偏离。</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sz w:val="21"/>
          <w:szCs w:val="21"/>
        </w:rPr>
        <w:t>4</w:t>
      </w:r>
      <w:r>
        <w:rPr>
          <w:rFonts w:cs="宋体"/>
          <w:sz w:val="21"/>
          <w:szCs w:val="21"/>
        </w:rPr>
        <w:t>、投标人应确保投标所选用的设备、材料之间的兼容性，如评标时发现投标人投标选用的设备、材料存在不兼容性，将对其作出不利的评定，并有可能导致被判定为重大偏离。</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sz w:val="21"/>
          <w:szCs w:val="21"/>
        </w:rPr>
        <w:t>5</w:t>
      </w:r>
      <w:r>
        <w:rPr>
          <w:rFonts w:cs="宋体"/>
          <w:sz w:val="21"/>
          <w:szCs w:val="21"/>
        </w:rPr>
        <w:t>、▲如中标后在安装实施过程中发现选用的设备、材料存在不兼容性或招标方认为有必要，中标人应无条件同意在工程实施安装过程中由采购人在招标文件建议品牌（如有）或采购机关组织的专家组推荐品牌中任选一品牌，根据系统功能要求及技术参数选择相应型号及其相关材料、软件进行替换，且合同价不变，中标人不得对此提出异议。</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sz w:val="21"/>
          <w:szCs w:val="21"/>
        </w:rPr>
        <w:t>6</w:t>
      </w:r>
      <w:r>
        <w:rPr>
          <w:rFonts w:cs="宋体"/>
          <w:sz w:val="21"/>
          <w:szCs w:val="21"/>
        </w:rPr>
        <w:t>、如采购人在设备清单存在不合理与不完善的，投标人提出良好的解决方案与合理化建议，在不增加造价的前提，将在评定时予以有利的评判。</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rFonts w:cs="宋体"/>
          <w:sz w:val="21"/>
          <w:szCs w:val="21"/>
        </w:rPr>
        <w:t>4.2信用承诺</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rFonts w:cs="宋体"/>
          <w:sz w:val="21"/>
          <w:szCs w:val="21"/>
        </w:rPr>
        <w:t>投标人必须保证投标的全部设备材料技术性能完全符合以上基本配置要求，保证在投标文件中说明的其他技术指标、产品资料、按照招标文件要求提供的案例、服务承诺、实施方案等是真实的，一旦由专家或者使用单位或者设备到货后或者实施使用中发现技术指标、产品资料、案例、服务承诺、实施方案等与标书中说明不符或安装调试中达不到采购人集成要求，影响采购人按期正常使用的，采购人可以立即取消中标人的资格或解除合同，中标人需无条件同意。</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rFonts w:cs="宋体"/>
          <w:sz w:val="21"/>
          <w:szCs w:val="21"/>
        </w:rPr>
        <w:t>4.3★原装说明</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rFonts w:cs="宋体"/>
          <w:sz w:val="21"/>
          <w:szCs w:val="21"/>
        </w:rPr>
        <w:t>所有设备须原包装到位，需要的配件必须是原包装到达采购人指定地点，未经采购人允许不得私自预先安装（原厂安装的除外），核心设备的最终用户注册为甬江数字经济产业园（</w:t>
      </w:r>
      <w:r>
        <w:rPr>
          <w:rFonts w:hint="eastAsia" w:cs="宋体"/>
          <w:sz w:val="21"/>
          <w:szCs w:val="21"/>
          <w:lang w:eastAsia="zh-CN"/>
        </w:rPr>
        <w:t>甲</w:t>
      </w:r>
      <w:r>
        <w:rPr>
          <w:rFonts w:cs="宋体"/>
          <w:sz w:val="21"/>
          <w:szCs w:val="21"/>
        </w:rPr>
        <w:t>方用户注册不是采购人的设备要更换，延期时间按规定处理）。</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rFonts w:cs="宋体"/>
          <w:sz w:val="21"/>
          <w:szCs w:val="21"/>
        </w:rPr>
        <w:t>（四）▲完工时间</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宋体"/>
          <w:sz w:val="21"/>
          <w:szCs w:val="21"/>
        </w:rPr>
      </w:pPr>
      <w:r>
        <w:rPr>
          <w:rFonts w:cs="宋体"/>
          <w:sz w:val="21"/>
          <w:szCs w:val="21"/>
        </w:rPr>
        <w:t>投标人获取中标资格后，在</w:t>
      </w:r>
      <w:r>
        <w:rPr>
          <w:rFonts w:hint="eastAsia" w:cs="宋体"/>
          <w:sz w:val="21"/>
          <w:szCs w:val="21"/>
          <w:lang w:val="en-US" w:eastAsia="zh-CN"/>
        </w:rPr>
        <w:t>3</w:t>
      </w:r>
      <w:r>
        <w:rPr>
          <w:rFonts w:cs="宋体"/>
          <w:sz w:val="21"/>
          <w:szCs w:val="21"/>
        </w:rPr>
        <w:t>个月内交货并完成安装、调试、通过验收并正常投入使用（使用单位另有安排的除外）。</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sz w:val="21"/>
          <w:szCs w:val="21"/>
        </w:rPr>
      </w:pPr>
      <w:r>
        <w:rPr>
          <w:rFonts w:cs="宋体"/>
          <w:sz w:val="21"/>
          <w:szCs w:val="21"/>
        </w:rPr>
        <w:t>（五）</w:t>
      </w:r>
      <w:r>
        <w:rPr>
          <w:rFonts w:cs="仿宋_GB2312"/>
          <w:sz w:val="21"/>
          <w:szCs w:val="21"/>
        </w:rPr>
        <w:t>▲</w:t>
      </w:r>
      <w:r>
        <w:rPr>
          <w:rFonts w:cs="宋体"/>
          <w:sz w:val="21"/>
          <w:szCs w:val="21"/>
        </w:rPr>
        <w:t>售后要求</w:t>
      </w:r>
    </w:p>
    <w:p>
      <w:pPr>
        <w:keepNext w:val="0"/>
        <w:keepLines w:val="0"/>
        <w:pageBreakBefore w:val="0"/>
        <w:kinsoku/>
        <w:wordWrap/>
        <w:overflowPunct/>
        <w:topLinePunct w:val="0"/>
        <w:autoSpaceDE/>
        <w:autoSpaceDN/>
        <w:bidi w:val="0"/>
        <w:adjustRightInd/>
        <w:snapToGrid w:val="0"/>
        <w:spacing w:line="360" w:lineRule="auto"/>
        <w:ind w:left="0" w:leftChars="0" w:firstLine="420" w:firstLineChars="200"/>
        <w:textAlignment w:val="auto"/>
        <w:rPr>
          <w:kern w:val="0"/>
          <w:sz w:val="21"/>
          <w:szCs w:val="21"/>
          <w:lang w:val="zh-CN"/>
        </w:rPr>
      </w:pPr>
      <w:r>
        <w:rPr>
          <w:rFonts w:cs="仿宋_GB2312"/>
          <w:sz w:val="21"/>
          <w:szCs w:val="21"/>
        </w:rPr>
        <w:t>要求本项目软硬件免费服务期为</w:t>
      </w:r>
      <w:r>
        <w:rPr>
          <w:rFonts w:hint="eastAsia" w:cs="仿宋_GB2312"/>
          <w:sz w:val="21"/>
          <w:szCs w:val="21"/>
          <w:lang w:eastAsia="zh-CN"/>
        </w:rPr>
        <w:t>≥</w:t>
      </w:r>
      <w:r>
        <w:rPr>
          <w:rFonts w:cs="仿宋_GB2312"/>
          <w:sz w:val="21"/>
          <w:szCs w:val="21"/>
        </w:rPr>
        <w:t>1年。</w:t>
      </w:r>
      <w:r>
        <w:rPr>
          <w:kern w:val="0"/>
          <w:sz w:val="21"/>
          <w:szCs w:val="21"/>
          <w:lang w:val="zh-CN"/>
        </w:rPr>
        <w:t>（设备的质保期按技术指标要求）；验收合格后,业主接受并投入正常使用之日算起至少12个月的质保期及免费维修和保养。质保期内被免费更换的零部件质量保证：自更换之日起计12个月。</w:t>
      </w:r>
      <w:r>
        <w:rPr>
          <w:rFonts w:hint="eastAsia"/>
          <w:kern w:val="0"/>
          <w:sz w:val="21"/>
          <w:szCs w:val="21"/>
          <w:lang w:val="zh-CN"/>
        </w:rPr>
        <w:t>免费运维。</w:t>
      </w:r>
    </w:p>
    <w:p>
      <w:pPr>
        <w:keepNext w:val="0"/>
        <w:keepLines w:val="0"/>
        <w:pageBreakBefore w:val="0"/>
        <w:kinsoku/>
        <w:wordWrap/>
        <w:overflowPunct/>
        <w:topLinePunct w:val="0"/>
        <w:autoSpaceDE/>
        <w:autoSpaceDN/>
        <w:bidi w:val="0"/>
        <w:adjustRightInd/>
        <w:snapToGrid w:val="0"/>
        <w:spacing w:line="360" w:lineRule="auto"/>
        <w:ind w:left="0" w:leftChars="0" w:firstLine="420" w:firstLineChars="200"/>
        <w:textAlignment w:val="auto"/>
        <w:rPr>
          <w:rFonts w:hint="default"/>
          <w:kern w:val="0"/>
          <w:sz w:val="21"/>
          <w:szCs w:val="21"/>
          <w:lang w:val="zh-CN"/>
        </w:rPr>
      </w:pPr>
      <w:r>
        <w:rPr>
          <w:rFonts w:hint="default"/>
          <w:kern w:val="0"/>
          <w:sz w:val="21"/>
          <w:szCs w:val="21"/>
          <w:lang w:val="zh-CN"/>
        </w:rPr>
        <w:t>在项目实施周期和质保期内，均要求至少要保证3名工程师常驻现场服务。</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kern w:val="0"/>
          <w:sz w:val="21"/>
          <w:szCs w:val="21"/>
          <w:lang w:val="zh-CN"/>
        </w:rPr>
      </w:pPr>
      <w:r>
        <w:rPr>
          <w:kern w:val="0"/>
          <w:sz w:val="21"/>
          <w:szCs w:val="21"/>
          <w:lang w:val="zh-CN"/>
        </w:rPr>
        <w:t>售后服务要求</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kern w:val="0"/>
          <w:sz w:val="21"/>
          <w:szCs w:val="21"/>
          <w:lang w:val="zh-CN"/>
        </w:rPr>
      </w:pPr>
      <w:r>
        <w:rPr>
          <w:kern w:val="0"/>
          <w:sz w:val="21"/>
          <w:szCs w:val="21"/>
          <w:lang w:val="zh-CN"/>
        </w:rPr>
        <w:t>1、终身技术维护：提供5×8小时的技术支持。</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kern w:val="0"/>
          <w:sz w:val="21"/>
          <w:szCs w:val="21"/>
          <w:lang w:val="zh-CN"/>
        </w:rPr>
      </w:pPr>
      <w:r>
        <w:rPr>
          <w:kern w:val="0"/>
          <w:sz w:val="21"/>
          <w:szCs w:val="21"/>
          <w:lang w:val="zh-CN"/>
        </w:rPr>
        <w:t>2、一旦系统出现故障，中标人应在</w:t>
      </w:r>
      <w:r>
        <w:rPr>
          <w:rFonts w:hint="eastAsia"/>
          <w:kern w:val="0"/>
          <w:sz w:val="21"/>
          <w:szCs w:val="21"/>
          <w:lang w:val="en-US" w:eastAsia="zh-CN"/>
        </w:rPr>
        <w:t>2</w:t>
      </w:r>
      <w:r>
        <w:rPr>
          <w:kern w:val="0"/>
          <w:sz w:val="21"/>
          <w:szCs w:val="21"/>
          <w:lang w:val="zh-CN"/>
        </w:rPr>
        <w:t>小时内响应，专业技术服务人员应在4小时内到达现场，3个工作日内解决故障并恢复正常运转。</w:t>
      </w:r>
    </w:p>
    <w:p>
      <w:pPr>
        <w:keepNext w:val="0"/>
        <w:keepLines w:val="0"/>
        <w:pageBreakBefore w:val="0"/>
        <w:shd w:val="clear" w:color="auto" w:fill="FFFFFF"/>
        <w:kinsoku/>
        <w:wordWrap/>
        <w:overflowPunct/>
        <w:topLinePunct w:val="0"/>
        <w:autoSpaceDE/>
        <w:autoSpaceDN/>
        <w:bidi w:val="0"/>
        <w:adjustRightInd/>
        <w:spacing w:line="360" w:lineRule="auto"/>
        <w:ind w:left="0" w:leftChars="0" w:firstLine="420" w:firstLineChars="200"/>
        <w:textAlignment w:val="auto"/>
        <w:rPr>
          <w:rFonts w:hint="default"/>
          <w:kern w:val="0"/>
          <w:sz w:val="21"/>
          <w:szCs w:val="21"/>
          <w:lang w:val="zh-CN"/>
        </w:rPr>
      </w:pPr>
      <w:r>
        <w:rPr>
          <w:kern w:val="0"/>
          <w:sz w:val="21"/>
          <w:szCs w:val="21"/>
          <w:lang w:val="zh-CN"/>
        </w:rPr>
        <w:t>3、报修后，应及时到达现场维修，保证系统的正常运行，在本地应有服务团队，如不能现场处理修复，须提供备用设备。</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kern w:val="0"/>
          <w:sz w:val="21"/>
          <w:szCs w:val="21"/>
          <w:lang w:val="zh-CN"/>
        </w:rPr>
      </w:pPr>
      <w:r>
        <w:rPr>
          <w:kern w:val="0"/>
          <w:sz w:val="21"/>
          <w:szCs w:val="21"/>
          <w:lang w:val="zh-CN"/>
        </w:rPr>
        <w:t>4、为了及时对故障进行诊断和解决，需提供多种响应方式，如：电话故障排除、远程故障排除、现场故障排除等。</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宋体"/>
          <w:sz w:val="21"/>
          <w:szCs w:val="21"/>
        </w:rPr>
      </w:pPr>
      <w:r>
        <w:rPr>
          <w:rFonts w:cs="宋体"/>
          <w:sz w:val="21"/>
          <w:szCs w:val="21"/>
        </w:rPr>
        <w:t>（六）★项目提交成果文档要求</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仿宋_GB2312"/>
          <w:bCs/>
          <w:sz w:val="21"/>
          <w:szCs w:val="21"/>
        </w:rPr>
      </w:pPr>
      <w:r>
        <w:rPr>
          <w:rFonts w:cs="仿宋_GB2312"/>
          <w:bCs/>
          <w:sz w:val="21"/>
          <w:szCs w:val="21"/>
        </w:rPr>
        <w:t>文档的提交应覆盖以下内容，电子文档是成果不可分割的部分。要求如下文档：</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仿宋_GB2312"/>
          <w:bCs/>
          <w:sz w:val="21"/>
          <w:szCs w:val="21"/>
        </w:rPr>
      </w:pPr>
      <w:r>
        <w:rPr>
          <w:rFonts w:cs="仿宋_GB2312"/>
          <w:bCs/>
          <w:sz w:val="21"/>
          <w:szCs w:val="21"/>
        </w:rPr>
        <w:t>1、项目实施前：项目实施计划；</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仿宋_GB2312"/>
          <w:bCs/>
          <w:sz w:val="21"/>
          <w:szCs w:val="21"/>
        </w:rPr>
      </w:pPr>
      <w:r>
        <w:rPr>
          <w:rFonts w:cs="仿宋_GB2312"/>
          <w:bCs/>
          <w:sz w:val="21"/>
          <w:szCs w:val="21"/>
        </w:rPr>
        <w:t>2、项目实施期间：系统总体设计方案、需求说明书、系统设计说明书、测试报告、项目实施工作单、项目实施过程中衍生的其它相关资料；</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仿宋_GB2312"/>
          <w:bCs/>
          <w:sz w:val="21"/>
          <w:szCs w:val="21"/>
        </w:rPr>
      </w:pPr>
      <w:r>
        <w:rPr>
          <w:rFonts w:cs="仿宋_GB2312"/>
          <w:bCs/>
          <w:sz w:val="21"/>
          <w:szCs w:val="21"/>
        </w:rPr>
        <w:t>3、项目实施后：系统试运行报告、开发总结报告；</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仿宋_GB2312"/>
          <w:bCs/>
          <w:sz w:val="21"/>
          <w:szCs w:val="21"/>
        </w:rPr>
      </w:pPr>
      <w:r>
        <w:rPr>
          <w:rFonts w:cs="仿宋_GB2312"/>
          <w:bCs/>
          <w:sz w:val="21"/>
          <w:szCs w:val="21"/>
        </w:rPr>
        <w:t>4、培训期间：培训计划、用户使用手册；</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仿宋_GB2312"/>
          <w:bCs/>
          <w:sz w:val="21"/>
          <w:szCs w:val="21"/>
        </w:rPr>
      </w:pPr>
      <w:r>
        <w:rPr>
          <w:rFonts w:cs="仿宋_GB2312"/>
          <w:bCs/>
          <w:sz w:val="21"/>
          <w:szCs w:val="21"/>
        </w:rPr>
        <w:t>5、系统全套完整源代码</w:t>
      </w:r>
    </w:p>
    <w:p>
      <w:pPr>
        <w:keepNext w:val="0"/>
        <w:keepLines w:val="0"/>
        <w:pageBreakBefore w:val="0"/>
        <w:kinsoku/>
        <w:wordWrap/>
        <w:overflowPunct/>
        <w:topLinePunct w:val="0"/>
        <w:autoSpaceDE/>
        <w:autoSpaceDN/>
        <w:bidi w:val="0"/>
        <w:adjustRightInd/>
        <w:spacing w:line="360" w:lineRule="auto"/>
        <w:ind w:left="0" w:leftChars="0" w:firstLine="420" w:firstLineChars="200"/>
        <w:textAlignment w:val="auto"/>
        <w:rPr>
          <w:rFonts w:hint="default" w:cs="仿宋_GB2312"/>
          <w:bCs/>
          <w:sz w:val="21"/>
          <w:szCs w:val="21"/>
        </w:rPr>
      </w:pPr>
      <w:r>
        <w:rPr>
          <w:rFonts w:cs="仿宋_GB2312"/>
          <w:bCs/>
          <w:sz w:val="21"/>
          <w:szCs w:val="21"/>
        </w:rPr>
        <w:t>6、其他需要提交的材料。</w:t>
      </w:r>
    </w:p>
    <w:p>
      <w:pPr>
        <w:pStyle w:val="15"/>
        <w:snapToGrid w:val="0"/>
        <w:spacing w:before="120" w:after="120" w:line="440" w:lineRule="exact"/>
        <w:jc w:val="both"/>
        <w:outlineLvl w:val="0"/>
        <w:rPr>
          <w:rFonts w:hint="eastAsia" w:ascii="黑体" w:hAnsi="宋体" w:eastAsia="黑体"/>
          <w:color w:val="000000"/>
          <w:sz w:val="32"/>
          <w:szCs w:val="32"/>
        </w:rPr>
      </w:pPr>
    </w:p>
    <w:p>
      <w:pPr>
        <w:pStyle w:val="15"/>
        <w:snapToGrid w:val="0"/>
        <w:spacing w:before="120" w:after="120" w:line="440" w:lineRule="exact"/>
        <w:jc w:val="center"/>
        <w:outlineLvl w:val="0"/>
        <w:rPr>
          <w:rFonts w:hint="eastAsia" w:ascii="黑体" w:hAnsi="宋体" w:eastAsia="黑体"/>
          <w:color w:val="000000"/>
          <w:sz w:val="30"/>
          <w:szCs w:val="30"/>
        </w:rPr>
      </w:pPr>
    </w:p>
    <w:p>
      <w:pPr>
        <w:pStyle w:val="15"/>
        <w:tabs>
          <w:tab w:val="left" w:pos="435"/>
        </w:tabs>
        <w:snapToGrid w:val="0"/>
        <w:spacing w:before="120" w:after="120" w:line="440" w:lineRule="exact"/>
        <w:outlineLvl w:val="0"/>
        <w:rPr>
          <w:rFonts w:ascii="黑体" w:hAnsi="宋体" w:eastAsia="黑体"/>
          <w:color w:val="000000"/>
          <w:sz w:val="30"/>
          <w:szCs w:val="30"/>
        </w:rPr>
      </w:pPr>
      <w:bookmarkStart w:id="2" w:name="_Toc496687411"/>
    </w:p>
    <w:p>
      <w:pPr>
        <w:pStyle w:val="15"/>
        <w:snapToGrid w:val="0"/>
        <w:spacing w:before="120" w:after="120" w:line="440" w:lineRule="exact"/>
        <w:jc w:val="center"/>
        <w:outlineLvl w:val="0"/>
        <w:rPr>
          <w:rFonts w:hint="eastAsia" w:ascii="黑体" w:hAnsi="宋体" w:eastAsia="黑体"/>
          <w:color w:val="000000"/>
          <w:sz w:val="30"/>
          <w:szCs w:val="30"/>
        </w:rPr>
      </w:pPr>
      <w:r>
        <w:rPr>
          <w:color w:val="000000"/>
        </w:rPr>
        <w:br w:type="page"/>
      </w:r>
      <w:r>
        <w:rPr>
          <w:rFonts w:hint="eastAsia" w:ascii="黑体" w:hAnsi="宋体" w:eastAsia="黑体"/>
          <w:color w:val="000000"/>
          <w:sz w:val="30"/>
          <w:szCs w:val="30"/>
        </w:rPr>
        <w:t>第三章  投标人须知</w:t>
      </w:r>
      <w:bookmarkEnd w:id="2"/>
    </w:p>
    <w:p>
      <w:pPr>
        <w:snapToGrid w:val="0"/>
        <w:spacing w:before="120" w:beforeLines="50" w:after="120" w:afterLines="50" w:line="440" w:lineRule="exact"/>
        <w:ind w:left="238"/>
        <w:jc w:val="center"/>
        <w:outlineLvl w:val="1"/>
        <w:rPr>
          <w:rFonts w:ascii="宋体" w:hAnsi="宋体"/>
          <w:b/>
          <w:color w:val="000000"/>
          <w:szCs w:val="21"/>
        </w:rPr>
      </w:pPr>
      <w:r>
        <w:rPr>
          <w:rFonts w:hint="eastAsia" w:ascii="宋体" w:hAnsi="宋体"/>
          <w:b/>
          <w:color w:val="000000"/>
          <w:szCs w:val="21"/>
        </w:rPr>
        <w:t>前附表</w:t>
      </w:r>
    </w:p>
    <w:tbl>
      <w:tblPr>
        <w:tblStyle w:val="2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9"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hint="eastAsia" w:ascii="宋体" w:hAnsi="宋体"/>
                <w:color w:val="000000"/>
                <w:szCs w:val="21"/>
              </w:rPr>
              <w:t>序号</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hint="eastAsia" w:ascii="宋体" w:hAnsi="宋体"/>
                <w:color w:val="000000"/>
                <w:szCs w:val="21"/>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9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1</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hint="eastAsia" w:ascii="宋体" w:hAnsi="宋体" w:eastAsia="宋体"/>
                <w:bCs/>
                <w:color w:val="000000"/>
                <w:szCs w:val="21"/>
                <w:lang w:eastAsia="zh-CN"/>
              </w:rPr>
            </w:pPr>
            <w:r>
              <w:rPr>
                <w:rFonts w:hint="eastAsia" w:ascii="宋体" w:hAnsi="宋体"/>
                <w:bCs/>
                <w:color w:val="000000"/>
                <w:szCs w:val="21"/>
              </w:rPr>
              <w:t xml:space="preserve">项目名称： </w:t>
            </w:r>
            <w:r>
              <w:rPr>
                <w:rFonts w:hint="eastAsia" w:ascii="宋体" w:hAnsi="宋体"/>
                <w:bCs/>
                <w:color w:val="000000"/>
                <w:szCs w:val="21"/>
                <w:lang w:eastAsia="zh-CN"/>
              </w:rPr>
              <w:t>甬江数字经济产业园（弘茂大厦）智能化建设相关软硬件服务采购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2</w:t>
            </w:r>
            <w:r>
              <w:rPr>
                <w:rFonts w:hint="eastAsia" w:ascii="宋体" w:hAnsi="宋体"/>
                <w:color w:val="000000"/>
                <w:szCs w:val="21"/>
              </w:rPr>
              <w:t>▲</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hint="eastAsia" w:ascii="宋体" w:hAnsi="宋体"/>
                <w:bCs/>
                <w:color w:val="000000"/>
                <w:szCs w:val="21"/>
                <w:lang w:eastAsia="zh-CN"/>
              </w:rPr>
            </w:pPr>
            <w:r>
              <w:rPr>
                <w:rFonts w:hint="eastAsia" w:ascii="宋体" w:hAnsi="宋体"/>
                <w:bCs/>
                <w:color w:val="000000"/>
                <w:szCs w:val="21"/>
                <w:lang w:eastAsia="zh-CN"/>
              </w:rPr>
              <w:t>服务期限：合同签订后</w:t>
            </w:r>
            <w:r>
              <w:rPr>
                <w:rFonts w:hint="eastAsia" w:ascii="宋体" w:hAnsi="宋体"/>
                <w:bCs/>
                <w:color w:val="000000"/>
                <w:szCs w:val="21"/>
                <w:lang w:val="en-US" w:eastAsia="zh-CN"/>
              </w:rPr>
              <w:t>3</w:t>
            </w:r>
            <w:r>
              <w:rPr>
                <w:rFonts w:hint="eastAsia" w:ascii="宋体" w:hAnsi="宋体"/>
                <w:bCs/>
                <w:color w:val="000000"/>
                <w:szCs w:val="21"/>
              </w:rPr>
              <w:t>个月内交货并</w:t>
            </w:r>
            <w:r>
              <w:rPr>
                <w:rFonts w:hint="eastAsia" w:ascii="宋体" w:hAnsi="宋体"/>
                <w:bCs/>
                <w:color w:val="000000"/>
                <w:szCs w:val="21"/>
                <w:lang w:eastAsia="zh-CN"/>
              </w:rPr>
              <w:t>安装、平台的搭建并调试、验收通过；</w:t>
            </w:r>
          </w:p>
          <w:p>
            <w:pPr>
              <w:snapToGrid w:val="0"/>
              <w:spacing w:line="440" w:lineRule="exact"/>
              <w:rPr>
                <w:rFonts w:hint="eastAsia" w:ascii="宋体" w:hAnsi="宋体"/>
                <w:bCs/>
                <w:color w:val="000000"/>
                <w:szCs w:val="21"/>
                <w:lang w:val="en-US" w:eastAsia="zh-CN"/>
              </w:rPr>
            </w:pPr>
            <w:r>
              <w:rPr>
                <w:rFonts w:hint="eastAsia" w:ascii="宋体" w:hAnsi="宋体"/>
                <w:bCs/>
                <w:color w:val="000000"/>
                <w:szCs w:val="21"/>
              </w:rPr>
              <w:t>云服务产品平台租赁期限：3年。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4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3</w:t>
            </w:r>
            <w:r>
              <w:rPr>
                <w:rFonts w:hint="eastAsia" w:ascii="宋体" w:hAnsi="宋体"/>
                <w:color w:val="000000"/>
                <w:szCs w:val="21"/>
              </w:rPr>
              <w:t>▲</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auto"/>
              <w:textAlignment w:val="auto"/>
              <w:rPr>
                <w:rFonts w:ascii="宋体" w:hAnsi="宋体"/>
                <w:color w:val="000000"/>
                <w:szCs w:val="21"/>
              </w:rPr>
            </w:pPr>
            <w:r>
              <w:rPr>
                <w:rFonts w:hint="eastAsia"/>
              </w:rPr>
              <w:t>投标报价及费用：1、本项目投标应以人民币报价；2、不论投标结果如何，投标人均应自行承担所有与投标有关的全部费用。</w:t>
            </w:r>
            <w:r>
              <w:rPr>
                <w:rFonts w:hint="eastAsia" w:ascii="宋体" w:hAnsi="宋体"/>
                <w:color w:val="000000"/>
                <w:szCs w:val="21"/>
              </w:rPr>
              <w:t>本项目的预算价</w:t>
            </w:r>
            <w:r>
              <w:rPr>
                <w:rFonts w:hint="eastAsia" w:ascii="宋体" w:hAnsi="宋体"/>
                <w:color w:val="000000"/>
                <w:szCs w:val="21"/>
                <w:u w:val="none"/>
              </w:rPr>
              <w:t>为最高限价为</w:t>
            </w:r>
            <w:r>
              <w:rPr>
                <w:rFonts w:hint="eastAsia" w:ascii="宋体" w:hAnsi="宋体"/>
                <w:color w:val="000000"/>
                <w:szCs w:val="21"/>
                <w:u w:val="none"/>
                <w:lang w:val="en-US" w:eastAsia="zh-CN"/>
              </w:rPr>
              <w:t xml:space="preserve">9711576 </w:t>
            </w:r>
            <w:r>
              <w:rPr>
                <w:rFonts w:hint="eastAsia" w:ascii="宋体" w:hAnsi="宋体"/>
                <w:color w:val="000000"/>
                <w:szCs w:val="21"/>
                <w:u w:val="none"/>
              </w:rPr>
              <w:t>元</w:t>
            </w:r>
            <w:r>
              <w:rPr>
                <w:rFonts w:hint="eastAsia" w:ascii="宋体" w:hAnsi="宋体"/>
                <w:color w:val="000000"/>
                <w:szCs w:val="21"/>
                <w:u w:val="none"/>
                <w:lang w:val="en-US" w:eastAsia="zh-CN"/>
              </w:rPr>
              <w:t xml:space="preserve">/年， </w:t>
            </w:r>
            <w:r>
              <w:rPr>
                <w:rFonts w:hint="eastAsia" w:ascii="宋体" w:hAnsi="宋体"/>
                <w:color w:val="000000"/>
                <w:szCs w:val="21"/>
              </w:rPr>
              <w:t>投标人的投标报价超过本项目的</w:t>
            </w:r>
            <w:r>
              <w:rPr>
                <w:rFonts w:hint="eastAsia" w:ascii="宋体" w:hAnsi="宋体"/>
                <w:color w:val="000000"/>
                <w:szCs w:val="21"/>
                <w:lang w:eastAsia="zh-CN"/>
              </w:rPr>
              <w:t>最高限价</w:t>
            </w:r>
            <w:r>
              <w:rPr>
                <w:rFonts w:hint="eastAsia" w:ascii="宋体" w:hAnsi="宋体"/>
                <w:color w:val="000000"/>
                <w:szCs w:val="21"/>
              </w:rPr>
              <w:t>的，其投标为无效，并否决其投标。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4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hint="eastAsia" w:ascii="宋体" w:hAnsi="宋体"/>
                <w:color w:val="000000"/>
                <w:szCs w:val="21"/>
              </w:rPr>
              <w:t>▲</w:t>
            </w:r>
            <w:r>
              <w:rPr>
                <w:rFonts w:ascii="宋体" w:hAnsi="宋体"/>
                <w:color w:val="000000"/>
                <w:szCs w:val="21"/>
              </w:rPr>
              <w:t>4</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olor w:val="000000"/>
                <w:szCs w:val="21"/>
              </w:rPr>
            </w:pPr>
            <w:r>
              <w:rPr>
                <w:rFonts w:hint="eastAsia" w:ascii="宋体" w:hAnsi="宋体"/>
                <w:color w:val="000000"/>
                <w:szCs w:val="21"/>
              </w:rPr>
              <w:t>投标保证金：人民币</w:t>
            </w:r>
            <w:r>
              <w:rPr>
                <w:rFonts w:hint="eastAsia" w:ascii="宋体" w:hAnsi="宋体"/>
                <w:color w:val="000000"/>
                <w:szCs w:val="21"/>
                <w:u w:val="single"/>
                <w:lang w:val="en-US" w:eastAsia="zh-CN"/>
              </w:rPr>
              <w:t>100000</w:t>
            </w:r>
            <w:r>
              <w:rPr>
                <w:rFonts w:hint="eastAsia" w:ascii="宋体" w:hAnsi="宋体"/>
                <w:color w:val="000000"/>
                <w:szCs w:val="21"/>
              </w:rPr>
              <w:t>元；</w:t>
            </w:r>
          </w:p>
          <w:p>
            <w:pPr>
              <w:snapToGrid w:val="0"/>
              <w:spacing w:line="440" w:lineRule="exact"/>
              <w:rPr>
                <w:rFonts w:hint="eastAsia" w:ascii="宋体" w:hAnsi="宋体"/>
                <w:color w:val="000000"/>
                <w:szCs w:val="21"/>
              </w:rPr>
            </w:pPr>
            <w:r>
              <w:rPr>
                <w:rFonts w:hint="eastAsia" w:ascii="宋体" w:hAnsi="宋体"/>
                <w:color w:val="000000"/>
                <w:szCs w:val="21"/>
              </w:rPr>
              <w:t>投标人应于投标截止时间前将投标保证金以汇票、电汇、支票和保函等形式交至浙江天诚工程咨询有限公司。</w:t>
            </w:r>
          </w:p>
          <w:p>
            <w:pPr>
              <w:tabs>
                <w:tab w:val="left" w:pos="426"/>
              </w:tabs>
              <w:spacing w:line="440" w:lineRule="exact"/>
              <w:contextualSpacing/>
              <w:rPr>
                <w:rFonts w:hint="eastAsia"/>
                <w:szCs w:val="24"/>
                <w:highlight w:val="none"/>
              </w:rPr>
            </w:pPr>
            <w:r>
              <w:rPr>
                <w:szCs w:val="24"/>
                <w:highlight w:val="none"/>
              </w:rPr>
              <w:t>开户银行：</w:t>
            </w:r>
            <w:r>
              <w:rPr>
                <w:rFonts w:hint="eastAsia"/>
                <w:szCs w:val="24"/>
                <w:highlight w:val="none"/>
              </w:rPr>
              <w:t>浙江泰隆银行宁波分行</w:t>
            </w:r>
          </w:p>
          <w:p>
            <w:pPr>
              <w:tabs>
                <w:tab w:val="left" w:pos="420"/>
              </w:tabs>
              <w:spacing w:line="440" w:lineRule="exact"/>
              <w:contextualSpacing/>
              <w:rPr>
                <w:rFonts w:hint="eastAsia"/>
                <w:szCs w:val="24"/>
                <w:highlight w:val="none"/>
              </w:rPr>
            </w:pPr>
            <w:r>
              <w:rPr>
                <w:rFonts w:hint="eastAsia"/>
                <w:szCs w:val="24"/>
                <w:highlight w:val="none"/>
              </w:rPr>
              <w:t>收款人：浙江天诚工程咨询有限公司</w:t>
            </w:r>
          </w:p>
          <w:p>
            <w:pPr>
              <w:snapToGrid w:val="0"/>
              <w:spacing w:line="440" w:lineRule="exact"/>
              <w:rPr>
                <w:rFonts w:hint="eastAsia"/>
                <w:szCs w:val="24"/>
                <w:highlight w:val="none"/>
              </w:rPr>
            </w:pPr>
            <w:r>
              <w:rPr>
                <w:rFonts w:hint="eastAsia"/>
                <w:szCs w:val="24"/>
                <w:highlight w:val="none"/>
              </w:rPr>
              <w:t>账号：3303010120100019646</w:t>
            </w:r>
          </w:p>
          <w:p>
            <w:pPr>
              <w:snapToGrid w:val="0"/>
              <w:spacing w:line="440" w:lineRule="exact"/>
              <w:rPr>
                <w:rFonts w:hint="eastAsia" w:ascii="宋体" w:hAnsi="宋体"/>
                <w:color w:val="000000"/>
                <w:szCs w:val="21"/>
              </w:rPr>
            </w:pPr>
            <w:r>
              <w:rPr>
                <w:rFonts w:hint="eastAsia" w:ascii="宋体" w:hAnsi="宋体"/>
                <w:color w:val="000000"/>
                <w:szCs w:val="21"/>
              </w:rPr>
              <w:t>特别提醒：1、投标人在缴纳投标保证金时，务必在用途栏中注明投标项目编号（详见招标文件封面），如招标文件要求分子包缴纳保证金的，还需要注明子包号，未注明项目编号和子包号或备注错误的，造成投标保证金到账无法确认，后果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86"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5</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olor w:val="000000"/>
                <w:szCs w:val="21"/>
              </w:rPr>
            </w:pPr>
            <w:r>
              <w:rPr>
                <w:rFonts w:hint="eastAsia" w:ascii="宋体" w:hAnsi="宋体"/>
                <w:color w:val="000000"/>
                <w:szCs w:val="21"/>
              </w:rPr>
              <w:t>现场踏勘：不组织，自行踏勘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3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6</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olor w:val="000000"/>
                <w:szCs w:val="21"/>
              </w:rPr>
            </w:pPr>
            <w:r>
              <w:rPr>
                <w:rFonts w:hint="eastAsia" w:ascii="宋体" w:hAnsi="宋体"/>
                <w:color w:val="000000"/>
                <w:szCs w:val="21"/>
              </w:rPr>
              <w:t>演示时间及地点：无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7</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440" w:lineRule="exact"/>
              <w:textAlignment w:val="bottom"/>
              <w:rPr>
                <w:rFonts w:ascii="宋体" w:hAnsi="宋体"/>
                <w:color w:val="000000"/>
                <w:szCs w:val="21"/>
              </w:rPr>
            </w:pPr>
            <w:r>
              <w:rPr>
                <w:rFonts w:hint="eastAsia" w:ascii="宋体" w:hAnsi="宋体"/>
                <w:color w:val="000000"/>
                <w:szCs w:val="21"/>
              </w:rPr>
              <w:t>▲投标文件组成：正本1份、副本</w:t>
            </w:r>
            <w:r>
              <w:rPr>
                <w:rFonts w:ascii="宋体" w:hAnsi="宋体"/>
                <w:color w:val="000000"/>
                <w:szCs w:val="21"/>
              </w:rPr>
              <w:t>4</w:t>
            </w:r>
            <w:r>
              <w:rPr>
                <w:rFonts w:hint="eastAsia" w:ascii="宋体" w:hAnsi="宋体"/>
                <w:color w:val="000000"/>
                <w:szCs w:val="21"/>
              </w:rPr>
              <w:t>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8</w:t>
            </w:r>
            <w:r>
              <w:rPr>
                <w:rFonts w:hint="eastAsia" w:ascii="宋体" w:hAnsi="宋体"/>
                <w:color w:val="000000"/>
                <w:szCs w:val="21"/>
              </w:rPr>
              <w:t>▲</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ind w:left="105" w:hanging="105" w:hangingChars="50"/>
              <w:jc w:val="left"/>
              <w:rPr>
                <w:rFonts w:ascii="宋体" w:hAnsi="宋体" w:cs="Arial"/>
                <w:color w:val="000000"/>
                <w:szCs w:val="21"/>
              </w:rPr>
            </w:pPr>
            <w:r>
              <w:rPr>
                <w:rFonts w:hint="eastAsia" w:ascii="宋体" w:hAnsi="宋体"/>
                <w:color w:val="000000"/>
                <w:szCs w:val="21"/>
              </w:rPr>
              <w:t>投标截止时间及地点：时间</w:t>
            </w:r>
            <w:r>
              <w:rPr>
                <w:rFonts w:hint="eastAsia" w:ascii="宋体" w:hAnsi="宋体" w:cs="Arial"/>
                <w:color w:val="000000"/>
                <w:szCs w:val="21"/>
                <w:u w:val="single"/>
              </w:rPr>
              <w:t>201</w:t>
            </w:r>
            <w:r>
              <w:rPr>
                <w:rFonts w:hint="eastAsia" w:ascii="宋体" w:hAnsi="宋体" w:cs="Arial"/>
                <w:color w:val="000000"/>
                <w:szCs w:val="21"/>
                <w:u w:val="single"/>
                <w:lang w:val="en-US" w:eastAsia="zh-CN"/>
              </w:rPr>
              <w:t>9</w:t>
            </w:r>
            <w:r>
              <w:rPr>
                <w:rFonts w:hint="eastAsia" w:ascii="宋体" w:hAnsi="宋体" w:cs="Arial"/>
                <w:color w:val="000000"/>
                <w:szCs w:val="21"/>
              </w:rPr>
              <w:t>年</w:t>
            </w:r>
            <w:r>
              <w:rPr>
                <w:rFonts w:hint="eastAsia" w:ascii="宋体" w:hAnsi="宋体" w:cs="Arial"/>
                <w:color w:val="000000"/>
                <w:szCs w:val="21"/>
                <w:u w:val="single"/>
                <w:lang w:val="en-US" w:eastAsia="zh-CN"/>
              </w:rPr>
              <w:t>10</w:t>
            </w:r>
            <w:r>
              <w:rPr>
                <w:rFonts w:hint="eastAsia" w:ascii="宋体" w:hAnsi="宋体" w:cs="Arial"/>
                <w:color w:val="000000"/>
                <w:szCs w:val="21"/>
              </w:rPr>
              <w:t>月</w:t>
            </w:r>
            <w:r>
              <w:rPr>
                <w:rFonts w:hint="eastAsia" w:ascii="宋体" w:hAnsi="宋体" w:cs="Arial"/>
                <w:color w:val="000000"/>
                <w:szCs w:val="21"/>
                <w:u w:val="single"/>
                <w:lang w:val="en-US" w:eastAsia="zh-CN"/>
              </w:rPr>
              <w:t>21</w:t>
            </w:r>
            <w:r>
              <w:rPr>
                <w:rFonts w:hint="eastAsia" w:ascii="宋体" w:hAnsi="宋体" w:cs="Arial"/>
                <w:color w:val="000000"/>
                <w:szCs w:val="21"/>
              </w:rPr>
              <w:t>日</w:t>
            </w:r>
            <w:r>
              <w:rPr>
                <w:rFonts w:hint="eastAsia" w:ascii="宋体" w:hAnsi="宋体"/>
                <w:color w:val="000000"/>
                <w:szCs w:val="21"/>
                <w:u w:val="single"/>
                <w:lang w:val="en-US" w:eastAsia="zh-CN"/>
              </w:rPr>
              <w:t>9</w:t>
            </w:r>
            <w:r>
              <w:rPr>
                <w:rFonts w:hint="eastAsia" w:ascii="宋体" w:hAnsi="宋体"/>
                <w:color w:val="000000"/>
                <w:szCs w:val="21"/>
                <w:u w:val="single"/>
              </w:rPr>
              <w:t>：</w:t>
            </w:r>
            <w:r>
              <w:rPr>
                <w:rFonts w:hint="eastAsia" w:ascii="宋体" w:hAnsi="宋体"/>
                <w:color w:val="000000"/>
                <w:szCs w:val="21"/>
                <w:u w:val="single"/>
                <w:lang w:val="en-US" w:eastAsia="zh-CN"/>
              </w:rPr>
              <w:t>0</w:t>
            </w:r>
            <w:r>
              <w:rPr>
                <w:rFonts w:hint="eastAsia" w:ascii="宋体" w:hAnsi="宋体"/>
                <w:color w:val="000000"/>
                <w:szCs w:val="21"/>
                <w:u w:val="single"/>
              </w:rPr>
              <w:t>0</w:t>
            </w:r>
            <w:r>
              <w:rPr>
                <w:rFonts w:hint="eastAsia" w:ascii="宋体" w:hAnsi="宋体" w:cs="Arial"/>
                <w:color w:val="000000"/>
                <w:szCs w:val="21"/>
              </w:rPr>
              <w:t>；地点：江北区公共资源交易中心开标室（江北区丽江东路85弄16号）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9</w:t>
            </w:r>
            <w:r>
              <w:rPr>
                <w:rFonts w:hint="eastAsia" w:ascii="宋体" w:hAnsi="宋体"/>
                <w:color w:val="000000"/>
                <w:szCs w:val="21"/>
              </w:rPr>
              <w:t>▲</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olor w:val="000000"/>
                <w:szCs w:val="21"/>
              </w:rPr>
            </w:pPr>
            <w:r>
              <w:rPr>
                <w:rFonts w:hint="eastAsia" w:ascii="宋体" w:hAnsi="宋体"/>
                <w:color w:val="000000"/>
                <w:szCs w:val="21"/>
              </w:rPr>
              <w:t>开标时间及地点：时间</w:t>
            </w:r>
            <w:r>
              <w:rPr>
                <w:rFonts w:hint="eastAsia" w:ascii="宋体" w:hAnsi="宋体" w:cs="Arial"/>
                <w:color w:val="000000"/>
                <w:szCs w:val="21"/>
                <w:u w:val="single"/>
              </w:rPr>
              <w:t>201</w:t>
            </w:r>
            <w:r>
              <w:rPr>
                <w:rFonts w:hint="eastAsia" w:ascii="宋体" w:hAnsi="宋体" w:cs="Arial"/>
                <w:color w:val="000000"/>
                <w:szCs w:val="21"/>
                <w:u w:val="single"/>
                <w:lang w:val="en-US" w:eastAsia="zh-CN"/>
              </w:rPr>
              <w:t>9</w:t>
            </w:r>
            <w:r>
              <w:rPr>
                <w:rFonts w:hint="eastAsia" w:ascii="宋体" w:hAnsi="宋体" w:cs="Arial"/>
                <w:color w:val="000000"/>
                <w:szCs w:val="21"/>
              </w:rPr>
              <w:t>年</w:t>
            </w:r>
            <w:r>
              <w:rPr>
                <w:rFonts w:hint="eastAsia" w:ascii="宋体" w:hAnsi="宋体" w:cs="Arial"/>
                <w:color w:val="000000"/>
                <w:szCs w:val="21"/>
                <w:u w:val="single"/>
                <w:lang w:val="en-US" w:eastAsia="zh-CN"/>
              </w:rPr>
              <w:t xml:space="preserve">10 </w:t>
            </w:r>
            <w:r>
              <w:rPr>
                <w:rFonts w:hint="eastAsia" w:ascii="宋体" w:hAnsi="宋体" w:cs="Arial"/>
                <w:color w:val="000000"/>
                <w:szCs w:val="21"/>
              </w:rPr>
              <w:t>月</w:t>
            </w:r>
            <w:r>
              <w:rPr>
                <w:rFonts w:hint="eastAsia" w:ascii="宋体" w:hAnsi="宋体" w:cs="Arial"/>
                <w:color w:val="000000"/>
                <w:szCs w:val="21"/>
                <w:u w:val="single"/>
                <w:lang w:val="en-US" w:eastAsia="zh-CN"/>
              </w:rPr>
              <w:t xml:space="preserve"> 21</w:t>
            </w:r>
            <w:r>
              <w:rPr>
                <w:rFonts w:hint="eastAsia" w:ascii="宋体" w:hAnsi="宋体" w:cs="Arial"/>
                <w:color w:val="000000"/>
                <w:szCs w:val="21"/>
              </w:rPr>
              <w:t>日</w:t>
            </w:r>
            <w:r>
              <w:rPr>
                <w:rFonts w:hint="eastAsia" w:ascii="宋体" w:hAnsi="宋体"/>
                <w:color w:val="000000"/>
                <w:szCs w:val="21"/>
                <w:u w:val="single"/>
                <w:lang w:val="en-US" w:eastAsia="zh-CN"/>
              </w:rPr>
              <w:t>9</w:t>
            </w:r>
            <w:r>
              <w:rPr>
                <w:rFonts w:hint="eastAsia" w:ascii="宋体" w:hAnsi="宋体"/>
                <w:color w:val="000000"/>
                <w:szCs w:val="21"/>
                <w:u w:val="single"/>
              </w:rPr>
              <w:t>：</w:t>
            </w:r>
            <w:r>
              <w:rPr>
                <w:rFonts w:hint="eastAsia" w:ascii="宋体" w:hAnsi="宋体"/>
                <w:color w:val="000000"/>
                <w:szCs w:val="21"/>
                <w:u w:val="single"/>
                <w:lang w:val="en-US" w:eastAsia="zh-CN"/>
              </w:rPr>
              <w:t>00</w:t>
            </w:r>
            <w:r>
              <w:rPr>
                <w:rFonts w:hint="eastAsia" w:ascii="宋体" w:hAnsi="宋体" w:cs="Arial"/>
                <w:color w:val="000000"/>
                <w:szCs w:val="21"/>
              </w:rPr>
              <w:t>；地点：江北区公共资源交易中心开标室（江北区丽江东路85弄16号）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4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ascii="宋体" w:hAnsi="宋体"/>
                <w:color w:val="000000"/>
                <w:szCs w:val="21"/>
              </w:rPr>
            </w:pPr>
            <w:r>
              <w:rPr>
                <w:rFonts w:ascii="宋体" w:hAnsi="宋体"/>
                <w:color w:val="000000"/>
                <w:szCs w:val="21"/>
              </w:rPr>
              <w:t>10</w:t>
            </w:r>
            <w:r>
              <w:rPr>
                <w:rFonts w:hint="eastAsia" w:ascii="宋体" w:hAnsi="宋体"/>
                <w:color w:val="000000"/>
                <w:szCs w:val="21"/>
              </w:rPr>
              <w:t>▲</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440" w:lineRule="exact"/>
              <w:textAlignment w:val="bottom"/>
              <w:rPr>
                <w:rFonts w:hint="eastAsia" w:ascii="宋体" w:hAnsi="宋体"/>
                <w:color w:val="000000"/>
                <w:szCs w:val="21"/>
              </w:rPr>
            </w:pPr>
            <w:r>
              <w:rPr>
                <w:rFonts w:hint="eastAsia" w:ascii="宋体" w:hAnsi="宋体"/>
                <w:color w:val="000000"/>
                <w:szCs w:val="21"/>
              </w:rPr>
              <w:t>评标办法及评分标准：详见第四章 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3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default" w:ascii="宋体" w:hAnsi="宋体" w:eastAsia="宋体"/>
                <w:color w:val="000000"/>
                <w:szCs w:val="21"/>
                <w:highlight w:val="none"/>
                <w:lang w:val="en-US" w:eastAsia="zh-CN"/>
              </w:rPr>
            </w:pPr>
            <w:r>
              <w:rPr>
                <w:rFonts w:hint="eastAsia" w:ascii="宋体" w:hAnsi="宋体"/>
                <w:color w:val="000000"/>
                <w:szCs w:val="21"/>
                <w:highlight w:val="none"/>
                <w:lang w:val="en-US" w:eastAsia="zh-CN"/>
              </w:rPr>
              <w:t>11</w:t>
            </w:r>
            <w:r>
              <w:rPr>
                <w:rFonts w:hint="eastAsia" w:ascii="宋体" w:hAnsi="宋体"/>
                <w:color w:val="000000"/>
                <w:szCs w:val="21"/>
                <w:highlight w:val="none"/>
              </w:rPr>
              <w:t>▲</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numPr>
                <w:ilvl w:val="0"/>
                <w:numId w:val="6"/>
              </w:numPr>
              <w:spacing w:line="400" w:lineRule="exact"/>
              <w:ind w:left="0"/>
              <w:contextualSpacing/>
              <w:jc w:val="left"/>
              <w:rPr>
                <w:rFonts w:hint="eastAsia" w:ascii="宋体" w:hAnsi="宋体"/>
                <w:color w:val="000000"/>
                <w:szCs w:val="21"/>
                <w:highlight w:val="none"/>
                <w:lang w:eastAsia="zh-CN"/>
              </w:rPr>
            </w:pPr>
            <w:r>
              <w:rPr>
                <w:rFonts w:hint="eastAsia" w:ascii="宋体" w:hAnsi="宋体"/>
                <w:color w:val="000000"/>
                <w:szCs w:val="21"/>
                <w:highlight w:val="none"/>
                <w:lang w:eastAsia="zh-CN"/>
              </w:rPr>
              <w:t>付款方式：</w:t>
            </w:r>
            <w:r>
              <w:rPr>
                <w:rFonts w:hint="eastAsia" w:ascii="宋体" w:hAnsi="宋体"/>
                <w:color w:val="000000"/>
                <w:szCs w:val="21"/>
                <w:highlight w:val="none"/>
              </w:rPr>
              <w:t>合同签订后支付合同价款的30%，项目主要硬件设备全部到货、检验合格并安装结束后，支付合同</w:t>
            </w:r>
            <w:r>
              <w:rPr>
                <w:rFonts w:hint="eastAsia" w:ascii="宋体" w:hAnsi="宋体"/>
                <w:color w:val="000000"/>
                <w:szCs w:val="21"/>
                <w:highlight w:val="none"/>
                <w:lang w:eastAsia="zh-CN"/>
              </w:rPr>
              <w:t>价款</w:t>
            </w:r>
            <w:r>
              <w:rPr>
                <w:rFonts w:hint="eastAsia" w:ascii="宋体" w:hAnsi="宋体"/>
                <w:color w:val="000000"/>
                <w:szCs w:val="21"/>
                <w:highlight w:val="none"/>
              </w:rPr>
              <w:t>的30%，验收通过后支付</w:t>
            </w:r>
            <w:r>
              <w:rPr>
                <w:rFonts w:hint="eastAsia" w:ascii="宋体" w:hAnsi="宋体"/>
                <w:color w:val="000000"/>
                <w:szCs w:val="21"/>
                <w:highlight w:val="none"/>
                <w:lang w:eastAsia="zh-CN"/>
              </w:rPr>
              <w:t>合同价款</w:t>
            </w:r>
            <w:r>
              <w:rPr>
                <w:rFonts w:hint="eastAsia" w:ascii="宋体" w:hAnsi="宋体"/>
                <w:color w:val="000000"/>
                <w:szCs w:val="21"/>
                <w:highlight w:val="none"/>
              </w:rPr>
              <w:t>20%，验收通过后第二年支付合同</w:t>
            </w:r>
            <w:r>
              <w:rPr>
                <w:rFonts w:hint="eastAsia" w:ascii="宋体" w:hAnsi="宋体"/>
                <w:color w:val="000000"/>
                <w:szCs w:val="21"/>
                <w:highlight w:val="none"/>
                <w:lang w:eastAsia="zh-CN"/>
              </w:rPr>
              <w:t>价款</w:t>
            </w:r>
            <w:r>
              <w:rPr>
                <w:rFonts w:hint="eastAsia" w:ascii="宋体" w:hAnsi="宋体"/>
                <w:color w:val="000000"/>
                <w:szCs w:val="21"/>
                <w:highlight w:val="none"/>
              </w:rPr>
              <w:t>的10%，验收通过后第三年支付合同</w:t>
            </w:r>
            <w:r>
              <w:rPr>
                <w:rFonts w:hint="eastAsia" w:ascii="宋体" w:hAnsi="宋体"/>
                <w:color w:val="000000"/>
                <w:szCs w:val="21"/>
                <w:highlight w:val="none"/>
                <w:lang w:eastAsia="zh-CN"/>
              </w:rPr>
              <w:t>价款的</w:t>
            </w:r>
            <w:r>
              <w:rPr>
                <w:rFonts w:hint="eastAsia" w:ascii="宋体" w:hAnsi="宋体"/>
                <w:color w:val="000000"/>
                <w:szCs w:val="21"/>
                <w:highlight w:val="none"/>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8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2</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440" w:lineRule="exact"/>
              <w:textAlignment w:val="bottom"/>
              <w:rPr>
                <w:rFonts w:hint="eastAsia" w:ascii="宋体" w:hAnsi="宋体" w:cs="Arial"/>
                <w:color w:val="000000"/>
                <w:szCs w:val="21"/>
                <w:u w:val="single"/>
              </w:rPr>
            </w:pPr>
            <w:r>
              <w:rPr>
                <w:rFonts w:hint="eastAsia" w:ascii="宋体" w:hAnsi="宋体"/>
                <w:color w:val="000000"/>
                <w:szCs w:val="21"/>
              </w:rPr>
              <w:t>评标结果公告：评标结果公告于</w:t>
            </w:r>
            <w:r>
              <w:rPr>
                <w:rFonts w:hint="eastAsia" w:ascii="宋体" w:hAnsi="宋体" w:cs="Arial"/>
                <w:color w:val="000000"/>
                <w:szCs w:val="21"/>
                <w:u w:val="single"/>
              </w:rPr>
              <w:t>“浙江政府采购网”、“宁波市公共资源交易网江北分</w:t>
            </w:r>
          </w:p>
          <w:p>
            <w:pPr>
              <w:autoSpaceDE w:val="0"/>
              <w:autoSpaceDN w:val="0"/>
              <w:snapToGrid w:val="0"/>
              <w:spacing w:line="440" w:lineRule="exact"/>
              <w:textAlignment w:val="bottom"/>
              <w:rPr>
                <w:rFonts w:hint="eastAsia" w:ascii="宋体" w:hAnsi="宋体"/>
                <w:color w:val="000000"/>
                <w:szCs w:val="21"/>
              </w:rPr>
            </w:pPr>
            <w:r>
              <w:rPr>
                <w:rFonts w:hint="eastAsia" w:ascii="宋体" w:hAnsi="宋体" w:cs="Arial"/>
                <w:color w:val="000000"/>
                <w:szCs w:val="21"/>
                <w:u w:val="single"/>
              </w:rPr>
              <w:t>网”上公布</w:t>
            </w:r>
            <w:r>
              <w:rPr>
                <w:rFonts w:hint="eastAsia" w:ascii="宋体" w:hAnsi="宋体" w:cs="Arial"/>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8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3</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440" w:lineRule="exact"/>
              <w:textAlignment w:val="bottom"/>
              <w:rPr>
                <w:rFonts w:ascii="宋体" w:hAnsi="宋体"/>
                <w:color w:val="000000"/>
                <w:szCs w:val="21"/>
              </w:rPr>
            </w:pPr>
            <w:r>
              <w:rPr>
                <w:rFonts w:hint="eastAsia" w:ascii="宋体" w:hAnsi="宋体"/>
                <w:color w:val="000000"/>
                <w:szCs w:val="21"/>
              </w:rPr>
              <w:t>投标保证金退还（不计息）：除招标文件规定不予退还保证金的情形外，未中标人的投标保证金在中标通知书发出后5个工作日内，中标人的投标保证金在合同签订后5个工作内，提供单位开户银行及账号后，招标代理机构以电汇或转账方式退还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71"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4</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440" w:lineRule="exact"/>
              <w:textAlignment w:val="bottom"/>
              <w:rPr>
                <w:rFonts w:hint="eastAsia" w:ascii="宋体" w:hAnsi="宋体"/>
                <w:color w:val="000000"/>
                <w:szCs w:val="21"/>
              </w:rPr>
            </w:pPr>
            <w:r>
              <w:rPr>
                <w:rFonts w:hint="eastAsia" w:ascii="宋体" w:hAnsi="宋体"/>
                <w:color w:val="000000"/>
                <w:szCs w:val="21"/>
              </w:rPr>
              <w:t>签订合同时间：中标通知书发出后3日内。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0"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5</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440" w:lineRule="exact"/>
              <w:textAlignment w:val="bottom"/>
              <w:rPr>
                <w:rFonts w:hint="eastAsia" w:ascii="宋体" w:hAnsi="宋体"/>
                <w:color w:val="000000"/>
                <w:szCs w:val="21"/>
                <w:highlight w:val="none"/>
              </w:rPr>
            </w:pPr>
            <w:r>
              <w:rPr>
                <w:rFonts w:hint="eastAsia" w:ascii="宋体" w:hAnsi="宋体"/>
                <w:color w:val="000000"/>
                <w:szCs w:val="21"/>
                <w:highlight w:val="none"/>
              </w:rPr>
              <w:t>履约保证金的收取及退还：履约保证金为合同金额的</w:t>
            </w:r>
            <w:r>
              <w:rPr>
                <w:rFonts w:hint="eastAsia" w:ascii="宋体" w:hAnsi="宋体"/>
                <w:color w:val="000000"/>
                <w:szCs w:val="21"/>
                <w:highlight w:val="none"/>
                <w:lang w:val="en-US" w:eastAsia="zh-CN"/>
              </w:rPr>
              <w:t>5</w:t>
            </w:r>
            <w:r>
              <w:rPr>
                <w:rFonts w:hint="eastAsia" w:ascii="宋体" w:hAnsi="宋体"/>
                <w:color w:val="000000"/>
                <w:szCs w:val="21"/>
                <w:highlight w:val="none"/>
              </w:rPr>
              <w:t>％，合同履行完毕后10日内全额无息退还。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45"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6</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440" w:lineRule="exact"/>
              <w:textAlignment w:val="bottom"/>
              <w:rPr>
                <w:rFonts w:hint="eastAsia" w:ascii="宋体" w:hAnsi="宋体"/>
                <w:color w:val="000000"/>
                <w:szCs w:val="21"/>
              </w:rPr>
            </w:pPr>
            <w:r>
              <w:rPr>
                <w:rFonts w:hint="eastAsia" w:ascii="宋体" w:hAnsi="宋体"/>
                <w:color w:val="000000"/>
                <w:szCs w:val="21"/>
              </w:rPr>
              <w:t>采购资金来源：预算资金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53"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7</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olor w:val="000000"/>
                <w:szCs w:val="21"/>
              </w:rPr>
            </w:pPr>
            <w:r>
              <w:rPr>
                <w:rFonts w:hint="eastAsia" w:ascii="宋体" w:hAnsi="宋体"/>
                <w:color w:val="000000"/>
                <w:szCs w:val="21"/>
              </w:rPr>
              <w:t>投标文件有效期：</w:t>
            </w:r>
            <w:r>
              <w:rPr>
                <w:rFonts w:hint="eastAsia" w:ascii="宋体" w:hAnsi="宋体" w:cs="Arial"/>
                <w:color w:val="000000"/>
                <w:szCs w:val="21"/>
                <w:u w:val="single"/>
              </w:rPr>
              <w:t>90</w:t>
            </w:r>
            <w:r>
              <w:rPr>
                <w:rFonts w:hint="eastAsia" w:ascii="宋体" w:hAnsi="宋体" w:cs="Arial"/>
                <w:color w:val="000000"/>
                <w:szCs w:val="21"/>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942"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8</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60" w:lineRule="auto"/>
              <w:textAlignment w:val="auto"/>
              <w:rPr>
                <w:rFonts w:hint="eastAsia" w:ascii="宋体" w:hAnsi="宋体"/>
                <w:color w:val="000000"/>
                <w:szCs w:val="21"/>
              </w:rPr>
            </w:pPr>
            <w:r>
              <w:rPr>
                <w:rFonts w:hint="eastAsia" w:ascii="宋体" w:hAnsi="宋体"/>
                <w:color w:val="000000"/>
                <w:szCs w:val="21"/>
              </w:rPr>
              <w:t>招标服务费：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szCs w:val="21"/>
              </w:rPr>
            </w:pPr>
            <w:r>
              <w:rPr>
                <w:rFonts w:hint="eastAsia" w:ascii="宋体" w:hAnsi="宋体"/>
                <w:color w:val="000000"/>
                <w:szCs w:val="21"/>
                <w:lang w:eastAsia="zh-CN"/>
              </w:rPr>
              <w:t>（</w:t>
            </w:r>
            <w:r>
              <w:rPr>
                <w:rFonts w:hint="eastAsia" w:ascii="宋体" w:hAnsi="宋体"/>
                <w:color w:val="000000"/>
                <w:szCs w:val="21"/>
                <w:lang w:val="en-US" w:eastAsia="zh-CN"/>
              </w:rPr>
              <w:t>1</w:t>
            </w:r>
            <w:r>
              <w:rPr>
                <w:rFonts w:hint="eastAsia" w:ascii="宋体" w:hAnsi="宋体"/>
                <w:color w:val="000000"/>
                <w:szCs w:val="21"/>
                <w:lang w:eastAsia="zh-CN"/>
              </w:rPr>
              <w:t>）</w:t>
            </w:r>
            <w:r>
              <w:rPr>
                <w:rFonts w:hint="eastAsia" w:ascii="宋体" w:hAnsi="宋体"/>
                <w:color w:val="000000"/>
                <w:szCs w:val="21"/>
              </w:rPr>
              <w:t>本招标公司根据国家发改委发改办价格[2003]857号通知、</w:t>
            </w:r>
            <w:r>
              <w:rPr>
                <w:rFonts w:ascii="宋体" w:hAnsi="宋体"/>
                <w:color w:val="000000"/>
                <w:szCs w:val="21"/>
              </w:rPr>
              <w:t>国家发展改革委[2011]534号</w:t>
            </w:r>
            <w:r>
              <w:rPr>
                <w:rFonts w:hint="eastAsia" w:ascii="宋体" w:hAnsi="宋体"/>
                <w:color w:val="000000"/>
                <w:szCs w:val="21"/>
              </w:rPr>
              <w:t>和国家计委计价格[2002]1980号文件规定的招标费率标准，</w:t>
            </w:r>
            <w:r>
              <w:rPr>
                <w:rFonts w:hint="eastAsia" w:ascii="宋体" w:hAnsi="宋体"/>
                <w:szCs w:val="21"/>
              </w:rPr>
              <w:t>招标代理机构按照</w:t>
            </w:r>
            <w:r>
              <w:rPr>
                <w:rFonts w:hint="eastAsia" w:ascii="宋体" w:hAnsi="宋体"/>
                <w:szCs w:val="21"/>
                <w:lang w:eastAsia="zh-CN"/>
              </w:rPr>
              <w:t>三年的</w:t>
            </w:r>
            <w:r>
              <w:rPr>
                <w:rFonts w:hint="eastAsia" w:ascii="宋体" w:hAnsi="宋体"/>
                <w:szCs w:val="21"/>
              </w:rPr>
              <w:t>中标总金额，根据以下表格差额累进制服务招标标准向中标供应商收取招标服务费。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lang w:val="en-US" w:eastAsia="zh-CN"/>
              </w:rPr>
              <w:t>2</w:t>
            </w:r>
            <w:r>
              <w:rPr>
                <w:rFonts w:hint="eastAsia" w:ascii="宋体" w:hAnsi="宋体"/>
                <w:color w:val="000000"/>
                <w:szCs w:val="21"/>
                <w:lang w:eastAsia="zh-CN"/>
              </w:rPr>
              <w:t>）</w:t>
            </w:r>
            <w:r>
              <w:rPr>
                <w:rFonts w:hint="eastAsia" w:ascii="宋体" w:hAnsi="宋体"/>
                <w:color w:val="000000"/>
                <w:szCs w:val="21"/>
              </w:rPr>
              <w:t>成交供应商应在本公司发出成交通知书5个工作日内向本招标公司支付招标服务费。</w:t>
            </w:r>
          </w:p>
          <w:p>
            <w:pPr>
              <w:keepNext w:val="0"/>
              <w:keepLines w:val="0"/>
              <w:pageBreakBefore w:val="0"/>
              <w:widowControl w:val="0"/>
              <w:tabs>
                <w:tab w:val="left" w:pos="426"/>
              </w:tabs>
              <w:kinsoku/>
              <w:wordWrap/>
              <w:overflowPunct/>
              <w:topLinePunct w:val="0"/>
              <w:autoSpaceDE/>
              <w:autoSpaceDN/>
              <w:bidi w:val="0"/>
              <w:adjustRightInd/>
              <w:spacing w:line="360" w:lineRule="auto"/>
              <w:contextualSpacing/>
              <w:textAlignment w:val="auto"/>
              <w:rPr>
                <w:rFonts w:hint="eastAsia"/>
                <w:szCs w:val="24"/>
                <w:highlight w:val="none"/>
              </w:rPr>
            </w:pPr>
            <w:r>
              <w:rPr>
                <w:szCs w:val="24"/>
                <w:highlight w:val="none"/>
              </w:rPr>
              <w:t>开户银行：</w:t>
            </w:r>
            <w:r>
              <w:rPr>
                <w:rFonts w:hint="eastAsia"/>
                <w:szCs w:val="24"/>
                <w:highlight w:val="none"/>
              </w:rPr>
              <w:t>浙江泰隆银行宁波分行</w:t>
            </w:r>
          </w:p>
          <w:p>
            <w:pPr>
              <w:keepNext w:val="0"/>
              <w:keepLines w:val="0"/>
              <w:pageBreakBefore w:val="0"/>
              <w:widowControl w:val="0"/>
              <w:tabs>
                <w:tab w:val="left" w:pos="420"/>
              </w:tabs>
              <w:kinsoku/>
              <w:wordWrap/>
              <w:overflowPunct/>
              <w:topLinePunct w:val="0"/>
              <w:autoSpaceDE/>
              <w:autoSpaceDN/>
              <w:bidi w:val="0"/>
              <w:adjustRightInd/>
              <w:spacing w:line="360" w:lineRule="auto"/>
              <w:contextualSpacing/>
              <w:textAlignment w:val="auto"/>
              <w:rPr>
                <w:rFonts w:hint="eastAsia"/>
                <w:szCs w:val="24"/>
                <w:highlight w:val="none"/>
              </w:rPr>
            </w:pPr>
            <w:r>
              <w:rPr>
                <w:rFonts w:hint="eastAsia"/>
                <w:szCs w:val="24"/>
                <w:highlight w:val="none"/>
              </w:rPr>
              <w:t>收款人：浙江天诚工程咨询有限公司；</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color w:val="000000"/>
                <w:szCs w:val="21"/>
              </w:rPr>
            </w:pPr>
            <w:r>
              <w:rPr>
                <w:rFonts w:hint="eastAsia"/>
                <w:szCs w:val="24"/>
                <w:highlight w:val="none"/>
              </w:rPr>
              <w:t>账号：3303010120100019646</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1864"/>
              <w:gridCol w:w="1864"/>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9" w:hRule="atLeast"/>
              </w:trPr>
              <w:tc>
                <w:tcPr>
                  <w:tcW w:w="2531"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sz w:val="18"/>
                      <w:szCs w:val="21"/>
                      <w:lang/>
                    </w:rPr>
                    <mc:AlternateContent>
                      <mc:Choice Requires="wps">
                        <w:drawing>
                          <wp:anchor distT="0" distB="0" distL="114300" distR="114300" simplePos="0" relativeHeight="251659264" behindDoc="0" locked="0" layoutInCell="1" allowOverlap="1">
                            <wp:simplePos x="0" y="0"/>
                            <wp:positionH relativeFrom="column">
                              <wp:posOffset>-67945</wp:posOffset>
                            </wp:positionH>
                            <wp:positionV relativeFrom="paragraph">
                              <wp:posOffset>-5715</wp:posOffset>
                            </wp:positionV>
                            <wp:extent cx="1685925" cy="334645"/>
                            <wp:effectExtent l="635" t="4445" r="8890" b="22860"/>
                            <wp:wrapNone/>
                            <wp:docPr id="1" name="Line 2"/>
                            <wp:cNvGraphicFramePr/>
                            <a:graphic xmlns:a="http://schemas.openxmlformats.org/drawingml/2006/main">
                              <a:graphicData uri="http://schemas.microsoft.com/office/word/2010/wordprocessingShape">
                                <wps:wsp>
                                  <wps:cNvSpPr/>
                                  <wps:spPr>
                                    <a:xfrm>
                                      <a:off x="0" y="0"/>
                                      <a:ext cx="1685925" cy="3346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5.35pt;margin-top:-0.45pt;height:26.35pt;width:132.75pt;z-index:251659264;mso-width-relative:page;mso-height-relative:page;" filled="f" stroked="t" coordsize="21600,21600" o:gfxdata="UEsDBAoAAAAAAIdO4kAAAAAAAAAAAAAAAAAEAAAAZHJzL1BLAwQUAAAACACHTuJAbl2GI9cAAAAI AQAADwAAAGRycy9kb3ducmV2LnhtbE2PvU7DQBCEeyTe4bRINFFyZ0NCMD6nANzRJBDRbuzFtvDt Ob7LDzw9SwXdjmY0+02+OrteHWkMnWcLycyAIq583XFj4e21nC5BhYhcY++ZLHxRgFVxeZFjVvsT r+m4iY2SEg4ZWmhjHDKtQ9WSwzDzA7F4H350GEWOja5HPEm563VqzEI77Fg+tDjQY0vV5+bgLIRy S/vye1JNzPtN4yndP708o7XXV4l5ABXpHP/C8Isv6FAI084fuA6qtzBNzJ1E5bgHJX46v5UpOwvz ZAm6yPX/AcUPUEsDBBQAAAAIAIdO4kCjvwX43QEAAN4DAAAOAAAAZHJzL2Uyb0RvYy54bWytU01v 2zAMvQ/YfxB0b5ykTdAacXpo1l2KrUC3H6BItC1AXxCVOPn3o2Qv3bpLDvNBpkTqke+R2jyerGFH iKi9a/hiNucMnPRKu67hP38839xzhkk4JYx30PAzIH/cfv60GUINS997oyAyAnFYD6HhfUqhriqU PViBMx/AkbP10YpE29hVKoqB0K2plvP5uhp8VCF6CYh0uhudfEKM1wD6ttUSdl4eLLg0okYwIhEl 7HVAvi3Vti3I9L1tERIzDSemqayUhOx9XqvtRtRdFKHXcipBXFPCB05WaEdJL1A7kQQ7RP0PlNUy evRtmklvq5FIUYRYLOYftHnrRYDChaTGcBEd/x+s/HZ8jUwrmgTOnLDU8BftgC2zMkPAmgLewmuc dkhmpnlqo81/IsBORc3zRU04JSbpcLG+Xz0sV5xJ8t3e3q3vVhm0er8dIqav4C3LRsMNJS4iiuML pjH0d0hOZhwbGv6wKpiCRq+llhO8DVQ+uq7cRW+0etbG5BsYu/2TiewocvvLN5XwV1hOshPYj3HF lcNE3YNQX5xi6RxIGEfvgecSLCjODNDzyVaJTEKbayKJvXEkQpZ2FDNbe6/O1IZDiLrrSYlFqTJ7 qO1FsmlE81z9uS9I789y+wtQSwMECgAAAAAAh07iQAAAAAAAAAAAAAAAAAYAAABfcmVscy9QSwME FAAAAAgAh07iQIoUZjzRAAAAlAEAAAsAAABfcmVscy8ucmVsc6WQwWrDMAyG74O9g9F9cZrDGKNO L6PQa+kewNiKYxpbRjLZ+vbzDoNl9LajfqHvE//+8JkWtSJLpGxg1/WgMDvyMQcD75fj0wsoqTZ7 u1BGAzcUOIyPD/szLra2I5ljEdUoWQzMtZZXrcXNmKx0VDC3zUScbG0jB12su9qAeuj7Z82/GTBu mOrkDfDJD6Aut9LMf9gpOiahqXaOkqZpiu4eVQe2ZY7uyDbhG7lGsxywGvAsGgdqWdd+BH1fv/un 3tNHPuO61X6HjOuPV2+6HL8AUEsDBBQAAAAIAIdO4kB+5uUg9wAAAOEBAAATAAAAW0NvbnRlbnRf VHlwZXNdLnhtbJWRQU7DMBBF90jcwfIWJU67QAgl6YK0S0CoHGBkTxKLZGx5TGhvj5O2G0SRWNoz /78nu9wcxkFMGNg6quQqL6RA0s5Y6ir5vt9lD1JwBDIwOMJKHpHlpr69KfdHjyxSmriSfYz+USnW PY7AufNIadK6MEJMx9ApD/oDOlTrorhX2lFEilmcO2RdNtjC5xDF9pCuTyYBB5bi6bQ4syoJ3g9W Q0ymaiLzg5KdCXlKLjvcW893SUOqXwnz5DrgnHtJTxOsQfEKIT7DmDSUCayM+6KAU/53yWw5cuba 1mrMm8BNir3hdLG61o5r1zj93/Ltkrp0q+WD6m9QSwECFAAUAAAACACHTuJAfublIPcAAADhAQAA EwAAAAAAAAABACAAAABNBAAAW0NvbnRlbnRfVHlwZXNdLnhtbFBLAQIUAAoAAAAAAIdO4kAAAAAA AAAAAAAAAAAGAAAAAAAAAAAAEAAAAC8DAABfcmVscy9QSwECFAAUAAAACACHTuJAihRmPNEAAACU AQAACwAAAAAAAAABACAAAABTAwAAX3JlbHMvLnJlbHNQSwECFAAKAAAAAACHTuJAAAAAAAAAAAAA AAAABAAAAAAAAAAAABAAAAAAAAAAZHJzL1BLAQIUABQAAAAIAIdO4kBuXYYj1wAAAAgBAAAPAAAA AAAAAAEAIAAAACIAAABkcnMvZG93bnJldi54bWxQSwECFAAUAAAACACHTuJAo78F+N0BAADeAwAA DgAAAAAAAAABACAAAAAmAQAAZHJzL2Uyb0RvYy54bWxQSwUGAAAAAAYABgBZAQAAdQUAAAAA ">
                            <v:fill on="f" focussize="0,0"/>
                            <v:stroke color="#000000" joinstyle="round"/>
                            <v:imagedata o:title=""/>
                            <o:lock v:ext="edit" aspectratio="f"/>
                          </v:line>
                        </w:pict>
                      </mc:Fallback>
                    </mc:AlternateContent>
                  </w:r>
                  <w:r>
                    <w:rPr>
                      <w:rFonts w:hint="eastAsia" w:eastAsia="黑体"/>
                      <w:snapToGrid w:val="0"/>
                      <w:color w:val="000000"/>
                      <w:sz w:val="18"/>
                      <w:szCs w:val="21"/>
                    </w:rPr>
                    <w:t xml:space="preserve">           </w:t>
                  </w:r>
                  <w:r>
                    <w:rPr>
                      <w:rFonts w:eastAsia="黑体"/>
                      <w:snapToGrid w:val="0"/>
                      <w:color w:val="000000"/>
                      <w:sz w:val="18"/>
                      <w:szCs w:val="21"/>
                    </w:rPr>
                    <w:t>费率</w:t>
                  </w:r>
                </w:p>
                <w:p>
                  <w:pPr>
                    <w:tabs>
                      <w:tab w:val="center" w:pos="4153"/>
                      <w:tab w:val="right" w:pos="8306"/>
                    </w:tabs>
                    <w:snapToGrid w:val="0"/>
                    <w:rPr>
                      <w:rFonts w:eastAsia="黑体"/>
                      <w:snapToGrid w:val="0"/>
                      <w:color w:val="000000"/>
                      <w:sz w:val="18"/>
                      <w:szCs w:val="21"/>
                    </w:rPr>
                  </w:pPr>
                  <w:r>
                    <w:rPr>
                      <w:rFonts w:eastAsia="黑体"/>
                      <w:snapToGrid w:val="0"/>
                      <w:color w:val="000000"/>
                      <w:sz w:val="18"/>
                      <w:szCs w:val="21"/>
                    </w:rPr>
                    <w:t>中标金额</w:t>
                  </w:r>
                </w:p>
              </w:tc>
              <w:tc>
                <w:tcPr>
                  <w:tcW w:w="1864" w:type="dxa"/>
                  <w:noWrap w:val="0"/>
                  <w:vAlign w:val="center"/>
                </w:tcPr>
                <w:p>
                  <w:pPr>
                    <w:tabs>
                      <w:tab w:val="center" w:pos="4153"/>
                      <w:tab w:val="right" w:pos="8306"/>
                    </w:tabs>
                    <w:snapToGrid w:val="0"/>
                    <w:ind w:firstLine="450" w:firstLineChars="250"/>
                    <w:rPr>
                      <w:rFonts w:eastAsia="黑体"/>
                      <w:snapToGrid w:val="0"/>
                      <w:color w:val="000000"/>
                      <w:sz w:val="18"/>
                      <w:szCs w:val="21"/>
                    </w:rPr>
                  </w:pPr>
                  <w:r>
                    <w:rPr>
                      <w:rFonts w:eastAsia="黑体"/>
                      <w:snapToGrid w:val="0"/>
                      <w:color w:val="000000"/>
                      <w:sz w:val="18"/>
                      <w:szCs w:val="21"/>
                    </w:rPr>
                    <w:t>货物招标</w:t>
                  </w:r>
                </w:p>
              </w:tc>
              <w:tc>
                <w:tcPr>
                  <w:tcW w:w="1864"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sz w:val="18"/>
                      <w:szCs w:val="21"/>
                    </w:rPr>
                    <w:t>服务招标</w:t>
                  </w:r>
                </w:p>
              </w:tc>
              <w:tc>
                <w:tcPr>
                  <w:tcW w:w="1830"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sz w:val="18"/>
                      <w:szCs w:val="21"/>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9" w:hRule="atLeast"/>
              </w:trPr>
              <w:tc>
                <w:tcPr>
                  <w:tcW w:w="2531"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sz w:val="18"/>
                      <w:szCs w:val="21"/>
                    </w:rPr>
                    <w:t>100万以下</w:t>
                  </w:r>
                </w:p>
              </w:tc>
              <w:tc>
                <w:tcPr>
                  <w:tcW w:w="1864"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1.5%</w:t>
                  </w:r>
                </w:p>
              </w:tc>
              <w:tc>
                <w:tcPr>
                  <w:tcW w:w="1864"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1.5%</w:t>
                  </w:r>
                </w:p>
              </w:tc>
              <w:tc>
                <w:tcPr>
                  <w:tcW w:w="1830"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9" w:hRule="atLeast"/>
              </w:trPr>
              <w:tc>
                <w:tcPr>
                  <w:tcW w:w="2531"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sz w:val="18"/>
                      <w:szCs w:val="21"/>
                    </w:rPr>
                    <w:t>100</w:t>
                  </w:r>
                  <w:r>
                    <w:rPr>
                      <w:rFonts w:hAnsi="宋体" w:eastAsia="黑体"/>
                      <w:snapToGrid w:val="0"/>
                      <w:color w:val="000000"/>
                      <w:sz w:val="18"/>
                      <w:szCs w:val="21"/>
                    </w:rPr>
                    <w:t>～</w:t>
                  </w:r>
                  <w:r>
                    <w:rPr>
                      <w:rFonts w:eastAsia="黑体"/>
                      <w:snapToGrid w:val="0"/>
                      <w:color w:val="000000"/>
                      <w:sz w:val="18"/>
                      <w:szCs w:val="21"/>
                    </w:rPr>
                    <w:t>500万</w:t>
                  </w:r>
                </w:p>
              </w:tc>
              <w:tc>
                <w:tcPr>
                  <w:tcW w:w="1864"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1.1%</w:t>
                  </w:r>
                </w:p>
              </w:tc>
              <w:tc>
                <w:tcPr>
                  <w:tcW w:w="1864"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0.8%</w:t>
                  </w:r>
                </w:p>
              </w:tc>
              <w:tc>
                <w:tcPr>
                  <w:tcW w:w="1830"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9" w:hRule="atLeast"/>
              </w:trPr>
              <w:tc>
                <w:tcPr>
                  <w:tcW w:w="2531"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sz w:val="18"/>
                      <w:szCs w:val="21"/>
                    </w:rPr>
                    <w:t>500</w:t>
                  </w:r>
                  <w:r>
                    <w:rPr>
                      <w:rFonts w:hAnsi="宋体" w:eastAsia="黑体"/>
                      <w:snapToGrid w:val="0"/>
                      <w:color w:val="000000"/>
                      <w:sz w:val="18"/>
                      <w:szCs w:val="21"/>
                    </w:rPr>
                    <w:t>～</w:t>
                  </w:r>
                  <w:r>
                    <w:rPr>
                      <w:rFonts w:eastAsia="黑体"/>
                      <w:snapToGrid w:val="0"/>
                      <w:color w:val="000000"/>
                      <w:sz w:val="18"/>
                      <w:szCs w:val="21"/>
                    </w:rPr>
                    <w:t>1000万</w:t>
                  </w:r>
                </w:p>
              </w:tc>
              <w:tc>
                <w:tcPr>
                  <w:tcW w:w="1864"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0.8%</w:t>
                  </w:r>
                </w:p>
              </w:tc>
              <w:tc>
                <w:tcPr>
                  <w:tcW w:w="1864"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0.45%</w:t>
                  </w:r>
                </w:p>
              </w:tc>
              <w:tc>
                <w:tcPr>
                  <w:tcW w:w="1830" w:type="dxa"/>
                  <w:noWrap w:val="0"/>
                  <w:vAlign w:val="center"/>
                </w:tcPr>
                <w:p>
                  <w:pPr>
                    <w:tabs>
                      <w:tab w:val="center" w:pos="4153"/>
                      <w:tab w:val="right" w:pos="8306"/>
                    </w:tabs>
                    <w:snapToGrid w:val="0"/>
                    <w:jc w:val="center"/>
                    <w:rPr>
                      <w:rFonts w:eastAsia="黑体"/>
                      <w:snapToGrid w:val="0"/>
                      <w:color w:val="000000"/>
                      <w:sz w:val="18"/>
                      <w:szCs w:val="21"/>
                    </w:rPr>
                  </w:pPr>
                  <w:r>
                    <w:rPr>
                      <w:rFonts w:eastAsia="黑体"/>
                      <w:snapToGrid w:val="0"/>
                      <w:color w:val="000000"/>
                      <w:kern w:val="0"/>
                      <w:sz w:val="18"/>
                      <w:szCs w:val="21"/>
                    </w:rPr>
                    <w:t>0.55%</w:t>
                  </w:r>
                </w:p>
              </w:tc>
            </w:tr>
          </w:tbl>
          <w:p>
            <w:pPr>
              <w:snapToGrid w:val="0"/>
              <w:spacing w:line="44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91" w:hRule="atLeast"/>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center"/>
              <w:rPr>
                <w:rFonts w:hint="eastAsia" w:ascii="宋体" w:hAnsi="宋体" w:eastAsia="宋体"/>
                <w:color w:val="000000"/>
                <w:szCs w:val="21"/>
                <w:lang w:eastAsia="zh-CN"/>
              </w:rPr>
            </w:pPr>
            <w:r>
              <w:rPr>
                <w:rFonts w:ascii="宋体" w:hAnsi="宋体"/>
                <w:color w:val="000000"/>
                <w:szCs w:val="21"/>
              </w:rPr>
              <w:t>1</w:t>
            </w:r>
            <w:r>
              <w:rPr>
                <w:rFonts w:hint="eastAsia" w:ascii="宋体" w:hAnsi="宋体"/>
                <w:color w:val="000000"/>
                <w:szCs w:val="21"/>
                <w:lang w:val="en-US" w:eastAsia="zh-CN"/>
              </w:rPr>
              <w:t>9</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hAnsi="宋体"/>
                <w:color w:val="000000"/>
                <w:szCs w:val="21"/>
              </w:rPr>
            </w:pPr>
            <w:r>
              <w:rPr>
                <w:rFonts w:hint="eastAsia" w:ascii="宋体" w:hAnsi="宋体"/>
                <w:color w:val="000000"/>
                <w:szCs w:val="21"/>
              </w:rPr>
              <w:t>解释：本招标文件的解释权属于招标采购单位。</w:t>
            </w:r>
          </w:p>
        </w:tc>
      </w:tr>
    </w:tbl>
    <w:p>
      <w:pPr>
        <w:pStyle w:val="15"/>
        <w:snapToGrid w:val="0"/>
        <w:spacing w:beforeLines="0" w:afterLines="0" w:line="440" w:lineRule="exact"/>
        <w:rPr>
          <w:rFonts w:hAnsi="宋体"/>
          <w:color w:val="000000"/>
          <w:sz w:val="21"/>
          <w:szCs w:val="21"/>
        </w:rPr>
      </w:pPr>
    </w:p>
    <w:p>
      <w:pPr>
        <w:snapToGrid w:val="0"/>
        <w:spacing w:line="440" w:lineRule="exact"/>
        <w:rPr>
          <w:rFonts w:ascii="宋体" w:hAnsi="宋体"/>
          <w:color w:val="000000"/>
          <w:sz w:val="24"/>
          <w:szCs w:val="20"/>
        </w:rPr>
      </w:pPr>
    </w:p>
    <w:p>
      <w:pPr>
        <w:pStyle w:val="15"/>
        <w:snapToGrid w:val="0"/>
        <w:spacing w:before="120" w:after="120" w:line="360" w:lineRule="auto"/>
        <w:ind w:firstLine="480" w:firstLineChars="200"/>
        <w:rPr>
          <w:rFonts w:hint="eastAsia" w:hAnsi="宋体"/>
          <w:b/>
          <w:color w:val="000000"/>
          <w:sz w:val="21"/>
          <w:szCs w:val="21"/>
        </w:rPr>
      </w:pPr>
      <w:r>
        <w:rPr>
          <w:rFonts w:hAnsi="宋体"/>
          <w:color w:val="000000"/>
        </w:rPr>
        <w:br w:type="page"/>
      </w:r>
      <w:r>
        <w:rPr>
          <w:rFonts w:hint="eastAsia" w:hAnsi="宋体"/>
          <w:b/>
          <w:color w:val="000000"/>
          <w:sz w:val="21"/>
          <w:szCs w:val="21"/>
        </w:rPr>
        <w:t>一   总  则</w:t>
      </w:r>
    </w:p>
    <w:p>
      <w:pPr>
        <w:snapToGrid w:val="0"/>
        <w:spacing w:line="360" w:lineRule="auto"/>
        <w:ind w:firstLine="413" w:firstLineChars="196"/>
        <w:jc w:val="left"/>
        <w:outlineLvl w:val="1"/>
        <w:rPr>
          <w:rFonts w:ascii="宋体" w:hAnsi="宋体"/>
          <w:b/>
          <w:color w:val="000000"/>
          <w:szCs w:val="21"/>
        </w:rPr>
      </w:pPr>
      <w:r>
        <w:rPr>
          <w:rFonts w:hint="eastAsia" w:ascii="宋体" w:hAnsi="宋体"/>
          <w:b/>
          <w:color w:val="000000"/>
          <w:szCs w:val="21"/>
        </w:rPr>
        <w:t>（一）</w:t>
      </w:r>
      <w:r>
        <w:rPr>
          <w:rFonts w:ascii="宋体" w:hAnsi="宋体"/>
          <w:b/>
          <w:color w:val="000000"/>
          <w:szCs w:val="21"/>
        </w:rPr>
        <w:t xml:space="preserve"> 适用范围</w:t>
      </w:r>
    </w:p>
    <w:p>
      <w:pPr>
        <w:snapToGrid w:val="0"/>
        <w:spacing w:line="360" w:lineRule="auto"/>
        <w:ind w:firstLine="420" w:firstLineChars="200"/>
        <w:jc w:val="left"/>
        <w:rPr>
          <w:rFonts w:ascii="宋体" w:hAnsi="宋体"/>
          <w:color w:val="000000"/>
          <w:szCs w:val="21"/>
        </w:rPr>
      </w:pPr>
      <w:r>
        <w:rPr>
          <w:rFonts w:hint="eastAsia" w:ascii="宋体" w:hAnsi="宋体"/>
          <w:color w:val="000000"/>
          <w:szCs w:val="21"/>
          <w:highlight w:val="none"/>
        </w:rPr>
        <w:t>本招标文件适用于</w:t>
      </w:r>
      <w:r>
        <w:rPr>
          <w:rFonts w:hint="eastAsia" w:ascii="宋体" w:hAnsi="宋体"/>
          <w:color w:val="000000"/>
          <w:szCs w:val="21"/>
          <w:highlight w:val="none"/>
          <w:lang w:val="en-US" w:eastAsia="zh-CN"/>
        </w:rPr>
        <w:t>甬江数字经济产业园（弘茂大厦）智能化建设相关软硬件服务采购</w:t>
      </w:r>
      <w:r>
        <w:rPr>
          <w:rFonts w:hint="eastAsia" w:ascii="宋体" w:hAnsi="宋体"/>
          <w:color w:val="000000"/>
          <w:szCs w:val="21"/>
          <w:highlight w:val="none"/>
        </w:rPr>
        <w:t>的招标、</w:t>
      </w:r>
      <w:r>
        <w:rPr>
          <w:rFonts w:hint="eastAsia" w:ascii="宋体" w:hAnsi="宋体"/>
          <w:color w:val="000000"/>
          <w:szCs w:val="21"/>
        </w:rPr>
        <w:t>投标、评标、定标、验收、合同履约、付款等行为（法律、法规另有规定的，从其规定）。</w:t>
      </w:r>
    </w:p>
    <w:p>
      <w:pPr>
        <w:snapToGrid w:val="0"/>
        <w:spacing w:before="120" w:beforeLines="50" w:line="360" w:lineRule="auto"/>
        <w:ind w:firstLine="413" w:firstLineChars="196"/>
        <w:jc w:val="left"/>
        <w:outlineLvl w:val="1"/>
        <w:rPr>
          <w:rFonts w:ascii="宋体" w:hAnsi="宋体"/>
          <w:b/>
          <w:color w:val="000000"/>
          <w:szCs w:val="21"/>
        </w:rPr>
      </w:pPr>
      <w:r>
        <w:rPr>
          <w:rFonts w:hint="eastAsia" w:ascii="宋体" w:hAnsi="宋体"/>
          <w:b/>
          <w:color w:val="000000"/>
          <w:szCs w:val="21"/>
        </w:rPr>
        <w:t>（二）定义</w:t>
      </w:r>
    </w:p>
    <w:p>
      <w:pPr>
        <w:snapToGrid w:val="0"/>
        <w:spacing w:line="360" w:lineRule="auto"/>
        <w:ind w:firstLine="420" w:firstLineChars="200"/>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招标采购单位系指组织本次招标的代理机构和采购单位。</w:t>
      </w:r>
    </w:p>
    <w:p>
      <w:pPr>
        <w:snapToGri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投标人”系指向招标方提交投标文件的单位或个人。</w:t>
      </w:r>
    </w:p>
    <w:p>
      <w:pPr>
        <w:snapToGrid w:val="0"/>
        <w:spacing w:line="360" w:lineRule="auto"/>
        <w:ind w:firstLine="420" w:firstLineChars="200"/>
        <w:jc w:val="lef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“产品”系指供方按招标文件规定，须向采购人提供的一切设备、保险、税金、备品备件、工具、手册及其它有关技术资料和材料。</w:t>
      </w:r>
    </w:p>
    <w:p>
      <w:pPr>
        <w:snapToGrid w:val="0"/>
        <w:spacing w:line="360" w:lineRule="auto"/>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“服务”系指招标文件规定投标人须承担的安装、调试、技术协助、校准、培训、技术指导以及其他类似的义务。</w:t>
      </w:r>
    </w:p>
    <w:p>
      <w:pPr>
        <w:snapToGrid w:val="0"/>
        <w:spacing w:line="360" w:lineRule="auto"/>
        <w:ind w:firstLine="420" w:firstLineChars="200"/>
        <w:jc w:val="left"/>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“项目”系指投标人按招标文件规定向采购人提供的产品和服务。</w:t>
      </w:r>
    </w:p>
    <w:p>
      <w:pPr>
        <w:snapToGrid w:val="0"/>
        <w:spacing w:line="360" w:lineRule="auto"/>
        <w:ind w:firstLine="420" w:firstLineChars="200"/>
        <w:jc w:val="left"/>
        <w:rPr>
          <w:rFonts w:ascii="宋体" w:hAnsi="宋体"/>
          <w:color w:val="000000"/>
          <w:szCs w:val="21"/>
        </w:rPr>
      </w:pPr>
      <w:r>
        <w:rPr>
          <w:rFonts w:ascii="宋体" w:hAnsi="宋体"/>
          <w:color w:val="000000"/>
          <w:szCs w:val="21"/>
        </w:rPr>
        <w:t>6</w:t>
      </w:r>
      <w:r>
        <w:rPr>
          <w:rFonts w:hint="eastAsia" w:ascii="宋体" w:hAnsi="宋体"/>
          <w:color w:val="000000"/>
          <w:szCs w:val="21"/>
        </w:rPr>
        <w:t>.</w:t>
      </w:r>
      <w:r>
        <w:rPr>
          <w:rFonts w:ascii="宋体" w:hAnsi="宋体"/>
          <w:color w:val="000000"/>
          <w:szCs w:val="21"/>
        </w:rPr>
        <w:t>“书面形式”包括信函、传真、电报等。</w:t>
      </w:r>
    </w:p>
    <w:p>
      <w:pPr>
        <w:snapToGrid w:val="0"/>
        <w:spacing w:line="360" w:lineRule="auto"/>
        <w:ind w:firstLine="420" w:firstLineChars="200"/>
        <w:jc w:val="left"/>
        <w:rPr>
          <w:rFonts w:ascii="宋体" w:hAnsi="宋体"/>
          <w:color w:val="000000"/>
          <w:szCs w:val="21"/>
        </w:rPr>
      </w:pPr>
      <w:r>
        <w:rPr>
          <w:rFonts w:ascii="宋体" w:hAnsi="宋体"/>
          <w:color w:val="000000"/>
          <w:szCs w:val="21"/>
        </w:rPr>
        <w:t>7</w:t>
      </w:r>
      <w:r>
        <w:rPr>
          <w:rFonts w:hint="eastAsia" w:ascii="宋体" w:hAnsi="宋体"/>
          <w:color w:val="000000"/>
          <w:szCs w:val="21"/>
        </w:rPr>
        <w:t>.</w:t>
      </w:r>
      <w:r>
        <w:rPr>
          <w:rFonts w:ascii="宋体" w:hAnsi="宋体"/>
          <w:color w:val="000000"/>
          <w:szCs w:val="21"/>
        </w:rPr>
        <w:t>“▲”系指实质性要求条款。</w:t>
      </w:r>
    </w:p>
    <w:p>
      <w:pPr>
        <w:snapToGrid w:val="0"/>
        <w:spacing w:line="360" w:lineRule="auto"/>
        <w:ind w:firstLine="420" w:firstLineChars="200"/>
        <w:jc w:val="left"/>
        <w:rPr>
          <w:rFonts w:hint="eastAsia" w:ascii="宋体" w:hAnsi="宋体" w:eastAsia="宋体"/>
          <w:color w:val="000000"/>
          <w:szCs w:val="21"/>
          <w:lang w:val="en-US" w:eastAsia="zh-CN"/>
        </w:rPr>
      </w:pPr>
      <w:r>
        <w:rPr>
          <w:rFonts w:hint="eastAsia" w:ascii="宋体" w:hAnsi="宋体"/>
          <w:color w:val="000000"/>
          <w:szCs w:val="21"/>
          <w:lang w:val="en-US" w:eastAsia="zh-CN"/>
        </w:rPr>
        <w:t>8、★条款为重要项，负偏离将导致严重扣分。</w:t>
      </w:r>
    </w:p>
    <w:p>
      <w:pPr>
        <w:snapToGrid w:val="0"/>
        <w:spacing w:before="120" w:beforeLines="50" w:line="360" w:lineRule="auto"/>
        <w:ind w:firstLine="413" w:firstLineChars="196"/>
        <w:jc w:val="left"/>
        <w:outlineLvl w:val="1"/>
        <w:rPr>
          <w:rFonts w:ascii="宋体" w:hAnsi="宋体"/>
          <w:b/>
          <w:color w:val="000000"/>
          <w:szCs w:val="21"/>
        </w:rPr>
      </w:pPr>
      <w:r>
        <w:rPr>
          <w:rFonts w:hint="eastAsia" w:ascii="宋体" w:hAnsi="宋体"/>
          <w:b/>
          <w:color w:val="000000"/>
          <w:szCs w:val="21"/>
        </w:rPr>
        <w:t>（三）招标方式</w:t>
      </w:r>
    </w:p>
    <w:p>
      <w:pPr>
        <w:snapToGrid w:val="0"/>
        <w:spacing w:line="360" w:lineRule="auto"/>
        <w:ind w:firstLine="420" w:firstLineChars="200"/>
        <w:jc w:val="left"/>
        <w:rPr>
          <w:rFonts w:ascii="宋体" w:hAnsi="宋体"/>
          <w:color w:val="000000"/>
          <w:szCs w:val="21"/>
        </w:rPr>
      </w:pPr>
      <w:r>
        <w:rPr>
          <w:rFonts w:ascii="宋体" w:hAnsi="宋体"/>
          <w:color w:val="000000"/>
          <w:szCs w:val="21"/>
        </w:rPr>
        <w:t>本次招标采用公开招标方式进行。</w:t>
      </w:r>
    </w:p>
    <w:p>
      <w:pPr>
        <w:snapToGrid w:val="0"/>
        <w:spacing w:before="120" w:beforeLines="50" w:line="360" w:lineRule="auto"/>
        <w:ind w:firstLine="413" w:firstLineChars="196"/>
        <w:jc w:val="left"/>
        <w:outlineLvl w:val="1"/>
        <w:rPr>
          <w:rFonts w:ascii="宋体" w:hAnsi="宋体"/>
          <w:b/>
          <w:color w:val="000000"/>
          <w:szCs w:val="21"/>
        </w:rPr>
      </w:pPr>
      <w:r>
        <w:rPr>
          <w:rFonts w:hint="eastAsia" w:ascii="宋体" w:hAnsi="宋体"/>
          <w:b/>
          <w:color w:val="000000"/>
          <w:szCs w:val="21"/>
        </w:rPr>
        <w:t>（四）投标委托</w:t>
      </w:r>
    </w:p>
    <w:p>
      <w:pPr>
        <w:pStyle w:val="11"/>
        <w:snapToGrid w:val="0"/>
        <w:spacing w:line="360" w:lineRule="auto"/>
        <w:ind w:firstLine="404" w:firstLineChars="200"/>
        <w:jc w:val="left"/>
        <w:rPr>
          <w:rFonts w:hAnsi="宋体"/>
          <w:color w:val="000000"/>
          <w:sz w:val="21"/>
          <w:szCs w:val="21"/>
        </w:rPr>
      </w:pPr>
      <w:r>
        <w:rPr>
          <w:rFonts w:hAnsi="宋体"/>
          <w:color w:val="000000"/>
          <w:sz w:val="21"/>
          <w:szCs w:val="21"/>
        </w:rPr>
        <w:t>投标人代表须携带</w:t>
      </w:r>
      <w:r>
        <w:rPr>
          <w:rFonts w:hint="eastAsia" w:hAnsi="宋体"/>
          <w:color w:val="000000"/>
          <w:sz w:val="21"/>
          <w:szCs w:val="21"/>
        </w:rPr>
        <w:t>有效</w:t>
      </w:r>
      <w:r>
        <w:rPr>
          <w:rFonts w:hAnsi="宋体"/>
          <w:color w:val="000000"/>
          <w:sz w:val="21"/>
          <w:szCs w:val="21"/>
        </w:rPr>
        <w:t>身份证</w:t>
      </w:r>
      <w:r>
        <w:rPr>
          <w:rFonts w:hint="eastAsia" w:hAnsi="宋体"/>
          <w:color w:val="000000"/>
          <w:sz w:val="21"/>
          <w:szCs w:val="21"/>
        </w:rPr>
        <w:t>件</w:t>
      </w:r>
      <w:r>
        <w:rPr>
          <w:rFonts w:hAnsi="宋体"/>
          <w:color w:val="000000"/>
          <w:sz w:val="21"/>
          <w:szCs w:val="21"/>
        </w:rPr>
        <w:t>。如投标人代表不是法定代表人，须有法定代表人出具的授权委托书（正本用原件，副本用复印件，格式见第</w:t>
      </w:r>
      <w:r>
        <w:rPr>
          <w:rFonts w:hint="eastAsia" w:hAnsi="宋体"/>
          <w:color w:val="000000"/>
          <w:sz w:val="21"/>
          <w:szCs w:val="21"/>
        </w:rPr>
        <w:t>六章投标文件格式</w:t>
      </w:r>
      <w:r>
        <w:rPr>
          <w:rFonts w:hAnsi="宋体"/>
          <w:color w:val="000000"/>
          <w:sz w:val="21"/>
          <w:szCs w:val="21"/>
        </w:rPr>
        <w:t>）。</w:t>
      </w:r>
    </w:p>
    <w:p>
      <w:pPr>
        <w:snapToGrid w:val="0"/>
        <w:spacing w:before="120" w:beforeLines="50" w:line="360" w:lineRule="auto"/>
        <w:ind w:firstLine="413" w:firstLineChars="196"/>
        <w:jc w:val="left"/>
        <w:outlineLvl w:val="1"/>
        <w:rPr>
          <w:rFonts w:ascii="宋体" w:hAnsi="宋体"/>
          <w:b/>
          <w:color w:val="000000"/>
          <w:szCs w:val="21"/>
        </w:rPr>
      </w:pPr>
      <w:r>
        <w:rPr>
          <w:rFonts w:hint="eastAsia" w:ascii="宋体" w:hAnsi="宋体"/>
          <w:b/>
          <w:color w:val="000000"/>
          <w:szCs w:val="21"/>
        </w:rPr>
        <w:t>（五）投标费用</w:t>
      </w:r>
    </w:p>
    <w:p>
      <w:pPr>
        <w:snapToGrid w:val="0"/>
        <w:spacing w:line="360" w:lineRule="auto"/>
        <w:ind w:firstLine="420" w:firstLineChars="200"/>
        <w:jc w:val="left"/>
        <w:rPr>
          <w:rFonts w:ascii="宋体" w:hAnsi="宋体"/>
          <w:color w:val="000000"/>
          <w:szCs w:val="21"/>
        </w:rPr>
      </w:pPr>
      <w:r>
        <w:rPr>
          <w:rFonts w:hint="eastAsia" w:ascii="宋体" w:hAnsi="宋体"/>
          <w:color w:val="000000"/>
          <w:szCs w:val="21"/>
        </w:rPr>
        <w:t>不论投标结果如何，投标人均应自行承担所有与投标有关的全部费用（招标文件有相反规定除外）。</w:t>
      </w:r>
    </w:p>
    <w:p>
      <w:pPr>
        <w:snapToGrid w:val="0"/>
        <w:spacing w:before="120" w:beforeLines="50" w:line="360" w:lineRule="auto"/>
        <w:ind w:firstLine="413" w:firstLineChars="196"/>
        <w:jc w:val="left"/>
        <w:rPr>
          <w:rFonts w:ascii="宋体" w:hAnsi="宋体"/>
          <w:b/>
          <w:color w:val="000000"/>
          <w:szCs w:val="21"/>
        </w:rPr>
      </w:pPr>
      <w:r>
        <w:rPr>
          <w:rFonts w:hint="eastAsia" w:ascii="宋体" w:hAnsi="宋体"/>
          <w:b/>
          <w:color w:val="000000"/>
          <w:szCs w:val="21"/>
        </w:rPr>
        <w:t>（六）联合体投标</w:t>
      </w:r>
    </w:p>
    <w:p>
      <w:pPr>
        <w:snapToGrid w:val="0"/>
        <w:spacing w:line="360" w:lineRule="auto"/>
        <w:ind w:firstLine="630" w:firstLineChars="300"/>
        <w:jc w:val="left"/>
        <w:rPr>
          <w:rFonts w:hint="eastAsia" w:ascii="宋体" w:hAnsi="宋体" w:cs="Arial"/>
          <w:color w:val="000000"/>
          <w:szCs w:val="21"/>
        </w:rPr>
      </w:pPr>
      <w:r>
        <w:rPr>
          <w:rFonts w:hint="eastAsia" w:ascii="宋体" w:hAnsi="宋体" w:cs="Arial"/>
          <w:color w:val="000000"/>
          <w:szCs w:val="21"/>
        </w:rPr>
        <w:t>本项目不接受联合体投标。</w:t>
      </w:r>
    </w:p>
    <w:p>
      <w:pPr>
        <w:snapToGrid w:val="0"/>
        <w:spacing w:before="120" w:beforeLines="50" w:line="360" w:lineRule="auto"/>
        <w:ind w:firstLine="413" w:firstLineChars="196"/>
        <w:rPr>
          <w:rFonts w:ascii="宋体" w:hAnsi="宋体" w:cs="宋体"/>
          <w:b/>
          <w:color w:val="000000"/>
          <w:kern w:val="0"/>
          <w:szCs w:val="21"/>
        </w:rPr>
      </w:pPr>
      <w:r>
        <w:rPr>
          <w:rFonts w:hint="eastAsia" w:ascii="宋体" w:hAnsi="宋体"/>
          <w:b/>
          <w:color w:val="000000"/>
          <w:szCs w:val="21"/>
        </w:rPr>
        <w:t>（七）</w:t>
      </w:r>
      <w:r>
        <w:rPr>
          <w:rFonts w:hint="eastAsia" w:ascii="宋体" w:hAnsi="宋体" w:cs="宋体"/>
          <w:b/>
          <w:color w:val="000000"/>
          <w:kern w:val="0"/>
          <w:szCs w:val="21"/>
        </w:rPr>
        <w:t>转包与分包</w:t>
      </w:r>
    </w:p>
    <w:p>
      <w:pPr>
        <w:snapToGrid w:val="0"/>
        <w:spacing w:line="360" w:lineRule="auto"/>
        <w:ind w:firstLine="420" w:firstLineChars="200"/>
        <w:rPr>
          <w:rFonts w:ascii="宋体" w:hAnsi="宋体" w:cs="宋体"/>
          <w:color w:val="000000"/>
          <w:kern w:val="0"/>
          <w:szCs w:val="21"/>
        </w:rPr>
      </w:pPr>
      <w:bookmarkStart w:id="3" w:name="OLE_LINK68"/>
      <w:bookmarkStart w:id="4" w:name="OLE_LINK69"/>
      <w:bookmarkStart w:id="5" w:name="OLE_LINK70"/>
      <w:r>
        <w:rPr>
          <w:rFonts w:ascii="宋体" w:hAnsi="宋体" w:cs="宋体"/>
          <w:color w:val="000000"/>
          <w:kern w:val="0"/>
          <w:szCs w:val="21"/>
        </w:rPr>
        <w:t>1</w:t>
      </w:r>
      <w:r>
        <w:rPr>
          <w:rFonts w:hint="eastAsia" w:ascii="宋体" w:hAnsi="宋体" w:cs="宋体"/>
          <w:color w:val="000000"/>
          <w:kern w:val="0"/>
          <w:szCs w:val="21"/>
        </w:rPr>
        <w:t>.</w:t>
      </w:r>
      <w:r>
        <w:rPr>
          <w:rFonts w:ascii="宋体" w:hAnsi="宋体" w:cs="宋体"/>
          <w:color w:val="000000"/>
          <w:kern w:val="0"/>
          <w:szCs w:val="21"/>
        </w:rPr>
        <w:t>本项目不允许转包。</w:t>
      </w:r>
    </w:p>
    <w:p>
      <w:pPr>
        <w:snapToGrid w:val="0"/>
        <w:spacing w:line="360" w:lineRule="auto"/>
        <w:ind w:firstLine="420" w:firstLineChars="200"/>
        <w:rPr>
          <w:rFonts w:ascii="宋体" w:hAnsi="宋体"/>
          <w:color w:val="000000"/>
          <w:szCs w:val="21"/>
        </w:rPr>
      </w:pPr>
      <w:r>
        <w:rPr>
          <w:rFonts w:ascii="宋体" w:hAnsi="宋体" w:cs="宋体"/>
          <w:color w:val="000000"/>
          <w:kern w:val="0"/>
          <w:szCs w:val="21"/>
        </w:rPr>
        <w:t>2</w:t>
      </w:r>
      <w:r>
        <w:rPr>
          <w:rFonts w:hint="eastAsia" w:ascii="宋体" w:hAnsi="宋体" w:cs="宋体"/>
          <w:color w:val="000000"/>
          <w:kern w:val="0"/>
          <w:szCs w:val="21"/>
        </w:rPr>
        <w:t>.</w:t>
      </w:r>
      <w:r>
        <w:rPr>
          <w:rFonts w:ascii="宋体" w:hAnsi="宋体" w:cs="宋体"/>
          <w:color w:val="000000"/>
          <w:kern w:val="0"/>
          <w:szCs w:val="21"/>
        </w:rPr>
        <w:t>本项目不可以分包</w:t>
      </w:r>
      <w:r>
        <w:rPr>
          <w:rFonts w:hint="eastAsia" w:ascii="宋体" w:hAnsi="宋体" w:cs="宋体"/>
          <w:color w:val="000000"/>
          <w:kern w:val="0"/>
          <w:szCs w:val="21"/>
        </w:rPr>
        <w:t>。</w:t>
      </w:r>
      <w:bookmarkEnd w:id="3"/>
      <w:bookmarkEnd w:id="4"/>
      <w:bookmarkEnd w:id="5"/>
    </w:p>
    <w:p>
      <w:pPr>
        <w:snapToGrid w:val="0"/>
        <w:spacing w:before="120" w:beforeLines="50" w:line="360" w:lineRule="auto"/>
        <w:ind w:firstLine="413" w:firstLineChars="196"/>
        <w:jc w:val="left"/>
        <w:outlineLvl w:val="1"/>
        <w:rPr>
          <w:rFonts w:hint="eastAsia" w:ascii="宋体" w:hAnsi="宋体"/>
          <w:b/>
          <w:color w:val="000000"/>
          <w:szCs w:val="21"/>
        </w:rPr>
      </w:pPr>
      <w:r>
        <w:rPr>
          <w:rFonts w:hint="eastAsia" w:ascii="宋体" w:hAnsi="宋体"/>
          <w:b/>
          <w:color w:val="000000"/>
          <w:szCs w:val="21"/>
        </w:rPr>
        <w:t>（八）特别说明：</w:t>
      </w:r>
    </w:p>
    <w:p>
      <w:pPr>
        <w:widowControl/>
        <w:spacing w:line="360" w:lineRule="auto"/>
        <w:ind w:firstLine="420" w:firstLineChars="200"/>
        <w:jc w:val="left"/>
        <w:rPr>
          <w:rFonts w:hint="eastAsia" w:ascii="宋体" w:hAnsi="宋体" w:cs="宋体"/>
          <w:color w:val="000000"/>
          <w:kern w:val="0"/>
          <w:szCs w:val="21"/>
        </w:rPr>
      </w:pPr>
      <w:r>
        <w:rPr>
          <w:rFonts w:ascii="宋体" w:hAnsi="宋体"/>
          <w:color w:val="000000"/>
          <w:szCs w:val="21"/>
        </w:rPr>
        <w:t>▲</w:t>
      </w:r>
      <w:r>
        <w:rPr>
          <w:rFonts w:hint="eastAsia" w:ascii="宋体" w:hAnsi="宋体"/>
          <w:color w:val="000000"/>
          <w:szCs w:val="21"/>
        </w:rPr>
        <w:t>1.</w:t>
      </w:r>
      <w:r>
        <w:rPr>
          <w:rFonts w:hint="eastAsia" w:ascii="宋体" w:hAnsi="宋体" w:cs="宋体"/>
          <w:color w:val="000000"/>
          <w:kern w:val="0"/>
          <w:szCs w:val="21"/>
        </w:rPr>
        <w:t>多家供应商参加投标，如其中两家或两家以上供应商的法定代表人为同一人或相互之间存在投资关系且达到控股的，或提供的是同品牌同型号产品的，应当按一家供应商认定。评审时，取其中通过资格审查后的报价最低一家为有效供应商；当报价相同时，则以技术标最优一家为有效供应商；均相同时，由评标委员会集体决定。</w:t>
      </w:r>
    </w:p>
    <w:p>
      <w:pPr>
        <w:widowControl/>
        <w:spacing w:line="360" w:lineRule="auto"/>
        <w:ind w:firstLine="210" w:firstLineChars="100"/>
        <w:jc w:val="left"/>
        <w:rPr>
          <w:rFonts w:hint="eastAsia" w:ascii="宋体" w:hAnsi="宋体" w:cs="宋体"/>
          <w:color w:val="000000"/>
          <w:kern w:val="0"/>
          <w:szCs w:val="21"/>
        </w:rPr>
      </w:pPr>
      <w:r>
        <w:rPr>
          <w:rFonts w:hint="eastAsia" w:ascii="宋体" w:hAnsi="宋体" w:cs="宋体"/>
          <w:color w:val="000000"/>
          <w:kern w:val="0"/>
          <w:szCs w:val="21"/>
        </w:rPr>
        <w:t xml:space="preserve">  多家代理商或经销商参加投标，如其中两家或两家以上供应商存在分级代理或代销关系，且提供的是其所代理品牌产品的，评审时，按上述规定确定其中一家为有效供应商。</w:t>
      </w:r>
    </w:p>
    <w:p>
      <w:pPr>
        <w:widowControl/>
        <w:spacing w:line="360" w:lineRule="auto"/>
        <w:ind w:firstLine="210" w:firstLineChars="100"/>
        <w:jc w:val="left"/>
        <w:rPr>
          <w:rFonts w:hint="eastAsia" w:ascii="宋体" w:hAnsi="宋体" w:cs="宋体"/>
          <w:color w:val="000000"/>
          <w:kern w:val="0"/>
          <w:szCs w:val="21"/>
        </w:rPr>
      </w:pPr>
      <w:r>
        <w:rPr>
          <w:rFonts w:hint="eastAsia" w:ascii="宋体" w:hAnsi="宋体" w:cs="宋体"/>
          <w:color w:val="000000"/>
          <w:kern w:val="0"/>
          <w:szCs w:val="21"/>
        </w:rPr>
        <w:t xml:space="preserve">  同一家原生产厂商授权多家代理商参加投标的，评审时，按上述规定确定其中一家为有效供应商。</w:t>
      </w:r>
    </w:p>
    <w:p>
      <w:pPr>
        <w:widowControl/>
        <w:spacing w:line="360" w:lineRule="auto"/>
        <w:ind w:firstLine="420" w:firstLineChars="200"/>
        <w:jc w:val="left"/>
        <w:rPr>
          <w:rFonts w:hint="eastAsia" w:ascii="宋体" w:hAnsi="宋体" w:cs="宋体"/>
          <w:color w:val="000000"/>
          <w:kern w:val="0"/>
          <w:szCs w:val="21"/>
        </w:rPr>
      </w:pPr>
      <w:r>
        <w:rPr>
          <w:rFonts w:ascii="宋体" w:hAnsi="宋体" w:cs="宋体"/>
          <w:color w:val="000000"/>
          <w:kern w:val="0"/>
          <w:szCs w:val="21"/>
        </w:rPr>
        <w:t>非单一产品采购项目中，作为关键核心部分的单一产品品牌、型号均相同且报价占项目总报价50%以上（含本数，下同）的，视为提供的是同品牌同型号的产品；多家供应商中，有一家供应商的报价达到50%以上，提供同品牌同型号产品的供应商均按一家供应商认定。</w:t>
      </w:r>
    </w:p>
    <w:p>
      <w:pPr>
        <w:pStyle w:val="15"/>
        <w:snapToGrid w:val="0"/>
        <w:spacing w:beforeLines="0" w:afterLines="0" w:line="360" w:lineRule="auto"/>
        <w:ind w:left="2" w:leftChars="1" w:firstLine="420" w:firstLineChars="200"/>
        <w:rPr>
          <w:rFonts w:hAnsi="宋体"/>
          <w:color w:val="000000"/>
          <w:sz w:val="21"/>
          <w:szCs w:val="21"/>
        </w:rPr>
      </w:pPr>
      <w:r>
        <w:rPr>
          <w:rFonts w:hAnsi="宋体"/>
          <w:color w:val="000000"/>
          <w:sz w:val="21"/>
          <w:szCs w:val="21"/>
        </w:rPr>
        <w:t>▲</w:t>
      </w:r>
      <w:r>
        <w:rPr>
          <w:rFonts w:hint="eastAsia" w:hAnsi="宋体"/>
          <w:color w:val="000000"/>
          <w:sz w:val="21"/>
          <w:szCs w:val="21"/>
        </w:rPr>
        <w:t>2.</w:t>
      </w:r>
      <w:r>
        <w:rPr>
          <w:rFonts w:hAnsi="宋体"/>
          <w:color w:val="000000"/>
          <w:sz w:val="21"/>
          <w:szCs w:val="21"/>
        </w:rPr>
        <w:t>投标人投标所使用的资格、信誉、荣誉、业绩与企业认证必须为本法人所拥有。投标人投标所使用的采购项目实施人员必须为本法人员工。</w:t>
      </w:r>
    </w:p>
    <w:p>
      <w:pPr>
        <w:pStyle w:val="15"/>
        <w:snapToGrid w:val="0"/>
        <w:spacing w:beforeLines="0" w:afterLines="0" w:line="360" w:lineRule="auto"/>
        <w:ind w:left="2" w:leftChars="1" w:firstLine="420" w:firstLineChars="200"/>
        <w:rPr>
          <w:rFonts w:hint="eastAsia" w:hAnsi="宋体"/>
          <w:color w:val="000000"/>
          <w:sz w:val="21"/>
          <w:szCs w:val="21"/>
        </w:rPr>
      </w:pPr>
      <w:r>
        <w:rPr>
          <w:rFonts w:hAnsi="宋体"/>
          <w:color w:val="000000"/>
          <w:sz w:val="21"/>
          <w:szCs w:val="21"/>
        </w:rPr>
        <w:t>▲</w:t>
      </w:r>
      <w:r>
        <w:rPr>
          <w:rFonts w:hint="eastAsia" w:hAnsi="宋体"/>
          <w:color w:val="000000"/>
          <w:sz w:val="21"/>
          <w:szCs w:val="21"/>
        </w:rPr>
        <w:t>3.</w:t>
      </w:r>
      <w:r>
        <w:rPr>
          <w:rFonts w:hAnsi="宋体"/>
          <w:color w:val="000000"/>
          <w:sz w:val="21"/>
          <w:szCs w:val="21"/>
        </w:rPr>
        <w:t>投标人应仔细阅读招标文件的所有内容，按照招标文件的要求提交投标文件，并对所提供的全部资料的真实性承担法律责任。</w:t>
      </w:r>
    </w:p>
    <w:p>
      <w:pPr>
        <w:pStyle w:val="15"/>
        <w:snapToGrid w:val="0"/>
        <w:spacing w:beforeLines="0" w:afterLines="0" w:line="360" w:lineRule="auto"/>
        <w:ind w:left="2" w:leftChars="1" w:firstLine="420" w:firstLineChars="200"/>
        <w:rPr>
          <w:rFonts w:hint="eastAsia" w:hAnsi="宋体"/>
          <w:b/>
          <w:color w:val="000000"/>
          <w:sz w:val="21"/>
          <w:szCs w:val="21"/>
        </w:rPr>
      </w:pPr>
      <w:r>
        <w:rPr>
          <w:rFonts w:hAnsi="宋体"/>
          <w:color w:val="000000"/>
          <w:sz w:val="21"/>
          <w:szCs w:val="21"/>
        </w:rPr>
        <w:t>▲</w:t>
      </w:r>
      <w:r>
        <w:rPr>
          <w:rFonts w:hint="eastAsia" w:hAnsi="宋体"/>
          <w:color w:val="000000"/>
          <w:sz w:val="21"/>
          <w:szCs w:val="21"/>
        </w:rPr>
        <w:t>4.</w:t>
      </w:r>
      <w:r>
        <w:rPr>
          <w:rFonts w:hAnsi="宋体"/>
          <w:color w:val="000000"/>
          <w:sz w:val="21"/>
          <w:szCs w:val="21"/>
        </w:rPr>
        <w:t>投标人在投标活动中提供任何虚假材料,其投标无效，并报监管部门查处；中标后发现的,中标人须依照《中华人民共和国消费者权益保护法》第49条之规定双倍赔偿采购人</w:t>
      </w:r>
      <w:r>
        <w:rPr>
          <w:rFonts w:hint="eastAsia" w:hAnsi="宋体"/>
          <w:color w:val="000000"/>
          <w:sz w:val="21"/>
          <w:szCs w:val="21"/>
        </w:rPr>
        <w:t>，</w:t>
      </w:r>
      <w:r>
        <w:rPr>
          <w:rFonts w:hAnsi="宋体"/>
          <w:color w:val="000000"/>
          <w:sz w:val="21"/>
          <w:szCs w:val="21"/>
        </w:rPr>
        <w:t>且民事赔偿并不免除违法投标人的行政与刑事责任。</w:t>
      </w:r>
    </w:p>
    <w:p>
      <w:pPr>
        <w:pStyle w:val="15"/>
        <w:snapToGrid w:val="0"/>
        <w:spacing w:before="0" w:beforeLines="0" w:after="0" w:afterLines="0" w:line="360" w:lineRule="auto"/>
        <w:ind w:firstLine="413" w:firstLineChars="196"/>
        <w:outlineLvl w:val="1"/>
        <w:rPr>
          <w:rFonts w:hAnsi="宋体"/>
          <w:b/>
          <w:bCs/>
          <w:color w:val="000000"/>
          <w:sz w:val="21"/>
          <w:szCs w:val="21"/>
        </w:rPr>
      </w:pPr>
      <w:r>
        <w:rPr>
          <w:rFonts w:hAnsi="宋体"/>
          <w:b/>
          <w:bCs/>
          <w:color w:val="000000"/>
          <w:sz w:val="21"/>
          <w:szCs w:val="21"/>
        </w:rPr>
        <w:t>（九）质疑和投诉</w:t>
      </w:r>
    </w:p>
    <w:p>
      <w:pPr>
        <w:pStyle w:val="15"/>
        <w:snapToGrid w:val="0"/>
        <w:spacing w:before="0" w:beforeLines="0" w:after="0" w:afterLines="0" w:line="360" w:lineRule="auto"/>
        <w:ind w:firstLine="420" w:firstLineChars="200"/>
        <w:rPr>
          <w:rFonts w:hAnsi="宋体"/>
          <w:bCs/>
          <w:color w:val="000000"/>
          <w:sz w:val="21"/>
          <w:szCs w:val="21"/>
        </w:rPr>
      </w:pPr>
      <w:r>
        <w:rPr>
          <w:rFonts w:hAnsi="宋体"/>
          <w:bCs/>
          <w:color w:val="000000"/>
          <w:sz w:val="21"/>
          <w:szCs w:val="21"/>
        </w:rPr>
        <w:t>1</w:t>
      </w:r>
      <w:r>
        <w:rPr>
          <w:rFonts w:hint="eastAsia" w:hAnsi="宋体"/>
          <w:bCs/>
          <w:color w:val="000000"/>
          <w:sz w:val="21"/>
          <w:szCs w:val="21"/>
        </w:rPr>
        <w:t>.</w:t>
      </w:r>
      <w:r>
        <w:rPr>
          <w:rFonts w:hAnsi="宋体"/>
          <w:bCs/>
          <w:color w:val="000000"/>
          <w:sz w:val="21"/>
          <w:szCs w:val="21"/>
        </w:rPr>
        <w:t>投标人认为招标文件、招标过程</w:t>
      </w:r>
      <w:r>
        <w:rPr>
          <w:rFonts w:hint="eastAsia" w:hAnsi="宋体"/>
          <w:bCs/>
          <w:color w:val="000000"/>
          <w:sz w:val="21"/>
          <w:szCs w:val="21"/>
        </w:rPr>
        <w:t>或</w:t>
      </w:r>
      <w:r>
        <w:rPr>
          <w:rFonts w:hAnsi="宋体"/>
          <w:bCs/>
          <w:color w:val="000000"/>
          <w:sz w:val="21"/>
          <w:szCs w:val="21"/>
        </w:rPr>
        <w:t>中标结果使自己的合法权益受到损害的，应当在知道或者应知其权益受到损害之日起七个工作日内，以书面形式向采购人、采购代理机构提出质疑。</w:t>
      </w:r>
      <w:r>
        <w:rPr>
          <w:rFonts w:hAnsi="宋体"/>
          <w:color w:val="000000"/>
          <w:sz w:val="21"/>
          <w:szCs w:val="21"/>
        </w:rPr>
        <w:t>投标人对招标采购单位的质疑答复不满意或者招标采购单位未在规定时间内作出答复的，可以在答复期满后十五个工作日内向同级采购监管部门投诉。</w:t>
      </w:r>
    </w:p>
    <w:p>
      <w:pPr>
        <w:pStyle w:val="15"/>
        <w:snapToGrid w:val="0"/>
        <w:spacing w:beforeLines="0" w:afterLines="0" w:line="360" w:lineRule="auto"/>
        <w:ind w:firstLine="420" w:firstLineChars="200"/>
        <w:rPr>
          <w:rFonts w:hint="eastAsia" w:hAnsi="宋体"/>
          <w:bCs/>
          <w:color w:val="000000"/>
          <w:sz w:val="21"/>
          <w:szCs w:val="21"/>
        </w:rPr>
      </w:pPr>
      <w:r>
        <w:rPr>
          <w:rFonts w:hAnsi="宋体"/>
          <w:bCs/>
          <w:color w:val="000000"/>
          <w:sz w:val="21"/>
          <w:szCs w:val="21"/>
        </w:rPr>
        <w:t>2</w:t>
      </w:r>
      <w:r>
        <w:rPr>
          <w:rFonts w:hint="eastAsia" w:hAnsi="宋体"/>
          <w:bCs/>
          <w:color w:val="000000"/>
          <w:sz w:val="21"/>
          <w:szCs w:val="21"/>
        </w:rPr>
        <w:t>.</w:t>
      </w:r>
      <w:r>
        <w:rPr>
          <w:rFonts w:hAnsi="宋体"/>
          <w:bCs/>
          <w:color w:val="000000"/>
          <w:sz w:val="21"/>
          <w:szCs w:val="21"/>
        </w:rPr>
        <w:t>质疑、投诉应当采用书面形式，质疑书、投诉书均应明确阐述招标文件、招标过程</w:t>
      </w:r>
      <w:r>
        <w:rPr>
          <w:rFonts w:hint="eastAsia" w:hAnsi="宋体"/>
          <w:bCs/>
          <w:color w:val="000000"/>
          <w:sz w:val="21"/>
          <w:szCs w:val="21"/>
        </w:rPr>
        <w:t>或</w:t>
      </w:r>
      <w:r>
        <w:rPr>
          <w:rFonts w:hAnsi="宋体"/>
          <w:bCs/>
          <w:color w:val="000000"/>
          <w:sz w:val="21"/>
          <w:szCs w:val="21"/>
        </w:rPr>
        <w:t>中标结果中使自己合法权益受到损害的实质性内容，提供相关事实、依据和证据及其来源或线索，便于有关单位调查、答复和处理</w:t>
      </w:r>
      <w:r>
        <w:rPr>
          <w:rFonts w:hint="eastAsia" w:hAnsi="宋体"/>
          <w:bCs/>
          <w:color w:val="000000"/>
          <w:sz w:val="21"/>
          <w:szCs w:val="21"/>
        </w:rPr>
        <w:t>。</w:t>
      </w:r>
    </w:p>
    <w:p>
      <w:pPr>
        <w:pStyle w:val="15"/>
        <w:snapToGrid w:val="0"/>
        <w:spacing w:beforeLines="0" w:afterLines="0" w:line="360" w:lineRule="auto"/>
        <w:ind w:firstLine="413" w:firstLineChars="196"/>
        <w:outlineLvl w:val="0"/>
        <w:rPr>
          <w:rFonts w:hAnsi="宋体"/>
          <w:b/>
          <w:color w:val="000000"/>
          <w:sz w:val="21"/>
          <w:szCs w:val="21"/>
        </w:rPr>
      </w:pPr>
      <w:bookmarkStart w:id="6" w:name="_Toc490748639"/>
      <w:r>
        <w:rPr>
          <w:rFonts w:hAnsi="宋体"/>
          <w:b/>
          <w:color w:val="000000"/>
          <w:sz w:val="21"/>
          <w:szCs w:val="21"/>
        </w:rPr>
        <w:t>二  招标文件</w:t>
      </w:r>
      <w:bookmarkEnd w:id="6"/>
    </w:p>
    <w:p>
      <w:pPr>
        <w:snapToGrid w:val="0"/>
        <w:spacing w:line="360" w:lineRule="auto"/>
        <w:ind w:firstLine="413" w:firstLineChars="196"/>
        <w:jc w:val="left"/>
        <w:rPr>
          <w:rFonts w:ascii="宋体" w:hAnsi="宋体"/>
          <w:b/>
          <w:color w:val="000000"/>
          <w:szCs w:val="21"/>
        </w:rPr>
      </w:pPr>
      <w:r>
        <w:rPr>
          <w:rFonts w:hint="eastAsia" w:ascii="宋体" w:hAnsi="宋体"/>
          <w:b/>
          <w:color w:val="000000"/>
          <w:szCs w:val="21"/>
        </w:rPr>
        <w:t>（一）招标文件的构成。本招标文件由以下部份组成：</w:t>
      </w:r>
    </w:p>
    <w:p>
      <w:pPr>
        <w:snapToGrid w:val="0"/>
        <w:spacing w:line="360" w:lineRule="auto"/>
        <w:ind w:firstLine="420" w:firstLineChars="200"/>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招标公告</w:t>
      </w:r>
    </w:p>
    <w:p>
      <w:pPr>
        <w:snapToGri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招标需求</w:t>
      </w:r>
    </w:p>
    <w:p>
      <w:pPr>
        <w:snapToGrid w:val="0"/>
        <w:spacing w:line="360" w:lineRule="auto"/>
        <w:ind w:firstLine="420" w:firstLineChars="200"/>
        <w:jc w:val="lef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投标人须知</w:t>
      </w:r>
    </w:p>
    <w:p>
      <w:pPr>
        <w:snapToGrid w:val="0"/>
        <w:spacing w:line="360" w:lineRule="auto"/>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评标办法及</w:t>
      </w:r>
      <w:r>
        <w:rPr>
          <w:rFonts w:hint="eastAsia" w:ascii="宋体" w:hAnsi="宋体"/>
          <w:color w:val="000000"/>
          <w:szCs w:val="21"/>
        </w:rPr>
        <w:t>评分</w:t>
      </w:r>
      <w:r>
        <w:rPr>
          <w:rFonts w:ascii="宋体" w:hAnsi="宋体"/>
          <w:color w:val="000000"/>
          <w:szCs w:val="21"/>
        </w:rPr>
        <w:t>标准</w:t>
      </w:r>
    </w:p>
    <w:p>
      <w:pPr>
        <w:snapToGrid w:val="0"/>
        <w:spacing w:line="360" w:lineRule="auto"/>
        <w:ind w:firstLine="420" w:firstLineChars="200"/>
        <w:jc w:val="left"/>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合同主要条款</w:t>
      </w:r>
    </w:p>
    <w:p>
      <w:pPr>
        <w:snapToGrid w:val="0"/>
        <w:spacing w:line="360" w:lineRule="auto"/>
        <w:ind w:firstLine="420" w:firstLineChars="200"/>
        <w:jc w:val="left"/>
        <w:rPr>
          <w:rFonts w:hint="eastAsia" w:ascii="宋体" w:hAnsi="宋体"/>
          <w:color w:val="000000"/>
          <w:szCs w:val="21"/>
        </w:rPr>
      </w:pPr>
      <w:r>
        <w:rPr>
          <w:rFonts w:ascii="宋体" w:hAnsi="宋体"/>
          <w:color w:val="000000"/>
          <w:szCs w:val="21"/>
        </w:rPr>
        <w:t>6</w:t>
      </w:r>
      <w:r>
        <w:rPr>
          <w:rFonts w:hint="eastAsia" w:ascii="宋体" w:hAnsi="宋体"/>
          <w:color w:val="000000"/>
          <w:szCs w:val="21"/>
        </w:rPr>
        <w:t>.</w:t>
      </w:r>
      <w:r>
        <w:rPr>
          <w:rFonts w:ascii="宋体" w:hAnsi="宋体"/>
          <w:color w:val="000000"/>
          <w:szCs w:val="21"/>
        </w:rPr>
        <w:t>投标文件格式</w:t>
      </w:r>
    </w:p>
    <w:p>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7.本项目</w:t>
      </w:r>
      <w:r>
        <w:rPr>
          <w:rFonts w:ascii="宋体" w:hAnsi="宋体"/>
          <w:color w:val="000000"/>
          <w:szCs w:val="21"/>
        </w:rPr>
        <w:t>招标文件</w:t>
      </w:r>
      <w:r>
        <w:rPr>
          <w:rFonts w:hint="eastAsia" w:ascii="宋体" w:hAnsi="宋体"/>
          <w:color w:val="000000"/>
          <w:szCs w:val="21"/>
        </w:rPr>
        <w:t>的</w:t>
      </w:r>
      <w:r>
        <w:rPr>
          <w:rFonts w:ascii="宋体" w:hAnsi="宋体"/>
          <w:color w:val="000000"/>
          <w:szCs w:val="21"/>
        </w:rPr>
        <w:t>澄清、答复、修改、补充的内容</w:t>
      </w:r>
    </w:p>
    <w:p>
      <w:pPr>
        <w:snapToGrid w:val="0"/>
        <w:spacing w:before="120" w:beforeLines="50" w:line="360" w:lineRule="auto"/>
        <w:ind w:firstLine="413" w:firstLineChars="196"/>
        <w:jc w:val="left"/>
        <w:rPr>
          <w:rFonts w:ascii="宋体" w:hAnsi="宋体"/>
          <w:b/>
          <w:color w:val="000000"/>
          <w:szCs w:val="21"/>
        </w:rPr>
      </w:pPr>
      <w:r>
        <w:rPr>
          <w:rFonts w:hint="eastAsia" w:ascii="宋体" w:hAnsi="宋体"/>
          <w:b/>
          <w:color w:val="000000"/>
          <w:szCs w:val="21"/>
        </w:rPr>
        <w:t>（二）投标人的风险</w:t>
      </w:r>
    </w:p>
    <w:p>
      <w:pPr>
        <w:pStyle w:val="24"/>
        <w:spacing w:line="360" w:lineRule="auto"/>
        <w:ind w:firstLine="420"/>
        <w:rPr>
          <w:rFonts w:ascii="宋体" w:eastAsia="宋体"/>
          <w:sz w:val="21"/>
          <w:szCs w:val="21"/>
        </w:rPr>
      </w:pPr>
      <w:r>
        <w:rPr>
          <w:rFonts w:hint="eastAsia" w:ascii="宋体" w:eastAsia="宋体"/>
          <w:sz w:val="21"/>
          <w:szCs w:val="21"/>
        </w:rPr>
        <w:t>投标人没有按照招标文件要求提供全部资料，或者投标人没有对招标文件在各方面作出实质性响应是投标人的风险，并可能导致其投标被拒绝。</w:t>
      </w:r>
    </w:p>
    <w:p>
      <w:pPr>
        <w:pStyle w:val="5"/>
        <w:widowControl w:val="0"/>
        <w:numPr>
          <w:ilvl w:val="0"/>
          <w:numId w:val="0"/>
        </w:numPr>
        <w:snapToGrid w:val="0"/>
        <w:spacing w:before="120" w:beforeLines="50" w:after="0" w:afterLines="0" w:line="360" w:lineRule="auto"/>
        <w:ind w:firstLine="413" w:firstLineChars="196"/>
        <w:rPr>
          <w:rFonts w:ascii="宋体" w:hAnsi="宋体"/>
          <w:b/>
          <w:color w:val="000000"/>
          <w:sz w:val="21"/>
          <w:szCs w:val="21"/>
        </w:rPr>
      </w:pPr>
      <w:r>
        <w:rPr>
          <w:rFonts w:hint="eastAsia" w:ascii="宋体" w:hAnsi="宋体"/>
          <w:b/>
          <w:color w:val="000000"/>
          <w:sz w:val="21"/>
          <w:szCs w:val="21"/>
        </w:rPr>
        <w:t>（三）招标文件的澄清与修改</w:t>
      </w:r>
      <w:r>
        <w:rPr>
          <w:rFonts w:ascii="宋体" w:hAnsi="宋体"/>
          <w:b/>
          <w:color w:val="000000"/>
          <w:sz w:val="21"/>
          <w:szCs w:val="21"/>
        </w:rPr>
        <w:t xml:space="preserve"> </w:t>
      </w:r>
    </w:p>
    <w:p>
      <w:pPr>
        <w:pStyle w:val="15"/>
        <w:snapToGrid w:val="0"/>
        <w:spacing w:before="0" w:beforeLines="0" w:after="0" w:afterLines="0" w:line="360" w:lineRule="auto"/>
        <w:ind w:firstLine="420" w:firstLineChars="200"/>
        <w:rPr>
          <w:rFonts w:hint="eastAsia" w:hAnsi="宋体"/>
          <w:color w:val="000000"/>
          <w:sz w:val="21"/>
          <w:szCs w:val="21"/>
        </w:rPr>
      </w:pPr>
      <w:r>
        <w:rPr>
          <w:rFonts w:hAnsi="宋体"/>
          <w:color w:val="000000"/>
          <w:sz w:val="21"/>
          <w:szCs w:val="21"/>
        </w:rPr>
        <w:t>1</w:t>
      </w:r>
      <w:r>
        <w:rPr>
          <w:rFonts w:hint="eastAsia" w:hAnsi="宋体"/>
          <w:color w:val="000000"/>
          <w:sz w:val="21"/>
          <w:szCs w:val="21"/>
        </w:rPr>
        <w:t>.</w:t>
      </w:r>
      <w:r>
        <w:rPr>
          <w:rFonts w:hAnsi="宋体"/>
          <w:color w:val="000000"/>
          <w:sz w:val="21"/>
          <w:szCs w:val="21"/>
        </w:rPr>
        <w:t>采购代理机构对已发出的招标文件进行必要澄清、答复、修改或补充的，应当在招标文件要求提交投标文件截止时间</w:t>
      </w:r>
      <w:r>
        <w:rPr>
          <w:rFonts w:hint="eastAsia" w:hAnsi="宋体"/>
          <w:color w:val="000000"/>
          <w:sz w:val="21"/>
          <w:szCs w:val="21"/>
        </w:rPr>
        <w:t>三</w:t>
      </w:r>
      <w:r>
        <w:rPr>
          <w:rFonts w:hAnsi="宋体"/>
          <w:color w:val="000000"/>
          <w:sz w:val="21"/>
          <w:szCs w:val="21"/>
        </w:rPr>
        <w:t>日</w:t>
      </w:r>
      <w:r>
        <w:rPr>
          <w:rFonts w:hint="eastAsia" w:hAnsi="宋体"/>
          <w:color w:val="000000"/>
          <w:sz w:val="21"/>
          <w:szCs w:val="21"/>
        </w:rPr>
        <w:t>（实质性内容有大的修改，需十五日）</w:t>
      </w:r>
      <w:r>
        <w:rPr>
          <w:rFonts w:hAnsi="宋体"/>
          <w:color w:val="000000"/>
          <w:sz w:val="21"/>
          <w:szCs w:val="21"/>
        </w:rPr>
        <w:t>前，在财政部门指定的政府采购信息发布媒体上发布更正公告，并以书面形式通知所有招标文件收受人。</w:t>
      </w:r>
    </w:p>
    <w:p>
      <w:pPr>
        <w:pStyle w:val="15"/>
        <w:snapToGrid w:val="0"/>
        <w:spacing w:before="0" w:beforeLines="0" w:after="0" w:afterLines="0" w:line="360" w:lineRule="auto"/>
        <w:ind w:firstLine="420" w:firstLineChars="200"/>
        <w:rPr>
          <w:rFonts w:hAnsi="宋体"/>
          <w:color w:val="000000"/>
          <w:sz w:val="21"/>
          <w:szCs w:val="21"/>
        </w:rPr>
      </w:pPr>
      <w:r>
        <w:rPr>
          <w:rFonts w:hAnsi="宋体"/>
          <w:color w:val="000000"/>
          <w:sz w:val="21"/>
          <w:szCs w:val="21"/>
        </w:rPr>
        <w:t>2</w:t>
      </w:r>
      <w:r>
        <w:rPr>
          <w:rFonts w:hint="eastAsia" w:hAnsi="宋体"/>
          <w:color w:val="000000"/>
          <w:sz w:val="21"/>
          <w:szCs w:val="21"/>
        </w:rPr>
        <w:t>.</w:t>
      </w:r>
      <w:r>
        <w:rPr>
          <w:rFonts w:hAnsi="宋体"/>
          <w:color w:val="000000"/>
          <w:sz w:val="21"/>
          <w:szCs w:val="21"/>
        </w:rPr>
        <w:t>采购代理机构必须以书面形式答复投标人要求澄清的问题，并将不包含问题来源的答复书面通知所有购买招标文件的投标人；除书面答复以外的其他澄清方式及澄清内容均无效。</w:t>
      </w:r>
    </w:p>
    <w:p>
      <w:pPr>
        <w:pStyle w:val="15"/>
        <w:snapToGrid w:val="0"/>
        <w:spacing w:before="0" w:beforeLines="0" w:after="0" w:afterLines="0" w:line="360" w:lineRule="auto"/>
        <w:ind w:firstLine="420" w:firstLineChars="200"/>
        <w:rPr>
          <w:rFonts w:hAnsi="宋体"/>
          <w:color w:val="000000"/>
          <w:sz w:val="21"/>
          <w:szCs w:val="21"/>
        </w:rPr>
      </w:pPr>
      <w:r>
        <w:rPr>
          <w:rFonts w:hint="eastAsia" w:hAnsi="宋体"/>
          <w:color w:val="000000"/>
          <w:sz w:val="21"/>
          <w:szCs w:val="21"/>
        </w:rPr>
        <w:t>3.</w:t>
      </w:r>
      <w:r>
        <w:rPr>
          <w:rFonts w:hAnsi="宋体"/>
          <w:color w:val="000000"/>
          <w:sz w:val="21"/>
          <w:szCs w:val="21"/>
        </w:rPr>
        <w:t>招标文件澄清、答复、修改、补充的内容为招标文件的组成部分。当招标文件与招标文件的答复、澄清、修改、补充通知就同一内容的表述不一致时，以最后发出的书面文件为准。</w:t>
      </w:r>
    </w:p>
    <w:p>
      <w:pPr>
        <w:pStyle w:val="15"/>
        <w:snapToGrid w:val="0"/>
        <w:spacing w:before="0" w:beforeLines="0" w:after="0" w:afterLines="0" w:line="360" w:lineRule="auto"/>
        <w:ind w:firstLine="420" w:firstLineChars="200"/>
        <w:rPr>
          <w:rFonts w:hint="eastAsia" w:hAnsi="宋体"/>
          <w:color w:val="000000"/>
          <w:sz w:val="21"/>
          <w:szCs w:val="21"/>
        </w:rPr>
      </w:pPr>
      <w:r>
        <w:rPr>
          <w:rFonts w:hint="eastAsia" w:hAnsi="宋体"/>
          <w:color w:val="000000"/>
          <w:sz w:val="21"/>
          <w:szCs w:val="21"/>
        </w:rPr>
        <w:t>4.</w:t>
      </w:r>
      <w:r>
        <w:rPr>
          <w:rFonts w:hAnsi="宋体"/>
          <w:color w:val="000000"/>
          <w:sz w:val="21"/>
          <w:szCs w:val="21"/>
        </w:rPr>
        <w:t>招标文件的澄清、答复、修改或补充都应该通过本代理机构以法定形式发布，采购人非通过本机构，不得擅自澄清、答复、修改或补充招标文件。</w:t>
      </w:r>
    </w:p>
    <w:p>
      <w:pPr>
        <w:pStyle w:val="15"/>
        <w:snapToGrid w:val="0"/>
        <w:spacing w:beforeLines="0" w:afterLines="0" w:line="360" w:lineRule="auto"/>
        <w:ind w:firstLine="413" w:firstLineChars="196"/>
        <w:outlineLvl w:val="1"/>
        <w:rPr>
          <w:rFonts w:hAnsi="宋体"/>
          <w:b/>
          <w:color w:val="000000"/>
          <w:sz w:val="21"/>
          <w:szCs w:val="21"/>
        </w:rPr>
      </w:pPr>
      <w:r>
        <w:rPr>
          <w:rFonts w:hAnsi="宋体"/>
          <w:b/>
          <w:color w:val="000000"/>
          <w:sz w:val="21"/>
          <w:szCs w:val="21"/>
        </w:rPr>
        <w:t>三、投标文件的编制</w:t>
      </w:r>
    </w:p>
    <w:p>
      <w:pPr>
        <w:snapToGrid w:val="0"/>
        <w:spacing w:line="360" w:lineRule="auto"/>
        <w:ind w:firstLine="413" w:firstLineChars="196"/>
        <w:jc w:val="left"/>
        <w:outlineLvl w:val="0"/>
        <w:rPr>
          <w:rFonts w:ascii="宋体" w:hAnsi="宋体"/>
          <w:b/>
          <w:color w:val="000000"/>
          <w:szCs w:val="21"/>
        </w:rPr>
      </w:pPr>
      <w:bookmarkStart w:id="7" w:name="_Toc490748640"/>
      <w:bookmarkStart w:id="8" w:name="_Toc490748641"/>
      <w:r>
        <w:rPr>
          <w:rFonts w:hint="eastAsia" w:ascii="宋体" w:hAnsi="宋体"/>
          <w:b/>
          <w:color w:val="000000"/>
          <w:szCs w:val="21"/>
        </w:rPr>
        <w:t>（一）投标文件的组成</w:t>
      </w:r>
      <w:bookmarkEnd w:id="7"/>
    </w:p>
    <w:p>
      <w:pPr>
        <w:snapToGrid w:val="0"/>
        <w:spacing w:line="360" w:lineRule="auto"/>
        <w:ind w:firstLine="420" w:firstLineChars="200"/>
        <w:jc w:val="left"/>
        <w:rPr>
          <w:rFonts w:ascii="宋体" w:hAnsi="宋体"/>
          <w:color w:val="000000"/>
          <w:szCs w:val="21"/>
        </w:rPr>
      </w:pPr>
      <w:r>
        <w:rPr>
          <w:rFonts w:hint="eastAsia" w:ascii="宋体" w:hAnsi="宋体"/>
          <w:color w:val="000000"/>
          <w:szCs w:val="21"/>
        </w:rPr>
        <w:t>投标文件由报价文件和技术商务文件组成。</w:t>
      </w:r>
    </w:p>
    <w:p>
      <w:pPr>
        <w:tabs>
          <w:tab w:val="left" w:pos="518"/>
        </w:tabs>
        <w:adjustRightInd w:val="0"/>
        <w:snapToGrid w:val="0"/>
        <w:spacing w:line="360" w:lineRule="auto"/>
        <w:ind w:left="238"/>
        <w:rPr>
          <w:rFonts w:hint="eastAsia" w:ascii="宋体" w:hAnsi="宋体"/>
          <w:color w:val="000000"/>
          <w:szCs w:val="21"/>
        </w:rPr>
      </w:pPr>
      <w:r>
        <w:rPr>
          <w:rFonts w:ascii="宋体" w:hAnsi="宋体"/>
          <w:color w:val="000000"/>
          <w:szCs w:val="21"/>
        </w:rPr>
        <w:t>1</w:t>
      </w:r>
      <w:r>
        <w:rPr>
          <w:rFonts w:hint="eastAsia" w:ascii="宋体" w:hAnsi="宋体"/>
          <w:color w:val="000000"/>
          <w:szCs w:val="21"/>
        </w:rPr>
        <w:t>. 报价文件包括以下内容：</w:t>
      </w:r>
    </w:p>
    <w:p>
      <w:pPr>
        <w:tabs>
          <w:tab w:val="left" w:pos="518"/>
        </w:tabs>
        <w:adjustRightInd w:val="0"/>
        <w:snapToGrid w:val="0"/>
        <w:spacing w:line="360" w:lineRule="auto"/>
        <w:ind w:left="238"/>
        <w:rPr>
          <w:rFonts w:hint="eastAsia" w:ascii="宋体" w:hAnsi="宋体"/>
          <w:color w:val="000000"/>
          <w:szCs w:val="21"/>
        </w:rPr>
      </w:pPr>
      <w:r>
        <w:rPr>
          <w:rFonts w:hint="eastAsia" w:ascii="宋体" w:hAnsi="宋体"/>
          <w:color w:val="000000"/>
          <w:szCs w:val="21"/>
        </w:rPr>
        <w:t>（1）投标函（格式见第六章 投标文件格式）；</w:t>
      </w:r>
    </w:p>
    <w:p>
      <w:pPr>
        <w:tabs>
          <w:tab w:val="left" w:pos="518"/>
        </w:tabs>
        <w:adjustRightInd w:val="0"/>
        <w:snapToGrid w:val="0"/>
        <w:spacing w:line="360" w:lineRule="auto"/>
        <w:ind w:left="238"/>
        <w:rPr>
          <w:rFonts w:hint="eastAsia" w:ascii="宋体" w:hAnsi="宋体"/>
          <w:color w:val="000000"/>
          <w:szCs w:val="21"/>
        </w:rPr>
      </w:pPr>
      <w:r>
        <w:rPr>
          <w:rFonts w:hint="eastAsia" w:ascii="宋体" w:hAnsi="宋体"/>
          <w:color w:val="000000"/>
          <w:szCs w:val="21"/>
        </w:rPr>
        <w:t>（2）开标一览表（格式见第六章 投标文件格式）；</w:t>
      </w:r>
    </w:p>
    <w:p>
      <w:pPr>
        <w:tabs>
          <w:tab w:val="left" w:pos="518"/>
        </w:tabs>
        <w:adjustRightInd w:val="0"/>
        <w:snapToGrid w:val="0"/>
        <w:spacing w:line="360" w:lineRule="auto"/>
        <w:ind w:left="238"/>
        <w:rPr>
          <w:rFonts w:hint="eastAsia" w:ascii="宋体" w:hAnsi="宋体"/>
          <w:color w:val="000000"/>
          <w:szCs w:val="21"/>
        </w:rPr>
      </w:pPr>
      <w:r>
        <w:rPr>
          <w:rFonts w:hint="eastAsia" w:ascii="宋体" w:hAnsi="宋体"/>
          <w:color w:val="000000"/>
          <w:szCs w:val="21"/>
        </w:rPr>
        <w:t>（3）投标报价明细表（格式见第六章 投标文件格式）；</w:t>
      </w:r>
    </w:p>
    <w:p>
      <w:pPr>
        <w:tabs>
          <w:tab w:val="left" w:pos="518"/>
        </w:tabs>
        <w:adjustRightInd w:val="0"/>
        <w:snapToGrid w:val="0"/>
        <w:spacing w:line="360" w:lineRule="auto"/>
        <w:ind w:left="238"/>
        <w:rPr>
          <w:rFonts w:hint="eastAsia" w:ascii="宋体" w:hAnsi="宋体"/>
          <w:color w:val="000000"/>
          <w:szCs w:val="21"/>
        </w:rPr>
      </w:pPr>
      <w:r>
        <w:rPr>
          <w:rFonts w:hint="eastAsia" w:ascii="宋体" w:hAnsi="宋体"/>
          <w:color w:val="000000"/>
          <w:szCs w:val="21"/>
          <w:lang w:eastAsia="zh-CN"/>
        </w:rPr>
        <w:t>（</w:t>
      </w:r>
      <w:r>
        <w:rPr>
          <w:rFonts w:hint="eastAsia" w:ascii="宋体" w:hAnsi="宋体"/>
          <w:color w:val="000000"/>
          <w:szCs w:val="21"/>
          <w:lang w:val="en-US" w:eastAsia="zh-CN"/>
        </w:rPr>
        <w:t>4</w:t>
      </w:r>
      <w:r>
        <w:rPr>
          <w:rFonts w:hint="eastAsia" w:ascii="宋体" w:hAnsi="宋体"/>
          <w:color w:val="000000"/>
          <w:szCs w:val="21"/>
          <w:lang w:eastAsia="zh-CN"/>
        </w:rPr>
        <w:t>）</w:t>
      </w:r>
      <w:r>
        <w:rPr>
          <w:rFonts w:hint="eastAsia" w:ascii="宋体" w:hAnsi="宋体"/>
          <w:color w:val="000000"/>
          <w:szCs w:val="21"/>
        </w:rPr>
        <w:t>投标报价明细表（格式见第六章 投标文件格式）；</w:t>
      </w:r>
    </w:p>
    <w:p>
      <w:pPr>
        <w:tabs>
          <w:tab w:val="left" w:pos="518"/>
        </w:tabs>
        <w:adjustRightInd w:val="0"/>
        <w:snapToGrid w:val="0"/>
        <w:spacing w:line="360" w:lineRule="auto"/>
        <w:ind w:left="238"/>
        <w:rPr>
          <w:rFonts w:hint="eastAsia"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5</w:t>
      </w:r>
      <w:r>
        <w:rPr>
          <w:rFonts w:hint="eastAsia" w:ascii="宋体" w:hAnsi="宋体"/>
          <w:color w:val="000000"/>
          <w:szCs w:val="21"/>
        </w:rPr>
        <w:t>）投标单位</w:t>
      </w:r>
      <w:r>
        <w:rPr>
          <w:rFonts w:ascii="宋体" w:hAnsi="宋体"/>
          <w:color w:val="000000"/>
          <w:szCs w:val="21"/>
        </w:rPr>
        <w:t>声明函（</w:t>
      </w:r>
      <w:r>
        <w:rPr>
          <w:rFonts w:hint="eastAsia" w:ascii="宋体" w:hAnsi="宋体"/>
          <w:color w:val="000000"/>
          <w:szCs w:val="21"/>
        </w:rPr>
        <w:t>格式见第六章 投标文件格式</w:t>
      </w:r>
      <w:r>
        <w:rPr>
          <w:rFonts w:ascii="宋体" w:hAnsi="宋体"/>
          <w:color w:val="000000"/>
          <w:szCs w:val="21"/>
        </w:rPr>
        <w:t>）</w:t>
      </w:r>
      <w:r>
        <w:rPr>
          <w:rFonts w:hint="eastAsia" w:ascii="宋体" w:hAnsi="宋体"/>
          <w:color w:val="000000"/>
          <w:szCs w:val="21"/>
        </w:rPr>
        <w:t>；</w:t>
      </w:r>
    </w:p>
    <w:p>
      <w:pPr>
        <w:tabs>
          <w:tab w:val="left" w:pos="518"/>
        </w:tabs>
        <w:adjustRightInd w:val="0"/>
        <w:snapToGrid w:val="0"/>
        <w:spacing w:line="360" w:lineRule="auto"/>
        <w:ind w:left="238"/>
        <w:rPr>
          <w:rFonts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6</w:t>
      </w:r>
      <w:r>
        <w:rPr>
          <w:rFonts w:hint="eastAsia" w:ascii="宋体" w:hAnsi="宋体"/>
          <w:color w:val="000000"/>
          <w:szCs w:val="21"/>
        </w:rPr>
        <w:t>）中小企业声明函</w:t>
      </w:r>
      <w:r>
        <w:rPr>
          <w:rFonts w:ascii="宋体" w:hAnsi="宋体"/>
          <w:color w:val="000000"/>
          <w:szCs w:val="21"/>
        </w:rPr>
        <w:t>（</w:t>
      </w:r>
      <w:r>
        <w:rPr>
          <w:rFonts w:hint="eastAsia" w:ascii="宋体" w:hAnsi="宋体"/>
          <w:color w:val="000000"/>
          <w:szCs w:val="21"/>
        </w:rPr>
        <w:t>格式见第六章 投标文件格式</w:t>
      </w:r>
      <w:r>
        <w:rPr>
          <w:rFonts w:ascii="宋体" w:hAnsi="宋体"/>
          <w:color w:val="000000"/>
          <w:szCs w:val="21"/>
        </w:rPr>
        <w:t>）</w:t>
      </w:r>
      <w:r>
        <w:rPr>
          <w:rFonts w:hint="eastAsia" w:ascii="宋体" w:hAnsi="宋体"/>
          <w:color w:val="000000"/>
          <w:szCs w:val="21"/>
        </w:rPr>
        <w:t>。</w:t>
      </w:r>
    </w:p>
    <w:p>
      <w:pPr>
        <w:tabs>
          <w:tab w:val="left" w:pos="518"/>
        </w:tabs>
        <w:adjustRightInd w:val="0"/>
        <w:snapToGrid w:val="0"/>
        <w:spacing w:line="360" w:lineRule="auto"/>
        <w:ind w:left="238"/>
        <w:rPr>
          <w:rFonts w:hint="eastAsia"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7</w:t>
      </w:r>
      <w:r>
        <w:rPr>
          <w:rFonts w:hint="eastAsia" w:ascii="宋体" w:hAnsi="宋体"/>
          <w:color w:val="000000"/>
          <w:szCs w:val="21"/>
        </w:rPr>
        <w:t>）残疾人福利性单位声明函（如适用）</w:t>
      </w:r>
    </w:p>
    <w:p>
      <w:pPr>
        <w:tabs>
          <w:tab w:val="left" w:pos="518"/>
        </w:tabs>
        <w:adjustRightInd w:val="0"/>
        <w:snapToGrid w:val="0"/>
        <w:spacing w:line="360" w:lineRule="auto"/>
        <w:ind w:left="238"/>
        <w:rPr>
          <w:rFonts w:hint="eastAsia" w:ascii="宋体" w:hAnsi="宋体"/>
          <w:color w:val="000000"/>
          <w:szCs w:val="21"/>
        </w:rPr>
      </w:pPr>
      <w:r>
        <w:rPr>
          <w:rFonts w:ascii="宋体" w:hAnsi="宋体"/>
          <w:color w:val="000000"/>
          <w:szCs w:val="21"/>
        </w:rPr>
        <w:t>2</w:t>
      </w:r>
      <w:r>
        <w:rPr>
          <w:rFonts w:hint="eastAsia" w:ascii="宋体" w:hAnsi="宋体"/>
          <w:color w:val="000000"/>
          <w:szCs w:val="21"/>
        </w:rPr>
        <w:t>. 技术商务文件包括以下内容：</w:t>
      </w:r>
    </w:p>
    <w:p>
      <w:pPr>
        <w:tabs>
          <w:tab w:val="left" w:pos="518"/>
        </w:tabs>
        <w:adjustRightInd w:val="0"/>
        <w:snapToGrid w:val="0"/>
        <w:spacing w:line="360" w:lineRule="auto"/>
        <w:ind w:firstLine="105" w:firstLineChars="50"/>
        <w:jc w:val="both"/>
        <w:rPr>
          <w:rFonts w:hint="eastAsia" w:ascii="宋体" w:hAnsi="宋体"/>
          <w:color w:val="000000"/>
          <w:szCs w:val="21"/>
          <w:highlight w:val="yellow"/>
          <w:lang w:eastAsia="zh-CN"/>
        </w:rPr>
      </w:pPr>
      <w:r>
        <w:rPr>
          <w:rFonts w:hint="eastAsia" w:ascii="宋体" w:hAnsi="宋体"/>
          <w:b/>
          <w:bCs/>
          <w:color w:val="000000"/>
          <w:szCs w:val="21"/>
        </w:rPr>
        <w:t>技术商务部分</w:t>
      </w:r>
    </w:p>
    <w:p>
      <w:pPr>
        <w:snapToGrid w:val="0"/>
        <w:spacing w:line="420" w:lineRule="exact"/>
        <w:ind w:firstLine="315" w:firstLineChars="150"/>
        <w:jc w:val="left"/>
        <w:rPr>
          <w:rFonts w:hint="eastAsia" w:ascii="宋体" w:hAnsi="宋体" w:cs="宋体"/>
          <w:szCs w:val="21"/>
        </w:rPr>
      </w:pPr>
      <w:r>
        <w:rPr>
          <w:rFonts w:hint="eastAsia" w:ascii="宋体" w:hAnsi="宋体" w:cs="宋体"/>
          <w:szCs w:val="21"/>
        </w:rPr>
        <w:t>（1）投标人基本情况表；</w:t>
      </w:r>
    </w:p>
    <w:p>
      <w:pPr>
        <w:snapToGrid w:val="0"/>
        <w:spacing w:line="420" w:lineRule="exact"/>
        <w:ind w:firstLine="315" w:firstLineChars="150"/>
        <w:jc w:val="left"/>
        <w:rPr>
          <w:rFonts w:hint="eastAsia" w:ascii="宋体" w:hAnsi="宋体" w:cs="宋体"/>
          <w:szCs w:val="21"/>
        </w:rPr>
      </w:pPr>
      <w:r>
        <w:rPr>
          <w:rFonts w:hint="eastAsia" w:ascii="宋体" w:hAnsi="宋体" w:cs="宋体"/>
          <w:szCs w:val="21"/>
        </w:rPr>
        <w:t>（2）投标保证金银行回执复印件；</w:t>
      </w:r>
    </w:p>
    <w:p>
      <w:pPr>
        <w:snapToGrid w:val="0"/>
        <w:spacing w:line="420" w:lineRule="exact"/>
        <w:ind w:firstLine="315" w:firstLineChars="150"/>
        <w:jc w:val="left"/>
        <w:rPr>
          <w:rFonts w:hint="eastAsia" w:ascii="宋体" w:hAnsi="宋体" w:cs="宋体"/>
          <w:szCs w:val="21"/>
        </w:rPr>
      </w:pPr>
      <w:r>
        <w:rPr>
          <w:rFonts w:hint="eastAsia" w:ascii="宋体" w:hAnsi="宋体" w:cs="宋体"/>
          <w:szCs w:val="21"/>
        </w:rPr>
        <w:t>（3）法定代表人资格证明书</w:t>
      </w:r>
    </w:p>
    <w:p>
      <w:pPr>
        <w:snapToGrid w:val="0"/>
        <w:spacing w:line="420" w:lineRule="exact"/>
        <w:ind w:firstLine="315" w:firstLineChars="150"/>
        <w:jc w:val="left"/>
        <w:rPr>
          <w:rFonts w:hint="default" w:ascii="宋体" w:hAnsi="宋体" w:cs="宋体"/>
          <w:szCs w:val="21"/>
          <w:lang w:val="en-US" w:eastAsia="zh-CN"/>
        </w:rPr>
      </w:pPr>
      <w:r>
        <w:rPr>
          <w:rFonts w:hint="eastAsia" w:ascii="宋体" w:hAnsi="宋体" w:cs="宋体"/>
          <w:szCs w:val="21"/>
        </w:rPr>
        <w:t>（4）法定代表人授权书</w:t>
      </w:r>
    </w:p>
    <w:p>
      <w:pPr>
        <w:snapToGrid w:val="0"/>
        <w:spacing w:line="420" w:lineRule="exact"/>
        <w:ind w:firstLine="315" w:firstLineChars="150"/>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5</w:t>
      </w:r>
      <w:r>
        <w:rPr>
          <w:rFonts w:hint="eastAsia" w:ascii="宋体" w:hAnsi="宋体" w:cs="宋体"/>
          <w:szCs w:val="21"/>
          <w:lang w:eastAsia="zh-CN"/>
        </w:rPr>
        <w:t>）服务承诺</w:t>
      </w:r>
    </w:p>
    <w:p>
      <w:pPr>
        <w:snapToGrid w:val="0"/>
        <w:spacing w:line="420" w:lineRule="exact"/>
        <w:ind w:firstLine="315" w:firstLineChars="150"/>
        <w:jc w:val="left"/>
        <w:rPr>
          <w:rFonts w:hint="eastAsia" w:ascii="宋体" w:hAnsi="宋体" w:cs="宋体"/>
          <w:szCs w:val="21"/>
          <w:lang w:eastAsia="zh-CN"/>
        </w:rPr>
      </w:pP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eastAsia="zh-CN"/>
        </w:rPr>
        <w:t>技术</w:t>
      </w:r>
      <w:r>
        <w:rPr>
          <w:rFonts w:hint="eastAsia" w:ascii="宋体" w:hAnsi="宋体" w:cs="宋体"/>
          <w:szCs w:val="21"/>
        </w:rPr>
        <w:t>商务响应表</w:t>
      </w:r>
      <w:r>
        <w:rPr>
          <w:rFonts w:hint="eastAsia" w:ascii="宋体" w:hAnsi="宋体" w:cs="宋体"/>
          <w:szCs w:val="21"/>
          <w:lang w:val="en-US" w:eastAsia="zh-CN"/>
        </w:rPr>
        <w:t xml:space="preserve"> </w:t>
      </w:r>
    </w:p>
    <w:p>
      <w:pPr>
        <w:snapToGrid w:val="0"/>
        <w:spacing w:line="420" w:lineRule="exact"/>
        <w:ind w:firstLine="315" w:firstLineChars="150"/>
        <w:jc w:val="left"/>
        <w:rPr>
          <w:rFonts w:hint="eastAsia" w:ascii="宋体" w:hAnsi="宋体" w:cs="宋体"/>
          <w:szCs w:val="21"/>
          <w:lang w:eastAsia="zh-CN"/>
        </w:rPr>
      </w:pPr>
      <w:r>
        <w:rPr>
          <w:rFonts w:hint="eastAsia" w:ascii="宋体" w:hAnsi="宋体" w:cs="宋体"/>
          <w:szCs w:val="21"/>
        </w:rPr>
        <w:t>（</w:t>
      </w:r>
      <w:r>
        <w:rPr>
          <w:rFonts w:hint="eastAsia" w:ascii="宋体" w:hAnsi="宋体" w:cs="宋体"/>
          <w:szCs w:val="21"/>
          <w:lang w:val="en-US" w:eastAsia="zh-CN"/>
        </w:rPr>
        <w:t>7）</w:t>
      </w:r>
      <w:r>
        <w:rPr>
          <w:rFonts w:hint="eastAsia" w:ascii="宋体" w:hAnsi="宋体" w:cs="宋体"/>
          <w:szCs w:val="21"/>
        </w:rPr>
        <w:t>项目</w:t>
      </w:r>
      <w:r>
        <w:rPr>
          <w:rFonts w:hint="eastAsia" w:ascii="宋体" w:hAnsi="宋体" w:cs="宋体"/>
          <w:szCs w:val="21"/>
          <w:lang w:eastAsia="zh-CN"/>
        </w:rPr>
        <w:t>实施方案</w:t>
      </w:r>
    </w:p>
    <w:p>
      <w:pPr>
        <w:snapToGrid w:val="0"/>
        <w:spacing w:line="420" w:lineRule="exact"/>
        <w:ind w:firstLine="315" w:firstLineChars="150"/>
        <w:jc w:val="left"/>
        <w:rPr>
          <w:rFonts w:hint="eastAsia" w:ascii="宋体" w:hAnsi="宋体" w:eastAsia="宋体" w:cs="宋体"/>
          <w:szCs w:val="21"/>
          <w:lang w:eastAsia="zh-CN"/>
        </w:rPr>
      </w:pPr>
      <w:r>
        <w:rPr>
          <w:rFonts w:hint="eastAsia"/>
          <w:lang w:eastAsia="zh-CN"/>
        </w:rPr>
        <w:t>（</w:t>
      </w:r>
      <w:r>
        <w:rPr>
          <w:rFonts w:hint="eastAsia"/>
          <w:lang w:val="en-US" w:eastAsia="zh-CN"/>
        </w:rPr>
        <w:t>8</w:t>
      </w:r>
      <w:r>
        <w:rPr>
          <w:rFonts w:hint="eastAsia"/>
          <w:lang w:eastAsia="zh-CN"/>
        </w:rPr>
        <w:t>）</w:t>
      </w:r>
      <w:r>
        <w:rPr>
          <w:rFonts w:hint="eastAsia"/>
        </w:rPr>
        <w:t>云服务产品平台通过工业和信息化部电信研究院（数据中心联盟）可信云服务认证证书</w:t>
      </w:r>
      <w:r>
        <w:rPr>
          <w:rFonts w:hint="eastAsia"/>
          <w:lang w:eastAsia="zh-CN"/>
        </w:rPr>
        <w:t>复印件加盖单位公章；</w:t>
      </w:r>
    </w:p>
    <w:p>
      <w:pPr>
        <w:snapToGrid w:val="0"/>
        <w:spacing w:line="420" w:lineRule="exact"/>
        <w:ind w:firstLine="315" w:firstLineChars="150"/>
        <w:jc w:val="left"/>
        <w:rPr>
          <w:rFonts w:hint="eastAsia" w:ascii="宋体" w:hAnsi="宋体" w:eastAsia="宋体" w:cs="宋体"/>
          <w:szCs w:val="21"/>
          <w:lang w:eastAsia="zh-CN"/>
        </w:rPr>
      </w:pPr>
      <w:r>
        <w:rPr>
          <w:rFonts w:hint="eastAsia"/>
          <w:lang w:eastAsia="zh-CN"/>
        </w:rPr>
        <w:t>（</w:t>
      </w:r>
      <w:r>
        <w:rPr>
          <w:rFonts w:hint="eastAsia"/>
          <w:lang w:val="en-US" w:eastAsia="zh-CN"/>
        </w:rPr>
        <w:t>9</w:t>
      </w:r>
      <w:r>
        <w:rPr>
          <w:rFonts w:hint="eastAsia"/>
          <w:lang w:eastAsia="zh-CN"/>
        </w:rPr>
        <w:t>）</w:t>
      </w:r>
      <w:r>
        <w:rPr>
          <w:rFonts w:hint="eastAsia"/>
        </w:rPr>
        <w:t>云服务产品平台通过公安部信息安全等级保护三级及以上认证</w:t>
      </w:r>
      <w:r>
        <w:rPr>
          <w:rFonts w:hint="eastAsia"/>
          <w:lang w:eastAsia="zh-CN"/>
        </w:rPr>
        <w:t>证书复印件加盖单位公章；</w:t>
      </w:r>
    </w:p>
    <w:p>
      <w:pPr>
        <w:snapToGrid w:val="0"/>
        <w:spacing w:line="420" w:lineRule="exact"/>
        <w:ind w:firstLine="315" w:firstLineChars="150"/>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10</w:t>
      </w:r>
      <w:r>
        <w:rPr>
          <w:rFonts w:hint="eastAsia" w:ascii="宋体" w:hAnsi="宋体" w:cs="宋体"/>
          <w:szCs w:val="21"/>
          <w:lang w:eastAsia="zh-CN"/>
        </w:rPr>
        <w:t>）本项目拟派人员一栏表</w:t>
      </w:r>
    </w:p>
    <w:p>
      <w:pPr>
        <w:snapToGrid w:val="0"/>
        <w:spacing w:line="440" w:lineRule="exact"/>
        <w:ind w:firstLine="411" w:firstLineChars="196"/>
        <w:jc w:val="left"/>
        <w:rPr>
          <w:rFonts w:hint="eastAsia"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11</w:t>
      </w:r>
      <w:r>
        <w:rPr>
          <w:rFonts w:hint="eastAsia" w:ascii="宋体" w:hAnsi="宋体"/>
          <w:color w:val="000000"/>
          <w:szCs w:val="21"/>
        </w:rPr>
        <w:t>）</w:t>
      </w:r>
      <w:r>
        <w:rPr>
          <w:rFonts w:hint="eastAsia" w:ascii="宋体" w:hAnsi="宋体"/>
          <w:b/>
          <w:bCs/>
          <w:color w:val="000000"/>
          <w:szCs w:val="21"/>
        </w:rPr>
        <w:t>资质证明材料：</w:t>
      </w:r>
    </w:p>
    <w:p>
      <w:pPr>
        <w:numPr>
          <w:ilvl w:val="0"/>
          <w:numId w:val="7"/>
        </w:numPr>
        <w:snapToGrid w:val="0"/>
        <w:spacing w:line="440" w:lineRule="exact"/>
        <w:jc w:val="left"/>
        <w:rPr>
          <w:rFonts w:hint="eastAsia" w:ascii="宋体" w:hAnsi="宋体"/>
          <w:color w:val="000000"/>
          <w:szCs w:val="21"/>
        </w:rPr>
      </w:pPr>
      <w:r>
        <w:rPr>
          <w:rFonts w:ascii="宋体" w:hAnsi="宋体"/>
          <w:color w:val="000000"/>
          <w:szCs w:val="21"/>
        </w:rPr>
        <w:t>投标保证金收据或缴款凭证</w:t>
      </w:r>
      <w:r>
        <w:rPr>
          <w:rFonts w:hint="eastAsia" w:ascii="宋体" w:hAnsi="宋体"/>
          <w:color w:val="000000"/>
          <w:szCs w:val="21"/>
          <w:lang w:val="en-US" w:eastAsia="zh-CN"/>
        </w:rPr>
        <w:t xml:space="preserve"> </w:t>
      </w:r>
      <w:r>
        <w:rPr>
          <w:rFonts w:ascii="宋体" w:hAnsi="宋体"/>
          <w:color w:val="000000"/>
          <w:szCs w:val="21"/>
        </w:rPr>
        <w:t>；</w:t>
      </w:r>
    </w:p>
    <w:p>
      <w:pPr>
        <w:numPr>
          <w:ilvl w:val="0"/>
          <w:numId w:val="7"/>
        </w:numPr>
        <w:snapToGrid w:val="0"/>
        <w:spacing w:line="440" w:lineRule="exact"/>
        <w:jc w:val="left"/>
        <w:rPr>
          <w:rFonts w:ascii="宋体" w:hAnsi="宋体"/>
          <w:color w:val="000000"/>
          <w:szCs w:val="21"/>
        </w:rPr>
      </w:pPr>
      <w:r>
        <w:rPr>
          <w:rFonts w:ascii="宋体" w:hAnsi="宋体"/>
          <w:color w:val="000000"/>
          <w:szCs w:val="21"/>
        </w:rPr>
        <w:t>法定代表人授权委托书(</w:t>
      </w:r>
      <w:r>
        <w:rPr>
          <w:rFonts w:hint="eastAsia" w:ascii="宋体" w:hAnsi="宋体"/>
          <w:color w:val="000000"/>
          <w:szCs w:val="21"/>
        </w:rPr>
        <w:t>格式见第六章 投标文件格式</w:t>
      </w:r>
      <w:r>
        <w:rPr>
          <w:rFonts w:ascii="宋体" w:hAnsi="宋体"/>
          <w:color w:val="000000"/>
          <w:szCs w:val="21"/>
        </w:rPr>
        <w:t>)；</w:t>
      </w:r>
    </w:p>
    <w:p>
      <w:pPr>
        <w:numPr>
          <w:ilvl w:val="0"/>
          <w:numId w:val="7"/>
        </w:numPr>
        <w:snapToGrid w:val="0"/>
        <w:spacing w:line="440" w:lineRule="exact"/>
        <w:jc w:val="left"/>
        <w:rPr>
          <w:rFonts w:hint="eastAsia" w:ascii="宋体" w:hAnsi="宋体"/>
          <w:color w:val="000000"/>
          <w:szCs w:val="21"/>
        </w:rPr>
      </w:pPr>
      <w:r>
        <w:rPr>
          <w:rFonts w:ascii="宋体" w:hAnsi="宋体"/>
          <w:color w:val="000000"/>
          <w:szCs w:val="21"/>
        </w:rPr>
        <w:t>营业执照</w:t>
      </w:r>
      <w:r>
        <w:rPr>
          <w:rFonts w:hint="eastAsia" w:ascii="宋体" w:hAnsi="宋体"/>
          <w:color w:val="000000"/>
          <w:szCs w:val="21"/>
        </w:rPr>
        <w:t>副本复印件</w:t>
      </w:r>
      <w:r>
        <w:rPr>
          <w:rFonts w:ascii="宋体" w:hAnsi="宋体" w:cs="Arial"/>
          <w:color w:val="000000"/>
          <w:szCs w:val="21"/>
        </w:rPr>
        <w:t>的复印件</w:t>
      </w:r>
      <w:r>
        <w:rPr>
          <w:rFonts w:hint="eastAsia" w:ascii="宋体" w:hAnsi="宋体"/>
          <w:color w:val="000000"/>
          <w:szCs w:val="21"/>
        </w:rPr>
        <w:t>；</w:t>
      </w:r>
    </w:p>
    <w:p>
      <w:pPr>
        <w:numPr>
          <w:ilvl w:val="0"/>
          <w:numId w:val="7"/>
        </w:numPr>
        <w:snapToGrid w:val="0"/>
        <w:spacing w:line="440" w:lineRule="exact"/>
        <w:jc w:val="left"/>
        <w:rPr>
          <w:rFonts w:hint="eastAsia" w:ascii="宋体" w:hAnsi="宋体"/>
          <w:color w:val="000000"/>
          <w:szCs w:val="21"/>
        </w:rPr>
      </w:pPr>
      <w:r>
        <w:rPr>
          <w:rFonts w:hint="eastAsia" w:ascii="宋体" w:hAnsi="宋体"/>
          <w:color w:val="000000"/>
          <w:szCs w:val="21"/>
        </w:rPr>
        <w:t>本项目公告发布日期之后通过“信用中国”网站（www.creditchina.gov.cn）、中国政府采购网（www.ccgp.gov.cn）查询其信用记录的信用信息查询结果网页打印件或截图；</w:t>
      </w:r>
    </w:p>
    <w:p>
      <w:pPr>
        <w:numPr>
          <w:ilvl w:val="0"/>
          <w:numId w:val="7"/>
        </w:numPr>
        <w:snapToGrid w:val="0"/>
        <w:spacing w:line="440" w:lineRule="exact"/>
        <w:jc w:val="left"/>
        <w:rPr>
          <w:rFonts w:ascii="宋体" w:hAnsi="宋体"/>
          <w:color w:val="000000"/>
          <w:szCs w:val="21"/>
        </w:rPr>
      </w:pPr>
      <w:r>
        <w:rPr>
          <w:rFonts w:hint="eastAsia" w:ascii="宋体" w:hAnsi="宋体"/>
          <w:color w:val="000000"/>
          <w:szCs w:val="21"/>
        </w:rPr>
        <w:t>投标人认为可以证明其能力或业绩的其他材料。</w:t>
      </w:r>
    </w:p>
    <w:p>
      <w:pPr>
        <w:snapToGrid w:val="0"/>
        <w:spacing w:line="440" w:lineRule="exact"/>
        <w:ind w:left="72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lang w:val="en-US" w:eastAsia="zh-CN"/>
        </w:rPr>
        <w:t>2</w:t>
      </w:r>
      <w:r>
        <w:rPr>
          <w:rFonts w:hint="eastAsia" w:ascii="宋体" w:hAnsi="宋体"/>
          <w:color w:val="000000"/>
          <w:szCs w:val="21"/>
        </w:rPr>
        <w:t>）招标文件要求的或投标人认为需要提供的其他证明材料（复印件加盖公章，投标时随带原件以备查验）。</w:t>
      </w:r>
    </w:p>
    <w:p>
      <w:pPr>
        <w:snapToGrid w:val="0"/>
        <w:spacing w:line="440" w:lineRule="exact"/>
        <w:ind w:left="720"/>
        <w:jc w:val="left"/>
        <w:rPr>
          <w:rFonts w:hint="eastAsia" w:ascii="宋体" w:hAnsi="宋体"/>
          <w:color w:val="000000"/>
          <w:szCs w:val="21"/>
        </w:rPr>
      </w:pPr>
      <w:r>
        <w:rPr>
          <w:rFonts w:hint="eastAsia" w:ascii="宋体" w:hAnsi="宋体"/>
          <w:color w:val="000000"/>
          <w:szCs w:val="21"/>
        </w:rPr>
        <w:t>备注：</w:t>
      </w:r>
      <w:r>
        <w:rPr>
          <w:rFonts w:ascii="宋体" w:hAnsi="宋体"/>
          <w:color w:val="000000"/>
          <w:szCs w:val="21"/>
        </w:rPr>
        <w:t>招标文件要求携带原件的（</w:t>
      </w:r>
      <w:r>
        <w:rPr>
          <w:rFonts w:hint="eastAsia" w:ascii="宋体" w:hAnsi="宋体"/>
          <w:color w:val="000000"/>
          <w:szCs w:val="21"/>
        </w:rPr>
        <w:t>如有</w:t>
      </w:r>
      <w:r>
        <w:rPr>
          <w:rFonts w:ascii="宋体" w:hAnsi="宋体"/>
          <w:color w:val="000000"/>
          <w:szCs w:val="21"/>
        </w:rPr>
        <w:t>）</w:t>
      </w:r>
      <w:r>
        <w:rPr>
          <w:rFonts w:hint="eastAsia" w:ascii="宋体" w:hAnsi="宋体"/>
          <w:color w:val="000000"/>
          <w:szCs w:val="21"/>
        </w:rPr>
        <w:t>，</w:t>
      </w:r>
      <w:r>
        <w:rPr>
          <w:rFonts w:ascii="宋体" w:hAnsi="宋体"/>
          <w:color w:val="000000"/>
          <w:szCs w:val="21"/>
        </w:rPr>
        <w:t>请投标人随带原件以备查验。</w:t>
      </w:r>
    </w:p>
    <w:p>
      <w:pPr>
        <w:pStyle w:val="26"/>
        <w:widowControl w:val="0"/>
        <w:spacing w:before="0" w:afterLines="0" w:line="440" w:lineRule="exact"/>
        <w:ind w:firstLine="420" w:firstLineChars="200"/>
        <w:rPr>
          <w:b/>
          <w:bCs/>
          <w:sz w:val="21"/>
          <w:szCs w:val="21"/>
        </w:rPr>
      </w:pPr>
      <w:r>
        <w:rPr>
          <w:sz w:val="21"/>
          <w:szCs w:val="21"/>
        </w:rPr>
        <w:t>▲</w:t>
      </w:r>
      <w:r>
        <w:rPr>
          <w:b/>
          <w:bCs/>
          <w:sz w:val="21"/>
          <w:szCs w:val="21"/>
        </w:rPr>
        <w:t>注：</w:t>
      </w:r>
      <w:r>
        <w:rPr>
          <w:rFonts w:hint="eastAsia"/>
          <w:b/>
          <w:bCs/>
          <w:sz w:val="21"/>
          <w:szCs w:val="21"/>
        </w:rPr>
        <w:t>1、技术商务文件中不能出现报价。</w:t>
      </w:r>
    </w:p>
    <w:p>
      <w:pPr>
        <w:spacing w:line="276" w:lineRule="auto"/>
        <w:ind w:firstLine="1039" w:firstLineChars="493"/>
        <w:rPr>
          <w:rFonts w:ascii="宋体"/>
          <w:b/>
          <w:color w:val="000000"/>
        </w:rPr>
      </w:pPr>
      <w:r>
        <w:rPr>
          <w:rFonts w:ascii="宋体"/>
          <w:b/>
          <w:color w:val="000000"/>
        </w:rPr>
        <w:t>2</w:t>
      </w:r>
      <w:r>
        <w:rPr>
          <w:rFonts w:hint="eastAsia" w:ascii="宋体"/>
          <w:b/>
          <w:color w:val="000000"/>
        </w:rPr>
        <w:t>、投标人提供的以上材料必须真实有效，任何一项的虚假将导致其投标被拒绝。</w:t>
      </w:r>
    </w:p>
    <w:p>
      <w:pPr>
        <w:spacing w:line="276" w:lineRule="auto"/>
        <w:ind w:firstLine="1039" w:firstLineChars="493"/>
        <w:rPr>
          <w:rFonts w:hint="eastAsia" w:ascii="宋体"/>
          <w:b/>
          <w:color w:val="000000"/>
          <w:szCs w:val="21"/>
        </w:rPr>
      </w:pPr>
      <w:r>
        <w:rPr>
          <w:rFonts w:ascii="宋体"/>
          <w:b/>
          <w:color w:val="000000"/>
          <w:szCs w:val="21"/>
        </w:rPr>
        <w:t>3</w:t>
      </w:r>
      <w:r>
        <w:rPr>
          <w:rFonts w:hint="eastAsia" w:ascii="宋体"/>
          <w:b/>
          <w:color w:val="000000"/>
          <w:szCs w:val="21"/>
        </w:rPr>
        <w:t>、招标文件要求携带原件的（如有），请投标人随带原件以备查验。</w:t>
      </w:r>
    </w:p>
    <w:p>
      <w:pPr>
        <w:snapToGrid w:val="0"/>
        <w:spacing w:line="440" w:lineRule="exact"/>
        <w:ind w:firstLine="420" w:firstLineChars="200"/>
        <w:jc w:val="left"/>
        <w:rPr>
          <w:rFonts w:ascii="宋体" w:hAnsi="宋体"/>
          <w:color w:val="000000"/>
          <w:szCs w:val="21"/>
        </w:rPr>
      </w:pPr>
      <w:r>
        <w:rPr>
          <w:rFonts w:hint="eastAsia" w:ascii="宋体" w:hAnsi="宋体"/>
          <w:color w:val="000000"/>
          <w:szCs w:val="21"/>
        </w:rPr>
        <w:t>对于招标文件第六章中已经提供了投标文件格式的，投标人须按提供的格式进行填写和编制，没有提供格式的可自行设计。</w:t>
      </w:r>
    </w:p>
    <w:p>
      <w:pPr>
        <w:snapToGrid w:val="0"/>
        <w:spacing w:line="360" w:lineRule="auto"/>
        <w:ind w:firstLine="413" w:firstLineChars="196"/>
        <w:jc w:val="left"/>
        <w:outlineLvl w:val="0"/>
        <w:rPr>
          <w:rFonts w:ascii="宋体" w:hAnsi="宋体"/>
          <w:b/>
          <w:color w:val="000000"/>
          <w:szCs w:val="21"/>
        </w:rPr>
      </w:pPr>
      <w:r>
        <w:rPr>
          <w:rFonts w:hint="eastAsia" w:ascii="宋体" w:hAnsi="宋体"/>
          <w:b/>
          <w:color w:val="000000"/>
          <w:szCs w:val="21"/>
        </w:rPr>
        <w:t>（二）投标文件的语言及计量</w:t>
      </w:r>
      <w:bookmarkEnd w:id="8"/>
    </w:p>
    <w:p>
      <w:pPr>
        <w:snapToGri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w:t>
      </w:r>
      <w:r>
        <w:rPr>
          <w:rFonts w:ascii="宋体" w:hAnsi="宋体"/>
          <w:color w:val="000000"/>
          <w:szCs w:val="21"/>
        </w:rPr>
        <w:t>投标文件以及投标方与招标方就有关投标事宜的所有来往函电，均应以中文汉语书写。除签名、盖章、专用名称等特殊情形外，以中文汉语以外的文字表述的投标文件视同未提供。</w:t>
      </w:r>
    </w:p>
    <w:p>
      <w:pPr>
        <w:snapToGri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ascii="宋体" w:hAnsi="宋体"/>
          <w:color w:val="000000"/>
          <w:szCs w:val="21"/>
        </w:rPr>
        <w:t>投标计量单位，招标文件已有明确规定的，使用招标文件规定的计量单位；招标文件没有规定的，应采用中华人民共和国法定计量单位（货币单位：人民币元），否则视同未响应。</w:t>
      </w:r>
    </w:p>
    <w:p>
      <w:pPr>
        <w:snapToGrid w:val="0"/>
        <w:spacing w:before="120" w:beforeLines="50" w:line="360" w:lineRule="auto"/>
        <w:ind w:firstLine="413" w:firstLineChars="196"/>
        <w:jc w:val="left"/>
        <w:outlineLvl w:val="0"/>
        <w:rPr>
          <w:rFonts w:ascii="宋体" w:hAnsi="宋体"/>
          <w:b/>
          <w:color w:val="000000"/>
          <w:szCs w:val="21"/>
        </w:rPr>
      </w:pPr>
      <w:bookmarkStart w:id="9" w:name="_Toc490748642"/>
      <w:r>
        <w:rPr>
          <w:rFonts w:hint="eastAsia" w:ascii="宋体" w:hAnsi="宋体"/>
          <w:b/>
          <w:color w:val="000000"/>
          <w:szCs w:val="21"/>
        </w:rPr>
        <w:t>（三）投标报价</w:t>
      </w:r>
      <w:bookmarkEnd w:id="9"/>
    </w:p>
    <w:p>
      <w:pPr>
        <w:pStyle w:val="15"/>
        <w:snapToGrid w:val="0"/>
        <w:spacing w:before="0" w:beforeLines="0" w:after="0" w:afterLines="0" w:line="360" w:lineRule="auto"/>
        <w:ind w:firstLine="420" w:firstLineChars="200"/>
        <w:jc w:val="left"/>
        <w:rPr>
          <w:rFonts w:hAnsi="宋体"/>
          <w:color w:val="000000"/>
          <w:sz w:val="21"/>
          <w:szCs w:val="21"/>
        </w:rPr>
      </w:pPr>
      <w:r>
        <w:rPr>
          <w:rFonts w:hAnsi="宋体"/>
          <w:color w:val="000000"/>
          <w:sz w:val="21"/>
          <w:szCs w:val="21"/>
        </w:rPr>
        <w:t>1</w:t>
      </w:r>
      <w:r>
        <w:rPr>
          <w:rFonts w:hint="eastAsia" w:hAnsi="宋体"/>
          <w:color w:val="000000"/>
          <w:sz w:val="21"/>
          <w:szCs w:val="21"/>
        </w:rPr>
        <w:t>.</w:t>
      </w:r>
      <w:r>
        <w:rPr>
          <w:rFonts w:hAnsi="宋体"/>
          <w:color w:val="000000"/>
          <w:sz w:val="21"/>
          <w:szCs w:val="21"/>
        </w:rPr>
        <w:t>投标报价应按招标文件中相关附表格式填写。</w:t>
      </w:r>
    </w:p>
    <w:p>
      <w:pPr>
        <w:pStyle w:val="15"/>
        <w:snapToGrid w:val="0"/>
        <w:spacing w:beforeLines="0" w:afterLines="0" w:line="360" w:lineRule="auto"/>
        <w:ind w:firstLine="420" w:firstLineChars="200"/>
        <w:jc w:val="left"/>
        <w:rPr>
          <w:rFonts w:hAnsi="宋体"/>
          <w:color w:val="000000"/>
          <w:sz w:val="21"/>
          <w:szCs w:val="21"/>
        </w:rPr>
      </w:pPr>
      <w:r>
        <w:rPr>
          <w:rFonts w:hAnsi="宋体"/>
          <w:color w:val="000000"/>
          <w:sz w:val="21"/>
          <w:szCs w:val="21"/>
        </w:rPr>
        <w:t>▲2</w:t>
      </w:r>
      <w:r>
        <w:rPr>
          <w:rFonts w:hint="eastAsia" w:hAnsi="宋体"/>
          <w:color w:val="000000"/>
          <w:sz w:val="21"/>
          <w:szCs w:val="21"/>
        </w:rPr>
        <w:t>.</w:t>
      </w:r>
      <w:r>
        <w:rPr>
          <w:rFonts w:hAnsi="宋体"/>
          <w:color w:val="000000"/>
          <w:sz w:val="21"/>
          <w:szCs w:val="21"/>
        </w:rPr>
        <w:t>投标报价是履行合同的最终价格，应包括货款、标准附件、备品备件、专用工具、包装、运输、装卸、保险、</w:t>
      </w:r>
      <w:r>
        <w:rPr>
          <w:rFonts w:hint="eastAsia" w:hAnsi="宋体"/>
          <w:color w:val="000000"/>
          <w:sz w:val="21"/>
          <w:szCs w:val="21"/>
          <w:lang w:eastAsia="zh-CN"/>
        </w:rPr>
        <w:t>云平台的搭建及租赁、</w:t>
      </w:r>
      <w:r>
        <w:rPr>
          <w:rFonts w:hAnsi="宋体"/>
          <w:color w:val="000000"/>
          <w:sz w:val="21"/>
          <w:szCs w:val="21"/>
        </w:rPr>
        <w:t>税金、货到就位以及安装、调试、培训、保修等一切税金和费用。</w:t>
      </w:r>
    </w:p>
    <w:p>
      <w:pPr>
        <w:tabs>
          <w:tab w:val="left" w:pos="525"/>
        </w:tabs>
        <w:snapToGri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w:t>
      </w:r>
      <w:r>
        <w:rPr>
          <w:rFonts w:ascii="宋体" w:hAnsi="宋体"/>
          <w:color w:val="000000"/>
          <w:szCs w:val="21"/>
        </w:rPr>
        <w:t>投标文件只允许有一个报价，有选择的</w:t>
      </w:r>
      <w:r>
        <w:rPr>
          <w:rFonts w:hint="eastAsia" w:ascii="宋体" w:hAnsi="宋体"/>
          <w:color w:val="000000"/>
          <w:szCs w:val="21"/>
        </w:rPr>
        <w:t>或有条件的</w:t>
      </w:r>
      <w:r>
        <w:rPr>
          <w:rFonts w:ascii="宋体" w:hAnsi="宋体"/>
          <w:color w:val="000000"/>
          <w:szCs w:val="21"/>
        </w:rPr>
        <w:t>报价将不予接受。</w:t>
      </w:r>
    </w:p>
    <w:p>
      <w:pPr>
        <w:pStyle w:val="5"/>
        <w:widowControl w:val="0"/>
        <w:numPr>
          <w:ilvl w:val="0"/>
          <w:numId w:val="0"/>
        </w:numPr>
        <w:snapToGrid w:val="0"/>
        <w:spacing w:before="120" w:beforeLines="50" w:afterLines="0" w:line="360" w:lineRule="auto"/>
        <w:ind w:firstLine="413" w:firstLineChars="196"/>
        <w:rPr>
          <w:rFonts w:ascii="宋体" w:hAnsi="宋体"/>
          <w:b/>
          <w:color w:val="000000"/>
          <w:sz w:val="21"/>
          <w:szCs w:val="21"/>
        </w:rPr>
      </w:pPr>
      <w:r>
        <w:rPr>
          <w:rFonts w:hint="eastAsia" w:ascii="宋体" w:hAnsi="宋体"/>
          <w:b/>
          <w:color w:val="000000"/>
          <w:sz w:val="21"/>
          <w:szCs w:val="21"/>
        </w:rPr>
        <w:t>（四）投标文件的有效期</w:t>
      </w:r>
    </w:p>
    <w:p>
      <w:pPr>
        <w:pStyle w:val="5"/>
        <w:widowControl w:val="0"/>
        <w:numPr>
          <w:ilvl w:val="0"/>
          <w:numId w:val="0"/>
        </w:numPr>
        <w:snapToGrid w:val="0"/>
        <w:spacing w:afterLines="0" w:line="360" w:lineRule="auto"/>
        <w:ind w:firstLine="420" w:firstLineChars="200"/>
        <w:rPr>
          <w:rFonts w:ascii="宋体" w:hAnsi="宋体"/>
          <w:color w:val="000000"/>
          <w:sz w:val="21"/>
          <w:szCs w:val="21"/>
        </w:rPr>
      </w:pPr>
      <w:r>
        <w:rPr>
          <w:rFonts w:hint="eastAsia" w:ascii="宋体" w:hAnsi="宋体"/>
          <w:color w:val="000000"/>
          <w:sz w:val="21"/>
          <w:szCs w:val="21"/>
        </w:rPr>
        <w:t>▲</w:t>
      </w:r>
      <w:r>
        <w:rPr>
          <w:rFonts w:ascii="宋体" w:hAnsi="宋体"/>
          <w:color w:val="000000"/>
          <w:sz w:val="21"/>
          <w:szCs w:val="21"/>
        </w:rPr>
        <w:t>1</w:t>
      </w:r>
      <w:r>
        <w:rPr>
          <w:rFonts w:hint="eastAsia" w:ascii="宋体" w:hAnsi="宋体"/>
          <w:color w:val="000000"/>
          <w:sz w:val="21"/>
          <w:szCs w:val="21"/>
        </w:rPr>
        <w:t>、</w:t>
      </w:r>
      <w:r>
        <w:rPr>
          <w:rFonts w:ascii="宋体" w:hAnsi="宋体"/>
          <w:color w:val="000000"/>
          <w:sz w:val="21"/>
          <w:szCs w:val="21"/>
        </w:rPr>
        <w:t>自投标截止日起</w:t>
      </w:r>
      <w:r>
        <w:rPr>
          <w:rFonts w:hint="eastAsia" w:ascii="宋体" w:hAnsi="宋体"/>
          <w:color w:val="000000"/>
          <w:sz w:val="21"/>
          <w:szCs w:val="21"/>
          <w:u w:val="single"/>
        </w:rPr>
        <w:t>90</w:t>
      </w:r>
      <w:r>
        <w:rPr>
          <w:rFonts w:ascii="宋体" w:hAnsi="宋体"/>
          <w:color w:val="000000"/>
          <w:sz w:val="21"/>
          <w:szCs w:val="21"/>
        </w:rPr>
        <w:t>天投标</w:t>
      </w:r>
      <w:r>
        <w:rPr>
          <w:rFonts w:hint="eastAsia" w:ascii="宋体" w:hAnsi="宋体"/>
          <w:color w:val="000000"/>
          <w:sz w:val="21"/>
          <w:szCs w:val="21"/>
        </w:rPr>
        <w:t>文件</w:t>
      </w:r>
      <w:r>
        <w:rPr>
          <w:rFonts w:ascii="宋体" w:hAnsi="宋体"/>
          <w:color w:val="000000"/>
          <w:sz w:val="21"/>
          <w:szCs w:val="21"/>
        </w:rPr>
        <w:t>应保持有效。有效期</w:t>
      </w:r>
      <w:r>
        <w:rPr>
          <w:rFonts w:hint="eastAsia" w:ascii="宋体" w:hAnsi="宋体"/>
          <w:color w:val="000000"/>
          <w:sz w:val="21"/>
          <w:szCs w:val="21"/>
        </w:rPr>
        <w:t>不足</w:t>
      </w:r>
      <w:r>
        <w:rPr>
          <w:rFonts w:ascii="宋体" w:hAnsi="宋体"/>
          <w:color w:val="000000"/>
          <w:sz w:val="21"/>
          <w:szCs w:val="21"/>
        </w:rPr>
        <w:t>的投标</w:t>
      </w:r>
      <w:r>
        <w:rPr>
          <w:rFonts w:hint="eastAsia" w:ascii="宋体" w:hAnsi="宋体"/>
          <w:color w:val="000000"/>
          <w:sz w:val="21"/>
          <w:szCs w:val="21"/>
        </w:rPr>
        <w:t>文件</w:t>
      </w:r>
      <w:r>
        <w:rPr>
          <w:rFonts w:ascii="宋体" w:hAnsi="宋体"/>
          <w:color w:val="000000"/>
          <w:sz w:val="21"/>
          <w:szCs w:val="21"/>
        </w:rPr>
        <w:t>将被拒绝。</w:t>
      </w:r>
    </w:p>
    <w:p>
      <w:pPr>
        <w:pStyle w:val="5"/>
        <w:widowControl w:val="0"/>
        <w:numPr>
          <w:ilvl w:val="0"/>
          <w:numId w:val="0"/>
        </w:numPr>
        <w:snapToGrid w:val="0"/>
        <w:spacing w:afterLines="0" w:line="360" w:lineRule="auto"/>
        <w:ind w:firstLine="420" w:firstLineChars="200"/>
        <w:rPr>
          <w:rFonts w:ascii="宋体" w:hAnsi="宋体"/>
          <w:color w:val="000000"/>
          <w:sz w:val="21"/>
          <w:szCs w:val="21"/>
        </w:rPr>
      </w:pPr>
      <w:r>
        <w:rPr>
          <w:rFonts w:ascii="宋体" w:hAnsi="宋体"/>
          <w:color w:val="000000"/>
          <w:sz w:val="21"/>
          <w:szCs w:val="21"/>
        </w:rPr>
        <w:t>2</w:t>
      </w:r>
      <w:r>
        <w:rPr>
          <w:rFonts w:hint="eastAsia" w:ascii="宋体" w:hAnsi="宋体"/>
          <w:color w:val="000000"/>
          <w:sz w:val="21"/>
          <w:szCs w:val="21"/>
        </w:rPr>
        <w:t>、</w:t>
      </w:r>
      <w:r>
        <w:rPr>
          <w:rFonts w:ascii="宋体" w:hAnsi="宋体"/>
          <w:color w:val="000000"/>
          <w:sz w:val="21"/>
          <w:szCs w:val="21"/>
        </w:rPr>
        <w:t>在特殊情况下，招标人可与投标人协商延长投标书的有效期，这种要求和答复均以书面形式进行。</w:t>
      </w:r>
    </w:p>
    <w:p>
      <w:pPr>
        <w:snapToGrid w:val="0"/>
        <w:spacing w:line="360" w:lineRule="auto"/>
        <w:ind w:firstLine="420" w:firstLineChars="200"/>
        <w:jc w:val="left"/>
        <w:outlineLvl w:val="0"/>
        <w:rPr>
          <w:rFonts w:ascii="宋体" w:hAnsi="宋体"/>
          <w:b/>
          <w:color w:val="000000"/>
          <w:szCs w:val="21"/>
        </w:rPr>
      </w:pPr>
      <w:bookmarkStart w:id="10" w:name="_Toc480898898"/>
      <w:bookmarkStart w:id="11" w:name="_Toc490748643"/>
      <w:r>
        <w:rPr>
          <w:rFonts w:ascii="宋体" w:hAnsi="宋体"/>
          <w:color w:val="000000"/>
          <w:szCs w:val="21"/>
        </w:rPr>
        <w:t>3</w:t>
      </w:r>
      <w:r>
        <w:rPr>
          <w:rFonts w:hint="eastAsia" w:ascii="宋体" w:hAnsi="宋体"/>
          <w:color w:val="000000"/>
          <w:szCs w:val="21"/>
        </w:rPr>
        <w:t>、</w:t>
      </w:r>
      <w:r>
        <w:rPr>
          <w:rFonts w:ascii="宋体" w:hAnsi="宋体"/>
          <w:color w:val="000000"/>
          <w:szCs w:val="21"/>
        </w:rPr>
        <w:t>投标人可拒绝接受延期要求而不会导致投标保证金被没收。同意延长有效期的投标人需要相应延长投标保证金的有效期，但不能修改投标文件。</w:t>
      </w:r>
      <w:bookmarkEnd w:id="10"/>
      <w:bookmarkEnd w:id="11"/>
      <w:r>
        <w:rPr>
          <w:rFonts w:ascii="宋体" w:hAnsi="宋体"/>
          <w:b/>
          <w:color w:val="000000"/>
          <w:szCs w:val="21"/>
        </w:rPr>
        <w:t xml:space="preserve"> </w:t>
      </w:r>
    </w:p>
    <w:p>
      <w:pPr>
        <w:snapToGrid w:val="0"/>
        <w:spacing w:line="360" w:lineRule="auto"/>
        <w:ind w:firstLine="420" w:firstLineChars="200"/>
        <w:jc w:val="left"/>
        <w:outlineLvl w:val="0"/>
        <w:rPr>
          <w:rFonts w:hint="eastAsia" w:ascii="宋体" w:hAnsi="宋体"/>
          <w:b/>
          <w:color w:val="000000"/>
          <w:szCs w:val="21"/>
        </w:rPr>
      </w:pPr>
      <w:bookmarkStart w:id="12" w:name="_Toc480898899"/>
      <w:bookmarkStart w:id="13" w:name="_Toc490748644"/>
      <w:r>
        <w:rPr>
          <w:rFonts w:ascii="宋体" w:hAnsi="宋体"/>
          <w:color w:val="000000"/>
          <w:szCs w:val="21"/>
        </w:rPr>
        <w:t>4</w:t>
      </w:r>
      <w:r>
        <w:rPr>
          <w:rFonts w:hint="eastAsia" w:ascii="宋体" w:hAnsi="宋体"/>
          <w:color w:val="000000"/>
          <w:szCs w:val="21"/>
        </w:rPr>
        <w:t>、</w:t>
      </w:r>
      <w:r>
        <w:rPr>
          <w:rFonts w:ascii="宋体" w:hAnsi="宋体"/>
          <w:color w:val="000000"/>
          <w:szCs w:val="21"/>
        </w:rPr>
        <w:t>中标人的投标文件自开标之日起至合同履行完毕止均应保持有效。</w:t>
      </w:r>
      <w:bookmarkEnd w:id="12"/>
      <w:bookmarkEnd w:id="13"/>
    </w:p>
    <w:p>
      <w:pPr>
        <w:snapToGrid w:val="0"/>
        <w:spacing w:before="120" w:beforeLines="50" w:line="360" w:lineRule="auto"/>
        <w:ind w:firstLine="413" w:firstLineChars="196"/>
        <w:jc w:val="left"/>
        <w:outlineLvl w:val="0"/>
        <w:rPr>
          <w:rFonts w:ascii="宋体" w:hAnsi="宋体"/>
          <w:b/>
          <w:color w:val="000000"/>
          <w:szCs w:val="21"/>
        </w:rPr>
      </w:pPr>
      <w:bookmarkStart w:id="14" w:name="_Toc490748645"/>
      <w:bookmarkStart w:id="15" w:name="_Toc480898900"/>
      <w:r>
        <w:rPr>
          <w:rFonts w:hint="eastAsia" w:ascii="宋体" w:hAnsi="宋体"/>
          <w:b/>
          <w:color w:val="000000"/>
          <w:szCs w:val="21"/>
        </w:rPr>
        <w:t>（五）投标保证金</w:t>
      </w:r>
      <w:bookmarkEnd w:id="14"/>
      <w:bookmarkEnd w:id="15"/>
    </w:p>
    <w:p>
      <w:pPr>
        <w:snapToGri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w:t>
      </w:r>
      <w:r>
        <w:rPr>
          <w:rFonts w:ascii="宋体" w:hAnsi="宋体"/>
          <w:color w:val="000000"/>
          <w:szCs w:val="21"/>
        </w:rPr>
        <w:t>投标人须</w:t>
      </w:r>
      <w:r>
        <w:rPr>
          <w:rFonts w:hint="eastAsia" w:ascii="宋体" w:hAnsi="宋体"/>
          <w:color w:val="000000"/>
          <w:szCs w:val="21"/>
        </w:rPr>
        <w:t>按规定</w:t>
      </w:r>
      <w:r>
        <w:rPr>
          <w:rFonts w:ascii="宋体" w:hAnsi="宋体"/>
          <w:color w:val="000000"/>
          <w:szCs w:val="21"/>
        </w:rPr>
        <w:t>提交投标保证金。否则，其投标将被拒绝。</w:t>
      </w:r>
    </w:p>
    <w:p>
      <w:pPr>
        <w:snapToGrid w:val="0"/>
        <w:spacing w:line="360" w:lineRule="auto"/>
        <w:ind w:firstLine="420" w:firstLineChars="200"/>
        <w:jc w:val="left"/>
        <w:rPr>
          <w:rFonts w:hint="eastAsia"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 xml:space="preserve">保证金形式： </w:t>
      </w:r>
      <w:r>
        <w:rPr>
          <w:rFonts w:hint="eastAsia" w:ascii="宋体" w:hAnsi="宋体"/>
          <w:color w:val="000000"/>
          <w:szCs w:val="21"/>
        </w:rPr>
        <w:t>电汇、网银、</w:t>
      </w:r>
      <w:r>
        <w:rPr>
          <w:rFonts w:hint="eastAsia" w:ascii="宋体" w:hAnsi="宋体" w:cs="Arial"/>
          <w:bCs/>
          <w:color w:val="000000"/>
          <w:szCs w:val="21"/>
        </w:rPr>
        <w:t>转账支票（宁波大市范围内）、银行汇票（全国及华东三省一市）</w:t>
      </w:r>
      <w:r>
        <w:rPr>
          <w:rFonts w:hint="eastAsia" w:ascii="宋体" w:hAnsi="宋体"/>
          <w:color w:val="000000"/>
          <w:szCs w:val="21"/>
        </w:rPr>
        <w:t>。投标人的保证金缴纳必须从企业工商注册所在地的基本账户中划转，不得缴纳现金。从他人帐户、投标人企业的其他账户缴纳的投标保证金无效。如用电汇或汇票的，请在用途栏内注明“采购编号和项目名称”字样。</w:t>
      </w:r>
    </w:p>
    <w:p>
      <w:pPr>
        <w:snapToGrid w:val="0"/>
        <w:spacing w:line="360" w:lineRule="auto"/>
        <w:ind w:firstLine="420" w:firstLineChars="200"/>
        <w:jc w:val="lef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未中标人</w:t>
      </w:r>
      <w:r>
        <w:rPr>
          <w:rFonts w:hint="eastAsia" w:ascii="宋体" w:hAnsi="宋体"/>
          <w:color w:val="000000"/>
          <w:szCs w:val="21"/>
        </w:rPr>
        <w:t>的投标</w:t>
      </w:r>
      <w:r>
        <w:rPr>
          <w:rFonts w:ascii="宋体" w:hAnsi="宋体"/>
          <w:color w:val="000000"/>
          <w:szCs w:val="21"/>
        </w:rPr>
        <w:t>保证金在</w:t>
      </w:r>
      <w:r>
        <w:rPr>
          <w:rFonts w:hint="eastAsia" w:ascii="宋体" w:hAnsi="宋体"/>
          <w:color w:val="000000"/>
          <w:szCs w:val="21"/>
        </w:rPr>
        <w:t>中标通知书发出后5个工作日内退还</w:t>
      </w:r>
      <w:r>
        <w:rPr>
          <w:rFonts w:ascii="宋体" w:hAnsi="宋体"/>
          <w:color w:val="000000"/>
          <w:szCs w:val="21"/>
        </w:rPr>
        <w:t>。</w:t>
      </w:r>
    </w:p>
    <w:p>
      <w:pPr>
        <w:snapToGrid w:val="0"/>
        <w:spacing w:line="360" w:lineRule="auto"/>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中标人应在中标通知书发出</w:t>
      </w:r>
      <w:r>
        <w:rPr>
          <w:rFonts w:hint="eastAsia" w:ascii="宋体" w:hAnsi="宋体"/>
          <w:color w:val="000000"/>
          <w:szCs w:val="21"/>
        </w:rPr>
        <w:t>后3日内与采购人签订合同。中标人的投标保证金在合同签订后5个工作内退还</w:t>
      </w:r>
    </w:p>
    <w:p>
      <w:pPr>
        <w:snapToGrid w:val="0"/>
        <w:spacing w:line="360" w:lineRule="auto"/>
        <w:ind w:firstLine="420" w:firstLineChars="200"/>
        <w:jc w:val="left"/>
        <w:rPr>
          <w:rFonts w:hint="eastAsia"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保证金不计息。</w:t>
      </w:r>
    </w:p>
    <w:p>
      <w:pPr>
        <w:snapToGrid w:val="0"/>
        <w:spacing w:line="360" w:lineRule="auto"/>
        <w:ind w:firstLine="411" w:firstLineChars="196"/>
        <w:jc w:val="left"/>
        <w:rPr>
          <w:rFonts w:hint="eastAsia" w:ascii="宋体" w:hAnsi="宋体"/>
          <w:bCs/>
          <w:color w:val="000000"/>
          <w:szCs w:val="21"/>
        </w:rPr>
      </w:pPr>
      <w:r>
        <w:rPr>
          <w:rFonts w:ascii="宋体" w:hAnsi="宋体"/>
          <w:bCs/>
          <w:color w:val="000000"/>
          <w:szCs w:val="21"/>
        </w:rPr>
        <w:t>6</w:t>
      </w:r>
      <w:r>
        <w:rPr>
          <w:rFonts w:hint="eastAsia" w:ascii="宋体" w:hAnsi="宋体"/>
          <w:bCs/>
          <w:color w:val="000000"/>
          <w:szCs w:val="21"/>
        </w:rPr>
        <w:t>、投标人有</w:t>
      </w:r>
      <w:r>
        <w:rPr>
          <w:rFonts w:ascii="宋体" w:hAnsi="宋体"/>
          <w:bCs/>
          <w:color w:val="000000"/>
          <w:szCs w:val="21"/>
        </w:rPr>
        <w:t>下列情</w:t>
      </w:r>
      <w:r>
        <w:rPr>
          <w:rFonts w:hint="eastAsia" w:ascii="宋体" w:hAnsi="宋体"/>
          <w:bCs/>
          <w:color w:val="000000"/>
          <w:szCs w:val="21"/>
        </w:rPr>
        <w:t>形之一的</w:t>
      </w:r>
      <w:r>
        <w:rPr>
          <w:rFonts w:ascii="宋体" w:hAnsi="宋体"/>
          <w:bCs/>
          <w:color w:val="000000"/>
          <w:szCs w:val="21"/>
        </w:rPr>
        <w:t>，投标保证金将不予退还：</w:t>
      </w:r>
    </w:p>
    <w:p>
      <w:pPr>
        <w:snapToGrid w:val="0"/>
        <w:spacing w:line="360" w:lineRule="auto"/>
        <w:ind w:firstLine="411" w:firstLineChars="196"/>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投标人在投标有效期内撤回投标文件的；</w:t>
      </w:r>
    </w:p>
    <w:p>
      <w:pPr>
        <w:snapToGrid w:val="0"/>
        <w:spacing w:line="360" w:lineRule="auto"/>
        <w:ind w:firstLine="411" w:firstLineChars="196"/>
        <w:jc w:val="left"/>
        <w:rPr>
          <w:rFonts w:ascii="宋体" w:hAnsi="宋体"/>
          <w:color w:val="000000"/>
          <w:szCs w:val="21"/>
        </w:rPr>
      </w:pPr>
      <w:r>
        <w:rPr>
          <w:rFonts w:hint="eastAsia" w:ascii="宋体" w:hAnsi="宋体"/>
          <w:color w:val="000000"/>
          <w:szCs w:val="21"/>
        </w:rPr>
        <w:t>（</w:t>
      </w:r>
      <w:r>
        <w:rPr>
          <w:rFonts w:ascii="宋体" w:hAnsi="宋体"/>
          <w:color w:val="000000"/>
          <w:szCs w:val="21"/>
        </w:rPr>
        <w:t>2）投标人在投标过程中弄虚作假，提供虚假材料</w:t>
      </w:r>
      <w:r>
        <w:rPr>
          <w:rFonts w:hint="eastAsia" w:ascii="宋体" w:hAnsi="宋体"/>
          <w:color w:val="000000"/>
          <w:szCs w:val="21"/>
        </w:rPr>
        <w:t>的</w:t>
      </w:r>
      <w:r>
        <w:rPr>
          <w:rFonts w:ascii="宋体" w:hAnsi="宋体"/>
          <w:color w:val="000000"/>
          <w:szCs w:val="21"/>
        </w:rPr>
        <w:t>；</w:t>
      </w:r>
    </w:p>
    <w:p>
      <w:pPr>
        <w:snapToGrid w:val="0"/>
        <w:spacing w:line="360" w:lineRule="auto"/>
        <w:ind w:firstLine="411" w:firstLineChars="196"/>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中标人无正当理由不与采购人签订合同的；</w:t>
      </w:r>
    </w:p>
    <w:p>
      <w:pPr>
        <w:snapToGrid w:val="0"/>
        <w:spacing w:line="360" w:lineRule="auto"/>
        <w:ind w:firstLine="411" w:firstLineChars="196"/>
        <w:rPr>
          <w:rFonts w:hint="eastAsia" w:ascii="宋体" w:hAnsi="宋体"/>
          <w:b/>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bCs/>
          <w:color w:val="000000"/>
          <w:szCs w:val="21"/>
        </w:rPr>
        <w:t>将中标项目转让给他人或者在投标文件中未说明且未经招标采购单位同意，将中标项目分包给他人的；</w:t>
      </w:r>
    </w:p>
    <w:p>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（5）拒绝履行合同义务的；</w:t>
      </w:r>
    </w:p>
    <w:p>
      <w:pPr>
        <w:snapToGrid w:val="0"/>
        <w:spacing w:line="360" w:lineRule="auto"/>
        <w:ind w:firstLine="420" w:firstLineChars="200"/>
        <w:rPr>
          <w:rFonts w:ascii="宋体" w:hAnsi="宋体"/>
          <w:color w:val="000000"/>
          <w:szCs w:val="21"/>
        </w:rPr>
      </w:pPr>
      <w:r>
        <w:rPr>
          <w:rFonts w:hint="eastAsia" w:ascii="宋体" w:hAnsi="宋体"/>
          <w:color w:val="000000"/>
          <w:szCs w:val="21"/>
        </w:rPr>
        <w:t>（6）其他严重扰乱招投标程序的；</w:t>
      </w:r>
    </w:p>
    <w:p>
      <w:pPr>
        <w:snapToGrid w:val="0"/>
        <w:spacing w:before="120" w:beforeLines="50" w:line="360" w:lineRule="auto"/>
        <w:ind w:firstLine="413" w:firstLineChars="196"/>
        <w:jc w:val="left"/>
        <w:outlineLvl w:val="0"/>
        <w:rPr>
          <w:rFonts w:ascii="宋体" w:hAnsi="宋体"/>
          <w:b/>
          <w:color w:val="000000"/>
          <w:szCs w:val="21"/>
        </w:rPr>
      </w:pPr>
      <w:bookmarkStart w:id="16" w:name="_Toc480898901"/>
      <w:bookmarkStart w:id="17" w:name="_Toc490748646"/>
      <w:r>
        <w:rPr>
          <w:rFonts w:hint="eastAsia" w:ascii="宋体" w:hAnsi="宋体"/>
          <w:b/>
          <w:color w:val="000000"/>
          <w:szCs w:val="21"/>
        </w:rPr>
        <w:t>（六）投标文件的签署和份数</w:t>
      </w:r>
      <w:bookmarkEnd w:id="16"/>
      <w:bookmarkEnd w:id="17"/>
    </w:p>
    <w:p>
      <w:pPr>
        <w:snapToGrid w:val="0"/>
        <w:spacing w:line="360" w:lineRule="auto"/>
        <w:ind w:firstLine="420" w:firstLineChars="200"/>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投标人应</w:t>
      </w:r>
      <w:r>
        <w:rPr>
          <w:rFonts w:hint="eastAsia" w:ascii="宋体" w:hAnsi="宋体"/>
          <w:color w:val="000000"/>
          <w:szCs w:val="21"/>
        </w:rPr>
        <w:t>按</w:t>
      </w:r>
      <w:r>
        <w:rPr>
          <w:rFonts w:ascii="宋体" w:hAnsi="宋体"/>
          <w:color w:val="000000"/>
          <w:szCs w:val="21"/>
        </w:rPr>
        <w:t>本招标文件规定的格式和顺序编制、装订投标文件</w:t>
      </w:r>
      <w:r>
        <w:rPr>
          <w:rFonts w:hint="eastAsia" w:ascii="宋体" w:hAnsi="宋体"/>
          <w:color w:val="000000"/>
          <w:szCs w:val="21"/>
        </w:rPr>
        <w:t>并标注页码</w:t>
      </w:r>
      <w:r>
        <w:rPr>
          <w:rFonts w:ascii="宋体" w:hAnsi="宋体"/>
          <w:color w:val="000000"/>
          <w:szCs w:val="21"/>
        </w:rPr>
        <w:t>，投标文件内容不完整、编排混乱导致投标文件被误读、漏读或者查找不到相关内容的，是投标人的责任。</w:t>
      </w:r>
    </w:p>
    <w:p>
      <w:pPr>
        <w:snapToGrid w:val="0"/>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投标人应按</w:t>
      </w:r>
      <w:r>
        <w:rPr>
          <w:rFonts w:hint="eastAsia" w:ascii="宋体" w:hAnsi="宋体"/>
          <w:color w:val="000000"/>
          <w:szCs w:val="21"/>
        </w:rPr>
        <w:t>技术商务文件、报价文件正本各1份，副本各</w:t>
      </w:r>
      <w:r>
        <w:rPr>
          <w:rFonts w:hint="eastAsia" w:ascii="宋体" w:hAnsi="宋体"/>
          <w:color w:val="000000"/>
          <w:szCs w:val="21"/>
          <w:u w:val="single"/>
        </w:rPr>
        <w:t>4</w:t>
      </w:r>
      <w:r>
        <w:rPr>
          <w:rFonts w:hint="eastAsia" w:ascii="宋体" w:hAnsi="宋体"/>
          <w:color w:val="000000"/>
          <w:szCs w:val="21"/>
        </w:rPr>
        <w:t>份分别编制并单独装订成册，投标文件的封面应注明“正本”、“副本”字样。活页装订（活页装订是指用卡条、抽杆夹、订书机等形式装订，使投标文件可以拆卸或者翻动过程中易脱落的一种装订方式）的投标文件将被拒绝。</w:t>
      </w:r>
    </w:p>
    <w:p>
      <w:pPr>
        <w:snapToGrid w:val="0"/>
        <w:spacing w:line="360" w:lineRule="auto"/>
        <w:ind w:firstLine="420" w:firstLineChars="200"/>
        <w:jc w:val="left"/>
        <w:rPr>
          <w:rFonts w:ascii="宋体" w:hAnsi="宋体"/>
          <w:color w:val="000000"/>
          <w:szCs w:val="21"/>
        </w:rPr>
      </w:pPr>
      <w:r>
        <w:rPr>
          <w:rFonts w:ascii="宋体" w:hAnsi="宋体"/>
          <w:color w:val="000000"/>
          <w:szCs w:val="21"/>
        </w:rPr>
        <w:t>3</w:t>
      </w:r>
      <w:r>
        <w:rPr>
          <w:rFonts w:hint="eastAsia" w:ascii="宋体" w:hAnsi="宋体"/>
          <w:color w:val="000000"/>
          <w:szCs w:val="21"/>
        </w:rPr>
        <w:t>、</w:t>
      </w:r>
      <w:r>
        <w:rPr>
          <w:rFonts w:ascii="宋体" w:hAnsi="宋体"/>
          <w:color w:val="000000"/>
          <w:szCs w:val="21"/>
        </w:rPr>
        <w:t>投标文件的正本需打印或用不褪色的墨水填写，投标文件正本除本</w:t>
      </w:r>
      <w:r>
        <w:rPr>
          <w:rFonts w:hint="eastAsia" w:ascii="宋体" w:hAnsi="宋体"/>
          <w:color w:val="000000"/>
          <w:szCs w:val="21"/>
        </w:rPr>
        <w:t>《</w:t>
      </w:r>
      <w:r>
        <w:rPr>
          <w:rFonts w:ascii="宋体" w:hAnsi="宋体"/>
          <w:color w:val="000000"/>
          <w:szCs w:val="21"/>
        </w:rPr>
        <w:t>投标人须知</w:t>
      </w:r>
      <w:r>
        <w:rPr>
          <w:rFonts w:hint="eastAsia" w:ascii="宋体" w:hAnsi="宋体"/>
          <w:color w:val="000000"/>
          <w:szCs w:val="21"/>
        </w:rPr>
        <w:t>》</w:t>
      </w:r>
      <w:r>
        <w:rPr>
          <w:rFonts w:ascii="宋体" w:hAnsi="宋体"/>
          <w:color w:val="000000"/>
          <w:szCs w:val="21"/>
        </w:rPr>
        <w:t>中规定的可提供复印件外均须提供原件。副本为正本的复印件。</w:t>
      </w:r>
    </w:p>
    <w:p>
      <w:pPr>
        <w:snapToGrid w:val="0"/>
        <w:spacing w:line="360" w:lineRule="auto"/>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投标文件须由投标人在规定位置盖章并由法定代表人或法定代表</w:t>
      </w:r>
      <w:r>
        <w:rPr>
          <w:rFonts w:hint="eastAsia" w:ascii="宋体" w:hAnsi="宋体"/>
          <w:color w:val="000000"/>
          <w:szCs w:val="21"/>
        </w:rPr>
        <w:t>人的</w:t>
      </w:r>
      <w:r>
        <w:rPr>
          <w:rFonts w:ascii="宋体" w:hAnsi="宋体"/>
          <w:color w:val="000000"/>
          <w:szCs w:val="21"/>
        </w:rPr>
        <w:t>授权</w:t>
      </w:r>
      <w:r>
        <w:rPr>
          <w:rFonts w:hint="eastAsia" w:ascii="宋体" w:hAnsi="宋体"/>
          <w:color w:val="000000"/>
          <w:szCs w:val="21"/>
        </w:rPr>
        <w:t>委托</w:t>
      </w:r>
      <w:r>
        <w:rPr>
          <w:rFonts w:ascii="宋体" w:hAnsi="宋体"/>
          <w:color w:val="000000"/>
          <w:szCs w:val="21"/>
        </w:rPr>
        <w:t>人签署，投标人应写全称。</w:t>
      </w:r>
      <w:r>
        <w:rPr>
          <w:rFonts w:hint="eastAsia" w:ascii="宋体" w:hAnsi="宋体"/>
          <w:color w:val="000000"/>
          <w:szCs w:val="21"/>
        </w:rPr>
        <w:t>联合体投标的，投标文件除联合体协议书须联合体双方盖章外，其余招标文件要求投标人盖章处只需联合体的牵头人盖章。</w:t>
      </w:r>
    </w:p>
    <w:p>
      <w:pPr>
        <w:snapToGrid w:val="0"/>
        <w:spacing w:line="360" w:lineRule="auto"/>
        <w:ind w:firstLine="420" w:firstLineChars="200"/>
        <w:jc w:val="left"/>
        <w:rPr>
          <w:rFonts w:ascii="宋体" w:hAnsi="宋体"/>
          <w:color w:val="000000"/>
          <w:szCs w:val="21"/>
        </w:rPr>
      </w:pPr>
      <w:r>
        <w:rPr>
          <w:rFonts w:ascii="宋体" w:hAnsi="宋体"/>
          <w:color w:val="000000"/>
          <w:szCs w:val="21"/>
        </w:rPr>
        <w:t>5</w:t>
      </w:r>
      <w:r>
        <w:rPr>
          <w:rFonts w:hint="eastAsia" w:ascii="宋体" w:hAnsi="宋体"/>
          <w:color w:val="000000"/>
          <w:szCs w:val="21"/>
        </w:rPr>
        <w:t>、</w:t>
      </w:r>
      <w:r>
        <w:rPr>
          <w:rFonts w:ascii="宋体" w:hAnsi="宋体"/>
          <w:color w:val="000000"/>
          <w:szCs w:val="21"/>
        </w:rPr>
        <w:t>投标文件不得涂改，若有修改错漏处，须加盖单位公章或者法定代表人或授权委托人签字或盖章。投标文件因字迹潦草或表达不清所引起的后果由投标人负责。</w:t>
      </w:r>
    </w:p>
    <w:p>
      <w:pPr>
        <w:snapToGrid w:val="0"/>
        <w:spacing w:before="120" w:beforeLines="50" w:line="360" w:lineRule="auto"/>
        <w:ind w:firstLine="310" w:firstLineChars="147"/>
        <w:jc w:val="left"/>
        <w:rPr>
          <w:rFonts w:ascii="宋体" w:hAnsi="宋体"/>
          <w:b/>
          <w:color w:val="000000"/>
          <w:szCs w:val="21"/>
        </w:rPr>
      </w:pPr>
      <w:r>
        <w:rPr>
          <w:rFonts w:hint="eastAsia" w:ascii="宋体" w:hAnsi="宋体"/>
          <w:b/>
          <w:color w:val="000000"/>
          <w:szCs w:val="21"/>
        </w:rPr>
        <w:t>（七）投标文件的包装、递交、修改和撤回</w:t>
      </w:r>
    </w:p>
    <w:p>
      <w:pPr>
        <w:snapToGrid w:val="0"/>
        <w:spacing w:line="360" w:lineRule="auto"/>
        <w:ind w:firstLine="420"/>
        <w:jc w:val="left"/>
        <w:rPr>
          <w:rFonts w:hint="eastAsia" w:ascii="宋体" w:hAnsi="宋体"/>
          <w:color w:val="000000"/>
          <w:szCs w:val="21"/>
        </w:rPr>
      </w:pPr>
      <w:r>
        <w:rPr>
          <w:rFonts w:hint="eastAsia" w:ascii="宋体" w:hAnsi="宋体"/>
          <w:color w:val="000000"/>
          <w:szCs w:val="21"/>
        </w:rPr>
        <w:t>1、投标人应将技术商务文件、报价文件分别密封在不同的包封内，投标文件的包装封面上应注明投标人名称、投标人地址、投标文件名称（技术商务文件/报价文件）、投标项目名称、项目编号、“开标时启封”字样，并加盖投标人公章。</w:t>
      </w:r>
    </w:p>
    <w:p>
      <w:pPr>
        <w:snapToGrid w:val="0"/>
        <w:spacing w:line="360" w:lineRule="auto"/>
        <w:ind w:firstLine="420"/>
        <w:jc w:val="left"/>
        <w:rPr>
          <w:rFonts w:hint="eastAsia" w:ascii="宋体" w:hAnsi="宋体"/>
          <w:color w:val="000000"/>
          <w:szCs w:val="21"/>
        </w:rPr>
      </w:pPr>
      <w:r>
        <w:rPr>
          <w:rFonts w:hint="eastAsia" w:ascii="宋体" w:hAnsi="宋体"/>
          <w:color w:val="000000"/>
          <w:szCs w:val="21"/>
        </w:rPr>
        <w:t>2、未按规定密封或标记的投标文件将被拒绝，由此造成投标文件被误投或提前拆封的风险由投标人承担。</w:t>
      </w:r>
    </w:p>
    <w:p>
      <w:pPr>
        <w:snapToGrid w:val="0"/>
        <w:spacing w:line="360" w:lineRule="auto"/>
        <w:ind w:firstLine="420"/>
        <w:jc w:val="left"/>
        <w:rPr>
          <w:rFonts w:hint="eastAsia" w:ascii="宋体" w:hAnsi="宋体"/>
          <w:color w:val="000000"/>
          <w:szCs w:val="21"/>
        </w:rPr>
      </w:pPr>
      <w:r>
        <w:rPr>
          <w:rFonts w:hint="eastAsia" w:ascii="宋体" w:hAnsi="宋体"/>
          <w:color w:val="000000"/>
          <w:szCs w:val="21"/>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napToGrid w:val="0"/>
        <w:spacing w:before="120" w:beforeLines="50" w:line="360" w:lineRule="auto"/>
        <w:ind w:firstLine="413" w:firstLineChars="196"/>
        <w:outlineLvl w:val="2"/>
        <w:rPr>
          <w:rFonts w:ascii="宋体" w:hAnsi="宋体"/>
          <w:b/>
          <w:color w:val="000000"/>
          <w:szCs w:val="21"/>
        </w:rPr>
      </w:pPr>
      <w:r>
        <w:rPr>
          <w:rFonts w:hint="eastAsia" w:ascii="宋体" w:hAnsi="宋体"/>
          <w:b/>
          <w:color w:val="000000"/>
          <w:szCs w:val="21"/>
        </w:rPr>
        <w:t>（八）投标无效的情形</w:t>
      </w:r>
    </w:p>
    <w:p>
      <w:pPr>
        <w:snapToGrid w:val="0"/>
        <w:spacing w:line="360" w:lineRule="auto"/>
        <w:ind w:firstLine="420" w:firstLineChars="200"/>
        <w:rPr>
          <w:rFonts w:ascii="宋体" w:hAnsi="宋体"/>
          <w:bCs/>
          <w:color w:val="000000"/>
          <w:szCs w:val="21"/>
        </w:rPr>
      </w:pPr>
      <w:r>
        <w:rPr>
          <w:rFonts w:hint="eastAsia" w:ascii="宋体" w:hAnsi="宋体"/>
          <w:bCs/>
          <w:color w:val="000000"/>
          <w:szCs w:val="21"/>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以书面形式进行，限期内不补正或经补正后仍不符合招标文件要求的，应认定其投标无效。投标人修改、补正投标文件后，不影响评标委员会对其投标文件所作的评价和评分结果。</w:t>
      </w:r>
    </w:p>
    <w:p>
      <w:pPr>
        <w:snapToGrid w:val="0"/>
        <w:spacing w:line="360" w:lineRule="auto"/>
        <w:ind w:firstLine="411" w:firstLineChars="196"/>
        <w:rPr>
          <w:rFonts w:ascii="宋体" w:hAnsi="宋体"/>
          <w:bCs/>
          <w:color w:val="000000"/>
          <w:szCs w:val="21"/>
        </w:rPr>
      </w:pPr>
      <w:r>
        <w:rPr>
          <w:rFonts w:ascii="宋体" w:hAnsi="宋体"/>
          <w:bCs/>
          <w:color w:val="000000"/>
          <w:szCs w:val="21"/>
        </w:rPr>
        <w:t>评审时如发现下列情形之一的，投标文件将被视为无效：</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投标人未按照招标文件的要求提供投标保证金的；</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未按照招标文件的要求密封、签署、盖章的；</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不具备招标文件中规定资格要求的；</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投标文件载明的招标项目完成期限超过招标文件规定的期限；</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带“</w:t>
      </w:r>
      <w:bookmarkStart w:id="18" w:name="OLE_LINK1"/>
      <w:r>
        <w:rPr>
          <w:rFonts w:hint="eastAsia" w:hAnsi="宋体"/>
          <w:color w:val="000000"/>
          <w:sz w:val="21"/>
          <w:szCs w:val="21"/>
        </w:rPr>
        <w:t>▲</w:t>
      </w:r>
      <w:bookmarkEnd w:id="18"/>
      <w:r>
        <w:rPr>
          <w:rFonts w:hint="eastAsia" w:hAnsi="宋体"/>
          <w:color w:val="000000"/>
          <w:sz w:val="21"/>
          <w:szCs w:val="21"/>
        </w:rPr>
        <w:t>”的款项不能满足招标文件要求的；</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投标文件附有招标人不能接受的条件；</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经评标委员会评审技术方案不可行的；</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评委会一致认为报价明显不合理的；</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投标价格超过本项目的各子包采购预算的均为无效标。</w:t>
      </w:r>
    </w:p>
    <w:p>
      <w:pPr>
        <w:pStyle w:val="11"/>
        <w:numPr>
          <w:ilvl w:val="0"/>
          <w:numId w:val="8"/>
        </w:numPr>
        <w:snapToGrid w:val="0"/>
        <w:spacing w:line="360" w:lineRule="auto"/>
        <w:outlineLvl w:val="1"/>
        <w:rPr>
          <w:rFonts w:hint="eastAsia" w:hAnsi="宋体"/>
          <w:color w:val="000000"/>
          <w:sz w:val="21"/>
          <w:szCs w:val="21"/>
        </w:rPr>
      </w:pPr>
      <w:r>
        <w:rPr>
          <w:rFonts w:hint="eastAsia" w:hAnsi="宋体"/>
          <w:color w:val="000000"/>
          <w:sz w:val="21"/>
          <w:szCs w:val="21"/>
        </w:rPr>
        <w:t>不符合法律、法规和招标文件中规定的其他实质性要求的。</w:t>
      </w:r>
    </w:p>
    <w:p>
      <w:pPr>
        <w:pStyle w:val="11"/>
        <w:snapToGrid w:val="0"/>
        <w:spacing w:line="360" w:lineRule="auto"/>
        <w:ind w:firstLine="398" w:firstLineChars="196"/>
        <w:outlineLvl w:val="1"/>
        <w:rPr>
          <w:rFonts w:hint="eastAsia" w:hAnsi="宋体"/>
          <w:b/>
          <w:snapToGrid w:val="0"/>
          <w:color w:val="000000"/>
          <w:sz w:val="21"/>
          <w:szCs w:val="21"/>
        </w:rPr>
      </w:pPr>
      <w:r>
        <w:rPr>
          <w:rFonts w:hint="eastAsia" w:hAnsi="宋体"/>
          <w:b/>
          <w:color w:val="000000"/>
          <w:sz w:val="21"/>
          <w:szCs w:val="21"/>
        </w:rPr>
        <w:t>四、开标</w:t>
      </w:r>
    </w:p>
    <w:p>
      <w:pPr>
        <w:pStyle w:val="15"/>
        <w:snapToGrid w:val="0"/>
        <w:spacing w:beforeLines="0" w:after="0" w:afterLines="0" w:line="360" w:lineRule="auto"/>
        <w:ind w:firstLine="413" w:firstLineChars="196"/>
        <w:rPr>
          <w:rFonts w:hAnsi="宋体"/>
          <w:b/>
          <w:color w:val="000000"/>
          <w:sz w:val="21"/>
          <w:szCs w:val="21"/>
        </w:rPr>
      </w:pPr>
      <w:r>
        <w:rPr>
          <w:rFonts w:hAnsi="宋体"/>
          <w:b/>
          <w:color w:val="000000"/>
          <w:sz w:val="21"/>
          <w:szCs w:val="21"/>
        </w:rPr>
        <w:t>（一）开标准备</w:t>
      </w:r>
    </w:p>
    <w:p>
      <w:pPr>
        <w:pStyle w:val="15"/>
        <w:snapToGrid w:val="0"/>
        <w:spacing w:before="0" w:beforeLines="0" w:after="0" w:afterLines="0" w:line="360" w:lineRule="auto"/>
        <w:ind w:firstLine="420" w:firstLineChars="200"/>
        <w:rPr>
          <w:rFonts w:hAnsi="宋体"/>
          <w:bCs/>
          <w:color w:val="000000"/>
          <w:sz w:val="21"/>
          <w:szCs w:val="21"/>
        </w:rPr>
      </w:pPr>
      <w:r>
        <w:rPr>
          <w:rFonts w:hAnsi="宋体"/>
          <w:bCs/>
          <w:color w:val="000000"/>
          <w:sz w:val="21"/>
          <w:szCs w:val="21"/>
        </w:rPr>
        <w:t>采购代理机构将在规定的时间和地点进行开标，投标人的法定代表人或其授权代表应参加开标会</w:t>
      </w:r>
      <w:r>
        <w:rPr>
          <w:rFonts w:hint="eastAsia" w:hAnsi="宋体"/>
          <w:color w:val="000000"/>
          <w:sz w:val="21"/>
          <w:szCs w:val="21"/>
        </w:rPr>
        <w:t>并接受核验、签到，无关人员不得进入开标现场</w:t>
      </w:r>
      <w:r>
        <w:rPr>
          <w:rFonts w:hAnsi="宋体"/>
          <w:bCs/>
          <w:color w:val="000000"/>
          <w:sz w:val="21"/>
          <w:szCs w:val="21"/>
        </w:rPr>
        <w:t>。投标人的法定代表人或其授权代表未按时</w:t>
      </w:r>
      <w:r>
        <w:rPr>
          <w:rFonts w:hint="eastAsia" w:hAnsi="宋体"/>
          <w:color w:val="000000"/>
          <w:sz w:val="21"/>
          <w:szCs w:val="21"/>
        </w:rPr>
        <w:t>核验、签到</w:t>
      </w:r>
      <w:r>
        <w:rPr>
          <w:rFonts w:hAnsi="宋体"/>
          <w:bCs/>
          <w:color w:val="000000"/>
          <w:sz w:val="21"/>
          <w:szCs w:val="21"/>
        </w:rPr>
        <w:t>的，视同放弃开标监督权利、认可开标结果。</w:t>
      </w:r>
    </w:p>
    <w:p>
      <w:pPr>
        <w:pStyle w:val="15"/>
        <w:snapToGrid w:val="0"/>
        <w:spacing w:beforeLines="0" w:afterLines="0" w:line="360" w:lineRule="auto"/>
        <w:ind w:firstLine="413" w:firstLineChars="196"/>
        <w:rPr>
          <w:rFonts w:hint="eastAsia" w:hAnsi="宋体"/>
          <w:b/>
          <w:color w:val="000000"/>
          <w:sz w:val="21"/>
          <w:szCs w:val="21"/>
        </w:rPr>
      </w:pPr>
      <w:r>
        <w:rPr>
          <w:rFonts w:hAnsi="宋体"/>
          <w:b/>
          <w:color w:val="000000"/>
          <w:sz w:val="21"/>
          <w:szCs w:val="21"/>
        </w:rPr>
        <w:t>（二） 开标程序</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1、开标会由采购代理机构主持，主持人介绍开标现场的人员情况，宣读递交投标文件的供应商名单、开标纪律、应当回避的情形等注意事项，组织供应商签署不存在影响公平竞争的《政府采购活动现场确认声明书》。</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2、对供应商保证金缴纳情况进行查验、核实，提请供应商代表或公证人员查验投标文件密封情况并签名确认；</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3、先开技术商务标开启，当众拆封、清点投标文件（包括正本、副本）数量，将其中密封的报价文件现场集中封存保管等候拆封，将拆封后的技术商务文件由现场工作人员护送至指定的评审地点，同时告知供应商代表拆封报价文件的预计时间。对不符合装订要求的投标文件，由现场工作人员退还供应商代表。</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4、技术商务评审结束后，主持人宣告技术商务评审无效供应商名称及理由，有效供应商的技术商务得分情况，无效供应商代表可收回未拆封的报价文件并签字确认；</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5、拆封供应商报价文件，宣读《开标一览表》有关内容，同时当场制作并打印开标记录表，由供应商代表、唱标人、记录人和现场监督员在开标记录表上签字确认（不予确认的应说明理由，否则视为无异议）。唱标结束后，现场工作人员将报价文件及开标记录表护送至指定评审地点，由评审小组对报价的合理性、准确性等进行审查核实。</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6、采购人最终确定中标或成交供应商名单的时间和公告方式等。</w:t>
      </w:r>
    </w:p>
    <w:p>
      <w:pPr>
        <w:pStyle w:val="15"/>
        <w:snapToGrid w:val="0"/>
        <w:spacing w:before="120" w:after="120" w:line="360" w:lineRule="auto"/>
        <w:ind w:firstLine="422" w:firstLineChars="200"/>
        <w:rPr>
          <w:rFonts w:hint="eastAsia" w:hAnsi="宋体"/>
          <w:b/>
          <w:color w:val="000000"/>
          <w:sz w:val="21"/>
          <w:szCs w:val="21"/>
        </w:rPr>
      </w:pPr>
      <w:r>
        <w:rPr>
          <w:rFonts w:hint="eastAsia" w:hAnsi="宋体"/>
          <w:b/>
          <w:color w:val="000000"/>
          <w:sz w:val="21"/>
          <w:szCs w:val="21"/>
        </w:rPr>
        <w:t>五、评标</w:t>
      </w:r>
    </w:p>
    <w:p>
      <w:pPr>
        <w:pStyle w:val="15"/>
        <w:snapToGrid w:val="0"/>
        <w:spacing w:beforeLines="0" w:afterLines="0" w:line="360" w:lineRule="auto"/>
        <w:ind w:left="690" w:leftChars="228" w:hanging="211" w:hangingChars="100"/>
        <w:rPr>
          <w:rFonts w:hAnsi="宋体"/>
          <w:b/>
          <w:color w:val="000000"/>
          <w:sz w:val="21"/>
          <w:szCs w:val="21"/>
        </w:rPr>
      </w:pPr>
      <w:r>
        <w:rPr>
          <w:rFonts w:hAnsi="宋体"/>
          <w:b/>
          <w:color w:val="000000"/>
          <w:sz w:val="21"/>
          <w:szCs w:val="21"/>
        </w:rPr>
        <w:t>（一）组建评标委员会</w:t>
      </w:r>
    </w:p>
    <w:p>
      <w:pPr>
        <w:pStyle w:val="15"/>
        <w:snapToGrid w:val="0"/>
        <w:spacing w:beforeLines="0" w:afterLines="0" w:line="440" w:lineRule="exact"/>
        <w:ind w:firstLine="420" w:firstLineChars="200"/>
        <w:rPr>
          <w:rFonts w:hAnsi="宋体"/>
          <w:sz w:val="21"/>
          <w:szCs w:val="21"/>
        </w:rPr>
      </w:pPr>
      <w:r>
        <w:rPr>
          <w:rFonts w:hAnsi="宋体"/>
          <w:sz w:val="21"/>
          <w:szCs w:val="21"/>
        </w:rPr>
        <w:t>本项目评标委员会由政府采购评审专家</w:t>
      </w:r>
      <w:r>
        <w:rPr>
          <w:rFonts w:hAnsi="宋体"/>
          <w:sz w:val="21"/>
          <w:szCs w:val="21"/>
          <w:u w:val="single"/>
        </w:rPr>
        <w:t xml:space="preserve">  </w:t>
      </w:r>
      <w:r>
        <w:rPr>
          <w:rFonts w:hint="eastAsia" w:hAnsi="宋体"/>
          <w:sz w:val="21"/>
          <w:szCs w:val="21"/>
          <w:u w:val="single"/>
        </w:rPr>
        <w:t>≥4</w:t>
      </w:r>
      <w:r>
        <w:rPr>
          <w:rFonts w:hAnsi="宋体"/>
          <w:sz w:val="21"/>
          <w:szCs w:val="21"/>
          <w:u w:val="single"/>
        </w:rPr>
        <w:t xml:space="preserve"> </w:t>
      </w:r>
      <w:r>
        <w:rPr>
          <w:rFonts w:hAnsi="宋体"/>
          <w:sz w:val="21"/>
          <w:szCs w:val="21"/>
        </w:rPr>
        <w:t>人和采购人代表</w:t>
      </w:r>
      <w:r>
        <w:rPr>
          <w:rFonts w:hAnsi="宋体"/>
          <w:sz w:val="21"/>
          <w:szCs w:val="21"/>
          <w:u w:val="single"/>
        </w:rPr>
        <w:t xml:space="preserve"> </w:t>
      </w:r>
      <w:r>
        <w:rPr>
          <w:rFonts w:hint="eastAsia" w:hAnsi="宋体"/>
          <w:sz w:val="21"/>
          <w:szCs w:val="21"/>
          <w:u w:val="single"/>
        </w:rPr>
        <w:t>≤1</w:t>
      </w:r>
      <w:r>
        <w:rPr>
          <w:rFonts w:hAnsi="宋体"/>
          <w:sz w:val="21"/>
          <w:szCs w:val="21"/>
          <w:u w:val="single"/>
        </w:rPr>
        <w:t xml:space="preserve"> </w:t>
      </w:r>
      <w:r>
        <w:rPr>
          <w:rFonts w:hAnsi="宋体"/>
          <w:sz w:val="21"/>
          <w:szCs w:val="21"/>
        </w:rPr>
        <w:t>人,共</w:t>
      </w:r>
      <w:r>
        <w:rPr>
          <w:rFonts w:hAnsi="宋体"/>
          <w:sz w:val="21"/>
          <w:szCs w:val="21"/>
          <w:u w:val="single"/>
        </w:rPr>
        <w:t xml:space="preserve"> </w:t>
      </w:r>
      <w:r>
        <w:rPr>
          <w:rFonts w:hint="eastAsia" w:hAnsi="宋体"/>
          <w:sz w:val="21"/>
          <w:szCs w:val="21"/>
          <w:u w:val="single"/>
        </w:rPr>
        <w:t>5</w:t>
      </w:r>
      <w:r>
        <w:rPr>
          <w:rFonts w:hAnsi="宋体"/>
          <w:sz w:val="21"/>
          <w:szCs w:val="21"/>
          <w:u w:val="single"/>
        </w:rPr>
        <w:t xml:space="preserve"> </w:t>
      </w:r>
      <w:r>
        <w:rPr>
          <w:rFonts w:hAnsi="宋体"/>
          <w:sz w:val="21"/>
          <w:szCs w:val="21"/>
        </w:rPr>
        <w:t>人组成。</w:t>
      </w:r>
    </w:p>
    <w:p>
      <w:pPr>
        <w:pStyle w:val="15"/>
        <w:snapToGrid w:val="0"/>
        <w:spacing w:beforeLines="0" w:afterLines="0" w:line="360" w:lineRule="auto"/>
        <w:ind w:firstLine="413" w:firstLineChars="196"/>
        <w:rPr>
          <w:rFonts w:hAnsi="宋体"/>
          <w:b/>
          <w:color w:val="000000"/>
          <w:sz w:val="21"/>
          <w:szCs w:val="21"/>
        </w:rPr>
      </w:pPr>
      <w:r>
        <w:rPr>
          <w:rFonts w:hAnsi="宋体"/>
          <w:b/>
          <w:color w:val="000000"/>
          <w:sz w:val="21"/>
          <w:szCs w:val="21"/>
        </w:rPr>
        <w:t>（二）评标的方式</w:t>
      </w:r>
    </w:p>
    <w:p>
      <w:pPr>
        <w:pStyle w:val="15"/>
        <w:snapToGrid w:val="0"/>
        <w:spacing w:beforeLines="0" w:afterLines="0" w:line="360" w:lineRule="auto"/>
        <w:ind w:left="689" w:leftChars="278" w:hanging="105" w:hangingChars="50"/>
        <w:rPr>
          <w:rFonts w:hint="eastAsia" w:hAnsi="宋体"/>
          <w:color w:val="000000"/>
          <w:sz w:val="21"/>
          <w:szCs w:val="21"/>
        </w:rPr>
      </w:pPr>
      <w:r>
        <w:rPr>
          <w:rFonts w:hAnsi="宋体"/>
          <w:color w:val="000000"/>
          <w:sz w:val="21"/>
          <w:szCs w:val="21"/>
        </w:rPr>
        <w:t>本项目采用不公开方式评标，评标的依据为招标文件和投标文件。</w:t>
      </w:r>
    </w:p>
    <w:p>
      <w:pPr>
        <w:pStyle w:val="15"/>
        <w:snapToGrid w:val="0"/>
        <w:spacing w:before="120" w:after="120" w:line="360" w:lineRule="auto"/>
        <w:ind w:firstLine="422" w:firstLineChars="200"/>
        <w:rPr>
          <w:rFonts w:hint="eastAsia" w:hAnsi="宋体"/>
          <w:b/>
          <w:color w:val="000000"/>
          <w:sz w:val="21"/>
          <w:szCs w:val="21"/>
        </w:rPr>
      </w:pPr>
      <w:r>
        <w:rPr>
          <w:rFonts w:hint="eastAsia" w:hAnsi="宋体"/>
          <w:b/>
          <w:color w:val="000000"/>
          <w:sz w:val="21"/>
          <w:szCs w:val="21"/>
        </w:rPr>
        <w:t>（三）组织评标程序</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采购代理机构将按照招标文件规定的时间、地点和程序组织评标，各评审专家及相关人员应参加评审活动并接受核验、签到，无关人员不得进入评审现场。</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1、核验出席评审活动现场的评审小组各成员和相关监督人员身份，并要求其分别登记、签到，按规定统一收缴、保存其通讯工具，无关人员一律拒绝其进入评审现场。</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2、介绍评审现场的人员情况，宣布评审工作纪律，告知评审人员应当回避情形；组织推选评审小组组长。</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3、宣读提交投标文件的供应商名单，组织评审小组各位成员签订《政府采购评审人员廉洁自律承诺书》。</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4、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人员提出的有关招标文件、投标文件的问题进行必要的说明、解释或讨论。</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5、评审小组组长组织评审人员独立评审。评审小组对拟认定为投标文件无效、供应商资格不符合的，应组织相关供应商代表进行陈述、澄清或申辩；采购代理机构可协助评审小组组长对打分结果进行校对、核对并汇总统计；对明显畸高、畸低的评分（其总评分偏离平均分30%以上的），评审小组组长应提醒相关评审人员进行复核或书面说明理由，评审人员拒绝说明的，由现场监督员据实记录；评审人员的评审、修改记录应保留原件，随项目其他资料一并存档。</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6、做好评审现场相关记录，协助评审小组组长做好评审报告起草、有关内容电脑文字录入等工作，并要求评审小组各成员签字确认。</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7、评审结束后，采购代理机构应对评审小组各成员的专业水平、职业道德、遵纪守法等情况进行评价；同时按规定向评审专家发放评审费，并交还评审人员及其他现场相关人员的通讯工具。</w:t>
      </w:r>
    </w:p>
    <w:p>
      <w:pPr>
        <w:pStyle w:val="15"/>
        <w:snapToGrid w:val="0"/>
        <w:spacing w:before="120" w:after="120" w:line="360" w:lineRule="auto"/>
        <w:ind w:firstLine="422" w:firstLineChars="200"/>
        <w:rPr>
          <w:rFonts w:hint="eastAsia" w:hAnsi="宋体"/>
          <w:b/>
          <w:color w:val="000000"/>
          <w:sz w:val="21"/>
          <w:szCs w:val="21"/>
        </w:rPr>
      </w:pPr>
      <w:r>
        <w:rPr>
          <w:rFonts w:hint="eastAsia" w:hAnsi="宋体"/>
          <w:b/>
          <w:color w:val="000000"/>
          <w:sz w:val="21"/>
          <w:szCs w:val="21"/>
        </w:rPr>
        <w:t>（四）评标委员评审程序</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1、在评审专家中推选评审小组组长。</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2、评审小组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3、评审人员对各供应商投标文件的有效性、完整性和响应程度进行审查，确定是否对招标文件作出实质性响应。</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4、评审人员按招标文件规定的评审方法和评审标准，依法独立对供应商投标文件进行评估、比较，并给予评价或打分，不受任何单位和个人的干预。</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5、评审人员对各供应商投标文件非实质性内容有疑议或异议，或者审查发现明显的文字或计算错误等，及时向评审小组组长提出。经评审小组商议认为需要供应商作出必要澄清或说明的，应通知该供应商以书面形式作出澄清或说明。书面通知及澄清说明文件应作为政府采购项目档案归档留存。</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6、评审人员需对采购代理机构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7、评审小组根据评审汇总情况和招标文件规定确定中标候选供应商排序名单。 采购人、经其书面授权的采购人代表或经其书面授权的评审小组按中标候选供应商排名顺序对供应商逐一进行资格审查，直至依法产生合格的中标供应商。</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8、起草评审报告，所有评审人员须在评审报告上签字确认。</w:t>
      </w:r>
    </w:p>
    <w:p>
      <w:pPr>
        <w:pStyle w:val="15"/>
        <w:snapToGrid w:val="0"/>
        <w:spacing w:beforeLines="0" w:afterLines="0" w:line="360" w:lineRule="auto"/>
        <w:ind w:left="690" w:leftChars="228" w:hanging="211" w:hangingChars="100"/>
        <w:rPr>
          <w:rFonts w:hAnsi="宋体"/>
          <w:b/>
          <w:color w:val="000000"/>
          <w:sz w:val="21"/>
          <w:szCs w:val="21"/>
        </w:rPr>
      </w:pPr>
      <w:r>
        <w:rPr>
          <w:rFonts w:hAnsi="宋体"/>
          <w:b/>
          <w:color w:val="000000"/>
          <w:sz w:val="21"/>
          <w:szCs w:val="21"/>
        </w:rPr>
        <w:t>（五）错误修正</w:t>
      </w:r>
    </w:p>
    <w:p>
      <w:pPr>
        <w:pStyle w:val="15"/>
        <w:snapToGrid w:val="0"/>
        <w:spacing w:beforeLines="0" w:afterLines="0" w:line="360" w:lineRule="auto"/>
        <w:ind w:left="690" w:leftChars="228" w:hanging="211" w:hangingChars="100"/>
        <w:rPr>
          <w:rFonts w:hAnsi="宋体"/>
          <w:b/>
          <w:color w:val="000000"/>
          <w:sz w:val="21"/>
          <w:szCs w:val="21"/>
        </w:rPr>
      </w:pPr>
      <w:r>
        <w:rPr>
          <w:rFonts w:hAnsi="宋体"/>
          <w:b/>
          <w:color w:val="000000"/>
          <w:sz w:val="21"/>
          <w:szCs w:val="21"/>
        </w:rPr>
        <w:t>投标文件如果出现计算或表达上的错误，修正错误的原则如下：</w:t>
      </w:r>
    </w:p>
    <w:p>
      <w:pPr>
        <w:snapToGrid w:val="0"/>
        <w:spacing w:line="360" w:lineRule="auto"/>
        <w:ind w:firstLine="420" w:firstLineChars="200"/>
        <w:rPr>
          <w:rFonts w:hint="eastAsia" w:ascii="宋体" w:hAnsi="宋体"/>
          <w:color w:val="000000"/>
          <w:szCs w:val="21"/>
        </w:rPr>
      </w:pPr>
      <w:r>
        <w:rPr>
          <w:rFonts w:ascii="宋体" w:hAnsi="宋体"/>
          <w:color w:val="000000"/>
          <w:szCs w:val="21"/>
        </w:rPr>
        <w:t>1</w:t>
      </w:r>
      <w:r>
        <w:rPr>
          <w:rFonts w:hint="eastAsia" w:ascii="宋体" w:hAnsi="宋体"/>
          <w:color w:val="000000"/>
          <w:szCs w:val="21"/>
        </w:rPr>
        <w:t>、开标一览表总价与投标报价明细表汇总数不一致的，</w:t>
      </w:r>
      <w:r>
        <w:rPr>
          <w:rFonts w:hint="eastAsia" w:ascii="宋体" w:hAnsi="宋体" w:cs="Arial"/>
          <w:color w:val="000000"/>
          <w:kern w:val="0"/>
          <w:szCs w:val="21"/>
        </w:rPr>
        <w:t>以开标一览表为准；</w:t>
      </w:r>
    </w:p>
    <w:p>
      <w:pPr>
        <w:pStyle w:val="15"/>
        <w:snapToGrid w:val="0"/>
        <w:spacing w:beforeLines="0" w:afterLines="0" w:line="360" w:lineRule="auto"/>
        <w:ind w:firstLine="420" w:firstLineChars="200"/>
        <w:rPr>
          <w:rFonts w:hAnsi="宋体"/>
          <w:color w:val="000000"/>
          <w:sz w:val="21"/>
          <w:szCs w:val="21"/>
        </w:rPr>
      </w:pPr>
      <w:r>
        <w:rPr>
          <w:rFonts w:hAnsi="宋体"/>
          <w:color w:val="000000"/>
          <w:sz w:val="21"/>
          <w:szCs w:val="21"/>
        </w:rPr>
        <w:t>2</w:t>
      </w:r>
      <w:r>
        <w:rPr>
          <w:rFonts w:hint="eastAsia" w:hAnsi="宋体"/>
          <w:color w:val="000000"/>
          <w:sz w:val="21"/>
          <w:szCs w:val="21"/>
        </w:rPr>
        <w:t>、</w:t>
      </w:r>
      <w:r>
        <w:rPr>
          <w:rFonts w:hAnsi="宋体"/>
          <w:color w:val="000000"/>
          <w:sz w:val="21"/>
          <w:szCs w:val="21"/>
        </w:rPr>
        <w:t>投标文件的大写金额和小写金额不一致的，以大写金额为准；</w:t>
      </w:r>
    </w:p>
    <w:p>
      <w:pPr>
        <w:pStyle w:val="15"/>
        <w:snapToGrid w:val="0"/>
        <w:spacing w:beforeLines="0" w:afterLines="0" w:line="360" w:lineRule="auto"/>
        <w:ind w:firstLine="420" w:firstLineChars="200"/>
        <w:rPr>
          <w:rFonts w:hAnsi="宋体"/>
          <w:color w:val="000000"/>
          <w:sz w:val="21"/>
          <w:szCs w:val="21"/>
        </w:rPr>
      </w:pPr>
      <w:r>
        <w:rPr>
          <w:rFonts w:hAnsi="宋体"/>
          <w:color w:val="000000"/>
          <w:sz w:val="21"/>
          <w:szCs w:val="21"/>
        </w:rPr>
        <w:t>3</w:t>
      </w:r>
      <w:r>
        <w:rPr>
          <w:rFonts w:hint="eastAsia" w:hAnsi="宋体"/>
          <w:color w:val="000000"/>
          <w:sz w:val="21"/>
          <w:szCs w:val="21"/>
        </w:rPr>
        <w:t>、</w:t>
      </w:r>
      <w:r>
        <w:rPr>
          <w:rFonts w:hAnsi="宋体"/>
          <w:color w:val="000000"/>
          <w:sz w:val="21"/>
          <w:szCs w:val="21"/>
        </w:rPr>
        <w:t>总价金额与按单价汇总金额不一致的，以单价金额计算结果为准；</w:t>
      </w:r>
    </w:p>
    <w:p>
      <w:pPr>
        <w:pStyle w:val="15"/>
        <w:snapToGrid w:val="0"/>
        <w:spacing w:beforeLines="0" w:afterLines="0" w:line="360" w:lineRule="auto"/>
        <w:ind w:firstLine="420" w:firstLineChars="200"/>
        <w:rPr>
          <w:rFonts w:hAnsi="宋体"/>
          <w:color w:val="000000"/>
          <w:sz w:val="21"/>
          <w:szCs w:val="21"/>
        </w:rPr>
      </w:pPr>
      <w:r>
        <w:rPr>
          <w:rFonts w:hAnsi="宋体"/>
          <w:color w:val="000000"/>
          <w:sz w:val="21"/>
          <w:szCs w:val="21"/>
        </w:rPr>
        <w:t>4</w:t>
      </w:r>
      <w:r>
        <w:rPr>
          <w:rFonts w:hint="eastAsia" w:hAnsi="宋体"/>
          <w:color w:val="000000"/>
          <w:sz w:val="21"/>
          <w:szCs w:val="21"/>
        </w:rPr>
        <w:t>、</w:t>
      </w:r>
      <w:r>
        <w:rPr>
          <w:rFonts w:hAnsi="宋体"/>
          <w:color w:val="000000"/>
          <w:sz w:val="21"/>
          <w:szCs w:val="21"/>
        </w:rPr>
        <w:t>对不同文字文本投标文件的解释发生异议的，以中文文本为准。</w:t>
      </w:r>
    </w:p>
    <w:p>
      <w:pPr>
        <w:pStyle w:val="15"/>
        <w:snapToGrid w:val="0"/>
        <w:spacing w:beforeLines="0" w:afterLines="0" w:line="360" w:lineRule="auto"/>
        <w:ind w:firstLine="422" w:firstLineChars="200"/>
        <w:rPr>
          <w:rFonts w:hAnsi="宋体"/>
          <w:b/>
          <w:bCs/>
          <w:color w:val="000000"/>
          <w:sz w:val="21"/>
          <w:szCs w:val="21"/>
        </w:rPr>
      </w:pPr>
      <w:r>
        <w:rPr>
          <w:rFonts w:hAnsi="宋体"/>
          <w:b/>
          <w:bCs/>
          <w:color w:val="000000"/>
          <w:sz w:val="21"/>
          <w:szCs w:val="21"/>
        </w:rPr>
        <w:t>按上述修正错误的原则及方法调整或修正投标文件的投标报价，投标人同意</w:t>
      </w:r>
      <w:r>
        <w:rPr>
          <w:rFonts w:hint="eastAsia" w:hAnsi="宋体"/>
          <w:b/>
          <w:bCs/>
          <w:color w:val="000000"/>
          <w:sz w:val="21"/>
          <w:szCs w:val="21"/>
        </w:rPr>
        <w:t>并签字确认</w:t>
      </w:r>
      <w:r>
        <w:rPr>
          <w:rFonts w:hAnsi="宋体"/>
          <w:b/>
          <w:bCs/>
          <w:color w:val="000000"/>
          <w:sz w:val="21"/>
          <w:szCs w:val="21"/>
        </w:rPr>
        <w:t>后，调整后的投标报价对投标人具有约束作用。如果投标人不接受修正后的报价，则其投标将</w:t>
      </w:r>
      <w:r>
        <w:rPr>
          <w:rFonts w:hint="eastAsia" w:hAnsi="宋体"/>
          <w:b/>
          <w:bCs/>
          <w:color w:val="000000"/>
          <w:sz w:val="21"/>
          <w:szCs w:val="21"/>
        </w:rPr>
        <w:t>作为无效投标处理</w:t>
      </w:r>
      <w:r>
        <w:rPr>
          <w:rFonts w:hAnsi="宋体"/>
          <w:b/>
          <w:bCs/>
          <w:color w:val="000000"/>
          <w:sz w:val="21"/>
          <w:szCs w:val="21"/>
        </w:rPr>
        <w:t>。</w:t>
      </w:r>
    </w:p>
    <w:p>
      <w:pPr>
        <w:pStyle w:val="15"/>
        <w:tabs>
          <w:tab w:val="left" w:pos="630"/>
        </w:tabs>
        <w:snapToGrid w:val="0"/>
        <w:spacing w:beforeLines="0" w:afterLines="0" w:line="360" w:lineRule="auto"/>
        <w:ind w:firstLine="413" w:firstLineChars="196"/>
        <w:rPr>
          <w:rFonts w:hAnsi="宋体"/>
          <w:b/>
          <w:color w:val="000000"/>
          <w:sz w:val="21"/>
          <w:szCs w:val="21"/>
        </w:rPr>
      </w:pPr>
      <w:r>
        <w:rPr>
          <w:rFonts w:hAnsi="宋体"/>
          <w:b/>
          <w:color w:val="000000"/>
          <w:sz w:val="21"/>
          <w:szCs w:val="21"/>
        </w:rPr>
        <w:t>（六）评标原则和评标办法</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1、评标委员会必须公平、公正、客观，不带任何倾向性和启发性；不得向外界透露任何与评标有关的内容；任何单位和个人不得干扰、影响评标的正常进行；评标委员会及有关工作人员不得私下与投标人接触。</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供应商择期重新评审的时间和地点。</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3、评审人员对有关招标文件、投标文件、样品、现场演示（如有）的说明、解释、要求、标准存在不同意见的，持不同意见的评审人员及其意见或理由应予以完整记录，并在评审过程中按照少数服从多数的原则表决执行。对招标文件本身不明确或存在歧义、矛盾的内容，应作对供应商而非采购人有利的解释；对因招标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pPr>
        <w:pStyle w:val="15"/>
        <w:snapToGrid w:val="0"/>
        <w:spacing w:beforeLines="0" w:afterLines="0" w:line="360" w:lineRule="auto"/>
        <w:ind w:firstLine="420" w:firstLineChars="200"/>
        <w:rPr>
          <w:rFonts w:hAnsi="宋体"/>
          <w:color w:val="000000"/>
          <w:sz w:val="21"/>
          <w:szCs w:val="21"/>
        </w:rPr>
      </w:pPr>
      <w:r>
        <w:rPr>
          <w:rFonts w:hint="eastAsia" w:hAnsi="宋体"/>
          <w:color w:val="000000"/>
          <w:sz w:val="21"/>
          <w:szCs w:val="21"/>
        </w:rPr>
        <w:t>4、</w:t>
      </w:r>
      <w:r>
        <w:rPr>
          <w:rFonts w:hAnsi="宋体"/>
          <w:color w:val="000000"/>
          <w:sz w:val="21"/>
          <w:szCs w:val="21"/>
        </w:rPr>
        <w:t>评标办法。本项目评标办法是</w:t>
      </w:r>
      <w:r>
        <w:rPr>
          <w:rFonts w:hint="eastAsia" w:hAnsi="宋体"/>
          <w:color w:val="000000"/>
          <w:sz w:val="21"/>
          <w:szCs w:val="21"/>
          <w:u w:val="single"/>
        </w:rPr>
        <w:t>综合评分法</w:t>
      </w:r>
      <w:r>
        <w:rPr>
          <w:rFonts w:hAnsi="宋体"/>
          <w:color w:val="000000"/>
          <w:sz w:val="21"/>
          <w:szCs w:val="21"/>
        </w:rPr>
        <w:t>，具体评标内容及评分标准等详见《第四章：评标办法及评分标准》。</w:t>
      </w:r>
    </w:p>
    <w:p>
      <w:pPr>
        <w:pStyle w:val="15"/>
        <w:snapToGrid w:val="0"/>
        <w:spacing w:beforeLines="0" w:afterLines="0" w:line="360" w:lineRule="auto"/>
        <w:ind w:firstLine="413" w:firstLineChars="196"/>
        <w:rPr>
          <w:rFonts w:hAnsi="宋体"/>
          <w:b/>
          <w:color w:val="000000"/>
          <w:sz w:val="21"/>
          <w:szCs w:val="21"/>
        </w:rPr>
      </w:pPr>
      <w:r>
        <w:rPr>
          <w:rFonts w:hAnsi="宋体"/>
          <w:b/>
          <w:color w:val="000000"/>
          <w:sz w:val="21"/>
          <w:szCs w:val="21"/>
        </w:rPr>
        <w:t>（七）评标过程的监控</w:t>
      </w:r>
    </w:p>
    <w:p>
      <w:pPr>
        <w:pStyle w:val="15"/>
        <w:snapToGrid w:val="0"/>
        <w:spacing w:beforeLines="0" w:afterLines="0" w:line="360" w:lineRule="auto"/>
        <w:ind w:firstLine="420" w:firstLineChars="200"/>
        <w:rPr>
          <w:rFonts w:hAnsi="宋体"/>
          <w:color w:val="000000"/>
          <w:sz w:val="21"/>
          <w:szCs w:val="21"/>
        </w:rPr>
      </w:pPr>
      <w:r>
        <w:rPr>
          <w:rFonts w:hAnsi="宋体"/>
          <w:color w:val="000000"/>
          <w:sz w:val="21"/>
          <w:szCs w:val="21"/>
        </w:rPr>
        <w:t>本项目评标过程实行全程录音、录像监控，投标人在评标过程中所进行的</w:t>
      </w:r>
      <w:r>
        <w:rPr>
          <w:rFonts w:hint="eastAsia" w:hAnsi="宋体"/>
          <w:color w:val="000000"/>
          <w:sz w:val="21"/>
          <w:szCs w:val="21"/>
        </w:rPr>
        <w:t>试</w:t>
      </w:r>
      <w:r>
        <w:rPr>
          <w:rFonts w:hAnsi="宋体"/>
          <w:color w:val="000000"/>
          <w:sz w:val="21"/>
          <w:szCs w:val="21"/>
        </w:rPr>
        <w:t>图影响评标结果的不公正活动，可能导致其投标被拒绝。</w:t>
      </w:r>
    </w:p>
    <w:p>
      <w:pPr>
        <w:pStyle w:val="15"/>
        <w:snapToGrid w:val="0"/>
        <w:spacing w:before="120" w:after="120" w:line="360" w:lineRule="auto"/>
        <w:rPr>
          <w:rFonts w:hint="eastAsia" w:hAnsi="宋体"/>
          <w:b/>
          <w:color w:val="000000"/>
          <w:sz w:val="21"/>
          <w:szCs w:val="21"/>
        </w:rPr>
      </w:pPr>
      <w:r>
        <w:rPr>
          <w:rFonts w:hint="eastAsia" w:hAnsi="宋体"/>
          <w:b/>
          <w:color w:val="000000"/>
          <w:sz w:val="21"/>
          <w:szCs w:val="21"/>
        </w:rPr>
        <w:t xml:space="preserve">    六、采购方式变更</w:t>
      </w:r>
    </w:p>
    <w:p>
      <w:pPr>
        <w:pStyle w:val="15"/>
        <w:snapToGrid w:val="0"/>
        <w:spacing w:before="120" w:after="120" w:line="360" w:lineRule="auto"/>
        <w:ind w:firstLine="420" w:firstLineChars="200"/>
        <w:rPr>
          <w:rFonts w:hint="eastAsia" w:hAnsi="宋体"/>
          <w:color w:val="000000"/>
          <w:sz w:val="21"/>
          <w:szCs w:val="21"/>
        </w:rPr>
      </w:pPr>
      <w:r>
        <w:rPr>
          <w:rFonts w:hint="eastAsia" w:hAnsi="宋体"/>
          <w:color w:val="000000"/>
          <w:sz w:val="21"/>
          <w:szCs w:val="21"/>
        </w:rPr>
        <w:t>至投标截止时间或在评审期间，出现参与投标或者对招标文件作出实质性响应的供应商不足3家的情况，招标采购单位有权全部或部分终止招标。经相关政府采购管理部门批准，招标采购单位可以按照原招标文件确定的采购方式进行，或者改用竞争性谈判或者单一来源方式采购。</w:t>
      </w:r>
    </w:p>
    <w:p>
      <w:pPr>
        <w:pStyle w:val="15"/>
        <w:snapToGrid w:val="0"/>
        <w:spacing w:beforeLines="0" w:afterLines="0" w:line="360" w:lineRule="auto"/>
        <w:ind w:firstLine="413" w:firstLineChars="196"/>
        <w:outlineLvl w:val="1"/>
        <w:rPr>
          <w:rFonts w:hint="eastAsia" w:hAnsi="宋体"/>
          <w:b/>
          <w:color w:val="000000"/>
          <w:sz w:val="21"/>
          <w:szCs w:val="21"/>
        </w:rPr>
      </w:pPr>
      <w:r>
        <w:rPr>
          <w:rFonts w:hint="eastAsia" w:hAnsi="宋体"/>
          <w:b/>
          <w:color w:val="000000"/>
          <w:sz w:val="21"/>
          <w:szCs w:val="21"/>
        </w:rPr>
        <w:t>七、定标</w:t>
      </w:r>
    </w:p>
    <w:p>
      <w:pPr>
        <w:pStyle w:val="15"/>
        <w:snapToGrid w:val="0"/>
        <w:spacing w:before="0" w:beforeLines="0" w:after="0" w:afterLines="0" w:line="360" w:lineRule="auto"/>
        <w:ind w:firstLine="413" w:firstLineChars="196"/>
        <w:rPr>
          <w:rFonts w:hAnsi="宋体"/>
          <w:b/>
          <w:bCs/>
          <w:color w:val="000000"/>
          <w:sz w:val="21"/>
          <w:szCs w:val="21"/>
        </w:rPr>
      </w:pPr>
      <w:r>
        <w:rPr>
          <w:rFonts w:hint="eastAsia" w:hAnsi="宋体"/>
          <w:b/>
          <w:bCs/>
          <w:color w:val="000000"/>
          <w:sz w:val="21"/>
          <w:szCs w:val="21"/>
        </w:rPr>
        <w:t>本项目由采购人事先授权评标委员会确定中标人。</w:t>
      </w:r>
    </w:p>
    <w:p>
      <w:pPr>
        <w:snapToGrid w:val="0"/>
        <w:spacing w:line="360" w:lineRule="auto"/>
        <w:ind w:firstLine="420" w:firstLineChars="200"/>
        <w:rPr>
          <w:rFonts w:hint="eastAsia" w:ascii="宋体" w:hAnsi="宋体"/>
          <w:color w:val="000000"/>
          <w:szCs w:val="21"/>
        </w:rPr>
      </w:pPr>
      <w:r>
        <w:rPr>
          <w:rFonts w:ascii="宋体" w:hAnsi="宋体"/>
          <w:color w:val="000000"/>
          <w:szCs w:val="21"/>
        </w:rPr>
        <w:t>采购代理机构在评标结束后</w:t>
      </w:r>
      <w:r>
        <w:rPr>
          <w:rFonts w:hint="eastAsia" w:ascii="宋体" w:hAnsi="宋体"/>
          <w:color w:val="000000"/>
          <w:szCs w:val="21"/>
        </w:rPr>
        <w:t>，评标委员会确定中标人后</w:t>
      </w:r>
      <w:r>
        <w:rPr>
          <w:rFonts w:ascii="宋体" w:hAnsi="宋体"/>
          <w:color w:val="000000"/>
          <w:szCs w:val="21"/>
        </w:rPr>
        <w:t>2个工作日内，采购代理机构在发布招标公告的网站上</w:t>
      </w:r>
      <w:r>
        <w:rPr>
          <w:rFonts w:hint="eastAsia" w:ascii="宋体" w:hAnsi="宋体"/>
          <w:color w:val="000000"/>
          <w:szCs w:val="21"/>
        </w:rPr>
        <w:t>发布中标公告，同时</w:t>
      </w:r>
      <w:r>
        <w:rPr>
          <w:rFonts w:ascii="宋体" w:hAnsi="宋体"/>
          <w:color w:val="000000"/>
          <w:szCs w:val="21"/>
        </w:rPr>
        <w:t>以书面形式发出《中标通知书》。</w:t>
      </w:r>
    </w:p>
    <w:p>
      <w:pPr>
        <w:pStyle w:val="15"/>
        <w:snapToGrid w:val="0"/>
        <w:spacing w:beforeLines="0" w:afterLines="0" w:line="360" w:lineRule="auto"/>
        <w:ind w:firstLine="413" w:firstLineChars="196"/>
        <w:outlineLvl w:val="1"/>
        <w:rPr>
          <w:rFonts w:hAnsi="宋体"/>
          <w:b/>
          <w:color w:val="000000"/>
          <w:sz w:val="21"/>
          <w:szCs w:val="21"/>
        </w:rPr>
      </w:pPr>
      <w:r>
        <w:rPr>
          <w:rFonts w:hint="eastAsia" w:hAnsi="宋体"/>
          <w:b/>
          <w:color w:val="000000"/>
          <w:sz w:val="21"/>
          <w:szCs w:val="21"/>
        </w:rPr>
        <w:t>八、合同授予</w:t>
      </w:r>
    </w:p>
    <w:p>
      <w:pPr>
        <w:snapToGrid w:val="0"/>
        <w:spacing w:line="360" w:lineRule="auto"/>
        <w:ind w:firstLine="413" w:firstLineChars="196"/>
        <w:rPr>
          <w:rFonts w:ascii="宋体" w:hAnsi="宋体"/>
          <w:b/>
          <w:bCs/>
          <w:color w:val="000000"/>
          <w:szCs w:val="21"/>
        </w:rPr>
      </w:pPr>
      <w:r>
        <w:rPr>
          <w:rFonts w:hint="eastAsia" w:ascii="宋体" w:hAnsi="宋体"/>
          <w:b/>
          <w:bCs/>
          <w:color w:val="000000"/>
          <w:szCs w:val="21"/>
        </w:rPr>
        <w:t>（一）签订合同</w:t>
      </w:r>
    </w:p>
    <w:p>
      <w:pPr>
        <w:snapToGrid w:val="0"/>
        <w:spacing w:line="360" w:lineRule="auto"/>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、采购人与</w:t>
      </w:r>
      <w:r>
        <w:rPr>
          <w:rFonts w:ascii="宋体" w:hAnsi="宋体"/>
          <w:color w:val="000000"/>
          <w:szCs w:val="21"/>
        </w:rPr>
        <w:t>中标人应</w:t>
      </w:r>
      <w:r>
        <w:rPr>
          <w:rFonts w:hint="eastAsia" w:ascii="宋体" w:hAnsi="宋体"/>
          <w:color w:val="000000"/>
          <w:szCs w:val="21"/>
        </w:rPr>
        <w:t>当在《</w:t>
      </w:r>
      <w:r>
        <w:rPr>
          <w:rFonts w:ascii="宋体" w:hAnsi="宋体"/>
          <w:color w:val="000000"/>
          <w:szCs w:val="21"/>
        </w:rPr>
        <w:t>中标通知书</w:t>
      </w:r>
      <w:r>
        <w:rPr>
          <w:rFonts w:hint="eastAsia" w:ascii="宋体" w:hAnsi="宋体"/>
          <w:color w:val="000000"/>
          <w:szCs w:val="21"/>
        </w:rPr>
        <w:t>》发出之日起3</w:t>
      </w:r>
      <w:r>
        <w:rPr>
          <w:rFonts w:ascii="宋体" w:hAnsi="宋体"/>
          <w:color w:val="000000"/>
          <w:szCs w:val="21"/>
        </w:rPr>
        <w:t>0</w:t>
      </w:r>
      <w:r>
        <w:rPr>
          <w:rFonts w:hint="eastAsia" w:ascii="宋体" w:hAnsi="宋体"/>
          <w:color w:val="000000"/>
          <w:szCs w:val="21"/>
        </w:rPr>
        <w:t>日内签订政府采购合同。同时，采购代理机构对合同内容进行鉴证，如发现与采购结果和投标承诺内容不一致的，应予以纠正。</w:t>
      </w:r>
    </w:p>
    <w:p>
      <w:pPr>
        <w:snapToGrid w:val="0"/>
        <w:spacing w:line="360" w:lineRule="auto"/>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w:t>
      </w:r>
      <w:r>
        <w:rPr>
          <w:rFonts w:ascii="宋体" w:hAnsi="宋体"/>
          <w:color w:val="000000"/>
          <w:szCs w:val="21"/>
        </w:rPr>
        <w:t>中标人拖延、拒签合同的,将被扣罚投标保证金并取消中标资格。</w:t>
      </w:r>
    </w:p>
    <w:p>
      <w:pPr>
        <w:pStyle w:val="15"/>
        <w:snapToGrid w:val="0"/>
        <w:spacing w:beforeLines="0" w:afterLines="0" w:line="360" w:lineRule="auto"/>
        <w:ind w:firstLine="413" w:firstLineChars="196"/>
        <w:outlineLvl w:val="1"/>
        <w:rPr>
          <w:rFonts w:hint="eastAsia" w:hAnsi="宋体"/>
          <w:b/>
          <w:color w:val="000000"/>
          <w:sz w:val="21"/>
          <w:szCs w:val="21"/>
        </w:rPr>
      </w:pPr>
      <w:bookmarkStart w:id="19" w:name="OLE_LINK98"/>
      <w:bookmarkStart w:id="20" w:name="OLE_LINK97"/>
      <w:bookmarkStart w:id="21" w:name="OLE_LINK99"/>
      <w:r>
        <w:rPr>
          <w:rFonts w:hint="eastAsia" w:hAnsi="宋体"/>
          <w:b/>
          <w:color w:val="000000"/>
          <w:sz w:val="21"/>
          <w:szCs w:val="21"/>
        </w:rPr>
        <w:t>九．特别说明</w:t>
      </w:r>
    </w:p>
    <w:p>
      <w:pPr>
        <w:tabs>
          <w:tab w:val="left" w:pos="518"/>
        </w:tabs>
        <w:adjustRightInd w:val="0"/>
        <w:snapToGrid w:val="0"/>
        <w:spacing w:line="360" w:lineRule="auto"/>
        <w:ind w:firstLine="105" w:firstLineChars="50"/>
        <w:rPr>
          <w:rFonts w:ascii="宋体" w:hAnsi="宋体"/>
          <w:color w:val="000000"/>
          <w:szCs w:val="21"/>
        </w:rPr>
      </w:pPr>
      <w:r>
        <w:rPr>
          <w:rFonts w:hint="eastAsia" w:ascii="宋体" w:hAnsi="宋体"/>
          <w:color w:val="000000"/>
          <w:szCs w:val="21"/>
        </w:rPr>
        <w:t xml:space="preserve"> </w:t>
      </w:r>
      <w:bookmarkEnd w:id="19"/>
      <w:bookmarkEnd w:id="20"/>
      <w:bookmarkEnd w:id="21"/>
      <w:r>
        <w:rPr>
          <w:rFonts w:hint="eastAsia" w:ascii="宋体" w:hAnsi="宋体"/>
          <w:b/>
          <w:bCs/>
          <w:color w:val="000000"/>
          <w:szCs w:val="21"/>
        </w:rPr>
        <w:t>（一）</w:t>
      </w:r>
      <w:r>
        <w:rPr>
          <w:rFonts w:hint="eastAsia" w:ascii="宋体" w:hAnsi="宋体"/>
          <w:color w:val="000000"/>
          <w:szCs w:val="21"/>
        </w:rPr>
        <w:t>政府采购活动中有关中小企业的相关规定（采购进口产品的项目不适用）</w:t>
      </w:r>
    </w:p>
    <w:p>
      <w:pPr>
        <w:snapToGrid w:val="0"/>
        <w:spacing w:line="360" w:lineRule="auto"/>
        <w:ind w:firstLine="420" w:firstLineChars="200"/>
        <w:rPr>
          <w:rFonts w:ascii="宋体" w:hAnsi="宋体"/>
          <w:color w:val="000000"/>
          <w:szCs w:val="21"/>
        </w:rPr>
      </w:pPr>
      <w:r>
        <w:rPr>
          <w:rFonts w:hint="eastAsia" w:ascii="宋体" w:hAnsi="宋体"/>
          <w:color w:val="000000"/>
          <w:szCs w:val="21"/>
        </w:rPr>
        <w:t xml:space="preserve">  1、参加政府采购活动的中小企业（含中型、小型、微型企业，其他地方同）应当同时符合以下条件：</w:t>
      </w:r>
    </w:p>
    <w:p>
      <w:pPr>
        <w:snapToGrid w:val="0"/>
        <w:spacing w:line="360" w:lineRule="auto"/>
        <w:ind w:firstLine="420" w:firstLineChars="200"/>
        <w:rPr>
          <w:rFonts w:ascii="宋体" w:hAnsi="宋体"/>
          <w:color w:val="000000"/>
          <w:szCs w:val="21"/>
        </w:rPr>
      </w:pPr>
      <w:r>
        <w:rPr>
          <w:rFonts w:hint="eastAsia" w:ascii="宋体" w:hAnsi="宋体"/>
          <w:color w:val="000000"/>
          <w:szCs w:val="21"/>
        </w:rPr>
        <w:t>1.1符合中小企业划分标准（具体见工信部联企业[2011]300号）；</w:t>
      </w:r>
    </w:p>
    <w:p>
      <w:pPr>
        <w:snapToGrid w:val="0"/>
        <w:spacing w:line="360" w:lineRule="auto"/>
        <w:ind w:firstLine="420" w:firstLineChars="200"/>
        <w:rPr>
          <w:rFonts w:ascii="宋体" w:hAnsi="宋体"/>
          <w:color w:val="000000"/>
          <w:szCs w:val="21"/>
        </w:rPr>
      </w:pPr>
      <w:r>
        <w:rPr>
          <w:rFonts w:hint="eastAsia" w:ascii="宋体" w:hAnsi="宋体"/>
          <w:color w:val="000000"/>
          <w:szCs w:val="21"/>
        </w:rPr>
        <w:t>1.2提供本企业制造的货物、承担的工程或者服务，或者提供其他中小企业制造的货物。本项所称货物不包括使用大型企业注册商标的货物。</w:t>
      </w:r>
    </w:p>
    <w:p>
      <w:pPr>
        <w:snapToGrid w:val="0"/>
        <w:spacing w:line="360" w:lineRule="auto"/>
        <w:ind w:firstLine="420" w:firstLineChars="200"/>
        <w:rPr>
          <w:rFonts w:ascii="宋体" w:hAnsi="宋体"/>
          <w:color w:val="000000"/>
          <w:szCs w:val="21"/>
        </w:rPr>
      </w:pPr>
      <w:r>
        <w:rPr>
          <w:rFonts w:hint="eastAsia" w:ascii="宋体" w:hAnsi="宋体"/>
          <w:color w:val="000000"/>
          <w:szCs w:val="21"/>
        </w:rPr>
        <w:t>1.3小型、微型企业提供中型企业制造的货物的，视同为中型企业。</w:t>
      </w:r>
    </w:p>
    <w:p>
      <w:pPr>
        <w:snapToGrid w:val="0"/>
        <w:spacing w:line="360" w:lineRule="auto"/>
        <w:ind w:firstLine="420" w:firstLineChars="200"/>
        <w:rPr>
          <w:rFonts w:ascii="宋体" w:hAnsi="宋体"/>
          <w:color w:val="000000"/>
          <w:szCs w:val="21"/>
        </w:rPr>
      </w:pPr>
      <w:r>
        <w:rPr>
          <w:rFonts w:hint="eastAsia" w:ascii="宋体" w:hAnsi="宋体"/>
          <w:color w:val="000000"/>
          <w:szCs w:val="21"/>
        </w:rPr>
        <w:t xml:space="preserve">  2、参加政府采购活动的中小企业应当提供《中小企业声明函》。</w:t>
      </w:r>
    </w:p>
    <w:p>
      <w:pPr>
        <w:snapToGrid w:val="0"/>
        <w:spacing w:line="360" w:lineRule="auto"/>
        <w:ind w:firstLine="420" w:firstLineChars="200"/>
        <w:rPr>
          <w:rFonts w:ascii="宋体" w:hAnsi="宋体"/>
          <w:color w:val="000000"/>
          <w:szCs w:val="21"/>
        </w:rPr>
      </w:pPr>
      <w:r>
        <w:rPr>
          <w:rFonts w:hint="eastAsia" w:ascii="宋体" w:hAnsi="宋体"/>
          <w:color w:val="000000"/>
          <w:szCs w:val="21"/>
        </w:rPr>
        <w:t xml:space="preserve"> 2.1本项目对小型和微型企业产品的价格给予6%的扣除，用扣除后的价格参与评审，价格扣除只用于评审过程，如中标，中标价格仍按照其投标价格进行公示。具体扣除比例见第四章  评标办法及评分标准。</w:t>
      </w:r>
    </w:p>
    <w:p>
      <w:pPr>
        <w:snapToGrid w:val="0"/>
        <w:spacing w:line="360" w:lineRule="auto"/>
        <w:ind w:firstLine="420" w:firstLineChars="200"/>
        <w:rPr>
          <w:color w:val="000000"/>
        </w:rPr>
      </w:pPr>
      <w:r>
        <w:rPr>
          <w:rFonts w:hint="eastAsia"/>
          <w:color w:val="000000"/>
        </w:rPr>
        <w:t xml:space="preserve">  2.2如果在采购活动过程中相关采购当事人对供应商“中小企业”资格有异议的，供应商应当向采购代理机构和采购监管部门提供由第三方机构审计确认的财务会计报告和劳动部门提供的年度社会保障基金缴纳清单，或者相关行业主管部门出具的“中小企业”资格确认证明。</w:t>
      </w:r>
    </w:p>
    <w:p>
      <w:pPr>
        <w:snapToGrid w:val="0"/>
        <w:spacing w:line="360" w:lineRule="auto"/>
        <w:ind w:firstLine="420" w:firstLineChars="200"/>
        <w:rPr>
          <w:color w:val="000000"/>
        </w:rPr>
      </w:pPr>
      <w:r>
        <w:rPr>
          <w:rFonts w:hint="eastAsia"/>
          <w:color w:val="000000"/>
        </w:rPr>
        <w:t>2.3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snapToGrid w:val="0"/>
        <w:spacing w:line="360" w:lineRule="auto"/>
        <w:ind w:firstLine="420" w:firstLineChars="200"/>
        <w:rPr>
          <w:rFonts w:hint="eastAsia" w:ascii="宋体" w:hAnsi="宋体"/>
          <w:color w:val="000000"/>
          <w:szCs w:val="21"/>
        </w:rPr>
      </w:pPr>
      <w:r>
        <w:rPr>
          <w:rFonts w:hint="eastAsia"/>
          <w:color w:val="000000"/>
        </w:rPr>
        <w:t>2.4根据《关于促进残疾人就业政府采购政策的通知》（财库[2017]141号）规定，在政府采购活动中，残疾人福利性单位视同小型、微型企业。残疾人福利性单位参加政府采购活动时，提供《残疾人福利性单位声明函》。</w:t>
      </w:r>
    </w:p>
    <w:p>
      <w:pPr>
        <w:tabs>
          <w:tab w:val="left" w:pos="518"/>
        </w:tabs>
        <w:adjustRightInd w:val="0"/>
        <w:snapToGrid w:val="0"/>
        <w:spacing w:line="360" w:lineRule="auto"/>
        <w:ind w:firstLine="105" w:firstLineChars="50"/>
        <w:jc w:val="center"/>
        <w:rPr>
          <w:rFonts w:hint="eastAsia" w:ascii="黑体" w:hAnsi="宋体" w:eastAsia="黑体"/>
          <w:color w:val="000000"/>
          <w:sz w:val="30"/>
          <w:szCs w:val="30"/>
        </w:rPr>
      </w:pPr>
      <w:r>
        <w:rPr>
          <w:rFonts w:hAnsi="宋体"/>
          <w:color w:val="000000"/>
          <w:szCs w:val="21"/>
        </w:rPr>
        <w:br w:type="page"/>
      </w:r>
      <w:bookmarkStart w:id="22" w:name="_Toc496687420"/>
      <w:r>
        <w:rPr>
          <w:rFonts w:hint="eastAsia" w:ascii="黑体" w:hAnsi="宋体" w:eastAsia="黑体"/>
          <w:color w:val="000000"/>
          <w:sz w:val="30"/>
          <w:szCs w:val="30"/>
        </w:rPr>
        <w:t>第四章  评标办法及评分标准</w:t>
      </w:r>
      <w:bookmarkEnd w:id="22"/>
    </w:p>
    <w:p>
      <w:pPr>
        <w:keepNext w:val="0"/>
        <w:keepLines w:val="0"/>
        <w:pageBreakBefore w:val="0"/>
        <w:widowControl w:val="0"/>
        <w:kinsoku/>
        <w:wordWrap/>
        <w:overflowPunct/>
        <w:topLinePunct w:val="0"/>
        <w:autoSpaceDE/>
        <w:autoSpaceDN/>
        <w:bidi w:val="0"/>
        <w:adjustRightInd/>
        <w:spacing w:line="360" w:lineRule="auto"/>
        <w:ind w:firstLine="1054" w:firstLineChars="500"/>
        <w:textAlignment w:val="auto"/>
        <w:rPr>
          <w:rFonts w:hint="eastAsia" w:hAnsi="宋体"/>
          <w:b/>
          <w:color w:val="000000"/>
          <w:sz w:val="21"/>
          <w:szCs w:val="21"/>
          <w:lang w:eastAsia="zh-CN"/>
        </w:rPr>
      </w:pPr>
      <w:r>
        <w:rPr>
          <w:rFonts w:hint="eastAsia" w:hAnsi="宋体"/>
          <w:b/>
          <w:color w:val="000000"/>
          <w:sz w:val="21"/>
          <w:szCs w:val="21"/>
          <w:lang w:eastAsia="zh-CN"/>
        </w:rPr>
        <w:t>甬江数字经济产业园（弘茂大厦）智能化建设相关软硬件服务采购评标办法</w:t>
      </w:r>
    </w:p>
    <w:p>
      <w:pPr>
        <w:keepNext w:val="0"/>
        <w:keepLines w:val="0"/>
        <w:pageBreakBefore w:val="0"/>
        <w:widowControl w:val="0"/>
        <w:kinsoku/>
        <w:wordWrap/>
        <w:overflowPunct/>
        <w:topLinePunct w:val="0"/>
        <w:autoSpaceDE/>
        <w:autoSpaceDN/>
        <w:bidi w:val="0"/>
        <w:adjustRightInd/>
        <w:spacing w:line="360" w:lineRule="auto"/>
        <w:ind w:firstLine="420"/>
        <w:textAlignment w:val="auto"/>
        <w:rPr>
          <w:rFonts w:hint="eastAsia" w:ascii="宋体" w:hAnsi="宋体"/>
          <w:color w:val="000000"/>
          <w:szCs w:val="21"/>
        </w:rPr>
      </w:pPr>
      <w:r>
        <w:rPr>
          <w:rFonts w:hint="eastAsia" w:ascii="宋体" w:hAnsi="宋体"/>
          <w:color w:val="000000"/>
          <w:szCs w:val="21"/>
        </w:rPr>
        <w:t>为公正、公平、科学地选择中标人，根据《中华人民共和国政府采购法》等有关法律法规的规定，并结合本项目的实际，制定本办法。</w:t>
      </w:r>
    </w:p>
    <w:p>
      <w:pPr>
        <w:keepNext w:val="0"/>
        <w:keepLines w:val="0"/>
        <w:pageBreakBefore w:val="0"/>
        <w:widowControl w:val="0"/>
        <w:kinsoku/>
        <w:wordWrap/>
        <w:overflowPunct/>
        <w:topLinePunct w:val="0"/>
        <w:autoSpaceDE/>
        <w:autoSpaceDN/>
        <w:bidi w:val="0"/>
        <w:adjustRightInd/>
        <w:spacing w:line="360" w:lineRule="auto"/>
        <w:ind w:firstLine="420"/>
        <w:textAlignment w:val="auto"/>
        <w:rPr>
          <w:rFonts w:hint="eastAsia" w:ascii="宋体" w:hAnsi="宋体"/>
          <w:bCs/>
          <w:color w:val="000000"/>
          <w:szCs w:val="21"/>
        </w:rPr>
      </w:pPr>
      <w:r>
        <w:rPr>
          <w:rFonts w:hint="eastAsia" w:ascii="宋体" w:hAnsi="宋体"/>
          <w:color w:val="000000"/>
          <w:szCs w:val="21"/>
        </w:rPr>
        <w:t>本办法适用于</w:t>
      </w:r>
      <w:r>
        <w:rPr>
          <w:rFonts w:hint="eastAsia" w:ascii="宋体" w:hAnsi="宋体"/>
          <w:bCs/>
          <w:color w:val="000000"/>
          <w:szCs w:val="21"/>
          <w:lang w:eastAsia="zh-CN"/>
        </w:rPr>
        <w:t>甬江数字经济产业园（弘茂大厦）智能化建设相关软硬件服务采购</w:t>
      </w:r>
      <w:r>
        <w:rPr>
          <w:rFonts w:hint="eastAsia" w:ascii="宋体" w:hAnsi="宋体"/>
          <w:bCs/>
          <w:color w:val="000000"/>
          <w:szCs w:val="21"/>
        </w:rPr>
        <w:t>的评标。</w:t>
      </w:r>
    </w:p>
    <w:p>
      <w:pPr>
        <w:keepNext w:val="0"/>
        <w:keepLines w:val="0"/>
        <w:pageBreakBefore w:val="0"/>
        <w:widowControl w:val="0"/>
        <w:kinsoku/>
        <w:wordWrap/>
        <w:overflowPunct/>
        <w:topLinePunct w:val="0"/>
        <w:autoSpaceDE/>
        <w:autoSpaceDN/>
        <w:bidi w:val="0"/>
        <w:adjustRightInd/>
        <w:spacing w:line="360" w:lineRule="auto"/>
        <w:ind w:firstLine="413" w:firstLineChars="196"/>
        <w:textAlignment w:val="auto"/>
        <w:rPr>
          <w:rFonts w:hint="eastAsia" w:ascii="宋体" w:hAnsi="宋体"/>
          <w:b/>
          <w:color w:val="000000"/>
          <w:szCs w:val="21"/>
        </w:rPr>
      </w:pPr>
      <w:r>
        <w:rPr>
          <w:rFonts w:hint="eastAsia" w:ascii="宋体" w:hAnsi="宋体"/>
          <w:b/>
          <w:color w:val="000000"/>
          <w:szCs w:val="21"/>
        </w:rPr>
        <w:t>一、总则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bCs/>
          <w:color w:val="000000"/>
          <w:szCs w:val="21"/>
        </w:rPr>
      </w:pPr>
      <w:r>
        <w:rPr>
          <w:rFonts w:hint="eastAsia" w:ascii="宋体" w:hAnsi="宋体"/>
          <w:color w:val="000000"/>
          <w:szCs w:val="21"/>
        </w:rPr>
        <w:t>本次评标采用综合评分法，总分为100分，其中价格分</w:t>
      </w:r>
      <w:r>
        <w:rPr>
          <w:rFonts w:hint="eastAsia" w:ascii="宋体" w:hAnsi="宋体"/>
          <w:color w:val="000000"/>
          <w:szCs w:val="21"/>
          <w:lang w:val="en-US" w:eastAsia="zh-CN"/>
        </w:rPr>
        <w:t>15</w:t>
      </w:r>
      <w:r>
        <w:rPr>
          <w:rFonts w:hint="eastAsia" w:ascii="宋体" w:hAnsi="宋体"/>
          <w:color w:val="000000"/>
          <w:szCs w:val="21"/>
        </w:rPr>
        <w:t>分</w:t>
      </w:r>
      <w:r>
        <w:rPr>
          <w:rFonts w:hint="eastAsia" w:ascii="宋体" w:hAnsi="宋体"/>
          <w:bCs/>
          <w:color w:val="000000"/>
          <w:szCs w:val="21"/>
        </w:rPr>
        <w:t>、</w:t>
      </w:r>
      <w:r>
        <w:rPr>
          <w:rFonts w:hint="eastAsia" w:ascii="宋体" w:hAnsi="宋体"/>
          <w:color w:val="000000"/>
          <w:szCs w:val="21"/>
        </w:rPr>
        <w:t>技术商务分</w:t>
      </w:r>
      <w:r>
        <w:rPr>
          <w:rFonts w:ascii="宋体" w:hAnsi="宋体"/>
          <w:color w:val="000000"/>
          <w:szCs w:val="21"/>
        </w:rPr>
        <w:t>8</w:t>
      </w:r>
      <w:r>
        <w:rPr>
          <w:rFonts w:hint="eastAsia" w:ascii="宋体" w:hAnsi="宋体"/>
          <w:color w:val="000000"/>
          <w:szCs w:val="21"/>
          <w:lang w:val="en-US" w:eastAsia="zh-CN"/>
        </w:rPr>
        <w:t>5</w:t>
      </w:r>
      <w:r>
        <w:rPr>
          <w:rFonts w:hint="eastAsia" w:ascii="宋体" w:hAnsi="宋体"/>
          <w:color w:val="000000"/>
          <w:szCs w:val="21"/>
        </w:rPr>
        <w:t>分。合格投标人的评标得分为各项目汇总得分，中标候选资格按评标得分由高到低顺序排列，得分相同的，按投标报价由低到高顺序排列；得分且投标报价相同的，按技术得分由高到低顺序排列。排名第一的的投标人为中标候选人。</w:t>
      </w:r>
      <w:r>
        <w:rPr>
          <w:rFonts w:hint="eastAsia" w:ascii="宋体" w:hAnsi="宋体"/>
          <w:bCs/>
          <w:color w:val="000000"/>
          <w:szCs w:val="21"/>
        </w:rPr>
        <w:t>评分过程中采用四舍五入法，并保留小数2位。</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000000"/>
          <w:szCs w:val="21"/>
        </w:rPr>
      </w:pPr>
      <w:r>
        <w:rPr>
          <w:rFonts w:hint="eastAsia" w:ascii="宋体" w:hAnsi="宋体"/>
          <w:color w:val="000000"/>
          <w:szCs w:val="21"/>
        </w:rPr>
        <w:t>投标人评标</w:t>
      </w:r>
      <w:r>
        <w:rPr>
          <w:rFonts w:hint="eastAsia" w:ascii="宋体" w:hAnsi="宋体"/>
          <w:bCs/>
          <w:color w:val="000000"/>
          <w:szCs w:val="21"/>
        </w:rPr>
        <w:t>综合得分=价格分+技术商务分</w:t>
      </w:r>
    </w:p>
    <w:p>
      <w:pPr>
        <w:pStyle w:val="11"/>
        <w:keepNext w:val="0"/>
        <w:keepLines w:val="0"/>
        <w:pageBreakBefore w:val="0"/>
        <w:widowControl w:val="0"/>
        <w:kinsoku/>
        <w:wordWrap/>
        <w:overflowPunct/>
        <w:topLinePunct w:val="0"/>
        <w:autoSpaceDE/>
        <w:autoSpaceDN/>
        <w:bidi w:val="0"/>
        <w:adjustRightInd/>
        <w:spacing w:line="360" w:lineRule="auto"/>
        <w:ind w:firstLine="406" w:firstLineChars="200"/>
        <w:textAlignment w:val="auto"/>
        <w:rPr>
          <w:rFonts w:hAnsi="宋体"/>
          <w:b/>
          <w:bCs/>
          <w:color w:val="000000"/>
          <w:sz w:val="21"/>
          <w:szCs w:val="21"/>
        </w:rPr>
      </w:pPr>
      <w:r>
        <w:rPr>
          <w:rFonts w:hAnsi="宋体"/>
          <w:b/>
          <w:color w:val="000000"/>
          <w:sz w:val="21"/>
          <w:szCs w:val="21"/>
        </w:rPr>
        <w:t>（一）</w:t>
      </w:r>
      <w:r>
        <w:rPr>
          <w:rFonts w:hAnsi="宋体"/>
          <w:b/>
          <w:bCs/>
          <w:color w:val="000000"/>
          <w:sz w:val="21"/>
          <w:szCs w:val="21"/>
        </w:rPr>
        <w:t>价格分（</w:t>
      </w:r>
      <w:r>
        <w:rPr>
          <w:rFonts w:hint="eastAsia" w:hAnsi="宋体"/>
          <w:b/>
          <w:bCs/>
          <w:color w:val="000000"/>
          <w:sz w:val="21"/>
          <w:szCs w:val="21"/>
          <w:lang w:val="en-US" w:eastAsia="zh-CN"/>
        </w:rPr>
        <w:t>1</w:t>
      </w:r>
      <w:r>
        <w:rPr>
          <w:rFonts w:hint="eastAsia" w:hAnsi="宋体"/>
          <w:b/>
          <w:bCs/>
          <w:color w:val="000000"/>
          <w:sz w:val="21"/>
          <w:szCs w:val="21"/>
          <w:lang w:val="en-US" w:eastAsia="zh-CN"/>
        </w:rPr>
        <w:t>5</w:t>
      </w:r>
      <w:r>
        <w:rPr>
          <w:rFonts w:hAnsi="宋体"/>
          <w:b/>
          <w:bCs/>
          <w:color w:val="000000"/>
          <w:sz w:val="21"/>
          <w:szCs w:val="21"/>
        </w:rPr>
        <w:t>分）</w:t>
      </w:r>
    </w:p>
    <w:p>
      <w:pPr>
        <w:pStyle w:val="11"/>
        <w:keepNext w:val="0"/>
        <w:keepLines w:val="0"/>
        <w:pageBreakBefore w:val="0"/>
        <w:widowControl w:val="0"/>
        <w:kinsoku/>
        <w:wordWrap/>
        <w:overflowPunct/>
        <w:topLinePunct w:val="0"/>
        <w:autoSpaceDE/>
        <w:autoSpaceDN/>
        <w:bidi w:val="0"/>
        <w:adjustRightInd/>
        <w:spacing w:line="360" w:lineRule="auto"/>
        <w:ind w:firstLine="404" w:firstLineChars="200"/>
        <w:textAlignment w:val="auto"/>
        <w:rPr>
          <w:rFonts w:hint="eastAsia" w:hAnsi="宋体"/>
          <w:bCs/>
          <w:color w:val="000000"/>
          <w:sz w:val="21"/>
          <w:szCs w:val="21"/>
        </w:rPr>
      </w:pPr>
      <w:r>
        <w:rPr>
          <w:rFonts w:hint="eastAsia" w:hAnsi="宋体"/>
          <w:bCs/>
          <w:color w:val="000000"/>
          <w:sz w:val="21"/>
          <w:szCs w:val="21"/>
        </w:rPr>
        <w:t>1.价格分采用低价优先法计算，小微企业价格扣除优惠值</w:t>
      </w:r>
      <w:r>
        <w:rPr>
          <w:rFonts w:hAnsi="宋体"/>
          <w:bCs/>
          <w:color w:val="000000"/>
          <w:sz w:val="21"/>
          <w:szCs w:val="21"/>
        </w:rPr>
        <w:t>6%</w:t>
      </w:r>
      <w:r>
        <w:rPr>
          <w:rFonts w:hint="eastAsia" w:hAnsi="宋体"/>
          <w:bCs/>
          <w:color w:val="000000"/>
          <w:sz w:val="21"/>
          <w:szCs w:val="21"/>
        </w:rPr>
        <w:t>,即满足招标文件要求且“参与评审的价格” 中最低的价格为评标基准价，其他投标人的价格分按照下列公式计算：</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000000"/>
          <w:szCs w:val="21"/>
        </w:rPr>
      </w:pPr>
      <w:r>
        <w:rPr>
          <w:rFonts w:hint="eastAsia" w:ascii="宋体" w:hAnsi="宋体"/>
          <w:color w:val="000000"/>
          <w:szCs w:val="21"/>
        </w:rPr>
        <w:t>投标报价得分=（评标基准价/参与评审的价格）×</w:t>
      </w:r>
      <w:r>
        <w:rPr>
          <w:rFonts w:hint="eastAsia" w:ascii="宋体" w:hAnsi="宋体"/>
          <w:color w:val="000000"/>
          <w:szCs w:val="21"/>
          <w:lang w:val="en-US" w:eastAsia="zh-CN"/>
        </w:rPr>
        <w:t>15</w:t>
      </w:r>
      <w:r>
        <w:rPr>
          <w:rFonts w:hint="eastAsia" w:ascii="宋体" w:hAnsi="宋体"/>
          <w:color w:val="000000"/>
          <w:szCs w:val="21"/>
        </w:rPr>
        <w:t>%×100</w:t>
      </w:r>
    </w:p>
    <w:p>
      <w:pPr>
        <w:keepNext w:val="0"/>
        <w:keepLines w:val="0"/>
        <w:pageBreakBefore w:val="0"/>
        <w:widowControl w:val="0"/>
        <w:tabs>
          <w:tab w:val="left" w:pos="3870"/>
          <w:tab w:val="left" w:pos="4085"/>
        </w:tabs>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olor w:val="000000"/>
          <w:szCs w:val="21"/>
        </w:rPr>
      </w:pPr>
      <w:r>
        <w:rPr>
          <w:rFonts w:hint="eastAsia" w:ascii="宋体" w:hAnsi="宋体"/>
          <w:color w:val="000000"/>
          <w:szCs w:val="21"/>
        </w:rPr>
        <w:t>2. 本项目的预算价</w:t>
      </w:r>
      <w:r>
        <w:rPr>
          <w:rFonts w:hint="eastAsia" w:ascii="宋体" w:hAnsi="宋体"/>
          <w:color w:val="000000"/>
          <w:szCs w:val="21"/>
          <w:u w:val="none"/>
        </w:rPr>
        <w:t>为最高限价为</w:t>
      </w:r>
      <w:r>
        <w:rPr>
          <w:rFonts w:hint="eastAsia" w:ascii="宋体" w:hAnsi="宋体"/>
          <w:color w:val="000000"/>
          <w:szCs w:val="21"/>
          <w:u w:val="none"/>
          <w:lang w:val="en-US" w:eastAsia="zh-CN"/>
        </w:rPr>
        <w:t>9711576</w:t>
      </w:r>
      <w:r>
        <w:rPr>
          <w:rFonts w:hint="eastAsia" w:ascii="宋体" w:hAnsi="宋体"/>
          <w:color w:val="000000"/>
          <w:szCs w:val="21"/>
        </w:rPr>
        <w:t>；投标人的投标报价超过本项目的</w:t>
      </w:r>
      <w:r>
        <w:rPr>
          <w:rFonts w:hint="eastAsia" w:ascii="宋体" w:hAnsi="宋体"/>
          <w:color w:val="000000"/>
          <w:szCs w:val="21"/>
          <w:lang w:eastAsia="zh-CN"/>
        </w:rPr>
        <w:t>最高限价</w:t>
      </w:r>
      <w:r>
        <w:rPr>
          <w:rFonts w:hint="eastAsia" w:ascii="宋体" w:hAnsi="宋体"/>
          <w:color w:val="000000"/>
          <w:szCs w:val="21"/>
        </w:rPr>
        <w:t>的，其投标为无效，并否决其投标。</w:t>
      </w:r>
    </w:p>
    <w:p>
      <w:pPr>
        <w:tabs>
          <w:tab w:val="left" w:pos="3870"/>
          <w:tab w:val="left" w:pos="4085"/>
        </w:tabs>
        <w:snapToGrid w:val="0"/>
        <w:spacing w:before="50" w:after="120" w:afterLines="50" w:line="360" w:lineRule="auto"/>
        <w:ind w:firstLine="422" w:firstLineChars="200"/>
        <w:jc w:val="left"/>
        <w:rPr>
          <w:rFonts w:hint="eastAsia" w:ascii="宋体" w:hAnsi="宋体"/>
          <w:b/>
          <w:color w:val="000000"/>
          <w:szCs w:val="21"/>
        </w:rPr>
      </w:pPr>
      <w:r>
        <w:rPr>
          <w:rFonts w:hint="eastAsia" w:ascii="宋体" w:hAnsi="宋体"/>
          <w:b/>
          <w:bCs/>
          <w:color w:val="000000"/>
          <w:szCs w:val="21"/>
        </w:rPr>
        <w:t>（二）</w:t>
      </w:r>
      <w:r>
        <w:rPr>
          <w:rFonts w:hint="eastAsia" w:ascii="宋体" w:hAnsi="宋体"/>
          <w:b/>
          <w:color w:val="000000"/>
          <w:szCs w:val="21"/>
        </w:rPr>
        <w:t>技术商务分（</w:t>
      </w:r>
      <w:r>
        <w:rPr>
          <w:rFonts w:ascii="宋体" w:hAnsi="宋体"/>
          <w:b/>
          <w:color w:val="000000"/>
          <w:szCs w:val="21"/>
        </w:rPr>
        <w:t>8</w:t>
      </w:r>
      <w:r>
        <w:rPr>
          <w:rFonts w:hint="eastAsia" w:ascii="宋体" w:hAnsi="宋体"/>
          <w:b/>
          <w:color w:val="000000"/>
          <w:szCs w:val="21"/>
          <w:lang w:val="en-US" w:eastAsia="zh-CN"/>
        </w:rPr>
        <w:t>5</w:t>
      </w:r>
      <w:r>
        <w:rPr>
          <w:rFonts w:hint="eastAsia" w:ascii="宋体" w:hAnsi="宋体"/>
          <w:b/>
          <w:color w:val="000000"/>
          <w:szCs w:val="21"/>
        </w:rPr>
        <w:t>分）</w:t>
      </w:r>
    </w:p>
    <w:p>
      <w:pPr>
        <w:spacing w:before="120" w:beforeLines="50" w:after="120" w:afterLines="50" w:line="360" w:lineRule="auto"/>
        <w:rPr>
          <w:rFonts w:hint="eastAsia" w:ascii="宋体" w:hAnsi="宋体" w:eastAsia="宋体"/>
          <w:b/>
          <w:color w:val="000000"/>
          <w:szCs w:val="21"/>
          <w:lang w:eastAsia="zh-CN"/>
        </w:rPr>
      </w:pPr>
      <w:r>
        <w:rPr>
          <w:rFonts w:hint="eastAsia" w:ascii="宋体" w:hAnsi="宋体"/>
          <w:b/>
          <w:color w:val="000000"/>
          <w:szCs w:val="21"/>
        </w:rPr>
        <w:t>二、评</w:t>
      </w:r>
      <w:r>
        <w:rPr>
          <w:rFonts w:hint="eastAsia" w:ascii="宋体" w:hAnsi="宋体"/>
          <w:b/>
          <w:color w:val="000000"/>
          <w:szCs w:val="21"/>
          <w:lang w:eastAsia="zh-CN"/>
        </w:rPr>
        <w:t>标细则</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150"/>
        <w:gridCol w:w="1666"/>
        <w:gridCol w:w="4744"/>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54" w:hRule="atLeast"/>
          <w:jc w:val="center"/>
        </w:trPr>
        <w:tc>
          <w:tcPr>
            <w:tcW w:w="8028" w:type="dxa"/>
            <w:gridSpan w:val="4"/>
            <w:tcBorders>
              <w:tl2br w:val="single" w:color="auto" w:sz="4" w:space="0"/>
            </w:tcBorders>
            <w:noWrap w:val="0"/>
            <w:vAlign w:val="center"/>
          </w:tcPr>
          <w:p>
            <w:pPr>
              <w:spacing w:before="120" w:beforeLines="50" w:after="120" w:afterLines="50" w:line="360" w:lineRule="auto"/>
              <w:ind w:firstLine="3570" w:firstLineChars="1700"/>
              <w:rPr>
                <w:rFonts w:ascii="宋体" w:hAnsi="宋体"/>
                <w:szCs w:val="21"/>
              </w:rPr>
            </w:pPr>
            <w:r>
              <w:rPr>
                <w:rFonts w:hint="eastAsia" w:ascii="宋体" w:hAnsi="宋体"/>
                <w:szCs w:val="21"/>
              </w:rPr>
              <w:t>投标单位</w:t>
            </w:r>
          </w:p>
          <w:p>
            <w:pPr>
              <w:spacing w:line="240" w:lineRule="atLeast"/>
              <w:ind w:firstLine="315" w:firstLineChars="150"/>
              <w:rPr>
                <w:rFonts w:ascii="宋体" w:hAnsi="宋体"/>
                <w:szCs w:val="21"/>
              </w:rPr>
            </w:pPr>
            <w:r>
              <w:rPr>
                <w:rFonts w:hint="eastAsia" w:ascii="宋体" w:hAnsi="宋体"/>
                <w:szCs w:val="21"/>
              </w:rPr>
              <w:t>分值</w:t>
            </w:r>
          </w:p>
        </w:tc>
        <w:tc>
          <w:tcPr>
            <w:tcW w:w="1620" w:type="dxa"/>
            <w:noWrap w:val="0"/>
            <w:vAlign w:val="center"/>
          </w:tcPr>
          <w:p>
            <w:pPr>
              <w:spacing w:line="240" w:lineRule="atLeast"/>
              <w:jc w:val="center"/>
              <w:rPr>
                <w:rFonts w:hint="eastAsia" w:ascii="宋体" w:hAnsi="宋体" w:eastAsia="宋体"/>
                <w:b/>
                <w:szCs w:val="21"/>
                <w:lang w:eastAsia="zh-CN"/>
              </w:rPr>
            </w:pPr>
            <w:r>
              <w:rPr>
                <w:rFonts w:hint="eastAsia" w:ascii="宋体" w:hAnsi="宋体"/>
                <w:b/>
                <w:szCs w:val="21"/>
                <w:lang w:eastAsia="zh-CN"/>
              </w:rPr>
              <w:t>最高分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110" w:hRule="atLeast"/>
          <w:jc w:val="center"/>
        </w:trPr>
        <w:tc>
          <w:tcPr>
            <w:tcW w:w="468" w:type="dxa"/>
            <w:vMerge w:val="restart"/>
            <w:noWrap w:val="0"/>
            <w:tcMar>
              <w:top w:w="0" w:type="dxa"/>
              <w:left w:w="57" w:type="dxa"/>
              <w:bottom w:w="0" w:type="dxa"/>
              <w:right w:w="57" w:type="dxa"/>
            </w:tcMar>
            <w:vAlign w:val="center"/>
          </w:tcPr>
          <w:p>
            <w:pPr>
              <w:spacing w:line="240" w:lineRule="atLeast"/>
              <w:jc w:val="center"/>
              <w:rPr>
                <w:rFonts w:ascii="宋体" w:hAnsi="宋体"/>
                <w:b/>
                <w:szCs w:val="21"/>
              </w:rPr>
            </w:pPr>
            <w:r>
              <w:rPr>
                <w:rFonts w:hint="eastAsia" w:ascii="宋体" w:hAnsi="宋体"/>
                <w:b/>
                <w:szCs w:val="21"/>
              </w:rPr>
              <w:t>技</w:t>
            </w:r>
          </w:p>
          <w:p>
            <w:pPr>
              <w:spacing w:line="240" w:lineRule="atLeast"/>
              <w:jc w:val="center"/>
              <w:rPr>
                <w:rFonts w:ascii="宋体" w:hAnsi="宋体"/>
                <w:b/>
                <w:szCs w:val="21"/>
              </w:rPr>
            </w:pPr>
            <w:r>
              <w:rPr>
                <w:rFonts w:hint="eastAsia" w:ascii="宋体" w:hAnsi="宋体"/>
                <w:b/>
                <w:szCs w:val="21"/>
              </w:rPr>
              <w:t>术</w:t>
            </w:r>
          </w:p>
          <w:p>
            <w:pPr>
              <w:spacing w:line="240" w:lineRule="atLeast"/>
              <w:jc w:val="center"/>
              <w:rPr>
                <w:rFonts w:ascii="宋体" w:hAnsi="宋体"/>
                <w:b/>
                <w:szCs w:val="21"/>
              </w:rPr>
            </w:pPr>
            <w:r>
              <w:rPr>
                <w:rFonts w:hint="eastAsia" w:ascii="宋体" w:hAnsi="宋体"/>
                <w:b/>
                <w:szCs w:val="21"/>
              </w:rPr>
              <w:t>分</w:t>
            </w:r>
          </w:p>
          <w:p>
            <w:pPr>
              <w:spacing w:line="240" w:lineRule="atLeast"/>
              <w:jc w:val="center"/>
              <w:rPr>
                <w:rFonts w:ascii="宋体" w:hAnsi="宋体"/>
                <w:b/>
                <w:szCs w:val="21"/>
              </w:rPr>
            </w:pPr>
            <w:r>
              <w:rPr>
                <w:rFonts w:hint="eastAsia" w:ascii="宋体" w:hAnsi="宋体"/>
                <w:b/>
                <w:szCs w:val="21"/>
                <w:lang w:val="en-US" w:eastAsia="zh-CN"/>
              </w:rPr>
              <w:t>61</w:t>
            </w:r>
            <w:r>
              <w:rPr>
                <w:rFonts w:hint="eastAsia" w:ascii="宋体" w:hAnsi="宋体"/>
                <w:b/>
                <w:szCs w:val="21"/>
              </w:rPr>
              <w:t>分</w:t>
            </w:r>
          </w:p>
        </w:tc>
        <w:tc>
          <w:tcPr>
            <w:tcW w:w="7560" w:type="dxa"/>
            <w:gridSpan w:val="3"/>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kern w:val="0"/>
                <w:szCs w:val="21"/>
              </w:rPr>
            </w:pPr>
            <w:r>
              <w:rPr>
                <w:rFonts w:hint="eastAsia" w:ascii="宋体" w:hAnsi="宋体"/>
                <w:kern w:val="0"/>
                <w:szCs w:val="21"/>
              </w:rPr>
              <w:t>产品总体评价（</w:t>
            </w:r>
            <w:r>
              <w:rPr>
                <w:rFonts w:hint="eastAsia" w:ascii="宋体" w:hAnsi="宋体"/>
                <w:kern w:val="0"/>
                <w:szCs w:val="21"/>
                <w:lang w:val="en-US" w:eastAsia="zh-CN"/>
              </w:rPr>
              <w:t>20</w:t>
            </w:r>
            <w:r>
              <w:rPr>
                <w:rFonts w:hint="eastAsia" w:ascii="宋体" w:hAnsi="宋体"/>
                <w:kern w:val="0"/>
                <w:szCs w:val="21"/>
              </w:rPr>
              <w:t>分）：</w:t>
            </w:r>
          </w:p>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kern w:val="0"/>
                <w:szCs w:val="21"/>
              </w:rPr>
            </w:pPr>
            <w:r>
              <w:rPr>
                <w:rFonts w:hint="eastAsia" w:ascii="宋体" w:hAnsi="宋体"/>
                <w:kern w:val="0"/>
                <w:szCs w:val="21"/>
              </w:rPr>
              <w:t>技术指标响应性（</w:t>
            </w:r>
            <w:r>
              <w:rPr>
                <w:rFonts w:hint="eastAsia" w:ascii="宋体" w:hAnsi="宋体"/>
                <w:kern w:val="0"/>
                <w:szCs w:val="21"/>
                <w:lang w:val="en-US" w:eastAsia="zh-CN"/>
              </w:rPr>
              <w:t>20</w:t>
            </w:r>
            <w:r>
              <w:rPr>
                <w:rFonts w:hint="eastAsia" w:ascii="宋体" w:hAnsi="宋体"/>
                <w:kern w:val="0"/>
                <w:szCs w:val="21"/>
              </w:rPr>
              <w:t>分）：完全响应招标文件产品的技术和规格要求表中各项指标的得</w:t>
            </w:r>
            <w:r>
              <w:rPr>
                <w:rFonts w:hint="eastAsia" w:ascii="宋体" w:hAnsi="宋体"/>
                <w:kern w:val="0"/>
                <w:szCs w:val="21"/>
                <w:lang w:val="en-US" w:eastAsia="zh-CN"/>
              </w:rPr>
              <w:t>20</w:t>
            </w:r>
            <w:r>
              <w:rPr>
                <w:rFonts w:hint="eastAsia" w:ascii="宋体" w:hAnsi="宋体"/>
                <w:kern w:val="0"/>
                <w:szCs w:val="21"/>
              </w:rPr>
              <w:t>分；技术要求中</w:t>
            </w:r>
            <w:r>
              <w:rPr>
                <w:rFonts w:hint="eastAsia" w:hAnsi="宋体"/>
                <w:color w:val="000000"/>
                <w:sz w:val="21"/>
                <w:szCs w:val="21"/>
              </w:rPr>
              <w:t>▲</w:t>
            </w:r>
            <w:r>
              <w:rPr>
                <w:rFonts w:hint="eastAsia" w:ascii="宋体" w:hAnsi="宋体"/>
                <w:kern w:val="0"/>
                <w:szCs w:val="21"/>
              </w:rPr>
              <w:t>的技术条款不允许负偏离，负偏离导致投标文件无效；</w:t>
            </w:r>
          </w:p>
          <w:p>
            <w:pPr>
              <w:keepNext w:val="0"/>
              <w:keepLines w:val="0"/>
              <w:pageBreakBefore w:val="0"/>
              <w:kinsoku/>
              <w:wordWrap/>
              <w:overflowPunct/>
              <w:topLinePunct w:val="0"/>
              <w:autoSpaceDE w:val="0"/>
              <w:autoSpaceDN w:val="0"/>
              <w:bidi w:val="0"/>
              <w:adjustRightInd w:val="0"/>
              <w:snapToGrid/>
              <w:spacing w:line="360" w:lineRule="auto"/>
              <w:textAlignment w:val="auto"/>
            </w:pPr>
            <w:r>
              <w:rPr>
                <w:rFonts w:hint="eastAsia" w:ascii="宋体" w:hAnsi="宋体"/>
                <w:color w:val="000000"/>
                <w:szCs w:val="21"/>
                <w:lang w:val="en-US" w:eastAsia="zh-CN"/>
              </w:rPr>
              <w:t>★条款为重要条款，</w:t>
            </w:r>
            <w:r>
              <w:rPr>
                <w:rFonts w:hint="eastAsia" w:ascii="宋体" w:hAnsi="宋体"/>
                <w:kern w:val="0"/>
                <w:szCs w:val="21"/>
              </w:rPr>
              <w:t>每负偏离一条扣</w:t>
            </w:r>
            <w:r>
              <w:rPr>
                <w:rFonts w:hint="eastAsia" w:ascii="宋体" w:hAnsi="宋体"/>
                <w:kern w:val="0"/>
                <w:szCs w:val="21"/>
                <w:lang w:val="en-US" w:eastAsia="zh-CN"/>
              </w:rPr>
              <w:t>4</w:t>
            </w:r>
            <w:r>
              <w:rPr>
                <w:rFonts w:hint="eastAsia" w:ascii="宋体" w:hAnsi="宋体"/>
                <w:kern w:val="0"/>
                <w:szCs w:val="21"/>
              </w:rPr>
              <w:t>分</w:t>
            </w:r>
            <w:r>
              <w:rPr>
                <w:rFonts w:hint="eastAsia" w:ascii="宋体" w:hAnsi="宋体"/>
                <w:kern w:val="0"/>
                <w:szCs w:val="21"/>
                <w:lang w:val="en-US" w:eastAsia="zh-CN"/>
              </w:rPr>
              <w:t>；</w:t>
            </w:r>
            <w:r>
              <w:rPr>
                <w:rFonts w:hint="eastAsia" w:ascii="宋体" w:hAnsi="宋体"/>
                <w:kern w:val="0"/>
                <w:szCs w:val="21"/>
              </w:rPr>
              <w:t>其它技术指标每负偏离一条扣</w:t>
            </w:r>
            <w:r>
              <w:rPr>
                <w:rFonts w:hint="eastAsia" w:ascii="宋体" w:hAnsi="宋体"/>
                <w:kern w:val="0"/>
                <w:szCs w:val="21"/>
                <w:lang w:val="en-US" w:eastAsia="zh-CN"/>
              </w:rPr>
              <w:t>2</w:t>
            </w:r>
            <w:r>
              <w:rPr>
                <w:rFonts w:hint="eastAsia" w:ascii="宋体" w:hAnsi="宋体"/>
                <w:kern w:val="0"/>
                <w:szCs w:val="21"/>
              </w:rPr>
              <w:t>分，</w:t>
            </w:r>
            <w:r>
              <w:rPr>
                <w:rFonts w:ascii="宋体" w:hAnsi="宋体"/>
                <w:color w:val="000000"/>
                <w:kern w:val="0"/>
                <w:szCs w:val="21"/>
                <w:lang w:bidi="ar"/>
              </w:rPr>
              <w:t>扣完为止</w:t>
            </w:r>
            <w:r>
              <w:rPr>
                <w:rFonts w:hint="eastAsia" w:ascii="宋体" w:hAnsi="宋体"/>
                <w:kern w:val="0"/>
                <w:szCs w:val="21"/>
              </w:rPr>
              <w:t>。</w:t>
            </w:r>
          </w:p>
        </w:tc>
        <w:tc>
          <w:tcPr>
            <w:tcW w:w="1620"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47"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1150" w:type="dxa"/>
            <w:vMerge w:val="restart"/>
            <w:tcBorders>
              <w:top w:val="single" w:color="000000" w:sz="4" w:space="0"/>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ind w:left="210" w:hanging="210" w:hangingChars="100"/>
              <w:textAlignment w:val="auto"/>
              <w:rPr>
                <w:rFonts w:hint="eastAsia" w:ascii="宋体" w:hAnsi="宋体"/>
                <w:kern w:val="0"/>
                <w:szCs w:val="21"/>
              </w:rPr>
            </w:pPr>
          </w:p>
          <w:p>
            <w:pPr>
              <w:keepNext w:val="0"/>
              <w:keepLines w:val="0"/>
              <w:pageBreakBefore w:val="0"/>
              <w:kinsoku/>
              <w:wordWrap/>
              <w:overflowPunct/>
              <w:topLinePunct w:val="0"/>
              <w:autoSpaceDE w:val="0"/>
              <w:autoSpaceDN w:val="0"/>
              <w:bidi w:val="0"/>
              <w:adjustRightInd w:val="0"/>
              <w:snapToGrid/>
              <w:spacing w:line="360" w:lineRule="auto"/>
              <w:ind w:left="210" w:hanging="210" w:hangingChars="100"/>
              <w:textAlignment w:val="auto"/>
              <w:rPr>
                <w:rFonts w:hint="eastAsia" w:ascii="宋体" w:hAnsi="宋体"/>
                <w:kern w:val="0"/>
                <w:szCs w:val="21"/>
              </w:rPr>
            </w:pPr>
          </w:p>
          <w:p>
            <w:pPr>
              <w:keepNext w:val="0"/>
              <w:keepLines w:val="0"/>
              <w:pageBreakBefore w:val="0"/>
              <w:kinsoku/>
              <w:wordWrap/>
              <w:overflowPunct/>
              <w:topLinePunct w:val="0"/>
              <w:autoSpaceDE w:val="0"/>
              <w:autoSpaceDN w:val="0"/>
              <w:bidi w:val="0"/>
              <w:adjustRightInd w:val="0"/>
              <w:snapToGrid/>
              <w:spacing w:line="360" w:lineRule="auto"/>
              <w:ind w:left="210" w:hanging="210" w:hangingChars="100"/>
              <w:textAlignment w:val="auto"/>
              <w:rPr>
                <w:rFonts w:hint="eastAsia" w:ascii="宋体" w:hAnsi="宋体"/>
                <w:kern w:val="0"/>
                <w:szCs w:val="21"/>
              </w:rPr>
            </w:pPr>
            <w:r>
              <w:rPr>
                <w:rFonts w:hint="eastAsia" w:ascii="宋体" w:hAnsi="宋体"/>
                <w:kern w:val="0"/>
                <w:szCs w:val="21"/>
              </w:rPr>
              <w:t>建设方案</w:t>
            </w:r>
          </w:p>
          <w:p>
            <w:pPr>
              <w:keepNext w:val="0"/>
              <w:keepLines w:val="0"/>
              <w:pageBreakBefore w:val="0"/>
              <w:kinsoku/>
              <w:wordWrap/>
              <w:overflowPunct/>
              <w:topLinePunct w:val="0"/>
              <w:autoSpaceDE w:val="0"/>
              <w:autoSpaceDN w:val="0"/>
              <w:bidi w:val="0"/>
              <w:adjustRightInd w:val="0"/>
              <w:snapToGrid/>
              <w:spacing w:line="360" w:lineRule="auto"/>
              <w:ind w:left="210" w:hanging="210" w:hangingChars="100"/>
              <w:textAlignment w:val="auto"/>
              <w:rPr>
                <w:rFonts w:hint="eastAsia" w:ascii="宋体" w:hAnsi="宋体"/>
                <w:kern w:val="0"/>
                <w:szCs w:val="21"/>
              </w:rPr>
            </w:pPr>
            <w:r>
              <w:rPr>
                <w:rFonts w:hint="eastAsia" w:ascii="宋体" w:hAnsi="宋体"/>
                <w:kern w:val="0"/>
                <w:szCs w:val="21"/>
              </w:rPr>
              <w:t>及系统架</w:t>
            </w:r>
          </w:p>
          <w:p>
            <w:pPr>
              <w:keepNext w:val="0"/>
              <w:keepLines w:val="0"/>
              <w:pageBreakBefore w:val="0"/>
              <w:kinsoku/>
              <w:wordWrap/>
              <w:overflowPunct/>
              <w:topLinePunct w:val="0"/>
              <w:autoSpaceDE w:val="0"/>
              <w:autoSpaceDN w:val="0"/>
              <w:bidi w:val="0"/>
              <w:adjustRightInd w:val="0"/>
              <w:snapToGrid/>
              <w:spacing w:line="360" w:lineRule="auto"/>
              <w:ind w:left="210" w:hanging="210" w:hangingChars="100"/>
              <w:textAlignment w:val="auto"/>
              <w:rPr>
                <w:rFonts w:ascii="宋体" w:hAnsi="宋体"/>
                <w:kern w:val="0"/>
                <w:szCs w:val="21"/>
              </w:rPr>
            </w:pPr>
            <w:r>
              <w:rPr>
                <w:rFonts w:hint="eastAsia" w:ascii="宋体" w:hAnsi="宋体"/>
                <w:kern w:val="0"/>
                <w:szCs w:val="21"/>
              </w:rPr>
              <w:t>构</w:t>
            </w:r>
            <w:r>
              <w:rPr>
                <w:rFonts w:hint="eastAsia" w:ascii="宋体" w:hAnsi="宋体"/>
                <w:kern w:val="0"/>
                <w:szCs w:val="21"/>
                <w:lang w:val="en-US" w:eastAsia="zh-CN"/>
              </w:rPr>
              <w:t>(</w:t>
            </w:r>
            <w:r>
              <w:rPr>
                <w:rFonts w:ascii="宋体" w:hAnsi="宋体"/>
                <w:kern w:val="0"/>
                <w:szCs w:val="21"/>
              </w:rPr>
              <w:t>2</w:t>
            </w:r>
            <w:r>
              <w:rPr>
                <w:rFonts w:hint="eastAsia" w:ascii="宋体" w:hAnsi="宋体"/>
                <w:kern w:val="0"/>
                <w:szCs w:val="21"/>
                <w:lang w:val="en-US" w:eastAsia="zh-CN"/>
              </w:rPr>
              <w:t>3</w:t>
            </w:r>
            <w:r>
              <w:rPr>
                <w:rFonts w:hint="eastAsia" w:ascii="宋体" w:hAnsi="宋体"/>
                <w:kern w:val="0"/>
                <w:szCs w:val="21"/>
              </w:rPr>
              <w:t>分）</w:t>
            </w:r>
          </w:p>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p>
        </w:tc>
        <w:tc>
          <w:tcPr>
            <w:tcW w:w="6410" w:type="dxa"/>
            <w:gridSpan w:val="2"/>
            <w:tcBorders>
              <w:top w:val="single" w:color="000000" w:sz="4" w:space="0"/>
              <w:left w:val="single" w:color="000000" w:sz="4" w:space="0"/>
              <w:bottom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r>
              <w:rPr>
                <w:rFonts w:ascii="宋体" w:hAnsi="宋体"/>
                <w:kern w:val="0"/>
                <w:szCs w:val="21"/>
              </w:rPr>
              <w:t>1.</w:t>
            </w:r>
            <w:r>
              <w:rPr>
                <w:rFonts w:hint="eastAsia" w:ascii="宋体" w:hAnsi="宋体"/>
                <w:kern w:val="0"/>
                <w:szCs w:val="21"/>
              </w:rPr>
              <w:t>建设方案完整、系统架构先进，优得</w:t>
            </w:r>
            <w:r>
              <w:rPr>
                <w:rFonts w:hint="eastAsia" w:ascii="宋体" w:hAnsi="宋体"/>
                <w:kern w:val="0"/>
                <w:szCs w:val="21"/>
                <w:lang w:val="en-US" w:eastAsia="zh-CN"/>
              </w:rPr>
              <w:t>5</w:t>
            </w:r>
            <w:r>
              <w:rPr>
                <w:rFonts w:ascii="宋体" w:hAnsi="宋体"/>
                <w:kern w:val="0"/>
                <w:szCs w:val="21"/>
              </w:rPr>
              <w:t>-</w:t>
            </w:r>
            <w:r>
              <w:rPr>
                <w:rFonts w:hint="eastAsia" w:ascii="宋体" w:hAnsi="宋体"/>
                <w:kern w:val="0"/>
                <w:szCs w:val="21"/>
                <w:lang w:val="en-US" w:eastAsia="zh-CN"/>
              </w:rPr>
              <w:t>4</w:t>
            </w:r>
            <w:r>
              <w:rPr>
                <w:rFonts w:hint="eastAsia" w:ascii="宋体" w:hAnsi="宋体"/>
                <w:kern w:val="0"/>
                <w:szCs w:val="21"/>
              </w:rPr>
              <w:t>分；建设方案和系统架构基本满足要求，良得</w:t>
            </w:r>
            <w:r>
              <w:rPr>
                <w:rFonts w:hint="eastAsia" w:ascii="宋体" w:hAnsi="宋体"/>
                <w:kern w:val="0"/>
                <w:szCs w:val="21"/>
                <w:lang w:val="en-US" w:eastAsia="zh-CN"/>
              </w:rPr>
              <w:t>3</w:t>
            </w:r>
            <w:r>
              <w:rPr>
                <w:rFonts w:ascii="宋体" w:hAnsi="宋体"/>
                <w:kern w:val="0"/>
                <w:szCs w:val="21"/>
              </w:rPr>
              <w:t>-</w:t>
            </w:r>
            <w:r>
              <w:rPr>
                <w:rFonts w:hint="eastAsia" w:ascii="宋体" w:hAnsi="宋体"/>
                <w:kern w:val="0"/>
                <w:szCs w:val="21"/>
                <w:lang w:val="en-US" w:eastAsia="zh-CN"/>
              </w:rPr>
              <w:t>2</w:t>
            </w:r>
            <w:r>
              <w:rPr>
                <w:rFonts w:hint="eastAsia" w:ascii="宋体" w:hAnsi="宋体"/>
                <w:kern w:val="0"/>
                <w:szCs w:val="21"/>
              </w:rPr>
              <w:t>分；不满足要求，得1分。</w:t>
            </w:r>
          </w:p>
        </w:tc>
        <w:tc>
          <w:tcPr>
            <w:tcW w:w="1620" w:type="dxa"/>
            <w:tcBorders>
              <w:bottom w:val="single" w:color="000000" w:sz="4" w:space="0"/>
            </w:tcBorders>
            <w:noWrap w:val="0"/>
            <w:vAlign w:val="center"/>
          </w:tcPr>
          <w:p>
            <w:pPr>
              <w:spacing w:line="240" w:lineRule="atLeast"/>
              <w:jc w:val="center"/>
              <w:rPr>
                <w:rFonts w:hint="default" w:ascii="宋体" w:hAnsi="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44"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1150" w:type="dxa"/>
            <w:vMerge w:val="continue"/>
            <w:tcBorders>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p>
        </w:tc>
        <w:tc>
          <w:tcPr>
            <w:tcW w:w="6410" w:type="dxa"/>
            <w:gridSpan w:val="2"/>
            <w:tcBorders>
              <w:top w:val="single" w:color="000000" w:sz="4" w:space="0"/>
              <w:left w:val="single" w:color="000000" w:sz="4" w:space="0"/>
              <w:bottom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r>
              <w:rPr>
                <w:rFonts w:ascii="宋体" w:hAnsi="宋体"/>
                <w:kern w:val="0"/>
                <w:szCs w:val="21"/>
              </w:rPr>
              <w:t>2.</w:t>
            </w:r>
            <w:r>
              <w:rPr>
                <w:rFonts w:hint="eastAsia" w:ascii="宋体" w:hAnsi="宋体"/>
                <w:kern w:val="0"/>
                <w:szCs w:val="21"/>
              </w:rPr>
              <w:t>所提供的技术方案，符合项目的实际情况，并且在技术方案中对方案的</w:t>
            </w:r>
            <w:r>
              <w:rPr>
                <w:rFonts w:hint="eastAsia" w:ascii="宋体" w:hAnsi="宋体"/>
                <w:kern w:val="0"/>
                <w:szCs w:val="21"/>
                <w:lang w:eastAsia="zh-CN"/>
              </w:rPr>
              <w:t>合理</w:t>
            </w:r>
            <w:r>
              <w:rPr>
                <w:rFonts w:hint="eastAsia" w:ascii="宋体" w:hAnsi="宋体"/>
                <w:kern w:val="0"/>
                <w:szCs w:val="21"/>
              </w:rPr>
              <w:t>和</w:t>
            </w:r>
            <w:r>
              <w:rPr>
                <w:rFonts w:hint="eastAsia" w:ascii="宋体" w:hAnsi="宋体"/>
                <w:kern w:val="0"/>
                <w:szCs w:val="21"/>
                <w:lang w:eastAsia="zh-CN"/>
              </w:rPr>
              <w:t>科学</w:t>
            </w:r>
            <w:r>
              <w:rPr>
                <w:rFonts w:hint="eastAsia" w:ascii="宋体" w:hAnsi="宋体"/>
                <w:kern w:val="0"/>
                <w:szCs w:val="21"/>
              </w:rPr>
              <w:t>进行阐述。符合实际情况，优得</w:t>
            </w:r>
            <w:r>
              <w:rPr>
                <w:rFonts w:hint="eastAsia" w:ascii="宋体" w:hAnsi="宋体"/>
                <w:kern w:val="0"/>
                <w:szCs w:val="21"/>
                <w:lang w:val="en-US" w:eastAsia="zh-CN"/>
              </w:rPr>
              <w:t>5</w:t>
            </w:r>
            <w:r>
              <w:rPr>
                <w:rFonts w:ascii="宋体" w:hAnsi="宋体"/>
                <w:kern w:val="0"/>
                <w:szCs w:val="21"/>
              </w:rPr>
              <w:t>-</w:t>
            </w:r>
            <w:r>
              <w:rPr>
                <w:rFonts w:hint="eastAsia" w:ascii="宋体" w:hAnsi="宋体"/>
                <w:kern w:val="0"/>
                <w:szCs w:val="21"/>
                <w:lang w:val="en-US" w:eastAsia="zh-CN"/>
              </w:rPr>
              <w:t>4</w:t>
            </w:r>
            <w:r>
              <w:rPr>
                <w:rFonts w:hint="eastAsia" w:ascii="宋体" w:hAnsi="宋体"/>
                <w:kern w:val="0"/>
                <w:szCs w:val="21"/>
              </w:rPr>
              <w:t>分，部分符合实际情况，良得</w:t>
            </w:r>
            <w:r>
              <w:rPr>
                <w:rFonts w:hint="eastAsia" w:ascii="宋体" w:hAnsi="宋体"/>
                <w:kern w:val="0"/>
                <w:szCs w:val="21"/>
                <w:lang w:val="en-US" w:eastAsia="zh-CN"/>
              </w:rPr>
              <w:t>3</w:t>
            </w:r>
            <w:r>
              <w:rPr>
                <w:rFonts w:ascii="宋体" w:hAnsi="宋体"/>
                <w:kern w:val="0"/>
                <w:szCs w:val="21"/>
              </w:rPr>
              <w:t>-</w:t>
            </w:r>
            <w:r>
              <w:rPr>
                <w:rFonts w:hint="eastAsia" w:ascii="宋体" w:hAnsi="宋体"/>
                <w:kern w:val="0"/>
                <w:szCs w:val="21"/>
                <w:lang w:val="en-US" w:eastAsia="zh-CN"/>
              </w:rPr>
              <w:t>2</w:t>
            </w:r>
            <w:r>
              <w:rPr>
                <w:rFonts w:hint="eastAsia" w:ascii="宋体" w:hAnsi="宋体"/>
                <w:kern w:val="0"/>
                <w:szCs w:val="21"/>
              </w:rPr>
              <w:t>分，不满足要求，得1分。</w:t>
            </w:r>
          </w:p>
        </w:tc>
        <w:tc>
          <w:tcPr>
            <w:tcW w:w="1620" w:type="dxa"/>
            <w:tcBorders>
              <w:top w:val="single" w:color="000000" w:sz="4" w:space="0"/>
              <w:bottom w:val="single" w:color="000000" w:sz="4" w:space="0"/>
            </w:tcBorders>
            <w:noWrap w:val="0"/>
            <w:vAlign w:val="center"/>
          </w:tcPr>
          <w:p>
            <w:pPr>
              <w:spacing w:line="240" w:lineRule="atLeast"/>
              <w:jc w:val="center"/>
              <w:rPr>
                <w:rFonts w:hint="default" w:ascii="宋体" w:hAnsi="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99"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1150" w:type="dxa"/>
            <w:vMerge w:val="continue"/>
            <w:tcBorders>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p>
        </w:tc>
        <w:tc>
          <w:tcPr>
            <w:tcW w:w="6410" w:type="dxa"/>
            <w:gridSpan w:val="2"/>
            <w:tcBorders>
              <w:top w:val="single" w:color="000000" w:sz="4" w:space="0"/>
              <w:left w:val="single" w:color="000000" w:sz="4" w:space="0"/>
              <w:bottom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r>
              <w:rPr>
                <w:rFonts w:ascii="宋体" w:hAnsi="宋体"/>
                <w:kern w:val="0"/>
                <w:szCs w:val="21"/>
              </w:rPr>
              <w:t>3.</w:t>
            </w:r>
            <w:r>
              <w:rPr>
                <w:rFonts w:hint="eastAsia" w:ascii="宋体" w:hAnsi="宋体"/>
                <w:kern w:val="0"/>
                <w:szCs w:val="21"/>
              </w:rPr>
              <w:t>建设方案充分考虑平台的功能扩展，优得</w:t>
            </w:r>
            <w:r>
              <w:rPr>
                <w:rFonts w:hint="eastAsia" w:ascii="宋体" w:hAnsi="宋体"/>
                <w:kern w:val="0"/>
                <w:szCs w:val="21"/>
                <w:lang w:val="en-US" w:eastAsia="zh-CN"/>
              </w:rPr>
              <w:t>5</w:t>
            </w:r>
            <w:r>
              <w:rPr>
                <w:rFonts w:ascii="宋体" w:hAnsi="宋体"/>
                <w:kern w:val="0"/>
                <w:szCs w:val="21"/>
              </w:rPr>
              <w:t>-</w:t>
            </w:r>
            <w:r>
              <w:rPr>
                <w:rFonts w:hint="eastAsia" w:ascii="宋体" w:hAnsi="宋体"/>
                <w:kern w:val="0"/>
                <w:szCs w:val="21"/>
                <w:lang w:val="en-US" w:eastAsia="zh-CN"/>
              </w:rPr>
              <w:t>4</w:t>
            </w:r>
            <w:r>
              <w:rPr>
                <w:rFonts w:hint="eastAsia" w:ascii="宋体" w:hAnsi="宋体"/>
                <w:kern w:val="0"/>
                <w:szCs w:val="21"/>
              </w:rPr>
              <w:t>分，良得</w:t>
            </w:r>
            <w:r>
              <w:rPr>
                <w:rFonts w:hint="eastAsia" w:ascii="宋体" w:hAnsi="宋体"/>
                <w:kern w:val="0"/>
                <w:szCs w:val="21"/>
                <w:lang w:val="en-US" w:eastAsia="zh-CN"/>
              </w:rPr>
              <w:t>3</w:t>
            </w:r>
            <w:r>
              <w:rPr>
                <w:rFonts w:ascii="宋体" w:hAnsi="宋体"/>
                <w:kern w:val="0"/>
                <w:szCs w:val="21"/>
              </w:rPr>
              <w:t>-</w:t>
            </w:r>
            <w:r>
              <w:rPr>
                <w:rFonts w:hint="eastAsia" w:ascii="宋体" w:hAnsi="宋体"/>
                <w:kern w:val="0"/>
                <w:szCs w:val="21"/>
                <w:lang w:val="en-US" w:eastAsia="zh-CN"/>
              </w:rPr>
              <w:t>2</w:t>
            </w:r>
            <w:r>
              <w:rPr>
                <w:rFonts w:hint="eastAsia" w:ascii="宋体" w:hAnsi="宋体"/>
                <w:kern w:val="0"/>
                <w:szCs w:val="21"/>
              </w:rPr>
              <w:t>分，</w:t>
            </w:r>
            <w:r>
              <w:rPr>
                <w:rFonts w:hint="eastAsia" w:ascii="宋体" w:hAnsi="宋体"/>
                <w:szCs w:val="21"/>
              </w:rPr>
              <w:t>一般</w:t>
            </w:r>
            <w:r>
              <w:rPr>
                <w:rFonts w:hint="eastAsia" w:ascii="宋体" w:hAnsi="宋体"/>
                <w:kern w:val="0"/>
                <w:szCs w:val="21"/>
              </w:rPr>
              <w:t>得1分。</w:t>
            </w:r>
          </w:p>
        </w:tc>
        <w:tc>
          <w:tcPr>
            <w:tcW w:w="1620" w:type="dxa"/>
            <w:tcBorders>
              <w:top w:val="single" w:color="000000" w:sz="4" w:space="0"/>
              <w:bottom w:val="single" w:color="000000" w:sz="4" w:space="0"/>
            </w:tcBorders>
            <w:noWrap w:val="0"/>
            <w:vAlign w:val="center"/>
          </w:tcPr>
          <w:p>
            <w:pPr>
              <w:spacing w:line="240" w:lineRule="atLeast"/>
              <w:jc w:val="center"/>
              <w:rPr>
                <w:rFonts w:hint="default" w:ascii="宋体" w:hAnsi="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14"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1150" w:type="dxa"/>
            <w:vMerge w:val="continue"/>
            <w:tcBorders>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p>
        </w:tc>
        <w:tc>
          <w:tcPr>
            <w:tcW w:w="6410" w:type="dxa"/>
            <w:gridSpan w:val="2"/>
            <w:tcBorders>
              <w:top w:val="single" w:color="000000" w:sz="4" w:space="0"/>
              <w:lef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szCs w:val="21"/>
              </w:rPr>
            </w:pPr>
            <w:r>
              <w:rPr>
                <w:rFonts w:ascii="宋体" w:hAnsi="宋体"/>
                <w:kern w:val="0"/>
                <w:szCs w:val="21"/>
              </w:rPr>
              <w:t>4.</w:t>
            </w:r>
            <w:r>
              <w:rPr>
                <w:rFonts w:hint="eastAsia" w:ascii="宋体" w:hAnsi="宋体"/>
                <w:kern w:val="0"/>
                <w:szCs w:val="21"/>
              </w:rPr>
              <w:t>准确理解平台业务需求，结合业务功能不同的使用对象，提炼出合理的功能划分</w:t>
            </w:r>
            <w:r>
              <w:rPr>
                <w:rFonts w:hint="eastAsia" w:ascii="宋体" w:hAnsi="宋体"/>
                <w:szCs w:val="21"/>
              </w:rPr>
              <w:t>层次结构设计。优得</w:t>
            </w:r>
            <w:r>
              <w:rPr>
                <w:rFonts w:hint="eastAsia" w:ascii="宋体" w:hAnsi="宋体"/>
                <w:szCs w:val="21"/>
                <w:lang w:val="en-US" w:eastAsia="zh-CN"/>
              </w:rPr>
              <w:t>4</w:t>
            </w:r>
            <w:r>
              <w:rPr>
                <w:rFonts w:hint="eastAsia" w:ascii="宋体" w:hAnsi="宋体"/>
                <w:szCs w:val="21"/>
              </w:rPr>
              <w:t>-</w:t>
            </w:r>
            <w:r>
              <w:rPr>
                <w:rFonts w:hint="eastAsia" w:ascii="宋体" w:hAnsi="宋体"/>
                <w:szCs w:val="21"/>
                <w:lang w:val="en-US" w:eastAsia="zh-CN"/>
              </w:rPr>
              <w:t>3</w:t>
            </w:r>
            <w:r>
              <w:rPr>
                <w:rFonts w:hint="eastAsia" w:ascii="宋体" w:hAnsi="宋体"/>
                <w:szCs w:val="21"/>
              </w:rPr>
              <w:t>分，良得</w:t>
            </w:r>
            <w:r>
              <w:rPr>
                <w:rFonts w:hint="eastAsia" w:ascii="宋体" w:hAnsi="宋体"/>
                <w:szCs w:val="21"/>
                <w:lang w:val="en-US" w:eastAsia="zh-CN"/>
              </w:rPr>
              <w:t>2</w:t>
            </w:r>
            <w:r>
              <w:rPr>
                <w:rFonts w:hint="eastAsia" w:ascii="宋体" w:hAnsi="宋体"/>
                <w:szCs w:val="21"/>
              </w:rPr>
              <w:t>-</w:t>
            </w:r>
            <w:r>
              <w:rPr>
                <w:rFonts w:hint="eastAsia" w:ascii="宋体" w:hAnsi="宋体"/>
                <w:szCs w:val="21"/>
                <w:lang w:val="en-US" w:eastAsia="zh-CN"/>
              </w:rPr>
              <w:t>1</w:t>
            </w:r>
            <w:r>
              <w:rPr>
                <w:rFonts w:hint="eastAsia" w:ascii="宋体" w:hAnsi="宋体"/>
                <w:szCs w:val="21"/>
              </w:rPr>
              <w:t>分，一般得1分。</w:t>
            </w:r>
          </w:p>
        </w:tc>
        <w:tc>
          <w:tcPr>
            <w:tcW w:w="1620" w:type="dxa"/>
            <w:tcBorders>
              <w:top w:val="single" w:color="000000" w:sz="4" w:space="0"/>
            </w:tcBorders>
            <w:noWrap w:val="0"/>
            <w:vAlign w:val="center"/>
          </w:tcPr>
          <w:p>
            <w:pPr>
              <w:spacing w:line="240" w:lineRule="atLeast"/>
              <w:jc w:val="center"/>
              <w:rPr>
                <w:rFonts w:hint="default" w:ascii="宋体" w:hAnsi="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14"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1150" w:type="dxa"/>
            <w:vMerge w:val="continue"/>
            <w:tcBorders>
              <w:righ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p>
        </w:tc>
        <w:tc>
          <w:tcPr>
            <w:tcW w:w="6410" w:type="dxa"/>
            <w:gridSpan w:val="2"/>
            <w:tcBorders>
              <w:top w:val="single" w:color="000000" w:sz="4" w:space="0"/>
              <w:left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bidi w:val="0"/>
              <w:snapToGrid/>
              <w:spacing w:line="360" w:lineRule="auto"/>
              <w:textAlignment w:val="auto"/>
              <w:rPr>
                <w:rFonts w:ascii="宋体" w:hAnsi="宋体"/>
                <w:kern w:val="0"/>
                <w:szCs w:val="21"/>
              </w:rPr>
            </w:pPr>
            <w:r>
              <w:rPr>
                <w:rFonts w:hint="eastAsia" w:ascii="宋体" w:hAnsi="宋体"/>
                <w:szCs w:val="21"/>
              </w:rPr>
              <w:t>5.对三维展示平台的内容及规划合理，具体实施方案可行性强，优得</w:t>
            </w:r>
            <w:r>
              <w:rPr>
                <w:rFonts w:hint="eastAsia" w:ascii="宋体" w:hAnsi="宋体"/>
                <w:szCs w:val="21"/>
                <w:lang w:val="en-US" w:eastAsia="zh-CN"/>
              </w:rPr>
              <w:t>4</w:t>
            </w:r>
            <w:r>
              <w:rPr>
                <w:rFonts w:hint="eastAsia" w:ascii="宋体" w:hAnsi="宋体"/>
                <w:szCs w:val="21"/>
              </w:rPr>
              <w:t>-</w:t>
            </w:r>
            <w:r>
              <w:rPr>
                <w:rFonts w:hint="eastAsia" w:ascii="宋体" w:hAnsi="宋体"/>
                <w:szCs w:val="21"/>
                <w:lang w:val="en-US" w:eastAsia="zh-CN"/>
              </w:rPr>
              <w:t>3</w:t>
            </w:r>
            <w:r>
              <w:rPr>
                <w:rFonts w:hint="eastAsia" w:ascii="宋体" w:hAnsi="宋体"/>
                <w:szCs w:val="21"/>
              </w:rPr>
              <w:t>分，良得</w:t>
            </w:r>
            <w:r>
              <w:rPr>
                <w:rFonts w:hint="eastAsia" w:ascii="宋体" w:hAnsi="宋体"/>
                <w:szCs w:val="21"/>
                <w:lang w:val="en-US" w:eastAsia="zh-CN"/>
              </w:rPr>
              <w:t>2</w:t>
            </w:r>
            <w:r>
              <w:rPr>
                <w:rFonts w:hint="eastAsia" w:ascii="宋体" w:hAnsi="宋体"/>
                <w:szCs w:val="21"/>
              </w:rPr>
              <w:t>-</w:t>
            </w:r>
            <w:r>
              <w:rPr>
                <w:rFonts w:hint="eastAsia" w:ascii="宋体" w:hAnsi="宋体"/>
                <w:szCs w:val="21"/>
                <w:lang w:val="en-US" w:eastAsia="zh-CN"/>
              </w:rPr>
              <w:t>1</w:t>
            </w:r>
            <w:r>
              <w:rPr>
                <w:rFonts w:hint="eastAsia" w:ascii="宋体" w:hAnsi="宋体"/>
                <w:szCs w:val="21"/>
              </w:rPr>
              <w:t>分，一般得1分。</w:t>
            </w:r>
          </w:p>
        </w:tc>
        <w:tc>
          <w:tcPr>
            <w:tcW w:w="1620" w:type="dxa"/>
            <w:noWrap w:val="0"/>
            <w:vAlign w:val="center"/>
          </w:tcPr>
          <w:p>
            <w:pPr>
              <w:spacing w:line="240" w:lineRule="atLeast"/>
              <w:jc w:val="center"/>
              <w:rPr>
                <w:rFonts w:hint="default" w:ascii="宋体" w:hAnsi="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0"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7560" w:type="dxa"/>
            <w:gridSpan w:val="3"/>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r>
              <w:rPr>
                <w:rFonts w:hint="eastAsia" w:ascii="宋体" w:hAnsi="宋体"/>
                <w:kern w:val="0"/>
                <w:szCs w:val="21"/>
              </w:rPr>
              <w:t>实施策略（</w:t>
            </w:r>
            <w:r>
              <w:rPr>
                <w:rFonts w:hint="eastAsia" w:ascii="宋体" w:hAnsi="宋体"/>
                <w:kern w:val="0"/>
                <w:szCs w:val="21"/>
                <w:lang w:val="en-US" w:eastAsia="zh-CN"/>
              </w:rPr>
              <w:t>4</w:t>
            </w:r>
            <w:r>
              <w:rPr>
                <w:rFonts w:hint="eastAsia" w:ascii="宋体" w:hAnsi="宋体"/>
                <w:kern w:val="0"/>
                <w:szCs w:val="21"/>
              </w:rPr>
              <w:t>分）</w:t>
            </w:r>
          </w:p>
          <w:p>
            <w:pPr>
              <w:pStyle w:val="48"/>
              <w:keepNext w:val="0"/>
              <w:keepLines w:val="0"/>
              <w:pageBreakBefore w:val="0"/>
              <w:kinsoku/>
              <w:wordWrap/>
              <w:overflowPunct/>
              <w:topLinePunct w:val="0"/>
              <w:autoSpaceDE w:val="0"/>
              <w:autoSpaceDN w:val="0"/>
              <w:bidi w:val="0"/>
              <w:adjustRightInd w:val="0"/>
              <w:snapToGrid/>
              <w:spacing w:line="360" w:lineRule="auto"/>
              <w:ind w:firstLine="0" w:firstLineChars="0"/>
              <w:textAlignment w:val="auto"/>
              <w:rPr>
                <w:rFonts w:ascii="宋体" w:hAnsi="宋体"/>
                <w:kern w:val="0"/>
                <w:sz w:val="21"/>
                <w:szCs w:val="21"/>
              </w:rPr>
            </w:pPr>
            <w:r>
              <w:rPr>
                <w:rFonts w:hint="eastAsia" w:ascii="宋体" w:hAnsi="宋体"/>
                <w:kern w:val="0"/>
                <w:sz w:val="21"/>
                <w:szCs w:val="21"/>
              </w:rPr>
              <w:t>项目实施管理、实施计划的合理性、可行性，项目组织实施的质量保障措施，质量检测和验收措施、系统集成环节的过程控制措施、确保系统达到设计要求的保证措施等。评委根据综合情况进行评议</w:t>
            </w:r>
            <w:r>
              <w:rPr>
                <w:rFonts w:hint="eastAsia" w:ascii="宋体" w:hAnsi="宋体"/>
                <w:kern w:val="0"/>
                <w:sz w:val="21"/>
                <w:szCs w:val="21"/>
                <w:lang w:eastAsia="zh-CN"/>
              </w:rPr>
              <w:t>。</w:t>
            </w:r>
            <w:r>
              <w:rPr>
                <w:rFonts w:hint="eastAsia" w:ascii="宋体" w:hAnsi="宋体"/>
                <w:kern w:val="0"/>
                <w:sz w:val="21"/>
                <w:szCs w:val="21"/>
              </w:rPr>
              <w:t>优得</w:t>
            </w:r>
            <w:r>
              <w:rPr>
                <w:rFonts w:hint="eastAsia" w:ascii="宋体" w:hAnsi="宋体"/>
                <w:kern w:val="0"/>
                <w:sz w:val="21"/>
                <w:szCs w:val="21"/>
                <w:lang w:val="en-US" w:eastAsia="zh-CN"/>
              </w:rPr>
              <w:t>4</w:t>
            </w:r>
            <w:r>
              <w:rPr>
                <w:rFonts w:hint="eastAsia" w:ascii="宋体" w:hAnsi="宋体"/>
                <w:kern w:val="0"/>
                <w:sz w:val="21"/>
                <w:szCs w:val="21"/>
              </w:rPr>
              <w:t>-</w:t>
            </w:r>
            <w:r>
              <w:rPr>
                <w:rFonts w:hint="eastAsia" w:ascii="宋体" w:hAnsi="宋体"/>
                <w:kern w:val="0"/>
                <w:sz w:val="21"/>
                <w:szCs w:val="21"/>
                <w:lang w:val="en-US" w:eastAsia="zh-CN"/>
              </w:rPr>
              <w:t>3</w:t>
            </w:r>
            <w:r>
              <w:rPr>
                <w:rFonts w:hint="eastAsia" w:ascii="宋体" w:hAnsi="宋体"/>
                <w:kern w:val="0"/>
                <w:sz w:val="21"/>
                <w:szCs w:val="21"/>
              </w:rPr>
              <w:t>分，良得</w:t>
            </w:r>
            <w:r>
              <w:rPr>
                <w:rFonts w:hint="eastAsia" w:ascii="宋体" w:hAnsi="宋体"/>
                <w:kern w:val="0"/>
                <w:sz w:val="21"/>
                <w:szCs w:val="21"/>
                <w:lang w:val="en-US" w:eastAsia="zh-CN"/>
              </w:rPr>
              <w:t>2</w:t>
            </w:r>
            <w:r>
              <w:rPr>
                <w:rFonts w:hint="eastAsia" w:ascii="宋体" w:hAnsi="宋体"/>
                <w:kern w:val="0"/>
                <w:sz w:val="21"/>
                <w:szCs w:val="21"/>
              </w:rPr>
              <w:t>-</w:t>
            </w:r>
            <w:r>
              <w:rPr>
                <w:rFonts w:hint="eastAsia" w:ascii="宋体" w:hAnsi="宋体"/>
                <w:kern w:val="0"/>
                <w:sz w:val="21"/>
                <w:szCs w:val="21"/>
                <w:lang w:val="en-US" w:eastAsia="zh-CN"/>
              </w:rPr>
              <w:t>1</w:t>
            </w:r>
            <w:r>
              <w:rPr>
                <w:rFonts w:hint="eastAsia" w:ascii="宋体" w:hAnsi="宋体"/>
                <w:kern w:val="0"/>
                <w:sz w:val="21"/>
                <w:szCs w:val="21"/>
              </w:rPr>
              <w:t>分，一般得</w:t>
            </w:r>
            <w:r>
              <w:rPr>
                <w:rFonts w:hint="eastAsia" w:ascii="宋体" w:hAnsi="宋体"/>
                <w:kern w:val="0"/>
                <w:sz w:val="21"/>
                <w:szCs w:val="21"/>
                <w:lang w:val="en-US" w:eastAsia="zh-CN"/>
              </w:rPr>
              <w:t>1</w:t>
            </w:r>
            <w:r>
              <w:rPr>
                <w:rFonts w:hint="eastAsia" w:ascii="宋体" w:hAnsi="宋体"/>
                <w:kern w:val="0"/>
                <w:sz w:val="21"/>
                <w:szCs w:val="21"/>
              </w:rPr>
              <w:t>-</w:t>
            </w:r>
            <w:r>
              <w:rPr>
                <w:rFonts w:hint="eastAsia" w:ascii="宋体" w:hAnsi="宋体"/>
                <w:kern w:val="0"/>
                <w:sz w:val="21"/>
                <w:szCs w:val="21"/>
                <w:lang w:val="en-US" w:eastAsia="zh-CN"/>
              </w:rPr>
              <w:t>0</w:t>
            </w:r>
            <w:r>
              <w:rPr>
                <w:rFonts w:hint="eastAsia" w:ascii="宋体" w:hAnsi="宋体"/>
                <w:kern w:val="0"/>
                <w:sz w:val="21"/>
                <w:szCs w:val="21"/>
              </w:rPr>
              <w:t>分。</w:t>
            </w:r>
          </w:p>
        </w:tc>
        <w:tc>
          <w:tcPr>
            <w:tcW w:w="1620" w:type="dxa"/>
            <w:noWrap w:val="0"/>
            <w:vAlign w:val="center"/>
          </w:tcPr>
          <w:p>
            <w:pPr>
              <w:spacing w:line="240" w:lineRule="atLeast"/>
              <w:jc w:val="center"/>
              <w:rPr>
                <w:rFonts w:hint="eastAsia" w:ascii="宋体" w:hAnsi="宋体" w:eastAsia="宋体"/>
                <w:szCs w:val="21"/>
                <w:lang w:val="en-US" w:eastAsia="zh-CN"/>
              </w:rPr>
            </w:pPr>
            <w:r>
              <w:rPr>
                <w:rFonts w:hint="eastAsia" w:ascii="宋体" w:hAnsi="宋体"/>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0"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7560" w:type="dxa"/>
            <w:gridSpan w:val="3"/>
            <w:noWrap w:val="0"/>
            <w:tcMar>
              <w:top w:w="0" w:type="dxa"/>
              <w:left w:w="57" w:type="dxa"/>
              <w:bottom w:w="0" w:type="dxa"/>
              <w:right w:w="57" w:type="dxa"/>
            </w:tcMar>
            <w:vAlign w:val="center"/>
          </w:tcPr>
          <w:p>
            <w:pPr>
              <w:keepNext w:val="0"/>
              <w:keepLines w:val="0"/>
              <w:pageBreakBefore w:val="0"/>
              <w:widowControl/>
              <w:kinsoku/>
              <w:wordWrap/>
              <w:overflowPunct/>
              <w:topLinePunct w:val="0"/>
              <w:bidi w:val="0"/>
              <w:snapToGrid/>
              <w:spacing w:line="360" w:lineRule="auto"/>
              <w:jc w:val="left"/>
              <w:textAlignment w:val="auto"/>
              <w:rPr>
                <w:rFonts w:ascii="宋体" w:hAnsi="宋体"/>
                <w:kern w:val="0"/>
                <w:szCs w:val="21"/>
              </w:rPr>
            </w:pPr>
            <w:r>
              <w:rPr>
                <w:rFonts w:hint="eastAsia" w:ascii="宋体" w:hAnsi="宋体"/>
                <w:kern w:val="0"/>
                <w:szCs w:val="21"/>
              </w:rPr>
              <w:t>质量保证</w:t>
            </w:r>
            <w:r>
              <w:rPr>
                <w:rFonts w:hint="eastAsia" w:ascii="宋体" w:hAnsi="宋体"/>
                <w:kern w:val="0"/>
                <w:szCs w:val="21"/>
                <w:lang w:eastAsia="zh-CN"/>
              </w:rPr>
              <w:t>及售后服务</w:t>
            </w:r>
            <w:r>
              <w:rPr>
                <w:rFonts w:hint="eastAsia" w:ascii="宋体" w:hAnsi="宋体"/>
                <w:kern w:val="0"/>
                <w:szCs w:val="21"/>
              </w:rPr>
              <w:t>服务方案（</w:t>
            </w:r>
            <w:r>
              <w:rPr>
                <w:rFonts w:hint="eastAsia" w:ascii="宋体" w:hAnsi="宋体"/>
                <w:kern w:val="0"/>
                <w:szCs w:val="21"/>
                <w:lang w:val="en-US" w:eastAsia="zh-CN"/>
              </w:rPr>
              <w:t>10</w:t>
            </w:r>
            <w:r>
              <w:rPr>
                <w:rFonts w:hint="eastAsia" w:ascii="宋体" w:hAnsi="宋体"/>
                <w:kern w:val="0"/>
                <w:szCs w:val="21"/>
              </w:rPr>
              <w:t>分）</w:t>
            </w:r>
          </w:p>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r>
              <w:rPr>
                <w:rFonts w:hint="eastAsia" w:ascii="宋体" w:hAnsi="宋体"/>
                <w:kern w:val="0"/>
                <w:szCs w:val="21"/>
              </w:rPr>
              <w:t>在项目实施过程中投标商对系统测试与联调、系统初始化、上线试运行等整个过程中相对应的计划完善合理，并对项目中日常管理都有详细周密的工作计划表</w:t>
            </w:r>
            <w:r>
              <w:rPr>
                <w:rFonts w:hint="eastAsia" w:ascii="宋体" w:hAnsi="宋体"/>
                <w:kern w:val="0"/>
                <w:szCs w:val="21"/>
                <w:lang w:eastAsia="zh-CN"/>
              </w:rPr>
              <w:t>。</w:t>
            </w:r>
            <w:r>
              <w:rPr>
                <w:rFonts w:hint="eastAsia" w:ascii="宋体" w:hAnsi="宋体"/>
                <w:kern w:val="0"/>
                <w:szCs w:val="21"/>
              </w:rPr>
              <w:t>对</w:t>
            </w:r>
            <w:r>
              <w:rPr>
                <w:rFonts w:hint="eastAsia" w:ascii="宋体" w:hAnsi="宋体"/>
                <w:kern w:val="0"/>
                <w:szCs w:val="21"/>
                <w:lang w:eastAsia="zh-CN"/>
              </w:rPr>
              <w:t>售后服务、响应时间，质保期等方面等方面进行评议。</w:t>
            </w:r>
            <w:r>
              <w:rPr>
                <w:rFonts w:hint="eastAsia" w:ascii="宋体" w:hAnsi="宋体"/>
                <w:kern w:val="0"/>
                <w:szCs w:val="21"/>
              </w:rPr>
              <w:t>评委根据综合情况进行评议,优得</w:t>
            </w:r>
            <w:r>
              <w:rPr>
                <w:rFonts w:hint="eastAsia" w:ascii="宋体" w:hAnsi="宋体"/>
                <w:kern w:val="0"/>
                <w:szCs w:val="21"/>
                <w:lang w:val="en-US" w:eastAsia="zh-CN"/>
              </w:rPr>
              <w:t>10</w:t>
            </w:r>
            <w:r>
              <w:rPr>
                <w:rFonts w:hint="eastAsia" w:ascii="宋体" w:hAnsi="宋体"/>
                <w:kern w:val="0"/>
                <w:szCs w:val="21"/>
              </w:rPr>
              <w:t>-</w:t>
            </w:r>
            <w:r>
              <w:rPr>
                <w:rFonts w:hint="eastAsia" w:ascii="宋体" w:hAnsi="宋体"/>
                <w:kern w:val="0"/>
                <w:szCs w:val="21"/>
                <w:lang w:val="en-US" w:eastAsia="zh-CN"/>
              </w:rPr>
              <w:t>7</w:t>
            </w:r>
            <w:r>
              <w:rPr>
                <w:rFonts w:hint="eastAsia" w:ascii="宋体" w:hAnsi="宋体"/>
                <w:kern w:val="0"/>
                <w:szCs w:val="21"/>
              </w:rPr>
              <w:t>分，良得</w:t>
            </w:r>
            <w:r>
              <w:rPr>
                <w:rFonts w:hint="eastAsia" w:ascii="宋体" w:hAnsi="宋体"/>
                <w:kern w:val="0"/>
                <w:szCs w:val="21"/>
                <w:lang w:val="en-US" w:eastAsia="zh-CN"/>
              </w:rPr>
              <w:t>6</w:t>
            </w:r>
            <w:r>
              <w:rPr>
                <w:rFonts w:hint="eastAsia" w:ascii="宋体" w:hAnsi="宋体"/>
                <w:kern w:val="0"/>
                <w:szCs w:val="21"/>
              </w:rPr>
              <w:t>-4分，一般得</w:t>
            </w:r>
            <w:r>
              <w:rPr>
                <w:rFonts w:hint="eastAsia" w:ascii="宋体" w:hAnsi="宋体"/>
                <w:kern w:val="0"/>
                <w:szCs w:val="21"/>
                <w:lang w:val="en-US" w:eastAsia="zh-CN"/>
              </w:rPr>
              <w:t>3</w:t>
            </w:r>
            <w:r>
              <w:rPr>
                <w:rFonts w:hint="eastAsia" w:ascii="宋体" w:hAnsi="宋体"/>
                <w:kern w:val="0"/>
                <w:szCs w:val="21"/>
              </w:rPr>
              <w:t>-</w:t>
            </w:r>
            <w:r>
              <w:rPr>
                <w:rFonts w:hint="eastAsia" w:ascii="宋体" w:hAnsi="宋体"/>
                <w:kern w:val="0"/>
                <w:szCs w:val="21"/>
                <w:lang w:val="en-US" w:eastAsia="zh-CN"/>
              </w:rPr>
              <w:t>0</w:t>
            </w:r>
            <w:r>
              <w:rPr>
                <w:rFonts w:hint="eastAsia" w:ascii="宋体" w:hAnsi="宋体"/>
                <w:kern w:val="0"/>
                <w:szCs w:val="21"/>
              </w:rPr>
              <w:t>分。</w:t>
            </w:r>
          </w:p>
        </w:tc>
        <w:tc>
          <w:tcPr>
            <w:tcW w:w="1620" w:type="dxa"/>
            <w:noWrap w:val="0"/>
            <w:vAlign w:val="center"/>
          </w:tcPr>
          <w:p>
            <w:pPr>
              <w:spacing w:line="240" w:lineRule="atLeast"/>
              <w:jc w:val="center"/>
              <w:rPr>
                <w:rFonts w:hint="default" w:ascii="宋体" w:hAnsi="宋体" w:eastAsia="宋体"/>
                <w:szCs w:val="21"/>
                <w:lang w:val="en-US" w:eastAsia="zh-CN"/>
              </w:rPr>
            </w:pPr>
            <w:r>
              <w:rPr>
                <w:rFonts w:hint="eastAsia" w:ascii="宋体" w:hAnsi="宋体"/>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0" w:hRule="atLeast"/>
          <w:jc w:val="center"/>
        </w:trPr>
        <w:tc>
          <w:tcPr>
            <w:tcW w:w="468" w:type="dxa"/>
            <w:vMerge w:val="continue"/>
            <w:noWrap w:val="0"/>
            <w:vAlign w:val="center"/>
          </w:tcPr>
          <w:p>
            <w:pPr>
              <w:widowControl/>
              <w:spacing w:line="240" w:lineRule="atLeast"/>
              <w:jc w:val="left"/>
              <w:rPr>
                <w:rFonts w:ascii="宋体" w:hAnsi="宋体"/>
                <w:b/>
                <w:szCs w:val="21"/>
              </w:rPr>
            </w:pPr>
          </w:p>
        </w:tc>
        <w:tc>
          <w:tcPr>
            <w:tcW w:w="7560" w:type="dxa"/>
            <w:gridSpan w:val="3"/>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kern w:val="0"/>
                <w:sz w:val="21"/>
                <w:szCs w:val="21"/>
              </w:rPr>
            </w:pPr>
            <w:r>
              <w:rPr>
                <w:rFonts w:hint="eastAsia" w:ascii="宋体" w:hAnsi="宋体"/>
                <w:kern w:val="0"/>
                <w:sz w:val="21"/>
                <w:szCs w:val="21"/>
              </w:rPr>
              <w:t>重点难点分析及解决措施</w:t>
            </w:r>
            <w:r>
              <w:rPr>
                <w:rFonts w:hint="eastAsia" w:ascii="宋体" w:hAnsi="宋体"/>
                <w:kern w:val="0"/>
                <w:sz w:val="21"/>
                <w:szCs w:val="21"/>
                <w:lang w:eastAsia="zh-CN"/>
              </w:rPr>
              <w:t>（</w:t>
            </w:r>
            <w:r>
              <w:rPr>
                <w:rFonts w:hint="eastAsia" w:ascii="宋体" w:hAnsi="宋体"/>
                <w:kern w:val="0"/>
                <w:sz w:val="21"/>
                <w:szCs w:val="21"/>
                <w:lang w:val="en-US" w:eastAsia="zh-CN"/>
              </w:rPr>
              <w:t>4分</w:t>
            </w:r>
            <w:r>
              <w:rPr>
                <w:rFonts w:hint="eastAsia" w:ascii="宋体" w:hAnsi="宋体"/>
                <w:kern w:val="0"/>
                <w:sz w:val="21"/>
                <w:szCs w:val="21"/>
                <w:lang w:eastAsia="zh-CN"/>
              </w:rPr>
              <w:t>）</w:t>
            </w:r>
            <w:r>
              <w:rPr>
                <w:rFonts w:hint="eastAsia" w:ascii="宋体" w:hAnsi="宋体"/>
                <w:kern w:val="0"/>
                <w:sz w:val="21"/>
                <w:szCs w:val="21"/>
              </w:rPr>
              <w:t>：根据投标人提供的针对本项目的重点难点分析及解决问题的措施等方面综合比较打分。优得</w:t>
            </w:r>
            <w:r>
              <w:rPr>
                <w:rFonts w:hint="eastAsia" w:ascii="宋体" w:hAnsi="宋体"/>
                <w:kern w:val="0"/>
                <w:sz w:val="21"/>
                <w:szCs w:val="21"/>
                <w:lang w:val="en-US" w:eastAsia="zh-CN"/>
              </w:rPr>
              <w:t>4</w:t>
            </w:r>
            <w:r>
              <w:rPr>
                <w:rFonts w:hint="eastAsia" w:ascii="宋体" w:hAnsi="宋体"/>
                <w:kern w:val="0"/>
                <w:sz w:val="21"/>
                <w:szCs w:val="21"/>
              </w:rPr>
              <w:t>-</w:t>
            </w:r>
            <w:r>
              <w:rPr>
                <w:rFonts w:hint="eastAsia" w:ascii="宋体" w:hAnsi="宋体"/>
                <w:kern w:val="0"/>
                <w:sz w:val="21"/>
                <w:szCs w:val="21"/>
                <w:lang w:val="en-US" w:eastAsia="zh-CN"/>
              </w:rPr>
              <w:t>3</w:t>
            </w:r>
            <w:r>
              <w:rPr>
                <w:rFonts w:hint="eastAsia" w:ascii="宋体" w:hAnsi="宋体"/>
                <w:kern w:val="0"/>
                <w:sz w:val="21"/>
                <w:szCs w:val="21"/>
              </w:rPr>
              <w:t>分，良得</w:t>
            </w:r>
            <w:r>
              <w:rPr>
                <w:rFonts w:hint="eastAsia" w:ascii="宋体" w:hAnsi="宋体"/>
                <w:kern w:val="0"/>
                <w:sz w:val="21"/>
                <w:szCs w:val="21"/>
                <w:lang w:val="en-US" w:eastAsia="zh-CN"/>
              </w:rPr>
              <w:t>2</w:t>
            </w:r>
            <w:r>
              <w:rPr>
                <w:rFonts w:hint="eastAsia" w:ascii="宋体" w:hAnsi="宋体"/>
                <w:kern w:val="0"/>
                <w:sz w:val="21"/>
                <w:szCs w:val="21"/>
              </w:rPr>
              <w:t>-</w:t>
            </w:r>
            <w:r>
              <w:rPr>
                <w:rFonts w:hint="eastAsia" w:ascii="宋体" w:hAnsi="宋体"/>
                <w:kern w:val="0"/>
                <w:sz w:val="21"/>
                <w:szCs w:val="21"/>
                <w:lang w:val="en-US" w:eastAsia="zh-CN"/>
              </w:rPr>
              <w:t>1</w:t>
            </w:r>
            <w:r>
              <w:rPr>
                <w:rFonts w:hint="eastAsia" w:ascii="宋体" w:hAnsi="宋体"/>
                <w:kern w:val="0"/>
                <w:sz w:val="21"/>
                <w:szCs w:val="21"/>
              </w:rPr>
              <w:t>分，一般得</w:t>
            </w:r>
            <w:r>
              <w:rPr>
                <w:rFonts w:hint="eastAsia" w:ascii="宋体" w:hAnsi="宋体"/>
                <w:kern w:val="0"/>
                <w:sz w:val="21"/>
                <w:szCs w:val="21"/>
                <w:lang w:val="en-US" w:eastAsia="zh-CN"/>
              </w:rPr>
              <w:t>1</w:t>
            </w:r>
            <w:r>
              <w:rPr>
                <w:rFonts w:hint="eastAsia" w:ascii="宋体" w:hAnsi="宋体"/>
                <w:kern w:val="0"/>
                <w:sz w:val="21"/>
                <w:szCs w:val="21"/>
              </w:rPr>
              <w:t>-</w:t>
            </w:r>
            <w:r>
              <w:rPr>
                <w:rFonts w:hint="eastAsia" w:ascii="宋体" w:hAnsi="宋体"/>
                <w:kern w:val="0"/>
                <w:sz w:val="21"/>
                <w:szCs w:val="21"/>
                <w:lang w:val="en-US" w:eastAsia="zh-CN"/>
              </w:rPr>
              <w:t>0</w:t>
            </w:r>
            <w:r>
              <w:rPr>
                <w:rFonts w:hint="eastAsia" w:ascii="宋体" w:hAnsi="宋体"/>
                <w:kern w:val="0"/>
                <w:sz w:val="21"/>
                <w:szCs w:val="21"/>
              </w:rPr>
              <w:t>分。</w:t>
            </w:r>
          </w:p>
        </w:tc>
        <w:tc>
          <w:tcPr>
            <w:tcW w:w="1620" w:type="dxa"/>
            <w:noWrap w:val="0"/>
            <w:vAlign w:val="center"/>
          </w:tcPr>
          <w:p>
            <w:pPr>
              <w:autoSpaceDE w:val="0"/>
              <w:autoSpaceDN w:val="0"/>
              <w:adjustRightInd w:val="0"/>
              <w:spacing w:line="360" w:lineRule="atLeast"/>
              <w:jc w:val="center"/>
              <w:rPr>
                <w:rFonts w:hint="eastAsia" w:ascii="宋体" w:hAnsi="宋体"/>
                <w:kern w:val="0"/>
                <w:sz w:val="21"/>
                <w:szCs w:val="21"/>
                <w:lang w:val="en-US" w:eastAsia="zh-CN"/>
              </w:rPr>
            </w:pPr>
            <w:r>
              <w:rPr>
                <w:rFonts w:hint="eastAsia" w:ascii="宋体" w:hAnsi="宋体"/>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95" w:hRule="atLeast"/>
          <w:jc w:val="center"/>
        </w:trPr>
        <w:tc>
          <w:tcPr>
            <w:tcW w:w="468" w:type="dxa"/>
            <w:vMerge w:val="restart"/>
            <w:noWrap w:val="0"/>
            <w:tcMar>
              <w:top w:w="0" w:type="dxa"/>
              <w:left w:w="57" w:type="dxa"/>
              <w:bottom w:w="0" w:type="dxa"/>
              <w:right w:w="57" w:type="dxa"/>
            </w:tcMar>
            <w:vAlign w:val="center"/>
          </w:tcPr>
          <w:p>
            <w:pPr>
              <w:spacing w:line="320" w:lineRule="exact"/>
              <w:jc w:val="center"/>
              <w:rPr>
                <w:rFonts w:ascii="宋体" w:hAnsi="宋体" w:cs="宋体"/>
                <w:b/>
                <w:bCs/>
              </w:rPr>
            </w:pPr>
            <w:r>
              <w:rPr>
                <w:rFonts w:hint="eastAsia" w:ascii="宋体" w:hAnsi="宋体" w:cs="宋体"/>
                <w:b/>
                <w:bCs/>
              </w:rPr>
              <w:t>商务</w:t>
            </w:r>
          </w:p>
          <w:p>
            <w:pPr>
              <w:spacing w:line="320" w:lineRule="exact"/>
              <w:jc w:val="center"/>
              <w:rPr>
                <w:rFonts w:ascii="宋体"/>
                <w:b/>
                <w:bCs/>
              </w:rPr>
            </w:pPr>
            <w:r>
              <w:rPr>
                <w:rFonts w:hint="eastAsia" w:ascii="宋体" w:hAnsi="宋体" w:cs="宋体"/>
                <w:b/>
                <w:bCs/>
              </w:rPr>
              <w:t>分</w:t>
            </w:r>
          </w:p>
          <w:p>
            <w:pPr>
              <w:spacing w:line="240" w:lineRule="atLeast"/>
              <w:jc w:val="center"/>
              <w:rPr>
                <w:rFonts w:ascii="宋体" w:hAnsi="宋体" w:cs="宋体"/>
                <w:b/>
                <w:bCs/>
              </w:rPr>
            </w:pPr>
            <w:r>
              <w:rPr>
                <w:rFonts w:hint="eastAsia" w:ascii="宋体" w:hAnsi="宋体"/>
                <w:b/>
                <w:szCs w:val="21"/>
              </w:rPr>
              <w:t>2</w:t>
            </w:r>
            <w:r>
              <w:rPr>
                <w:rFonts w:hint="eastAsia" w:ascii="宋体" w:hAnsi="宋体"/>
                <w:b/>
                <w:szCs w:val="21"/>
                <w:lang w:val="en-US" w:eastAsia="zh-CN"/>
              </w:rPr>
              <w:t>4</w:t>
            </w:r>
            <w:r>
              <w:rPr>
                <w:rFonts w:hint="eastAsia" w:ascii="宋体" w:hAnsi="宋体"/>
                <w:b/>
                <w:szCs w:val="21"/>
              </w:rPr>
              <w:t>分</w:t>
            </w:r>
          </w:p>
        </w:tc>
        <w:tc>
          <w:tcPr>
            <w:tcW w:w="2816" w:type="dxa"/>
            <w:gridSpan w:val="2"/>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kern w:val="0"/>
                <w:szCs w:val="21"/>
              </w:rPr>
            </w:pPr>
          </w:p>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kern w:val="0"/>
                <w:szCs w:val="21"/>
              </w:rPr>
            </w:pPr>
          </w:p>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kern w:val="0"/>
                <w:szCs w:val="21"/>
              </w:rPr>
            </w:pPr>
          </w:p>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eastAsia" w:ascii="宋体" w:hAnsi="宋体"/>
                <w:kern w:val="0"/>
                <w:szCs w:val="21"/>
              </w:rPr>
            </w:pPr>
          </w:p>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kern w:val="0"/>
                <w:szCs w:val="21"/>
                <w:lang w:val="en-US" w:eastAsia="zh-CN"/>
              </w:rPr>
            </w:pPr>
            <w:r>
              <w:rPr>
                <w:rFonts w:hint="eastAsia" w:ascii="宋体" w:hAnsi="宋体"/>
                <w:kern w:val="0"/>
                <w:szCs w:val="21"/>
              </w:rPr>
              <w:t>系统平台展示能力</w:t>
            </w:r>
            <w:r>
              <w:rPr>
                <w:rFonts w:hint="eastAsia" w:ascii="宋体" w:hAnsi="宋体"/>
                <w:kern w:val="0"/>
                <w:szCs w:val="21"/>
                <w:lang w:eastAsia="zh-CN"/>
              </w:rPr>
              <w:t>及答辩能力</w:t>
            </w:r>
            <w:r>
              <w:rPr>
                <w:rFonts w:hint="eastAsia" w:ascii="宋体" w:hAnsi="宋体"/>
                <w:kern w:val="0"/>
                <w:szCs w:val="21"/>
              </w:rPr>
              <w:t>（</w:t>
            </w:r>
            <w:r>
              <w:rPr>
                <w:rFonts w:hint="eastAsia" w:ascii="宋体" w:hAnsi="宋体"/>
                <w:kern w:val="0"/>
                <w:szCs w:val="21"/>
                <w:lang w:val="en-US" w:eastAsia="zh-CN"/>
              </w:rPr>
              <w:t>20</w:t>
            </w:r>
            <w:r>
              <w:rPr>
                <w:rFonts w:hint="eastAsia" w:ascii="宋体" w:hAnsi="宋体"/>
                <w:kern w:val="0"/>
                <w:szCs w:val="21"/>
              </w:rPr>
              <w:t>分</w:t>
            </w:r>
            <w:r>
              <w:rPr>
                <w:rFonts w:hint="eastAsia" w:ascii="宋体" w:hAnsi="宋体"/>
                <w:kern w:val="0"/>
                <w:szCs w:val="21"/>
                <w:lang w:eastAsia="zh-CN"/>
              </w:rPr>
              <w:t>，（每家单位限时10分钟，需自行准备电脑等</w:t>
            </w:r>
            <w:r>
              <w:rPr>
                <w:rFonts w:hint="eastAsia" w:ascii="宋体" w:hAnsi="宋体"/>
                <w:kern w:val="0"/>
                <w:szCs w:val="21"/>
                <w:lang w:val="en-US" w:eastAsia="zh-CN"/>
              </w:rPr>
              <w:t>演示</w:t>
            </w:r>
            <w:r>
              <w:rPr>
                <w:rFonts w:hint="eastAsia" w:ascii="宋体" w:hAnsi="宋体"/>
                <w:kern w:val="0"/>
                <w:szCs w:val="21"/>
                <w:lang w:eastAsia="zh-CN"/>
              </w:rPr>
              <w:t>时需要用到的设备材料）</w:t>
            </w:r>
            <w:r>
              <w:rPr>
                <w:rFonts w:hint="eastAsia" w:ascii="宋体" w:hAnsi="宋体"/>
                <w:kern w:val="0"/>
                <w:szCs w:val="21"/>
                <w:lang w:val="en-US" w:eastAsia="zh-CN"/>
              </w:rPr>
              <w:t>。</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rFonts w:ascii="宋体" w:hAnsi="宋体"/>
                <w:kern w:val="0"/>
                <w:szCs w:val="21"/>
              </w:rPr>
            </w:pPr>
          </w:p>
          <w:p>
            <w:pPr>
              <w:keepNext w:val="0"/>
              <w:keepLines w:val="0"/>
              <w:pageBreakBefore w:val="0"/>
              <w:kinsoku/>
              <w:wordWrap/>
              <w:overflowPunct/>
              <w:topLinePunct w:val="0"/>
              <w:autoSpaceDE w:val="0"/>
              <w:autoSpaceDN w:val="0"/>
              <w:bidi w:val="0"/>
              <w:adjustRightInd w:val="0"/>
              <w:snapToGrid/>
              <w:spacing w:line="360" w:lineRule="auto"/>
              <w:jc w:val="center"/>
              <w:textAlignment w:val="auto"/>
              <w:rPr>
                <w:rFonts w:ascii="宋体" w:hAnsi="宋体"/>
                <w:kern w:val="0"/>
                <w:szCs w:val="21"/>
              </w:rPr>
            </w:pPr>
          </w:p>
        </w:tc>
        <w:tc>
          <w:tcPr>
            <w:tcW w:w="4744" w:type="dxa"/>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kern w:val="0"/>
                <w:sz w:val="21"/>
                <w:szCs w:val="21"/>
                <w:lang w:eastAsia="zh-CN"/>
              </w:rPr>
            </w:pPr>
            <w:r>
              <w:rPr>
                <w:rFonts w:hint="eastAsia" w:ascii="宋体" w:hAnsi="宋体"/>
                <w:kern w:val="0"/>
                <w:sz w:val="21"/>
                <w:szCs w:val="21"/>
              </w:rPr>
              <w:t>演示“智慧园区”系统的资产管理模块之合同管理支持自定义模版真实演示，对演示效果</w:t>
            </w:r>
            <w:r>
              <w:rPr>
                <w:rFonts w:hint="eastAsia" w:ascii="宋体" w:hAnsi="宋体"/>
                <w:kern w:val="0"/>
                <w:sz w:val="21"/>
                <w:szCs w:val="21"/>
                <w:lang w:eastAsia="zh-CN"/>
              </w:rPr>
              <w:t>答辩情况</w:t>
            </w:r>
            <w:r>
              <w:rPr>
                <w:rFonts w:hint="eastAsia" w:ascii="宋体" w:hAnsi="宋体"/>
                <w:kern w:val="0"/>
                <w:sz w:val="21"/>
                <w:szCs w:val="21"/>
              </w:rPr>
              <w:t>进行综合评议，优得</w:t>
            </w:r>
            <w:r>
              <w:rPr>
                <w:rFonts w:hint="eastAsia" w:ascii="宋体" w:hAnsi="宋体"/>
                <w:kern w:val="0"/>
                <w:sz w:val="21"/>
                <w:szCs w:val="21"/>
                <w:lang w:val="en-US" w:eastAsia="zh-CN"/>
              </w:rPr>
              <w:t>5</w:t>
            </w:r>
            <w:r>
              <w:rPr>
                <w:rFonts w:hint="eastAsia" w:ascii="宋体" w:hAnsi="宋体"/>
                <w:kern w:val="0"/>
                <w:sz w:val="21"/>
                <w:szCs w:val="21"/>
              </w:rPr>
              <w:t>-</w:t>
            </w:r>
            <w:r>
              <w:rPr>
                <w:rFonts w:hint="eastAsia" w:ascii="宋体" w:hAnsi="宋体"/>
                <w:kern w:val="0"/>
                <w:sz w:val="21"/>
                <w:szCs w:val="21"/>
                <w:lang w:val="en-US" w:eastAsia="zh-CN"/>
              </w:rPr>
              <w:t>4</w:t>
            </w:r>
            <w:r>
              <w:rPr>
                <w:rFonts w:hint="eastAsia" w:ascii="宋体" w:hAnsi="宋体"/>
                <w:kern w:val="0"/>
                <w:sz w:val="21"/>
                <w:szCs w:val="21"/>
              </w:rPr>
              <w:t>分，良得</w:t>
            </w:r>
            <w:r>
              <w:rPr>
                <w:rFonts w:hint="eastAsia" w:ascii="宋体" w:hAnsi="宋体"/>
                <w:kern w:val="0"/>
                <w:sz w:val="21"/>
                <w:szCs w:val="21"/>
                <w:lang w:val="en-US" w:eastAsia="zh-CN"/>
              </w:rPr>
              <w:t>3</w:t>
            </w:r>
            <w:r>
              <w:rPr>
                <w:rFonts w:hint="eastAsia" w:ascii="宋体" w:hAnsi="宋体"/>
                <w:kern w:val="0"/>
                <w:sz w:val="21"/>
                <w:szCs w:val="21"/>
              </w:rPr>
              <w:t>-</w:t>
            </w:r>
            <w:r>
              <w:rPr>
                <w:rFonts w:hint="eastAsia" w:ascii="宋体" w:hAnsi="宋体"/>
                <w:kern w:val="0"/>
                <w:sz w:val="21"/>
                <w:szCs w:val="21"/>
                <w:lang w:val="en-US" w:eastAsia="zh-CN"/>
              </w:rPr>
              <w:t>2</w:t>
            </w:r>
            <w:r>
              <w:rPr>
                <w:rFonts w:hint="eastAsia" w:ascii="宋体" w:hAnsi="宋体"/>
                <w:kern w:val="0"/>
                <w:sz w:val="21"/>
                <w:szCs w:val="21"/>
              </w:rPr>
              <w:t>分，一般得</w:t>
            </w:r>
            <w:r>
              <w:rPr>
                <w:rFonts w:hint="eastAsia" w:ascii="宋体" w:hAnsi="宋体"/>
                <w:kern w:val="0"/>
                <w:sz w:val="21"/>
                <w:szCs w:val="21"/>
                <w:lang w:val="en-US" w:eastAsia="zh-CN"/>
              </w:rPr>
              <w:t>2</w:t>
            </w:r>
            <w:r>
              <w:rPr>
                <w:rFonts w:hint="eastAsia" w:ascii="宋体" w:hAnsi="宋体"/>
                <w:kern w:val="0"/>
                <w:sz w:val="21"/>
                <w:szCs w:val="21"/>
              </w:rPr>
              <w:t>-0分。</w:t>
            </w:r>
          </w:p>
        </w:tc>
        <w:tc>
          <w:tcPr>
            <w:tcW w:w="1620" w:type="dxa"/>
            <w:noWrap w:val="0"/>
            <w:vAlign w:val="center"/>
          </w:tcPr>
          <w:p>
            <w:pPr>
              <w:spacing w:line="240" w:lineRule="atLeast"/>
              <w:jc w:val="center"/>
              <w:rPr>
                <w:rFonts w:hint="default" w:ascii="宋体" w:hAnsi="宋体" w:eastAsia="宋体"/>
                <w:szCs w:val="21"/>
                <w:lang w:val="en-US" w:eastAsia="zh-CN"/>
              </w:rPr>
            </w:pPr>
            <w:r>
              <w:rPr>
                <w:rFonts w:hint="eastAsia" w:ascii="宋体" w:hAnsi="宋体" w:eastAsia="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90" w:hRule="atLeast"/>
          <w:jc w:val="center"/>
        </w:trPr>
        <w:tc>
          <w:tcPr>
            <w:tcW w:w="468" w:type="dxa"/>
            <w:vMerge w:val="continue"/>
            <w:noWrap w:val="0"/>
            <w:tcMar>
              <w:top w:w="0" w:type="dxa"/>
              <w:left w:w="57" w:type="dxa"/>
              <w:bottom w:w="0" w:type="dxa"/>
              <w:right w:w="57" w:type="dxa"/>
            </w:tcMar>
            <w:vAlign w:val="center"/>
          </w:tcPr>
          <w:p>
            <w:pPr>
              <w:spacing w:line="240" w:lineRule="atLeast"/>
              <w:jc w:val="center"/>
              <w:rPr>
                <w:rFonts w:hint="eastAsia" w:ascii="宋体" w:hAnsi="宋体"/>
                <w:b/>
                <w:szCs w:val="21"/>
              </w:rPr>
            </w:pPr>
          </w:p>
        </w:tc>
        <w:tc>
          <w:tcPr>
            <w:tcW w:w="2816" w:type="dxa"/>
            <w:gridSpan w:val="2"/>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p>
        </w:tc>
        <w:tc>
          <w:tcPr>
            <w:tcW w:w="4744" w:type="dxa"/>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eastAsia="宋体"/>
                <w:kern w:val="0"/>
                <w:sz w:val="21"/>
                <w:szCs w:val="21"/>
                <w:lang w:eastAsia="zh-CN"/>
              </w:rPr>
            </w:pPr>
            <w:r>
              <w:rPr>
                <w:rFonts w:hint="eastAsia" w:ascii="宋体" w:hAnsi="宋体"/>
                <w:kern w:val="0"/>
                <w:sz w:val="21"/>
                <w:szCs w:val="21"/>
              </w:rPr>
              <w:t>演示智慧物管平台之工单支持自定义流程真实演示，对演示效果</w:t>
            </w:r>
            <w:r>
              <w:rPr>
                <w:rFonts w:hint="eastAsia" w:ascii="宋体" w:hAnsi="宋体"/>
                <w:kern w:val="0"/>
                <w:sz w:val="21"/>
                <w:szCs w:val="21"/>
                <w:lang w:eastAsia="zh-CN"/>
              </w:rPr>
              <w:t>及答辩情况</w:t>
            </w:r>
            <w:r>
              <w:rPr>
                <w:rFonts w:hint="eastAsia" w:ascii="宋体" w:hAnsi="宋体"/>
                <w:kern w:val="0"/>
                <w:sz w:val="21"/>
                <w:szCs w:val="21"/>
              </w:rPr>
              <w:t>进行综合评议，优得</w:t>
            </w:r>
            <w:r>
              <w:rPr>
                <w:rFonts w:hint="eastAsia" w:ascii="宋体" w:hAnsi="宋体"/>
                <w:kern w:val="0"/>
                <w:sz w:val="21"/>
                <w:szCs w:val="21"/>
                <w:lang w:val="en-US" w:eastAsia="zh-CN"/>
              </w:rPr>
              <w:t>5</w:t>
            </w:r>
            <w:r>
              <w:rPr>
                <w:rFonts w:hint="eastAsia" w:ascii="宋体" w:hAnsi="宋体"/>
                <w:kern w:val="0"/>
                <w:sz w:val="21"/>
                <w:szCs w:val="21"/>
              </w:rPr>
              <w:t>-</w:t>
            </w:r>
            <w:r>
              <w:rPr>
                <w:rFonts w:hint="eastAsia" w:ascii="宋体" w:hAnsi="宋体"/>
                <w:kern w:val="0"/>
                <w:sz w:val="21"/>
                <w:szCs w:val="21"/>
                <w:lang w:val="en-US" w:eastAsia="zh-CN"/>
              </w:rPr>
              <w:t>4</w:t>
            </w:r>
            <w:r>
              <w:rPr>
                <w:rFonts w:hint="eastAsia" w:ascii="宋体" w:hAnsi="宋体"/>
                <w:kern w:val="0"/>
                <w:sz w:val="21"/>
                <w:szCs w:val="21"/>
              </w:rPr>
              <w:t>分，良得</w:t>
            </w:r>
            <w:r>
              <w:rPr>
                <w:rFonts w:hint="eastAsia" w:ascii="宋体" w:hAnsi="宋体"/>
                <w:kern w:val="0"/>
                <w:sz w:val="21"/>
                <w:szCs w:val="21"/>
                <w:lang w:val="en-US" w:eastAsia="zh-CN"/>
              </w:rPr>
              <w:t>3</w:t>
            </w:r>
            <w:r>
              <w:rPr>
                <w:rFonts w:hint="eastAsia" w:ascii="宋体" w:hAnsi="宋体"/>
                <w:kern w:val="0"/>
                <w:sz w:val="21"/>
                <w:szCs w:val="21"/>
              </w:rPr>
              <w:t>-</w:t>
            </w:r>
            <w:r>
              <w:rPr>
                <w:rFonts w:hint="eastAsia" w:ascii="宋体" w:hAnsi="宋体"/>
                <w:kern w:val="0"/>
                <w:sz w:val="21"/>
                <w:szCs w:val="21"/>
                <w:lang w:val="en-US" w:eastAsia="zh-CN"/>
              </w:rPr>
              <w:t>2</w:t>
            </w:r>
            <w:r>
              <w:rPr>
                <w:rFonts w:hint="eastAsia" w:ascii="宋体" w:hAnsi="宋体"/>
                <w:kern w:val="0"/>
                <w:sz w:val="21"/>
                <w:szCs w:val="21"/>
              </w:rPr>
              <w:t>分，一般得</w:t>
            </w:r>
            <w:r>
              <w:rPr>
                <w:rFonts w:hint="eastAsia" w:ascii="宋体" w:hAnsi="宋体"/>
                <w:kern w:val="0"/>
                <w:sz w:val="21"/>
                <w:szCs w:val="21"/>
                <w:lang w:val="en-US" w:eastAsia="zh-CN"/>
              </w:rPr>
              <w:t>2</w:t>
            </w:r>
            <w:r>
              <w:rPr>
                <w:rFonts w:hint="eastAsia" w:ascii="宋体" w:hAnsi="宋体"/>
                <w:kern w:val="0"/>
                <w:sz w:val="21"/>
                <w:szCs w:val="21"/>
              </w:rPr>
              <w:t>-0分</w:t>
            </w:r>
            <w:r>
              <w:rPr>
                <w:rFonts w:hint="eastAsia" w:ascii="宋体" w:hAnsi="宋体"/>
                <w:kern w:val="0"/>
                <w:sz w:val="21"/>
                <w:szCs w:val="21"/>
                <w:lang w:eastAsia="zh-CN"/>
              </w:rPr>
              <w:t>。</w:t>
            </w:r>
          </w:p>
        </w:tc>
        <w:tc>
          <w:tcPr>
            <w:tcW w:w="1620" w:type="dxa"/>
            <w:noWrap w:val="0"/>
            <w:vAlign w:val="center"/>
          </w:tcPr>
          <w:p>
            <w:pPr>
              <w:spacing w:line="240" w:lineRule="atLeast"/>
              <w:jc w:val="center"/>
              <w:rPr>
                <w:rFonts w:hint="default" w:ascii="宋体" w:hAnsi="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5" w:hRule="atLeast"/>
          <w:jc w:val="center"/>
        </w:trPr>
        <w:tc>
          <w:tcPr>
            <w:tcW w:w="468" w:type="dxa"/>
            <w:vMerge w:val="continue"/>
            <w:noWrap w:val="0"/>
            <w:tcMar>
              <w:top w:w="0" w:type="dxa"/>
              <w:left w:w="57" w:type="dxa"/>
              <w:bottom w:w="0" w:type="dxa"/>
              <w:right w:w="57" w:type="dxa"/>
            </w:tcMar>
            <w:vAlign w:val="center"/>
          </w:tcPr>
          <w:p>
            <w:pPr>
              <w:spacing w:line="240" w:lineRule="atLeast"/>
              <w:jc w:val="center"/>
              <w:rPr>
                <w:rFonts w:hint="eastAsia" w:ascii="宋体" w:hAnsi="宋体"/>
                <w:b/>
                <w:szCs w:val="21"/>
              </w:rPr>
            </w:pPr>
          </w:p>
        </w:tc>
        <w:tc>
          <w:tcPr>
            <w:tcW w:w="2816" w:type="dxa"/>
            <w:gridSpan w:val="2"/>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p>
        </w:tc>
        <w:tc>
          <w:tcPr>
            <w:tcW w:w="4744" w:type="dxa"/>
            <w:tcBorders>
              <w:bottom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eastAsia="宋体"/>
                <w:kern w:val="0"/>
                <w:sz w:val="21"/>
                <w:szCs w:val="21"/>
                <w:lang w:eastAsia="zh-CN"/>
              </w:rPr>
            </w:pPr>
            <w:r>
              <w:rPr>
                <w:rFonts w:hint="eastAsia" w:ascii="宋体" w:hAnsi="宋体"/>
                <w:kern w:val="0"/>
                <w:sz w:val="21"/>
                <w:szCs w:val="21"/>
              </w:rPr>
              <w:t>演示三维展示之智能设备运行情况可视化展示，对演示效果</w:t>
            </w:r>
            <w:r>
              <w:rPr>
                <w:rFonts w:hint="eastAsia" w:ascii="宋体" w:hAnsi="宋体"/>
                <w:kern w:val="0"/>
                <w:sz w:val="21"/>
                <w:szCs w:val="21"/>
                <w:lang w:eastAsia="zh-CN"/>
              </w:rPr>
              <w:t>及答辩情况</w:t>
            </w:r>
            <w:r>
              <w:rPr>
                <w:rFonts w:hint="eastAsia" w:ascii="宋体" w:hAnsi="宋体"/>
                <w:kern w:val="0"/>
                <w:sz w:val="21"/>
                <w:szCs w:val="21"/>
              </w:rPr>
              <w:t>进行综合评议，优得</w:t>
            </w:r>
            <w:r>
              <w:rPr>
                <w:rFonts w:hint="eastAsia" w:ascii="宋体" w:hAnsi="宋体"/>
                <w:kern w:val="0"/>
                <w:sz w:val="21"/>
                <w:szCs w:val="21"/>
                <w:lang w:val="en-US" w:eastAsia="zh-CN"/>
              </w:rPr>
              <w:t>5</w:t>
            </w:r>
            <w:r>
              <w:rPr>
                <w:rFonts w:hint="eastAsia" w:ascii="宋体" w:hAnsi="宋体"/>
                <w:kern w:val="0"/>
                <w:sz w:val="21"/>
                <w:szCs w:val="21"/>
              </w:rPr>
              <w:t>-</w:t>
            </w:r>
            <w:r>
              <w:rPr>
                <w:rFonts w:hint="eastAsia" w:ascii="宋体" w:hAnsi="宋体"/>
                <w:kern w:val="0"/>
                <w:sz w:val="21"/>
                <w:szCs w:val="21"/>
                <w:lang w:val="en-US" w:eastAsia="zh-CN"/>
              </w:rPr>
              <w:t>4</w:t>
            </w:r>
            <w:r>
              <w:rPr>
                <w:rFonts w:hint="eastAsia" w:ascii="宋体" w:hAnsi="宋体"/>
                <w:kern w:val="0"/>
                <w:sz w:val="21"/>
                <w:szCs w:val="21"/>
              </w:rPr>
              <w:t>分，良得</w:t>
            </w:r>
            <w:r>
              <w:rPr>
                <w:rFonts w:hint="eastAsia" w:ascii="宋体" w:hAnsi="宋体"/>
                <w:kern w:val="0"/>
                <w:sz w:val="21"/>
                <w:szCs w:val="21"/>
                <w:lang w:val="en-US" w:eastAsia="zh-CN"/>
              </w:rPr>
              <w:t>3</w:t>
            </w:r>
            <w:r>
              <w:rPr>
                <w:rFonts w:hint="eastAsia" w:ascii="宋体" w:hAnsi="宋体"/>
                <w:kern w:val="0"/>
                <w:sz w:val="21"/>
                <w:szCs w:val="21"/>
              </w:rPr>
              <w:t>-</w:t>
            </w:r>
            <w:r>
              <w:rPr>
                <w:rFonts w:hint="eastAsia" w:ascii="宋体" w:hAnsi="宋体"/>
                <w:kern w:val="0"/>
                <w:sz w:val="21"/>
                <w:szCs w:val="21"/>
                <w:lang w:val="en-US" w:eastAsia="zh-CN"/>
              </w:rPr>
              <w:t>2</w:t>
            </w:r>
            <w:r>
              <w:rPr>
                <w:rFonts w:hint="eastAsia" w:ascii="宋体" w:hAnsi="宋体"/>
                <w:kern w:val="0"/>
                <w:sz w:val="21"/>
                <w:szCs w:val="21"/>
              </w:rPr>
              <w:t>分，一般得</w:t>
            </w:r>
            <w:r>
              <w:rPr>
                <w:rFonts w:hint="eastAsia" w:ascii="宋体" w:hAnsi="宋体"/>
                <w:kern w:val="0"/>
                <w:sz w:val="21"/>
                <w:szCs w:val="21"/>
                <w:lang w:val="en-US" w:eastAsia="zh-CN"/>
              </w:rPr>
              <w:t>2</w:t>
            </w:r>
            <w:r>
              <w:rPr>
                <w:rFonts w:hint="eastAsia" w:ascii="宋体" w:hAnsi="宋体"/>
                <w:kern w:val="0"/>
                <w:sz w:val="21"/>
                <w:szCs w:val="21"/>
              </w:rPr>
              <w:t>-0分</w:t>
            </w:r>
            <w:r>
              <w:rPr>
                <w:rFonts w:hint="eastAsia" w:ascii="宋体" w:hAnsi="宋体"/>
                <w:kern w:val="0"/>
                <w:sz w:val="21"/>
                <w:szCs w:val="21"/>
                <w:lang w:eastAsia="zh-CN"/>
              </w:rPr>
              <w:t>。</w:t>
            </w:r>
          </w:p>
        </w:tc>
        <w:tc>
          <w:tcPr>
            <w:tcW w:w="1620" w:type="dxa"/>
            <w:noWrap w:val="0"/>
            <w:vAlign w:val="center"/>
          </w:tcPr>
          <w:p>
            <w:pPr>
              <w:spacing w:line="240" w:lineRule="atLeast"/>
              <w:jc w:val="center"/>
              <w:rPr>
                <w:rFonts w:hint="default" w:ascii="宋体" w:hAnsi="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5" w:hRule="atLeast"/>
          <w:jc w:val="center"/>
        </w:trPr>
        <w:tc>
          <w:tcPr>
            <w:tcW w:w="468" w:type="dxa"/>
            <w:vMerge w:val="continue"/>
            <w:noWrap w:val="0"/>
            <w:tcMar>
              <w:top w:w="0" w:type="dxa"/>
              <w:left w:w="57" w:type="dxa"/>
              <w:bottom w:w="0" w:type="dxa"/>
              <w:right w:w="57" w:type="dxa"/>
            </w:tcMar>
            <w:vAlign w:val="center"/>
          </w:tcPr>
          <w:p>
            <w:pPr>
              <w:spacing w:line="240" w:lineRule="atLeast"/>
              <w:jc w:val="center"/>
              <w:rPr>
                <w:rFonts w:hint="eastAsia" w:ascii="宋体" w:hAnsi="宋体"/>
                <w:b/>
                <w:szCs w:val="21"/>
              </w:rPr>
            </w:pPr>
          </w:p>
        </w:tc>
        <w:tc>
          <w:tcPr>
            <w:tcW w:w="2816" w:type="dxa"/>
            <w:gridSpan w:val="2"/>
            <w:vMerge w:val="continue"/>
            <w:tcBorders>
              <w:bottom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p>
        </w:tc>
        <w:tc>
          <w:tcPr>
            <w:tcW w:w="4744" w:type="dxa"/>
            <w:tcBorders>
              <w:bottom w:val="single" w:color="000000" w:sz="4" w:space="0"/>
            </w:tcBorders>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kern w:val="0"/>
                <w:sz w:val="21"/>
                <w:szCs w:val="21"/>
              </w:rPr>
            </w:pPr>
            <w:r>
              <w:rPr>
                <w:rFonts w:hint="eastAsia" w:ascii="宋体" w:hAnsi="宋体"/>
                <w:kern w:val="0"/>
                <w:sz w:val="21"/>
                <w:szCs w:val="21"/>
              </w:rPr>
              <w:t>演示客户APP之访客申请和物管APP之访客查询展示演示，效果</w:t>
            </w:r>
            <w:r>
              <w:rPr>
                <w:rFonts w:hint="eastAsia" w:ascii="宋体" w:hAnsi="宋体"/>
                <w:kern w:val="0"/>
                <w:sz w:val="21"/>
                <w:szCs w:val="21"/>
                <w:lang w:eastAsia="zh-CN"/>
              </w:rPr>
              <w:t>及答辩情况</w:t>
            </w:r>
            <w:r>
              <w:rPr>
                <w:rFonts w:hint="eastAsia" w:ascii="宋体" w:hAnsi="宋体"/>
                <w:kern w:val="0"/>
                <w:sz w:val="21"/>
                <w:szCs w:val="21"/>
              </w:rPr>
              <w:t>进行综合评议，优得</w:t>
            </w:r>
            <w:r>
              <w:rPr>
                <w:rFonts w:hint="eastAsia" w:ascii="宋体" w:hAnsi="宋体"/>
                <w:kern w:val="0"/>
                <w:sz w:val="21"/>
                <w:szCs w:val="21"/>
                <w:lang w:val="en-US" w:eastAsia="zh-CN"/>
              </w:rPr>
              <w:t>5</w:t>
            </w:r>
            <w:r>
              <w:rPr>
                <w:rFonts w:hint="eastAsia" w:ascii="宋体" w:hAnsi="宋体"/>
                <w:kern w:val="0"/>
                <w:sz w:val="21"/>
                <w:szCs w:val="21"/>
              </w:rPr>
              <w:t>-</w:t>
            </w:r>
            <w:r>
              <w:rPr>
                <w:rFonts w:hint="eastAsia" w:ascii="宋体" w:hAnsi="宋体"/>
                <w:kern w:val="0"/>
                <w:sz w:val="21"/>
                <w:szCs w:val="21"/>
                <w:lang w:val="en-US" w:eastAsia="zh-CN"/>
              </w:rPr>
              <w:t>4</w:t>
            </w:r>
            <w:r>
              <w:rPr>
                <w:rFonts w:hint="eastAsia" w:ascii="宋体" w:hAnsi="宋体"/>
                <w:kern w:val="0"/>
                <w:sz w:val="21"/>
                <w:szCs w:val="21"/>
              </w:rPr>
              <w:t>分，良得</w:t>
            </w:r>
            <w:r>
              <w:rPr>
                <w:rFonts w:hint="eastAsia" w:ascii="宋体" w:hAnsi="宋体"/>
                <w:kern w:val="0"/>
                <w:sz w:val="21"/>
                <w:szCs w:val="21"/>
                <w:lang w:val="en-US" w:eastAsia="zh-CN"/>
              </w:rPr>
              <w:t>3</w:t>
            </w:r>
            <w:r>
              <w:rPr>
                <w:rFonts w:hint="eastAsia" w:ascii="宋体" w:hAnsi="宋体"/>
                <w:kern w:val="0"/>
                <w:sz w:val="21"/>
                <w:szCs w:val="21"/>
              </w:rPr>
              <w:t>-</w:t>
            </w:r>
            <w:r>
              <w:rPr>
                <w:rFonts w:hint="eastAsia" w:ascii="宋体" w:hAnsi="宋体"/>
                <w:kern w:val="0"/>
                <w:sz w:val="21"/>
                <w:szCs w:val="21"/>
                <w:lang w:val="en-US" w:eastAsia="zh-CN"/>
              </w:rPr>
              <w:t>2</w:t>
            </w:r>
            <w:r>
              <w:rPr>
                <w:rFonts w:hint="eastAsia" w:ascii="宋体" w:hAnsi="宋体"/>
                <w:kern w:val="0"/>
                <w:sz w:val="21"/>
                <w:szCs w:val="21"/>
              </w:rPr>
              <w:t>分，一般得</w:t>
            </w:r>
            <w:r>
              <w:rPr>
                <w:rFonts w:hint="eastAsia" w:ascii="宋体" w:hAnsi="宋体"/>
                <w:kern w:val="0"/>
                <w:sz w:val="21"/>
                <w:szCs w:val="21"/>
                <w:lang w:val="en-US" w:eastAsia="zh-CN"/>
              </w:rPr>
              <w:t>2</w:t>
            </w:r>
            <w:r>
              <w:rPr>
                <w:rFonts w:hint="eastAsia" w:ascii="宋体" w:hAnsi="宋体"/>
                <w:kern w:val="0"/>
                <w:sz w:val="21"/>
                <w:szCs w:val="21"/>
              </w:rPr>
              <w:t>-0分</w:t>
            </w:r>
            <w:r>
              <w:rPr>
                <w:rFonts w:hint="eastAsia" w:ascii="宋体" w:hAnsi="宋体"/>
                <w:kern w:val="0"/>
                <w:sz w:val="21"/>
                <w:szCs w:val="21"/>
                <w:lang w:eastAsia="zh-CN"/>
              </w:rPr>
              <w:t>。</w:t>
            </w:r>
          </w:p>
        </w:tc>
        <w:tc>
          <w:tcPr>
            <w:tcW w:w="1620" w:type="dxa"/>
            <w:noWrap w:val="0"/>
            <w:vAlign w:val="center"/>
          </w:tcPr>
          <w:p>
            <w:pPr>
              <w:spacing w:line="240" w:lineRule="atLeast"/>
              <w:jc w:val="center"/>
              <w:rPr>
                <w:rFonts w:hint="eastAsia" w:ascii="宋体" w:hAnsi="宋体"/>
                <w:szCs w:val="21"/>
                <w:lang w:val="en-US" w:eastAsia="zh-CN"/>
              </w:rPr>
            </w:pPr>
            <w:r>
              <w:rPr>
                <w:rFonts w:hint="eastAsia" w:ascii="宋体" w:hAnsi="宋体"/>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2" w:hRule="atLeast"/>
          <w:jc w:val="center"/>
        </w:trPr>
        <w:tc>
          <w:tcPr>
            <w:tcW w:w="468" w:type="dxa"/>
            <w:vMerge w:val="continue"/>
            <w:noWrap w:val="0"/>
            <w:vAlign w:val="center"/>
          </w:tcPr>
          <w:p>
            <w:pPr>
              <w:widowControl/>
              <w:spacing w:line="240" w:lineRule="atLeast"/>
              <w:jc w:val="left"/>
              <w:rPr>
                <w:rFonts w:ascii="宋体" w:hAnsi="宋体"/>
                <w:szCs w:val="21"/>
              </w:rPr>
            </w:pPr>
          </w:p>
        </w:tc>
        <w:tc>
          <w:tcPr>
            <w:tcW w:w="7560" w:type="dxa"/>
            <w:gridSpan w:val="3"/>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lang w:eastAsia="zh-CN"/>
              </w:rPr>
            </w:pPr>
            <w:r>
              <w:rPr>
                <w:rFonts w:hint="eastAsia"/>
              </w:rPr>
              <w:t>提供的云服务产品平台通过工业和信息化部电信研究院（数据中心联盟）可信云服务认证证书，得</w:t>
            </w:r>
            <w:r>
              <w:rPr>
                <w:rFonts w:hint="eastAsia"/>
                <w:lang w:val="en-US" w:eastAsia="zh-CN"/>
              </w:rPr>
              <w:t>2</w:t>
            </w:r>
            <w:r>
              <w:rPr>
                <w:rFonts w:hint="eastAsia"/>
              </w:rPr>
              <w:t>分。提供认证证书复印件并加盖云服务产品平台</w:t>
            </w:r>
            <w:r>
              <w:rPr>
                <w:rFonts w:hint="eastAsia"/>
                <w:lang w:eastAsia="zh-CN"/>
              </w:rPr>
              <w:t>产品单位的</w:t>
            </w:r>
            <w:r>
              <w:rPr>
                <w:rFonts w:hint="eastAsia"/>
              </w:rPr>
              <w:t>公章，否则不得分。</w:t>
            </w:r>
          </w:p>
        </w:tc>
        <w:tc>
          <w:tcPr>
            <w:tcW w:w="1620" w:type="dxa"/>
            <w:noWrap w:val="0"/>
            <w:vAlign w:val="center"/>
          </w:tcPr>
          <w:p>
            <w:pPr>
              <w:tabs>
                <w:tab w:val="left" w:pos="645"/>
              </w:tabs>
              <w:spacing w:before="120" w:beforeLines="50" w:after="120" w:afterLines="50" w:line="240" w:lineRule="atLeast"/>
              <w:jc w:val="center"/>
              <w:rPr>
                <w:rFonts w:hint="default" w:ascii="宋体" w:hAnsi="宋体"/>
                <w:szCs w:val="21"/>
                <w:lang w:val="en-US" w:eastAsia="zh-CN"/>
              </w:rPr>
            </w:pP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2" w:hRule="atLeast"/>
          <w:jc w:val="center"/>
        </w:trPr>
        <w:tc>
          <w:tcPr>
            <w:tcW w:w="468" w:type="dxa"/>
            <w:vMerge w:val="continue"/>
            <w:noWrap w:val="0"/>
            <w:vAlign w:val="center"/>
          </w:tcPr>
          <w:p>
            <w:pPr>
              <w:widowControl/>
              <w:spacing w:line="240" w:lineRule="atLeast"/>
              <w:jc w:val="left"/>
              <w:rPr>
                <w:rFonts w:ascii="宋体" w:hAnsi="宋体"/>
                <w:szCs w:val="21"/>
              </w:rPr>
            </w:pPr>
          </w:p>
        </w:tc>
        <w:tc>
          <w:tcPr>
            <w:tcW w:w="7560" w:type="dxa"/>
            <w:gridSpan w:val="3"/>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lang w:val="en-US" w:eastAsia="zh-CN"/>
              </w:rPr>
            </w:pPr>
            <w:r>
              <w:rPr>
                <w:rFonts w:hint="eastAsia"/>
              </w:rPr>
              <w:t>提供的云服务产品平台通过公安部信息安全等级保护三级及以上认证，得</w:t>
            </w:r>
            <w:r>
              <w:rPr>
                <w:rFonts w:hint="eastAsia"/>
                <w:lang w:val="en-US" w:eastAsia="zh-CN"/>
              </w:rPr>
              <w:t>2</w:t>
            </w:r>
            <w:r>
              <w:rPr>
                <w:rFonts w:hint="eastAsia"/>
              </w:rPr>
              <w:t>分。提供认证证书复印件并加盖云服务产品平台</w:t>
            </w:r>
            <w:r>
              <w:rPr>
                <w:rFonts w:hint="eastAsia"/>
                <w:lang w:eastAsia="zh-CN"/>
              </w:rPr>
              <w:t>产品单位的</w:t>
            </w:r>
            <w:r>
              <w:rPr>
                <w:rFonts w:hint="eastAsia"/>
              </w:rPr>
              <w:t>公章，否则不得分。</w:t>
            </w:r>
          </w:p>
        </w:tc>
        <w:tc>
          <w:tcPr>
            <w:tcW w:w="1620" w:type="dxa"/>
            <w:noWrap w:val="0"/>
            <w:vAlign w:val="center"/>
          </w:tcPr>
          <w:p>
            <w:pPr>
              <w:tabs>
                <w:tab w:val="left" w:pos="645"/>
              </w:tabs>
              <w:spacing w:before="120" w:beforeLines="50" w:after="120" w:afterLines="50" w:line="240" w:lineRule="atLeast"/>
              <w:jc w:val="center"/>
              <w:rPr>
                <w:rFonts w:hint="default" w:ascii="宋体" w:hAnsi="宋体"/>
                <w:szCs w:val="21"/>
                <w:lang w:val="en-US" w:eastAsia="zh-CN"/>
              </w:rPr>
            </w:pPr>
            <w:r>
              <w:rPr>
                <w:rFonts w:hint="eastAsia" w:ascii="宋体" w:hAnsi="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4" w:hRule="atLeast"/>
          <w:jc w:val="center"/>
        </w:trPr>
        <w:tc>
          <w:tcPr>
            <w:tcW w:w="468" w:type="dxa"/>
            <w:noWrap w:val="0"/>
            <w:vAlign w:val="center"/>
          </w:tcPr>
          <w:p>
            <w:pPr>
              <w:widowControl/>
              <w:spacing w:line="240" w:lineRule="atLeast"/>
              <w:jc w:val="left"/>
              <w:rPr>
                <w:rFonts w:ascii="宋体" w:hAnsi="宋体"/>
                <w:b/>
                <w:szCs w:val="21"/>
              </w:rPr>
            </w:pPr>
            <w:r>
              <w:rPr>
                <w:rFonts w:hint="eastAsia" w:ascii="宋体" w:hAnsi="宋体"/>
                <w:b/>
                <w:szCs w:val="21"/>
              </w:rPr>
              <w:t>价格分</w:t>
            </w:r>
            <w:r>
              <w:rPr>
                <w:rFonts w:hint="eastAsia" w:ascii="宋体" w:hAnsi="宋体"/>
                <w:b/>
                <w:szCs w:val="21"/>
                <w:lang w:val="en-US" w:eastAsia="zh-CN"/>
              </w:rPr>
              <w:t>15</w:t>
            </w:r>
            <w:r>
              <w:rPr>
                <w:rFonts w:hint="eastAsia" w:ascii="宋体" w:hAnsi="宋体"/>
                <w:b/>
                <w:szCs w:val="21"/>
              </w:rPr>
              <w:t>分</w:t>
            </w:r>
          </w:p>
        </w:tc>
        <w:tc>
          <w:tcPr>
            <w:tcW w:w="7560" w:type="dxa"/>
            <w:gridSpan w:val="3"/>
            <w:noWrap w:val="0"/>
            <w:tcMar>
              <w:top w:w="0" w:type="dxa"/>
              <w:left w:w="57" w:type="dxa"/>
              <w:bottom w:w="0" w:type="dxa"/>
              <w:right w:w="57" w:type="dxa"/>
            </w:tcMar>
            <w:vAlign w:val="center"/>
          </w:tcPr>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r>
              <w:rPr>
                <w:rFonts w:hint="eastAsia" w:ascii="宋体" w:hAnsi="宋体"/>
                <w:kern w:val="0"/>
                <w:szCs w:val="21"/>
              </w:rPr>
              <w:t>参与评审的价格=评标价-小微企业价格扣除优惠值6%-残疾人价格扣除优惠值</w:t>
            </w:r>
          </w:p>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r>
              <w:rPr>
                <w:rFonts w:hint="eastAsia" w:ascii="宋体" w:hAnsi="宋体"/>
                <w:kern w:val="0"/>
                <w:szCs w:val="21"/>
              </w:rPr>
              <w:t>评标基准价=满足招标文件要求且“参与评审的价格”中最低的价格为评标基准价</w:t>
            </w:r>
          </w:p>
          <w:p>
            <w:pPr>
              <w:keepNext w:val="0"/>
              <w:keepLines w:val="0"/>
              <w:pageBreakBefore w:val="0"/>
              <w:kinsoku/>
              <w:wordWrap/>
              <w:overflowPunct/>
              <w:topLinePunct w:val="0"/>
              <w:autoSpaceDE w:val="0"/>
              <w:autoSpaceDN w:val="0"/>
              <w:bidi w:val="0"/>
              <w:adjustRightInd w:val="0"/>
              <w:snapToGrid/>
              <w:spacing w:line="360" w:lineRule="auto"/>
              <w:textAlignment w:val="auto"/>
              <w:rPr>
                <w:rFonts w:ascii="宋体" w:hAnsi="宋体"/>
                <w:kern w:val="0"/>
                <w:szCs w:val="21"/>
              </w:rPr>
            </w:pPr>
            <w:r>
              <w:rPr>
                <w:rFonts w:hint="eastAsia" w:ascii="宋体" w:hAnsi="宋体"/>
                <w:kern w:val="0"/>
                <w:szCs w:val="21"/>
              </w:rPr>
              <w:t>基准价得分为满分</w:t>
            </w:r>
            <w:r>
              <w:rPr>
                <w:rFonts w:hint="eastAsia" w:ascii="宋体" w:hAnsi="宋体"/>
                <w:kern w:val="0"/>
                <w:szCs w:val="21"/>
                <w:lang w:val="en-US" w:eastAsia="zh-CN"/>
              </w:rPr>
              <w:t>15</w:t>
            </w:r>
            <w:r>
              <w:rPr>
                <w:rFonts w:hint="eastAsia" w:ascii="宋体" w:hAnsi="宋体"/>
                <w:kern w:val="0"/>
                <w:szCs w:val="21"/>
              </w:rPr>
              <w:t>分，其他供应商报价得分计算公式如下：</w:t>
            </w:r>
          </w:p>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cs="宋体"/>
                <w:szCs w:val="21"/>
              </w:rPr>
            </w:pPr>
            <w:r>
              <w:rPr>
                <w:rFonts w:hint="eastAsia" w:ascii="宋体" w:hAnsi="宋体"/>
                <w:kern w:val="0"/>
                <w:szCs w:val="21"/>
              </w:rPr>
              <w:t>其他供应商报价得分=(评标基准价/参与评审的价格)×</w:t>
            </w:r>
            <w:r>
              <w:rPr>
                <w:rFonts w:hint="eastAsia" w:ascii="宋体" w:hAnsi="宋体"/>
                <w:kern w:val="0"/>
                <w:szCs w:val="21"/>
                <w:lang w:val="en-US" w:eastAsia="zh-CN"/>
              </w:rPr>
              <w:t>15</w:t>
            </w:r>
            <w:r>
              <w:rPr>
                <w:rFonts w:hint="eastAsia" w:ascii="宋体" w:hAnsi="宋体"/>
                <w:kern w:val="0"/>
                <w:szCs w:val="21"/>
              </w:rPr>
              <w:t>%×100</w:t>
            </w:r>
          </w:p>
        </w:tc>
        <w:tc>
          <w:tcPr>
            <w:tcW w:w="1620" w:type="dxa"/>
            <w:noWrap w:val="0"/>
            <w:vAlign w:val="center"/>
          </w:tcPr>
          <w:p>
            <w:pPr>
              <w:tabs>
                <w:tab w:val="left" w:pos="645"/>
              </w:tabs>
              <w:spacing w:before="120" w:beforeLines="50" w:after="120" w:afterLines="50" w:line="240" w:lineRule="atLeast"/>
              <w:jc w:val="center"/>
              <w:rPr>
                <w:rFonts w:hint="default" w:ascii="宋体" w:hAnsi="宋体" w:eastAsia="宋体"/>
                <w:szCs w:val="21"/>
                <w:lang w:val="en-US" w:eastAsia="zh-CN"/>
              </w:rPr>
            </w:pPr>
            <w:r>
              <w:rPr>
                <w:rFonts w:hint="eastAsia" w:ascii="宋体" w:hAnsi="宋体"/>
                <w:szCs w:val="21"/>
                <w:lang w:val="en-US" w:eastAsia="zh-CN"/>
              </w:rPr>
              <w:t>15</w:t>
            </w:r>
          </w:p>
        </w:tc>
      </w:tr>
    </w:tbl>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color w:val="000000"/>
          <w:szCs w:val="21"/>
        </w:rPr>
      </w:pPr>
      <w:r>
        <w:rPr>
          <w:rFonts w:hint="eastAsia" w:ascii="宋体" w:hAnsi="宋体"/>
          <w:b/>
          <w:color w:val="000000"/>
          <w:szCs w:val="21"/>
        </w:rPr>
        <w:t>注：</w:t>
      </w:r>
      <w:bookmarkStart w:id="23" w:name="_Toc496687422"/>
      <w:r>
        <w:rPr>
          <w:rFonts w:hint="eastAsia" w:ascii="宋体" w:hAnsi="宋体"/>
          <w:b/>
          <w:color w:val="000000"/>
          <w:szCs w:val="21"/>
        </w:rPr>
        <w:t>1、本项目为非专门面向中小企业的采购项目，根据《政府采购促进中小企业发展暂行办法》（财库〔2011〕181号）的规定，对小型和微型企业产品的价格给予6%的扣除，用扣除后的价格参与评审。符合要求的监狱企业和残疾人福利性单位视作小微企业: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根据《关于促进残疾人就业政府采购政策的通知》（财库[2017]141号）规定，残疾人福利性单位视同小型、微型企业（残疾人福利性单位属于小型、微型企业的，不重复享受政策）。</w:t>
      </w:r>
    </w:p>
    <w:p>
      <w:pPr>
        <w:keepNext w:val="0"/>
        <w:keepLines w:val="0"/>
        <w:pageBreakBefore w:val="0"/>
        <w:kinsoku/>
        <w:wordWrap/>
        <w:overflowPunct/>
        <w:topLinePunct w:val="0"/>
        <w:autoSpaceDE/>
        <w:autoSpaceDN/>
        <w:bidi w:val="0"/>
        <w:adjustRightInd/>
        <w:snapToGrid/>
        <w:spacing w:line="360" w:lineRule="auto"/>
        <w:ind w:firstLine="422" w:firstLineChars="200"/>
        <w:jc w:val="left"/>
        <w:textAlignment w:val="auto"/>
        <w:rPr>
          <w:rFonts w:ascii="宋体" w:hAnsi="宋体"/>
          <w:b/>
          <w:color w:val="000000"/>
          <w:szCs w:val="21"/>
        </w:rPr>
      </w:pPr>
      <w:r>
        <w:rPr>
          <w:rFonts w:hint="eastAsia" w:ascii="宋体" w:hAnsi="宋体"/>
          <w:b/>
          <w:color w:val="000000"/>
          <w:szCs w:val="21"/>
        </w:rPr>
        <w:t>2、开标时合同、证书等须携带原件，以备核实。</w:t>
      </w:r>
    </w:p>
    <w:p>
      <w:pPr>
        <w:keepNext w:val="0"/>
        <w:keepLines w:val="0"/>
        <w:pageBreakBefore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b/>
          <w:color w:val="000000"/>
          <w:szCs w:val="21"/>
        </w:rPr>
      </w:pPr>
      <w:r>
        <w:rPr>
          <w:rFonts w:hint="eastAsia" w:ascii="宋体" w:hAnsi="宋体"/>
          <w:b/>
          <w:color w:val="000000"/>
          <w:szCs w:val="21"/>
        </w:rPr>
        <w:t>（三）技术商务分的计算</w:t>
      </w:r>
    </w:p>
    <w:p>
      <w:pPr>
        <w:pStyle w:val="17"/>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评委打分采用记名方式进行独立打分，汇总所有评委会成员技术商务评分，取算术平均值（小数点后保留二位数）为该投标人的得分。</w:t>
      </w:r>
    </w:p>
    <w:p>
      <w:pPr>
        <w:pStyle w:val="2"/>
        <w:numPr>
          <w:ilvl w:val="0"/>
          <w:numId w:val="9"/>
        </w:numPr>
        <w:spacing w:before="100" w:after="100" w:line="360" w:lineRule="auto"/>
        <w:jc w:val="center"/>
        <w:rPr>
          <w:kern w:val="0"/>
          <w:sz w:val="30"/>
          <w:szCs w:val="30"/>
        </w:rPr>
      </w:pPr>
      <w:r>
        <w:rPr>
          <w:rFonts w:ascii="黑体" w:hAnsi="宋体" w:eastAsia="黑体"/>
          <w:color w:val="000000"/>
          <w:sz w:val="30"/>
          <w:szCs w:val="30"/>
        </w:rPr>
        <w:br w:type="page"/>
      </w:r>
      <w:bookmarkEnd w:id="23"/>
      <w:bookmarkStart w:id="24" w:name="_Toc414528497"/>
      <w:bookmarkStart w:id="25" w:name="_Toc11441"/>
      <w:bookmarkStart w:id="26" w:name="_Toc496687423"/>
      <w:r>
        <w:rPr>
          <w:kern w:val="0"/>
          <w:sz w:val="30"/>
          <w:szCs w:val="30"/>
        </w:rPr>
        <w:t>合同条款</w:t>
      </w:r>
      <w:bookmarkEnd w:id="24"/>
      <w:bookmarkEnd w:id="25"/>
      <w:r>
        <w:rPr>
          <w:rFonts w:hint="eastAsia"/>
          <w:kern w:val="0"/>
          <w:sz w:val="30"/>
          <w:szCs w:val="30"/>
        </w:rPr>
        <w:t>（仅供参考）</w:t>
      </w:r>
    </w:p>
    <w:p>
      <w:pPr>
        <w:spacing w:line="400" w:lineRule="exact"/>
        <w:jc w:val="center"/>
        <w:rPr>
          <w:rFonts w:ascii="宋体" w:hAnsi="宋体"/>
          <w:b/>
          <w:bCs/>
          <w:sz w:val="30"/>
          <w:szCs w:val="30"/>
        </w:rPr>
      </w:pPr>
      <w:r>
        <w:rPr>
          <w:rFonts w:hint="eastAsia" w:ascii="宋体" w:hAnsi="宋体"/>
          <w:b/>
          <w:sz w:val="30"/>
          <w:szCs w:val="30"/>
        </w:rPr>
        <w:t>政府采购合同指引（服务）</w:t>
      </w:r>
    </w:p>
    <w:p>
      <w:pPr>
        <w:spacing w:line="400" w:lineRule="exact"/>
        <w:rPr>
          <w:rFonts w:hint="eastAsia" w:ascii="宋体" w:hAnsi="宋体"/>
          <w:szCs w:val="20"/>
        </w:rPr>
      </w:pPr>
    </w:p>
    <w:p>
      <w:pPr>
        <w:spacing w:line="400" w:lineRule="exact"/>
        <w:ind w:firstLine="420" w:firstLineChars="200"/>
        <w:rPr>
          <w:rFonts w:hint="eastAsia" w:ascii="宋体" w:hAnsi="宋体"/>
          <w:szCs w:val="20"/>
        </w:rPr>
      </w:pPr>
      <w:r>
        <w:rPr>
          <w:rFonts w:hint="eastAsia" w:ascii="宋体" w:hAnsi="宋体"/>
          <w:szCs w:val="20"/>
        </w:rPr>
        <w:t xml:space="preserve">采购人（甲方）： </w:t>
      </w:r>
      <w:r>
        <w:rPr>
          <w:rFonts w:hint="eastAsia" w:ascii="宋体" w:hAnsi="宋体"/>
          <w:szCs w:val="20"/>
          <w:u w:val="single"/>
        </w:rPr>
        <w:t xml:space="preserve">                                                                   </w:t>
      </w:r>
    </w:p>
    <w:p>
      <w:pPr>
        <w:spacing w:line="400" w:lineRule="exact"/>
        <w:ind w:firstLine="420" w:firstLineChars="200"/>
        <w:rPr>
          <w:rFonts w:hint="eastAsia" w:ascii="宋体" w:hAnsi="宋体"/>
          <w:szCs w:val="20"/>
        </w:rPr>
      </w:pPr>
      <w:r>
        <w:rPr>
          <w:rFonts w:hint="eastAsia" w:ascii="宋体" w:hAnsi="宋体"/>
          <w:szCs w:val="20"/>
        </w:rPr>
        <w:t>中标供应商（乙方）：</w:t>
      </w:r>
      <w:r>
        <w:rPr>
          <w:rFonts w:hint="eastAsia" w:ascii="宋体" w:hAnsi="宋体"/>
          <w:b/>
          <w:szCs w:val="20"/>
        </w:rPr>
        <w:t xml:space="preserve"> </w:t>
      </w:r>
      <w:r>
        <w:rPr>
          <w:rFonts w:hint="eastAsia" w:ascii="宋体" w:hAnsi="宋体"/>
          <w:szCs w:val="20"/>
          <w:u w:val="single"/>
        </w:rPr>
        <w:t xml:space="preserve">                                                               </w:t>
      </w:r>
    </w:p>
    <w:p>
      <w:pPr>
        <w:spacing w:line="400" w:lineRule="exact"/>
        <w:ind w:firstLine="420" w:firstLineChars="200"/>
        <w:rPr>
          <w:rFonts w:hint="eastAsia" w:ascii="宋体" w:hAnsi="宋体"/>
          <w:szCs w:val="20"/>
        </w:rPr>
      </w:pPr>
    </w:p>
    <w:p>
      <w:pPr>
        <w:spacing w:line="400" w:lineRule="exact"/>
        <w:ind w:firstLine="420" w:firstLineChars="200"/>
        <w:rPr>
          <w:rFonts w:hint="eastAsia" w:ascii="宋体" w:hAnsi="宋体"/>
          <w:szCs w:val="20"/>
        </w:rPr>
      </w:pPr>
      <w:r>
        <w:rPr>
          <w:rFonts w:hint="eastAsia" w:ascii="宋体" w:hAnsi="宋体"/>
          <w:szCs w:val="20"/>
        </w:rPr>
        <w:t>根据</w:t>
      </w:r>
      <w:r>
        <w:rPr>
          <w:rFonts w:hint="eastAsia" w:ascii="宋体" w:hAnsi="宋体"/>
          <w:szCs w:val="20"/>
          <w:u w:val="single"/>
        </w:rPr>
        <w:t xml:space="preserve">     </w:t>
      </w:r>
      <w:r>
        <w:rPr>
          <w:rFonts w:hint="eastAsia" w:ascii="宋体" w:hAnsi="宋体"/>
          <w:szCs w:val="20"/>
        </w:rPr>
        <w:t>年</w:t>
      </w:r>
      <w:r>
        <w:rPr>
          <w:rFonts w:hint="eastAsia" w:ascii="宋体" w:hAnsi="宋体"/>
          <w:szCs w:val="20"/>
          <w:u w:val="single"/>
        </w:rPr>
        <w:t xml:space="preserve">    </w:t>
      </w:r>
      <w:r>
        <w:rPr>
          <w:rFonts w:hint="eastAsia" w:ascii="宋体" w:hAnsi="宋体"/>
          <w:szCs w:val="20"/>
        </w:rPr>
        <w:t>月</w:t>
      </w:r>
      <w:r>
        <w:rPr>
          <w:rFonts w:hint="eastAsia" w:ascii="宋体" w:hAnsi="宋体"/>
          <w:szCs w:val="20"/>
          <w:u w:val="single"/>
        </w:rPr>
        <w:t xml:space="preserve">    </w:t>
      </w:r>
      <w:r>
        <w:rPr>
          <w:rFonts w:hint="eastAsia" w:ascii="宋体" w:hAnsi="宋体"/>
          <w:szCs w:val="20"/>
        </w:rPr>
        <w:t>日关于</w:t>
      </w:r>
      <w:r>
        <w:rPr>
          <w:rFonts w:hint="eastAsia" w:ascii="宋体" w:hAnsi="宋体"/>
          <w:szCs w:val="20"/>
          <w:u w:val="single"/>
        </w:rPr>
        <w:t xml:space="preserve">                    </w:t>
      </w:r>
      <w:r>
        <w:rPr>
          <w:rFonts w:hint="eastAsia" w:ascii="宋体" w:hAnsi="宋体"/>
          <w:szCs w:val="20"/>
        </w:rPr>
        <w:t>项目公开招标的结果，甲、乙双方同意签署本合同。</w:t>
      </w:r>
    </w:p>
    <w:p>
      <w:pPr>
        <w:spacing w:line="400" w:lineRule="exact"/>
        <w:ind w:firstLine="422" w:firstLineChars="200"/>
        <w:rPr>
          <w:rFonts w:hint="eastAsia" w:ascii="宋体" w:hAnsi="宋体"/>
          <w:b/>
          <w:bCs/>
          <w:szCs w:val="21"/>
        </w:rPr>
      </w:pPr>
      <w:r>
        <w:rPr>
          <w:rFonts w:hint="eastAsia" w:ascii="宋体" w:hAnsi="宋体"/>
          <w:b/>
          <w:bCs/>
          <w:szCs w:val="21"/>
        </w:rPr>
        <w:t>1.  中标内容</w:t>
      </w:r>
    </w:p>
    <w:p>
      <w:pPr>
        <w:tabs>
          <w:tab w:val="left" w:pos="5220"/>
        </w:tabs>
        <w:spacing w:line="400" w:lineRule="exact"/>
        <w:ind w:firstLine="420" w:firstLineChars="200"/>
        <w:rPr>
          <w:rFonts w:hint="eastAsia" w:ascii="宋体" w:hAnsi="宋体"/>
          <w:szCs w:val="20"/>
          <w:u w:val="single"/>
        </w:rPr>
      </w:pPr>
      <w:r>
        <w:rPr>
          <w:rFonts w:hint="eastAsia" w:ascii="宋体" w:hAnsi="宋体"/>
          <w:szCs w:val="20"/>
        </w:rPr>
        <w:t>1.1 服务名称：</w:t>
      </w:r>
      <w:r>
        <w:rPr>
          <w:rFonts w:hint="eastAsia" w:ascii="宋体" w:hAnsi="宋体"/>
          <w:szCs w:val="20"/>
          <w:u w:val="single"/>
        </w:rPr>
        <w:t xml:space="preserve">                        </w:t>
      </w:r>
    </w:p>
    <w:p>
      <w:pPr>
        <w:tabs>
          <w:tab w:val="left" w:pos="5220"/>
        </w:tabs>
        <w:spacing w:line="400" w:lineRule="exact"/>
        <w:ind w:firstLine="420" w:firstLineChars="200"/>
        <w:rPr>
          <w:rFonts w:hint="eastAsia" w:ascii="宋体" w:hAnsi="宋体"/>
          <w:szCs w:val="20"/>
        </w:rPr>
      </w:pPr>
      <w:r>
        <w:rPr>
          <w:rFonts w:hint="eastAsia" w:ascii="宋体" w:hAnsi="宋体"/>
          <w:szCs w:val="20"/>
        </w:rPr>
        <w:t>1.2 数量：</w:t>
      </w:r>
      <w:r>
        <w:rPr>
          <w:rFonts w:hint="eastAsia" w:ascii="宋体" w:hAnsi="宋体"/>
          <w:szCs w:val="20"/>
          <w:u w:val="single"/>
        </w:rPr>
        <w:t xml:space="preserve">      （详见投标文件）</w:t>
      </w:r>
      <w:r>
        <w:rPr>
          <w:rFonts w:ascii="宋体" w:hAnsi="宋体"/>
          <w:szCs w:val="20"/>
          <w:u w:val="single"/>
        </w:rPr>
        <w:t xml:space="preserve">     </w:t>
      </w:r>
      <w:r>
        <w:rPr>
          <w:rFonts w:hint="eastAsia" w:ascii="宋体" w:hAnsi="宋体"/>
          <w:szCs w:val="20"/>
          <w:u w:val="single"/>
        </w:rPr>
        <w:t xml:space="preserve"> </w:t>
      </w:r>
    </w:p>
    <w:p>
      <w:pPr>
        <w:tabs>
          <w:tab w:val="left" w:pos="5220"/>
        </w:tabs>
        <w:spacing w:line="400" w:lineRule="exact"/>
        <w:ind w:firstLine="420" w:firstLineChars="200"/>
        <w:rPr>
          <w:rFonts w:hint="eastAsia" w:ascii="宋体" w:hAnsi="宋体"/>
          <w:szCs w:val="20"/>
        </w:rPr>
      </w:pPr>
      <w:r>
        <w:rPr>
          <w:rFonts w:hint="eastAsia" w:ascii="宋体" w:hAnsi="宋体"/>
          <w:szCs w:val="20"/>
        </w:rPr>
        <w:t>1.3 技术参数：</w:t>
      </w:r>
      <w:r>
        <w:rPr>
          <w:rFonts w:hint="eastAsia" w:ascii="宋体" w:hAnsi="宋体"/>
          <w:szCs w:val="20"/>
          <w:u w:val="single"/>
        </w:rPr>
        <w:t xml:space="preserve">     （详见投标文件）    </w:t>
      </w:r>
    </w:p>
    <w:p>
      <w:pPr>
        <w:spacing w:line="400" w:lineRule="exact"/>
        <w:ind w:firstLine="422" w:firstLineChars="200"/>
        <w:rPr>
          <w:rFonts w:hint="eastAsia" w:ascii="宋体" w:hAnsi="宋体"/>
          <w:b/>
          <w:bCs/>
          <w:szCs w:val="21"/>
        </w:rPr>
      </w:pPr>
      <w:r>
        <w:rPr>
          <w:rFonts w:hint="eastAsia" w:ascii="宋体" w:hAnsi="宋体"/>
          <w:b/>
          <w:bCs/>
          <w:szCs w:val="21"/>
        </w:rPr>
        <w:t>2.  合同金额</w:t>
      </w:r>
    </w:p>
    <w:p>
      <w:pPr>
        <w:spacing w:line="400" w:lineRule="exact"/>
        <w:ind w:firstLine="420" w:firstLineChars="200"/>
        <w:rPr>
          <w:rFonts w:hint="eastAsia" w:ascii="宋体" w:hAnsi="宋体"/>
          <w:szCs w:val="20"/>
          <w:u w:val="single"/>
        </w:rPr>
      </w:pPr>
      <w:r>
        <w:rPr>
          <w:rFonts w:hint="eastAsia" w:ascii="宋体" w:hAnsi="宋体"/>
          <w:szCs w:val="20"/>
        </w:rPr>
        <w:t>2.1 本合同金额为（大写）人民币</w:t>
      </w:r>
      <w:r>
        <w:rPr>
          <w:rFonts w:hint="eastAsia" w:ascii="宋体" w:hAnsi="宋体"/>
          <w:szCs w:val="20"/>
          <w:u w:val="single"/>
        </w:rPr>
        <w:t xml:space="preserve">                 </w:t>
      </w:r>
      <w:r>
        <w:rPr>
          <w:rFonts w:hint="eastAsia" w:ascii="宋体" w:hAnsi="宋体"/>
          <w:szCs w:val="20"/>
        </w:rPr>
        <w:t>（￥</w:t>
      </w:r>
      <w:r>
        <w:rPr>
          <w:rFonts w:hint="eastAsia" w:ascii="宋体" w:hAnsi="宋体"/>
          <w:szCs w:val="20"/>
          <w:u w:val="single"/>
        </w:rPr>
        <w:t xml:space="preserve">　   　　 </w:t>
      </w:r>
      <w:r>
        <w:rPr>
          <w:rFonts w:hint="eastAsia" w:ascii="宋体" w:hAnsi="宋体"/>
          <w:szCs w:val="20"/>
        </w:rPr>
        <w:t>元）。（详见中标通知书）</w:t>
      </w:r>
    </w:p>
    <w:p>
      <w:pPr>
        <w:spacing w:line="400" w:lineRule="exact"/>
        <w:ind w:firstLine="422" w:firstLineChars="200"/>
        <w:rPr>
          <w:rFonts w:hint="eastAsia" w:ascii="宋体" w:hAnsi="宋体"/>
          <w:b/>
          <w:bCs/>
          <w:szCs w:val="21"/>
        </w:rPr>
      </w:pPr>
      <w:r>
        <w:rPr>
          <w:rFonts w:hint="eastAsia" w:ascii="宋体" w:hAnsi="宋体"/>
          <w:b/>
          <w:bCs/>
          <w:szCs w:val="21"/>
        </w:rPr>
        <w:t>3.  提交服务成果时间和地点</w:t>
      </w:r>
    </w:p>
    <w:p>
      <w:pPr>
        <w:tabs>
          <w:tab w:val="left" w:pos="5250"/>
          <w:tab w:val="left" w:pos="5940"/>
        </w:tabs>
        <w:spacing w:line="400" w:lineRule="exact"/>
        <w:ind w:firstLine="420" w:firstLineChars="200"/>
        <w:rPr>
          <w:rFonts w:hint="eastAsia" w:ascii="宋体" w:hAnsi="宋体"/>
          <w:szCs w:val="20"/>
          <w:u w:val="single"/>
        </w:rPr>
      </w:pPr>
      <w:r>
        <w:rPr>
          <w:rFonts w:hint="eastAsia" w:ascii="宋体" w:hAnsi="宋体"/>
          <w:bCs/>
          <w:szCs w:val="20"/>
        </w:rPr>
        <w:t>3.1 提交服务成果时间：</w:t>
      </w:r>
      <w:r>
        <w:rPr>
          <w:rFonts w:hint="eastAsia" w:ascii="宋体" w:hAnsi="宋体"/>
          <w:szCs w:val="20"/>
          <w:u w:val="single"/>
        </w:rPr>
        <w:t xml:space="preserve">                                                             </w:t>
      </w:r>
    </w:p>
    <w:p>
      <w:pPr>
        <w:tabs>
          <w:tab w:val="left" w:pos="5250"/>
          <w:tab w:val="left" w:pos="5940"/>
        </w:tabs>
        <w:spacing w:line="400" w:lineRule="exact"/>
        <w:ind w:firstLine="420" w:firstLineChars="200"/>
        <w:rPr>
          <w:rFonts w:hint="eastAsia" w:ascii="宋体" w:hAnsi="宋体"/>
          <w:b/>
          <w:bCs/>
          <w:sz w:val="24"/>
        </w:rPr>
      </w:pPr>
      <w:r>
        <w:rPr>
          <w:rFonts w:hint="eastAsia" w:ascii="宋体" w:hAnsi="宋体"/>
          <w:szCs w:val="20"/>
          <w:u w:val="single"/>
        </w:rPr>
        <w:t xml:space="preserve">                                                                                   </w:t>
      </w:r>
    </w:p>
    <w:p>
      <w:pPr>
        <w:tabs>
          <w:tab w:val="left" w:pos="5940"/>
        </w:tabs>
        <w:spacing w:line="400" w:lineRule="exact"/>
        <w:ind w:firstLine="420" w:firstLineChars="200"/>
        <w:rPr>
          <w:rFonts w:hint="eastAsia" w:ascii="宋体" w:hAnsi="宋体"/>
          <w:b/>
          <w:bCs/>
          <w:sz w:val="24"/>
        </w:rPr>
      </w:pPr>
      <w:r>
        <w:rPr>
          <w:rFonts w:hint="eastAsia" w:ascii="宋体" w:hAnsi="宋体"/>
          <w:bCs/>
          <w:szCs w:val="20"/>
        </w:rPr>
        <w:t>3.2 提交服务成果地点：</w:t>
      </w:r>
      <w:r>
        <w:rPr>
          <w:rFonts w:hint="eastAsia" w:ascii="宋体" w:hAnsi="宋体"/>
          <w:szCs w:val="20"/>
          <w:u w:val="single"/>
        </w:rPr>
        <w:t xml:space="preserve">                                                             </w:t>
      </w:r>
    </w:p>
    <w:p>
      <w:pPr>
        <w:tabs>
          <w:tab w:val="left" w:pos="5940"/>
        </w:tabs>
        <w:spacing w:line="400" w:lineRule="exact"/>
        <w:ind w:firstLine="420" w:firstLineChars="200"/>
        <w:rPr>
          <w:rFonts w:hint="eastAsia" w:ascii="宋体" w:hAnsi="宋体"/>
          <w:b/>
          <w:bCs/>
          <w:sz w:val="24"/>
        </w:rPr>
      </w:pPr>
      <w:r>
        <w:rPr>
          <w:rFonts w:hint="eastAsia" w:ascii="宋体" w:hAnsi="宋体"/>
          <w:bCs/>
          <w:szCs w:val="20"/>
        </w:rPr>
        <w:t xml:space="preserve">3.3 </w:t>
      </w:r>
      <w:r>
        <w:rPr>
          <w:rFonts w:hint="eastAsia" w:ascii="宋体" w:hAnsi="宋体"/>
          <w:szCs w:val="20"/>
        </w:rPr>
        <w:t>乙方必须按投标文件承诺的服务响应条款向甲方提供服务。</w:t>
      </w:r>
    </w:p>
    <w:p>
      <w:pPr>
        <w:spacing w:line="400" w:lineRule="exact"/>
        <w:ind w:firstLine="422" w:firstLineChars="200"/>
        <w:rPr>
          <w:rFonts w:hint="eastAsia" w:ascii="宋体" w:hAnsi="宋体"/>
          <w:b/>
          <w:bCs/>
          <w:szCs w:val="21"/>
        </w:rPr>
      </w:pPr>
      <w:r>
        <w:rPr>
          <w:rFonts w:hint="eastAsia" w:ascii="宋体" w:hAnsi="宋体"/>
          <w:b/>
          <w:bCs/>
          <w:szCs w:val="21"/>
        </w:rPr>
        <w:t>4.  履约保证金</w:t>
      </w:r>
    </w:p>
    <w:p>
      <w:pPr>
        <w:tabs>
          <w:tab w:val="left" w:pos="5145"/>
        </w:tabs>
        <w:spacing w:line="400" w:lineRule="exact"/>
        <w:ind w:firstLine="420" w:firstLineChars="200"/>
        <w:rPr>
          <w:rFonts w:hint="eastAsia" w:ascii="宋体" w:hAnsi="宋体"/>
          <w:szCs w:val="20"/>
          <w:u w:val="single"/>
        </w:rPr>
      </w:pPr>
      <w:r>
        <w:rPr>
          <w:rFonts w:hint="eastAsia" w:ascii="宋体" w:hAnsi="宋体"/>
          <w:szCs w:val="20"/>
        </w:rPr>
        <w:t>4.1 乙方交纳（大写）人民币</w:t>
      </w:r>
      <w:r>
        <w:rPr>
          <w:rFonts w:hint="eastAsia" w:ascii="宋体" w:hAnsi="宋体"/>
          <w:szCs w:val="20"/>
          <w:u w:val="single"/>
        </w:rPr>
        <w:t xml:space="preserve">    </w:t>
      </w:r>
      <w:r>
        <w:rPr>
          <w:rFonts w:hint="eastAsia" w:ascii="宋体" w:hAnsi="宋体"/>
          <w:szCs w:val="21"/>
          <w:u w:val="single"/>
        </w:rPr>
        <w:t xml:space="preserve"> </w:t>
      </w:r>
      <w:r>
        <w:rPr>
          <w:rFonts w:hint="eastAsia" w:ascii="宋体" w:hAnsi="宋体"/>
          <w:szCs w:val="20"/>
          <w:u w:val="single"/>
        </w:rPr>
        <w:t xml:space="preserve">           </w:t>
      </w:r>
      <w:r>
        <w:rPr>
          <w:rFonts w:hint="eastAsia" w:ascii="宋体" w:hAnsi="宋体"/>
          <w:szCs w:val="20"/>
        </w:rPr>
        <w:t>（￥</w:t>
      </w:r>
      <w:r>
        <w:rPr>
          <w:rFonts w:hint="eastAsia" w:ascii="宋体" w:hAnsi="宋体"/>
          <w:szCs w:val="20"/>
          <w:u w:val="single"/>
        </w:rPr>
        <w:t xml:space="preserve">　　 </w:t>
      </w:r>
      <w:r>
        <w:rPr>
          <w:rFonts w:hint="eastAsia" w:ascii="宋体" w:hAnsi="宋体"/>
          <w:szCs w:val="20"/>
        </w:rPr>
        <w:t>元）作为本合同的履约保证金。</w:t>
      </w:r>
    </w:p>
    <w:p>
      <w:pPr>
        <w:spacing w:line="400" w:lineRule="exact"/>
        <w:ind w:firstLine="420" w:firstLineChars="200"/>
        <w:rPr>
          <w:rFonts w:hint="eastAsia" w:ascii="宋体" w:hAnsi="宋体"/>
          <w:szCs w:val="20"/>
        </w:rPr>
      </w:pPr>
      <w:r>
        <w:rPr>
          <w:rFonts w:hint="eastAsia" w:ascii="宋体" w:hAnsi="宋体"/>
          <w:szCs w:val="20"/>
        </w:rPr>
        <w:t>4.2 履约保证金作为违约金的一部分用于补偿甲方因乙方不能完成其合同义务而蒙受的损失。</w:t>
      </w:r>
    </w:p>
    <w:p>
      <w:pPr>
        <w:spacing w:line="400" w:lineRule="exact"/>
        <w:ind w:firstLine="422" w:firstLineChars="200"/>
        <w:rPr>
          <w:rFonts w:hint="eastAsia" w:ascii="宋体" w:hAnsi="宋体"/>
          <w:b/>
          <w:bCs/>
          <w:szCs w:val="21"/>
        </w:rPr>
      </w:pPr>
      <w:r>
        <w:rPr>
          <w:rFonts w:hint="eastAsia" w:ascii="宋体" w:hAnsi="宋体"/>
          <w:b/>
          <w:bCs/>
          <w:szCs w:val="21"/>
        </w:rPr>
        <w:t>5.  产权</w:t>
      </w:r>
    </w:p>
    <w:p>
      <w:pPr>
        <w:spacing w:line="400" w:lineRule="exact"/>
        <w:ind w:firstLine="420" w:firstLineChars="200"/>
        <w:rPr>
          <w:rFonts w:hint="eastAsia" w:ascii="宋体" w:hAnsi="宋体"/>
          <w:b/>
          <w:szCs w:val="20"/>
        </w:rPr>
      </w:pPr>
      <w:r>
        <w:rPr>
          <w:rFonts w:hint="eastAsia" w:ascii="宋体" w:hAnsi="宋体"/>
          <w:szCs w:val="20"/>
        </w:rPr>
        <w:t>5.1 乙方应保证所提供的服务或其任何一部分均不会侵犯任何第三方的专利权、商标权或著作权</w:t>
      </w:r>
      <w:r>
        <w:rPr>
          <w:rFonts w:hint="eastAsia" w:ascii="宋体" w:hAnsi="宋体"/>
          <w:bCs/>
          <w:szCs w:val="20"/>
        </w:rPr>
        <w:t>。</w:t>
      </w:r>
    </w:p>
    <w:p>
      <w:pPr>
        <w:spacing w:line="400" w:lineRule="exact"/>
        <w:ind w:firstLine="420" w:firstLineChars="200"/>
        <w:rPr>
          <w:rFonts w:hint="eastAsia" w:ascii="宋体" w:hAnsi="宋体"/>
          <w:b/>
          <w:szCs w:val="20"/>
        </w:rPr>
      </w:pPr>
      <w:r>
        <w:rPr>
          <w:rFonts w:hint="eastAsia" w:ascii="宋体" w:hAnsi="宋体"/>
          <w:szCs w:val="20"/>
        </w:rPr>
        <w:t>5.2 乙方保证所交付服务的所有权完全属于乙方且无任何抵押、查封等产权瑕疵。如乙方所交付服务有产权瑕疵的，视为乙方违约，按照本合同第10.3项的约定处理。但在已经全部支付完合同款后才发现有产权瑕疵的，乙方除了支付违约金还应负担甲方由此产生的一切损失。</w:t>
      </w:r>
    </w:p>
    <w:p>
      <w:pPr>
        <w:spacing w:line="400" w:lineRule="exact"/>
        <w:ind w:firstLine="422" w:firstLineChars="200"/>
        <w:rPr>
          <w:rFonts w:hint="eastAsia" w:ascii="宋体" w:hAnsi="宋体"/>
          <w:b/>
          <w:bCs/>
          <w:szCs w:val="21"/>
        </w:rPr>
      </w:pPr>
      <w:r>
        <w:rPr>
          <w:rFonts w:hint="eastAsia" w:ascii="宋体" w:hAnsi="宋体"/>
          <w:b/>
          <w:bCs/>
          <w:szCs w:val="21"/>
        </w:rPr>
        <w:t>6.  技术资料</w:t>
      </w:r>
    </w:p>
    <w:p>
      <w:pPr>
        <w:tabs>
          <w:tab w:val="left" w:pos="0"/>
        </w:tabs>
        <w:spacing w:line="400" w:lineRule="exact"/>
        <w:ind w:firstLine="420" w:firstLineChars="200"/>
        <w:rPr>
          <w:rFonts w:hint="eastAsia" w:ascii="宋体" w:hAnsi="宋体"/>
          <w:szCs w:val="20"/>
        </w:rPr>
      </w:pPr>
      <w:r>
        <w:rPr>
          <w:rFonts w:hint="eastAsia" w:ascii="宋体" w:hAnsi="宋体"/>
          <w:szCs w:val="20"/>
        </w:rPr>
        <w:t>6.1 甲方应向乙方提供提交服务成果所必需的有关数据、资料等。</w:t>
      </w:r>
    </w:p>
    <w:p>
      <w:pPr>
        <w:tabs>
          <w:tab w:val="left" w:pos="0"/>
        </w:tabs>
        <w:spacing w:line="400" w:lineRule="exact"/>
        <w:ind w:firstLine="420" w:firstLineChars="200"/>
        <w:rPr>
          <w:rFonts w:hint="eastAsia" w:ascii="宋体" w:hAnsi="宋体"/>
          <w:szCs w:val="20"/>
        </w:rPr>
      </w:pPr>
      <w:r>
        <w:rPr>
          <w:rFonts w:hint="eastAsia" w:ascii="宋体" w:hAnsi="宋体"/>
          <w:szCs w:val="20"/>
        </w:rPr>
        <w:t>6.2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00" w:lineRule="exact"/>
        <w:ind w:firstLine="422" w:firstLineChars="200"/>
        <w:rPr>
          <w:rFonts w:hint="eastAsia" w:ascii="宋体" w:hAnsi="宋体"/>
          <w:b/>
          <w:bCs/>
          <w:szCs w:val="21"/>
        </w:rPr>
      </w:pPr>
      <w:r>
        <w:rPr>
          <w:rFonts w:hint="eastAsia" w:ascii="宋体" w:hAnsi="宋体"/>
          <w:b/>
          <w:bCs/>
          <w:szCs w:val="21"/>
        </w:rPr>
        <w:t>7.  验收</w:t>
      </w:r>
    </w:p>
    <w:p>
      <w:pPr>
        <w:tabs>
          <w:tab w:val="left" w:pos="0"/>
        </w:tabs>
        <w:spacing w:line="400" w:lineRule="exact"/>
        <w:ind w:firstLine="420" w:firstLineChars="200"/>
        <w:rPr>
          <w:rFonts w:hint="eastAsia" w:ascii="宋体" w:hAnsi="宋体"/>
          <w:szCs w:val="20"/>
        </w:rPr>
      </w:pPr>
      <w:r>
        <w:rPr>
          <w:rFonts w:hint="eastAsia" w:ascii="宋体" w:hAnsi="宋体"/>
          <w:szCs w:val="20"/>
        </w:rPr>
        <w:t>7.1 乙方应对提交的服务成果作出全面检查和整理，并列出清单，作为甲方验收和使用的技术条件依据，清单应随提交的服务成果交给甲方。</w:t>
      </w:r>
    </w:p>
    <w:p>
      <w:pPr>
        <w:tabs>
          <w:tab w:val="left" w:pos="0"/>
        </w:tabs>
        <w:spacing w:line="400" w:lineRule="exact"/>
        <w:ind w:firstLine="420" w:firstLineChars="200"/>
        <w:rPr>
          <w:rFonts w:hint="eastAsia" w:ascii="宋体" w:hAnsi="宋体"/>
          <w:szCs w:val="20"/>
        </w:rPr>
      </w:pPr>
      <w:r>
        <w:rPr>
          <w:rFonts w:hint="eastAsia" w:ascii="宋体" w:hAnsi="宋体"/>
          <w:szCs w:val="20"/>
        </w:rPr>
        <w:t>7.2 乙方在指定地点提交服务成果后，甲方应在五个工作日内依据招标文件、乙方的投标文件等组织验收，验收完毕后作出书面验收报告。验收时乙方必须在现场。</w:t>
      </w:r>
    </w:p>
    <w:p>
      <w:pPr>
        <w:tabs>
          <w:tab w:val="left" w:pos="0"/>
        </w:tabs>
        <w:spacing w:line="400" w:lineRule="exact"/>
        <w:ind w:firstLine="420" w:firstLineChars="200"/>
        <w:rPr>
          <w:rFonts w:hint="eastAsia" w:ascii="宋体" w:hAnsi="宋体"/>
          <w:szCs w:val="20"/>
        </w:rPr>
      </w:pPr>
      <w:r>
        <w:rPr>
          <w:rFonts w:hint="eastAsia" w:ascii="宋体" w:hAnsi="宋体"/>
          <w:szCs w:val="20"/>
        </w:rPr>
        <w:t>7.3 对复杂的服务，甲方可请国家认可的专业机构参与验收，并由其出具验收报告，相关费用由甲方承担。</w:t>
      </w:r>
    </w:p>
    <w:p>
      <w:pPr>
        <w:spacing w:line="400" w:lineRule="exact"/>
        <w:ind w:firstLine="422" w:firstLineChars="200"/>
        <w:rPr>
          <w:rFonts w:hint="eastAsia" w:ascii="宋体" w:hAnsi="宋体"/>
          <w:b/>
          <w:bCs/>
          <w:szCs w:val="21"/>
        </w:rPr>
      </w:pPr>
      <w:r>
        <w:rPr>
          <w:rFonts w:hint="eastAsia" w:ascii="宋体" w:hAnsi="宋体"/>
          <w:b/>
          <w:bCs/>
          <w:szCs w:val="21"/>
        </w:rPr>
        <w:t>8.  合同款支付</w:t>
      </w:r>
    </w:p>
    <w:p>
      <w:pPr>
        <w:tabs>
          <w:tab w:val="left" w:pos="5145"/>
          <w:tab w:val="left" w:pos="5355"/>
          <w:tab w:val="left" w:pos="6195"/>
        </w:tabs>
        <w:spacing w:line="400" w:lineRule="exact"/>
        <w:ind w:firstLine="420" w:firstLineChars="200"/>
        <w:rPr>
          <w:rFonts w:hint="eastAsia" w:ascii="宋体" w:hAnsi="宋体"/>
          <w:bCs/>
          <w:szCs w:val="20"/>
          <w:u w:val="single"/>
        </w:rPr>
      </w:pPr>
      <w:r>
        <w:rPr>
          <w:rFonts w:hint="eastAsia" w:ascii="宋体" w:hAnsi="宋体"/>
          <w:bCs/>
          <w:szCs w:val="20"/>
        </w:rPr>
        <w:t>8.1 付款方式：</w:t>
      </w:r>
      <w:r>
        <w:rPr>
          <w:rFonts w:hint="eastAsia" w:ascii="宋体" w:hAnsi="宋体"/>
          <w:bCs/>
          <w:szCs w:val="20"/>
          <w:u w:val="single"/>
        </w:rPr>
        <w:t xml:space="preserve">                                                                      </w:t>
      </w:r>
    </w:p>
    <w:p>
      <w:pPr>
        <w:tabs>
          <w:tab w:val="left" w:pos="5145"/>
          <w:tab w:val="left" w:pos="5355"/>
          <w:tab w:val="left" w:pos="6195"/>
        </w:tabs>
        <w:spacing w:line="400" w:lineRule="exact"/>
        <w:ind w:firstLine="420" w:firstLineChars="200"/>
        <w:rPr>
          <w:rFonts w:hint="eastAsia" w:ascii="宋体" w:hAnsi="宋体"/>
          <w:bCs/>
          <w:szCs w:val="20"/>
          <w:u w:val="single"/>
        </w:rPr>
      </w:pPr>
      <w:r>
        <w:rPr>
          <w:rFonts w:hint="eastAsia" w:ascii="宋体" w:hAnsi="宋体"/>
          <w:bCs/>
          <w:szCs w:val="20"/>
          <w:u w:val="single"/>
        </w:rPr>
        <w:t xml:space="preserve">                                                                                    </w:t>
      </w:r>
    </w:p>
    <w:p>
      <w:pPr>
        <w:tabs>
          <w:tab w:val="left" w:pos="5145"/>
          <w:tab w:val="left" w:pos="5355"/>
          <w:tab w:val="left" w:pos="6195"/>
        </w:tabs>
        <w:spacing w:line="400" w:lineRule="exact"/>
        <w:ind w:firstLine="420" w:firstLineChars="200"/>
        <w:rPr>
          <w:rFonts w:hint="eastAsia" w:ascii="宋体" w:hAnsi="宋体"/>
          <w:bCs/>
          <w:szCs w:val="20"/>
          <w:u w:val="single"/>
        </w:rPr>
      </w:pPr>
      <w:r>
        <w:rPr>
          <w:rFonts w:hint="eastAsia" w:ascii="宋体" w:hAnsi="宋体"/>
          <w:szCs w:val="20"/>
        </w:rPr>
        <w:t xml:space="preserve">8.2 </w:t>
      </w:r>
      <w:r>
        <w:rPr>
          <w:rFonts w:hint="eastAsia" w:ascii="宋体" w:hAnsi="宋体"/>
          <w:szCs w:val="21"/>
        </w:rPr>
        <w:t>政府采购监督管理部门在处理投诉事项期间，可以视具体情况书面通知采购人暂停采购活动</w:t>
      </w:r>
      <w:r>
        <w:rPr>
          <w:rFonts w:hint="eastAsia" w:ascii="宋体" w:hAnsi="宋体"/>
          <w:bCs/>
          <w:szCs w:val="20"/>
        </w:rPr>
        <w:t>，并延期支付合同款。</w:t>
      </w:r>
    </w:p>
    <w:p>
      <w:pPr>
        <w:spacing w:line="400" w:lineRule="exact"/>
        <w:ind w:firstLine="422" w:firstLineChars="200"/>
        <w:rPr>
          <w:rFonts w:hint="eastAsia" w:ascii="宋体" w:hAnsi="宋体"/>
          <w:b/>
          <w:bCs/>
          <w:szCs w:val="21"/>
        </w:rPr>
      </w:pPr>
      <w:r>
        <w:rPr>
          <w:rFonts w:hint="eastAsia" w:ascii="宋体" w:hAnsi="宋体"/>
          <w:b/>
          <w:bCs/>
          <w:szCs w:val="21"/>
        </w:rPr>
        <w:t>9.  售后服务要求</w:t>
      </w:r>
    </w:p>
    <w:p>
      <w:pPr>
        <w:spacing w:line="400" w:lineRule="exact"/>
        <w:ind w:firstLine="420" w:firstLineChars="200"/>
        <w:rPr>
          <w:rFonts w:hint="eastAsia" w:ascii="宋体" w:hAnsi="宋体"/>
          <w:szCs w:val="20"/>
          <w:u w:val="single"/>
        </w:rPr>
      </w:pPr>
      <w:r>
        <w:rPr>
          <w:rFonts w:hint="eastAsia" w:ascii="宋体" w:hAnsi="宋体"/>
          <w:szCs w:val="20"/>
        </w:rPr>
        <w:t>9.1 乙方提供服务的质量保证期为：</w:t>
      </w:r>
      <w:r>
        <w:rPr>
          <w:rFonts w:hint="eastAsia" w:ascii="宋体" w:hAnsi="宋体"/>
          <w:szCs w:val="20"/>
          <w:u w:val="single"/>
        </w:rPr>
        <w:t>　　　                       　</w:t>
      </w:r>
      <w:r>
        <w:rPr>
          <w:rFonts w:hint="eastAsia" w:ascii="宋体" w:hAnsi="宋体"/>
          <w:szCs w:val="20"/>
        </w:rPr>
        <w:t>（自提交服务验收合格之日起计）</w:t>
      </w:r>
    </w:p>
    <w:p>
      <w:pPr>
        <w:spacing w:line="400" w:lineRule="exact"/>
        <w:ind w:firstLine="420" w:firstLineChars="200"/>
        <w:jc w:val="left"/>
        <w:rPr>
          <w:rFonts w:hint="eastAsia" w:ascii="宋体" w:hAnsi="宋体"/>
          <w:szCs w:val="20"/>
        </w:rPr>
      </w:pPr>
      <w:r>
        <w:rPr>
          <w:rFonts w:hint="eastAsia" w:ascii="宋体" w:hAnsi="宋体"/>
          <w:szCs w:val="20"/>
        </w:rPr>
        <w:t>9.2履约保证金为（大写）人民币</w:t>
      </w:r>
      <w:r>
        <w:rPr>
          <w:rFonts w:hint="eastAsia" w:ascii="宋体" w:hAnsi="宋体"/>
          <w:szCs w:val="20"/>
          <w:u w:val="single"/>
        </w:rPr>
        <w:t xml:space="preserve">　　           　     　        </w:t>
      </w:r>
      <w:r>
        <w:rPr>
          <w:rFonts w:hint="eastAsia" w:ascii="宋体" w:hAnsi="宋体"/>
          <w:szCs w:val="20"/>
        </w:rPr>
        <w:t>（￥</w:t>
      </w:r>
      <w:r>
        <w:rPr>
          <w:rFonts w:hint="eastAsia" w:ascii="宋体" w:hAnsi="宋体"/>
          <w:szCs w:val="20"/>
          <w:u w:val="single"/>
        </w:rPr>
        <w:t xml:space="preserve">　　　　　　 </w:t>
      </w:r>
      <w:r>
        <w:rPr>
          <w:rFonts w:hint="eastAsia" w:ascii="宋体" w:hAnsi="宋体"/>
          <w:szCs w:val="20"/>
        </w:rPr>
        <w:t>元）。（履约保证金在中标供应商按合同约定所提交的服务验收合格后自行转为质保金。）</w:t>
      </w:r>
    </w:p>
    <w:p>
      <w:pPr>
        <w:spacing w:line="400" w:lineRule="exact"/>
        <w:ind w:firstLine="420" w:firstLineChars="200"/>
        <w:rPr>
          <w:rFonts w:hint="eastAsia" w:ascii="宋体" w:hAnsi="宋体"/>
          <w:szCs w:val="20"/>
        </w:rPr>
      </w:pPr>
      <w:r>
        <w:rPr>
          <w:rFonts w:hint="eastAsia" w:ascii="宋体" w:hAnsi="宋体"/>
          <w:szCs w:val="20"/>
        </w:rPr>
        <w:t>9.3履约保证金自乙方按合同约定服务验收合格之日起转为质量保证金。在质保期内乙方提供的服务符合合同约定，经验收合格，质保期满后五个工作日内以转账或电汇方式无息退还乙方。</w:t>
      </w:r>
    </w:p>
    <w:p>
      <w:pPr>
        <w:spacing w:line="400" w:lineRule="exact"/>
        <w:ind w:firstLine="420" w:firstLineChars="200"/>
        <w:rPr>
          <w:rFonts w:hint="eastAsia" w:ascii="宋体" w:hAnsi="宋体"/>
          <w:szCs w:val="20"/>
        </w:rPr>
      </w:pPr>
      <w:r>
        <w:rPr>
          <w:rFonts w:hint="eastAsia" w:ascii="宋体" w:hAnsi="宋体"/>
          <w:szCs w:val="20"/>
        </w:rPr>
        <w:t>9.4 在本合同第9.1项约定的质量保证期内，乙方应对服务出现的问题负责处理解决并承担一切费用。</w:t>
      </w:r>
    </w:p>
    <w:p>
      <w:pPr>
        <w:tabs>
          <w:tab w:val="left" w:pos="5250"/>
        </w:tabs>
        <w:spacing w:line="400" w:lineRule="exact"/>
        <w:ind w:firstLine="420" w:firstLineChars="200"/>
        <w:rPr>
          <w:rFonts w:hint="eastAsia" w:ascii="宋体" w:hAnsi="宋体"/>
          <w:szCs w:val="20"/>
          <w:u w:val="single"/>
        </w:rPr>
      </w:pPr>
      <w:r>
        <w:rPr>
          <w:rFonts w:hint="eastAsia" w:ascii="宋体" w:hAnsi="宋体"/>
          <w:szCs w:val="20"/>
        </w:rPr>
        <w:t>9.5 其他售后服务要求：</w:t>
      </w:r>
      <w:r>
        <w:rPr>
          <w:rFonts w:hint="eastAsia" w:ascii="宋体" w:hAnsi="宋体"/>
          <w:szCs w:val="20"/>
          <w:u w:val="single"/>
        </w:rPr>
        <w:t xml:space="preserve">                                                                 </w:t>
      </w:r>
    </w:p>
    <w:p>
      <w:pPr>
        <w:spacing w:line="400" w:lineRule="exact"/>
        <w:ind w:firstLine="422" w:firstLineChars="200"/>
        <w:rPr>
          <w:rFonts w:hint="eastAsia" w:ascii="宋体" w:hAnsi="宋体"/>
          <w:b/>
          <w:bCs/>
          <w:szCs w:val="21"/>
        </w:rPr>
      </w:pPr>
      <w:r>
        <w:rPr>
          <w:rFonts w:hint="eastAsia" w:ascii="宋体" w:hAnsi="宋体"/>
          <w:b/>
          <w:bCs/>
          <w:szCs w:val="21"/>
        </w:rPr>
        <w:t>10.  违约责任</w:t>
      </w:r>
    </w:p>
    <w:p>
      <w:pPr>
        <w:spacing w:line="400" w:lineRule="exact"/>
        <w:ind w:firstLine="420" w:firstLineChars="200"/>
        <w:rPr>
          <w:rFonts w:hint="eastAsia" w:ascii="宋体" w:hAnsi="宋体"/>
          <w:szCs w:val="20"/>
        </w:rPr>
      </w:pPr>
      <w:r>
        <w:rPr>
          <w:rFonts w:hint="eastAsia" w:ascii="宋体" w:hAnsi="宋体"/>
          <w:szCs w:val="20"/>
        </w:rPr>
        <w:t>10.1 甲方无正当理由拒收服务的，甲方向乙方偿付拒收服务费总值的百分之五违约金。</w:t>
      </w:r>
    </w:p>
    <w:p>
      <w:pPr>
        <w:spacing w:line="400" w:lineRule="exact"/>
        <w:ind w:firstLine="420" w:firstLineChars="200"/>
        <w:rPr>
          <w:rFonts w:hint="eastAsia" w:ascii="宋体" w:hAnsi="宋体"/>
          <w:szCs w:val="20"/>
        </w:rPr>
      </w:pPr>
      <w:r>
        <w:rPr>
          <w:rFonts w:hint="eastAsia" w:ascii="宋体" w:hAnsi="宋体"/>
          <w:szCs w:val="20"/>
        </w:rPr>
        <w:t>10.2 甲方无故逾期验收或办理合同款支付手续的，甲方应按逾期付款总额每日万分之五向乙方支付违约金。</w:t>
      </w:r>
    </w:p>
    <w:p>
      <w:pPr>
        <w:spacing w:line="400" w:lineRule="exact"/>
        <w:ind w:firstLine="420" w:firstLineChars="200"/>
        <w:rPr>
          <w:rFonts w:hint="eastAsia" w:ascii="宋体" w:hAnsi="宋体"/>
          <w:szCs w:val="20"/>
        </w:rPr>
      </w:pPr>
      <w:r>
        <w:rPr>
          <w:rFonts w:hint="eastAsia" w:ascii="宋体" w:hAnsi="宋体"/>
          <w:szCs w:val="20"/>
        </w:rPr>
        <w:t>10.3 乙方逾期交付服务的，乙方应按逾期提供服务总额每日千分之六向甲方支付违约金，由甲方从待付服务费中扣除。逾期超过约定日期十个工作日不能提供服务的，甲方可解除本合同。乙方因逾期提供服务或因其他违约行为导致甲方解除合同的，乙方应向甲方支付合同总值百分之五的违约金，如造成甲方损失超过违约金的，超出部分由乙方继续承担赔偿责任。</w:t>
      </w:r>
    </w:p>
    <w:p>
      <w:pPr>
        <w:spacing w:line="400" w:lineRule="exact"/>
        <w:ind w:firstLine="422" w:firstLineChars="200"/>
        <w:rPr>
          <w:rFonts w:hint="eastAsia" w:ascii="宋体" w:hAnsi="宋体"/>
          <w:b/>
          <w:bCs/>
          <w:szCs w:val="21"/>
        </w:rPr>
      </w:pPr>
      <w:r>
        <w:rPr>
          <w:rFonts w:hint="eastAsia" w:ascii="宋体" w:hAnsi="宋体"/>
          <w:b/>
          <w:bCs/>
          <w:szCs w:val="21"/>
        </w:rPr>
        <w:t>11.  不可抗力事件处理</w:t>
      </w:r>
    </w:p>
    <w:p>
      <w:pPr>
        <w:spacing w:line="400" w:lineRule="exact"/>
        <w:ind w:firstLine="420" w:firstLineChars="200"/>
        <w:rPr>
          <w:rFonts w:hint="eastAsia" w:ascii="宋体" w:hAnsi="宋体"/>
          <w:szCs w:val="20"/>
        </w:rPr>
      </w:pPr>
      <w:r>
        <w:rPr>
          <w:rFonts w:hint="eastAsia" w:ascii="宋体" w:hAnsi="宋体"/>
          <w:szCs w:val="20"/>
        </w:rPr>
        <w:t>11.1 在合同有效期内，任何一方因不可抗力事件导致不能履行合同，则合同履行期可延长，其延长期与不可抗力影响期相同。</w:t>
      </w:r>
    </w:p>
    <w:p>
      <w:pPr>
        <w:spacing w:line="400" w:lineRule="exact"/>
        <w:ind w:firstLine="420" w:firstLineChars="200"/>
        <w:rPr>
          <w:rFonts w:hint="eastAsia" w:ascii="宋体" w:hAnsi="宋体"/>
          <w:szCs w:val="20"/>
        </w:rPr>
      </w:pPr>
      <w:r>
        <w:rPr>
          <w:rFonts w:hint="eastAsia" w:ascii="宋体" w:hAnsi="宋体"/>
          <w:szCs w:val="20"/>
        </w:rPr>
        <w:t>11.2 不可抗力事件发生后，应立即通知对方，并寄送有关权威机构出具的证明。</w:t>
      </w:r>
    </w:p>
    <w:p>
      <w:pPr>
        <w:spacing w:line="400" w:lineRule="exact"/>
        <w:ind w:firstLine="420" w:firstLineChars="200"/>
        <w:rPr>
          <w:rFonts w:hint="eastAsia" w:ascii="宋体" w:hAnsi="宋体"/>
          <w:szCs w:val="20"/>
        </w:rPr>
      </w:pPr>
      <w:r>
        <w:rPr>
          <w:rFonts w:hint="eastAsia" w:ascii="宋体" w:hAnsi="宋体"/>
          <w:szCs w:val="20"/>
        </w:rPr>
        <w:t>11.3 不可抗力事件延续120天以上，双方应通过友好协商，确定是否继续履行合同。</w:t>
      </w:r>
    </w:p>
    <w:p>
      <w:pPr>
        <w:spacing w:line="400" w:lineRule="exact"/>
        <w:ind w:firstLine="422" w:firstLineChars="200"/>
        <w:rPr>
          <w:rFonts w:hint="eastAsia" w:ascii="宋体" w:hAnsi="宋体"/>
          <w:b/>
          <w:bCs/>
          <w:szCs w:val="21"/>
        </w:rPr>
      </w:pPr>
      <w:r>
        <w:rPr>
          <w:rFonts w:hint="eastAsia" w:ascii="宋体" w:hAnsi="宋体"/>
          <w:b/>
          <w:bCs/>
          <w:szCs w:val="21"/>
        </w:rPr>
        <w:t>12.  诉讼</w:t>
      </w:r>
    </w:p>
    <w:p>
      <w:pPr>
        <w:tabs>
          <w:tab w:val="left" w:pos="0"/>
        </w:tabs>
        <w:spacing w:line="400" w:lineRule="exact"/>
        <w:ind w:firstLine="420" w:firstLineChars="200"/>
        <w:rPr>
          <w:rFonts w:hint="eastAsia" w:ascii="宋体" w:hAnsi="宋体"/>
          <w:szCs w:val="20"/>
        </w:rPr>
      </w:pPr>
      <w:r>
        <w:rPr>
          <w:rFonts w:hint="eastAsia" w:ascii="宋体" w:hAnsi="宋体"/>
          <w:szCs w:val="20"/>
        </w:rPr>
        <w:t>12.1 双方在执行合同中所发生的一切争议，应通过协商解决。如协商不成，可向合同签订地法院起诉，合同签订地在此约定为浙江宁波市。</w:t>
      </w:r>
    </w:p>
    <w:p>
      <w:pPr>
        <w:spacing w:line="400" w:lineRule="exact"/>
        <w:ind w:firstLine="422" w:firstLineChars="200"/>
        <w:rPr>
          <w:rFonts w:hint="eastAsia" w:ascii="宋体" w:hAnsi="宋体"/>
          <w:b/>
          <w:bCs/>
          <w:szCs w:val="21"/>
        </w:rPr>
      </w:pPr>
      <w:r>
        <w:rPr>
          <w:rFonts w:hint="eastAsia" w:ascii="宋体" w:hAnsi="宋体"/>
          <w:b/>
          <w:bCs/>
          <w:szCs w:val="21"/>
        </w:rPr>
        <w:t>13.  合同生效及其它</w:t>
      </w:r>
    </w:p>
    <w:p>
      <w:pPr>
        <w:spacing w:line="400" w:lineRule="exact"/>
        <w:ind w:firstLine="420" w:firstLineChars="200"/>
        <w:rPr>
          <w:rFonts w:hint="eastAsia" w:ascii="宋体" w:hAnsi="宋体"/>
          <w:szCs w:val="20"/>
        </w:rPr>
      </w:pPr>
      <w:r>
        <w:rPr>
          <w:rFonts w:hint="eastAsia" w:ascii="宋体" w:hAnsi="宋体"/>
          <w:szCs w:val="20"/>
        </w:rPr>
        <w:t>13.1 合同经双方法定代表人或授权委托代理人签字并加盖单位公章后生效。</w:t>
      </w:r>
    </w:p>
    <w:p>
      <w:pPr>
        <w:spacing w:line="400" w:lineRule="exact"/>
        <w:ind w:firstLine="420" w:firstLineChars="200"/>
        <w:rPr>
          <w:rFonts w:hint="eastAsia" w:ascii="宋体" w:hAnsi="宋体"/>
          <w:szCs w:val="20"/>
        </w:rPr>
      </w:pPr>
      <w:r>
        <w:rPr>
          <w:rFonts w:hint="eastAsia" w:ascii="宋体" w:hAnsi="宋体"/>
          <w:szCs w:val="20"/>
        </w:rPr>
        <w:t>13.2 合同执行中涉及采购资金和采购内容修改或补充的，须经财政部门审批，并签书面补充协议报政府采购监督管理部门备案，方可作为主合同不可分割的一部分。</w:t>
      </w:r>
    </w:p>
    <w:p>
      <w:pPr>
        <w:spacing w:line="400" w:lineRule="exact"/>
        <w:ind w:firstLine="420" w:firstLineChars="200"/>
        <w:rPr>
          <w:rFonts w:hint="eastAsia" w:ascii="宋体" w:hAnsi="宋体"/>
          <w:szCs w:val="20"/>
        </w:rPr>
      </w:pPr>
      <w:r>
        <w:rPr>
          <w:rFonts w:hint="eastAsia" w:ascii="宋体" w:hAnsi="宋体"/>
          <w:szCs w:val="20"/>
        </w:rPr>
        <w:t>13.3 下述合同附件为本合同不可分割的部分并与本合同具有同等效力：</w:t>
      </w:r>
    </w:p>
    <w:p>
      <w:pPr>
        <w:spacing w:line="400" w:lineRule="exact"/>
        <w:ind w:firstLine="420" w:firstLineChars="200"/>
        <w:rPr>
          <w:rFonts w:hint="eastAsia" w:ascii="宋体" w:hAnsi="宋体"/>
          <w:szCs w:val="20"/>
        </w:rPr>
      </w:pPr>
      <w:r>
        <w:rPr>
          <w:rFonts w:hint="eastAsia" w:ascii="宋体" w:hAnsi="宋体"/>
          <w:szCs w:val="20"/>
        </w:rPr>
        <w:t>（1）中标通知书</w:t>
      </w:r>
    </w:p>
    <w:p>
      <w:pPr>
        <w:spacing w:line="400" w:lineRule="exact"/>
        <w:ind w:firstLine="420" w:firstLineChars="200"/>
        <w:rPr>
          <w:rFonts w:hint="eastAsia" w:ascii="宋体" w:hAnsi="宋体"/>
          <w:szCs w:val="20"/>
        </w:rPr>
      </w:pPr>
      <w:r>
        <w:rPr>
          <w:rFonts w:hint="eastAsia" w:ascii="宋体" w:hAnsi="宋体"/>
          <w:szCs w:val="20"/>
        </w:rPr>
        <w:t>（2）招标文件（不用附后）</w:t>
      </w:r>
    </w:p>
    <w:p>
      <w:pPr>
        <w:spacing w:line="400" w:lineRule="exact"/>
        <w:ind w:firstLine="420" w:firstLineChars="200"/>
        <w:rPr>
          <w:rFonts w:hint="eastAsia" w:ascii="宋体" w:hAnsi="宋体"/>
          <w:szCs w:val="20"/>
        </w:rPr>
      </w:pPr>
      <w:r>
        <w:rPr>
          <w:rFonts w:hint="eastAsia" w:ascii="宋体" w:hAnsi="宋体"/>
          <w:szCs w:val="20"/>
        </w:rPr>
        <w:t>（3）招标文件的澄清和修改（如有请提供）</w:t>
      </w:r>
    </w:p>
    <w:p>
      <w:pPr>
        <w:spacing w:line="400" w:lineRule="exact"/>
        <w:ind w:firstLine="420" w:firstLineChars="200"/>
        <w:rPr>
          <w:rFonts w:hint="eastAsia" w:ascii="宋体" w:hAnsi="宋体"/>
          <w:szCs w:val="20"/>
        </w:rPr>
      </w:pPr>
      <w:r>
        <w:rPr>
          <w:rFonts w:hint="eastAsia" w:ascii="宋体" w:hAnsi="宋体"/>
          <w:szCs w:val="20"/>
        </w:rPr>
        <w:t>（4）投标文件（不用附后）</w:t>
      </w:r>
    </w:p>
    <w:p>
      <w:pPr>
        <w:spacing w:line="400" w:lineRule="exact"/>
        <w:ind w:firstLine="420" w:firstLineChars="200"/>
        <w:rPr>
          <w:rFonts w:hint="eastAsia" w:ascii="宋体" w:hAnsi="宋体"/>
          <w:szCs w:val="20"/>
        </w:rPr>
      </w:pPr>
      <w:r>
        <w:rPr>
          <w:rFonts w:hint="eastAsia" w:ascii="宋体" w:hAnsi="宋体"/>
          <w:szCs w:val="20"/>
        </w:rPr>
        <w:t>（5）中标供应商澄清函（如有请提供）</w:t>
      </w:r>
    </w:p>
    <w:p>
      <w:pPr>
        <w:spacing w:line="400" w:lineRule="exact"/>
        <w:ind w:firstLine="420" w:firstLineChars="200"/>
        <w:rPr>
          <w:rFonts w:hint="eastAsia" w:ascii="宋体" w:hAnsi="宋体"/>
          <w:szCs w:val="20"/>
        </w:rPr>
      </w:pPr>
      <w:r>
        <w:rPr>
          <w:rFonts w:hint="eastAsia" w:ascii="宋体" w:hAnsi="宋体"/>
          <w:szCs w:val="20"/>
        </w:rPr>
        <w:t>（6）履约保证金交纳证明</w:t>
      </w:r>
    </w:p>
    <w:p>
      <w:pPr>
        <w:spacing w:line="400" w:lineRule="exact"/>
        <w:ind w:firstLine="420" w:firstLineChars="200"/>
        <w:rPr>
          <w:rFonts w:hint="eastAsia" w:ascii="宋体" w:hAnsi="宋体"/>
          <w:szCs w:val="20"/>
        </w:rPr>
      </w:pPr>
      <w:r>
        <w:rPr>
          <w:rFonts w:hint="eastAsia" w:ascii="宋体" w:hAnsi="宋体"/>
          <w:szCs w:val="20"/>
        </w:rPr>
        <w:t>（7）其他与本合同相关的资料（如有请提供）</w:t>
      </w:r>
    </w:p>
    <w:p>
      <w:pPr>
        <w:spacing w:line="400" w:lineRule="exact"/>
        <w:ind w:firstLine="420" w:firstLineChars="200"/>
        <w:rPr>
          <w:rFonts w:hint="eastAsia" w:ascii="宋体" w:hAnsi="宋体"/>
          <w:szCs w:val="20"/>
        </w:rPr>
      </w:pPr>
      <w:r>
        <w:rPr>
          <w:rFonts w:hint="eastAsia" w:ascii="宋体" w:hAnsi="宋体"/>
          <w:szCs w:val="20"/>
        </w:rPr>
        <w:t>13.4 本合同未尽事宜，遵照《中华人民共和国合同法》有关条文执行。</w:t>
      </w:r>
    </w:p>
    <w:p>
      <w:pPr>
        <w:spacing w:line="400" w:lineRule="exact"/>
        <w:ind w:firstLine="420" w:firstLineChars="200"/>
        <w:rPr>
          <w:rFonts w:hint="eastAsia" w:ascii="宋体" w:hAnsi="宋体"/>
          <w:szCs w:val="20"/>
        </w:rPr>
      </w:pPr>
      <w:r>
        <w:rPr>
          <w:rFonts w:hint="eastAsia" w:ascii="宋体" w:hAnsi="宋体"/>
          <w:szCs w:val="20"/>
        </w:rPr>
        <w:t>13.5本合同一式两份，具有同等法律效力，甲乙双方各执一份。</w:t>
      </w:r>
    </w:p>
    <w:p>
      <w:pPr>
        <w:spacing w:line="360" w:lineRule="auto"/>
        <w:ind w:firstLine="420" w:firstLineChars="200"/>
        <w:rPr>
          <w:rFonts w:hint="eastAsia" w:ascii="宋体" w:hAnsi="宋体"/>
          <w:szCs w:val="20"/>
        </w:rPr>
      </w:pPr>
    </w:p>
    <w:p>
      <w:pPr>
        <w:spacing w:line="360" w:lineRule="auto"/>
        <w:ind w:firstLine="420" w:firstLineChars="200"/>
        <w:rPr>
          <w:rFonts w:hint="eastAsia" w:ascii="宋体" w:hAnsi="宋体"/>
          <w:szCs w:val="20"/>
        </w:rPr>
      </w:pPr>
    </w:p>
    <w:p>
      <w:pPr>
        <w:spacing w:line="360" w:lineRule="auto"/>
        <w:ind w:firstLine="420" w:firstLineChars="200"/>
        <w:rPr>
          <w:rFonts w:hint="eastAsia" w:ascii="宋体" w:hAnsi="宋体"/>
          <w:szCs w:val="21"/>
        </w:rPr>
      </w:pPr>
      <w:r>
        <w:rPr>
          <w:rFonts w:hint="eastAsia" w:ascii="宋体" w:hAnsi="宋体"/>
          <w:szCs w:val="21"/>
        </w:rPr>
        <w:t xml:space="preserve">甲方：                                   乙方： </w:t>
      </w:r>
    </w:p>
    <w:p>
      <w:pPr>
        <w:spacing w:line="360" w:lineRule="auto"/>
        <w:ind w:firstLine="420" w:firstLineChars="200"/>
        <w:rPr>
          <w:rFonts w:hint="eastAsia" w:ascii="宋体" w:hAnsi="宋体"/>
          <w:szCs w:val="21"/>
        </w:rPr>
      </w:pPr>
      <w:r>
        <w:rPr>
          <w:rFonts w:hint="eastAsia" w:ascii="宋体" w:hAnsi="宋体"/>
          <w:szCs w:val="21"/>
        </w:rPr>
        <w:t xml:space="preserve">地址：                                   地址： </w:t>
      </w:r>
    </w:p>
    <w:p>
      <w:pPr>
        <w:spacing w:line="360" w:lineRule="auto"/>
        <w:ind w:firstLine="420" w:firstLineChars="200"/>
        <w:rPr>
          <w:rFonts w:hint="eastAsia" w:ascii="宋体" w:hAnsi="宋体"/>
          <w:szCs w:val="21"/>
        </w:rPr>
      </w:pPr>
      <w:r>
        <w:rPr>
          <w:rFonts w:hint="eastAsia" w:ascii="宋体" w:hAnsi="宋体"/>
          <w:szCs w:val="21"/>
        </w:rPr>
        <w:t>法定（授权）代表人：                     法定（授权）代表人：</w:t>
      </w:r>
    </w:p>
    <w:p>
      <w:pPr>
        <w:spacing w:line="360" w:lineRule="auto"/>
        <w:ind w:firstLine="420" w:firstLineChars="200"/>
        <w:rPr>
          <w:rFonts w:hint="eastAsia" w:ascii="宋体" w:hAnsi="宋体"/>
          <w:szCs w:val="21"/>
        </w:rPr>
      </w:pPr>
      <w:r>
        <w:rPr>
          <w:rFonts w:hint="eastAsia" w:ascii="宋体" w:hAnsi="宋体"/>
          <w:szCs w:val="21"/>
        </w:rPr>
        <w:t>签字日期：      年    月   日            签字日期：      年    月   日</w:t>
      </w:r>
    </w:p>
    <w:p>
      <w:pPr>
        <w:pStyle w:val="15"/>
        <w:snapToGrid w:val="0"/>
        <w:spacing w:before="120" w:after="120"/>
        <w:rPr>
          <w:rFonts w:hint="eastAsia" w:ascii="Times New Roman" w:hAnsi="Times New Roman"/>
          <w:color w:val="000000"/>
          <w:sz w:val="21"/>
          <w:szCs w:val="21"/>
        </w:rPr>
      </w:pPr>
    </w:p>
    <w:p>
      <w:pPr>
        <w:pStyle w:val="11"/>
        <w:spacing w:after="120" w:line="440" w:lineRule="exact"/>
        <w:ind w:firstLine="0"/>
        <w:rPr>
          <w:rFonts w:hint="eastAsia" w:ascii="Times New Roman" w:hAnsi="Times New Roman"/>
          <w:color w:val="000000"/>
        </w:rPr>
      </w:pPr>
    </w:p>
    <w:p>
      <w:pPr>
        <w:pStyle w:val="15"/>
        <w:snapToGrid w:val="0"/>
        <w:spacing w:before="120" w:after="120" w:line="440" w:lineRule="exact"/>
        <w:jc w:val="center"/>
        <w:outlineLvl w:val="0"/>
        <w:rPr>
          <w:rFonts w:hint="eastAsia" w:ascii="黑体" w:hAnsi="宋体" w:eastAsia="黑体"/>
          <w:color w:val="000000"/>
          <w:sz w:val="30"/>
          <w:szCs w:val="30"/>
        </w:rPr>
      </w:pPr>
      <w:r>
        <w:rPr>
          <w:rFonts w:hAnsi="宋体"/>
          <w:color w:val="000000"/>
          <w:szCs w:val="21"/>
        </w:rPr>
        <w:br w:type="page"/>
      </w:r>
      <w:bookmarkStart w:id="27" w:name="_Toc496687424"/>
      <w:r>
        <w:rPr>
          <w:rFonts w:hint="eastAsia" w:ascii="黑体" w:hAnsi="宋体" w:eastAsia="黑体"/>
          <w:color w:val="000000"/>
          <w:sz w:val="30"/>
          <w:szCs w:val="30"/>
        </w:rPr>
        <w:t>第六章　投标文件格式</w:t>
      </w:r>
      <w:bookmarkEnd w:id="26"/>
      <w:bookmarkEnd w:id="27"/>
    </w:p>
    <w:p>
      <w:pPr>
        <w:pStyle w:val="15"/>
        <w:snapToGrid w:val="0"/>
        <w:spacing w:before="120" w:after="120" w:line="440" w:lineRule="exact"/>
        <w:jc w:val="center"/>
        <w:outlineLvl w:val="0"/>
        <w:rPr>
          <w:rFonts w:ascii="黑体" w:hAnsi="宋体" w:eastAsia="黑体"/>
          <w:color w:val="000000"/>
          <w:sz w:val="30"/>
          <w:szCs w:val="30"/>
        </w:rPr>
      </w:pPr>
    </w:p>
    <w:p>
      <w:pPr>
        <w:snapToGrid w:val="0"/>
        <w:spacing w:before="120" w:beforeLines="50" w:after="50" w:line="440" w:lineRule="exact"/>
        <w:jc w:val="center"/>
        <w:outlineLvl w:val="1"/>
        <w:rPr>
          <w:rFonts w:hint="eastAsia" w:ascii="宋体" w:hAnsi="宋体"/>
          <w:b/>
          <w:bCs/>
          <w:color w:val="000000"/>
          <w:sz w:val="24"/>
          <w:szCs w:val="20"/>
        </w:rPr>
      </w:pPr>
      <w:r>
        <w:rPr>
          <w:rFonts w:hint="eastAsia" w:ascii="宋体" w:hAnsi="宋体"/>
          <w:b/>
          <w:bCs/>
          <w:color w:val="000000"/>
          <w:sz w:val="24"/>
        </w:rPr>
        <w:t>一、投标文件外层包装封面格式</w:t>
      </w:r>
    </w:p>
    <w:p>
      <w:pPr>
        <w:snapToGrid w:val="0"/>
        <w:spacing w:before="120" w:beforeLines="50" w:after="50" w:line="440" w:lineRule="exact"/>
        <w:jc w:val="center"/>
        <w:rPr>
          <w:rFonts w:hint="eastAsia" w:ascii="宋体" w:hAnsi="宋体"/>
          <w:color w:val="000000"/>
          <w:szCs w:val="21"/>
        </w:rPr>
      </w:pPr>
    </w:p>
    <w:p>
      <w:pPr>
        <w:snapToGrid w:val="0"/>
        <w:spacing w:before="120" w:beforeLines="50" w:after="50" w:line="440" w:lineRule="exact"/>
        <w:jc w:val="center"/>
        <w:rPr>
          <w:rFonts w:ascii="宋体" w:hAnsi="宋体"/>
          <w:b/>
          <w:bCs/>
          <w:color w:val="000000"/>
          <w:sz w:val="32"/>
          <w:szCs w:val="32"/>
        </w:rPr>
      </w:pPr>
      <w:r>
        <w:rPr>
          <w:rFonts w:hint="eastAsia" w:ascii="宋体" w:hAnsi="宋体"/>
          <w:b/>
          <w:bCs/>
          <w:color w:val="000000"/>
          <w:sz w:val="32"/>
          <w:szCs w:val="32"/>
        </w:rPr>
        <w:t xml:space="preserve">     投</w:t>
      </w:r>
      <w:r>
        <w:rPr>
          <w:rFonts w:ascii="宋体" w:hAnsi="宋体"/>
          <w:b/>
          <w:bCs/>
          <w:color w:val="000000"/>
          <w:sz w:val="32"/>
          <w:szCs w:val="32"/>
        </w:rPr>
        <w:t xml:space="preserve"> </w:t>
      </w:r>
      <w:r>
        <w:rPr>
          <w:rFonts w:hint="eastAsia" w:ascii="宋体" w:hAnsi="宋体"/>
          <w:b/>
          <w:bCs/>
          <w:color w:val="000000"/>
          <w:sz w:val="32"/>
          <w:szCs w:val="32"/>
        </w:rPr>
        <w:t>标</w:t>
      </w:r>
      <w:r>
        <w:rPr>
          <w:rFonts w:ascii="宋体" w:hAnsi="宋体"/>
          <w:b/>
          <w:bCs/>
          <w:color w:val="000000"/>
          <w:sz w:val="32"/>
          <w:szCs w:val="32"/>
        </w:rPr>
        <w:t xml:space="preserve"> </w:t>
      </w:r>
      <w:r>
        <w:rPr>
          <w:rFonts w:hint="eastAsia" w:ascii="宋体" w:hAnsi="宋体"/>
          <w:b/>
          <w:bCs/>
          <w:color w:val="000000"/>
          <w:sz w:val="32"/>
          <w:szCs w:val="32"/>
        </w:rPr>
        <w:t>文</w:t>
      </w:r>
      <w:r>
        <w:rPr>
          <w:rFonts w:ascii="宋体" w:hAnsi="宋体"/>
          <w:b/>
          <w:bCs/>
          <w:color w:val="000000"/>
          <w:sz w:val="32"/>
          <w:szCs w:val="32"/>
        </w:rPr>
        <w:t xml:space="preserve"> </w:t>
      </w:r>
      <w:r>
        <w:rPr>
          <w:rFonts w:hint="eastAsia" w:ascii="宋体" w:hAnsi="宋体"/>
          <w:b/>
          <w:bCs/>
          <w:color w:val="000000"/>
          <w:sz w:val="32"/>
          <w:szCs w:val="32"/>
        </w:rPr>
        <w:t xml:space="preserve">件        </w:t>
      </w:r>
    </w:p>
    <w:p>
      <w:pPr>
        <w:snapToGrid w:val="0"/>
        <w:spacing w:before="120" w:beforeLines="50" w:after="50" w:line="440" w:lineRule="exact"/>
        <w:rPr>
          <w:rFonts w:ascii="宋体" w:hAnsi="宋体"/>
          <w:bCs/>
          <w:color w:val="000000"/>
          <w:szCs w:val="21"/>
        </w:rPr>
      </w:pPr>
    </w:p>
    <w:p>
      <w:pPr>
        <w:snapToGrid w:val="0"/>
        <w:spacing w:before="120" w:beforeLines="50" w:after="50" w:line="440" w:lineRule="exact"/>
        <w:ind w:firstLine="932" w:firstLineChars="444"/>
        <w:rPr>
          <w:rFonts w:ascii="宋体" w:hAnsi="宋体"/>
          <w:bCs/>
          <w:color w:val="000000"/>
          <w:szCs w:val="21"/>
        </w:rPr>
      </w:pPr>
      <w:r>
        <w:rPr>
          <w:rFonts w:hint="eastAsia" w:ascii="宋体" w:hAnsi="宋体"/>
          <w:bCs/>
          <w:color w:val="000000"/>
          <w:szCs w:val="21"/>
        </w:rPr>
        <w:t>项目名称：</w:t>
      </w:r>
      <w:r>
        <w:rPr>
          <w:rFonts w:ascii="宋体" w:hAnsi="宋体"/>
          <w:bCs/>
          <w:color w:val="000000"/>
          <w:szCs w:val="21"/>
        </w:rPr>
        <w:t xml:space="preserve"> </w:t>
      </w:r>
    </w:p>
    <w:p>
      <w:pPr>
        <w:snapToGrid w:val="0"/>
        <w:spacing w:before="120" w:beforeLines="50" w:after="50" w:line="440" w:lineRule="exact"/>
        <w:ind w:firstLine="932" w:firstLineChars="444"/>
        <w:rPr>
          <w:rFonts w:ascii="宋体" w:hAnsi="宋体"/>
          <w:bCs/>
          <w:color w:val="000000"/>
          <w:szCs w:val="21"/>
        </w:rPr>
      </w:pPr>
      <w:r>
        <w:rPr>
          <w:rFonts w:hint="eastAsia" w:ascii="宋体" w:hAnsi="宋体"/>
          <w:bCs/>
          <w:color w:val="000000"/>
          <w:szCs w:val="21"/>
        </w:rPr>
        <w:t>项目编号：</w:t>
      </w:r>
      <w:r>
        <w:rPr>
          <w:rFonts w:ascii="宋体" w:hAnsi="宋体"/>
          <w:bCs/>
          <w:color w:val="000000"/>
          <w:szCs w:val="21"/>
        </w:rPr>
        <w:t xml:space="preserve"> </w:t>
      </w:r>
    </w:p>
    <w:p>
      <w:pPr>
        <w:snapToGrid w:val="0"/>
        <w:spacing w:before="120" w:beforeLines="50" w:after="50" w:line="440" w:lineRule="exact"/>
        <w:ind w:firstLine="932" w:firstLineChars="444"/>
        <w:rPr>
          <w:rFonts w:hint="eastAsia" w:ascii="宋体" w:hAnsi="宋体"/>
          <w:bCs/>
          <w:color w:val="000000"/>
          <w:szCs w:val="21"/>
        </w:rPr>
      </w:pPr>
      <w:r>
        <w:rPr>
          <w:rFonts w:hint="eastAsia" w:ascii="宋体" w:hAnsi="宋体"/>
          <w:bCs/>
          <w:color w:val="000000"/>
          <w:szCs w:val="21"/>
        </w:rPr>
        <w:t>子包：</w:t>
      </w:r>
    </w:p>
    <w:p>
      <w:pPr>
        <w:snapToGrid w:val="0"/>
        <w:spacing w:before="120" w:beforeLines="50" w:after="50" w:line="440" w:lineRule="exact"/>
        <w:ind w:firstLine="932" w:firstLineChars="444"/>
        <w:rPr>
          <w:rFonts w:ascii="宋体" w:hAnsi="宋体"/>
          <w:bCs/>
          <w:color w:val="000000"/>
          <w:szCs w:val="21"/>
        </w:rPr>
      </w:pPr>
      <w:r>
        <w:rPr>
          <w:rFonts w:hint="eastAsia" w:ascii="宋体" w:hAnsi="宋体"/>
          <w:bCs/>
          <w:color w:val="000000"/>
          <w:szCs w:val="21"/>
        </w:rPr>
        <w:t>投标文件名称：报价文件/技术商务文件</w:t>
      </w:r>
    </w:p>
    <w:p>
      <w:pPr>
        <w:pStyle w:val="6"/>
        <w:snapToGrid w:val="0"/>
        <w:spacing w:before="50" w:after="50" w:line="440" w:lineRule="exact"/>
        <w:ind w:firstLine="932" w:firstLineChars="444"/>
        <w:rPr>
          <w:rFonts w:hint="eastAsia" w:ascii="宋体" w:hAnsi="宋体"/>
          <w:bCs/>
          <w:color w:val="000000"/>
          <w:szCs w:val="21"/>
        </w:rPr>
      </w:pPr>
    </w:p>
    <w:p>
      <w:pPr>
        <w:pStyle w:val="6"/>
        <w:snapToGrid w:val="0"/>
        <w:spacing w:before="50" w:after="50" w:line="440" w:lineRule="exact"/>
        <w:ind w:firstLine="932" w:firstLineChars="444"/>
        <w:rPr>
          <w:rFonts w:ascii="宋体" w:hAnsi="宋体"/>
          <w:bCs/>
          <w:color w:val="000000"/>
          <w:szCs w:val="21"/>
        </w:rPr>
      </w:pPr>
      <w:r>
        <w:rPr>
          <w:rFonts w:hint="eastAsia" w:ascii="宋体" w:hAnsi="宋体"/>
          <w:bCs/>
          <w:color w:val="000000"/>
          <w:szCs w:val="21"/>
        </w:rPr>
        <w:t>投标人名称：</w:t>
      </w:r>
    </w:p>
    <w:p>
      <w:pPr>
        <w:pStyle w:val="6"/>
        <w:snapToGrid w:val="0"/>
        <w:spacing w:before="50" w:after="50" w:line="440" w:lineRule="exact"/>
        <w:ind w:firstLine="932" w:firstLineChars="444"/>
        <w:rPr>
          <w:rFonts w:ascii="宋体" w:hAnsi="宋体"/>
          <w:bCs/>
          <w:color w:val="000000"/>
          <w:szCs w:val="21"/>
        </w:rPr>
      </w:pPr>
      <w:r>
        <w:rPr>
          <w:rFonts w:hint="eastAsia" w:ascii="宋体" w:hAnsi="宋体"/>
          <w:bCs/>
          <w:color w:val="000000"/>
          <w:szCs w:val="21"/>
        </w:rPr>
        <w:t>投标人地址：</w:t>
      </w:r>
    </w:p>
    <w:p>
      <w:pPr>
        <w:pStyle w:val="6"/>
        <w:snapToGrid w:val="0"/>
        <w:spacing w:before="50" w:after="50" w:line="440" w:lineRule="exact"/>
        <w:ind w:firstLine="932" w:firstLineChars="444"/>
        <w:jc w:val="center"/>
        <w:rPr>
          <w:rFonts w:hint="eastAsia" w:ascii="宋体" w:hAnsi="宋体"/>
          <w:bCs/>
          <w:color w:val="000000"/>
          <w:szCs w:val="21"/>
        </w:rPr>
      </w:pPr>
    </w:p>
    <w:p>
      <w:pPr>
        <w:pStyle w:val="6"/>
        <w:snapToGrid w:val="0"/>
        <w:spacing w:before="50" w:after="50" w:line="440" w:lineRule="exact"/>
        <w:ind w:firstLine="932" w:firstLineChars="444"/>
        <w:jc w:val="center"/>
        <w:rPr>
          <w:rFonts w:ascii="宋体" w:hAnsi="宋体"/>
          <w:bCs/>
          <w:color w:val="000000"/>
          <w:szCs w:val="21"/>
        </w:rPr>
      </w:pPr>
      <w:r>
        <w:rPr>
          <w:rFonts w:hint="eastAsia" w:ascii="宋体" w:hAnsi="宋体"/>
          <w:bCs/>
          <w:color w:val="000000"/>
          <w:szCs w:val="21"/>
        </w:rPr>
        <w:t>开标时启封</w:t>
      </w:r>
    </w:p>
    <w:p>
      <w:pPr>
        <w:snapToGrid w:val="0"/>
        <w:spacing w:before="120" w:beforeLines="50" w:after="50" w:line="440" w:lineRule="exact"/>
        <w:ind w:firstLine="3570" w:firstLineChars="1700"/>
        <w:rPr>
          <w:rFonts w:ascii="宋体" w:hAnsi="宋体"/>
          <w:bCs/>
          <w:color w:val="000000"/>
          <w:szCs w:val="21"/>
        </w:rPr>
      </w:pPr>
    </w:p>
    <w:p>
      <w:pPr>
        <w:pStyle w:val="6"/>
        <w:snapToGrid w:val="0"/>
        <w:spacing w:before="50" w:after="50" w:line="440" w:lineRule="exact"/>
        <w:ind w:firstLine="840" w:firstLineChars="400"/>
        <w:rPr>
          <w:rFonts w:ascii="宋体" w:hAnsi="宋体"/>
          <w:bCs/>
          <w:color w:val="000000"/>
          <w:szCs w:val="21"/>
        </w:rPr>
      </w:pPr>
      <w:r>
        <w:rPr>
          <w:rFonts w:ascii="宋体" w:hAnsi="宋体"/>
          <w:bCs/>
          <w:color w:val="000000"/>
          <w:szCs w:val="21"/>
        </w:rPr>
        <w:t xml:space="preserve">                      </w:t>
      </w:r>
    </w:p>
    <w:p>
      <w:pPr>
        <w:pStyle w:val="6"/>
        <w:snapToGrid w:val="0"/>
        <w:spacing w:before="50" w:after="50" w:line="440" w:lineRule="exact"/>
        <w:ind w:firstLine="873" w:firstLineChars="416"/>
        <w:rPr>
          <w:rFonts w:ascii="宋体" w:hAnsi="宋体"/>
          <w:color w:val="000000"/>
          <w:szCs w:val="21"/>
        </w:rPr>
      </w:pPr>
    </w:p>
    <w:p>
      <w:pPr>
        <w:snapToGrid w:val="0"/>
        <w:spacing w:before="120" w:beforeLines="50" w:after="50" w:line="440" w:lineRule="exact"/>
        <w:ind w:firstLine="645"/>
        <w:jc w:val="center"/>
        <w:rPr>
          <w:rFonts w:hint="eastAsia" w:ascii="宋体" w:hAnsi="宋体"/>
          <w:color w:val="000000"/>
          <w:szCs w:val="21"/>
        </w:rPr>
      </w:pPr>
      <w:r>
        <w:rPr>
          <w:rFonts w:ascii="宋体" w:hAnsi="宋体"/>
          <w:color w:val="000000"/>
          <w:szCs w:val="21"/>
        </w:rPr>
        <w:t xml:space="preserve">               </w:t>
      </w:r>
      <w:r>
        <w:rPr>
          <w:rFonts w:hint="eastAsia" w:ascii="宋体" w:hAnsi="宋体"/>
          <w:color w:val="000000"/>
          <w:szCs w:val="21"/>
        </w:rPr>
        <w:t>投标单位全称（公章）</w:t>
      </w:r>
    </w:p>
    <w:p>
      <w:pPr>
        <w:snapToGrid w:val="0"/>
        <w:spacing w:before="120" w:beforeLines="50" w:after="50" w:line="440" w:lineRule="exact"/>
        <w:ind w:firstLine="645"/>
        <w:jc w:val="center"/>
        <w:rPr>
          <w:rFonts w:ascii="宋体" w:hAnsi="宋体"/>
          <w:color w:val="000000"/>
          <w:szCs w:val="21"/>
        </w:rPr>
      </w:pP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年</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hint="eastAsia" w:ascii="宋体" w:hAnsi="宋体"/>
          <w:color w:val="000000"/>
          <w:szCs w:val="21"/>
        </w:rPr>
        <w:t>日</w:t>
      </w:r>
    </w:p>
    <w:p>
      <w:pPr>
        <w:snapToGrid w:val="0"/>
        <w:spacing w:before="120" w:beforeLines="50" w:after="50"/>
        <w:jc w:val="center"/>
        <w:rPr>
          <w:rFonts w:hint="eastAsia" w:ascii="宋体" w:hAnsi="宋体"/>
          <w:color w:val="000000"/>
          <w:sz w:val="24"/>
        </w:rPr>
      </w:pPr>
      <w:r>
        <w:rPr>
          <w:color w:val="000000"/>
        </w:rPr>
        <w:br w:type="page"/>
      </w:r>
      <w:r>
        <w:rPr>
          <w:rFonts w:hint="eastAsia"/>
          <w:color w:val="000000"/>
          <w:sz w:val="24"/>
        </w:rPr>
        <w:t>二</w:t>
      </w:r>
      <w:r>
        <w:rPr>
          <w:rFonts w:hint="eastAsia"/>
          <w:b/>
          <w:color w:val="000000"/>
          <w:sz w:val="24"/>
        </w:rPr>
        <w:t>、投标文件封面格式</w:t>
      </w:r>
    </w:p>
    <w:p>
      <w:pPr>
        <w:spacing w:line="300" w:lineRule="auto"/>
        <w:ind w:right="240"/>
        <w:jc w:val="right"/>
        <w:rPr>
          <w:rFonts w:hint="eastAsia" w:ascii="宋体" w:hAnsi="宋体"/>
          <w:color w:val="000000"/>
          <w:sz w:val="24"/>
        </w:rPr>
      </w:pPr>
      <w:r>
        <w:rPr>
          <w:rFonts w:hint="eastAsia" w:ascii="宋体" w:hAnsi="宋体"/>
          <w:b/>
          <w:bCs/>
          <w:color w:val="000000"/>
          <w:sz w:val="24"/>
        </w:rPr>
        <w:t>正本/或副本</w:t>
      </w:r>
    </w:p>
    <w:p>
      <w:pPr>
        <w:spacing w:line="300" w:lineRule="auto"/>
        <w:jc w:val="center"/>
        <w:rPr>
          <w:rFonts w:hint="eastAsia" w:ascii="宋体" w:hAnsi="宋体"/>
          <w:color w:val="000000"/>
          <w:szCs w:val="21"/>
        </w:rPr>
      </w:pPr>
    </w:p>
    <w:p>
      <w:pPr>
        <w:spacing w:line="300" w:lineRule="auto"/>
        <w:ind w:firstLine="2951" w:firstLineChars="1050"/>
        <w:rPr>
          <w:rFonts w:hint="eastAsia" w:ascii="宋体" w:hAnsi="宋体"/>
          <w:b/>
          <w:bCs/>
          <w:color w:val="000000"/>
          <w:sz w:val="28"/>
          <w:szCs w:val="28"/>
        </w:rPr>
      </w:pPr>
    </w:p>
    <w:p>
      <w:pPr>
        <w:spacing w:line="300" w:lineRule="auto"/>
        <w:ind w:firstLine="2951" w:firstLineChars="1050"/>
        <w:rPr>
          <w:rFonts w:hint="eastAsia" w:ascii="宋体" w:hAnsi="宋体"/>
          <w:b/>
          <w:color w:val="000000"/>
          <w:sz w:val="28"/>
          <w:szCs w:val="28"/>
        </w:rPr>
      </w:pPr>
      <w:r>
        <w:rPr>
          <w:rFonts w:hint="eastAsia" w:ascii="宋体" w:hAnsi="宋体"/>
          <w:b/>
          <w:bCs/>
          <w:color w:val="000000"/>
          <w:sz w:val="28"/>
          <w:szCs w:val="28"/>
        </w:rPr>
        <w:t>报价文件/技术商务文件</w:t>
      </w:r>
    </w:p>
    <w:p>
      <w:pPr>
        <w:spacing w:line="300" w:lineRule="auto"/>
        <w:ind w:firstLine="1260" w:firstLineChars="600"/>
        <w:rPr>
          <w:rFonts w:hint="eastAsia" w:ascii="宋体" w:hAnsi="宋体"/>
          <w:color w:val="000000"/>
          <w:szCs w:val="21"/>
        </w:rPr>
      </w:pPr>
    </w:p>
    <w:p>
      <w:pPr>
        <w:spacing w:line="300" w:lineRule="auto"/>
        <w:ind w:firstLine="1260" w:firstLineChars="600"/>
        <w:rPr>
          <w:rFonts w:hint="eastAsia" w:ascii="宋体" w:hAnsi="宋体"/>
          <w:color w:val="000000"/>
          <w:szCs w:val="21"/>
        </w:rPr>
      </w:pPr>
      <w:r>
        <w:rPr>
          <w:rFonts w:hint="eastAsia" w:ascii="宋体" w:hAnsi="宋体"/>
          <w:color w:val="000000"/>
          <w:szCs w:val="21"/>
        </w:rPr>
        <w:t>项目名称：</w:t>
      </w:r>
    </w:p>
    <w:p>
      <w:pPr>
        <w:spacing w:line="300" w:lineRule="auto"/>
        <w:ind w:firstLine="1260" w:firstLineChars="600"/>
        <w:rPr>
          <w:rFonts w:hint="eastAsia" w:ascii="宋体" w:hAnsi="宋体"/>
          <w:color w:val="000000"/>
          <w:szCs w:val="21"/>
        </w:rPr>
      </w:pPr>
    </w:p>
    <w:p>
      <w:pPr>
        <w:spacing w:line="300" w:lineRule="auto"/>
        <w:ind w:firstLine="1260" w:firstLineChars="600"/>
        <w:rPr>
          <w:rFonts w:hint="eastAsia" w:ascii="宋体" w:hAnsi="宋体"/>
          <w:color w:val="000000"/>
          <w:szCs w:val="21"/>
        </w:rPr>
      </w:pPr>
      <w:r>
        <w:rPr>
          <w:rFonts w:hint="eastAsia" w:ascii="宋体" w:hAnsi="宋体"/>
          <w:color w:val="000000"/>
          <w:szCs w:val="21"/>
        </w:rPr>
        <w:t>项目编号：</w:t>
      </w:r>
    </w:p>
    <w:p>
      <w:pPr>
        <w:pStyle w:val="6"/>
        <w:snapToGrid w:val="0"/>
        <w:spacing w:before="50" w:after="50" w:line="440" w:lineRule="exact"/>
        <w:ind w:firstLine="1241" w:firstLineChars="591"/>
        <w:rPr>
          <w:rFonts w:ascii="宋体" w:hAnsi="宋体"/>
          <w:bCs/>
          <w:color w:val="000000"/>
          <w:szCs w:val="21"/>
        </w:rPr>
      </w:pPr>
      <w:r>
        <w:rPr>
          <w:rFonts w:hint="eastAsia" w:ascii="宋体" w:hAnsi="宋体"/>
          <w:bCs/>
          <w:color w:val="000000"/>
          <w:szCs w:val="21"/>
        </w:rPr>
        <w:t>投标人名称：</w:t>
      </w:r>
    </w:p>
    <w:p>
      <w:pPr>
        <w:spacing w:line="300" w:lineRule="auto"/>
        <w:ind w:firstLine="1260" w:firstLineChars="600"/>
        <w:rPr>
          <w:rFonts w:hint="eastAsia" w:ascii="宋体" w:hAnsi="宋体"/>
          <w:bCs/>
          <w:color w:val="000000"/>
          <w:szCs w:val="21"/>
        </w:rPr>
      </w:pPr>
    </w:p>
    <w:p>
      <w:pPr>
        <w:spacing w:line="300" w:lineRule="auto"/>
        <w:ind w:firstLine="1260" w:firstLineChars="600"/>
        <w:rPr>
          <w:rFonts w:hint="eastAsia" w:ascii="宋体" w:hAnsi="宋体"/>
          <w:color w:val="000000"/>
          <w:szCs w:val="21"/>
        </w:rPr>
      </w:pPr>
      <w:r>
        <w:rPr>
          <w:rFonts w:hint="eastAsia" w:ascii="宋体" w:hAnsi="宋体"/>
          <w:bCs/>
          <w:color w:val="000000"/>
          <w:szCs w:val="21"/>
        </w:rPr>
        <w:t>投标人地址：</w:t>
      </w:r>
    </w:p>
    <w:p>
      <w:pPr>
        <w:spacing w:line="300" w:lineRule="auto"/>
        <w:jc w:val="center"/>
        <w:rPr>
          <w:rFonts w:hint="eastAsia" w:ascii="宋体" w:hAnsi="宋体"/>
          <w:color w:val="000000"/>
          <w:szCs w:val="21"/>
        </w:rPr>
      </w:pPr>
    </w:p>
    <w:p>
      <w:pPr>
        <w:spacing w:line="300" w:lineRule="auto"/>
        <w:jc w:val="center"/>
        <w:rPr>
          <w:rFonts w:hint="eastAsia" w:ascii="宋体" w:hAnsi="宋体"/>
          <w:color w:val="000000"/>
          <w:szCs w:val="21"/>
        </w:rPr>
      </w:pPr>
    </w:p>
    <w:p>
      <w:pPr>
        <w:spacing w:line="300" w:lineRule="auto"/>
        <w:jc w:val="center"/>
        <w:rPr>
          <w:rFonts w:hint="eastAsia" w:ascii="宋体" w:hAnsi="宋体"/>
          <w:color w:val="000000"/>
          <w:szCs w:val="21"/>
        </w:rPr>
      </w:pPr>
    </w:p>
    <w:p>
      <w:pPr>
        <w:spacing w:line="300" w:lineRule="auto"/>
        <w:jc w:val="center"/>
        <w:rPr>
          <w:rFonts w:hint="eastAsia" w:ascii="宋体" w:hAnsi="宋体"/>
          <w:color w:val="000000"/>
          <w:szCs w:val="21"/>
        </w:rPr>
      </w:pPr>
    </w:p>
    <w:p>
      <w:pPr>
        <w:spacing w:line="300" w:lineRule="auto"/>
        <w:jc w:val="center"/>
        <w:rPr>
          <w:rFonts w:hint="eastAsia" w:ascii="宋体" w:hAnsi="宋体"/>
          <w:color w:val="000000"/>
          <w:szCs w:val="21"/>
        </w:rPr>
      </w:pPr>
    </w:p>
    <w:p>
      <w:pPr>
        <w:spacing w:line="300" w:lineRule="auto"/>
        <w:jc w:val="center"/>
        <w:rPr>
          <w:rFonts w:hint="eastAsia" w:ascii="宋体" w:hAnsi="宋体"/>
          <w:color w:val="000000"/>
          <w:szCs w:val="21"/>
        </w:rPr>
      </w:pPr>
      <w:r>
        <w:rPr>
          <w:rFonts w:hint="eastAsia" w:ascii="宋体" w:hAnsi="宋体"/>
          <w:color w:val="000000"/>
          <w:szCs w:val="21"/>
        </w:rPr>
        <w:t xml:space="preserve">     </w:t>
      </w:r>
    </w:p>
    <w:p>
      <w:pPr>
        <w:spacing w:line="300" w:lineRule="auto"/>
        <w:jc w:val="center"/>
        <w:rPr>
          <w:rFonts w:hint="eastAsia" w:ascii="宋体" w:hAnsi="宋体"/>
          <w:color w:val="000000"/>
          <w:szCs w:val="21"/>
        </w:rPr>
      </w:pPr>
      <w:r>
        <w:rPr>
          <w:rFonts w:hint="eastAsia" w:ascii="宋体" w:hAnsi="宋体"/>
          <w:color w:val="000000"/>
          <w:szCs w:val="21"/>
        </w:rPr>
        <w:t xml:space="preserve">     </w:t>
      </w:r>
    </w:p>
    <w:p>
      <w:pPr>
        <w:spacing w:line="300" w:lineRule="auto"/>
        <w:jc w:val="center"/>
        <w:rPr>
          <w:rFonts w:hint="eastAsia" w:ascii="宋体" w:hAnsi="宋体"/>
          <w:color w:val="000000"/>
          <w:szCs w:val="21"/>
        </w:rPr>
      </w:pPr>
    </w:p>
    <w:p>
      <w:pPr>
        <w:spacing w:line="300" w:lineRule="auto"/>
        <w:jc w:val="center"/>
        <w:rPr>
          <w:rFonts w:ascii="宋体" w:hAnsi="宋体"/>
          <w:color w:val="000000"/>
          <w:szCs w:val="21"/>
        </w:rPr>
      </w:pPr>
      <w:r>
        <w:rPr>
          <w:rFonts w:hint="eastAsia" w:ascii="宋体" w:hAnsi="宋体"/>
          <w:color w:val="000000"/>
          <w:szCs w:val="21"/>
        </w:rPr>
        <w:t xml:space="preserve">       投标单位全称（盖章）</w:t>
      </w:r>
    </w:p>
    <w:p>
      <w:pPr>
        <w:spacing w:line="300" w:lineRule="auto"/>
        <w:ind w:firstLine="3465" w:firstLineChars="1650"/>
        <w:rPr>
          <w:rFonts w:hint="eastAsia" w:ascii="宋体" w:hAnsi="宋体"/>
          <w:color w:val="000000"/>
          <w:szCs w:val="21"/>
        </w:rPr>
      </w:pPr>
      <w:r>
        <w:rPr>
          <w:rFonts w:hint="eastAsia" w:ascii="宋体" w:hAnsi="宋体"/>
          <w:color w:val="000000"/>
          <w:szCs w:val="21"/>
        </w:rPr>
        <w:t xml:space="preserve">    年  月  日</w:t>
      </w:r>
    </w:p>
    <w:p>
      <w:pPr>
        <w:rPr>
          <w:rFonts w:hint="eastAsia" w:ascii="宋体" w:hAnsi="宋体"/>
          <w:b/>
          <w:color w:val="000000"/>
          <w:szCs w:val="21"/>
        </w:rPr>
      </w:pPr>
    </w:p>
    <w:p>
      <w:pPr>
        <w:pStyle w:val="11"/>
        <w:snapToGrid w:val="0"/>
        <w:spacing w:line="440" w:lineRule="exact"/>
        <w:ind w:firstLine="0"/>
        <w:rPr>
          <w:rFonts w:hint="eastAsia" w:hAnsi="宋体"/>
          <w:b/>
          <w:bCs/>
          <w:color w:val="000000"/>
          <w:kern w:val="44"/>
          <w:sz w:val="21"/>
          <w:szCs w:val="21"/>
        </w:rPr>
      </w:pPr>
    </w:p>
    <w:p>
      <w:pPr>
        <w:pStyle w:val="11"/>
        <w:snapToGrid w:val="0"/>
        <w:spacing w:line="440" w:lineRule="exact"/>
        <w:jc w:val="center"/>
        <w:rPr>
          <w:rFonts w:hint="eastAsia" w:hAnsi="宋体"/>
          <w:b/>
          <w:bCs/>
          <w:color w:val="000000"/>
          <w:kern w:val="44"/>
          <w:sz w:val="21"/>
          <w:szCs w:val="21"/>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r>
        <w:rPr>
          <w:rFonts w:hAnsi="宋体"/>
          <w:b/>
          <w:bCs/>
          <w:color w:val="000000"/>
          <w:kern w:val="44"/>
          <w:sz w:val="24"/>
          <w:szCs w:val="24"/>
        </w:rPr>
        <w:br w:type="page"/>
      </w:r>
      <w:r>
        <w:rPr>
          <w:rFonts w:hint="eastAsia" w:hAnsi="宋体"/>
          <w:b/>
          <w:bCs/>
          <w:color w:val="000000"/>
          <w:kern w:val="44"/>
          <w:sz w:val="24"/>
          <w:szCs w:val="24"/>
        </w:rPr>
        <w:t>三、报价文件格式</w:t>
      </w:r>
    </w:p>
    <w:p>
      <w:pPr>
        <w:tabs>
          <w:tab w:val="left" w:pos="518"/>
        </w:tabs>
        <w:adjustRightInd w:val="0"/>
        <w:snapToGrid w:val="0"/>
        <w:spacing w:line="440" w:lineRule="exact"/>
        <w:ind w:left="240"/>
        <w:rPr>
          <w:rFonts w:hint="eastAsia" w:ascii="宋体" w:hAnsi="宋体"/>
          <w:bCs/>
          <w:color w:val="000000"/>
          <w:spacing w:val="-4"/>
          <w:kern w:val="44"/>
          <w:sz w:val="32"/>
          <w:szCs w:val="32"/>
        </w:rPr>
      </w:pPr>
    </w:p>
    <w:p>
      <w:pPr>
        <w:numPr>
          <w:ilvl w:val="0"/>
          <w:numId w:val="0"/>
        </w:numPr>
        <w:tabs>
          <w:tab w:val="left" w:pos="518"/>
        </w:tabs>
        <w:adjustRightInd w:val="0"/>
        <w:snapToGrid w:val="0"/>
        <w:spacing w:line="440" w:lineRule="exact"/>
        <w:ind w:left="238" w:leftChars="0"/>
        <w:rPr>
          <w:rFonts w:hint="eastAsia" w:ascii="宋体" w:hAnsi="宋体"/>
          <w:color w:val="000000"/>
        </w:rPr>
      </w:pPr>
      <w:r>
        <w:rPr>
          <w:rFonts w:hint="eastAsia" w:ascii="宋体" w:hAnsi="宋体"/>
          <w:color w:val="000000"/>
          <w:lang w:val="en-US" w:eastAsia="zh-CN"/>
        </w:rPr>
        <w:t>1、</w:t>
      </w:r>
      <w:r>
        <w:rPr>
          <w:rFonts w:hint="eastAsia" w:ascii="宋体" w:hAnsi="宋体"/>
          <w:color w:val="000000"/>
        </w:rPr>
        <w:t>投标函</w:t>
      </w:r>
    </w:p>
    <w:p>
      <w:pPr>
        <w:numPr>
          <w:ilvl w:val="0"/>
          <w:numId w:val="0"/>
        </w:numPr>
        <w:tabs>
          <w:tab w:val="left" w:pos="518"/>
        </w:tabs>
        <w:adjustRightInd w:val="0"/>
        <w:snapToGrid w:val="0"/>
        <w:spacing w:line="440" w:lineRule="exact"/>
        <w:ind w:left="238" w:leftChars="0"/>
        <w:rPr>
          <w:rFonts w:hint="eastAsia" w:ascii="宋体" w:hAnsi="宋体"/>
          <w:color w:val="000000"/>
        </w:rPr>
      </w:pPr>
      <w:r>
        <w:rPr>
          <w:rFonts w:hint="eastAsia" w:ascii="宋体" w:hAnsi="宋体"/>
          <w:color w:val="000000"/>
          <w:lang w:val="en-US" w:eastAsia="zh-CN"/>
        </w:rPr>
        <w:t>2、</w:t>
      </w:r>
      <w:r>
        <w:rPr>
          <w:rFonts w:hint="eastAsia" w:ascii="宋体" w:hAnsi="宋体"/>
          <w:color w:val="000000"/>
        </w:rPr>
        <w:t>开标一览表；</w:t>
      </w:r>
    </w:p>
    <w:p>
      <w:pPr>
        <w:numPr>
          <w:ilvl w:val="0"/>
          <w:numId w:val="0"/>
        </w:numPr>
        <w:tabs>
          <w:tab w:val="left" w:pos="518"/>
        </w:tabs>
        <w:adjustRightInd w:val="0"/>
        <w:snapToGrid w:val="0"/>
        <w:spacing w:line="440" w:lineRule="exact"/>
        <w:ind w:left="238" w:leftChars="0"/>
        <w:rPr>
          <w:rFonts w:hint="eastAsia" w:ascii="宋体" w:hAnsi="宋体"/>
          <w:color w:val="000000"/>
        </w:rPr>
      </w:pPr>
      <w:r>
        <w:rPr>
          <w:rFonts w:hint="eastAsia" w:ascii="宋体" w:hAnsi="宋体"/>
          <w:color w:val="000000"/>
          <w:lang w:val="en-US" w:eastAsia="zh-CN"/>
        </w:rPr>
        <w:t>3、</w:t>
      </w:r>
      <w:r>
        <w:rPr>
          <w:rFonts w:hint="eastAsia" w:ascii="宋体" w:hAnsi="宋体"/>
          <w:color w:val="000000"/>
        </w:rPr>
        <w:t>投标报价明细表；</w:t>
      </w:r>
    </w:p>
    <w:p>
      <w:pPr>
        <w:numPr>
          <w:ilvl w:val="0"/>
          <w:numId w:val="0"/>
        </w:numPr>
        <w:tabs>
          <w:tab w:val="left" w:pos="518"/>
        </w:tabs>
        <w:adjustRightInd w:val="0"/>
        <w:snapToGrid w:val="0"/>
        <w:spacing w:line="440" w:lineRule="exact"/>
        <w:ind w:left="238" w:leftChars="0"/>
        <w:rPr>
          <w:rFonts w:hint="eastAsia" w:ascii="宋体" w:hAnsi="宋体"/>
          <w:color w:val="000000"/>
          <w:lang w:eastAsia="zh-CN"/>
        </w:rPr>
      </w:pPr>
      <w:r>
        <w:rPr>
          <w:rFonts w:hint="eastAsia" w:ascii="宋体" w:hAnsi="宋体"/>
          <w:color w:val="000000"/>
          <w:lang w:val="en-US" w:eastAsia="zh-CN"/>
        </w:rPr>
        <w:t>4、</w:t>
      </w:r>
      <w:r>
        <w:rPr>
          <w:rFonts w:hint="eastAsia" w:ascii="宋体" w:hAnsi="宋体"/>
          <w:color w:val="000000"/>
        </w:rPr>
        <w:t>投标报价明细表</w:t>
      </w:r>
      <w:r>
        <w:rPr>
          <w:rFonts w:hint="eastAsia" w:ascii="宋体" w:hAnsi="宋体"/>
          <w:color w:val="000000"/>
          <w:lang w:eastAsia="zh-CN"/>
        </w:rPr>
        <w:t>；</w:t>
      </w:r>
    </w:p>
    <w:p>
      <w:pPr>
        <w:numPr>
          <w:ilvl w:val="0"/>
          <w:numId w:val="0"/>
        </w:numPr>
        <w:tabs>
          <w:tab w:val="left" w:pos="518"/>
        </w:tabs>
        <w:adjustRightInd w:val="0"/>
        <w:snapToGrid w:val="0"/>
        <w:spacing w:line="440" w:lineRule="exact"/>
        <w:ind w:left="238" w:leftChars="0"/>
        <w:rPr>
          <w:rFonts w:hint="eastAsia" w:ascii="宋体" w:hAnsi="宋体"/>
          <w:color w:val="000000"/>
        </w:rPr>
      </w:pPr>
      <w:r>
        <w:rPr>
          <w:rFonts w:hint="eastAsia" w:ascii="宋体" w:hAnsi="宋体"/>
          <w:color w:val="000000"/>
          <w:lang w:val="en-US" w:eastAsia="zh-CN"/>
        </w:rPr>
        <w:t>5、</w:t>
      </w:r>
      <w:r>
        <w:rPr>
          <w:rFonts w:hint="eastAsia" w:ascii="宋体" w:hAnsi="宋体"/>
          <w:color w:val="000000"/>
        </w:rPr>
        <w:t>投标单位声明函；</w:t>
      </w:r>
    </w:p>
    <w:p>
      <w:pPr>
        <w:numPr>
          <w:ilvl w:val="0"/>
          <w:numId w:val="0"/>
        </w:numPr>
        <w:tabs>
          <w:tab w:val="left" w:pos="518"/>
        </w:tabs>
        <w:adjustRightInd w:val="0"/>
        <w:snapToGrid w:val="0"/>
        <w:spacing w:line="440" w:lineRule="exact"/>
        <w:ind w:left="238" w:leftChars="0"/>
        <w:rPr>
          <w:rFonts w:hint="eastAsia" w:ascii="宋体" w:hAnsi="宋体"/>
          <w:color w:val="000000"/>
        </w:rPr>
      </w:pPr>
      <w:r>
        <w:rPr>
          <w:rFonts w:hint="eastAsia" w:ascii="宋体" w:hAnsi="宋体"/>
          <w:color w:val="000000"/>
          <w:lang w:val="en-US" w:eastAsia="zh-CN"/>
        </w:rPr>
        <w:t>6</w:t>
      </w:r>
      <w:r>
        <w:rPr>
          <w:rFonts w:hint="eastAsia" w:ascii="宋体" w:hAnsi="宋体"/>
          <w:color w:val="000000"/>
        </w:rPr>
        <w:t>中小企业声明函；</w:t>
      </w:r>
    </w:p>
    <w:p>
      <w:pPr>
        <w:numPr>
          <w:ilvl w:val="0"/>
          <w:numId w:val="0"/>
        </w:numPr>
        <w:tabs>
          <w:tab w:val="left" w:pos="518"/>
        </w:tabs>
        <w:adjustRightInd w:val="0"/>
        <w:snapToGrid w:val="0"/>
        <w:spacing w:line="440" w:lineRule="exact"/>
        <w:ind w:left="238" w:leftChars="0"/>
        <w:rPr>
          <w:rFonts w:hint="eastAsia" w:ascii="宋体" w:hAnsi="宋体"/>
          <w:color w:val="000000"/>
        </w:rPr>
      </w:pPr>
      <w:r>
        <w:rPr>
          <w:rFonts w:hint="eastAsia" w:ascii="宋体" w:hAnsi="宋体"/>
          <w:color w:val="000000"/>
          <w:lang w:val="en-US" w:eastAsia="zh-CN"/>
        </w:rPr>
        <w:t>7、</w:t>
      </w:r>
      <w:r>
        <w:rPr>
          <w:rFonts w:hint="eastAsia" w:ascii="宋体" w:hAnsi="宋体"/>
          <w:color w:val="000000"/>
        </w:rPr>
        <w:t>残疾人福利性单位声明函（格式六）如适用；</w:t>
      </w:r>
    </w:p>
    <w:p>
      <w:pPr>
        <w:snapToGrid w:val="0"/>
        <w:spacing w:before="50" w:after="50" w:line="440" w:lineRule="exact"/>
        <w:rPr>
          <w:rFonts w:hint="eastAsia" w:ascii="宋体" w:hAnsi="宋体"/>
          <w:color w:val="000000"/>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120" w:beforeLines="50" w:after="50" w:line="440" w:lineRule="exact"/>
        <w:jc w:val="center"/>
        <w:rPr>
          <w:rFonts w:ascii="宋体" w:hAnsi="宋体"/>
          <w:b/>
          <w:color w:val="000000"/>
          <w:sz w:val="24"/>
        </w:rPr>
      </w:pPr>
      <w:r>
        <w:rPr>
          <w:rFonts w:hint="eastAsia" w:ascii="宋体" w:hAnsi="宋体"/>
          <w:b/>
          <w:color w:val="000000"/>
          <w:sz w:val="24"/>
          <w:lang w:eastAsia="zh-CN"/>
        </w:rPr>
        <w:t>（</w:t>
      </w:r>
      <w:r>
        <w:rPr>
          <w:rFonts w:hint="eastAsia" w:ascii="宋体" w:hAnsi="宋体"/>
          <w:b/>
          <w:color w:val="000000"/>
          <w:sz w:val="24"/>
          <w:lang w:val="en-US" w:eastAsia="zh-CN"/>
        </w:rPr>
        <w:t>1</w:t>
      </w:r>
      <w:r>
        <w:rPr>
          <w:rFonts w:hint="eastAsia" w:ascii="宋体" w:hAnsi="宋体"/>
          <w:b/>
          <w:color w:val="000000"/>
          <w:sz w:val="24"/>
          <w:lang w:eastAsia="zh-CN"/>
        </w:rPr>
        <w:t>）</w:t>
      </w:r>
      <w:r>
        <w:rPr>
          <w:rFonts w:hint="eastAsia" w:ascii="宋体" w:hAnsi="宋体"/>
          <w:b/>
          <w:color w:val="000000"/>
          <w:sz w:val="24"/>
        </w:rPr>
        <w:t>投</w:t>
      </w:r>
      <w:r>
        <w:rPr>
          <w:rFonts w:ascii="宋体" w:hAnsi="宋体"/>
          <w:b/>
          <w:color w:val="000000"/>
          <w:sz w:val="24"/>
        </w:rPr>
        <w:t xml:space="preserve"> </w:t>
      </w:r>
      <w:r>
        <w:rPr>
          <w:rFonts w:hint="eastAsia" w:ascii="宋体" w:hAnsi="宋体"/>
          <w:b/>
          <w:color w:val="000000"/>
          <w:sz w:val="24"/>
        </w:rPr>
        <w:t>标</w:t>
      </w:r>
      <w:r>
        <w:rPr>
          <w:rFonts w:ascii="宋体" w:hAnsi="宋体"/>
          <w:b/>
          <w:color w:val="000000"/>
          <w:sz w:val="24"/>
        </w:rPr>
        <w:t xml:space="preserve"> </w:t>
      </w:r>
      <w:r>
        <w:rPr>
          <w:rFonts w:hint="eastAsia" w:ascii="宋体" w:hAnsi="宋体"/>
          <w:b/>
          <w:color w:val="000000"/>
          <w:sz w:val="24"/>
        </w:rPr>
        <w:t>函</w:t>
      </w:r>
    </w:p>
    <w:p>
      <w:pPr>
        <w:snapToGrid w:val="0"/>
        <w:spacing w:line="440" w:lineRule="exact"/>
        <w:rPr>
          <w:rFonts w:hint="eastAsia" w:ascii="宋体" w:hAnsi="宋体"/>
          <w:color w:val="000000"/>
          <w:szCs w:val="21"/>
        </w:rPr>
      </w:pPr>
    </w:p>
    <w:p>
      <w:pPr>
        <w:snapToGrid w:val="0"/>
        <w:spacing w:line="440" w:lineRule="exact"/>
        <w:rPr>
          <w:rFonts w:ascii="宋体" w:hAnsi="宋体"/>
          <w:color w:val="000000"/>
          <w:szCs w:val="21"/>
        </w:rPr>
      </w:pPr>
      <w:r>
        <w:rPr>
          <w:rFonts w:hint="eastAsia" w:ascii="宋体" w:hAnsi="宋体"/>
          <w:color w:val="000000"/>
          <w:szCs w:val="21"/>
        </w:rPr>
        <w:t>致：</w:t>
      </w:r>
      <w:r>
        <w:rPr>
          <w:rFonts w:ascii="宋体" w:hAnsi="宋体"/>
          <w:color w:val="000000"/>
          <w:szCs w:val="21"/>
        </w:rPr>
        <w:t>______</w:t>
      </w:r>
      <w:r>
        <w:rPr>
          <w:rFonts w:ascii="宋体" w:hAnsi="宋体"/>
          <w:color w:val="000000"/>
          <w:szCs w:val="21"/>
          <w:u w:val="single"/>
        </w:rPr>
        <w:t>_     _</w:t>
      </w:r>
      <w:r>
        <w:rPr>
          <w:rFonts w:ascii="宋体" w:hAnsi="宋体"/>
          <w:color w:val="000000"/>
          <w:szCs w:val="21"/>
        </w:rPr>
        <w:t>_</w:t>
      </w:r>
      <w:r>
        <w:rPr>
          <w:rFonts w:hint="eastAsia" w:ascii="宋体" w:hAnsi="宋体"/>
          <w:color w:val="000000"/>
          <w:szCs w:val="21"/>
        </w:rPr>
        <w:t>（招标采购单位名称）：</w:t>
      </w:r>
    </w:p>
    <w:p>
      <w:pPr>
        <w:snapToGrid w:val="0"/>
        <w:spacing w:line="440" w:lineRule="exact"/>
        <w:ind w:firstLine="480"/>
        <w:rPr>
          <w:rFonts w:ascii="宋体" w:hAnsi="宋体"/>
          <w:color w:val="000000"/>
          <w:szCs w:val="21"/>
        </w:rPr>
      </w:pPr>
      <w:r>
        <w:rPr>
          <w:rFonts w:hint="eastAsia" w:ascii="宋体" w:hAnsi="宋体"/>
          <w:color w:val="000000"/>
          <w:szCs w:val="21"/>
        </w:rPr>
        <w:t>根据贵方为</w:t>
      </w:r>
      <w:r>
        <w:rPr>
          <w:rFonts w:ascii="宋体" w:hAnsi="宋体"/>
          <w:color w:val="000000"/>
          <w:szCs w:val="21"/>
          <w:u w:val="single"/>
        </w:rPr>
        <w:t xml:space="preserve">                             </w:t>
      </w:r>
      <w:r>
        <w:rPr>
          <w:rFonts w:hint="eastAsia" w:ascii="宋体" w:hAnsi="宋体"/>
          <w:color w:val="000000"/>
          <w:szCs w:val="21"/>
        </w:rPr>
        <w:t>项目的招标公告</w:t>
      </w:r>
      <w:r>
        <w:rPr>
          <w:rFonts w:ascii="宋体" w:hAnsi="宋体"/>
          <w:color w:val="000000"/>
          <w:szCs w:val="21"/>
        </w:rPr>
        <w:t>/</w:t>
      </w:r>
      <w:r>
        <w:rPr>
          <w:rFonts w:hint="eastAsia" w:ascii="宋体" w:hAnsi="宋体"/>
          <w:color w:val="000000"/>
          <w:szCs w:val="21"/>
        </w:rPr>
        <w:t>投标邀请书</w:t>
      </w:r>
    </w:p>
    <w:p>
      <w:pPr>
        <w:snapToGrid w:val="0"/>
        <w:spacing w:line="440" w:lineRule="exact"/>
        <w:rPr>
          <w:rFonts w:ascii="宋体" w:hAnsi="宋体"/>
          <w:color w:val="000000"/>
          <w:szCs w:val="21"/>
        </w:rPr>
      </w:pPr>
      <w:r>
        <w:rPr>
          <w:rFonts w:hint="eastAsia" w:ascii="宋体" w:hAnsi="宋体"/>
          <w:color w:val="000000"/>
          <w:szCs w:val="21"/>
        </w:rPr>
        <w:t>（项目编号：</w:t>
      </w:r>
      <w:r>
        <w:rPr>
          <w:rFonts w:ascii="宋体" w:hAnsi="宋体"/>
          <w:color w:val="000000"/>
          <w:szCs w:val="21"/>
        </w:rPr>
        <w:t>____</w:t>
      </w:r>
      <w:r>
        <w:rPr>
          <w:rFonts w:ascii="宋体" w:hAnsi="宋体"/>
          <w:color w:val="000000"/>
          <w:szCs w:val="21"/>
          <w:u w:val="single"/>
        </w:rPr>
        <w:t>_     _</w:t>
      </w:r>
      <w:r>
        <w:rPr>
          <w:rFonts w:ascii="宋体" w:hAnsi="宋体"/>
          <w:color w:val="000000"/>
          <w:szCs w:val="21"/>
        </w:rPr>
        <w:t>_</w:t>
      </w:r>
      <w:r>
        <w:rPr>
          <w:rFonts w:hint="eastAsia" w:ascii="宋体" w:hAnsi="宋体"/>
          <w:color w:val="000000"/>
          <w:szCs w:val="21"/>
        </w:rPr>
        <w:t>），签字代表</w:t>
      </w:r>
      <w:r>
        <w:rPr>
          <w:rFonts w:ascii="宋体" w:hAnsi="宋体"/>
          <w:color w:val="000000"/>
          <w:szCs w:val="21"/>
        </w:rPr>
        <w:t>______</w:t>
      </w:r>
      <w:r>
        <w:rPr>
          <w:rFonts w:ascii="宋体" w:hAnsi="宋体"/>
          <w:color w:val="000000"/>
          <w:szCs w:val="21"/>
          <w:u w:val="single"/>
        </w:rPr>
        <w:t xml:space="preserve">_     </w:t>
      </w:r>
      <w:r>
        <w:rPr>
          <w:rFonts w:hint="eastAsia" w:ascii="宋体" w:hAnsi="宋体"/>
          <w:color w:val="000000"/>
          <w:szCs w:val="21"/>
        </w:rPr>
        <w:t>（全名）经正式授权并代表投标人</w:t>
      </w:r>
      <w:r>
        <w:rPr>
          <w:rFonts w:ascii="宋体" w:hAnsi="宋体"/>
          <w:color w:val="000000"/>
          <w:szCs w:val="21"/>
        </w:rPr>
        <w:t>_____</w:t>
      </w:r>
      <w:r>
        <w:rPr>
          <w:rFonts w:ascii="宋体" w:hAnsi="宋体"/>
          <w:color w:val="000000"/>
          <w:szCs w:val="21"/>
          <w:u w:val="single"/>
        </w:rPr>
        <w:t>__                    __</w:t>
      </w:r>
      <w:r>
        <w:rPr>
          <w:rFonts w:hint="eastAsia" w:ascii="宋体" w:hAnsi="宋体"/>
          <w:color w:val="000000"/>
          <w:szCs w:val="21"/>
        </w:rPr>
        <w:t>（投标人名称）提交资信</w:t>
      </w:r>
      <w:r>
        <w:rPr>
          <w:rFonts w:ascii="宋体" w:hAnsi="宋体"/>
          <w:color w:val="000000"/>
          <w:szCs w:val="21"/>
        </w:rPr>
        <w:t>/</w:t>
      </w:r>
      <w:r>
        <w:rPr>
          <w:rFonts w:hint="eastAsia" w:ascii="宋体" w:hAnsi="宋体"/>
          <w:color w:val="000000"/>
          <w:szCs w:val="21"/>
        </w:rPr>
        <w:t xml:space="preserve">商务文件、技术文件、报价文件正本各一份、副本 </w:t>
      </w:r>
      <w:r>
        <w:rPr>
          <w:rFonts w:ascii="宋体" w:hAnsi="宋体"/>
          <w:color w:val="000000"/>
          <w:szCs w:val="21"/>
          <w:u w:val="single"/>
        </w:rPr>
        <w:t xml:space="preserve">4 </w:t>
      </w:r>
      <w:r>
        <w:rPr>
          <w:rFonts w:hint="eastAsia" w:ascii="宋体" w:hAnsi="宋体"/>
          <w:color w:val="000000"/>
          <w:szCs w:val="21"/>
        </w:rPr>
        <w:t>份。</w:t>
      </w:r>
    </w:p>
    <w:p>
      <w:pPr>
        <w:snapToGrid w:val="0"/>
        <w:spacing w:line="440" w:lineRule="exact"/>
        <w:ind w:firstLine="420" w:firstLineChars="200"/>
        <w:rPr>
          <w:rFonts w:ascii="宋体" w:hAnsi="宋体"/>
          <w:color w:val="000000"/>
          <w:szCs w:val="21"/>
        </w:rPr>
      </w:pPr>
      <w:r>
        <w:rPr>
          <w:rFonts w:hint="eastAsia" w:ascii="宋体" w:hAnsi="宋体"/>
          <w:color w:val="000000"/>
          <w:szCs w:val="21"/>
        </w:rPr>
        <w:t>据此函，签字代表宣布同意如下：</w:t>
      </w:r>
    </w:p>
    <w:p>
      <w:pPr>
        <w:snapToGrid w:val="0"/>
        <w:spacing w:line="440" w:lineRule="exact"/>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440" w:lineRule="exact"/>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.投标人在投标之前已经与贵方进行了充分的沟通，完全理解并接受招标文件的各项规定和要求，对招标文件的合理性、合法性不再有异议。</w:t>
      </w:r>
    </w:p>
    <w:p>
      <w:pPr>
        <w:snapToGrid w:val="0"/>
        <w:spacing w:line="440" w:lineRule="exact"/>
        <w:ind w:firstLine="420" w:firstLineChars="200"/>
        <w:rPr>
          <w:rFonts w:ascii="宋体" w:hAnsi="宋体"/>
          <w:color w:val="000000"/>
          <w:szCs w:val="21"/>
        </w:rPr>
      </w:pPr>
      <w:r>
        <w:rPr>
          <w:rFonts w:ascii="宋体" w:hAnsi="宋体"/>
          <w:color w:val="000000"/>
          <w:szCs w:val="21"/>
        </w:rPr>
        <w:t>3</w:t>
      </w:r>
      <w:r>
        <w:rPr>
          <w:rFonts w:hint="eastAsia" w:ascii="宋体" w:hAnsi="宋体"/>
          <w:color w:val="000000"/>
          <w:szCs w:val="21"/>
        </w:rPr>
        <w:t>.本投标有效期自开标日起</w:t>
      </w:r>
      <w:r>
        <w:rPr>
          <w:rFonts w:ascii="宋体" w:hAnsi="宋体"/>
          <w:color w:val="000000"/>
          <w:szCs w:val="21"/>
        </w:rPr>
        <w:t xml:space="preserve"> ______</w:t>
      </w:r>
      <w:r>
        <w:rPr>
          <w:rFonts w:hint="eastAsia" w:ascii="宋体" w:hAnsi="宋体"/>
          <w:color w:val="000000"/>
          <w:szCs w:val="21"/>
        </w:rPr>
        <w:t>个日。</w:t>
      </w:r>
    </w:p>
    <w:p>
      <w:pPr>
        <w:snapToGrid w:val="0"/>
        <w:spacing w:line="440" w:lineRule="exact"/>
        <w:ind w:firstLine="420" w:firstLineChars="200"/>
        <w:rPr>
          <w:rFonts w:ascii="宋体" w:hAnsi="宋体"/>
          <w:color w:val="000000"/>
          <w:szCs w:val="21"/>
        </w:rPr>
      </w:pPr>
      <w:r>
        <w:rPr>
          <w:rFonts w:ascii="宋体" w:hAnsi="宋体"/>
          <w:color w:val="000000"/>
          <w:szCs w:val="21"/>
        </w:rPr>
        <w:t>4</w:t>
      </w:r>
      <w:r>
        <w:rPr>
          <w:rFonts w:hint="eastAsia" w:ascii="宋体" w:hAnsi="宋体"/>
          <w:color w:val="000000"/>
          <w:szCs w:val="21"/>
        </w:rPr>
        <w:t>.如中标，本投标文件至本项目合同履行完毕止均保持有效，本投标人将按“招标文件”及政府采购法律、法规的规定履行合同责任和义务。</w:t>
      </w:r>
    </w:p>
    <w:p>
      <w:pPr>
        <w:snapToGrid w:val="0"/>
        <w:spacing w:line="440" w:lineRule="exact"/>
        <w:ind w:firstLine="420" w:firstLineChars="200"/>
        <w:rPr>
          <w:rFonts w:ascii="宋体" w:hAnsi="宋体"/>
          <w:color w:val="000000"/>
          <w:szCs w:val="21"/>
        </w:rPr>
      </w:pPr>
      <w:r>
        <w:rPr>
          <w:rFonts w:ascii="宋体" w:hAnsi="宋体"/>
          <w:color w:val="000000"/>
          <w:szCs w:val="21"/>
        </w:rPr>
        <w:t>5</w:t>
      </w:r>
      <w:r>
        <w:rPr>
          <w:rFonts w:hint="eastAsia" w:ascii="宋体" w:hAnsi="宋体"/>
          <w:color w:val="000000"/>
          <w:szCs w:val="21"/>
        </w:rPr>
        <w:t>.投标人同意按照贵方要求提供与投标有关的一切数据或资料。</w:t>
      </w:r>
    </w:p>
    <w:p>
      <w:pPr>
        <w:snapToGrid w:val="0"/>
        <w:spacing w:line="440" w:lineRule="exact"/>
        <w:ind w:firstLine="420" w:firstLineChars="200"/>
        <w:rPr>
          <w:rFonts w:ascii="宋体" w:hAnsi="宋体"/>
          <w:color w:val="000000"/>
          <w:szCs w:val="21"/>
        </w:rPr>
      </w:pPr>
      <w:r>
        <w:rPr>
          <w:rFonts w:ascii="宋体" w:hAnsi="宋体"/>
          <w:color w:val="000000"/>
          <w:szCs w:val="21"/>
        </w:rPr>
        <w:t>6</w:t>
      </w:r>
      <w:r>
        <w:rPr>
          <w:rFonts w:hint="eastAsia" w:ascii="宋体" w:hAnsi="宋体"/>
          <w:color w:val="000000"/>
          <w:szCs w:val="21"/>
        </w:rPr>
        <w:t>.与本投标有关的一切正式往来信函请寄：</w:t>
      </w:r>
    </w:p>
    <w:p>
      <w:pPr>
        <w:snapToGrid w:val="0"/>
        <w:spacing w:line="440" w:lineRule="exact"/>
        <w:rPr>
          <w:rFonts w:ascii="宋体" w:hAnsi="宋体"/>
          <w:color w:val="000000"/>
          <w:szCs w:val="21"/>
        </w:rPr>
      </w:pPr>
      <w:r>
        <w:rPr>
          <w:rFonts w:hint="eastAsia" w:ascii="宋体" w:hAnsi="宋体"/>
          <w:color w:val="000000"/>
          <w:szCs w:val="21"/>
        </w:rPr>
        <w:t>地址：</w:t>
      </w:r>
      <w:r>
        <w:rPr>
          <w:rFonts w:ascii="宋体" w:hAnsi="宋体"/>
          <w:color w:val="000000"/>
          <w:szCs w:val="21"/>
        </w:rPr>
        <w:t>__________</w:t>
      </w:r>
      <w:r>
        <w:rPr>
          <w:rFonts w:ascii="宋体" w:hAnsi="宋体"/>
          <w:color w:val="000000"/>
          <w:szCs w:val="21"/>
          <w:u w:val="single"/>
        </w:rPr>
        <w:t xml:space="preserve">        _</w:t>
      </w:r>
      <w:r>
        <w:rPr>
          <w:rFonts w:ascii="宋体" w:hAnsi="宋体"/>
          <w:color w:val="000000"/>
          <w:szCs w:val="21"/>
        </w:rPr>
        <w:t>____</w:t>
      </w:r>
      <w:r>
        <w:rPr>
          <w:rFonts w:hint="eastAsia" w:ascii="宋体" w:hAnsi="宋体"/>
          <w:color w:val="000000"/>
          <w:szCs w:val="21"/>
        </w:rPr>
        <w:t>邮编：</w:t>
      </w:r>
      <w:r>
        <w:rPr>
          <w:rFonts w:ascii="宋体" w:hAnsi="宋体"/>
          <w:color w:val="000000"/>
          <w:szCs w:val="21"/>
        </w:rPr>
        <w:t xml:space="preserve">__________   </w:t>
      </w:r>
      <w:r>
        <w:rPr>
          <w:rFonts w:hint="eastAsia" w:ascii="宋体" w:hAnsi="宋体"/>
          <w:color w:val="000000"/>
          <w:szCs w:val="21"/>
        </w:rPr>
        <w:t>电话：</w:t>
      </w:r>
      <w:r>
        <w:rPr>
          <w:rFonts w:ascii="宋体" w:hAnsi="宋体"/>
          <w:color w:val="000000"/>
          <w:szCs w:val="21"/>
        </w:rPr>
        <w:t>______________</w:t>
      </w:r>
    </w:p>
    <w:p>
      <w:pPr>
        <w:snapToGrid w:val="0"/>
        <w:spacing w:line="440" w:lineRule="exact"/>
        <w:rPr>
          <w:rFonts w:ascii="宋体" w:hAnsi="宋体"/>
          <w:color w:val="000000"/>
          <w:szCs w:val="21"/>
        </w:rPr>
      </w:pPr>
      <w:r>
        <w:rPr>
          <w:rFonts w:hint="eastAsia" w:ascii="宋体" w:hAnsi="宋体"/>
          <w:color w:val="000000"/>
          <w:szCs w:val="21"/>
        </w:rPr>
        <w:t>传真：</w:t>
      </w:r>
      <w:r>
        <w:rPr>
          <w:rFonts w:ascii="宋体" w:hAnsi="宋体"/>
          <w:color w:val="000000"/>
          <w:szCs w:val="21"/>
        </w:rPr>
        <w:t>______________</w:t>
      </w:r>
      <w:r>
        <w:rPr>
          <w:rFonts w:hint="eastAsia" w:ascii="宋体" w:hAnsi="宋体"/>
          <w:color w:val="000000"/>
          <w:szCs w:val="21"/>
        </w:rPr>
        <w:t>投标人代表姓名</w:t>
      </w:r>
      <w:r>
        <w:rPr>
          <w:rFonts w:ascii="宋体" w:hAnsi="宋体"/>
          <w:color w:val="000000"/>
          <w:szCs w:val="21"/>
        </w:rPr>
        <w:t xml:space="preserve"> ___________  </w:t>
      </w:r>
      <w:r>
        <w:rPr>
          <w:rFonts w:hint="eastAsia" w:ascii="宋体" w:hAnsi="宋体"/>
          <w:color w:val="000000"/>
          <w:szCs w:val="21"/>
        </w:rPr>
        <w:t>职务：</w:t>
      </w:r>
      <w:r>
        <w:rPr>
          <w:rFonts w:ascii="宋体" w:hAnsi="宋体"/>
          <w:color w:val="000000"/>
          <w:szCs w:val="21"/>
        </w:rPr>
        <w:t>______</w:t>
      </w:r>
      <w:r>
        <w:rPr>
          <w:rFonts w:ascii="宋体" w:hAnsi="宋体"/>
          <w:color w:val="000000"/>
          <w:szCs w:val="21"/>
          <w:u w:val="single"/>
        </w:rPr>
        <w:t xml:space="preserve"> </w:t>
      </w:r>
      <w:r>
        <w:rPr>
          <w:rFonts w:ascii="宋体" w:hAnsi="宋体"/>
          <w:color w:val="000000"/>
          <w:szCs w:val="21"/>
        </w:rPr>
        <w:t>_______</w:t>
      </w:r>
    </w:p>
    <w:p>
      <w:pPr>
        <w:snapToGrid w:val="0"/>
        <w:spacing w:line="440" w:lineRule="exact"/>
        <w:rPr>
          <w:rFonts w:ascii="宋体" w:hAnsi="宋体"/>
          <w:color w:val="000000"/>
          <w:szCs w:val="21"/>
        </w:rPr>
      </w:pPr>
      <w:r>
        <w:rPr>
          <w:rFonts w:hint="eastAsia" w:ascii="宋体" w:hAnsi="宋体"/>
          <w:color w:val="000000"/>
          <w:szCs w:val="21"/>
        </w:rPr>
        <w:t>投标人名称</w:t>
      </w:r>
      <w:r>
        <w:rPr>
          <w:rFonts w:ascii="宋体" w:hAnsi="宋体"/>
          <w:color w:val="000000"/>
          <w:szCs w:val="21"/>
        </w:rPr>
        <w:t>(</w:t>
      </w:r>
      <w:r>
        <w:rPr>
          <w:rFonts w:hint="eastAsia" w:ascii="宋体" w:hAnsi="宋体"/>
          <w:color w:val="000000"/>
          <w:szCs w:val="21"/>
        </w:rPr>
        <w:t>公章</w:t>
      </w:r>
      <w:r>
        <w:rPr>
          <w:rFonts w:ascii="宋体" w:hAnsi="宋体"/>
          <w:color w:val="000000"/>
          <w:szCs w:val="21"/>
        </w:rPr>
        <w:t>):___________________</w:t>
      </w:r>
    </w:p>
    <w:p>
      <w:pPr>
        <w:snapToGrid w:val="0"/>
        <w:spacing w:line="440" w:lineRule="exact"/>
        <w:rPr>
          <w:rFonts w:ascii="宋体" w:hAnsi="宋体"/>
          <w:color w:val="000000"/>
          <w:szCs w:val="21"/>
        </w:rPr>
      </w:pPr>
      <w:r>
        <w:rPr>
          <w:rFonts w:hint="eastAsia" w:ascii="宋体" w:hAnsi="宋体"/>
          <w:color w:val="000000"/>
          <w:szCs w:val="21"/>
        </w:rPr>
        <w:t>开户银行：</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银行帐号：</w:t>
      </w:r>
      <w:r>
        <w:rPr>
          <w:rFonts w:ascii="宋体" w:hAnsi="宋体"/>
          <w:color w:val="000000"/>
          <w:szCs w:val="21"/>
          <w:u w:val="single"/>
        </w:rPr>
        <w:t xml:space="preserve">                    </w:t>
      </w:r>
      <w:r>
        <w:rPr>
          <w:rFonts w:ascii="宋体" w:hAnsi="宋体"/>
          <w:color w:val="000000"/>
          <w:szCs w:val="21"/>
        </w:rPr>
        <w:t xml:space="preserve"> </w:t>
      </w:r>
    </w:p>
    <w:p>
      <w:pPr>
        <w:snapToGrid w:val="0"/>
        <w:spacing w:line="440" w:lineRule="exact"/>
        <w:rPr>
          <w:rFonts w:ascii="宋体" w:hAnsi="宋体"/>
          <w:color w:val="000000"/>
          <w:szCs w:val="21"/>
        </w:rPr>
      </w:pPr>
      <w:r>
        <w:rPr>
          <w:rFonts w:hint="eastAsia" w:ascii="宋体" w:hAnsi="宋体"/>
          <w:color w:val="000000"/>
          <w:szCs w:val="21"/>
        </w:rPr>
        <w:t>授权代表签字</w:t>
      </w:r>
      <w:r>
        <w:rPr>
          <w:rFonts w:ascii="宋体" w:hAnsi="宋体"/>
          <w:color w:val="000000"/>
          <w:szCs w:val="21"/>
        </w:rPr>
        <w:t xml:space="preserve">:___________                      </w:t>
      </w:r>
      <w:r>
        <w:rPr>
          <w:rFonts w:hint="eastAsia" w:ascii="宋体" w:hAnsi="宋体"/>
          <w:color w:val="000000"/>
          <w:szCs w:val="21"/>
        </w:rPr>
        <w:t>日期</w:t>
      </w:r>
      <w:r>
        <w:rPr>
          <w:rFonts w:ascii="宋体" w:hAnsi="宋体"/>
          <w:color w:val="000000"/>
          <w:szCs w:val="21"/>
        </w:rPr>
        <w:t>:_____</w:t>
      </w:r>
      <w:r>
        <w:rPr>
          <w:rFonts w:hint="eastAsia" w:ascii="宋体" w:hAnsi="宋体"/>
          <w:color w:val="000000"/>
          <w:szCs w:val="21"/>
        </w:rPr>
        <w:t>年</w:t>
      </w:r>
      <w:r>
        <w:rPr>
          <w:rFonts w:ascii="宋体" w:hAnsi="宋体"/>
          <w:color w:val="000000"/>
          <w:szCs w:val="21"/>
        </w:rPr>
        <w:t>___</w:t>
      </w:r>
      <w:r>
        <w:rPr>
          <w:rFonts w:hint="eastAsia" w:ascii="宋体" w:hAnsi="宋体"/>
          <w:color w:val="000000"/>
          <w:szCs w:val="21"/>
        </w:rPr>
        <w:t>月</w:t>
      </w:r>
      <w:r>
        <w:rPr>
          <w:rFonts w:ascii="宋体" w:hAnsi="宋体"/>
          <w:color w:val="000000"/>
          <w:szCs w:val="21"/>
        </w:rPr>
        <w:t>___</w:t>
      </w:r>
      <w:r>
        <w:rPr>
          <w:rFonts w:hint="eastAsia" w:ascii="宋体" w:hAnsi="宋体"/>
          <w:color w:val="000000"/>
          <w:szCs w:val="21"/>
        </w:rPr>
        <w:t>日</w:t>
      </w:r>
    </w:p>
    <w:p>
      <w:pPr>
        <w:pStyle w:val="15"/>
        <w:snapToGrid w:val="0"/>
        <w:spacing w:before="295" w:beforeLines="0" w:after="295" w:afterLines="0" w:line="440" w:lineRule="exact"/>
        <w:rPr>
          <w:rFonts w:hAnsi="宋体"/>
          <w:color w:val="000000"/>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snapToGrid w:val="0"/>
        <w:spacing w:before="50" w:after="50" w:line="440" w:lineRule="exact"/>
        <w:rPr>
          <w:rFonts w:hint="eastAsia" w:ascii="宋体" w:hAnsi="宋体"/>
          <w:color w:val="000000"/>
          <w:sz w:val="24"/>
        </w:rPr>
      </w:pPr>
    </w:p>
    <w:p>
      <w:pPr>
        <w:keepNext w:val="0"/>
        <w:keepLines w:val="0"/>
        <w:pageBreakBefore w:val="0"/>
        <w:widowControl w:val="0"/>
        <w:kinsoku/>
        <w:wordWrap/>
        <w:overflowPunct/>
        <w:topLinePunct w:val="0"/>
        <w:autoSpaceDE/>
        <w:autoSpaceDN/>
        <w:bidi w:val="0"/>
        <w:adjustRightInd w:val="0"/>
        <w:snapToGrid w:val="0"/>
        <w:spacing w:line="360" w:lineRule="auto"/>
        <w:ind w:left="238"/>
        <w:textAlignment w:val="auto"/>
        <w:rPr>
          <w:rFonts w:hint="eastAsia" w:ascii="宋体" w:hAnsi="宋体"/>
          <w:color w:val="000000"/>
          <w:sz w:val="24"/>
        </w:rPr>
      </w:pPr>
    </w:p>
    <w:p>
      <w:pPr>
        <w:pStyle w:val="11"/>
        <w:keepNext w:val="0"/>
        <w:keepLines w:val="0"/>
        <w:pageBreakBefore w:val="0"/>
        <w:widowControl w:val="0"/>
        <w:kinsoku/>
        <w:wordWrap/>
        <w:overflowPunct/>
        <w:topLinePunct w:val="0"/>
        <w:autoSpaceDE/>
        <w:autoSpaceDN/>
        <w:bidi w:val="0"/>
        <w:adjustRightInd/>
        <w:snapToGrid/>
        <w:spacing w:line="360" w:lineRule="auto"/>
        <w:ind w:firstLine="0"/>
        <w:textAlignment w:val="auto"/>
        <w:rPr>
          <w:color w:val="auto"/>
          <w:szCs w:val="24"/>
        </w:rPr>
      </w:pPr>
    </w:p>
    <w:p>
      <w:pPr>
        <w:pStyle w:val="11"/>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eastAsia="宋体"/>
          <w:b/>
          <w:color w:val="auto"/>
          <w:sz w:val="28"/>
        </w:rPr>
      </w:pPr>
      <w:r>
        <w:rPr>
          <w:rFonts w:hint="eastAsia" w:eastAsia="宋体"/>
          <w:b/>
          <w:color w:val="auto"/>
          <w:sz w:val="28"/>
          <w:lang w:eastAsia="zh-CN"/>
        </w:rPr>
        <w:t>（</w:t>
      </w:r>
      <w:r>
        <w:rPr>
          <w:rFonts w:hint="eastAsia" w:eastAsia="宋体"/>
          <w:b/>
          <w:color w:val="auto"/>
          <w:sz w:val="28"/>
          <w:lang w:val="en-US" w:eastAsia="zh-CN"/>
        </w:rPr>
        <w:t>2</w:t>
      </w:r>
      <w:r>
        <w:rPr>
          <w:rFonts w:hint="eastAsia" w:eastAsia="宋体"/>
          <w:b/>
          <w:color w:val="auto"/>
          <w:sz w:val="28"/>
          <w:lang w:eastAsia="zh-CN"/>
        </w:rPr>
        <w:t>）</w:t>
      </w:r>
      <w:r>
        <w:rPr>
          <w:rFonts w:hint="eastAsia" w:ascii="宋体" w:eastAsia="宋体"/>
          <w:b/>
          <w:color w:val="auto"/>
          <w:sz w:val="28"/>
        </w:rPr>
        <w:t>开标一览表</w:t>
      </w:r>
    </w:p>
    <w:p>
      <w:pPr>
        <w:pStyle w:val="11"/>
        <w:spacing w:line="320" w:lineRule="exact"/>
        <w:ind w:firstLine="0"/>
        <w:rPr>
          <w:rFonts w:hint="eastAsia" w:eastAsia="宋体"/>
          <w:color w:val="auto"/>
          <w:szCs w:val="24"/>
          <w:u w:val="single"/>
        </w:rPr>
      </w:pPr>
      <w:r>
        <w:rPr>
          <w:rFonts w:hint="eastAsia" w:eastAsia="宋体"/>
          <w:color w:val="auto"/>
          <w:szCs w:val="24"/>
        </w:rPr>
        <w:t>项目名称：</w:t>
      </w:r>
      <w:r>
        <w:rPr>
          <w:rFonts w:hint="eastAsia" w:eastAsia="宋体"/>
          <w:color w:val="auto"/>
          <w:szCs w:val="24"/>
          <w:u w:val="single"/>
        </w:rPr>
        <w:t xml:space="preserve">               </w:t>
      </w:r>
    </w:p>
    <w:tbl>
      <w:tblPr>
        <w:tblStyle w:val="29"/>
        <w:tblpPr w:leftFromText="180" w:rightFromText="180" w:vertAnchor="text" w:horzAnchor="margin" w:tblpXSpec="center" w:tblpY="19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3978"/>
        <w:gridCol w:w="2205"/>
        <w:gridCol w:w="1470"/>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2" w:hRule="atLeast"/>
          <w:jc w:val="center"/>
        </w:trPr>
        <w:tc>
          <w:tcPr>
            <w:tcW w:w="4518" w:type="dxa"/>
            <w:gridSpan w:val="2"/>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hint="eastAsia" w:eastAsia="宋体"/>
                <w:color w:val="auto"/>
                <w:szCs w:val="24"/>
              </w:rPr>
            </w:pPr>
            <w:r>
              <w:rPr>
                <w:rFonts w:hint="eastAsia" w:eastAsia="宋体"/>
                <w:color w:val="auto"/>
                <w:szCs w:val="24"/>
              </w:rPr>
              <w:t>项目名称</w:t>
            </w:r>
          </w:p>
        </w:tc>
        <w:tc>
          <w:tcPr>
            <w:tcW w:w="2205"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hint="eastAsia" w:eastAsia="宋体"/>
                <w:color w:val="auto"/>
                <w:szCs w:val="24"/>
              </w:rPr>
            </w:pPr>
            <w:r>
              <w:rPr>
                <w:rFonts w:eastAsia="宋体"/>
                <w:color w:val="auto"/>
                <w:szCs w:val="24"/>
              </w:rPr>
              <w:t>投标</w:t>
            </w:r>
            <w:r>
              <w:rPr>
                <w:rFonts w:hint="eastAsia" w:eastAsia="宋体"/>
                <w:color w:val="auto"/>
                <w:szCs w:val="24"/>
              </w:rPr>
              <w:t>总价（小写）</w:t>
            </w:r>
          </w:p>
          <w:p>
            <w:pPr>
              <w:pStyle w:val="11"/>
              <w:spacing w:line="320" w:lineRule="exact"/>
              <w:ind w:firstLine="0"/>
              <w:jc w:val="center"/>
              <w:rPr>
                <w:rFonts w:eastAsia="宋体"/>
                <w:color w:val="auto"/>
                <w:szCs w:val="24"/>
              </w:rPr>
            </w:pPr>
            <w:r>
              <w:rPr>
                <w:rFonts w:eastAsia="宋体"/>
                <w:color w:val="auto"/>
                <w:szCs w:val="24"/>
              </w:rPr>
              <w:t>（人民币元）</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hint="eastAsia" w:eastAsia="宋体"/>
                <w:color w:val="auto"/>
                <w:szCs w:val="24"/>
              </w:rPr>
            </w:pPr>
            <w:r>
              <w:rPr>
                <w:rFonts w:hint="eastAsia" w:ascii="宋体" w:hAnsi="宋体"/>
                <w:color w:val="auto"/>
                <w:szCs w:val="24"/>
              </w:rPr>
              <w:t>投标保证金</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hint="eastAsia" w:eastAsia="宋体"/>
                <w:color w:val="auto"/>
                <w:szCs w:val="24"/>
              </w:rPr>
            </w:pPr>
            <w:r>
              <w:rPr>
                <w:rFonts w:hint="eastAsia" w:eastAsia="宋体"/>
                <w:color w:val="auto"/>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3" w:hRule="atLeast"/>
          <w:jc w:val="center"/>
        </w:trPr>
        <w:tc>
          <w:tcPr>
            <w:tcW w:w="4518" w:type="dxa"/>
            <w:gridSpan w:val="2"/>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c>
          <w:tcPr>
            <w:tcW w:w="2205"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2" w:hRule="atLeast"/>
          <w:jc w:val="center"/>
        </w:trPr>
        <w:tc>
          <w:tcPr>
            <w:tcW w:w="4518" w:type="dxa"/>
            <w:gridSpan w:val="2"/>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c>
          <w:tcPr>
            <w:tcW w:w="2205"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c>
          <w:tcPr>
            <w:tcW w:w="1470"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83" w:hRule="atLeast"/>
          <w:jc w:val="center"/>
        </w:trPr>
        <w:tc>
          <w:tcPr>
            <w:tcW w:w="4518" w:type="dxa"/>
            <w:gridSpan w:val="2"/>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r>
              <w:rPr>
                <w:rFonts w:eastAsia="宋体"/>
                <w:color w:val="auto"/>
                <w:szCs w:val="24"/>
              </w:rPr>
              <w:t>投标总价（大写）</w:t>
            </w:r>
          </w:p>
        </w:tc>
        <w:tc>
          <w:tcPr>
            <w:tcW w:w="4961" w:type="dxa"/>
            <w:gridSpan w:val="3"/>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rPr>
                <w:rFonts w:hint="eastAsia" w:eastAsia="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4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Style w:val="11"/>
              <w:spacing w:line="320" w:lineRule="exact"/>
              <w:ind w:firstLine="0"/>
              <w:jc w:val="center"/>
              <w:rPr>
                <w:rFonts w:eastAsia="宋体"/>
                <w:color w:val="auto"/>
                <w:szCs w:val="24"/>
              </w:rPr>
            </w:pPr>
            <w:r>
              <w:rPr>
                <w:rFonts w:eastAsia="宋体"/>
                <w:color w:val="auto"/>
                <w:szCs w:val="24"/>
              </w:rPr>
              <w:t>投标声明</w:t>
            </w:r>
          </w:p>
        </w:tc>
        <w:tc>
          <w:tcPr>
            <w:tcW w:w="893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rPr>
                <w:color w:val="auto"/>
                <w:szCs w:val="24"/>
              </w:rPr>
            </w:pPr>
          </w:p>
        </w:tc>
      </w:tr>
    </w:tbl>
    <w:p>
      <w:pPr>
        <w:pStyle w:val="11"/>
        <w:numPr>
          <w:ilvl w:val="0"/>
          <w:numId w:val="0"/>
        </w:numPr>
        <w:spacing w:line="320" w:lineRule="exact"/>
        <w:rPr>
          <w:rFonts w:hAnsi="Courier New" w:eastAsia="宋体"/>
          <w:b/>
          <w:bCs/>
          <w:color w:val="auto"/>
          <w:sz w:val="21"/>
          <w:szCs w:val="21"/>
        </w:rPr>
      </w:pPr>
      <w:r>
        <w:rPr>
          <w:rFonts w:hint="eastAsia" w:hAnsi="Courier New" w:eastAsia="宋体"/>
          <w:b/>
          <w:bCs/>
          <w:color w:val="auto"/>
          <w:sz w:val="21"/>
          <w:szCs w:val="21"/>
          <w:lang w:eastAsia="zh-CN"/>
        </w:rPr>
        <w:t>注：</w:t>
      </w:r>
      <w:r>
        <w:rPr>
          <w:rFonts w:hAnsi="Courier New" w:eastAsia="宋体"/>
          <w:b/>
          <w:bCs/>
          <w:color w:val="auto"/>
          <w:sz w:val="21"/>
          <w:szCs w:val="21"/>
        </w:rPr>
        <w:t>投标总价</w:t>
      </w:r>
      <w:r>
        <w:rPr>
          <w:rFonts w:hint="eastAsia" w:hAnsi="Courier New" w:eastAsia="宋体"/>
          <w:b/>
          <w:bCs/>
          <w:color w:val="auto"/>
          <w:sz w:val="21"/>
          <w:szCs w:val="21"/>
        </w:rPr>
        <w:t>应</w:t>
      </w:r>
      <w:r>
        <w:rPr>
          <w:rFonts w:hAnsi="Courier New" w:eastAsia="宋体"/>
          <w:b/>
          <w:bCs/>
          <w:color w:val="auto"/>
          <w:sz w:val="21"/>
          <w:szCs w:val="21"/>
        </w:rPr>
        <w:t>与</w:t>
      </w:r>
      <w:r>
        <w:rPr>
          <w:rFonts w:hint="eastAsia" w:hAnsi="Courier New" w:eastAsia="宋体"/>
          <w:b/>
          <w:bCs/>
          <w:color w:val="auto"/>
          <w:sz w:val="21"/>
          <w:szCs w:val="21"/>
        </w:rPr>
        <w:t xml:space="preserve"> “</w:t>
      </w:r>
      <w:r>
        <w:rPr>
          <w:rFonts w:hAnsi="Courier New" w:eastAsia="宋体"/>
          <w:b/>
          <w:bCs/>
          <w:color w:val="auto"/>
          <w:sz w:val="21"/>
          <w:szCs w:val="21"/>
        </w:rPr>
        <w:t>分项报价表</w:t>
      </w:r>
      <w:r>
        <w:rPr>
          <w:rFonts w:hint="eastAsia" w:hAnsi="Courier New" w:eastAsia="宋体"/>
          <w:b/>
          <w:bCs/>
          <w:color w:val="auto"/>
          <w:sz w:val="21"/>
          <w:szCs w:val="21"/>
        </w:rPr>
        <w:t>”</w:t>
      </w:r>
      <w:r>
        <w:rPr>
          <w:rFonts w:hint="eastAsia" w:hAnsi="Courier New" w:eastAsia="宋体"/>
          <w:b/>
          <w:bCs/>
          <w:color w:val="auto"/>
          <w:sz w:val="21"/>
          <w:szCs w:val="21"/>
          <w:lang w:eastAsia="zh-CN"/>
        </w:rPr>
        <w:t>、“投标报价明细表”</w:t>
      </w:r>
      <w:r>
        <w:rPr>
          <w:rFonts w:hint="eastAsia" w:hAnsi="Courier New" w:eastAsia="宋体"/>
          <w:b/>
          <w:bCs/>
          <w:color w:val="auto"/>
          <w:sz w:val="21"/>
          <w:szCs w:val="21"/>
        </w:rPr>
        <w:t xml:space="preserve"> </w:t>
      </w:r>
      <w:r>
        <w:rPr>
          <w:rFonts w:hAnsi="Courier New" w:eastAsia="宋体"/>
          <w:b/>
          <w:bCs/>
          <w:color w:val="auto"/>
          <w:sz w:val="21"/>
          <w:szCs w:val="21"/>
        </w:rPr>
        <w:t>中</w:t>
      </w:r>
      <w:r>
        <w:rPr>
          <w:rFonts w:hint="eastAsia" w:hAnsi="Courier New" w:eastAsia="宋体"/>
          <w:b/>
          <w:bCs/>
          <w:color w:val="auto"/>
          <w:sz w:val="21"/>
          <w:szCs w:val="21"/>
        </w:rPr>
        <w:t>“</w:t>
      </w:r>
      <w:r>
        <w:rPr>
          <w:rFonts w:hAnsi="Courier New" w:eastAsia="宋体"/>
          <w:b/>
          <w:bCs/>
          <w:color w:val="auto"/>
          <w:sz w:val="21"/>
          <w:szCs w:val="21"/>
        </w:rPr>
        <w:t>投标总价</w:t>
      </w:r>
      <w:r>
        <w:rPr>
          <w:rFonts w:hint="eastAsia" w:hAnsi="Courier New" w:eastAsia="宋体"/>
          <w:b/>
          <w:bCs/>
          <w:color w:val="auto"/>
          <w:sz w:val="21"/>
          <w:szCs w:val="21"/>
        </w:rPr>
        <w:t>”一致</w:t>
      </w:r>
      <w:r>
        <w:rPr>
          <w:rFonts w:hAnsi="Courier New" w:eastAsia="宋体"/>
          <w:b/>
          <w:bCs/>
          <w:color w:val="auto"/>
          <w:sz w:val="21"/>
          <w:szCs w:val="21"/>
        </w:rPr>
        <w:t>。</w:t>
      </w:r>
    </w:p>
    <w:p>
      <w:pPr>
        <w:pStyle w:val="11"/>
        <w:numPr>
          <w:ilvl w:val="0"/>
          <w:numId w:val="0"/>
        </w:numPr>
        <w:spacing w:line="320" w:lineRule="exact"/>
        <w:rPr>
          <w:rFonts w:hAnsi="Courier New" w:eastAsia="宋体"/>
          <w:b/>
          <w:bCs/>
          <w:color w:val="auto"/>
          <w:sz w:val="24"/>
          <w:szCs w:val="24"/>
        </w:rPr>
      </w:pPr>
    </w:p>
    <w:p>
      <w:pPr>
        <w:pStyle w:val="11"/>
        <w:spacing w:before="120" w:beforeLines="50" w:line="360" w:lineRule="exact"/>
        <w:ind w:firstLine="0"/>
        <w:jc w:val="left"/>
        <w:rPr>
          <w:rFonts w:eastAsia="宋体"/>
          <w:color w:val="auto"/>
        </w:rPr>
      </w:pPr>
      <w:r>
        <w:rPr>
          <w:rFonts w:hint="eastAsia" w:eastAsia="宋体"/>
          <w:color w:val="auto"/>
        </w:rPr>
        <w:t>投标人单位（盖公章）：</w:t>
      </w:r>
    </w:p>
    <w:p>
      <w:pPr>
        <w:pStyle w:val="11"/>
        <w:spacing w:before="120" w:beforeLines="50" w:line="360" w:lineRule="exact"/>
        <w:ind w:firstLine="0"/>
        <w:jc w:val="left"/>
        <w:rPr>
          <w:rFonts w:eastAsia="宋体"/>
          <w:color w:val="auto"/>
        </w:rPr>
      </w:pPr>
      <w:r>
        <w:rPr>
          <w:rFonts w:hint="eastAsia" w:eastAsia="宋体"/>
          <w:color w:val="auto"/>
        </w:rPr>
        <w:t>被授权代表人（签字）：</w:t>
      </w:r>
    </w:p>
    <w:p>
      <w:pPr>
        <w:pStyle w:val="11"/>
        <w:spacing w:before="120" w:beforeLines="50" w:line="360" w:lineRule="exact"/>
        <w:ind w:firstLine="0"/>
        <w:jc w:val="left"/>
        <w:rPr>
          <w:rFonts w:eastAsia="宋体"/>
          <w:color w:val="auto"/>
        </w:rPr>
      </w:pPr>
      <w:r>
        <w:rPr>
          <w:rFonts w:hint="eastAsia" w:eastAsia="宋体"/>
          <w:color w:val="auto"/>
        </w:rPr>
        <w:t>日</w:t>
      </w:r>
      <w:r>
        <w:rPr>
          <w:rFonts w:eastAsia="宋体"/>
          <w:color w:val="auto"/>
        </w:rPr>
        <w:t xml:space="preserve">      </w:t>
      </w:r>
      <w:r>
        <w:rPr>
          <w:rFonts w:hint="eastAsia" w:eastAsia="宋体"/>
          <w:color w:val="auto"/>
        </w:rPr>
        <w:t>期：</w:t>
      </w:r>
    </w:p>
    <w:p>
      <w:pPr>
        <w:pStyle w:val="11"/>
        <w:ind w:firstLine="0"/>
        <w:rPr>
          <w:rFonts w:ascii="宋体" w:eastAsia="宋体"/>
          <w:color w:val="auto"/>
        </w:rPr>
      </w:pPr>
    </w:p>
    <w:p>
      <w:pPr>
        <w:snapToGrid w:val="0"/>
        <w:spacing w:before="50" w:after="50" w:line="440" w:lineRule="exact"/>
        <w:ind w:left="-21" w:leftChars="-72" w:right="-817" w:rightChars="-389" w:hanging="130" w:hangingChars="62"/>
        <w:rPr>
          <w:rFonts w:hint="eastAsia" w:ascii="宋体" w:hAnsi="宋体"/>
          <w:color w:val="000000"/>
          <w:szCs w:val="21"/>
        </w:rPr>
      </w:pPr>
    </w:p>
    <w:p>
      <w:pPr>
        <w:pStyle w:val="11"/>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eastAsia="宋体"/>
          <w:b/>
          <w:color w:val="auto"/>
          <w:sz w:val="28"/>
          <w:highlight w:val="yellow"/>
        </w:rPr>
      </w:pPr>
      <w:r>
        <w:rPr>
          <w:rFonts w:hAnsi="宋体"/>
          <w:color w:val="000000"/>
        </w:rPr>
        <w:br w:type="page"/>
      </w:r>
    </w:p>
    <w:p>
      <w:pPr>
        <w:pStyle w:val="11"/>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ascii="宋体" w:eastAsia="宋体"/>
          <w:b/>
          <w:color w:val="auto"/>
          <w:sz w:val="28"/>
        </w:rPr>
      </w:pPr>
      <w:r>
        <w:rPr>
          <w:rFonts w:hint="eastAsia" w:eastAsia="宋体"/>
          <w:b/>
          <w:color w:val="auto"/>
          <w:sz w:val="28"/>
          <w:lang w:eastAsia="zh-CN"/>
        </w:rPr>
        <w:t>（</w:t>
      </w:r>
      <w:r>
        <w:rPr>
          <w:rFonts w:hint="eastAsia" w:eastAsia="宋体"/>
          <w:b/>
          <w:color w:val="auto"/>
          <w:sz w:val="28"/>
          <w:lang w:val="en-US" w:eastAsia="zh-CN"/>
        </w:rPr>
        <w:t>3</w:t>
      </w:r>
      <w:r>
        <w:rPr>
          <w:rFonts w:hint="eastAsia" w:eastAsia="宋体"/>
          <w:b/>
          <w:color w:val="auto"/>
          <w:sz w:val="28"/>
          <w:lang w:eastAsia="zh-CN"/>
        </w:rPr>
        <w:t>）</w:t>
      </w:r>
      <w:r>
        <w:rPr>
          <w:rFonts w:hint="eastAsia" w:ascii="宋体" w:eastAsia="宋体"/>
          <w:b/>
          <w:color w:val="auto"/>
          <w:sz w:val="28"/>
        </w:rPr>
        <w:t>分项报价表</w:t>
      </w:r>
    </w:p>
    <w:p>
      <w:pPr>
        <w:pStyle w:val="11"/>
        <w:ind w:firstLine="0"/>
        <w:rPr>
          <w:color w:val="auto"/>
          <w:szCs w:val="24"/>
        </w:rPr>
      </w:pPr>
    </w:p>
    <w:p>
      <w:pPr>
        <w:pStyle w:val="11"/>
        <w:ind w:firstLine="0"/>
        <w:rPr>
          <w:rFonts w:hint="eastAsia" w:eastAsia="宋体"/>
          <w:color w:val="auto"/>
          <w:szCs w:val="24"/>
          <w:u w:val="single"/>
        </w:rPr>
      </w:pPr>
      <w:r>
        <w:rPr>
          <w:rFonts w:hint="eastAsia" w:eastAsia="宋体"/>
          <w:color w:val="auto"/>
          <w:szCs w:val="24"/>
        </w:rPr>
        <w:t>项目名称：</w:t>
      </w:r>
      <w:r>
        <w:rPr>
          <w:rFonts w:hint="eastAsia" w:eastAsia="宋体"/>
          <w:color w:val="auto"/>
          <w:szCs w:val="24"/>
          <w:u w:val="single"/>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3638"/>
        <w:gridCol w:w="1893"/>
        <w:gridCol w:w="1156"/>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9" w:hRule="atLeast"/>
        </w:trPr>
        <w:tc>
          <w:tcPr>
            <w:tcW w:w="886" w:type="dxa"/>
            <w:noWrap w:val="0"/>
            <w:vAlign w:val="center"/>
          </w:tcPr>
          <w:p>
            <w:pPr>
              <w:spacing w:line="300" w:lineRule="exact"/>
              <w:jc w:val="center"/>
              <w:rPr>
                <w:rFonts w:hint="eastAsia"/>
                <w:color w:val="auto"/>
                <w:sz w:val="24"/>
                <w:szCs w:val="24"/>
              </w:rPr>
            </w:pPr>
            <w:r>
              <w:rPr>
                <w:rFonts w:hint="eastAsia"/>
                <w:color w:val="auto"/>
                <w:sz w:val="24"/>
                <w:szCs w:val="24"/>
              </w:rPr>
              <w:t>序号</w:t>
            </w:r>
          </w:p>
        </w:tc>
        <w:tc>
          <w:tcPr>
            <w:tcW w:w="3638" w:type="dxa"/>
            <w:noWrap w:val="0"/>
            <w:vAlign w:val="center"/>
          </w:tcPr>
          <w:p>
            <w:pPr>
              <w:spacing w:line="300" w:lineRule="exact"/>
              <w:jc w:val="center"/>
              <w:rPr>
                <w:rFonts w:hint="eastAsia"/>
                <w:color w:val="auto"/>
                <w:sz w:val="24"/>
                <w:szCs w:val="24"/>
              </w:rPr>
            </w:pPr>
            <w:r>
              <w:rPr>
                <w:rFonts w:hint="eastAsia"/>
                <w:color w:val="auto"/>
                <w:sz w:val="24"/>
                <w:szCs w:val="24"/>
              </w:rPr>
              <w:t>分项内容</w:t>
            </w:r>
          </w:p>
        </w:tc>
        <w:tc>
          <w:tcPr>
            <w:tcW w:w="1893" w:type="dxa"/>
            <w:noWrap w:val="0"/>
            <w:vAlign w:val="center"/>
          </w:tcPr>
          <w:p>
            <w:pPr>
              <w:spacing w:line="300" w:lineRule="exact"/>
              <w:jc w:val="center"/>
              <w:rPr>
                <w:rFonts w:hint="eastAsia"/>
                <w:color w:val="auto"/>
                <w:sz w:val="24"/>
                <w:szCs w:val="24"/>
              </w:rPr>
            </w:pPr>
            <w:r>
              <w:rPr>
                <w:rFonts w:hint="eastAsia"/>
                <w:color w:val="auto"/>
                <w:sz w:val="24"/>
                <w:szCs w:val="24"/>
              </w:rPr>
              <w:t>单位及数量</w:t>
            </w:r>
          </w:p>
        </w:tc>
        <w:tc>
          <w:tcPr>
            <w:tcW w:w="1156" w:type="dxa"/>
            <w:noWrap w:val="0"/>
            <w:vAlign w:val="center"/>
          </w:tcPr>
          <w:p>
            <w:pPr>
              <w:spacing w:line="300" w:lineRule="exact"/>
              <w:jc w:val="center"/>
              <w:rPr>
                <w:rFonts w:hint="eastAsia"/>
                <w:color w:val="auto"/>
                <w:sz w:val="24"/>
                <w:szCs w:val="24"/>
              </w:rPr>
            </w:pPr>
            <w:r>
              <w:rPr>
                <w:rFonts w:hint="eastAsia"/>
                <w:color w:val="auto"/>
                <w:sz w:val="24"/>
                <w:szCs w:val="24"/>
              </w:rPr>
              <w:t>单价</w:t>
            </w:r>
          </w:p>
        </w:tc>
        <w:tc>
          <w:tcPr>
            <w:tcW w:w="1367" w:type="dxa"/>
            <w:noWrap w:val="0"/>
            <w:vAlign w:val="center"/>
          </w:tcPr>
          <w:p>
            <w:pPr>
              <w:spacing w:line="300" w:lineRule="exact"/>
              <w:jc w:val="center"/>
              <w:rPr>
                <w:rFonts w:hint="eastAsia"/>
                <w:color w:val="auto"/>
                <w:sz w:val="24"/>
                <w:szCs w:val="24"/>
              </w:rPr>
            </w:pPr>
            <w:r>
              <w:rPr>
                <w:rFonts w:hint="eastAsia"/>
                <w:color w:val="auto"/>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9" w:hRule="atLeast"/>
        </w:trPr>
        <w:tc>
          <w:tcPr>
            <w:tcW w:w="886" w:type="dxa"/>
            <w:noWrap w:val="0"/>
            <w:vAlign w:val="center"/>
          </w:tcPr>
          <w:p>
            <w:pPr>
              <w:spacing w:line="300" w:lineRule="exact"/>
              <w:jc w:val="center"/>
              <w:rPr>
                <w:rFonts w:hint="eastAsia"/>
                <w:color w:val="auto"/>
                <w:sz w:val="24"/>
                <w:szCs w:val="24"/>
              </w:rPr>
            </w:pPr>
            <w:r>
              <w:rPr>
                <w:rFonts w:hint="eastAsia"/>
                <w:color w:val="auto"/>
                <w:sz w:val="24"/>
                <w:szCs w:val="24"/>
              </w:rPr>
              <w:t>1</w:t>
            </w:r>
          </w:p>
        </w:tc>
        <w:tc>
          <w:tcPr>
            <w:tcW w:w="3638" w:type="dxa"/>
            <w:noWrap w:val="0"/>
            <w:vAlign w:val="center"/>
          </w:tcPr>
          <w:p>
            <w:pPr>
              <w:spacing w:line="300" w:lineRule="exact"/>
              <w:jc w:val="center"/>
              <w:rPr>
                <w:rFonts w:hint="eastAsia"/>
                <w:color w:val="auto"/>
                <w:sz w:val="24"/>
                <w:szCs w:val="24"/>
              </w:rPr>
            </w:pPr>
            <w:r>
              <w:rPr>
                <w:rFonts w:hint="eastAsia"/>
                <w:color w:val="auto"/>
                <w:sz w:val="24"/>
                <w:szCs w:val="24"/>
              </w:rPr>
              <w:t>硬件</w:t>
            </w:r>
          </w:p>
        </w:tc>
        <w:tc>
          <w:tcPr>
            <w:tcW w:w="1893" w:type="dxa"/>
            <w:noWrap w:val="0"/>
            <w:vAlign w:val="center"/>
          </w:tcPr>
          <w:p>
            <w:pPr>
              <w:spacing w:line="300" w:lineRule="exact"/>
              <w:jc w:val="center"/>
              <w:rPr>
                <w:rFonts w:hint="eastAsia"/>
                <w:color w:val="auto"/>
                <w:sz w:val="24"/>
                <w:szCs w:val="24"/>
              </w:rPr>
            </w:pPr>
          </w:p>
        </w:tc>
        <w:tc>
          <w:tcPr>
            <w:tcW w:w="1156" w:type="dxa"/>
            <w:noWrap w:val="0"/>
            <w:vAlign w:val="center"/>
          </w:tcPr>
          <w:p>
            <w:pPr>
              <w:spacing w:line="300" w:lineRule="exact"/>
              <w:jc w:val="center"/>
              <w:rPr>
                <w:rFonts w:hint="eastAsia"/>
                <w:color w:val="auto"/>
                <w:sz w:val="24"/>
                <w:szCs w:val="24"/>
              </w:rPr>
            </w:pPr>
          </w:p>
        </w:tc>
        <w:tc>
          <w:tcPr>
            <w:tcW w:w="1367" w:type="dxa"/>
            <w:noWrap w:val="0"/>
            <w:vAlign w:val="center"/>
          </w:tcPr>
          <w:p>
            <w:pPr>
              <w:spacing w:line="300" w:lineRule="exact"/>
              <w:jc w:val="center"/>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9" w:hRule="atLeast"/>
        </w:trPr>
        <w:tc>
          <w:tcPr>
            <w:tcW w:w="886" w:type="dxa"/>
            <w:noWrap w:val="0"/>
            <w:vAlign w:val="center"/>
          </w:tcPr>
          <w:p>
            <w:pPr>
              <w:spacing w:line="300" w:lineRule="exact"/>
              <w:jc w:val="center"/>
              <w:rPr>
                <w:rFonts w:hint="eastAsia"/>
                <w:color w:val="auto"/>
                <w:sz w:val="24"/>
                <w:szCs w:val="24"/>
              </w:rPr>
            </w:pPr>
            <w:r>
              <w:rPr>
                <w:rFonts w:hint="eastAsia"/>
                <w:color w:val="auto"/>
                <w:sz w:val="24"/>
                <w:szCs w:val="24"/>
              </w:rPr>
              <w:t>2</w:t>
            </w:r>
          </w:p>
        </w:tc>
        <w:tc>
          <w:tcPr>
            <w:tcW w:w="3638" w:type="dxa"/>
            <w:noWrap w:val="0"/>
            <w:vAlign w:val="center"/>
          </w:tcPr>
          <w:p>
            <w:pPr>
              <w:spacing w:line="300" w:lineRule="exact"/>
              <w:jc w:val="center"/>
              <w:rPr>
                <w:rFonts w:hint="eastAsia"/>
                <w:color w:val="auto"/>
                <w:sz w:val="24"/>
                <w:szCs w:val="24"/>
              </w:rPr>
            </w:pPr>
            <w:r>
              <w:rPr>
                <w:rFonts w:hint="eastAsia"/>
                <w:color w:val="auto"/>
                <w:sz w:val="24"/>
                <w:szCs w:val="24"/>
              </w:rPr>
              <w:t>云平台</w:t>
            </w:r>
          </w:p>
        </w:tc>
        <w:tc>
          <w:tcPr>
            <w:tcW w:w="1893" w:type="dxa"/>
            <w:noWrap w:val="0"/>
            <w:vAlign w:val="center"/>
          </w:tcPr>
          <w:p>
            <w:pPr>
              <w:spacing w:line="300" w:lineRule="exact"/>
              <w:jc w:val="center"/>
              <w:rPr>
                <w:rFonts w:hint="eastAsia"/>
                <w:color w:val="auto"/>
                <w:sz w:val="24"/>
                <w:szCs w:val="24"/>
              </w:rPr>
            </w:pPr>
          </w:p>
        </w:tc>
        <w:tc>
          <w:tcPr>
            <w:tcW w:w="1156" w:type="dxa"/>
            <w:noWrap w:val="0"/>
            <w:vAlign w:val="center"/>
          </w:tcPr>
          <w:p>
            <w:pPr>
              <w:spacing w:line="300" w:lineRule="exact"/>
              <w:jc w:val="center"/>
              <w:rPr>
                <w:rFonts w:hint="eastAsia"/>
                <w:color w:val="auto"/>
                <w:sz w:val="24"/>
                <w:szCs w:val="24"/>
              </w:rPr>
            </w:pPr>
          </w:p>
        </w:tc>
        <w:tc>
          <w:tcPr>
            <w:tcW w:w="1367" w:type="dxa"/>
            <w:noWrap w:val="0"/>
            <w:vAlign w:val="center"/>
          </w:tcPr>
          <w:p>
            <w:pPr>
              <w:spacing w:line="300" w:lineRule="exact"/>
              <w:jc w:val="center"/>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9" w:hRule="atLeast"/>
        </w:trPr>
        <w:tc>
          <w:tcPr>
            <w:tcW w:w="886" w:type="dxa"/>
            <w:noWrap w:val="0"/>
            <w:vAlign w:val="center"/>
          </w:tcPr>
          <w:p>
            <w:pPr>
              <w:spacing w:line="300" w:lineRule="exact"/>
              <w:jc w:val="center"/>
              <w:rPr>
                <w:rFonts w:hint="eastAsia"/>
                <w:color w:val="auto"/>
                <w:sz w:val="24"/>
                <w:szCs w:val="24"/>
              </w:rPr>
            </w:pPr>
            <w:r>
              <w:rPr>
                <w:rFonts w:hint="eastAsia"/>
                <w:color w:val="auto"/>
                <w:sz w:val="24"/>
                <w:szCs w:val="24"/>
              </w:rPr>
              <w:t>3</w:t>
            </w:r>
          </w:p>
        </w:tc>
        <w:tc>
          <w:tcPr>
            <w:tcW w:w="3638" w:type="dxa"/>
            <w:noWrap w:val="0"/>
            <w:vAlign w:val="center"/>
          </w:tcPr>
          <w:p>
            <w:pPr>
              <w:spacing w:line="300" w:lineRule="exact"/>
              <w:jc w:val="center"/>
              <w:rPr>
                <w:rFonts w:hint="eastAsia"/>
                <w:color w:val="auto"/>
                <w:sz w:val="24"/>
                <w:szCs w:val="24"/>
              </w:rPr>
            </w:pPr>
            <w:r>
              <w:rPr>
                <w:rFonts w:hint="eastAsia"/>
                <w:color w:val="auto"/>
                <w:sz w:val="24"/>
                <w:szCs w:val="24"/>
              </w:rPr>
              <w:t>软件</w:t>
            </w:r>
          </w:p>
        </w:tc>
        <w:tc>
          <w:tcPr>
            <w:tcW w:w="1893" w:type="dxa"/>
            <w:noWrap w:val="0"/>
            <w:vAlign w:val="center"/>
          </w:tcPr>
          <w:p>
            <w:pPr>
              <w:spacing w:line="300" w:lineRule="exact"/>
              <w:jc w:val="center"/>
              <w:rPr>
                <w:rFonts w:hint="eastAsia"/>
                <w:color w:val="auto"/>
                <w:sz w:val="24"/>
                <w:szCs w:val="24"/>
              </w:rPr>
            </w:pPr>
          </w:p>
        </w:tc>
        <w:tc>
          <w:tcPr>
            <w:tcW w:w="1156" w:type="dxa"/>
            <w:noWrap w:val="0"/>
            <w:vAlign w:val="center"/>
          </w:tcPr>
          <w:p>
            <w:pPr>
              <w:spacing w:line="300" w:lineRule="exact"/>
              <w:jc w:val="center"/>
              <w:rPr>
                <w:rFonts w:hint="eastAsia"/>
                <w:color w:val="auto"/>
                <w:sz w:val="24"/>
                <w:szCs w:val="24"/>
              </w:rPr>
            </w:pPr>
          </w:p>
        </w:tc>
        <w:tc>
          <w:tcPr>
            <w:tcW w:w="1367" w:type="dxa"/>
            <w:noWrap w:val="0"/>
            <w:vAlign w:val="center"/>
          </w:tcPr>
          <w:p>
            <w:pPr>
              <w:spacing w:line="300" w:lineRule="exact"/>
              <w:jc w:val="center"/>
              <w:rPr>
                <w:rFonts w:hint="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14" w:hRule="atLeast"/>
        </w:trPr>
        <w:tc>
          <w:tcPr>
            <w:tcW w:w="7573" w:type="dxa"/>
            <w:gridSpan w:val="4"/>
            <w:noWrap w:val="0"/>
            <w:vAlign w:val="center"/>
          </w:tcPr>
          <w:p>
            <w:pPr>
              <w:spacing w:line="300" w:lineRule="exact"/>
              <w:jc w:val="center"/>
              <w:rPr>
                <w:color w:val="auto"/>
                <w:sz w:val="24"/>
                <w:szCs w:val="24"/>
              </w:rPr>
            </w:pPr>
            <w:r>
              <w:rPr>
                <w:color w:val="auto"/>
                <w:sz w:val="24"/>
                <w:szCs w:val="24"/>
              </w:rPr>
              <w:t>投 标 总 价</w:t>
            </w:r>
          </w:p>
        </w:tc>
        <w:tc>
          <w:tcPr>
            <w:tcW w:w="1367" w:type="dxa"/>
            <w:noWrap w:val="0"/>
            <w:vAlign w:val="center"/>
          </w:tcPr>
          <w:p>
            <w:pPr>
              <w:spacing w:line="300" w:lineRule="exact"/>
              <w:jc w:val="center"/>
              <w:rPr>
                <w:color w:val="auto"/>
                <w:sz w:val="24"/>
                <w:szCs w:val="24"/>
              </w:rPr>
            </w:pPr>
          </w:p>
        </w:tc>
      </w:tr>
    </w:tbl>
    <w:p>
      <w:pPr>
        <w:pStyle w:val="11"/>
        <w:spacing w:line="340" w:lineRule="exact"/>
        <w:ind w:firstLine="0"/>
        <w:rPr>
          <w:rFonts w:ascii="宋体" w:eastAsia="宋体"/>
          <w:color w:val="auto"/>
          <w:sz w:val="24"/>
          <w:szCs w:val="24"/>
        </w:rPr>
      </w:pPr>
      <w:r>
        <w:rPr>
          <w:rFonts w:hint="eastAsia"/>
          <w:color w:val="auto"/>
          <w:sz w:val="24"/>
          <w:szCs w:val="24"/>
        </w:rPr>
        <w:t>注：此表可根据项目实际情况由投标人自行编制表格格式。</w:t>
      </w:r>
    </w:p>
    <w:p>
      <w:pPr>
        <w:pStyle w:val="11"/>
        <w:spacing w:before="120" w:beforeLines="50" w:line="360" w:lineRule="exact"/>
        <w:ind w:firstLine="0"/>
        <w:rPr>
          <w:rFonts w:eastAsia="宋体"/>
          <w:color w:val="auto"/>
          <w:sz w:val="24"/>
          <w:szCs w:val="24"/>
        </w:rPr>
      </w:pPr>
    </w:p>
    <w:p>
      <w:pPr>
        <w:pStyle w:val="11"/>
        <w:spacing w:before="120" w:beforeLines="50" w:line="360" w:lineRule="exact"/>
        <w:ind w:firstLine="0"/>
        <w:rPr>
          <w:rFonts w:eastAsia="宋体"/>
          <w:color w:val="auto"/>
          <w:sz w:val="24"/>
          <w:szCs w:val="24"/>
        </w:rPr>
      </w:pPr>
      <w:r>
        <w:rPr>
          <w:rFonts w:hint="eastAsia" w:eastAsia="宋体"/>
          <w:color w:val="auto"/>
          <w:sz w:val="24"/>
          <w:szCs w:val="24"/>
        </w:rPr>
        <w:t>投标人单位（盖公章）：</w:t>
      </w:r>
    </w:p>
    <w:p>
      <w:pPr>
        <w:pStyle w:val="11"/>
        <w:spacing w:before="120" w:beforeLines="50" w:line="360" w:lineRule="exact"/>
        <w:ind w:firstLine="0"/>
        <w:rPr>
          <w:rFonts w:eastAsia="宋体"/>
          <w:color w:val="auto"/>
          <w:sz w:val="24"/>
          <w:szCs w:val="24"/>
        </w:rPr>
      </w:pPr>
      <w:r>
        <w:rPr>
          <w:rFonts w:hint="eastAsia" w:eastAsia="宋体"/>
          <w:color w:val="auto"/>
          <w:sz w:val="24"/>
          <w:szCs w:val="24"/>
        </w:rPr>
        <w:t>被授权代表人（签字）：</w:t>
      </w:r>
    </w:p>
    <w:p>
      <w:pPr>
        <w:snapToGrid w:val="0"/>
        <w:spacing w:before="50" w:after="50" w:line="440" w:lineRule="exact"/>
        <w:ind w:left="-3" w:leftChars="-72" w:right="-817" w:rightChars="-389" w:hanging="148" w:hangingChars="62"/>
        <w:rPr>
          <w:rFonts w:hint="eastAsia" w:ascii="宋体" w:hAnsi="宋体"/>
          <w:color w:val="000000"/>
          <w:szCs w:val="21"/>
        </w:rPr>
      </w:pPr>
      <w:r>
        <w:rPr>
          <w:rFonts w:hint="eastAsia" w:eastAsia="宋体"/>
          <w:color w:val="auto"/>
          <w:sz w:val="24"/>
          <w:szCs w:val="24"/>
        </w:rPr>
        <w:t>日</w:t>
      </w:r>
      <w:r>
        <w:rPr>
          <w:rFonts w:eastAsia="宋体"/>
          <w:color w:val="auto"/>
          <w:sz w:val="24"/>
          <w:szCs w:val="24"/>
        </w:rPr>
        <w:t xml:space="preserve">      </w:t>
      </w:r>
      <w:r>
        <w:rPr>
          <w:rFonts w:hint="eastAsia" w:eastAsia="宋体"/>
          <w:color w:val="auto"/>
          <w:sz w:val="24"/>
          <w:szCs w:val="24"/>
        </w:rPr>
        <w:t xml:space="preserve">期：  </w:t>
      </w:r>
      <w:r>
        <w:rPr>
          <w:rFonts w:hint="eastAsia" w:eastAsia="宋体"/>
          <w:color w:val="auto"/>
        </w:rPr>
        <w:t xml:space="preserve">   </w:t>
      </w:r>
    </w:p>
    <w:p>
      <w:pPr>
        <w:pStyle w:val="15"/>
        <w:snapToGrid w:val="0"/>
        <w:spacing w:before="295" w:beforeLines="0" w:after="295" w:afterLines="0" w:line="440" w:lineRule="exact"/>
        <w:rPr>
          <w:rFonts w:hAnsi="宋体"/>
          <w:color w:val="000000"/>
        </w:rPr>
      </w:pPr>
    </w:p>
    <w:p>
      <w:pPr>
        <w:pStyle w:val="15"/>
        <w:snapToGrid w:val="0"/>
        <w:spacing w:before="295" w:beforeLines="0" w:after="295" w:afterLines="0" w:line="440" w:lineRule="exact"/>
        <w:rPr>
          <w:rFonts w:hAnsi="宋体"/>
          <w:color w:val="000000"/>
        </w:rPr>
      </w:pPr>
    </w:p>
    <w:p>
      <w:pPr>
        <w:pStyle w:val="15"/>
        <w:snapToGrid w:val="0"/>
        <w:spacing w:before="295" w:beforeLines="0" w:after="295" w:afterLines="0" w:line="440" w:lineRule="exact"/>
        <w:rPr>
          <w:rFonts w:hAnsi="宋体"/>
          <w:color w:val="000000"/>
        </w:rPr>
      </w:pPr>
    </w:p>
    <w:p>
      <w:pPr>
        <w:pStyle w:val="15"/>
        <w:snapToGrid w:val="0"/>
        <w:spacing w:before="295" w:beforeLines="0" w:after="295" w:afterLines="0" w:line="440" w:lineRule="exact"/>
        <w:rPr>
          <w:rFonts w:hAnsi="宋体"/>
          <w:color w:val="000000"/>
        </w:rPr>
      </w:pPr>
    </w:p>
    <w:p>
      <w:pPr>
        <w:pStyle w:val="15"/>
        <w:snapToGrid w:val="0"/>
        <w:spacing w:before="295" w:beforeLines="0" w:after="295" w:afterLines="0" w:line="440" w:lineRule="exact"/>
        <w:rPr>
          <w:rFonts w:hAnsi="宋体"/>
          <w:color w:val="000000"/>
        </w:rPr>
      </w:pPr>
    </w:p>
    <w:p>
      <w:pPr>
        <w:pStyle w:val="15"/>
        <w:snapToGrid w:val="0"/>
        <w:spacing w:before="295" w:beforeLines="0" w:after="295" w:afterLines="0" w:line="440" w:lineRule="exact"/>
        <w:rPr>
          <w:rFonts w:hAnsi="宋体"/>
          <w:color w:val="000000"/>
        </w:rPr>
      </w:pPr>
    </w:p>
    <w:p>
      <w:pPr>
        <w:pStyle w:val="15"/>
        <w:snapToGrid w:val="0"/>
        <w:spacing w:before="295" w:beforeLines="0" w:after="295" w:afterLines="0" w:line="440" w:lineRule="exact"/>
        <w:rPr>
          <w:rFonts w:hAnsi="宋体"/>
          <w:color w:val="000000"/>
        </w:rPr>
      </w:pPr>
    </w:p>
    <w:p>
      <w:pPr>
        <w:pStyle w:val="15"/>
        <w:snapToGrid w:val="0"/>
        <w:spacing w:before="295" w:beforeLines="0" w:after="295" w:afterLines="0" w:line="440" w:lineRule="exact"/>
        <w:rPr>
          <w:rFonts w:hAnsi="宋体"/>
          <w:color w:val="000000"/>
        </w:rPr>
      </w:pPr>
    </w:p>
    <w:p>
      <w:pPr>
        <w:pStyle w:val="11"/>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hAnsi="Courier New" w:eastAsia="宋体"/>
          <w:b/>
          <w:color w:val="auto"/>
          <w:sz w:val="28"/>
          <w:lang w:eastAsia="zh-CN"/>
        </w:rPr>
      </w:pPr>
    </w:p>
    <w:p>
      <w:pPr>
        <w:pStyle w:val="11"/>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cs="宋体"/>
          <w:szCs w:val="21"/>
        </w:rPr>
      </w:pPr>
      <w:r>
        <w:rPr>
          <w:rFonts w:hint="eastAsia" w:hAnsi="Courier New" w:eastAsia="宋体"/>
          <w:b/>
          <w:color w:val="auto"/>
          <w:sz w:val="28"/>
          <w:lang w:eastAsia="zh-CN"/>
        </w:rPr>
        <w:t>（</w:t>
      </w:r>
      <w:r>
        <w:rPr>
          <w:rFonts w:hint="eastAsia" w:hAnsi="Courier New" w:eastAsia="宋体"/>
          <w:b/>
          <w:color w:val="auto"/>
          <w:sz w:val="28"/>
          <w:lang w:val="en-US" w:eastAsia="zh-CN"/>
        </w:rPr>
        <w:t>4</w:t>
      </w:r>
      <w:r>
        <w:rPr>
          <w:rFonts w:hint="eastAsia" w:hAnsi="Courier New" w:eastAsia="宋体"/>
          <w:b/>
          <w:color w:val="auto"/>
          <w:sz w:val="28"/>
          <w:lang w:eastAsia="zh-CN"/>
        </w:rPr>
        <w:t>）  投标报价明细表</w:t>
      </w:r>
      <w:r>
        <w:rPr>
          <w:rFonts w:hint="eastAsia" w:ascii="宋体" w:hAnsi="宋体" w:cs="宋体"/>
          <w:szCs w:val="21"/>
        </w:rPr>
        <w:t xml:space="preserve">                                           </w:t>
      </w:r>
    </w:p>
    <w:p>
      <w:pPr>
        <w:spacing w:line="360" w:lineRule="auto"/>
        <w:ind w:right="420" w:firstLine="472"/>
        <w:jc w:val="center"/>
        <w:rPr>
          <w:rFonts w:hint="eastAsia" w:ascii="宋体" w:hAnsi="宋体" w:cs="宋体"/>
          <w:szCs w:val="21"/>
        </w:rPr>
      </w:pPr>
    </w:p>
    <w:p>
      <w:pPr>
        <w:spacing w:line="360" w:lineRule="auto"/>
        <w:ind w:right="420" w:firstLine="472"/>
        <w:jc w:val="center"/>
        <w:rPr>
          <w:rFonts w:hint="eastAsia" w:ascii="宋体" w:hAnsi="宋体" w:cs="宋体"/>
          <w:b/>
          <w:szCs w:val="21"/>
          <w:u w:val="single"/>
          <w:lang w:val="zh-CN"/>
        </w:rPr>
      </w:pP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金额单位：人民币（元）</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3156"/>
        <w:gridCol w:w="1306"/>
        <w:gridCol w:w="1124"/>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double" w:color="auto" w:sz="4" w:space="0"/>
              <w:left w:val="double" w:color="auto" w:sz="4" w:space="0"/>
              <w:bottom w:val="double" w:color="auto" w:sz="4" w:space="0"/>
              <w:right w:val="single" w:color="auto" w:sz="4" w:space="0"/>
            </w:tcBorders>
            <w:noWrap w:val="0"/>
            <w:vAlign w:val="center"/>
          </w:tcPr>
          <w:p>
            <w:pPr>
              <w:pStyle w:val="21"/>
              <w:jc w:val="center"/>
              <w:rPr>
                <w:rFonts w:hint="eastAsia" w:ascii="宋体" w:hAnsi="宋体" w:cs="宋体"/>
                <w:b/>
                <w:szCs w:val="21"/>
              </w:rPr>
            </w:pPr>
            <w:r>
              <w:rPr>
                <w:rFonts w:hint="eastAsia" w:ascii="宋体" w:hAnsi="宋体" w:cs="宋体"/>
                <w:b/>
                <w:szCs w:val="21"/>
              </w:rPr>
              <w:t>序号</w:t>
            </w:r>
          </w:p>
        </w:tc>
        <w:tc>
          <w:tcPr>
            <w:tcW w:w="3156" w:type="dxa"/>
            <w:tcBorders>
              <w:top w:val="double" w:color="auto" w:sz="4" w:space="0"/>
              <w:left w:val="single" w:color="auto" w:sz="4" w:space="0"/>
              <w:bottom w:val="double" w:color="auto" w:sz="4" w:space="0"/>
              <w:right w:val="single" w:color="auto" w:sz="4" w:space="0"/>
            </w:tcBorders>
            <w:noWrap w:val="0"/>
            <w:vAlign w:val="center"/>
          </w:tcPr>
          <w:p>
            <w:pPr>
              <w:jc w:val="center"/>
              <w:rPr>
                <w:rFonts w:hint="eastAsia" w:ascii="宋体" w:hAnsi="宋体" w:cs="宋体"/>
                <w:b/>
                <w:szCs w:val="21"/>
              </w:rPr>
            </w:pPr>
            <w:r>
              <w:rPr>
                <w:rFonts w:hint="eastAsia" w:ascii="宋体" w:hAnsi="宋体" w:cs="宋体"/>
                <w:b/>
                <w:szCs w:val="21"/>
              </w:rPr>
              <w:t>项目</w:t>
            </w:r>
          </w:p>
        </w:tc>
        <w:tc>
          <w:tcPr>
            <w:tcW w:w="1306" w:type="dxa"/>
            <w:tcBorders>
              <w:top w:val="double" w:color="auto" w:sz="4" w:space="0"/>
              <w:left w:val="single" w:color="auto" w:sz="4" w:space="0"/>
              <w:bottom w:val="double" w:color="auto" w:sz="4" w:space="0"/>
              <w:right w:val="single" w:color="auto" w:sz="4" w:space="0"/>
            </w:tcBorders>
            <w:noWrap w:val="0"/>
            <w:vAlign w:val="center"/>
          </w:tcPr>
          <w:p>
            <w:pPr>
              <w:jc w:val="center"/>
              <w:rPr>
                <w:rFonts w:hint="eastAsia" w:ascii="宋体" w:hAnsi="宋体" w:cs="宋体"/>
                <w:b/>
                <w:szCs w:val="21"/>
              </w:rPr>
            </w:pPr>
            <w:r>
              <w:rPr>
                <w:rFonts w:hint="eastAsia" w:ascii="宋体" w:hAnsi="宋体" w:cs="宋体"/>
                <w:b/>
                <w:szCs w:val="21"/>
              </w:rPr>
              <w:t>单位</w:t>
            </w:r>
          </w:p>
        </w:tc>
        <w:tc>
          <w:tcPr>
            <w:tcW w:w="1124" w:type="dxa"/>
            <w:tcBorders>
              <w:top w:val="double" w:color="auto" w:sz="4" w:space="0"/>
              <w:left w:val="single" w:color="auto" w:sz="4" w:space="0"/>
              <w:bottom w:val="double" w:color="auto" w:sz="4" w:space="0"/>
              <w:right w:val="single" w:color="auto" w:sz="4" w:space="0"/>
            </w:tcBorders>
            <w:noWrap w:val="0"/>
            <w:vAlign w:val="center"/>
          </w:tcPr>
          <w:p>
            <w:pPr>
              <w:jc w:val="center"/>
              <w:rPr>
                <w:rFonts w:hint="eastAsia" w:ascii="宋体" w:hAnsi="宋体" w:cs="宋体"/>
                <w:b/>
                <w:szCs w:val="21"/>
              </w:rPr>
            </w:pPr>
            <w:r>
              <w:rPr>
                <w:rFonts w:hint="eastAsia" w:ascii="宋体" w:hAnsi="宋体" w:cs="宋体"/>
                <w:b/>
                <w:szCs w:val="21"/>
              </w:rPr>
              <w:t>单价</w:t>
            </w:r>
          </w:p>
        </w:tc>
        <w:tc>
          <w:tcPr>
            <w:tcW w:w="1939" w:type="dxa"/>
            <w:tcBorders>
              <w:top w:val="double" w:color="auto" w:sz="4" w:space="0"/>
              <w:left w:val="single" w:color="auto" w:sz="4" w:space="0"/>
              <w:bottom w:val="double" w:color="auto" w:sz="4" w:space="0"/>
              <w:right w:val="double" w:color="auto" w:sz="4" w:space="0"/>
            </w:tcBorders>
            <w:noWrap w:val="0"/>
            <w:vAlign w:val="center"/>
          </w:tcPr>
          <w:p>
            <w:pPr>
              <w:jc w:val="center"/>
              <w:rPr>
                <w:rFonts w:hint="eastAsia" w:ascii="宋体" w:hAnsi="宋体" w:cs="宋体"/>
                <w:b/>
                <w:szCs w:val="21"/>
              </w:rPr>
            </w:pPr>
            <w:r>
              <w:rPr>
                <w:rFonts w:hint="eastAsia" w:ascii="宋体" w:hAnsi="宋体" w:cs="宋体"/>
                <w:b/>
                <w:szCs w:val="21"/>
              </w:rPr>
              <w:t>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doub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1</w:t>
            </w:r>
          </w:p>
        </w:tc>
        <w:tc>
          <w:tcPr>
            <w:tcW w:w="3156" w:type="dxa"/>
            <w:tcBorders>
              <w:top w:val="doub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306" w:type="dxa"/>
            <w:tcBorders>
              <w:top w:val="doub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124" w:type="dxa"/>
            <w:tcBorders>
              <w:top w:val="doub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939" w:type="dxa"/>
            <w:tcBorders>
              <w:top w:val="doub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2</w:t>
            </w:r>
          </w:p>
        </w:tc>
        <w:tc>
          <w:tcPr>
            <w:tcW w:w="315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30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939" w:type="dxa"/>
            <w:tcBorders>
              <w:top w:val="sing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3</w:t>
            </w:r>
          </w:p>
        </w:tc>
        <w:tc>
          <w:tcPr>
            <w:tcW w:w="315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30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939" w:type="dxa"/>
            <w:tcBorders>
              <w:top w:val="sing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4</w:t>
            </w:r>
          </w:p>
        </w:tc>
        <w:tc>
          <w:tcPr>
            <w:tcW w:w="315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30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939" w:type="dxa"/>
            <w:tcBorders>
              <w:top w:val="sing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5</w:t>
            </w:r>
          </w:p>
        </w:tc>
        <w:tc>
          <w:tcPr>
            <w:tcW w:w="315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939" w:type="dxa"/>
            <w:tcBorders>
              <w:top w:val="sing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6</w:t>
            </w:r>
          </w:p>
        </w:tc>
        <w:tc>
          <w:tcPr>
            <w:tcW w:w="315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w:t>
            </w:r>
          </w:p>
        </w:tc>
        <w:tc>
          <w:tcPr>
            <w:tcW w:w="1306"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Cs w:val="21"/>
              </w:rPr>
            </w:pPr>
          </w:p>
        </w:tc>
        <w:tc>
          <w:tcPr>
            <w:tcW w:w="1939" w:type="dxa"/>
            <w:tcBorders>
              <w:top w:val="sing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7</w:t>
            </w:r>
          </w:p>
        </w:tc>
        <w:tc>
          <w:tcPr>
            <w:tcW w:w="5586"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利润</w:t>
            </w:r>
          </w:p>
        </w:tc>
        <w:tc>
          <w:tcPr>
            <w:tcW w:w="1939" w:type="dxa"/>
            <w:tcBorders>
              <w:top w:val="sing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single" w:color="auto" w:sz="4" w:space="0"/>
              <w:right w:val="single" w:color="auto" w:sz="4" w:space="0"/>
            </w:tcBorders>
            <w:noWrap w:val="0"/>
            <w:vAlign w:val="center"/>
          </w:tcPr>
          <w:p>
            <w:pPr>
              <w:jc w:val="center"/>
              <w:rPr>
                <w:rFonts w:hint="eastAsia" w:ascii="宋体" w:hAnsi="宋体" w:cs="宋体"/>
                <w:szCs w:val="21"/>
              </w:rPr>
            </w:pPr>
            <w:r>
              <w:rPr>
                <w:rFonts w:hint="eastAsia" w:ascii="宋体" w:hAnsi="宋体" w:cs="宋体"/>
                <w:szCs w:val="21"/>
              </w:rPr>
              <w:t>8</w:t>
            </w:r>
          </w:p>
        </w:tc>
        <w:tc>
          <w:tcPr>
            <w:tcW w:w="5586" w:type="dxa"/>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Cs w:val="21"/>
              </w:rPr>
            </w:pPr>
            <w:r>
              <w:rPr>
                <w:rFonts w:hint="eastAsia" w:ascii="宋体" w:hAnsi="宋体" w:cs="宋体"/>
                <w:szCs w:val="21"/>
              </w:rPr>
              <w:t>税金</w:t>
            </w:r>
          </w:p>
        </w:tc>
        <w:tc>
          <w:tcPr>
            <w:tcW w:w="1939" w:type="dxa"/>
            <w:tcBorders>
              <w:top w:val="single" w:color="auto" w:sz="4" w:space="0"/>
              <w:left w:val="single" w:color="auto" w:sz="4" w:space="0"/>
              <w:bottom w:val="single" w:color="auto" w:sz="4" w:space="0"/>
              <w:right w:val="double" w:color="auto" w:sz="4" w:space="0"/>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jc w:val="center"/>
        </w:trPr>
        <w:tc>
          <w:tcPr>
            <w:tcW w:w="1003" w:type="dxa"/>
            <w:tcBorders>
              <w:top w:val="single" w:color="auto" w:sz="4" w:space="0"/>
              <w:left w:val="double" w:color="auto" w:sz="4" w:space="0"/>
              <w:bottom w:val="double" w:color="auto" w:sz="4" w:space="0"/>
              <w:right w:val="single" w:color="auto" w:sz="4" w:space="0"/>
            </w:tcBorders>
            <w:noWrap w:val="0"/>
            <w:vAlign w:val="center"/>
          </w:tcPr>
          <w:p>
            <w:pPr>
              <w:jc w:val="center"/>
              <w:rPr>
                <w:rFonts w:hint="eastAsia" w:ascii="宋体" w:hAnsi="宋体" w:eastAsia="宋体" w:cs="宋体"/>
                <w:szCs w:val="21"/>
                <w:lang w:eastAsia="zh-CN"/>
              </w:rPr>
            </w:pPr>
            <w:r>
              <w:rPr>
                <w:rFonts w:hint="eastAsia" w:ascii="宋体" w:hAnsi="宋体" w:cs="宋体"/>
                <w:szCs w:val="21"/>
                <w:lang w:eastAsia="zh-CN"/>
              </w:rPr>
              <w:t>投标总价</w:t>
            </w:r>
          </w:p>
        </w:tc>
        <w:tc>
          <w:tcPr>
            <w:tcW w:w="7525" w:type="dxa"/>
            <w:gridSpan w:val="4"/>
            <w:tcBorders>
              <w:top w:val="single" w:color="auto" w:sz="4" w:space="0"/>
              <w:left w:val="single" w:color="auto" w:sz="4" w:space="0"/>
              <w:bottom w:val="double" w:color="auto" w:sz="4" w:space="0"/>
              <w:right w:val="double" w:color="auto" w:sz="4" w:space="0"/>
            </w:tcBorders>
            <w:noWrap w:val="0"/>
            <w:vAlign w:val="center"/>
          </w:tcPr>
          <w:p>
            <w:pPr>
              <w:rPr>
                <w:rFonts w:hint="eastAsia" w:ascii="宋体" w:hAnsi="宋体" w:cs="宋体"/>
                <w:szCs w:val="21"/>
              </w:rPr>
            </w:pPr>
            <w:r>
              <w:rPr>
                <w:rFonts w:hint="eastAsia" w:ascii="宋体" w:hAnsi="宋体" w:cs="宋体"/>
                <w:szCs w:val="21"/>
              </w:rPr>
              <w:t>小写：               大写：</w:t>
            </w:r>
          </w:p>
        </w:tc>
      </w:tr>
    </w:tbl>
    <w:p>
      <w:pPr>
        <w:tabs>
          <w:tab w:val="left" w:pos="425"/>
          <w:tab w:val="left" w:pos="845"/>
        </w:tabs>
        <w:spacing w:line="400" w:lineRule="exact"/>
        <w:ind w:firstLine="420" w:firstLineChars="200"/>
        <w:rPr>
          <w:rFonts w:hint="eastAsia" w:ascii="宋体" w:hAnsi="宋体" w:cs="宋体"/>
          <w:szCs w:val="21"/>
          <w:lang w:val="zh-CN"/>
        </w:rPr>
      </w:pPr>
      <w:r>
        <w:rPr>
          <w:rFonts w:hint="eastAsia" w:ascii="宋体" w:hAnsi="宋体" w:cs="宋体"/>
          <w:szCs w:val="21"/>
          <w:lang w:val="zh-CN"/>
        </w:rPr>
        <w:t>注：1、</w:t>
      </w:r>
      <w:r>
        <w:rPr>
          <w:rFonts w:hint="eastAsia" w:ascii="宋体" w:hAnsi="宋体" w:cs="宋体"/>
          <w:szCs w:val="21"/>
        </w:rPr>
        <w:t>最高限价：详见招标文件评标细则，投标报价高于最高限价，作无效标处理。</w:t>
      </w:r>
    </w:p>
    <w:p>
      <w:pPr>
        <w:tabs>
          <w:tab w:val="left" w:pos="425"/>
          <w:tab w:val="left" w:pos="845"/>
        </w:tabs>
        <w:spacing w:line="400" w:lineRule="exact"/>
        <w:ind w:firstLine="840" w:firstLineChars="400"/>
        <w:rPr>
          <w:rFonts w:hint="eastAsia" w:ascii="宋体" w:hAnsi="宋体" w:cs="宋体"/>
          <w:szCs w:val="21"/>
          <w:lang w:val="zh-CN"/>
        </w:rPr>
      </w:pPr>
      <w:r>
        <w:rPr>
          <w:rFonts w:hint="eastAsia" w:ascii="宋体" w:hAnsi="宋体" w:cs="宋体"/>
          <w:szCs w:val="21"/>
          <w:lang w:val="zh-CN"/>
        </w:rPr>
        <w:t>2、投标人认为应当说明而本表中无相应栏目的，请在自行增加栏目加以说明。</w:t>
      </w:r>
    </w:p>
    <w:p>
      <w:pPr>
        <w:pStyle w:val="15"/>
        <w:snapToGrid w:val="0"/>
        <w:spacing w:before="295" w:beforeLines="0" w:after="295" w:afterLines="0" w:line="440" w:lineRule="exact"/>
        <w:rPr>
          <w:rFonts w:hint="eastAsia" w:hAnsi="宋体"/>
          <w:b/>
          <w:color w:val="000000"/>
          <w:lang w:val="en-US" w:eastAsia="zh-CN"/>
        </w:rPr>
      </w:pPr>
      <w:r>
        <w:rPr>
          <w:rFonts w:hint="eastAsia" w:hAnsi="宋体"/>
          <w:color w:val="000000"/>
        </w:rPr>
        <w:t xml:space="preserve">  </w:t>
      </w:r>
      <w:r>
        <w:rPr>
          <w:rFonts w:hint="eastAsia" w:hAnsi="宋体"/>
          <w:b/>
          <w:color w:val="000000"/>
        </w:rPr>
        <w:t xml:space="preserve">     </w:t>
      </w:r>
      <w:r>
        <w:rPr>
          <w:rFonts w:hint="eastAsia" w:hAnsi="宋体"/>
          <w:b/>
          <w:color w:val="000000"/>
          <w:lang w:val="en-US" w:eastAsia="zh-CN"/>
        </w:rPr>
        <w:t xml:space="preserve">  </w:t>
      </w:r>
    </w:p>
    <w:p>
      <w:pPr>
        <w:pStyle w:val="15"/>
        <w:snapToGrid w:val="0"/>
        <w:spacing w:before="295" w:beforeLines="0" w:after="295" w:afterLines="0" w:line="440" w:lineRule="exact"/>
        <w:rPr>
          <w:rFonts w:hint="eastAsia" w:hAnsi="宋体"/>
          <w:b/>
          <w:color w:val="000000"/>
          <w:lang w:val="en-US" w:eastAsia="zh-CN"/>
        </w:rPr>
      </w:pPr>
    </w:p>
    <w:p>
      <w:pPr>
        <w:pStyle w:val="15"/>
        <w:snapToGrid w:val="0"/>
        <w:spacing w:before="295" w:beforeLines="0" w:after="295" w:afterLines="0" w:line="440" w:lineRule="exact"/>
        <w:rPr>
          <w:rFonts w:hint="default" w:hAnsi="宋体"/>
          <w:b/>
          <w:color w:val="000000"/>
          <w:lang w:val="en-US" w:eastAsia="zh-CN"/>
        </w:rPr>
      </w:pPr>
    </w:p>
    <w:p>
      <w:pPr>
        <w:pStyle w:val="11"/>
        <w:spacing w:before="120" w:beforeLines="50" w:line="360" w:lineRule="exact"/>
        <w:ind w:firstLine="0"/>
        <w:rPr>
          <w:rFonts w:eastAsia="宋体"/>
          <w:color w:val="auto"/>
          <w:sz w:val="24"/>
          <w:szCs w:val="24"/>
        </w:rPr>
      </w:pPr>
      <w:r>
        <w:rPr>
          <w:rFonts w:hint="eastAsia" w:hAnsi="宋体"/>
          <w:b/>
          <w:color w:val="000000"/>
          <w:lang w:val="en-US" w:eastAsia="zh-CN"/>
        </w:rPr>
        <w:t xml:space="preserve">                                                                          </w:t>
      </w:r>
      <w:r>
        <w:rPr>
          <w:rFonts w:hint="eastAsia" w:eastAsia="宋体"/>
          <w:color w:val="auto"/>
          <w:sz w:val="24"/>
          <w:szCs w:val="24"/>
        </w:rPr>
        <w:t>投标人单位（盖公章）：</w:t>
      </w:r>
    </w:p>
    <w:p>
      <w:pPr>
        <w:pStyle w:val="11"/>
        <w:spacing w:before="120" w:beforeLines="50" w:line="360" w:lineRule="exact"/>
        <w:ind w:firstLine="0"/>
        <w:jc w:val="right"/>
        <w:rPr>
          <w:rFonts w:eastAsia="宋体"/>
          <w:color w:val="auto"/>
          <w:sz w:val="24"/>
          <w:szCs w:val="24"/>
        </w:rPr>
      </w:pPr>
      <w:r>
        <w:rPr>
          <w:rFonts w:hint="eastAsia" w:eastAsia="宋体"/>
          <w:color w:val="auto"/>
          <w:sz w:val="24"/>
          <w:szCs w:val="24"/>
        </w:rPr>
        <w:t>被授权代表人（签字）：</w:t>
      </w:r>
    </w:p>
    <w:p>
      <w:pPr>
        <w:snapToGrid w:val="0"/>
        <w:spacing w:before="50" w:after="50" w:line="440" w:lineRule="exact"/>
        <w:ind w:left="-3" w:leftChars="-72" w:right="-817" w:rightChars="-389" w:hanging="148" w:hangingChars="62"/>
        <w:jc w:val="center"/>
        <w:rPr>
          <w:rFonts w:hint="eastAsia" w:ascii="宋体" w:hAnsi="宋体"/>
          <w:color w:val="000000"/>
          <w:szCs w:val="21"/>
        </w:rPr>
      </w:pPr>
      <w:r>
        <w:rPr>
          <w:rFonts w:hint="eastAsia" w:eastAsia="宋体"/>
          <w:color w:val="auto"/>
          <w:sz w:val="24"/>
          <w:szCs w:val="24"/>
          <w:lang w:val="en-US" w:eastAsia="zh-CN"/>
        </w:rPr>
        <w:t xml:space="preserve">                                  </w:t>
      </w:r>
      <w:r>
        <w:rPr>
          <w:rFonts w:hint="eastAsia" w:eastAsia="宋体"/>
          <w:color w:val="auto"/>
          <w:sz w:val="24"/>
          <w:szCs w:val="24"/>
        </w:rPr>
        <w:t>日</w:t>
      </w:r>
      <w:r>
        <w:rPr>
          <w:rFonts w:eastAsia="宋体"/>
          <w:color w:val="auto"/>
          <w:sz w:val="24"/>
          <w:szCs w:val="24"/>
        </w:rPr>
        <w:t xml:space="preserve">      </w:t>
      </w:r>
      <w:r>
        <w:rPr>
          <w:rFonts w:hint="eastAsia" w:eastAsia="宋体"/>
          <w:color w:val="auto"/>
          <w:sz w:val="24"/>
          <w:szCs w:val="24"/>
        </w:rPr>
        <w:t xml:space="preserve">期：  </w:t>
      </w:r>
      <w:r>
        <w:rPr>
          <w:rFonts w:hint="eastAsia" w:eastAsia="宋体"/>
          <w:color w:val="auto"/>
        </w:rPr>
        <w:t xml:space="preserve">   </w:t>
      </w:r>
    </w:p>
    <w:p>
      <w:pPr>
        <w:pStyle w:val="15"/>
        <w:snapToGrid w:val="0"/>
        <w:spacing w:before="295" w:beforeLines="0" w:after="295" w:afterLines="0" w:line="440" w:lineRule="exact"/>
        <w:rPr>
          <w:rFonts w:hint="eastAsia" w:hAnsi="宋体"/>
          <w:b/>
          <w:color w:val="000000"/>
        </w:rPr>
      </w:pPr>
    </w:p>
    <w:p>
      <w:pPr>
        <w:pStyle w:val="15"/>
        <w:snapToGrid w:val="0"/>
        <w:spacing w:before="295" w:beforeLines="0" w:after="295" w:afterLines="0" w:line="440" w:lineRule="exact"/>
        <w:jc w:val="center"/>
        <w:rPr>
          <w:rFonts w:hint="eastAsia" w:hAnsi="宋体"/>
          <w:b/>
          <w:color w:val="000000"/>
          <w:lang w:eastAsia="zh-CN"/>
        </w:rPr>
      </w:pPr>
    </w:p>
    <w:p>
      <w:pPr>
        <w:pStyle w:val="15"/>
        <w:snapToGrid w:val="0"/>
        <w:spacing w:before="295" w:beforeLines="0" w:after="295" w:afterLines="0" w:line="440" w:lineRule="exact"/>
        <w:jc w:val="center"/>
        <w:rPr>
          <w:rFonts w:hint="eastAsia" w:hAnsi="宋体"/>
          <w:color w:val="000000"/>
        </w:rPr>
      </w:pPr>
      <w:r>
        <w:rPr>
          <w:rFonts w:hint="eastAsia" w:hAnsi="宋体"/>
          <w:b/>
          <w:color w:val="000000"/>
          <w:lang w:eastAsia="zh-CN"/>
        </w:rPr>
        <w:t>（</w:t>
      </w:r>
      <w:r>
        <w:rPr>
          <w:rFonts w:hint="eastAsia" w:hAnsi="宋体"/>
          <w:b/>
          <w:color w:val="000000"/>
          <w:lang w:val="en-US" w:eastAsia="zh-CN"/>
        </w:rPr>
        <w:t>5</w:t>
      </w:r>
      <w:r>
        <w:rPr>
          <w:rFonts w:hint="eastAsia" w:hAnsi="宋体"/>
          <w:b/>
          <w:color w:val="000000"/>
          <w:lang w:eastAsia="zh-CN"/>
        </w:rPr>
        <w:t>）</w:t>
      </w:r>
      <w:r>
        <w:rPr>
          <w:rFonts w:hint="eastAsia" w:hAnsi="宋体"/>
          <w:b/>
          <w:color w:val="000000"/>
        </w:rPr>
        <w:t>投标单位</w:t>
      </w:r>
      <w:r>
        <w:rPr>
          <w:rFonts w:hAnsi="宋体"/>
          <w:b/>
          <w:color w:val="000000"/>
        </w:rPr>
        <w:t>声明函</w:t>
      </w:r>
    </w:p>
    <w:p>
      <w:pPr>
        <w:spacing w:line="400" w:lineRule="exact"/>
        <w:jc w:val="left"/>
        <w:rPr>
          <w:rFonts w:hint="eastAsia" w:ascii="宋体" w:hAnsi="宋体"/>
          <w:b/>
          <w:bCs/>
          <w:color w:val="000000"/>
          <w:szCs w:val="21"/>
        </w:rPr>
      </w:pPr>
      <w:r>
        <w:rPr>
          <w:rFonts w:hint="eastAsia" w:hAnsi="宋体"/>
          <w:color w:val="000000"/>
        </w:rPr>
        <w:t xml:space="preserve">                          </w:t>
      </w:r>
    </w:p>
    <w:p>
      <w:pPr>
        <w:spacing w:line="400" w:lineRule="exact"/>
        <w:ind w:firstLine="420" w:firstLineChars="200"/>
        <w:rPr>
          <w:rFonts w:hint="eastAsia" w:ascii="宋体" w:hAnsi="宋体"/>
          <w:color w:val="000000"/>
          <w:szCs w:val="21"/>
        </w:rPr>
      </w:pPr>
      <w:r>
        <w:rPr>
          <w:rFonts w:ascii="宋体" w:hAnsi="宋体"/>
          <w:color w:val="000000"/>
          <w:szCs w:val="21"/>
        </w:rPr>
        <w:t>根据</w:t>
      </w:r>
      <w:r>
        <w:rPr>
          <w:rFonts w:hint="eastAsia" w:ascii="宋体" w:hAnsi="宋体"/>
          <w:color w:val="000000"/>
          <w:szCs w:val="21"/>
        </w:rPr>
        <w:t>财政部</w:t>
      </w:r>
      <w:r>
        <w:rPr>
          <w:rFonts w:ascii="宋体" w:hAnsi="宋体"/>
          <w:color w:val="000000"/>
          <w:szCs w:val="21"/>
        </w:rPr>
        <w:t>《政府采购促进中小企业发展暂行办法》（财库[2011]181号）</w:t>
      </w:r>
      <w:r>
        <w:rPr>
          <w:rFonts w:hint="eastAsia" w:ascii="宋体" w:hAnsi="宋体"/>
          <w:color w:val="000000"/>
          <w:szCs w:val="21"/>
        </w:rPr>
        <w:t>和宁波市财政局《关于政府采购促进中小企业发展若干问题的通知》（甬采购办</w:t>
      </w:r>
      <w:r>
        <w:rPr>
          <w:rFonts w:ascii="宋体" w:hAnsi="宋体"/>
          <w:color w:val="000000"/>
          <w:szCs w:val="21"/>
        </w:rPr>
        <w:t>[201</w:t>
      </w: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1427号）的</w:t>
      </w:r>
      <w:r>
        <w:rPr>
          <w:rFonts w:ascii="宋体" w:hAnsi="宋体"/>
          <w:color w:val="000000"/>
          <w:szCs w:val="21"/>
        </w:rPr>
        <w:t>规定，本</w:t>
      </w:r>
      <w:r>
        <w:rPr>
          <w:rFonts w:hint="eastAsia" w:ascii="宋体" w:hAnsi="宋体"/>
          <w:color w:val="000000"/>
          <w:szCs w:val="21"/>
        </w:rPr>
        <w:t>单位</w:t>
      </w:r>
      <w:r>
        <w:rPr>
          <w:rFonts w:ascii="宋体" w:hAnsi="宋体"/>
          <w:color w:val="000000"/>
          <w:szCs w:val="21"/>
        </w:rPr>
        <w:t>郑重声明：</w:t>
      </w:r>
    </w:p>
    <w:p>
      <w:pPr>
        <w:spacing w:line="400" w:lineRule="exact"/>
        <w:ind w:firstLine="420" w:firstLineChars="200"/>
        <w:rPr>
          <w:rFonts w:hint="eastAsia" w:ascii="宋体" w:hAnsi="宋体"/>
          <w:color w:val="000000"/>
          <w:szCs w:val="21"/>
        </w:rPr>
      </w:pPr>
      <w:r>
        <w:rPr>
          <w:rFonts w:ascii="宋体" w:hAnsi="宋体"/>
          <w:color w:val="000000"/>
          <w:szCs w:val="21"/>
        </w:rPr>
        <w:t>1.</w:t>
      </w:r>
      <w:r>
        <w:rPr>
          <w:rFonts w:hint="eastAsia" w:ascii="宋体" w:hAnsi="宋体"/>
          <w:color w:val="000000"/>
          <w:szCs w:val="21"/>
        </w:rPr>
        <w:t>依据</w:t>
      </w:r>
      <w:r>
        <w:rPr>
          <w:rFonts w:ascii="宋体" w:hAnsi="宋体"/>
          <w:color w:val="000000"/>
          <w:szCs w:val="21"/>
        </w:rPr>
        <w:t>工业和信息化部、国家统计局、国家发展和改革委员会、财政部《关于印发中小企业划型标准规定的通知》（工信部联企业[2011]300号）规定的划分标准，本</w:t>
      </w:r>
      <w:r>
        <w:rPr>
          <w:rFonts w:hint="eastAsia" w:ascii="宋体" w:hAnsi="宋体"/>
          <w:color w:val="000000"/>
          <w:szCs w:val="21"/>
        </w:rPr>
        <w:t>单位</w:t>
      </w:r>
      <w:r>
        <w:rPr>
          <w:rFonts w:ascii="宋体" w:hAnsi="宋体"/>
          <w:color w:val="000000"/>
          <w:szCs w:val="21"/>
        </w:rPr>
        <w:t>为______（</w:t>
      </w:r>
      <w:r>
        <w:rPr>
          <w:rFonts w:hint="eastAsia" w:ascii="宋体" w:hAnsi="宋体"/>
          <w:color w:val="000000"/>
          <w:szCs w:val="21"/>
        </w:rPr>
        <w:t>大型、</w:t>
      </w:r>
      <w:r>
        <w:rPr>
          <w:rFonts w:ascii="宋体" w:hAnsi="宋体"/>
          <w:color w:val="000000"/>
          <w:szCs w:val="21"/>
        </w:rPr>
        <w:t>中型、小型、微型</w:t>
      </w:r>
      <w:r>
        <w:rPr>
          <w:rFonts w:hint="eastAsia" w:ascii="宋体" w:hAnsi="宋体"/>
          <w:color w:val="000000"/>
          <w:szCs w:val="21"/>
        </w:rPr>
        <w:t>、不划型</w:t>
      </w:r>
      <w:r>
        <w:rPr>
          <w:rFonts w:ascii="宋体" w:hAnsi="宋体"/>
          <w:color w:val="000000"/>
          <w:szCs w:val="21"/>
        </w:rPr>
        <w:t>）企业</w:t>
      </w:r>
      <w:r>
        <w:rPr>
          <w:rFonts w:hint="eastAsia" w:ascii="宋体" w:hAnsi="宋体"/>
          <w:color w:val="000000"/>
          <w:szCs w:val="21"/>
        </w:rPr>
        <w:t>，其中所属行业为</w:t>
      </w:r>
      <w:r>
        <w:rPr>
          <w:rFonts w:ascii="宋体" w:hAnsi="宋体"/>
          <w:color w:val="000000"/>
          <w:szCs w:val="21"/>
        </w:rPr>
        <w:t>________________</w:t>
      </w:r>
      <w:r>
        <w:rPr>
          <w:rFonts w:hint="eastAsia" w:ascii="宋体" w:hAnsi="宋体"/>
          <w:color w:val="000000"/>
          <w:szCs w:val="21"/>
        </w:rPr>
        <w:t>、上年末从业人员</w:t>
      </w:r>
      <w:r>
        <w:rPr>
          <w:rFonts w:ascii="宋体" w:hAnsi="宋体"/>
          <w:color w:val="000000"/>
          <w:szCs w:val="21"/>
        </w:rPr>
        <w:t>____</w:t>
      </w:r>
      <w:r>
        <w:rPr>
          <w:rFonts w:hint="eastAsia" w:ascii="宋体" w:hAnsi="宋体"/>
          <w:color w:val="000000"/>
          <w:szCs w:val="21"/>
        </w:rPr>
        <w:t>人、上年营业收入</w:t>
      </w:r>
      <w:r>
        <w:rPr>
          <w:rFonts w:ascii="宋体" w:hAnsi="宋体"/>
          <w:color w:val="000000"/>
          <w:szCs w:val="21"/>
        </w:rPr>
        <w:t>____</w:t>
      </w:r>
      <w:r>
        <w:rPr>
          <w:rFonts w:hint="eastAsia" w:ascii="宋体" w:hAnsi="宋体"/>
          <w:color w:val="000000"/>
          <w:szCs w:val="21"/>
        </w:rPr>
        <w:t>万元、上年资产总额</w:t>
      </w:r>
      <w:r>
        <w:rPr>
          <w:rFonts w:ascii="宋体" w:hAnsi="宋体"/>
          <w:color w:val="000000"/>
          <w:szCs w:val="21"/>
        </w:rPr>
        <w:t>____</w:t>
      </w:r>
      <w:r>
        <w:rPr>
          <w:rFonts w:hint="eastAsia" w:ascii="宋体" w:hAnsi="宋体"/>
          <w:color w:val="000000"/>
          <w:szCs w:val="21"/>
        </w:rPr>
        <w:t>万元。</w:t>
      </w:r>
    </w:p>
    <w:p>
      <w:pPr>
        <w:spacing w:line="400" w:lineRule="exact"/>
        <w:ind w:firstLine="420" w:firstLineChars="200"/>
        <w:rPr>
          <w:rFonts w:hint="eastAsia" w:ascii="宋体" w:hAnsi="宋体"/>
          <w:color w:val="000000"/>
          <w:szCs w:val="21"/>
        </w:rPr>
      </w:pPr>
      <w:r>
        <w:rPr>
          <w:rFonts w:ascii="宋体" w:hAnsi="宋体"/>
          <w:color w:val="000000"/>
          <w:szCs w:val="21"/>
        </w:rPr>
        <w:t>2.本</w:t>
      </w:r>
      <w:r>
        <w:rPr>
          <w:rFonts w:hint="eastAsia" w:ascii="宋体" w:hAnsi="宋体"/>
          <w:color w:val="000000"/>
          <w:szCs w:val="21"/>
        </w:rPr>
        <w:t>单位</w:t>
      </w:r>
      <w:r>
        <w:rPr>
          <w:rFonts w:ascii="宋体" w:hAnsi="宋体"/>
          <w:color w:val="000000"/>
          <w:szCs w:val="21"/>
        </w:rPr>
        <w:t>参加______项目</w:t>
      </w:r>
      <w:r>
        <w:rPr>
          <w:rFonts w:hint="eastAsia" w:ascii="宋体" w:hAnsi="宋体"/>
          <w:color w:val="000000"/>
          <w:szCs w:val="21"/>
        </w:rPr>
        <w:t>（招标编号</w:t>
      </w:r>
      <w:r>
        <w:rPr>
          <w:rFonts w:ascii="宋体" w:hAnsi="宋体"/>
          <w:color w:val="000000"/>
          <w:szCs w:val="21"/>
        </w:rPr>
        <w:t>______</w:t>
      </w:r>
      <w:r>
        <w:rPr>
          <w:rFonts w:hint="eastAsia" w:ascii="宋体" w:hAnsi="宋体"/>
          <w:color w:val="000000"/>
          <w:szCs w:val="21"/>
        </w:rPr>
        <w:t>标段/包</w:t>
      </w:r>
      <w:r>
        <w:rPr>
          <w:rFonts w:ascii="宋体" w:hAnsi="宋体"/>
          <w:color w:val="000000"/>
          <w:szCs w:val="21"/>
        </w:rPr>
        <w:t>______</w:t>
      </w:r>
      <w:r>
        <w:rPr>
          <w:rFonts w:hint="eastAsia" w:ascii="宋体" w:hAnsi="宋体"/>
          <w:color w:val="000000"/>
          <w:szCs w:val="21"/>
        </w:rPr>
        <w:t>）</w:t>
      </w:r>
      <w:r>
        <w:rPr>
          <w:rFonts w:ascii="宋体" w:hAnsi="宋体"/>
          <w:color w:val="000000"/>
          <w:szCs w:val="21"/>
        </w:rPr>
        <w:t>采购活动</w:t>
      </w:r>
      <w:r>
        <w:rPr>
          <w:rFonts w:hint="eastAsia" w:ascii="宋体" w:hAnsi="宋体"/>
          <w:color w:val="000000"/>
          <w:szCs w:val="21"/>
        </w:rPr>
        <w:t>，项目的市场价格为</w:t>
      </w:r>
      <w:r>
        <w:rPr>
          <w:rFonts w:ascii="宋体" w:hAnsi="宋体"/>
          <w:color w:val="000000"/>
          <w:szCs w:val="21"/>
        </w:rPr>
        <w:t>_____</w:t>
      </w:r>
      <w:r>
        <w:rPr>
          <w:rFonts w:hint="eastAsia" w:ascii="宋体" w:hAnsi="宋体"/>
          <w:color w:val="000000"/>
          <w:szCs w:val="21"/>
        </w:rPr>
        <w:t>万元，本次投标价格为</w:t>
      </w:r>
      <w:r>
        <w:rPr>
          <w:rFonts w:hint="eastAsia" w:ascii="宋体" w:hAnsi="宋体"/>
          <w:color w:val="000000"/>
          <w:szCs w:val="21"/>
          <w:u w:val="single"/>
        </w:rPr>
        <w:t xml:space="preserve"> / </w:t>
      </w:r>
      <w:r>
        <w:rPr>
          <w:rFonts w:hint="eastAsia" w:ascii="宋体" w:hAnsi="宋体"/>
          <w:color w:val="000000"/>
          <w:szCs w:val="21"/>
        </w:rPr>
        <w:t>万元，其中</w:t>
      </w:r>
      <w:r>
        <w:rPr>
          <w:rFonts w:ascii="宋体" w:hAnsi="宋体"/>
          <w:color w:val="000000"/>
          <w:szCs w:val="21"/>
        </w:rPr>
        <w:t>由本</w:t>
      </w:r>
      <w:r>
        <w:rPr>
          <w:rFonts w:hint="eastAsia" w:ascii="宋体" w:hAnsi="宋体"/>
          <w:color w:val="000000"/>
          <w:szCs w:val="21"/>
        </w:rPr>
        <w:t>单位</w:t>
      </w:r>
      <w:r>
        <w:rPr>
          <w:rFonts w:ascii="宋体" w:hAnsi="宋体"/>
          <w:color w:val="000000"/>
          <w:szCs w:val="21"/>
        </w:rPr>
        <w:t>承担工程</w:t>
      </w:r>
      <w:r>
        <w:rPr>
          <w:rFonts w:hint="eastAsia" w:ascii="宋体" w:hAnsi="宋体"/>
          <w:color w:val="000000"/>
          <w:szCs w:val="21"/>
        </w:rPr>
        <w:t>金额为</w:t>
      </w:r>
      <w:r>
        <w:rPr>
          <w:rFonts w:ascii="宋体" w:hAnsi="宋体"/>
          <w:color w:val="000000"/>
          <w:szCs w:val="21"/>
        </w:rPr>
        <w:t>_____</w:t>
      </w:r>
      <w:r>
        <w:rPr>
          <w:rFonts w:hint="eastAsia" w:ascii="宋体" w:hAnsi="宋体"/>
          <w:color w:val="000000"/>
          <w:szCs w:val="21"/>
        </w:rPr>
        <w:t>万元，</w:t>
      </w:r>
      <w:r>
        <w:rPr>
          <w:rFonts w:ascii="宋体" w:hAnsi="宋体"/>
          <w:color w:val="000000"/>
          <w:szCs w:val="21"/>
        </w:rPr>
        <w:t>由本</w:t>
      </w:r>
      <w:r>
        <w:rPr>
          <w:rFonts w:hint="eastAsia" w:ascii="宋体" w:hAnsi="宋体"/>
          <w:color w:val="000000"/>
          <w:szCs w:val="21"/>
        </w:rPr>
        <w:t>单位</w:t>
      </w:r>
      <w:r>
        <w:rPr>
          <w:rFonts w:ascii="宋体" w:hAnsi="宋体"/>
          <w:color w:val="000000"/>
          <w:szCs w:val="21"/>
        </w:rPr>
        <w:t>提供服务</w:t>
      </w:r>
      <w:r>
        <w:rPr>
          <w:rFonts w:hint="eastAsia" w:ascii="宋体" w:hAnsi="宋体"/>
          <w:color w:val="000000"/>
          <w:szCs w:val="21"/>
        </w:rPr>
        <w:t>金额为</w:t>
      </w:r>
      <w:r>
        <w:rPr>
          <w:rFonts w:ascii="宋体" w:hAnsi="宋体"/>
          <w:color w:val="000000"/>
          <w:szCs w:val="21"/>
        </w:rPr>
        <w:t>_____</w:t>
      </w:r>
      <w:r>
        <w:rPr>
          <w:rFonts w:hint="eastAsia" w:ascii="宋体" w:hAnsi="宋体"/>
          <w:color w:val="000000"/>
          <w:szCs w:val="21"/>
        </w:rPr>
        <w:t>万元，</w:t>
      </w:r>
      <w:r>
        <w:rPr>
          <w:rFonts w:ascii="宋体" w:hAnsi="宋体"/>
          <w:color w:val="000000"/>
          <w:szCs w:val="21"/>
        </w:rPr>
        <w:t>提供本</w:t>
      </w:r>
      <w:r>
        <w:rPr>
          <w:rFonts w:hint="eastAsia" w:ascii="宋体" w:hAnsi="宋体"/>
          <w:color w:val="000000"/>
          <w:szCs w:val="21"/>
        </w:rPr>
        <w:t>单位</w:t>
      </w:r>
      <w:r>
        <w:rPr>
          <w:rFonts w:ascii="宋体" w:hAnsi="宋体"/>
          <w:color w:val="000000"/>
          <w:szCs w:val="21"/>
        </w:rPr>
        <w:t>制造的货物</w:t>
      </w:r>
      <w:r>
        <w:rPr>
          <w:rFonts w:hint="eastAsia" w:ascii="宋体" w:hAnsi="宋体"/>
          <w:color w:val="000000"/>
          <w:szCs w:val="21"/>
        </w:rPr>
        <w:t>金额为</w:t>
      </w:r>
      <w:r>
        <w:rPr>
          <w:rFonts w:ascii="宋体" w:hAnsi="宋体"/>
          <w:color w:val="000000"/>
          <w:szCs w:val="21"/>
        </w:rPr>
        <w:t>_____</w:t>
      </w:r>
      <w:r>
        <w:rPr>
          <w:rFonts w:hint="eastAsia" w:ascii="宋体" w:hAnsi="宋体"/>
          <w:color w:val="000000"/>
          <w:szCs w:val="21"/>
        </w:rPr>
        <w:t>万元，</w:t>
      </w:r>
      <w:r>
        <w:rPr>
          <w:rFonts w:ascii="宋体" w:hAnsi="宋体"/>
          <w:color w:val="000000"/>
          <w:szCs w:val="21"/>
        </w:rPr>
        <w:t>或者提供其他</w:t>
      </w:r>
      <w:r>
        <w:rPr>
          <w:rFonts w:hint="eastAsia" w:ascii="宋体" w:hAnsi="宋体"/>
          <w:color w:val="000000"/>
          <w:szCs w:val="21"/>
        </w:rPr>
        <w:t>大型</w:t>
      </w:r>
      <w:r>
        <w:rPr>
          <w:rFonts w:ascii="宋体" w:hAnsi="宋体"/>
          <w:color w:val="000000"/>
          <w:szCs w:val="21"/>
        </w:rPr>
        <w:t>企业制造的货物</w:t>
      </w:r>
      <w:r>
        <w:rPr>
          <w:rFonts w:hint="eastAsia" w:ascii="宋体" w:hAnsi="宋体"/>
          <w:color w:val="000000"/>
          <w:szCs w:val="21"/>
        </w:rPr>
        <w:t>金额为</w:t>
      </w:r>
      <w:r>
        <w:rPr>
          <w:rFonts w:ascii="宋体" w:hAnsi="宋体"/>
          <w:color w:val="000000"/>
          <w:szCs w:val="21"/>
        </w:rPr>
        <w:t>_____</w:t>
      </w:r>
      <w:r>
        <w:rPr>
          <w:rFonts w:hint="eastAsia" w:ascii="宋体" w:hAnsi="宋体"/>
          <w:color w:val="000000"/>
          <w:szCs w:val="21"/>
        </w:rPr>
        <w:t>万元、</w:t>
      </w:r>
      <w:r>
        <w:rPr>
          <w:rFonts w:ascii="宋体" w:hAnsi="宋体"/>
          <w:color w:val="000000"/>
          <w:szCs w:val="21"/>
        </w:rPr>
        <w:t>其他中型企业制造的货物</w:t>
      </w:r>
      <w:r>
        <w:rPr>
          <w:rFonts w:hint="eastAsia" w:ascii="宋体" w:hAnsi="宋体"/>
          <w:color w:val="000000"/>
          <w:szCs w:val="21"/>
        </w:rPr>
        <w:t>金额为</w:t>
      </w:r>
      <w:r>
        <w:rPr>
          <w:rFonts w:ascii="宋体" w:hAnsi="宋体"/>
          <w:color w:val="000000"/>
          <w:szCs w:val="21"/>
        </w:rPr>
        <w:t>_____</w:t>
      </w:r>
      <w:r>
        <w:rPr>
          <w:rFonts w:hint="eastAsia" w:ascii="宋体" w:hAnsi="宋体"/>
          <w:color w:val="000000"/>
          <w:szCs w:val="21"/>
        </w:rPr>
        <w:t>万元、</w:t>
      </w:r>
      <w:r>
        <w:rPr>
          <w:rFonts w:ascii="宋体" w:hAnsi="宋体"/>
          <w:color w:val="000000"/>
          <w:szCs w:val="21"/>
        </w:rPr>
        <w:t>其他小型企业制造的货物</w:t>
      </w:r>
      <w:r>
        <w:rPr>
          <w:rFonts w:hint="eastAsia" w:ascii="宋体" w:hAnsi="宋体"/>
          <w:color w:val="000000"/>
          <w:szCs w:val="21"/>
        </w:rPr>
        <w:t>金额为</w:t>
      </w:r>
      <w:r>
        <w:rPr>
          <w:rFonts w:ascii="宋体" w:hAnsi="宋体"/>
          <w:color w:val="000000"/>
          <w:szCs w:val="21"/>
        </w:rPr>
        <w:t>_____</w:t>
      </w:r>
      <w:r>
        <w:rPr>
          <w:rFonts w:hint="eastAsia" w:ascii="宋体" w:hAnsi="宋体"/>
          <w:color w:val="000000"/>
          <w:szCs w:val="21"/>
        </w:rPr>
        <w:t>万元、</w:t>
      </w:r>
      <w:r>
        <w:rPr>
          <w:rFonts w:ascii="宋体" w:hAnsi="宋体"/>
          <w:color w:val="000000"/>
          <w:szCs w:val="21"/>
        </w:rPr>
        <w:t>其他微型企业制造的货物</w:t>
      </w:r>
      <w:r>
        <w:rPr>
          <w:rFonts w:hint="eastAsia" w:ascii="宋体" w:hAnsi="宋体"/>
          <w:color w:val="000000"/>
          <w:szCs w:val="21"/>
        </w:rPr>
        <w:t>金额为</w:t>
      </w:r>
      <w:r>
        <w:rPr>
          <w:rFonts w:ascii="宋体" w:hAnsi="宋体"/>
          <w:color w:val="000000"/>
          <w:szCs w:val="21"/>
        </w:rPr>
        <w:t>_____</w:t>
      </w:r>
      <w:r>
        <w:rPr>
          <w:rFonts w:hint="eastAsia" w:ascii="宋体" w:hAnsi="宋体"/>
          <w:color w:val="000000"/>
          <w:szCs w:val="21"/>
        </w:rPr>
        <w:t>万元。原产地为中国境内货物金额为</w:t>
      </w:r>
      <w:r>
        <w:rPr>
          <w:rFonts w:ascii="宋体" w:hAnsi="宋体"/>
          <w:color w:val="000000"/>
          <w:szCs w:val="21"/>
        </w:rPr>
        <w:t>_____</w:t>
      </w:r>
      <w:r>
        <w:rPr>
          <w:rFonts w:hint="eastAsia" w:ascii="宋体" w:hAnsi="宋体"/>
          <w:color w:val="000000"/>
          <w:szCs w:val="21"/>
        </w:rPr>
        <w:t>万元、原产地为宁波货物金额为</w:t>
      </w:r>
      <w:r>
        <w:rPr>
          <w:rFonts w:ascii="宋体" w:hAnsi="宋体"/>
          <w:color w:val="000000"/>
          <w:szCs w:val="21"/>
        </w:rPr>
        <w:t>_____</w:t>
      </w:r>
      <w:r>
        <w:rPr>
          <w:rFonts w:hint="eastAsia" w:ascii="宋体" w:hAnsi="宋体"/>
          <w:color w:val="000000"/>
          <w:szCs w:val="21"/>
        </w:rPr>
        <w:t>万元，列入国家节能产品清单货物金额为</w:t>
      </w:r>
      <w:r>
        <w:rPr>
          <w:rFonts w:ascii="宋体" w:hAnsi="宋体"/>
          <w:color w:val="000000"/>
          <w:szCs w:val="21"/>
        </w:rPr>
        <w:t>_____</w:t>
      </w:r>
      <w:r>
        <w:rPr>
          <w:rFonts w:hint="eastAsia" w:ascii="宋体" w:hAnsi="宋体"/>
          <w:color w:val="000000"/>
          <w:szCs w:val="21"/>
        </w:rPr>
        <w:t>万元，列入国家环境标志产品清单货物金额为</w:t>
      </w:r>
      <w:r>
        <w:rPr>
          <w:rFonts w:ascii="宋体" w:hAnsi="宋体"/>
          <w:color w:val="000000"/>
          <w:szCs w:val="21"/>
        </w:rPr>
        <w:t>_____</w:t>
      </w:r>
      <w:r>
        <w:rPr>
          <w:rFonts w:hint="eastAsia" w:ascii="宋体" w:hAnsi="宋体"/>
          <w:color w:val="000000"/>
          <w:szCs w:val="21"/>
        </w:rPr>
        <w:t>万元</w:t>
      </w:r>
      <w:r>
        <w:rPr>
          <w:rFonts w:ascii="宋体" w:hAnsi="宋体"/>
          <w:color w:val="000000"/>
          <w:szCs w:val="21"/>
        </w:rPr>
        <w:t>。</w:t>
      </w:r>
    </w:p>
    <w:p>
      <w:pPr>
        <w:spacing w:line="400" w:lineRule="exact"/>
        <w:ind w:firstLine="420" w:firstLineChars="200"/>
        <w:rPr>
          <w:rFonts w:ascii="宋体" w:hAnsi="宋体" w:cs="宋体"/>
          <w:color w:val="000000"/>
          <w:kern w:val="0"/>
          <w:szCs w:val="21"/>
        </w:rPr>
      </w:pPr>
      <w:r>
        <w:rPr>
          <w:rFonts w:ascii="宋体" w:hAnsi="宋体" w:cs="宋体"/>
          <w:color w:val="000000"/>
          <w:kern w:val="0"/>
          <w:szCs w:val="21"/>
        </w:rPr>
        <w:t>本</w:t>
      </w:r>
      <w:r>
        <w:rPr>
          <w:rFonts w:hint="eastAsia" w:ascii="宋体" w:hAnsi="宋体" w:cs="宋体"/>
          <w:color w:val="000000"/>
          <w:kern w:val="0"/>
          <w:szCs w:val="21"/>
        </w:rPr>
        <w:t>单位</w:t>
      </w:r>
      <w:r>
        <w:rPr>
          <w:rFonts w:ascii="宋体" w:hAnsi="宋体" w:cs="宋体"/>
          <w:color w:val="000000"/>
          <w:kern w:val="0"/>
          <w:szCs w:val="21"/>
        </w:rPr>
        <w:t>对上述声明的真实性负责。如有虚假，将依法承担相应责任。</w:t>
      </w:r>
    </w:p>
    <w:p>
      <w:pPr>
        <w:widowControl/>
        <w:spacing w:before="100" w:beforeAutospacing="1" w:after="100" w:afterAutospacing="1" w:line="400" w:lineRule="exact"/>
        <w:jc w:val="left"/>
        <w:rPr>
          <w:rFonts w:hint="eastAsia" w:ascii="宋体" w:hAnsi="宋体" w:cs="宋体"/>
          <w:color w:val="000000"/>
          <w:kern w:val="0"/>
          <w:szCs w:val="21"/>
        </w:rPr>
      </w:pPr>
    </w:p>
    <w:p>
      <w:pPr>
        <w:widowControl/>
        <w:spacing w:before="100" w:beforeAutospacing="1" w:after="100" w:afterAutospacing="1" w:line="400" w:lineRule="exact"/>
        <w:jc w:val="left"/>
        <w:rPr>
          <w:rFonts w:hint="eastAsia" w:ascii="宋体" w:hAnsi="宋体" w:cs="宋体"/>
          <w:color w:val="000000"/>
          <w:kern w:val="0"/>
          <w:szCs w:val="21"/>
        </w:rPr>
      </w:pPr>
      <w:r>
        <w:rPr>
          <w:rFonts w:hint="eastAsia" w:ascii="宋体" w:hAnsi="宋体" w:cs="宋体"/>
          <w:color w:val="000000"/>
          <w:kern w:val="0"/>
          <w:szCs w:val="21"/>
        </w:rPr>
        <w:t>投标单位</w:t>
      </w:r>
      <w:r>
        <w:rPr>
          <w:rFonts w:ascii="宋体" w:hAnsi="宋体" w:cs="宋体"/>
          <w:color w:val="000000"/>
          <w:kern w:val="0"/>
          <w:szCs w:val="21"/>
        </w:rPr>
        <w:t>名称（盖章）：</w:t>
      </w:r>
      <w:r>
        <w:rPr>
          <w:rFonts w:hint="eastAsia" w:ascii="宋体" w:hAnsi="宋体" w:cs="宋体"/>
          <w:color w:val="000000"/>
          <w:kern w:val="0"/>
          <w:szCs w:val="21"/>
          <w:u w:val="single"/>
        </w:rPr>
        <w:t xml:space="preserve">               </w:t>
      </w:r>
      <w:r>
        <w:rPr>
          <w:rFonts w:hint="eastAsia" w:ascii="宋体" w:hAnsi="宋体" w:cs="宋体"/>
          <w:color w:val="000000"/>
          <w:kern w:val="0"/>
          <w:szCs w:val="21"/>
        </w:rPr>
        <w:t xml:space="preserve">   </w:t>
      </w:r>
    </w:p>
    <w:p>
      <w:pPr>
        <w:spacing w:line="400" w:lineRule="exact"/>
        <w:rPr>
          <w:rFonts w:ascii="宋体" w:hAnsi="宋体" w:cs="宋体"/>
          <w:color w:val="000000"/>
          <w:kern w:val="0"/>
          <w:szCs w:val="21"/>
          <w:u w:val="single"/>
        </w:rPr>
      </w:pPr>
      <w:r>
        <w:rPr>
          <w:rFonts w:ascii="宋体" w:hAnsi="宋体" w:cs="宋体"/>
          <w:color w:val="000000"/>
          <w:kern w:val="0"/>
          <w:szCs w:val="21"/>
        </w:rPr>
        <w:t>日期：</w:t>
      </w:r>
      <w:r>
        <w:rPr>
          <w:rFonts w:hint="eastAsia" w:ascii="宋体" w:hAnsi="宋体" w:cs="宋体"/>
          <w:color w:val="000000"/>
          <w:kern w:val="0"/>
          <w:szCs w:val="21"/>
          <w:u w:val="single"/>
        </w:rPr>
        <w:t xml:space="preserve">               </w:t>
      </w:r>
    </w:p>
    <w:p>
      <w:pPr>
        <w:pStyle w:val="11"/>
        <w:spacing w:line="400" w:lineRule="exact"/>
        <w:rPr>
          <w:rFonts w:hint="eastAsia" w:hAnsi="宋体"/>
          <w:color w:val="000000"/>
          <w:szCs w:val="21"/>
        </w:rPr>
      </w:pPr>
      <w:r>
        <w:rPr>
          <w:rFonts w:hAnsi="宋体" w:cs="宋体"/>
          <w:color w:val="000000"/>
          <w:kern w:val="0"/>
          <w:szCs w:val="21"/>
          <w:u w:val="single"/>
        </w:rPr>
        <w:br w:type="page"/>
      </w:r>
      <w:r>
        <w:rPr>
          <w:rFonts w:hint="eastAsia" w:hAnsi="宋体"/>
          <w:color w:val="000000"/>
          <w:szCs w:val="21"/>
        </w:rPr>
        <w:t>填写说明：</w:t>
      </w:r>
    </w:p>
    <w:p>
      <w:pPr>
        <w:spacing w:line="400" w:lineRule="exact"/>
        <w:ind w:firstLine="420" w:firstLineChars="200"/>
        <w:rPr>
          <w:rFonts w:hint="eastAsia" w:ascii="宋体" w:hAnsi="宋体"/>
          <w:color w:val="000000"/>
          <w:szCs w:val="21"/>
        </w:rPr>
      </w:pPr>
      <w:r>
        <w:rPr>
          <w:rFonts w:hint="eastAsia" w:ascii="宋体" w:hAnsi="宋体"/>
          <w:color w:val="000000"/>
          <w:szCs w:val="21"/>
        </w:rPr>
        <w:t>1、根据</w:t>
      </w:r>
      <w:r>
        <w:rPr>
          <w:rFonts w:ascii="宋体" w:hAnsi="宋体"/>
          <w:color w:val="000000"/>
          <w:szCs w:val="21"/>
        </w:rPr>
        <w:t>工信部联企业[2011]300号</w:t>
      </w:r>
      <w:r>
        <w:rPr>
          <w:rFonts w:hint="eastAsia" w:ascii="宋体" w:hAnsi="宋体"/>
          <w:color w:val="000000"/>
          <w:szCs w:val="21"/>
        </w:rPr>
        <w:t>文件，企业行业分为：</w:t>
      </w:r>
      <w:r>
        <w:rPr>
          <w:rFonts w:ascii="宋体" w:hAnsi="宋体"/>
          <w:color w:val="000000"/>
          <w:szCs w:val="21"/>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宋体" w:hAnsi="宋体"/>
          <w:color w:val="000000"/>
          <w:szCs w:val="21"/>
        </w:rPr>
        <w:t>一般研发、生产、加工型企业填写工业，销售、贸易型企业填写批发业，具体行业划分依据国家统计局网站公布的</w:t>
      </w:r>
      <w:r>
        <w:rPr>
          <w:rFonts w:ascii="宋体" w:hAnsi="宋体"/>
          <w:color w:val="000000"/>
          <w:szCs w:val="21"/>
        </w:rPr>
        <w:t>《国民经济行业分类》</w:t>
      </w:r>
      <w:r>
        <w:rPr>
          <w:rFonts w:hint="eastAsia" w:ascii="宋体" w:hAnsi="宋体"/>
          <w:color w:val="000000"/>
          <w:szCs w:val="21"/>
        </w:rPr>
        <w:t>标准规定。</w:t>
      </w:r>
    </w:p>
    <w:p>
      <w:pPr>
        <w:spacing w:line="400" w:lineRule="exact"/>
        <w:ind w:firstLine="420" w:firstLineChars="200"/>
        <w:rPr>
          <w:rFonts w:hint="eastAsia" w:ascii="宋体" w:hAnsi="宋体"/>
          <w:color w:val="000000"/>
          <w:szCs w:val="21"/>
        </w:rPr>
      </w:pPr>
      <w:r>
        <w:rPr>
          <w:rFonts w:hint="eastAsia" w:ascii="宋体" w:hAnsi="宋体"/>
          <w:color w:val="000000"/>
          <w:szCs w:val="21"/>
        </w:rPr>
        <w:t>2、第1条宁波政府采购站点（www.nbzfcg.cn）注册的企业供应商须根据上年财务报表等，登录进入网上供应商平台中“供应商账户管理”-“单位信息”模块，对照前款说明，可选择“所属行业”，如实填写修改上年末从业人员</w:t>
      </w:r>
      <w:r>
        <w:rPr>
          <w:rFonts w:ascii="宋体" w:hAnsi="宋体"/>
          <w:color w:val="000000"/>
          <w:szCs w:val="21"/>
        </w:rPr>
        <w:t>____</w:t>
      </w:r>
      <w:r>
        <w:rPr>
          <w:rFonts w:hint="eastAsia" w:ascii="宋体" w:hAnsi="宋体"/>
          <w:color w:val="000000"/>
          <w:szCs w:val="21"/>
        </w:rPr>
        <w:t>人、上年营业收入</w:t>
      </w:r>
      <w:r>
        <w:rPr>
          <w:rFonts w:ascii="宋体" w:hAnsi="宋体"/>
          <w:color w:val="000000"/>
          <w:szCs w:val="21"/>
        </w:rPr>
        <w:t>____</w:t>
      </w:r>
      <w:r>
        <w:rPr>
          <w:rFonts w:hint="eastAsia" w:ascii="宋体" w:hAnsi="宋体"/>
          <w:color w:val="000000"/>
          <w:szCs w:val="21"/>
        </w:rPr>
        <w:t>万元、上年资产总额</w:t>
      </w:r>
      <w:r>
        <w:rPr>
          <w:rFonts w:ascii="宋体" w:hAnsi="宋体"/>
          <w:color w:val="000000"/>
          <w:szCs w:val="21"/>
        </w:rPr>
        <w:t>____</w:t>
      </w:r>
      <w:r>
        <w:rPr>
          <w:rFonts w:hint="eastAsia" w:ascii="宋体" w:hAnsi="宋体"/>
          <w:color w:val="000000"/>
          <w:szCs w:val="21"/>
        </w:rPr>
        <w:t>万元等数据，新成立企业暂以当前实际数据填报，重新点击会自动显示修改后企业划型信息，事业社团其他类型供应商不划型。</w:t>
      </w:r>
    </w:p>
    <w:p>
      <w:pPr>
        <w:spacing w:line="400" w:lineRule="exact"/>
        <w:ind w:firstLine="420" w:firstLineChars="200"/>
        <w:rPr>
          <w:rFonts w:hint="eastAsia" w:ascii="宋体" w:hAnsi="宋体"/>
          <w:color w:val="000000"/>
          <w:szCs w:val="21"/>
        </w:rPr>
      </w:pPr>
      <w:r>
        <w:rPr>
          <w:rFonts w:hint="eastAsia" w:ascii="宋体" w:hAnsi="宋体"/>
          <w:color w:val="000000"/>
          <w:szCs w:val="21"/>
        </w:rPr>
        <w:t>3、第2条有多个标包的，须按每个标包分别填写，无此分类货物金额的应填“零”。</w:t>
      </w:r>
    </w:p>
    <w:p>
      <w:pPr>
        <w:spacing w:line="400" w:lineRule="exact"/>
        <w:ind w:firstLine="420" w:firstLineChars="200"/>
        <w:rPr>
          <w:rFonts w:hint="eastAsia" w:ascii="宋体" w:hAnsi="宋体"/>
          <w:color w:val="000000"/>
          <w:szCs w:val="21"/>
        </w:rPr>
      </w:pPr>
      <w:r>
        <w:rPr>
          <w:rFonts w:hint="eastAsia" w:ascii="宋体" w:hAnsi="宋体"/>
          <w:color w:val="000000"/>
          <w:szCs w:val="21"/>
        </w:rPr>
        <w:t>4、联合体投标的，由联合体主办方提供本表。</w:t>
      </w:r>
    </w:p>
    <w:p>
      <w:pPr>
        <w:spacing w:line="400" w:lineRule="exact"/>
        <w:ind w:firstLine="420" w:firstLineChars="200"/>
        <w:rPr>
          <w:rFonts w:hint="eastAsia" w:ascii="宋体" w:hAnsi="宋体"/>
          <w:color w:val="000000"/>
          <w:szCs w:val="21"/>
        </w:rPr>
      </w:pPr>
      <w:r>
        <w:rPr>
          <w:rFonts w:hint="eastAsia" w:ascii="宋体" w:hAnsi="宋体"/>
          <w:color w:val="000000"/>
          <w:szCs w:val="21"/>
        </w:rPr>
        <w:t>5、资格入围式项目（一个标包由多家中标入围）：招标人公布项目预算的，第2条有关金额按市场预估总价、投标预估总价除以入围数量填写；未公布预算的或入围数量的，供应商无需填写。</w:t>
      </w:r>
    </w:p>
    <w:p>
      <w:pPr>
        <w:spacing w:line="400" w:lineRule="exact"/>
        <w:ind w:firstLine="420" w:firstLineChars="200"/>
        <w:rPr>
          <w:rFonts w:hint="eastAsia" w:ascii="宋体" w:hAnsi="宋体"/>
          <w:color w:val="000000"/>
          <w:szCs w:val="21"/>
        </w:rPr>
      </w:pPr>
      <w:r>
        <w:rPr>
          <w:rFonts w:hint="eastAsia" w:ascii="宋体" w:hAnsi="宋体"/>
          <w:color w:val="000000"/>
          <w:szCs w:val="21"/>
        </w:rPr>
        <w:t>6、投标价格为费率的项目、中标价格按单价执行的项目：招标人公布项目预算的，第2条有关金额按市场预估总价、投标预估总价填写；未公布预算的，供应商无需填写。</w:t>
      </w:r>
    </w:p>
    <w:p>
      <w:pPr>
        <w:spacing w:line="400" w:lineRule="exact"/>
        <w:ind w:firstLine="420" w:firstLineChars="200"/>
        <w:rPr>
          <w:rFonts w:hint="eastAsia" w:ascii="宋体" w:hAnsi="宋体"/>
          <w:color w:val="000000"/>
          <w:szCs w:val="21"/>
        </w:rPr>
      </w:pPr>
      <w:r>
        <w:rPr>
          <w:rFonts w:hint="eastAsia" w:ascii="宋体" w:hAnsi="宋体"/>
          <w:color w:val="000000"/>
          <w:szCs w:val="21"/>
        </w:rPr>
        <w:t>7、列入国家节能产品清单、环保产品清单的产品以中国政府采购网(www.ccgp.gov.cn)上财政部发布的文件为准。</w:t>
      </w:r>
    </w:p>
    <w:p>
      <w:pPr>
        <w:spacing w:line="400" w:lineRule="exact"/>
        <w:ind w:firstLine="420" w:firstLineChars="200"/>
        <w:rPr>
          <w:rFonts w:ascii="宋体" w:hAnsi="宋体"/>
          <w:color w:val="000000"/>
          <w:szCs w:val="21"/>
        </w:rPr>
      </w:pPr>
      <w:r>
        <w:rPr>
          <w:rFonts w:hint="eastAsia" w:ascii="宋体" w:hAnsi="宋体"/>
          <w:color w:val="000000"/>
          <w:szCs w:val="21"/>
        </w:rPr>
        <w:t>8、本《投标单位声明函》为政府采购信息统计使用，请供应商按照要求提供。</w:t>
      </w:r>
    </w:p>
    <w:p>
      <w:pPr>
        <w:pStyle w:val="15"/>
        <w:snapToGrid w:val="0"/>
        <w:spacing w:before="295" w:beforeLines="0" w:after="295" w:afterLines="0" w:line="440" w:lineRule="exact"/>
        <w:jc w:val="center"/>
        <w:rPr>
          <w:rFonts w:hint="eastAsia" w:ascii="宋体" w:hAnsi="宋体"/>
          <w:b/>
          <w:color w:val="000000"/>
          <w:szCs w:val="21"/>
        </w:rPr>
      </w:pPr>
      <w:r>
        <w:rPr>
          <w:rFonts w:hAnsi="宋体"/>
          <w:color w:val="000000"/>
          <w:szCs w:val="21"/>
        </w:rPr>
        <w:br w:type="page"/>
      </w:r>
      <w:r>
        <w:rPr>
          <w:rFonts w:hint="eastAsia" w:hAnsi="宋体"/>
          <w:color w:val="000000"/>
        </w:rPr>
        <w:t xml:space="preserve"> </w:t>
      </w:r>
      <w:r>
        <w:rPr>
          <w:rFonts w:hint="eastAsia" w:hAnsi="宋体"/>
          <w:b/>
          <w:color w:val="000000"/>
        </w:rPr>
        <w:t xml:space="preserve">     </w:t>
      </w:r>
      <w:r>
        <w:rPr>
          <w:rFonts w:hint="eastAsia" w:ascii="宋体" w:hAnsi="宋体"/>
          <w:b/>
          <w:color w:val="000000"/>
          <w:szCs w:val="21"/>
          <w:lang w:eastAsia="zh-CN"/>
        </w:rPr>
        <w:t>（</w:t>
      </w:r>
      <w:r>
        <w:rPr>
          <w:rFonts w:hint="eastAsia" w:ascii="宋体" w:hAnsi="宋体"/>
          <w:b/>
          <w:color w:val="000000"/>
          <w:szCs w:val="21"/>
          <w:lang w:val="en-US" w:eastAsia="zh-CN"/>
        </w:rPr>
        <w:t>6</w:t>
      </w:r>
      <w:r>
        <w:rPr>
          <w:rFonts w:hint="eastAsia" w:ascii="宋体" w:hAnsi="宋体"/>
          <w:b/>
          <w:color w:val="000000"/>
          <w:szCs w:val="21"/>
          <w:lang w:eastAsia="zh-CN"/>
        </w:rPr>
        <w:t>）</w:t>
      </w:r>
      <w:r>
        <w:rPr>
          <w:rFonts w:hint="eastAsia" w:ascii="宋体" w:hAnsi="宋体"/>
          <w:b/>
          <w:color w:val="000000"/>
          <w:szCs w:val="21"/>
        </w:rPr>
        <w:t>中小企业声明函</w:t>
      </w:r>
    </w:p>
    <w:p>
      <w:pPr>
        <w:spacing w:line="400" w:lineRule="exact"/>
        <w:rPr>
          <w:rFonts w:hint="eastAsia" w:ascii="宋体" w:hAnsi="宋体"/>
          <w:b/>
          <w:color w:val="000000"/>
          <w:spacing w:val="6"/>
          <w:szCs w:val="21"/>
        </w:rPr>
      </w:pPr>
    </w:p>
    <w:p>
      <w:pPr>
        <w:spacing w:line="400" w:lineRule="exact"/>
        <w:ind w:firstLine="420" w:firstLineChars="200"/>
        <w:rPr>
          <w:rFonts w:hint="eastAsia" w:ascii="宋体" w:hAnsi="宋体"/>
          <w:color w:val="000000"/>
          <w:szCs w:val="21"/>
        </w:rPr>
      </w:pPr>
      <w:r>
        <w:rPr>
          <w:rFonts w:hint="eastAsia" w:ascii="宋体" w:hAnsi="宋体"/>
          <w:color w:val="000000"/>
          <w:szCs w:val="21"/>
        </w:rPr>
        <w:t>本公司郑重声明，根据《政府采购促进中小企业发展暂行办法》（财库[2011]181号）的规定，本公司为______（请填写：中型、小型、微型）企业。即，本公司同时满足以下条件：</w:t>
      </w:r>
    </w:p>
    <w:p>
      <w:pPr>
        <w:spacing w:line="400" w:lineRule="exact"/>
        <w:ind w:firstLine="420" w:firstLineChars="200"/>
        <w:rPr>
          <w:rFonts w:hint="eastAsia" w:ascii="宋体" w:hAnsi="宋体"/>
          <w:color w:val="000000"/>
          <w:szCs w:val="21"/>
        </w:rPr>
      </w:pPr>
      <w:r>
        <w:rPr>
          <w:rFonts w:hint="eastAsia" w:ascii="宋体" w:hAnsi="宋体"/>
          <w:color w:val="000000"/>
          <w:szCs w:val="21"/>
        </w:rPr>
        <w:t>1.根据《工业和信息化部、国家统计局、国家发展和改革委员会、财政部关于印发中小企业划型标准规定的通知》（工信部联企业[2011]300号）规定的划分标准，本公司为______（请填写：中型、小型、微型）企业。</w:t>
      </w:r>
    </w:p>
    <w:p>
      <w:pPr>
        <w:spacing w:line="400" w:lineRule="exact"/>
        <w:ind w:firstLine="420" w:firstLineChars="200"/>
        <w:rPr>
          <w:rFonts w:hint="eastAsia" w:ascii="宋体" w:hAnsi="宋体"/>
          <w:color w:val="000000"/>
          <w:szCs w:val="21"/>
        </w:rPr>
      </w:pPr>
      <w:r>
        <w:rPr>
          <w:rFonts w:hint="eastAsia" w:ascii="宋体" w:hAnsi="宋体"/>
          <w:color w:val="000000"/>
          <w:szCs w:val="21"/>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400" w:lineRule="exact"/>
        <w:ind w:firstLine="420" w:firstLineChars="200"/>
        <w:rPr>
          <w:rFonts w:hint="eastAsia" w:ascii="宋体" w:hAnsi="宋体"/>
          <w:color w:val="000000"/>
          <w:szCs w:val="21"/>
        </w:rPr>
      </w:pPr>
      <w:r>
        <w:rPr>
          <w:rFonts w:hint="eastAsia" w:ascii="宋体" w:hAnsi="宋体"/>
          <w:color w:val="000000"/>
          <w:szCs w:val="21"/>
        </w:rPr>
        <w:t>本公司对上述声明的真实性负责。如有虚假，将依法承担相应责任。</w:t>
      </w:r>
    </w:p>
    <w:p>
      <w:pPr>
        <w:spacing w:line="400" w:lineRule="exact"/>
        <w:ind w:firstLine="420" w:firstLineChars="200"/>
        <w:rPr>
          <w:rFonts w:hint="eastAsia" w:ascii="宋体" w:hAnsi="宋体"/>
          <w:color w:val="000000"/>
          <w:szCs w:val="21"/>
        </w:rPr>
      </w:pPr>
    </w:p>
    <w:p>
      <w:pPr>
        <w:tabs>
          <w:tab w:val="left" w:pos="4860"/>
        </w:tabs>
        <w:spacing w:line="400" w:lineRule="exact"/>
        <w:ind w:right="1560" w:firstLine="420" w:firstLineChars="200"/>
        <w:jc w:val="center"/>
        <w:rPr>
          <w:rFonts w:hint="eastAsia" w:ascii="宋体" w:hAnsi="宋体"/>
          <w:color w:val="000000"/>
          <w:szCs w:val="21"/>
        </w:rPr>
      </w:pPr>
      <w:r>
        <w:rPr>
          <w:rFonts w:hint="eastAsia" w:ascii="宋体" w:hAnsi="宋体"/>
          <w:color w:val="000000"/>
          <w:szCs w:val="21"/>
        </w:rPr>
        <w:t xml:space="preserve">               企业名称（公章）： </w:t>
      </w:r>
    </w:p>
    <w:p>
      <w:pPr>
        <w:pStyle w:val="11"/>
        <w:spacing w:line="400" w:lineRule="exact"/>
        <w:ind w:firstLine="3096" w:firstLineChars="1800"/>
        <w:rPr>
          <w:rFonts w:hAnsi="宋体"/>
          <w:color w:val="000000"/>
          <w:szCs w:val="21"/>
        </w:rPr>
      </w:pPr>
      <w:r>
        <w:rPr>
          <w:rFonts w:hint="eastAsia" w:hAnsi="宋体"/>
          <w:color w:val="000000"/>
          <w:szCs w:val="21"/>
        </w:rPr>
        <w:t xml:space="preserve">日  期：                </w:t>
      </w:r>
    </w:p>
    <w:p>
      <w:pPr>
        <w:spacing w:line="400" w:lineRule="exact"/>
        <w:jc w:val="center"/>
        <w:rPr>
          <w:rFonts w:hint="eastAsia" w:ascii="宋体" w:hAnsi="宋体"/>
          <w:b/>
          <w:color w:val="000000"/>
          <w:szCs w:val="21"/>
        </w:rPr>
      </w:pPr>
    </w:p>
    <w:p>
      <w:pPr>
        <w:spacing w:line="400" w:lineRule="exact"/>
        <w:jc w:val="center"/>
        <w:rPr>
          <w:rFonts w:hint="eastAsia" w:ascii="宋体" w:hAnsi="宋体"/>
          <w:b/>
          <w:color w:val="000000"/>
          <w:szCs w:val="21"/>
        </w:rPr>
      </w:pPr>
    </w:p>
    <w:p>
      <w:pPr>
        <w:spacing w:line="400" w:lineRule="exact"/>
        <w:jc w:val="center"/>
        <w:rPr>
          <w:rFonts w:hint="eastAsia" w:ascii="宋体" w:hAnsi="宋体"/>
          <w:b/>
          <w:color w:val="000000"/>
          <w:szCs w:val="21"/>
        </w:rPr>
      </w:pPr>
    </w:p>
    <w:p>
      <w:pPr>
        <w:spacing w:line="400" w:lineRule="exact"/>
        <w:jc w:val="center"/>
        <w:rPr>
          <w:rFonts w:hint="eastAsia" w:ascii="宋体" w:hAnsi="宋体"/>
          <w:b/>
          <w:color w:val="000000"/>
          <w:szCs w:val="21"/>
        </w:rPr>
      </w:pPr>
    </w:p>
    <w:p>
      <w:pPr>
        <w:spacing w:line="400" w:lineRule="exact"/>
        <w:jc w:val="center"/>
        <w:rPr>
          <w:rFonts w:hint="eastAsia" w:ascii="宋体" w:hAnsi="宋体"/>
          <w:b/>
          <w:color w:val="000000"/>
          <w:szCs w:val="21"/>
        </w:rPr>
      </w:pPr>
    </w:p>
    <w:p>
      <w:pPr>
        <w:spacing w:line="400" w:lineRule="exact"/>
        <w:rPr>
          <w:rFonts w:hint="eastAsia" w:ascii="宋体" w:hAnsi="宋体"/>
          <w:color w:val="000000"/>
          <w:szCs w:val="21"/>
        </w:rPr>
      </w:pPr>
      <w:r>
        <w:rPr>
          <w:rFonts w:hint="eastAsia" w:ascii="宋体" w:hAnsi="宋体"/>
          <w:color w:val="000000"/>
          <w:szCs w:val="21"/>
        </w:rPr>
        <w:t>填写说明：</w:t>
      </w:r>
    </w:p>
    <w:p>
      <w:pPr>
        <w:spacing w:line="400" w:lineRule="exact"/>
        <w:ind w:firstLine="420" w:firstLineChars="200"/>
        <w:rPr>
          <w:rFonts w:hint="eastAsia" w:ascii="宋体" w:hAnsi="宋体"/>
          <w:color w:val="000000"/>
          <w:szCs w:val="21"/>
        </w:rPr>
      </w:pPr>
      <w:r>
        <w:rPr>
          <w:rFonts w:hint="eastAsia" w:ascii="宋体" w:hAnsi="宋体"/>
          <w:color w:val="000000"/>
          <w:szCs w:val="21"/>
        </w:rPr>
        <w:t>1、本声明函为财库[2011]181号文附件的标准格式，必须按该格式填写；本声明函由投标供应商填写，请认真阅读相关政策文件；</w:t>
      </w:r>
    </w:p>
    <w:p>
      <w:pPr>
        <w:spacing w:line="400" w:lineRule="exact"/>
        <w:ind w:firstLine="420" w:firstLineChars="200"/>
        <w:rPr>
          <w:rFonts w:hint="eastAsia" w:ascii="宋体" w:hAnsi="宋体"/>
          <w:color w:val="000000"/>
          <w:szCs w:val="21"/>
        </w:rPr>
      </w:pPr>
      <w:r>
        <w:rPr>
          <w:rFonts w:hint="eastAsia" w:ascii="宋体" w:hAnsi="宋体"/>
          <w:color w:val="000000"/>
          <w:szCs w:val="21"/>
        </w:rPr>
        <w:t>2、如投标供应商提供本企业制造的货物或者由本企业承担工程、提供服务的，请在相应文字处后面打钩，如“提供本企业制造的货物（√）” “由本企业承担工程（√）、提供服务（√）”。如投标供应商是代理商，提供其他企业制造的货物，请如实填写其他企业的划分类型并对其真实性负责；</w:t>
      </w:r>
    </w:p>
    <w:p>
      <w:pPr>
        <w:spacing w:line="400" w:lineRule="exact"/>
        <w:ind w:firstLine="420" w:firstLineChars="200"/>
        <w:rPr>
          <w:rFonts w:hint="eastAsia" w:ascii="宋体" w:hAnsi="宋体"/>
          <w:color w:val="000000"/>
          <w:szCs w:val="21"/>
        </w:rPr>
      </w:pPr>
      <w:r>
        <w:rPr>
          <w:rFonts w:hint="eastAsia" w:ascii="宋体" w:hAnsi="宋体"/>
          <w:color w:val="000000"/>
          <w:szCs w:val="21"/>
        </w:rPr>
        <w:t>3、小型、微型企业提供中型企业制造的货物时视同中型企业，因此，只有小微企业提供自己的货物或者小微企业提供其他小微企业的货物时，投标供应商才算小微企业，才能享受评标标准里的价格扣除优惠；</w:t>
      </w:r>
    </w:p>
    <w:p>
      <w:pPr>
        <w:spacing w:line="400" w:lineRule="exact"/>
        <w:ind w:firstLine="420" w:firstLineChars="200"/>
        <w:rPr>
          <w:rFonts w:ascii="宋体" w:hAnsi="宋体"/>
          <w:color w:val="000000"/>
          <w:szCs w:val="21"/>
        </w:rPr>
      </w:pPr>
      <w:r>
        <w:rPr>
          <w:rFonts w:hint="eastAsia" w:ascii="宋体" w:hAnsi="宋体"/>
          <w:color w:val="000000"/>
          <w:szCs w:val="21"/>
        </w:rPr>
        <w:t>4、此表所填信息如与投标文件其他地方有冲突的，均以本表为准。</w:t>
      </w:r>
    </w:p>
    <w:p>
      <w:pPr>
        <w:snapToGrid w:val="0"/>
        <w:spacing w:before="50" w:after="50" w:line="440" w:lineRule="exact"/>
        <w:rPr>
          <w:rFonts w:hint="eastAsia" w:ascii="宋体" w:hAnsi="宋体"/>
          <w:color w:val="000000"/>
          <w:sz w:val="24"/>
        </w:rPr>
      </w:pPr>
    </w:p>
    <w:p>
      <w:pPr>
        <w:spacing w:line="360" w:lineRule="auto"/>
        <w:rPr>
          <w:rFonts w:hint="eastAsia" w:ascii="宋体" w:hAnsi="宋体" w:cs="宋体"/>
          <w:color w:val="000000"/>
          <w:szCs w:val="21"/>
        </w:rPr>
      </w:pPr>
    </w:p>
    <w:p>
      <w:pPr>
        <w:spacing w:line="360" w:lineRule="auto"/>
        <w:jc w:val="center"/>
        <w:rPr>
          <w:rFonts w:hint="eastAsia" w:ascii="宋体" w:hAnsi="宋体" w:cs="宋体"/>
          <w:b/>
          <w:bCs/>
          <w:color w:val="000000"/>
          <w:szCs w:val="21"/>
        </w:rPr>
      </w:pPr>
      <w:r>
        <w:rPr>
          <w:rFonts w:hint="eastAsia" w:ascii="宋体" w:hAnsi="宋体" w:cs="宋体"/>
          <w:b/>
          <w:bCs/>
          <w:color w:val="000000"/>
          <w:szCs w:val="21"/>
          <w:lang w:eastAsia="zh-CN"/>
        </w:rPr>
        <w:t>（</w:t>
      </w:r>
      <w:r>
        <w:rPr>
          <w:rFonts w:hint="eastAsia" w:ascii="宋体" w:hAnsi="宋体" w:cs="宋体"/>
          <w:b/>
          <w:bCs/>
          <w:color w:val="000000"/>
          <w:szCs w:val="21"/>
          <w:lang w:val="en-US" w:eastAsia="zh-CN"/>
        </w:rPr>
        <w:t>7</w:t>
      </w:r>
      <w:r>
        <w:rPr>
          <w:rFonts w:hint="eastAsia" w:ascii="宋体" w:hAnsi="宋体" w:cs="宋体"/>
          <w:b/>
          <w:bCs/>
          <w:color w:val="000000"/>
          <w:szCs w:val="21"/>
          <w:lang w:eastAsia="zh-CN"/>
        </w:rPr>
        <w:t>）</w:t>
      </w:r>
      <w:r>
        <w:rPr>
          <w:rFonts w:hint="eastAsia" w:ascii="宋体" w:hAnsi="宋体" w:cs="宋体"/>
          <w:b/>
          <w:bCs/>
          <w:color w:val="000000"/>
          <w:szCs w:val="21"/>
        </w:rPr>
        <w:t>残疾人福利性单位声明函（如适用）</w:t>
      </w:r>
    </w:p>
    <w:p>
      <w:pPr>
        <w:pStyle w:val="11"/>
        <w:spacing w:line="360" w:lineRule="auto"/>
        <w:ind w:firstLine="0"/>
        <w:jc w:val="center"/>
        <w:rPr>
          <w:rFonts w:hint="eastAsia" w:hAnsi="宋体" w:cs="宋体"/>
          <w:b/>
          <w:color w:val="000000"/>
          <w:sz w:val="21"/>
          <w:szCs w:val="21"/>
        </w:rPr>
      </w:pPr>
    </w:p>
    <w:p>
      <w:pPr>
        <w:spacing w:line="360" w:lineRule="auto"/>
        <w:ind w:firstLine="420" w:firstLineChars="200"/>
        <w:contextualSpacing/>
        <w:rPr>
          <w:rFonts w:hint="eastAsia" w:ascii="宋体" w:hAnsi="宋体" w:cs="宋体"/>
          <w:color w:val="000000"/>
          <w:szCs w:val="21"/>
        </w:rPr>
      </w:pPr>
      <w:r>
        <w:rPr>
          <w:rFonts w:hint="eastAsia" w:ascii="宋体" w:hAnsi="宋体" w:cs="宋体"/>
          <w:color w:val="000000"/>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contextualSpacing/>
        <w:rPr>
          <w:rFonts w:hint="eastAsia" w:ascii="宋体" w:hAnsi="宋体" w:cs="宋体"/>
          <w:color w:val="000000"/>
          <w:szCs w:val="21"/>
        </w:rPr>
      </w:pPr>
      <w:r>
        <w:rPr>
          <w:rFonts w:hint="eastAsia" w:ascii="宋体" w:hAnsi="宋体" w:cs="宋体"/>
          <w:color w:val="000000"/>
          <w:szCs w:val="21"/>
        </w:rPr>
        <w:t>本单位对上述声明的真实性负责。如有虚假，将依法承担相应责任。</w:t>
      </w:r>
    </w:p>
    <w:p>
      <w:pPr>
        <w:spacing w:line="360" w:lineRule="auto"/>
        <w:ind w:firstLine="420" w:firstLineChars="200"/>
        <w:contextualSpacing/>
        <w:rPr>
          <w:rFonts w:hint="eastAsia" w:ascii="宋体" w:hAnsi="宋体" w:cs="宋体"/>
          <w:color w:val="000000"/>
          <w:szCs w:val="21"/>
        </w:rPr>
      </w:pPr>
    </w:p>
    <w:p>
      <w:pPr>
        <w:spacing w:line="360" w:lineRule="auto"/>
        <w:ind w:firstLine="420" w:firstLineChars="200"/>
        <w:contextualSpacing/>
        <w:rPr>
          <w:rFonts w:hint="eastAsia" w:ascii="宋体" w:hAnsi="宋体" w:cs="宋体"/>
          <w:color w:val="000000"/>
          <w:szCs w:val="21"/>
        </w:rPr>
      </w:pPr>
    </w:p>
    <w:p>
      <w:pPr>
        <w:snapToGrid w:val="0"/>
        <w:spacing w:before="50" w:after="50" w:line="360" w:lineRule="auto"/>
        <w:ind w:left="-21" w:leftChars="-72" w:right="-817" w:rightChars="-389" w:hanging="130" w:hangingChars="62"/>
        <w:rPr>
          <w:rFonts w:hint="eastAsia" w:ascii="宋体" w:hAnsi="宋体" w:cs="宋体"/>
          <w:color w:val="000000"/>
          <w:szCs w:val="21"/>
        </w:rPr>
      </w:pPr>
      <w:r>
        <w:rPr>
          <w:rFonts w:hint="eastAsia" w:ascii="宋体" w:hAnsi="宋体" w:cs="宋体"/>
          <w:color w:val="000000"/>
          <w:szCs w:val="21"/>
        </w:rPr>
        <w:t xml:space="preserve">投标人名称（盖章）： </w:t>
      </w:r>
    </w:p>
    <w:p>
      <w:pPr>
        <w:snapToGrid w:val="0"/>
        <w:spacing w:before="50" w:after="50" w:line="360" w:lineRule="auto"/>
        <w:ind w:left="-21" w:leftChars="-72" w:right="-817" w:rightChars="-389" w:hanging="130" w:hangingChars="62"/>
        <w:rPr>
          <w:rFonts w:hint="eastAsia" w:ascii="宋体" w:hAnsi="宋体" w:cs="宋体"/>
          <w:color w:val="000000"/>
          <w:szCs w:val="21"/>
        </w:rPr>
      </w:pPr>
      <w:r>
        <w:rPr>
          <w:rFonts w:hint="eastAsia" w:ascii="宋体" w:hAnsi="宋体" w:cs="宋体"/>
          <w:color w:val="000000"/>
          <w:szCs w:val="21"/>
        </w:rPr>
        <w:t xml:space="preserve">法定代表人或授权代表（签字或盖章）： </w:t>
      </w:r>
    </w:p>
    <w:p>
      <w:pPr>
        <w:snapToGrid w:val="0"/>
        <w:spacing w:before="50" w:after="50" w:line="360" w:lineRule="auto"/>
        <w:ind w:left="-21" w:leftChars="-72" w:right="-817" w:rightChars="-389" w:hanging="130" w:hangingChars="62"/>
        <w:rPr>
          <w:rFonts w:hint="eastAsia" w:ascii="宋体" w:hAnsi="宋体" w:cs="宋体"/>
          <w:color w:val="000000"/>
          <w:szCs w:val="21"/>
        </w:rPr>
      </w:pPr>
      <w:r>
        <w:rPr>
          <w:rFonts w:hint="eastAsia" w:ascii="宋体" w:hAnsi="宋体" w:cs="宋体"/>
          <w:color w:val="000000"/>
          <w:szCs w:val="21"/>
        </w:rPr>
        <w:t>日期：    年   月   日</w:t>
      </w:r>
    </w:p>
    <w:p>
      <w:pPr>
        <w:pStyle w:val="11"/>
        <w:tabs>
          <w:tab w:val="left" w:pos="3450"/>
        </w:tabs>
        <w:snapToGrid w:val="0"/>
        <w:spacing w:line="440" w:lineRule="exact"/>
        <w:rPr>
          <w:rFonts w:hAnsi="宋体"/>
          <w:b/>
          <w:bCs/>
          <w:color w:val="000000"/>
          <w:kern w:val="44"/>
          <w:sz w:val="24"/>
          <w:szCs w:val="24"/>
        </w:rPr>
      </w:pPr>
    </w:p>
    <w:p>
      <w:pPr>
        <w:pStyle w:val="11"/>
        <w:snapToGrid w:val="0"/>
        <w:spacing w:line="440" w:lineRule="exact"/>
        <w:jc w:val="center"/>
        <w:rPr>
          <w:rFonts w:hint="eastAsia" w:hAnsi="宋体"/>
          <w:b/>
          <w:bCs/>
          <w:color w:val="000000"/>
          <w:kern w:val="44"/>
          <w:sz w:val="24"/>
          <w:szCs w:val="24"/>
        </w:rPr>
      </w:pPr>
      <w:r>
        <w:rPr>
          <w:color w:val="000000"/>
        </w:rPr>
        <w:br w:type="page"/>
      </w:r>
      <w:r>
        <w:rPr>
          <w:rFonts w:hint="eastAsia" w:hAnsi="宋体"/>
          <w:b/>
          <w:bCs/>
          <w:color w:val="000000"/>
          <w:kern w:val="44"/>
          <w:sz w:val="24"/>
          <w:szCs w:val="24"/>
        </w:rPr>
        <w:t>四、技术商务文件格式</w:t>
      </w:r>
    </w:p>
    <w:p>
      <w:pPr>
        <w:tabs>
          <w:tab w:val="left" w:pos="518"/>
        </w:tabs>
        <w:adjustRightInd w:val="0"/>
        <w:snapToGrid w:val="0"/>
        <w:spacing w:line="360" w:lineRule="auto"/>
        <w:ind w:firstLine="105" w:firstLineChars="50"/>
        <w:jc w:val="both"/>
        <w:rPr>
          <w:rFonts w:hint="eastAsia" w:ascii="宋体" w:hAnsi="宋体"/>
          <w:color w:val="000000"/>
          <w:szCs w:val="21"/>
          <w:highlight w:val="yellow"/>
          <w:lang w:eastAsia="zh-CN"/>
        </w:rPr>
      </w:pPr>
      <w:r>
        <w:rPr>
          <w:rFonts w:hint="eastAsia" w:ascii="宋体" w:hAnsi="宋体"/>
          <w:b/>
          <w:bCs/>
          <w:color w:val="000000"/>
          <w:szCs w:val="21"/>
        </w:rPr>
        <w:t>技术商务部分</w:t>
      </w:r>
    </w:p>
    <w:p>
      <w:pPr>
        <w:snapToGrid w:val="0"/>
        <w:spacing w:line="420" w:lineRule="exact"/>
        <w:ind w:firstLine="315" w:firstLineChars="150"/>
        <w:jc w:val="left"/>
        <w:rPr>
          <w:rFonts w:hint="eastAsia" w:ascii="宋体" w:hAnsi="宋体" w:cs="宋体"/>
          <w:szCs w:val="21"/>
        </w:rPr>
      </w:pPr>
      <w:r>
        <w:rPr>
          <w:rFonts w:hint="eastAsia" w:ascii="宋体" w:hAnsi="宋体" w:cs="宋体"/>
          <w:szCs w:val="21"/>
        </w:rPr>
        <w:t>（1）投标人基本情况表；</w:t>
      </w:r>
    </w:p>
    <w:p>
      <w:pPr>
        <w:snapToGrid w:val="0"/>
        <w:spacing w:line="420" w:lineRule="exact"/>
        <w:ind w:firstLine="315" w:firstLineChars="150"/>
        <w:jc w:val="left"/>
        <w:rPr>
          <w:rFonts w:hint="eastAsia" w:ascii="宋体" w:hAnsi="宋体" w:cs="宋体"/>
          <w:szCs w:val="21"/>
        </w:rPr>
      </w:pPr>
      <w:r>
        <w:rPr>
          <w:rFonts w:hint="eastAsia" w:ascii="宋体" w:hAnsi="宋体" w:cs="宋体"/>
          <w:szCs w:val="21"/>
        </w:rPr>
        <w:t>（2）投标保证金银行回执复印件；</w:t>
      </w:r>
    </w:p>
    <w:p>
      <w:pPr>
        <w:snapToGrid w:val="0"/>
        <w:spacing w:line="420" w:lineRule="exact"/>
        <w:ind w:firstLine="315" w:firstLineChars="150"/>
        <w:jc w:val="left"/>
        <w:rPr>
          <w:rFonts w:hint="eastAsia" w:ascii="宋体" w:hAnsi="宋体" w:cs="宋体"/>
          <w:szCs w:val="21"/>
        </w:rPr>
      </w:pPr>
      <w:r>
        <w:rPr>
          <w:rFonts w:hint="eastAsia" w:ascii="宋体" w:hAnsi="宋体" w:cs="宋体"/>
          <w:szCs w:val="21"/>
        </w:rPr>
        <w:t>（3）法定代表人资格证明书</w:t>
      </w:r>
    </w:p>
    <w:p>
      <w:pPr>
        <w:snapToGrid w:val="0"/>
        <w:spacing w:line="420" w:lineRule="exact"/>
        <w:ind w:firstLine="315" w:firstLineChars="150"/>
        <w:jc w:val="left"/>
        <w:rPr>
          <w:rFonts w:hint="default" w:ascii="宋体" w:hAnsi="宋体" w:cs="宋体"/>
          <w:szCs w:val="21"/>
          <w:lang w:val="en-US" w:eastAsia="zh-CN"/>
        </w:rPr>
      </w:pPr>
      <w:r>
        <w:rPr>
          <w:rFonts w:hint="eastAsia" w:ascii="宋体" w:hAnsi="宋体" w:cs="宋体"/>
          <w:szCs w:val="21"/>
        </w:rPr>
        <w:t>（4）法定代表人授权书</w:t>
      </w:r>
    </w:p>
    <w:p>
      <w:pPr>
        <w:snapToGrid w:val="0"/>
        <w:spacing w:line="420" w:lineRule="exact"/>
        <w:ind w:firstLine="315" w:firstLineChars="150"/>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5</w:t>
      </w:r>
      <w:r>
        <w:rPr>
          <w:rFonts w:hint="eastAsia" w:ascii="宋体" w:hAnsi="宋体" w:cs="宋体"/>
          <w:szCs w:val="21"/>
          <w:lang w:eastAsia="zh-CN"/>
        </w:rPr>
        <w:t>）服务承诺</w:t>
      </w:r>
    </w:p>
    <w:p>
      <w:pPr>
        <w:snapToGrid w:val="0"/>
        <w:spacing w:line="420" w:lineRule="exact"/>
        <w:ind w:firstLine="315" w:firstLineChars="150"/>
        <w:jc w:val="left"/>
        <w:rPr>
          <w:rFonts w:hint="eastAsia" w:ascii="宋体" w:hAnsi="宋体" w:cs="宋体"/>
          <w:szCs w:val="21"/>
          <w:lang w:val="en-US" w:eastAsia="zh-CN"/>
        </w:rPr>
      </w:pP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eastAsia="zh-CN"/>
        </w:rPr>
        <w:t>技术</w:t>
      </w:r>
      <w:r>
        <w:rPr>
          <w:rFonts w:hint="eastAsia" w:ascii="宋体" w:hAnsi="宋体" w:cs="宋体"/>
          <w:szCs w:val="21"/>
        </w:rPr>
        <w:t>商务响应表</w:t>
      </w:r>
      <w:r>
        <w:rPr>
          <w:rFonts w:hint="eastAsia" w:ascii="宋体" w:hAnsi="宋体" w:cs="宋体"/>
          <w:szCs w:val="21"/>
          <w:lang w:val="en-US" w:eastAsia="zh-CN"/>
        </w:rPr>
        <w:t xml:space="preserve"> </w:t>
      </w:r>
    </w:p>
    <w:p>
      <w:pPr>
        <w:snapToGrid w:val="0"/>
        <w:spacing w:line="420" w:lineRule="exact"/>
        <w:ind w:firstLine="315" w:firstLineChars="150"/>
        <w:jc w:val="left"/>
        <w:rPr>
          <w:rFonts w:hint="eastAsia" w:ascii="宋体" w:hAnsi="宋体" w:cs="宋体"/>
          <w:szCs w:val="21"/>
          <w:lang w:eastAsia="zh-CN"/>
        </w:rPr>
      </w:pPr>
      <w:r>
        <w:rPr>
          <w:rFonts w:hint="eastAsia" w:ascii="宋体" w:hAnsi="宋体" w:cs="宋体"/>
          <w:szCs w:val="21"/>
        </w:rPr>
        <w:t>（</w:t>
      </w:r>
      <w:r>
        <w:rPr>
          <w:rFonts w:hint="eastAsia" w:ascii="宋体" w:hAnsi="宋体" w:cs="宋体"/>
          <w:szCs w:val="21"/>
          <w:lang w:val="en-US" w:eastAsia="zh-CN"/>
        </w:rPr>
        <w:t>7）</w:t>
      </w:r>
      <w:r>
        <w:rPr>
          <w:rFonts w:hint="eastAsia" w:ascii="宋体" w:hAnsi="宋体" w:cs="宋体"/>
          <w:szCs w:val="21"/>
        </w:rPr>
        <w:t>项目</w:t>
      </w:r>
      <w:r>
        <w:rPr>
          <w:rFonts w:hint="eastAsia" w:ascii="宋体" w:hAnsi="宋体" w:cs="宋体"/>
          <w:szCs w:val="21"/>
          <w:lang w:eastAsia="zh-CN"/>
        </w:rPr>
        <w:t>实施方案</w:t>
      </w:r>
    </w:p>
    <w:p>
      <w:pPr>
        <w:snapToGrid w:val="0"/>
        <w:spacing w:line="420" w:lineRule="exact"/>
        <w:ind w:firstLine="315" w:firstLineChars="150"/>
        <w:jc w:val="left"/>
        <w:rPr>
          <w:rFonts w:hint="eastAsia" w:ascii="宋体" w:hAnsi="宋体" w:cs="宋体"/>
          <w:szCs w:val="21"/>
          <w:lang w:eastAsia="zh-CN"/>
        </w:rPr>
      </w:pPr>
      <w:r>
        <w:rPr>
          <w:rFonts w:hint="eastAsia" w:ascii="宋体" w:hAnsi="宋体" w:cs="宋体"/>
          <w:szCs w:val="21"/>
          <w:lang w:eastAsia="zh-CN"/>
        </w:rPr>
        <w:t>（</w:t>
      </w:r>
      <w:r>
        <w:rPr>
          <w:rFonts w:hint="eastAsia" w:ascii="宋体" w:hAnsi="宋体" w:cs="宋体"/>
          <w:szCs w:val="21"/>
          <w:lang w:val="en-US" w:eastAsia="zh-CN"/>
        </w:rPr>
        <w:t>8</w:t>
      </w:r>
      <w:r>
        <w:rPr>
          <w:rFonts w:hint="eastAsia" w:ascii="宋体" w:hAnsi="宋体" w:cs="宋体"/>
          <w:szCs w:val="21"/>
          <w:lang w:eastAsia="zh-CN"/>
        </w:rPr>
        <w:t>）本项目拟派人员一栏表</w:t>
      </w:r>
    </w:p>
    <w:p>
      <w:pPr>
        <w:snapToGrid w:val="0"/>
        <w:spacing w:line="420" w:lineRule="exact"/>
        <w:ind w:firstLine="315" w:firstLineChars="150"/>
        <w:jc w:val="left"/>
        <w:rPr>
          <w:rFonts w:hint="eastAsia" w:ascii="宋体" w:hAnsi="宋体" w:eastAsia="宋体" w:cs="宋体"/>
          <w:szCs w:val="21"/>
          <w:lang w:eastAsia="zh-CN"/>
        </w:rPr>
      </w:pPr>
      <w:r>
        <w:rPr>
          <w:rFonts w:hint="eastAsia"/>
          <w:lang w:eastAsia="zh-CN"/>
        </w:rPr>
        <w:t>（</w:t>
      </w:r>
      <w:r>
        <w:rPr>
          <w:rFonts w:hint="eastAsia"/>
          <w:lang w:val="en-US" w:eastAsia="zh-CN"/>
        </w:rPr>
        <w:t>9</w:t>
      </w:r>
      <w:r>
        <w:rPr>
          <w:rFonts w:hint="eastAsia"/>
          <w:lang w:eastAsia="zh-CN"/>
        </w:rPr>
        <w:t>）</w:t>
      </w:r>
      <w:r>
        <w:rPr>
          <w:rFonts w:hint="eastAsia"/>
        </w:rPr>
        <w:t>云服务产品平台通过工业和信息化部电信研究院（数据中心联盟）可信云服务认证证书</w:t>
      </w:r>
      <w:r>
        <w:rPr>
          <w:rFonts w:hint="eastAsia"/>
          <w:lang w:eastAsia="zh-CN"/>
        </w:rPr>
        <w:t>复印件加盖单位公章；</w:t>
      </w:r>
    </w:p>
    <w:p>
      <w:pPr>
        <w:snapToGrid w:val="0"/>
        <w:spacing w:line="420" w:lineRule="exact"/>
        <w:ind w:firstLine="315" w:firstLineChars="150"/>
        <w:jc w:val="left"/>
        <w:rPr>
          <w:rFonts w:hint="eastAsia" w:ascii="宋体" w:hAnsi="宋体" w:cs="宋体"/>
          <w:szCs w:val="21"/>
          <w:lang w:eastAsia="zh-CN"/>
        </w:rPr>
      </w:pPr>
      <w:r>
        <w:rPr>
          <w:rFonts w:hint="eastAsia"/>
          <w:lang w:eastAsia="zh-CN"/>
        </w:rPr>
        <w:t>（</w:t>
      </w:r>
      <w:r>
        <w:rPr>
          <w:rFonts w:hint="eastAsia"/>
          <w:lang w:val="en-US" w:eastAsia="zh-CN"/>
        </w:rPr>
        <w:t>10</w:t>
      </w:r>
      <w:r>
        <w:rPr>
          <w:rFonts w:hint="eastAsia"/>
          <w:lang w:eastAsia="zh-CN"/>
        </w:rPr>
        <w:t>）</w:t>
      </w:r>
      <w:r>
        <w:rPr>
          <w:rFonts w:hint="eastAsia"/>
        </w:rPr>
        <w:t>云服务产品平台通过公安部信息安全等级保护三级及以上认证</w:t>
      </w:r>
      <w:r>
        <w:rPr>
          <w:rFonts w:hint="eastAsia"/>
          <w:lang w:eastAsia="zh-CN"/>
        </w:rPr>
        <w:t>证书复印件加盖单位公章；</w:t>
      </w:r>
    </w:p>
    <w:p>
      <w:pPr>
        <w:snapToGrid w:val="0"/>
        <w:spacing w:line="440" w:lineRule="exact"/>
        <w:ind w:firstLine="210" w:firstLineChars="100"/>
        <w:jc w:val="left"/>
        <w:rPr>
          <w:rFonts w:hint="eastAsia"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lang w:val="en-US" w:eastAsia="zh-CN"/>
        </w:rPr>
        <w:t>1</w:t>
      </w:r>
      <w:r>
        <w:rPr>
          <w:rFonts w:hint="eastAsia" w:ascii="宋体" w:hAnsi="宋体"/>
          <w:color w:val="000000"/>
          <w:szCs w:val="21"/>
        </w:rPr>
        <w:t>）</w:t>
      </w:r>
      <w:r>
        <w:rPr>
          <w:rFonts w:hint="eastAsia" w:ascii="宋体" w:hAnsi="宋体"/>
          <w:b/>
          <w:bCs/>
          <w:color w:val="000000"/>
          <w:szCs w:val="21"/>
        </w:rPr>
        <w:t>资质证明材料：</w:t>
      </w:r>
    </w:p>
    <w:p>
      <w:pPr>
        <w:numPr>
          <w:ilvl w:val="0"/>
          <w:numId w:val="7"/>
        </w:numPr>
        <w:snapToGrid w:val="0"/>
        <w:spacing w:line="440" w:lineRule="exact"/>
        <w:jc w:val="left"/>
        <w:rPr>
          <w:rFonts w:hint="eastAsia" w:ascii="宋体" w:hAnsi="宋体"/>
          <w:color w:val="000000"/>
          <w:szCs w:val="21"/>
        </w:rPr>
      </w:pPr>
      <w:r>
        <w:rPr>
          <w:rFonts w:ascii="宋体" w:hAnsi="宋体"/>
          <w:color w:val="000000"/>
          <w:szCs w:val="21"/>
        </w:rPr>
        <w:t>投标保证金收据或缴款凭证</w:t>
      </w:r>
      <w:r>
        <w:rPr>
          <w:rFonts w:hint="eastAsia" w:ascii="宋体" w:hAnsi="宋体"/>
          <w:color w:val="000000"/>
          <w:szCs w:val="21"/>
          <w:lang w:val="en-US" w:eastAsia="zh-CN"/>
        </w:rPr>
        <w:t xml:space="preserve"> </w:t>
      </w:r>
      <w:r>
        <w:rPr>
          <w:rFonts w:ascii="宋体" w:hAnsi="宋体"/>
          <w:color w:val="000000"/>
          <w:szCs w:val="21"/>
        </w:rPr>
        <w:t>；</w:t>
      </w:r>
    </w:p>
    <w:p>
      <w:pPr>
        <w:numPr>
          <w:ilvl w:val="0"/>
          <w:numId w:val="7"/>
        </w:numPr>
        <w:snapToGrid w:val="0"/>
        <w:spacing w:line="440" w:lineRule="exact"/>
        <w:jc w:val="left"/>
        <w:rPr>
          <w:rFonts w:ascii="宋体" w:hAnsi="宋体"/>
          <w:color w:val="000000"/>
          <w:szCs w:val="21"/>
        </w:rPr>
      </w:pPr>
      <w:r>
        <w:rPr>
          <w:rFonts w:ascii="宋体" w:hAnsi="宋体"/>
          <w:color w:val="000000"/>
          <w:szCs w:val="21"/>
        </w:rPr>
        <w:t>法定代表人授权委托书(</w:t>
      </w:r>
      <w:r>
        <w:rPr>
          <w:rFonts w:hint="eastAsia" w:ascii="宋体" w:hAnsi="宋体"/>
          <w:color w:val="000000"/>
          <w:szCs w:val="21"/>
        </w:rPr>
        <w:t>格式见第六章 投标文件格式</w:t>
      </w:r>
      <w:r>
        <w:rPr>
          <w:rFonts w:ascii="宋体" w:hAnsi="宋体"/>
          <w:color w:val="000000"/>
          <w:szCs w:val="21"/>
        </w:rPr>
        <w:t>)；</w:t>
      </w:r>
    </w:p>
    <w:p>
      <w:pPr>
        <w:numPr>
          <w:ilvl w:val="0"/>
          <w:numId w:val="7"/>
        </w:numPr>
        <w:snapToGrid w:val="0"/>
        <w:spacing w:line="440" w:lineRule="exact"/>
        <w:jc w:val="left"/>
        <w:rPr>
          <w:rFonts w:hint="eastAsia" w:ascii="宋体" w:hAnsi="宋体"/>
          <w:color w:val="000000"/>
          <w:szCs w:val="21"/>
        </w:rPr>
      </w:pPr>
      <w:r>
        <w:rPr>
          <w:rFonts w:ascii="宋体" w:hAnsi="宋体"/>
          <w:color w:val="000000"/>
          <w:szCs w:val="21"/>
        </w:rPr>
        <w:t>营业执照</w:t>
      </w:r>
      <w:r>
        <w:rPr>
          <w:rFonts w:hint="eastAsia" w:ascii="宋体" w:hAnsi="宋体"/>
          <w:color w:val="000000"/>
          <w:szCs w:val="21"/>
        </w:rPr>
        <w:t>副本复印件</w:t>
      </w:r>
      <w:r>
        <w:rPr>
          <w:rFonts w:ascii="宋体" w:hAnsi="宋体" w:cs="Arial"/>
          <w:color w:val="000000"/>
          <w:szCs w:val="21"/>
        </w:rPr>
        <w:t>的复印件</w:t>
      </w:r>
      <w:r>
        <w:rPr>
          <w:rFonts w:hint="eastAsia" w:ascii="宋体" w:hAnsi="宋体"/>
          <w:color w:val="000000"/>
          <w:szCs w:val="21"/>
        </w:rPr>
        <w:t>；</w:t>
      </w:r>
    </w:p>
    <w:p>
      <w:pPr>
        <w:numPr>
          <w:ilvl w:val="0"/>
          <w:numId w:val="7"/>
        </w:numPr>
        <w:snapToGrid w:val="0"/>
        <w:spacing w:line="440" w:lineRule="exact"/>
        <w:jc w:val="left"/>
        <w:rPr>
          <w:rFonts w:hint="eastAsia" w:ascii="宋体" w:hAnsi="宋体"/>
          <w:color w:val="000000"/>
          <w:szCs w:val="21"/>
        </w:rPr>
      </w:pPr>
      <w:r>
        <w:rPr>
          <w:rFonts w:hint="eastAsia" w:ascii="宋体" w:hAnsi="宋体"/>
          <w:color w:val="000000"/>
          <w:szCs w:val="21"/>
        </w:rPr>
        <w:t>本项目公告发布日期之后通过“信用中国”网站（www.creditchina.gov.cn）、中国政府采购网（www.ccgp.gov.cn）查询其信用记录的信用信息查询结果网页打印件或截图；</w:t>
      </w:r>
    </w:p>
    <w:p>
      <w:pPr>
        <w:numPr>
          <w:ilvl w:val="0"/>
          <w:numId w:val="7"/>
        </w:numPr>
        <w:snapToGrid w:val="0"/>
        <w:spacing w:line="440" w:lineRule="exact"/>
        <w:jc w:val="left"/>
        <w:rPr>
          <w:rFonts w:ascii="宋体" w:hAnsi="宋体"/>
          <w:color w:val="000000"/>
          <w:szCs w:val="21"/>
        </w:rPr>
      </w:pPr>
      <w:r>
        <w:rPr>
          <w:rFonts w:hint="eastAsia" w:ascii="宋体" w:hAnsi="宋体"/>
          <w:color w:val="000000"/>
          <w:szCs w:val="21"/>
        </w:rPr>
        <w:t>投标人认为可以证明其能力或业绩的其他材料。</w:t>
      </w:r>
    </w:p>
    <w:p>
      <w:pPr>
        <w:snapToGrid w:val="0"/>
        <w:spacing w:line="440" w:lineRule="exact"/>
        <w:ind w:left="720"/>
        <w:jc w:val="left"/>
        <w:rPr>
          <w:rFonts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12</w:t>
      </w:r>
      <w:r>
        <w:rPr>
          <w:rFonts w:hint="eastAsia" w:ascii="宋体" w:hAnsi="宋体"/>
          <w:color w:val="000000"/>
          <w:szCs w:val="21"/>
        </w:rPr>
        <w:t>）招标文件要求的或投标人认为需要提供的其他证明材料（复印件加盖公章，投标时随带原件以备查验）。</w:t>
      </w:r>
    </w:p>
    <w:p>
      <w:pPr>
        <w:snapToGrid w:val="0"/>
        <w:spacing w:line="440" w:lineRule="exact"/>
        <w:ind w:left="720"/>
        <w:jc w:val="left"/>
        <w:rPr>
          <w:rFonts w:hint="eastAsia" w:ascii="宋体" w:hAnsi="宋体"/>
          <w:color w:val="000000"/>
          <w:szCs w:val="21"/>
        </w:rPr>
      </w:pPr>
      <w:r>
        <w:rPr>
          <w:rFonts w:hint="eastAsia" w:ascii="宋体" w:hAnsi="宋体"/>
          <w:color w:val="000000"/>
          <w:szCs w:val="21"/>
        </w:rPr>
        <w:t>备注：</w:t>
      </w:r>
      <w:r>
        <w:rPr>
          <w:rFonts w:ascii="宋体" w:hAnsi="宋体"/>
          <w:color w:val="000000"/>
          <w:szCs w:val="21"/>
        </w:rPr>
        <w:t>招标文件要求携带原件的（</w:t>
      </w:r>
      <w:r>
        <w:rPr>
          <w:rFonts w:hint="eastAsia" w:ascii="宋体" w:hAnsi="宋体"/>
          <w:color w:val="000000"/>
          <w:szCs w:val="21"/>
        </w:rPr>
        <w:t>如有</w:t>
      </w:r>
      <w:r>
        <w:rPr>
          <w:rFonts w:ascii="宋体" w:hAnsi="宋体"/>
          <w:color w:val="000000"/>
          <w:szCs w:val="21"/>
        </w:rPr>
        <w:t>）</w:t>
      </w:r>
      <w:r>
        <w:rPr>
          <w:rFonts w:hint="eastAsia" w:ascii="宋体" w:hAnsi="宋体"/>
          <w:color w:val="000000"/>
          <w:szCs w:val="21"/>
        </w:rPr>
        <w:t>，</w:t>
      </w:r>
      <w:r>
        <w:rPr>
          <w:rFonts w:ascii="宋体" w:hAnsi="宋体"/>
          <w:color w:val="000000"/>
          <w:szCs w:val="21"/>
        </w:rPr>
        <w:t>请投标人随带原件以备查验。</w:t>
      </w:r>
    </w:p>
    <w:p>
      <w:pPr>
        <w:snapToGrid w:val="0"/>
        <w:spacing w:line="440" w:lineRule="exact"/>
        <w:ind w:firstLine="420" w:firstLineChars="200"/>
        <w:jc w:val="left"/>
        <w:rPr>
          <w:rFonts w:hint="eastAsia" w:ascii="宋体" w:hAnsi="宋体"/>
          <w:color w:val="000000"/>
          <w:szCs w:val="21"/>
        </w:rPr>
      </w:pPr>
    </w:p>
    <w:p>
      <w:pPr>
        <w:pStyle w:val="15"/>
        <w:snapToGrid w:val="0"/>
        <w:spacing w:before="295" w:beforeLines="0" w:after="295" w:afterLines="0" w:line="440" w:lineRule="exact"/>
        <w:jc w:val="center"/>
        <w:rPr>
          <w:rFonts w:hint="eastAsia" w:ascii="宋体" w:hAnsi="宋体" w:cs="宋体"/>
          <w:b/>
          <w:szCs w:val="21"/>
        </w:rPr>
      </w:pPr>
      <w:r>
        <w:rPr>
          <w:rFonts w:hAnsi="宋体"/>
          <w:b/>
          <w:color w:val="000000"/>
        </w:rPr>
        <w:br w:type="page"/>
      </w:r>
      <w:r>
        <w:rPr>
          <w:rFonts w:hint="eastAsia" w:hAnsi="宋体"/>
          <w:b/>
          <w:color w:val="000000"/>
          <w:lang w:eastAsia="zh-CN"/>
        </w:rPr>
        <w:t>（</w:t>
      </w:r>
      <w:r>
        <w:rPr>
          <w:rFonts w:hint="eastAsia" w:hAnsi="宋体"/>
          <w:b/>
          <w:color w:val="000000"/>
          <w:lang w:val="en-US" w:eastAsia="zh-CN"/>
        </w:rPr>
        <w:t>1</w:t>
      </w:r>
      <w:r>
        <w:rPr>
          <w:rFonts w:hint="eastAsia" w:hAnsi="宋体"/>
          <w:b/>
          <w:color w:val="000000"/>
          <w:lang w:eastAsia="zh-CN"/>
        </w:rPr>
        <w:t>）</w:t>
      </w:r>
      <w:r>
        <w:rPr>
          <w:rFonts w:hint="eastAsia" w:ascii="宋体" w:hAnsi="宋体" w:cs="宋体"/>
          <w:b/>
          <w:szCs w:val="21"/>
        </w:rPr>
        <w:t>投标人基本情况表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28"/>
        <w:gridCol w:w="1080"/>
        <w:gridCol w:w="1260"/>
        <w:gridCol w:w="720"/>
        <w:gridCol w:w="540"/>
        <w:gridCol w:w="1260"/>
        <w:gridCol w:w="180"/>
        <w:gridCol w:w="72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double" w:color="auto" w:sz="4"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投标人名称</w:t>
            </w:r>
          </w:p>
        </w:tc>
        <w:tc>
          <w:tcPr>
            <w:tcW w:w="7380" w:type="dxa"/>
            <w:gridSpan w:val="8"/>
            <w:tcBorders>
              <w:top w:val="double" w:color="auto" w:sz="4"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注册地址</w:t>
            </w:r>
          </w:p>
        </w:tc>
        <w:tc>
          <w:tcPr>
            <w:tcW w:w="3600" w:type="dxa"/>
            <w:gridSpan w:val="4"/>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126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邮政编码</w:t>
            </w:r>
          </w:p>
        </w:tc>
        <w:tc>
          <w:tcPr>
            <w:tcW w:w="2520" w:type="dxa"/>
            <w:gridSpan w:val="3"/>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vMerge w:val="restart"/>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联系方式</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联系人</w:t>
            </w:r>
          </w:p>
        </w:tc>
        <w:tc>
          <w:tcPr>
            <w:tcW w:w="2520" w:type="dxa"/>
            <w:gridSpan w:val="3"/>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126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电  话</w:t>
            </w:r>
          </w:p>
        </w:tc>
        <w:tc>
          <w:tcPr>
            <w:tcW w:w="2520" w:type="dxa"/>
            <w:gridSpan w:val="3"/>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vMerge w:val="continue"/>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传真</w:t>
            </w:r>
          </w:p>
        </w:tc>
        <w:tc>
          <w:tcPr>
            <w:tcW w:w="2520" w:type="dxa"/>
            <w:gridSpan w:val="3"/>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126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电子邮件</w:t>
            </w:r>
          </w:p>
        </w:tc>
        <w:tc>
          <w:tcPr>
            <w:tcW w:w="2520" w:type="dxa"/>
            <w:gridSpan w:val="3"/>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法定代表人</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姓名</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技术职称</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72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电话</w:t>
            </w:r>
          </w:p>
        </w:tc>
        <w:tc>
          <w:tcPr>
            <w:tcW w:w="1620" w:type="dxa"/>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技术负责人</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姓名</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技术职称</w:t>
            </w:r>
          </w:p>
        </w:tc>
        <w:tc>
          <w:tcPr>
            <w:tcW w:w="144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720" w:type="dxa"/>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电话</w:t>
            </w:r>
          </w:p>
        </w:tc>
        <w:tc>
          <w:tcPr>
            <w:tcW w:w="1620" w:type="dxa"/>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成立时间</w:t>
            </w:r>
          </w:p>
        </w:tc>
        <w:tc>
          <w:tcPr>
            <w:tcW w:w="234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5040" w:type="dxa"/>
            <w:gridSpan w:val="6"/>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r>
              <w:rPr>
                <w:rFonts w:hint="eastAsia" w:ascii="宋体" w:hAnsi="宋体" w:cs="宋体"/>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szCs w:val="21"/>
              </w:rPr>
              <w:t>试验检测</w:t>
            </w:r>
            <w:r>
              <w:rPr>
                <w:rFonts w:hint="eastAsia" w:ascii="宋体" w:hAnsi="宋体" w:cs="宋体"/>
              </w:rPr>
              <w:t>资质等级</w:t>
            </w:r>
          </w:p>
        </w:tc>
        <w:tc>
          <w:tcPr>
            <w:tcW w:w="234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720" w:type="dxa"/>
            <w:vMerge w:val="restart"/>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其中</w:t>
            </w: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高级职称</w:t>
            </w:r>
          </w:p>
        </w:tc>
        <w:tc>
          <w:tcPr>
            <w:tcW w:w="2340" w:type="dxa"/>
            <w:gridSpan w:val="2"/>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计量认证证书号</w:t>
            </w:r>
          </w:p>
        </w:tc>
        <w:tc>
          <w:tcPr>
            <w:tcW w:w="2340" w:type="dxa"/>
            <w:gridSpan w:val="2"/>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720" w:type="dxa"/>
            <w:vMerge w:val="continue"/>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中级职称</w:t>
            </w:r>
          </w:p>
        </w:tc>
        <w:tc>
          <w:tcPr>
            <w:tcW w:w="2340" w:type="dxa"/>
            <w:gridSpan w:val="2"/>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4"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营业执照（法人证书）号</w:t>
            </w:r>
          </w:p>
        </w:tc>
        <w:tc>
          <w:tcPr>
            <w:tcW w:w="2340" w:type="dxa"/>
            <w:gridSpan w:val="2"/>
            <w:tcBorders>
              <w:top w:val="single" w:color="auto" w:sz="6" w:space="0"/>
              <w:left w:val="single" w:color="auto" w:sz="6" w:space="0"/>
              <w:bottom w:val="single" w:color="auto" w:sz="4" w:space="0"/>
              <w:right w:val="single" w:color="auto" w:sz="6" w:space="0"/>
            </w:tcBorders>
            <w:noWrap w:val="0"/>
            <w:vAlign w:val="center"/>
          </w:tcPr>
          <w:p>
            <w:pPr>
              <w:spacing w:line="240" w:lineRule="exact"/>
              <w:jc w:val="center"/>
              <w:rPr>
                <w:rFonts w:hint="eastAsia" w:ascii="宋体" w:hAnsi="宋体" w:cs="宋体"/>
              </w:rPr>
            </w:pPr>
          </w:p>
        </w:tc>
        <w:tc>
          <w:tcPr>
            <w:tcW w:w="720" w:type="dxa"/>
            <w:vMerge w:val="continue"/>
            <w:tcBorders>
              <w:top w:val="single" w:color="auto" w:sz="6" w:space="0"/>
              <w:left w:val="single" w:color="auto" w:sz="6" w:space="0"/>
              <w:bottom w:val="single" w:color="auto" w:sz="4" w:space="0"/>
              <w:right w:val="single" w:color="auto" w:sz="6" w:space="0"/>
            </w:tcBorders>
            <w:noWrap w:val="0"/>
            <w:vAlign w:val="center"/>
          </w:tcPr>
          <w:p>
            <w:pPr>
              <w:spacing w:line="240" w:lineRule="exact"/>
              <w:jc w:val="center"/>
              <w:rPr>
                <w:rFonts w:hint="eastAsia" w:ascii="宋体" w:hAnsi="宋体" w:cs="宋体"/>
              </w:rPr>
            </w:pPr>
          </w:p>
        </w:tc>
        <w:tc>
          <w:tcPr>
            <w:tcW w:w="1980" w:type="dxa"/>
            <w:gridSpan w:val="3"/>
            <w:tcBorders>
              <w:top w:val="single" w:color="auto" w:sz="6" w:space="0"/>
              <w:left w:val="single" w:color="auto" w:sz="6" w:space="0"/>
              <w:bottom w:val="single" w:color="auto" w:sz="4"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各类注册人员</w:t>
            </w:r>
          </w:p>
        </w:tc>
        <w:tc>
          <w:tcPr>
            <w:tcW w:w="2340" w:type="dxa"/>
            <w:gridSpan w:val="2"/>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40"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注册资金</w:t>
            </w:r>
          </w:p>
        </w:tc>
        <w:tc>
          <w:tcPr>
            <w:tcW w:w="7380" w:type="dxa"/>
            <w:gridSpan w:val="8"/>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491"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基本帐户开户银行</w:t>
            </w:r>
          </w:p>
        </w:tc>
        <w:tc>
          <w:tcPr>
            <w:tcW w:w="7380" w:type="dxa"/>
            <w:gridSpan w:val="8"/>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569"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基本帐户帐号</w:t>
            </w:r>
          </w:p>
        </w:tc>
        <w:tc>
          <w:tcPr>
            <w:tcW w:w="7380" w:type="dxa"/>
            <w:gridSpan w:val="8"/>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1378" w:hRule="atLeast"/>
          <w:jc w:val="center"/>
        </w:trPr>
        <w:tc>
          <w:tcPr>
            <w:tcW w:w="1828" w:type="dxa"/>
            <w:tcBorders>
              <w:top w:val="single" w:color="auto" w:sz="6" w:space="0"/>
              <w:left w:val="double" w:color="auto" w:sz="4" w:space="0"/>
              <w:bottom w:val="single" w:color="auto" w:sz="6"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经营范围</w:t>
            </w:r>
          </w:p>
        </w:tc>
        <w:tc>
          <w:tcPr>
            <w:tcW w:w="7380" w:type="dxa"/>
            <w:gridSpan w:val="8"/>
            <w:tcBorders>
              <w:top w:val="single" w:color="auto" w:sz="6" w:space="0"/>
              <w:left w:val="single" w:color="auto" w:sz="6" w:space="0"/>
              <w:bottom w:val="single" w:color="auto" w:sz="6" w:space="0"/>
              <w:right w:val="double" w:color="auto" w:sz="4" w:space="0"/>
            </w:tcBorders>
            <w:noWrap w:val="0"/>
            <w:vAlign w:val="center"/>
          </w:tcPr>
          <w:p>
            <w:pPr>
              <w:spacing w:line="240" w:lineRule="exact"/>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cantSplit/>
          <w:trHeight w:val="814" w:hRule="atLeast"/>
          <w:jc w:val="center"/>
        </w:trPr>
        <w:tc>
          <w:tcPr>
            <w:tcW w:w="1828" w:type="dxa"/>
            <w:tcBorders>
              <w:top w:val="single" w:color="auto" w:sz="6" w:space="0"/>
              <w:left w:val="double" w:color="auto" w:sz="4" w:space="0"/>
              <w:bottom w:val="double" w:color="auto" w:sz="4" w:space="0"/>
              <w:right w:val="single" w:color="auto" w:sz="6" w:space="0"/>
            </w:tcBorders>
            <w:noWrap w:val="0"/>
            <w:vAlign w:val="center"/>
          </w:tcPr>
          <w:p>
            <w:pPr>
              <w:spacing w:line="240" w:lineRule="exact"/>
              <w:jc w:val="center"/>
              <w:rPr>
                <w:rFonts w:hint="eastAsia" w:ascii="宋体" w:hAnsi="宋体" w:cs="宋体"/>
              </w:rPr>
            </w:pPr>
            <w:r>
              <w:rPr>
                <w:rFonts w:hint="eastAsia" w:ascii="宋体" w:hAnsi="宋体" w:cs="宋体"/>
              </w:rPr>
              <w:t>备注</w:t>
            </w:r>
          </w:p>
        </w:tc>
        <w:tc>
          <w:tcPr>
            <w:tcW w:w="7380" w:type="dxa"/>
            <w:gridSpan w:val="8"/>
            <w:tcBorders>
              <w:top w:val="single" w:color="auto" w:sz="6" w:space="0"/>
              <w:left w:val="single" w:color="auto" w:sz="6" w:space="0"/>
              <w:bottom w:val="double" w:color="auto" w:sz="4" w:space="0"/>
              <w:right w:val="double" w:color="auto" w:sz="4" w:space="0"/>
            </w:tcBorders>
            <w:noWrap w:val="0"/>
            <w:vAlign w:val="center"/>
          </w:tcPr>
          <w:p>
            <w:pPr>
              <w:spacing w:line="240" w:lineRule="exact"/>
              <w:rPr>
                <w:rFonts w:hint="eastAsia" w:ascii="宋体" w:hAnsi="宋体" w:cs="宋体"/>
              </w:rPr>
            </w:pPr>
          </w:p>
        </w:tc>
      </w:tr>
    </w:tbl>
    <w:p>
      <w:pPr>
        <w:snapToGrid w:val="0"/>
        <w:spacing w:before="120" w:beforeLines="50" w:after="50" w:line="440" w:lineRule="exact"/>
        <w:rPr>
          <w:rFonts w:hint="eastAsia" w:ascii="宋体" w:hAnsi="宋体" w:cs="宋体"/>
          <w:szCs w:val="21"/>
        </w:rPr>
      </w:pPr>
      <w:r>
        <w:rPr>
          <w:rFonts w:hint="eastAsia" w:ascii="宋体" w:hAnsi="宋体" w:cs="宋体"/>
        </w:rPr>
        <w:t>注：在本表后应附企业法人营业执照副本（全本）的复印件、</w:t>
      </w:r>
      <w:r>
        <w:rPr>
          <w:rFonts w:ascii="宋体" w:hAnsi="宋体"/>
          <w:szCs w:val="21"/>
        </w:rPr>
        <w:t>基本账户开户许可证</w:t>
      </w:r>
      <w:r>
        <w:rPr>
          <w:rFonts w:hint="eastAsia" w:ascii="宋体" w:hAnsi="宋体"/>
          <w:szCs w:val="21"/>
        </w:rPr>
        <w:t>（可用基本存款账户信息代替基本账户开户许可证）</w:t>
      </w:r>
      <w:r>
        <w:rPr>
          <w:rFonts w:hint="eastAsia" w:ascii="宋体" w:hAnsi="宋体" w:cs="宋体"/>
        </w:rPr>
        <w:t>的复印件。上述所有执照、证书复印件均应加盖投标人单位章。</w:t>
      </w:r>
    </w:p>
    <w:p>
      <w:pPr>
        <w:pStyle w:val="15"/>
        <w:snapToGrid w:val="0"/>
        <w:spacing w:before="295" w:beforeLines="0" w:after="295" w:afterLines="0" w:line="440" w:lineRule="exact"/>
        <w:ind w:left="902" w:hanging="482"/>
        <w:rPr>
          <w:rFonts w:hAnsi="宋体"/>
          <w:b/>
          <w:color w:val="000000"/>
        </w:rPr>
      </w:pPr>
    </w:p>
    <w:p>
      <w:pPr>
        <w:pStyle w:val="15"/>
        <w:snapToGrid w:val="0"/>
        <w:spacing w:before="295" w:beforeLines="0" w:after="295" w:afterLines="0" w:line="440" w:lineRule="exact"/>
        <w:ind w:left="902" w:hanging="482"/>
        <w:jc w:val="center"/>
        <w:rPr>
          <w:rFonts w:hint="eastAsia" w:ascii="宋体" w:hAnsi="宋体" w:cs="宋体"/>
          <w:szCs w:val="21"/>
        </w:rPr>
      </w:pPr>
    </w:p>
    <w:p>
      <w:pPr>
        <w:pStyle w:val="15"/>
        <w:snapToGrid w:val="0"/>
        <w:spacing w:before="295" w:beforeLines="0" w:after="295" w:afterLines="0" w:line="440" w:lineRule="exact"/>
        <w:ind w:left="902" w:hanging="482"/>
        <w:jc w:val="center"/>
        <w:rPr>
          <w:rFonts w:hint="eastAsia" w:hAnsi="宋体" w:eastAsia="宋体"/>
          <w:b/>
          <w:color w:val="000000"/>
          <w:lang w:eastAsia="zh-CN"/>
        </w:rPr>
      </w:pPr>
      <w:r>
        <w:rPr>
          <w:rFonts w:hint="eastAsia" w:hAnsi="宋体" w:cs="宋体"/>
          <w:szCs w:val="21"/>
          <w:lang w:eastAsia="zh-CN"/>
        </w:rPr>
        <w:t>（</w:t>
      </w:r>
      <w:r>
        <w:rPr>
          <w:rFonts w:hint="eastAsia" w:hAnsi="宋体" w:cs="宋体"/>
          <w:szCs w:val="21"/>
          <w:lang w:val="en-US" w:eastAsia="zh-CN"/>
        </w:rPr>
        <w:t>2</w:t>
      </w:r>
      <w:r>
        <w:rPr>
          <w:rFonts w:hint="eastAsia" w:hAnsi="宋体" w:cs="宋体"/>
          <w:szCs w:val="21"/>
          <w:lang w:eastAsia="zh-CN"/>
        </w:rPr>
        <w:t>）</w:t>
      </w:r>
      <w:r>
        <w:rPr>
          <w:rFonts w:hint="eastAsia" w:ascii="宋体" w:hAnsi="宋体" w:cs="宋体"/>
          <w:szCs w:val="21"/>
        </w:rPr>
        <w:t>投标保证金银行回执复印件</w:t>
      </w:r>
      <w:r>
        <w:rPr>
          <w:rFonts w:hint="eastAsia" w:hAnsi="宋体" w:cs="宋体"/>
          <w:szCs w:val="21"/>
          <w:lang w:eastAsia="zh-CN"/>
        </w:rPr>
        <w:t>并加盖单位公章</w:t>
      </w:r>
    </w:p>
    <w:p>
      <w:pPr>
        <w:pStyle w:val="15"/>
        <w:snapToGrid w:val="0"/>
        <w:spacing w:before="295" w:beforeLines="0" w:after="295" w:afterLines="0" w:line="440" w:lineRule="exact"/>
        <w:ind w:left="902" w:hanging="482"/>
        <w:rPr>
          <w:rFonts w:hAnsi="宋体"/>
          <w:b/>
          <w:color w:val="000000"/>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lang w:eastAsia="zh-CN"/>
        </w:rPr>
      </w:pPr>
    </w:p>
    <w:p>
      <w:pPr>
        <w:spacing w:line="480" w:lineRule="exact"/>
        <w:jc w:val="center"/>
        <w:rPr>
          <w:rFonts w:hint="eastAsia" w:ascii="宋体" w:hAnsi="宋体"/>
          <w:b/>
          <w:bCs/>
          <w:color w:val="000000"/>
          <w:szCs w:val="21"/>
        </w:rPr>
      </w:pPr>
      <w:r>
        <w:rPr>
          <w:rFonts w:hint="eastAsia" w:ascii="宋体" w:hAnsi="宋体"/>
          <w:b/>
          <w:bCs/>
          <w:color w:val="000000"/>
          <w:szCs w:val="21"/>
          <w:lang w:eastAsia="zh-CN"/>
        </w:rPr>
        <w:t>（</w:t>
      </w:r>
      <w:r>
        <w:rPr>
          <w:rFonts w:hint="eastAsia" w:ascii="宋体" w:hAnsi="宋体"/>
          <w:b/>
          <w:bCs/>
          <w:color w:val="000000"/>
          <w:szCs w:val="21"/>
          <w:lang w:val="en-US" w:eastAsia="zh-CN"/>
        </w:rPr>
        <w:t>3</w:t>
      </w:r>
      <w:r>
        <w:rPr>
          <w:rFonts w:hint="eastAsia" w:ascii="宋体" w:hAnsi="宋体"/>
          <w:b/>
          <w:bCs/>
          <w:color w:val="000000"/>
          <w:szCs w:val="21"/>
          <w:lang w:eastAsia="zh-CN"/>
        </w:rPr>
        <w:t>）</w:t>
      </w:r>
      <w:r>
        <w:rPr>
          <w:rFonts w:hint="eastAsia" w:ascii="宋体" w:hAnsi="宋体"/>
          <w:b/>
          <w:bCs/>
          <w:color w:val="000000"/>
          <w:szCs w:val="21"/>
        </w:rPr>
        <w:t>法定代表人</w:t>
      </w:r>
      <w:r>
        <w:rPr>
          <w:rFonts w:ascii="宋体" w:hAnsi="宋体"/>
          <w:b/>
          <w:bCs/>
          <w:color w:val="000000"/>
          <w:szCs w:val="21"/>
        </w:rPr>
        <w:t>资</w:t>
      </w:r>
      <w:r>
        <w:rPr>
          <w:rFonts w:hint="eastAsia" w:ascii="宋体" w:hAnsi="宋体"/>
          <w:b/>
          <w:bCs/>
          <w:color w:val="000000"/>
          <w:szCs w:val="21"/>
        </w:rPr>
        <w:t>格</w:t>
      </w:r>
      <w:r>
        <w:rPr>
          <w:rFonts w:ascii="宋体" w:hAnsi="宋体"/>
          <w:b/>
          <w:bCs/>
          <w:color w:val="000000"/>
          <w:szCs w:val="21"/>
        </w:rPr>
        <w:t>证</w:t>
      </w:r>
      <w:r>
        <w:rPr>
          <w:rFonts w:hint="eastAsia" w:ascii="宋体" w:hAnsi="宋体"/>
          <w:b/>
          <w:bCs/>
          <w:color w:val="000000"/>
          <w:szCs w:val="21"/>
        </w:rPr>
        <w:t>明</w:t>
      </w:r>
      <w:r>
        <w:rPr>
          <w:rFonts w:ascii="宋体" w:hAnsi="宋体"/>
          <w:b/>
          <w:bCs/>
          <w:color w:val="000000"/>
          <w:szCs w:val="21"/>
        </w:rPr>
        <w:t>书</w:t>
      </w:r>
    </w:p>
    <w:p>
      <w:pPr>
        <w:autoSpaceDE w:val="0"/>
        <w:autoSpaceDN w:val="0"/>
        <w:adjustRightInd w:val="0"/>
        <w:spacing w:line="480" w:lineRule="auto"/>
        <w:ind w:firstLine="539" w:firstLineChars="257"/>
        <w:rPr>
          <w:rFonts w:ascii="宋体" w:hAnsi="宋体"/>
          <w:color w:val="000000"/>
          <w:szCs w:val="21"/>
        </w:rPr>
      </w:pPr>
    </w:p>
    <w:p>
      <w:pPr>
        <w:pStyle w:val="11"/>
        <w:spacing w:line="360" w:lineRule="auto"/>
        <w:ind w:firstLine="472" w:firstLineChars="225"/>
        <w:jc w:val="left"/>
        <w:rPr>
          <w:rFonts w:hint="eastAsia" w:hAnsi="宋体"/>
          <w:color w:val="000000"/>
          <w:spacing w:val="0"/>
          <w:sz w:val="21"/>
          <w:szCs w:val="21"/>
          <w:u w:val="single"/>
        </w:rPr>
      </w:pPr>
      <w:r>
        <w:rPr>
          <w:rFonts w:hAnsi="宋体"/>
          <w:color w:val="000000"/>
          <w:spacing w:val="0"/>
          <w:sz w:val="21"/>
          <w:szCs w:val="21"/>
        </w:rPr>
        <w:t>单</w:t>
      </w:r>
      <w:r>
        <w:rPr>
          <w:rFonts w:hint="eastAsia" w:hAnsi="宋体"/>
          <w:color w:val="000000"/>
          <w:spacing w:val="0"/>
          <w:sz w:val="21"/>
          <w:szCs w:val="21"/>
        </w:rPr>
        <w:t>位名</w:t>
      </w:r>
      <w:r>
        <w:rPr>
          <w:rFonts w:hAnsi="宋体"/>
          <w:color w:val="000000"/>
          <w:spacing w:val="0"/>
          <w:sz w:val="21"/>
          <w:szCs w:val="21"/>
        </w:rPr>
        <w:t>称</w:t>
      </w:r>
      <w:r>
        <w:rPr>
          <w:rFonts w:hint="eastAsia" w:hAnsi="宋体"/>
          <w:color w:val="000000"/>
          <w:spacing w:val="0"/>
          <w:sz w:val="21"/>
          <w:szCs w:val="21"/>
        </w:rPr>
        <w:t>：</w:t>
      </w:r>
      <w:r>
        <w:rPr>
          <w:rFonts w:hint="eastAsia" w:hAnsi="宋体"/>
          <w:color w:val="000000"/>
          <w:spacing w:val="0"/>
          <w:sz w:val="21"/>
          <w:szCs w:val="21"/>
          <w:u w:val="single"/>
        </w:rPr>
        <w:t xml:space="preserve"> </w:t>
      </w:r>
      <w:r>
        <w:rPr>
          <w:rFonts w:hAnsi="宋体"/>
          <w:color w:val="000000"/>
          <w:spacing w:val="0"/>
          <w:sz w:val="21"/>
          <w:szCs w:val="21"/>
          <w:u w:val="single"/>
        </w:rPr>
        <w:t xml:space="preserve">                 </w:t>
      </w:r>
    </w:p>
    <w:p>
      <w:pPr>
        <w:pStyle w:val="11"/>
        <w:spacing w:line="360" w:lineRule="auto"/>
        <w:ind w:firstLine="472" w:firstLineChars="225"/>
        <w:jc w:val="left"/>
        <w:rPr>
          <w:rFonts w:hint="eastAsia" w:hAnsi="宋体"/>
          <w:color w:val="000000"/>
          <w:spacing w:val="0"/>
          <w:sz w:val="21"/>
          <w:szCs w:val="21"/>
          <w:u w:val="single"/>
        </w:rPr>
      </w:pPr>
      <w:r>
        <w:rPr>
          <w:rFonts w:hint="eastAsia" w:hAnsi="宋体"/>
          <w:color w:val="000000"/>
          <w:spacing w:val="0"/>
          <w:sz w:val="21"/>
          <w:szCs w:val="21"/>
        </w:rPr>
        <w:t>地址：</w:t>
      </w:r>
      <w:r>
        <w:rPr>
          <w:rFonts w:hint="eastAsia" w:hAnsi="宋体"/>
          <w:color w:val="000000"/>
          <w:spacing w:val="0"/>
          <w:sz w:val="21"/>
          <w:szCs w:val="21"/>
          <w:u w:val="single"/>
        </w:rPr>
        <w:t xml:space="preserve">                </w:t>
      </w:r>
    </w:p>
    <w:p>
      <w:pPr>
        <w:pStyle w:val="11"/>
        <w:spacing w:line="360" w:lineRule="auto"/>
        <w:ind w:firstLine="472" w:firstLineChars="225"/>
        <w:jc w:val="left"/>
        <w:rPr>
          <w:rFonts w:hint="eastAsia" w:hAnsi="宋体"/>
          <w:color w:val="000000"/>
          <w:spacing w:val="0"/>
          <w:sz w:val="21"/>
          <w:szCs w:val="21"/>
          <w:u w:val="single"/>
        </w:rPr>
      </w:pPr>
      <w:r>
        <w:rPr>
          <w:rFonts w:hint="eastAsia" w:hAnsi="宋体"/>
          <w:color w:val="000000"/>
          <w:spacing w:val="0"/>
          <w:sz w:val="21"/>
          <w:szCs w:val="21"/>
        </w:rPr>
        <w:t>姓名：</w:t>
      </w:r>
      <w:r>
        <w:rPr>
          <w:rFonts w:hAnsi="宋体"/>
          <w:color w:val="000000"/>
          <w:spacing w:val="0"/>
          <w:sz w:val="21"/>
          <w:szCs w:val="21"/>
          <w:u w:val="single"/>
        </w:rPr>
        <w:t xml:space="preserve">        </w:t>
      </w:r>
      <w:r>
        <w:rPr>
          <w:rFonts w:hAnsi="宋体"/>
          <w:color w:val="000000"/>
          <w:spacing w:val="0"/>
          <w:sz w:val="21"/>
          <w:szCs w:val="21"/>
        </w:rPr>
        <w:t xml:space="preserve">  </w:t>
      </w:r>
      <w:r>
        <w:rPr>
          <w:rFonts w:hint="eastAsia" w:hAnsi="宋体"/>
          <w:color w:val="000000"/>
          <w:spacing w:val="0"/>
          <w:sz w:val="21"/>
          <w:szCs w:val="21"/>
        </w:rPr>
        <w:t>性</w:t>
      </w:r>
      <w:r>
        <w:rPr>
          <w:rFonts w:hAnsi="宋体"/>
          <w:color w:val="000000"/>
          <w:spacing w:val="0"/>
          <w:sz w:val="21"/>
          <w:szCs w:val="21"/>
        </w:rPr>
        <w:t>别</w:t>
      </w:r>
      <w:r>
        <w:rPr>
          <w:rFonts w:hint="eastAsia" w:hAnsi="宋体"/>
          <w:color w:val="000000"/>
          <w:spacing w:val="0"/>
          <w:sz w:val="21"/>
          <w:szCs w:val="21"/>
        </w:rPr>
        <w:t>：</w:t>
      </w:r>
      <w:r>
        <w:rPr>
          <w:rFonts w:hAnsi="宋体"/>
          <w:color w:val="000000"/>
          <w:spacing w:val="0"/>
          <w:sz w:val="21"/>
          <w:szCs w:val="21"/>
        </w:rPr>
        <w:t xml:space="preserve">  </w:t>
      </w:r>
      <w:r>
        <w:rPr>
          <w:rFonts w:hAnsi="宋体"/>
          <w:color w:val="000000"/>
          <w:spacing w:val="0"/>
          <w:sz w:val="21"/>
          <w:szCs w:val="21"/>
          <w:u w:val="single"/>
        </w:rPr>
        <w:t xml:space="preserve">         </w:t>
      </w:r>
      <w:r>
        <w:rPr>
          <w:rFonts w:hint="eastAsia" w:hAnsi="宋体"/>
          <w:color w:val="000000"/>
          <w:spacing w:val="0"/>
          <w:sz w:val="21"/>
          <w:szCs w:val="21"/>
        </w:rPr>
        <w:t>年</w:t>
      </w:r>
      <w:r>
        <w:rPr>
          <w:rFonts w:hAnsi="宋体"/>
          <w:color w:val="000000"/>
          <w:spacing w:val="0"/>
          <w:sz w:val="21"/>
          <w:szCs w:val="21"/>
        </w:rPr>
        <w:t>龄</w:t>
      </w:r>
      <w:r>
        <w:rPr>
          <w:rFonts w:hint="eastAsia" w:hAnsi="宋体"/>
          <w:color w:val="000000"/>
          <w:spacing w:val="0"/>
          <w:sz w:val="21"/>
          <w:szCs w:val="21"/>
        </w:rPr>
        <w:t>：</w:t>
      </w:r>
      <w:r>
        <w:rPr>
          <w:rFonts w:hAnsi="宋体"/>
          <w:color w:val="000000"/>
          <w:spacing w:val="0"/>
          <w:sz w:val="21"/>
          <w:szCs w:val="21"/>
          <w:u w:val="single"/>
        </w:rPr>
        <w:t xml:space="preserve">          </w:t>
      </w:r>
      <w:r>
        <w:rPr>
          <w:rFonts w:hAnsi="宋体"/>
          <w:color w:val="000000"/>
          <w:spacing w:val="0"/>
          <w:sz w:val="21"/>
          <w:szCs w:val="21"/>
        </w:rPr>
        <w:t xml:space="preserve">  职务</w:t>
      </w:r>
      <w:r>
        <w:rPr>
          <w:rFonts w:hint="eastAsia" w:hAnsi="宋体"/>
          <w:color w:val="000000"/>
          <w:spacing w:val="0"/>
          <w:sz w:val="21"/>
          <w:szCs w:val="21"/>
        </w:rPr>
        <w:t xml:space="preserve">：  </w:t>
      </w:r>
      <w:r>
        <w:rPr>
          <w:rFonts w:hint="eastAsia" w:hAnsi="宋体"/>
          <w:color w:val="000000"/>
          <w:spacing w:val="0"/>
          <w:sz w:val="21"/>
          <w:szCs w:val="21"/>
          <w:u w:val="single"/>
        </w:rPr>
        <w:t xml:space="preserve">      </w:t>
      </w:r>
    </w:p>
    <w:p>
      <w:pPr>
        <w:spacing w:before="120" w:beforeLines="50" w:line="360" w:lineRule="auto"/>
        <w:ind w:firstLine="420" w:firstLineChars="200"/>
        <w:rPr>
          <w:rFonts w:hint="eastAsia" w:ascii="宋体" w:hAnsi="宋体"/>
          <w:color w:val="000000"/>
        </w:rPr>
      </w:pPr>
      <w:r>
        <w:rPr>
          <w:rFonts w:hint="eastAsia" w:ascii="宋体" w:hAnsi="宋体"/>
          <w:color w:val="000000"/>
        </w:rPr>
        <w:t>本人系</w:t>
      </w:r>
      <w:r>
        <w:rPr>
          <w:rFonts w:ascii="宋体" w:hAnsi="宋体"/>
          <w:color w:val="000000"/>
          <w:u w:val="single"/>
        </w:rPr>
        <w:t xml:space="preserve">    </w:t>
      </w:r>
      <w:r>
        <w:rPr>
          <w:rFonts w:hint="eastAsia" w:ascii="宋体" w:hAnsi="宋体"/>
          <w:color w:val="000000"/>
          <w:u w:val="single"/>
        </w:rPr>
        <w:t xml:space="preserve">     &lt;投</w:t>
      </w:r>
      <w:r>
        <w:rPr>
          <w:rFonts w:ascii="宋体" w:hAnsi="宋体"/>
          <w:color w:val="000000"/>
          <w:u w:val="single"/>
        </w:rPr>
        <w:t>标</w:t>
      </w:r>
      <w:r>
        <w:rPr>
          <w:rFonts w:hint="eastAsia" w:ascii="宋体" w:hAnsi="宋体"/>
          <w:color w:val="000000"/>
          <w:u w:val="single"/>
        </w:rPr>
        <w:t>人名</w:t>
      </w:r>
      <w:r>
        <w:rPr>
          <w:rFonts w:ascii="宋体" w:hAnsi="宋体"/>
          <w:color w:val="000000"/>
          <w:u w:val="single"/>
        </w:rPr>
        <w:t>称</w:t>
      </w:r>
      <w:r>
        <w:rPr>
          <w:rFonts w:hint="eastAsia" w:ascii="宋体" w:hAnsi="宋体"/>
          <w:color w:val="000000"/>
          <w:u w:val="single"/>
        </w:rPr>
        <w:t>&gt;</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u w:val="single"/>
        </w:rPr>
        <w:t xml:space="preserve">  </w:t>
      </w:r>
      <w:r>
        <w:rPr>
          <w:rFonts w:ascii="宋体" w:hAnsi="宋体"/>
          <w:color w:val="000000"/>
          <w:u w:val="single"/>
        </w:rPr>
        <w:t xml:space="preserve"> </w:t>
      </w:r>
      <w:r>
        <w:rPr>
          <w:rFonts w:hint="eastAsia" w:ascii="宋体" w:hAnsi="宋体"/>
          <w:color w:val="000000"/>
        </w:rPr>
        <w:t>的法定代表人。</w:t>
      </w:r>
      <w:r>
        <w:rPr>
          <w:rFonts w:ascii="宋体" w:hAnsi="宋体"/>
          <w:color w:val="000000"/>
        </w:rPr>
        <w:t>为</w:t>
      </w:r>
      <w:r>
        <w:rPr>
          <w:rFonts w:hint="eastAsia" w:ascii="宋体" w:hAnsi="宋体"/>
          <w:color w:val="000000"/>
        </w:rPr>
        <w:t>你单位</w:t>
      </w:r>
      <w:r>
        <w:rPr>
          <w:rFonts w:ascii="宋体" w:hAnsi="宋体"/>
          <w:color w:val="000000"/>
        </w:rPr>
        <w:t>组织的</w:t>
      </w:r>
      <w:r>
        <w:rPr>
          <w:rFonts w:hint="eastAsia" w:ascii="宋体" w:hAnsi="宋体"/>
          <w:color w:val="000000"/>
        </w:rPr>
        <w:t>招</w:t>
      </w:r>
      <w:r>
        <w:rPr>
          <w:rFonts w:ascii="宋体" w:hAnsi="宋体"/>
          <w:color w:val="000000"/>
        </w:rPr>
        <w:t>标编号为</w:t>
      </w:r>
      <w:r>
        <w:rPr>
          <w:rFonts w:hint="eastAsia" w:ascii="宋体" w:hAnsi="宋体"/>
          <w:color w:val="000000"/>
          <w:u w:val="single"/>
        </w:rPr>
        <w:t xml:space="preserve">            </w:t>
      </w:r>
      <w:r>
        <w:rPr>
          <w:rFonts w:hint="eastAsia" w:ascii="宋体" w:hAnsi="宋体"/>
          <w:color w:val="000000"/>
        </w:rPr>
        <w:t>的</w:t>
      </w:r>
      <w:r>
        <w:rPr>
          <w:rFonts w:hint="eastAsia" w:ascii="宋体" w:hAnsi="宋体"/>
          <w:color w:val="000000"/>
          <w:u w:val="single"/>
        </w:rPr>
        <w:t xml:space="preserve">                              </w:t>
      </w:r>
      <w:r>
        <w:rPr>
          <w:rFonts w:hint="eastAsia" w:ascii="宋体" w:hAnsi="宋体"/>
          <w:color w:val="000000"/>
        </w:rPr>
        <w:t>政府采购项目，</w:t>
      </w:r>
      <w:r>
        <w:rPr>
          <w:rFonts w:ascii="宋体" w:hAnsi="宋体"/>
          <w:color w:val="000000"/>
        </w:rPr>
        <w:t>签</w:t>
      </w:r>
      <w:r>
        <w:rPr>
          <w:rFonts w:hint="eastAsia" w:ascii="宋体" w:hAnsi="宋体"/>
          <w:color w:val="000000"/>
        </w:rPr>
        <w:t>署上</w:t>
      </w:r>
      <w:r>
        <w:rPr>
          <w:rFonts w:ascii="宋体" w:hAnsi="宋体"/>
          <w:color w:val="000000"/>
        </w:rPr>
        <w:t>述项目</w:t>
      </w:r>
      <w:r>
        <w:rPr>
          <w:rFonts w:hint="eastAsia" w:ascii="宋体" w:hAnsi="宋体"/>
          <w:color w:val="000000"/>
        </w:rPr>
        <w:t>的</w:t>
      </w:r>
      <w:r>
        <w:rPr>
          <w:rFonts w:ascii="宋体" w:hAnsi="宋体"/>
          <w:color w:val="000000"/>
        </w:rPr>
        <w:t>投标文件、进行合同谈判、签署合同和处理与之有关的一切事务</w:t>
      </w:r>
      <w:r>
        <w:rPr>
          <w:rFonts w:hint="eastAsia" w:ascii="宋体" w:hAnsi="宋体"/>
          <w:color w:val="000000"/>
        </w:rPr>
        <w:t>。</w:t>
      </w:r>
    </w:p>
    <w:p>
      <w:pPr>
        <w:pStyle w:val="11"/>
        <w:spacing w:line="360" w:lineRule="auto"/>
        <w:ind w:firstLine="472" w:firstLineChars="225"/>
        <w:jc w:val="left"/>
        <w:rPr>
          <w:rFonts w:hint="eastAsia" w:hAnsi="宋体"/>
          <w:color w:val="000000"/>
          <w:spacing w:val="0"/>
          <w:sz w:val="21"/>
          <w:szCs w:val="21"/>
        </w:rPr>
      </w:pPr>
      <w:r>
        <w:rPr>
          <w:rFonts w:hint="eastAsia" w:hAnsi="宋体"/>
          <w:color w:val="000000"/>
          <w:spacing w:val="0"/>
          <w:sz w:val="21"/>
          <w:szCs w:val="21"/>
        </w:rPr>
        <w:t>特此</w:t>
      </w:r>
      <w:r>
        <w:rPr>
          <w:rFonts w:hAnsi="宋体"/>
          <w:color w:val="000000"/>
          <w:spacing w:val="0"/>
          <w:sz w:val="21"/>
          <w:szCs w:val="21"/>
        </w:rPr>
        <w:t>证</w:t>
      </w:r>
      <w:r>
        <w:rPr>
          <w:rFonts w:hint="eastAsia" w:hAnsi="宋体"/>
          <w:color w:val="000000"/>
          <w:spacing w:val="0"/>
          <w:sz w:val="21"/>
          <w:szCs w:val="21"/>
        </w:rPr>
        <w:t>明。</w:t>
      </w:r>
    </w:p>
    <w:p>
      <w:pPr>
        <w:pStyle w:val="11"/>
        <w:spacing w:line="360" w:lineRule="auto"/>
        <w:ind w:left="-538" w:leftChars="-256" w:firstLine="542" w:firstLineChars="257"/>
        <w:jc w:val="center"/>
        <w:rPr>
          <w:rFonts w:hint="eastAsia" w:hAnsi="宋体"/>
          <w:b/>
          <w:color w:val="000000"/>
          <w:spacing w:val="0"/>
          <w:sz w:val="21"/>
          <w:szCs w:val="21"/>
        </w:rPr>
      </w:pPr>
      <w:r>
        <w:rPr>
          <w:rFonts w:hint="eastAsia" w:hAnsi="宋体"/>
          <w:b/>
          <w:color w:val="000000"/>
          <w:spacing w:val="0"/>
          <w:sz w:val="21"/>
          <w:szCs w:val="21"/>
        </w:rPr>
        <w:t>（※此</w:t>
      </w:r>
      <w:r>
        <w:rPr>
          <w:rFonts w:hAnsi="宋体"/>
          <w:b/>
          <w:color w:val="000000"/>
          <w:spacing w:val="0"/>
          <w:sz w:val="21"/>
          <w:szCs w:val="21"/>
        </w:rPr>
        <w:t>处请</w:t>
      </w:r>
      <w:r>
        <w:rPr>
          <w:rFonts w:hint="eastAsia" w:hAnsi="宋体"/>
          <w:b/>
          <w:color w:val="000000"/>
          <w:spacing w:val="0"/>
          <w:sz w:val="21"/>
          <w:szCs w:val="21"/>
        </w:rPr>
        <w:t>粘</w:t>
      </w:r>
      <w:r>
        <w:rPr>
          <w:rFonts w:hAnsi="宋体"/>
          <w:b/>
          <w:color w:val="000000"/>
          <w:spacing w:val="0"/>
          <w:sz w:val="21"/>
          <w:szCs w:val="21"/>
        </w:rPr>
        <w:t>贴</w:t>
      </w:r>
      <w:r>
        <w:rPr>
          <w:rFonts w:hint="eastAsia" w:hAnsi="宋体"/>
          <w:b/>
          <w:color w:val="000000"/>
          <w:spacing w:val="0"/>
          <w:sz w:val="21"/>
          <w:szCs w:val="21"/>
        </w:rPr>
        <w:t>法定代表人身份</w:t>
      </w:r>
      <w:r>
        <w:rPr>
          <w:rFonts w:hAnsi="宋体"/>
          <w:b/>
          <w:color w:val="000000"/>
          <w:spacing w:val="0"/>
          <w:sz w:val="21"/>
          <w:szCs w:val="21"/>
        </w:rPr>
        <w:t>证复</w:t>
      </w:r>
      <w:r>
        <w:rPr>
          <w:rFonts w:hint="eastAsia" w:hAnsi="宋体"/>
          <w:b/>
          <w:color w:val="000000"/>
          <w:spacing w:val="0"/>
          <w:sz w:val="21"/>
          <w:szCs w:val="21"/>
        </w:rPr>
        <w:t>印件※）</w:t>
      </w:r>
    </w:p>
    <w:p>
      <w:pPr>
        <w:pStyle w:val="11"/>
        <w:spacing w:line="480" w:lineRule="auto"/>
        <w:ind w:firstLine="472" w:firstLineChars="225"/>
        <w:jc w:val="left"/>
        <w:rPr>
          <w:rFonts w:hint="eastAsia" w:hAnsi="宋体"/>
          <w:color w:val="000000"/>
          <w:spacing w:val="0"/>
          <w:sz w:val="21"/>
          <w:szCs w:val="21"/>
        </w:rPr>
      </w:pPr>
    </w:p>
    <w:p>
      <w:pPr>
        <w:spacing w:line="480" w:lineRule="auto"/>
        <w:ind w:firstLine="1890" w:firstLineChars="900"/>
        <w:rPr>
          <w:rFonts w:hint="eastAsia" w:ascii="宋体" w:hAnsi="宋体"/>
          <w:color w:val="000000"/>
          <w:szCs w:val="21"/>
        </w:rPr>
      </w:pPr>
      <w:r>
        <w:rPr>
          <w:rFonts w:hint="eastAsia" w:ascii="宋体" w:hAnsi="宋体"/>
          <w:color w:val="000000"/>
          <w:szCs w:val="21"/>
        </w:rPr>
        <w:t>投标人名称（加盖公章）：</w:t>
      </w:r>
      <w:r>
        <w:rPr>
          <w:rFonts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 xml:space="preserve"> </w:t>
      </w:r>
    </w:p>
    <w:p>
      <w:pPr>
        <w:spacing w:line="480" w:lineRule="auto"/>
        <w:ind w:firstLine="1890" w:firstLineChars="900"/>
        <w:rPr>
          <w:rFonts w:hint="eastAsia" w:ascii="宋体" w:hAnsi="宋体"/>
          <w:color w:val="000000"/>
          <w:szCs w:val="21"/>
        </w:rPr>
      </w:pPr>
      <w:r>
        <w:rPr>
          <w:rFonts w:hint="eastAsia" w:ascii="宋体" w:hAnsi="宋体"/>
          <w:color w:val="000000"/>
          <w:szCs w:val="21"/>
        </w:rPr>
        <w:t>法定代表人（签字）：</w:t>
      </w:r>
      <w:r>
        <w:rPr>
          <w:rFonts w:ascii="宋体" w:hAnsi="宋体"/>
          <w:color w:val="000000"/>
          <w:szCs w:val="21"/>
          <w:u w:val="single"/>
        </w:rPr>
        <w:t xml:space="preserve">                          </w:t>
      </w:r>
    </w:p>
    <w:p>
      <w:pPr>
        <w:pStyle w:val="6"/>
        <w:spacing w:before="60" w:line="480" w:lineRule="auto"/>
        <w:ind w:firstLine="1890" w:firstLineChars="900"/>
        <w:rPr>
          <w:rFonts w:ascii="宋体" w:hAnsi="宋体"/>
          <w:color w:val="000000"/>
          <w:szCs w:val="21"/>
        </w:rPr>
      </w:pPr>
      <w:r>
        <w:rPr>
          <w:rFonts w:hint="eastAsia" w:ascii="宋体" w:hAnsi="宋体"/>
          <w:color w:val="000000"/>
          <w:szCs w:val="21"/>
        </w:rPr>
        <w:t>签署日期：</w:t>
      </w:r>
      <w:r>
        <w:rPr>
          <w:rFonts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年</w:t>
      </w:r>
      <w:r>
        <w:rPr>
          <w:rFonts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日</w:t>
      </w:r>
    </w:p>
    <w:p>
      <w:pPr>
        <w:rPr>
          <w:rFonts w:hint="eastAsia"/>
          <w:color w:val="000000"/>
          <w:szCs w:val="21"/>
        </w:rPr>
      </w:pPr>
      <w:bookmarkStart w:id="28" w:name="_4.6__"/>
      <w:bookmarkEnd w:id="28"/>
    </w:p>
    <w:p>
      <w:pPr>
        <w:rPr>
          <w:rFonts w:hint="eastAsia"/>
          <w:color w:val="000000"/>
          <w:szCs w:val="21"/>
        </w:rPr>
      </w:pPr>
    </w:p>
    <w:p>
      <w:pPr>
        <w:spacing w:line="480" w:lineRule="exact"/>
        <w:jc w:val="center"/>
        <w:rPr>
          <w:rFonts w:hint="eastAsia" w:ascii="宋体" w:hAnsi="宋体"/>
          <w:b/>
          <w:color w:val="000000"/>
          <w:kern w:val="12"/>
          <w:szCs w:val="21"/>
        </w:rPr>
      </w:pPr>
    </w:p>
    <w:p>
      <w:pPr>
        <w:ind w:firstLine="316" w:firstLineChars="150"/>
        <w:rPr>
          <w:rFonts w:hint="eastAsia"/>
          <w:color w:val="000000"/>
          <w:szCs w:val="21"/>
        </w:rPr>
      </w:pPr>
      <w:r>
        <w:rPr>
          <w:rFonts w:hint="eastAsia"/>
          <w:b/>
          <w:color w:val="000000"/>
          <w:kern w:val="12"/>
          <w:szCs w:val="21"/>
        </w:rPr>
        <w:t>说明：</w:t>
      </w:r>
      <w:r>
        <w:rPr>
          <w:rFonts w:hint="eastAsia" w:ascii="宋体" w:hAnsi="宋体"/>
          <w:b/>
          <w:color w:val="000000"/>
          <w:kern w:val="12"/>
          <w:szCs w:val="21"/>
        </w:rPr>
        <w:t>法定代表人</w:t>
      </w:r>
      <w:r>
        <w:rPr>
          <w:rFonts w:ascii="宋体" w:hAnsi="宋体"/>
          <w:b/>
          <w:color w:val="000000"/>
          <w:kern w:val="12"/>
          <w:szCs w:val="21"/>
        </w:rPr>
        <w:t>参</w:t>
      </w:r>
      <w:r>
        <w:rPr>
          <w:rFonts w:hint="eastAsia" w:ascii="宋体" w:hAnsi="宋体"/>
          <w:b/>
          <w:color w:val="000000"/>
          <w:kern w:val="12"/>
          <w:szCs w:val="21"/>
        </w:rPr>
        <w:t>加本招</w:t>
      </w:r>
      <w:r>
        <w:rPr>
          <w:rFonts w:ascii="宋体" w:hAnsi="宋体"/>
          <w:b/>
          <w:color w:val="000000"/>
          <w:kern w:val="12"/>
          <w:szCs w:val="21"/>
        </w:rPr>
        <w:t>标项目</w:t>
      </w:r>
      <w:r>
        <w:rPr>
          <w:rFonts w:hint="eastAsia" w:ascii="宋体" w:hAnsi="宋体"/>
          <w:b/>
          <w:color w:val="000000"/>
          <w:kern w:val="12"/>
          <w:szCs w:val="21"/>
        </w:rPr>
        <w:t>投</w:t>
      </w:r>
      <w:r>
        <w:rPr>
          <w:rFonts w:ascii="宋体" w:hAnsi="宋体"/>
          <w:b/>
          <w:color w:val="000000"/>
          <w:kern w:val="12"/>
          <w:szCs w:val="21"/>
        </w:rPr>
        <w:t>标</w:t>
      </w:r>
      <w:r>
        <w:rPr>
          <w:rFonts w:hint="eastAsia" w:ascii="宋体" w:hAnsi="宋体"/>
          <w:b/>
          <w:color w:val="000000"/>
          <w:kern w:val="12"/>
          <w:szCs w:val="21"/>
        </w:rPr>
        <w:t>的，</w:t>
      </w:r>
      <w:r>
        <w:rPr>
          <w:rFonts w:ascii="宋体" w:hAnsi="宋体"/>
          <w:b/>
          <w:color w:val="000000"/>
          <w:kern w:val="12"/>
          <w:szCs w:val="21"/>
        </w:rPr>
        <w:t>仅须</w:t>
      </w:r>
      <w:r>
        <w:rPr>
          <w:rFonts w:hint="eastAsia" w:ascii="宋体" w:hAnsi="宋体"/>
          <w:b/>
          <w:color w:val="000000"/>
          <w:kern w:val="12"/>
          <w:szCs w:val="21"/>
        </w:rPr>
        <w:t>提供此</w:t>
      </w:r>
      <w:r>
        <w:rPr>
          <w:rFonts w:ascii="宋体" w:hAnsi="宋体"/>
          <w:b/>
          <w:color w:val="000000"/>
          <w:kern w:val="12"/>
          <w:szCs w:val="21"/>
        </w:rPr>
        <w:t>证</w:t>
      </w:r>
      <w:r>
        <w:rPr>
          <w:rFonts w:hint="eastAsia" w:ascii="宋体" w:hAnsi="宋体"/>
          <w:b/>
          <w:color w:val="000000"/>
          <w:kern w:val="12"/>
          <w:szCs w:val="21"/>
        </w:rPr>
        <w:t>明</w:t>
      </w:r>
      <w:r>
        <w:rPr>
          <w:rFonts w:ascii="宋体" w:hAnsi="宋体"/>
          <w:b/>
          <w:color w:val="000000"/>
          <w:kern w:val="12"/>
          <w:szCs w:val="21"/>
        </w:rPr>
        <w:t>书</w:t>
      </w:r>
      <w:r>
        <w:rPr>
          <w:rFonts w:hint="eastAsia" w:ascii="宋体" w:hAnsi="宋体"/>
          <w:b/>
          <w:color w:val="000000"/>
          <w:kern w:val="12"/>
          <w:szCs w:val="21"/>
        </w:rPr>
        <w:t>。</w:t>
      </w:r>
    </w:p>
    <w:p>
      <w:pPr>
        <w:spacing w:after="240" w:afterLines="100" w:line="360" w:lineRule="auto"/>
        <w:jc w:val="center"/>
        <w:rPr>
          <w:rFonts w:hint="eastAsia"/>
          <w:b/>
          <w:color w:val="000000"/>
          <w:szCs w:val="21"/>
        </w:rPr>
      </w:pPr>
    </w:p>
    <w:p>
      <w:pPr>
        <w:tabs>
          <w:tab w:val="left" w:pos="856"/>
        </w:tabs>
        <w:snapToGrid w:val="0"/>
        <w:spacing w:before="120" w:beforeLines="50" w:after="50" w:line="440" w:lineRule="exact"/>
        <w:jc w:val="left"/>
        <w:rPr>
          <w:rFonts w:ascii="宋体" w:hAnsi="宋体"/>
          <w:color w:val="000000"/>
          <w:sz w:val="24"/>
        </w:rPr>
      </w:pPr>
    </w:p>
    <w:p>
      <w:pPr>
        <w:snapToGrid w:val="0"/>
        <w:spacing w:before="120" w:beforeLines="50" w:after="50" w:line="440" w:lineRule="exact"/>
        <w:jc w:val="center"/>
        <w:rPr>
          <w:rFonts w:ascii="宋体" w:hAnsi="宋体"/>
          <w:b/>
          <w:color w:val="000000"/>
          <w:sz w:val="24"/>
          <w:szCs w:val="20"/>
        </w:rPr>
      </w:pPr>
      <w:r>
        <w:rPr>
          <w:rFonts w:ascii="宋体" w:hAnsi="宋体"/>
          <w:color w:val="000000"/>
          <w:sz w:val="24"/>
        </w:rPr>
        <w:br w:type="page"/>
      </w:r>
      <w:r>
        <w:rPr>
          <w:rFonts w:hint="eastAsia" w:ascii="宋体" w:hAnsi="宋体"/>
          <w:b/>
          <w:color w:val="000000"/>
          <w:sz w:val="24"/>
          <w:lang w:eastAsia="zh-CN"/>
        </w:rPr>
        <w:t>（</w:t>
      </w:r>
      <w:r>
        <w:rPr>
          <w:rFonts w:hint="eastAsia" w:ascii="宋体" w:hAnsi="宋体"/>
          <w:b/>
          <w:color w:val="000000"/>
          <w:sz w:val="24"/>
          <w:lang w:val="en-US" w:eastAsia="zh-CN"/>
        </w:rPr>
        <w:t>4</w:t>
      </w:r>
      <w:r>
        <w:rPr>
          <w:rFonts w:hint="eastAsia" w:ascii="宋体" w:hAnsi="宋体"/>
          <w:b/>
          <w:color w:val="000000"/>
          <w:sz w:val="24"/>
          <w:lang w:eastAsia="zh-CN"/>
        </w:rPr>
        <w:t>）</w:t>
      </w:r>
      <w:r>
        <w:rPr>
          <w:rFonts w:hint="eastAsia" w:ascii="宋体" w:hAnsi="宋体"/>
          <w:b/>
          <w:color w:val="000000"/>
          <w:sz w:val="24"/>
        </w:rPr>
        <w:t>法定代表人授权委托书</w:t>
      </w:r>
    </w:p>
    <w:p>
      <w:pPr>
        <w:snapToGrid w:val="0"/>
        <w:spacing w:before="120" w:beforeLines="50" w:after="50" w:line="440" w:lineRule="exact"/>
        <w:rPr>
          <w:rFonts w:hint="eastAsia" w:ascii="宋体" w:hAnsi="宋体"/>
          <w:bCs/>
          <w:color w:val="000000"/>
          <w:sz w:val="24"/>
        </w:rPr>
      </w:pPr>
    </w:p>
    <w:p>
      <w:pPr>
        <w:snapToGrid w:val="0"/>
        <w:spacing w:before="120" w:beforeLines="50" w:after="50" w:line="440" w:lineRule="exact"/>
        <w:rPr>
          <w:rFonts w:ascii="宋体" w:hAnsi="宋体"/>
          <w:b/>
          <w:bCs/>
          <w:color w:val="000000"/>
          <w:szCs w:val="21"/>
        </w:rPr>
      </w:pPr>
      <w:r>
        <w:rPr>
          <w:rFonts w:hint="eastAsia" w:ascii="宋体" w:hAnsi="宋体"/>
          <w:bCs/>
          <w:color w:val="000000"/>
          <w:szCs w:val="21"/>
        </w:rPr>
        <w:t>致：</w:t>
      </w:r>
      <w:r>
        <w:rPr>
          <w:rFonts w:ascii="宋体" w:hAnsi="宋体"/>
          <w:color w:val="000000"/>
          <w:szCs w:val="21"/>
        </w:rPr>
        <w:t>______</w:t>
      </w:r>
      <w:r>
        <w:rPr>
          <w:rFonts w:ascii="宋体" w:hAnsi="宋体"/>
          <w:color w:val="000000"/>
          <w:szCs w:val="21"/>
          <w:u w:val="single"/>
        </w:rPr>
        <w:t>_     _</w:t>
      </w:r>
      <w:r>
        <w:rPr>
          <w:rFonts w:ascii="宋体" w:hAnsi="宋体"/>
          <w:color w:val="000000"/>
          <w:szCs w:val="21"/>
        </w:rPr>
        <w:t>_</w:t>
      </w:r>
      <w:r>
        <w:rPr>
          <w:rFonts w:hint="eastAsia" w:ascii="宋体" w:hAnsi="宋体"/>
          <w:color w:val="000000"/>
          <w:szCs w:val="21"/>
        </w:rPr>
        <w:t>（招标采购单位名称）</w:t>
      </w:r>
      <w:r>
        <w:rPr>
          <w:rFonts w:ascii="宋体" w:hAnsi="宋体"/>
          <w:b/>
          <w:bCs/>
          <w:color w:val="000000"/>
          <w:szCs w:val="21"/>
        </w:rPr>
        <w:t xml:space="preserve"> </w:t>
      </w:r>
      <w:r>
        <w:rPr>
          <w:rFonts w:hint="eastAsia" w:ascii="宋体" w:hAnsi="宋体"/>
          <w:color w:val="000000"/>
          <w:szCs w:val="21"/>
        </w:rPr>
        <w:t>：</w:t>
      </w:r>
    </w:p>
    <w:p>
      <w:pPr>
        <w:snapToGrid w:val="0"/>
        <w:spacing w:before="120" w:beforeLines="50" w:after="50" w:line="440" w:lineRule="exact"/>
        <w:ind w:firstLine="630" w:firstLineChars="300"/>
        <w:rPr>
          <w:rFonts w:hint="eastAsia" w:ascii="宋体" w:hAnsi="宋体"/>
          <w:color w:val="000000"/>
          <w:szCs w:val="21"/>
        </w:rPr>
      </w:pPr>
    </w:p>
    <w:p>
      <w:pPr>
        <w:snapToGrid w:val="0"/>
        <w:spacing w:before="120" w:beforeLines="50" w:after="50" w:line="440" w:lineRule="exact"/>
        <w:ind w:firstLine="630" w:firstLineChars="300"/>
        <w:rPr>
          <w:rFonts w:ascii="宋体" w:hAnsi="宋体"/>
          <w:color w:val="000000"/>
          <w:szCs w:val="21"/>
        </w:rPr>
      </w:pPr>
      <w:r>
        <w:rPr>
          <w:rFonts w:hint="eastAsia" w:ascii="宋体" w:hAnsi="宋体"/>
          <w:color w:val="000000"/>
          <w:szCs w:val="21"/>
        </w:rPr>
        <w:t>我</w:t>
      </w:r>
      <w:r>
        <w:rPr>
          <w:rFonts w:ascii="宋体" w:hAnsi="宋体"/>
          <w:color w:val="000000"/>
          <w:szCs w:val="21"/>
        </w:rPr>
        <w:t>______</w:t>
      </w:r>
      <w:r>
        <w:rPr>
          <w:rFonts w:ascii="宋体" w:hAnsi="宋体"/>
          <w:color w:val="000000"/>
          <w:szCs w:val="21"/>
          <w:u w:val="single"/>
        </w:rPr>
        <w:t>_     _</w:t>
      </w:r>
      <w:r>
        <w:rPr>
          <w:rFonts w:ascii="宋体" w:hAnsi="宋体"/>
          <w:color w:val="000000"/>
          <w:szCs w:val="21"/>
        </w:rPr>
        <w:t>_</w:t>
      </w:r>
      <w:r>
        <w:rPr>
          <w:rFonts w:hint="eastAsia" w:ascii="宋体" w:hAnsi="宋体"/>
          <w:color w:val="000000"/>
          <w:szCs w:val="21"/>
        </w:rPr>
        <w:t>（姓名）系</w:t>
      </w:r>
      <w:r>
        <w:rPr>
          <w:rFonts w:ascii="宋体" w:hAnsi="宋体"/>
          <w:color w:val="000000"/>
          <w:szCs w:val="21"/>
        </w:rPr>
        <w:t>______</w:t>
      </w:r>
      <w:r>
        <w:rPr>
          <w:rFonts w:ascii="宋体" w:hAnsi="宋体"/>
          <w:color w:val="000000"/>
          <w:szCs w:val="21"/>
          <w:u w:val="single"/>
        </w:rPr>
        <w:t>_     _</w:t>
      </w:r>
      <w:r>
        <w:rPr>
          <w:rFonts w:ascii="宋体" w:hAnsi="宋体"/>
          <w:color w:val="000000"/>
          <w:szCs w:val="21"/>
        </w:rPr>
        <w:t>_</w:t>
      </w:r>
      <w:r>
        <w:rPr>
          <w:rFonts w:hint="eastAsia" w:ascii="宋体" w:hAnsi="宋体"/>
          <w:color w:val="000000"/>
          <w:szCs w:val="21"/>
        </w:rPr>
        <w:t>（投标人名称）的法定代表人，现授权委托本单位在职职工</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rPr>
        <w:t>（姓名）以我方的名义参加</w:t>
      </w:r>
      <w:r>
        <w:rPr>
          <w:rFonts w:ascii="宋体" w:hAnsi="宋体"/>
          <w:color w:val="000000"/>
          <w:szCs w:val="21"/>
          <w:u w:val="single"/>
        </w:rPr>
        <w:t xml:space="preserve">   </w:t>
      </w:r>
      <w:r>
        <w:rPr>
          <w:rFonts w:hint="eastAsia" w:ascii="宋体" w:hAnsi="宋体"/>
          <w:color w:val="000000"/>
          <w:szCs w:val="21"/>
          <w:u w:val="single"/>
        </w:rPr>
        <w:t>宁波市江北区孔浦街道宝马街、东盛街、华业街、建业街、三江超市（建业街）周围市容秩序辅助管理服务项目</w:t>
      </w:r>
      <w:r>
        <w:rPr>
          <w:rFonts w:hint="eastAsia" w:ascii="宋体" w:hAnsi="宋体"/>
          <w:color w:val="000000"/>
          <w:szCs w:val="21"/>
        </w:rPr>
        <w:t>的投标活动，并代表我方全权办理针对上述项目的投标、开标、评标、签约等具体事务和签署相关文件。</w:t>
      </w:r>
    </w:p>
    <w:p>
      <w:pPr>
        <w:snapToGrid w:val="0"/>
        <w:spacing w:before="120" w:beforeLines="50" w:after="50" w:line="440" w:lineRule="exact"/>
        <w:rPr>
          <w:rFonts w:ascii="宋体" w:hAnsi="宋体"/>
          <w:color w:val="000000"/>
          <w:szCs w:val="21"/>
        </w:rPr>
      </w:pPr>
      <w:r>
        <w:rPr>
          <w:rFonts w:ascii="宋体" w:hAnsi="宋体"/>
          <w:color w:val="000000"/>
          <w:szCs w:val="21"/>
        </w:rPr>
        <w:t xml:space="preserve">    </w:t>
      </w:r>
      <w:r>
        <w:rPr>
          <w:rFonts w:hint="eastAsia" w:ascii="宋体" w:hAnsi="宋体"/>
          <w:color w:val="000000"/>
          <w:szCs w:val="21"/>
        </w:rPr>
        <w:t>我方对被授权人的签名事项负全部责任。</w:t>
      </w:r>
    </w:p>
    <w:p>
      <w:pPr>
        <w:snapToGrid w:val="0"/>
        <w:spacing w:before="120" w:beforeLines="50" w:after="50" w:line="440" w:lineRule="exact"/>
        <w:ind w:firstLine="420" w:firstLineChars="200"/>
        <w:rPr>
          <w:rFonts w:ascii="宋体" w:hAnsi="宋体"/>
          <w:color w:val="000000"/>
          <w:szCs w:val="21"/>
        </w:rPr>
      </w:pPr>
      <w:r>
        <w:rPr>
          <w:rFonts w:hint="eastAsia" w:ascii="宋体" w:hAnsi="宋体"/>
          <w:color w:val="000000"/>
          <w:szCs w:val="21"/>
          <w:u w:val="single"/>
        </w:rPr>
        <w:t>在撤销授权的书面通知以前，本授权书一直有效。</w:t>
      </w:r>
      <w:r>
        <w:rPr>
          <w:rFonts w:hint="eastAsia" w:ascii="宋体" w:hAnsi="宋体"/>
          <w:color w:val="000000"/>
          <w:szCs w:val="21"/>
        </w:rPr>
        <w:t>被授权人在授权书有效期内签署的所有文件不因授权的撤销而失效。</w:t>
      </w:r>
    </w:p>
    <w:p>
      <w:pPr>
        <w:snapToGrid w:val="0"/>
        <w:spacing w:before="120" w:beforeLines="50" w:after="50" w:line="440" w:lineRule="exact"/>
        <w:ind w:firstLine="480"/>
        <w:rPr>
          <w:rFonts w:ascii="宋体" w:hAnsi="宋体"/>
          <w:color w:val="000000"/>
          <w:szCs w:val="21"/>
        </w:rPr>
      </w:pPr>
      <w:r>
        <w:rPr>
          <w:rFonts w:hint="eastAsia" w:ascii="宋体" w:hAnsi="宋体"/>
          <w:color w:val="000000"/>
          <w:szCs w:val="21"/>
        </w:rPr>
        <w:t>被授权人无转委托权，特此委托。</w:t>
      </w:r>
    </w:p>
    <w:p>
      <w:pPr>
        <w:snapToGrid w:val="0"/>
        <w:spacing w:before="120" w:beforeLines="50" w:after="50" w:line="440" w:lineRule="exact"/>
        <w:rPr>
          <w:rFonts w:hint="eastAsia" w:ascii="宋体" w:hAnsi="宋体"/>
          <w:color w:val="000000"/>
          <w:szCs w:val="21"/>
        </w:rPr>
      </w:pPr>
    </w:p>
    <w:p>
      <w:pPr>
        <w:snapToGrid w:val="0"/>
        <w:spacing w:before="120" w:beforeLines="50" w:after="50" w:line="440" w:lineRule="exact"/>
        <w:rPr>
          <w:rFonts w:hint="eastAsia" w:ascii="宋体" w:hAnsi="宋体"/>
          <w:color w:val="000000"/>
          <w:szCs w:val="21"/>
        </w:rPr>
      </w:pPr>
    </w:p>
    <w:p>
      <w:pPr>
        <w:snapToGrid w:val="0"/>
        <w:spacing w:before="120" w:beforeLines="50" w:after="50" w:line="440" w:lineRule="exact"/>
        <w:rPr>
          <w:rFonts w:ascii="宋体" w:hAnsi="宋体"/>
          <w:color w:val="000000"/>
          <w:szCs w:val="21"/>
          <w:u w:val="single"/>
        </w:rPr>
      </w:pPr>
      <w:r>
        <w:rPr>
          <w:rFonts w:hint="eastAsia" w:ascii="宋体" w:hAnsi="宋体"/>
          <w:color w:val="000000"/>
          <w:szCs w:val="21"/>
        </w:rPr>
        <w:t>被授权人签名：</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法定代表人签名：</w:t>
      </w:r>
      <w:r>
        <w:rPr>
          <w:rFonts w:ascii="宋体" w:hAnsi="宋体"/>
          <w:color w:val="000000"/>
          <w:szCs w:val="21"/>
          <w:u w:val="single"/>
        </w:rPr>
        <w:t xml:space="preserve">          </w:t>
      </w:r>
    </w:p>
    <w:p>
      <w:pPr>
        <w:snapToGrid w:val="0"/>
        <w:spacing w:before="120" w:beforeLines="50" w:after="50" w:line="440" w:lineRule="exact"/>
        <w:ind w:firstLine="840" w:firstLineChars="400"/>
        <w:rPr>
          <w:rFonts w:ascii="宋体" w:hAnsi="宋体"/>
          <w:color w:val="000000"/>
          <w:szCs w:val="21"/>
        </w:rPr>
      </w:pPr>
      <w:r>
        <w:rPr>
          <w:rFonts w:hint="eastAsia" w:ascii="宋体" w:hAnsi="宋体"/>
          <w:color w:val="000000"/>
          <w:szCs w:val="21"/>
        </w:rPr>
        <w:t>职务：</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职务：</w:t>
      </w:r>
      <w:r>
        <w:rPr>
          <w:rFonts w:ascii="宋体" w:hAnsi="宋体"/>
          <w:color w:val="000000"/>
          <w:szCs w:val="21"/>
          <w:u w:val="single"/>
        </w:rPr>
        <w:t xml:space="preserve">           </w:t>
      </w:r>
    </w:p>
    <w:p>
      <w:pPr>
        <w:snapToGrid w:val="0"/>
        <w:spacing w:before="120" w:beforeLines="50" w:after="50" w:line="440" w:lineRule="exact"/>
        <w:rPr>
          <w:rFonts w:ascii="宋体" w:hAnsi="宋体"/>
          <w:color w:val="000000"/>
          <w:szCs w:val="21"/>
        </w:rPr>
      </w:pPr>
      <w:r>
        <w:rPr>
          <w:rFonts w:hint="eastAsia" w:ascii="宋体" w:hAnsi="宋体"/>
          <w:color w:val="000000"/>
          <w:szCs w:val="21"/>
        </w:rPr>
        <w:t>附被授权人身份证复印件</w:t>
      </w:r>
      <w:r>
        <w:rPr>
          <w:rFonts w:ascii="宋体" w:hAnsi="宋体"/>
          <w:color w:val="000000"/>
          <w:szCs w:val="21"/>
        </w:rPr>
        <w:t xml:space="preserve"> </w:t>
      </w:r>
    </w:p>
    <w:p>
      <w:pPr>
        <w:snapToGrid w:val="0"/>
        <w:spacing w:before="120" w:beforeLines="50" w:after="50" w:line="440" w:lineRule="exact"/>
        <w:rPr>
          <w:rFonts w:hint="eastAsia" w:ascii="宋体" w:hAnsi="宋体"/>
          <w:color w:val="000000"/>
          <w:szCs w:val="21"/>
        </w:rPr>
      </w:pPr>
      <w:r>
        <w:rPr>
          <w:rFonts w:ascii="宋体" w:hAnsi="宋体"/>
          <w:color w:val="000000"/>
          <w:szCs w:val="21"/>
        </w:rPr>
        <w:t xml:space="preserve">                                     </w:t>
      </w:r>
      <w:r>
        <w:rPr>
          <w:rFonts w:hint="eastAsia" w:ascii="宋体" w:hAnsi="宋体"/>
          <w:color w:val="000000"/>
          <w:szCs w:val="21"/>
        </w:rPr>
        <w:t xml:space="preserve">                 </w:t>
      </w:r>
    </w:p>
    <w:p>
      <w:pPr>
        <w:snapToGrid w:val="0"/>
        <w:spacing w:before="120" w:beforeLines="50" w:after="50" w:line="440" w:lineRule="exact"/>
        <w:ind w:firstLine="5670" w:firstLineChars="2700"/>
        <w:rPr>
          <w:rFonts w:hint="eastAsia" w:ascii="宋体" w:hAnsi="宋体"/>
          <w:color w:val="000000"/>
          <w:szCs w:val="21"/>
        </w:rPr>
      </w:pPr>
    </w:p>
    <w:p>
      <w:pPr>
        <w:snapToGrid w:val="0"/>
        <w:spacing w:before="120" w:beforeLines="50" w:after="50" w:line="440" w:lineRule="exact"/>
        <w:ind w:firstLine="5670" w:firstLineChars="2700"/>
        <w:rPr>
          <w:rFonts w:ascii="宋体" w:hAnsi="宋体"/>
          <w:color w:val="000000"/>
          <w:szCs w:val="21"/>
        </w:rPr>
      </w:pPr>
      <w:r>
        <w:rPr>
          <w:rFonts w:hint="eastAsia" w:ascii="宋体" w:hAnsi="宋体"/>
          <w:color w:val="000000"/>
          <w:szCs w:val="21"/>
        </w:rPr>
        <w:t>投标人公章：</w:t>
      </w:r>
    </w:p>
    <w:p>
      <w:pPr>
        <w:snapToGrid w:val="0"/>
        <w:spacing w:before="120" w:beforeLines="50" w:after="50" w:line="440" w:lineRule="exact"/>
        <w:jc w:val="center"/>
        <w:rPr>
          <w:rFonts w:ascii="宋体" w:hAnsi="宋体"/>
          <w:color w:val="000000"/>
          <w:szCs w:val="21"/>
        </w:rPr>
      </w:pPr>
      <w:r>
        <w:rPr>
          <w:rFonts w:ascii="宋体" w:hAnsi="宋体"/>
          <w:color w:val="000000"/>
          <w:szCs w:val="21"/>
        </w:rPr>
        <w:t xml:space="preserve">                                        </w:t>
      </w:r>
      <w:r>
        <w:rPr>
          <w:rFonts w:hint="eastAsia" w:ascii="宋体" w:hAnsi="宋体"/>
          <w:color w:val="000000"/>
          <w:szCs w:val="21"/>
        </w:rPr>
        <w:t>年</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hint="eastAsia" w:ascii="宋体" w:hAnsi="宋体"/>
          <w:color w:val="000000"/>
          <w:szCs w:val="21"/>
        </w:rPr>
        <w:t>日</w:t>
      </w:r>
    </w:p>
    <w:p>
      <w:pPr>
        <w:pStyle w:val="15"/>
        <w:snapToGrid w:val="0"/>
        <w:spacing w:before="295" w:beforeLines="0" w:after="295" w:afterLines="0" w:line="440" w:lineRule="exact"/>
        <w:ind w:left="902" w:hanging="482"/>
        <w:rPr>
          <w:rFonts w:hAnsi="宋体"/>
          <w:b/>
          <w:color w:val="000000"/>
        </w:rPr>
      </w:pPr>
    </w:p>
    <w:p>
      <w:pPr>
        <w:pStyle w:val="15"/>
        <w:snapToGrid w:val="0"/>
        <w:spacing w:before="295" w:beforeLines="0" w:after="295" w:afterLines="0" w:line="440" w:lineRule="exact"/>
        <w:ind w:left="902" w:hanging="482"/>
        <w:rPr>
          <w:rFonts w:hAnsi="宋体"/>
          <w:b/>
          <w:color w:val="000000"/>
        </w:rPr>
      </w:pPr>
    </w:p>
    <w:p>
      <w:pPr>
        <w:snapToGrid w:val="0"/>
        <w:spacing w:before="120" w:beforeLines="50" w:after="50" w:line="440" w:lineRule="exact"/>
        <w:jc w:val="center"/>
        <w:rPr>
          <w:rFonts w:hint="eastAsia" w:ascii="宋体" w:hAnsi="宋体"/>
          <w:b/>
          <w:color w:val="000000"/>
          <w:sz w:val="24"/>
          <w:lang w:eastAsia="zh-CN"/>
        </w:rPr>
      </w:pPr>
      <w:r>
        <w:rPr>
          <w:rFonts w:hint="eastAsia" w:ascii="宋体" w:hAnsi="宋体"/>
          <w:b/>
          <w:color w:val="000000"/>
          <w:sz w:val="24"/>
          <w:lang w:eastAsia="zh-CN"/>
        </w:rPr>
        <w:t>（</w:t>
      </w:r>
      <w:r>
        <w:rPr>
          <w:rFonts w:hint="eastAsia" w:ascii="宋体" w:hAnsi="宋体"/>
          <w:b/>
          <w:color w:val="000000"/>
          <w:sz w:val="24"/>
          <w:lang w:val="en-US" w:eastAsia="zh-CN"/>
        </w:rPr>
        <w:t>5</w:t>
      </w:r>
      <w:r>
        <w:rPr>
          <w:rFonts w:hint="eastAsia" w:ascii="宋体" w:hAnsi="宋体"/>
          <w:b/>
          <w:color w:val="000000"/>
          <w:sz w:val="24"/>
          <w:lang w:eastAsia="zh-CN"/>
        </w:rPr>
        <w:t>）服务承诺</w:t>
      </w:r>
    </w:p>
    <w:p>
      <w:pPr>
        <w:spacing w:line="400" w:lineRule="exact"/>
        <w:ind w:left="540" w:firstLine="30"/>
        <w:jc w:val="center"/>
        <w:rPr>
          <w:rFonts w:hint="eastAsia" w:ascii="宋体" w:hAnsi="宋体" w:cs="宋体"/>
          <w:b/>
          <w:szCs w:val="21"/>
        </w:rPr>
      </w:pPr>
    </w:p>
    <w:p>
      <w:pPr>
        <w:spacing w:line="400" w:lineRule="exact"/>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招标人        </w:t>
      </w:r>
    </w:p>
    <w:p>
      <w:pPr>
        <w:spacing w:line="400" w:lineRule="exact"/>
        <w:ind w:firstLine="570"/>
        <w:rPr>
          <w:rFonts w:hint="eastAsia" w:ascii="宋体" w:hAnsi="宋体" w:cs="宋体"/>
          <w:szCs w:val="21"/>
        </w:rPr>
      </w:pPr>
      <w:r>
        <w:rPr>
          <w:rFonts w:hint="eastAsia" w:ascii="宋体" w:hAnsi="宋体" w:cs="宋体"/>
          <w:szCs w:val="21"/>
        </w:rPr>
        <w:t>关于贵方组织的</w:t>
      </w:r>
      <w:r>
        <w:rPr>
          <w:rFonts w:hint="eastAsia" w:ascii="宋体" w:hAnsi="宋体" w:cs="宋体"/>
          <w:szCs w:val="21"/>
          <w:u w:val="single"/>
        </w:rPr>
        <w:t xml:space="preserve">                          </w:t>
      </w:r>
      <w:r>
        <w:rPr>
          <w:rFonts w:hint="eastAsia" w:ascii="宋体" w:hAnsi="宋体" w:cs="宋体"/>
          <w:szCs w:val="21"/>
        </w:rPr>
        <w:t>项目（招标编号：</w:t>
      </w:r>
      <w:r>
        <w:rPr>
          <w:rFonts w:hint="eastAsia" w:ascii="宋体" w:hAnsi="宋体" w:cs="宋体"/>
          <w:szCs w:val="21"/>
          <w:u w:val="single"/>
        </w:rPr>
        <w:t xml:space="preserve">         </w:t>
      </w:r>
      <w:r>
        <w:rPr>
          <w:rFonts w:hint="eastAsia" w:ascii="宋体" w:hAnsi="宋体" w:cs="宋体"/>
          <w:szCs w:val="21"/>
        </w:rPr>
        <w:t>）招标活动，现承诺如下：</w:t>
      </w:r>
    </w:p>
    <w:p>
      <w:pPr>
        <w:spacing w:line="400" w:lineRule="exact"/>
        <w:ind w:firstLine="570"/>
        <w:rPr>
          <w:rFonts w:hint="eastAsia" w:ascii="宋体" w:hAnsi="宋体" w:cs="宋体"/>
          <w:szCs w:val="21"/>
        </w:rPr>
      </w:pPr>
      <w:r>
        <w:rPr>
          <w:rFonts w:hint="eastAsia" w:ascii="宋体" w:hAnsi="宋体" w:cs="宋体"/>
          <w:szCs w:val="21"/>
        </w:rPr>
        <w:t>本次招标所提供的服务完全满足招标文件第二章采购需求提出的所有要求。</w:t>
      </w:r>
    </w:p>
    <w:p>
      <w:pPr>
        <w:spacing w:line="400" w:lineRule="exact"/>
        <w:ind w:firstLine="570"/>
        <w:rPr>
          <w:rFonts w:hint="eastAsia" w:ascii="宋体" w:hAnsi="宋体" w:cs="宋体"/>
          <w:szCs w:val="21"/>
        </w:rPr>
      </w:pPr>
      <w:r>
        <w:rPr>
          <w:rFonts w:hint="eastAsia" w:ascii="宋体" w:hAnsi="宋体" w:cs="宋体"/>
          <w:szCs w:val="21"/>
        </w:rPr>
        <w:t>特此承诺。</w:t>
      </w:r>
    </w:p>
    <w:p>
      <w:pPr>
        <w:spacing w:line="400" w:lineRule="exact"/>
        <w:ind w:firstLine="570"/>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rPr>
          <w:rFonts w:hint="eastAsia" w:ascii="宋体" w:hAnsi="宋体" w:cs="宋体"/>
          <w:szCs w:val="21"/>
          <w:u w:val="single"/>
        </w:rPr>
      </w:pPr>
      <w:r>
        <w:rPr>
          <w:rFonts w:hint="eastAsia" w:ascii="宋体" w:hAnsi="宋体" w:cs="宋体"/>
          <w:szCs w:val="21"/>
        </w:rPr>
        <w:t>投标人全称：</w:t>
      </w:r>
      <w:r>
        <w:rPr>
          <w:rFonts w:hint="eastAsia" w:ascii="宋体" w:hAnsi="宋体" w:cs="宋体"/>
          <w:szCs w:val="21"/>
          <w:u w:val="single"/>
        </w:rPr>
        <w:t xml:space="preserve">              （公章）      </w:t>
      </w:r>
    </w:p>
    <w:p>
      <w:pPr>
        <w:spacing w:line="400" w:lineRule="exact"/>
        <w:rPr>
          <w:rFonts w:hint="eastAsia" w:ascii="宋体" w:hAnsi="宋体" w:cs="宋体"/>
          <w:sz w:val="24"/>
        </w:rPr>
      </w:pPr>
      <w:r>
        <w:rPr>
          <w:rFonts w:hint="eastAsia" w:ascii="宋体" w:hAnsi="宋体" w:cs="宋体"/>
        </w:rPr>
        <w:t>法定代表人（或授权代表）签字</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 xml:space="preserve"> </w:t>
      </w:r>
    </w:p>
    <w:p>
      <w:pPr>
        <w:spacing w:line="400" w:lineRule="exact"/>
        <w:rPr>
          <w:rFonts w:hint="eastAsia" w:ascii="宋体" w:hAnsi="宋体" w:cs="宋体"/>
          <w:b/>
          <w:sz w:val="24"/>
        </w:rPr>
      </w:pPr>
      <w:r>
        <w:rPr>
          <w:rFonts w:hint="eastAsia" w:ascii="宋体" w:hAnsi="宋体" w:cs="宋体"/>
        </w:rPr>
        <w:t>日期：</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b/>
          <w:sz w:val="24"/>
        </w:rPr>
        <w:t xml:space="preserve">  </w:t>
      </w:r>
    </w:p>
    <w:p>
      <w:pPr>
        <w:pStyle w:val="15"/>
        <w:snapToGrid w:val="0"/>
        <w:spacing w:before="295" w:beforeLines="0" w:after="295" w:afterLines="0" w:line="440" w:lineRule="exact"/>
        <w:ind w:left="902" w:hanging="482"/>
        <w:rPr>
          <w:rFonts w:hAnsi="宋体"/>
          <w:b/>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overflowPunct w:val="0"/>
        <w:adjustRightInd w:val="0"/>
        <w:jc w:val="right"/>
        <w:textAlignment w:val="baseline"/>
        <w:rPr>
          <w:rFonts w:ascii="宋体" w:hAnsi="宋体"/>
          <w:color w:val="000000"/>
          <w:sz w:val="24"/>
        </w:rPr>
      </w:pPr>
    </w:p>
    <w:p>
      <w:pPr>
        <w:overflowPunct w:val="0"/>
        <w:adjustRightInd w:val="0"/>
        <w:jc w:val="right"/>
        <w:textAlignment w:val="baseline"/>
        <w:rPr>
          <w:rFonts w:hint="eastAsia" w:ascii="宋体" w:hAnsi="宋体"/>
          <w:color w:val="000000"/>
          <w:sz w:val="24"/>
        </w:rPr>
      </w:pPr>
    </w:p>
    <w:p>
      <w:pPr>
        <w:snapToGrid w:val="0"/>
        <w:spacing w:before="120" w:beforeLines="50" w:after="50" w:line="440" w:lineRule="exact"/>
        <w:jc w:val="center"/>
        <w:rPr>
          <w:rFonts w:hint="eastAsia" w:ascii="宋体" w:hAnsi="宋体"/>
          <w:b/>
          <w:color w:val="000000"/>
          <w:sz w:val="24"/>
          <w:lang w:eastAsia="zh-CN"/>
        </w:rPr>
      </w:pPr>
      <w:r>
        <w:rPr>
          <w:rFonts w:hint="eastAsia" w:ascii="宋体" w:hAnsi="宋体"/>
          <w:b/>
          <w:color w:val="000000"/>
          <w:sz w:val="24"/>
          <w:lang w:eastAsia="zh-CN"/>
        </w:rPr>
        <w:t>（</w:t>
      </w:r>
      <w:r>
        <w:rPr>
          <w:rFonts w:hint="eastAsia" w:ascii="宋体" w:hAnsi="宋体"/>
          <w:b/>
          <w:color w:val="000000"/>
          <w:sz w:val="24"/>
          <w:lang w:val="en-US" w:eastAsia="zh-CN"/>
        </w:rPr>
        <w:t>6</w:t>
      </w:r>
      <w:r>
        <w:rPr>
          <w:rFonts w:hint="eastAsia" w:ascii="宋体" w:hAnsi="宋体"/>
          <w:b/>
          <w:color w:val="000000"/>
          <w:sz w:val="24"/>
          <w:lang w:eastAsia="zh-CN"/>
        </w:rPr>
        <w:t>）技术商务响应表</w:t>
      </w:r>
    </w:p>
    <w:p>
      <w:pPr>
        <w:snapToGrid w:val="0"/>
        <w:spacing w:before="50" w:after="50" w:line="360" w:lineRule="auto"/>
        <w:rPr>
          <w:rFonts w:hint="eastAsia" w:ascii="宋体" w:hAnsi="宋体"/>
          <w:color w:val="000000"/>
          <w:szCs w:val="21"/>
          <w:u w:val="single"/>
        </w:rPr>
      </w:pPr>
      <w:r>
        <w:rPr>
          <w:rFonts w:hint="eastAsia" w:ascii="宋体" w:hAnsi="宋体"/>
          <w:color w:val="000000"/>
          <w:szCs w:val="21"/>
        </w:rPr>
        <w:t>招标编号：</w:t>
      </w:r>
      <w:r>
        <w:rPr>
          <w:rFonts w:ascii="宋体" w:hAnsi="宋体"/>
          <w:color w:val="000000"/>
          <w:szCs w:val="21"/>
          <w:u w:val="single"/>
        </w:rPr>
        <w:t xml:space="preserve">  </w:t>
      </w:r>
      <w:r>
        <w:rPr>
          <w:rFonts w:hint="eastAsia" w:ascii="宋体" w:hAnsi="宋体"/>
          <w:color w:val="000000"/>
          <w:szCs w:val="21"/>
          <w:u w:val="single"/>
        </w:rPr>
        <w:t xml:space="preserve">              </w:t>
      </w:r>
    </w:p>
    <w:p>
      <w:pPr>
        <w:snapToGrid w:val="0"/>
        <w:spacing w:before="50" w:after="50" w:line="360" w:lineRule="auto"/>
        <w:rPr>
          <w:rFonts w:hint="eastAsia" w:ascii="宋体" w:hAnsi="宋体"/>
          <w:color w:val="000000"/>
          <w:szCs w:val="21"/>
          <w:u w:val="single"/>
        </w:rPr>
      </w:pPr>
      <w:r>
        <w:rPr>
          <w:rFonts w:hint="eastAsia" w:ascii="宋体" w:hAnsi="宋体"/>
          <w:color w:val="000000"/>
          <w:szCs w:val="21"/>
        </w:rPr>
        <w:t>项目名称：</w:t>
      </w:r>
      <w:r>
        <w:rPr>
          <w:rFonts w:hint="eastAsia" w:ascii="宋体" w:hAnsi="宋体"/>
          <w:color w:val="000000"/>
          <w:szCs w:val="21"/>
          <w:u w:val="single"/>
        </w:rPr>
        <w:t xml:space="preserve">                       </w:t>
      </w:r>
    </w:p>
    <w:p>
      <w:pPr>
        <w:spacing w:line="360" w:lineRule="auto"/>
        <w:rPr>
          <w:rFonts w:hint="eastAsia" w:ascii="宋体" w:hAnsi="宋体"/>
          <w:b/>
          <w:color w:val="000000"/>
          <w:szCs w:val="21"/>
        </w:rPr>
      </w:pPr>
      <w:r>
        <w:rPr>
          <w:rFonts w:hint="eastAsia" w:ascii="宋体" w:hAnsi="宋体"/>
          <w:color w:val="000000"/>
          <w:szCs w:val="21"/>
        </w:rPr>
        <w:t>投标人名称：</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45"/>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93" w:hRule="atLeast"/>
        </w:trPr>
        <w:tc>
          <w:tcPr>
            <w:tcW w:w="828" w:type="dxa"/>
            <w:vMerge w:val="restart"/>
            <w:noWrap w:val="0"/>
            <w:vAlign w:val="center"/>
          </w:tcPr>
          <w:p>
            <w:pPr>
              <w:snapToGrid w:val="0"/>
              <w:spacing w:before="120" w:beforeLines="50" w:after="50" w:line="360" w:lineRule="auto"/>
              <w:jc w:val="center"/>
              <w:rPr>
                <w:rFonts w:hint="eastAsia" w:ascii="宋体" w:hAnsi="宋体"/>
                <w:b/>
                <w:color w:val="000000"/>
                <w:szCs w:val="21"/>
              </w:rPr>
            </w:pPr>
            <w:r>
              <w:rPr>
                <w:rFonts w:hint="eastAsia" w:ascii="宋体" w:hAnsi="宋体"/>
                <w:b/>
                <w:color w:val="000000"/>
                <w:szCs w:val="21"/>
              </w:rPr>
              <w:t>序号</w:t>
            </w:r>
          </w:p>
        </w:tc>
        <w:tc>
          <w:tcPr>
            <w:tcW w:w="3645" w:type="dxa"/>
            <w:noWrap w:val="0"/>
            <w:vAlign w:val="center"/>
          </w:tcPr>
          <w:p>
            <w:pPr>
              <w:snapToGrid w:val="0"/>
              <w:spacing w:before="120" w:beforeLines="50" w:after="50" w:line="360" w:lineRule="auto"/>
              <w:jc w:val="center"/>
              <w:rPr>
                <w:rFonts w:hint="eastAsia" w:ascii="宋体" w:hAnsi="宋体"/>
                <w:b/>
                <w:color w:val="000000"/>
                <w:szCs w:val="21"/>
              </w:rPr>
            </w:pPr>
            <w:r>
              <w:rPr>
                <w:rFonts w:hint="eastAsia" w:ascii="宋体" w:hAnsi="宋体"/>
                <w:b/>
                <w:color w:val="000000"/>
                <w:szCs w:val="21"/>
              </w:rPr>
              <w:t>招标文件要求</w:t>
            </w:r>
          </w:p>
        </w:tc>
        <w:tc>
          <w:tcPr>
            <w:tcW w:w="2237" w:type="dxa"/>
            <w:noWrap w:val="0"/>
            <w:vAlign w:val="center"/>
          </w:tcPr>
          <w:p>
            <w:pPr>
              <w:snapToGrid w:val="0"/>
              <w:spacing w:before="120" w:beforeLines="50" w:after="50" w:line="360" w:lineRule="auto"/>
              <w:jc w:val="center"/>
              <w:rPr>
                <w:rFonts w:hint="eastAsia" w:ascii="宋体" w:hAnsi="宋体"/>
                <w:b/>
                <w:color w:val="000000"/>
                <w:szCs w:val="21"/>
              </w:rPr>
            </w:pPr>
            <w:r>
              <w:rPr>
                <w:rFonts w:hint="eastAsia" w:ascii="宋体" w:hAnsi="宋体"/>
                <w:b/>
                <w:color w:val="000000"/>
                <w:szCs w:val="21"/>
              </w:rPr>
              <w:t>投标文件内容</w:t>
            </w:r>
          </w:p>
        </w:tc>
        <w:tc>
          <w:tcPr>
            <w:tcW w:w="2237" w:type="dxa"/>
            <w:vMerge w:val="restart"/>
            <w:noWrap w:val="0"/>
            <w:vAlign w:val="center"/>
          </w:tcPr>
          <w:p>
            <w:pPr>
              <w:snapToGrid w:val="0"/>
              <w:spacing w:before="120" w:beforeLines="50" w:after="50" w:line="360" w:lineRule="auto"/>
              <w:jc w:val="center"/>
              <w:rPr>
                <w:rFonts w:hint="eastAsia" w:ascii="宋体" w:hAnsi="宋体"/>
                <w:b/>
                <w:color w:val="000000"/>
                <w:szCs w:val="21"/>
              </w:rPr>
            </w:pPr>
            <w:r>
              <w:rPr>
                <w:rFonts w:hint="eastAsia" w:ascii="宋体" w:hAnsi="宋体"/>
                <w:b/>
                <w:color w:val="000000"/>
                <w:szCs w:val="21"/>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92" w:hRule="atLeast"/>
        </w:trPr>
        <w:tc>
          <w:tcPr>
            <w:tcW w:w="828" w:type="dxa"/>
            <w:vMerge w:val="continue"/>
            <w:noWrap w:val="0"/>
            <w:vAlign w:val="center"/>
          </w:tcPr>
          <w:p>
            <w:pPr>
              <w:snapToGrid w:val="0"/>
              <w:spacing w:before="120" w:beforeLines="50" w:after="50" w:line="360" w:lineRule="auto"/>
              <w:jc w:val="center"/>
              <w:rPr>
                <w:rFonts w:hint="eastAsia" w:ascii="宋体" w:hAnsi="宋体"/>
                <w:b/>
                <w:color w:val="000000"/>
                <w:szCs w:val="21"/>
              </w:rPr>
            </w:pPr>
          </w:p>
        </w:tc>
        <w:tc>
          <w:tcPr>
            <w:tcW w:w="3645" w:type="dxa"/>
            <w:noWrap w:val="0"/>
            <w:vAlign w:val="center"/>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简要内容</w:t>
            </w:r>
          </w:p>
        </w:tc>
        <w:tc>
          <w:tcPr>
            <w:tcW w:w="2237" w:type="dxa"/>
            <w:noWrap w:val="0"/>
            <w:vAlign w:val="center"/>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实际偏离的具体内容</w:t>
            </w:r>
          </w:p>
        </w:tc>
        <w:tc>
          <w:tcPr>
            <w:tcW w:w="2237" w:type="dxa"/>
            <w:vMerge w:val="continue"/>
            <w:noWrap w:val="0"/>
            <w:vAlign w:val="center"/>
          </w:tcPr>
          <w:p>
            <w:pPr>
              <w:snapToGrid w:val="0"/>
              <w:spacing w:before="120" w:beforeLines="50" w:after="50" w:line="360" w:lineRule="auto"/>
              <w:jc w:val="center"/>
              <w:rPr>
                <w:rFonts w:hint="eastAsia"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center"/>
          </w:tcPr>
          <w:p>
            <w:pPr>
              <w:snapToGrid w:val="0"/>
              <w:spacing w:before="120" w:beforeLines="50" w:after="50" w:line="360" w:lineRule="auto"/>
              <w:jc w:val="center"/>
              <w:rPr>
                <w:rFonts w:ascii="宋体" w:hAnsi="宋体"/>
                <w:b/>
                <w:color w:val="000000"/>
                <w:szCs w:val="21"/>
              </w:rPr>
            </w:pPr>
          </w:p>
        </w:tc>
        <w:tc>
          <w:tcPr>
            <w:tcW w:w="3645" w:type="dxa"/>
            <w:noWrap w:val="0"/>
            <w:vAlign w:val="center"/>
          </w:tcPr>
          <w:p>
            <w:pPr>
              <w:snapToGrid w:val="0"/>
              <w:spacing w:before="120" w:beforeLines="50" w:after="50" w:line="360" w:lineRule="auto"/>
              <w:jc w:val="center"/>
              <w:rPr>
                <w:rFonts w:ascii="宋体" w:hAnsi="宋体"/>
                <w:b/>
                <w:color w:val="000000"/>
                <w:szCs w:val="21"/>
              </w:rPr>
            </w:pPr>
          </w:p>
        </w:tc>
        <w:tc>
          <w:tcPr>
            <w:tcW w:w="2237" w:type="dxa"/>
            <w:noWrap w:val="0"/>
            <w:vAlign w:val="center"/>
          </w:tcPr>
          <w:p>
            <w:pPr>
              <w:snapToGrid w:val="0"/>
              <w:spacing w:before="120" w:beforeLines="50" w:after="50" w:line="360" w:lineRule="auto"/>
              <w:jc w:val="center"/>
              <w:rPr>
                <w:rFonts w:ascii="宋体" w:hAnsi="宋体"/>
                <w:b/>
                <w:color w:val="000000"/>
                <w:szCs w:val="21"/>
              </w:rPr>
            </w:pPr>
          </w:p>
        </w:tc>
        <w:tc>
          <w:tcPr>
            <w:tcW w:w="2237" w:type="dxa"/>
            <w:noWrap w:val="0"/>
            <w:vAlign w:val="center"/>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28" w:type="dxa"/>
            <w:noWrap w:val="0"/>
            <w:vAlign w:val="top"/>
          </w:tcPr>
          <w:p>
            <w:pPr>
              <w:snapToGrid w:val="0"/>
              <w:spacing w:before="120" w:beforeLines="50" w:after="50" w:line="360" w:lineRule="auto"/>
              <w:jc w:val="center"/>
              <w:rPr>
                <w:rFonts w:ascii="宋体" w:hAnsi="宋体"/>
                <w:b/>
                <w:color w:val="000000"/>
                <w:szCs w:val="21"/>
              </w:rPr>
            </w:pPr>
          </w:p>
        </w:tc>
        <w:tc>
          <w:tcPr>
            <w:tcW w:w="3645"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c>
          <w:tcPr>
            <w:tcW w:w="2237" w:type="dxa"/>
            <w:noWrap w:val="0"/>
            <w:vAlign w:val="top"/>
          </w:tcPr>
          <w:p>
            <w:pPr>
              <w:snapToGrid w:val="0"/>
              <w:spacing w:before="120" w:beforeLines="50" w:after="50" w:line="360" w:lineRule="auto"/>
              <w:jc w:val="center"/>
              <w:rPr>
                <w:rFonts w:ascii="宋体" w:hAnsi="宋体"/>
                <w:b/>
                <w:color w:val="000000"/>
                <w:szCs w:val="21"/>
              </w:rPr>
            </w:pPr>
          </w:p>
        </w:tc>
      </w:tr>
    </w:tbl>
    <w:p>
      <w:pPr>
        <w:spacing w:after="120"/>
        <w:rPr>
          <w:rFonts w:hint="eastAsia" w:ascii="宋体" w:hAnsi="宋体" w:cs="仿宋_GB2312"/>
          <w:b/>
          <w:color w:val="000000"/>
          <w:szCs w:val="21"/>
          <w:lang w:val="en-GB"/>
        </w:rPr>
      </w:pPr>
      <w:r>
        <w:rPr>
          <w:rFonts w:hint="eastAsia" w:ascii="宋体" w:hAnsi="宋体" w:cs="宋体"/>
          <w:color w:val="000000"/>
          <w:kern w:val="0"/>
          <w:szCs w:val="21"/>
        </w:rPr>
        <w:t>注</w:t>
      </w:r>
      <w:r>
        <w:rPr>
          <w:rFonts w:ascii="宋体" w:hAnsi="宋体" w:cs="宋体"/>
          <w:color w:val="000000"/>
          <w:kern w:val="0"/>
          <w:szCs w:val="21"/>
        </w:rPr>
        <w:t>：</w:t>
      </w:r>
      <w:r>
        <w:rPr>
          <w:rFonts w:hint="eastAsia" w:ascii="宋体" w:hAnsi="宋体" w:cs="仿宋_GB2312"/>
          <w:b/>
          <w:color w:val="000000"/>
          <w:szCs w:val="21"/>
          <w:lang w:val="en-GB"/>
        </w:rPr>
        <w:t>针对招标文件“第二章  招标需求</w:t>
      </w:r>
      <w:r>
        <w:rPr>
          <w:rFonts w:ascii="宋体" w:hAnsi="宋体" w:cs="仿宋_GB2312"/>
          <w:b/>
          <w:color w:val="000000"/>
          <w:szCs w:val="21"/>
          <w:lang w:val="en-GB"/>
        </w:rPr>
        <w:t>”，</w:t>
      </w:r>
      <w:r>
        <w:rPr>
          <w:rFonts w:hint="eastAsia" w:ascii="宋体" w:hAnsi="宋体" w:cs="仿宋_GB2312"/>
          <w:b/>
          <w:color w:val="000000"/>
          <w:szCs w:val="21"/>
          <w:lang w:val="en-GB"/>
        </w:rPr>
        <w:t>投标人须</w:t>
      </w:r>
      <w:r>
        <w:rPr>
          <w:rFonts w:ascii="宋体" w:hAnsi="宋体" w:cs="仿宋_GB2312"/>
          <w:b/>
          <w:color w:val="000000"/>
          <w:szCs w:val="21"/>
          <w:lang w:val="en-GB"/>
        </w:rPr>
        <w:t>全部响应</w:t>
      </w:r>
      <w:r>
        <w:rPr>
          <w:rFonts w:hint="eastAsia" w:ascii="宋体" w:hAnsi="宋体" w:cs="仿宋_GB2312"/>
          <w:b/>
          <w:color w:val="000000"/>
          <w:szCs w:val="21"/>
          <w:lang w:val="en-GB"/>
        </w:rPr>
        <w:t>，否则</w:t>
      </w:r>
      <w:r>
        <w:rPr>
          <w:rFonts w:ascii="宋体" w:hAnsi="宋体" w:cs="仿宋_GB2312"/>
          <w:b/>
          <w:color w:val="000000"/>
          <w:szCs w:val="21"/>
          <w:lang w:val="en-GB"/>
        </w:rPr>
        <w:t>作无效标处理。如有</w:t>
      </w:r>
      <w:r>
        <w:rPr>
          <w:rFonts w:hint="eastAsia" w:ascii="宋体" w:hAnsi="宋体" w:cs="仿宋_GB2312"/>
          <w:b/>
          <w:color w:val="000000"/>
          <w:szCs w:val="21"/>
          <w:lang w:val="en-GB"/>
        </w:rPr>
        <w:t>正</w:t>
      </w:r>
      <w:r>
        <w:rPr>
          <w:rFonts w:ascii="宋体" w:hAnsi="宋体" w:cs="仿宋_GB2312"/>
          <w:b/>
          <w:color w:val="000000"/>
          <w:szCs w:val="21"/>
          <w:lang w:val="en-GB"/>
        </w:rPr>
        <w:t>偏离，请填写具体解释。如</w:t>
      </w:r>
      <w:r>
        <w:rPr>
          <w:rFonts w:hint="eastAsia" w:ascii="宋体" w:hAnsi="宋体" w:cs="仿宋_GB2312"/>
          <w:b/>
          <w:color w:val="000000"/>
          <w:szCs w:val="21"/>
          <w:lang w:val="en-GB"/>
        </w:rPr>
        <w:t>未偏离，在“偏离情况”</w:t>
      </w:r>
      <w:r>
        <w:rPr>
          <w:rFonts w:ascii="宋体" w:hAnsi="宋体" w:cs="仿宋_GB2312"/>
          <w:b/>
          <w:color w:val="000000"/>
          <w:szCs w:val="21"/>
          <w:lang w:val="en-GB"/>
        </w:rPr>
        <w:t>处填写</w:t>
      </w:r>
      <w:r>
        <w:rPr>
          <w:rFonts w:hint="eastAsia" w:ascii="宋体" w:hAnsi="宋体" w:cs="仿宋_GB2312"/>
          <w:b/>
          <w:color w:val="000000"/>
          <w:szCs w:val="21"/>
          <w:lang w:val="en-GB"/>
        </w:rPr>
        <w:t>“</w:t>
      </w:r>
      <w:r>
        <w:rPr>
          <w:rFonts w:ascii="宋体" w:hAnsi="宋体" w:cs="仿宋_GB2312"/>
          <w:b/>
          <w:color w:val="000000"/>
          <w:szCs w:val="21"/>
          <w:lang w:val="en-GB"/>
        </w:rPr>
        <w:t>全部响应”</w:t>
      </w:r>
      <w:r>
        <w:rPr>
          <w:rFonts w:hint="eastAsia" w:ascii="宋体" w:hAnsi="宋体" w:cs="仿宋_GB2312"/>
          <w:b/>
          <w:color w:val="000000"/>
          <w:szCs w:val="21"/>
          <w:lang w:val="en-GB"/>
        </w:rPr>
        <w:t>即可</w:t>
      </w:r>
      <w:r>
        <w:rPr>
          <w:rFonts w:ascii="宋体" w:hAnsi="宋体" w:cs="仿宋_GB2312"/>
          <w:b/>
          <w:color w:val="000000"/>
          <w:szCs w:val="21"/>
          <w:lang w:val="en-GB"/>
        </w:rPr>
        <w:t>。</w:t>
      </w:r>
    </w:p>
    <w:p>
      <w:pPr>
        <w:spacing w:after="120"/>
        <w:jc w:val="left"/>
        <w:rPr>
          <w:rFonts w:hint="eastAsia" w:ascii="宋体" w:hAnsi="宋体" w:cs="仿宋_GB2312"/>
          <w:b/>
          <w:color w:val="000000"/>
          <w:szCs w:val="21"/>
          <w:lang w:val="en-GB"/>
        </w:rPr>
      </w:pPr>
    </w:p>
    <w:p>
      <w:pPr>
        <w:spacing w:line="400" w:lineRule="exact"/>
        <w:rPr>
          <w:rFonts w:hint="eastAsia" w:ascii="宋体" w:hAnsi="宋体" w:cs="宋体"/>
          <w:szCs w:val="21"/>
          <w:u w:val="single"/>
        </w:rPr>
      </w:pPr>
      <w:r>
        <w:rPr>
          <w:rFonts w:hint="eastAsia" w:ascii="宋体" w:hAnsi="宋体" w:cs="宋体"/>
          <w:szCs w:val="21"/>
        </w:rPr>
        <w:t>投标人全称：</w:t>
      </w:r>
      <w:r>
        <w:rPr>
          <w:rFonts w:hint="eastAsia" w:ascii="宋体" w:hAnsi="宋体" w:cs="宋体"/>
          <w:szCs w:val="21"/>
          <w:u w:val="single"/>
        </w:rPr>
        <w:t xml:space="preserve">              （公章）      </w:t>
      </w:r>
    </w:p>
    <w:p>
      <w:pPr>
        <w:spacing w:line="400" w:lineRule="exact"/>
        <w:rPr>
          <w:rFonts w:hint="eastAsia" w:ascii="宋体" w:hAnsi="宋体" w:cs="宋体"/>
          <w:sz w:val="24"/>
        </w:rPr>
      </w:pPr>
      <w:r>
        <w:rPr>
          <w:rFonts w:hint="eastAsia" w:ascii="宋体" w:hAnsi="宋体" w:cs="宋体"/>
        </w:rPr>
        <w:t>法定代表人（或授权代表）签字</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 xml:space="preserve"> </w:t>
      </w:r>
    </w:p>
    <w:p>
      <w:pPr>
        <w:spacing w:line="400" w:lineRule="exact"/>
        <w:rPr>
          <w:rFonts w:hint="eastAsia" w:ascii="宋体" w:hAnsi="宋体" w:cs="宋体"/>
          <w:b/>
          <w:sz w:val="24"/>
        </w:rPr>
      </w:pPr>
      <w:r>
        <w:rPr>
          <w:rFonts w:hint="eastAsia" w:ascii="宋体" w:hAnsi="宋体" w:cs="宋体"/>
        </w:rPr>
        <w:t>日期：</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b/>
          <w:sz w:val="24"/>
        </w:rPr>
        <w:t xml:space="preserve">  </w:t>
      </w: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numPr>
          <w:ilvl w:val="0"/>
          <w:numId w:val="10"/>
        </w:numPr>
        <w:snapToGrid w:val="0"/>
        <w:spacing w:before="120" w:beforeLines="50" w:after="50" w:line="440" w:lineRule="exact"/>
        <w:jc w:val="center"/>
        <w:rPr>
          <w:rFonts w:hint="eastAsia" w:ascii="宋体" w:hAnsi="宋体"/>
          <w:b/>
          <w:color w:val="000000"/>
          <w:sz w:val="24"/>
          <w:lang w:eastAsia="zh-CN"/>
        </w:rPr>
      </w:pPr>
      <w:r>
        <w:rPr>
          <w:rFonts w:hint="eastAsia" w:ascii="宋体" w:hAnsi="宋体"/>
          <w:b/>
          <w:color w:val="000000"/>
          <w:sz w:val="24"/>
          <w:lang w:eastAsia="zh-CN"/>
        </w:rPr>
        <w:t>项目实施方案</w:t>
      </w:r>
    </w:p>
    <w:p>
      <w:pPr>
        <w:numPr>
          <w:ilvl w:val="0"/>
          <w:numId w:val="0"/>
        </w:numPr>
        <w:snapToGrid w:val="0"/>
        <w:spacing w:before="120" w:beforeLines="50" w:after="50" w:line="440" w:lineRule="exact"/>
        <w:ind w:firstLine="482" w:firstLineChars="200"/>
        <w:jc w:val="both"/>
        <w:rPr>
          <w:rFonts w:hint="eastAsia" w:ascii="宋体" w:hAnsi="宋体"/>
          <w:b/>
          <w:color w:val="000000"/>
          <w:sz w:val="24"/>
          <w:lang w:eastAsia="zh-CN"/>
        </w:rPr>
      </w:pPr>
      <w:r>
        <w:rPr>
          <w:rFonts w:hint="eastAsia" w:ascii="宋体" w:hAnsi="宋体"/>
          <w:b/>
          <w:color w:val="000000"/>
          <w:sz w:val="24"/>
          <w:lang w:eastAsia="zh-CN"/>
        </w:rPr>
        <w:t>（投标人根据本招标文件 “招标需求”及“评分细则” 自行编写）</w:t>
      </w:r>
      <w:r>
        <w:rPr>
          <w:rFonts w:hint="eastAsia" w:ascii="宋体" w:hAnsi="宋体"/>
          <w:b/>
          <w:color w:val="000000"/>
          <w:sz w:val="24"/>
          <w:lang w:val="en-US" w:eastAsia="zh-CN"/>
        </w:rPr>
        <w:t xml:space="preserve"> </w:t>
      </w: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pStyle w:val="15"/>
        <w:snapToGrid w:val="0"/>
        <w:spacing w:before="295" w:beforeLines="0" w:after="295" w:afterLines="0" w:line="440" w:lineRule="exact"/>
        <w:ind w:left="902" w:hanging="482"/>
        <w:rPr>
          <w:rFonts w:hint="eastAsia" w:hAnsi="宋体"/>
          <w:color w:val="000000"/>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snapToGrid w:val="0"/>
        <w:spacing w:before="295" w:after="295" w:line="440" w:lineRule="exact"/>
        <w:rPr>
          <w:rFonts w:hint="eastAsia" w:ascii="宋体" w:hAnsi="宋体"/>
          <w:color w:val="000000"/>
          <w:sz w:val="24"/>
        </w:rPr>
      </w:pPr>
    </w:p>
    <w:p>
      <w:pPr>
        <w:numPr>
          <w:ilvl w:val="0"/>
          <w:numId w:val="0"/>
        </w:numPr>
        <w:snapToGrid w:val="0"/>
        <w:spacing w:before="120" w:beforeLines="50" w:after="50" w:line="440" w:lineRule="exact"/>
        <w:ind w:leftChars="0"/>
        <w:jc w:val="center"/>
        <w:rPr>
          <w:rFonts w:hint="eastAsia" w:ascii="宋体" w:hAnsi="宋体"/>
          <w:b/>
          <w:color w:val="000000"/>
          <w:sz w:val="24"/>
          <w:lang w:eastAsia="zh-CN"/>
        </w:rPr>
      </w:pPr>
      <w:r>
        <w:rPr>
          <w:rFonts w:hint="eastAsia" w:ascii="宋体" w:hAnsi="宋体"/>
          <w:b/>
          <w:color w:val="000000"/>
          <w:sz w:val="24"/>
          <w:lang w:eastAsia="zh-CN"/>
        </w:rPr>
        <w:t>（</w:t>
      </w:r>
      <w:r>
        <w:rPr>
          <w:rFonts w:hint="eastAsia" w:ascii="宋体" w:hAnsi="宋体"/>
          <w:b/>
          <w:color w:val="000000"/>
          <w:sz w:val="24"/>
          <w:lang w:val="en-US" w:eastAsia="zh-CN"/>
        </w:rPr>
        <w:t>8</w:t>
      </w:r>
      <w:r>
        <w:rPr>
          <w:rFonts w:hint="eastAsia" w:ascii="宋体" w:hAnsi="宋体"/>
          <w:b/>
          <w:color w:val="000000"/>
          <w:sz w:val="24"/>
          <w:lang w:eastAsia="zh-CN"/>
        </w:rPr>
        <w:t>）本项目拟派人员一栏表</w:t>
      </w:r>
    </w:p>
    <w:p>
      <w:pPr>
        <w:spacing w:line="360" w:lineRule="auto"/>
        <w:jc w:val="center"/>
        <w:rPr>
          <w:rFonts w:hint="eastAsia" w:ascii="宋体" w:hAnsi="宋体" w:cs="Arial"/>
          <w:sz w:val="24"/>
        </w:rPr>
      </w:pP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1"/>
        <w:gridCol w:w="1719"/>
        <w:gridCol w:w="1304"/>
        <w:gridCol w:w="856"/>
        <w:gridCol w:w="1129"/>
        <w:gridCol w:w="1096"/>
        <w:gridCol w:w="2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812" w:hRule="atLeast"/>
          <w:jc w:val="center"/>
        </w:trPr>
        <w:tc>
          <w:tcPr>
            <w:tcW w:w="761" w:type="dxa"/>
            <w:noWrap w:val="0"/>
            <w:vAlign w:val="center"/>
          </w:tcPr>
          <w:p>
            <w:pPr>
              <w:spacing w:line="276" w:lineRule="auto"/>
              <w:jc w:val="center"/>
              <w:rPr>
                <w:rFonts w:hint="eastAsia"/>
              </w:rPr>
            </w:pPr>
            <w:r>
              <w:rPr>
                <w:rFonts w:hint="eastAsia"/>
              </w:rPr>
              <w:t>序号</w:t>
            </w:r>
          </w:p>
        </w:tc>
        <w:tc>
          <w:tcPr>
            <w:tcW w:w="1719" w:type="dxa"/>
            <w:noWrap w:val="0"/>
            <w:vAlign w:val="center"/>
          </w:tcPr>
          <w:p>
            <w:pPr>
              <w:spacing w:line="276" w:lineRule="auto"/>
              <w:jc w:val="center"/>
              <w:rPr>
                <w:rFonts w:hint="eastAsia"/>
              </w:rPr>
            </w:pPr>
            <w:r>
              <w:rPr>
                <w:rFonts w:hint="eastAsia"/>
              </w:rPr>
              <w:t>管理岗位名称</w:t>
            </w:r>
          </w:p>
        </w:tc>
        <w:tc>
          <w:tcPr>
            <w:tcW w:w="1304" w:type="dxa"/>
            <w:noWrap w:val="0"/>
            <w:vAlign w:val="center"/>
          </w:tcPr>
          <w:p>
            <w:pPr>
              <w:spacing w:line="276" w:lineRule="auto"/>
              <w:jc w:val="center"/>
              <w:rPr>
                <w:rFonts w:hint="eastAsia"/>
              </w:rPr>
            </w:pPr>
            <w:r>
              <w:rPr>
                <w:rFonts w:hint="eastAsia"/>
              </w:rPr>
              <w:t>姓名</w:t>
            </w:r>
          </w:p>
        </w:tc>
        <w:tc>
          <w:tcPr>
            <w:tcW w:w="856" w:type="dxa"/>
            <w:noWrap w:val="0"/>
            <w:vAlign w:val="center"/>
          </w:tcPr>
          <w:p>
            <w:pPr>
              <w:spacing w:line="276" w:lineRule="auto"/>
              <w:jc w:val="center"/>
              <w:rPr>
                <w:rFonts w:hint="eastAsia"/>
              </w:rPr>
            </w:pPr>
            <w:r>
              <w:rPr>
                <w:rFonts w:hint="eastAsia"/>
              </w:rPr>
              <w:t xml:space="preserve"> 性别</w:t>
            </w:r>
          </w:p>
        </w:tc>
        <w:tc>
          <w:tcPr>
            <w:tcW w:w="1129" w:type="dxa"/>
            <w:noWrap w:val="0"/>
            <w:vAlign w:val="center"/>
          </w:tcPr>
          <w:p>
            <w:pPr>
              <w:spacing w:line="276" w:lineRule="auto"/>
              <w:jc w:val="center"/>
              <w:rPr>
                <w:rFonts w:hint="eastAsia"/>
              </w:rPr>
            </w:pPr>
            <w:r>
              <w:rPr>
                <w:rFonts w:hint="eastAsia"/>
              </w:rPr>
              <w:t xml:space="preserve">职务 </w:t>
            </w:r>
          </w:p>
        </w:tc>
        <w:tc>
          <w:tcPr>
            <w:tcW w:w="1096" w:type="dxa"/>
            <w:noWrap w:val="0"/>
            <w:vAlign w:val="center"/>
          </w:tcPr>
          <w:p>
            <w:pPr>
              <w:spacing w:line="276" w:lineRule="auto"/>
              <w:jc w:val="center"/>
              <w:rPr>
                <w:rFonts w:hint="eastAsia"/>
              </w:rPr>
            </w:pPr>
            <w:r>
              <w:rPr>
                <w:rFonts w:hint="eastAsia"/>
              </w:rPr>
              <w:t>职称</w:t>
            </w:r>
          </w:p>
        </w:tc>
        <w:tc>
          <w:tcPr>
            <w:tcW w:w="2183" w:type="dxa"/>
            <w:noWrap w:val="0"/>
            <w:vAlign w:val="center"/>
          </w:tcPr>
          <w:p>
            <w:pPr>
              <w:spacing w:line="276" w:lineRule="auto"/>
              <w:jc w:val="center"/>
              <w:rPr>
                <w:rFonts w:hint="eastAsia"/>
              </w:rPr>
            </w:pPr>
            <w:r>
              <w:rPr>
                <w:rFonts w:hint="eastAsia"/>
              </w:rPr>
              <w:t xml:space="preserve">主要资历、经验及承担过的项目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pPr>
            <w:r>
              <w:t>1</w:t>
            </w:r>
          </w:p>
        </w:tc>
        <w:tc>
          <w:tcPr>
            <w:tcW w:w="1719" w:type="dxa"/>
            <w:noWrap w:val="0"/>
            <w:vAlign w:val="bottom"/>
          </w:tcPr>
          <w:p>
            <w:pPr>
              <w:spacing w:line="276" w:lineRule="auto"/>
              <w:jc w:val="center"/>
            </w:pPr>
            <w:r>
              <w:rPr>
                <w:rFonts w:hint="eastAsia"/>
              </w:rPr>
              <w:t>项目负责人</w:t>
            </w: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rPr>
            </w:pPr>
            <w:r>
              <w:rPr>
                <w:rFonts w:hint="eastAsia"/>
              </w:rPr>
              <w:t xml:space="preserve"> </w:t>
            </w: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pPr>
            <w:r>
              <w:t>2</w:t>
            </w:r>
          </w:p>
        </w:tc>
        <w:tc>
          <w:tcPr>
            <w:tcW w:w="1719" w:type="dxa"/>
            <w:noWrap w:val="0"/>
            <w:vAlign w:val="bottom"/>
          </w:tcPr>
          <w:p>
            <w:pPr>
              <w:spacing w:line="276" w:lineRule="auto"/>
              <w:jc w:val="center"/>
            </w:pPr>
            <w:r>
              <w:t>……</w:t>
            </w: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3</w:t>
            </w:r>
          </w:p>
        </w:tc>
        <w:tc>
          <w:tcPr>
            <w:tcW w:w="1719" w:type="dxa"/>
            <w:noWrap w:val="0"/>
            <w:vAlign w:val="top"/>
          </w:tcPr>
          <w:p>
            <w:pPr>
              <w:spacing w:line="276" w:lineRule="auto"/>
              <w:jc w:val="center"/>
            </w:pPr>
            <w:r>
              <w:t>……</w:t>
            </w: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lang w:val="sq-AL"/>
              </w:rP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4</w:t>
            </w:r>
          </w:p>
        </w:tc>
        <w:tc>
          <w:tcPr>
            <w:tcW w:w="1719" w:type="dxa"/>
            <w:noWrap w:val="0"/>
            <w:vAlign w:val="top"/>
          </w:tcPr>
          <w:p>
            <w:pPr>
              <w:spacing w:line="276" w:lineRule="auto"/>
              <w:jc w:val="center"/>
            </w:pPr>
            <w:r>
              <w:t>……</w:t>
            </w: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rPr>
            </w:pPr>
            <w:r>
              <w:rPr>
                <w:rFonts w:hint="eastAsia"/>
              </w:rPr>
              <w:t xml:space="preserve">  </w:t>
            </w: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5</w:t>
            </w:r>
          </w:p>
        </w:tc>
        <w:tc>
          <w:tcPr>
            <w:tcW w:w="1719" w:type="dxa"/>
            <w:noWrap w:val="0"/>
            <w:vAlign w:val="top"/>
          </w:tcPr>
          <w:p>
            <w:pPr>
              <w:spacing w:line="276" w:lineRule="auto"/>
              <w:jc w:val="center"/>
            </w:pPr>
            <w:r>
              <w:t>……</w:t>
            </w: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6</w:t>
            </w: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rP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7</w:t>
            </w: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rP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8</w:t>
            </w: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rP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9</w:t>
            </w: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rP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rPr>
                <w:rFonts w:hint="eastAsia"/>
              </w:rPr>
            </w:pPr>
            <w:r>
              <w:rPr>
                <w:rFonts w:hint="eastAsia"/>
              </w:rPr>
              <w:t>10</w:t>
            </w: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rPr>
                <w:rFonts w:hint="eastAsia"/>
              </w:rP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pPr>
            <w:r>
              <w:t>…</w:t>
            </w: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pP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276" w:lineRule="auto"/>
              <w:jc w:val="center"/>
            </w:pPr>
          </w:p>
        </w:tc>
        <w:tc>
          <w:tcPr>
            <w:tcW w:w="1719" w:type="dxa"/>
            <w:noWrap w:val="0"/>
            <w:vAlign w:val="center"/>
          </w:tcPr>
          <w:p>
            <w:pPr>
              <w:spacing w:line="276" w:lineRule="auto"/>
              <w:jc w:val="center"/>
            </w:pPr>
          </w:p>
        </w:tc>
        <w:tc>
          <w:tcPr>
            <w:tcW w:w="1304" w:type="dxa"/>
            <w:noWrap w:val="0"/>
            <w:vAlign w:val="center"/>
          </w:tcPr>
          <w:p>
            <w:pPr>
              <w:spacing w:line="276" w:lineRule="auto"/>
              <w:jc w:val="center"/>
            </w:pPr>
          </w:p>
        </w:tc>
        <w:tc>
          <w:tcPr>
            <w:tcW w:w="856" w:type="dxa"/>
            <w:noWrap w:val="0"/>
            <w:vAlign w:val="center"/>
          </w:tcPr>
          <w:p>
            <w:pPr>
              <w:spacing w:line="276" w:lineRule="auto"/>
              <w:jc w:val="center"/>
            </w:pPr>
          </w:p>
        </w:tc>
        <w:tc>
          <w:tcPr>
            <w:tcW w:w="1129" w:type="dxa"/>
            <w:noWrap w:val="0"/>
            <w:vAlign w:val="center"/>
          </w:tcPr>
          <w:p>
            <w:pPr>
              <w:spacing w:line="276" w:lineRule="auto"/>
              <w:jc w:val="center"/>
            </w:pPr>
          </w:p>
        </w:tc>
        <w:tc>
          <w:tcPr>
            <w:tcW w:w="1096" w:type="dxa"/>
            <w:noWrap w:val="0"/>
            <w:vAlign w:val="center"/>
          </w:tcPr>
          <w:p>
            <w:pPr>
              <w:spacing w:line="276" w:lineRule="auto"/>
              <w:jc w:val="center"/>
            </w:pPr>
          </w:p>
        </w:tc>
        <w:tc>
          <w:tcPr>
            <w:tcW w:w="2183" w:type="dxa"/>
            <w:noWrap w:val="0"/>
            <w:vAlign w:val="center"/>
          </w:tcPr>
          <w:p>
            <w:pPr>
              <w:spacing w:line="276" w:lineRule="auto"/>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After w:w="0" w:type="dxa"/>
          <w:trHeight w:val="540" w:hRule="atLeast"/>
          <w:jc w:val="center"/>
        </w:trPr>
        <w:tc>
          <w:tcPr>
            <w:tcW w:w="761" w:type="dxa"/>
            <w:noWrap w:val="0"/>
            <w:vAlign w:val="center"/>
          </w:tcPr>
          <w:p>
            <w:pPr>
              <w:spacing w:line="360" w:lineRule="auto"/>
              <w:jc w:val="center"/>
              <w:rPr>
                <w:sz w:val="24"/>
              </w:rPr>
            </w:pPr>
          </w:p>
        </w:tc>
        <w:tc>
          <w:tcPr>
            <w:tcW w:w="1719" w:type="dxa"/>
            <w:noWrap w:val="0"/>
            <w:vAlign w:val="center"/>
          </w:tcPr>
          <w:p>
            <w:pPr>
              <w:spacing w:line="360" w:lineRule="auto"/>
              <w:jc w:val="center"/>
              <w:rPr>
                <w:sz w:val="24"/>
              </w:rPr>
            </w:pPr>
          </w:p>
        </w:tc>
        <w:tc>
          <w:tcPr>
            <w:tcW w:w="1304" w:type="dxa"/>
            <w:noWrap w:val="0"/>
            <w:vAlign w:val="center"/>
          </w:tcPr>
          <w:p>
            <w:pPr>
              <w:spacing w:line="360" w:lineRule="auto"/>
              <w:jc w:val="center"/>
              <w:rPr>
                <w:sz w:val="24"/>
              </w:rPr>
            </w:pPr>
          </w:p>
        </w:tc>
        <w:tc>
          <w:tcPr>
            <w:tcW w:w="856" w:type="dxa"/>
            <w:noWrap w:val="0"/>
            <w:vAlign w:val="center"/>
          </w:tcPr>
          <w:p>
            <w:pPr>
              <w:spacing w:line="360" w:lineRule="auto"/>
              <w:jc w:val="center"/>
              <w:rPr>
                <w:sz w:val="24"/>
              </w:rPr>
            </w:pPr>
          </w:p>
        </w:tc>
        <w:tc>
          <w:tcPr>
            <w:tcW w:w="1129" w:type="dxa"/>
            <w:noWrap w:val="0"/>
            <w:vAlign w:val="center"/>
          </w:tcPr>
          <w:p>
            <w:pPr>
              <w:spacing w:line="360" w:lineRule="auto"/>
              <w:jc w:val="center"/>
              <w:rPr>
                <w:sz w:val="24"/>
              </w:rPr>
            </w:pPr>
          </w:p>
        </w:tc>
        <w:tc>
          <w:tcPr>
            <w:tcW w:w="1096" w:type="dxa"/>
            <w:noWrap w:val="0"/>
            <w:vAlign w:val="center"/>
          </w:tcPr>
          <w:p>
            <w:pPr>
              <w:spacing w:line="360" w:lineRule="auto"/>
              <w:jc w:val="center"/>
              <w:rPr>
                <w:sz w:val="24"/>
              </w:rPr>
            </w:pPr>
          </w:p>
        </w:tc>
        <w:tc>
          <w:tcPr>
            <w:tcW w:w="2183" w:type="dxa"/>
            <w:noWrap w:val="0"/>
            <w:vAlign w:val="center"/>
          </w:tcPr>
          <w:p>
            <w:pPr>
              <w:spacing w:line="360" w:lineRule="auto"/>
              <w:jc w:val="center"/>
              <w:rPr>
                <w:sz w:val="24"/>
              </w:rPr>
            </w:pPr>
          </w:p>
        </w:tc>
      </w:tr>
    </w:tbl>
    <w:p>
      <w:pPr>
        <w:pStyle w:val="11"/>
        <w:spacing w:line="360" w:lineRule="auto"/>
        <w:ind w:firstLine="344" w:firstLineChars="200"/>
        <w:rPr>
          <w:rFonts w:hint="eastAsia" w:hAnsi="宋体"/>
          <w:szCs w:val="21"/>
          <w:lang w:val="zh-CN"/>
        </w:rPr>
      </w:pPr>
      <w:r>
        <w:rPr>
          <w:rFonts w:hint="eastAsia" w:hAnsi="宋体"/>
          <w:szCs w:val="21"/>
        </w:rPr>
        <w:t>注：1.</w:t>
      </w:r>
      <w:r>
        <w:rPr>
          <w:rFonts w:hint="eastAsia" w:hAnsi="宋体"/>
          <w:szCs w:val="21"/>
          <w:lang w:val="zh-CN"/>
        </w:rPr>
        <w:t>此表仅供参考，投标人可根据实际情况自行调整；</w:t>
      </w:r>
    </w:p>
    <w:p>
      <w:pPr>
        <w:pStyle w:val="11"/>
        <w:spacing w:line="360" w:lineRule="auto"/>
        <w:ind w:firstLine="688" w:firstLineChars="400"/>
        <w:rPr>
          <w:rFonts w:hint="eastAsia" w:hAnsi="宋体"/>
          <w:b/>
          <w:bCs/>
          <w:szCs w:val="21"/>
        </w:rPr>
      </w:pPr>
      <w:r>
        <w:rPr>
          <w:rFonts w:hint="eastAsia" w:hAnsi="宋体"/>
          <w:szCs w:val="21"/>
        </w:rPr>
        <w:t>2</w:t>
      </w:r>
      <w:r>
        <w:rPr>
          <w:rFonts w:hint="eastAsia" w:hAnsi="宋体"/>
          <w:b/>
          <w:bCs/>
          <w:szCs w:val="21"/>
        </w:rPr>
        <w:t>.</w:t>
      </w:r>
      <w:r>
        <w:rPr>
          <w:rFonts w:hint="eastAsia" w:hAnsi="宋体"/>
          <w:b/>
          <w:bCs/>
          <w:szCs w:val="21"/>
          <w:lang w:val="zh-CN" w:eastAsia="zh-CN"/>
        </w:rPr>
        <w:t>后</w:t>
      </w:r>
      <w:r>
        <w:rPr>
          <w:rFonts w:hint="eastAsia" w:hAnsi="宋体"/>
          <w:b/>
          <w:bCs/>
          <w:szCs w:val="21"/>
          <w:lang w:val="zh-CN"/>
        </w:rPr>
        <w:t>附相关人员的证书</w:t>
      </w:r>
      <w:r>
        <w:rPr>
          <w:rFonts w:hint="eastAsia" w:hAnsi="宋体"/>
          <w:b/>
          <w:bCs/>
          <w:szCs w:val="21"/>
        </w:rPr>
        <w:t>资料复印件并加盖公章，原件备查</w:t>
      </w:r>
      <w:r>
        <w:rPr>
          <w:rFonts w:hint="eastAsia" w:hAnsi="宋体"/>
          <w:b/>
          <w:bCs/>
          <w:szCs w:val="21"/>
          <w:lang w:val="zh-CN"/>
        </w:rPr>
        <w:t>。</w:t>
      </w:r>
      <w:r>
        <w:rPr>
          <w:rFonts w:hint="eastAsia" w:hAnsi="宋体"/>
          <w:b/>
          <w:bCs/>
          <w:szCs w:val="21"/>
          <w:lang w:val="zh-CN"/>
        </w:rPr>
        <w:br w:type="textWrapping"/>
      </w:r>
    </w:p>
    <w:p>
      <w:pPr>
        <w:spacing w:line="276" w:lineRule="auto"/>
        <w:rPr>
          <w:rFonts w:hint="eastAsia"/>
        </w:rPr>
      </w:pPr>
      <w:r>
        <w:rPr>
          <w:rFonts w:hint="eastAsia"/>
        </w:rPr>
        <w:t>投标人（盖章）：</w:t>
      </w:r>
    </w:p>
    <w:p>
      <w:pPr>
        <w:spacing w:line="276" w:lineRule="auto"/>
        <w:rPr>
          <w:rFonts w:hint="eastAsia"/>
        </w:rPr>
      </w:pPr>
      <w:r>
        <w:rPr>
          <w:rFonts w:hint="eastAsia"/>
        </w:rPr>
        <w:t>法定代表人或其授权代表人（签字 ）：</w:t>
      </w:r>
    </w:p>
    <w:p>
      <w:pPr>
        <w:spacing w:line="276" w:lineRule="auto"/>
        <w:rPr>
          <w:rFonts w:hint="eastAsia"/>
        </w:rPr>
      </w:pPr>
      <w:r>
        <w:rPr>
          <w:rFonts w:hint="eastAsia"/>
        </w:rPr>
        <w:t>日期：     年   月   日</w:t>
      </w:r>
    </w:p>
    <w:p>
      <w:pPr>
        <w:spacing w:line="360" w:lineRule="auto"/>
        <w:jc w:val="center"/>
        <w:rPr>
          <w:rFonts w:eastAsia="黑体"/>
          <w:sz w:val="24"/>
        </w:rPr>
      </w:pPr>
      <w:r>
        <w:rPr>
          <w:rFonts w:ascii="宋体" w:hAnsi="宋体" w:cs="Arial"/>
          <w:sz w:val="24"/>
        </w:rPr>
        <w:br w:type="page"/>
      </w:r>
      <w:r>
        <w:rPr>
          <w:rFonts w:hint="eastAsia" w:ascii="宋体" w:hAnsi="宋体" w:cs="Arial"/>
          <w:b/>
          <w:sz w:val="24"/>
        </w:rPr>
        <w:t>拟派项目负责人简历表</w:t>
      </w:r>
    </w:p>
    <w:p>
      <w:pPr>
        <w:spacing w:line="360" w:lineRule="auto"/>
        <w:jc w:val="center"/>
        <w:rPr>
          <w:rFonts w:hint="eastAsia" w:ascii="宋体" w:hAnsi="宋体" w:cs="Arial"/>
          <w:sz w:val="24"/>
        </w:rPr>
      </w:pPr>
      <w:r>
        <w:rPr>
          <w:rFonts w:hint="eastAsia" w:ascii="宋体" w:hAnsi="宋体" w:cs="Arial"/>
          <w:sz w:val="24"/>
        </w:rPr>
        <w:t xml:space="preserve"> </w:t>
      </w:r>
    </w:p>
    <w:tbl>
      <w:tblPr>
        <w:tblStyle w:val="29"/>
        <w:tblW w:w="0" w:type="auto"/>
        <w:tblInd w:w="-7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564"/>
        <w:gridCol w:w="1500"/>
        <w:gridCol w:w="1502"/>
        <w:gridCol w:w="1500"/>
        <w:gridCol w:w="563"/>
        <w:gridCol w:w="17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00" w:hRule="atLeast"/>
        </w:trPr>
        <w:tc>
          <w:tcPr>
            <w:tcW w:w="1260" w:type="dxa"/>
            <w:noWrap w:val="0"/>
            <w:vAlign w:val="center"/>
          </w:tcPr>
          <w:p>
            <w:pPr>
              <w:spacing w:line="276" w:lineRule="auto"/>
              <w:jc w:val="center"/>
              <w:rPr>
                <w:rFonts w:hint="eastAsia"/>
              </w:rPr>
            </w:pPr>
            <w:r>
              <w:rPr>
                <w:rFonts w:hint="eastAsia"/>
              </w:rPr>
              <w:t>姓名</w:t>
            </w:r>
          </w:p>
        </w:tc>
        <w:tc>
          <w:tcPr>
            <w:tcW w:w="1564" w:type="dxa"/>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r>
              <w:rPr>
                <w:rFonts w:hint="eastAsia"/>
              </w:rPr>
              <w:t>年龄</w:t>
            </w:r>
          </w:p>
        </w:tc>
        <w:tc>
          <w:tcPr>
            <w:tcW w:w="1502" w:type="dxa"/>
            <w:noWrap w:val="0"/>
            <w:vAlign w:val="center"/>
          </w:tcPr>
          <w:p>
            <w:pPr>
              <w:spacing w:line="276" w:lineRule="auto"/>
              <w:jc w:val="center"/>
              <w:rPr>
                <w:rFonts w:hint="eastAsia"/>
              </w:rPr>
            </w:pPr>
          </w:p>
        </w:tc>
        <w:tc>
          <w:tcPr>
            <w:tcW w:w="2063" w:type="dxa"/>
            <w:gridSpan w:val="2"/>
            <w:noWrap w:val="0"/>
            <w:vAlign w:val="center"/>
          </w:tcPr>
          <w:p>
            <w:pPr>
              <w:spacing w:line="276" w:lineRule="auto"/>
              <w:jc w:val="center"/>
              <w:rPr>
                <w:rFonts w:hint="eastAsia"/>
              </w:rPr>
            </w:pPr>
            <w:r>
              <w:rPr>
                <w:rFonts w:hint="eastAsia"/>
              </w:rPr>
              <w:t>学历</w:t>
            </w:r>
          </w:p>
        </w:tc>
        <w:tc>
          <w:tcPr>
            <w:tcW w:w="1751" w:type="dxa"/>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2" w:hRule="atLeast"/>
        </w:trPr>
        <w:tc>
          <w:tcPr>
            <w:tcW w:w="1260" w:type="dxa"/>
            <w:noWrap w:val="0"/>
            <w:vAlign w:val="center"/>
          </w:tcPr>
          <w:p>
            <w:pPr>
              <w:spacing w:line="276" w:lineRule="auto"/>
              <w:jc w:val="center"/>
              <w:rPr>
                <w:rFonts w:hint="eastAsia"/>
              </w:rPr>
            </w:pPr>
            <w:r>
              <w:rPr>
                <w:rFonts w:hint="eastAsia"/>
              </w:rPr>
              <w:t>职称</w:t>
            </w:r>
          </w:p>
        </w:tc>
        <w:tc>
          <w:tcPr>
            <w:tcW w:w="1564" w:type="dxa"/>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r>
              <w:rPr>
                <w:rFonts w:hint="eastAsia"/>
              </w:rPr>
              <w:t>职务</w:t>
            </w:r>
          </w:p>
        </w:tc>
        <w:tc>
          <w:tcPr>
            <w:tcW w:w="1502" w:type="dxa"/>
            <w:noWrap w:val="0"/>
            <w:vAlign w:val="center"/>
          </w:tcPr>
          <w:p>
            <w:pPr>
              <w:spacing w:line="276" w:lineRule="auto"/>
              <w:jc w:val="center"/>
              <w:rPr>
                <w:rFonts w:hint="eastAsia"/>
              </w:rPr>
            </w:pPr>
          </w:p>
        </w:tc>
        <w:tc>
          <w:tcPr>
            <w:tcW w:w="2063" w:type="dxa"/>
            <w:gridSpan w:val="2"/>
            <w:noWrap w:val="0"/>
            <w:vAlign w:val="center"/>
          </w:tcPr>
          <w:p>
            <w:pPr>
              <w:spacing w:line="276" w:lineRule="auto"/>
              <w:jc w:val="center"/>
              <w:rPr>
                <w:rFonts w:hint="eastAsia"/>
              </w:rPr>
            </w:pPr>
            <w:r>
              <w:rPr>
                <w:rFonts w:hint="eastAsia"/>
              </w:rPr>
              <w:t>拟担任何种专业岗位</w:t>
            </w:r>
          </w:p>
        </w:tc>
        <w:tc>
          <w:tcPr>
            <w:tcW w:w="1751" w:type="dxa"/>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758" w:hRule="atLeast"/>
        </w:trPr>
        <w:tc>
          <w:tcPr>
            <w:tcW w:w="1260" w:type="dxa"/>
            <w:noWrap w:val="0"/>
            <w:vAlign w:val="top"/>
          </w:tcPr>
          <w:p>
            <w:pPr>
              <w:spacing w:line="276" w:lineRule="auto"/>
              <w:jc w:val="center"/>
              <w:rPr>
                <w:rFonts w:hint="eastAsia"/>
              </w:rPr>
            </w:pPr>
            <w:r>
              <w:rPr>
                <w:rFonts w:hint="eastAsia"/>
              </w:rPr>
              <w:t>何时参加</w:t>
            </w:r>
          </w:p>
          <w:p>
            <w:pPr>
              <w:spacing w:line="276" w:lineRule="auto"/>
              <w:jc w:val="center"/>
              <w:rPr>
                <w:rFonts w:hint="eastAsia"/>
              </w:rPr>
            </w:pPr>
            <w:r>
              <w:rPr>
                <w:rFonts w:hint="eastAsia"/>
              </w:rPr>
              <w:t>工作</w:t>
            </w:r>
          </w:p>
        </w:tc>
        <w:tc>
          <w:tcPr>
            <w:tcW w:w="8380" w:type="dxa"/>
            <w:gridSpan w:val="6"/>
            <w:noWrap w:val="0"/>
            <w:vAlign w:val="center"/>
          </w:tcPr>
          <w:p>
            <w:pPr>
              <w:spacing w:line="276" w:lineRule="auto"/>
              <w:jc w:val="center"/>
              <w:rPr>
                <w:rFonts w:hint="eastAsia"/>
              </w:rPr>
            </w:pP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758" w:hRule="atLeast"/>
        </w:trPr>
        <w:tc>
          <w:tcPr>
            <w:tcW w:w="1260" w:type="dxa"/>
            <w:noWrap w:val="0"/>
            <w:vAlign w:val="top"/>
          </w:tcPr>
          <w:p>
            <w:pPr>
              <w:spacing w:line="276" w:lineRule="auto"/>
              <w:jc w:val="center"/>
              <w:rPr>
                <w:rFonts w:hint="eastAsia"/>
              </w:rPr>
            </w:pPr>
            <w:r>
              <w:rPr>
                <w:rFonts w:hint="eastAsia"/>
              </w:rPr>
              <w:t>何时进入</w:t>
            </w:r>
          </w:p>
          <w:p>
            <w:pPr>
              <w:spacing w:line="276" w:lineRule="auto"/>
              <w:jc w:val="center"/>
              <w:rPr>
                <w:rFonts w:hint="eastAsia"/>
              </w:rPr>
            </w:pPr>
            <w:r>
              <w:rPr>
                <w:rFonts w:hint="eastAsia"/>
              </w:rPr>
              <w:t>公司</w:t>
            </w:r>
          </w:p>
        </w:tc>
        <w:tc>
          <w:tcPr>
            <w:tcW w:w="8380" w:type="dxa"/>
            <w:gridSpan w:val="6"/>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1" w:hRule="atLeast"/>
        </w:trPr>
        <w:tc>
          <w:tcPr>
            <w:tcW w:w="9640" w:type="dxa"/>
            <w:gridSpan w:val="7"/>
            <w:noWrap w:val="0"/>
            <w:vAlign w:val="center"/>
          </w:tcPr>
          <w:p>
            <w:pPr>
              <w:spacing w:line="276" w:lineRule="auto"/>
              <w:jc w:val="center"/>
              <w:rPr>
                <w:rFonts w:hint="eastAsia"/>
              </w:rPr>
            </w:pPr>
            <w:r>
              <w:rPr>
                <w:rFonts w:hint="eastAsia"/>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14" w:hRule="atLeast"/>
        </w:trPr>
        <w:tc>
          <w:tcPr>
            <w:tcW w:w="1260" w:type="dxa"/>
            <w:noWrap w:val="0"/>
            <w:vAlign w:val="center"/>
          </w:tcPr>
          <w:p>
            <w:pPr>
              <w:spacing w:line="276" w:lineRule="auto"/>
              <w:jc w:val="center"/>
              <w:rPr>
                <w:rFonts w:hint="eastAsia"/>
              </w:rPr>
            </w:pPr>
            <w:r>
              <w:rPr>
                <w:rFonts w:hint="eastAsia"/>
              </w:rPr>
              <w:t>时间</w:t>
            </w:r>
          </w:p>
        </w:tc>
        <w:tc>
          <w:tcPr>
            <w:tcW w:w="4566" w:type="dxa"/>
            <w:gridSpan w:val="3"/>
            <w:noWrap w:val="0"/>
            <w:vAlign w:val="center"/>
          </w:tcPr>
          <w:p>
            <w:pPr>
              <w:spacing w:line="276" w:lineRule="auto"/>
              <w:jc w:val="center"/>
              <w:rPr>
                <w:rFonts w:hint="eastAsia"/>
              </w:rPr>
            </w:pPr>
            <w:r>
              <w:rPr>
                <w:rFonts w:hint="eastAsia"/>
              </w:rPr>
              <w:t>参加过的类似项目</w:t>
            </w:r>
          </w:p>
        </w:tc>
        <w:tc>
          <w:tcPr>
            <w:tcW w:w="1500" w:type="dxa"/>
            <w:noWrap w:val="0"/>
            <w:vAlign w:val="center"/>
          </w:tcPr>
          <w:p>
            <w:pPr>
              <w:spacing w:line="276" w:lineRule="auto"/>
              <w:jc w:val="center"/>
              <w:rPr>
                <w:rFonts w:hint="eastAsia"/>
              </w:rPr>
            </w:pPr>
            <w:r>
              <w:rPr>
                <w:rFonts w:hint="eastAsia"/>
              </w:rPr>
              <w:t>担任职务</w:t>
            </w:r>
          </w:p>
        </w:tc>
        <w:tc>
          <w:tcPr>
            <w:tcW w:w="2314" w:type="dxa"/>
            <w:gridSpan w:val="2"/>
            <w:noWrap w:val="0"/>
            <w:vAlign w:val="center"/>
          </w:tcPr>
          <w:p>
            <w:pPr>
              <w:spacing w:line="276" w:lineRule="auto"/>
              <w:jc w:val="center"/>
              <w:rPr>
                <w:rFonts w:hint="eastAsia"/>
              </w:rPr>
            </w:pPr>
            <w:r>
              <w:rPr>
                <w:rFonts w:hint="eastAsia"/>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exact"/>
        </w:trPr>
        <w:tc>
          <w:tcPr>
            <w:tcW w:w="1260" w:type="dxa"/>
            <w:noWrap w:val="0"/>
            <w:vAlign w:val="center"/>
          </w:tcPr>
          <w:p>
            <w:pPr>
              <w:spacing w:line="276" w:lineRule="auto"/>
              <w:jc w:val="center"/>
              <w:rPr>
                <w:rFonts w:hint="eastAsia"/>
              </w:rPr>
            </w:pPr>
          </w:p>
        </w:tc>
        <w:tc>
          <w:tcPr>
            <w:tcW w:w="4566" w:type="dxa"/>
            <w:gridSpan w:val="3"/>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p>
        </w:tc>
        <w:tc>
          <w:tcPr>
            <w:tcW w:w="2314" w:type="dxa"/>
            <w:gridSpan w:val="2"/>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exact"/>
        </w:trPr>
        <w:tc>
          <w:tcPr>
            <w:tcW w:w="1260" w:type="dxa"/>
            <w:noWrap w:val="0"/>
            <w:vAlign w:val="center"/>
          </w:tcPr>
          <w:p>
            <w:pPr>
              <w:spacing w:line="276" w:lineRule="auto"/>
              <w:jc w:val="center"/>
              <w:rPr>
                <w:rFonts w:hint="eastAsia"/>
              </w:rPr>
            </w:pPr>
          </w:p>
        </w:tc>
        <w:tc>
          <w:tcPr>
            <w:tcW w:w="4566" w:type="dxa"/>
            <w:gridSpan w:val="3"/>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p>
        </w:tc>
        <w:tc>
          <w:tcPr>
            <w:tcW w:w="2314" w:type="dxa"/>
            <w:gridSpan w:val="2"/>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exact"/>
        </w:trPr>
        <w:tc>
          <w:tcPr>
            <w:tcW w:w="1260" w:type="dxa"/>
            <w:noWrap w:val="0"/>
            <w:vAlign w:val="center"/>
          </w:tcPr>
          <w:p>
            <w:pPr>
              <w:spacing w:line="276" w:lineRule="auto"/>
              <w:jc w:val="center"/>
              <w:rPr>
                <w:rFonts w:hint="eastAsia"/>
              </w:rPr>
            </w:pPr>
          </w:p>
        </w:tc>
        <w:tc>
          <w:tcPr>
            <w:tcW w:w="4566" w:type="dxa"/>
            <w:gridSpan w:val="3"/>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p>
        </w:tc>
        <w:tc>
          <w:tcPr>
            <w:tcW w:w="2314" w:type="dxa"/>
            <w:gridSpan w:val="2"/>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exact"/>
        </w:trPr>
        <w:tc>
          <w:tcPr>
            <w:tcW w:w="1260" w:type="dxa"/>
            <w:noWrap w:val="0"/>
            <w:vAlign w:val="center"/>
          </w:tcPr>
          <w:p>
            <w:pPr>
              <w:spacing w:line="276" w:lineRule="auto"/>
              <w:jc w:val="center"/>
              <w:rPr>
                <w:rFonts w:hint="eastAsia"/>
              </w:rPr>
            </w:pPr>
          </w:p>
        </w:tc>
        <w:tc>
          <w:tcPr>
            <w:tcW w:w="4566" w:type="dxa"/>
            <w:gridSpan w:val="3"/>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p>
        </w:tc>
        <w:tc>
          <w:tcPr>
            <w:tcW w:w="2314" w:type="dxa"/>
            <w:gridSpan w:val="2"/>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exact"/>
        </w:trPr>
        <w:tc>
          <w:tcPr>
            <w:tcW w:w="1260" w:type="dxa"/>
            <w:noWrap w:val="0"/>
            <w:vAlign w:val="center"/>
          </w:tcPr>
          <w:p>
            <w:pPr>
              <w:spacing w:line="276" w:lineRule="auto"/>
              <w:jc w:val="center"/>
              <w:rPr>
                <w:rFonts w:hint="eastAsia"/>
              </w:rPr>
            </w:pPr>
          </w:p>
        </w:tc>
        <w:tc>
          <w:tcPr>
            <w:tcW w:w="4566" w:type="dxa"/>
            <w:gridSpan w:val="3"/>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p>
        </w:tc>
        <w:tc>
          <w:tcPr>
            <w:tcW w:w="2314" w:type="dxa"/>
            <w:gridSpan w:val="2"/>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exact"/>
        </w:trPr>
        <w:tc>
          <w:tcPr>
            <w:tcW w:w="1260" w:type="dxa"/>
            <w:noWrap w:val="0"/>
            <w:vAlign w:val="center"/>
          </w:tcPr>
          <w:p>
            <w:pPr>
              <w:spacing w:line="276" w:lineRule="auto"/>
              <w:jc w:val="center"/>
              <w:rPr>
                <w:rFonts w:hint="eastAsia"/>
              </w:rPr>
            </w:pPr>
          </w:p>
        </w:tc>
        <w:tc>
          <w:tcPr>
            <w:tcW w:w="4566" w:type="dxa"/>
            <w:gridSpan w:val="3"/>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p>
        </w:tc>
        <w:tc>
          <w:tcPr>
            <w:tcW w:w="2314" w:type="dxa"/>
            <w:gridSpan w:val="2"/>
            <w:noWrap w:val="0"/>
            <w:vAlign w:val="center"/>
          </w:tcPr>
          <w:p>
            <w:pPr>
              <w:spacing w:line="276" w:lineRule="auto"/>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624" w:hRule="exact"/>
        </w:trPr>
        <w:tc>
          <w:tcPr>
            <w:tcW w:w="1260" w:type="dxa"/>
            <w:noWrap w:val="0"/>
            <w:vAlign w:val="center"/>
          </w:tcPr>
          <w:p>
            <w:pPr>
              <w:spacing w:line="276" w:lineRule="auto"/>
              <w:jc w:val="center"/>
              <w:rPr>
                <w:rFonts w:hint="eastAsia"/>
              </w:rPr>
            </w:pPr>
          </w:p>
        </w:tc>
        <w:tc>
          <w:tcPr>
            <w:tcW w:w="4566" w:type="dxa"/>
            <w:gridSpan w:val="3"/>
            <w:noWrap w:val="0"/>
            <w:vAlign w:val="center"/>
          </w:tcPr>
          <w:p>
            <w:pPr>
              <w:spacing w:line="276" w:lineRule="auto"/>
              <w:jc w:val="center"/>
              <w:rPr>
                <w:rFonts w:hint="eastAsia"/>
              </w:rPr>
            </w:pPr>
          </w:p>
        </w:tc>
        <w:tc>
          <w:tcPr>
            <w:tcW w:w="1500" w:type="dxa"/>
            <w:noWrap w:val="0"/>
            <w:vAlign w:val="center"/>
          </w:tcPr>
          <w:p>
            <w:pPr>
              <w:spacing w:line="276" w:lineRule="auto"/>
              <w:jc w:val="center"/>
              <w:rPr>
                <w:rFonts w:hint="eastAsia"/>
              </w:rPr>
            </w:pPr>
          </w:p>
        </w:tc>
        <w:tc>
          <w:tcPr>
            <w:tcW w:w="2314" w:type="dxa"/>
            <w:gridSpan w:val="2"/>
            <w:noWrap w:val="0"/>
            <w:vAlign w:val="center"/>
          </w:tcPr>
          <w:p>
            <w:pPr>
              <w:spacing w:line="276" w:lineRule="auto"/>
              <w:jc w:val="center"/>
              <w:rPr>
                <w:rFonts w:hint="eastAsia"/>
              </w:rPr>
            </w:pPr>
          </w:p>
        </w:tc>
      </w:tr>
    </w:tbl>
    <w:p>
      <w:pPr>
        <w:pStyle w:val="11"/>
        <w:spacing w:line="360" w:lineRule="auto"/>
        <w:ind w:firstLine="344" w:firstLineChars="200"/>
        <w:rPr>
          <w:rFonts w:hint="eastAsia" w:hAnsi="宋体"/>
          <w:szCs w:val="21"/>
        </w:rPr>
      </w:pPr>
      <w:r>
        <w:rPr>
          <w:rFonts w:hint="eastAsia" w:hAnsi="宋体"/>
          <w:szCs w:val="21"/>
        </w:rPr>
        <w:t>注：1.</w:t>
      </w:r>
      <w:r>
        <w:rPr>
          <w:rFonts w:hint="eastAsia" w:hAnsi="宋体"/>
          <w:szCs w:val="21"/>
          <w:lang w:val="zh-CN"/>
        </w:rPr>
        <w:t>此表仅供参考，投标人可根据实际情况自行调整。</w:t>
      </w:r>
    </w:p>
    <w:p>
      <w:pPr>
        <w:pStyle w:val="11"/>
        <w:spacing w:line="360" w:lineRule="auto"/>
        <w:ind w:firstLine="0"/>
        <w:rPr>
          <w:rFonts w:hint="eastAsia" w:hAnsi="宋体"/>
          <w:szCs w:val="21"/>
        </w:rPr>
      </w:pPr>
    </w:p>
    <w:p>
      <w:pPr>
        <w:spacing w:line="276" w:lineRule="auto"/>
        <w:rPr>
          <w:rFonts w:hint="eastAsia"/>
        </w:rPr>
      </w:pPr>
    </w:p>
    <w:p>
      <w:pPr>
        <w:spacing w:line="276" w:lineRule="auto"/>
        <w:rPr>
          <w:rFonts w:hint="eastAsia"/>
        </w:rPr>
      </w:pPr>
      <w:r>
        <w:rPr>
          <w:rFonts w:hint="eastAsia"/>
        </w:rPr>
        <w:t>投标人（盖章）：</w:t>
      </w:r>
    </w:p>
    <w:p>
      <w:pPr>
        <w:spacing w:line="276" w:lineRule="auto"/>
        <w:rPr>
          <w:rFonts w:hint="eastAsia"/>
        </w:rPr>
      </w:pPr>
      <w:r>
        <w:rPr>
          <w:rFonts w:hint="eastAsia"/>
        </w:rPr>
        <w:t>法定代表人或其授权代表人（签字）：</w:t>
      </w:r>
    </w:p>
    <w:p>
      <w:pPr>
        <w:spacing w:line="276" w:lineRule="auto"/>
        <w:rPr>
          <w:rFonts w:hint="eastAsia" w:ascii="宋体" w:hAnsi="宋体"/>
          <w:b/>
          <w:sz w:val="24"/>
        </w:rPr>
      </w:pPr>
      <w:r>
        <w:rPr>
          <w:rFonts w:hint="eastAsia"/>
        </w:rPr>
        <w:t>日期：     年   月   日</w:t>
      </w:r>
    </w:p>
    <w:p>
      <w:pPr>
        <w:snapToGrid w:val="0"/>
        <w:spacing w:before="120" w:beforeLines="50" w:after="50" w:line="440" w:lineRule="exact"/>
        <w:jc w:val="center"/>
        <w:rPr>
          <w:rFonts w:ascii="宋体" w:hAnsi="宋体"/>
          <w:color w:val="000000"/>
          <w:szCs w:val="21"/>
        </w:rPr>
      </w:pPr>
    </w:p>
    <w:p>
      <w:pPr>
        <w:spacing w:line="360" w:lineRule="auto"/>
        <w:rPr>
          <w:rFonts w:hint="eastAsia" w:ascii="宋体" w:hAnsi="宋体"/>
          <w:color w:val="000000"/>
          <w:szCs w:val="21"/>
        </w:rPr>
      </w:pPr>
    </w:p>
    <w:p>
      <w:pPr>
        <w:spacing w:line="480" w:lineRule="auto"/>
        <w:ind w:right="561"/>
        <w:rPr>
          <w:rFonts w:hint="eastAsia" w:ascii="宋体" w:hAnsi="宋体"/>
          <w:b/>
          <w:color w:val="000000"/>
          <w:spacing w:val="20"/>
          <w:sz w:val="24"/>
        </w:rPr>
      </w:pPr>
    </w:p>
    <w:p>
      <w:pPr>
        <w:numPr>
          <w:ilvl w:val="0"/>
          <w:numId w:val="0"/>
        </w:numPr>
        <w:snapToGrid w:val="0"/>
        <w:spacing w:line="420" w:lineRule="exact"/>
        <w:jc w:val="left"/>
        <w:rPr>
          <w:rFonts w:hint="eastAsia"/>
          <w:lang w:eastAsia="zh-CN"/>
        </w:rPr>
      </w:pPr>
      <w:r>
        <w:rPr>
          <w:rFonts w:hint="eastAsia"/>
          <w:lang w:eastAsia="zh-CN"/>
        </w:rPr>
        <w:t>（</w:t>
      </w:r>
      <w:r>
        <w:rPr>
          <w:rFonts w:hint="eastAsia"/>
          <w:lang w:val="en-US" w:eastAsia="zh-CN"/>
        </w:rPr>
        <w:t>9</w:t>
      </w:r>
      <w:r>
        <w:rPr>
          <w:rFonts w:hint="eastAsia"/>
          <w:lang w:eastAsia="zh-CN"/>
        </w:rPr>
        <w:t>）</w:t>
      </w:r>
      <w:r>
        <w:rPr>
          <w:rFonts w:hint="eastAsia"/>
        </w:rPr>
        <w:t>云服务产品平台通过工业和信息化部电信研究院（数据中心联盟）可信云服务认证证书</w:t>
      </w:r>
      <w:r>
        <w:rPr>
          <w:rFonts w:hint="eastAsia"/>
          <w:lang w:eastAsia="zh-CN"/>
        </w:rPr>
        <w:t>复印件加盖单位公章；</w:t>
      </w:r>
    </w:p>
    <w:p>
      <w:pPr>
        <w:widowControl w:val="0"/>
        <w:numPr>
          <w:ilvl w:val="0"/>
          <w:numId w:val="0"/>
        </w:numPr>
        <w:snapToGrid w:val="0"/>
        <w:spacing w:line="420" w:lineRule="exact"/>
        <w:jc w:val="left"/>
        <w:rPr>
          <w:rFonts w:hint="eastAsia"/>
          <w:lang w:eastAsia="zh-CN"/>
        </w:rPr>
      </w:pPr>
    </w:p>
    <w:p>
      <w:pPr>
        <w:widowControl w:val="0"/>
        <w:numPr>
          <w:ilvl w:val="0"/>
          <w:numId w:val="0"/>
        </w:numPr>
        <w:snapToGrid w:val="0"/>
        <w:spacing w:line="420" w:lineRule="exact"/>
        <w:jc w:val="left"/>
        <w:rPr>
          <w:rFonts w:hint="eastAsia"/>
          <w:lang w:eastAsia="zh-CN"/>
        </w:rPr>
      </w:pPr>
    </w:p>
    <w:p>
      <w:pPr>
        <w:widowControl w:val="0"/>
        <w:numPr>
          <w:ilvl w:val="0"/>
          <w:numId w:val="0"/>
        </w:numPr>
        <w:snapToGrid w:val="0"/>
        <w:spacing w:line="420" w:lineRule="exact"/>
        <w:jc w:val="left"/>
        <w:rPr>
          <w:rFonts w:hint="eastAsia"/>
          <w:lang w:eastAsia="zh-CN"/>
        </w:rPr>
      </w:pPr>
    </w:p>
    <w:p>
      <w:pPr>
        <w:widowControl w:val="0"/>
        <w:numPr>
          <w:ilvl w:val="0"/>
          <w:numId w:val="0"/>
        </w:numPr>
        <w:snapToGrid w:val="0"/>
        <w:spacing w:line="420" w:lineRule="exact"/>
        <w:jc w:val="left"/>
        <w:rPr>
          <w:rFonts w:hint="eastAsia"/>
          <w:lang w:eastAsia="zh-CN"/>
        </w:rPr>
      </w:pPr>
    </w:p>
    <w:p>
      <w:pPr>
        <w:widowControl w:val="0"/>
        <w:numPr>
          <w:ilvl w:val="0"/>
          <w:numId w:val="0"/>
        </w:numPr>
        <w:snapToGrid w:val="0"/>
        <w:spacing w:line="420" w:lineRule="exact"/>
        <w:jc w:val="left"/>
        <w:rPr>
          <w:rFonts w:hint="eastAsia"/>
          <w:lang w:eastAsia="zh-CN"/>
        </w:rPr>
      </w:pPr>
    </w:p>
    <w:p>
      <w:pPr>
        <w:widowControl w:val="0"/>
        <w:numPr>
          <w:ilvl w:val="0"/>
          <w:numId w:val="0"/>
        </w:numPr>
        <w:snapToGrid w:val="0"/>
        <w:spacing w:line="420" w:lineRule="exact"/>
        <w:jc w:val="left"/>
        <w:rPr>
          <w:rFonts w:hint="eastAsia"/>
          <w:lang w:eastAsia="zh-CN"/>
        </w:rPr>
      </w:pPr>
    </w:p>
    <w:p>
      <w:pPr>
        <w:snapToGrid w:val="0"/>
        <w:spacing w:line="420" w:lineRule="exact"/>
        <w:ind w:firstLine="315" w:firstLineChars="150"/>
        <w:jc w:val="left"/>
        <w:rPr>
          <w:rFonts w:hint="eastAsia" w:ascii="宋体" w:hAnsi="宋体" w:cs="宋体"/>
          <w:szCs w:val="21"/>
          <w:lang w:eastAsia="zh-CN"/>
        </w:rPr>
      </w:pPr>
      <w:r>
        <w:rPr>
          <w:rFonts w:hint="eastAsia"/>
          <w:lang w:eastAsia="zh-CN"/>
        </w:rPr>
        <w:t>（</w:t>
      </w:r>
      <w:r>
        <w:rPr>
          <w:rFonts w:hint="eastAsia"/>
          <w:lang w:val="en-US" w:eastAsia="zh-CN"/>
        </w:rPr>
        <w:t>10</w:t>
      </w:r>
      <w:r>
        <w:rPr>
          <w:rFonts w:hint="eastAsia"/>
          <w:lang w:eastAsia="zh-CN"/>
        </w:rPr>
        <w:t>）</w:t>
      </w:r>
      <w:r>
        <w:rPr>
          <w:rFonts w:hint="eastAsia"/>
        </w:rPr>
        <w:t>云服务产品平台通过公安部信息安全等级保护三级及以上认证</w:t>
      </w:r>
      <w:r>
        <w:rPr>
          <w:rFonts w:hint="eastAsia"/>
          <w:lang w:eastAsia="zh-CN"/>
        </w:rPr>
        <w:t>证书复印件加盖单位公章；</w:t>
      </w:r>
    </w:p>
    <w:p>
      <w:pPr>
        <w:spacing w:line="480" w:lineRule="auto"/>
        <w:ind w:right="561"/>
        <w:rPr>
          <w:rFonts w:hint="eastAsia" w:ascii="宋体" w:hAnsi="宋体"/>
          <w:b/>
          <w:color w:val="000000"/>
          <w:spacing w:val="20"/>
          <w:sz w:val="24"/>
        </w:rPr>
      </w:pPr>
    </w:p>
    <w:sectPr>
      <w:headerReference r:id="rId3" w:type="default"/>
      <w:footerReference r:id="rId4" w:type="default"/>
      <w:footerReference r:id="rId5" w:type="even"/>
      <w:pgSz w:w="11906" w:h="16838"/>
      <w:pgMar w:top="1985" w:right="1531" w:bottom="1588" w:left="1644" w:header="851" w:footer="992" w:gutter="0"/>
      <w:pgBorders w:offsetFrom="page">
        <w:top w:val="none" w:sz="0" w:space="0"/>
        <w:left w:val="none" w:sz="0" w:space="0"/>
        <w:bottom w:val="none" w:sz="0" w:space="0"/>
        <w:right w:val="none" w:sz="0" w:space="0"/>
      </w:pgBorders>
      <w:pgNumType w:start="1"/>
      <w:cols w:space="720" w:num="1"/>
      <w:docGrid w:linePitch="602" w:charSpace="-16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1" w:usb1="080E0000" w:usb2="00000010" w:usb3="00000000" w:csb0="00040000" w:csb1="00000000"/>
  </w:font>
  <w:font w:name="Helvetica">
    <w:altName w:val="Arial"/>
    <w:panose1 w:val="020B0504020202030204"/>
    <w:charset w:val="00"/>
    <w:family w:val="swiss"/>
    <w:pitch w:val="default"/>
    <w:sig w:usb0="00000007" w:usb1="00000000" w:usb2="00000000" w:usb3="00000000" w:csb0="00000093"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创艺简标宋">
    <w:altName w:val="黑体"/>
    <w:panose1 w:val="00000000000000000000"/>
    <w:charset w:val="86"/>
    <w:family w:val="auto"/>
    <w:pitch w:val="default"/>
    <w:sig w:usb0="00000001" w:usb1="080E0000" w:usb2="00000010" w:usb3="00000000" w:csb0="00040000" w:csb1="00000000"/>
  </w:font>
  <w:font w:name="仿宋">
    <w:panose1 w:val="02010609060101010101"/>
    <w:charset w:val="86"/>
    <w:family w:val="auto"/>
    <w:pitch w:val="default"/>
    <w:sig w:usb0="800002BF" w:usb1="38CF7CFA" w:usb2="00000016" w:usb3="00000000" w:csb0="00040001" w:csb1="00000000"/>
  </w:font>
  <w:font w:name="MS Mincho">
    <w:altName w:val="MS UI Gothic"/>
    <w:panose1 w:val="02020609040205080304"/>
    <w:charset w:val="80"/>
    <w:family w:val="modern"/>
    <w:pitch w:val="default"/>
    <w:sig w:usb0="E00002FF" w:usb1="6AC7FDFB" w:usb2="00000012" w:usb3="00000000" w:csb0="4002009F" w:csb1="DFD70000"/>
  </w:font>
  <w:font w:name="宋?">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14</w:t>
    </w:r>
    <w:r>
      <w:fldChar w:fldCharType="end"/>
    </w:r>
  </w:p>
  <w:p>
    <w:pPr>
      <w:pStyle w:val="1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end"/>
    </w:r>
  </w:p>
  <w:p>
    <w:pPr>
      <w:pStyle w:val="1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313231"/>
    <w:multiLevelType w:val="singleLevel"/>
    <w:tmpl w:val="F5313231"/>
    <w:lvl w:ilvl="0" w:tentative="0">
      <w:start w:val="7"/>
      <w:numFmt w:val="decimal"/>
      <w:suff w:val="nothing"/>
      <w:lvlText w:val="（%1）"/>
      <w:lvlJc w:val="left"/>
    </w:lvl>
  </w:abstractNum>
  <w:abstractNum w:abstractNumId="1">
    <w:nsid w:val="FFFFFF7E"/>
    <w:multiLevelType w:val="singleLevel"/>
    <w:tmpl w:val="FFFFFF7E"/>
    <w:lvl w:ilvl="0" w:tentative="0">
      <w:start w:val="1"/>
      <w:numFmt w:val="decimal"/>
      <w:pStyle w:val="12"/>
      <w:lvlText w:val="%1."/>
      <w:lvlJc w:val="left"/>
      <w:pPr>
        <w:tabs>
          <w:tab w:val="left" w:pos="1200"/>
        </w:tabs>
        <w:ind w:left="1200" w:hanging="360"/>
      </w:pPr>
    </w:lvl>
  </w:abstractNum>
  <w:abstractNum w:abstractNumId="2">
    <w:nsid w:val="09890BCC"/>
    <w:multiLevelType w:val="multilevel"/>
    <w:tmpl w:val="09890BCC"/>
    <w:lvl w:ilvl="0" w:tentative="0">
      <w:start w:val="1"/>
      <w:numFmt w:val="decimal"/>
      <w:pStyle w:val="5"/>
      <w:lvlText w:val="%1．"/>
      <w:lvlJc w:val="left"/>
      <w:pPr>
        <w:tabs>
          <w:tab w:val="left" w:pos="900"/>
        </w:tabs>
        <w:ind w:left="900" w:hanging="720"/>
      </w:pPr>
      <w:rPr>
        <w:rFonts w:hint="eastAsia"/>
      </w:r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3">
    <w:nsid w:val="19E51ADD"/>
    <w:multiLevelType w:val="multilevel"/>
    <w:tmpl w:val="19E51ADD"/>
    <w:lvl w:ilvl="0" w:tentative="0">
      <w:start w:val="1"/>
      <w:numFmt w:val="bullet"/>
      <w:lvlText w:val=""/>
      <w:lvlJc w:val="left"/>
      <w:pPr>
        <w:tabs>
          <w:tab w:val="left" w:pos="1140"/>
        </w:tabs>
        <w:ind w:left="1140" w:hanging="420"/>
      </w:pPr>
      <w:rPr>
        <w:rFonts w:hint="default" w:ascii="Wingdings" w:hAnsi="Wingdings"/>
      </w:rPr>
    </w:lvl>
    <w:lvl w:ilvl="1" w:tentative="0">
      <w:start w:val="1"/>
      <w:numFmt w:val="bullet"/>
      <w:lvlText w:val=""/>
      <w:lvlJc w:val="left"/>
      <w:pPr>
        <w:tabs>
          <w:tab w:val="left" w:pos="1560"/>
        </w:tabs>
        <w:ind w:left="1560" w:hanging="420"/>
      </w:pPr>
      <w:rPr>
        <w:rFonts w:hint="default" w:ascii="Wingdings" w:hAnsi="Wingdings"/>
      </w:rPr>
    </w:lvl>
    <w:lvl w:ilvl="2" w:tentative="0">
      <w:start w:val="1"/>
      <w:numFmt w:val="bullet"/>
      <w:lvlText w:val=""/>
      <w:lvlJc w:val="left"/>
      <w:pPr>
        <w:tabs>
          <w:tab w:val="left" w:pos="1980"/>
        </w:tabs>
        <w:ind w:left="1980" w:hanging="420"/>
      </w:pPr>
      <w:rPr>
        <w:rFonts w:hint="default" w:ascii="Wingdings" w:hAnsi="Wingdings"/>
      </w:rPr>
    </w:lvl>
    <w:lvl w:ilvl="3" w:tentative="0">
      <w:start w:val="1"/>
      <w:numFmt w:val="bullet"/>
      <w:lvlText w:val=""/>
      <w:lvlJc w:val="left"/>
      <w:pPr>
        <w:tabs>
          <w:tab w:val="left" w:pos="2400"/>
        </w:tabs>
        <w:ind w:left="2400" w:hanging="420"/>
      </w:pPr>
      <w:rPr>
        <w:rFonts w:hint="default" w:ascii="Wingdings" w:hAnsi="Wingdings"/>
      </w:rPr>
    </w:lvl>
    <w:lvl w:ilvl="4" w:tentative="0">
      <w:start w:val="1"/>
      <w:numFmt w:val="bullet"/>
      <w:lvlText w:val=""/>
      <w:lvlJc w:val="left"/>
      <w:pPr>
        <w:tabs>
          <w:tab w:val="left" w:pos="2820"/>
        </w:tabs>
        <w:ind w:left="2820" w:hanging="420"/>
      </w:pPr>
      <w:rPr>
        <w:rFonts w:hint="default" w:ascii="Wingdings" w:hAnsi="Wingdings"/>
      </w:rPr>
    </w:lvl>
    <w:lvl w:ilvl="5" w:tentative="0">
      <w:start w:val="1"/>
      <w:numFmt w:val="bullet"/>
      <w:lvlText w:val=""/>
      <w:lvlJc w:val="left"/>
      <w:pPr>
        <w:tabs>
          <w:tab w:val="left" w:pos="3240"/>
        </w:tabs>
        <w:ind w:left="3240" w:hanging="420"/>
      </w:pPr>
      <w:rPr>
        <w:rFonts w:hint="default" w:ascii="Wingdings" w:hAnsi="Wingdings"/>
      </w:rPr>
    </w:lvl>
    <w:lvl w:ilvl="6" w:tentative="0">
      <w:start w:val="1"/>
      <w:numFmt w:val="bullet"/>
      <w:lvlText w:val=""/>
      <w:lvlJc w:val="left"/>
      <w:pPr>
        <w:tabs>
          <w:tab w:val="left" w:pos="3660"/>
        </w:tabs>
        <w:ind w:left="3660" w:hanging="420"/>
      </w:pPr>
      <w:rPr>
        <w:rFonts w:hint="default" w:ascii="Wingdings" w:hAnsi="Wingdings"/>
      </w:rPr>
    </w:lvl>
    <w:lvl w:ilvl="7" w:tentative="0">
      <w:start w:val="1"/>
      <w:numFmt w:val="bullet"/>
      <w:lvlText w:val=""/>
      <w:lvlJc w:val="left"/>
      <w:pPr>
        <w:tabs>
          <w:tab w:val="left" w:pos="4080"/>
        </w:tabs>
        <w:ind w:left="4080" w:hanging="420"/>
      </w:pPr>
      <w:rPr>
        <w:rFonts w:hint="default" w:ascii="Wingdings" w:hAnsi="Wingdings"/>
      </w:rPr>
    </w:lvl>
    <w:lvl w:ilvl="8" w:tentative="0">
      <w:start w:val="1"/>
      <w:numFmt w:val="bullet"/>
      <w:lvlText w:val=""/>
      <w:lvlJc w:val="left"/>
      <w:pPr>
        <w:tabs>
          <w:tab w:val="left" w:pos="4500"/>
        </w:tabs>
        <w:ind w:left="4500" w:hanging="420"/>
      </w:pPr>
      <w:rPr>
        <w:rFonts w:hint="default" w:ascii="Wingdings" w:hAnsi="Wingdings"/>
      </w:rPr>
    </w:lvl>
  </w:abstractNum>
  <w:abstractNum w:abstractNumId="4">
    <w:nsid w:val="59422F70"/>
    <w:multiLevelType w:val="singleLevel"/>
    <w:tmpl w:val="59422F70"/>
    <w:lvl w:ilvl="0" w:tentative="0">
      <w:start w:val="3"/>
      <w:numFmt w:val="chineseCounting"/>
      <w:suff w:val="space"/>
      <w:lvlText w:val="第%1章"/>
      <w:lvlJc w:val="left"/>
    </w:lvl>
  </w:abstractNum>
  <w:abstractNum w:abstractNumId="5">
    <w:nsid w:val="5BC32A05"/>
    <w:multiLevelType w:val="multilevel"/>
    <w:tmpl w:val="5BC32A05"/>
    <w:lvl w:ilvl="0" w:tentative="0">
      <w:start w:val="6"/>
      <w:numFmt w:val="decimal"/>
      <w:lvlText w:val="第%1章"/>
      <w:lvlJc w:val="left"/>
      <w:pPr>
        <w:ind w:left="432" w:hanging="432"/>
      </w:pPr>
      <w:rPr>
        <w:rFonts w:hint="default" w:ascii="宋体" w:hAnsi="宋体" w:eastAsia="宋体" w:cs="宋体"/>
      </w:rPr>
    </w:lvl>
    <w:lvl w:ilvl="1" w:tentative="0">
      <w:start w:val="1"/>
      <w:numFmt w:val="decimal"/>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lvlText w:val="%1.%2.%3.%4"/>
      <w:lvlJc w:val="left"/>
      <w:pPr>
        <w:ind w:left="864" w:hanging="864"/>
      </w:pPr>
      <w:rPr>
        <w:rFonts w:hint="eastAsia" w:ascii="等线 Light" w:hAnsi="等线 Light"/>
      </w:rPr>
    </w:lvl>
    <w:lvl w:ilvl="4" w:tentative="0">
      <w:start w:val="1"/>
      <w:numFmt w:val="decimal"/>
      <w:lvlText w:val="%1.%2.%3.%4.%5"/>
      <w:lvlJc w:val="left"/>
      <w:pPr>
        <w:ind w:left="1576" w:hanging="1008"/>
      </w:pPr>
      <w:rPr>
        <w:rFonts w:hint="eastAsia"/>
      </w:rPr>
    </w:lvl>
    <w:lvl w:ilvl="5" w:tentative="0">
      <w:start w:val="1"/>
      <w:numFmt w:val="decimal"/>
      <w:lvlText w:val="%1.%2.%3.%4.%5.%6"/>
      <w:lvlJc w:val="left"/>
      <w:pPr>
        <w:ind w:left="1152" w:hanging="1152"/>
      </w:pPr>
      <w:rPr>
        <w:rFonts w:hint="default" w:ascii="宋体" w:hAnsi="宋体" w:eastAsia="宋体" w:cs="宋体"/>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6">
    <w:nsid w:val="646071E3"/>
    <w:multiLevelType w:val="multilevel"/>
    <w:tmpl w:val="646071E3"/>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850" w:hanging="453"/>
      </w:pPr>
      <w:rPr>
        <w:rFonts w:hint="default" w:ascii="Times New Roman" w:hAnsi="Times New Roman" w:cs="Times New Roman"/>
      </w:rPr>
    </w:lvl>
    <w:lvl w:ilvl="2" w:tentative="0">
      <w:start w:val="1"/>
      <w:numFmt w:val="decimal"/>
      <w:lvlText w:val="%1.%2.%3."/>
      <w:lvlJc w:val="left"/>
      <w:pPr>
        <w:ind w:left="1508" w:hanging="708"/>
      </w:pPr>
      <w:rPr>
        <w:rFonts w:hint="default" w:ascii="Times New Roman" w:hAnsi="Times New Roman" w:cs="Times New Roman"/>
      </w:rPr>
    </w:lvl>
    <w:lvl w:ilvl="3" w:tentative="0">
      <w:start w:val="1"/>
      <w:numFmt w:val="decimal"/>
      <w:lvlText w:val="%1.%2.%3.%4."/>
      <w:lvlJc w:val="left"/>
      <w:pPr>
        <w:ind w:left="2053" w:hanging="853"/>
      </w:pPr>
      <w:rPr>
        <w:rFonts w:hint="default" w:ascii="Times New Roman" w:hAnsi="Times New Roman" w:cs="Times New Roman"/>
      </w:rPr>
    </w:lvl>
    <w:lvl w:ilvl="4" w:tentative="0">
      <w:start w:val="1"/>
      <w:numFmt w:val="decimal"/>
      <w:lvlText w:val="%1.%2.%3.%4.%5."/>
      <w:lvlJc w:val="left"/>
      <w:pPr>
        <w:ind w:left="2495" w:hanging="895"/>
      </w:pPr>
      <w:rPr>
        <w:rFonts w:hint="default" w:ascii="Times New Roman" w:hAnsi="Times New Roman" w:cs="Times New Roman"/>
      </w:rPr>
    </w:lvl>
    <w:lvl w:ilvl="5" w:tentative="0">
      <w:start w:val="1"/>
      <w:numFmt w:val="decimal"/>
      <w:lvlText w:val="%1.%2.%3.%4.%5.%6."/>
      <w:lvlJc w:val="left"/>
      <w:pPr>
        <w:ind w:left="3136" w:hanging="1136"/>
      </w:pPr>
      <w:rPr>
        <w:rFonts w:hint="default" w:ascii="Times New Roman" w:hAnsi="Times New Roman" w:cs="Times New Roman"/>
      </w:rPr>
    </w:lvl>
    <w:lvl w:ilvl="6" w:tentative="0">
      <w:start w:val="1"/>
      <w:numFmt w:val="decimal"/>
      <w:lvlText w:val="%1.%2.%3.%4.%5.%6.%7."/>
      <w:lvlJc w:val="left"/>
      <w:pPr>
        <w:ind w:left="3673" w:hanging="1273"/>
      </w:pPr>
      <w:rPr>
        <w:rFonts w:hint="default" w:ascii="Times New Roman" w:hAnsi="Times New Roman" w:cs="Times New Roman"/>
      </w:rPr>
    </w:lvl>
    <w:lvl w:ilvl="7" w:tentative="0">
      <w:start w:val="1"/>
      <w:numFmt w:val="decimal"/>
      <w:lvlText w:val="%1.%2.%3.%4.%5.%6.%7.%8."/>
      <w:lvlJc w:val="left"/>
      <w:pPr>
        <w:ind w:left="4218" w:hanging="1418"/>
      </w:pPr>
      <w:rPr>
        <w:rFonts w:hint="default" w:ascii="Times New Roman" w:hAnsi="Times New Roman" w:cs="Times New Roman"/>
      </w:rPr>
    </w:lvl>
    <w:lvl w:ilvl="8" w:tentative="0">
      <w:start w:val="1"/>
      <w:numFmt w:val="decimal"/>
      <w:lvlText w:val="%1.%2.%3.%4.%5.%6.%7.%8.%9."/>
      <w:lvlJc w:val="left"/>
      <w:pPr>
        <w:ind w:left="4648" w:hanging="1448"/>
      </w:pPr>
      <w:rPr>
        <w:rFonts w:hint="default" w:ascii="Times New Roman" w:hAnsi="Times New Roman" w:cs="Times New Roman"/>
      </w:rPr>
    </w:lvl>
  </w:abstractNum>
  <w:abstractNum w:abstractNumId="7">
    <w:nsid w:val="751901F2"/>
    <w:multiLevelType w:val="multilevel"/>
    <w:tmpl w:val="751901F2"/>
    <w:lvl w:ilvl="0" w:tentative="0">
      <w:start w:val="1"/>
      <w:numFmt w:val="decimal"/>
      <w:lvlText w:val="%1."/>
      <w:lvlJc w:val="left"/>
      <w:pPr>
        <w:tabs>
          <w:tab w:val="left" w:pos="816"/>
        </w:tabs>
        <w:ind w:left="816" w:hanging="420"/>
      </w:pPr>
    </w:lvl>
    <w:lvl w:ilvl="1" w:tentative="0">
      <w:start w:val="1"/>
      <w:numFmt w:val="lowerLetter"/>
      <w:lvlText w:val="%2)"/>
      <w:lvlJc w:val="left"/>
      <w:pPr>
        <w:tabs>
          <w:tab w:val="left" w:pos="1236"/>
        </w:tabs>
        <w:ind w:left="1236" w:hanging="420"/>
      </w:pPr>
    </w:lvl>
    <w:lvl w:ilvl="2" w:tentative="0">
      <w:start w:val="1"/>
      <w:numFmt w:val="lowerRoman"/>
      <w:lvlText w:val="%3."/>
      <w:lvlJc w:val="right"/>
      <w:pPr>
        <w:tabs>
          <w:tab w:val="left" w:pos="1656"/>
        </w:tabs>
        <w:ind w:left="1656" w:hanging="420"/>
      </w:pPr>
    </w:lvl>
    <w:lvl w:ilvl="3" w:tentative="0">
      <w:start w:val="1"/>
      <w:numFmt w:val="decimal"/>
      <w:lvlText w:val="%4."/>
      <w:lvlJc w:val="left"/>
      <w:pPr>
        <w:tabs>
          <w:tab w:val="left" w:pos="2076"/>
        </w:tabs>
        <w:ind w:left="2076" w:hanging="420"/>
      </w:pPr>
    </w:lvl>
    <w:lvl w:ilvl="4" w:tentative="0">
      <w:start w:val="1"/>
      <w:numFmt w:val="lowerLetter"/>
      <w:lvlText w:val="%5)"/>
      <w:lvlJc w:val="left"/>
      <w:pPr>
        <w:tabs>
          <w:tab w:val="left" w:pos="2496"/>
        </w:tabs>
        <w:ind w:left="2496" w:hanging="420"/>
      </w:pPr>
    </w:lvl>
    <w:lvl w:ilvl="5" w:tentative="0">
      <w:start w:val="1"/>
      <w:numFmt w:val="lowerRoman"/>
      <w:lvlText w:val="%6."/>
      <w:lvlJc w:val="right"/>
      <w:pPr>
        <w:tabs>
          <w:tab w:val="left" w:pos="2916"/>
        </w:tabs>
        <w:ind w:left="2916" w:hanging="420"/>
      </w:pPr>
    </w:lvl>
    <w:lvl w:ilvl="6" w:tentative="0">
      <w:start w:val="1"/>
      <w:numFmt w:val="decimal"/>
      <w:lvlText w:val="%7."/>
      <w:lvlJc w:val="left"/>
      <w:pPr>
        <w:tabs>
          <w:tab w:val="left" w:pos="3336"/>
        </w:tabs>
        <w:ind w:left="3336" w:hanging="420"/>
      </w:pPr>
    </w:lvl>
    <w:lvl w:ilvl="7" w:tentative="0">
      <w:start w:val="1"/>
      <w:numFmt w:val="lowerLetter"/>
      <w:lvlText w:val="%8)"/>
      <w:lvlJc w:val="left"/>
      <w:pPr>
        <w:tabs>
          <w:tab w:val="left" w:pos="3756"/>
        </w:tabs>
        <w:ind w:left="3756" w:hanging="420"/>
      </w:pPr>
    </w:lvl>
    <w:lvl w:ilvl="8" w:tentative="0">
      <w:start w:val="1"/>
      <w:numFmt w:val="lowerRoman"/>
      <w:lvlText w:val="%9."/>
      <w:lvlJc w:val="right"/>
      <w:pPr>
        <w:tabs>
          <w:tab w:val="left" w:pos="4176"/>
        </w:tabs>
        <w:ind w:left="4176" w:hanging="420"/>
      </w:pPr>
    </w:lvl>
  </w:abstractNum>
  <w:abstractNum w:abstractNumId="8">
    <w:nsid w:val="77DE6181"/>
    <w:multiLevelType w:val="multilevel"/>
    <w:tmpl w:val="77DE6181"/>
    <w:lvl w:ilvl="0" w:tentative="0">
      <w:start w:val="1"/>
      <w:numFmt w:val="decimal"/>
      <w:lvlText w:val="%1）"/>
      <w:lvlJc w:val="left"/>
      <w:pPr>
        <w:ind w:left="502" w:hanging="36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9">
    <w:nsid w:val="7D43494D"/>
    <w:multiLevelType w:val="multilevel"/>
    <w:tmpl w:val="7D43494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3"/>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okNames" w:val="year1_2;filetype1_2"/>
    <w:docVar w:name="CurUserName" w:val="采购监管处收发室"/>
    <w:docVar w:name="DeleteMarces" w:val="False"/>
    <w:docVar w:name="DocName" w:val="0EF90D4B09DBFB9E4825742B0028ACBF_1.doc"/>
    <w:docVar w:name="haha" w:val="100"/>
    <w:docVar w:name="NewInfo" w:val="〔2009〕20&amp;;&amp;浙财采监字"/>
    <w:docVar w:name="OldInfo" w:val=" "/>
    <w:docVar w:name="SplitTool" w:val="False"/>
    <w:docVar w:name="TitleStr" w:val="浙江省财政厅;文件;"/>
    <w:docVar w:name="TrackMark" w:val="1"/>
  </w:docVars>
  <w:rsids>
    <w:rsidRoot w:val="003C2C17"/>
    <w:rsid w:val="00002A75"/>
    <w:rsid w:val="00003198"/>
    <w:rsid w:val="000106A1"/>
    <w:rsid w:val="000128FC"/>
    <w:rsid w:val="00015C00"/>
    <w:rsid w:val="00016536"/>
    <w:rsid w:val="00017174"/>
    <w:rsid w:val="00017353"/>
    <w:rsid w:val="000240A7"/>
    <w:rsid w:val="00026535"/>
    <w:rsid w:val="00027550"/>
    <w:rsid w:val="00032F0B"/>
    <w:rsid w:val="00036B8A"/>
    <w:rsid w:val="000427CB"/>
    <w:rsid w:val="000431AE"/>
    <w:rsid w:val="00045C7D"/>
    <w:rsid w:val="0005273D"/>
    <w:rsid w:val="00053EAA"/>
    <w:rsid w:val="000559EA"/>
    <w:rsid w:val="00056403"/>
    <w:rsid w:val="00065DCE"/>
    <w:rsid w:val="00066E55"/>
    <w:rsid w:val="000706DE"/>
    <w:rsid w:val="00080190"/>
    <w:rsid w:val="000821FC"/>
    <w:rsid w:val="00085C2E"/>
    <w:rsid w:val="000973B2"/>
    <w:rsid w:val="000977E6"/>
    <w:rsid w:val="000A2235"/>
    <w:rsid w:val="000A4BF3"/>
    <w:rsid w:val="000A66E3"/>
    <w:rsid w:val="000B488B"/>
    <w:rsid w:val="000B4ACE"/>
    <w:rsid w:val="000B5568"/>
    <w:rsid w:val="000B5904"/>
    <w:rsid w:val="000C422D"/>
    <w:rsid w:val="000C4A08"/>
    <w:rsid w:val="000D02C4"/>
    <w:rsid w:val="000D2273"/>
    <w:rsid w:val="000D68D0"/>
    <w:rsid w:val="000E06D3"/>
    <w:rsid w:val="000E2A94"/>
    <w:rsid w:val="000E6BCA"/>
    <w:rsid w:val="000F6B61"/>
    <w:rsid w:val="001020EE"/>
    <w:rsid w:val="00102A52"/>
    <w:rsid w:val="00102F72"/>
    <w:rsid w:val="00111BE7"/>
    <w:rsid w:val="00115FC6"/>
    <w:rsid w:val="00116426"/>
    <w:rsid w:val="00116890"/>
    <w:rsid w:val="001221B1"/>
    <w:rsid w:val="00124127"/>
    <w:rsid w:val="00127228"/>
    <w:rsid w:val="00130233"/>
    <w:rsid w:val="001308ED"/>
    <w:rsid w:val="00132B54"/>
    <w:rsid w:val="00132D44"/>
    <w:rsid w:val="001349E8"/>
    <w:rsid w:val="00142B9F"/>
    <w:rsid w:val="00143DA5"/>
    <w:rsid w:val="00144DC9"/>
    <w:rsid w:val="001455C6"/>
    <w:rsid w:val="001546E4"/>
    <w:rsid w:val="00161306"/>
    <w:rsid w:val="001623B1"/>
    <w:rsid w:val="00164CF5"/>
    <w:rsid w:val="00165BEB"/>
    <w:rsid w:val="00170CD2"/>
    <w:rsid w:val="00171889"/>
    <w:rsid w:val="001722D3"/>
    <w:rsid w:val="00176187"/>
    <w:rsid w:val="00186711"/>
    <w:rsid w:val="00197367"/>
    <w:rsid w:val="001A1395"/>
    <w:rsid w:val="001B1653"/>
    <w:rsid w:val="001B27D2"/>
    <w:rsid w:val="001B3777"/>
    <w:rsid w:val="001B3A56"/>
    <w:rsid w:val="001B4BB4"/>
    <w:rsid w:val="001B5C3F"/>
    <w:rsid w:val="001B6408"/>
    <w:rsid w:val="001B75AF"/>
    <w:rsid w:val="001C0B20"/>
    <w:rsid w:val="001C17A9"/>
    <w:rsid w:val="001C5F3C"/>
    <w:rsid w:val="001C7116"/>
    <w:rsid w:val="001D0930"/>
    <w:rsid w:val="001D3BE7"/>
    <w:rsid w:val="001D490F"/>
    <w:rsid w:val="001E25EA"/>
    <w:rsid w:val="001E498B"/>
    <w:rsid w:val="001E5ADD"/>
    <w:rsid w:val="001E6511"/>
    <w:rsid w:val="001E6F35"/>
    <w:rsid w:val="001E7515"/>
    <w:rsid w:val="001F00C2"/>
    <w:rsid w:val="001F3141"/>
    <w:rsid w:val="001F7CA2"/>
    <w:rsid w:val="00203603"/>
    <w:rsid w:val="00203E2B"/>
    <w:rsid w:val="0020466E"/>
    <w:rsid w:val="00204785"/>
    <w:rsid w:val="00211F3A"/>
    <w:rsid w:val="00212608"/>
    <w:rsid w:val="00213287"/>
    <w:rsid w:val="0021594F"/>
    <w:rsid w:val="00216DF2"/>
    <w:rsid w:val="002178AA"/>
    <w:rsid w:val="00220B2C"/>
    <w:rsid w:val="00220C70"/>
    <w:rsid w:val="00221D8F"/>
    <w:rsid w:val="00223548"/>
    <w:rsid w:val="00227978"/>
    <w:rsid w:val="002301B6"/>
    <w:rsid w:val="002321B9"/>
    <w:rsid w:val="00237FFA"/>
    <w:rsid w:val="00247D12"/>
    <w:rsid w:val="00253055"/>
    <w:rsid w:val="002539EC"/>
    <w:rsid w:val="00255D4E"/>
    <w:rsid w:val="00256466"/>
    <w:rsid w:val="00257AFF"/>
    <w:rsid w:val="002601B2"/>
    <w:rsid w:val="0026081B"/>
    <w:rsid w:val="00264524"/>
    <w:rsid w:val="00265904"/>
    <w:rsid w:val="00270DC7"/>
    <w:rsid w:val="00273286"/>
    <w:rsid w:val="0028294B"/>
    <w:rsid w:val="00285ED6"/>
    <w:rsid w:val="0029030A"/>
    <w:rsid w:val="00295E09"/>
    <w:rsid w:val="00295FEE"/>
    <w:rsid w:val="0029762C"/>
    <w:rsid w:val="00297E57"/>
    <w:rsid w:val="002A4684"/>
    <w:rsid w:val="002A5570"/>
    <w:rsid w:val="002B2C5E"/>
    <w:rsid w:val="002B2EFB"/>
    <w:rsid w:val="002C00FD"/>
    <w:rsid w:val="002C11B0"/>
    <w:rsid w:val="002C35A4"/>
    <w:rsid w:val="002C7F46"/>
    <w:rsid w:val="002D1F53"/>
    <w:rsid w:val="002E228F"/>
    <w:rsid w:val="002E2A7B"/>
    <w:rsid w:val="002E5DB6"/>
    <w:rsid w:val="002E5F0B"/>
    <w:rsid w:val="002F1A08"/>
    <w:rsid w:val="002F1CC9"/>
    <w:rsid w:val="002F2582"/>
    <w:rsid w:val="002F4CA4"/>
    <w:rsid w:val="00301CE7"/>
    <w:rsid w:val="0030295F"/>
    <w:rsid w:val="00305750"/>
    <w:rsid w:val="00307C0A"/>
    <w:rsid w:val="00310D46"/>
    <w:rsid w:val="00312055"/>
    <w:rsid w:val="00313F44"/>
    <w:rsid w:val="003158D0"/>
    <w:rsid w:val="00320C7B"/>
    <w:rsid w:val="00325AA6"/>
    <w:rsid w:val="003303B6"/>
    <w:rsid w:val="003362E7"/>
    <w:rsid w:val="00342718"/>
    <w:rsid w:val="00350156"/>
    <w:rsid w:val="00350534"/>
    <w:rsid w:val="0035632A"/>
    <w:rsid w:val="003575FF"/>
    <w:rsid w:val="00361A35"/>
    <w:rsid w:val="0037567B"/>
    <w:rsid w:val="003756CB"/>
    <w:rsid w:val="00377A31"/>
    <w:rsid w:val="00382066"/>
    <w:rsid w:val="00382D58"/>
    <w:rsid w:val="0038648E"/>
    <w:rsid w:val="00390912"/>
    <w:rsid w:val="0039433A"/>
    <w:rsid w:val="003A1173"/>
    <w:rsid w:val="003B0A71"/>
    <w:rsid w:val="003B464A"/>
    <w:rsid w:val="003B5599"/>
    <w:rsid w:val="003B6500"/>
    <w:rsid w:val="003C0CA9"/>
    <w:rsid w:val="003C2C17"/>
    <w:rsid w:val="003C5BB0"/>
    <w:rsid w:val="003D43C1"/>
    <w:rsid w:val="003D761D"/>
    <w:rsid w:val="003E1390"/>
    <w:rsid w:val="003E31C7"/>
    <w:rsid w:val="003E431E"/>
    <w:rsid w:val="003E733C"/>
    <w:rsid w:val="003F1954"/>
    <w:rsid w:val="003F2BEB"/>
    <w:rsid w:val="00402E47"/>
    <w:rsid w:val="004039A2"/>
    <w:rsid w:val="004134F3"/>
    <w:rsid w:val="004234AC"/>
    <w:rsid w:val="00430728"/>
    <w:rsid w:val="004325F6"/>
    <w:rsid w:val="00440D4D"/>
    <w:rsid w:val="00441FB7"/>
    <w:rsid w:val="00455AED"/>
    <w:rsid w:val="00456AAA"/>
    <w:rsid w:val="00460D84"/>
    <w:rsid w:val="00465551"/>
    <w:rsid w:val="00473E27"/>
    <w:rsid w:val="004741A2"/>
    <w:rsid w:val="00475B27"/>
    <w:rsid w:val="004764CB"/>
    <w:rsid w:val="004876EA"/>
    <w:rsid w:val="00491E96"/>
    <w:rsid w:val="004932E6"/>
    <w:rsid w:val="0049570B"/>
    <w:rsid w:val="00497A43"/>
    <w:rsid w:val="004A5321"/>
    <w:rsid w:val="004A5E46"/>
    <w:rsid w:val="004B6092"/>
    <w:rsid w:val="004B721F"/>
    <w:rsid w:val="004C1BF0"/>
    <w:rsid w:val="004C628D"/>
    <w:rsid w:val="004D07F3"/>
    <w:rsid w:val="004D08BA"/>
    <w:rsid w:val="004D2961"/>
    <w:rsid w:val="004D47CC"/>
    <w:rsid w:val="004E2B50"/>
    <w:rsid w:val="004E5CB8"/>
    <w:rsid w:val="004E6152"/>
    <w:rsid w:val="00501D34"/>
    <w:rsid w:val="005052B1"/>
    <w:rsid w:val="005100FC"/>
    <w:rsid w:val="00512AAF"/>
    <w:rsid w:val="005159E3"/>
    <w:rsid w:val="0051626B"/>
    <w:rsid w:val="00516680"/>
    <w:rsid w:val="005204F0"/>
    <w:rsid w:val="00520714"/>
    <w:rsid w:val="00521130"/>
    <w:rsid w:val="00523305"/>
    <w:rsid w:val="00535E39"/>
    <w:rsid w:val="00556EEA"/>
    <w:rsid w:val="005626A5"/>
    <w:rsid w:val="005648EA"/>
    <w:rsid w:val="00566ED7"/>
    <w:rsid w:val="00567897"/>
    <w:rsid w:val="00575969"/>
    <w:rsid w:val="005772FE"/>
    <w:rsid w:val="005A0AF0"/>
    <w:rsid w:val="005A0DD3"/>
    <w:rsid w:val="005A2B2E"/>
    <w:rsid w:val="005A6148"/>
    <w:rsid w:val="005C008A"/>
    <w:rsid w:val="005C0373"/>
    <w:rsid w:val="005C40E1"/>
    <w:rsid w:val="005C463C"/>
    <w:rsid w:val="005C6222"/>
    <w:rsid w:val="005D36CB"/>
    <w:rsid w:val="005D4A93"/>
    <w:rsid w:val="005D7FEB"/>
    <w:rsid w:val="005E1682"/>
    <w:rsid w:val="005E6BB3"/>
    <w:rsid w:val="005F1DB6"/>
    <w:rsid w:val="005F1DB8"/>
    <w:rsid w:val="005F3A90"/>
    <w:rsid w:val="005F5837"/>
    <w:rsid w:val="005F610F"/>
    <w:rsid w:val="005F7742"/>
    <w:rsid w:val="00605959"/>
    <w:rsid w:val="006137ED"/>
    <w:rsid w:val="00615F96"/>
    <w:rsid w:val="006172C7"/>
    <w:rsid w:val="00623452"/>
    <w:rsid w:val="00630BD0"/>
    <w:rsid w:val="006312D7"/>
    <w:rsid w:val="00633AEB"/>
    <w:rsid w:val="00636043"/>
    <w:rsid w:val="00640A66"/>
    <w:rsid w:val="006516A3"/>
    <w:rsid w:val="00651E67"/>
    <w:rsid w:val="00653701"/>
    <w:rsid w:val="00655E7F"/>
    <w:rsid w:val="00656E21"/>
    <w:rsid w:val="006648EA"/>
    <w:rsid w:val="00670F28"/>
    <w:rsid w:val="00671B24"/>
    <w:rsid w:val="00677855"/>
    <w:rsid w:val="00692E58"/>
    <w:rsid w:val="006932C6"/>
    <w:rsid w:val="00693A77"/>
    <w:rsid w:val="006943AA"/>
    <w:rsid w:val="006A38B4"/>
    <w:rsid w:val="006A77AE"/>
    <w:rsid w:val="006B0740"/>
    <w:rsid w:val="006B1C68"/>
    <w:rsid w:val="006B4DDB"/>
    <w:rsid w:val="006B4EA6"/>
    <w:rsid w:val="006C19B9"/>
    <w:rsid w:val="006C4CA3"/>
    <w:rsid w:val="006C686E"/>
    <w:rsid w:val="006C6E54"/>
    <w:rsid w:val="006D1D6B"/>
    <w:rsid w:val="006D48E3"/>
    <w:rsid w:val="006D64E4"/>
    <w:rsid w:val="006D730F"/>
    <w:rsid w:val="006E2822"/>
    <w:rsid w:val="006F1D5F"/>
    <w:rsid w:val="006F1F3A"/>
    <w:rsid w:val="0070132F"/>
    <w:rsid w:val="00702639"/>
    <w:rsid w:val="00702BE2"/>
    <w:rsid w:val="0070447F"/>
    <w:rsid w:val="00710848"/>
    <w:rsid w:val="0071392A"/>
    <w:rsid w:val="007139B5"/>
    <w:rsid w:val="00716683"/>
    <w:rsid w:val="00717F98"/>
    <w:rsid w:val="00720D51"/>
    <w:rsid w:val="007234B4"/>
    <w:rsid w:val="007329EB"/>
    <w:rsid w:val="007340BC"/>
    <w:rsid w:val="00745270"/>
    <w:rsid w:val="007537A2"/>
    <w:rsid w:val="00755035"/>
    <w:rsid w:val="007568C8"/>
    <w:rsid w:val="00756C4A"/>
    <w:rsid w:val="0076048F"/>
    <w:rsid w:val="007615FC"/>
    <w:rsid w:val="007718EB"/>
    <w:rsid w:val="0077336C"/>
    <w:rsid w:val="007757D2"/>
    <w:rsid w:val="0077624F"/>
    <w:rsid w:val="00776358"/>
    <w:rsid w:val="00780930"/>
    <w:rsid w:val="007813E1"/>
    <w:rsid w:val="0078314E"/>
    <w:rsid w:val="007835D9"/>
    <w:rsid w:val="00784064"/>
    <w:rsid w:val="00785C8A"/>
    <w:rsid w:val="007910AA"/>
    <w:rsid w:val="00794105"/>
    <w:rsid w:val="007A3E2B"/>
    <w:rsid w:val="007A4218"/>
    <w:rsid w:val="007A5572"/>
    <w:rsid w:val="007A5828"/>
    <w:rsid w:val="007A78B1"/>
    <w:rsid w:val="007B1520"/>
    <w:rsid w:val="007B4AFF"/>
    <w:rsid w:val="007C0AD6"/>
    <w:rsid w:val="007C18F4"/>
    <w:rsid w:val="007C3B23"/>
    <w:rsid w:val="007D0AD7"/>
    <w:rsid w:val="007E11C6"/>
    <w:rsid w:val="007E2B37"/>
    <w:rsid w:val="007E2DA2"/>
    <w:rsid w:val="007E5D86"/>
    <w:rsid w:val="007F263D"/>
    <w:rsid w:val="008004CF"/>
    <w:rsid w:val="00801A4C"/>
    <w:rsid w:val="00801D36"/>
    <w:rsid w:val="0080378D"/>
    <w:rsid w:val="008037C3"/>
    <w:rsid w:val="0081084A"/>
    <w:rsid w:val="008109DB"/>
    <w:rsid w:val="00810D87"/>
    <w:rsid w:val="008174C3"/>
    <w:rsid w:val="00817BB2"/>
    <w:rsid w:val="008222CB"/>
    <w:rsid w:val="00822592"/>
    <w:rsid w:val="00822ED1"/>
    <w:rsid w:val="00823CE5"/>
    <w:rsid w:val="00835B20"/>
    <w:rsid w:val="00836C1B"/>
    <w:rsid w:val="00841FCA"/>
    <w:rsid w:val="00845312"/>
    <w:rsid w:val="00845637"/>
    <w:rsid w:val="00845DD9"/>
    <w:rsid w:val="00855825"/>
    <w:rsid w:val="00856713"/>
    <w:rsid w:val="008652C4"/>
    <w:rsid w:val="0086605E"/>
    <w:rsid w:val="008663BD"/>
    <w:rsid w:val="00870750"/>
    <w:rsid w:val="00876C5C"/>
    <w:rsid w:val="00877AF2"/>
    <w:rsid w:val="00882527"/>
    <w:rsid w:val="008A4A1E"/>
    <w:rsid w:val="008A51EE"/>
    <w:rsid w:val="008A6557"/>
    <w:rsid w:val="008B0D99"/>
    <w:rsid w:val="008B2D86"/>
    <w:rsid w:val="008B7D77"/>
    <w:rsid w:val="008C3D11"/>
    <w:rsid w:val="008C405A"/>
    <w:rsid w:val="008C42DC"/>
    <w:rsid w:val="008C5ABC"/>
    <w:rsid w:val="008C6004"/>
    <w:rsid w:val="008D5360"/>
    <w:rsid w:val="008D5583"/>
    <w:rsid w:val="008E4D66"/>
    <w:rsid w:val="008F0507"/>
    <w:rsid w:val="008F55D6"/>
    <w:rsid w:val="008F78B7"/>
    <w:rsid w:val="00907B93"/>
    <w:rsid w:val="00914555"/>
    <w:rsid w:val="00920732"/>
    <w:rsid w:val="00921F56"/>
    <w:rsid w:val="00922575"/>
    <w:rsid w:val="00926E51"/>
    <w:rsid w:val="00927F0D"/>
    <w:rsid w:val="0093413A"/>
    <w:rsid w:val="00940AA8"/>
    <w:rsid w:val="0094160F"/>
    <w:rsid w:val="00951295"/>
    <w:rsid w:val="00951FB8"/>
    <w:rsid w:val="009543C2"/>
    <w:rsid w:val="00955584"/>
    <w:rsid w:val="00964C7C"/>
    <w:rsid w:val="00965589"/>
    <w:rsid w:val="0097152A"/>
    <w:rsid w:val="0097203C"/>
    <w:rsid w:val="00972772"/>
    <w:rsid w:val="00972FEB"/>
    <w:rsid w:val="00974EC0"/>
    <w:rsid w:val="00991C2A"/>
    <w:rsid w:val="0099264F"/>
    <w:rsid w:val="00992E3F"/>
    <w:rsid w:val="009951E3"/>
    <w:rsid w:val="009A0FE5"/>
    <w:rsid w:val="009A6051"/>
    <w:rsid w:val="009B14CC"/>
    <w:rsid w:val="009B54BB"/>
    <w:rsid w:val="009B61E9"/>
    <w:rsid w:val="009D2325"/>
    <w:rsid w:val="009D2A11"/>
    <w:rsid w:val="009D32B9"/>
    <w:rsid w:val="009D3A72"/>
    <w:rsid w:val="009D6719"/>
    <w:rsid w:val="009D71C7"/>
    <w:rsid w:val="009D754B"/>
    <w:rsid w:val="009E1E76"/>
    <w:rsid w:val="009E5D43"/>
    <w:rsid w:val="009E7321"/>
    <w:rsid w:val="009F35A9"/>
    <w:rsid w:val="009F477E"/>
    <w:rsid w:val="00A01F58"/>
    <w:rsid w:val="00A104FA"/>
    <w:rsid w:val="00A11C9E"/>
    <w:rsid w:val="00A143EC"/>
    <w:rsid w:val="00A16AC3"/>
    <w:rsid w:val="00A17EDB"/>
    <w:rsid w:val="00A22614"/>
    <w:rsid w:val="00A24404"/>
    <w:rsid w:val="00A2686A"/>
    <w:rsid w:val="00A31D55"/>
    <w:rsid w:val="00A3425A"/>
    <w:rsid w:val="00A45B07"/>
    <w:rsid w:val="00A45C58"/>
    <w:rsid w:val="00A463A4"/>
    <w:rsid w:val="00A47704"/>
    <w:rsid w:val="00A50D02"/>
    <w:rsid w:val="00A5499A"/>
    <w:rsid w:val="00A56620"/>
    <w:rsid w:val="00A658F9"/>
    <w:rsid w:val="00A67295"/>
    <w:rsid w:val="00A673AB"/>
    <w:rsid w:val="00A67592"/>
    <w:rsid w:val="00A71E10"/>
    <w:rsid w:val="00A72471"/>
    <w:rsid w:val="00A7381E"/>
    <w:rsid w:val="00A76E8F"/>
    <w:rsid w:val="00A813D4"/>
    <w:rsid w:val="00A82569"/>
    <w:rsid w:val="00A83602"/>
    <w:rsid w:val="00A857DE"/>
    <w:rsid w:val="00A85A64"/>
    <w:rsid w:val="00A8777D"/>
    <w:rsid w:val="00A9699F"/>
    <w:rsid w:val="00AA5B75"/>
    <w:rsid w:val="00AB066C"/>
    <w:rsid w:val="00AB1252"/>
    <w:rsid w:val="00AB40E5"/>
    <w:rsid w:val="00AB616A"/>
    <w:rsid w:val="00AB6C51"/>
    <w:rsid w:val="00AB6FD9"/>
    <w:rsid w:val="00AC2B00"/>
    <w:rsid w:val="00AC406B"/>
    <w:rsid w:val="00AD0253"/>
    <w:rsid w:val="00AD2392"/>
    <w:rsid w:val="00AD3BB8"/>
    <w:rsid w:val="00AD45D4"/>
    <w:rsid w:val="00AD5E83"/>
    <w:rsid w:val="00AD7B18"/>
    <w:rsid w:val="00AD7F41"/>
    <w:rsid w:val="00AE0E48"/>
    <w:rsid w:val="00AE3E54"/>
    <w:rsid w:val="00AE784C"/>
    <w:rsid w:val="00B04291"/>
    <w:rsid w:val="00B10EC9"/>
    <w:rsid w:val="00B15018"/>
    <w:rsid w:val="00B200A6"/>
    <w:rsid w:val="00B226EB"/>
    <w:rsid w:val="00B23932"/>
    <w:rsid w:val="00B27A68"/>
    <w:rsid w:val="00B27AAA"/>
    <w:rsid w:val="00B27F7A"/>
    <w:rsid w:val="00B31AC9"/>
    <w:rsid w:val="00B331EB"/>
    <w:rsid w:val="00B3535E"/>
    <w:rsid w:val="00B40D17"/>
    <w:rsid w:val="00B4181B"/>
    <w:rsid w:val="00B5566B"/>
    <w:rsid w:val="00B55C4E"/>
    <w:rsid w:val="00B562B4"/>
    <w:rsid w:val="00B64BEE"/>
    <w:rsid w:val="00B67A15"/>
    <w:rsid w:val="00B67F86"/>
    <w:rsid w:val="00B800B5"/>
    <w:rsid w:val="00B933A9"/>
    <w:rsid w:val="00B94045"/>
    <w:rsid w:val="00BA3A47"/>
    <w:rsid w:val="00BA5738"/>
    <w:rsid w:val="00BB0D8F"/>
    <w:rsid w:val="00BB0FC3"/>
    <w:rsid w:val="00BB2E7F"/>
    <w:rsid w:val="00BB4483"/>
    <w:rsid w:val="00BC2A13"/>
    <w:rsid w:val="00BC4AB4"/>
    <w:rsid w:val="00BC4D27"/>
    <w:rsid w:val="00BC4DB6"/>
    <w:rsid w:val="00BD04E5"/>
    <w:rsid w:val="00BE127D"/>
    <w:rsid w:val="00BF37CE"/>
    <w:rsid w:val="00C02890"/>
    <w:rsid w:val="00C04A98"/>
    <w:rsid w:val="00C04F9F"/>
    <w:rsid w:val="00C06CD4"/>
    <w:rsid w:val="00C06FE5"/>
    <w:rsid w:val="00C13487"/>
    <w:rsid w:val="00C1359F"/>
    <w:rsid w:val="00C14DF6"/>
    <w:rsid w:val="00C16630"/>
    <w:rsid w:val="00C1707A"/>
    <w:rsid w:val="00C22D9F"/>
    <w:rsid w:val="00C25941"/>
    <w:rsid w:val="00C26D51"/>
    <w:rsid w:val="00C335D3"/>
    <w:rsid w:val="00C417E5"/>
    <w:rsid w:val="00C46C01"/>
    <w:rsid w:val="00C46FEC"/>
    <w:rsid w:val="00C47FF9"/>
    <w:rsid w:val="00C52BCA"/>
    <w:rsid w:val="00C557FD"/>
    <w:rsid w:val="00C656F8"/>
    <w:rsid w:val="00C713EA"/>
    <w:rsid w:val="00C71BD4"/>
    <w:rsid w:val="00C76BA2"/>
    <w:rsid w:val="00C85DCF"/>
    <w:rsid w:val="00C86565"/>
    <w:rsid w:val="00C92DBC"/>
    <w:rsid w:val="00C93B22"/>
    <w:rsid w:val="00C956CF"/>
    <w:rsid w:val="00C96B17"/>
    <w:rsid w:val="00C96EF6"/>
    <w:rsid w:val="00CA21B6"/>
    <w:rsid w:val="00CA4452"/>
    <w:rsid w:val="00CA5320"/>
    <w:rsid w:val="00CA558D"/>
    <w:rsid w:val="00CB369F"/>
    <w:rsid w:val="00CB3857"/>
    <w:rsid w:val="00CC032A"/>
    <w:rsid w:val="00CC47FA"/>
    <w:rsid w:val="00CD02B2"/>
    <w:rsid w:val="00CD434D"/>
    <w:rsid w:val="00CE247A"/>
    <w:rsid w:val="00CE2B4F"/>
    <w:rsid w:val="00CE4D75"/>
    <w:rsid w:val="00CF734B"/>
    <w:rsid w:val="00CF7F31"/>
    <w:rsid w:val="00D0310E"/>
    <w:rsid w:val="00D04C87"/>
    <w:rsid w:val="00D07040"/>
    <w:rsid w:val="00D07172"/>
    <w:rsid w:val="00D114C1"/>
    <w:rsid w:val="00D16A16"/>
    <w:rsid w:val="00D232B1"/>
    <w:rsid w:val="00D25E8B"/>
    <w:rsid w:val="00D25FA9"/>
    <w:rsid w:val="00D26B42"/>
    <w:rsid w:val="00D342C4"/>
    <w:rsid w:val="00D3694D"/>
    <w:rsid w:val="00D404AF"/>
    <w:rsid w:val="00D40588"/>
    <w:rsid w:val="00D42B22"/>
    <w:rsid w:val="00D44C0A"/>
    <w:rsid w:val="00D45381"/>
    <w:rsid w:val="00D46594"/>
    <w:rsid w:val="00D47146"/>
    <w:rsid w:val="00D52483"/>
    <w:rsid w:val="00D530A9"/>
    <w:rsid w:val="00D55A68"/>
    <w:rsid w:val="00D625FF"/>
    <w:rsid w:val="00D646DA"/>
    <w:rsid w:val="00D64DAC"/>
    <w:rsid w:val="00D70B10"/>
    <w:rsid w:val="00D70FA1"/>
    <w:rsid w:val="00D71E91"/>
    <w:rsid w:val="00D74EDC"/>
    <w:rsid w:val="00D76391"/>
    <w:rsid w:val="00D7640D"/>
    <w:rsid w:val="00D8262B"/>
    <w:rsid w:val="00D869BF"/>
    <w:rsid w:val="00D90D08"/>
    <w:rsid w:val="00D91013"/>
    <w:rsid w:val="00D91D5A"/>
    <w:rsid w:val="00D9308B"/>
    <w:rsid w:val="00D971EC"/>
    <w:rsid w:val="00DA1683"/>
    <w:rsid w:val="00DA2962"/>
    <w:rsid w:val="00DA3F5A"/>
    <w:rsid w:val="00DB159D"/>
    <w:rsid w:val="00DB3156"/>
    <w:rsid w:val="00DB358B"/>
    <w:rsid w:val="00DB375A"/>
    <w:rsid w:val="00DB437A"/>
    <w:rsid w:val="00DB4E7D"/>
    <w:rsid w:val="00DC17F3"/>
    <w:rsid w:val="00DC18B2"/>
    <w:rsid w:val="00DC2123"/>
    <w:rsid w:val="00DC3B10"/>
    <w:rsid w:val="00DC5CB9"/>
    <w:rsid w:val="00DD6A27"/>
    <w:rsid w:val="00DE17A8"/>
    <w:rsid w:val="00DE2944"/>
    <w:rsid w:val="00DF0445"/>
    <w:rsid w:val="00DF0D5B"/>
    <w:rsid w:val="00DF268D"/>
    <w:rsid w:val="00DF3140"/>
    <w:rsid w:val="00DF65A2"/>
    <w:rsid w:val="00E01E71"/>
    <w:rsid w:val="00E0474B"/>
    <w:rsid w:val="00E05FEB"/>
    <w:rsid w:val="00E06D6C"/>
    <w:rsid w:val="00E1469F"/>
    <w:rsid w:val="00E20925"/>
    <w:rsid w:val="00E2531C"/>
    <w:rsid w:val="00E277A5"/>
    <w:rsid w:val="00E27AB7"/>
    <w:rsid w:val="00E32629"/>
    <w:rsid w:val="00E34B11"/>
    <w:rsid w:val="00E3572A"/>
    <w:rsid w:val="00E36A62"/>
    <w:rsid w:val="00E37426"/>
    <w:rsid w:val="00E4188C"/>
    <w:rsid w:val="00E43803"/>
    <w:rsid w:val="00E44ADD"/>
    <w:rsid w:val="00E452FC"/>
    <w:rsid w:val="00E50468"/>
    <w:rsid w:val="00E547BC"/>
    <w:rsid w:val="00E54C8C"/>
    <w:rsid w:val="00E57DAA"/>
    <w:rsid w:val="00E62A69"/>
    <w:rsid w:val="00E74200"/>
    <w:rsid w:val="00E80419"/>
    <w:rsid w:val="00E81BAE"/>
    <w:rsid w:val="00E87500"/>
    <w:rsid w:val="00E91841"/>
    <w:rsid w:val="00E918FF"/>
    <w:rsid w:val="00E9290B"/>
    <w:rsid w:val="00E92C16"/>
    <w:rsid w:val="00EA545C"/>
    <w:rsid w:val="00EB20E2"/>
    <w:rsid w:val="00EB28E8"/>
    <w:rsid w:val="00EB446A"/>
    <w:rsid w:val="00EC0103"/>
    <w:rsid w:val="00ED0977"/>
    <w:rsid w:val="00ED1668"/>
    <w:rsid w:val="00ED275A"/>
    <w:rsid w:val="00ED2F97"/>
    <w:rsid w:val="00ED4AE3"/>
    <w:rsid w:val="00EE1E58"/>
    <w:rsid w:val="00EE3E07"/>
    <w:rsid w:val="00EE55CF"/>
    <w:rsid w:val="00EE7774"/>
    <w:rsid w:val="00EE789B"/>
    <w:rsid w:val="00EF09CD"/>
    <w:rsid w:val="00EF3707"/>
    <w:rsid w:val="00EF765B"/>
    <w:rsid w:val="00F044AE"/>
    <w:rsid w:val="00F14EF8"/>
    <w:rsid w:val="00F15F4C"/>
    <w:rsid w:val="00F16D3C"/>
    <w:rsid w:val="00F22899"/>
    <w:rsid w:val="00F25635"/>
    <w:rsid w:val="00F27415"/>
    <w:rsid w:val="00F32970"/>
    <w:rsid w:val="00F32F81"/>
    <w:rsid w:val="00F35BEE"/>
    <w:rsid w:val="00F3738B"/>
    <w:rsid w:val="00F37E22"/>
    <w:rsid w:val="00F37EF6"/>
    <w:rsid w:val="00F4181C"/>
    <w:rsid w:val="00F418FC"/>
    <w:rsid w:val="00F41EA5"/>
    <w:rsid w:val="00F42831"/>
    <w:rsid w:val="00F4681C"/>
    <w:rsid w:val="00F50B31"/>
    <w:rsid w:val="00F5445E"/>
    <w:rsid w:val="00F54BDB"/>
    <w:rsid w:val="00F55BE3"/>
    <w:rsid w:val="00F61EB3"/>
    <w:rsid w:val="00F61F9D"/>
    <w:rsid w:val="00F6326E"/>
    <w:rsid w:val="00F67869"/>
    <w:rsid w:val="00F721F1"/>
    <w:rsid w:val="00F7514A"/>
    <w:rsid w:val="00F7705E"/>
    <w:rsid w:val="00F774AF"/>
    <w:rsid w:val="00F84A51"/>
    <w:rsid w:val="00F914FF"/>
    <w:rsid w:val="00F93796"/>
    <w:rsid w:val="00F972EC"/>
    <w:rsid w:val="00FA13DE"/>
    <w:rsid w:val="00FA150E"/>
    <w:rsid w:val="00FA3AA3"/>
    <w:rsid w:val="00FA3CCA"/>
    <w:rsid w:val="00FA43AC"/>
    <w:rsid w:val="00FB3B88"/>
    <w:rsid w:val="00FB6A95"/>
    <w:rsid w:val="00FC1444"/>
    <w:rsid w:val="00FC2C4E"/>
    <w:rsid w:val="00FC77AF"/>
    <w:rsid w:val="00FD06C7"/>
    <w:rsid w:val="00FD4306"/>
    <w:rsid w:val="00FD4682"/>
    <w:rsid w:val="00FD52D9"/>
    <w:rsid w:val="00FE3C3D"/>
    <w:rsid w:val="03CB6775"/>
    <w:rsid w:val="04BF6C00"/>
    <w:rsid w:val="06A63940"/>
    <w:rsid w:val="07ED444D"/>
    <w:rsid w:val="08D5785B"/>
    <w:rsid w:val="09BE5EA3"/>
    <w:rsid w:val="0A436746"/>
    <w:rsid w:val="0AB6016D"/>
    <w:rsid w:val="0DD20FA9"/>
    <w:rsid w:val="0ECB7C77"/>
    <w:rsid w:val="0ED267F2"/>
    <w:rsid w:val="0EFF1791"/>
    <w:rsid w:val="0FFB0C6F"/>
    <w:rsid w:val="114A0D06"/>
    <w:rsid w:val="120924AE"/>
    <w:rsid w:val="17162EAD"/>
    <w:rsid w:val="17C944AE"/>
    <w:rsid w:val="181A0285"/>
    <w:rsid w:val="190A4B87"/>
    <w:rsid w:val="1AFC0892"/>
    <w:rsid w:val="1B8F4E0A"/>
    <w:rsid w:val="1E657B3F"/>
    <w:rsid w:val="1ECA4DDC"/>
    <w:rsid w:val="1FC865AB"/>
    <w:rsid w:val="2139145C"/>
    <w:rsid w:val="21FC4A83"/>
    <w:rsid w:val="22C619C2"/>
    <w:rsid w:val="255A1E3A"/>
    <w:rsid w:val="2683126D"/>
    <w:rsid w:val="28671714"/>
    <w:rsid w:val="2E4E6B14"/>
    <w:rsid w:val="2F24761E"/>
    <w:rsid w:val="31267BCF"/>
    <w:rsid w:val="314E75E6"/>
    <w:rsid w:val="31F96BD9"/>
    <w:rsid w:val="32FA42EF"/>
    <w:rsid w:val="34D14367"/>
    <w:rsid w:val="352C3131"/>
    <w:rsid w:val="36154BA7"/>
    <w:rsid w:val="36AB1FF1"/>
    <w:rsid w:val="374853BD"/>
    <w:rsid w:val="38CD27EC"/>
    <w:rsid w:val="39DE462E"/>
    <w:rsid w:val="3BBE5879"/>
    <w:rsid w:val="3EA157DD"/>
    <w:rsid w:val="40B465FE"/>
    <w:rsid w:val="42900241"/>
    <w:rsid w:val="44076BB8"/>
    <w:rsid w:val="45846B1D"/>
    <w:rsid w:val="4A654980"/>
    <w:rsid w:val="4ABC1170"/>
    <w:rsid w:val="4AF55475"/>
    <w:rsid w:val="4C212AA1"/>
    <w:rsid w:val="4D7D455F"/>
    <w:rsid w:val="50372AB4"/>
    <w:rsid w:val="51AA1961"/>
    <w:rsid w:val="51DD4CD8"/>
    <w:rsid w:val="539334DC"/>
    <w:rsid w:val="54B47B7D"/>
    <w:rsid w:val="5A087114"/>
    <w:rsid w:val="5A156450"/>
    <w:rsid w:val="5A516634"/>
    <w:rsid w:val="5F675ADE"/>
    <w:rsid w:val="5FD77B21"/>
    <w:rsid w:val="63EE41C9"/>
    <w:rsid w:val="681D257D"/>
    <w:rsid w:val="69293F67"/>
    <w:rsid w:val="6B5D7517"/>
    <w:rsid w:val="6C2E4189"/>
    <w:rsid w:val="7065142C"/>
    <w:rsid w:val="755A0A01"/>
    <w:rsid w:val="75DD0FD8"/>
    <w:rsid w:val="75FF7AD8"/>
    <w:rsid w:val="780F03A7"/>
    <w:rsid w:val="794B062C"/>
    <w:rsid w:val="7AE96F78"/>
    <w:rsid w:val="7E6F08F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numPr>
        <w:ilvl w:val="2"/>
        <w:numId w:val="1"/>
      </w:numPr>
      <w:spacing w:before="260" w:after="260" w:line="415" w:lineRule="auto"/>
      <w:outlineLvl w:val="2"/>
    </w:pPr>
    <w:rPr>
      <w:rFonts w:ascii="等线" w:hAnsi="等线" w:eastAsia="宋体"/>
      <w:b/>
      <w:bCs/>
      <w:sz w:val="32"/>
      <w:szCs w:val="32"/>
    </w:rPr>
  </w:style>
  <w:style w:type="character" w:default="1" w:styleId="30">
    <w:name w:val="Default Paragraph Font"/>
    <w:link w:val="31"/>
    <w:semiHidden/>
    <w:uiPriority w:val="0"/>
    <w:rPr>
      <w:rFonts w:ascii="Tahoma" w:hAnsi="Tahoma"/>
      <w:sz w:val="24"/>
      <w:szCs w:val="20"/>
    </w:rPr>
  </w:style>
  <w:style w:type="table" w:default="1" w:styleId="29">
    <w:name w:val="Normal Table"/>
    <w:semiHidden/>
    <w:uiPriority w:val="0"/>
    <w:tblPr>
      <w:tblStyle w:val="29"/>
      <w:tblCellMar>
        <w:top w:w="0" w:type="dxa"/>
        <w:left w:w="108" w:type="dxa"/>
        <w:bottom w:w="0" w:type="dxa"/>
        <w:right w:w="108" w:type="dxa"/>
      </w:tblCellMar>
    </w:tblPr>
  </w:style>
  <w:style w:type="paragraph" w:styleId="5">
    <w:name w:val="List Number"/>
    <w:basedOn w:val="1"/>
    <w:uiPriority w:val="0"/>
    <w:pPr>
      <w:widowControl/>
      <w:numPr>
        <w:ilvl w:val="0"/>
        <w:numId w:val="2"/>
      </w:numPr>
      <w:tabs>
        <w:tab w:val="left" w:pos="454"/>
        <w:tab w:val="left" w:pos="720"/>
        <w:tab w:val="clear" w:pos="900"/>
      </w:tabs>
      <w:spacing w:after="50" w:afterLines="50"/>
      <w:ind w:left="454" w:hanging="284"/>
      <w:jc w:val="left"/>
    </w:pPr>
    <w:rPr>
      <w:kern w:val="0"/>
      <w:sz w:val="24"/>
      <w:szCs w:val="20"/>
    </w:rPr>
  </w:style>
  <w:style w:type="paragraph" w:styleId="6">
    <w:name w:val="Normal Indent"/>
    <w:basedOn w:val="1"/>
    <w:link w:val="45"/>
    <w:uiPriority w:val="0"/>
    <w:pPr>
      <w:ind w:firstLine="420"/>
    </w:pPr>
    <w:rPr>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annotation text"/>
    <w:basedOn w:val="1"/>
    <w:unhideWhenUsed/>
    <w:qFormat/>
    <w:uiPriority w:val="99"/>
    <w:pPr>
      <w:widowControl w:val="0"/>
    </w:pPr>
    <w:rPr>
      <w:rFonts w:hint="eastAsia" w:ascii="Arial Unicode MS" w:hAnsi="Arial Unicode MS" w:eastAsia="Times New Roman" w:cs="Arial Unicode MS"/>
      <w:color w:val="000000"/>
      <w:kern w:val="2"/>
      <w:sz w:val="28"/>
      <w:szCs w:val="28"/>
    </w:rPr>
  </w:style>
  <w:style w:type="paragraph" w:styleId="9">
    <w:name w:val="Body Text 3"/>
    <w:basedOn w:val="1"/>
    <w:uiPriority w:val="0"/>
    <w:pPr>
      <w:snapToGrid w:val="0"/>
      <w:spacing w:before="50" w:after="50"/>
    </w:pPr>
    <w:rPr>
      <w:rFonts w:hAnsi="宋体" w:eastAsia="仿宋_GB2312"/>
      <w:b/>
      <w:bCs/>
      <w:sz w:val="24"/>
      <w:szCs w:val="20"/>
    </w:rPr>
  </w:style>
  <w:style w:type="paragraph" w:styleId="10">
    <w:name w:val="Body Text"/>
    <w:basedOn w:val="1"/>
    <w:uiPriority w:val="0"/>
    <w:pPr>
      <w:spacing w:after="120"/>
    </w:pPr>
    <w:rPr>
      <w:sz w:val="28"/>
    </w:rPr>
  </w:style>
  <w:style w:type="paragraph" w:styleId="11">
    <w:name w:val="Body Text Indent"/>
    <w:basedOn w:val="1"/>
    <w:link w:val="37"/>
    <w:qFormat/>
    <w:uiPriority w:val="0"/>
    <w:pPr>
      <w:spacing w:line="200" w:lineRule="exact"/>
      <w:ind w:firstLine="301"/>
    </w:pPr>
    <w:rPr>
      <w:rFonts w:ascii="宋体" w:hAnsi="Courier New"/>
      <w:spacing w:val="-4"/>
      <w:sz w:val="18"/>
      <w:szCs w:val="20"/>
    </w:rPr>
  </w:style>
  <w:style w:type="paragraph" w:styleId="12">
    <w:name w:val="List Number 3"/>
    <w:basedOn w:val="1"/>
    <w:uiPriority w:val="0"/>
    <w:pPr>
      <w:numPr>
        <w:ilvl w:val="0"/>
        <w:numId w:val="3"/>
      </w:numPr>
    </w:pPr>
  </w:style>
  <w:style w:type="paragraph" w:styleId="13">
    <w:name w:val="List 2"/>
    <w:basedOn w:val="1"/>
    <w:uiPriority w:val="0"/>
    <w:pPr>
      <w:ind w:left="100" w:leftChars="200" w:hanging="200" w:hangingChars="200"/>
    </w:pPr>
    <w:rPr>
      <w:sz w:val="28"/>
    </w:rPr>
  </w:style>
  <w:style w:type="paragraph" w:styleId="14">
    <w:name w:val="toc 3"/>
    <w:basedOn w:val="1"/>
    <w:next w:val="1"/>
    <w:uiPriority w:val="39"/>
    <w:pPr>
      <w:ind w:left="840" w:leftChars="400"/>
    </w:pPr>
  </w:style>
  <w:style w:type="paragraph" w:styleId="15">
    <w:name w:val="Plain Text"/>
    <w:basedOn w:val="1"/>
    <w:link w:val="42"/>
    <w:uiPriority w:val="0"/>
    <w:pPr>
      <w:spacing w:before="156" w:beforeLines="50" w:after="156" w:afterLines="50" w:line="400" w:lineRule="exact"/>
    </w:pPr>
    <w:rPr>
      <w:rFonts w:ascii="宋体" w:hAnsi="Courier New"/>
      <w:sz w:val="24"/>
    </w:rPr>
  </w:style>
  <w:style w:type="paragraph" w:styleId="16">
    <w:name w:val="Date"/>
    <w:basedOn w:val="1"/>
    <w:next w:val="1"/>
    <w:uiPriority w:val="0"/>
    <w:pPr>
      <w:ind w:leftChars="2500"/>
    </w:pPr>
    <w:rPr>
      <w:rFonts w:eastAsia="楷体_GB2312"/>
      <w:sz w:val="32"/>
      <w:szCs w:val="20"/>
    </w:rPr>
  </w:style>
  <w:style w:type="paragraph" w:styleId="17">
    <w:name w:val="Body Text Indent 2"/>
    <w:basedOn w:val="1"/>
    <w:uiPriority w:val="0"/>
    <w:pPr>
      <w:snapToGrid w:val="0"/>
      <w:ind w:firstLine="542" w:firstLineChars="225"/>
    </w:pPr>
    <w:rPr>
      <w:rFonts w:ascii="仿宋_GB2312" w:hAnsi="宋体" w:cs="Arial"/>
      <w:b/>
      <w:bCs/>
      <w:color w:val="000000"/>
      <w:sz w:val="24"/>
    </w:rPr>
  </w:style>
  <w:style w:type="paragraph" w:styleId="18">
    <w:name w:val="Balloon Text"/>
    <w:basedOn w:val="1"/>
    <w:semiHidden/>
    <w:uiPriority w:val="0"/>
    <w:rPr>
      <w:sz w:val="18"/>
      <w:szCs w:val="18"/>
    </w:rPr>
  </w:style>
  <w:style w:type="paragraph" w:styleId="19">
    <w:name w:val="footer"/>
    <w:basedOn w:val="1"/>
    <w:link w:val="38"/>
    <w:uiPriority w:val="99"/>
    <w:pPr>
      <w:tabs>
        <w:tab w:val="center" w:pos="4153"/>
        <w:tab w:val="right" w:pos="8306"/>
      </w:tabs>
      <w:snapToGrid w:val="0"/>
      <w:jc w:val="left"/>
    </w:pPr>
    <w:rPr>
      <w:rFonts w:eastAsia="黑体"/>
      <w:snapToGrid w:val="0"/>
      <w:kern w:val="0"/>
      <w:sz w:val="18"/>
      <w:szCs w:val="18"/>
    </w:rPr>
  </w:style>
  <w:style w:type="paragraph" w:styleId="20">
    <w:name w:val="header"/>
    <w:basedOn w:val="1"/>
    <w:link w:val="40"/>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21">
    <w:name w:val="toc 1"/>
    <w:basedOn w:val="1"/>
    <w:next w:val="1"/>
    <w:uiPriority w:val="0"/>
  </w:style>
  <w:style w:type="paragraph" w:styleId="22">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3">
    <w:name w:val="List"/>
    <w:basedOn w:val="1"/>
    <w:uiPriority w:val="0"/>
    <w:pPr>
      <w:ind w:left="200" w:hanging="200" w:hangingChars="200"/>
    </w:pPr>
    <w:rPr>
      <w:sz w:val="28"/>
    </w:rPr>
  </w:style>
  <w:style w:type="paragraph" w:styleId="24">
    <w:name w:val="Body Text Indent 3"/>
    <w:basedOn w:val="1"/>
    <w:link w:val="41"/>
    <w:uiPriority w:val="0"/>
    <w:pPr>
      <w:snapToGrid w:val="0"/>
      <w:ind w:firstLine="480" w:firstLineChars="200"/>
      <w:jc w:val="left"/>
    </w:pPr>
    <w:rPr>
      <w:rFonts w:ascii="仿宋_GB2312" w:hAnsi="宋体" w:eastAsia="仿宋_GB2312"/>
      <w:color w:val="000000"/>
      <w:sz w:val="24"/>
    </w:rPr>
  </w:style>
  <w:style w:type="paragraph" w:styleId="25">
    <w:name w:val="toc 2"/>
    <w:basedOn w:val="1"/>
    <w:next w:val="1"/>
    <w:uiPriority w:val="39"/>
    <w:pPr>
      <w:ind w:left="420" w:leftChars="200"/>
    </w:pPr>
  </w:style>
  <w:style w:type="paragraph" w:styleId="26">
    <w:name w:val="Body Text 2"/>
    <w:basedOn w:val="1"/>
    <w:uiPriority w:val="0"/>
    <w:pPr>
      <w:widowControl/>
      <w:snapToGrid w:val="0"/>
      <w:spacing w:before="50" w:after="156" w:afterLines="50" w:line="400" w:lineRule="exact"/>
      <w:jc w:val="left"/>
    </w:pPr>
    <w:rPr>
      <w:rFonts w:ascii="宋体" w:hAnsi="宋体"/>
      <w:color w:val="000000"/>
      <w:sz w:val="24"/>
    </w:rPr>
  </w:style>
  <w:style w:type="paragraph" w:styleId="27">
    <w:name w:val="HTML Preformatted"/>
    <w:basedOn w:val="1"/>
    <w:link w:val="39"/>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28">
    <w:name w:val="Normal (Web)"/>
    <w:basedOn w:val="1"/>
    <w:uiPriority w:val="0"/>
    <w:pPr>
      <w:widowControl/>
      <w:jc w:val="left"/>
    </w:pPr>
    <w:rPr>
      <w:rFonts w:ascii="宋体" w:hAnsi="宋体" w:cs="宋体"/>
      <w:kern w:val="0"/>
      <w:sz w:val="24"/>
    </w:rPr>
  </w:style>
  <w:style w:type="paragraph" w:customStyle="1" w:styleId="31">
    <w:name w:val=" Char1"/>
    <w:basedOn w:val="1"/>
    <w:link w:val="30"/>
    <w:uiPriority w:val="0"/>
    <w:rPr>
      <w:rFonts w:ascii="Tahoma" w:hAnsi="Tahoma"/>
      <w:sz w:val="24"/>
      <w:szCs w:val="20"/>
    </w:rPr>
  </w:style>
  <w:style w:type="character" w:styleId="32">
    <w:name w:val="page number"/>
    <w:basedOn w:val="30"/>
    <w:uiPriority w:val="0"/>
  </w:style>
  <w:style w:type="character" w:styleId="33">
    <w:name w:val="FollowedHyperlink"/>
    <w:basedOn w:val="30"/>
    <w:uiPriority w:val="0"/>
    <w:rPr>
      <w:color w:val="333333"/>
      <w:u w:val="none"/>
    </w:rPr>
  </w:style>
  <w:style w:type="character" w:styleId="34">
    <w:name w:val="Hyperlink"/>
    <w:basedOn w:val="30"/>
    <w:uiPriority w:val="99"/>
    <w:rPr>
      <w:color w:val="333333"/>
      <w:u w:val="none"/>
    </w:rPr>
  </w:style>
  <w:style w:type="character" w:customStyle="1" w:styleId="35">
    <w:name w:val="标题 1 Char"/>
    <w:link w:val="2"/>
    <w:uiPriority w:val="0"/>
    <w:rPr>
      <w:b/>
      <w:bCs/>
      <w:kern w:val="44"/>
      <w:sz w:val="44"/>
      <w:szCs w:val="44"/>
    </w:rPr>
  </w:style>
  <w:style w:type="character" w:customStyle="1" w:styleId="36">
    <w:name w:val="标题 2 Char"/>
    <w:link w:val="3"/>
    <w:qFormat/>
    <w:uiPriority w:val="0"/>
    <w:rPr>
      <w:rFonts w:ascii="Arial" w:hAnsi="Arial" w:eastAsia="黑体"/>
      <w:b/>
      <w:bCs/>
      <w:kern w:val="2"/>
      <w:sz w:val="32"/>
      <w:szCs w:val="32"/>
    </w:rPr>
  </w:style>
  <w:style w:type="character" w:customStyle="1" w:styleId="37">
    <w:name w:val="正文文本缩进 Char"/>
    <w:link w:val="11"/>
    <w:qFormat/>
    <w:uiPriority w:val="0"/>
    <w:rPr>
      <w:rFonts w:ascii="宋体" w:hAnsi="Courier New"/>
      <w:spacing w:val="-4"/>
      <w:kern w:val="2"/>
      <w:sz w:val="18"/>
    </w:rPr>
  </w:style>
  <w:style w:type="character" w:customStyle="1" w:styleId="38">
    <w:name w:val="页脚 Char"/>
    <w:link w:val="19"/>
    <w:uiPriority w:val="99"/>
    <w:rPr>
      <w:rFonts w:eastAsia="黑体"/>
      <w:snapToGrid/>
      <w:sz w:val="18"/>
      <w:szCs w:val="18"/>
    </w:rPr>
  </w:style>
  <w:style w:type="character" w:customStyle="1" w:styleId="39">
    <w:name w:val="HTML 预设格式 Char"/>
    <w:link w:val="27"/>
    <w:uiPriority w:val="0"/>
    <w:rPr>
      <w:rFonts w:ascii="Arial Unicode MS" w:hAnsi="Arial Unicode MS" w:eastAsia="Arial Unicode MS" w:cs="Arial Unicode MS"/>
      <w:color w:val="000000"/>
    </w:rPr>
  </w:style>
  <w:style w:type="character" w:customStyle="1" w:styleId="40">
    <w:name w:val="页眉 Char"/>
    <w:link w:val="20"/>
    <w:uiPriority w:val="99"/>
    <w:rPr>
      <w:rFonts w:eastAsia="仿宋_GB2312"/>
      <w:kern w:val="2"/>
      <w:sz w:val="18"/>
    </w:rPr>
  </w:style>
  <w:style w:type="character" w:customStyle="1" w:styleId="41">
    <w:name w:val="正文文本缩进 3 Char"/>
    <w:link w:val="24"/>
    <w:uiPriority w:val="0"/>
    <w:rPr>
      <w:rFonts w:ascii="仿宋_GB2312" w:hAnsi="宋体" w:eastAsia="仿宋_GB2312"/>
      <w:color w:val="000000"/>
      <w:kern w:val="2"/>
      <w:sz w:val="24"/>
      <w:szCs w:val="24"/>
    </w:rPr>
  </w:style>
  <w:style w:type="character" w:customStyle="1" w:styleId="42">
    <w:name w:val="纯文本 Char"/>
    <w:link w:val="15"/>
    <w:locked/>
    <w:uiPriority w:val="0"/>
    <w:rPr>
      <w:rFonts w:ascii="宋体" w:hAnsi="Courier New"/>
      <w:kern w:val="2"/>
      <w:sz w:val="24"/>
      <w:szCs w:val="24"/>
    </w:rPr>
  </w:style>
  <w:style w:type="character" w:customStyle="1" w:styleId="43">
    <w:name w:val="标题 1 Char Char"/>
    <w:uiPriority w:val="0"/>
    <w:rPr>
      <w:rFonts w:eastAsia="宋体"/>
      <w:b/>
      <w:spacing w:val="-2"/>
      <w:sz w:val="24"/>
      <w:lang w:val="en-US" w:eastAsia="zh-CN" w:bidi="ar-SA"/>
    </w:rPr>
  </w:style>
  <w:style w:type="character" w:customStyle="1" w:styleId="44">
    <w:name w:val="layui-laypage-curr"/>
    <w:basedOn w:val="30"/>
    <w:uiPriority w:val="0"/>
  </w:style>
  <w:style w:type="character" w:customStyle="1" w:styleId="45">
    <w:name w:val="正文缩进 Char"/>
    <w:link w:val="6"/>
    <w:locked/>
    <w:uiPriority w:val="0"/>
    <w:rPr>
      <w:kern w:val="2"/>
      <w:sz w:val="21"/>
    </w:rPr>
  </w:style>
  <w:style w:type="paragraph" w:customStyle="1" w:styleId="46">
    <w:name w:val="f1"/>
    <w:basedOn w:val="1"/>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styleId="47">
    <w:name w:val="List Paragraph"/>
    <w:basedOn w:val="1"/>
    <w:qFormat/>
    <w:uiPriority w:val="34"/>
    <w:pPr>
      <w:ind w:firstLine="420" w:firstLineChars="200"/>
    </w:pPr>
  </w:style>
  <w:style w:type="paragraph" w:customStyle="1" w:styleId="48">
    <w:name w:val="列出段落1"/>
    <w:basedOn w:val="1"/>
    <w:qFormat/>
    <w:uiPriority w:val="34"/>
    <w:pPr>
      <w:ind w:firstLine="420" w:firstLineChars="200"/>
    </w:pPr>
    <w:rPr>
      <w:rFonts w:ascii="Calibri" w:hAnsi="Calibri"/>
      <w:sz w:val="28"/>
      <w:szCs w:val="22"/>
    </w:rPr>
  </w:style>
  <w:style w:type="paragraph" w:customStyle="1" w:styleId="49">
    <w:name w:val="样式 楷体_GB2312 小四 行距: 1.5 倍行距"/>
    <w:basedOn w:val="1"/>
    <w:uiPriority w:val="0"/>
    <w:pPr>
      <w:spacing w:line="360" w:lineRule="auto"/>
      <w:ind w:firstLine="200" w:firstLineChars="200"/>
    </w:pPr>
    <w:rPr>
      <w:rFonts w:ascii="楷体_GB2312" w:eastAsia="楷体_GB2312" w:cs="宋体"/>
      <w:sz w:val="24"/>
      <w:szCs w:val="20"/>
    </w:rPr>
  </w:style>
  <w:style w:type="paragraph" w:customStyle="1" w:styleId="50">
    <w:name w:val="表内文字"/>
    <w:basedOn w:val="1"/>
    <w:uiPriority w:val="0"/>
    <w:pPr>
      <w:tabs>
        <w:tab w:val="left" w:pos="1418"/>
      </w:tabs>
      <w:spacing w:line="360" w:lineRule="auto"/>
      <w:jc w:val="center"/>
    </w:pPr>
    <w:rPr>
      <w:rFonts w:ascii="仿宋_GB2312" w:eastAsia="仿宋_GB2312"/>
      <w:spacing w:val="-20"/>
      <w:kern w:val="0"/>
      <w:sz w:val="24"/>
    </w:rPr>
  </w:style>
  <w:style w:type="paragraph" w:styleId="51">
    <w:name w:val=""/>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52">
    <w:name w:val="GP正文(首行缩进)"/>
    <w:basedOn w:val="1"/>
    <w:qFormat/>
    <w:uiPriority w:val="0"/>
    <w:pPr>
      <w:ind w:firstLine="480" w:firstLineChars="200"/>
      <w:jc w:val="left"/>
    </w:pPr>
    <w:rPr>
      <w:rFonts w:hint="default" w:ascii="华文中宋" w:hAnsi="宋体" w:eastAsia="微软雅黑" w:cs="宋体"/>
      <w:kern w:val="0"/>
      <w:szCs w:val="24"/>
    </w:rPr>
  </w:style>
  <w:style w:type="paragraph" w:customStyle="1" w:styleId="53">
    <w:name w:val="正文段"/>
    <w:basedOn w:val="1"/>
    <w:uiPriority w:val="0"/>
    <w:pPr>
      <w:widowControl/>
      <w:snapToGrid w:val="0"/>
      <w:spacing w:after="50" w:afterLines="50"/>
      <w:ind w:firstLine="200" w:firstLineChars="200"/>
    </w:pPr>
    <w:rPr>
      <w:kern w:val="0"/>
      <w:sz w:val="24"/>
      <w:szCs w:val="20"/>
    </w:rPr>
  </w:style>
  <w:style w:type="paragraph" w:customStyle="1" w:styleId="54">
    <w:name w:val="默认段落字体 Para Char Char Char Char Char Char Char Char Char1 Char Char Char Char"/>
    <w:basedOn w:val="1"/>
    <w:uiPriority w:val="0"/>
    <w:rPr>
      <w:rFonts w:ascii="Tahoma" w:hAnsi="Tahoma"/>
      <w:sz w:val="24"/>
      <w:szCs w:val="20"/>
    </w:rPr>
  </w:style>
  <w:style w:type="paragraph" w:customStyle="1" w:styleId="55">
    <w:name w:val="Char Char Char Char"/>
    <w:basedOn w:val="1"/>
    <w:uiPriority w:val="0"/>
    <w:pPr>
      <w:widowControl/>
      <w:spacing w:after="160" w:line="240" w:lineRule="exact"/>
      <w:jc w:val="left"/>
    </w:pPr>
    <w:rPr>
      <w:rFonts w:ascii="Tahoma" w:hAnsi="Tahoma" w:eastAsia="Times New Roman"/>
      <w:kern w:val="0"/>
      <w:sz w:val="24"/>
      <w:szCs w:val="20"/>
      <w:lang/>
    </w:rPr>
  </w:style>
  <w:style w:type="paragraph" w:customStyle="1" w:styleId="56">
    <w:name w:val="表格"/>
    <w:next w:val="1"/>
    <w:uiPriority w:val="0"/>
    <w:pPr>
      <w:spacing w:before="120" w:beforeLines="50" w:after="120" w:afterLines="50"/>
      <w:jc w:val="both"/>
    </w:pPr>
    <w:rPr>
      <w:rFonts w:ascii="宋体" w:hAnsi="宋体"/>
      <w:color w:val="000000"/>
      <w:kern w:val="2"/>
      <w:sz w:val="18"/>
      <w:szCs w:val="18"/>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jpe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customXml/item1.xml" Type="http://schemas.openxmlformats.org/officeDocument/2006/relationships/customXml"/><Relationship Id="rId16" Target="numbering.xml" Type="http://schemas.openxmlformats.org/officeDocument/2006/relationships/numbering"/><Relationship Id="rId17"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footer1.xml" Type="http://schemas.openxmlformats.org/officeDocument/2006/relationships/footer"/><Relationship Id="rId5" Target="footer2.xml" Type="http://schemas.openxmlformats.org/officeDocument/2006/relationships/footer"/><Relationship Id="rId6" Target="theme/theme1.xml" Type="http://schemas.openxmlformats.org/officeDocument/2006/relationships/theme"/><Relationship Id="rId7" Target="media/image1.png" Type="http://schemas.openxmlformats.org/officeDocument/2006/relationships/image"/><Relationship Id="rId8" Target="media/image2.png" Type="http://schemas.openxmlformats.org/officeDocument/2006/relationships/image"/><Relationship Id="rId9" Target="media/image3.jpe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青鸟杭办</Company>
  <Pages>80</Pages>
  <Words>41998</Words>
  <Characters>48029</Characters>
  <Lines>216</Lines>
  <Paragraphs>60</Paragraphs>
  <TotalTime>34</TotalTime>
  <ScaleCrop>false</ScaleCrop>
  <LinksUpToDate>false</LinksUpToDate>
  <CharactersWithSpaces>52225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2018-11-26T13:45:00Z</dcterms:created>
  <dc:creator>黄旭明</dc:creator>
  <cp:lastModifiedBy>WPS_1701756769</cp:lastModifiedBy>
  <cp:lastPrinted>2019-09-20T00:59:38Z</cp:lastPrinted>
  <dcterms:modified xsi:type="dcterms:W3CDTF">2024-01-31T04:12:26Z</dcterms:modified>
  <cp:revision>11</cp:revision>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86F70663D0974844B61B44FE870318A5_13</vt:lpwstr>
  </property>
</Properties>
</file>