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sz w:val="44"/>
          <w:szCs w:val="44"/>
        </w:rPr>
      </w:pPr>
    </w:p>
    <w:p>
      <w:pPr>
        <w:jc w:val="center"/>
        <w:rPr>
          <w:rFonts w:ascii="仿宋_GB2312" w:eastAsia="仿宋_GB2312"/>
          <w:sz w:val="24"/>
          <w:szCs w:val="24"/>
        </w:rPr>
      </w:pPr>
    </w:p>
    <w:p>
      <w:pPr>
        <w:jc w:val="center"/>
        <w:rPr>
          <w:rFonts w:ascii="仿宋_GB2312" w:eastAsia="仿宋_GB2312"/>
          <w:sz w:val="32"/>
          <w:szCs w:val="32"/>
        </w:rPr>
      </w:pPr>
    </w:p>
    <w:p>
      <w:pPr>
        <w:jc w:val="center"/>
        <w:rPr>
          <w:rFonts w:hint="eastAsia" w:ascii="仿宋_GB2312" w:eastAsia="仿宋_GB2312"/>
          <w:sz w:val="24"/>
          <w:szCs w:val="24"/>
          <w:lang w:eastAsia="zh-CN"/>
        </w:rPr>
      </w:pPr>
      <w:r>
        <w:rPr>
          <w:rFonts w:hint="eastAsia" w:ascii="仿宋_GB2312" w:hAnsi="宋体" w:eastAsia="仿宋_GB2312"/>
          <w:b/>
          <w:sz w:val="36"/>
          <w:szCs w:val="36"/>
          <w:lang w:eastAsia="zh-CN"/>
        </w:rPr>
        <w:t>舟山绿色石化基地安全咨询服务项目</w:t>
      </w: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spacing w:line="600" w:lineRule="exact"/>
        <w:jc w:val="center"/>
        <w:rPr>
          <w:rFonts w:ascii="仿宋_GB2312" w:eastAsia="仿宋_GB2312"/>
          <w:sz w:val="30"/>
          <w:szCs w:val="30"/>
        </w:rPr>
      </w:pPr>
      <w:r>
        <w:rPr>
          <w:rFonts w:hint="eastAsia" w:ascii="仿宋_GB2312" w:eastAsia="仿宋_GB2312"/>
          <w:sz w:val="30"/>
          <w:szCs w:val="30"/>
        </w:rPr>
        <w:t>招标文件</w:t>
      </w:r>
    </w:p>
    <w:p>
      <w:pPr>
        <w:spacing w:line="600" w:lineRule="exact"/>
        <w:jc w:val="center"/>
        <w:rPr>
          <w:rFonts w:ascii="仿宋_GB2312" w:eastAsia="仿宋_GB2312"/>
          <w:sz w:val="30"/>
          <w:szCs w:val="30"/>
        </w:rPr>
      </w:pPr>
      <w:r>
        <w:rPr>
          <w:rFonts w:hint="eastAsia" w:ascii="仿宋_GB2312" w:eastAsia="仿宋_GB2312"/>
          <w:sz w:val="30"/>
          <w:szCs w:val="30"/>
        </w:rPr>
        <w:t>（电子招投标）</w:t>
      </w:r>
    </w:p>
    <w:p>
      <w:pPr>
        <w:spacing w:line="600" w:lineRule="exact"/>
        <w:jc w:val="center"/>
        <w:rPr>
          <w:rFonts w:hint="eastAsia" w:ascii="仿宋_GB2312" w:eastAsia="仿宋_GB2312"/>
          <w:sz w:val="30"/>
          <w:szCs w:val="30"/>
          <w:lang w:eastAsia="zh-CN"/>
        </w:rPr>
      </w:pPr>
      <w:r>
        <w:rPr>
          <w:rFonts w:hint="eastAsia" w:ascii="仿宋_GB2312" w:eastAsia="仿宋_GB2312"/>
          <w:sz w:val="30"/>
          <w:szCs w:val="30"/>
        </w:rPr>
        <w:t>编号:</w:t>
      </w:r>
      <w:r>
        <w:rPr>
          <w:rFonts w:hint="eastAsia" w:ascii="仿宋_GB2312" w:eastAsia="仿宋_GB2312"/>
          <w:sz w:val="30"/>
          <w:szCs w:val="30"/>
          <w:lang w:eastAsia="zh-CN"/>
        </w:rPr>
        <w:t>TC【2024】CG1025号</w:t>
      </w:r>
    </w:p>
    <w:p>
      <w:pPr>
        <w:spacing w:line="600" w:lineRule="exact"/>
        <w:jc w:val="center"/>
        <w:rPr>
          <w:rFonts w:ascii="仿宋_GB2312" w:eastAsia="仿宋_GB2312"/>
          <w:sz w:val="30"/>
          <w:szCs w:val="30"/>
        </w:rPr>
      </w:pPr>
    </w:p>
    <w:p>
      <w:pPr>
        <w:spacing w:line="600" w:lineRule="exact"/>
        <w:jc w:val="center"/>
        <w:rPr>
          <w:rFonts w:ascii="仿宋_GB2312" w:eastAsia="仿宋_GB2312"/>
          <w:sz w:val="30"/>
          <w:szCs w:val="30"/>
        </w:rPr>
      </w:pPr>
    </w:p>
    <w:p>
      <w:pPr>
        <w:spacing w:line="600" w:lineRule="exact"/>
        <w:jc w:val="center"/>
        <w:rPr>
          <w:rFonts w:ascii="仿宋_GB2312" w:eastAsia="仿宋_GB2312"/>
          <w:sz w:val="30"/>
          <w:szCs w:val="30"/>
        </w:rPr>
      </w:pPr>
    </w:p>
    <w:p>
      <w:pPr>
        <w:spacing w:line="600" w:lineRule="exact"/>
        <w:jc w:val="center"/>
        <w:rPr>
          <w:rFonts w:ascii="仿宋_GB2312" w:eastAsia="仿宋_GB2312"/>
          <w:sz w:val="30"/>
          <w:szCs w:val="30"/>
        </w:rPr>
      </w:pPr>
    </w:p>
    <w:p>
      <w:pPr>
        <w:spacing w:line="600" w:lineRule="exact"/>
        <w:jc w:val="center"/>
        <w:rPr>
          <w:rFonts w:ascii="仿宋_GB2312" w:eastAsia="仿宋_GB2312"/>
          <w:sz w:val="30"/>
          <w:szCs w:val="30"/>
        </w:rPr>
      </w:pPr>
    </w:p>
    <w:p>
      <w:pPr>
        <w:adjustRightInd w:val="0"/>
        <w:snapToGrid w:val="0"/>
        <w:spacing w:line="600" w:lineRule="exact"/>
        <w:jc w:val="center"/>
        <w:rPr>
          <w:rFonts w:hint="eastAsia" w:ascii="仿宋_GB2312" w:hAnsi="宋体" w:eastAsia="仿宋_GB2312" w:cs="宋体"/>
          <w:sz w:val="30"/>
          <w:szCs w:val="30"/>
          <w:lang w:eastAsia="zh-CN"/>
        </w:rPr>
      </w:pPr>
      <w:r>
        <w:rPr>
          <w:rFonts w:hint="eastAsia" w:ascii="仿宋_GB2312" w:hAnsi="宋体" w:eastAsia="仿宋_GB2312" w:cs="宋体"/>
          <w:sz w:val="30"/>
          <w:szCs w:val="30"/>
          <w:lang w:eastAsia="zh-CN"/>
        </w:rPr>
        <w:t>舟山绿色石化基地管理委员会</w:t>
      </w:r>
    </w:p>
    <w:p>
      <w:pPr>
        <w:adjustRightInd w:val="0"/>
        <w:snapToGrid w:val="0"/>
        <w:spacing w:line="60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浙江天诚工程咨询有限公司</w:t>
      </w:r>
    </w:p>
    <w:p>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2024年</w:t>
      </w:r>
      <w:r>
        <w:rPr>
          <w:rFonts w:hint="eastAsia" w:ascii="仿宋_GB2312" w:eastAsia="仿宋_GB2312"/>
          <w:sz w:val="30"/>
          <w:szCs w:val="30"/>
          <w:lang w:val="en-US" w:eastAsia="zh-CN"/>
        </w:rPr>
        <w:t>4</w:t>
      </w:r>
      <w:r>
        <w:rPr>
          <w:rFonts w:hint="eastAsia" w:ascii="仿宋_GB2312" w:eastAsia="仿宋_GB2312"/>
          <w:sz w:val="30"/>
          <w:szCs w:val="30"/>
        </w:rPr>
        <w:t>月</w:t>
      </w:r>
    </w:p>
    <w:p>
      <w:pPr>
        <w:adjustRightInd w:val="0"/>
        <w:snapToGrid w:val="0"/>
        <w:jc w:val="center"/>
        <w:rPr>
          <w:rFonts w:ascii="仿宋_GB2312" w:eastAsia="仿宋_GB2312"/>
          <w:sz w:val="24"/>
          <w:szCs w:val="24"/>
        </w:rPr>
      </w:pPr>
      <w:r>
        <w:rPr>
          <w:rFonts w:hint="eastAsia" w:ascii="仿宋_GB2312" w:eastAsia="仿宋_GB2312"/>
          <w:sz w:val="24"/>
          <w:szCs w:val="24"/>
        </w:rPr>
        <w:br w:type="page"/>
      </w:r>
      <w:bookmarkStart w:id="0" w:name="_Hlt67893495"/>
      <w:bookmarkEnd w:id="0"/>
    </w:p>
    <w:p>
      <w:pPr>
        <w:rPr>
          <w:rFonts w:ascii="仿宋_GB2312" w:eastAsia="仿宋_GB2312"/>
          <w:sz w:val="24"/>
          <w:szCs w:val="24"/>
        </w:rPr>
      </w:pPr>
    </w:p>
    <w:p>
      <w:pPr>
        <w:jc w:val="center"/>
        <w:rPr>
          <w:rFonts w:ascii="仿宋_GB2312" w:hAnsi="宋体" w:eastAsia="仿宋_GB2312"/>
          <w:b/>
          <w:sz w:val="28"/>
          <w:szCs w:val="28"/>
        </w:rPr>
      </w:pPr>
      <w:r>
        <w:rPr>
          <w:rFonts w:hint="eastAsia" w:ascii="仿宋_GB2312" w:hAnsi="宋体" w:eastAsia="仿宋_GB2312"/>
          <w:b/>
          <w:sz w:val="28"/>
          <w:szCs w:val="28"/>
        </w:rPr>
        <w:t>目  录</w:t>
      </w:r>
    </w:p>
    <w:p>
      <w:pPr>
        <w:rPr>
          <w:rFonts w:ascii="仿宋_GB2312" w:eastAsia="仿宋_GB2312"/>
          <w:sz w:val="28"/>
          <w:szCs w:val="28"/>
        </w:rPr>
      </w:pPr>
    </w:p>
    <w:p>
      <w:pPr>
        <w:spacing w:line="360" w:lineRule="auto"/>
        <w:rPr>
          <w:rFonts w:ascii="仿宋_GB2312" w:eastAsia="仿宋_GB2312"/>
          <w:sz w:val="28"/>
          <w:szCs w:val="28"/>
        </w:rPr>
      </w:pP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第一部分      招标公告</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第二部分      投标人须知</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第三部分      采购需求</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第四部分      评标办法</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第五部分      拟签订的合同文本</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第六部分      应提交的有关格式范例</w:t>
      </w:r>
    </w:p>
    <w:p>
      <w:pPr>
        <w:rPr>
          <w:rFonts w:ascii="仿宋_GB2312" w:hAnsi="黑体" w:eastAsia="仿宋_GB2312"/>
          <w:sz w:val="24"/>
          <w:szCs w:val="24"/>
        </w:rPr>
      </w:pPr>
      <w:bookmarkStart w:id="1" w:name="_Hlt91233176"/>
      <w:bookmarkEnd w:id="1"/>
      <w:bookmarkStart w:id="2" w:name="_Toc91899869"/>
    </w:p>
    <w:p>
      <w:pPr>
        <w:rPr>
          <w:rFonts w:ascii="仿宋_GB2312" w:hAnsi="黑体"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spacing w:line="540" w:lineRule="exact"/>
        <w:contextualSpacing/>
        <w:jc w:val="center"/>
        <w:rPr>
          <w:rFonts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_GB2312" w:hAnsi="黑体" w:eastAsia="仿宋_GB2312"/>
          <w:b/>
          <w:sz w:val="28"/>
          <w:szCs w:val="28"/>
        </w:rPr>
        <w:t>第一部分 招标公告</w:t>
      </w:r>
    </w:p>
    <w:p>
      <w:pPr>
        <w:spacing w:line="420" w:lineRule="exact"/>
        <w:ind w:firstLine="482" w:firstLineChars="200"/>
        <w:contextualSpacing/>
        <w:rPr>
          <w:rFonts w:ascii="仿宋_GB2312" w:eastAsia="仿宋_GB2312"/>
          <w:b/>
          <w:sz w:val="24"/>
          <w:szCs w:val="24"/>
        </w:rPr>
      </w:pP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lang w:eastAsia="zh-CN"/>
        </w:rPr>
        <w:t>舟山绿色石化基地安全咨询服务项目</w:t>
      </w:r>
      <w:r>
        <w:rPr>
          <w:rFonts w:hint="eastAsia" w:ascii="仿宋_GB2312" w:eastAsia="仿宋_GB2312"/>
          <w:sz w:val="24"/>
          <w:szCs w:val="24"/>
        </w:rPr>
        <w:t>的潜在投标人应在政采云平台（</w:t>
      </w:r>
      <w:r>
        <w:rPr>
          <w:highlight w:val="none"/>
        </w:rPr>
        <w:fldChar w:fldCharType="begin"/>
      </w:r>
      <w:r>
        <w:rPr>
          <w:highlight w:val="none"/>
        </w:rPr>
        <w:instrText xml:space="preserve"> HYPERLINK "https://www.zcygov.cn/）获取（下载）招标文件，并于2023年12月12日9点15分00秒" </w:instrText>
      </w:r>
      <w:r>
        <w:rPr>
          <w:highlight w:val="none"/>
        </w:rPr>
        <w:fldChar w:fldCharType="separate"/>
      </w:r>
      <w:r>
        <w:rPr>
          <w:rStyle w:val="29"/>
          <w:rFonts w:hint="eastAsia" w:ascii="仿宋_GB2312" w:eastAsia="仿宋_GB2312"/>
          <w:color w:val="auto"/>
          <w:sz w:val="24"/>
          <w:szCs w:val="24"/>
          <w:highlight w:val="none"/>
        </w:rPr>
        <w:t>https://www.zcygov.cn/）获取（下载）招标文件，并于2024年</w:t>
      </w:r>
      <w:r>
        <w:rPr>
          <w:rStyle w:val="29"/>
          <w:rFonts w:hint="eastAsia" w:ascii="仿宋_GB2312" w:eastAsia="仿宋_GB2312"/>
          <w:color w:val="auto"/>
          <w:sz w:val="24"/>
          <w:szCs w:val="24"/>
          <w:highlight w:val="none"/>
          <w:lang w:val="en-US" w:eastAsia="zh-CN"/>
        </w:rPr>
        <w:t>5</w:t>
      </w:r>
      <w:r>
        <w:rPr>
          <w:rStyle w:val="29"/>
          <w:rFonts w:hint="eastAsia" w:ascii="仿宋_GB2312" w:eastAsia="仿宋_GB2312"/>
          <w:color w:val="auto"/>
          <w:sz w:val="24"/>
          <w:szCs w:val="24"/>
          <w:highlight w:val="none"/>
        </w:rPr>
        <w:t>月</w:t>
      </w:r>
      <w:r>
        <w:rPr>
          <w:rStyle w:val="29"/>
          <w:rFonts w:hint="eastAsia" w:ascii="仿宋_GB2312" w:eastAsia="仿宋_GB2312"/>
          <w:color w:val="auto"/>
          <w:sz w:val="24"/>
          <w:szCs w:val="24"/>
          <w:highlight w:val="none"/>
          <w:lang w:val="en-US" w:eastAsia="zh-CN"/>
        </w:rPr>
        <w:t>17</w:t>
      </w:r>
      <w:r>
        <w:rPr>
          <w:rStyle w:val="29"/>
          <w:rFonts w:hint="eastAsia" w:ascii="仿宋_GB2312" w:eastAsia="仿宋_GB2312"/>
          <w:color w:val="auto"/>
          <w:sz w:val="24"/>
          <w:szCs w:val="24"/>
          <w:highlight w:val="none"/>
          <w:lang w:eastAsia="zh-CN"/>
        </w:rPr>
        <w:t>日</w:t>
      </w:r>
      <w:r>
        <w:rPr>
          <w:rStyle w:val="29"/>
          <w:rFonts w:hint="eastAsia" w:ascii="仿宋_GB2312" w:eastAsia="仿宋_GB2312"/>
          <w:color w:val="auto"/>
          <w:sz w:val="24"/>
          <w:szCs w:val="24"/>
          <w:highlight w:val="none"/>
          <w:lang w:val="en-US" w:eastAsia="zh-CN"/>
        </w:rPr>
        <w:t>14</w:t>
      </w:r>
      <w:r>
        <w:rPr>
          <w:rStyle w:val="29"/>
          <w:rFonts w:hint="eastAsia" w:ascii="仿宋_GB2312" w:eastAsia="仿宋_GB2312"/>
          <w:color w:val="auto"/>
          <w:sz w:val="24"/>
          <w:szCs w:val="24"/>
          <w:highlight w:val="none"/>
        </w:rPr>
        <w:t>点1</w:t>
      </w:r>
      <w:r>
        <w:rPr>
          <w:rStyle w:val="29"/>
          <w:rFonts w:hint="eastAsia" w:ascii="仿宋_GB2312" w:eastAsia="仿宋_GB2312"/>
          <w:color w:val="auto"/>
          <w:sz w:val="24"/>
          <w:szCs w:val="24"/>
          <w:highlight w:val="none"/>
          <w:lang w:val="en-US" w:eastAsia="zh-CN"/>
        </w:rPr>
        <w:t>5</w:t>
      </w:r>
      <w:r>
        <w:rPr>
          <w:rStyle w:val="29"/>
          <w:rFonts w:hint="eastAsia" w:ascii="仿宋_GB2312" w:eastAsia="仿宋_GB2312"/>
          <w:color w:val="auto"/>
          <w:sz w:val="24"/>
          <w:szCs w:val="24"/>
          <w:highlight w:val="none"/>
        </w:rPr>
        <w:t>分00秒</w:t>
      </w:r>
      <w:r>
        <w:rPr>
          <w:rStyle w:val="29"/>
          <w:rFonts w:hint="eastAsia" w:ascii="仿宋_GB2312" w:eastAsia="仿宋_GB2312"/>
          <w:color w:val="auto"/>
          <w:sz w:val="24"/>
          <w:szCs w:val="24"/>
          <w:highlight w:val="none"/>
        </w:rPr>
        <w:fldChar w:fldCharType="end"/>
      </w:r>
      <w:r>
        <w:rPr>
          <w:rFonts w:hint="eastAsia" w:ascii="仿宋_GB2312" w:eastAsia="仿宋_GB2312"/>
          <w:sz w:val="24"/>
          <w:szCs w:val="24"/>
          <w:highlight w:val="none"/>
        </w:rPr>
        <w:t>（北京时间）前递交（上传）投标文件。</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项目编号：</w:t>
      </w:r>
      <w:r>
        <w:rPr>
          <w:rFonts w:hint="eastAsia" w:ascii="仿宋_GB2312" w:eastAsia="仿宋_GB2312"/>
          <w:sz w:val="24"/>
          <w:szCs w:val="24"/>
          <w:lang w:eastAsia="zh-CN"/>
        </w:rPr>
        <w:t>TC【2024】CG1025号</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舟山绿色石化基地安全咨询服务项目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预算金额（元）：</w:t>
      </w:r>
      <w:r>
        <w:rPr>
          <w:rFonts w:hint="eastAsia" w:ascii="仿宋_GB2312" w:eastAsia="仿宋_GB2312"/>
          <w:sz w:val="24"/>
          <w:szCs w:val="24"/>
          <w:lang w:val="en-US" w:eastAsia="zh-CN"/>
        </w:rPr>
        <w:t>3970000</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最高限价（元）：</w:t>
      </w:r>
      <w:r>
        <w:rPr>
          <w:rFonts w:hint="eastAsia" w:ascii="仿宋_GB2312" w:eastAsia="仿宋_GB2312"/>
          <w:sz w:val="24"/>
          <w:szCs w:val="24"/>
          <w:lang w:val="en-US" w:eastAsia="zh-CN"/>
        </w:rPr>
        <w:t>3970000</w:t>
      </w: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rPr>
        <w:t>采购需求：包括但不限于编制完成石化基地《整体性安全风险评估报告》、《安全监管履职能力评估报告》、《安全发展规划》，开展专家</w:t>
      </w:r>
      <w:r>
        <w:rPr>
          <w:rFonts w:hint="eastAsia" w:ascii="仿宋_GB2312" w:eastAsia="仿宋_GB2312"/>
          <w:sz w:val="24"/>
          <w:szCs w:val="24"/>
          <w:highlight w:val="none"/>
        </w:rPr>
        <w:t>专业帮扶指导等。</w:t>
      </w:r>
      <w:r>
        <w:rPr>
          <w:rFonts w:hint="eastAsia" w:ascii="仿宋_GB2312" w:eastAsia="仿宋_GB2312"/>
          <w:sz w:val="24"/>
          <w:szCs w:val="24"/>
          <w:highlight w:val="none"/>
          <w:lang w:val="en-US" w:eastAsia="zh-CN"/>
        </w:rPr>
        <w:t>具体</w:t>
      </w:r>
      <w:r>
        <w:rPr>
          <w:rFonts w:hint="eastAsia" w:ascii="仿宋_GB2312" w:eastAsia="仿宋_GB2312"/>
          <w:sz w:val="24"/>
          <w:szCs w:val="24"/>
          <w:highlight w:val="none"/>
        </w:rPr>
        <w:t>详见招标文件第三部分采购需求。</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合同履约期限:</w:t>
      </w:r>
      <w:r>
        <w:rPr>
          <w:rFonts w:hint="eastAsia" w:ascii="仿宋_GB2312" w:eastAsia="仿宋_GB2312"/>
          <w:sz w:val="24"/>
          <w:szCs w:val="24"/>
          <w:highlight w:val="none"/>
        </w:rPr>
        <w:t>自合同签订之日起至2024年12月31日</w:t>
      </w:r>
      <w:r>
        <w:rPr>
          <w:rFonts w:hint="eastAsia" w:ascii="仿宋_GB2312" w:eastAsia="仿宋_GB2312"/>
          <w:sz w:val="24"/>
          <w:szCs w:val="24"/>
          <w:highlight w:val="none"/>
          <w:lang w:eastAsia="zh-CN"/>
        </w:rPr>
        <w:t>。</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sdt>
        <w:sdtPr>
          <w:rPr>
            <w:rFonts w:hint="eastAsia" w:ascii="仿宋_GB2312" w:eastAsia="仿宋_GB2312"/>
            <w:sz w:val="24"/>
            <w:szCs w:val="24"/>
          </w:rPr>
          <w:id w:val="2035453831"/>
        </w:sdtPr>
        <w:sdtEndPr>
          <w:rPr>
            <w:rFonts w:hint="eastAsia" w:ascii="仿宋_GB2312" w:eastAsia="仿宋_GB2312"/>
            <w:sz w:val="24"/>
            <w:szCs w:val="24"/>
          </w:rPr>
        </w:sdtEndPr>
        <w:sdtContent>
          <w:sdt>
            <w:sdtPr>
              <w:rPr>
                <w:rFonts w:hint="eastAsia" w:ascii="仿宋_GB2312" w:eastAsia="仿宋_GB2312"/>
                <w:sz w:val="24"/>
                <w:szCs w:val="24"/>
              </w:rPr>
              <w:id w:val="735704"/>
            </w:sdtPr>
            <w:sdtEndPr>
              <w:rPr>
                <w:rFonts w:hint="eastAsia" w:ascii="仿宋_GB2312" w:eastAsia="仿宋_GB2312"/>
                <w:sz w:val="24"/>
                <w:szCs w:val="24"/>
              </w:rPr>
            </w:sdtEndPr>
            <w:sdtContent>
              <w:r>
                <w:rPr>
                  <w:rFonts w:hint="eastAsia" w:ascii="仿宋_GB2312" w:eastAsia="仿宋_GB2312"/>
                  <w:b/>
                  <w:sz w:val="24"/>
                  <w:szCs w:val="24"/>
                </w:rPr>
                <w:sym w:font="Wingdings" w:char="00A8"/>
              </w:r>
              <w:r>
                <w:rPr>
                  <w:rFonts w:hint="eastAsia" w:ascii="仿宋_GB2312" w:eastAsia="仿宋_GB2312"/>
                  <w:sz w:val="24"/>
                  <w:szCs w:val="24"/>
                </w:rPr>
                <w:t>是</w:t>
              </w:r>
            </w:sdtContent>
          </w:sdt>
        </w:sdtContent>
      </w:sdt>
      <w:r>
        <w:rPr>
          <w:rFonts w:hint="eastAsia" w:ascii="仿宋_GB2312" w:eastAsia="仿宋_GB2312"/>
          <w:sz w:val="24"/>
          <w:szCs w:val="24"/>
        </w:rPr>
        <w:t>，</w:t>
      </w:r>
      <w:sdt>
        <w:sdtPr>
          <w:rPr>
            <w:rFonts w:hint="eastAsia" w:ascii="仿宋_GB2312" w:eastAsia="仿宋_GB2312"/>
            <w:sz w:val="24"/>
            <w:szCs w:val="24"/>
          </w:rPr>
          <w:id w:val="-1765526721"/>
        </w:sdtPr>
        <w:sdtEndPr>
          <w:rPr>
            <w:rFonts w:hint="eastAsia" w:ascii="仿宋_GB2312" w:eastAsia="仿宋_GB2312"/>
            <w:sz w:val="24"/>
            <w:szCs w:val="24"/>
          </w:rPr>
        </w:sdtEndPr>
        <w:sdtContent>
          <w:sdt>
            <w:sdtPr>
              <w:rPr>
                <w:rFonts w:hint="eastAsia" w:ascii="仿宋_GB2312" w:eastAsia="仿宋_GB2312"/>
                <w:sz w:val="24"/>
                <w:szCs w:val="24"/>
              </w:rPr>
              <w:id w:val="735705"/>
            </w:sdtPr>
            <w:sdtEndPr>
              <w:rPr>
                <w:rFonts w:hint="eastAsia" w:ascii="仿宋_GB2312" w:eastAsia="仿宋_GB2312"/>
                <w:b/>
                <w:sz w:val="24"/>
                <w:szCs w:val="24"/>
              </w:rPr>
            </w:sdtEndPr>
            <w:sdtContent>
              <w:r>
                <w:rPr>
                  <w:rFonts w:hint="eastAsia" w:ascii="仿宋_GB2312" w:eastAsia="仿宋_GB2312"/>
                  <w:b/>
                  <w:sz w:val="24"/>
                  <w:szCs w:val="24"/>
                </w:rPr>
                <w:sym w:font="Wingdings" w:char="00FE"/>
              </w:r>
              <w:r>
                <w:rPr>
                  <w:rFonts w:hint="eastAsia" w:ascii="仿宋_GB2312" w:eastAsia="仿宋_GB2312"/>
                  <w:sz w:val="24"/>
                  <w:szCs w:val="24"/>
                </w:rPr>
                <w:t>否</w:t>
              </w:r>
            </w:sdtContent>
          </w:sdt>
        </w:sdtContent>
      </w:sdt>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pPr>
        <w:spacing w:line="420" w:lineRule="exact"/>
        <w:ind w:firstLine="552"/>
        <w:contextualSpacing/>
        <w:rPr>
          <w:rFonts w:ascii="仿宋_GB2312" w:eastAsia="仿宋_GB2312"/>
          <w:sz w:val="24"/>
          <w:szCs w:val="24"/>
        </w:rPr>
      </w:pPr>
      <w:r>
        <w:rPr>
          <w:rFonts w:hint="eastAsia" w:ascii="仿宋_GB2312" w:eastAsia="仿宋_GB2312"/>
          <w:sz w:val="24"/>
          <w:szCs w:val="24"/>
        </w:rPr>
        <w:t>2.落实政府采购政策需满足的资格要求：</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1902925274"/>
        </w:sdtPr>
        <w:sdtEndPr>
          <w:rPr>
            <w:rFonts w:hint="eastAsia" w:ascii="仿宋_GB2312" w:eastAsia="仿宋_GB2312"/>
            <w:sz w:val="24"/>
            <w:szCs w:val="24"/>
          </w:rPr>
        </w:sdtEndPr>
        <w:sdtContent>
          <w:sdt>
            <w:sdtPr>
              <w:rPr>
                <w:rFonts w:hint="eastAsia" w:ascii="仿宋_GB2312" w:eastAsia="仿宋_GB2312"/>
                <w:sz w:val="24"/>
                <w:szCs w:val="24"/>
              </w:rPr>
              <w:id w:val="156501047"/>
            </w:sdtPr>
            <w:sdtEndPr>
              <w:rPr>
                <w:rFonts w:hint="eastAsia" w:ascii="仿宋_GB2312" w:eastAsia="仿宋_GB2312"/>
                <w:b/>
                <w:sz w:val="24"/>
                <w:szCs w:val="24"/>
              </w:rPr>
            </w:sdtEndPr>
            <w:sdtContent>
              <w:sdt>
                <w:sdtPr>
                  <w:rPr>
                    <w:rFonts w:hint="eastAsia" w:ascii="仿宋_GB2312" w:eastAsia="仿宋_GB2312"/>
                    <w:sz w:val="24"/>
                    <w:szCs w:val="24"/>
                  </w:rPr>
                  <w:id w:val="3267788"/>
                </w:sdtPr>
                <w:sdtEndPr>
                  <w:rPr>
                    <w:rFonts w:hint="eastAsia" w:ascii="仿宋_GB2312" w:eastAsia="仿宋_GB2312"/>
                    <w:sz w:val="24"/>
                    <w:szCs w:val="24"/>
                  </w:rPr>
                </w:sdtEndPr>
                <w:sdtContent>
                  <w:sdt>
                    <w:sdtPr>
                      <w:rPr>
                        <w:rFonts w:hint="eastAsia" w:ascii="仿宋_GB2312" w:eastAsia="仿宋_GB2312"/>
                        <w:sz w:val="24"/>
                        <w:szCs w:val="24"/>
                      </w:rPr>
                      <w:id w:val="2973657"/>
                    </w:sdtPr>
                    <w:sdtEndPr>
                      <w:rPr>
                        <w:rFonts w:hint="eastAsia" w:ascii="仿宋_GB2312" w:eastAsia="仿宋_GB2312"/>
                        <w:b/>
                        <w:sz w:val="24"/>
                        <w:szCs w:val="24"/>
                      </w:rPr>
                    </w:sdtEndPr>
                    <w:sdtContent>
                      <w:sdt>
                        <w:sdtPr>
                          <w:rPr>
                            <w:rFonts w:hint="eastAsia" w:ascii="仿宋_GB2312" w:eastAsia="仿宋_GB2312"/>
                            <w:sz w:val="24"/>
                            <w:szCs w:val="24"/>
                          </w:rPr>
                          <w:id w:val="735707"/>
                        </w:sdtPr>
                        <w:sdtEndPr>
                          <w:rPr>
                            <w:rFonts w:hint="eastAsia" w:ascii="仿宋_GB2312" w:eastAsia="仿宋_GB2312"/>
                            <w:sz w:val="24"/>
                            <w:szCs w:val="24"/>
                          </w:rPr>
                        </w:sdtEndPr>
                        <w:sdtContent>
                          <w:sdt>
                            <w:sdtPr>
                              <w:rPr>
                                <w:rFonts w:hint="eastAsia" w:ascii="仿宋_GB2312" w:eastAsia="仿宋_GB2312"/>
                                <w:sz w:val="24"/>
                                <w:szCs w:val="24"/>
                              </w:rPr>
                              <w:id w:val="1289938266"/>
                            </w:sdtPr>
                            <w:sdtEndPr>
                              <w:rPr>
                                <w:rFonts w:hint="eastAsia" w:ascii="仿宋_GB2312" w:eastAsia="仿宋_GB2312"/>
                                <w:b/>
                                <w:sz w:val="24"/>
                                <w:szCs w:val="24"/>
                              </w:rPr>
                            </w:sdtEndPr>
                            <w:sdtContent>
                              <w:sdt>
                                <w:sdtPr>
                                  <w:rPr>
                                    <w:rFonts w:hint="eastAsia" w:ascii="仿宋_GB2312" w:eastAsia="仿宋_GB2312"/>
                                    <w:sz w:val="24"/>
                                    <w:szCs w:val="24"/>
                                  </w:rPr>
                                  <w:id w:val="6985545"/>
                                </w:sdtPr>
                                <w:sdtEndPr>
                                  <w:rPr>
                                    <w:rFonts w:hint="eastAsia" w:ascii="仿宋_GB2312" w:eastAsia="仿宋_GB2312"/>
                                    <w:b/>
                                    <w:sz w:val="24"/>
                                    <w:szCs w:val="24"/>
                                  </w:rPr>
                                </w:sdtEndPr>
                                <w:sdtContent>
                                  <w:r>
                                    <w:rPr>
                                      <w:rFonts w:hint="eastAsia" w:ascii="仿宋_GB2312" w:eastAsia="仿宋_GB2312"/>
                                      <w:b/>
                                      <w:sz w:val="24"/>
                                      <w:szCs w:val="24"/>
                                    </w:rPr>
                                    <w:sym w:font="Wingdings" w:char="00FE"/>
                                  </w:r>
                                </w:sdtContent>
                              </w:sdt>
                            </w:sdtContent>
                          </w:sdt>
                        </w:sdtContent>
                      </w:sdt>
                    </w:sdtContent>
                  </w:sdt>
                </w:sdtContent>
              </w:sdt>
            </w:sdtContent>
          </w:sdt>
        </w:sdtContent>
      </w:sdt>
      <w:r>
        <w:rPr>
          <w:rFonts w:hint="eastAsia" w:ascii="仿宋_GB2312" w:eastAsia="仿宋_GB2312"/>
          <w:sz w:val="24"/>
          <w:szCs w:val="24"/>
        </w:rPr>
        <w:t>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highlight w:val="none"/>
        </w:rPr>
        <w:t>时间：2024年</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26日</w:t>
      </w:r>
      <w:r>
        <w:rPr>
          <w:rFonts w:hint="eastAsia" w:ascii="仿宋_GB2312" w:eastAsia="仿宋_GB2312"/>
          <w:sz w:val="24"/>
          <w:szCs w:val="24"/>
          <w:highlight w:val="none"/>
        </w:rPr>
        <w:t>至2024年</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17日</w:t>
      </w:r>
      <w:r>
        <w:rPr>
          <w:rFonts w:hint="eastAsia" w:ascii="仿宋_GB2312" w:eastAsia="仿宋_GB2312"/>
          <w:sz w:val="24"/>
          <w:szCs w:val="24"/>
          <w:highlight w:val="none"/>
        </w:rPr>
        <w:t>，</w:t>
      </w:r>
      <w:r>
        <w:rPr>
          <w:rFonts w:hint="eastAsia" w:ascii="仿宋_GB2312" w:eastAsia="仿宋_GB2312"/>
          <w:sz w:val="24"/>
          <w:szCs w:val="24"/>
        </w:rPr>
        <w:t>每天上午00:00至12:00 ，下午12:00至23:59（北京时间，线上获取法定节假日均可，线下获取文件法定节假日除外的工作时间）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w:t>
      </w:r>
      <w:r>
        <w:rPr>
          <w:rFonts w:hint="eastAsia" w:ascii="仿宋_GB2312" w:eastAsia="仿宋_GB2312"/>
          <w:sz w:val="24"/>
          <w:szCs w:val="24"/>
          <w:highlight w:val="none"/>
        </w:rPr>
        <w:t>024年</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17日14</w:t>
      </w:r>
      <w:r>
        <w:rPr>
          <w:rFonts w:hint="eastAsia" w:ascii="仿宋_GB2312" w:eastAsia="仿宋_GB2312"/>
          <w:sz w:val="24"/>
          <w:szCs w:val="24"/>
          <w:highlight w:val="none"/>
        </w:rPr>
        <w:t>点1</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分 （北京</w:t>
      </w:r>
      <w:r>
        <w:rPr>
          <w:rFonts w:hint="eastAsia" w:ascii="仿宋_GB2312" w:eastAsia="仿宋_GB2312"/>
          <w:sz w:val="24"/>
          <w:szCs w:val="24"/>
        </w:rPr>
        <w:t>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rPr>
        <w:t>开标时间：</w:t>
      </w:r>
      <w:r>
        <w:rPr>
          <w:rFonts w:hint="eastAsia" w:ascii="仿宋_GB2312" w:eastAsia="仿宋_GB2312"/>
          <w:sz w:val="24"/>
          <w:szCs w:val="24"/>
          <w:highlight w:val="none"/>
        </w:rPr>
        <w:t>2024年</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17日14</w:t>
      </w:r>
      <w:r>
        <w:rPr>
          <w:rFonts w:hint="eastAsia" w:ascii="仿宋_GB2312" w:eastAsia="仿宋_GB2312"/>
          <w:sz w:val="24"/>
          <w:szCs w:val="24"/>
          <w:highlight w:val="none"/>
        </w:rPr>
        <w:t>点1</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 xml:space="preserve">分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⑩具体操作指南：详见政采云平台“服务中心-帮助文档-项目采购-操作流程-电子招投标-政府采购项目电子交易管理操作指南-供应商”。</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1.采购人信息</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名 称：</w:t>
      </w:r>
      <w:r>
        <w:rPr>
          <w:rFonts w:hint="eastAsia" w:ascii="仿宋_GB2312" w:eastAsia="仿宋_GB2312"/>
          <w:sz w:val="24"/>
          <w:szCs w:val="24"/>
          <w:lang w:eastAsia="zh-CN"/>
        </w:rPr>
        <w:t>舟山绿色石化基地管理委员会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址：舟山市定海区临城街道翁山路555号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w:t>
      </w:r>
      <w:r>
        <w:rPr>
          <w:rFonts w:hint="eastAsia" w:ascii="仿宋_GB2312" w:eastAsia="仿宋_GB2312"/>
          <w:sz w:val="24"/>
          <w:szCs w:val="24"/>
          <w:lang w:val="en-US" w:eastAsia="zh-CN"/>
        </w:rPr>
        <w:t>/</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项目联系人（询问）:</w:t>
      </w:r>
      <w:r>
        <w:rPr>
          <w:rFonts w:hint="eastAsia" w:ascii="仿宋_GB2312" w:eastAsia="仿宋_GB2312"/>
          <w:sz w:val="24"/>
          <w:szCs w:val="24"/>
          <w:lang w:val="en-US" w:eastAsia="zh-CN"/>
        </w:rPr>
        <w:t>陈老师</w:t>
      </w: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项目联系方式（询问）</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13735357890</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质疑联系人：</w:t>
      </w:r>
      <w:r>
        <w:rPr>
          <w:rFonts w:hint="eastAsia" w:ascii="仿宋_GB2312" w:eastAsia="仿宋_GB2312"/>
          <w:sz w:val="24"/>
          <w:szCs w:val="24"/>
          <w:lang w:val="en-US" w:eastAsia="zh-CN"/>
        </w:rPr>
        <w:t>王老师</w:t>
      </w: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质疑联系方式：15705801570</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2.采购代理机构信息</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称：浙江天诚工程咨询有限公司</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址：浙江省宁波市江南路599号宁波科技大厦4楼</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项目联系人（询问）：</w:t>
      </w:r>
      <w:r>
        <w:rPr>
          <w:rFonts w:hint="eastAsia" w:ascii="仿宋_GB2312" w:eastAsia="仿宋_GB2312"/>
          <w:sz w:val="24"/>
          <w:szCs w:val="24"/>
          <w:lang w:val="en-US" w:eastAsia="zh-CN"/>
        </w:rPr>
        <w:t>吴龙斌、杨婷、史鑫露</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项目联系方式（询问）：</w:t>
      </w:r>
      <w:r>
        <w:rPr>
          <w:rFonts w:hint="eastAsia" w:ascii="仿宋_GB2312" w:eastAsia="仿宋_GB2312"/>
          <w:sz w:val="24"/>
          <w:szCs w:val="24"/>
          <w:lang w:val="en-US" w:eastAsia="zh-CN"/>
        </w:rPr>
        <w:t>18358498261</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质疑联系人：</w:t>
      </w:r>
      <w:r>
        <w:rPr>
          <w:rFonts w:hint="eastAsia" w:ascii="仿宋_GB2312" w:eastAsia="仿宋_GB2312"/>
          <w:sz w:val="24"/>
          <w:szCs w:val="24"/>
          <w:lang w:val="en-US" w:eastAsia="zh-CN"/>
        </w:rPr>
        <w:t>赵琳</w:t>
      </w:r>
    </w:p>
    <w:p>
      <w:pPr>
        <w:spacing w:line="420" w:lineRule="exact"/>
        <w:ind w:firstLine="480" w:firstLineChars="200"/>
        <w:contextualSpacing/>
        <w:rPr>
          <w:rFonts w:hint="default" w:ascii="仿宋_GB2312" w:eastAsia="仿宋_GB2312"/>
          <w:sz w:val="24"/>
          <w:szCs w:val="24"/>
          <w:lang w:val="en-US"/>
        </w:rPr>
      </w:pPr>
      <w:r>
        <w:rPr>
          <w:rFonts w:hint="eastAsia" w:ascii="仿宋_GB2312" w:eastAsia="仿宋_GB2312"/>
          <w:sz w:val="24"/>
          <w:szCs w:val="24"/>
        </w:rPr>
        <w:t>质疑联系方式：</w:t>
      </w:r>
      <w:r>
        <w:rPr>
          <w:rFonts w:hint="eastAsia" w:ascii="仿宋_GB2312" w:eastAsia="仿宋_GB2312"/>
          <w:sz w:val="24"/>
          <w:szCs w:val="24"/>
          <w:lang w:val="en-US" w:eastAsia="zh-CN"/>
        </w:rPr>
        <w:t>18606606463</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3.同级政府采购监督管理部门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称：舟山市财政局政府采购监管处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址：舟山市定海区新城海天大道681号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br w:type="page"/>
      </w:r>
    </w:p>
    <w:p>
      <w:pPr>
        <w:spacing w:line="540" w:lineRule="exact"/>
        <w:contextualSpacing/>
        <w:jc w:val="center"/>
        <w:rPr>
          <w:rFonts w:ascii="仿宋_GB2312" w:hAnsi="宋体" w:eastAsia="仿宋_GB2312"/>
          <w:b/>
          <w:sz w:val="28"/>
          <w:szCs w:val="28"/>
        </w:rPr>
      </w:pPr>
      <w:r>
        <w:rPr>
          <w:rFonts w:hint="eastAsia" w:ascii="仿宋_GB2312" w:hAnsi="宋体" w:eastAsia="仿宋_GB2312"/>
          <w:b/>
          <w:sz w:val="28"/>
          <w:szCs w:val="28"/>
        </w:rPr>
        <w:t>第二部分</w:t>
      </w:r>
      <w:bookmarkEnd w:id="8"/>
      <w:r>
        <w:rPr>
          <w:rFonts w:hint="eastAsia" w:ascii="仿宋_GB2312" w:hAnsi="宋体" w:eastAsia="仿宋_GB2312"/>
          <w:b/>
          <w:sz w:val="28"/>
          <w:szCs w:val="28"/>
        </w:rPr>
        <w:t xml:space="preserve"> 投标人须知</w:t>
      </w:r>
      <w:bookmarkEnd w:id="9"/>
    </w:p>
    <w:p>
      <w:pPr>
        <w:spacing w:line="540" w:lineRule="exact"/>
        <w:contextualSpacing/>
        <w:jc w:val="center"/>
        <w:rPr>
          <w:rFonts w:ascii="仿宋_GB2312" w:eastAsia="仿宋_GB2312"/>
          <w:sz w:val="24"/>
          <w:szCs w:val="24"/>
        </w:rPr>
      </w:pPr>
      <w:r>
        <w:rPr>
          <w:rFonts w:hint="eastAsia" w:ascii="仿宋_GB2312" w:eastAsia="仿宋_GB2312"/>
          <w:sz w:val="24"/>
          <w:szCs w:val="24"/>
        </w:rPr>
        <w:t>前附表</w:t>
      </w:r>
    </w:p>
    <w:tbl>
      <w:tblPr>
        <w:tblStyle w:val="2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p>
          <w:p>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2.投标报价超过招标文件中规定的预算金额或者最高限价的;</w:t>
            </w:r>
          </w:p>
          <w:p>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rPr>
            </w:pPr>
            <w:sdt>
              <w:sdtPr>
                <w:rPr>
                  <w:rFonts w:hint="default" w:ascii="仿宋_GB2312" w:eastAsia="仿宋_GB2312"/>
                  <w:sz w:val="24"/>
                  <w:szCs w:val="24"/>
                  <w:lang w:val="en-US"/>
                </w:rPr>
                <w:id w:val="346402517"/>
              </w:sdtPr>
              <w:sdtEndPr>
                <w:rPr>
                  <w:rFonts w:hint="eastAsia" w:ascii="仿宋_GB2312" w:eastAsia="仿宋_GB2312"/>
                  <w:sz w:val="24"/>
                  <w:szCs w:val="24"/>
                  <w:lang w:val="en-US"/>
                </w:rPr>
              </w:sdtEndPr>
              <w:sdtContent>
                <w:r>
                  <w:rPr>
                    <w:rFonts w:hint="eastAsia" w:ascii="仿宋_GB2312" w:eastAsia="仿宋_GB2312"/>
                    <w:sz w:val="24"/>
                    <w:szCs w:val="24"/>
                    <w:lang w:val="en-US" w:eastAsia="zh-CN"/>
                  </w:rPr>
                  <w:t>经采购人书面</w:t>
                </w:r>
              </w:sdtContent>
            </w:sdt>
            <w:r>
              <w:rPr>
                <w:rFonts w:hint="eastAsia" w:ascii="仿宋_GB2312" w:eastAsia="仿宋_GB2312"/>
                <w:sz w:val="24"/>
                <w:szCs w:val="24"/>
              </w:rPr>
              <w:t>同意</w:t>
            </w:r>
            <w:r>
              <w:rPr>
                <w:rFonts w:hint="eastAsia" w:ascii="仿宋_GB2312" w:eastAsia="仿宋_GB2312"/>
                <w:sz w:val="24"/>
                <w:szCs w:val="24"/>
                <w:lang w:val="en-US" w:eastAsia="zh-CN"/>
              </w:rPr>
              <w:t>可</w:t>
            </w:r>
            <w:r>
              <w:rPr>
                <w:rFonts w:hint="eastAsia" w:ascii="仿宋_GB2312" w:eastAsia="仿宋_GB2312"/>
                <w:sz w:val="24"/>
                <w:szCs w:val="24"/>
              </w:rPr>
              <w:t>将非主体、非关键性的</w:t>
            </w:r>
            <w:r>
              <w:rPr>
                <w:rFonts w:hint="eastAsia" w:ascii="仿宋_GB2312" w:eastAsia="仿宋_GB2312"/>
                <w:sz w:val="24"/>
                <w:szCs w:val="24"/>
                <w:u w:val="none"/>
                <w:lang w:val="en-US" w:eastAsia="zh-CN"/>
              </w:rPr>
              <w:t>工作</w:t>
            </w:r>
            <w:r>
              <w:rPr>
                <w:rFonts w:hint="eastAsia" w:ascii="仿宋_GB2312" w:eastAsia="仿宋_GB2312"/>
                <w:sz w:val="24"/>
                <w:szCs w:val="24"/>
              </w:rPr>
              <w:t>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212966419"/>
              </w:sdtPr>
              <w:sdtEndPr>
                <w:rPr>
                  <w:rFonts w:hint="eastAsia" w:ascii="仿宋_GB2312" w:eastAsia="仿宋_GB2312"/>
                  <w:sz w:val="24"/>
                  <w:szCs w:val="24"/>
                </w:rPr>
              </w:sdtEndPr>
              <w:sdtContent>
                <w:sdt>
                  <w:sdtPr>
                    <w:rPr>
                      <w:rFonts w:hint="eastAsia" w:ascii="仿宋_GB2312" w:eastAsia="仿宋_GB2312"/>
                      <w:sz w:val="24"/>
                      <w:szCs w:val="24"/>
                    </w:rPr>
                    <w:id w:val="-1356963127"/>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A不组织。</w:t>
            </w:r>
          </w:p>
          <w:p>
            <w:pPr>
              <w:spacing w:line="400" w:lineRule="exact"/>
              <w:contextualSpacing/>
              <w:rPr>
                <w:rFonts w:ascii="仿宋_GB2312" w:eastAsia="仿宋_GB2312"/>
                <w:sz w:val="24"/>
                <w:szCs w:val="24"/>
              </w:rPr>
            </w:pPr>
            <w:sdt>
              <w:sdtPr>
                <w:rPr>
                  <w:rFonts w:hint="eastAsia" w:ascii="仿宋_GB2312" w:eastAsia="仿宋_GB2312"/>
                  <w:sz w:val="24"/>
                  <w:szCs w:val="24"/>
                </w:rPr>
                <w:id w:val="24893612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346402516"/>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A不要求提供。</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B要求提供，</w:t>
            </w:r>
          </w:p>
          <w:p>
            <w:pPr>
              <w:spacing w:line="400" w:lineRule="exact"/>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snapToGrid w:val="0"/>
                <w:kern w:val="28"/>
                <w:sz w:val="24"/>
              </w:rPr>
              <w:t>样品：</w:t>
            </w:r>
            <w:r>
              <w:rPr>
                <w:rFonts w:hint="eastAsia" w:ascii="仿宋_GB2312" w:hAnsi="宋体" w:eastAsia="仿宋_GB2312" w:cs="宋体"/>
                <w:kern w:val="0"/>
                <w:sz w:val="24"/>
              </w:rPr>
              <w:t>；</w:t>
            </w:r>
          </w:p>
          <w:p>
            <w:pPr>
              <w:spacing w:line="400" w:lineRule="exact"/>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snapToGrid w:val="0"/>
                <w:kern w:val="28"/>
                <w:sz w:val="24"/>
              </w:rPr>
              <w:t>样品制作的标准和要求：</w:t>
            </w:r>
            <w:r>
              <w:rPr>
                <w:rFonts w:hint="eastAsia" w:ascii="仿宋_GB2312" w:hAnsi="宋体" w:eastAsia="仿宋_GB2312" w:cs="宋体"/>
                <w:kern w:val="0"/>
                <w:sz w:val="24"/>
              </w:rPr>
              <w:t>；</w:t>
            </w:r>
          </w:p>
          <w:p>
            <w:pPr>
              <w:spacing w:line="400" w:lineRule="exact"/>
              <w:rPr>
                <w:rFonts w:ascii="仿宋_GB2312" w:hAnsi="宋体" w:eastAsia="仿宋_GB2312" w:cs="宋体"/>
                <w:kern w:val="0"/>
                <w:sz w:val="24"/>
              </w:rPr>
            </w:pPr>
            <w:r>
              <w:rPr>
                <w:rFonts w:hint="eastAsia" w:ascii="仿宋_GB2312" w:hAnsi="宋体" w:eastAsia="仿宋_GB2312" w:cs="宋体"/>
                <w:kern w:val="0"/>
                <w:sz w:val="24"/>
              </w:rPr>
              <w:t>（3）样品的评审方法以及评审标准</w:t>
            </w:r>
            <w:r>
              <w:rPr>
                <w:rFonts w:hint="eastAsia" w:ascii="仿宋_GB2312" w:hAnsi="宋体" w:eastAsia="仿宋_GB2312" w:cs="宋体"/>
                <w:snapToGrid w:val="0"/>
                <w:kern w:val="28"/>
                <w:sz w:val="24"/>
              </w:rPr>
              <w:t>：详见</w:t>
            </w:r>
            <w:r>
              <w:rPr>
                <w:rFonts w:hint="eastAsia" w:ascii="仿宋_GB2312" w:hAnsi="宋体" w:eastAsia="仿宋_GB2312" w:cs="宋体"/>
                <w:sz w:val="24"/>
                <w:u w:val="single"/>
              </w:rPr>
              <w:t>评标办法</w:t>
            </w:r>
            <w:r>
              <w:rPr>
                <w:rFonts w:hint="eastAsia" w:ascii="仿宋_GB2312" w:hAnsi="宋体" w:eastAsia="仿宋_GB2312" w:cs="宋体"/>
                <w:kern w:val="0"/>
                <w:sz w:val="24"/>
              </w:rPr>
              <w:t>；</w:t>
            </w:r>
          </w:p>
          <w:p>
            <w:pPr>
              <w:spacing w:line="400" w:lineRule="exact"/>
              <w:rPr>
                <w:rFonts w:ascii="仿宋_GB2312" w:hAnsi="宋体" w:eastAsia="仿宋_GB2312" w:cs="宋体"/>
                <w:kern w:val="0"/>
                <w:sz w:val="24"/>
              </w:rPr>
            </w:pPr>
            <w:r>
              <w:rPr>
                <w:rFonts w:hint="eastAsia" w:ascii="仿宋_GB2312" w:hAnsi="宋体" w:eastAsia="仿宋_GB2312" w:cs="宋体"/>
                <w:kern w:val="0"/>
                <w:sz w:val="24"/>
              </w:rPr>
              <w:t>（4）是否需要随样品提交检测报告：</w:t>
            </w:r>
            <w:sdt>
              <w:sdtPr>
                <w:rPr>
                  <w:rFonts w:hint="eastAsia" w:ascii="仿宋_GB2312" w:hAnsi="宋体" w:eastAsia="仿宋_GB2312" w:cs="宋体"/>
                  <w:kern w:val="0"/>
                  <w:sz w:val="24"/>
                </w:rPr>
                <w:id w:val="1303421454"/>
              </w:sdtPr>
              <w:sdtEndPr>
                <w:rPr>
                  <w:rFonts w:hint="eastAsia" w:ascii="仿宋_GB2312" w:hAnsi="宋体" w:eastAsia="仿宋_GB2312" w:cs="宋体"/>
                  <w:kern w:val="0"/>
                  <w:sz w:val="24"/>
                </w:rPr>
              </w:sdtEndPr>
              <w:sdtContent>
                <w:r>
                  <w:rPr>
                    <w:rFonts w:hint="eastAsia" w:ascii="仿宋_GB2312" w:hAnsi="MS Gothic" w:eastAsia="MS Gothic" w:cs="宋体"/>
                    <w:kern w:val="0"/>
                    <w:sz w:val="24"/>
                  </w:rPr>
                  <w:t>☐</w:t>
                </w:r>
              </w:sdtContent>
            </w:sdt>
            <w:r>
              <w:rPr>
                <w:rFonts w:hint="eastAsia" w:ascii="仿宋_GB2312" w:hAnsi="宋体" w:eastAsia="仿宋_GB2312" w:cs="宋体"/>
                <w:kern w:val="0"/>
                <w:sz w:val="24"/>
              </w:rPr>
              <w:t>否；</w:t>
            </w:r>
            <w:sdt>
              <w:sdtPr>
                <w:rPr>
                  <w:rFonts w:hint="eastAsia" w:ascii="仿宋_GB2312" w:hAnsi="宋体" w:eastAsia="仿宋_GB2312" w:cs="宋体"/>
                  <w:kern w:val="0"/>
                  <w:sz w:val="24"/>
                </w:rPr>
                <w:id w:val="1621728433"/>
              </w:sdtPr>
              <w:sdtEndPr>
                <w:rPr>
                  <w:rFonts w:hint="eastAsia" w:ascii="仿宋_GB2312" w:hAnsi="宋体" w:eastAsia="仿宋_GB2312" w:cs="宋体"/>
                  <w:kern w:val="0"/>
                  <w:sz w:val="24"/>
                </w:rPr>
              </w:sdtEndPr>
              <w:sdtContent>
                <w:r>
                  <w:rPr>
                    <w:rFonts w:hint="eastAsia" w:ascii="仿宋_GB2312" w:hAnsi="MS Mincho" w:eastAsia="MS Mincho" w:cs="MS Mincho"/>
                    <w:kern w:val="0"/>
                    <w:sz w:val="24"/>
                  </w:rPr>
                  <w:t>☐</w:t>
                </w:r>
              </w:sdtContent>
            </w:sdt>
            <w:r>
              <w:rPr>
                <w:rFonts w:hint="eastAsia" w:ascii="仿宋_GB2312" w:hAnsi="宋体" w:eastAsia="仿宋_GB2312" w:cs="宋体"/>
                <w:kern w:val="0"/>
                <w:sz w:val="24"/>
              </w:rPr>
              <w:t>是，检测机构的要求</w:t>
            </w:r>
            <w:r>
              <w:rPr>
                <w:rFonts w:hint="eastAsia" w:ascii="仿宋_GB2312" w:hAnsi="宋体" w:eastAsia="仿宋_GB2312" w:cs="宋体"/>
                <w:sz w:val="24"/>
              </w:rPr>
              <w:t>：</w:t>
            </w:r>
            <w:r>
              <w:rPr>
                <w:rFonts w:hint="eastAsia" w:ascii="仿宋_GB2312" w:hAnsi="宋体" w:eastAsia="仿宋_GB2312" w:cs="宋体"/>
                <w:kern w:val="0"/>
                <w:sz w:val="24"/>
              </w:rPr>
              <w:t>；检测内容</w:t>
            </w:r>
            <w:r>
              <w:rPr>
                <w:rFonts w:hint="eastAsia" w:ascii="仿宋_GB2312" w:hAnsi="宋体" w:eastAsia="仿宋_GB2312" w:cs="宋体"/>
                <w:sz w:val="24"/>
              </w:rPr>
              <w:t>：</w:t>
            </w:r>
            <w:r>
              <w:rPr>
                <w:rFonts w:hint="eastAsia" w:ascii="仿宋_GB2312" w:hAnsi="宋体" w:eastAsia="仿宋_GB2312" w:cs="宋体"/>
                <w:kern w:val="0"/>
                <w:sz w:val="24"/>
              </w:rPr>
              <w:t>。</w:t>
            </w:r>
          </w:p>
          <w:p>
            <w:pPr>
              <w:spacing w:line="400" w:lineRule="exact"/>
              <w:rPr>
                <w:rFonts w:ascii="仿宋_GB2312" w:hAnsi="宋体" w:eastAsia="仿宋_GB2312" w:cs="宋体"/>
                <w:sz w:val="24"/>
              </w:rPr>
            </w:pPr>
            <w:r>
              <w:rPr>
                <w:rFonts w:hint="eastAsia" w:ascii="仿宋_GB2312" w:hAnsi="宋体" w:eastAsia="仿宋_GB2312" w:cs="宋体"/>
                <w:sz w:val="24"/>
              </w:rPr>
              <w:t>（5）提供样品的时间：</w:t>
            </w:r>
            <w:r>
              <w:rPr>
                <w:rFonts w:hint="eastAsia" w:ascii="仿宋_GB2312" w:hAnsi="宋体" w:eastAsia="仿宋_GB2312" w:cs="宋体"/>
                <w:kern w:val="0"/>
                <w:sz w:val="24"/>
              </w:rPr>
              <w:t>；地点：；联系人</w:t>
            </w:r>
            <w:r>
              <w:rPr>
                <w:rFonts w:hint="eastAsia" w:ascii="仿宋_GB2312" w:hAnsi="宋体" w:eastAsia="仿宋_GB2312" w:cs="宋体"/>
                <w:sz w:val="24"/>
              </w:rPr>
              <w:t>：，</w:t>
            </w:r>
            <w:r>
              <w:rPr>
                <w:rFonts w:hint="eastAsia" w:ascii="仿宋_GB2312" w:hAnsi="宋体" w:eastAsia="仿宋_GB2312" w:cs="宋体"/>
                <w:kern w:val="28"/>
                <w:sz w:val="24"/>
              </w:rPr>
              <w:t>联系电话：</w:t>
            </w:r>
            <w:r>
              <w:rPr>
                <w:rFonts w:hint="eastAsia" w:ascii="仿宋_GB2312" w:hAnsi="宋体" w:eastAsia="仿宋_GB2312" w:cs="宋体"/>
                <w:sz w:val="24"/>
              </w:rPr>
              <w:t>。请投标人在上述时间内提供样品并按规定位置安装完毕。超过截止时间的，采购人或采购代理机构将不予接收，并将清场并封闭样品现场。</w:t>
            </w:r>
          </w:p>
          <w:p>
            <w:pPr>
              <w:spacing w:line="400" w:lineRule="exact"/>
              <w:rPr>
                <w:rFonts w:ascii="仿宋_GB2312" w:hAnsi="宋体" w:eastAsia="仿宋_GB2312" w:cs="宋体"/>
                <w:sz w:val="24"/>
              </w:rPr>
            </w:pPr>
            <w:r>
              <w:rPr>
                <w:rFonts w:hint="eastAsia" w:ascii="仿宋_GB2312" w:hAnsi="宋体" w:eastAsia="仿宋_GB2312"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400" w:lineRule="exact"/>
              <w:contextualSpacing/>
              <w:rPr>
                <w:rFonts w:ascii="仿宋_GB2312" w:eastAsia="仿宋_GB2312"/>
                <w:sz w:val="24"/>
                <w:szCs w:val="24"/>
              </w:rPr>
            </w:pPr>
            <w:r>
              <w:rPr>
                <w:rFonts w:hint="eastAsia" w:ascii="仿宋_GB2312" w:hAnsi="宋体" w:eastAsia="仿宋_GB2312"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859348549"/>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A不组织。</w:t>
            </w:r>
          </w:p>
          <w:p>
            <w:pPr>
              <w:spacing w:line="400" w:lineRule="exac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w:t>
            </w:r>
          </w:p>
          <w:p>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w:t>
            </w:r>
            <w:r>
              <w:rPr>
                <w:rFonts w:hint="eastAsia" w:ascii="仿宋_GB2312" w:eastAsia="仿宋_GB2312"/>
                <w:sz w:val="24"/>
                <w:szCs w:val="24"/>
              </w:rPr>
              <w:t>人。讲解演示结束后按要求解答评标委员会提问。</w:t>
            </w:r>
          </w:p>
          <w:p>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pPr>
              <w:spacing w:line="400" w:lineRule="exact"/>
              <w:contextualSpacing/>
              <w:rPr>
                <w:rFonts w:ascii="仿宋_GB2312" w:eastAsia="仿宋_GB2312"/>
                <w:sz w:val="24"/>
                <w:szCs w:val="24"/>
              </w:rPr>
            </w:pPr>
            <w:sdt>
              <w:sdtPr>
                <w:rPr>
                  <w:rFonts w:hint="eastAsia" w:ascii="仿宋_GB2312" w:eastAsia="仿宋_GB2312"/>
                  <w:sz w:val="24"/>
                  <w:szCs w:val="24"/>
                </w:rPr>
                <w:id w:val="-1639946486"/>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828425707"/>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本项目不允许采购进口产品。</w:t>
            </w:r>
          </w:p>
          <w:p>
            <w:pPr>
              <w:spacing w:line="400" w:lineRule="exact"/>
              <w:contextualSpacing/>
              <w:rPr>
                <w:rFonts w:ascii="仿宋_GB2312" w:eastAsia="仿宋_GB2312"/>
                <w:sz w:val="24"/>
                <w:szCs w:val="24"/>
              </w:rPr>
            </w:pPr>
            <w:sdt>
              <w:sdtPr>
                <w:rPr>
                  <w:rFonts w:hint="eastAsia" w:ascii="仿宋_GB2312" w:eastAsia="仿宋_GB2312"/>
                  <w:sz w:val="24"/>
                  <w:szCs w:val="24"/>
                </w:rPr>
                <w:id w:val="-5285282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18727868"/>
              </w:sdtPr>
              <w:sdtEndPr>
                <w:rPr>
                  <w:rFonts w:hint="eastAsia" w:ascii="仿宋_GB2312" w:eastAsia="仿宋_GB2312"/>
                  <w:sz w:val="24"/>
                  <w:szCs w:val="24"/>
                </w:rPr>
              </w:sdtEndPr>
              <w:sdtContent>
                <w:sdt>
                  <w:sdtPr>
                    <w:rPr>
                      <w:rFonts w:hint="eastAsia" w:ascii="仿宋_GB2312" w:eastAsia="仿宋_GB2312"/>
                      <w:sz w:val="24"/>
                      <w:szCs w:val="24"/>
                    </w:rPr>
                    <w:id w:val="474885559"/>
                    <w:showingPlcHdr/>
                  </w:sdtPr>
                  <w:sdtEndPr>
                    <w:rPr>
                      <w:rFonts w:hint="eastAsia" w:ascii="仿宋_GB2312" w:eastAsia="仿宋_GB2312"/>
                      <w:sz w:val="24"/>
                      <w:szCs w:val="24"/>
                    </w:rPr>
                  </w:sdtEndPr>
                  <w:sdtContent/>
                </w:sdt>
              </w:sdtContent>
            </w:sdt>
            <w:r>
              <w:rPr>
                <w:rFonts w:hint="eastAsia" w:ascii="仿宋_GB2312" w:eastAsia="仿宋_GB2312"/>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hint="eastAsia" w:ascii="仿宋_GB2312" w:eastAsia="仿宋_GB2312"/>
                <w:sz w:val="24"/>
                <w:szCs w:val="24"/>
                <w:u w:val="single"/>
                <w:lang w:eastAsia="zh-CN"/>
              </w:rPr>
            </w:pPr>
            <w:r>
              <w:rPr>
                <w:rFonts w:hint="eastAsia" w:ascii="仿宋_GB2312" w:eastAsia="仿宋_GB2312"/>
                <w:sz w:val="24"/>
                <w:szCs w:val="24"/>
              </w:rPr>
              <w:t>采购标的：</w:t>
            </w:r>
            <w:r>
              <w:rPr>
                <w:rFonts w:hint="eastAsia" w:ascii="仿宋_GB2312" w:eastAsia="仿宋_GB2312"/>
                <w:sz w:val="24"/>
                <w:szCs w:val="24"/>
                <w:u w:val="single"/>
                <w:lang w:eastAsia="zh-CN"/>
              </w:rPr>
              <w:t>舟山绿色石化基地安全咨询服务</w:t>
            </w:r>
          </w:p>
          <w:p>
            <w:pPr>
              <w:spacing w:line="400" w:lineRule="exact"/>
              <w:contextualSpacing/>
              <w:rPr>
                <w:rFonts w:ascii="仿宋_GB2312" w:eastAsia="仿宋_GB2312"/>
                <w:sz w:val="24"/>
                <w:szCs w:val="24"/>
              </w:rPr>
            </w:pPr>
            <w:r>
              <w:rPr>
                <w:rFonts w:hint="eastAsia" w:ascii="仿宋_GB2312" w:eastAsia="仿宋_GB2312"/>
                <w:sz w:val="24"/>
                <w:szCs w:val="24"/>
              </w:rPr>
              <w:t>所属行业：</w:t>
            </w:r>
            <w:r>
              <w:rPr>
                <w:rFonts w:hint="eastAsia" w:ascii="仿宋_GB2312" w:eastAsia="仿宋_GB2312"/>
                <w:sz w:val="24"/>
                <w:szCs w:val="24"/>
                <w:u w:val="single"/>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pStyle w:val="8"/>
              <w:spacing w:line="400" w:lineRule="exact"/>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是否需要履约保证金: </w:t>
            </w:r>
            <w:r>
              <w:rPr>
                <w:rFonts w:hint="eastAsia" w:ascii="仿宋_GB2312" w:eastAsia="仿宋_GB2312"/>
                <w:sz w:val="24"/>
                <w:szCs w:val="24"/>
              </w:rPr>
              <w:sym w:font="Wingdings" w:char="00A8"/>
            </w:r>
            <w:sdt>
              <w:sdtPr>
                <w:rPr>
                  <w:rFonts w:hint="eastAsia" w:ascii="仿宋_GB2312" w:eastAsia="仿宋_GB2312"/>
                  <w:sz w:val="24"/>
                  <w:szCs w:val="24"/>
                </w:rPr>
                <w:id w:val="504719723"/>
              </w:sdtPr>
              <w:sdtEndPr>
                <w:rPr>
                  <w:rFonts w:hint="eastAsia" w:ascii="仿宋_GB2312" w:eastAsia="仿宋_GB2312"/>
                  <w:sz w:val="24"/>
                  <w:szCs w:val="24"/>
                </w:rPr>
              </w:sdtEndPr>
              <w:sdtContent>
                <w:r>
                  <w:rPr>
                    <w:rFonts w:hint="eastAsia" w:ascii="仿宋_GB2312" w:eastAsia="仿宋_GB2312"/>
                    <w:sz w:val="24"/>
                    <w:szCs w:val="24"/>
                  </w:rPr>
                  <w:t>是</w:t>
                </w:r>
                <w:sdt>
                  <w:sdtPr>
                    <w:rPr>
                      <w:rFonts w:hint="eastAsia" w:ascii="仿宋_GB2312" w:eastAsia="仿宋_GB2312"/>
                      <w:sz w:val="24"/>
                      <w:szCs w:val="24"/>
                    </w:rPr>
                    <w:id w:val="504719725"/>
                  </w:sdtPr>
                  <w:sdtEndPr>
                    <w:rPr>
                      <w:rFonts w:hint="eastAsia" w:ascii="仿宋_GB2312" w:hAnsi="MS Mincho" w:eastAsia="仿宋_GB2312" w:cs="MS Mincho"/>
                      <w:sz w:val="24"/>
                      <w:szCs w:val="24"/>
                    </w:rPr>
                  </w:sdtEndPr>
                  <w:sdtContent>
                    <w:sdt>
                      <w:sdtPr>
                        <w:rPr>
                          <w:rFonts w:hint="eastAsia" w:ascii="仿宋_GB2312" w:eastAsia="仿宋_GB2312"/>
                          <w:sz w:val="24"/>
                          <w:szCs w:val="24"/>
                        </w:rPr>
                        <w:id w:val="366925715"/>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Content>
                </w:sdt>
                <w:r>
                  <w:rPr>
                    <w:rFonts w:hint="eastAsia" w:ascii="仿宋_GB2312" w:eastAsia="仿宋_GB2312"/>
                    <w:sz w:val="24"/>
                    <w:szCs w:val="24"/>
                  </w:rPr>
                  <w:t>否</w:t>
                </w:r>
              </w:sdtContent>
            </w:sdt>
          </w:p>
        </w:tc>
      </w:tr>
    </w:tbl>
    <w:p>
      <w:pPr>
        <w:spacing w:line="540" w:lineRule="exact"/>
        <w:contextualSpacing/>
        <w:rPr>
          <w:rFonts w:ascii="仿宋_GB2312" w:eastAsia="仿宋_GB2312"/>
          <w:sz w:val="24"/>
          <w:szCs w:val="24"/>
        </w:rPr>
      </w:pPr>
    </w:p>
    <w:bookmarkEnd w:id="10"/>
    <w:p>
      <w:pPr>
        <w:spacing w:line="420" w:lineRule="exact"/>
        <w:ind w:firstLine="472" w:firstLineChars="196"/>
        <w:contextualSpacing/>
        <w:rPr>
          <w:rFonts w:ascii="仿宋_GB2312" w:eastAsia="仿宋_GB2312"/>
          <w:b/>
          <w:sz w:val="24"/>
          <w:szCs w:val="24"/>
        </w:rPr>
      </w:pPr>
      <w:bookmarkStart w:id="11" w:name="第三部分"/>
      <w:bookmarkStart w:id="12" w:name="_Toc164416483"/>
      <w:r>
        <w:rPr>
          <w:rFonts w:hint="eastAsia" w:ascii="仿宋_GB2312" w:eastAsia="仿宋_GB2312"/>
          <w:b/>
          <w:sz w:val="24"/>
          <w:szCs w:val="24"/>
        </w:rPr>
        <w:t>一、总则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适用范围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 系指实质性要求条款，“★”系产品采购项目中单一产品或核心产品，“</w:t>
      </w:r>
      <w:sdt>
        <w:sdtPr>
          <w:rPr>
            <w:rFonts w:hint="eastAsia" w:ascii="仿宋_GB2312" w:eastAsia="仿宋_GB2312"/>
            <w:sz w:val="24"/>
            <w:szCs w:val="24"/>
          </w:rPr>
          <w:id w:val="512970236"/>
        </w:sdtPr>
        <w:sdtEndPr>
          <w:rPr>
            <w:rFonts w:hint="eastAsia" w:ascii="仿宋_GB2312" w:eastAsia="仿宋_GB2312"/>
            <w:sz w:val="24"/>
            <w:szCs w:val="24"/>
          </w:rPr>
        </w:sdtEndPr>
        <w:sdtContent>
          <w:sdt>
            <w:sdtPr>
              <w:rPr>
                <w:rFonts w:hint="eastAsia" w:ascii="仿宋_GB2312" w:eastAsia="仿宋_GB2312"/>
                <w:sz w:val="24"/>
                <w:szCs w:val="24"/>
              </w:rPr>
              <w:id w:val="-1934305363"/>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”系指不适用本项目的要求。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20" w:lineRule="exact"/>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支持中小企业发展</w:t>
      </w:r>
    </w:p>
    <w:p>
      <w:pPr>
        <w:spacing w:line="420" w:lineRule="exact"/>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.2在政府采购活动中，投标人提供的货物、工程或者服务符合下列情形的，享受中小企业扶持政策：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.2.1在货物采购项目中，货物由中小企业制造，即货物由中小企业生产且使用该中小企业商号或者注册商标；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.2.2在工程采购项目中，工程由中小企业承建，即工程施工单位为中小企业；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.2.3在服务采购项目中，服务由中小企业承接，即提供服务的人员为中小企业依《中华人民共和国劳动法》订立劳动合同的从业人员。</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.4符合《关于促进残疾人就业政府采购政策的通知》（财库〔2017〕141号）规定的条件并提供《残疾人福利性单位声明函》(附件1)的残疾人福利性单位视同小型、微型企业；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.7中小企业享受扶持政策获得政府采购合同的，小微企业不得将合同分包给大中型企业，中型企业不得将合同分包给大型企业。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3</w:t>
      </w:r>
      <w:r>
        <w:rPr>
          <w:rFonts w:hint="eastAsia" w:ascii="仿宋_GB2312" w:eastAsia="仿宋_GB2312"/>
          <w:sz w:val="24"/>
          <w:szCs w:val="24"/>
        </w:rPr>
        <w:t>平等对待内外资企业和符合条件的破产重整企业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4</w:t>
      </w: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420" w:lineRule="exact"/>
        <w:contextualSpacing/>
        <w:rPr>
          <w:rFonts w:ascii="仿宋_GB2312" w:eastAsia="仿宋_GB2312"/>
          <w:b/>
          <w:sz w:val="24"/>
          <w:szCs w:val="24"/>
        </w:rPr>
      </w:pPr>
      <w:r>
        <w:rPr>
          <w:rFonts w:hint="eastAsia" w:ascii="仿宋_GB2312" w:eastAsia="仿宋_GB2312"/>
          <w:b/>
          <w:sz w:val="24"/>
          <w:szCs w:val="24"/>
        </w:rPr>
        <w:t xml:space="preserve">    三、投标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11.1.</w:t>
      </w:r>
      <w:r>
        <w:rPr>
          <w:rFonts w:hint="eastAsia" w:ascii="仿宋_GB2312" w:eastAsia="仿宋_GB2312"/>
          <w:sz w:val="24"/>
          <w:szCs w:val="24"/>
          <w:lang w:val="en-US" w:eastAsia="zh-CN"/>
        </w:rPr>
        <w:t>2</w:t>
      </w:r>
      <w:r>
        <w:rPr>
          <w:rFonts w:hint="eastAsia" w:ascii="仿宋_GB2312" w:eastAsia="仿宋_GB2312"/>
          <w:sz w:val="24"/>
          <w:szCs w:val="24"/>
        </w:rPr>
        <w:t>本项目的特定资格要求（如果有）</w:t>
      </w:r>
      <w:r>
        <w:rPr>
          <w:rFonts w:hint="eastAsia" w:ascii="仿宋_GB2312" w:eastAsia="仿宋_GB2312"/>
          <w:sz w:val="24"/>
          <w:szCs w:val="24"/>
          <w:lang w:eastAsia="zh-CN"/>
        </w:rPr>
        <w:t>；</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11.1.3</w:t>
      </w:r>
      <w:r>
        <w:rPr>
          <w:rFonts w:hint="eastAsia" w:ascii="仿宋_GB2312" w:eastAsia="仿宋_GB2312"/>
          <w:sz w:val="24"/>
          <w:szCs w:val="24"/>
        </w:rPr>
        <w:t>联合协议（如果有）</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11.1.4营业执照、工商变更登记等投标人认为需要提供的证明材料。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11.2.2授权委托书或法定代表人（单位负责人、自然人本人）身份证明；</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rPr>
        <w:t>11.2.</w:t>
      </w:r>
      <w:r>
        <w:rPr>
          <w:rFonts w:hint="eastAsia" w:ascii="仿宋_GB2312" w:eastAsia="仿宋_GB2312"/>
          <w:sz w:val="24"/>
          <w:szCs w:val="24"/>
          <w:lang w:val="en-US" w:eastAsia="zh-CN"/>
        </w:rPr>
        <w:t>3</w:t>
      </w:r>
      <w:r>
        <w:rPr>
          <w:rFonts w:hint="eastAsia" w:ascii="仿宋_GB2312" w:eastAsia="仿宋_GB2312"/>
          <w:sz w:val="24"/>
          <w:szCs w:val="24"/>
        </w:rPr>
        <w:t>联合协议（如果有）</w:t>
      </w:r>
      <w:r>
        <w:rPr>
          <w:rFonts w:hint="eastAsia" w:ascii="仿宋_GB2312" w:eastAsia="仿宋_GB2312"/>
          <w:sz w:val="24"/>
          <w:szCs w:val="24"/>
          <w:lang w:eastAsia="zh-CN"/>
        </w:rPr>
        <w:t>；</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11.2.4</w:t>
      </w:r>
      <w:r>
        <w:rPr>
          <w:rFonts w:hint="eastAsia" w:ascii="仿宋_GB2312" w:eastAsia="仿宋_GB2312"/>
          <w:sz w:val="24"/>
          <w:szCs w:val="24"/>
        </w:rPr>
        <w:t>分包意向协议（如果有）</w:t>
      </w:r>
      <w:r>
        <w:rPr>
          <w:rFonts w:hint="eastAsia" w:ascii="仿宋_GB2312" w:eastAsia="仿宋_GB2312"/>
          <w:sz w:val="24"/>
          <w:szCs w:val="24"/>
          <w:lang w:eastAsia="zh-CN"/>
        </w:rPr>
        <w:t>；</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lang w:val="en-US" w:eastAsia="zh-CN"/>
        </w:rPr>
        <w:t>11.2.5</w:t>
      </w:r>
      <w:r>
        <w:rPr>
          <w:rFonts w:hint="eastAsia" w:ascii="仿宋_GB2312" w:eastAsia="仿宋_GB2312"/>
          <w:sz w:val="24"/>
          <w:szCs w:val="24"/>
        </w:rPr>
        <w:t>符合性审查资料；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6</w:t>
      </w:r>
      <w:r>
        <w:rPr>
          <w:rFonts w:hint="eastAsia" w:ascii="仿宋_GB2312" w:eastAsia="仿宋_GB2312"/>
          <w:sz w:val="24"/>
          <w:szCs w:val="24"/>
        </w:rPr>
        <w:t>拟投入的项目班子格式；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7</w:t>
      </w:r>
      <w:r>
        <w:rPr>
          <w:rFonts w:hint="eastAsia" w:ascii="仿宋_GB2312" w:eastAsia="仿宋_GB2312"/>
          <w:sz w:val="24"/>
          <w:szCs w:val="24"/>
        </w:rPr>
        <w:t>评标标准相应的商务技术资料；</w:t>
      </w:r>
    </w:p>
    <w:p>
      <w:pPr>
        <w:pStyle w:val="8"/>
        <w:spacing w:after="0" w:line="420" w:lineRule="exact"/>
        <w:ind w:firstLine="480" w:firstLineChars="200"/>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8</w:t>
      </w:r>
      <w:r>
        <w:rPr>
          <w:rFonts w:hint="eastAsia" w:ascii="仿宋_GB2312" w:eastAsia="仿宋_GB2312"/>
          <w:sz w:val="24"/>
          <w:szCs w:val="24"/>
        </w:rPr>
        <w:t>投标标的清单（</w:t>
      </w:r>
      <w:r>
        <w:rPr>
          <w:rFonts w:hint="eastAsia" w:ascii="仿宋_GB2312" w:eastAsia="仿宋_GB2312"/>
          <w:sz w:val="24"/>
          <w:szCs w:val="24"/>
          <w:lang w:val="en-US" w:eastAsia="zh-CN"/>
        </w:rPr>
        <w:t>不含价格，</w:t>
      </w:r>
      <w:r>
        <w:rPr>
          <w:rFonts w:hint="eastAsia" w:ascii="仿宋_GB2312" w:eastAsia="仿宋_GB2312"/>
          <w:sz w:val="24"/>
          <w:szCs w:val="24"/>
        </w:rPr>
        <w:t>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9</w:t>
      </w:r>
      <w:r>
        <w:rPr>
          <w:rFonts w:hint="eastAsia" w:ascii="仿宋_GB2312" w:eastAsia="仿宋_GB2312"/>
          <w:sz w:val="24"/>
          <w:szCs w:val="24"/>
        </w:rPr>
        <w:t>商务技术偏离表；</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11.2.</w:t>
      </w:r>
      <w:r>
        <w:rPr>
          <w:rFonts w:hint="eastAsia" w:ascii="仿宋_GB2312" w:eastAsia="仿宋_GB2312"/>
          <w:sz w:val="24"/>
          <w:szCs w:val="24"/>
          <w:lang w:val="en-US" w:eastAsia="zh-CN"/>
        </w:rPr>
        <w:t>10</w:t>
      </w:r>
      <w:r>
        <w:rPr>
          <w:rFonts w:hint="eastAsia" w:ascii="仿宋_GB2312" w:eastAsia="仿宋_GB2312"/>
          <w:sz w:val="24"/>
          <w:szCs w:val="24"/>
        </w:rPr>
        <w:t>政府采购供应商廉洁自律承诺书</w:t>
      </w:r>
      <w:r>
        <w:rPr>
          <w:rFonts w:hint="eastAsia" w:ascii="仿宋_GB2312" w:eastAsia="仿宋_GB2312"/>
          <w:sz w:val="24"/>
          <w:szCs w:val="24"/>
          <w:lang w:eastAsia="zh-CN"/>
        </w:rPr>
        <w:t>；</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11.2.11其他招标文件要求或投标人认为需要提供的证明材料。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11.3报价文件：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11.3.2分项报价组成表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w:t>
      </w:r>
      <w:r>
        <w:rPr>
          <w:rFonts w:hint="eastAsia" w:ascii="仿宋_GB2312" w:eastAsia="仿宋_GB2312"/>
          <w:sz w:val="24"/>
          <w:szCs w:val="24"/>
          <w:lang w:val="en-US" w:eastAsia="zh-CN"/>
        </w:rPr>
        <w:t>3</w:t>
      </w:r>
      <w:r>
        <w:rPr>
          <w:rFonts w:hint="eastAsia" w:ascii="仿宋_GB2312" w:eastAsia="仿宋_GB2312"/>
          <w:sz w:val="24"/>
          <w:szCs w:val="24"/>
        </w:rPr>
        <w:t>中小企业声明函；</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11.3.4其他招标文件要求或投标人认为需要提供的证明材料。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 投标文件的编制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w:t>
      </w:r>
      <w:r>
        <w:rPr>
          <w:rFonts w:hint="eastAsia" w:ascii="仿宋_GB2312" w:eastAsia="仿宋_GB2312"/>
          <w:sz w:val="24"/>
          <w:szCs w:val="24"/>
          <w:lang w:eastAsia="zh-CN"/>
        </w:rPr>
        <w:t>（</w:t>
      </w:r>
      <w:r>
        <w:rPr>
          <w:rFonts w:hint="eastAsia" w:ascii="仿宋_GB2312" w:eastAsia="仿宋_GB2312"/>
          <w:sz w:val="24"/>
          <w:szCs w:val="24"/>
          <w:lang w:val="en-US" w:eastAsia="zh-CN"/>
        </w:rPr>
        <w:t>具体以政采云电子交易客户端要求为准</w:t>
      </w:r>
      <w:r>
        <w:rPr>
          <w:rFonts w:hint="eastAsia" w:ascii="仿宋_GB2312" w:eastAsia="仿宋_GB2312"/>
          <w:sz w:val="24"/>
          <w:szCs w:val="24"/>
          <w:lang w:eastAsia="zh-CN"/>
        </w:rPr>
        <w:t>）</w:t>
      </w:r>
      <w:r>
        <w:rPr>
          <w:rFonts w:hint="eastAsia" w:ascii="仿宋_GB2312" w:eastAsia="仿宋_GB2312"/>
          <w:sz w:val="24"/>
          <w:szCs w:val="24"/>
        </w:rPr>
        <w:t>。各投标人在编制投标文件时请按照招标文件第六部分规定的格式进行，混乱的编排导致投标文件被误读或评标委员会查找不到有效文件是投标人的风险。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15.1</w:t>
      </w:r>
      <w:r>
        <w:rPr>
          <w:rFonts w:hint="eastAsia" w:ascii="仿宋_GB2312" w:eastAsia="仿宋_GB2312"/>
          <w:sz w:val="24"/>
          <w:szCs w:val="24"/>
          <w:lang w:val="en-US" w:eastAsia="zh-CN"/>
        </w:rPr>
        <w:t>本项目投标文件以</w:t>
      </w:r>
      <w:r>
        <w:rPr>
          <w:rFonts w:hint="eastAsia" w:ascii="仿宋_GB2312" w:eastAsia="仿宋_GB2312"/>
          <w:sz w:val="24"/>
          <w:szCs w:val="24"/>
        </w:rPr>
        <w:t>电子交易平台传输递交投标文件</w:t>
      </w:r>
      <w:r>
        <w:rPr>
          <w:rFonts w:hint="eastAsia" w:ascii="仿宋_GB2312" w:eastAsia="仿宋_GB2312"/>
          <w:sz w:val="24"/>
          <w:szCs w:val="24"/>
          <w:lang w:val="en-US" w:eastAsia="zh-CN"/>
        </w:rPr>
        <w:t>为准，无需提交备份文件。确有需要提交备份投标文件的投标人</w:t>
      </w:r>
      <w:r>
        <w:rPr>
          <w:rFonts w:hint="eastAsia" w:ascii="仿宋_GB2312" w:eastAsia="仿宋_GB2312"/>
          <w:sz w:val="24"/>
          <w:szCs w:val="24"/>
        </w:rPr>
        <w:t>可以在投标截止时间前直接提交</w:t>
      </w:r>
      <w:r>
        <w:rPr>
          <w:rFonts w:hint="eastAsia" w:ascii="仿宋_GB2312" w:eastAsia="仿宋_GB2312"/>
          <w:sz w:val="24"/>
          <w:szCs w:val="24"/>
          <w:lang w:val="en-US" w:eastAsia="zh-CN"/>
        </w:rPr>
        <w:t>电子</w:t>
      </w:r>
      <w:r>
        <w:rPr>
          <w:rFonts w:hint="eastAsia" w:ascii="仿宋_GB2312" w:eastAsia="仿宋_GB2312"/>
          <w:sz w:val="24"/>
          <w:szCs w:val="24"/>
        </w:rPr>
        <w:t>备份投标文件1份。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不符合上述制作、存储、密封规定的备份投标文件将被视为无效或者被拒绝接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w:t>
      </w:r>
      <w:r>
        <w:rPr>
          <w:rFonts w:hint="eastAsia" w:ascii="仿宋_GB2312" w:eastAsia="仿宋_GB2312"/>
          <w:sz w:val="24"/>
          <w:szCs w:val="24"/>
          <w:lang w:val="en-US" w:eastAsia="zh-CN"/>
        </w:rPr>
        <w:t>3</w:t>
      </w:r>
      <w:r>
        <w:rPr>
          <w:rFonts w:hint="eastAsia" w:ascii="仿宋_GB2312" w:eastAsia="仿宋_GB2312"/>
          <w:sz w:val="24"/>
          <w:szCs w:val="24"/>
        </w:rPr>
        <w:t>投标人仅提交备份投标文件，没有在电子交易平台传输递交投标文件的，投标无效。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rPr>
        <w:t>18.2开标时，电子交易平台按开标时间自动提取所有投标文件。采购代理机构依托电子交易平台发起开始解密指令，投标人按照平台提示和招标文件的规定在半小时内完成在线解密。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ascii="仿宋_GB2312" w:eastAsia="仿宋_GB2312"/>
          <w:sz w:val="24"/>
          <w:szCs w:val="24"/>
        </w:rPr>
      </w:pPr>
      <w:r>
        <w:rPr>
          <w:rFonts w:hint="eastAsia" w:ascii="仿宋_GB2312" w:eastAsia="仿宋_GB2312"/>
          <w:sz w:val="24"/>
          <w:szCs w:val="24"/>
        </w:rPr>
        <w:t>18.3</w:t>
      </w:r>
      <w:r>
        <w:rPr>
          <w:rFonts w:hint="eastAsia" w:ascii="仿宋_GB2312" w:eastAsia="仿宋_GB2312"/>
          <w:b/>
          <w:sz w:val="24"/>
          <w:szCs w:val="24"/>
        </w:rPr>
        <w:t>投标文件未按时解密，</w:t>
      </w:r>
      <w:r>
        <w:rPr>
          <w:rFonts w:hint="eastAsia" w:ascii="仿宋_GB2312" w:eastAsia="仿宋_GB2312"/>
          <w:b/>
          <w:sz w:val="24"/>
          <w:szCs w:val="24"/>
          <w:lang w:val="en-US" w:eastAsia="zh-CN"/>
        </w:rPr>
        <w:t>视为投标文件撤回。如因网络、平台等非投标人原因导致投标文件未按时解密的，</w:t>
      </w:r>
      <w:r>
        <w:rPr>
          <w:rFonts w:hint="eastAsia" w:ascii="仿宋_GB2312" w:eastAsia="仿宋_GB2312"/>
          <w:b/>
          <w:sz w:val="24"/>
          <w:szCs w:val="24"/>
        </w:rPr>
        <w:t>投标人提供了备份投标文件的，以备份投标文件作为依据，否则视为投标文件撤回。投标文件已按时解密的，备份投标文件自动失效。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w:t>
      </w:r>
      <w:r>
        <w:rPr>
          <w:rFonts w:hint="eastAsia" w:ascii="仿宋_GB2312" w:eastAsia="仿宋_GB2312"/>
          <w:sz w:val="24"/>
          <w:szCs w:val="24"/>
          <w:lang w:val="en-US" w:eastAsia="zh-CN"/>
        </w:rPr>
        <w:t>或采购代理机构</w:t>
      </w:r>
      <w:r>
        <w:rPr>
          <w:rFonts w:hint="eastAsia" w:ascii="仿宋_GB2312" w:eastAsia="仿宋_GB2312"/>
          <w:sz w:val="24"/>
          <w:szCs w:val="24"/>
        </w:rPr>
        <w:t>将依法对投标人的资格进行审查。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w:t>
      </w:r>
      <w:r>
        <w:rPr>
          <w:rFonts w:hint="eastAsia" w:ascii="仿宋_GB2312" w:eastAsia="仿宋_GB2312"/>
          <w:sz w:val="24"/>
          <w:szCs w:val="24"/>
          <w:lang w:val="en-US" w:eastAsia="zh-CN"/>
        </w:rPr>
        <w:t>或采购代理机</w:t>
      </w:r>
      <w:r>
        <w:rPr>
          <w:rFonts w:hint="eastAsia" w:ascii="仿宋_GB2312" w:eastAsia="仿宋_GB2312"/>
          <w:sz w:val="24"/>
          <w:szCs w:val="24"/>
        </w:rPr>
        <w:t>依据法律法规和招标文件的规定，对投标人的基本资格条件、特定资格条件进行审查。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pPr>
        <w:spacing w:line="420" w:lineRule="exact"/>
        <w:ind w:firstLine="480" w:firstLineChars="200"/>
        <w:contextualSpacing/>
        <w:rPr>
          <w:rFonts w:ascii="仿宋_GB2312" w:eastAsia="仿宋_GB2312"/>
          <w:sz w:val="24"/>
          <w:szCs w:val="24"/>
        </w:rPr>
      </w:pPr>
      <w:bookmarkStart w:id="13"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确定中标供应商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中标、成交通知书和中标、成交结果公告应当在规定时间内同时发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中标通知与中标结果公告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w:t>
      </w:r>
      <w:r>
        <w:rPr>
          <w:rFonts w:hint="eastAsia" w:ascii="仿宋_GB2312" w:eastAsia="仿宋_GB2312"/>
          <w:sz w:val="24"/>
          <w:szCs w:val="24"/>
          <w:lang w:val="en-US" w:eastAsia="zh-CN"/>
        </w:rPr>
        <w:t>2</w:t>
      </w:r>
      <w:r>
        <w:rPr>
          <w:rFonts w:hint="eastAsia" w:ascii="仿宋_GB2312" w:eastAsia="仿宋_GB2312"/>
          <w:sz w:val="24"/>
          <w:szCs w:val="24"/>
        </w:rPr>
        <w:t>公告期限为1个工作日。</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本项目无须提交履约保证金。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仿宋_GB2312" w:eastAsia="仿宋_GB2312"/>
          <w:sz w:val="24"/>
          <w:szCs w:val="24"/>
          <w:lang w:eastAsia="zh-CN"/>
        </w:rPr>
        <w:t>（</w:t>
      </w:r>
      <w:r>
        <w:rPr>
          <w:rFonts w:hint="eastAsia" w:ascii="仿宋_GB2312" w:eastAsia="仿宋_GB2312"/>
          <w:sz w:val="24"/>
          <w:szCs w:val="24"/>
          <w:lang w:val="en-US" w:eastAsia="zh-CN"/>
        </w:rPr>
        <w:t>如有</w:t>
      </w:r>
      <w:r>
        <w:rPr>
          <w:rFonts w:hint="eastAsia" w:ascii="仿宋_GB2312" w:eastAsia="仿宋_GB2312"/>
          <w:sz w:val="24"/>
          <w:szCs w:val="24"/>
          <w:lang w:eastAsia="zh-CN"/>
        </w:rPr>
        <w:t>）</w:t>
      </w:r>
      <w:r>
        <w:rPr>
          <w:rFonts w:hint="eastAsia" w:ascii="仿宋_GB2312" w:eastAsia="仿宋_GB2312"/>
          <w:sz w:val="24"/>
          <w:szCs w:val="24"/>
        </w:rPr>
        <w:t>返还条件挂钩。履约验收的各项资料应当存档备查。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w:t>
      </w:r>
      <w:r>
        <w:rPr>
          <w:rFonts w:hint="eastAsia" w:ascii="仿宋_GB2312" w:eastAsia="仿宋_GB2312"/>
          <w:sz w:val="24"/>
          <w:szCs w:val="24"/>
          <w:lang w:eastAsia="zh-CN"/>
        </w:rPr>
        <w:t>（</w:t>
      </w:r>
      <w:r>
        <w:rPr>
          <w:rFonts w:hint="eastAsia" w:ascii="仿宋_GB2312" w:eastAsia="仿宋_GB2312"/>
          <w:sz w:val="24"/>
          <w:szCs w:val="24"/>
          <w:lang w:val="en-US" w:eastAsia="zh-CN"/>
        </w:rPr>
        <w:t>如有</w:t>
      </w:r>
      <w:r>
        <w:rPr>
          <w:rFonts w:hint="eastAsia" w:ascii="仿宋_GB2312" w:eastAsia="仿宋_GB2312"/>
          <w:sz w:val="24"/>
          <w:szCs w:val="24"/>
          <w:lang w:eastAsia="zh-CN"/>
        </w:rPr>
        <w:t>）</w:t>
      </w:r>
      <w:r>
        <w:rPr>
          <w:rFonts w:hint="eastAsia" w:ascii="仿宋_GB2312" w:eastAsia="仿宋_GB2312"/>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75236011"/>
      <w:bookmarkEnd w:id="14"/>
      <w:bookmarkStart w:id="15" w:name="_Hlt74729768"/>
      <w:bookmarkEnd w:id="15"/>
      <w:bookmarkStart w:id="16" w:name="_Hlt68072998"/>
      <w:bookmarkEnd w:id="16"/>
      <w:bookmarkStart w:id="17" w:name="_Hlt75236290"/>
      <w:bookmarkEnd w:id="17"/>
      <w:bookmarkStart w:id="18" w:name="_Hlt68073093"/>
      <w:bookmarkEnd w:id="18"/>
      <w:bookmarkStart w:id="19" w:name="_Hlt74730295"/>
      <w:bookmarkEnd w:id="19"/>
      <w:bookmarkStart w:id="20" w:name="_Hlt74714665"/>
      <w:bookmarkEnd w:id="20"/>
      <w:bookmarkStart w:id="21" w:name="_Hlt68403820"/>
      <w:bookmarkEnd w:id="21"/>
      <w:bookmarkStart w:id="22" w:name="_Hlt75236101"/>
      <w:bookmarkEnd w:id="22"/>
      <w:bookmarkStart w:id="23" w:name="_Hlt68057669"/>
      <w:bookmarkEnd w:id="23"/>
      <w:bookmarkStart w:id="24" w:name="_Hlt74707468"/>
      <w:bookmarkEnd w:id="24"/>
      <w:bookmarkStart w:id="25" w:name="_Hlt68072990"/>
      <w:bookmarkEnd w:id="25"/>
    </w:p>
    <w:bookmarkEnd w:id="11"/>
    <w:bookmarkEnd w:id="12"/>
    <w:p>
      <w:pPr>
        <w:spacing w:line="540" w:lineRule="exact"/>
        <w:contextualSpacing/>
        <w:jc w:val="center"/>
        <w:rPr>
          <w:rFonts w:ascii="仿宋_GB2312" w:eastAsia="仿宋_GB2312"/>
          <w:b/>
          <w:sz w:val="28"/>
          <w:szCs w:val="28"/>
        </w:rPr>
      </w:pPr>
      <w:bookmarkStart w:id="26" w:name="第四部分"/>
      <w:r>
        <w:rPr>
          <w:rFonts w:hint="eastAsia" w:ascii="仿宋_GB2312" w:eastAsia="仿宋_GB2312"/>
          <w:b/>
          <w:sz w:val="28"/>
          <w:szCs w:val="28"/>
        </w:rPr>
        <w:t>第三部分   采购需求</w:t>
      </w:r>
    </w:p>
    <w:p>
      <w:pPr>
        <w:adjustRightInd w:val="0"/>
        <w:snapToGrid w:val="0"/>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一、安全生产技术服务主要内容</w:t>
      </w:r>
    </w:p>
    <w:p>
      <w:pPr>
        <w:adjustRightInd w:val="0"/>
        <w:snapToGrid w:val="0"/>
        <w:spacing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依据《中华人民共和国安全生产法》、《国务院安委会办公室关于实施遏制重特大事故工作指南构建双重预防机制的意见》（安委办〔2016〕11号）、《化工过程安全管理导则（AQ/T 3034-2012）》和《关于加强化工过程安全管理的指导意见》（（安监总管三[2013]88号））等相关法规标准和政策文件，并参考《化工过程安全管理导则》（征求意见稿），借鉴国内外危化品企业管理改进与提升实践范例和典型做法，本咨询服务项目涵盖包括以下内容：</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针对舟山绿色石化基地进行评估单元的划分，危险、有害因素及其危险程度的识别，采用恰当的评估方法对基地进行安全风险评估，得出危险影响范围和区域社会风险，编制《舟山绿色石化基地整体性安全风险评估报告》。充分调研舟山绿色石化基地与安全生产、应急管理有关的行业部门，了解各行业部门主要的安全监管权责清单、安全监管目标和任务，以及管委会安全监管履职情况，并进行科学评估，编制《舟山绿色石化基地管委会安全监管履职能力评估报告》。</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2.在区域安全风险评估和安全监管履职能力评估的基础上，结合舟山绿色石化基地实际情况，并与国务院、浙江省、舟山市“十四五”应急管理规划相一致，编制《舟山绿色石化基地安全发展规划》。</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3.依据《中共中央国务院关于推进安全生产领域改革发展的意见》《关于全面加强危险化学品安全生产工作的</w:t>
      </w:r>
      <w:r>
        <w:rPr>
          <w:rFonts w:hint="eastAsia" w:ascii="仿宋" w:hAnsi="仿宋" w:eastAsia="仿宋" w:cs="仿宋"/>
          <w:sz w:val="24"/>
          <w:szCs w:val="24"/>
          <w:highlight w:val="none"/>
        </w:rPr>
        <w:t>意见》《危险化学品安全风险集中治理方案》等文件，对照国务院安委办、省安委办重点县专家指导服务工作要求，组织危化领域安全基础、设计总图、设备、电气、仪表等专业十余名专家，对基地危化企业开展一年两次，每次一周的安全监督检查，精准防控各类安全风险。</w:t>
      </w:r>
    </w:p>
    <w:p>
      <w:pPr>
        <w:adjustRightInd w:val="0"/>
        <w:snapToGrid w:val="0"/>
        <w:spacing w:line="360" w:lineRule="auto"/>
        <w:ind w:firstLine="482" w:firstLineChars="200"/>
        <w:outlineLvl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二、安全生产技术服务期限</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服务自合同签订之日起，至2024年12月31日，分五个阶段实施。</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sz w:val="24"/>
          <w:szCs w:val="24"/>
          <w:highlight w:val="none"/>
        </w:rPr>
        <w:t>资料收集与现状调查阶段。时间从合同签订之日起至2024年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w:t>
      </w:r>
      <w:r>
        <w:rPr>
          <w:rFonts w:hint="eastAsia" w:ascii="仿宋" w:hAnsi="仿宋" w:eastAsia="仿宋" w:cs="仿宋"/>
          <w:sz w:val="24"/>
          <w:szCs w:val="24"/>
        </w:rPr>
        <w:t>收集与本此评估、规划项目有关的基础资料；收集规划项目相关的国内外相关法律法规、标准规范；收集舟山绿色石化基地所在地区自然、地理、交通、地质、风险评估等开展安全规划工作所需要的资料；赴现场进行实地调研，充分了解项目及周边环境，以及所在地区自然、经济、地理、交通、地质等情况，重点调研园区封闭管理现状、危险源分布及管理、智慧化园区建设、园区基础设施建设、应急基础设施建设等。采取现场观察与沟通、资料查阅、实际操作或口述等“一对一”的评估方式，针对各部门的安全监管职责、履职情况、知识储备等情况进行全面了解。访谈过程中，受访人围绕评估清单内容及日常工作中的难点、困惑点积极与专家开展沟通与交流，实现在评估中学习和培训</w:t>
      </w:r>
      <w:r>
        <w:rPr>
          <w:rFonts w:hint="eastAsia" w:ascii="仿宋" w:hAnsi="仿宋" w:eastAsia="仿宋" w:cs="仿宋"/>
          <w:sz w:val="24"/>
          <w:szCs w:val="24"/>
          <w:highlight w:val="none"/>
        </w:rPr>
        <w:t>的目的。</w:t>
      </w:r>
    </w:p>
    <w:p>
      <w:pPr>
        <w:adjustRightInd w:val="0"/>
        <w:snapToGri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bCs/>
          <w:sz w:val="24"/>
          <w:szCs w:val="24"/>
          <w:highlight w:val="none"/>
        </w:rPr>
        <w:t>研究阶段，时间从2024年</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月1日至2024年7月31日，对收集的资料进行分析，分析其适用性、全面性，必要时进行补充收集。通过对资料进行仔细研究，全面了解舟山绿色石化基地行业、产业发展现状，深入分析舟山绿色石化基地安全应急发展存在的问题。</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sz w:val="24"/>
          <w:szCs w:val="24"/>
          <w:highlight w:val="none"/>
        </w:rPr>
        <w:t>编制起草阶段，时间从2024年8月1日至2024年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月3</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日，中标人组织编制《舟山绿色石化基地整体性安全风险评估报告》、《舟山绿色石化基地管委会安全监管履职能力评估报告》、《舟山绿色石化基地安全发展规划》。</w:t>
      </w:r>
    </w:p>
    <w:p>
      <w:pPr>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4.</w:t>
      </w:r>
      <w:r>
        <w:rPr>
          <w:rFonts w:hint="eastAsia" w:ascii="仿宋" w:hAnsi="仿宋" w:eastAsia="仿宋" w:cs="仿宋"/>
          <w:sz w:val="24"/>
          <w:szCs w:val="24"/>
        </w:rPr>
        <w:t>报告提交，时间从2024年</w:t>
      </w:r>
      <w:r>
        <w:rPr>
          <w:rFonts w:hint="eastAsia" w:ascii="仿宋" w:hAnsi="仿宋" w:eastAsia="仿宋" w:cs="仿宋"/>
          <w:sz w:val="24"/>
          <w:szCs w:val="24"/>
          <w:lang w:val="en-US" w:eastAsia="zh-CN"/>
        </w:rPr>
        <w:t>9</w:t>
      </w:r>
      <w:r>
        <w:rPr>
          <w:rFonts w:hint="eastAsia" w:ascii="仿宋" w:hAnsi="仿宋" w:eastAsia="仿宋" w:cs="仿宋"/>
          <w:sz w:val="24"/>
          <w:szCs w:val="24"/>
        </w:rPr>
        <w:t>月1日至2024年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日；中标人向采购人提交报告，采购人对中标人提交的报告反馈修改意见和建议。</w:t>
      </w:r>
    </w:p>
    <w:p>
      <w:pPr>
        <w:adjustRightInd w:val="0"/>
        <w:snapToGrid w:val="0"/>
        <w:spacing w:line="360" w:lineRule="auto"/>
        <w:ind w:firstLine="482" w:firstLineChars="200"/>
        <w:rPr>
          <w:rFonts w:hint="default" w:ascii="仿宋" w:hAnsi="仿宋" w:eastAsia="仿宋" w:cs="仿宋"/>
          <w:b w:val="0"/>
          <w:bCs w:val="0"/>
          <w:sz w:val="24"/>
          <w:szCs w:val="24"/>
          <w:lang w:val="en-US" w:eastAsia="zh-CN"/>
        </w:rPr>
      </w:pPr>
      <w:r>
        <w:rPr>
          <w:rFonts w:hint="eastAsia" w:ascii="仿宋" w:hAnsi="仿宋" w:eastAsia="仿宋" w:cs="仿宋"/>
          <w:b/>
          <w:bCs/>
          <w:sz w:val="24"/>
          <w:szCs w:val="24"/>
        </w:rPr>
        <w:t>5</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报告验收，时间从</w:t>
      </w:r>
      <w:r>
        <w:rPr>
          <w:rFonts w:hint="eastAsia" w:ascii="仿宋" w:hAnsi="仿宋" w:eastAsia="仿宋" w:cs="仿宋"/>
          <w:b w:val="0"/>
          <w:bCs w:val="0"/>
          <w:sz w:val="24"/>
          <w:szCs w:val="24"/>
          <w:lang w:val="en-US" w:eastAsia="zh-CN"/>
        </w:rPr>
        <w:t>2024年10月15日至11月15日；邀请业内专家对编写的报告进行审核验收；</w:t>
      </w:r>
    </w:p>
    <w:p>
      <w:pPr>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sz w:val="24"/>
          <w:szCs w:val="24"/>
        </w:rPr>
        <w:t>修改完善，时间从2024年11月</w:t>
      </w:r>
      <w:r>
        <w:rPr>
          <w:rFonts w:hint="eastAsia" w:ascii="仿宋" w:hAnsi="仿宋" w:eastAsia="仿宋" w:cs="仿宋"/>
          <w:sz w:val="24"/>
          <w:szCs w:val="24"/>
          <w:lang w:val="en-US" w:eastAsia="zh-CN"/>
        </w:rPr>
        <w:t>16</w:t>
      </w:r>
      <w:r>
        <w:rPr>
          <w:rFonts w:hint="eastAsia" w:ascii="仿宋" w:hAnsi="仿宋" w:eastAsia="仿宋" w:cs="仿宋"/>
          <w:sz w:val="24"/>
          <w:szCs w:val="24"/>
        </w:rPr>
        <w:t>日至2024年12月</w:t>
      </w:r>
      <w:r>
        <w:rPr>
          <w:rFonts w:hint="eastAsia" w:ascii="仿宋" w:hAnsi="仿宋" w:eastAsia="仿宋" w:cs="仿宋"/>
          <w:sz w:val="24"/>
          <w:szCs w:val="24"/>
          <w:lang w:val="en-US" w:eastAsia="zh-CN"/>
        </w:rPr>
        <w:t>15</w:t>
      </w:r>
      <w:r>
        <w:rPr>
          <w:rFonts w:hint="eastAsia" w:ascii="仿宋" w:hAnsi="仿宋" w:eastAsia="仿宋" w:cs="仿宋"/>
          <w:sz w:val="24"/>
          <w:szCs w:val="24"/>
        </w:rPr>
        <w:t>日。中标人按照采购人要求修改完善后，正式向采购人提交《舟山绿色石化基地整体性安全风险评估报告》、《舟山绿色石化基地管委会安全监管履职能力评估报告》和《舟山绿色石化基地安全发展规划》。</w:t>
      </w:r>
    </w:p>
    <w:p>
      <w:pPr>
        <w:adjustRightInd w:val="0"/>
        <w:snapToGrid w:val="0"/>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三、安全生产管理咨询服务方式</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1.现场调研：</w:t>
      </w:r>
      <w:r>
        <w:rPr>
          <w:rFonts w:hint="eastAsia" w:ascii="仿宋" w:hAnsi="仿宋" w:eastAsia="仿宋" w:cs="仿宋"/>
          <w:sz w:val="24"/>
          <w:szCs w:val="24"/>
        </w:rPr>
        <w:t>专家组通过现场勘察、人员访谈、调查问卷等方式对基地进行调查和研究，以获取真实的数据和信息，以便更全面地了解基地的情况和问题。</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2.交流座谈：</w:t>
      </w:r>
      <w:r>
        <w:rPr>
          <w:rFonts w:hint="eastAsia" w:ascii="仿宋" w:hAnsi="仿宋" w:eastAsia="仿宋" w:cs="仿宋"/>
          <w:sz w:val="24"/>
          <w:szCs w:val="24"/>
        </w:rPr>
        <w:t>为做好监管能力评估和安全风险评估，将多次召开交流座谈活动，对象为管委会相关负责同志、部门领导和工作人员，以及公司相关人员，以全面了解情况。</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3.资料采集：</w:t>
      </w:r>
      <w:r>
        <w:rPr>
          <w:rFonts w:hint="eastAsia" w:ascii="仿宋" w:hAnsi="仿宋" w:eastAsia="仿宋" w:cs="仿宋"/>
          <w:sz w:val="24"/>
          <w:szCs w:val="24"/>
        </w:rPr>
        <w:t>通过管委会、公司、关联单位和互联网等多种渠道，采集项目涉及的相关法律、法规、标准、规划、行政文件等，以及前期基地规划设计、平面布局、工艺技术、装置设备等，以及风险评估和危害分析等数据资料。</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4.研究评估：</w:t>
      </w:r>
      <w:r>
        <w:rPr>
          <w:rFonts w:hint="eastAsia" w:ascii="仿宋" w:hAnsi="仿宋" w:eastAsia="仿宋" w:cs="仿宋"/>
          <w:sz w:val="24"/>
          <w:szCs w:val="24"/>
        </w:rPr>
        <w:t>对评估过程中收集到的各种信息和数据进行整理和梳理，包括定量数据、定性观察、访谈记录等，同时进行研究，分析梳理其中的问题，得出评估的主要发现和结论。根据分析结果，对评估的主要发现和结论进行总结和概括，突出评估的重点和亮点，提出建议和改进措施，以解决评估中发现的问题和不足，促进改进和发展。</w:t>
      </w:r>
    </w:p>
    <w:p>
      <w:pPr>
        <w:adjustRightInd w:val="0"/>
        <w:snapToGrid w:val="0"/>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四、安全管理咨询服务团队要求</w:t>
      </w:r>
    </w:p>
    <w:p>
      <w:pPr>
        <w:pStyle w:val="47"/>
        <w:autoSpaceDE w:val="0"/>
        <w:autoSpaceDN w:val="0"/>
        <w:adjustRightInd w:val="0"/>
        <w:spacing w:line="360" w:lineRule="auto"/>
        <w:ind w:firstLine="480"/>
        <w:rPr>
          <w:rFonts w:hint="eastAsia" w:ascii="仿宋" w:hAnsi="仿宋" w:eastAsia="仿宋" w:cs="仿宋"/>
          <w:sz w:val="24"/>
          <w:szCs w:val="24"/>
        </w:rPr>
      </w:pPr>
      <w:r>
        <w:rPr>
          <w:rFonts w:hint="eastAsia" w:ascii="仿宋_GB2312" w:eastAsia="仿宋_GB2312"/>
          <w:sz w:val="24"/>
          <w:szCs w:val="24"/>
        </w:rPr>
        <w:t>▲</w:t>
      </w:r>
      <w:r>
        <w:rPr>
          <w:rFonts w:hint="eastAsia" w:ascii="仿宋" w:hAnsi="仿宋" w:eastAsia="仿宋" w:cs="仿宋"/>
          <w:sz w:val="24"/>
          <w:szCs w:val="24"/>
        </w:rPr>
        <w:t>4.1、最低人员配置，最低不得低于5人，其中，须安排1人为专家组组长、1人为专家组副组长，且组长、副组长、成员之间不得兼任。</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2063"/>
        <w:gridCol w:w="2284"/>
        <w:gridCol w:w="3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0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岗位</w:t>
            </w:r>
          </w:p>
        </w:tc>
        <w:tc>
          <w:tcPr>
            <w:tcW w:w="2284"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人数</w:t>
            </w:r>
          </w:p>
        </w:tc>
        <w:tc>
          <w:tcPr>
            <w:tcW w:w="3306"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组长</w:t>
            </w:r>
          </w:p>
        </w:tc>
        <w:tc>
          <w:tcPr>
            <w:tcW w:w="2284"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1名</w:t>
            </w:r>
          </w:p>
        </w:tc>
        <w:tc>
          <w:tcPr>
            <w:tcW w:w="3306"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具备高级职称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20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副组长</w:t>
            </w:r>
          </w:p>
        </w:tc>
        <w:tc>
          <w:tcPr>
            <w:tcW w:w="2284"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1名</w:t>
            </w:r>
          </w:p>
        </w:tc>
        <w:tc>
          <w:tcPr>
            <w:tcW w:w="3306"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具备高级职称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20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成员</w:t>
            </w:r>
          </w:p>
        </w:tc>
        <w:tc>
          <w:tcPr>
            <w:tcW w:w="2284"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名</w:t>
            </w:r>
          </w:p>
        </w:tc>
        <w:tc>
          <w:tcPr>
            <w:tcW w:w="3306"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具备中级</w:t>
            </w:r>
            <w:r>
              <w:rPr>
                <w:rFonts w:hint="eastAsia" w:ascii="仿宋" w:hAnsi="仿宋" w:eastAsia="仿宋" w:cs="仿宋"/>
                <w:sz w:val="24"/>
                <w:szCs w:val="24"/>
                <w:lang w:val="en-US" w:eastAsia="zh-CN"/>
              </w:rPr>
              <w:t>及</w:t>
            </w:r>
            <w:r>
              <w:rPr>
                <w:rFonts w:hint="eastAsia" w:ascii="仿宋" w:hAnsi="仿宋" w:eastAsia="仿宋" w:cs="仿宋"/>
                <w:sz w:val="24"/>
                <w:szCs w:val="24"/>
              </w:rPr>
              <w:t>以上职称</w:t>
            </w:r>
          </w:p>
        </w:tc>
      </w:tr>
    </w:tbl>
    <w:p/>
    <w:p>
      <w:pPr>
        <w:numPr>
          <w:ilvl w:val="0"/>
          <w:numId w:val="0"/>
        </w:numPr>
        <w:adjustRightInd w:val="0"/>
        <w:snapToGrid w:val="0"/>
        <w:spacing w:line="360" w:lineRule="auto"/>
        <w:ind w:firstLine="482" w:firstLineChars="200"/>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五、</w:t>
      </w:r>
      <w:r>
        <w:rPr>
          <w:rFonts w:hint="eastAsia" w:ascii="仿宋" w:hAnsi="仿宋" w:eastAsia="仿宋" w:cs="仿宋"/>
          <w:b/>
          <w:bCs/>
          <w:color w:val="auto"/>
          <w:sz w:val="24"/>
          <w:szCs w:val="24"/>
          <w:lang w:val="en-US" w:eastAsia="zh-CN"/>
        </w:rPr>
        <w:t>商务要求</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5.1、交付（服务）时间、地点和方式</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1）服务期限：自合同签订之日起至2024年12月31日。</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2）服务地点：</w:t>
      </w:r>
      <w:r>
        <w:rPr>
          <w:rFonts w:hint="eastAsia" w:ascii="仿宋" w:hAnsi="仿宋" w:eastAsia="仿宋" w:cs="仿宋"/>
          <w:bCs/>
          <w:color w:val="auto"/>
          <w:sz w:val="24"/>
          <w:szCs w:val="24"/>
        </w:rPr>
        <w:t>舟山绿色石化基地</w:t>
      </w:r>
      <w:r>
        <w:rPr>
          <w:rFonts w:hint="eastAsia" w:ascii="仿宋" w:hAnsi="仿宋" w:eastAsia="仿宋" w:cs="仿宋"/>
          <w:bCs/>
          <w:color w:val="auto"/>
          <w:sz w:val="24"/>
          <w:szCs w:val="24"/>
          <w:lang w:val="en-US" w:eastAsia="zh-CN"/>
        </w:rPr>
        <w:t>内</w:t>
      </w:r>
      <w:r>
        <w:rPr>
          <w:rFonts w:hint="eastAsia" w:ascii="仿宋" w:hAnsi="仿宋" w:eastAsia="仿宋" w:cs="仿宋"/>
          <w:b w:val="0"/>
          <w:bCs w:val="0"/>
          <w:color w:val="auto"/>
          <w:kern w:val="2"/>
          <w:sz w:val="24"/>
          <w:szCs w:val="24"/>
          <w:lang w:val="en-US" w:eastAsia="zh-CN" w:bidi="ar-SA"/>
        </w:rPr>
        <w:t>。</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5.2、专利权和保密要求</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投标人应保证采购人在使用该服务或其任何一部分时，不受第三方侵权指控。同时，投标人不得向第三方泄露采购人提供的技术文件等资料。</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5.3、现场勘察</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本项目不组织统一踏勘，投标人可自行前往现场踏勘，费用自理。</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_GB2312" w:eastAsia="仿宋_GB2312"/>
          <w:color w:val="auto"/>
          <w:sz w:val="24"/>
          <w:szCs w:val="24"/>
        </w:rPr>
        <w:t>▲</w:t>
      </w:r>
      <w:r>
        <w:rPr>
          <w:rFonts w:hint="eastAsia" w:ascii="仿宋" w:hAnsi="仿宋" w:eastAsia="仿宋" w:cs="仿宋"/>
          <w:b w:val="0"/>
          <w:bCs w:val="0"/>
          <w:color w:val="auto"/>
          <w:kern w:val="2"/>
          <w:sz w:val="24"/>
          <w:szCs w:val="24"/>
          <w:lang w:val="en-US" w:eastAsia="zh-CN" w:bidi="ar-SA"/>
        </w:rPr>
        <w:t>5.4、付款及结算方式</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1）合同签订并具备实施条件后7个工作日内支付合同金额的50%；</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2）中标人完成服务后经采购人验收通过后两周内，支付合同额的50%</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5.5、其他</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_GB2312" w:eastAsia="仿宋_GB2312"/>
          <w:color w:val="auto"/>
          <w:sz w:val="24"/>
          <w:szCs w:val="24"/>
        </w:rPr>
        <w:t>▲</w:t>
      </w:r>
      <w:r>
        <w:rPr>
          <w:rFonts w:hint="eastAsia" w:ascii="仿宋" w:hAnsi="仿宋" w:eastAsia="仿宋" w:cs="仿宋"/>
          <w:b w:val="0"/>
          <w:bCs w:val="0"/>
          <w:color w:val="auto"/>
          <w:kern w:val="2"/>
          <w:sz w:val="24"/>
          <w:szCs w:val="24"/>
          <w:lang w:val="en-US" w:eastAsia="zh-CN" w:bidi="ar-SA"/>
        </w:rPr>
        <w:t>1）在提供服务期间，投标人派遣人员的人身安全由投标人负责。</w:t>
      </w:r>
    </w:p>
    <w:p>
      <w:pPr>
        <w:numPr>
          <w:ilvl w:val="0"/>
          <w:numId w:val="0"/>
        </w:numPr>
        <w:adjustRightInd w:val="0"/>
        <w:snapToGrid w:val="0"/>
        <w:spacing w:line="360" w:lineRule="auto"/>
        <w:ind w:firstLine="480" w:firstLineChars="200"/>
        <w:outlineLvl w:val="0"/>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kern w:val="2"/>
          <w:sz w:val="24"/>
          <w:szCs w:val="24"/>
          <w:lang w:val="en-US" w:eastAsia="zh-CN" w:bidi="ar-SA"/>
        </w:rPr>
        <w:t>2）本次投标报价包括完成本项目所需的所有费用，包含但不限与专家现场服务费、人员交通食宿差旅费、相关报告和课件的编制费、评估费用、</w:t>
      </w:r>
      <w:r>
        <w:rPr>
          <w:rFonts w:hint="eastAsia" w:ascii="仿宋" w:hAnsi="仿宋" w:eastAsia="仿宋" w:cs="仿宋"/>
          <w:b w:val="0"/>
          <w:bCs w:val="0"/>
          <w:color w:val="auto"/>
          <w:sz w:val="24"/>
          <w:szCs w:val="24"/>
          <w:lang w:val="en-US" w:eastAsia="zh-CN"/>
        </w:rPr>
        <w:t>报告审核验收费用、</w:t>
      </w:r>
      <w:r>
        <w:rPr>
          <w:rFonts w:hint="eastAsia" w:ascii="仿宋" w:hAnsi="仿宋" w:eastAsia="仿宋" w:cs="仿宋"/>
          <w:b w:val="0"/>
          <w:bCs w:val="0"/>
          <w:color w:val="auto"/>
          <w:kern w:val="2"/>
          <w:sz w:val="24"/>
          <w:szCs w:val="24"/>
          <w:lang w:val="en-US" w:eastAsia="zh-CN" w:bidi="ar-SA"/>
        </w:rPr>
        <w:t>利润、税金等，以及政策性文件规定及合同包含的所有风险、责任等各项应有费用及其他本项目可能发生的所有费用。</w:t>
      </w:r>
    </w:p>
    <w:p>
      <w:pPr>
        <w:rPr>
          <w:rFonts w:hint="eastAsia" w:ascii="仿宋_GB2312" w:eastAsia="仿宋_GB2312"/>
          <w:b/>
          <w:color w:val="FF0000"/>
          <w:sz w:val="28"/>
          <w:szCs w:val="28"/>
        </w:rPr>
      </w:pPr>
      <w:r>
        <w:rPr>
          <w:rFonts w:hint="eastAsia" w:ascii="仿宋_GB2312" w:eastAsia="仿宋_GB2312"/>
          <w:b/>
          <w:color w:val="FF0000"/>
          <w:sz w:val="28"/>
          <w:szCs w:val="28"/>
        </w:rPr>
        <w:br w:type="page"/>
      </w:r>
    </w:p>
    <w:p>
      <w:pPr>
        <w:spacing w:line="360" w:lineRule="exact"/>
        <w:jc w:val="center"/>
        <w:rPr>
          <w:rFonts w:ascii="仿宋_GB2312" w:hAnsi="宋体" w:eastAsia="仿宋_GB2312" w:cs="Times New Roman"/>
          <w:b/>
          <w:szCs w:val="21"/>
        </w:rPr>
      </w:pPr>
      <w:r>
        <w:rPr>
          <w:rFonts w:hint="eastAsia" w:ascii="仿宋_GB2312" w:eastAsia="仿宋_GB2312"/>
          <w:b/>
          <w:sz w:val="28"/>
          <w:szCs w:val="28"/>
        </w:rPr>
        <w:t xml:space="preserve">第四部分   </w:t>
      </w:r>
      <w:bookmarkStart w:id="27" w:name="_Toc184313251"/>
      <w:bookmarkEnd w:id="27"/>
      <w:bookmarkStart w:id="28" w:name="_Toc184312093"/>
      <w:bookmarkEnd w:id="28"/>
      <w:bookmarkStart w:id="29" w:name="_Toc184310322"/>
      <w:bookmarkEnd w:id="29"/>
      <w:bookmarkStart w:id="30" w:name="_Toc184314448"/>
      <w:bookmarkEnd w:id="30"/>
      <w:bookmarkStart w:id="31" w:name="_Toc184313242"/>
      <w:bookmarkEnd w:id="31"/>
      <w:bookmarkStart w:id="32" w:name="_Toc184313297"/>
      <w:bookmarkEnd w:id="32"/>
      <w:bookmarkStart w:id="33" w:name="_Toc184310285"/>
      <w:bookmarkEnd w:id="33"/>
      <w:bookmarkStart w:id="34" w:name="_Toc184313295"/>
      <w:bookmarkEnd w:id="34"/>
      <w:bookmarkStart w:id="35" w:name="_Toc184314480"/>
      <w:bookmarkEnd w:id="35"/>
      <w:bookmarkStart w:id="36" w:name="_Toc184312136"/>
      <w:bookmarkEnd w:id="36"/>
      <w:bookmarkStart w:id="37" w:name="_Toc184314452"/>
      <w:bookmarkEnd w:id="37"/>
      <w:bookmarkStart w:id="38" w:name="_Toc184313278"/>
      <w:bookmarkEnd w:id="38"/>
      <w:bookmarkStart w:id="39" w:name="_Toc184312134"/>
      <w:bookmarkEnd w:id="39"/>
      <w:bookmarkStart w:id="40" w:name="_Toc184313289"/>
      <w:bookmarkEnd w:id="40"/>
      <w:bookmarkStart w:id="41" w:name="_Toc184312109"/>
      <w:bookmarkEnd w:id="41"/>
      <w:bookmarkStart w:id="42" w:name="_Toc184314458"/>
      <w:bookmarkEnd w:id="42"/>
      <w:bookmarkStart w:id="43" w:name="_Toc184313263"/>
      <w:bookmarkEnd w:id="43"/>
      <w:bookmarkStart w:id="44" w:name="_Toc184310318"/>
      <w:bookmarkEnd w:id="44"/>
      <w:bookmarkStart w:id="45" w:name="_Toc184308090"/>
      <w:bookmarkEnd w:id="45"/>
      <w:bookmarkStart w:id="46" w:name="_Toc184314478"/>
      <w:bookmarkEnd w:id="46"/>
      <w:bookmarkStart w:id="47" w:name="_Toc184312074"/>
      <w:bookmarkEnd w:id="47"/>
      <w:bookmarkStart w:id="48" w:name="_Toc184308040"/>
      <w:bookmarkEnd w:id="48"/>
      <w:bookmarkStart w:id="49" w:name="_Toc184310273"/>
      <w:bookmarkEnd w:id="49"/>
      <w:bookmarkStart w:id="50" w:name="_Toc184313268"/>
      <w:bookmarkEnd w:id="50"/>
      <w:bookmarkStart w:id="51" w:name="_Toc184308075"/>
      <w:bookmarkEnd w:id="51"/>
      <w:bookmarkStart w:id="52" w:name="_Toc184308072"/>
      <w:bookmarkEnd w:id="52"/>
      <w:bookmarkStart w:id="53" w:name="_Toc184310286"/>
      <w:bookmarkEnd w:id="53"/>
      <w:bookmarkStart w:id="54" w:name="_Toc184312125"/>
      <w:bookmarkEnd w:id="54"/>
      <w:bookmarkStart w:id="55" w:name="_Toc184312099"/>
      <w:bookmarkEnd w:id="55"/>
      <w:bookmarkStart w:id="56" w:name="_Toc184313281"/>
      <w:bookmarkEnd w:id="56"/>
      <w:bookmarkStart w:id="57" w:name="_Toc184313309"/>
      <w:bookmarkEnd w:id="57"/>
      <w:bookmarkStart w:id="58" w:name="_Toc184312133"/>
      <w:bookmarkEnd w:id="58"/>
      <w:bookmarkStart w:id="59" w:name="_Toc184312100"/>
      <w:bookmarkEnd w:id="59"/>
      <w:bookmarkStart w:id="60" w:name="_Toc184308095"/>
      <w:bookmarkEnd w:id="60"/>
      <w:bookmarkStart w:id="61" w:name="_Toc184308064"/>
      <w:bookmarkEnd w:id="61"/>
      <w:bookmarkStart w:id="62" w:name="_Toc184313262"/>
      <w:bookmarkEnd w:id="62"/>
      <w:bookmarkStart w:id="63" w:name="_Toc184313271"/>
      <w:bookmarkEnd w:id="63"/>
      <w:bookmarkStart w:id="64" w:name="_Toc184314442"/>
      <w:bookmarkEnd w:id="64"/>
      <w:bookmarkStart w:id="65" w:name="_Toc184308065"/>
      <w:bookmarkEnd w:id="65"/>
      <w:bookmarkStart w:id="66" w:name="_Toc184308088"/>
      <w:bookmarkEnd w:id="66"/>
      <w:bookmarkStart w:id="67" w:name="_Toc184312071"/>
      <w:bookmarkEnd w:id="67"/>
      <w:bookmarkStart w:id="68" w:name="_Toc184314453"/>
      <w:bookmarkEnd w:id="68"/>
      <w:bookmarkStart w:id="69" w:name="_Toc184312127"/>
      <w:bookmarkEnd w:id="69"/>
      <w:bookmarkStart w:id="70" w:name="_Toc184312098"/>
      <w:bookmarkEnd w:id="70"/>
      <w:bookmarkStart w:id="71" w:name="_Toc184314455"/>
      <w:bookmarkEnd w:id="71"/>
      <w:bookmarkStart w:id="72" w:name="_Toc184312077"/>
      <w:bookmarkEnd w:id="72"/>
      <w:bookmarkStart w:id="73" w:name="_Toc184313276"/>
      <w:bookmarkEnd w:id="73"/>
      <w:bookmarkStart w:id="74" w:name="_Toc184308082"/>
      <w:bookmarkEnd w:id="74"/>
      <w:bookmarkStart w:id="75" w:name="_Toc184314466"/>
      <w:bookmarkEnd w:id="75"/>
      <w:bookmarkStart w:id="76" w:name="_Toc184313288"/>
      <w:bookmarkEnd w:id="76"/>
      <w:bookmarkStart w:id="77" w:name="_Toc184310287"/>
      <w:bookmarkEnd w:id="77"/>
      <w:bookmarkStart w:id="78" w:name="_Toc184312069"/>
      <w:bookmarkEnd w:id="78"/>
      <w:bookmarkStart w:id="79" w:name="_Toc184310327"/>
      <w:bookmarkEnd w:id="79"/>
      <w:bookmarkStart w:id="80" w:name="_Toc184310326"/>
      <w:bookmarkEnd w:id="80"/>
      <w:bookmarkStart w:id="81" w:name="_Toc184314432"/>
      <w:bookmarkEnd w:id="81"/>
      <w:bookmarkStart w:id="82" w:name="_Toc184314470"/>
      <w:bookmarkEnd w:id="82"/>
      <w:bookmarkStart w:id="83" w:name="_Toc184310332"/>
      <w:bookmarkEnd w:id="83"/>
      <w:bookmarkStart w:id="84" w:name="_Toc184313275"/>
      <w:bookmarkEnd w:id="84"/>
      <w:bookmarkStart w:id="85" w:name="_Toc184314468"/>
      <w:bookmarkEnd w:id="85"/>
      <w:bookmarkStart w:id="86" w:name="_Toc184310315"/>
      <w:bookmarkEnd w:id="86"/>
      <w:bookmarkStart w:id="87" w:name="_Toc184314467"/>
      <w:bookmarkEnd w:id="87"/>
      <w:bookmarkStart w:id="88" w:name="_Toc184312092"/>
      <w:bookmarkEnd w:id="88"/>
      <w:bookmarkStart w:id="89" w:name="_Toc184312089"/>
      <w:bookmarkEnd w:id="89"/>
      <w:bookmarkStart w:id="90" w:name="_Toc184312094"/>
      <w:bookmarkEnd w:id="90"/>
      <w:bookmarkStart w:id="91" w:name="_Toc184313308"/>
      <w:bookmarkEnd w:id="91"/>
      <w:bookmarkStart w:id="92" w:name="_Toc184313265"/>
      <w:bookmarkEnd w:id="92"/>
      <w:bookmarkStart w:id="93" w:name="_Toc184314427"/>
      <w:bookmarkEnd w:id="93"/>
      <w:bookmarkStart w:id="94" w:name="_Toc184308077"/>
      <w:bookmarkEnd w:id="94"/>
      <w:bookmarkStart w:id="95" w:name="_Toc184308046"/>
      <w:bookmarkEnd w:id="95"/>
      <w:bookmarkStart w:id="96" w:name="_Toc184313250"/>
      <w:bookmarkEnd w:id="96"/>
      <w:bookmarkStart w:id="97" w:name="_Toc184314439"/>
      <w:bookmarkEnd w:id="97"/>
      <w:bookmarkStart w:id="98" w:name="_Toc184310281"/>
      <w:bookmarkEnd w:id="98"/>
      <w:bookmarkStart w:id="99" w:name="_Toc184314412"/>
      <w:bookmarkEnd w:id="99"/>
      <w:bookmarkStart w:id="100" w:name="_Toc184312085"/>
      <w:bookmarkEnd w:id="100"/>
      <w:bookmarkStart w:id="101" w:name="_Toc184310333"/>
      <w:bookmarkEnd w:id="101"/>
      <w:bookmarkStart w:id="102" w:name="_Toc184308049"/>
      <w:bookmarkEnd w:id="102"/>
      <w:bookmarkStart w:id="103" w:name="_Toc184312097"/>
      <w:bookmarkEnd w:id="103"/>
      <w:bookmarkStart w:id="104" w:name="_Toc184314473"/>
      <w:bookmarkEnd w:id="104"/>
      <w:bookmarkStart w:id="105" w:name="_Toc184310305"/>
      <w:bookmarkEnd w:id="105"/>
      <w:bookmarkStart w:id="106" w:name="_Toc184313304"/>
      <w:bookmarkEnd w:id="106"/>
      <w:bookmarkStart w:id="107" w:name="_Toc184314425"/>
      <w:bookmarkEnd w:id="107"/>
      <w:bookmarkStart w:id="108" w:name="_Toc184314429"/>
      <w:bookmarkEnd w:id="108"/>
      <w:bookmarkStart w:id="109" w:name="_Toc184312108"/>
      <w:bookmarkEnd w:id="109"/>
      <w:bookmarkStart w:id="110" w:name="_Toc184310328"/>
      <w:bookmarkEnd w:id="110"/>
      <w:bookmarkStart w:id="111" w:name="_Toc184308100"/>
      <w:bookmarkEnd w:id="111"/>
      <w:bookmarkStart w:id="112" w:name="_Toc184310325"/>
      <w:bookmarkEnd w:id="112"/>
      <w:bookmarkStart w:id="113" w:name="_Toc184310339"/>
      <w:bookmarkEnd w:id="113"/>
      <w:bookmarkStart w:id="114" w:name="_Toc184310272"/>
      <w:bookmarkEnd w:id="114"/>
      <w:bookmarkStart w:id="115" w:name="_Toc184313269"/>
      <w:bookmarkEnd w:id="115"/>
      <w:bookmarkStart w:id="116" w:name="_Toc184310298"/>
      <w:bookmarkEnd w:id="116"/>
      <w:bookmarkStart w:id="117" w:name="_Toc184313307"/>
      <w:bookmarkEnd w:id="117"/>
      <w:bookmarkStart w:id="118" w:name="_Toc184314479"/>
      <w:bookmarkEnd w:id="118"/>
      <w:bookmarkStart w:id="119" w:name="_Toc184308104"/>
      <w:bookmarkEnd w:id="119"/>
      <w:bookmarkStart w:id="120" w:name="_Toc184308105"/>
      <w:bookmarkEnd w:id="120"/>
      <w:bookmarkStart w:id="121" w:name="_Toc184308050"/>
      <w:bookmarkEnd w:id="121"/>
      <w:bookmarkStart w:id="122" w:name="_Toc184313258"/>
      <w:bookmarkEnd w:id="122"/>
      <w:bookmarkStart w:id="123" w:name="_Toc184314445"/>
      <w:bookmarkEnd w:id="123"/>
      <w:bookmarkStart w:id="124" w:name="_Toc184314475"/>
      <w:bookmarkEnd w:id="124"/>
      <w:bookmarkStart w:id="125" w:name="_Toc184312072"/>
      <w:bookmarkEnd w:id="125"/>
      <w:bookmarkStart w:id="126" w:name="_Toc184313296"/>
      <w:bookmarkEnd w:id="126"/>
      <w:bookmarkStart w:id="127" w:name="_Toc184310284"/>
      <w:bookmarkEnd w:id="127"/>
      <w:bookmarkStart w:id="128" w:name="_Toc184310309"/>
      <w:bookmarkEnd w:id="128"/>
      <w:bookmarkStart w:id="129" w:name="_Toc184308038"/>
      <w:bookmarkEnd w:id="129"/>
      <w:bookmarkStart w:id="130" w:name="_Toc184308060"/>
      <w:bookmarkEnd w:id="130"/>
      <w:bookmarkStart w:id="131" w:name="_Toc184313238"/>
      <w:bookmarkEnd w:id="131"/>
      <w:bookmarkStart w:id="132" w:name="_Toc184308080"/>
      <w:bookmarkEnd w:id="132"/>
      <w:bookmarkStart w:id="133" w:name="_Toc184310336"/>
      <w:bookmarkEnd w:id="133"/>
      <w:bookmarkStart w:id="134" w:name="_Toc184312135"/>
      <w:bookmarkEnd w:id="134"/>
      <w:bookmarkStart w:id="135" w:name="_Toc184308069"/>
      <w:bookmarkEnd w:id="135"/>
      <w:bookmarkStart w:id="136" w:name="_Toc184313247"/>
      <w:bookmarkEnd w:id="136"/>
      <w:bookmarkStart w:id="137" w:name="_Toc184312115"/>
      <w:bookmarkEnd w:id="137"/>
      <w:bookmarkStart w:id="138" w:name="_Toc184313283"/>
      <w:bookmarkEnd w:id="138"/>
      <w:bookmarkStart w:id="139" w:name="_Toc184313310"/>
      <w:bookmarkEnd w:id="139"/>
      <w:bookmarkStart w:id="140" w:name="_Toc184312096"/>
      <w:bookmarkEnd w:id="140"/>
      <w:bookmarkStart w:id="141" w:name="_Toc184308084"/>
      <w:bookmarkEnd w:id="141"/>
      <w:bookmarkStart w:id="142" w:name="_Toc184308037"/>
      <w:bookmarkEnd w:id="142"/>
      <w:bookmarkStart w:id="143" w:name="_Toc184313274"/>
      <w:bookmarkEnd w:id="143"/>
      <w:bookmarkStart w:id="144" w:name="_Toc184314474"/>
      <w:bookmarkEnd w:id="144"/>
      <w:bookmarkStart w:id="145" w:name="_Toc184313273"/>
      <w:bookmarkEnd w:id="145"/>
      <w:bookmarkStart w:id="146" w:name="_Toc184314410"/>
      <w:bookmarkEnd w:id="146"/>
      <w:bookmarkStart w:id="147" w:name="_Toc184313260"/>
      <w:bookmarkEnd w:id="147"/>
      <w:bookmarkStart w:id="148" w:name="_Toc184313306"/>
      <w:bookmarkEnd w:id="148"/>
      <w:bookmarkStart w:id="149" w:name="_Toc184312075"/>
      <w:bookmarkEnd w:id="149"/>
      <w:bookmarkStart w:id="150" w:name="_Toc184312101"/>
      <w:bookmarkEnd w:id="150"/>
      <w:bookmarkStart w:id="151" w:name="_Toc184310304"/>
      <w:bookmarkEnd w:id="151"/>
      <w:bookmarkStart w:id="152" w:name="_Toc184310343"/>
      <w:bookmarkEnd w:id="152"/>
      <w:bookmarkStart w:id="153" w:name="_Toc184310344"/>
      <w:bookmarkEnd w:id="153"/>
      <w:bookmarkStart w:id="154" w:name="_Toc184312095"/>
      <w:bookmarkEnd w:id="154"/>
      <w:bookmarkStart w:id="155" w:name="_Toc184314435"/>
      <w:bookmarkEnd w:id="155"/>
      <w:bookmarkStart w:id="156" w:name="_Toc184314444"/>
      <w:bookmarkEnd w:id="156"/>
      <w:bookmarkStart w:id="157" w:name="_Toc184313270"/>
      <w:bookmarkEnd w:id="157"/>
      <w:bookmarkStart w:id="158" w:name="_Toc184313280"/>
      <w:bookmarkEnd w:id="158"/>
      <w:bookmarkStart w:id="159" w:name="_Toc184310289"/>
      <w:bookmarkEnd w:id="159"/>
      <w:bookmarkStart w:id="160" w:name="_Toc184313282"/>
      <w:bookmarkEnd w:id="160"/>
      <w:bookmarkStart w:id="161" w:name="_Toc184308098"/>
      <w:bookmarkEnd w:id="161"/>
      <w:bookmarkStart w:id="162" w:name="_Toc184312106"/>
      <w:bookmarkEnd w:id="162"/>
      <w:bookmarkStart w:id="163" w:name="_Toc184313255"/>
      <w:bookmarkEnd w:id="163"/>
      <w:bookmarkStart w:id="164" w:name="_Toc184313277"/>
      <w:bookmarkEnd w:id="164"/>
      <w:bookmarkStart w:id="165" w:name="_Toc184308074"/>
      <w:bookmarkEnd w:id="165"/>
      <w:bookmarkStart w:id="166" w:name="_Toc184308089"/>
      <w:bookmarkEnd w:id="166"/>
      <w:bookmarkStart w:id="167" w:name="_Toc184313279"/>
      <w:bookmarkEnd w:id="167"/>
      <w:bookmarkStart w:id="168" w:name="_Toc184312103"/>
      <w:bookmarkEnd w:id="168"/>
      <w:bookmarkStart w:id="169" w:name="_Toc184313301"/>
      <w:bookmarkEnd w:id="169"/>
      <w:bookmarkStart w:id="170" w:name="_Toc184313291"/>
      <w:bookmarkEnd w:id="170"/>
      <w:bookmarkStart w:id="171" w:name="_Toc184312067"/>
      <w:bookmarkEnd w:id="171"/>
      <w:bookmarkStart w:id="172" w:name="_Toc184312081"/>
      <w:bookmarkEnd w:id="172"/>
      <w:bookmarkStart w:id="173" w:name="_Toc184314428"/>
      <w:bookmarkEnd w:id="173"/>
      <w:bookmarkStart w:id="174" w:name="_Toc184314469"/>
      <w:bookmarkEnd w:id="174"/>
      <w:bookmarkStart w:id="175" w:name="_Toc184313240"/>
      <w:bookmarkEnd w:id="175"/>
      <w:bookmarkStart w:id="176" w:name="_Toc184310329"/>
      <w:bookmarkEnd w:id="176"/>
      <w:bookmarkStart w:id="177" w:name="_Toc184312107"/>
      <w:bookmarkEnd w:id="177"/>
      <w:bookmarkStart w:id="178" w:name="_Toc184314451"/>
      <w:bookmarkEnd w:id="178"/>
      <w:bookmarkStart w:id="179" w:name="_Toc184308056"/>
      <w:bookmarkEnd w:id="179"/>
      <w:bookmarkStart w:id="180" w:name="_Toc184314426"/>
      <w:bookmarkEnd w:id="180"/>
      <w:bookmarkStart w:id="181" w:name="_Toc184308085"/>
      <w:bookmarkEnd w:id="181"/>
      <w:bookmarkStart w:id="182" w:name="_Toc184314443"/>
      <w:bookmarkEnd w:id="182"/>
      <w:bookmarkStart w:id="183" w:name="_Toc184314424"/>
      <w:bookmarkEnd w:id="183"/>
      <w:bookmarkStart w:id="184" w:name="_Toc184312139"/>
      <w:bookmarkEnd w:id="184"/>
      <w:bookmarkStart w:id="185" w:name="_Toc184314481"/>
      <w:bookmarkEnd w:id="185"/>
      <w:bookmarkStart w:id="186" w:name="_Toc184310320"/>
      <w:bookmarkEnd w:id="186"/>
      <w:bookmarkStart w:id="187" w:name="_Toc184314438"/>
      <w:bookmarkEnd w:id="187"/>
      <w:bookmarkStart w:id="188" w:name="_Toc184310290"/>
      <w:bookmarkEnd w:id="188"/>
      <w:bookmarkStart w:id="189" w:name="_Toc184314450"/>
      <w:bookmarkEnd w:id="189"/>
      <w:bookmarkStart w:id="190" w:name="_Toc184314457"/>
      <w:bookmarkEnd w:id="190"/>
      <w:bookmarkStart w:id="191" w:name="_Toc184308107"/>
      <w:bookmarkEnd w:id="191"/>
      <w:bookmarkStart w:id="192" w:name="_Toc184310308"/>
      <w:bookmarkEnd w:id="192"/>
      <w:bookmarkStart w:id="193" w:name="_Toc184313267"/>
      <w:bookmarkEnd w:id="193"/>
      <w:bookmarkStart w:id="194" w:name="_Toc184314459"/>
      <w:bookmarkEnd w:id="194"/>
      <w:bookmarkStart w:id="195" w:name="_Toc184310312"/>
      <w:bookmarkEnd w:id="195"/>
      <w:bookmarkStart w:id="196" w:name="_Toc184308087"/>
      <w:bookmarkEnd w:id="196"/>
      <w:bookmarkStart w:id="197" w:name="_Toc184312137"/>
      <w:bookmarkEnd w:id="197"/>
      <w:bookmarkStart w:id="198" w:name="_Toc184310275"/>
      <w:bookmarkEnd w:id="198"/>
      <w:bookmarkStart w:id="199" w:name="_Toc184308063"/>
      <w:bookmarkEnd w:id="199"/>
      <w:bookmarkStart w:id="200" w:name="_Toc184314454"/>
      <w:bookmarkEnd w:id="200"/>
      <w:bookmarkStart w:id="201" w:name="_Toc184313239"/>
      <w:bookmarkEnd w:id="201"/>
      <w:bookmarkStart w:id="202" w:name="_Toc184310302"/>
      <w:bookmarkEnd w:id="202"/>
      <w:bookmarkStart w:id="203" w:name="_Toc184313292"/>
      <w:bookmarkEnd w:id="203"/>
      <w:bookmarkStart w:id="204" w:name="_Toc184312087"/>
      <w:bookmarkEnd w:id="204"/>
      <w:bookmarkStart w:id="205" w:name="_Toc184313261"/>
      <w:bookmarkEnd w:id="205"/>
      <w:bookmarkStart w:id="206" w:name="_Toc184312082"/>
      <w:bookmarkEnd w:id="206"/>
      <w:bookmarkStart w:id="207" w:name="_Toc184308044"/>
      <w:bookmarkEnd w:id="207"/>
      <w:bookmarkStart w:id="208" w:name="_Toc184313290"/>
      <w:bookmarkEnd w:id="208"/>
      <w:bookmarkStart w:id="209" w:name="_Toc184308061"/>
      <w:bookmarkEnd w:id="209"/>
      <w:bookmarkStart w:id="210" w:name="_Toc184308055"/>
      <w:bookmarkEnd w:id="210"/>
      <w:bookmarkStart w:id="211" w:name="_Toc184308092"/>
      <w:bookmarkEnd w:id="211"/>
      <w:bookmarkStart w:id="212" w:name="_Toc184310307"/>
      <w:bookmarkEnd w:id="212"/>
      <w:bookmarkStart w:id="213" w:name="_Toc184314417"/>
      <w:bookmarkEnd w:id="213"/>
      <w:bookmarkStart w:id="214" w:name="_Toc184313241"/>
      <w:bookmarkEnd w:id="214"/>
      <w:bookmarkStart w:id="215" w:name="_Toc184314464"/>
      <w:bookmarkEnd w:id="215"/>
      <w:bookmarkStart w:id="216" w:name="_Toc184310317"/>
      <w:bookmarkEnd w:id="216"/>
      <w:bookmarkStart w:id="217" w:name="_Toc184313246"/>
      <w:bookmarkEnd w:id="217"/>
      <w:bookmarkStart w:id="218" w:name="_Toc184313244"/>
      <w:bookmarkEnd w:id="218"/>
      <w:bookmarkStart w:id="219" w:name="_Toc184313299"/>
      <w:bookmarkEnd w:id="219"/>
      <w:bookmarkStart w:id="220" w:name="_Toc184308042"/>
      <w:bookmarkEnd w:id="220"/>
      <w:bookmarkStart w:id="221" w:name="_Toc184310293"/>
      <w:bookmarkEnd w:id="221"/>
      <w:bookmarkStart w:id="222" w:name="_Toc184308103"/>
      <w:bookmarkEnd w:id="222"/>
      <w:bookmarkStart w:id="223" w:name="_Toc184314449"/>
      <w:bookmarkEnd w:id="223"/>
      <w:bookmarkStart w:id="224" w:name="_Toc184312076"/>
      <w:bookmarkEnd w:id="224"/>
      <w:bookmarkStart w:id="225" w:name="_Toc184308051"/>
      <w:bookmarkEnd w:id="225"/>
      <w:bookmarkStart w:id="226" w:name="_Toc184312138"/>
      <w:bookmarkEnd w:id="226"/>
      <w:bookmarkStart w:id="227" w:name="_Toc184308059"/>
      <w:bookmarkEnd w:id="227"/>
      <w:bookmarkStart w:id="228" w:name="_Toc184308048"/>
      <w:bookmarkEnd w:id="228"/>
      <w:bookmarkStart w:id="229" w:name="_Toc184313248"/>
      <w:bookmarkEnd w:id="229"/>
      <w:bookmarkStart w:id="230" w:name="_Toc184308083"/>
      <w:bookmarkEnd w:id="230"/>
      <w:bookmarkStart w:id="231" w:name="_Toc184310323"/>
      <w:bookmarkEnd w:id="231"/>
      <w:bookmarkStart w:id="232" w:name="_Toc184310306"/>
      <w:bookmarkEnd w:id="232"/>
      <w:bookmarkStart w:id="233" w:name="_Toc184310330"/>
      <w:bookmarkEnd w:id="233"/>
      <w:bookmarkStart w:id="234" w:name="_Toc184308062"/>
      <w:bookmarkEnd w:id="234"/>
      <w:bookmarkStart w:id="235" w:name="_Toc184308106"/>
      <w:bookmarkEnd w:id="235"/>
      <w:bookmarkStart w:id="236" w:name="_Toc184308057"/>
      <w:bookmarkEnd w:id="236"/>
      <w:bookmarkStart w:id="237" w:name="_Toc184310335"/>
      <w:bookmarkEnd w:id="237"/>
      <w:bookmarkStart w:id="238" w:name="_Toc184308068"/>
      <w:bookmarkEnd w:id="238"/>
      <w:bookmarkStart w:id="239" w:name="_Toc184310321"/>
      <w:bookmarkEnd w:id="239"/>
      <w:bookmarkStart w:id="240" w:name="_Toc184312070"/>
      <w:bookmarkEnd w:id="240"/>
      <w:bookmarkStart w:id="241" w:name="_Toc184312084"/>
      <w:bookmarkEnd w:id="241"/>
      <w:bookmarkStart w:id="242" w:name="_Toc184312129"/>
      <w:bookmarkEnd w:id="242"/>
      <w:bookmarkStart w:id="243" w:name="_Toc184310319"/>
      <w:bookmarkEnd w:id="243"/>
      <w:bookmarkStart w:id="244" w:name="_Toc184312117"/>
      <w:bookmarkEnd w:id="244"/>
      <w:bookmarkStart w:id="245" w:name="_Toc184310341"/>
      <w:bookmarkEnd w:id="245"/>
      <w:bookmarkStart w:id="246" w:name="_Toc184308073"/>
      <w:bookmarkEnd w:id="246"/>
      <w:bookmarkStart w:id="247" w:name="_Toc184312119"/>
      <w:bookmarkEnd w:id="247"/>
      <w:bookmarkStart w:id="248" w:name="_Toc184312079"/>
      <w:bookmarkEnd w:id="248"/>
      <w:bookmarkStart w:id="249" w:name="_Toc184310283"/>
      <w:bookmarkEnd w:id="249"/>
      <w:bookmarkStart w:id="250" w:name="_Toc184314456"/>
      <w:bookmarkEnd w:id="250"/>
      <w:bookmarkStart w:id="251" w:name="_Toc184308052"/>
      <w:bookmarkEnd w:id="251"/>
      <w:bookmarkStart w:id="252" w:name="_Toc184314462"/>
      <w:bookmarkEnd w:id="252"/>
      <w:bookmarkStart w:id="253" w:name="_Toc184313286"/>
      <w:bookmarkEnd w:id="253"/>
      <w:bookmarkStart w:id="254" w:name="_Toc184308101"/>
      <w:bookmarkEnd w:id="254"/>
      <w:bookmarkStart w:id="255" w:name="_Toc184310279"/>
      <w:bookmarkEnd w:id="255"/>
      <w:bookmarkStart w:id="256" w:name="_Toc184310276"/>
      <w:bookmarkEnd w:id="256"/>
      <w:bookmarkStart w:id="257" w:name="_Toc184310314"/>
      <w:bookmarkEnd w:id="257"/>
      <w:bookmarkStart w:id="258" w:name="_Toc184310300"/>
      <w:bookmarkEnd w:id="258"/>
      <w:bookmarkStart w:id="259" w:name="_Toc184312102"/>
      <w:bookmarkEnd w:id="259"/>
      <w:bookmarkStart w:id="260" w:name="_Toc184314433"/>
      <w:bookmarkEnd w:id="260"/>
      <w:bookmarkStart w:id="261" w:name="_Toc184314420"/>
      <w:bookmarkEnd w:id="261"/>
      <w:bookmarkStart w:id="262" w:name="_Toc184308093"/>
      <w:bookmarkEnd w:id="262"/>
      <w:bookmarkStart w:id="263" w:name="_Toc184314430"/>
      <w:bookmarkEnd w:id="263"/>
      <w:bookmarkStart w:id="264" w:name="_Toc184313285"/>
      <w:bookmarkEnd w:id="264"/>
      <w:bookmarkStart w:id="265" w:name="_Toc184308036"/>
      <w:bookmarkEnd w:id="265"/>
      <w:bookmarkStart w:id="266" w:name="_Toc184312116"/>
      <w:bookmarkEnd w:id="266"/>
      <w:bookmarkStart w:id="267" w:name="_Toc184314416"/>
      <w:bookmarkEnd w:id="267"/>
      <w:bookmarkStart w:id="268" w:name="_Toc184312112"/>
      <w:bookmarkEnd w:id="268"/>
      <w:bookmarkStart w:id="269" w:name="_Toc184312121"/>
      <w:bookmarkEnd w:id="269"/>
      <w:bookmarkStart w:id="270" w:name="_Toc184314437"/>
      <w:bookmarkEnd w:id="270"/>
      <w:bookmarkStart w:id="271" w:name="_Toc184310288"/>
      <w:bookmarkEnd w:id="271"/>
      <w:bookmarkStart w:id="272" w:name="_Toc184310277"/>
      <w:bookmarkEnd w:id="272"/>
      <w:bookmarkStart w:id="273" w:name="_Toc184308076"/>
      <w:bookmarkEnd w:id="273"/>
      <w:bookmarkStart w:id="274" w:name="_Toc184313253"/>
      <w:bookmarkEnd w:id="274"/>
      <w:bookmarkStart w:id="275" w:name="_Toc184312120"/>
      <w:bookmarkEnd w:id="275"/>
      <w:bookmarkStart w:id="276" w:name="_Toc184313245"/>
      <w:bookmarkEnd w:id="276"/>
      <w:bookmarkStart w:id="277" w:name="_Toc184308058"/>
      <w:bookmarkEnd w:id="277"/>
      <w:bookmarkStart w:id="278" w:name="_Toc184310337"/>
      <w:bookmarkEnd w:id="278"/>
      <w:bookmarkStart w:id="279" w:name="_Toc184313249"/>
      <w:bookmarkEnd w:id="279"/>
      <w:bookmarkStart w:id="280" w:name="_Toc184314460"/>
      <w:bookmarkEnd w:id="280"/>
      <w:bookmarkStart w:id="281" w:name="_Toc184314461"/>
      <w:bookmarkEnd w:id="281"/>
      <w:bookmarkStart w:id="282" w:name="_Toc184313256"/>
      <w:bookmarkEnd w:id="282"/>
      <w:bookmarkStart w:id="283" w:name="_Toc184313264"/>
      <w:bookmarkEnd w:id="283"/>
      <w:bookmarkStart w:id="284" w:name="_Toc184312128"/>
      <w:bookmarkEnd w:id="284"/>
      <w:bookmarkStart w:id="285" w:name="_Toc184308054"/>
      <w:bookmarkEnd w:id="285"/>
      <w:bookmarkStart w:id="286" w:name="_Toc184314419"/>
      <w:bookmarkEnd w:id="286"/>
      <w:bookmarkStart w:id="287" w:name="_Toc184313294"/>
      <w:bookmarkEnd w:id="287"/>
      <w:bookmarkStart w:id="288" w:name="_Toc184308066"/>
      <w:bookmarkEnd w:id="288"/>
      <w:bookmarkStart w:id="289" w:name="_Toc184313300"/>
      <w:bookmarkEnd w:id="289"/>
      <w:bookmarkStart w:id="290" w:name="_Toc184313293"/>
      <w:bookmarkEnd w:id="290"/>
      <w:bookmarkStart w:id="291" w:name="_Toc184308041"/>
      <w:bookmarkEnd w:id="291"/>
      <w:bookmarkStart w:id="292" w:name="_Toc184312114"/>
      <w:bookmarkEnd w:id="292"/>
      <w:bookmarkStart w:id="293" w:name="_Toc184308102"/>
      <w:bookmarkEnd w:id="293"/>
      <w:bookmarkStart w:id="294" w:name="_Toc184310295"/>
      <w:bookmarkEnd w:id="294"/>
      <w:bookmarkStart w:id="295" w:name="_Toc184314423"/>
      <w:bookmarkEnd w:id="295"/>
      <w:bookmarkStart w:id="296" w:name="_Toc184313272"/>
      <w:bookmarkEnd w:id="296"/>
      <w:bookmarkStart w:id="297" w:name="_Toc184310331"/>
      <w:bookmarkEnd w:id="297"/>
      <w:bookmarkStart w:id="298" w:name="_Toc184314447"/>
      <w:bookmarkEnd w:id="298"/>
      <w:bookmarkStart w:id="299" w:name="_Toc184314471"/>
      <w:bookmarkEnd w:id="299"/>
      <w:bookmarkStart w:id="300" w:name="_Toc184310282"/>
      <w:bookmarkEnd w:id="300"/>
      <w:bookmarkStart w:id="301" w:name="_Toc184312090"/>
      <w:bookmarkEnd w:id="301"/>
      <w:bookmarkStart w:id="302" w:name="_Toc184308047"/>
      <w:bookmarkEnd w:id="302"/>
      <w:bookmarkStart w:id="303" w:name="_Toc184310334"/>
      <w:bookmarkEnd w:id="303"/>
      <w:bookmarkStart w:id="304" w:name="_Toc184313257"/>
      <w:bookmarkEnd w:id="304"/>
      <w:bookmarkStart w:id="305" w:name="_Toc184312130"/>
      <w:bookmarkEnd w:id="305"/>
      <w:bookmarkStart w:id="306" w:name="_Toc184310274"/>
      <w:bookmarkEnd w:id="306"/>
      <w:bookmarkStart w:id="307" w:name="_Toc184314413"/>
      <w:bookmarkEnd w:id="307"/>
      <w:bookmarkStart w:id="308" w:name="_Toc184313302"/>
      <w:bookmarkEnd w:id="308"/>
      <w:bookmarkStart w:id="309" w:name="_Toc184313254"/>
      <w:bookmarkEnd w:id="309"/>
      <w:bookmarkStart w:id="310" w:name="_Toc184312078"/>
      <w:bookmarkEnd w:id="310"/>
      <w:bookmarkStart w:id="311" w:name="_Toc184312073"/>
      <w:bookmarkEnd w:id="311"/>
      <w:bookmarkStart w:id="312" w:name="_Toc184313287"/>
      <w:bookmarkEnd w:id="312"/>
      <w:bookmarkStart w:id="313" w:name="_Toc184314414"/>
      <w:bookmarkEnd w:id="313"/>
      <w:bookmarkStart w:id="314" w:name="_Toc184308081"/>
      <w:bookmarkEnd w:id="314"/>
      <w:bookmarkStart w:id="315" w:name="_Toc184308079"/>
      <w:bookmarkEnd w:id="315"/>
      <w:bookmarkStart w:id="316" w:name="_Toc184310324"/>
      <w:bookmarkEnd w:id="316"/>
      <w:bookmarkStart w:id="317" w:name="_Toc184314436"/>
      <w:bookmarkEnd w:id="317"/>
      <w:bookmarkStart w:id="318" w:name="_Toc184308091"/>
      <w:bookmarkEnd w:id="318"/>
      <w:bookmarkStart w:id="319" w:name="_Toc184313284"/>
      <w:bookmarkEnd w:id="319"/>
      <w:bookmarkStart w:id="320" w:name="_Toc184314472"/>
      <w:bookmarkEnd w:id="320"/>
      <w:bookmarkStart w:id="321" w:name="_Toc184314411"/>
      <w:bookmarkEnd w:id="321"/>
      <w:bookmarkStart w:id="322" w:name="_Toc184312083"/>
      <w:bookmarkEnd w:id="322"/>
      <w:bookmarkStart w:id="323" w:name="_Toc184312091"/>
      <w:bookmarkEnd w:id="323"/>
      <w:bookmarkStart w:id="324" w:name="_Toc184310340"/>
      <w:bookmarkEnd w:id="324"/>
      <w:bookmarkStart w:id="325" w:name="_Toc184314463"/>
      <w:bookmarkEnd w:id="325"/>
      <w:bookmarkStart w:id="326" w:name="_Toc184314446"/>
      <w:bookmarkEnd w:id="326"/>
      <w:bookmarkStart w:id="327" w:name="_Toc184313266"/>
      <w:bookmarkEnd w:id="327"/>
      <w:bookmarkStart w:id="328" w:name="_Toc184310316"/>
      <w:bookmarkEnd w:id="328"/>
      <w:bookmarkStart w:id="329" w:name="_Toc184312110"/>
      <w:bookmarkEnd w:id="329"/>
      <w:bookmarkStart w:id="330" w:name="_Toc184313305"/>
      <w:bookmarkEnd w:id="330"/>
      <w:bookmarkStart w:id="331" w:name="_Toc184312113"/>
      <w:bookmarkEnd w:id="331"/>
      <w:bookmarkStart w:id="332" w:name="_Toc184314477"/>
      <w:bookmarkEnd w:id="332"/>
      <w:bookmarkStart w:id="333" w:name="_Toc184314434"/>
      <w:bookmarkEnd w:id="333"/>
      <w:bookmarkStart w:id="334" w:name="_Toc184313298"/>
      <w:bookmarkEnd w:id="334"/>
      <w:bookmarkStart w:id="335" w:name="_Toc184314415"/>
      <w:bookmarkEnd w:id="335"/>
      <w:bookmarkStart w:id="336" w:name="_Toc184313243"/>
      <w:bookmarkEnd w:id="336"/>
      <w:bookmarkStart w:id="337" w:name="_Toc184312131"/>
      <w:bookmarkEnd w:id="337"/>
      <w:bookmarkStart w:id="338" w:name="_Toc184314440"/>
      <w:bookmarkEnd w:id="338"/>
      <w:bookmarkStart w:id="339" w:name="_Toc184308099"/>
      <w:bookmarkEnd w:id="339"/>
      <w:bookmarkStart w:id="340" w:name="_Toc184310292"/>
      <w:bookmarkEnd w:id="340"/>
      <w:bookmarkStart w:id="341" w:name="_Toc184314422"/>
      <w:bookmarkEnd w:id="341"/>
      <w:bookmarkStart w:id="342" w:name="_Toc184310294"/>
      <w:bookmarkEnd w:id="342"/>
      <w:bookmarkStart w:id="343" w:name="_Toc184312088"/>
      <w:bookmarkEnd w:id="343"/>
      <w:bookmarkStart w:id="344" w:name="_Toc184308043"/>
      <w:bookmarkEnd w:id="344"/>
      <w:bookmarkStart w:id="345" w:name="_Toc184308094"/>
      <w:bookmarkEnd w:id="345"/>
      <w:bookmarkStart w:id="346" w:name="_Toc184314418"/>
      <w:bookmarkEnd w:id="346"/>
      <w:bookmarkStart w:id="347" w:name="_Toc184308108"/>
      <w:bookmarkEnd w:id="347"/>
      <w:bookmarkStart w:id="348" w:name="_Toc184308097"/>
      <w:bookmarkEnd w:id="348"/>
      <w:bookmarkStart w:id="349" w:name="_Toc184308067"/>
      <w:bookmarkEnd w:id="349"/>
      <w:bookmarkStart w:id="350" w:name="_Toc184310338"/>
      <w:bookmarkEnd w:id="350"/>
      <w:bookmarkStart w:id="351" w:name="_Toc184310280"/>
      <w:bookmarkEnd w:id="351"/>
      <w:bookmarkStart w:id="352" w:name="_Toc184314421"/>
      <w:bookmarkEnd w:id="352"/>
      <w:bookmarkStart w:id="353" w:name="_Toc184314482"/>
      <w:bookmarkEnd w:id="353"/>
      <w:bookmarkStart w:id="354" w:name="_Toc184310313"/>
      <w:bookmarkEnd w:id="354"/>
      <w:bookmarkStart w:id="355" w:name="_Toc184313303"/>
      <w:bookmarkEnd w:id="355"/>
      <w:bookmarkStart w:id="356" w:name="_Toc184310301"/>
      <w:bookmarkEnd w:id="356"/>
      <w:bookmarkStart w:id="357" w:name="_Toc184308086"/>
      <w:bookmarkEnd w:id="357"/>
      <w:bookmarkStart w:id="358" w:name="_Toc184310299"/>
      <w:bookmarkEnd w:id="358"/>
      <w:bookmarkStart w:id="359" w:name="_Toc184312132"/>
      <w:bookmarkEnd w:id="359"/>
      <w:bookmarkStart w:id="360" w:name="_Toc184310310"/>
      <w:bookmarkEnd w:id="360"/>
      <w:bookmarkStart w:id="361" w:name="_Toc184310297"/>
      <w:bookmarkEnd w:id="361"/>
      <w:bookmarkStart w:id="362" w:name="_Toc184312122"/>
      <w:bookmarkEnd w:id="362"/>
      <w:bookmarkStart w:id="363" w:name="_Toc184310303"/>
      <w:bookmarkEnd w:id="363"/>
      <w:bookmarkStart w:id="364" w:name="_Toc184312123"/>
      <w:bookmarkEnd w:id="364"/>
      <w:bookmarkStart w:id="365" w:name="_Toc184314441"/>
      <w:bookmarkEnd w:id="365"/>
      <w:bookmarkStart w:id="366" w:name="_Toc184314476"/>
      <w:bookmarkEnd w:id="366"/>
      <w:bookmarkStart w:id="367" w:name="_Toc184312086"/>
      <w:bookmarkEnd w:id="367"/>
      <w:bookmarkStart w:id="368" w:name="_Toc184312126"/>
      <w:bookmarkEnd w:id="368"/>
      <w:bookmarkStart w:id="369" w:name="_Toc184312068"/>
      <w:bookmarkEnd w:id="369"/>
      <w:bookmarkStart w:id="370" w:name="_Toc184314431"/>
      <w:bookmarkEnd w:id="370"/>
      <w:bookmarkStart w:id="371" w:name="_Toc184314465"/>
      <w:bookmarkEnd w:id="371"/>
      <w:bookmarkStart w:id="372" w:name="_Toc184310311"/>
      <w:bookmarkEnd w:id="372"/>
      <w:bookmarkStart w:id="373" w:name="_Toc184312104"/>
      <w:bookmarkEnd w:id="373"/>
      <w:bookmarkStart w:id="374" w:name="_Toc184312080"/>
      <w:bookmarkEnd w:id="374"/>
      <w:bookmarkStart w:id="375" w:name="_Toc184308078"/>
      <w:bookmarkEnd w:id="375"/>
      <w:bookmarkStart w:id="376" w:name="_Toc184310342"/>
      <w:bookmarkEnd w:id="376"/>
      <w:bookmarkStart w:id="377" w:name="_Toc184313259"/>
      <w:bookmarkEnd w:id="377"/>
      <w:bookmarkStart w:id="378" w:name="_Toc184308045"/>
      <w:bookmarkEnd w:id="378"/>
      <w:bookmarkStart w:id="379" w:name="_Toc184308096"/>
      <w:bookmarkEnd w:id="379"/>
      <w:bookmarkStart w:id="380" w:name="_Toc184310291"/>
      <w:bookmarkEnd w:id="380"/>
      <w:bookmarkStart w:id="381" w:name="_Toc184308039"/>
      <w:bookmarkEnd w:id="381"/>
      <w:bookmarkStart w:id="382" w:name="_Toc184312111"/>
      <w:bookmarkEnd w:id="382"/>
      <w:bookmarkStart w:id="383" w:name="_Toc184308070"/>
      <w:bookmarkEnd w:id="383"/>
      <w:bookmarkStart w:id="384" w:name="_Toc184312118"/>
      <w:bookmarkEnd w:id="384"/>
      <w:bookmarkStart w:id="385" w:name="_Toc184313252"/>
      <w:bookmarkEnd w:id="385"/>
      <w:bookmarkStart w:id="386" w:name="_Toc184308053"/>
      <w:bookmarkEnd w:id="386"/>
      <w:bookmarkStart w:id="387" w:name="_Toc184312124"/>
      <w:bookmarkEnd w:id="387"/>
      <w:bookmarkStart w:id="388" w:name="_Toc184310278"/>
      <w:bookmarkEnd w:id="388"/>
      <w:bookmarkStart w:id="389" w:name="_Toc184308071"/>
      <w:bookmarkEnd w:id="389"/>
      <w:bookmarkStart w:id="390" w:name="_Toc184310296"/>
      <w:bookmarkEnd w:id="390"/>
      <w:bookmarkStart w:id="391" w:name="_Toc184312105"/>
      <w:bookmarkEnd w:id="391"/>
      <w:r>
        <w:rPr>
          <w:rFonts w:hint="eastAsia" w:ascii="仿宋_GB2312" w:eastAsia="仿宋_GB2312"/>
          <w:b/>
          <w:sz w:val="28"/>
          <w:szCs w:val="28"/>
        </w:rPr>
        <w:t>评标办法</w:t>
      </w:r>
    </w:p>
    <w:p>
      <w:pPr>
        <w:pStyle w:val="13"/>
        <w:adjustRightInd w:val="0"/>
        <w:spacing w:line="46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本办法严格遵照《中华人民共和国政府采购法》、《中华人民共和国政府采购法实施条例》、《政府采购货物和服务招标投标管理办法》，结合项目所在地政府有关政府采购规定和项目的实际情况制定。</w:t>
      </w:r>
      <w:bookmarkStart w:id="392" w:name="_Toc433039343"/>
      <w:bookmarkStart w:id="393" w:name="_Toc9993"/>
    </w:p>
    <w:p>
      <w:pPr>
        <w:pStyle w:val="13"/>
        <w:adjustRightInd w:val="0"/>
        <w:spacing w:line="460" w:lineRule="exact"/>
        <w:ind w:left="0" w:leftChars="0"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一、总则</w:t>
      </w:r>
      <w:bookmarkEnd w:id="392"/>
      <w:bookmarkEnd w:id="393"/>
    </w:p>
    <w:p>
      <w:pPr>
        <w:adjustRightInd w:val="0"/>
        <w:snapToGrid w:val="0"/>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招标活动遵循公平、公正、科学、择优的原则依法进行，招标活动及当事人接受依法实施的监督。</w:t>
      </w:r>
    </w:p>
    <w:p>
      <w:pPr>
        <w:adjustRightInd w:val="0"/>
        <w:snapToGrid w:val="0"/>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本次招标采用综合评分法。</w:t>
      </w:r>
      <w:bookmarkStart w:id="394" w:name="_Toc11481"/>
      <w:bookmarkStart w:id="395" w:name="_Toc433039344"/>
    </w:p>
    <w:p>
      <w:pPr>
        <w:adjustRightInd w:val="0"/>
        <w:snapToGrid w:val="0"/>
        <w:spacing w:line="460" w:lineRule="exac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二、评标组织</w:t>
      </w:r>
      <w:bookmarkEnd w:id="394"/>
      <w:bookmarkEnd w:id="395"/>
    </w:p>
    <w:p>
      <w:pPr>
        <w:pStyle w:val="11"/>
        <w:adjustRightInd w:val="0"/>
        <w:snapToGrid w:val="0"/>
        <w:spacing w:before="0" w:beforeLines="0" w:after="0" w:afterLines="0"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w:t>
      </w:r>
      <w:r>
        <w:rPr>
          <w:rFonts w:hint="eastAsia" w:ascii="仿宋" w:hAnsi="仿宋" w:eastAsia="仿宋" w:cs="仿宋"/>
          <w:bCs/>
          <w:color w:val="auto"/>
          <w:sz w:val="24"/>
          <w:szCs w:val="24"/>
          <w:highlight w:val="none"/>
        </w:rPr>
        <w:t>采购人和采购代理机构根据采购项目的内容特点按照规定组建评标委员会，评标委员会由采购人代表和评审专家组成。</w:t>
      </w:r>
    </w:p>
    <w:p>
      <w:pPr>
        <w:adjustRightInd w:val="0"/>
        <w:snapToGrid w:val="0"/>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主持人宣布评标期间的有关事项，告知应当回避的情形，提请有关人员回避。</w:t>
      </w:r>
      <w:bookmarkStart w:id="396" w:name="_Toc433039345"/>
      <w:bookmarkStart w:id="397" w:name="_Toc25314"/>
    </w:p>
    <w:p>
      <w:pPr>
        <w:adjustRightInd w:val="0"/>
        <w:snapToGrid w:val="0"/>
        <w:spacing w:line="460" w:lineRule="exac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三、评标程序</w:t>
      </w:r>
      <w:bookmarkEnd w:id="396"/>
      <w:bookmarkEnd w:id="397"/>
    </w:p>
    <w:p>
      <w:pPr>
        <w:adjustRightInd w:val="0"/>
        <w:snapToGrid w:val="0"/>
        <w:spacing w:line="460" w:lineRule="exact"/>
        <w:ind w:firstLine="422"/>
        <w:outlineLvl w:val="9"/>
        <w:rPr>
          <w:rFonts w:hint="eastAsia" w:ascii="仿宋" w:hAnsi="仿宋" w:eastAsia="仿宋" w:cs="仿宋"/>
          <w:color w:val="auto"/>
          <w:sz w:val="24"/>
          <w:szCs w:val="24"/>
          <w:highlight w:val="none"/>
        </w:rPr>
      </w:pPr>
      <w:bookmarkStart w:id="398" w:name="_Toc5003"/>
      <w:bookmarkStart w:id="399" w:name="_Toc433039346"/>
      <w:r>
        <w:rPr>
          <w:rFonts w:hint="eastAsia" w:ascii="仿宋" w:hAnsi="仿宋" w:eastAsia="仿宋" w:cs="仿宋"/>
          <w:color w:val="auto"/>
          <w:sz w:val="24"/>
          <w:szCs w:val="24"/>
          <w:highlight w:val="none"/>
        </w:rPr>
        <w:t>1、采购机构按《招标文件》规定的时间、地点组织进行开标。开标会议由采购代理机构组织，按《招标文件》的规定对投标人的基本情况进行审核。</w:t>
      </w:r>
    </w:p>
    <w:p>
      <w:pPr>
        <w:adjustRightInd w:val="0"/>
        <w:snapToGrid w:val="0"/>
        <w:spacing w:line="460" w:lineRule="exact"/>
        <w:ind w:firstLine="42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根据《招标文件》规定对投标人的投标文件进行初步评审。对投标文件中含义不明确、同类问题表述不一致或者有明显文字和计算错误的内容，评标委员会可要求投标人作出必要的澄清、说明或者纠正。最终评标委员会将对各投标人进行详细评审并打分。</w:t>
      </w:r>
    </w:p>
    <w:p>
      <w:pPr>
        <w:adjustRightInd w:val="0"/>
        <w:snapToGrid w:val="0"/>
        <w:spacing w:line="460" w:lineRule="exact"/>
        <w:ind w:firstLine="42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3、按照投标人的综合得分（商务资信技术得分和报价得分之和）排名，评标委员会推荐中标候选人，</w:t>
      </w:r>
      <w:r>
        <w:rPr>
          <w:rFonts w:hint="eastAsia" w:ascii="仿宋" w:hAnsi="仿宋" w:eastAsia="仿宋" w:cs="仿宋"/>
          <w:color w:val="auto"/>
          <w:sz w:val="24"/>
          <w:szCs w:val="24"/>
          <w:highlight w:val="none"/>
          <w:lang w:val="en-US" w:eastAsia="zh-CN"/>
        </w:rPr>
        <w:t>采购人根据推荐的中标候选人情况确定中标人，并</w:t>
      </w:r>
      <w:r>
        <w:rPr>
          <w:rFonts w:hint="eastAsia" w:ascii="仿宋" w:hAnsi="仿宋" w:eastAsia="仿宋" w:cs="仿宋"/>
          <w:color w:val="auto"/>
          <w:sz w:val="24"/>
          <w:szCs w:val="24"/>
          <w:highlight w:val="none"/>
        </w:rPr>
        <w:t>招标公告发布的网站上公布评标结果。</w:t>
      </w:r>
    </w:p>
    <w:p>
      <w:pPr>
        <w:adjustRightInd w:val="0"/>
        <w:snapToGrid w:val="0"/>
        <w:spacing w:line="460" w:lineRule="exac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四、评标过程</w:t>
      </w:r>
      <w:bookmarkEnd w:id="398"/>
      <w:bookmarkEnd w:id="399"/>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1.资格条件审查</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由采购人或代理机构对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不足3家的，不得评标。</w:t>
      </w:r>
    </w:p>
    <w:tbl>
      <w:tblPr>
        <w:tblStyle w:val="24"/>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审查类别</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的营业执照副本复印件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2、提供</w:t>
            </w:r>
            <w:r>
              <w:rPr>
                <w:rFonts w:hint="eastAsia" w:ascii="仿宋" w:hAnsi="仿宋" w:eastAsia="仿宋" w:cs="仿宋"/>
                <w:color w:val="auto"/>
                <w:sz w:val="24"/>
                <w:szCs w:val="24"/>
                <w:highlight w:val="none"/>
              </w:rPr>
              <w:t>符合参加政府采购活动应当具备的一般条件的承诺函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sz w:val="24"/>
                <w:szCs w:val="24"/>
                <w:highlight w:val="none"/>
                <w:lang w:val="en-US" w:eastAsia="zh-CN"/>
              </w:rPr>
              <w:t>未被</w:t>
            </w:r>
            <w:r>
              <w:rPr>
                <w:rFonts w:hint="eastAsia" w:ascii="仿宋" w:hAnsi="仿宋" w:eastAsia="仿宋" w:cs="仿宋"/>
                <w:color w:val="auto"/>
                <w:sz w:val="24"/>
                <w:szCs w:val="24"/>
                <w:highlight w:val="none"/>
              </w:rPr>
              <w:t>“信用中国”（www.creditchina.gov.cn)、中国政府采购网（www.ccgp.gov.cn）列入失信被执行人、重大税收违法案件当事人名单、政府采购严重违法失信行为记录名单。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kern w:val="0"/>
                <w:sz w:val="24"/>
                <w:szCs w:val="24"/>
                <w:highlight w:val="none"/>
                <w:lang w:bidi="ar"/>
              </w:rPr>
              <w:t>（以采购代理机构于投标截止日当天在信用中国网站及中国政府采购网查询结果为准，如相关失信记录已失效，</w:t>
            </w: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需提供相关证明资料）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4、不是联合体参加投标</w:t>
            </w:r>
          </w:p>
        </w:tc>
      </w:tr>
    </w:tbl>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2.符合性审查</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评标委员会应当对符合资格的</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的实质性要求</w:t>
      </w:r>
      <w:r>
        <w:rPr>
          <w:rFonts w:hint="eastAsia" w:ascii="仿宋" w:hAnsi="仿宋" w:eastAsia="仿宋" w:cs="仿宋"/>
          <w:bCs/>
          <w:color w:val="auto"/>
          <w:sz w:val="24"/>
          <w:szCs w:val="24"/>
          <w:highlight w:val="none"/>
        </w:rPr>
        <w:t>。</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审查类别</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性</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审</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技术商务</w:t>
            </w:r>
            <w:r>
              <w:rPr>
                <w:rFonts w:hint="eastAsia" w:ascii="仿宋" w:hAnsi="仿宋" w:eastAsia="仿宋" w:cs="仿宋"/>
                <w:bCs/>
                <w:color w:val="auto"/>
                <w:sz w:val="24"/>
                <w:szCs w:val="24"/>
                <w:highlight w:val="none"/>
                <w:lang w:eastAsia="zh-CN"/>
              </w:rPr>
              <w:t>）</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1、投标有效期满足</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w:t>
            </w: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color w:val="auto"/>
                <w:kern w:val="0"/>
                <w:sz w:val="24"/>
                <w:szCs w:val="24"/>
                <w:highlight w:val="none"/>
                <w:lang w:bidi="ar"/>
              </w:rPr>
              <w:t>提供</w:t>
            </w:r>
            <w:r>
              <w:rPr>
                <w:rFonts w:hint="eastAsia" w:ascii="仿宋" w:hAnsi="仿宋" w:eastAsia="仿宋" w:cs="仿宋"/>
                <w:color w:val="auto"/>
                <w:kern w:val="0"/>
                <w:sz w:val="24"/>
                <w:szCs w:val="24"/>
                <w:highlight w:val="none"/>
                <w:lang w:val="en-US" w:eastAsia="zh-CN" w:bidi="ar"/>
              </w:rPr>
              <w:t>有效的</w:t>
            </w:r>
            <w:r>
              <w:rPr>
                <w:rFonts w:hint="eastAsia" w:ascii="仿宋" w:hAnsi="仿宋" w:eastAsia="仿宋" w:cs="仿宋"/>
                <w:color w:val="auto"/>
                <w:kern w:val="0"/>
                <w:sz w:val="24"/>
                <w:szCs w:val="24"/>
                <w:highlight w:val="none"/>
                <w:lang w:bidi="ar"/>
              </w:rPr>
              <w:t>法定代表人资格证明/法定代表人授权委托书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w:t>
            </w:r>
            <w:r>
              <w:rPr>
                <w:rFonts w:hint="eastAsia" w:ascii="仿宋" w:hAnsi="仿宋" w:eastAsia="仿宋" w:cs="仿宋"/>
                <w:color w:val="auto"/>
                <w:kern w:val="0"/>
                <w:sz w:val="24"/>
                <w:szCs w:val="24"/>
                <w:highlight w:val="none"/>
                <w:lang w:eastAsia="zh-CN" w:bidi="ar"/>
              </w:rPr>
              <w:t>投标文件</w:t>
            </w: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color w:val="auto"/>
                <w:kern w:val="0"/>
                <w:sz w:val="24"/>
                <w:szCs w:val="24"/>
                <w:highlight w:val="none"/>
                <w:lang w:bidi="ar"/>
              </w:rPr>
              <w:t>完全满足</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的实质性条款（即标注▲号条款）无负偏离的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4、投标文件中是否有</w:t>
            </w:r>
            <w:r>
              <w:rPr>
                <w:rFonts w:hint="eastAsia" w:ascii="仿宋" w:hAnsi="仿宋" w:eastAsia="仿宋" w:cs="仿宋"/>
                <w:bCs/>
                <w:color w:val="auto"/>
                <w:sz w:val="24"/>
                <w:szCs w:val="24"/>
                <w:highlight w:val="none"/>
              </w:rPr>
              <w:t>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rPr>
              <w:t>技术方案不明确，存在一个或一个以上备选（替代）方案的</w:t>
            </w:r>
            <w:r>
              <w:rPr>
                <w:rFonts w:hint="eastAsia" w:ascii="仿宋" w:hAnsi="仿宋" w:eastAsia="仿宋" w:cs="仿宋"/>
                <w:bCs/>
                <w:color w:val="auto"/>
                <w:sz w:val="24"/>
                <w:szCs w:val="24"/>
                <w:highlight w:val="none"/>
                <w:lang w:eastAsia="zh-CN"/>
              </w:rPr>
              <w:t>且未声明哪个有效的</w:t>
            </w:r>
            <w:r>
              <w:rPr>
                <w:rFonts w:hint="eastAsia" w:ascii="仿宋" w:hAnsi="仿宋" w:eastAsia="仿宋" w:cs="仿宋"/>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bidi="ar"/>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rPr>
              <w:t>的关键内容字迹模糊、无法辨认的,或者</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rPr>
              <w:t>中经修正的内容字迹模糊难以辩认或者修改处未按规定签名盖章</w:t>
            </w:r>
            <w:r>
              <w:rPr>
                <w:rFonts w:hint="eastAsia" w:ascii="仿宋" w:hAnsi="仿宋" w:eastAsia="仿宋" w:cs="仿宋"/>
                <w:bCs/>
                <w:color w:val="auto"/>
                <w:sz w:val="24"/>
                <w:szCs w:val="24"/>
                <w:highlight w:val="none"/>
                <w:lang w:val="en-US" w:eastAsia="zh-CN"/>
              </w:rPr>
              <w:t>且造成实质性影响的</w:t>
            </w:r>
            <w:r>
              <w:rPr>
                <w:rFonts w:hint="eastAsia" w:ascii="仿宋" w:hAnsi="仿宋" w:eastAsia="仿宋" w:cs="仿宋"/>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7、</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rPr>
              <w:t>按规定签</w:t>
            </w:r>
            <w:r>
              <w:rPr>
                <w:rFonts w:hint="eastAsia" w:ascii="仿宋" w:hAnsi="仿宋" w:eastAsia="仿宋" w:cs="仿宋"/>
                <w:bCs/>
                <w:color w:val="auto"/>
                <w:sz w:val="24"/>
                <w:szCs w:val="24"/>
                <w:highlight w:val="none"/>
                <w:lang w:eastAsia="zh-CN"/>
              </w:rPr>
              <w:t>字、盖</w:t>
            </w:r>
            <w:r>
              <w:rPr>
                <w:rFonts w:hint="eastAsia" w:ascii="仿宋" w:hAnsi="仿宋" w:eastAsia="仿宋" w:cs="仿宋"/>
                <w:bCs/>
                <w:color w:val="auto"/>
                <w:sz w:val="24"/>
                <w:szCs w:val="24"/>
                <w:highlight w:val="none"/>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w:t>
            </w:r>
            <w:r>
              <w:rPr>
                <w:rFonts w:hint="eastAsia" w:ascii="仿宋" w:hAnsi="仿宋" w:eastAsia="仿宋" w:cs="仿宋"/>
                <w:color w:val="auto"/>
                <w:kern w:val="0"/>
                <w:sz w:val="24"/>
                <w:szCs w:val="24"/>
                <w:highlight w:val="none"/>
                <w:lang w:eastAsia="zh-CN" w:bidi="ar"/>
              </w:rPr>
              <w:t>投标文件</w:t>
            </w:r>
            <w:r>
              <w:rPr>
                <w:rFonts w:hint="eastAsia" w:ascii="仿宋" w:hAnsi="仿宋" w:eastAsia="仿宋" w:cs="仿宋"/>
                <w:color w:val="auto"/>
                <w:kern w:val="0"/>
                <w:sz w:val="24"/>
                <w:szCs w:val="24"/>
                <w:highlight w:val="none"/>
                <w:lang w:bidi="ar"/>
              </w:rPr>
              <w:t>没有</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中规定的其它无效投标条款的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color w:val="auto"/>
                <w:kern w:val="0"/>
                <w:sz w:val="24"/>
                <w:szCs w:val="24"/>
                <w:highlight w:val="none"/>
                <w:lang w:bidi="ar"/>
              </w:rPr>
              <w:t>按有关法律、法规、规章不属于投标无效的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7"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性</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审</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w:t>
            </w:r>
          </w:p>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报价</w:t>
            </w:r>
            <w:r>
              <w:rPr>
                <w:rFonts w:hint="eastAsia" w:ascii="仿宋" w:hAnsi="仿宋" w:eastAsia="仿宋" w:cs="仿宋"/>
                <w:bCs/>
                <w:color w:val="auto"/>
                <w:sz w:val="24"/>
                <w:szCs w:val="24"/>
                <w:highlight w:val="none"/>
                <w:lang w:eastAsia="zh-CN"/>
              </w:rPr>
              <w:t>）</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1、是否</w:t>
            </w:r>
            <w:r>
              <w:rPr>
                <w:rFonts w:hint="eastAsia" w:ascii="仿宋" w:hAnsi="仿宋" w:eastAsia="仿宋" w:cs="仿宋"/>
                <w:bCs/>
                <w:color w:val="auto"/>
                <w:sz w:val="24"/>
                <w:szCs w:val="24"/>
                <w:highlight w:val="none"/>
              </w:rPr>
              <w:t>采用</w:t>
            </w:r>
            <w:r>
              <w:rPr>
                <w:rFonts w:hint="eastAsia" w:ascii="仿宋" w:hAnsi="仿宋" w:eastAsia="仿宋" w:cs="仿宋"/>
                <w:bCs/>
                <w:color w:val="auto"/>
                <w:sz w:val="24"/>
                <w:szCs w:val="24"/>
                <w:highlight w:val="none"/>
                <w:lang w:val="en-US" w:eastAsia="zh-CN"/>
              </w:rPr>
              <w:t>招</w:t>
            </w:r>
            <w:r>
              <w:rPr>
                <w:rFonts w:hint="eastAsia" w:ascii="仿宋" w:hAnsi="仿宋" w:eastAsia="仿宋" w:cs="仿宋"/>
                <w:bCs/>
                <w:color w:val="auto"/>
                <w:sz w:val="24"/>
                <w:szCs w:val="24"/>
                <w:highlight w:val="none"/>
                <w:lang w:eastAsia="zh-CN"/>
              </w:rPr>
              <w:t>标文件</w:t>
            </w:r>
            <w:r>
              <w:rPr>
                <w:rFonts w:hint="eastAsia" w:ascii="仿宋" w:hAnsi="仿宋" w:eastAsia="仿宋" w:cs="仿宋"/>
                <w:bCs/>
                <w:color w:val="auto"/>
                <w:sz w:val="24"/>
                <w:szCs w:val="24"/>
                <w:highlight w:val="none"/>
              </w:rPr>
              <w:t>要求的报价形式报价的，或报价超过采购预算/最高限价的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w:t>
            </w:r>
            <w:r>
              <w:rPr>
                <w:rFonts w:hint="eastAsia" w:ascii="仿宋" w:hAnsi="仿宋" w:eastAsia="仿宋" w:cs="仿宋"/>
                <w:bCs/>
                <w:color w:val="auto"/>
                <w:sz w:val="24"/>
                <w:szCs w:val="24"/>
                <w:highlight w:val="none"/>
              </w:rPr>
              <w:t>报价具有选择性</w:t>
            </w:r>
            <w:r>
              <w:rPr>
                <w:rFonts w:hint="eastAsia" w:ascii="仿宋" w:hAnsi="仿宋" w:eastAsia="仿宋" w:cs="仿宋"/>
                <w:bCs/>
                <w:color w:val="auto"/>
                <w:sz w:val="24"/>
                <w:szCs w:val="24"/>
                <w:highlight w:val="none"/>
                <w:lang w:eastAsia="zh-CN"/>
              </w:rPr>
              <w:t>且未声明哪个有效的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lang w:val="en-US" w:eastAsia="zh-CN" w:bidi="ar"/>
              </w:rPr>
              <w:t>是否有</w:t>
            </w:r>
            <w:r>
              <w:rPr>
                <w:rFonts w:hint="eastAsia" w:ascii="仿宋" w:hAnsi="仿宋" w:eastAsia="仿宋" w:cs="仿宋"/>
                <w:bCs/>
                <w:color w:val="auto"/>
                <w:sz w:val="24"/>
                <w:szCs w:val="24"/>
                <w:highlight w:val="none"/>
              </w:rPr>
              <w:t>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4、报价是否明显低于其他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有可能影响</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质量或者不能诚信履约的</w:t>
            </w:r>
          </w:p>
        </w:tc>
      </w:tr>
    </w:tbl>
    <w:p>
      <w:pPr>
        <w:pStyle w:val="13"/>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详细评审</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3.1</w:t>
      </w:r>
      <w:r>
        <w:rPr>
          <w:rFonts w:hint="eastAsia" w:ascii="仿宋" w:hAnsi="仿宋" w:eastAsia="仿宋" w:cs="仿宋"/>
          <w:b w:val="0"/>
          <w:color w:val="auto"/>
          <w:sz w:val="24"/>
          <w:szCs w:val="24"/>
          <w:highlight w:val="none"/>
        </w:rPr>
        <w:t>评标委员会对通过符合性审查的</w:t>
      </w:r>
      <w:r>
        <w:rPr>
          <w:rFonts w:hint="eastAsia" w:ascii="仿宋" w:hAnsi="仿宋" w:eastAsia="仿宋" w:cs="仿宋"/>
          <w:b w:val="0"/>
          <w:color w:val="auto"/>
          <w:sz w:val="24"/>
          <w:szCs w:val="24"/>
          <w:highlight w:val="none"/>
          <w:lang w:val="en-US" w:eastAsia="zh-CN"/>
        </w:rPr>
        <w:t>投标文件</w:t>
      </w:r>
      <w:r>
        <w:rPr>
          <w:rFonts w:hint="eastAsia" w:ascii="仿宋" w:hAnsi="仿宋" w:eastAsia="仿宋" w:cs="仿宋"/>
          <w:b w:val="0"/>
          <w:color w:val="auto"/>
          <w:sz w:val="24"/>
          <w:szCs w:val="24"/>
          <w:highlight w:val="none"/>
        </w:rPr>
        <w:t>，依照本办法对技术、商务内容作进一步评审、比较。评标委员会成员经过阅标、审标和询标，对各</w:t>
      </w:r>
      <w:r>
        <w:rPr>
          <w:rFonts w:hint="eastAsia" w:ascii="仿宋" w:hAnsi="仿宋" w:eastAsia="仿宋" w:cs="仿宋"/>
          <w:b w:val="0"/>
          <w:color w:val="auto"/>
          <w:sz w:val="24"/>
          <w:szCs w:val="24"/>
          <w:highlight w:val="none"/>
          <w:lang w:val="en-US" w:eastAsia="zh-CN"/>
        </w:rPr>
        <w:t>投标人</w:t>
      </w:r>
      <w:r>
        <w:rPr>
          <w:rFonts w:hint="eastAsia" w:ascii="仿宋" w:hAnsi="仿宋" w:eastAsia="仿宋" w:cs="仿宋"/>
          <w:b w:val="0"/>
          <w:color w:val="auto"/>
          <w:sz w:val="24"/>
          <w:szCs w:val="24"/>
          <w:highlight w:val="none"/>
        </w:rPr>
        <w:t>进行综合打分。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评委打分参照本部分附表：评分标准表。技术商务得分由各评标委员会成员打分，根据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的投标文件及相关澄清文件，进行独立打分。价格分由评标委员会统一核算。评委打分采用记名方式，取所有评委汇总得分的算术平均分（小数点后保留二位小数）。</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注：评标委员会认为投标文件无效的，应组织相关</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代表进行陈述、澄清或申辩。</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w:t>
      </w:r>
      <w:r>
        <w:rPr>
          <w:rFonts w:hint="eastAsia" w:ascii="仿宋_GB2312" w:eastAsia="仿宋_GB2312"/>
          <w:sz w:val="24"/>
          <w:szCs w:val="24"/>
          <w:lang w:eastAsia="zh-CN"/>
        </w:rPr>
        <w:t>.</w:t>
      </w:r>
      <w:r>
        <w:rPr>
          <w:rFonts w:hint="eastAsia" w:ascii="仿宋_GB2312" w:eastAsia="仿宋_GB2312"/>
          <w:sz w:val="24"/>
          <w:szCs w:val="24"/>
        </w:rPr>
        <w:t>报价评审。</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4.1投标文件报价出现前后不一致的，按照下列规定修正：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4.1.1投标文件中开标一览表(报价表)内容与投标文件中相应内容不一致的，以开标一览表(报价表)为准;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4.1.2大写金额和小写金额不一致的，以大写金额为准;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4.1.3单价金额小数点或者百分比有明显错位的，以开标一览表的总价为准，并修改单价;</w:t>
      </w:r>
    </w:p>
    <w:p>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rPr>
        <w:t>4.1.4总价金额与按单价汇总金额不一致的，以单价金额计算结果为准。</w:t>
      </w:r>
    </w:p>
    <w:p>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rPr>
        <w:t>4.1.5同时出现两种以上不一致的，按照4.1规定的顺序修正。修正后的报价按照财政部第87号令 《政府采购货物和服务招标投标管理办法》第五十一条第二款的规定经投标人确认后产生约束力。</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4.2</w:t>
      </w:r>
      <w:r>
        <w:rPr>
          <w:rFonts w:hint="eastAsia" w:ascii="仿宋_GB2312" w:eastAsia="仿宋_GB2312"/>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仿宋_GB2312" w:eastAsia="仿宋_GB2312"/>
          <w:sz w:val="24"/>
          <w:szCs w:val="24"/>
          <w:lang w:val="en-US" w:eastAsia="zh-CN"/>
        </w:rPr>
        <w:t xml:space="preserve"> </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5、中标原则</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投标人的综合得分（报价、资信技术得分之和）由高到低排定顺序，并推荐综合得分排序第一的投标人为第一中标候选人。如投标人的综合得分相同，则投标价低者优先；如投标价也相同，则由投标人抽签决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先抽中者排名在前</w:t>
      </w:r>
      <w:r>
        <w:rPr>
          <w:rFonts w:hint="eastAsia" w:ascii="仿宋" w:hAnsi="仿宋" w:eastAsia="仿宋" w:cs="仿宋"/>
          <w:color w:val="auto"/>
          <w:sz w:val="24"/>
          <w:szCs w:val="24"/>
          <w:highlight w:val="none"/>
        </w:rPr>
        <w:t>。</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6、中标结果</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采购机构将中标结果在政府采购指定媒体上公告并向中标人发出中标通知书。</w:t>
      </w:r>
    </w:p>
    <w:p>
      <w:pPr>
        <w:spacing w:line="540" w:lineRule="exact"/>
        <w:contextualSpacing/>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评分标准表</w:t>
      </w:r>
    </w:p>
    <w:tbl>
      <w:tblPr>
        <w:tblStyle w:val="24"/>
        <w:tblW w:w="10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6"/>
        <w:gridCol w:w="873"/>
        <w:gridCol w:w="7391"/>
        <w:gridCol w:w="545"/>
        <w:gridCol w:w="11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476" w:type="dxa"/>
            <w:tcBorders>
              <w:top w:val="double" w:color="auto" w:sz="4" w:space="0"/>
            </w:tcBorders>
            <w:shd w:val="clear" w:color="auto" w:fill="FFFFFF"/>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873" w:type="dxa"/>
            <w:tcBorders>
              <w:top w:val="double" w:color="auto" w:sz="4" w:space="0"/>
            </w:tcBorders>
            <w:shd w:val="clear" w:color="auto" w:fill="FFFFFF"/>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7391" w:type="dxa"/>
            <w:tcBorders>
              <w:top w:val="double" w:color="auto" w:sz="4" w:space="0"/>
            </w:tcBorders>
            <w:shd w:val="clear" w:color="auto" w:fill="FFFFFF"/>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评审细则</w:t>
            </w:r>
          </w:p>
        </w:tc>
        <w:tc>
          <w:tcPr>
            <w:tcW w:w="545" w:type="dxa"/>
            <w:tcBorders>
              <w:top w:val="double" w:color="auto" w:sz="4" w:space="0"/>
            </w:tcBorders>
            <w:shd w:val="clear" w:color="auto" w:fill="FFFFFF"/>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得分</w:t>
            </w:r>
          </w:p>
        </w:tc>
        <w:tc>
          <w:tcPr>
            <w:tcW w:w="1117" w:type="dxa"/>
            <w:tcBorders>
              <w:top w:val="double" w:color="auto" w:sz="4" w:space="0"/>
            </w:tcBorders>
            <w:shd w:val="clear" w:color="auto" w:fill="FFFFFF"/>
            <w:noWrap w:val="0"/>
            <w:vAlign w:val="center"/>
          </w:tcPr>
          <w:p>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主观分/客观分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476" w:type="dxa"/>
            <w:vMerge w:val="restart"/>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技术商务</w:t>
            </w:r>
          </w:p>
        </w:tc>
        <w:tc>
          <w:tcPr>
            <w:tcW w:w="873" w:type="dxa"/>
            <w:shd w:val="clear" w:color="auto" w:fill="FFFFFF"/>
            <w:noWrap w:val="0"/>
            <w:vAlign w:val="center"/>
          </w:tcPr>
          <w:p>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需求响应</w:t>
            </w:r>
          </w:p>
        </w:tc>
        <w:tc>
          <w:tcPr>
            <w:tcW w:w="7391" w:type="dxa"/>
            <w:shd w:val="clear" w:color="auto" w:fill="FFFFFF"/>
            <w:noWrap w:val="0"/>
            <w:vAlign w:val="center"/>
          </w:tcPr>
          <w:p>
            <w:pPr>
              <w:rPr>
                <w:rFonts w:hint="eastAsia" w:ascii="仿宋" w:hAnsi="仿宋" w:eastAsia="仿宋" w:cs="仿宋"/>
                <w:sz w:val="24"/>
                <w:szCs w:val="24"/>
              </w:rPr>
            </w:pPr>
            <w:r>
              <w:rPr>
                <w:rFonts w:hint="eastAsia" w:ascii="仿宋" w:hAnsi="仿宋" w:eastAsia="仿宋" w:cs="仿宋"/>
                <w:spacing w:val="-4"/>
                <w:sz w:val="24"/>
                <w:szCs w:val="24"/>
              </w:rPr>
              <w:t>供应商</w:t>
            </w:r>
            <w:r>
              <w:rPr>
                <w:rFonts w:hint="eastAsia" w:ascii="仿宋" w:hAnsi="仿宋" w:eastAsia="仿宋" w:cs="仿宋"/>
                <w:spacing w:val="-4"/>
                <w:sz w:val="24"/>
                <w:szCs w:val="24"/>
                <w:lang w:val="en-US" w:eastAsia="zh-CN"/>
              </w:rPr>
              <w:t>完全响应采购文件第三部分 采购需求的</w:t>
            </w:r>
            <w:r>
              <w:rPr>
                <w:rFonts w:hint="eastAsia" w:ascii="仿宋" w:hAnsi="仿宋" w:eastAsia="仿宋" w:cs="仿宋"/>
                <w:spacing w:val="-4"/>
                <w:sz w:val="24"/>
                <w:szCs w:val="24"/>
              </w:rPr>
              <w:t>的得2</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分，无标记指标负偏离的每一项扣</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分，</w:t>
            </w:r>
            <w:r>
              <w:rPr>
                <w:rFonts w:hint="eastAsia" w:ascii="仿宋" w:hAnsi="仿宋" w:eastAsia="仿宋" w:cs="仿宋"/>
                <w:spacing w:val="-4"/>
                <w:sz w:val="24"/>
                <w:szCs w:val="24"/>
                <w:lang w:val="en-US" w:eastAsia="zh-CN"/>
              </w:rPr>
              <w:t>无标记指标</w:t>
            </w:r>
            <w:r>
              <w:rPr>
                <w:rFonts w:hint="eastAsia" w:ascii="仿宋" w:hAnsi="仿宋" w:eastAsia="仿宋" w:cs="仿宋"/>
                <w:spacing w:val="-4"/>
                <w:sz w:val="24"/>
                <w:szCs w:val="24"/>
              </w:rPr>
              <w:t>负偏离超过5条的，按未实质性响应</w:t>
            </w:r>
            <w:r>
              <w:rPr>
                <w:rFonts w:hint="eastAsia" w:ascii="仿宋" w:hAnsi="仿宋" w:eastAsia="仿宋" w:cs="仿宋"/>
                <w:spacing w:val="-4"/>
                <w:sz w:val="24"/>
                <w:szCs w:val="24"/>
                <w:lang w:eastAsia="zh-CN"/>
              </w:rPr>
              <w:t>采购文件</w:t>
            </w:r>
            <w:r>
              <w:rPr>
                <w:rFonts w:hint="eastAsia" w:ascii="仿宋" w:hAnsi="仿宋" w:eastAsia="仿宋" w:cs="仿宋"/>
                <w:spacing w:val="-4"/>
                <w:sz w:val="24"/>
                <w:szCs w:val="24"/>
              </w:rPr>
              <w:t>处理。</w:t>
            </w:r>
          </w:p>
        </w:tc>
        <w:tc>
          <w:tcPr>
            <w:tcW w:w="545" w:type="dxa"/>
            <w:shd w:val="clear" w:color="auto" w:fill="FFFFFF"/>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117" w:type="dxa"/>
            <w:shd w:val="clear" w:color="auto" w:fill="FFFFFF"/>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shd w:val="clear" w:color="auto" w:fill="FFFFFF"/>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服务方案</w:t>
            </w:r>
          </w:p>
        </w:tc>
        <w:tc>
          <w:tcPr>
            <w:tcW w:w="7391" w:type="dxa"/>
            <w:tcBorders>
              <w:bottom w:val="single" w:color="auto" w:sz="4" w:space="0"/>
            </w:tcBorders>
            <w:shd w:val="clear" w:color="auto" w:fill="FFFFFF"/>
            <w:noWrap w:val="0"/>
            <w:vAlign w:val="center"/>
          </w:tcPr>
          <w:p>
            <w:pPr>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投标文件中有提供针对本项目的服务方案的得4分，未提供的不得分。</w:t>
            </w:r>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17" w:type="dxa"/>
            <w:tcBorders>
              <w:bottom w:val="single" w:color="auto" w:sz="4" w:space="0"/>
            </w:tcBorders>
            <w:shd w:val="clear" w:color="auto" w:fill="FFFFFF"/>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9"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shd w:val="clear" w:color="auto" w:fill="FFFFFF"/>
            <w:noWrap w:val="0"/>
            <w:vAlign w:val="center"/>
          </w:tcPr>
          <w:p>
            <w:pPr>
              <w:widowControl/>
              <w:jc w:val="center"/>
              <w:rPr>
                <w:rFonts w:hint="eastAsia" w:ascii="仿宋" w:hAnsi="仿宋" w:eastAsia="仿宋" w:cs="仿宋"/>
                <w:sz w:val="24"/>
                <w:szCs w:val="24"/>
              </w:rPr>
            </w:pPr>
          </w:p>
        </w:tc>
        <w:tc>
          <w:tcPr>
            <w:tcW w:w="7391" w:type="dxa"/>
            <w:tcBorders>
              <w:top w:val="single" w:color="auto" w:sz="4" w:space="0"/>
            </w:tcBorders>
            <w:shd w:val="clear" w:color="auto" w:fill="FFFFFF"/>
            <w:noWrap w:val="0"/>
            <w:vAlign w:val="center"/>
          </w:tcPr>
          <w:p>
            <w:pPr>
              <w:rPr>
                <w:rFonts w:hint="eastAsia" w:ascii="仿宋" w:hAnsi="仿宋" w:eastAsia="仿宋" w:cs="仿宋"/>
                <w:spacing w:val="-4"/>
                <w:sz w:val="24"/>
                <w:szCs w:val="24"/>
                <w:lang w:val="zh-CN"/>
              </w:rPr>
            </w:pPr>
            <w:r>
              <w:rPr>
                <w:rFonts w:hint="eastAsia" w:ascii="仿宋" w:hAnsi="仿宋" w:eastAsia="仿宋" w:cs="仿宋"/>
                <w:spacing w:val="-4"/>
                <w:sz w:val="24"/>
                <w:szCs w:val="24"/>
              </w:rPr>
              <w:t>根据供应商提供的对服务方案</w:t>
            </w:r>
            <w:r>
              <w:rPr>
                <w:rFonts w:hint="eastAsia" w:ascii="仿宋" w:hAnsi="仿宋" w:eastAsia="仿宋" w:cs="仿宋"/>
                <w:spacing w:val="-4"/>
                <w:sz w:val="24"/>
                <w:szCs w:val="24"/>
                <w:lang w:val="zh-CN"/>
              </w:rPr>
              <w:t>内容完整性、适应性及要点准确性进行比较</w:t>
            </w:r>
            <w:r>
              <w:rPr>
                <w:rFonts w:hint="eastAsia" w:ascii="仿宋" w:hAnsi="仿宋" w:eastAsia="仿宋" w:cs="仿宋"/>
                <w:spacing w:val="-4"/>
                <w:sz w:val="24"/>
                <w:szCs w:val="24"/>
              </w:rPr>
              <w:t>评议</w:t>
            </w:r>
            <w:r>
              <w:rPr>
                <w:rFonts w:hint="eastAsia" w:ascii="仿宋" w:hAnsi="仿宋" w:eastAsia="仿宋" w:cs="仿宋"/>
                <w:spacing w:val="-4"/>
                <w:sz w:val="24"/>
                <w:szCs w:val="24"/>
                <w:lang w:val="zh-CN"/>
              </w:rPr>
              <w:t>：</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方案完整、重难点分析处理全面到位的得</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方案较完善、存在个别重难点分析处理不到位或遗漏的得</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分；</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方案一般、存在较多不完善不清楚的内容的得</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p>
        </w:tc>
        <w:tc>
          <w:tcPr>
            <w:tcW w:w="545" w:type="dxa"/>
            <w:tcBorders>
              <w:top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17" w:type="dxa"/>
            <w:tcBorders>
              <w:top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shd w:val="clear" w:color="auto" w:fill="FFFFFF"/>
            <w:noWrap w:val="0"/>
            <w:vAlign w:val="center"/>
          </w:tcPr>
          <w:p>
            <w:pPr>
              <w:widowControl/>
              <w:jc w:val="center"/>
              <w:rPr>
                <w:rFonts w:hint="eastAsia" w:ascii="仿宋" w:hAnsi="仿宋" w:eastAsia="仿宋" w:cs="仿宋"/>
                <w:sz w:val="24"/>
                <w:szCs w:val="24"/>
              </w:rPr>
            </w:pPr>
            <w:r>
              <w:rPr>
                <w:rFonts w:hint="eastAsia" w:ascii="仿宋" w:hAnsi="仿宋" w:eastAsia="仿宋" w:cs="仿宋"/>
                <w:bCs/>
                <w:sz w:val="24"/>
                <w:szCs w:val="24"/>
                <w:lang w:val="en-US" w:eastAsia="zh-CN"/>
              </w:rPr>
              <w:t>进度</w:t>
            </w:r>
            <w:r>
              <w:rPr>
                <w:rFonts w:hint="eastAsia" w:ascii="仿宋" w:hAnsi="仿宋" w:eastAsia="仿宋" w:cs="仿宋"/>
                <w:bCs/>
                <w:sz w:val="24"/>
                <w:szCs w:val="24"/>
              </w:rPr>
              <w:t>保障</w:t>
            </w:r>
          </w:p>
        </w:tc>
        <w:tc>
          <w:tcPr>
            <w:tcW w:w="7391" w:type="dxa"/>
            <w:tcBorders>
              <w:bottom w:val="single" w:color="auto" w:sz="4" w:space="0"/>
            </w:tcBorders>
            <w:shd w:val="clear" w:color="auto" w:fill="FFFFFF"/>
            <w:noWrap w:val="0"/>
            <w:vAlign w:val="center"/>
          </w:tcPr>
          <w:p>
            <w:pPr>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投标文件中有提供针对本项目的进度保障方案及措施的得4分，未提供的不得分。</w:t>
            </w:r>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17" w:type="dxa"/>
            <w:tcBorders>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5"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tcBorders>
              <w:bottom w:val="single" w:color="auto" w:sz="4" w:space="0"/>
            </w:tcBorders>
            <w:shd w:val="clear" w:color="auto" w:fill="FFFFFF"/>
            <w:noWrap w:val="0"/>
            <w:vAlign w:val="center"/>
          </w:tcPr>
          <w:p>
            <w:pPr>
              <w:widowControl/>
              <w:jc w:val="center"/>
              <w:rPr>
                <w:rFonts w:hint="eastAsia" w:ascii="仿宋" w:hAnsi="仿宋" w:eastAsia="仿宋" w:cs="仿宋"/>
                <w:bCs/>
                <w:sz w:val="24"/>
                <w:szCs w:val="24"/>
              </w:rPr>
            </w:pP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根据供应商提供的针对本项目的进度保障措施进行评议：</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各阶段进度计划合理可行，保证措施可靠；对可能出现的进度偏差有监控及应对措施；能确保每一阶段任务能按时圆满完成的得</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各阶段进度计划合理可行，保证措施较可靠；但对可能出现的进度偏差的应对措施不够完善；存在阶段任务不能按时圆满完成的风险得</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分；</w:t>
            </w:r>
          </w:p>
          <w:p>
            <w:pPr>
              <w:rPr>
                <w:rFonts w:hint="eastAsia" w:ascii="仿宋" w:hAnsi="仿宋" w:eastAsia="仿宋" w:cs="仿宋"/>
                <w:spacing w:val="-4"/>
                <w:kern w:val="2"/>
                <w:sz w:val="24"/>
                <w:szCs w:val="24"/>
                <w:lang w:val="en-US" w:eastAsia="zh-CN" w:bidi="ar-SA"/>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进度措施较少、无法保证出现进度偏差后仍能确保阶段任务能按时圆满完成的风险得</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p>
        </w:tc>
        <w:tc>
          <w:tcPr>
            <w:tcW w:w="545"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1117"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tcBorders>
              <w:top w:val="single" w:color="auto" w:sz="4" w:space="0"/>
            </w:tcBorders>
            <w:shd w:val="clear" w:color="auto" w:fill="FFFFFF"/>
            <w:noWrap w:val="0"/>
            <w:vAlign w:val="center"/>
          </w:tcPr>
          <w:p>
            <w:pPr>
              <w:widowControl/>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服务质量保障</w:t>
            </w:r>
          </w:p>
        </w:tc>
        <w:tc>
          <w:tcPr>
            <w:tcW w:w="7391" w:type="dxa"/>
            <w:tcBorders>
              <w:top w:val="single" w:color="auto" w:sz="4" w:space="0"/>
              <w:bottom w:val="single" w:color="auto" w:sz="4" w:space="0"/>
            </w:tcBorders>
            <w:shd w:val="clear" w:color="auto" w:fill="FFFFFF"/>
            <w:noWrap w:val="0"/>
            <w:vAlign w:val="center"/>
          </w:tcPr>
          <w:p>
            <w:pPr>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投标文件中有提供针对本项目的服务质量保障方案及措施的得4分，未提供的不得分。</w:t>
            </w:r>
          </w:p>
        </w:tc>
        <w:tc>
          <w:tcPr>
            <w:tcW w:w="545"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17"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8"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shd w:val="clear" w:color="auto" w:fill="FFFFFF"/>
            <w:noWrap w:val="0"/>
            <w:vAlign w:val="center"/>
          </w:tcPr>
          <w:p>
            <w:pPr>
              <w:widowControl/>
              <w:jc w:val="center"/>
              <w:rPr>
                <w:rFonts w:hint="eastAsia" w:ascii="仿宋" w:hAnsi="仿宋" w:eastAsia="仿宋" w:cs="仿宋"/>
                <w:bCs/>
                <w:sz w:val="24"/>
                <w:szCs w:val="24"/>
                <w:lang w:val="en-US" w:eastAsia="zh-CN"/>
              </w:rPr>
            </w:pPr>
          </w:p>
        </w:tc>
        <w:tc>
          <w:tcPr>
            <w:tcW w:w="7391" w:type="dxa"/>
            <w:tcBorders>
              <w:top w:val="single" w:color="auto" w:sz="4" w:space="0"/>
            </w:tcBorders>
            <w:shd w:val="clear" w:color="auto" w:fill="FFFFFF"/>
            <w:noWrap w:val="0"/>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根据供应商提供的针对本项目的服务质量保障措施进行评议：</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措施可行、可靠、具体，能给予监督落实，能切实保障优质服务的得</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措施较具体，但存在个别措施难以监督落实或无法保障服务质量的得</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分；</w:t>
            </w:r>
          </w:p>
          <w:p>
            <w:pPr>
              <w:rPr>
                <w:rFonts w:hint="eastAsia" w:ascii="仿宋" w:hAnsi="仿宋" w:eastAsia="仿宋" w:cs="仿宋"/>
                <w:spacing w:val="-4"/>
                <w:kern w:val="2"/>
                <w:sz w:val="24"/>
                <w:szCs w:val="24"/>
                <w:lang w:val="en-US" w:eastAsia="zh-CN" w:bidi="ar-SA"/>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措施较少、不具有可实施性的得</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p>
        </w:tc>
        <w:tc>
          <w:tcPr>
            <w:tcW w:w="545" w:type="dxa"/>
            <w:tcBorders>
              <w:top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1117" w:type="dxa"/>
            <w:tcBorders>
              <w:top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8"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widowControl/>
              <w:jc w:val="center"/>
              <w:rPr>
                <w:rFonts w:hint="eastAsia" w:ascii="仿宋" w:hAnsi="仿宋" w:eastAsia="仿宋" w:cs="仿宋"/>
                <w:bCs/>
                <w:sz w:val="24"/>
                <w:szCs w:val="24"/>
              </w:rPr>
            </w:pPr>
            <w:r>
              <w:rPr>
                <w:rFonts w:hint="eastAsia" w:ascii="仿宋" w:hAnsi="仿宋" w:eastAsia="仿宋" w:cs="仿宋"/>
                <w:bCs/>
                <w:sz w:val="24"/>
                <w:szCs w:val="24"/>
              </w:rPr>
              <w:t>拟派项目人员</w:t>
            </w: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根据项目专家组人员的职称进行评议：</w:t>
            </w:r>
          </w:p>
          <w:p>
            <w:pPr>
              <w:numPr>
                <w:ilvl w:val="0"/>
                <w:numId w:val="0"/>
              </w:numPr>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kern w:val="2"/>
                <w:sz w:val="24"/>
                <w:szCs w:val="24"/>
                <w:lang w:val="en-US" w:eastAsia="zh-CN" w:bidi="ar-SA"/>
              </w:rPr>
              <w:t>1.</w:t>
            </w:r>
            <w:r>
              <w:rPr>
                <w:rFonts w:hint="eastAsia" w:ascii="仿宋" w:hAnsi="仿宋" w:eastAsia="仿宋" w:cs="仿宋"/>
                <w:color w:val="auto"/>
                <w:spacing w:val="-4"/>
                <w:sz w:val="24"/>
                <w:szCs w:val="24"/>
              </w:rPr>
              <w:t>拟派本项目的专家组组长</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rPr>
              <w:t>副组长具有注册安全工程师证书且具有</w:t>
            </w:r>
            <w:r>
              <w:rPr>
                <w:rFonts w:hint="eastAsia" w:ascii="仿宋" w:hAnsi="仿宋" w:eastAsia="仿宋" w:cs="仿宋"/>
                <w:color w:val="auto"/>
                <w:spacing w:val="-4"/>
                <w:sz w:val="24"/>
                <w:szCs w:val="24"/>
                <w:lang w:val="en-US" w:eastAsia="zh-CN"/>
              </w:rPr>
              <w:t>正高级职称</w:t>
            </w:r>
            <w:r>
              <w:rPr>
                <w:rFonts w:hint="eastAsia" w:ascii="仿宋" w:hAnsi="仿宋" w:eastAsia="仿宋" w:cs="仿宋"/>
                <w:color w:val="auto"/>
                <w:spacing w:val="-4"/>
                <w:sz w:val="24"/>
                <w:szCs w:val="24"/>
              </w:rPr>
              <w:t>的每人次加</w:t>
            </w:r>
            <w:r>
              <w:rPr>
                <w:rFonts w:hint="eastAsia" w:ascii="仿宋" w:hAnsi="仿宋" w:eastAsia="仿宋" w:cs="仿宋"/>
                <w:color w:val="auto"/>
                <w:spacing w:val="-4"/>
                <w:sz w:val="24"/>
                <w:szCs w:val="24"/>
                <w:lang w:val="en-US" w:eastAsia="zh-CN"/>
              </w:rPr>
              <w:t>3</w:t>
            </w:r>
            <w:r>
              <w:rPr>
                <w:rFonts w:hint="eastAsia" w:ascii="仿宋" w:hAnsi="仿宋" w:eastAsia="仿宋" w:cs="仿宋"/>
                <w:color w:val="auto"/>
                <w:spacing w:val="-4"/>
                <w:sz w:val="24"/>
                <w:szCs w:val="24"/>
              </w:rPr>
              <w:t>分</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最高6分。</w:t>
            </w:r>
          </w:p>
          <w:p>
            <w:pPr>
              <w:numPr>
                <w:ilvl w:val="0"/>
                <w:numId w:val="0"/>
              </w:numPr>
              <w:rPr>
                <w:rFonts w:hint="default" w:ascii="仿宋" w:hAnsi="仿宋" w:eastAsia="仿宋" w:cs="仿宋"/>
                <w:color w:val="auto"/>
                <w:spacing w:val="-4"/>
                <w:sz w:val="24"/>
                <w:szCs w:val="24"/>
                <w:highlight w:val="yellow"/>
                <w:lang w:val="en-US" w:eastAsia="zh-CN"/>
              </w:rPr>
            </w:pPr>
            <w:r>
              <w:rPr>
                <w:rFonts w:hint="eastAsia" w:ascii="仿宋" w:hAnsi="仿宋" w:eastAsia="仿宋" w:cs="仿宋"/>
                <w:color w:val="auto"/>
                <w:spacing w:val="-4"/>
                <w:kern w:val="2"/>
                <w:sz w:val="24"/>
                <w:szCs w:val="24"/>
                <w:lang w:val="en-US" w:eastAsia="zh-CN" w:bidi="ar-SA"/>
              </w:rPr>
              <w:t>2.</w:t>
            </w:r>
            <w:r>
              <w:rPr>
                <w:rFonts w:hint="eastAsia" w:ascii="仿宋" w:hAnsi="仿宋" w:eastAsia="仿宋" w:cs="仿宋"/>
                <w:color w:val="auto"/>
                <w:spacing w:val="-4"/>
                <w:sz w:val="24"/>
                <w:szCs w:val="24"/>
              </w:rPr>
              <w:t>专家组成员具有</w:t>
            </w:r>
            <w:r>
              <w:rPr>
                <w:rFonts w:hint="eastAsia" w:ascii="仿宋" w:hAnsi="仿宋" w:eastAsia="仿宋" w:cs="仿宋"/>
                <w:color w:val="auto"/>
                <w:spacing w:val="-4"/>
                <w:sz w:val="24"/>
                <w:szCs w:val="24"/>
                <w:lang w:val="en-US" w:eastAsia="zh-CN"/>
              </w:rPr>
              <w:t>正高级职称</w:t>
            </w:r>
            <w:r>
              <w:rPr>
                <w:rFonts w:hint="eastAsia" w:ascii="仿宋" w:hAnsi="仿宋" w:eastAsia="仿宋" w:cs="仿宋"/>
                <w:color w:val="auto"/>
                <w:spacing w:val="-4"/>
                <w:sz w:val="24"/>
                <w:szCs w:val="24"/>
              </w:rPr>
              <w:t>的每人次加2分</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最高2分。</w:t>
            </w:r>
          </w:p>
          <w:p>
            <w:pPr>
              <w:rPr>
                <w:rFonts w:hint="eastAsia" w:ascii="仿宋" w:hAnsi="仿宋" w:eastAsia="仿宋" w:cs="仿宋"/>
                <w:spacing w:val="-4"/>
                <w:sz w:val="24"/>
                <w:szCs w:val="24"/>
              </w:rPr>
            </w:pPr>
            <w:r>
              <w:rPr>
                <w:rFonts w:hint="eastAsia" w:ascii="仿宋" w:hAnsi="仿宋" w:eastAsia="仿宋" w:cs="仿宋"/>
                <w:color w:val="auto"/>
                <w:spacing w:val="-4"/>
                <w:sz w:val="24"/>
                <w:szCs w:val="24"/>
                <w:lang w:val="en-US" w:eastAsia="zh-CN"/>
              </w:rPr>
              <w:t>投标</w:t>
            </w:r>
            <w:r>
              <w:rPr>
                <w:rFonts w:hint="eastAsia" w:ascii="仿宋" w:hAnsi="仿宋" w:eastAsia="仿宋" w:cs="仿宋"/>
                <w:color w:val="auto"/>
                <w:spacing w:val="-4"/>
                <w:sz w:val="24"/>
                <w:szCs w:val="24"/>
              </w:rPr>
              <w:t>文件中需提供相关</w:t>
            </w:r>
            <w:r>
              <w:rPr>
                <w:rFonts w:hint="eastAsia" w:ascii="仿宋" w:hAnsi="仿宋" w:eastAsia="仿宋" w:cs="仿宋"/>
                <w:color w:val="auto"/>
                <w:spacing w:val="-4"/>
                <w:sz w:val="24"/>
                <w:szCs w:val="24"/>
                <w:lang w:val="en-US" w:eastAsia="zh-CN"/>
              </w:rPr>
              <w:t>证书、</w:t>
            </w:r>
            <w:r>
              <w:rPr>
                <w:rFonts w:hint="eastAsia" w:ascii="仿宋" w:hAnsi="仿宋" w:eastAsia="仿宋" w:cs="仿宋"/>
                <w:color w:val="auto"/>
                <w:spacing w:val="-4"/>
                <w:sz w:val="24"/>
                <w:szCs w:val="24"/>
              </w:rPr>
              <w:t>职称证书和</w:t>
            </w:r>
            <w:r>
              <w:rPr>
                <w:rFonts w:hint="eastAsia" w:ascii="仿宋" w:hAnsi="仿宋" w:eastAsia="仿宋" w:cs="仿宋"/>
                <w:color w:val="auto"/>
                <w:spacing w:val="-4"/>
                <w:sz w:val="24"/>
                <w:szCs w:val="24"/>
                <w:lang w:val="en-US" w:eastAsia="zh-CN"/>
              </w:rPr>
              <w:t>开标前2个月内任意一个月</w:t>
            </w:r>
            <w:r>
              <w:rPr>
                <w:rFonts w:hint="eastAsia" w:ascii="仿宋" w:hAnsi="仿宋" w:eastAsia="仿宋" w:cs="仿宋"/>
                <w:color w:val="auto"/>
                <w:spacing w:val="-4"/>
                <w:sz w:val="24"/>
                <w:szCs w:val="24"/>
              </w:rPr>
              <w:t>供应商为上述人员缴纳社保证明复印件并加盖公章（</w:t>
            </w:r>
            <w:r>
              <w:rPr>
                <w:rFonts w:hint="eastAsia" w:ascii="仿宋" w:hAnsi="仿宋" w:eastAsia="仿宋" w:cs="仿宋"/>
                <w:spacing w:val="-4"/>
                <w:sz w:val="24"/>
                <w:szCs w:val="24"/>
              </w:rPr>
              <w:t>新进员工或退休返聘人员可提供劳动合同或返聘证明材料代替社保），上述资料不齐或未提供的不得分。</w:t>
            </w:r>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117" w:type="dxa"/>
            <w:tcBorders>
              <w:bottom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tcBorders>
              <w:top w:val="single" w:color="auto" w:sz="4" w:space="0"/>
            </w:tcBorders>
            <w:shd w:val="clear" w:color="auto" w:fill="FFFFFF"/>
            <w:noWrap w:val="0"/>
            <w:vAlign w:val="center"/>
          </w:tcPr>
          <w:p>
            <w:pPr>
              <w:widowControl/>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应急预案</w:t>
            </w: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color w:val="FF0000"/>
                <w:spacing w:val="-4"/>
                <w:sz w:val="24"/>
                <w:szCs w:val="24"/>
              </w:rPr>
            </w:pPr>
            <w:r>
              <w:rPr>
                <w:rFonts w:hint="eastAsia" w:ascii="仿宋" w:hAnsi="仿宋" w:eastAsia="仿宋" w:cs="仿宋"/>
                <w:spacing w:val="-4"/>
                <w:sz w:val="24"/>
                <w:szCs w:val="24"/>
                <w:lang w:val="en-US" w:eastAsia="zh-CN"/>
              </w:rPr>
              <w:t>投标文件中有提供针对本项目的应急预案的得4分，未提供的不得分。</w:t>
            </w:r>
          </w:p>
        </w:tc>
        <w:tc>
          <w:tcPr>
            <w:tcW w:w="545"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17"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shd w:val="clear" w:color="auto" w:fill="FFFFFF"/>
            <w:noWrap w:val="0"/>
            <w:vAlign w:val="center"/>
          </w:tcPr>
          <w:p>
            <w:pPr>
              <w:widowControl/>
              <w:jc w:val="center"/>
              <w:rPr>
                <w:rFonts w:hint="eastAsia" w:ascii="仿宋" w:hAnsi="仿宋" w:eastAsia="仿宋" w:cs="仿宋"/>
                <w:bCs/>
                <w:sz w:val="24"/>
                <w:szCs w:val="24"/>
                <w:lang w:val="en-US" w:eastAsia="zh-CN"/>
              </w:rPr>
            </w:pPr>
          </w:p>
        </w:tc>
        <w:tc>
          <w:tcPr>
            <w:tcW w:w="7391" w:type="dxa"/>
            <w:tcBorders>
              <w:top w:val="single" w:color="auto" w:sz="4" w:space="0"/>
            </w:tcBorders>
            <w:shd w:val="clear" w:color="auto" w:fill="FFFFFF"/>
            <w:noWrap w:val="0"/>
            <w:vAlign w:val="center"/>
          </w:tcPr>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根据供应商针对本项目的应急预案进行评议：</w:t>
            </w:r>
          </w:p>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1）</w:t>
            </w:r>
            <w:r>
              <w:rPr>
                <w:rFonts w:hint="eastAsia" w:ascii="仿宋" w:hAnsi="仿宋" w:eastAsia="仿宋" w:cs="仿宋"/>
                <w:color w:val="000000" w:themeColor="text1"/>
                <w:spacing w:val="-4"/>
                <w:sz w:val="24"/>
                <w:szCs w:val="24"/>
                <w14:textFill>
                  <w14:solidFill>
                    <w14:schemeClr w14:val="tx1"/>
                  </w14:solidFill>
                </w14:textFill>
              </w:rPr>
              <w:t>预案全面、措施合理、适用，基本能保障遇到紧急、突发情况仍能确保安全生产的得</w:t>
            </w:r>
            <w:r>
              <w:rPr>
                <w:rFonts w:hint="eastAsia" w:ascii="仿宋" w:hAnsi="仿宋" w:eastAsia="仿宋" w:cs="仿宋"/>
                <w:color w:val="000000" w:themeColor="text1"/>
                <w:spacing w:val="-4"/>
                <w:sz w:val="24"/>
                <w:szCs w:val="24"/>
                <w:lang w:val="en-US" w:eastAsia="zh-CN"/>
                <w14:textFill>
                  <w14:solidFill>
                    <w14:schemeClr w14:val="tx1"/>
                  </w14:solidFill>
                </w14:textFill>
              </w:rPr>
              <w:t>3</w:t>
            </w:r>
            <w:r>
              <w:rPr>
                <w:rFonts w:hint="eastAsia" w:ascii="仿宋" w:hAnsi="仿宋" w:eastAsia="仿宋" w:cs="仿宋"/>
                <w:color w:val="000000" w:themeColor="text1"/>
                <w:spacing w:val="-4"/>
                <w:sz w:val="24"/>
                <w:szCs w:val="24"/>
                <w14:textFill>
                  <w14:solidFill>
                    <w14:schemeClr w14:val="tx1"/>
                  </w14:solidFill>
                </w14:textFill>
              </w:rPr>
              <w:t>分；</w:t>
            </w:r>
          </w:p>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2）</w:t>
            </w:r>
            <w:r>
              <w:rPr>
                <w:rFonts w:hint="eastAsia" w:ascii="仿宋" w:hAnsi="仿宋" w:eastAsia="仿宋" w:cs="仿宋"/>
                <w:color w:val="000000" w:themeColor="text1"/>
                <w:spacing w:val="-4"/>
                <w:sz w:val="24"/>
                <w:szCs w:val="24"/>
                <w14:textFill>
                  <w14:solidFill>
                    <w14:schemeClr w14:val="tx1"/>
                  </w14:solidFill>
                </w14:textFill>
              </w:rPr>
              <w:t>预案较合理，但存在可预见的紧急、突发情况未列入预案、未提供合适的应对措施的，有可能会对安全生产造成一定影响的</w:t>
            </w:r>
            <w:r>
              <w:rPr>
                <w:rFonts w:hint="eastAsia" w:ascii="仿宋" w:hAnsi="仿宋" w:eastAsia="仿宋" w:cs="仿宋"/>
                <w:color w:val="000000" w:themeColor="text1"/>
                <w:spacing w:val="-4"/>
                <w:sz w:val="24"/>
                <w:szCs w:val="24"/>
                <w:lang w:val="en-US" w:eastAsia="zh-CN"/>
                <w14:textFill>
                  <w14:solidFill>
                    <w14:schemeClr w14:val="tx1"/>
                  </w14:solidFill>
                </w14:textFill>
              </w:rPr>
              <w:t>2</w:t>
            </w:r>
            <w:r>
              <w:rPr>
                <w:rFonts w:hint="eastAsia" w:ascii="仿宋" w:hAnsi="仿宋" w:eastAsia="仿宋" w:cs="仿宋"/>
                <w:color w:val="000000" w:themeColor="text1"/>
                <w:spacing w:val="-4"/>
                <w:sz w:val="24"/>
                <w:szCs w:val="24"/>
                <w14:textFill>
                  <w14:solidFill>
                    <w14:schemeClr w14:val="tx1"/>
                  </w14:solidFill>
                </w14:textFill>
              </w:rPr>
              <w:t>分；</w:t>
            </w:r>
          </w:p>
          <w:p>
            <w:pPr>
              <w:rPr>
                <w:rFonts w:hint="eastAsia" w:ascii="仿宋" w:hAnsi="仿宋" w:eastAsia="仿宋" w:cs="仿宋"/>
                <w:color w:val="FF0000"/>
                <w:spacing w:val="-4"/>
                <w:sz w:val="24"/>
                <w:szCs w:val="24"/>
              </w:rPr>
            </w:pPr>
            <w:r>
              <w:rPr>
                <w:rFonts w:hint="eastAsia" w:ascii="仿宋" w:hAnsi="仿宋" w:eastAsia="仿宋" w:cs="仿宋"/>
                <w:color w:val="000000" w:themeColor="text1"/>
                <w:spacing w:val="-4"/>
                <w:sz w:val="24"/>
                <w:szCs w:val="24"/>
                <w:lang w:val="en-US" w:eastAsia="zh-CN"/>
                <w14:textFill>
                  <w14:solidFill>
                    <w14:schemeClr w14:val="tx1"/>
                  </w14:solidFill>
                </w14:textFill>
              </w:rPr>
              <w:t>3）</w:t>
            </w:r>
            <w:r>
              <w:rPr>
                <w:rFonts w:hint="eastAsia" w:ascii="仿宋" w:hAnsi="仿宋" w:eastAsia="仿宋" w:cs="仿宋"/>
                <w:color w:val="000000" w:themeColor="text1"/>
                <w:spacing w:val="-4"/>
                <w:sz w:val="24"/>
                <w:szCs w:val="24"/>
                <w14:textFill>
                  <w14:solidFill>
                    <w14:schemeClr w14:val="tx1"/>
                  </w14:solidFill>
                </w14:textFill>
              </w:rPr>
              <w:t>预案一般，</w:t>
            </w:r>
            <w:r>
              <w:rPr>
                <w:rFonts w:hint="eastAsia" w:ascii="仿宋" w:hAnsi="仿宋" w:eastAsia="仿宋" w:cs="仿宋"/>
                <w:color w:val="000000" w:themeColor="text1"/>
                <w:spacing w:val="-4"/>
                <w:sz w:val="24"/>
                <w:szCs w:val="24"/>
                <w:lang w:val="en-US" w:eastAsia="zh-CN"/>
                <w14:textFill>
                  <w14:solidFill>
                    <w14:schemeClr w14:val="tx1"/>
                  </w14:solidFill>
                </w14:textFill>
              </w:rPr>
              <w:t>内容较少，</w:t>
            </w:r>
            <w:r>
              <w:rPr>
                <w:rFonts w:hint="eastAsia" w:ascii="仿宋" w:hAnsi="仿宋" w:eastAsia="仿宋" w:cs="仿宋"/>
                <w:color w:val="000000" w:themeColor="text1"/>
                <w:spacing w:val="-4"/>
                <w:sz w:val="24"/>
                <w:szCs w:val="24"/>
                <w14:textFill>
                  <w14:solidFill>
                    <w14:schemeClr w14:val="tx1"/>
                  </w14:solidFill>
                </w14:textFill>
              </w:rPr>
              <w:t>大概率会影响安全生产的得</w:t>
            </w:r>
            <w:r>
              <w:rPr>
                <w:rFonts w:hint="eastAsia" w:ascii="仿宋" w:hAnsi="仿宋" w:eastAsia="仿宋" w:cs="仿宋"/>
                <w:color w:val="000000" w:themeColor="text1"/>
                <w:spacing w:val="-4"/>
                <w:sz w:val="24"/>
                <w:szCs w:val="24"/>
                <w:lang w:val="en-US" w:eastAsia="zh-CN"/>
                <w14:textFill>
                  <w14:solidFill>
                    <w14:schemeClr w14:val="tx1"/>
                  </w14:solidFill>
                </w14:textFill>
              </w:rPr>
              <w:t>1</w:t>
            </w:r>
            <w:r>
              <w:rPr>
                <w:rFonts w:hint="eastAsia" w:ascii="仿宋" w:hAnsi="仿宋" w:eastAsia="仿宋" w:cs="仿宋"/>
                <w:color w:val="000000" w:themeColor="text1"/>
                <w:spacing w:val="-4"/>
                <w:sz w:val="24"/>
                <w:szCs w:val="24"/>
                <w14:textFill>
                  <w14:solidFill>
                    <w14:schemeClr w14:val="tx1"/>
                  </w14:solidFill>
                </w14:textFill>
              </w:rPr>
              <w:t>分。</w:t>
            </w:r>
          </w:p>
        </w:tc>
        <w:tc>
          <w:tcPr>
            <w:tcW w:w="545" w:type="dxa"/>
            <w:tcBorders>
              <w:top w:val="single" w:color="auto" w:sz="4" w:space="0"/>
            </w:tcBorders>
            <w:shd w:val="clear" w:color="auto" w:fill="FFFFFF"/>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117" w:type="dxa"/>
            <w:tcBorders>
              <w:top w:val="single" w:color="auto" w:sz="4" w:space="0"/>
            </w:tcBorders>
            <w:shd w:val="clear" w:color="auto" w:fill="FFFFFF"/>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技术路线</w:t>
            </w:r>
          </w:p>
        </w:tc>
        <w:tc>
          <w:tcPr>
            <w:tcW w:w="7391" w:type="dxa"/>
            <w:tcBorders>
              <w:bottom w:val="single" w:color="auto" w:sz="4" w:space="0"/>
            </w:tcBorders>
            <w:shd w:val="clear" w:color="auto" w:fill="FFFFFF"/>
            <w:noWrap w:val="0"/>
            <w:vAlign w:val="center"/>
          </w:tcPr>
          <w:p>
            <w:pPr>
              <w:rPr>
                <w:rFonts w:hint="eastAsia" w:ascii="仿宋" w:hAnsi="仿宋" w:eastAsia="仿宋" w:cs="仿宋"/>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投标文件中有提供针对本项目的技术路线的得4分，未提供的不得分。</w:t>
            </w:r>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1117" w:type="dxa"/>
            <w:tcBorders>
              <w:bottom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根据供应商针对本项目的技术路线</w:t>
            </w:r>
            <w:r>
              <w:rPr>
                <w:rFonts w:hint="eastAsia" w:ascii="仿宋" w:hAnsi="仿宋" w:eastAsia="仿宋" w:cs="仿宋"/>
                <w:color w:val="000000" w:themeColor="text1"/>
                <w:spacing w:val="-4"/>
                <w:sz w:val="24"/>
                <w:szCs w:val="24"/>
                <w:lang w:val="en-US" w:eastAsia="zh-CN"/>
                <w14:textFill>
                  <w14:solidFill>
                    <w14:schemeClr w14:val="tx1"/>
                  </w14:solidFill>
                </w14:textFill>
              </w:rPr>
              <w:t>进行评议：</w:t>
            </w:r>
          </w:p>
          <w:p>
            <w:pPr>
              <w:rPr>
                <w:rFonts w:hint="eastAsia" w:ascii="仿宋" w:hAnsi="仿宋" w:eastAsia="仿宋" w:cs="仿宋"/>
                <w:color w:val="000000" w:themeColor="text1"/>
                <w:spacing w:val="-4"/>
                <w:sz w:val="24"/>
                <w:szCs w:val="24"/>
                <w:lang w:eastAsia="zh-CN"/>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1）技术路线</w:t>
            </w:r>
            <w:r>
              <w:rPr>
                <w:rFonts w:hint="eastAsia" w:ascii="仿宋" w:hAnsi="仿宋" w:eastAsia="仿宋" w:cs="仿宋"/>
                <w:color w:val="000000" w:themeColor="text1"/>
                <w:spacing w:val="-4"/>
                <w:sz w:val="24"/>
                <w:szCs w:val="24"/>
                <w:lang w:val="en-US" w:eastAsia="zh-CN"/>
                <w14:textFill>
                  <w14:solidFill>
                    <w14:schemeClr w14:val="tx1"/>
                  </w14:solidFill>
                </w14:textFill>
              </w:rPr>
              <w:t>逻辑清晰、步骤具体、关键节点安排合理、具有前瞻性的</w:t>
            </w:r>
            <w:r>
              <w:rPr>
                <w:rFonts w:hint="eastAsia" w:ascii="仿宋" w:hAnsi="仿宋" w:eastAsia="仿宋" w:cs="仿宋"/>
                <w:color w:val="000000" w:themeColor="text1"/>
                <w:spacing w:val="-4"/>
                <w:sz w:val="24"/>
                <w:szCs w:val="24"/>
                <w14:textFill>
                  <w14:solidFill>
                    <w14:schemeClr w14:val="tx1"/>
                  </w14:solidFill>
                </w14:textFill>
              </w:rPr>
              <w:t>得6分</w:t>
            </w:r>
            <w:r>
              <w:rPr>
                <w:rFonts w:hint="eastAsia" w:ascii="仿宋" w:hAnsi="仿宋" w:eastAsia="仿宋" w:cs="仿宋"/>
                <w:color w:val="000000" w:themeColor="text1"/>
                <w:spacing w:val="-4"/>
                <w:sz w:val="24"/>
                <w:szCs w:val="24"/>
                <w:lang w:eastAsia="zh-CN"/>
                <w14:textFill>
                  <w14:solidFill>
                    <w14:schemeClr w14:val="tx1"/>
                  </w14:solidFill>
                </w14:textFill>
              </w:rPr>
              <w:t>；</w:t>
            </w:r>
          </w:p>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2）技术路线较科学合理</w:t>
            </w:r>
            <w:r>
              <w:rPr>
                <w:rFonts w:hint="eastAsia" w:ascii="仿宋" w:hAnsi="仿宋" w:eastAsia="仿宋" w:cs="仿宋"/>
                <w:color w:val="000000" w:themeColor="text1"/>
                <w:spacing w:val="-4"/>
                <w:sz w:val="24"/>
                <w:szCs w:val="24"/>
                <w:lang w:eastAsia="zh-CN"/>
                <w14:textFill>
                  <w14:solidFill>
                    <w14:schemeClr w14:val="tx1"/>
                  </w14:solidFill>
                </w14:textFill>
              </w:rPr>
              <w:t>，</w:t>
            </w:r>
            <w:r>
              <w:rPr>
                <w:rFonts w:hint="eastAsia" w:ascii="仿宋" w:hAnsi="仿宋" w:eastAsia="仿宋" w:cs="仿宋"/>
                <w:color w:val="000000" w:themeColor="text1"/>
                <w:spacing w:val="-4"/>
                <w:sz w:val="24"/>
                <w:szCs w:val="24"/>
                <w:lang w:val="en-US" w:eastAsia="zh-CN"/>
                <w14:textFill>
                  <w14:solidFill>
                    <w14:schemeClr w14:val="tx1"/>
                  </w14:solidFill>
                </w14:textFill>
              </w:rPr>
              <w:t>但存在部分步骤或者关键节点欠缺可操作性的</w:t>
            </w:r>
            <w:r>
              <w:rPr>
                <w:rFonts w:hint="eastAsia" w:ascii="仿宋" w:hAnsi="仿宋" w:eastAsia="仿宋" w:cs="仿宋"/>
                <w:color w:val="000000" w:themeColor="text1"/>
                <w:spacing w:val="-4"/>
                <w:sz w:val="24"/>
                <w:szCs w:val="24"/>
                <w14:textFill>
                  <w14:solidFill>
                    <w14:schemeClr w14:val="tx1"/>
                  </w14:solidFill>
                </w14:textFill>
              </w:rPr>
              <w:t>得</w:t>
            </w:r>
            <w:r>
              <w:rPr>
                <w:rFonts w:hint="eastAsia" w:ascii="仿宋" w:hAnsi="仿宋" w:eastAsia="仿宋" w:cs="仿宋"/>
                <w:color w:val="000000" w:themeColor="text1"/>
                <w:spacing w:val="-4"/>
                <w:sz w:val="24"/>
                <w:szCs w:val="24"/>
                <w:lang w:val="en-US" w:eastAsia="zh-CN"/>
                <w14:textFill>
                  <w14:solidFill>
                    <w14:schemeClr w14:val="tx1"/>
                  </w14:solidFill>
                </w14:textFill>
              </w:rPr>
              <w:t>4</w:t>
            </w:r>
            <w:r>
              <w:rPr>
                <w:rFonts w:hint="eastAsia" w:ascii="仿宋" w:hAnsi="仿宋" w:eastAsia="仿宋" w:cs="仿宋"/>
                <w:color w:val="000000" w:themeColor="text1"/>
                <w:spacing w:val="-4"/>
                <w:sz w:val="24"/>
                <w:szCs w:val="24"/>
                <w14:textFill>
                  <w14:solidFill>
                    <w14:schemeClr w14:val="tx1"/>
                  </w14:solidFill>
                </w14:textFill>
              </w:rPr>
              <w:t>分。</w:t>
            </w:r>
          </w:p>
          <w:p>
            <w:pPr>
              <w:rPr>
                <w:rFonts w:hint="eastAsia" w:ascii="仿宋" w:hAnsi="仿宋" w:eastAsia="仿宋" w:cs="仿宋"/>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3）技术路线不够科学合理、</w:t>
            </w:r>
            <w:r>
              <w:rPr>
                <w:rFonts w:hint="eastAsia" w:ascii="仿宋" w:hAnsi="仿宋" w:eastAsia="仿宋" w:cs="仿宋"/>
                <w:color w:val="000000" w:themeColor="text1"/>
                <w:spacing w:val="-4"/>
                <w:sz w:val="24"/>
                <w:szCs w:val="24"/>
                <w:lang w:val="en-US" w:eastAsia="zh-CN"/>
                <w14:textFill>
                  <w14:solidFill>
                    <w14:schemeClr w14:val="tx1"/>
                  </w14:solidFill>
                </w14:textFill>
              </w:rPr>
              <w:t>步骤欠具体、关键节点安排不到位的</w:t>
            </w:r>
            <w:r>
              <w:rPr>
                <w:rFonts w:hint="eastAsia" w:ascii="仿宋" w:hAnsi="仿宋" w:eastAsia="仿宋" w:cs="仿宋"/>
                <w:color w:val="000000" w:themeColor="text1"/>
                <w:spacing w:val="-4"/>
                <w:sz w:val="24"/>
                <w:szCs w:val="24"/>
                <w14:textFill>
                  <w14:solidFill>
                    <w14:schemeClr w14:val="tx1"/>
                  </w14:solidFill>
                </w14:textFill>
              </w:rPr>
              <w:t>得</w:t>
            </w:r>
            <w:r>
              <w:rPr>
                <w:rFonts w:hint="eastAsia" w:ascii="仿宋" w:hAnsi="仿宋" w:eastAsia="仿宋" w:cs="仿宋"/>
                <w:color w:val="000000" w:themeColor="text1"/>
                <w:spacing w:val="-4"/>
                <w:sz w:val="24"/>
                <w:szCs w:val="24"/>
                <w:lang w:val="en-US" w:eastAsia="zh-CN"/>
                <w14:textFill>
                  <w14:solidFill>
                    <w14:schemeClr w14:val="tx1"/>
                  </w14:solidFill>
                </w14:textFill>
              </w:rPr>
              <w:t>2</w:t>
            </w:r>
            <w:r>
              <w:rPr>
                <w:rFonts w:hint="eastAsia" w:ascii="仿宋" w:hAnsi="仿宋" w:eastAsia="仿宋" w:cs="仿宋"/>
                <w:color w:val="000000" w:themeColor="text1"/>
                <w:spacing w:val="-4"/>
                <w:sz w:val="24"/>
                <w:szCs w:val="24"/>
                <w14:textFill>
                  <w14:solidFill>
                    <w14:schemeClr w14:val="tx1"/>
                  </w14:solidFill>
                </w14:textFill>
              </w:rPr>
              <w:t>分。</w:t>
            </w:r>
          </w:p>
        </w:tc>
        <w:tc>
          <w:tcPr>
            <w:tcW w:w="545" w:type="dxa"/>
            <w:tcBorders>
              <w:top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1117" w:type="dxa"/>
            <w:tcBorders>
              <w:top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服务承诺</w:t>
            </w: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根据投标人</w:t>
            </w:r>
            <w:r>
              <w:rPr>
                <w:rFonts w:hint="eastAsia" w:ascii="仿宋" w:hAnsi="仿宋" w:eastAsia="仿宋" w:cs="仿宋"/>
                <w:color w:val="000000" w:themeColor="text1"/>
                <w:spacing w:val="-4"/>
                <w:sz w:val="24"/>
                <w:szCs w:val="24"/>
                <w14:textFill>
                  <w14:solidFill>
                    <w14:schemeClr w14:val="tx1"/>
                  </w14:solidFill>
                </w14:textFill>
              </w:rPr>
              <w:t>提供</w:t>
            </w:r>
            <w:r>
              <w:rPr>
                <w:rFonts w:hint="eastAsia" w:ascii="仿宋" w:hAnsi="仿宋" w:eastAsia="仿宋" w:cs="仿宋"/>
                <w:color w:val="000000" w:themeColor="text1"/>
                <w:spacing w:val="-4"/>
                <w:sz w:val="24"/>
                <w:szCs w:val="24"/>
                <w:lang w:val="en-US" w:eastAsia="zh-CN"/>
                <w14:textFill>
                  <w14:solidFill>
                    <w14:schemeClr w14:val="tx1"/>
                  </w14:solidFill>
                </w14:textFill>
              </w:rPr>
              <w:t>的</w:t>
            </w:r>
            <w:r>
              <w:rPr>
                <w:rFonts w:hint="eastAsia" w:ascii="仿宋" w:hAnsi="仿宋" w:eastAsia="仿宋" w:cs="仿宋"/>
                <w:color w:val="000000" w:themeColor="text1"/>
                <w:spacing w:val="-4"/>
                <w:sz w:val="24"/>
                <w:szCs w:val="24"/>
                <w14:textFill>
                  <w14:solidFill>
                    <w14:schemeClr w14:val="tx1"/>
                  </w14:solidFill>
                </w14:textFill>
              </w:rPr>
              <w:t>服务承诺，</w:t>
            </w:r>
            <w:r>
              <w:rPr>
                <w:rFonts w:hint="eastAsia" w:ascii="仿宋" w:hAnsi="仿宋" w:eastAsia="仿宋" w:cs="仿宋"/>
                <w:color w:val="000000" w:themeColor="text1"/>
                <w:spacing w:val="-4"/>
                <w:sz w:val="24"/>
                <w:szCs w:val="24"/>
                <w:lang w:val="en-US" w:eastAsia="zh-CN"/>
                <w14:textFill>
                  <w14:solidFill>
                    <w14:schemeClr w14:val="tx1"/>
                  </w14:solidFill>
                </w14:textFill>
              </w:rPr>
              <w:t>对</w:t>
            </w:r>
            <w:r>
              <w:rPr>
                <w:rFonts w:hint="eastAsia" w:ascii="仿宋" w:hAnsi="仿宋" w:eastAsia="仿宋" w:cs="仿宋"/>
                <w:color w:val="000000" w:themeColor="text1"/>
                <w:spacing w:val="-4"/>
                <w:sz w:val="24"/>
                <w:szCs w:val="24"/>
                <w14:textFill>
                  <w14:solidFill>
                    <w14:schemeClr w14:val="tx1"/>
                  </w14:solidFill>
                </w14:textFill>
              </w:rPr>
              <w:t>服务承诺具体性、全面性、合理性、可行性等进行</w:t>
            </w:r>
            <w:r>
              <w:rPr>
                <w:rFonts w:hint="eastAsia" w:ascii="仿宋" w:hAnsi="仿宋" w:eastAsia="仿宋" w:cs="仿宋"/>
                <w:color w:val="000000" w:themeColor="text1"/>
                <w:spacing w:val="-4"/>
                <w:sz w:val="24"/>
                <w:szCs w:val="24"/>
                <w:lang w:val="en-US" w:eastAsia="zh-CN"/>
                <w14:textFill>
                  <w14:solidFill>
                    <w14:schemeClr w14:val="tx1"/>
                  </w14:solidFill>
                </w14:textFill>
              </w:rPr>
              <w:t>评议：</w:t>
            </w:r>
            <w:r>
              <w:rPr>
                <w:rFonts w:hint="eastAsia" w:ascii="仿宋" w:hAnsi="仿宋" w:eastAsia="仿宋" w:cs="仿宋"/>
                <w:color w:val="000000" w:themeColor="text1"/>
                <w:spacing w:val="-4"/>
                <w:sz w:val="24"/>
                <w:szCs w:val="24"/>
                <w14:textFill>
                  <w14:solidFill>
                    <w14:schemeClr w14:val="tx1"/>
                  </w14:solidFill>
                </w14:textFill>
              </w:rPr>
              <w:t xml:space="preserve"> </w:t>
            </w:r>
          </w:p>
          <w:p>
            <w:pPr>
              <w:rPr>
                <w:rFonts w:hint="default" w:ascii="仿宋" w:hAnsi="仿宋" w:eastAsia="仿宋" w:cs="仿宋"/>
                <w:color w:val="000000" w:themeColor="text1"/>
                <w:spacing w:val="-4"/>
                <w:sz w:val="24"/>
                <w:szCs w:val="24"/>
                <w:lang w:val="en-US" w:eastAsia="zh-CN"/>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1）</w:t>
            </w:r>
            <w:r>
              <w:rPr>
                <w:rFonts w:hint="eastAsia" w:ascii="仿宋" w:hAnsi="仿宋" w:eastAsia="仿宋" w:cs="仿宋"/>
                <w:color w:val="000000" w:themeColor="text1"/>
                <w:spacing w:val="-4"/>
                <w:sz w:val="24"/>
                <w:szCs w:val="24"/>
                <w:lang w:val="en-US" w:eastAsia="zh-CN"/>
                <w14:textFill>
                  <w14:solidFill>
                    <w14:schemeClr w14:val="tx1"/>
                  </w14:solidFill>
                </w14:textFill>
              </w:rPr>
              <w:t>承诺内容有利于项目实施且保障到位、能为采购人提供高效便捷且高标准服务的得5分；</w:t>
            </w:r>
          </w:p>
          <w:p>
            <w:pPr>
              <w:rPr>
                <w:rFonts w:hint="eastAsia" w:ascii="仿宋" w:hAnsi="仿宋" w:eastAsia="仿宋" w:cs="仿宋"/>
                <w:color w:val="000000" w:themeColor="text1"/>
                <w:spacing w:val="-4"/>
                <w:sz w:val="24"/>
                <w:szCs w:val="24"/>
                <w:lang w:eastAsia="zh-CN"/>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2）服务承诺</w:t>
            </w:r>
            <w:r>
              <w:rPr>
                <w:rFonts w:hint="eastAsia" w:ascii="仿宋" w:hAnsi="仿宋" w:eastAsia="仿宋" w:cs="仿宋"/>
                <w:color w:val="000000" w:themeColor="text1"/>
                <w:spacing w:val="-4"/>
                <w:sz w:val="24"/>
                <w:szCs w:val="24"/>
                <w:lang w:val="en-US" w:eastAsia="zh-CN"/>
                <w14:textFill>
                  <w14:solidFill>
                    <w14:schemeClr w14:val="tx1"/>
                  </w14:solidFill>
                </w14:textFill>
              </w:rPr>
              <w:t>总体较完善，但存在部分内容是可实施性较差或者部分内容不契合项目具体需求的</w:t>
            </w:r>
            <w:r>
              <w:rPr>
                <w:rFonts w:hint="eastAsia" w:ascii="仿宋" w:hAnsi="仿宋" w:eastAsia="仿宋" w:cs="仿宋"/>
                <w:color w:val="000000" w:themeColor="text1"/>
                <w:spacing w:val="-4"/>
                <w:sz w:val="24"/>
                <w:szCs w:val="24"/>
                <w14:textFill>
                  <w14:solidFill>
                    <w14:schemeClr w14:val="tx1"/>
                  </w14:solidFill>
                </w14:textFill>
              </w:rPr>
              <w:t>得3分</w:t>
            </w:r>
            <w:r>
              <w:rPr>
                <w:rFonts w:hint="eastAsia" w:ascii="仿宋" w:hAnsi="仿宋" w:eastAsia="仿宋" w:cs="仿宋"/>
                <w:color w:val="000000" w:themeColor="text1"/>
                <w:spacing w:val="-4"/>
                <w:sz w:val="24"/>
                <w:szCs w:val="24"/>
                <w:lang w:eastAsia="zh-CN"/>
                <w14:textFill>
                  <w14:solidFill>
                    <w14:schemeClr w14:val="tx1"/>
                  </w14:solidFill>
                </w14:textFill>
              </w:rPr>
              <w:t>；</w:t>
            </w:r>
          </w:p>
          <w:p>
            <w:pPr>
              <w:rPr>
                <w:rFonts w:hint="eastAsia" w:ascii="仿宋" w:hAnsi="仿宋" w:eastAsia="仿宋" w:cs="仿宋"/>
                <w:color w:val="000000" w:themeColor="text1"/>
                <w:spacing w:val="-4"/>
                <w:sz w:val="24"/>
                <w:szCs w:val="24"/>
                <w:lang w:eastAsia="zh-CN"/>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3）服务承诺</w:t>
            </w:r>
            <w:r>
              <w:rPr>
                <w:rFonts w:hint="eastAsia" w:ascii="仿宋" w:hAnsi="仿宋" w:eastAsia="仿宋" w:cs="仿宋"/>
                <w:color w:val="000000" w:themeColor="text1"/>
                <w:spacing w:val="-4"/>
                <w:sz w:val="24"/>
                <w:szCs w:val="24"/>
                <w:lang w:val="en-US" w:eastAsia="zh-CN"/>
                <w14:textFill>
                  <w14:solidFill>
                    <w14:schemeClr w14:val="tx1"/>
                  </w14:solidFill>
                </w14:textFill>
              </w:rPr>
              <w:t>内容较少、可实施性较差的</w:t>
            </w:r>
            <w:r>
              <w:rPr>
                <w:rFonts w:hint="eastAsia" w:ascii="仿宋" w:hAnsi="仿宋" w:eastAsia="仿宋" w:cs="仿宋"/>
                <w:color w:val="000000" w:themeColor="text1"/>
                <w:spacing w:val="-4"/>
                <w:sz w:val="24"/>
                <w:szCs w:val="24"/>
                <w14:textFill>
                  <w14:solidFill>
                    <w14:schemeClr w14:val="tx1"/>
                  </w14:solidFill>
                </w14:textFill>
              </w:rPr>
              <w:t>，得1分</w:t>
            </w:r>
            <w:r>
              <w:rPr>
                <w:rFonts w:hint="eastAsia" w:ascii="仿宋" w:hAnsi="仿宋" w:eastAsia="仿宋" w:cs="仿宋"/>
                <w:color w:val="000000" w:themeColor="text1"/>
                <w:spacing w:val="-4"/>
                <w:sz w:val="24"/>
                <w:szCs w:val="24"/>
                <w:lang w:eastAsia="zh-CN"/>
                <w14:textFill>
                  <w14:solidFill>
                    <w14:schemeClr w14:val="tx1"/>
                  </w14:solidFill>
                </w14:textFill>
              </w:rPr>
              <w:t>；</w:t>
            </w:r>
          </w:p>
          <w:p>
            <w:pPr>
              <w:rPr>
                <w:rFonts w:hint="eastAsia" w:ascii="仿宋" w:hAnsi="仿宋" w:eastAsia="仿宋" w:cs="仿宋"/>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 xml:space="preserve">4）未提供的不得分。 </w:t>
            </w:r>
            <w:r>
              <w:rPr>
                <w:rFonts w:hint="eastAsia" w:ascii="仿宋" w:hAnsi="仿宋" w:eastAsia="仿宋" w:cs="仿宋"/>
                <w:color w:val="000000" w:themeColor="text1"/>
                <w:spacing w:val="-4"/>
                <w:sz w:val="24"/>
                <w:szCs w:val="24"/>
                <w14:textFill>
                  <w14:solidFill>
                    <w14:schemeClr w14:val="tx1"/>
                  </w14:solidFill>
                </w14:textFill>
              </w:rPr>
              <w:t xml:space="preserve"> </w:t>
            </w:r>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117" w:type="dxa"/>
            <w:tcBorders>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业绩</w:t>
            </w:r>
          </w:p>
        </w:tc>
        <w:tc>
          <w:tcPr>
            <w:tcW w:w="7391" w:type="dxa"/>
            <w:shd w:val="clear" w:color="auto" w:fill="FFFFFF"/>
            <w:noWrap w:val="0"/>
            <w:vAlign w:val="center"/>
          </w:tcPr>
          <w:p>
            <w:pPr>
              <w:rPr>
                <w:rFonts w:hint="eastAsia" w:ascii="仿宋" w:hAnsi="仿宋" w:eastAsia="仿宋" w:cs="仿宋"/>
                <w:color w:val="auto"/>
                <w:spacing w:val="-4"/>
                <w:sz w:val="24"/>
                <w:szCs w:val="24"/>
              </w:rPr>
            </w:pPr>
            <w:r>
              <w:rPr>
                <w:rFonts w:hint="eastAsia" w:ascii="仿宋" w:hAnsi="仿宋" w:eastAsia="仿宋" w:cs="仿宋"/>
                <w:spacing w:val="-4"/>
                <w:sz w:val="24"/>
                <w:szCs w:val="24"/>
              </w:rPr>
              <w:t>供应商近3年（截止</w:t>
            </w:r>
            <w:r>
              <w:rPr>
                <w:rFonts w:hint="eastAsia" w:ascii="仿宋" w:hAnsi="仿宋" w:eastAsia="仿宋" w:cs="仿宋"/>
                <w:spacing w:val="-4"/>
                <w:sz w:val="24"/>
                <w:szCs w:val="24"/>
                <w:lang w:val="en-US" w:eastAsia="zh-CN"/>
              </w:rPr>
              <w:t>投标</w:t>
            </w:r>
            <w:r>
              <w:rPr>
                <w:rFonts w:hint="eastAsia" w:ascii="仿宋" w:hAnsi="仿宋" w:eastAsia="仿宋" w:cs="仿宋"/>
                <w:spacing w:val="-4"/>
                <w:sz w:val="24"/>
                <w:szCs w:val="24"/>
              </w:rPr>
              <w:t>文件递交截</w:t>
            </w:r>
            <w:r>
              <w:rPr>
                <w:rFonts w:hint="eastAsia" w:ascii="仿宋" w:hAnsi="仿宋" w:eastAsia="仿宋" w:cs="仿宋"/>
                <w:color w:val="auto"/>
                <w:spacing w:val="-4"/>
                <w:sz w:val="24"/>
                <w:szCs w:val="24"/>
              </w:rPr>
              <w:t>止时间），具有</w:t>
            </w:r>
            <w:r>
              <w:rPr>
                <w:rFonts w:hint="eastAsia" w:ascii="仿宋" w:hAnsi="仿宋" w:eastAsia="仿宋" w:cs="仿宋"/>
                <w:color w:val="auto"/>
                <w:spacing w:val="-4"/>
                <w:sz w:val="24"/>
                <w:szCs w:val="24"/>
                <w:lang w:val="en-US" w:eastAsia="zh-CN"/>
              </w:rPr>
              <w:t>类似</w:t>
            </w:r>
            <w:r>
              <w:rPr>
                <w:rFonts w:hint="eastAsia" w:ascii="仿宋" w:hAnsi="仿宋" w:eastAsia="仿宋" w:cs="仿宋"/>
                <w:color w:val="auto"/>
                <w:spacing w:val="-4"/>
                <w:sz w:val="24"/>
                <w:szCs w:val="24"/>
              </w:rPr>
              <w:t>化工</w:t>
            </w:r>
            <w:r>
              <w:rPr>
                <w:rFonts w:hint="eastAsia" w:ascii="仿宋" w:hAnsi="仿宋" w:eastAsia="仿宋" w:cs="仿宋"/>
                <w:color w:val="auto"/>
                <w:spacing w:val="-4"/>
                <w:sz w:val="24"/>
                <w:szCs w:val="24"/>
                <w:lang w:val="en-US" w:eastAsia="zh-CN"/>
              </w:rPr>
              <w:t>安全咨询</w:t>
            </w:r>
            <w:r>
              <w:rPr>
                <w:rFonts w:hint="eastAsia" w:ascii="仿宋" w:hAnsi="仿宋" w:eastAsia="仿宋" w:cs="仿宋"/>
                <w:color w:val="auto"/>
                <w:spacing w:val="-4"/>
                <w:sz w:val="24"/>
                <w:szCs w:val="24"/>
              </w:rPr>
              <w:t>服务业绩，每一项得</w:t>
            </w:r>
            <w:r>
              <w:rPr>
                <w:rFonts w:hint="eastAsia" w:ascii="仿宋" w:hAnsi="仿宋" w:eastAsia="仿宋" w:cs="仿宋"/>
                <w:color w:val="auto"/>
                <w:spacing w:val="-4"/>
                <w:sz w:val="24"/>
                <w:szCs w:val="24"/>
                <w:lang w:val="en-US" w:eastAsia="zh-CN"/>
              </w:rPr>
              <w:t>0.</w:t>
            </w:r>
            <w:r>
              <w:rPr>
                <w:rFonts w:hint="eastAsia" w:ascii="仿宋" w:hAnsi="仿宋" w:eastAsia="仿宋" w:cs="仿宋"/>
                <w:color w:val="auto"/>
                <w:spacing w:val="-4"/>
                <w:sz w:val="24"/>
                <w:szCs w:val="24"/>
              </w:rPr>
              <w:t>2分，最高得</w:t>
            </w:r>
            <w:r>
              <w:rPr>
                <w:rFonts w:hint="eastAsia" w:ascii="仿宋" w:hAnsi="仿宋" w:eastAsia="仿宋" w:cs="仿宋"/>
                <w:color w:val="auto"/>
                <w:spacing w:val="-4"/>
                <w:sz w:val="24"/>
                <w:szCs w:val="24"/>
                <w:lang w:val="en-US" w:eastAsia="zh-CN"/>
              </w:rPr>
              <w:t>1</w:t>
            </w:r>
            <w:r>
              <w:rPr>
                <w:rFonts w:hint="eastAsia" w:ascii="仿宋" w:hAnsi="仿宋" w:eastAsia="仿宋" w:cs="仿宋"/>
                <w:color w:val="auto"/>
                <w:spacing w:val="-4"/>
                <w:sz w:val="24"/>
                <w:szCs w:val="24"/>
              </w:rPr>
              <w:t>分。</w:t>
            </w:r>
          </w:p>
          <w:p>
            <w:pPr>
              <w:rPr>
                <w:rFonts w:hint="eastAsia" w:ascii="仿宋" w:hAnsi="仿宋" w:eastAsia="仿宋" w:cs="仿宋"/>
                <w:spacing w:val="-4"/>
                <w:sz w:val="24"/>
                <w:szCs w:val="24"/>
              </w:rPr>
            </w:pPr>
            <w:r>
              <w:rPr>
                <w:rFonts w:hint="eastAsia" w:ascii="仿宋" w:hAnsi="仿宋" w:eastAsia="仿宋" w:cs="仿宋"/>
                <w:color w:val="auto"/>
                <w:spacing w:val="-4"/>
                <w:sz w:val="24"/>
                <w:szCs w:val="24"/>
              </w:rPr>
              <w:t>（以服务合同为准，</w:t>
            </w:r>
            <w:r>
              <w:rPr>
                <w:rFonts w:hint="eastAsia" w:ascii="仿宋" w:hAnsi="仿宋" w:eastAsia="仿宋" w:cs="仿宋"/>
                <w:color w:val="auto"/>
                <w:spacing w:val="-4"/>
                <w:sz w:val="24"/>
                <w:szCs w:val="24"/>
                <w:lang w:val="en-US" w:eastAsia="zh-CN"/>
              </w:rPr>
              <w:t>投标</w:t>
            </w:r>
            <w:r>
              <w:rPr>
                <w:rFonts w:hint="eastAsia" w:ascii="仿宋" w:hAnsi="仿宋" w:eastAsia="仿宋" w:cs="仿宋"/>
                <w:color w:val="auto"/>
                <w:spacing w:val="-4"/>
                <w:sz w:val="24"/>
                <w:szCs w:val="24"/>
              </w:rPr>
              <w:t>文件应附服务合同扫描件,合同签订时间、</w:t>
            </w:r>
            <w:r>
              <w:rPr>
                <w:rFonts w:hint="eastAsia" w:ascii="仿宋" w:hAnsi="仿宋" w:eastAsia="仿宋" w:cs="仿宋"/>
                <w:color w:val="auto"/>
                <w:spacing w:val="-4"/>
                <w:sz w:val="24"/>
                <w:szCs w:val="24"/>
                <w:lang w:val="en-US" w:eastAsia="zh-CN"/>
              </w:rPr>
              <w:t>工作内容</w:t>
            </w:r>
            <w:r>
              <w:rPr>
                <w:rFonts w:hint="eastAsia" w:ascii="仿宋" w:hAnsi="仿宋" w:eastAsia="仿宋" w:cs="仿宋"/>
                <w:color w:val="auto"/>
                <w:spacing w:val="-4"/>
                <w:sz w:val="24"/>
                <w:szCs w:val="24"/>
              </w:rPr>
              <w:t>、签章必须清晰</w:t>
            </w:r>
            <w:r>
              <w:rPr>
                <w:rFonts w:hint="eastAsia" w:ascii="仿宋" w:hAnsi="仿宋" w:eastAsia="仿宋" w:cs="仿宋"/>
                <w:spacing w:val="-4"/>
                <w:sz w:val="24"/>
                <w:szCs w:val="24"/>
              </w:rPr>
              <w:t>，不清晰不予评分，同一个甲方的不同合同按一个计，无相关描述的合同不作为评审依据，时间以合同签订时间计。）</w:t>
            </w:r>
          </w:p>
        </w:tc>
        <w:tc>
          <w:tcPr>
            <w:tcW w:w="545" w:type="dxa"/>
            <w:shd w:val="clear" w:color="auto" w:fill="FFFFFF"/>
            <w:noWrap w:val="0"/>
            <w:vAlign w:val="center"/>
          </w:tcPr>
          <w:p>
            <w:pPr>
              <w:jc w:val="center"/>
              <w:rPr>
                <w:rFonts w:hint="eastAsia" w:ascii="仿宋" w:hAnsi="仿宋" w:eastAsia="仿宋" w:cs="仿宋"/>
                <w:sz w:val="24"/>
                <w:szCs w:val="24"/>
                <w:lang w:eastAsia="zh-CN"/>
              </w:rPr>
            </w:pPr>
            <w:r>
              <w:rPr>
                <w:rFonts w:hint="eastAsia" w:ascii="仿宋" w:hAnsi="仿宋" w:eastAsia="仿宋" w:cs="仿宋"/>
                <w:color w:val="FF0000"/>
                <w:sz w:val="24"/>
                <w:szCs w:val="24"/>
                <w:lang w:val="en-US" w:eastAsia="zh-CN"/>
              </w:rPr>
              <w:t>1</w:t>
            </w:r>
          </w:p>
        </w:tc>
        <w:tc>
          <w:tcPr>
            <w:tcW w:w="1117" w:type="dxa"/>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合理化建议</w:t>
            </w:r>
          </w:p>
        </w:tc>
        <w:tc>
          <w:tcPr>
            <w:tcW w:w="7391" w:type="dxa"/>
            <w:shd w:val="clear" w:color="auto" w:fill="FFFFFF"/>
            <w:noWrap w:val="0"/>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根据投标人提供的针对本项目的理解，结合自身专业优势，提出的合理化建议，根据其提出建议的可行性、有效性等方面进行评议，每提供一个合理有效的得1分，最多得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分。未提供不得分。</w:t>
            </w:r>
          </w:p>
        </w:tc>
        <w:tc>
          <w:tcPr>
            <w:tcW w:w="545"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17" w:type="dxa"/>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政府采购政策加分</w:t>
            </w:r>
          </w:p>
        </w:tc>
        <w:tc>
          <w:tcPr>
            <w:tcW w:w="7391" w:type="dxa"/>
            <w:shd w:val="clear" w:color="auto" w:fill="FFFFFF"/>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政府采购政策加分（</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jc w:val="left"/>
              <w:rPr>
                <w:rFonts w:hint="eastAsia" w:ascii="仿宋" w:hAnsi="仿宋" w:eastAsia="仿宋" w:cs="仿宋"/>
                <w:sz w:val="24"/>
                <w:szCs w:val="24"/>
              </w:rPr>
            </w:pPr>
            <w:r>
              <w:rPr>
                <w:rFonts w:hint="eastAsia" w:ascii="仿宋" w:hAnsi="仿宋" w:eastAsia="仿宋" w:cs="仿宋"/>
                <w:sz w:val="24"/>
                <w:szCs w:val="24"/>
              </w:rPr>
              <w:t>投标人是少数民族地区企业的加1分。</w:t>
            </w:r>
          </w:p>
          <w:p>
            <w:pPr>
              <w:jc w:val="left"/>
              <w:rPr>
                <w:rFonts w:hint="eastAsia" w:ascii="仿宋" w:hAnsi="仿宋" w:eastAsia="仿宋" w:cs="仿宋"/>
                <w:sz w:val="24"/>
                <w:szCs w:val="24"/>
              </w:rPr>
            </w:pPr>
            <w:r>
              <w:rPr>
                <w:rFonts w:hint="eastAsia" w:ascii="仿宋" w:hAnsi="仿宋" w:eastAsia="仿宋" w:cs="仿宋"/>
                <w:sz w:val="24"/>
                <w:szCs w:val="24"/>
              </w:rPr>
              <w:t>投标人应在投标文件中提供相关证明资料（例如“政府部门文件”或“政府部门媒体网站发布的相关信息”中说明投标人注册地属于“少数民族地区”等等资料）</w:t>
            </w:r>
          </w:p>
        </w:tc>
        <w:tc>
          <w:tcPr>
            <w:tcW w:w="545" w:type="dxa"/>
            <w:shd w:val="clear" w:color="auto" w:fill="FFFFFF"/>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117" w:type="dxa"/>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476"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w:t>
            </w:r>
          </w:p>
        </w:tc>
        <w:tc>
          <w:tcPr>
            <w:tcW w:w="8264" w:type="dxa"/>
            <w:gridSpan w:val="2"/>
            <w:shd w:val="clear" w:color="auto" w:fill="FFFFFF"/>
            <w:noWrap w:val="0"/>
            <w:vAlign w:val="center"/>
          </w:tcPr>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评标基准价指的是满足</w:t>
            </w:r>
            <w:r>
              <w:rPr>
                <w:rFonts w:hint="eastAsia" w:ascii="仿宋" w:hAnsi="仿宋" w:eastAsia="仿宋" w:cs="仿宋"/>
                <w:kern w:val="0"/>
                <w:sz w:val="24"/>
                <w:szCs w:val="24"/>
                <w:lang w:val="en-US" w:eastAsia="zh-CN" w:bidi="ar"/>
              </w:rPr>
              <w:t>招标</w:t>
            </w:r>
            <w:r>
              <w:rPr>
                <w:rFonts w:hint="eastAsia" w:ascii="仿宋" w:hAnsi="仿宋" w:eastAsia="仿宋" w:cs="仿宋"/>
                <w:kern w:val="0"/>
                <w:sz w:val="24"/>
                <w:szCs w:val="24"/>
                <w:lang w:bidi="ar"/>
              </w:rPr>
              <w:t>文件要求且最低的最终报价参与评审的价格。</w:t>
            </w:r>
          </w:p>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参与评审的价格=</w:t>
            </w:r>
            <w:r>
              <w:rPr>
                <w:rFonts w:hint="eastAsia" w:ascii="仿宋" w:hAnsi="仿宋" w:eastAsia="仿宋" w:cs="仿宋"/>
                <w:kern w:val="0"/>
                <w:sz w:val="24"/>
                <w:szCs w:val="24"/>
                <w:lang w:val="en-US" w:eastAsia="zh-CN" w:bidi="ar"/>
              </w:rPr>
              <w:t>有效</w:t>
            </w:r>
            <w:r>
              <w:rPr>
                <w:rFonts w:hint="eastAsia" w:ascii="仿宋" w:hAnsi="仿宋" w:eastAsia="仿宋" w:cs="仿宋"/>
                <w:kern w:val="0"/>
                <w:sz w:val="24"/>
                <w:szCs w:val="24"/>
                <w:lang w:bidi="ar"/>
              </w:rPr>
              <w:t>报价×（1-小微企业优惠</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0%（如有））。</w:t>
            </w:r>
          </w:p>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参与评审的价格为评标基准价的其价格得分得满分10分。</w:t>
            </w:r>
          </w:p>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其他</w:t>
            </w:r>
            <w:r>
              <w:rPr>
                <w:rFonts w:hint="eastAsia" w:ascii="仿宋" w:hAnsi="仿宋" w:eastAsia="仿宋" w:cs="仿宋"/>
                <w:kern w:val="0"/>
                <w:sz w:val="24"/>
                <w:szCs w:val="24"/>
                <w:lang w:val="en-US" w:eastAsia="zh-CN" w:bidi="ar"/>
              </w:rPr>
              <w:t>投标人</w:t>
            </w:r>
            <w:r>
              <w:rPr>
                <w:rFonts w:hint="eastAsia" w:ascii="仿宋" w:hAnsi="仿宋" w:eastAsia="仿宋" w:cs="仿宋"/>
                <w:kern w:val="0"/>
                <w:sz w:val="24"/>
                <w:szCs w:val="24"/>
                <w:lang w:bidi="ar"/>
              </w:rPr>
              <w:t>价格得分按照下列公式计算：</w:t>
            </w:r>
          </w:p>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价格得分=（评标基准价/各</w:t>
            </w:r>
            <w:r>
              <w:rPr>
                <w:rFonts w:hint="eastAsia" w:ascii="仿宋" w:hAnsi="仿宋" w:eastAsia="仿宋" w:cs="仿宋"/>
                <w:kern w:val="0"/>
                <w:sz w:val="24"/>
                <w:szCs w:val="24"/>
                <w:lang w:val="en-US" w:eastAsia="zh-CN" w:bidi="ar"/>
              </w:rPr>
              <w:t>投标人</w:t>
            </w:r>
            <w:r>
              <w:rPr>
                <w:rFonts w:hint="eastAsia" w:ascii="仿宋" w:hAnsi="仿宋" w:eastAsia="仿宋" w:cs="仿宋"/>
                <w:kern w:val="0"/>
                <w:sz w:val="24"/>
                <w:szCs w:val="24"/>
                <w:lang w:bidi="ar"/>
              </w:rPr>
              <w:t>参与评审的价格）×10％×100。</w:t>
            </w:r>
          </w:p>
          <w:p>
            <w:pPr>
              <w:spacing w:line="40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注：1、报价超过最高限价的作无效标处理。</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2、价格得分小数点后保留2位小数，第3位小数四舍五入。</w:t>
            </w:r>
          </w:p>
        </w:tc>
        <w:tc>
          <w:tcPr>
            <w:tcW w:w="545"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117" w:type="dxa"/>
            <w:shd w:val="clear" w:color="auto" w:fill="FFFFFF"/>
            <w:noWrap w:val="0"/>
            <w:vAlign w:val="center"/>
          </w:tcPr>
          <w:p>
            <w:pPr>
              <w:jc w:val="center"/>
              <w:rPr>
                <w:rFonts w:hint="eastAsia" w:ascii="仿宋" w:hAnsi="仿宋" w:eastAsia="仿宋" w:cs="仿宋"/>
                <w:sz w:val="24"/>
                <w:szCs w:val="24"/>
              </w:rPr>
            </w:pPr>
          </w:p>
        </w:tc>
      </w:tr>
    </w:tbl>
    <w:p>
      <w:pPr>
        <w:spacing w:line="420" w:lineRule="exact"/>
        <w:ind w:firstLine="472" w:firstLineChars="196"/>
        <w:contextualSpacing/>
        <w:rPr>
          <w:rFonts w:ascii="仿宋_GB2312" w:hAnsi="宋体" w:eastAsia="仿宋_GB2312" w:cs="宋体"/>
          <w:b/>
          <w:sz w:val="24"/>
        </w:rPr>
      </w:pPr>
      <w:r>
        <w:rPr>
          <w:rFonts w:hint="eastAsia" w:ascii="仿宋_GB2312" w:hAnsi="宋体" w:eastAsia="仿宋_GB2312" w:cs="宋体"/>
          <w:b/>
          <w:sz w:val="24"/>
        </w:rPr>
        <w:t>*备注：投标人编制投标文件（商务技术文件部分）时，建议按此目录（序号和内容）提供评标标准相应的商务技术资料。</w:t>
      </w:r>
      <w:r>
        <w:rPr>
          <w:rFonts w:hint="eastAsia" w:ascii="宋体" w:hAnsi="宋体" w:eastAsia="仿宋_GB2312" w:cs="宋体"/>
          <w:b/>
          <w:sz w:val="24"/>
        </w:rPr>
        <w:t> </w:t>
      </w:r>
    </w:p>
    <w:bookmarkEnd w:id="26"/>
    <w:p>
      <w:pPr>
        <w:pStyle w:val="8"/>
      </w:pPr>
      <w:bookmarkStart w:id="400" w:name="第五部分"/>
      <w:bookmarkStart w:id="401" w:name="_Toc86217003"/>
    </w:p>
    <w:p>
      <w:pPr>
        <w:rPr>
          <w:rFonts w:hint="eastAsia" w:ascii="仿宋_GB2312" w:hAnsi="宋体" w:eastAsia="仿宋_GB2312" w:cs="宋体"/>
          <w:b/>
          <w:sz w:val="28"/>
          <w:szCs w:val="28"/>
        </w:rPr>
      </w:pPr>
      <w:r>
        <w:rPr>
          <w:rFonts w:hint="eastAsia" w:ascii="仿宋_GB2312" w:hAnsi="宋体" w:eastAsia="仿宋_GB2312" w:cs="宋体"/>
          <w:b/>
          <w:sz w:val="28"/>
          <w:szCs w:val="28"/>
        </w:rPr>
        <w:br w:type="page"/>
      </w:r>
    </w:p>
    <w:p>
      <w:pPr>
        <w:spacing w:line="560" w:lineRule="exact"/>
        <w:jc w:val="center"/>
        <w:outlineLvl w:val="0"/>
        <w:rPr>
          <w:rFonts w:ascii="仿宋_GB2312" w:hAnsi="宋体" w:eastAsia="仿宋_GB2312" w:cs="宋体"/>
          <w:b/>
          <w:sz w:val="28"/>
          <w:szCs w:val="28"/>
        </w:rPr>
      </w:pPr>
      <w:r>
        <w:rPr>
          <w:rFonts w:hint="eastAsia" w:ascii="仿宋_GB2312" w:hAnsi="宋体" w:eastAsia="仿宋_GB2312" w:cs="宋体"/>
          <w:b/>
          <w:sz w:val="28"/>
          <w:szCs w:val="28"/>
        </w:rPr>
        <w:t>第五部分 拟签订的合同文本</w:t>
      </w:r>
    </w:p>
    <w:p>
      <w:pPr>
        <w:spacing w:line="520" w:lineRule="exact"/>
        <w:jc w:val="center"/>
        <w:rPr>
          <w:rFonts w:ascii="宋体" w:hAnsi="宋体" w:eastAsia="宋体" w:cs="宋体"/>
          <w:sz w:val="24"/>
        </w:rPr>
      </w:pPr>
    </w:p>
    <w:p>
      <w:pPr>
        <w:spacing w:line="360" w:lineRule="auto"/>
        <w:rPr>
          <w:rFonts w:hint="eastAsia" w:ascii="仿宋" w:hAnsi="仿宋" w:eastAsia="仿宋" w:cs="仿宋"/>
          <w:bCs/>
          <w:kern w:val="1"/>
          <w:sz w:val="24"/>
          <w:szCs w:val="24"/>
          <w:u w:val="single"/>
        </w:rPr>
      </w:pPr>
      <w:r>
        <w:rPr>
          <w:rFonts w:hint="eastAsia" w:ascii="仿宋" w:hAnsi="仿宋" w:eastAsia="仿宋" w:cs="仿宋"/>
          <w:b/>
          <w:kern w:val="1"/>
          <w:sz w:val="24"/>
          <w:szCs w:val="24"/>
        </w:rPr>
        <w:t>甲    方：</w:t>
      </w:r>
      <w:r>
        <w:rPr>
          <w:rFonts w:hint="eastAsia" w:ascii="仿宋" w:hAnsi="仿宋" w:eastAsia="仿宋" w:cs="仿宋"/>
          <w:bCs/>
          <w:kern w:val="1"/>
          <w:sz w:val="24"/>
          <w:szCs w:val="24"/>
          <w:u w:val="single"/>
        </w:rPr>
        <w:t xml:space="preserve">                           </w:t>
      </w:r>
    </w:p>
    <w:p>
      <w:pPr>
        <w:spacing w:line="360" w:lineRule="auto"/>
        <w:rPr>
          <w:rFonts w:hint="eastAsia" w:ascii="仿宋" w:hAnsi="仿宋" w:eastAsia="仿宋" w:cs="仿宋"/>
          <w:kern w:val="1"/>
          <w:sz w:val="24"/>
          <w:szCs w:val="24"/>
        </w:rPr>
      </w:pPr>
      <w:r>
        <w:rPr>
          <w:rFonts w:hint="eastAsia" w:ascii="仿宋" w:hAnsi="仿宋" w:eastAsia="仿宋" w:cs="仿宋"/>
          <w:kern w:val="1"/>
          <w:sz w:val="24"/>
          <w:szCs w:val="24"/>
        </w:rPr>
        <w:t xml:space="preserve">电    话：             传  真：          地  址： </w:t>
      </w:r>
    </w:p>
    <w:p>
      <w:pPr>
        <w:spacing w:line="360" w:lineRule="auto"/>
        <w:rPr>
          <w:rFonts w:hint="eastAsia" w:ascii="仿宋" w:hAnsi="仿宋" w:eastAsia="仿宋" w:cs="仿宋"/>
          <w:b/>
          <w:kern w:val="1"/>
          <w:sz w:val="24"/>
          <w:szCs w:val="24"/>
        </w:rPr>
      </w:pPr>
    </w:p>
    <w:p>
      <w:pPr>
        <w:spacing w:line="360" w:lineRule="auto"/>
        <w:rPr>
          <w:rFonts w:hint="eastAsia" w:ascii="仿宋" w:hAnsi="仿宋" w:eastAsia="仿宋" w:cs="仿宋"/>
          <w:b/>
          <w:kern w:val="1"/>
          <w:sz w:val="24"/>
          <w:szCs w:val="24"/>
          <w:u w:val="single"/>
        </w:rPr>
      </w:pPr>
      <w:r>
        <w:rPr>
          <w:rFonts w:hint="eastAsia" w:ascii="仿宋" w:hAnsi="仿宋" w:eastAsia="仿宋" w:cs="仿宋"/>
          <w:b/>
          <w:kern w:val="1"/>
          <w:sz w:val="24"/>
          <w:szCs w:val="24"/>
        </w:rPr>
        <w:t>乙    方：</w:t>
      </w:r>
      <w:r>
        <w:rPr>
          <w:rFonts w:hint="eastAsia" w:ascii="仿宋" w:hAnsi="仿宋" w:eastAsia="仿宋" w:cs="仿宋"/>
          <w:b/>
          <w:kern w:val="1"/>
          <w:sz w:val="24"/>
          <w:szCs w:val="24"/>
          <w:u w:val="single"/>
        </w:rPr>
        <w:t xml:space="preserve">  </w:t>
      </w:r>
      <w:r>
        <w:rPr>
          <w:rFonts w:hint="eastAsia" w:ascii="仿宋" w:hAnsi="仿宋" w:eastAsia="仿宋" w:cs="仿宋"/>
          <w:bCs/>
          <w:kern w:val="1"/>
          <w:sz w:val="24"/>
          <w:szCs w:val="24"/>
          <w:u w:val="single"/>
        </w:rPr>
        <w:t xml:space="preserve">                       </w:t>
      </w:r>
      <w:r>
        <w:rPr>
          <w:rFonts w:hint="eastAsia" w:ascii="仿宋" w:hAnsi="仿宋" w:eastAsia="仿宋" w:cs="仿宋"/>
          <w:b/>
          <w:kern w:val="1"/>
          <w:sz w:val="24"/>
          <w:szCs w:val="24"/>
          <w:u w:val="single"/>
        </w:rPr>
        <w:t xml:space="preserve">  </w:t>
      </w:r>
    </w:p>
    <w:p>
      <w:pPr>
        <w:spacing w:line="360" w:lineRule="auto"/>
        <w:rPr>
          <w:rFonts w:hint="eastAsia" w:ascii="仿宋" w:hAnsi="仿宋" w:eastAsia="仿宋" w:cs="仿宋"/>
          <w:kern w:val="1"/>
          <w:sz w:val="24"/>
          <w:szCs w:val="24"/>
        </w:rPr>
      </w:pPr>
      <w:r>
        <w:rPr>
          <w:rFonts w:hint="eastAsia" w:ascii="仿宋" w:hAnsi="仿宋" w:eastAsia="仿宋" w:cs="仿宋"/>
          <w:kern w:val="1"/>
          <w:sz w:val="24"/>
          <w:szCs w:val="24"/>
        </w:rPr>
        <w:t xml:space="preserve">电    话：             传  真：          地  址：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》的规定，经过友好协商，甲方决定委托乙方为</w:t>
      </w:r>
      <w:r>
        <w:rPr>
          <w:rFonts w:hint="eastAsia" w:ascii="仿宋" w:hAnsi="仿宋" w:eastAsia="仿宋" w:cs="仿宋"/>
          <w:sz w:val="24"/>
          <w:szCs w:val="24"/>
          <w:lang w:eastAsia="zh-CN"/>
        </w:rPr>
        <w:t>舟山绿色石化基地安全咨询服务项目</w:t>
      </w:r>
      <w:r>
        <w:rPr>
          <w:rFonts w:hint="eastAsia" w:ascii="仿宋" w:hAnsi="仿宋" w:eastAsia="仿宋" w:cs="仿宋"/>
          <w:sz w:val="24"/>
          <w:szCs w:val="24"/>
          <w:lang w:val="en-US" w:eastAsia="zh-CN"/>
        </w:rPr>
        <w:t>的承接方</w:t>
      </w:r>
      <w:r>
        <w:rPr>
          <w:rFonts w:hint="eastAsia" w:ascii="仿宋" w:hAnsi="仿宋" w:eastAsia="仿宋" w:cs="仿宋"/>
          <w:sz w:val="24"/>
          <w:szCs w:val="24"/>
        </w:rPr>
        <w:t>。乙方接受甲方委托，同意提供相关安全生产技术服务并签订本合同。</w:t>
      </w:r>
    </w:p>
    <w:p>
      <w:pPr>
        <w:numPr>
          <w:ilvl w:val="0"/>
          <w:numId w:val="2"/>
        </w:num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 xml:space="preserve"> 安全生产技术服务主要内容</w:t>
      </w:r>
    </w:p>
    <w:p>
      <w:pPr>
        <w:adjustRightInd w:val="0"/>
        <w:snapToGrid w:val="0"/>
        <w:spacing w:line="516" w:lineRule="exact"/>
        <w:ind w:firstLine="547" w:firstLineChars="228"/>
        <w:outlineLvl w:val="0"/>
        <w:rPr>
          <w:rFonts w:hint="eastAsia" w:ascii="仿宋" w:hAnsi="仿宋" w:eastAsia="仿宋" w:cs="仿宋"/>
          <w:sz w:val="24"/>
          <w:szCs w:val="24"/>
        </w:rPr>
      </w:pPr>
      <w:r>
        <w:rPr>
          <w:rFonts w:hint="eastAsia" w:ascii="仿宋" w:hAnsi="仿宋" w:eastAsia="仿宋" w:cs="仿宋"/>
          <w:sz w:val="24"/>
          <w:szCs w:val="24"/>
        </w:rPr>
        <w:t>依据《中华人民共和国安全生产法》、《国务院安委会办公室关于实施遏制重特大事故工作指南构建双重预防机制的意见》（安委办〔2016〕11号）、《化工过程安全管理导则（AQ/T 3034-2012）》和《关于加强化工过程安全管理的指导意见》（（安监总管三[2013]88号））等相关法规标准和政策文件，并参考《化工过程安全管理导则》（征求意见稿），借鉴国内外危化品企业管理改进与提升实践范例和典型做法，本咨询服务项目涵盖包括以下内容：</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针对舟山绿色石化基地进行评估单元的划分，危险、有害因素及其危险程度的识别，采用恰当的评估方法对基地进行安全风险评估，得出危险影响范围和区域社会风险，编制《舟山绿色石化基地整体性安全风险评估报告》。充分调研舟山绿色石化基地与安全生产、应急管理有关的行业部门，了解各行业部门主要的安全监管权责清单、安全监管目标和任务，以及管委会安全监管履职情况，并进行科学评估，编制《舟山绿色石化基地管委会安全监管履职能力评估报告》。</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2.在区域安全风险评估和安全监管履职能力评估的基础上，结合舟山绿色石化基地实际情况，并与国务院、浙江省、舟山市“十四五”应急管理规划相一致，编制《舟山绿色石化基地安全发展规划》。</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3.依据《中共中央国务院关于推进安全生产领域改革发展的意见》《关于全面加强危险化学品安全生产工作的意见》《危险化学品安全风险集中治理方案》等文件，对照国务院安委办、省安委办重点县专家指导服务工作要</w:t>
      </w:r>
      <w:r>
        <w:rPr>
          <w:rFonts w:hint="eastAsia" w:ascii="仿宋" w:hAnsi="仿宋" w:eastAsia="仿宋" w:cs="仿宋"/>
          <w:sz w:val="24"/>
          <w:szCs w:val="24"/>
          <w:highlight w:val="none"/>
        </w:rPr>
        <w:t>求，组织危化领域安全基础、设计总图、设备、电气、仪表等专业十余名专家，对基地危化企业开展一年两次，每次一周的安全监督检查，精准防控各类安全风险。</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第二条  安全生产技术服务期限</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服务自合同签订之日起，至2024年12月31日，分五个阶段实施。</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sz w:val="24"/>
          <w:szCs w:val="24"/>
          <w:highlight w:val="none"/>
        </w:rPr>
        <w:t>资料收集与现状调查阶段。时间从合同签订之日起至2024年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收集与本此评估、规划项目有关的基础资料；收集规划项目相关的国内外相关法律法规、标准规范；收集舟山绿色石化基地所在地区自然、地理、交通、地质、风险评估等开展安全规划工作所需要的资料；赴现场进行实地调研，充分了解项目及周边环境，以及所在地区自然、经济、地理、交通、地质等情况，重点调研园区封闭管理现状、危险源分布及管理、智慧化园区建设、园区基础设施建设、应急基础设施建设等。采取现场观察与沟通、资料查阅、实际操作或口述等“一对一”的评估方式，针对各部门的安全监管职责、履职情况、知识储备等情况进行全面了解。访谈过程中，受访人围绕评估清单内容及日常工作中的难点、困惑点积极与专家开展沟通与交流，实现在评估中学习和培训的目的。</w:t>
      </w:r>
    </w:p>
    <w:p>
      <w:pPr>
        <w:adjustRightInd w:val="0"/>
        <w:snapToGri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bCs/>
          <w:sz w:val="24"/>
          <w:szCs w:val="24"/>
          <w:highlight w:val="none"/>
        </w:rPr>
        <w:t>研究阶段，时间从2024年</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月1日至2024年7月31日，对收集的资料进行分析，分析其适用性、全面性，必要时进行补充收集。通过对资料进行仔细研究，全面了解舟山绿色石化基地行业、产业发展现状，深入分析舟山绿色石化基地安全应急发展存在的问题。</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sz w:val="24"/>
          <w:szCs w:val="24"/>
          <w:highlight w:val="none"/>
        </w:rPr>
        <w:t>编制起草阶段，时间从2024年8月1日至2024年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月3</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日，中标人组织编制《舟山绿色石化基地整体性安全风险评估报告》、《舟山绿色石化基地管委会安全监管履职能力评估报告》、《舟山绿色石化基地安全发展规划》。</w:t>
      </w:r>
    </w:p>
    <w:p>
      <w:pPr>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highlight w:val="none"/>
        </w:rPr>
        <w:t>4.</w:t>
      </w:r>
      <w:r>
        <w:rPr>
          <w:rFonts w:hint="eastAsia" w:ascii="仿宋" w:hAnsi="仿宋" w:eastAsia="仿宋" w:cs="仿宋"/>
          <w:sz w:val="24"/>
          <w:szCs w:val="24"/>
          <w:highlight w:val="none"/>
        </w:rPr>
        <w:t>报告提交，时间从2024年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月1日至2024年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日；中标人向采购人提</w:t>
      </w:r>
      <w:r>
        <w:rPr>
          <w:rFonts w:hint="eastAsia" w:ascii="仿宋" w:hAnsi="仿宋" w:eastAsia="仿宋" w:cs="仿宋"/>
          <w:sz w:val="24"/>
          <w:szCs w:val="24"/>
        </w:rPr>
        <w:t>交报告，采购人对中标人提交的报告反馈修改意见和建议。</w:t>
      </w:r>
    </w:p>
    <w:p>
      <w:pPr>
        <w:adjustRightInd w:val="0"/>
        <w:snapToGrid w:val="0"/>
        <w:spacing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rPr>
        <w:t>5.</w:t>
      </w:r>
      <w:r>
        <w:rPr>
          <w:rFonts w:hint="eastAsia" w:ascii="仿宋" w:hAnsi="仿宋" w:eastAsia="仿宋" w:cs="仿宋"/>
          <w:b w:val="0"/>
          <w:bCs w:val="0"/>
          <w:sz w:val="24"/>
          <w:szCs w:val="24"/>
          <w:lang w:eastAsia="zh-CN"/>
        </w:rPr>
        <w:t>报告验收，时间从</w:t>
      </w:r>
      <w:r>
        <w:rPr>
          <w:rFonts w:hint="eastAsia" w:ascii="仿宋" w:hAnsi="仿宋" w:eastAsia="仿宋" w:cs="仿宋"/>
          <w:b w:val="0"/>
          <w:bCs w:val="0"/>
          <w:sz w:val="24"/>
          <w:szCs w:val="24"/>
          <w:lang w:val="en-US" w:eastAsia="zh-CN"/>
        </w:rPr>
        <w:t>2024年10月15日至11月15日；邀请业内专家对编写的报告进行审核验收；</w:t>
      </w:r>
    </w:p>
    <w:p>
      <w:pPr>
        <w:adjustRightInd w:val="0"/>
        <w:snapToGrid w:val="0"/>
        <w:spacing w:line="516" w:lineRule="exact"/>
        <w:ind w:firstLine="479" w:firstLineChars="199"/>
        <w:rPr>
          <w:rFonts w:hint="eastAsia" w:ascii="仿宋" w:hAnsi="仿宋" w:eastAsia="仿宋" w:cs="仿宋"/>
          <w:color w:val="auto"/>
          <w:sz w:val="24"/>
          <w:szCs w:val="24"/>
          <w:highlight w:val="none"/>
        </w:rPr>
      </w:pPr>
      <w:r>
        <w:rPr>
          <w:rFonts w:hint="eastAsia" w:ascii="仿宋" w:hAnsi="仿宋" w:eastAsia="仿宋" w:cs="仿宋"/>
          <w:b/>
          <w:bCs/>
          <w:sz w:val="24"/>
          <w:szCs w:val="24"/>
          <w:lang w:val="en-US" w:eastAsia="zh-CN"/>
        </w:rPr>
        <w:t>6.</w:t>
      </w:r>
      <w:r>
        <w:rPr>
          <w:rFonts w:hint="eastAsia" w:ascii="仿宋" w:hAnsi="仿宋" w:eastAsia="仿宋" w:cs="仿宋"/>
          <w:sz w:val="24"/>
          <w:szCs w:val="24"/>
        </w:rPr>
        <w:t>修改完善，时间从2024年11月</w:t>
      </w:r>
      <w:r>
        <w:rPr>
          <w:rFonts w:hint="eastAsia" w:ascii="仿宋" w:hAnsi="仿宋" w:eastAsia="仿宋" w:cs="仿宋"/>
          <w:sz w:val="24"/>
          <w:szCs w:val="24"/>
          <w:lang w:val="en-US" w:eastAsia="zh-CN"/>
        </w:rPr>
        <w:t>16</w:t>
      </w:r>
      <w:r>
        <w:rPr>
          <w:rFonts w:hint="eastAsia" w:ascii="仿宋" w:hAnsi="仿宋" w:eastAsia="仿宋" w:cs="仿宋"/>
          <w:sz w:val="24"/>
          <w:szCs w:val="24"/>
        </w:rPr>
        <w:t>日至2024年12月</w:t>
      </w:r>
      <w:r>
        <w:rPr>
          <w:rFonts w:hint="eastAsia" w:ascii="仿宋" w:hAnsi="仿宋" w:eastAsia="仿宋" w:cs="仿宋"/>
          <w:sz w:val="24"/>
          <w:szCs w:val="24"/>
          <w:lang w:val="en-US" w:eastAsia="zh-CN"/>
        </w:rPr>
        <w:t>15</w:t>
      </w:r>
      <w:r>
        <w:rPr>
          <w:rFonts w:hint="eastAsia" w:ascii="仿宋" w:hAnsi="仿宋" w:eastAsia="仿宋" w:cs="仿宋"/>
          <w:sz w:val="24"/>
          <w:szCs w:val="24"/>
        </w:rPr>
        <w:t>日。中标人按照采购人要求修改完善后，正式向采购人提交《舟山绿色石化基地整体性安全风险评估报告》、《舟山绿色石化基地管委会安全监管履职能力评估报告》和《舟山绿色石化基地安全发展规划》。</w:t>
      </w:r>
    </w:p>
    <w:p>
      <w:pPr>
        <w:adjustRightInd w:val="0"/>
        <w:snapToGrid w:val="0"/>
        <w:spacing w:line="516" w:lineRule="exact"/>
        <w:ind w:firstLine="479" w:firstLineChars="199"/>
        <w:rPr>
          <w:rFonts w:hint="eastAsia" w:ascii="仿宋" w:hAnsi="仿宋" w:eastAsia="仿宋" w:cs="仿宋"/>
          <w:b/>
          <w:bCs/>
          <w:sz w:val="24"/>
          <w:szCs w:val="24"/>
        </w:rPr>
      </w:pPr>
      <w:r>
        <w:rPr>
          <w:rFonts w:hint="eastAsia" w:ascii="仿宋" w:hAnsi="仿宋" w:eastAsia="仿宋" w:cs="仿宋"/>
          <w:b/>
          <w:bCs/>
          <w:sz w:val="24"/>
          <w:szCs w:val="24"/>
        </w:rPr>
        <w:t>第三条  安全生产管理咨询服务方式</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1.现场调研：</w:t>
      </w:r>
      <w:r>
        <w:rPr>
          <w:rFonts w:hint="eastAsia" w:ascii="仿宋" w:hAnsi="仿宋" w:eastAsia="仿宋" w:cs="仿宋"/>
          <w:sz w:val="24"/>
          <w:szCs w:val="24"/>
        </w:rPr>
        <w:t>专家组通过现场勘察、人员访谈、调查问卷等方式对基地进行调查和研究，以获取真实的数据和信息，以便更全面地了解基地的情况和问题。</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2.交流座谈：</w:t>
      </w:r>
      <w:r>
        <w:rPr>
          <w:rFonts w:hint="eastAsia" w:ascii="仿宋" w:hAnsi="仿宋" w:eastAsia="仿宋" w:cs="仿宋"/>
          <w:sz w:val="24"/>
          <w:szCs w:val="24"/>
        </w:rPr>
        <w:t>为做好监管能力评估和安全风险评估，将多次召开交流座谈活动，对象为管委会相关负责同志、部门领导和工作人员，以及公司相关人员，以全面了解情况。</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3.资料采集：</w:t>
      </w:r>
      <w:r>
        <w:rPr>
          <w:rFonts w:hint="eastAsia" w:ascii="仿宋" w:hAnsi="仿宋" w:eastAsia="仿宋" w:cs="仿宋"/>
          <w:sz w:val="24"/>
          <w:szCs w:val="24"/>
        </w:rPr>
        <w:t>通过管委会、公司、关联单位和互联网等多种渠道，采集项目涉及的相关法律、法规、标准、规划、行政文件等，以及前期基地规划设计、平面布局、工艺技术、装置设备等，以及风险评估和危害分析等数据资料。</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b/>
          <w:bCs/>
          <w:sz w:val="24"/>
          <w:szCs w:val="24"/>
        </w:rPr>
        <w:t>4.研究评估：</w:t>
      </w:r>
      <w:r>
        <w:rPr>
          <w:rFonts w:hint="eastAsia" w:ascii="仿宋" w:hAnsi="仿宋" w:eastAsia="仿宋" w:cs="仿宋"/>
          <w:sz w:val="24"/>
          <w:szCs w:val="24"/>
        </w:rPr>
        <w:t>对评估过程中收集到的各种信息和数据进行整理和梳理，包括定量数据、定性观察、访谈记录等，同时进行研究，分析梳理其中的问题，得出评估的主要发现和结论。根据分析结果，对评估的主要发现和结论进行总结和概括，突出评估的重点和亮点，提出建议和改进措施，以解决评估中发现的问题和不足，促进改进和发展。</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第四条  甲方职责</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4.1 甲方尽可能为乙方提供办公、住宿、工作午餐等工作便利，有条件的情况下提供接送站和上下班交通支持，提高乙方工作效率；</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4.2  甲方积极派员参加乙方开展的阶段性评估总结活动，尽可能帮助乙方解决试点过程中存在的问题和困难，推动不断改进安全管理工作；</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4.3  甲方为乙方提供的资料、信息确保真实有效。</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4.4  乙方所指派人员在工作中发生意外伤害或工作性伤害，由于</w:t>
      </w:r>
      <w:r>
        <w:rPr>
          <w:rFonts w:hint="eastAsia" w:ascii="仿宋" w:hAnsi="仿宋" w:eastAsia="仿宋" w:cs="仿宋"/>
          <w:sz w:val="24"/>
          <w:szCs w:val="24"/>
          <w:lang w:val="en-US" w:eastAsia="zh-CN"/>
        </w:rPr>
        <w:t>甲方</w:t>
      </w:r>
      <w:r>
        <w:rPr>
          <w:rFonts w:hint="eastAsia" w:ascii="仿宋" w:hAnsi="仿宋" w:eastAsia="仿宋" w:cs="仿宋"/>
          <w:sz w:val="24"/>
          <w:szCs w:val="24"/>
        </w:rPr>
        <w:t>设备设施损坏、违章及突发事件造成乙方人员伤害，由甲方承担法律责任。由于乙方人员违章违纪发生意外伤害或工作性伤害，由乙方承担法律责任。</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4.5 甲方对乙方提供的资料，方案或文本，有保密义务，只需内部使用，不得提供给任何第三方使用，不得自行印制传播，否则造成乙方的损失应由甲方和试点单位承担。</w:t>
      </w:r>
    </w:p>
    <w:p>
      <w:pPr>
        <w:adjustRightInd w:val="0"/>
        <w:snapToGrid w:val="0"/>
        <w:spacing w:line="516" w:lineRule="exact"/>
        <w:ind w:firstLine="560"/>
        <w:outlineLvl w:val="0"/>
        <w:rPr>
          <w:rFonts w:hint="eastAsia" w:ascii="仿宋" w:hAnsi="仿宋" w:eastAsia="仿宋" w:cs="仿宋"/>
          <w:sz w:val="24"/>
          <w:szCs w:val="24"/>
        </w:rPr>
      </w:pPr>
      <w:r>
        <w:rPr>
          <w:rFonts w:hint="eastAsia" w:ascii="仿宋" w:hAnsi="仿宋" w:eastAsia="仿宋" w:cs="仿宋"/>
          <w:sz w:val="24"/>
          <w:szCs w:val="24"/>
        </w:rPr>
        <w:t>4.6 按合同约定及时支付服务酬金。</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第五条  乙方职责</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5.1 乙方指派人员必须合法、高效、全面地提供化工过程安全咨询服务，在</w:t>
      </w:r>
      <w:r>
        <w:rPr>
          <w:rFonts w:hint="eastAsia" w:ascii="仿宋" w:hAnsi="仿宋" w:eastAsia="仿宋" w:cs="仿宋"/>
          <w:sz w:val="24"/>
          <w:szCs w:val="24"/>
          <w:lang w:val="en-US" w:eastAsia="zh-CN"/>
        </w:rPr>
        <w:t>甲方</w:t>
      </w:r>
      <w:r>
        <w:rPr>
          <w:rFonts w:hint="eastAsia" w:ascii="仿宋" w:hAnsi="仿宋" w:eastAsia="仿宋" w:cs="仿宋"/>
          <w:sz w:val="24"/>
          <w:szCs w:val="24"/>
        </w:rPr>
        <w:t>工作场所内应遵守</w:t>
      </w:r>
      <w:r>
        <w:rPr>
          <w:rFonts w:hint="eastAsia" w:ascii="仿宋" w:hAnsi="仿宋" w:eastAsia="仿宋" w:cs="仿宋"/>
          <w:sz w:val="24"/>
          <w:szCs w:val="24"/>
          <w:lang w:val="en-US" w:eastAsia="zh-CN"/>
        </w:rPr>
        <w:t>甲方</w:t>
      </w:r>
      <w:r>
        <w:rPr>
          <w:rFonts w:hint="eastAsia" w:ascii="仿宋" w:hAnsi="仿宋" w:eastAsia="仿宋" w:cs="仿宋"/>
          <w:sz w:val="24"/>
          <w:szCs w:val="24"/>
        </w:rPr>
        <w:t>的日常管理制度。</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5.2  乙方在服务项目实施中，须接受甲方的监督，须按约定履行约定的事项。</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5.3  乙方在项目实施期间在服务场所接触的各种资料、技术数据、各类档案资料及商业秘密，必须无条件保密，不得将其服务中所获悉的甲方信息及商业信息向外界披露。</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第六条  合同费用及支付方式</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甲方向乙方支付咨询服务费总额：￥          元整（大写:</w:t>
      </w:r>
      <w:r>
        <w:rPr>
          <w:rFonts w:hint="eastAsia" w:ascii="仿宋" w:hAnsi="仿宋" w:eastAsia="仿宋" w:cs="仿宋"/>
          <w:sz w:val="24"/>
          <w:szCs w:val="24"/>
          <w:u w:val="single"/>
        </w:rPr>
        <w:t xml:space="preserve">       元整</w:t>
      </w:r>
      <w:r>
        <w:rPr>
          <w:rFonts w:hint="eastAsia" w:ascii="仿宋" w:hAnsi="仿宋" w:eastAsia="仿宋" w:cs="仿宋"/>
          <w:sz w:val="24"/>
          <w:szCs w:val="24"/>
        </w:rPr>
        <w:t>），费用包含乙方</w:t>
      </w:r>
      <w:r>
        <w:rPr>
          <w:rFonts w:hint="eastAsia" w:ascii="仿宋" w:hAnsi="仿宋" w:eastAsia="仿宋" w:cs="仿宋"/>
          <w:b w:val="0"/>
          <w:bCs w:val="0"/>
          <w:color w:val="auto"/>
          <w:kern w:val="2"/>
          <w:sz w:val="24"/>
          <w:szCs w:val="24"/>
          <w:lang w:val="en-US" w:eastAsia="zh-CN" w:bidi="ar-SA"/>
        </w:rPr>
        <w:t>专家现场服务费、人员交通食宿差旅费、相关报告和课件的编制费、评估费用、</w:t>
      </w:r>
      <w:r>
        <w:rPr>
          <w:rFonts w:hint="eastAsia" w:ascii="仿宋" w:hAnsi="仿宋" w:eastAsia="仿宋" w:cs="仿宋"/>
          <w:b w:val="0"/>
          <w:bCs w:val="0"/>
          <w:color w:val="auto"/>
          <w:sz w:val="24"/>
          <w:szCs w:val="24"/>
          <w:lang w:val="en-US" w:eastAsia="zh-CN"/>
        </w:rPr>
        <w:t>报告审核验收费用、</w:t>
      </w:r>
      <w:r>
        <w:rPr>
          <w:rFonts w:hint="eastAsia" w:ascii="仿宋" w:hAnsi="仿宋" w:eastAsia="仿宋" w:cs="仿宋"/>
          <w:b w:val="0"/>
          <w:bCs w:val="0"/>
          <w:color w:val="auto"/>
          <w:kern w:val="2"/>
          <w:sz w:val="24"/>
          <w:szCs w:val="24"/>
          <w:lang w:val="en-US" w:eastAsia="zh-CN" w:bidi="ar-SA"/>
        </w:rPr>
        <w:t>利润、税金等，以及政策性文件规定及合同包含的所有风险、责任等各项应有费用及其他本项目可能发生的所有费用</w:t>
      </w:r>
      <w:r>
        <w:rPr>
          <w:rFonts w:hint="eastAsia" w:ascii="仿宋" w:hAnsi="仿宋" w:eastAsia="仿宋" w:cs="仿宋"/>
          <w:sz w:val="24"/>
          <w:szCs w:val="24"/>
        </w:rPr>
        <w:t>。</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6.1 合同签订并具备实施条件后7个工作日内支付合同金额的50%，即￥        元整（大写：</w:t>
      </w:r>
      <w:r>
        <w:rPr>
          <w:rFonts w:hint="eastAsia" w:ascii="仿宋" w:hAnsi="仿宋" w:eastAsia="仿宋" w:cs="仿宋"/>
          <w:sz w:val="24"/>
          <w:szCs w:val="24"/>
          <w:u w:val="single"/>
        </w:rPr>
        <w:t xml:space="preserve">        元整</w:t>
      </w:r>
      <w:r>
        <w:rPr>
          <w:rFonts w:hint="eastAsia" w:ascii="仿宋" w:hAnsi="仿宋" w:eastAsia="仿宋" w:cs="仿宋"/>
          <w:sz w:val="24"/>
          <w:szCs w:val="24"/>
        </w:rPr>
        <w:t>）。</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 xml:space="preserve">6.2 </w:t>
      </w:r>
      <w:r>
        <w:rPr>
          <w:rFonts w:hint="eastAsia" w:ascii="仿宋" w:hAnsi="仿宋" w:eastAsia="仿宋" w:cs="仿宋"/>
          <w:sz w:val="24"/>
          <w:szCs w:val="24"/>
          <w:lang w:eastAsia="zh-CN"/>
        </w:rPr>
        <w:t>乙方</w:t>
      </w:r>
      <w:r>
        <w:rPr>
          <w:rFonts w:hint="eastAsia" w:ascii="仿宋" w:hAnsi="仿宋" w:eastAsia="仿宋" w:cs="仿宋"/>
          <w:sz w:val="24"/>
          <w:szCs w:val="24"/>
        </w:rPr>
        <w:t>完成服务后经</w:t>
      </w:r>
      <w:r>
        <w:rPr>
          <w:rFonts w:hint="eastAsia" w:ascii="仿宋" w:hAnsi="仿宋" w:eastAsia="仿宋" w:cs="仿宋"/>
          <w:sz w:val="24"/>
          <w:szCs w:val="24"/>
          <w:lang w:eastAsia="zh-CN"/>
        </w:rPr>
        <w:t>甲方</w:t>
      </w:r>
      <w:r>
        <w:rPr>
          <w:rFonts w:hint="eastAsia" w:ascii="仿宋" w:hAnsi="仿宋" w:eastAsia="仿宋" w:cs="仿宋"/>
          <w:sz w:val="24"/>
          <w:szCs w:val="24"/>
        </w:rPr>
        <w:t>验收通过后两周内，支付合同额的50%，即￥       元整（大写：</w:t>
      </w:r>
      <w:r>
        <w:rPr>
          <w:rFonts w:hint="eastAsia" w:ascii="仿宋" w:hAnsi="仿宋" w:eastAsia="仿宋" w:cs="仿宋"/>
          <w:sz w:val="24"/>
          <w:szCs w:val="24"/>
          <w:u w:val="single"/>
        </w:rPr>
        <w:t xml:space="preserve">       元整</w:t>
      </w:r>
      <w:r>
        <w:rPr>
          <w:rFonts w:hint="eastAsia" w:ascii="仿宋" w:hAnsi="仿宋" w:eastAsia="仿宋" w:cs="仿宋"/>
          <w:sz w:val="24"/>
          <w:szCs w:val="24"/>
        </w:rPr>
        <w:t>）。</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上述每笔款项支付前乙方应先行出具等额的增值税专用发票，乙方未能及时开具符合甲方要求的发票，甲方有权顺延支付时间，且不承担逾期违约责任。</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第七条  违约处理</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7.1  除不可抗力外任何签约方违反本合同任何一条则视为违约；</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7.2  违约方应按以下方式</w:t>
      </w:r>
      <w:r>
        <w:rPr>
          <w:rFonts w:hint="eastAsia" w:ascii="仿宋" w:hAnsi="仿宋" w:eastAsia="仿宋" w:cs="仿宋"/>
          <w:sz w:val="24"/>
          <w:szCs w:val="24"/>
          <w:u w:val="single"/>
        </w:rPr>
        <w:t>（3）</w:t>
      </w:r>
      <w:r>
        <w:rPr>
          <w:rFonts w:hint="eastAsia" w:ascii="仿宋" w:hAnsi="仿宋" w:eastAsia="仿宋" w:cs="仿宋"/>
          <w:sz w:val="24"/>
          <w:szCs w:val="24"/>
        </w:rPr>
        <w:t>承担违约责任；</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（1）支付元违约金；</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（2）按合同总标的10%支付违约金；</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（3）按照违约的实际情况甲乙双方协商确定。</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第八条  合同的变更</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8.1 在合同履行过程中，双方协商一致后可对本合同进行变更，对于具体变更内容可由签约各方另行书面约定，作为本合同的变更文本，经签约方签字后与本合同具有同等效力；</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变更可采取数码形式，经双方法定代表人或授权代表签字并加盖双方公章后生效；</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第九条  合同的解除</w:t>
      </w:r>
    </w:p>
    <w:p>
      <w:pPr>
        <w:adjustRightInd w:val="0"/>
        <w:snapToGrid w:val="0"/>
        <w:spacing w:line="516" w:lineRule="exact"/>
        <w:ind w:firstLine="547" w:firstLineChars="228"/>
        <w:rPr>
          <w:rFonts w:hint="eastAsia" w:ascii="仿宋" w:hAnsi="仿宋" w:eastAsia="仿宋" w:cs="仿宋"/>
          <w:sz w:val="24"/>
          <w:szCs w:val="24"/>
        </w:rPr>
      </w:pPr>
      <w:r>
        <w:rPr>
          <w:rFonts w:hint="eastAsia" w:ascii="仿宋" w:hAnsi="仿宋" w:eastAsia="仿宋" w:cs="仿宋"/>
          <w:sz w:val="24"/>
          <w:szCs w:val="24"/>
        </w:rPr>
        <w:t>9.1咨询服务过程中，甲乙双方若有异议，可协商解除合同，解除合同的一方需提前15日以书面形式告知对方，合同解除后双方按乙方实际工作量协商咨询服务费金额。</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第十条  争议解决的方式</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10.1  签约各方因履行合同发生争议应协商解决；</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10.2  协商解决不成，双方均可提交合同签订地法院处理。</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第十一条  合同生效</w:t>
      </w:r>
    </w:p>
    <w:p>
      <w:pPr>
        <w:widowControl/>
        <w:adjustRightInd w:val="0"/>
        <w:snapToGrid w:val="0"/>
        <w:spacing w:line="516" w:lineRule="exact"/>
        <w:ind w:firstLine="560"/>
        <w:jc w:val="left"/>
        <w:rPr>
          <w:rFonts w:hint="eastAsia" w:ascii="仿宋" w:hAnsi="仿宋" w:eastAsia="仿宋" w:cs="仿宋"/>
          <w:kern w:val="0"/>
          <w:sz w:val="24"/>
          <w:szCs w:val="24"/>
        </w:rPr>
      </w:pPr>
      <w:r>
        <w:rPr>
          <w:rFonts w:hint="eastAsia" w:ascii="仿宋" w:hAnsi="仿宋" w:eastAsia="仿宋" w:cs="仿宋"/>
          <w:kern w:val="0"/>
          <w:sz w:val="24"/>
          <w:szCs w:val="24"/>
        </w:rPr>
        <w:t>本合同一式</w:t>
      </w:r>
      <w:r>
        <w:rPr>
          <w:rFonts w:hint="eastAsia" w:ascii="仿宋" w:hAnsi="仿宋" w:eastAsia="仿宋" w:cs="仿宋"/>
          <w:kern w:val="0"/>
          <w:sz w:val="24"/>
          <w:szCs w:val="24"/>
          <w:u w:val="single"/>
        </w:rPr>
        <w:t>肆</w:t>
      </w:r>
      <w:r>
        <w:rPr>
          <w:rFonts w:hint="eastAsia" w:ascii="仿宋" w:hAnsi="仿宋" w:eastAsia="仿宋" w:cs="仿宋"/>
          <w:kern w:val="0"/>
          <w:sz w:val="24"/>
          <w:szCs w:val="24"/>
        </w:rPr>
        <w:t>份，</w:t>
      </w:r>
      <w:r>
        <w:rPr>
          <w:rFonts w:hint="eastAsia" w:ascii="仿宋" w:hAnsi="仿宋" w:eastAsia="仿宋" w:cs="仿宋"/>
          <w:sz w:val="24"/>
          <w:szCs w:val="24"/>
        </w:rPr>
        <w:t>甲方执</w:t>
      </w:r>
      <w:r>
        <w:rPr>
          <w:rFonts w:hint="eastAsia" w:ascii="仿宋" w:hAnsi="仿宋" w:eastAsia="仿宋" w:cs="仿宋"/>
          <w:sz w:val="24"/>
          <w:szCs w:val="24"/>
          <w:u w:val="single"/>
        </w:rPr>
        <w:t>贰</w:t>
      </w:r>
      <w:r>
        <w:rPr>
          <w:rFonts w:hint="eastAsia" w:ascii="仿宋" w:hAnsi="仿宋" w:eastAsia="仿宋" w:cs="仿宋"/>
          <w:sz w:val="24"/>
          <w:szCs w:val="24"/>
        </w:rPr>
        <w:t>份，乙方执</w:t>
      </w:r>
      <w:r>
        <w:rPr>
          <w:rFonts w:hint="eastAsia" w:ascii="仿宋" w:hAnsi="仿宋" w:eastAsia="仿宋" w:cs="仿宋"/>
          <w:sz w:val="24"/>
          <w:szCs w:val="24"/>
          <w:u w:val="single"/>
        </w:rPr>
        <w:t>贰</w:t>
      </w:r>
      <w:r>
        <w:rPr>
          <w:rFonts w:hint="eastAsia" w:ascii="仿宋" w:hAnsi="仿宋" w:eastAsia="仿宋" w:cs="仿宋"/>
          <w:sz w:val="24"/>
          <w:szCs w:val="24"/>
        </w:rPr>
        <w:t>份，</w:t>
      </w:r>
      <w:r>
        <w:rPr>
          <w:rFonts w:hint="eastAsia" w:ascii="仿宋" w:hAnsi="仿宋" w:eastAsia="仿宋" w:cs="仿宋"/>
          <w:kern w:val="0"/>
          <w:sz w:val="24"/>
          <w:szCs w:val="24"/>
        </w:rPr>
        <w:t>经甲、乙双方签字盖章后生效，具有同等法律效力。</w:t>
      </w:r>
    </w:p>
    <w:p>
      <w:pPr>
        <w:widowControl/>
        <w:adjustRightInd w:val="0"/>
        <w:snapToGrid w:val="0"/>
        <w:spacing w:line="516" w:lineRule="exact"/>
        <w:ind w:firstLine="560"/>
        <w:jc w:val="left"/>
        <w:rPr>
          <w:rFonts w:hint="eastAsia" w:ascii="仿宋" w:hAnsi="仿宋" w:eastAsia="仿宋" w:cs="仿宋"/>
          <w:kern w:val="0"/>
          <w:sz w:val="24"/>
          <w:szCs w:val="24"/>
        </w:rPr>
      </w:pPr>
      <w:r>
        <w:rPr>
          <w:rFonts w:hint="eastAsia" w:ascii="仿宋" w:hAnsi="仿宋" w:eastAsia="仿宋" w:cs="仿宋"/>
          <w:sz w:val="24"/>
          <w:szCs w:val="24"/>
        </w:rPr>
        <w:t>相互保密协议作为本合同附件，与本合同具有同等法律效力。</w:t>
      </w:r>
    </w:p>
    <w:p>
      <w:pPr>
        <w:widowControl/>
        <w:adjustRightInd w:val="0"/>
        <w:snapToGrid w:val="0"/>
        <w:spacing w:line="516" w:lineRule="exact"/>
        <w:ind w:firstLine="560"/>
        <w:jc w:val="left"/>
        <w:rPr>
          <w:rFonts w:hint="eastAsia" w:ascii="仿宋" w:hAnsi="仿宋" w:eastAsia="仿宋" w:cs="仿宋"/>
          <w:kern w:val="0"/>
          <w:sz w:val="24"/>
          <w:szCs w:val="24"/>
        </w:rPr>
      </w:pPr>
      <w:r>
        <w:rPr>
          <w:rFonts w:hint="eastAsia" w:ascii="仿宋" w:hAnsi="仿宋" w:eastAsia="仿宋" w:cs="仿宋"/>
          <w:kern w:val="0"/>
          <w:sz w:val="24"/>
          <w:szCs w:val="24"/>
        </w:rPr>
        <w:t>附：相互保密协议</w:t>
      </w:r>
    </w:p>
    <w:p>
      <w:pPr>
        <w:widowControl/>
        <w:adjustRightInd w:val="0"/>
        <w:snapToGrid w:val="0"/>
        <w:spacing w:line="516" w:lineRule="exact"/>
        <w:ind w:firstLine="560"/>
        <w:jc w:val="left"/>
        <w:rPr>
          <w:rFonts w:hint="eastAsia" w:ascii="仿宋" w:hAnsi="仿宋" w:eastAsia="仿宋" w:cs="仿宋"/>
          <w:kern w:val="0"/>
          <w:sz w:val="24"/>
          <w:szCs w:val="24"/>
        </w:r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0" w:type="dxa"/>
            <w:tcBorders>
              <w:top w:val="single" w:color="auto" w:sz="12" w:space="0"/>
              <w:left w:val="single" w:color="auto" w:sz="12" w:space="0"/>
              <w:bottom w:val="single" w:color="auto" w:sz="4" w:space="0"/>
              <w:right w:val="single" w:color="auto" w:sz="4" w:space="0"/>
            </w:tcBorders>
            <w:noWrap w:val="0"/>
            <w:vAlign w:val="center"/>
          </w:tcPr>
          <w:p>
            <w:pPr>
              <w:pStyle w:val="9"/>
              <w:ind w:right="-101" w:firstLine="0"/>
              <w:jc w:val="center"/>
              <w:rPr>
                <w:rFonts w:hint="eastAsia" w:ascii="仿宋" w:hAnsi="仿宋" w:eastAsia="仿宋" w:cs="仿宋"/>
              </w:rPr>
            </w:pPr>
            <w:r>
              <w:rPr>
                <w:rFonts w:hint="eastAsia" w:ascii="仿宋" w:hAnsi="仿宋" w:eastAsia="仿宋" w:cs="仿宋"/>
              </w:rPr>
              <w:t>甲方</w:t>
            </w:r>
          </w:p>
        </w:tc>
        <w:tc>
          <w:tcPr>
            <w:tcW w:w="4756" w:type="dxa"/>
            <w:tcBorders>
              <w:top w:val="single" w:color="auto" w:sz="12" w:space="0"/>
              <w:left w:val="single" w:color="auto" w:sz="4" w:space="0"/>
              <w:bottom w:val="single" w:color="auto" w:sz="4" w:space="0"/>
              <w:right w:val="single" w:color="auto" w:sz="12" w:space="0"/>
            </w:tcBorders>
            <w:noWrap w:val="0"/>
            <w:vAlign w:val="center"/>
          </w:tcPr>
          <w:p>
            <w:pPr>
              <w:pStyle w:val="9"/>
              <w:ind w:right="-101" w:firstLine="0"/>
              <w:jc w:val="center"/>
              <w:rPr>
                <w:rFonts w:hint="eastAsia" w:ascii="仿宋" w:hAnsi="仿宋" w:eastAsia="仿宋" w:cs="仿宋"/>
              </w:rPr>
            </w:pPr>
            <w:r>
              <w:rPr>
                <w:rFonts w:hint="eastAsia" w:ascii="仿宋" w:hAnsi="仿宋" w:eastAsia="仿宋" w:cs="仿宋"/>
              </w:rPr>
              <w:t>乙方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tcBorders>
              <w:top w:val="single" w:color="auto" w:sz="4" w:space="0"/>
              <w:left w:val="single" w:color="auto" w:sz="12" w:space="0"/>
              <w:bottom w:val="single" w:color="auto" w:sz="12" w:space="0"/>
              <w:right w:val="single" w:color="auto" w:sz="4" w:space="0"/>
            </w:tcBorders>
            <w:noWrap w:val="0"/>
            <w:vAlign w:val="top"/>
          </w:tcPr>
          <w:p>
            <w:pPr>
              <w:pStyle w:val="9"/>
              <w:ind w:right="-102" w:firstLine="0"/>
              <w:rPr>
                <w:rFonts w:hint="eastAsia" w:ascii="仿宋" w:hAnsi="仿宋" w:eastAsia="仿宋" w:cs="仿宋"/>
              </w:rPr>
            </w:pPr>
            <w:r>
              <w:rPr>
                <w:rFonts w:hint="eastAsia" w:ascii="仿宋" w:hAnsi="仿宋" w:eastAsia="仿宋" w:cs="仿宋"/>
              </w:rPr>
              <w:t>单位名称（公章）：</w:t>
            </w:r>
          </w:p>
          <w:p>
            <w:pPr>
              <w:pStyle w:val="9"/>
              <w:ind w:right="-102" w:firstLine="0"/>
              <w:rPr>
                <w:rFonts w:hint="eastAsia" w:ascii="仿宋" w:hAnsi="仿宋" w:eastAsia="仿宋" w:cs="仿宋"/>
              </w:rPr>
            </w:pPr>
            <w:r>
              <w:rPr>
                <w:rFonts w:hint="eastAsia" w:ascii="仿宋" w:hAnsi="仿宋" w:eastAsia="仿宋" w:cs="仿宋"/>
              </w:rPr>
              <w:t>单位地址：</w:t>
            </w:r>
          </w:p>
          <w:p>
            <w:pPr>
              <w:pStyle w:val="9"/>
              <w:ind w:right="-102" w:firstLine="0"/>
              <w:rPr>
                <w:rFonts w:hint="eastAsia" w:ascii="仿宋" w:hAnsi="仿宋" w:eastAsia="仿宋" w:cs="仿宋"/>
              </w:rPr>
            </w:pPr>
            <w:r>
              <w:rPr>
                <w:rFonts w:hint="eastAsia" w:ascii="仿宋" w:hAnsi="仿宋" w:eastAsia="仿宋" w:cs="仿宋"/>
              </w:rPr>
              <w:t>法定代表人或委托代理人：（签名或盖章）</w:t>
            </w:r>
          </w:p>
          <w:p>
            <w:pPr>
              <w:pStyle w:val="9"/>
              <w:ind w:right="-102" w:firstLine="0"/>
              <w:rPr>
                <w:rFonts w:hint="eastAsia" w:ascii="仿宋" w:hAnsi="仿宋" w:eastAsia="仿宋" w:cs="仿宋"/>
              </w:rPr>
            </w:pPr>
            <w:r>
              <w:rPr>
                <w:rFonts w:hint="eastAsia" w:ascii="仿宋" w:hAnsi="仿宋" w:eastAsia="仿宋" w:cs="仿宋"/>
              </w:rPr>
              <w:t>联系电话：</w:t>
            </w:r>
          </w:p>
          <w:p>
            <w:pPr>
              <w:pStyle w:val="9"/>
              <w:ind w:right="-102" w:firstLine="0"/>
              <w:rPr>
                <w:rFonts w:hint="eastAsia" w:ascii="仿宋" w:hAnsi="仿宋" w:eastAsia="仿宋" w:cs="仿宋"/>
              </w:rPr>
            </w:pPr>
            <w:r>
              <w:rPr>
                <w:rFonts w:hint="eastAsia" w:ascii="仿宋" w:hAnsi="仿宋" w:eastAsia="仿宋" w:cs="仿宋"/>
              </w:rPr>
              <w:t>电子信箱：</w:t>
            </w:r>
          </w:p>
          <w:p>
            <w:pPr>
              <w:pStyle w:val="9"/>
              <w:ind w:right="-102" w:firstLine="0"/>
              <w:rPr>
                <w:rFonts w:hint="eastAsia" w:ascii="仿宋" w:hAnsi="仿宋" w:eastAsia="仿宋" w:cs="仿宋"/>
              </w:rPr>
            </w:pPr>
            <w:r>
              <w:rPr>
                <w:rFonts w:hint="eastAsia" w:ascii="仿宋" w:hAnsi="仿宋" w:eastAsia="仿宋" w:cs="仿宋"/>
              </w:rPr>
              <w:t>开户全称：</w:t>
            </w:r>
          </w:p>
          <w:p>
            <w:pPr>
              <w:pStyle w:val="9"/>
              <w:ind w:right="-102" w:firstLine="0"/>
              <w:rPr>
                <w:rFonts w:hint="eastAsia" w:ascii="仿宋" w:hAnsi="仿宋" w:eastAsia="仿宋" w:cs="仿宋"/>
              </w:rPr>
            </w:pPr>
            <w:r>
              <w:rPr>
                <w:rFonts w:hint="eastAsia" w:ascii="仿宋" w:hAnsi="仿宋" w:eastAsia="仿宋" w:cs="仿宋"/>
              </w:rPr>
              <w:t>开户银行：</w:t>
            </w:r>
          </w:p>
          <w:p>
            <w:pPr>
              <w:pStyle w:val="9"/>
              <w:ind w:right="-102" w:firstLine="0"/>
              <w:rPr>
                <w:rFonts w:hint="eastAsia" w:ascii="仿宋" w:hAnsi="仿宋" w:eastAsia="仿宋" w:cs="仿宋"/>
              </w:rPr>
            </w:pPr>
            <w:r>
              <w:rPr>
                <w:rFonts w:hint="eastAsia" w:ascii="仿宋" w:hAnsi="仿宋" w:eastAsia="仿宋" w:cs="仿宋"/>
              </w:rPr>
              <w:t>银行账号：</w:t>
            </w:r>
          </w:p>
          <w:p>
            <w:pPr>
              <w:pStyle w:val="9"/>
              <w:ind w:right="-102" w:firstLine="0"/>
              <w:rPr>
                <w:rFonts w:hint="eastAsia" w:ascii="仿宋" w:hAnsi="仿宋" w:eastAsia="仿宋" w:cs="仿宋"/>
              </w:rPr>
            </w:pPr>
            <w:r>
              <w:rPr>
                <w:rFonts w:hint="eastAsia" w:ascii="仿宋" w:hAnsi="仿宋" w:eastAsia="仿宋" w:cs="仿宋"/>
              </w:rPr>
              <w:t>签字时间：           年   月   日</w:t>
            </w:r>
          </w:p>
        </w:tc>
        <w:tc>
          <w:tcPr>
            <w:tcW w:w="4756" w:type="dxa"/>
            <w:tcBorders>
              <w:top w:val="single" w:color="auto" w:sz="4" w:space="0"/>
              <w:left w:val="single" w:color="auto" w:sz="4" w:space="0"/>
              <w:bottom w:val="single" w:color="auto" w:sz="12" w:space="0"/>
              <w:right w:val="single" w:color="auto" w:sz="12" w:space="0"/>
            </w:tcBorders>
            <w:noWrap w:val="0"/>
            <w:vAlign w:val="top"/>
          </w:tcPr>
          <w:p>
            <w:pPr>
              <w:pStyle w:val="9"/>
              <w:ind w:right="-102" w:firstLine="0"/>
              <w:rPr>
                <w:rFonts w:hint="eastAsia" w:ascii="仿宋" w:hAnsi="仿宋" w:eastAsia="仿宋" w:cs="仿宋"/>
              </w:rPr>
            </w:pPr>
            <w:r>
              <w:rPr>
                <w:rFonts w:hint="eastAsia" w:ascii="仿宋" w:hAnsi="仿宋" w:eastAsia="仿宋" w:cs="仿宋"/>
              </w:rPr>
              <w:t>单位名称（公章）：</w:t>
            </w:r>
          </w:p>
          <w:p>
            <w:pPr>
              <w:pStyle w:val="9"/>
              <w:ind w:right="-102" w:firstLine="0"/>
              <w:rPr>
                <w:rFonts w:hint="eastAsia" w:ascii="仿宋" w:hAnsi="仿宋" w:eastAsia="仿宋" w:cs="仿宋"/>
              </w:rPr>
            </w:pPr>
            <w:r>
              <w:rPr>
                <w:rFonts w:hint="eastAsia" w:ascii="仿宋" w:hAnsi="仿宋" w:eastAsia="仿宋" w:cs="仿宋"/>
              </w:rPr>
              <w:t>单位地址：</w:t>
            </w:r>
          </w:p>
          <w:p>
            <w:pPr>
              <w:pStyle w:val="9"/>
              <w:ind w:right="-102" w:firstLine="0"/>
              <w:rPr>
                <w:rFonts w:hint="eastAsia" w:ascii="仿宋" w:hAnsi="仿宋" w:eastAsia="仿宋" w:cs="仿宋"/>
              </w:rPr>
            </w:pPr>
            <w:r>
              <w:rPr>
                <w:rFonts w:hint="eastAsia" w:ascii="仿宋" w:hAnsi="仿宋" w:eastAsia="仿宋" w:cs="仿宋"/>
              </w:rPr>
              <w:t>法定代表人或委托代理人：（签名或盖章）</w:t>
            </w:r>
          </w:p>
          <w:p>
            <w:pPr>
              <w:pStyle w:val="9"/>
              <w:ind w:right="-102" w:firstLine="0"/>
              <w:rPr>
                <w:rFonts w:hint="eastAsia" w:ascii="仿宋" w:hAnsi="仿宋" w:eastAsia="仿宋" w:cs="仿宋"/>
              </w:rPr>
            </w:pPr>
            <w:r>
              <w:rPr>
                <w:rFonts w:hint="eastAsia" w:ascii="仿宋" w:hAnsi="仿宋" w:eastAsia="仿宋" w:cs="仿宋"/>
              </w:rPr>
              <w:t>联系电话：</w:t>
            </w:r>
          </w:p>
          <w:p>
            <w:pPr>
              <w:pStyle w:val="9"/>
              <w:ind w:right="-102" w:firstLine="0"/>
              <w:rPr>
                <w:rFonts w:hint="eastAsia" w:ascii="仿宋" w:hAnsi="仿宋" w:eastAsia="仿宋" w:cs="仿宋"/>
              </w:rPr>
            </w:pPr>
            <w:r>
              <w:rPr>
                <w:rFonts w:hint="eastAsia" w:ascii="仿宋" w:hAnsi="仿宋" w:eastAsia="仿宋" w:cs="仿宋"/>
              </w:rPr>
              <w:t>电子信箱：</w:t>
            </w:r>
          </w:p>
          <w:p>
            <w:pPr>
              <w:pStyle w:val="9"/>
              <w:ind w:right="-102" w:firstLine="0"/>
              <w:rPr>
                <w:rFonts w:hint="eastAsia" w:ascii="仿宋" w:hAnsi="仿宋" w:eastAsia="仿宋" w:cs="仿宋"/>
              </w:rPr>
            </w:pPr>
            <w:r>
              <w:rPr>
                <w:rFonts w:hint="eastAsia" w:ascii="仿宋" w:hAnsi="仿宋" w:eastAsia="仿宋" w:cs="仿宋"/>
              </w:rPr>
              <w:t>开户全称：</w:t>
            </w:r>
          </w:p>
          <w:p>
            <w:pPr>
              <w:pStyle w:val="9"/>
              <w:ind w:right="-102" w:firstLine="0"/>
              <w:rPr>
                <w:rFonts w:hint="eastAsia" w:ascii="仿宋" w:hAnsi="仿宋" w:eastAsia="仿宋" w:cs="仿宋"/>
              </w:rPr>
            </w:pPr>
            <w:r>
              <w:rPr>
                <w:rFonts w:hint="eastAsia" w:ascii="仿宋" w:hAnsi="仿宋" w:eastAsia="仿宋" w:cs="仿宋"/>
              </w:rPr>
              <w:t>开户银行：</w:t>
            </w:r>
          </w:p>
          <w:p>
            <w:pPr>
              <w:pStyle w:val="9"/>
              <w:ind w:right="-102" w:firstLine="0"/>
              <w:rPr>
                <w:rFonts w:hint="eastAsia" w:ascii="仿宋" w:hAnsi="仿宋" w:eastAsia="仿宋" w:cs="仿宋"/>
              </w:rPr>
            </w:pPr>
            <w:r>
              <w:rPr>
                <w:rFonts w:hint="eastAsia" w:ascii="仿宋" w:hAnsi="仿宋" w:eastAsia="仿宋" w:cs="仿宋"/>
              </w:rPr>
              <w:t>银行账号：</w:t>
            </w:r>
          </w:p>
          <w:p>
            <w:pPr>
              <w:pStyle w:val="9"/>
              <w:ind w:right="-102" w:firstLine="0"/>
              <w:rPr>
                <w:rFonts w:hint="eastAsia" w:ascii="仿宋" w:hAnsi="仿宋" w:eastAsia="仿宋" w:cs="仿宋"/>
              </w:rPr>
            </w:pPr>
            <w:r>
              <w:rPr>
                <w:rFonts w:hint="eastAsia" w:ascii="仿宋" w:hAnsi="仿宋" w:eastAsia="仿宋" w:cs="仿宋"/>
              </w:rPr>
              <w:t>签字时间：            年   月   日</w:t>
            </w:r>
          </w:p>
        </w:tc>
      </w:tr>
    </w:tbl>
    <w:p>
      <w:pPr>
        <w:adjustRightInd w:val="0"/>
        <w:snapToGrid w:val="0"/>
        <w:spacing w:line="516" w:lineRule="exact"/>
        <w:rPr>
          <w:rFonts w:hint="eastAsia" w:ascii="仿宋" w:hAnsi="仿宋" w:eastAsia="仿宋" w:cs="仿宋"/>
          <w:sz w:val="24"/>
          <w:szCs w:val="24"/>
        </w:rPr>
      </w:pPr>
    </w:p>
    <w:p>
      <w:pPr>
        <w:widowControl/>
        <w:jc w:val="left"/>
        <w:rPr>
          <w:rFonts w:hint="eastAsia" w:ascii="仿宋" w:hAnsi="仿宋" w:eastAsia="仿宋" w:cs="仿宋"/>
          <w:sz w:val="24"/>
          <w:szCs w:val="24"/>
        </w:rPr>
        <w:sectPr>
          <w:footerReference r:id="rId7" w:type="default"/>
          <w:pgSz w:w="11906" w:h="16838"/>
          <w:pgMar w:top="1418" w:right="1418" w:bottom="141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rPr>
          <w:rFonts w:hint="eastAsia" w:ascii="仿宋" w:hAnsi="仿宋" w:eastAsia="仿宋" w:cs="仿宋"/>
          <w:sz w:val="24"/>
          <w:szCs w:val="24"/>
        </w:rPr>
      </w:pPr>
      <w:r>
        <w:rPr>
          <w:rFonts w:hint="eastAsia" w:ascii="仿宋" w:hAnsi="仿宋" w:eastAsia="仿宋" w:cs="仿宋"/>
          <w:sz w:val="24"/>
          <w:szCs w:val="24"/>
        </w:rPr>
        <w:t>附件</w:t>
      </w:r>
    </w:p>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相互保密协议</w:t>
      </w:r>
    </w:p>
    <w:p>
      <w:pPr>
        <w:spacing w:line="560" w:lineRule="exact"/>
        <w:rPr>
          <w:rFonts w:hint="eastAsia" w:ascii="仿宋" w:hAnsi="仿宋" w:eastAsia="仿宋" w:cs="仿宋"/>
          <w:sz w:val="24"/>
          <w:szCs w:val="24"/>
        </w:rPr>
      </w:pPr>
    </w:p>
    <w:p>
      <w:pPr>
        <w:tabs>
          <w:tab w:val="left" w:pos="7620"/>
        </w:tabs>
        <w:spacing w:line="516" w:lineRule="exact"/>
        <w:ind w:firstLine="547" w:firstLineChars="228"/>
        <w:rPr>
          <w:rFonts w:hint="eastAsia" w:ascii="仿宋" w:hAnsi="仿宋" w:eastAsia="仿宋" w:cs="仿宋"/>
          <w:sz w:val="24"/>
          <w:szCs w:val="24"/>
        </w:rPr>
      </w:pPr>
      <w:r>
        <w:rPr>
          <w:rFonts w:hint="eastAsia" w:ascii="仿宋" w:hAnsi="仿宋" w:eastAsia="仿宋" w:cs="仿宋"/>
          <w:sz w:val="24"/>
          <w:szCs w:val="24"/>
        </w:rPr>
        <w:t>本相互保密协议（以下简称“协议”）作为</w:t>
      </w:r>
      <w:r>
        <w:rPr>
          <w:rFonts w:hint="eastAsia" w:ascii="仿宋" w:hAnsi="仿宋" w:eastAsia="仿宋" w:cs="仿宋"/>
          <w:sz w:val="24"/>
          <w:szCs w:val="24"/>
          <w:u w:val="single"/>
        </w:rPr>
        <w:t xml:space="preserve">             </w:t>
      </w:r>
      <w:r>
        <w:rPr>
          <w:rFonts w:hint="eastAsia" w:ascii="仿宋" w:hAnsi="仿宋" w:eastAsia="仿宋" w:cs="仿宋"/>
          <w:sz w:val="24"/>
          <w:szCs w:val="24"/>
        </w:rPr>
        <w:t>合同附件，在合同文本签署之日起生效。</w:t>
      </w:r>
    </w:p>
    <w:p>
      <w:pPr>
        <w:pStyle w:val="63"/>
        <w:widowControl/>
        <w:tabs>
          <w:tab w:val="left" w:pos="7620"/>
        </w:tabs>
        <w:spacing w:line="516" w:lineRule="exact"/>
        <w:ind w:left="11" w:firstLine="480"/>
        <w:rPr>
          <w:rFonts w:hint="eastAsia" w:ascii="仿宋" w:hAnsi="仿宋" w:eastAsia="仿宋" w:cs="仿宋"/>
          <w:sz w:val="24"/>
          <w:szCs w:val="24"/>
        </w:rPr>
      </w:pPr>
      <w:r>
        <w:rPr>
          <w:rFonts w:hint="eastAsia" w:ascii="仿宋" w:hAnsi="仿宋" w:eastAsia="仿宋" w:cs="仿宋"/>
          <w:sz w:val="24"/>
          <w:szCs w:val="24"/>
        </w:rPr>
        <w:t>1.本协议双方、其地址和联系人如下：</w:t>
      </w:r>
    </w:p>
    <w:tbl>
      <w:tblPr>
        <w:tblStyle w:val="24"/>
        <w:tblpPr w:leftFromText="180" w:rightFromText="180" w:vertAnchor="text" w:horzAnchor="page" w:tblpX="1921" w:tblpY="3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3" w:hRule="atLeast"/>
        </w:trPr>
        <w:tc>
          <w:tcPr>
            <w:tcW w:w="3888" w:type="dxa"/>
            <w:noWrap w:val="0"/>
            <w:vAlign w:val="top"/>
          </w:tcPr>
          <w:p>
            <w:pPr>
              <w:pStyle w:val="63"/>
              <w:tabs>
                <w:tab w:val="left" w:pos="7620"/>
              </w:tabs>
              <w:spacing w:line="560" w:lineRule="exact"/>
              <w:ind w:firstLine="0" w:firstLineChars="0"/>
              <w:rPr>
                <w:rFonts w:hint="eastAsia" w:ascii="仿宋" w:hAnsi="仿宋" w:eastAsia="仿宋" w:cs="仿宋"/>
                <w:color w:val="auto"/>
                <w:sz w:val="24"/>
                <w:szCs w:val="24"/>
              </w:rPr>
            </w:pPr>
            <w:r>
              <w:rPr>
                <w:rFonts w:hint="eastAsia" w:ascii="仿宋" w:hAnsi="仿宋" w:eastAsia="仿宋" w:cs="仿宋"/>
                <w:sz w:val="24"/>
                <w:szCs w:val="24"/>
              </w:rPr>
              <w:t>舟</w:t>
            </w:r>
            <w:r>
              <w:rPr>
                <w:rFonts w:hint="eastAsia" w:ascii="仿宋" w:hAnsi="仿宋" w:eastAsia="仿宋" w:cs="仿宋"/>
                <w:color w:val="auto"/>
                <w:sz w:val="24"/>
                <w:szCs w:val="24"/>
              </w:rPr>
              <w:t>山绿色石化基地管委会</w:t>
            </w:r>
          </w:p>
          <w:p>
            <w:pPr>
              <w:pStyle w:val="63"/>
              <w:tabs>
                <w:tab w:val="left" w:pos="7620"/>
              </w:tabs>
              <w:spacing w:line="5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地址：</w:t>
            </w:r>
          </w:p>
          <w:p>
            <w:pPr>
              <w:pStyle w:val="63"/>
              <w:tabs>
                <w:tab w:val="left" w:pos="7620"/>
              </w:tabs>
              <w:spacing w:line="5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联系人：</w:t>
            </w:r>
          </w:p>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color w:val="auto"/>
                <w:sz w:val="24"/>
                <w:szCs w:val="24"/>
              </w:rPr>
              <w:t>（以下简称“甲方”）</w:t>
            </w:r>
          </w:p>
        </w:tc>
      </w:tr>
    </w:tbl>
    <w:p>
      <w:pPr>
        <w:rPr>
          <w:rFonts w:hint="eastAsia" w:ascii="仿宋" w:hAnsi="仿宋" w:eastAsia="仿宋" w:cs="仿宋"/>
          <w:vanish/>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859" w:type="dxa"/>
            <w:noWrap w:val="0"/>
            <w:vAlign w:val="top"/>
          </w:tcPr>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   </w:t>
            </w:r>
          </w:p>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地址：   </w:t>
            </w:r>
          </w:p>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联系人：   </w:t>
            </w:r>
          </w:p>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（以下简称“乙方”）</w:t>
            </w:r>
          </w:p>
        </w:tc>
      </w:tr>
    </w:tbl>
    <w:p>
      <w:pPr>
        <w:pStyle w:val="63"/>
        <w:tabs>
          <w:tab w:val="left" w:pos="7620"/>
        </w:tabs>
        <w:spacing w:line="560" w:lineRule="exact"/>
        <w:ind w:firstLine="0" w:firstLineChars="0"/>
        <w:rPr>
          <w:rFonts w:hint="eastAsia" w:ascii="仿宋" w:hAnsi="仿宋" w:eastAsia="仿宋" w:cs="仿宋"/>
          <w:sz w:val="24"/>
          <w:szCs w:val="24"/>
        </w:rPr>
      </w:pPr>
    </w:p>
    <w:p>
      <w:pPr>
        <w:pStyle w:val="63"/>
        <w:keepNext w:val="0"/>
        <w:keepLines w:val="0"/>
        <w:pageBreakBefore w:val="0"/>
        <w:widowControl/>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2.本协议下接收信息的一方被称为“收件人”。</w:t>
      </w:r>
    </w:p>
    <w:p>
      <w:pPr>
        <w:pStyle w:val="63"/>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双方希望相互之间进行商业、工艺和技术知识与做法交换，以便使双方受益，因此可能获得与另一方的产品、工艺、客户、供应商、设计、制造方法、战略、定价、成本和其他信息、商业秘密、商业战略和技术数据有关的保密信息，这些信息在行业中通常不知晓的并且为另一方专有。</w:t>
      </w:r>
    </w:p>
    <w:p>
      <w:pPr>
        <w:pStyle w:val="63"/>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本协议应涵盖本协议期限期间进行的任何披露。本协议的“期限”应自生效日期开始，并且应在双方达成的提供商品或服务的任何合同期间（包括合同延期和这些合同的续订）继续存在。如果在自生效日期起的十二（12）个月内未达成合同，则任何一方均可提前三十（30）天书面通知另一方终止本协议。本协议下所有的义务均应在本协议终止或到期后存续3年。披露的保密信息的数量应在披露方自行确定的范围内。</w:t>
      </w:r>
    </w:p>
    <w:p>
      <w:pPr>
        <w:pStyle w:val="63"/>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5.披露保密信息的目的（以下简称“目的”）在于（a）让甲方对乙方向甲方提供商品或服务的能力进行评估；以及（b）便于乙方向甲方提供商品或服务。</w:t>
      </w:r>
    </w:p>
    <w:p>
      <w:pPr>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保密信息”是指本协议下的任何一方予以披露的并且在第3段和第4段范围内的任何信息（包括样品）。保密信息包括但不限于数据、专有技术、公式、组成、工艺、文件、设计、草图、照片、计划、图表、图纸、规范、设备、样品、报告、客户名单、价格信息、研究、调查结果、发明和想法等。保密信息还包括本协议的存在、条款和目的。</w:t>
      </w:r>
    </w:p>
    <w:p>
      <w:pPr>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保密信息的接受方应：（1）妥善保护对方的信息和样品，其程度应如同保护自己的信息和样品（在任何情况下均不得低于合理程度），以防泄漏给任何第三方，（2）仅用于本协议之目的（不用于任何其他目的），以及（3）仅向因其职责需要知悉该等信息的员工披露，该等员工已被告知本协议的存在和条款并且在法律上有义务防止在未经授权的情况下披露或使用保密信息。</w:t>
      </w:r>
    </w:p>
    <w:p>
      <w:pPr>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保密信息的接受方对以下任何信息不承担义务：（a）非因接受方之过失而致使已被公众所知悉的信息；或（b）在披露不受限制的情况下从第三方获得并通过正当途径而为接受方所拥有的信息，或（c）由接受方独立开发，或（d）根据法律、政府法规或法院指令进行披露，接受方事先采取合理的方式提前通知披露方并采用合理措施配合披露方（费用由该方承担）予以保密的信息。若根据本协议规定而予以披露的任何信息（1）属于公众领域中或信息接收方所持有的更大范围的信息，或（2）属于多种来源的信息组合，则不得仅以此一项理由而将该等信息认定为属于上述各项保密信息的例外情形。</w:t>
      </w:r>
    </w:p>
    <w:p>
      <w:pPr>
        <w:tabs>
          <w:tab w:val="left" w:pos="7620"/>
        </w:tabs>
        <w:spacing w:line="516"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9.任何一方不得出于逆向设计样品和产品或确定其组成的目的对另一方所提供的任何样品或产品进行分析。接受方理解所有样品均为实验材料，并同意采取一切适当的预防措施处理和评估所有样品。除非经过合适的政府机构的合理授权，接受方不得出口或者再出口任何保密信息。</w:t>
      </w:r>
    </w:p>
    <w:p>
      <w:pPr>
        <w:tabs>
          <w:tab w:val="left" w:pos="7620"/>
        </w:tabs>
        <w:spacing w:line="516"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如果披露方提出书面请求，保密信息的接受方应立即向披露方提供或销毁含有披露方任何保密信息的一切文件和其他媒介（包括任何副本）。若披露方提出要求，接受方的官员应向披露方提供该等退还或销毁已经发生的书面证明。</w:t>
      </w:r>
    </w:p>
    <w:p>
      <w:pPr>
        <w:tabs>
          <w:tab w:val="left" w:pos="7620"/>
        </w:tabs>
        <w:spacing w:line="516"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对于保密信息和样品，披露方对其准确性、可靠性、完整性、适销性或用于任何目的的适宜性均不作任何保证。保密信息和样品以“按现状”的方式进行提供。披露方不对保密信息的不准确性或不完整性承担任何责任。</w:t>
      </w:r>
    </w:p>
    <w:p>
      <w:pPr>
        <w:spacing w:line="360" w:lineRule="auto"/>
        <w:ind w:left="420" w:leftChars="200"/>
        <w:rPr>
          <w:rFonts w:hint="eastAsia" w:ascii="仿宋" w:hAnsi="仿宋" w:eastAsia="仿宋" w:cs="仿宋"/>
          <w:sz w:val="24"/>
          <w:szCs w:val="24"/>
        </w:rPr>
      </w:pPr>
      <w:r>
        <w:rPr>
          <w:rFonts w:hint="eastAsia" w:ascii="仿宋" w:hAnsi="仿宋" w:eastAsia="仿宋" w:cs="仿宋"/>
          <w:sz w:val="24"/>
          <w:szCs w:val="24"/>
        </w:rPr>
        <w:t>12．本协议构成双方之间有关本协议标的的完整协议，取代双方之前有关本协议标的的所有协商、谅解和协定，并且只有经双方书面签字并加盖公章后方可修改。本协议不产生双方之间有关合伙、合资、买方/卖方或其他业务关系的义务或责任，也不授予使用保密信息或任何专利的任何明示或暗示的权利或许可。各方应支付其各自的有关本协议编制和履行的费用。本协议在所有方面均应受中华人民共和国法律的约束，应按照中华人民共和国的法律进行解释，并且应由中华人民共和国的法院决定。本协议可以以中文和英文版提交。如果出现冲突，应以中文版为准。</w:t>
      </w:r>
    </w:p>
    <w:p>
      <w:pPr>
        <w:adjustRightInd w:val="0"/>
        <w:spacing w:line="360" w:lineRule="auto"/>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第六部分</w:t>
      </w:r>
      <w:bookmarkEnd w:id="400"/>
      <w:bookmarkEnd w:id="401"/>
      <w:r>
        <w:rPr>
          <w:rFonts w:hint="eastAsia" w:ascii="仿宋_GB2312" w:eastAsia="仿宋_GB2312"/>
          <w:b/>
          <w:sz w:val="28"/>
          <w:szCs w:val="28"/>
        </w:rPr>
        <w:t>应提交的有关格式范例</w:t>
      </w: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资格文件部分</w:t>
      </w:r>
    </w:p>
    <w:p>
      <w:pPr>
        <w:spacing w:line="540" w:lineRule="exact"/>
        <w:contextualSpacing/>
        <w:jc w:val="center"/>
        <w:rPr>
          <w:rFonts w:ascii="仿宋_GB2312" w:eastAsia="仿宋_GB2312"/>
          <w:sz w:val="28"/>
          <w:szCs w:val="28"/>
        </w:rPr>
      </w:pPr>
      <w:r>
        <w:rPr>
          <w:rFonts w:hint="eastAsia" w:ascii="仿宋_GB2312" w:eastAsia="仿宋_GB2312"/>
          <w:sz w:val="28"/>
          <w:szCs w:val="28"/>
        </w:rPr>
        <w:t>目录</w:t>
      </w: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sz w:val="28"/>
          <w:szCs w:val="28"/>
        </w:rPr>
      </w:pPr>
      <w:r>
        <w:rPr>
          <w:rFonts w:hint="eastAsia" w:ascii="仿宋_GB2312" w:eastAsia="仿宋_GB2312"/>
          <w:sz w:val="28"/>
          <w:szCs w:val="28"/>
        </w:rPr>
        <w:t>一、符合参加政府采购活动应当具备的一般条件的承诺函…………（页码）</w:t>
      </w:r>
    </w:p>
    <w:p>
      <w:pPr>
        <w:spacing w:line="540" w:lineRule="exact"/>
        <w:contextualSpacing/>
        <w:jc w:val="center"/>
        <w:rPr>
          <w:rFonts w:ascii="仿宋_GB2312" w:eastAsia="仿宋_GB2312"/>
          <w:sz w:val="28"/>
          <w:szCs w:val="28"/>
        </w:rPr>
      </w:pPr>
      <w:r>
        <w:rPr>
          <w:rFonts w:hint="eastAsia" w:ascii="仿宋_GB2312" w:eastAsia="仿宋_GB2312"/>
          <w:sz w:val="28"/>
          <w:szCs w:val="28"/>
        </w:rPr>
        <w:t>二、联合协议（如果有）………………………………………………（页码）</w:t>
      </w:r>
    </w:p>
    <w:p>
      <w:pPr>
        <w:spacing w:line="540" w:lineRule="exact"/>
        <w:contextualSpacing/>
        <w:rPr>
          <w:rFonts w:ascii="仿宋_GB2312" w:eastAsia="仿宋_GB2312"/>
          <w:sz w:val="28"/>
          <w:szCs w:val="28"/>
        </w:rPr>
      </w:pPr>
      <w:r>
        <w:rPr>
          <w:rFonts w:hint="eastAsia" w:ascii="仿宋_GB2312" w:eastAsia="仿宋_GB2312"/>
          <w:sz w:val="28"/>
          <w:szCs w:val="28"/>
          <w:lang w:val="en-US" w:eastAsia="zh-CN"/>
        </w:rPr>
        <w:t>三</w:t>
      </w:r>
      <w:r>
        <w:rPr>
          <w:rFonts w:hint="eastAsia" w:ascii="仿宋_GB2312" w:eastAsia="仿宋_GB2312"/>
          <w:sz w:val="28"/>
          <w:szCs w:val="28"/>
        </w:rPr>
        <w:t>、本项目的特定资格要求（如果有）………………………………（页码）</w:t>
      </w:r>
    </w:p>
    <w:p>
      <w:pPr>
        <w:spacing w:line="540" w:lineRule="exact"/>
        <w:contextualSpacing/>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四、营业执照、工商变更登记等投标人认为需要提供的证明材料</w:t>
      </w:r>
      <w:r>
        <w:rPr>
          <w:rFonts w:hint="eastAsia" w:ascii="仿宋_GB2312" w:eastAsia="仿宋_GB2312"/>
          <w:sz w:val="28"/>
          <w:szCs w:val="28"/>
        </w:rPr>
        <w:t>…（页码）</w:t>
      </w: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一、 符合参加政府采购活动应当具备的一般条件的承诺函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widowControl/>
        <w:spacing w:line="560" w:lineRule="exact"/>
        <w:ind w:firstLine="562" w:firstLineChars="200"/>
        <w:jc w:val="center"/>
        <w:rPr>
          <w:rFonts w:ascii="仿宋_GB2312" w:eastAsia="仿宋_GB2312"/>
          <w:b/>
          <w:sz w:val="28"/>
          <w:szCs w:val="28"/>
        </w:rPr>
      </w:pPr>
    </w:p>
    <w:p>
      <w:pPr>
        <w:widowControl/>
        <w:spacing w:line="560" w:lineRule="exact"/>
        <w:ind w:firstLine="562" w:firstLineChars="200"/>
        <w:jc w:val="center"/>
        <w:rPr>
          <w:rFonts w:ascii="仿宋_GB2312" w:eastAsia="仿宋_GB2312"/>
          <w:b/>
          <w:sz w:val="28"/>
          <w:szCs w:val="28"/>
        </w:rPr>
      </w:pPr>
    </w:p>
    <w:p>
      <w:pPr>
        <w:widowControl/>
        <w:spacing w:line="560" w:lineRule="exact"/>
        <w:ind w:firstLine="562" w:firstLineChars="200"/>
        <w:jc w:val="center"/>
        <w:rPr>
          <w:rFonts w:ascii="仿宋_GB2312" w:eastAsia="仿宋_GB2312"/>
          <w:b/>
          <w:sz w:val="28"/>
          <w:szCs w:val="28"/>
        </w:rPr>
      </w:pPr>
      <w:r>
        <w:rPr>
          <w:rFonts w:hint="eastAsia" w:ascii="仿宋_GB2312" w:eastAsia="仿宋_GB2312"/>
          <w:b/>
          <w:sz w:val="28"/>
          <w:szCs w:val="28"/>
        </w:rPr>
        <w:t>二、联合协议（如果有）</w:t>
      </w:r>
    </w:p>
    <w:p>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pPr>
        <w:snapToGrid w:val="0"/>
        <w:spacing w:line="560" w:lineRule="exact"/>
        <w:ind w:right="480"/>
        <w:jc w:val="center"/>
        <w:rPr>
          <w:rFonts w:ascii="仿宋_GB2312" w:hAnsi="宋体" w:eastAsia="仿宋_GB2312" w:cs="宋体"/>
          <w:b/>
          <w:kern w:val="0"/>
          <w:sz w:val="28"/>
          <w:szCs w:val="28"/>
        </w:rPr>
      </w:pPr>
    </w:p>
    <w:p>
      <w:pPr>
        <w:pStyle w:val="8"/>
        <w:rPr>
          <w:rFonts w:ascii="仿宋_GB2312" w:eastAsia="仿宋_GB2312"/>
        </w:rPr>
      </w:pPr>
    </w:p>
    <w:p>
      <w:pPr>
        <w:widowControl/>
        <w:spacing w:line="560" w:lineRule="exact"/>
        <w:ind w:left="150"/>
        <w:jc w:val="center"/>
        <w:rPr>
          <w:rFonts w:ascii="仿宋_GB2312" w:hAnsi="宋体" w:eastAsia="仿宋_GB2312" w:cs="宋体"/>
          <w:b/>
          <w:kern w:val="0"/>
          <w:sz w:val="28"/>
          <w:szCs w:val="28"/>
        </w:rPr>
      </w:pPr>
    </w:p>
    <w:p>
      <w:pPr>
        <w:pStyle w:val="8"/>
        <w:rPr>
          <w:rFonts w:ascii="仿宋_GB2312" w:eastAsia="仿宋_GB2312"/>
        </w:rPr>
      </w:pPr>
    </w:p>
    <w:p>
      <w:pPr>
        <w:rPr>
          <w:rFonts w:ascii="仿宋_GB2312" w:eastAsia="仿宋_GB2312"/>
        </w:rPr>
      </w:pPr>
    </w:p>
    <w:p>
      <w:pPr>
        <w:widowControl/>
        <w:spacing w:line="560" w:lineRule="exact"/>
        <w:ind w:firstLine="562" w:firstLineChars="200"/>
        <w:jc w:val="center"/>
        <w:rPr>
          <w:rFonts w:ascii="仿宋_GB2312" w:eastAsia="仿宋_GB2312"/>
          <w:b/>
          <w:sz w:val="28"/>
          <w:szCs w:val="28"/>
        </w:rPr>
      </w:pPr>
      <w:r>
        <w:rPr>
          <w:rFonts w:hint="eastAsia" w:ascii="仿宋_GB2312" w:hAnsi="宋体" w:eastAsia="仿宋_GB2312" w:cs="宋体"/>
          <w:b/>
          <w:kern w:val="0"/>
          <w:sz w:val="28"/>
          <w:szCs w:val="28"/>
          <w:lang w:val="en-US" w:eastAsia="zh-CN"/>
        </w:rPr>
        <w:t>三</w:t>
      </w:r>
      <w:r>
        <w:rPr>
          <w:rFonts w:hint="eastAsia" w:ascii="仿宋_GB2312" w:hAnsi="宋体" w:eastAsia="仿宋_GB2312" w:cs="宋体"/>
          <w:b/>
          <w:kern w:val="0"/>
          <w:sz w:val="28"/>
          <w:szCs w:val="28"/>
        </w:rPr>
        <w:t>、本项目的特定资格要求</w:t>
      </w:r>
      <w:r>
        <w:rPr>
          <w:rFonts w:hint="eastAsia" w:ascii="仿宋_GB2312" w:eastAsia="仿宋_GB2312"/>
          <w:b/>
          <w:sz w:val="28"/>
          <w:szCs w:val="28"/>
        </w:rPr>
        <w:t>（如果有）</w:t>
      </w:r>
    </w:p>
    <w:p>
      <w:pPr>
        <w:snapToGrid w:val="0"/>
        <w:spacing w:before="50" w:after="50" w:line="560" w:lineRule="exact"/>
        <w:ind w:firstLine="548" w:firstLineChars="196"/>
        <w:jc w:val="left"/>
        <w:rPr>
          <w:rFonts w:ascii="仿宋_GB2312" w:hAnsi="宋体" w:eastAsia="仿宋_GB2312" w:cs="宋体"/>
          <w:sz w:val="28"/>
          <w:szCs w:val="28"/>
        </w:rPr>
      </w:pPr>
      <w:r>
        <w:rPr>
          <w:rFonts w:hint="eastAsia" w:ascii="仿宋_GB2312" w:hAnsi="宋体" w:eastAsia="仿宋_GB2312" w:cs="宋体"/>
          <w:sz w:val="28"/>
          <w:szCs w:val="28"/>
        </w:rPr>
        <w:t xml:space="preserve">（根据招标公告本项目的特定资格要求提供相应的材料；未要求的，无需提供）。 </w:t>
      </w:r>
    </w:p>
    <w:p>
      <w:pPr>
        <w:pStyle w:val="8"/>
        <w:rPr>
          <w:rFonts w:ascii="仿宋_GB2312" w:eastAsia="仿宋_GB2312"/>
        </w:rPr>
      </w:pPr>
    </w:p>
    <w:p>
      <w:pPr>
        <w:widowControl/>
        <w:spacing w:line="560" w:lineRule="exact"/>
        <w:ind w:firstLine="562" w:firstLineChars="200"/>
        <w:jc w:val="center"/>
        <w:rPr>
          <w:rFonts w:hint="eastAsia" w:ascii="仿宋_GB2312" w:hAnsi="宋体" w:eastAsia="仿宋_GB2312" w:cs="宋体"/>
          <w:b/>
          <w:kern w:val="0"/>
          <w:sz w:val="28"/>
          <w:szCs w:val="28"/>
          <w:lang w:val="en-US" w:eastAsia="zh-CN"/>
        </w:rPr>
      </w:pPr>
    </w:p>
    <w:p>
      <w:pPr>
        <w:widowControl/>
        <w:spacing w:line="560" w:lineRule="exact"/>
        <w:ind w:firstLine="562" w:firstLineChars="200"/>
        <w:jc w:val="center"/>
        <w:rPr>
          <w:rFonts w:hint="eastAsia" w:ascii="仿宋_GB2312" w:hAnsi="宋体" w:eastAsia="仿宋_GB2312" w:cs="宋体"/>
          <w:b/>
          <w:kern w:val="0"/>
          <w:sz w:val="28"/>
          <w:szCs w:val="28"/>
          <w:lang w:val="en-US" w:eastAsia="zh-CN"/>
        </w:rPr>
      </w:pPr>
    </w:p>
    <w:p>
      <w:pPr>
        <w:widowControl/>
        <w:spacing w:line="560" w:lineRule="exact"/>
        <w:ind w:firstLine="562" w:firstLineChars="200"/>
        <w:jc w:val="center"/>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四、营业执照、工商变更登记等投标人认为需要提供的证明材料</w:t>
      </w: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rPr>
          <w:rFonts w:hint="eastAsia" w:ascii="仿宋_GB2312" w:eastAsia="仿宋_GB2312"/>
          <w:b/>
          <w:sz w:val="28"/>
          <w:szCs w:val="28"/>
        </w:rPr>
      </w:pPr>
      <w:r>
        <w:rPr>
          <w:rFonts w:hint="eastAsia" w:ascii="仿宋_GB2312" w:eastAsia="仿宋_GB2312"/>
          <w:b/>
          <w:sz w:val="28"/>
          <w:szCs w:val="28"/>
        </w:rPr>
        <w:br w:type="page"/>
      </w:r>
    </w:p>
    <w:p>
      <w:pPr>
        <w:spacing w:line="560" w:lineRule="exact"/>
        <w:contextualSpacing/>
        <w:jc w:val="center"/>
        <w:rPr>
          <w:rFonts w:ascii="仿宋_GB2312" w:eastAsia="仿宋_GB2312"/>
          <w:b/>
          <w:sz w:val="28"/>
          <w:szCs w:val="28"/>
        </w:rPr>
      </w:pPr>
      <w:r>
        <w:rPr>
          <w:rFonts w:hint="eastAsia" w:ascii="仿宋_GB2312" w:eastAsia="仿宋_GB2312"/>
          <w:b/>
          <w:sz w:val="28"/>
          <w:szCs w:val="28"/>
        </w:rPr>
        <w:t>商务技术文件部分</w:t>
      </w:r>
    </w:p>
    <w:p>
      <w:pPr>
        <w:spacing w:line="56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目录</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一、</w:t>
      </w:r>
      <w:r>
        <w:rPr>
          <w:rFonts w:hint="eastAsia" w:ascii="仿宋_GB2312" w:eastAsia="仿宋_GB2312"/>
          <w:sz w:val="24"/>
          <w:szCs w:val="24"/>
        </w:rPr>
        <w:t>投标函…………………………………………………………………………（页码）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二、</w:t>
      </w:r>
      <w:r>
        <w:rPr>
          <w:rFonts w:hint="eastAsia" w:ascii="仿宋_GB2312" w:eastAsia="仿宋_GB2312"/>
          <w:sz w:val="24"/>
          <w:szCs w:val="24"/>
        </w:rPr>
        <w:t>授权委托书或法定代表人（单位负责人、自然人本人）身份证明………（页码）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三、</w:t>
      </w:r>
      <w:r>
        <w:rPr>
          <w:rFonts w:hint="eastAsia" w:ascii="仿宋_GB2312" w:eastAsia="仿宋_GB2312"/>
          <w:sz w:val="24"/>
          <w:szCs w:val="24"/>
        </w:rPr>
        <w:t>联合协议（如果有）…………………………………………………………（页码）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四、</w:t>
      </w:r>
      <w:r>
        <w:rPr>
          <w:rFonts w:hint="eastAsia" w:ascii="仿宋_GB2312" w:eastAsia="仿宋_GB2312"/>
          <w:sz w:val="24"/>
          <w:szCs w:val="24"/>
        </w:rPr>
        <w:t>分包意向协议（如果有）……………………………………………………（页码）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五、</w:t>
      </w:r>
      <w:r>
        <w:rPr>
          <w:rFonts w:hint="eastAsia" w:ascii="仿宋_GB2312" w:eastAsia="仿宋_GB2312"/>
          <w:sz w:val="24"/>
          <w:szCs w:val="24"/>
        </w:rPr>
        <w:t>符合性审查资料………………………………………………………………（页码）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六、</w:t>
      </w:r>
      <w:r>
        <w:rPr>
          <w:rFonts w:hint="eastAsia" w:ascii="仿宋_GB2312" w:eastAsia="仿宋_GB2312"/>
          <w:sz w:val="24"/>
          <w:szCs w:val="24"/>
        </w:rPr>
        <w:t>拟投入的项目班子格式………………………………………………………（页码）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七、</w:t>
      </w:r>
      <w:r>
        <w:rPr>
          <w:rFonts w:hint="eastAsia" w:ascii="仿宋_GB2312" w:eastAsia="仿宋_GB2312"/>
          <w:sz w:val="24"/>
          <w:szCs w:val="24"/>
        </w:rPr>
        <w:t>评标标准相应的商务技术资料………………………………………………（页码）</w:t>
      </w:r>
    </w:p>
    <w:p>
      <w:pPr>
        <w:pStyle w:val="63"/>
        <w:numPr>
          <w:ilvl w:val="0"/>
          <w:numId w:val="0"/>
        </w:numPr>
        <w:spacing w:line="540" w:lineRule="exact"/>
        <w:ind w:left="420" w:leftChars="0" w:hanging="420" w:firstLineChars="0"/>
        <w:contextualSpacing/>
        <w:rPr>
          <w:rFonts w:ascii="仿宋_GB2312" w:eastAsia="仿宋_GB2312"/>
          <w:sz w:val="24"/>
          <w:szCs w:val="24"/>
        </w:rPr>
      </w:pPr>
      <w:r>
        <w:rPr>
          <w:rFonts w:ascii="仿宋_GB2312" w:hAnsi="仿宋" w:eastAsia="仿宋_GB2312" w:cs="仿宋"/>
          <w:kern w:val="2"/>
          <w:sz w:val="24"/>
          <w:szCs w:val="24"/>
          <w:lang w:val="zh-CN" w:eastAsia="zh-CN" w:bidi="zh-CN"/>
        </w:rPr>
        <w:t>八、</w:t>
      </w:r>
      <w:r>
        <w:rPr>
          <w:rFonts w:hint="eastAsia" w:ascii="仿宋_GB2312" w:eastAsia="仿宋_GB2312"/>
          <w:sz w:val="24"/>
          <w:szCs w:val="24"/>
        </w:rPr>
        <w:t>投标标的清单（</w:t>
      </w:r>
      <w:r>
        <w:rPr>
          <w:rFonts w:hint="eastAsia" w:ascii="仿宋_GB2312" w:eastAsia="仿宋_GB2312"/>
          <w:sz w:val="24"/>
          <w:szCs w:val="24"/>
          <w:lang w:val="en-US" w:eastAsia="zh-CN"/>
        </w:rPr>
        <w:t>不含价格，</w:t>
      </w:r>
      <w:r>
        <w:rPr>
          <w:rFonts w:hint="eastAsia" w:ascii="仿宋_GB2312" w:eastAsia="仿宋_GB2312"/>
          <w:sz w:val="24"/>
          <w:szCs w:val="24"/>
        </w:rPr>
        <w:t>如果有）………………………………………（页码）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九、</w:t>
      </w:r>
      <w:r>
        <w:rPr>
          <w:rFonts w:hint="eastAsia" w:ascii="仿宋_GB2312" w:eastAsia="仿宋_GB2312"/>
          <w:sz w:val="24"/>
          <w:szCs w:val="24"/>
        </w:rPr>
        <w:t>商务技术偏离表………………………………………………………………（页码）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十、</w:t>
      </w:r>
      <w:r>
        <w:rPr>
          <w:rFonts w:hint="eastAsia" w:ascii="仿宋_GB2312" w:eastAsia="仿宋_GB2312"/>
          <w:sz w:val="24"/>
          <w:szCs w:val="24"/>
        </w:rPr>
        <w:t>政府采购供应商廉洁自律承诺书……………………………………………（页码）</w:t>
      </w:r>
    </w:p>
    <w:p>
      <w:pPr>
        <w:pStyle w:val="47"/>
        <w:numPr>
          <w:ilvl w:val="0"/>
          <w:numId w:val="0"/>
        </w:numPr>
        <w:spacing w:line="540" w:lineRule="exact"/>
        <w:ind w:left="420" w:leftChars="0" w:hanging="420" w:firstLineChars="0"/>
        <w:contextualSpacing/>
        <w:rPr>
          <w:rFonts w:ascii="仿宋_GB2312" w:eastAsia="仿宋_GB2312" w:hAnsiTheme="minorHAnsi" w:cstheme="minorBidi"/>
          <w:kern w:val="2"/>
          <w:sz w:val="24"/>
          <w:szCs w:val="24"/>
          <w:lang w:val="en-US" w:eastAsia="zh-CN" w:bidi="ar-SA"/>
        </w:rPr>
      </w:pPr>
      <w:r>
        <w:rPr>
          <w:rFonts w:ascii="仿宋_GB2312" w:eastAsia="仿宋_GB2312" w:hAnsiTheme="minorHAnsi" w:cstheme="minorBidi"/>
          <w:kern w:val="2"/>
          <w:sz w:val="24"/>
          <w:szCs w:val="24"/>
          <w:lang w:val="en-US" w:eastAsia="zh-CN" w:bidi="ar-SA"/>
        </w:rPr>
        <w:t>十</w:t>
      </w:r>
      <w:r>
        <w:rPr>
          <w:rFonts w:hint="eastAsia" w:ascii="仿宋_GB2312" w:eastAsia="仿宋_GB2312" w:cstheme="minorBidi"/>
          <w:kern w:val="2"/>
          <w:sz w:val="24"/>
          <w:szCs w:val="24"/>
          <w:lang w:val="en-US" w:eastAsia="zh-CN" w:bidi="ar-SA"/>
        </w:rPr>
        <w:t>一</w:t>
      </w:r>
      <w:r>
        <w:rPr>
          <w:rFonts w:ascii="仿宋_GB2312" w:eastAsia="仿宋_GB2312" w:hAnsiTheme="minorHAnsi" w:cstheme="minorBidi"/>
          <w:kern w:val="2"/>
          <w:sz w:val="24"/>
          <w:szCs w:val="24"/>
          <w:lang w:val="en-US" w:eastAsia="zh-CN" w:bidi="ar-SA"/>
        </w:rPr>
        <w:t>、</w:t>
      </w:r>
      <w:r>
        <w:rPr>
          <w:rFonts w:hint="eastAsia" w:ascii="仿宋_GB2312" w:eastAsia="仿宋_GB2312" w:cstheme="minorBidi"/>
          <w:kern w:val="2"/>
          <w:sz w:val="24"/>
          <w:szCs w:val="24"/>
          <w:lang w:val="en-US" w:eastAsia="zh-CN" w:bidi="ar-SA"/>
        </w:rPr>
        <w:t>其他招标文件要求或投标人认为需要提供的证明材料</w:t>
      </w:r>
      <w:r>
        <w:rPr>
          <w:rFonts w:hint="eastAsia" w:ascii="仿宋_GB2312" w:eastAsia="仿宋_GB2312" w:hAnsiTheme="minorHAnsi" w:cstheme="minorBidi"/>
          <w:kern w:val="2"/>
          <w:sz w:val="24"/>
          <w:szCs w:val="24"/>
          <w:lang w:val="en-US" w:eastAsia="zh-CN" w:bidi="ar-SA"/>
        </w:rPr>
        <w:t>…………………（页码）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8"/>
        <w:rPr>
          <w:rFonts w:ascii="仿宋_GB2312" w:eastAsia="仿宋_GB2312"/>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8"/>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8"/>
        <w:rPr>
          <w:rFonts w:ascii="仿宋_GB2312" w:eastAsia="仿宋_GB2312"/>
        </w:rPr>
      </w:pPr>
    </w:p>
    <w:p>
      <w:pPr>
        <w:pStyle w:val="8"/>
        <w:rPr>
          <w:rFonts w:ascii="仿宋_GB2312" w:eastAsia="仿宋_GB2312"/>
        </w:rPr>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一、投标函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bookmarkStart w:id="408" w:name="_GoBack"/>
      <w:r>
        <w:rPr>
          <w:rFonts w:hint="eastAsia" w:ascii="仿宋_GB2312" w:eastAsia="仿宋_GB2312"/>
          <w:sz w:val="24"/>
          <w:szCs w:val="24"/>
          <w:u w:val="single"/>
          <w:lang w:val="en-US" w:eastAsia="zh-CN"/>
        </w:rPr>
        <w:t>90</w:t>
      </w:r>
      <w:bookmarkEnd w:id="408"/>
      <w:r>
        <w:rPr>
          <w:rFonts w:hint="eastAsia" w:ascii="仿宋_GB2312" w:eastAsia="仿宋_GB2312"/>
          <w:sz w:val="24"/>
          <w:szCs w:val="24"/>
        </w:rPr>
        <w:t>天，本投标文件在投标有效期满之前均具有约束力。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default" w:ascii="仿宋_GB2312" w:eastAsia="仿宋_GB2312"/>
          <w:sz w:val="24"/>
          <w:szCs w:val="24"/>
          <w:lang w:val="en-US" w:eastAsia="zh-CN"/>
        </w:rPr>
        <w:t>1.1符合参加政府采购活动应当具备的一般条件的承诺函；</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default" w:ascii="仿宋_GB2312" w:eastAsia="仿宋_GB2312"/>
          <w:sz w:val="24"/>
          <w:szCs w:val="24"/>
          <w:lang w:val="en-US" w:eastAsia="zh-CN"/>
        </w:rPr>
        <w:t>1.2本项目的特定资格要求（如果有）；</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default" w:ascii="仿宋_GB2312" w:eastAsia="仿宋_GB2312"/>
          <w:sz w:val="24"/>
          <w:szCs w:val="24"/>
          <w:lang w:val="en-US" w:eastAsia="zh-CN"/>
        </w:rPr>
        <w:t>1.3联合协议（如果有）</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default" w:ascii="仿宋_GB2312" w:eastAsia="仿宋_GB2312"/>
          <w:sz w:val="24"/>
          <w:szCs w:val="24"/>
          <w:lang w:val="en-US" w:eastAsia="zh-CN"/>
        </w:rPr>
        <w:t>1.4营业执照、工商变更登记等投标人认为需要提供的证明材料。</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 xml:space="preserve">2.1投标函； </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2.2授权委托书或法定代表人（单位负责人、自然人本人）身份证明；</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2.3联合协议（如果有）；</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2.4分包意向协议（如果有）；</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2.5符合性审查资料；</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2.6拟投入的项目班子格式；</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2.7评标标准相应的商务技术资料；</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2.8投标标的清单（不含价格，如果有）；</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2.9商务技术偏离表；</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2.10政府采购供应商廉洁自律承诺书；</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2.11其他招标文件要求或投标人认为需要提供的证明材料</w:t>
      </w:r>
      <w:r>
        <w:rPr>
          <w:rFonts w:hint="eastAsia" w:ascii="仿宋_GB2312" w:eastAsia="仿宋_GB2312"/>
          <w:sz w:val="24"/>
          <w:szCs w:val="24"/>
          <w:lang w:val="en-US" w:eastAsia="zh-CN"/>
        </w:rPr>
        <w:t>（如有）</w:t>
      </w:r>
      <w:r>
        <w:rPr>
          <w:rFonts w:hint="eastAsia" w:ascii="仿宋_GB2312" w:eastAsia="仿宋_GB2312"/>
          <w:sz w:val="24"/>
          <w:szCs w:val="24"/>
        </w:rPr>
        <w:t>。</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2.3.2分项报价组成表；</w:t>
      </w:r>
    </w:p>
    <w:p>
      <w:pPr>
        <w:spacing w:line="54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2.3.</w:t>
      </w:r>
      <w:r>
        <w:rPr>
          <w:rFonts w:hint="eastAsia" w:ascii="仿宋_GB2312" w:eastAsia="仿宋_GB2312"/>
          <w:sz w:val="24"/>
          <w:szCs w:val="24"/>
          <w:lang w:val="en-US" w:eastAsia="zh-CN"/>
        </w:rPr>
        <w:t>3</w:t>
      </w:r>
      <w:r>
        <w:rPr>
          <w:rFonts w:hint="eastAsia" w:ascii="仿宋_GB2312" w:eastAsia="仿宋_GB2312"/>
          <w:sz w:val="24"/>
          <w:szCs w:val="24"/>
        </w:rPr>
        <w:t>中小企业声明函（如果有）</w:t>
      </w:r>
      <w:r>
        <w:rPr>
          <w:rFonts w:hint="eastAsia" w:ascii="仿宋_GB2312" w:eastAsia="仿宋_GB2312"/>
          <w:sz w:val="24"/>
          <w:szCs w:val="24"/>
          <w:lang w:eastAsia="zh-CN"/>
        </w:rPr>
        <w:t>。</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2.3.4其他招标文件要求或投标人认为需要提供的证明材料（如有）</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3.我方承诺除商务技术偏离表列出的偏离外，我方响应招标文件的全部要求。</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4.3按照招标文件要求提交履约保证金</w:t>
      </w:r>
      <w:r>
        <w:rPr>
          <w:rFonts w:hint="eastAsia" w:ascii="仿宋_GB2312" w:eastAsia="仿宋_GB2312"/>
          <w:sz w:val="24"/>
          <w:szCs w:val="24"/>
          <w:lang w:eastAsia="zh-CN"/>
        </w:rPr>
        <w:t>（</w:t>
      </w:r>
      <w:r>
        <w:rPr>
          <w:rFonts w:hint="eastAsia" w:ascii="仿宋_GB2312" w:eastAsia="仿宋_GB2312"/>
          <w:sz w:val="24"/>
          <w:szCs w:val="24"/>
          <w:lang w:val="en-US" w:eastAsia="zh-CN"/>
        </w:rPr>
        <w:t>如有</w:t>
      </w:r>
      <w:r>
        <w:rPr>
          <w:rFonts w:hint="eastAsia" w:ascii="仿宋_GB2312" w:eastAsia="仿宋_GB2312"/>
          <w:sz w:val="24"/>
          <w:szCs w:val="24"/>
          <w:lang w:eastAsia="zh-CN"/>
        </w:rPr>
        <w:t>）</w:t>
      </w:r>
      <w:r>
        <w:rPr>
          <w:rFonts w:hint="eastAsia" w:ascii="仿宋_GB2312" w:eastAsia="仿宋_GB2312"/>
          <w:sz w:val="24"/>
          <w:szCs w:val="24"/>
        </w:rPr>
        <w:t xml:space="preserve">；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jc w:val="center"/>
        <w:rPr>
          <w:rFonts w:ascii="仿宋_GB2312" w:eastAsia="仿宋_GB2312"/>
          <w:b/>
          <w:sz w:val="28"/>
          <w:szCs w:val="28"/>
        </w:rPr>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pPr>
        <w:spacing w:line="540" w:lineRule="exact"/>
        <w:contextualSpacing/>
        <w:rPr>
          <w:rFonts w:ascii="仿宋_GB2312" w:eastAsia="仿宋_GB2312"/>
          <w:sz w:val="24"/>
          <w:szCs w:val="24"/>
        </w:rPr>
      </w:pP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552"/>
        <w:contextualSpacing/>
        <w:rPr>
          <w:rFonts w:ascii="仿宋_GB2312" w:eastAsia="仿宋_GB2312"/>
          <w:sz w:val="24"/>
          <w:szCs w:val="24"/>
        </w:rPr>
      </w:pPr>
    </w:p>
    <w:p>
      <w:pPr>
        <w:spacing w:line="540" w:lineRule="exact"/>
        <w:ind w:firstLine="552"/>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552"/>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spacing w:line="540" w:lineRule="exact"/>
        <w:contextualSpacing/>
        <w:jc w:val="center"/>
        <w:rPr>
          <w:rFonts w:ascii="仿宋_GB2312" w:eastAsia="仿宋_GB2312"/>
          <w:b/>
          <w:sz w:val="24"/>
          <w:szCs w:val="24"/>
        </w:rPr>
      </w:pPr>
    </w:p>
    <w:p>
      <w:pPr>
        <w:rPr>
          <w:rFonts w:hint="eastAsia" w:ascii="仿宋_GB2312" w:eastAsia="仿宋_GB2312"/>
          <w:b/>
          <w:sz w:val="24"/>
          <w:szCs w:val="24"/>
        </w:rPr>
      </w:pPr>
      <w:r>
        <w:rPr>
          <w:rFonts w:hint="eastAsia" w:ascii="仿宋_GB2312" w:eastAsia="仿宋_GB2312"/>
          <w:b/>
          <w:sz w:val="24"/>
          <w:szCs w:val="24"/>
        </w:rPr>
        <w:br w:type="page"/>
      </w: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9207" w:type="dxa"/>
          </w:tcPr>
          <w:p>
            <w:pPr>
              <w:spacing w:line="540" w:lineRule="exact"/>
              <w:contextualSpacing/>
              <w:rPr>
                <w:rFonts w:ascii="仿宋_GB2312" w:eastAsia="仿宋_GB2312"/>
                <w:sz w:val="24"/>
                <w:szCs w:val="24"/>
              </w:rPr>
            </w:pPr>
            <w:r>
              <w:rPr>
                <w:rFonts w:hint="eastAsia" w:ascii="仿宋_GB2312" w:eastAsia="仿宋_GB2312"/>
                <w:sz w:val="24"/>
                <w:szCs w:val="24"/>
              </w:rPr>
              <w:t>正面：                                 反面：</w:t>
            </w:r>
          </w:p>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pStyle w:val="8"/>
        <w:rPr>
          <w:rFonts w:ascii="仿宋_GB2312" w:eastAsia="仿宋_GB2312"/>
        </w:rPr>
      </w:pPr>
    </w:p>
    <w:p>
      <w:pPr>
        <w:widowControl/>
        <w:spacing w:line="560" w:lineRule="exact"/>
        <w:jc w:val="center"/>
        <w:rPr>
          <w:rFonts w:ascii="仿宋_GB2312" w:eastAsia="仿宋_GB2312"/>
          <w:b/>
          <w:sz w:val="28"/>
          <w:szCs w:val="28"/>
        </w:rPr>
      </w:pPr>
      <w:r>
        <w:rPr>
          <w:rFonts w:hint="eastAsia" w:ascii="仿宋_GB2312" w:eastAsia="仿宋_GB2312"/>
          <w:b/>
          <w:sz w:val="28"/>
          <w:szCs w:val="28"/>
        </w:rPr>
        <w:t>三、联合协议（如果有）</w:t>
      </w:r>
    </w:p>
    <w:p>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pPr>
        <w:pStyle w:val="17"/>
      </w:pPr>
    </w:p>
    <w:p>
      <w:pPr>
        <w:spacing w:line="540" w:lineRule="exact"/>
        <w:contextualSpacing/>
        <w:jc w:val="both"/>
        <w:rPr>
          <w:rFonts w:ascii="仿宋_GB2312" w:eastAsia="仿宋_GB2312"/>
          <w:b/>
          <w:sz w:val="24"/>
          <w:szCs w:val="24"/>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pPr>
              <w:spacing w:line="400" w:lineRule="exact"/>
              <w:contextualSpacing/>
              <w:rPr>
                <w:rFonts w:ascii="仿宋_GB2312" w:eastAsia="仿宋_GB2312"/>
                <w:sz w:val="24"/>
                <w:szCs w:val="24"/>
              </w:rPr>
            </w:pPr>
            <w:r>
              <w:rPr>
                <w:rFonts w:hint="eastAsia" w:ascii="仿宋" w:hAnsi="仿宋" w:eastAsia="仿宋" w:cs="仿宋"/>
                <w:color w:val="auto"/>
                <w:kern w:val="0"/>
                <w:sz w:val="24"/>
                <w:szCs w:val="24"/>
                <w:highlight w:val="none"/>
                <w:lang w:bidi="ar"/>
              </w:rPr>
              <w:t>投标有效期满足</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要求的</w:t>
            </w:r>
          </w:p>
        </w:tc>
        <w:tc>
          <w:tcPr>
            <w:tcW w:w="2551" w:type="dxa"/>
            <w:vAlign w:val="center"/>
          </w:tcPr>
          <w:p>
            <w:pPr>
              <w:spacing w:line="400" w:lineRule="exact"/>
              <w:contextualSpacing/>
              <w:rPr>
                <w:rFonts w:hint="eastAsia" w:ascii="仿宋_GB2312" w:eastAsia="仿宋_GB2312"/>
                <w:sz w:val="24"/>
                <w:szCs w:val="24"/>
                <w:lang w:eastAsia="zh-CN"/>
              </w:rPr>
            </w:pPr>
            <w:r>
              <w:rPr>
                <w:rFonts w:hint="eastAsia" w:ascii="仿宋_GB2312" w:eastAsia="仿宋_GB2312"/>
                <w:sz w:val="24"/>
                <w:szCs w:val="24"/>
                <w:lang w:val="en-US" w:eastAsia="zh-CN"/>
              </w:rPr>
              <w:t>投标函</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pPr>
              <w:spacing w:line="400" w:lineRule="exact"/>
              <w:contextualSpacing/>
              <w:rPr>
                <w:rFonts w:ascii="仿宋_GB2312" w:eastAsia="仿宋_GB2312"/>
                <w:sz w:val="24"/>
                <w:szCs w:val="24"/>
              </w:rPr>
            </w:pP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color w:val="auto"/>
                <w:kern w:val="0"/>
                <w:sz w:val="24"/>
                <w:szCs w:val="24"/>
                <w:highlight w:val="none"/>
                <w:lang w:bidi="ar"/>
              </w:rPr>
              <w:t>提供</w:t>
            </w:r>
            <w:r>
              <w:rPr>
                <w:rFonts w:hint="eastAsia" w:ascii="仿宋" w:hAnsi="仿宋" w:eastAsia="仿宋" w:cs="仿宋"/>
                <w:color w:val="auto"/>
                <w:kern w:val="0"/>
                <w:sz w:val="24"/>
                <w:szCs w:val="24"/>
                <w:highlight w:val="none"/>
                <w:lang w:val="en-US" w:eastAsia="zh-CN" w:bidi="ar"/>
              </w:rPr>
              <w:t>有效的</w:t>
            </w:r>
            <w:r>
              <w:rPr>
                <w:rFonts w:hint="eastAsia" w:ascii="仿宋" w:hAnsi="仿宋" w:eastAsia="仿宋" w:cs="仿宋"/>
                <w:color w:val="auto"/>
                <w:kern w:val="0"/>
                <w:sz w:val="24"/>
                <w:szCs w:val="24"/>
                <w:highlight w:val="none"/>
                <w:lang w:bidi="ar"/>
              </w:rPr>
              <w:t>法定代表人资格证明/法定代表人授权委托书</w:t>
            </w:r>
          </w:p>
        </w:tc>
        <w:tc>
          <w:tcPr>
            <w:tcW w:w="2551" w:type="dxa"/>
            <w:vAlign w:val="center"/>
          </w:tcPr>
          <w:p>
            <w:pPr>
              <w:spacing w:line="400" w:lineRule="exact"/>
              <w:contextualSpacing/>
              <w:rPr>
                <w:rFonts w:ascii="仿宋_GB2312" w:eastAsia="仿宋_GB2312"/>
                <w:sz w:val="24"/>
                <w:szCs w:val="24"/>
              </w:rPr>
            </w:pPr>
            <w:r>
              <w:rPr>
                <w:rFonts w:hint="eastAsia" w:ascii="仿宋" w:hAnsi="仿宋" w:eastAsia="仿宋" w:cs="仿宋"/>
                <w:color w:val="auto"/>
                <w:kern w:val="0"/>
                <w:sz w:val="24"/>
                <w:szCs w:val="24"/>
                <w:highlight w:val="none"/>
                <w:lang w:bidi="ar"/>
              </w:rPr>
              <w:t>法定代表人资格证明/法定代表人授权委托书</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pPr>
              <w:spacing w:line="400" w:lineRule="exact"/>
              <w:contextualSpacing/>
              <w:rPr>
                <w:rFonts w:ascii="仿宋_GB2312" w:eastAsia="仿宋_GB2312"/>
                <w:sz w:val="24"/>
                <w:szCs w:val="24"/>
              </w:rPr>
            </w:pPr>
            <w:r>
              <w:rPr>
                <w:rFonts w:hint="eastAsia" w:ascii="仿宋" w:hAnsi="仿宋" w:eastAsia="仿宋" w:cs="仿宋"/>
                <w:color w:val="auto"/>
                <w:kern w:val="0"/>
                <w:sz w:val="24"/>
                <w:szCs w:val="24"/>
                <w:highlight w:val="none"/>
                <w:lang w:eastAsia="zh-CN" w:bidi="ar"/>
              </w:rPr>
              <w:t>投标文件</w:t>
            </w: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color w:val="auto"/>
                <w:kern w:val="0"/>
                <w:sz w:val="24"/>
                <w:szCs w:val="24"/>
                <w:highlight w:val="none"/>
                <w:lang w:bidi="ar"/>
              </w:rPr>
              <w:t>完全满足</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的实质性条款（即标注▲号条款）无负偏离的</w:t>
            </w:r>
          </w:p>
        </w:tc>
        <w:tc>
          <w:tcPr>
            <w:tcW w:w="2551" w:type="dxa"/>
            <w:vAlign w:val="center"/>
          </w:tcPr>
          <w:p>
            <w:pPr>
              <w:spacing w:line="400" w:lineRule="exact"/>
              <w:contextualSpacing/>
              <w:rPr>
                <w:rFonts w:hint="default" w:ascii="仿宋_GB2312" w:eastAsia="仿宋_GB2312"/>
                <w:sz w:val="24"/>
                <w:szCs w:val="24"/>
                <w:lang w:val="en-US" w:eastAsia="zh-CN"/>
              </w:rPr>
            </w:pPr>
            <w:r>
              <w:rPr>
                <w:rFonts w:hint="eastAsia" w:ascii="仿宋_GB2312" w:eastAsia="仿宋_GB2312"/>
                <w:sz w:val="24"/>
                <w:szCs w:val="24"/>
              </w:rPr>
              <w:t>投标函</w:t>
            </w:r>
            <w:r>
              <w:rPr>
                <w:rFonts w:hint="eastAsia" w:ascii="仿宋_GB2312" w:eastAsia="仿宋_GB2312"/>
                <w:sz w:val="24"/>
                <w:szCs w:val="24"/>
                <w:lang w:eastAsia="zh-CN"/>
              </w:rPr>
              <w:t>、</w:t>
            </w:r>
            <w:r>
              <w:rPr>
                <w:rFonts w:hint="eastAsia" w:ascii="仿宋_GB2312" w:eastAsia="仿宋_GB2312"/>
                <w:sz w:val="24"/>
                <w:szCs w:val="24"/>
                <w:lang w:val="en-US" w:eastAsia="zh-CN"/>
              </w:rPr>
              <w:t>商务技术偏离表</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4</w:t>
            </w:r>
          </w:p>
        </w:tc>
        <w:tc>
          <w:tcPr>
            <w:tcW w:w="4991" w:type="dxa"/>
            <w:vAlign w:val="center"/>
          </w:tcPr>
          <w:p>
            <w:pPr>
              <w:spacing w:line="400" w:lineRule="exact"/>
              <w:contextualSpacing/>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rPr>
              <w:t>技术方案不明确，存在一个或一个以上备选（替代）方案的</w:t>
            </w:r>
            <w:r>
              <w:rPr>
                <w:rFonts w:hint="eastAsia" w:ascii="仿宋" w:hAnsi="仿宋" w:eastAsia="仿宋" w:cs="仿宋"/>
                <w:bCs/>
                <w:color w:val="auto"/>
                <w:sz w:val="24"/>
                <w:szCs w:val="24"/>
                <w:highlight w:val="none"/>
                <w:lang w:eastAsia="zh-CN"/>
              </w:rPr>
              <w:t>且未声明哪个有效的</w:t>
            </w:r>
            <w:r>
              <w:rPr>
                <w:rFonts w:hint="eastAsia" w:ascii="仿宋" w:hAnsi="仿宋" w:eastAsia="仿宋" w:cs="仿宋"/>
                <w:bCs/>
                <w:color w:val="auto"/>
                <w:sz w:val="24"/>
                <w:szCs w:val="24"/>
                <w:highlight w:val="none"/>
              </w:rPr>
              <w:t>；</w:t>
            </w:r>
          </w:p>
        </w:tc>
        <w:tc>
          <w:tcPr>
            <w:tcW w:w="2551" w:type="dxa"/>
            <w:vAlign w:val="center"/>
          </w:tcPr>
          <w:p>
            <w:pPr>
              <w:spacing w:line="400" w:lineRule="exact"/>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技术方案</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hint="eastAsia" w:ascii="仿宋_GB2312" w:eastAsia="仿宋_GB2312"/>
                <w:sz w:val="24"/>
                <w:szCs w:val="24"/>
                <w:lang w:val="en-US" w:eastAsia="zh-CN"/>
              </w:rPr>
            </w:pPr>
            <w:r>
              <w:rPr>
                <w:rFonts w:hint="eastAsia" w:ascii="仿宋_GB2312" w:eastAsia="仿宋_GB2312"/>
                <w:sz w:val="24"/>
                <w:szCs w:val="24"/>
              </w:rPr>
              <w:t>第  页</w:t>
            </w:r>
          </w:p>
        </w:tc>
      </w:tr>
    </w:tbl>
    <w:p>
      <w:pPr>
        <w:spacing w:line="540" w:lineRule="exact"/>
        <w:contextualSpacing/>
        <w:rPr>
          <w:rFonts w:ascii="仿宋_GB2312" w:eastAsia="仿宋_GB2312"/>
          <w:sz w:val="24"/>
          <w:szCs w:val="24"/>
        </w:rPr>
      </w:pPr>
    </w:p>
    <w:p>
      <w:pPr>
        <w:spacing w:line="540" w:lineRule="exact"/>
        <w:contextualSpacing/>
        <w:jc w:val="center"/>
        <w:rPr>
          <w:rFonts w:ascii="仿宋_GB2312" w:eastAsia="仿宋_GB2312"/>
          <w:b/>
          <w:sz w:val="28"/>
          <w:szCs w:val="28"/>
        </w:rPr>
      </w:pPr>
    </w:p>
    <w:p>
      <w:pPr>
        <w:pStyle w:val="8"/>
      </w:pPr>
    </w:p>
    <w:p>
      <w:pPr>
        <w:pStyle w:val="17"/>
      </w:pPr>
    </w:p>
    <w:p/>
    <w:p>
      <w:pPr>
        <w:pStyle w:val="8"/>
      </w:pPr>
    </w:p>
    <w:p>
      <w:pPr>
        <w:pStyle w:val="17"/>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六、拟投入的项目班子格式</w:t>
      </w:r>
    </w:p>
    <w:p>
      <w:pPr>
        <w:spacing w:line="540" w:lineRule="exact"/>
        <w:contextualSpacing/>
        <w:jc w:val="center"/>
        <w:rPr>
          <w:rFonts w:ascii="仿宋_GB2312" w:eastAsia="仿宋_GB2312"/>
          <w:sz w:val="24"/>
          <w:szCs w:val="24"/>
        </w:rPr>
      </w:pPr>
      <w:r>
        <w:rPr>
          <w:rFonts w:hint="eastAsia" w:ascii="仿宋_GB2312" w:eastAsia="仿宋_GB2312"/>
          <w:sz w:val="24"/>
          <w:szCs w:val="24"/>
        </w:rPr>
        <w:t>（格式仅供参考</w:t>
      </w:r>
      <w:r>
        <w:rPr>
          <w:rFonts w:hint="eastAsia" w:ascii="仿宋_GB2312" w:eastAsia="仿宋_GB2312"/>
          <w:sz w:val="24"/>
          <w:szCs w:val="24"/>
          <w:lang w:eastAsia="zh-CN"/>
        </w:rPr>
        <w:t>，</w:t>
      </w:r>
      <w:r>
        <w:rPr>
          <w:rFonts w:hint="eastAsia" w:ascii="仿宋_GB2312" w:eastAsia="仿宋_GB2312"/>
          <w:sz w:val="24"/>
          <w:szCs w:val="24"/>
          <w:lang w:val="en-US" w:eastAsia="zh-CN"/>
        </w:rPr>
        <w:t>如有必要投标人可自行拟定本表</w:t>
      </w:r>
      <w:r>
        <w:rPr>
          <w:rFonts w:hint="eastAsia" w:ascii="仿宋_GB2312" w:eastAsia="仿宋_GB2312"/>
          <w:sz w:val="24"/>
          <w:szCs w:val="24"/>
        </w:rPr>
        <w:t>）</w:t>
      </w:r>
    </w:p>
    <w:p>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2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附：执业资格证书、职称证书、学历证书等复印件证明材料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2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附：相关人员的专业技术资格证书复印件证明材料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pPr>
        <w:spacing w:line="540" w:lineRule="exact"/>
        <w:contextualSpacing/>
        <w:rPr>
          <w:rFonts w:ascii="仿宋_GB2312" w:eastAsia="仿宋_GB2312"/>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pPr>
        <w:spacing w:line="540" w:lineRule="exact"/>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pPr>
        <w:rPr>
          <w:rFonts w:ascii="仿宋_GB2312" w:hAnsi="宋体" w:eastAsia="仿宋_GB2312" w:cs="宋体"/>
          <w:b/>
          <w:kern w:val="0"/>
          <w:sz w:val="32"/>
          <w:szCs w:val="32"/>
        </w:rPr>
      </w:pPr>
    </w:p>
    <w:p>
      <w:pPr>
        <w:pStyle w:val="8"/>
        <w:rPr>
          <w:rFonts w:ascii="仿宋_GB2312" w:eastAsia="仿宋_GB2312"/>
        </w:rPr>
      </w:pPr>
    </w:p>
    <w:p>
      <w:pPr>
        <w:pStyle w:val="8"/>
        <w:rPr>
          <w:rFonts w:ascii="仿宋_GB2312" w:eastAsia="仿宋_GB2312"/>
        </w:rPr>
      </w:pPr>
    </w:p>
    <w:p>
      <w:pPr>
        <w:rPr>
          <w:rFonts w:ascii="仿宋_GB2312" w:eastAsia="仿宋_GB2312"/>
        </w:rPr>
      </w:pPr>
    </w:p>
    <w:p>
      <w:pPr>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八、商务技术偏离表</w:t>
      </w:r>
    </w:p>
    <w:tbl>
      <w:tblPr>
        <w:tblStyle w:val="24"/>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3683" w:type="dxa"/>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招标文件章节及具体内容</w:t>
            </w:r>
          </w:p>
        </w:tc>
        <w:tc>
          <w:tcPr>
            <w:tcW w:w="3546" w:type="dxa"/>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投标文件章节及具体内容</w:t>
            </w:r>
          </w:p>
        </w:tc>
        <w:tc>
          <w:tcPr>
            <w:tcW w:w="1512" w:type="dxa"/>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3683" w:type="dxa"/>
          </w:tcPr>
          <w:p>
            <w:pPr>
              <w:jc w:val="center"/>
              <w:rPr>
                <w:rFonts w:ascii="仿宋_GB2312" w:hAnsi="宋体" w:eastAsia="仿宋_GB2312" w:cs="宋体"/>
                <w:b/>
                <w:sz w:val="28"/>
                <w:szCs w:val="28"/>
              </w:rPr>
            </w:pPr>
          </w:p>
        </w:tc>
        <w:tc>
          <w:tcPr>
            <w:tcW w:w="3546" w:type="dxa"/>
          </w:tcPr>
          <w:p>
            <w:pPr>
              <w:jc w:val="center"/>
              <w:rPr>
                <w:rFonts w:ascii="仿宋_GB2312" w:hAnsi="宋体" w:eastAsia="仿宋_GB2312" w:cs="宋体"/>
                <w:b/>
                <w:sz w:val="28"/>
                <w:szCs w:val="28"/>
              </w:rPr>
            </w:pPr>
          </w:p>
        </w:tc>
        <w:tc>
          <w:tcPr>
            <w:tcW w:w="1512" w:type="dxa"/>
          </w:tcPr>
          <w:p>
            <w:pPr>
              <w:jc w:val="center"/>
              <w:rPr>
                <w:rFonts w:ascii="仿宋_GB2312" w:hAnsi="宋体" w:eastAsia="仿宋_GB2312"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3683" w:type="dxa"/>
          </w:tcPr>
          <w:p>
            <w:pPr>
              <w:jc w:val="center"/>
              <w:rPr>
                <w:rFonts w:ascii="仿宋_GB2312" w:hAnsi="宋体" w:eastAsia="仿宋_GB2312" w:cs="宋体"/>
                <w:b/>
                <w:sz w:val="28"/>
                <w:szCs w:val="28"/>
              </w:rPr>
            </w:pPr>
          </w:p>
        </w:tc>
        <w:tc>
          <w:tcPr>
            <w:tcW w:w="3546" w:type="dxa"/>
          </w:tcPr>
          <w:p>
            <w:pPr>
              <w:jc w:val="center"/>
              <w:rPr>
                <w:rFonts w:ascii="仿宋_GB2312" w:hAnsi="宋体" w:eastAsia="仿宋_GB2312" w:cs="宋体"/>
                <w:b/>
                <w:sz w:val="28"/>
                <w:szCs w:val="28"/>
              </w:rPr>
            </w:pPr>
          </w:p>
        </w:tc>
        <w:tc>
          <w:tcPr>
            <w:tcW w:w="1512" w:type="dxa"/>
          </w:tcPr>
          <w:p>
            <w:pPr>
              <w:jc w:val="center"/>
              <w:rPr>
                <w:rFonts w:ascii="仿宋_GB2312" w:hAnsi="宋体" w:eastAsia="仿宋_GB2312"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3683" w:type="dxa"/>
          </w:tcPr>
          <w:p>
            <w:pPr>
              <w:jc w:val="center"/>
              <w:rPr>
                <w:rFonts w:ascii="仿宋_GB2312" w:hAnsi="宋体" w:eastAsia="仿宋_GB2312" w:cs="宋体"/>
                <w:b/>
                <w:sz w:val="28"/>
                <w:szCs w:val="28"/>
              </w:rPr>
            </w:pPr>
          </w:p>
        </w:tc>
        <w:tc>
          <w:tcPr>
            <w:tcW w:w="3546" w:type="dxa"/>
          </w:tcPr>
          <w:p>
            <w:pPr>
              <w:jc w:val="center"/>
              <w:rPr>
                <w:rFonts w:ascii="仿宋_GB2312" w:hAnsi="宋体" w:eastAsia="仿宋_GB2312" w:cs="宋体"/>
                <w:b/>
                <w:sz w:val="28"/>
                <w:szCs w:val="28"/>
              </w:rPr>
            </w:pPr>
          </w:p>
        </w:tc>
        <w:tc>
          <w:tcPr>
            <w:tcW w:w="1512" w:type="dxa"/>
          </w:tcPr>
          <w:p>
            <w:pPr>
              <w:jc w:val="center"/>
              <w:rPr>
                <w:rFonts w:ascii="仿宋_GB2312" w:hAnsi="宋体" w:eastAsia="仿宋_GB2312" w:cs="宋体"/>
                <w:b/>
                <w:sz w:val="28"/>
                <w:szCs w:val="28"/>
              </w:rPr>
            </w:pPr>
          </w:p>
        </w:tc>
      </w:tr>
    </w:tbl>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pPr>
        <w:spacing w:line="500" w:lineRule="exact"/>
        <w:ind w:firstLine="4560" w:firstLineChars="1900"/>
        <w:contextualSpacing/>
        <w:rPr>
          <w:rFonts w:ascii="仿宋_GB2312" w:eastAsia="仿宋_GB2312"/>
          <w:sz w:val="24"/>
          <w:szCs w:val="24"/>
        </w:rPr>
      </w:pPr>
    </w:p>
    <w:p>
      <w:pPr>
        <w:spacing w:line="500" w:lineRule="exact"/>
        <w:ind w:firstLine="4560" w:firstLineChars="1900"/>
        <w:contextualSpacing/>
        <w:rPr>
          <w:rFonts w:ascii="仿宋_GB2312" w:eastAsia="仿宋_GB2312"/>
          <w:sz w:val="24"/>
          <w:szCs w:val="24"/>
        </w:rPr>
      </w:pPr>
    </w:p>
    <w:p>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pStyle w:val="17"/>
      </w:pPr>
    </w:p>
    <w:p>
      <w:pPr>
        <w:rPr>
          <w:rFonts w:ascii="仿宋_GB2312" w:eastAsia="仿宋_GB2312"/>
        </w:rPr>
      </w:pPr>
    </w:p>
    <w:p>
      <w:pPr>
        <w:pStyle w:val="8"/>
        <w:rPr>
          <w:rFonts w:ascii="仿宋_GB2312" w:eastAsia="仿宋_GB2312"/>
        </w:rPr>
      </w:pPr>
    </w:p>
    <w:p>
      <w:pPr>
        <w:pStyle w:val="17"/>
      </w:pPr>
    </w:p>
    <w:p/>
    <w:p>
      <w:pPr>
        <w:pStyle w:val="8"/>
      </w:pPr>
    </w:p>
    <w:p>
      <w:pPr>
        <w:pStyle w:val="17"/>
      </w:pPr>
    </w:p>
    <w:p>
      <w:pPr>
        <w:rPr>
          <w:rFonts w:ascii="仿宋_GB2312" w:eastAsia="仿宋_GB2312"/>
        </w:rPr>
      </w:pPr>
    </w:p>
    <w:p>
      <w:pPr>
        <w:pStyle w:val="8"/>
        <w:rPr>
          <w:rFonts w:ascii="仿宋_GB2312" w:eastAsia="仿宋_GB2312"/>
        </w:rPr>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九、政府采购供应商廉洁自律承诺书</w:t>
      </w:r>
    </w:p>
    <w:p>
      <w:pPr>
        <w:spacing w:line="540" w:lineRule="exact"/>
        <w:contextualSpacing/>
        <w:rPr>
          <w:rFonts w:ascii="仿宋_GB2312" w:eastAsia="仿宋_GB2312"/>
          <w:sz w:val="24"/>
          <w:szCs w:val="24"/>
        </w:rPr>
      </w:pPr>
    </w:p>
    <w:p>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spacing w:line="500" w:lineRule="exact"/>
        <w:contextualSpacing/>
        <w:rPr>
          <w:rFonts w:ascii="仿宋_GB2312" w:eastAsia="仿宋_GB2312"/>
          <w:sz w:val="24"/>
          <w:szCs w:val="24"/>
        </w:rPr>
      </w:pPr>
    </w:p>
    <w:p>
      <w:pPr>
        <w:pStyle w:val="8"/>
        <w:rPr>
          <w:rFonts w:ascii="仿宋_GB2312" w:eastAsia="仿宋_GB2312"/>
        </w:rPr>
      </w:pPr>
    </w:p>
    <w:p>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spacing w:line="540" w:lineRule="exact"/>
        <w:contextualSpacing/>
        <w:rPr>
          <w:rFonts w:ascii="仿宋_GB2312" w:eastAsia="仿宋_GB2312"/>
          <w:sz w:val="24"/>
          <w:szCs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报价文件部分</w:t>
      </w:r>
    </w:p>
    <w:p>
      <w:pPr>
        <w:spacing w:line="540" w:lineRule="exact"/>
        <w:contextualSpacing/>
        <w:rPr>
          <w:rFonts w:ascii="仿宋_GB2312" w:eastAsia="仿宋_GB2312"/>
          <w:sz w:val="24"/>
          <w:szCs w:val="24"/>
        </w:rPr>
      </w:pPr>
    </w:p>
    <w:p>
      <w:pPr>
        <w:numPr>
          <w:ilvl w:val="0"/>
          <w:numId w:val="0"/>
        </w:numPr>
        <w:spacing w:line="540" w:lineRule="exact"/>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（1）</w:t>
      </w:r>
      <w:r>
        <w:rPr>
          <w:rFonts w:hint="eastAsia" w:ascii="仿宋_GB2312" w:eastAsia="仿宋_GB2312"/>
          <w:sz w:val="24"/>
          <w:szCs w:val="24"/>
        </w:rPr>
        <w:t>开标一览表（报价表）………………………………………………………（页码）</w:t>
      </w:r>
    </w:p>
    <w:p>
      <w:pPr>
        <w:numPr>
          <w:ilvl w:val="0"/>
          <w:numId w:val="0"/>
        </w:numPr>
        <w:spacing w:line="540" w:lineRule="exact"/>
        <w:contextualSpacing/>
        <w:rPr>
          <w:rFonts w:hint="default" w:ascii="仿宋_GB2312" w:eastAsia="仿宋_GB2312"/>
          <w:sz w:val="24"/>
          <w:szCs w:val="24"/>
          <w:lang w:val="en-US"/>
        </w:rPr>
      </w:pPr>
      <w:r>
        <w:rPr>
          <w:rFonts w:ascii="仿宋_GB2312" w:eastAsia="仿宋_GB2312" w:hAnsiTheme="minorHAnsi" w:cstheme="minorBidi"/>
          <w:kern w:val="2"/>
          <w:sz w:val="24"/>
          <w:szCs w:val="24"/>
          <w:lang w:val="en-US" w:eastAsia="zh-CN" w:bidi="ar-SA"/>
        </w:rPr>
        <w:t>（2）</w:t>
      </w:r>
      <w:r>
        <w:rPr>
          <w:rFonts w:hint="eastAsia" w:ascii="仿宋_GB2312" w:eastAsia="仿宋_GB2312" w:cstheme="minorBidi"/>
          <w:kern w:val="2"/>
          <w:sz w:val="24"/>
          <w:szCs w:val="24"/>
          <w:lang w:val="en-US" w:eastAsia="zh-CN" w:bidi="ar-SA"/>
        </w:rPr>
        <w:t>分项报价组成表</w:t>
      </w:r>
      <w:r>
        <w:rPr>
          <w:rFonts w:hint="eastAsia" w:ascii="仿宋_GB2312" w:eastAsia="仿宋_GB2312"/>
          <w:sz w:val="24"/>
          <w:szCs w:val="24"/>
        </w:rPr>
        <w:t>………………………………………………………………（页码）</w:t>
      </w:r>
    </w:p>
    <w:p>
      <w:pPr>
        <w:numPr>
          <w:ilvl w:val="0"/>
          <w:numId w:val="0"/>
        </w:numPr>
        <w:spacing w:line="540" w:lineRule="exact"/>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w:t>
      </w:r>
      <w:r>
        <w:rPr>
          <w:rFonts w:hint="eastAsia" w:ascii="仿宋_GB2312" w:eastAsia="仿宋_GB2312" w:cstheme="minorBidi"/>
          <w:kern w:val="2"/>
          <w:sz w:val="24"/>
          <w:szCs w:val="24"/>
          <w:lang w:val="en-US" w:eastAsia="zh-CN" w:bidi="ar-SA"/>
        </w:rPr>
        <w:t>3</w:t>
      </w:r>
      <w:r>
        <w:rPr>
          <w:rFonts w:ascii="仿宋_GB2312" w:eastAsia="仿宋_GB2312" w:hAnsiTheme="minorHAnsi" w:cstheme="minorBidi"/>
          <w:kern w:val="2"/>
          <w:sz w:val="24"/>
          <w:szCs w:val="24"/>
          <w:lang w:val="en-US" w:eastAsia="zh-CN" w:bidi="ar-SA"/>
        </w:rPr>
        <w:t>）</w:t>
      </w:r>
      <w:r>
        <w:rPr>
          <w:rFonts w:hint="eastAsia" w:ascii="仿宋_GB2312" w:eastAsia="仿宋_GB2312"/>
          <w:sz w:val="24"/>
          <w:szCs w:val="24"/>
        </w:rPr>
        <w:t>中小企业声明函（如果有）…………………………………………………（页码）</w:t>
      </w:r>
    </w:p>
    <w:p>
      <w:pPr>
        <w:pStyle w:val="47"/>
        <w:numPr>
          <w:ilvl w:val="0"/>
          <w:numId w:val="0"/>
        </w:numPr>
        <w:spacing w:line="540" w:lineRule="exact"/>
        <w:ind w:left="420" w:leftChars="0" w:hanging="420" w:firstLineChars="0"/>
        <w:contextualSpacing/>
        <w:rPr>
          <w:rFonts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（4）其他招标文件要求或投标人认为需要提供的证明材料</w:t>
      </w:r>
      <w:r>
        <w:rPr>
          <w:rFonts w:hint="eastAsia" w:ascii="仿宋_GB2312" w:eastAsia="仿宋_GB2312" w:hAnsiTheme="minorHAnsi" w:cstheme="minorBidi"/>
          <w:kern w:val="2"/>
          <w:sz w:val="24"/>
          <w:szCs w:val="24"/>
          <w:lang w:val="en-US" w:eastAsia="zh-CN" w:bidi="ar-SA"/>
        </w:rPr>
        <w:t>……………………（页码）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一、开标一览表（报价表）</w:t>
      </w:r>
    </w:p>
    <w:p>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24"/>
        <w:tblW w:w="0" w:type="auto"/>
        <w:jc w:val="center"/>
        <w:tblLayout w:type="fixed"/>
        <w:tblCellMar>
          <w:top w:w="0" w:type="dxa"/>
          <w:left w:w="108" w:type="dxa"/>
          <w:bottom w:w="0" w:type="dxa"/>
          <w:right w:w="108" w:type="dxa"/>
        </w:tblCellMar>
      </w:tblPr>
      <w:tblGrid>
        <w:gridCol w:w="1276"/>
        <w:gridCol w:w="3889"/>
        <w:gridCol w:w="3685"/>
      </w:tblGrid>
      <w:tr>
        <w:tblPrEx>
          <w:tblCellMar>
            <w:top w:w="0" w:type="dxa"/>
            <w:left w:w="108" w:type="dxa"/>
            <w:bottom w:w="0" w:type="dxa"/>
            <w:right w:w="108" w:type="dxa"/>
          </w:tblCellMar>
        </w:tblPrEx>
        <w:trPr>
          <w:trHeight w:val="836" w:hRule="atLeast"/>
          <w:jc w:val="center"/>
        </w:trPr>
        <w:tc>
          <w:tcPr>
            <w:tcW w:w="1276" w:type="dxa"/>
            <w:tcBorders>
              <w:top w:val="single" w:color="000000"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889"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36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jc w:val="center"/>
              <w:rPr>
                <w:rFonts w:hint="eastAsia" w:ascii="仿宋" w:hAnsi="仿宋" w:eastAsia="仿宋" w:cs="仿宋"/>
                <w:sz w:val="24"/>
                <w:szCs w:val="24"/>
              </w:rPr>
            </w:pPr>
            <w:r>
              <w:rPr>
                <w:rFonts w:hint="eastAsia" w:ascii="仿宋" w:hAnsi="仿宋" w:eastAsia="仿宋" w:cs="仿宋"/>
                <w:sz w:val="24"/>
                <w:szCs w:val="24"/>
              </w:rPr>
              <w:t>投标报价</w:t>
            </w:r>
          </w:p>
        </w:tc>
      </w:tr>
      <w:tr>
        <w:tblPrEx>
          <w:tblCellMar>
            <w:top w:w="0" w:type="dxa"/>
            <w:left w:w="108" w:type="dxa"/>
            <w:bottom w:w="0" w:type="dxa"/>
            <w:right w:w="108" w:type="dxa"/>
          </w:tblCellMar>
        </w:tblPrEx>
        <w:trPr>
          <w:trHeight w:val="1457" w:hRule="atLeast"/>
          <w:jc w:val="center"/>
        </w:trPr>
        <w:tc>
          <w:tcPr>
            <w:tcW w:w="1276" w:type="dxa"/>
            <w:tcBorders>
              <w:top w:val="single" w:color="auto"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889"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石化基地安全环保咨询服务项目</w:t>
            </w:r>
          </w:p>
        </w:tc>
        <w:tc>
          <w:tcPr>
            <w:tcW w:w="36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大写：</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小写： </w:t>
            </w:r>
          </w:p>
        </w:tc>
      </w:tr>
      <w:tr>
        <w:tblPrEx>
          <w:tblCellMar>
            <w:top w:w="0" w:type="dxa"/>
            <w:left w:w="108" w:type="dxa"/>
            <w:bottom w:w="0" w:type="dxa"/>
            <w:right w:w="108" w:type="dxa"/>
          </w:tblCellMar>
        </w:tblPrEx>
        <w:trPr>
          <w:trHeight w:val="1078" w:hRule="atLeast"/>
          <w:jc w:val="center"/>
        </w:trPr>
        <w:tc>
          <w:tcPr>
            <w:tcW w:w="5165" w:type="dxa"/>
            <w:gridSpan w:val="2"/>
            <w:tcBorders>
              <w:top w:val="single" w:color="auto"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napToGrid w:val="0"/>
              <w:jc w:val="center"/>
              <w:rPr>
                <w:rFonts w:hint="eastAsia" w:ascii="仿宋" w:hAnsi="仿宋" w:eastAsia="仿宋" w:cs="仿宋"/>
                <w:sz w:val="24"/>
                <w:szCs w:val="24"/>
              </w:rPr>
            </w:pPr>
            <w:r>
              <w:rPr>
                <w:rFonts w:hint="eastAsia" w:ascii="仿宋" w:hAnsi="仿宋" w:eastAsia="仿宋" w:cs="仿宋"/>
                <w:sz w:val="24"/>
                <w:szCs w:val="24"/>
              </w:rPr>
              <w:t>投标声明</w:t>
            </w:r>
          </w:p>
        </w:tc>
        <w:tc>
          <w:tcPr>
            <w:tcW w:w="3685" w:type="dxa"/>
            <w:tcBorders>
              <w:top w:val="single" w:color="000000"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line="360" w:lineRule="auto"/>
              <w:ind w:left="4"/>
              <w:jc w:val="center"/>
              <w:rPr>
                <w:rFonts w:hint="eastAsia" w:ascii="仿宋" w:hAnsi="仿宋" w:eastAsia="仿宋" w:cs="仿宋"/>
                <w:sz w:val="24"/>
                <w:szCs w:val="24"/>
              </w:rPr>
            </w:pPr>
          </w:p>
        </w:tc>
      </w:tr>
    </w:tbl>
    <w:p>
      <w:pPr>
        <w:shd w:val="solid" w:color="FFFFFF" w:fill="auto"/>
        <w:autoSpaceDN w:val="0"/>
        <w:snapToGrid w:val="0"/>
        <w:jc w:val="left"/>
        <w:rPr>
          <w:rFonts w:hint="eastAsia" w:ascii="仿宋" w:hAnsi="仿宋" w:eastAsia="仿宋" w:cs="仿宋"/>
          <w:sz w:val="24"/>
          <w:szCs w:val="24"/>
          <w:lang w:val="zh-CN"/>
        </w:rPr>
      </w:pPr>
      <w:r>
        <w:rPr>
          <w:rFonts w:hint="eastAsia" w:ascii="仿宋" w:hAnsi="仿宋" w:eastAsia="仿宋" w:cs="仿宋"/>
          <w:sz w:val="24"/>
          <w:szCs w:val="24"/>
          <w:lang w:val="zh-CN"/>
        </w:rPr>
        <w:t>注：报价一经涂改，应在涂改处加盖单位公章或者由法定代表人或授权委托人签名或盖章，否则其投标作无效标处理。</w:t>
      </w:r>
    </w:p>
    <w:p>
      <w:pPr>
        <w:spacing w:line="540" w:lineRule="exact"/>
        <w:ind w:right="480" w:firstLine="4680" w:firstLineChars="1950"/>
        <w:contextualSpacing/>
        <w:rPr>
          <w:rFonts w:hint="eastAsia" w:ascii="仿宋_GB2312" w:eastAsia="仿宋_GB2312"/>
          <w:sz w:val="24"/>
          <w:szCs w:val="24"/>
        </w:rPr>
      </w:pPr>
    </w:p>
    <w:p>
      <w:pPr>
        <w:spacing w:line="540" w:lineRule="exact"/>
        <w:ind w:right="480" w:firstLine="4680" w:firstLineChars="1950"/>
        <w:contextualSpacing/>
        <w:rPr>
          <w:rFonts w:hint="eastAsia" w:ascii="仿宋_GB2312" w:eastAsia="仿宋_GB2312"/>
          <w:sz w:val="24"/>
          <w:szCs w:val="24"/>
        </w:rPr>
      </w:pPr>
    </w:p>
    <w:p>
      <w:pPr>
        <w:spacing w:line="540" w:lineRule="exact"/>
        <w:ind w:right="480" w:firstLine="4680" w:firstLineChars="1950"/>
        <w:contextualSpacing/>
        <w:rPr>
          <w:rFonts w:hint="eastAsia" w:ascii="仿宋_GB2312" w:eastAsia="仿宋_GB2312"/>
          <w:sz w:val="24"/>
          <w:szCs w:val="24"/>
        </w:rPr>
      </w:pPr>
    </w:p>
    <w:p>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rPr>
          <w:rFonts w:hint="eastAsia" w:ascii="仿宋_GB2312" w:eastAsia="仿宋_GB2312"/>
          <w:sz w:val="24"/>
          <w:szCs w:val="24"/>
        </w:rPr>
      </w:pPr>
      <w:r>
        <w:rPr>
          <w:rFonts w:hint="eastAsia" w:ascii="仿宋_GB2312" w:eastAsia="仿宋_GB2312"/>
          <w:sz w:val="24"/>
          <w:szCs w:val="24"/>
        </w:rPr>
        <w:br w:type="page"/>
      </w:r>
    </w:p>
    <w:p>
      <w:pPr>
        <w:spacing w:line="540" w:lineRule="exact"/>
        <w:contextualSpacing/>
        <w:jc w:val="cente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二、分项报价组成表</w:t>
      </w:r>
    </w:p>
    <w:tbl>
      <w:tblPr>
        <w:tblStyle w:val="24"/>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3915"/>
        <w:gridCol w:w="1134"/>
        <w:gridCol w:w="208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90" w:type="dxa"/>
            <w:vAlign w:val="center"/>
          </w:tcPr>
          <w:p>
            <w:pPr>
              <w:spacing w:line="36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序号</w:t>
            </w:r>
          </w:p>
        </w:tc>
        <w:tc>
          <w:tcPr>
            <w:tcW w:w="3915" w:type="dxa"/>
            <w:vAlign w:val="center"/>
          </w:tcPr>
          <w:p>
            <w:pPr>
              <w:spacing w:line="36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名称</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ascii="仿宋_GB2312" w:eastAsia="仿宋_GB2312"/>
                <w:sz w:val="24"/>
                <w:szCs w:val="24"/>
                <w:highlight w:val="none"/>
              </w:rPr>
            </w:pPr>
            <w:r>
              <w:rPr>
                <w:rFonts w:hint="eastAsia" w:ascii="仿宋_GB2312" w:eastAsia="仿宋_GB2312"/>
                <w:sz w:val="24"/>
                <w:szCs w:val="24"/>
                <w:highlight w:val="none"/>
              </w:rPr>
              <w:t>数量</w:t>
            </w:r>
          </w:p>
        </w:tc>
        <w:tc>
          <w:tcPr>
            <w:tcW w:w="2089" w:type="dxa"/>
            <w:vAlign w:val="center"/>
          </w:tcPr>
          <w:p>
            <w:pPr>
              <w:spacing w:line="360" w:lineRule="exact"/>
              <w:contextualSpacing/>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金额</w:t>
            </w:r>
          </w:p>
        </w:tc>
        <w:tc>
          <w:tcPr>
            <w:tcW w:w="886" w:type="dxa"/>
            <w:vAlign w:val="center"/>
          </w:tcPr>
          <w:p>
            <w:pPr>
              <w:spacing w:line="36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90"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1</w:t>
            </w:r>
          </w:p>
        </w:tc>
        <w:tc>
          <w:tcPr>
            <w:tcW w:w="3915" w:type="dxa"/>
            <w:vAlign w:val="center"/>
          </w:tcPr>
          <w:p>
            <w:pPr>
              <w:spacing w:line="540" w:lineRule="exact"/>
              <w:ind w:firstLine="120" w:firstLineChars="50"/>
              <w:contextualSpacing/>
              <w:jc w:val="center"/>
              <w:rPr>
                <w:rFonts w:ascii="仿宋_GB2312" w:eastAsia="仿宋_GB2312"/>
                <w:sz w:val="24"/>
                <w:szCs w:val="24"/>
                <w:highlight w:val="none"/>
              </w:rPr>
            </w:pPr>
            <w:r>
              <w:rPr>
                <w:rFonts w:hint="eastAsia" w:ascii="仿宋_GB2312" w:eastAsia="仿宋_GB2312"/>
                <w:sz w:val="24"/>
                <w:szCs w:val="24"/>
                <w:highlight w:val="none"/>
              </w:rPr>
              <w:t>编制完成石化基地《整体性安全风险评估报告》</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contextualSpacing/>
              <w:jc w:val="center"/>
              <w:textAlignment w:val="auto"/>
              <w:rPr>
                <w:rFonts w:hint="default" w:ascii="仿宋_GB2312" w:eastAsia="仿宋_GB2312"/>
                <w:b w:val="0"/>
                <w:bCs w:val="0"/>
                <w:sz w:val="24"/>
                <w:szCs w:val="24"/>
                <w:highlight w:val="none"/>
                <w:lang w:val="en-US" w:eastAsia="zh-CN"/>
              </w:rPr>
            </w:pPr>
            <w:r>
              <w:rPr>
                <w:rFonts w:hint="eastAsia" w:ascii="仿宋_GB2312" w:eastAsia="仿宋_GB2312"/>
                <w:b w:val="0"/>
                <w:bCs w:val="0"/>
                <w:sz w:val="24"/>
                <w:szCs w:val="24"/>
                <w:highlight w:val="none"/>
                <w:lang w:val="en-US" w:eastAsia="zh-CN"/>
              </w:rPr>
              <w:t>1项</w:t>
            </w: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2</w:t>
            </w:r>
          </w:p>
        </w:tc>
        <w:tc>
          <w:tcPr>
            <w:tcW w:w="3915"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编制完成石化基地《安全监管履职能力评估报告》</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contextualSpacing/>
              <w:jc w:val="center"/>
              <w:textAlignment w:val="auto"/>
              <w:rPr>
                <w:rFonts w:ascii="仿宋_GB2312" w:eastAsia="仿宋_GB2312"/>
                <w:sz w:val="24"/>
                <w:szCs w:val="24"/>
                <w:highlight w:val="none"/>
              </w:rPr>
            </w:pPr>
            <w:r>
              <w:rPr>
                <w:rFonts w:hint="eastAsia" w:ascii="仿宋_GB2312" w:eastAsia="仿宋_GB2312"/>
                <w:b w:val="0"/>
                <w:bCs w:val="0"/>
                <w:sz w:val="24"/>
                <w:szCs w:val="24"/>
                <w:highlight w:val="none"/>
                <w:lang w:val="en-US" w:eastAsia="zh-CN"/>
              </w:rPr>
              <w:t>1项</w:t>
            </w: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3</w:t>
            </w:r>
          </w:p>
        </w:tc>
        <w:tc>
          <w:tcPr>
            <w:tcW w:w="3915"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编制完成石化基地《安全发展规划》</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contextualSpacing/>
              <w:jc w:val="center"/>
              <w:textAlignment w:val="auto"/>
              <w:rPr>
                <w:rFonts w:ascii="仿宋_GB2312" w:eastAsia="仿宋_GB2312"/>
                <w:sz w:val="24"/>
                <w:szCs w:val="24"/>
                <w:highlight w:val="none"/>
              </w:rPr>
            </w:pPr>
            <w:r>
              <w:rPr>
                <w:rFonts w:hint="eastAsia" w:ascii="仿宋_GB2312" w:eastAsia="仿宋_GB2312"/>
                <w:b w:val="0"/>
                <w:bCs w:val="0"/>
                <w:sz w:val="24"/>
                <w:szCs w:val="24"/>
                <w:highlight w:val="none"/>
                <w:lang w:val="en-US" w:eastAsia="zh-CN"/>
              </w:rPr>
              <w:t>1项</w:t>
            </w: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4</w:t>
            </w:r>
          </w:p>
        </w:tc>
        <w:tc>
          <w:tcPr>
            <w:tcW w:w="3915"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开展专家专业帮扶指导</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contextualSpacing/>
              <w:jc w:val="center"/>
              <w:textAlignment w:val="auto"/>
              <w:rPr>
                <w:rFonts w:ascii="仿宋_GB2312" w:eastAsia="仿宋_GB2312"/>
                <w:sz w:val="24"/>
                <w:szCs w:val="24"/>
                <w:highlight w:val="none"/>
              </w:rPr>
            </w:pPr>
            <w:r>
              <w:rPr>
                <w:rFonts w:hint="eastAsia" w:ascii="仿宋_GB2312" w:eastAsia="仿宋_GB2312"/>
                <w:b w:val="0"/>
                <w:bCs w:val="0"/>
                <w:sz w:val="24"/>
                <w:szCs w:val="24"/>
                <w:highlight w:val="none"/>
                <w:lang w:val="en-US" w:eastAsia="zh-CN"/>
              </w:rPr>
              <w:t>1项</w:t>
            </w: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90" w:type="dxa"/>
            <w:vAlign w:val="center"/>
          </w:tcPr>
          <w:p>
            <w:pPr>
              <w:spacing w:line="540" w:lineRule="exact"/>
              <w:contextualSpacing/>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w:t>
            </w:r>
          </w:p>
        </w:tc>
        <w:tc>
          <w:tcPr>
            <w:tcW w:w="3915" w:type="dxa"/>
            <w:vAlign w:val="bottom"/>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lang w:val="en-US" w:eastAsia="zh-CN"/>
              </w:rPr>
              <w:t>...</w:t>
            </w:r>
          </w:p>
        </w:tc>
        <w:tc>
          <w:tcPr>
            <w:tcW w:w="1134" w:type="dxa"/>
            <w:vAlign w:val="center"/>
          </w:tcPr>
          <w:p>
            <w:pPr>
              <w:spacing w:line="540" w:lineRule="exact"/>
              <w:contextualSpacing/>
              <w:rPr>
                <w:rFonts w:ascii="仿宋_GB2312" w:eastAsia="仿宋_GB2312"/>
                <w:sz w:val="24"/>
                <w:szCs w:val="24"/>
                <w:highlight w:val="none"/>
              </w:rPr>
            </w:pP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39" w:type="dxa"/>
            <w:gridSpan w:val="3"/>
            <w:vAlign w:val="center"/>
          </w:tcPr>
          <w:p>
            <w:pPr>
              <w:spacing w:line="540" w:lineRule="exact"/>
              <w:contextualSpacing/>
              <w:rPr>
                <w:rFonts w:ascii="仿宋_GB2312" w:eastAsia="仿宋_GB2312"/>
                <w:sz w:val="24"/>
                <w:szCs w:val="24"/>
                <w:highlight w:val="none"/>
              </w:rPr>
            </w:pPr>
            <w:r>
              <w:rPr>
                <w:rFonts w:hint="eastAsia" w:ascii="仿宋_GB2312" w:eastAsia="仿宋_GB2312"/>
                <w:sz w:val="24"/>
                <w:szCs w:val="24"/>
                <w:highlight w:val="none"/>
              </w:rPr>
              <w:t>投标报价（小写）</w:t>
            </w:r>
          </w:p>
        </w:tc>
        <w:tc>
          <w:tcPr>
            <w:tcW w:w="2975" w:type="dxa"/>
            <w:gridSpan w:val="2"/>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39" w:type="dxa"/>
            <w:gridSpan w:val="3"/>
            <w:vAlign w:val="center"/>
          </w:tcPr>
          <w:p>
            <w:pPr>
              <w:spacing w:line="540" w:lineRule="exact"/>
              <w:contextualSpacing/>
              <w:rPr>
                <w:rFonts w:ascii="仿宋_GB2312" w:eastAsia="仿宋_GB2312"/>
                <w:sz w:val="24"/>
                <w:szCs w:val="24"/>
                <w:highlight w:val="none"/>
              </w:rPr>
            </w:pPr>
            <w:r>
              <w:rPr>
                <w:rFonts w:hint="eastAsia" w:ascii="仿宋_GB2312" w:eastAsia="仿宋_GB2312"/>
                <w:sz w:val="24"/>
                <w:szCs w:val="24"/>
                <w:highlight w:val="none"/>
              </w:rPr>
              <w:t>投标报价（大写）</w:t>
            </w:r>
          </w:p>
        </w:tc>
        <w:tc>
          <w:tcPr>
            <w:tcW w:w="2975" w:type="dxa"/>
            <w:gridSpan w:val="2"/>
            <w:vAlign w:val="center"/>
          </w:tcPr>
          <w:p>
            <w:pPr>
              <w:spacing w:line="540" w:lineRule="exact"/>
              <w:contextualSpacing/>
              <w:rPr>
                <w:rFonts w:ascii="仿宋_GB2312" w:eastAsia="仿宋_GB2312"/>
                <w:sz w:val="24"/>
                <w:szCs w:val="24"/>
                <w:highlight w:val="none"/>
              </w:rPr>
            </w:pPr>
          </w:p>
        </w:tc>
      </w:tr>
    </w:tbl>
    <w:p>
      <w:pPr>
        <w:spacing w:line="540" w:lineRule="exact"/>
        <w:contextualSpacing/>
        <w:rPr>
          <w:rFonts w:ascii="仿宋_GB2312" w:eastAsia="仿宋_GB2312"/>
          <w:b/>
          <w:sz w:val="24"/>
          <w:szCs w:val="24"/>
        </w:rPr>
      </w:pPr>
      <w:r>
        <w:rPr>
          <w:rFonts w:hint="eastAsia" w:ascii="仿宋_GB2312" w:eastAsia="仿宋_GB2312"/>
          <w:b/>
          <w:sz w:val="24"/>
          <w:szCs w:val="24"/>
          <w:highlight w:val="none"/>
        </w:rPr>
        <w:t>注：1.投标报价中有关本项目实施所涉及的一切费用均计入报价。采购人将以合同形式有偿取得货物或服务，不接受投标人给予的赠品、回扣或者与采购无</w:t>
      </w:r>
      <w:r>
        <w:rPr>
          <w:rFonts w:hint="eastAsia" w:ascii="仿宋_GB2312" w:eastAsia="仿宋_GB2312"/>
          <w:b/>
          <w:sz w:val="24"/>
          <w:szCs w:val="24"/>
        </w:rPr>
        <w:t>关的其他商品、服务，不得出现“0元”“免费赠送”等形式的无偿报价，否则视为投标文件含有采购人不能接受的附加条件的，投标无效。</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.投标报价一经涂改，应在涂改处加盖单位公章或投标人代表签字（或盖章），否则其投标作无效标处理。</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17"/>
      </w:pPr>
    </w:p>
    <w:p>
      <w:pPr>
        <w:pStyle w:val="8"/>
        <w:jc w:val="left"/>
        <w:rPr>
          <w:rFonts w:ascii="仿宋_GB2312" w:eastAsia="仿宋_GB2312"/>
          <w:b/>
        </w:rPr>
      </w:pPr>
    </w:p>
    <w:p>
      <w:pPr>
        <w:rPr>
          <w:rFonts w:hint="eastAsia" w:ascii="仿宋_GB2312" w:eastAsia="仿宋_GB2312"/>
          <w:b/>
          <w:sz w:val="28"/>
          <w:szCs w:val="28"/>
          <w:u w:val="single"/>
        </w:rPr>
      </w:pPr>
      <w:bookmarkStart w:id="402" w:name="_Toc465665161"/>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附    件</w:t>
      </w:r>
      <w:bookmarkEnd w:id="402"/>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pPr>
        <w:spacing w:line="540" w:lineRule="exact"/>
        <w:contextualSpacing/>
        <w:jc w:val="center"/>
        <w:rPr>
          <w:rFonts w:ascii="仿宋_GB2312" w:eastAsia="仿宋_GB2312"/>
          <w:sz w:val="24"/>
          <w:szCs w:val="24"/>
        </w:rPr>
      </w:pPr>
      <w:bookmarkStart w:id="403" w:name="OLE_LINK13"/>
      <w:bookmarkStart w:id="404" w:name="OLE_LINK14"/>
      <w:r>
        <w:rPr>
          <w:rFonts w:hint="eastAsia" w:ascii="仿宋_GB2312" w:eastAsia="仿宋_GB2312"/>
          <w:sz w:val="24"/>
          <w:szCs w:val="24"/>
        </w:rPr>
        <w:t>残疾人福利性单位声明函</w:t>
      </w:r>
    </w:p>
    <w:bookmarkEnd w:id="403"/>
    <w:bookmarkEnd w:id="404"/>
    <w:p>
      <w:pPr>
        <w:spacing w:line="540" w:lineRule="exact"/>
        <w:contextualSpacing/>
        <w:rPr>
          <w:rFonts w:ascii="仿宋_GB2312" w:eastAsia="仿宋_GB2312"/>
          <w:sz w:val="24"/>
          <w:szCs w:val="24"/>
        </w:rPr>
      </w:pP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pPr>
        <w:spacing w:line="540" w:lineRule="exact"/>
        <w:contextualSpacing/>
        <w:rPr>
          <w:rFonts w:ascii="仿宋_GB2312" w:eastAsia="仿宋_GB2312"/>
          <w:sz w:val="24"/>
          <w:szCs w:val="24"/>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spacing w:line="540" w:lineRule="exact"/>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质疑函范本</w:t>
      </w:r>
    </w:p>
    <w:p>
      <w:pPr>
        <w:snapToGrid w:val="0"/>
        <w:spacing w:before="312" w:beforeLines="100" w:line="360" w:lineRule="auto"/>
        <w:rPr>
          <w:rFonts w:ascii="仿宋_GB2312" w:hAnsi="宋体" w:eastAsia="仿宋_GB2312" w:cs="宋体"/>
          <w:bCs/>
          <w:sz w:val="24"/>
        </w:rPr>
      </w:pPr>
      <w:r>
        <w:rPr>
          <w:rFonts w:hint="eastAsia" w:ascii="仿宋_GB2312" w:hAnsi="宋体" w:eastAsia="仿宋_GB2312" w:cs="宋体"/>
          <w:bCs/>
          <w:sz w:val="24"/>
        </w:rPr>
        <w:t>一、质疑供应商基本信息</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质疑供应商：</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地址：邮编：</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联系人：联系电话：</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授权代表：</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联系电话：</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 邮编：</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二、质疑项目基本情况</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质疑项目的编号：包号：</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采购人名称：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采购文件获取日期：</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三、质疑事项具体内容</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质疑事项1：</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事实依据：</w:t>
      </w:r>
    </w:p>
    <w:p>
      <w:pPr>
        <w:snapToGrid w:val="0"/>
        <w:spacing w:line="360" w:lineRule="auto"/>
        <w:rPr>
          <w:rFonts w:ascii="仿宋_GB2312" w:hAnsi="宋体" w:eastAsia="仿宋_GB2312" w:cs="宋体"/>
          <w:sz w:val="24"/>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法律依据：</w:t>
      </w:r>
    </w:p>
    <w:p>
      <w:pPr>
        <w:snapToGrid w:val="0"/>
        <w:spacing w:line="360" w:lineRule="auto"/>
        <w:rPr>
          <w:rFonts w:ascii="仿宋_GB2312" w:hAnsi="宋体" w:eastAsia="仿宋_GB2312" w:cs="宋体"/>
          <w:sz w:val="24"/>
          <w:u w:val="dotted"/>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质疑事项2</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四、与质疑事项相关的质疑请求</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请求：</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签字(签章)：                   公章：                      </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日期：    </w:t>
      </w:r>
    </w:p>
    <w:p>
      <w:pPr>
        <w:spacing w:line="360" w:lineRule="auto"/>
        <w:jc w:val="center"/>
        <w:rPr>
          <w:rFonts w:ascii="仿宋_GB2312" w:hAnsi="宋体" w:eastAsia="仿宋_GB2312" w:cs="宋体"/>
          <w:b/>
          <w:bCs/>
          <w:sz w:val="24"/>
        </w:rPr>
      </w:pPr>
    </w:p>
    <w:p>
      <w:pPr>
        <w:spacing w:line="360" w:lineRule="auto"/>
        <w:rPr>
          <w:rFonts w:ascii="仿宋_GB2312" w:hAnsi="宋体" w:eastAsia="仿宋_GB2312" w:cs="宋体"/>
          <w:b/>
          <w:sz w:val="24"/>
        </w:rPr>
      </w:pPr>
    </w:p>
    <w:p>
      <w:pPr>
        <w:spacing w:line="360" w:lineRule="auto"/>
        <w:rPr>
          <w:rFonts w:ascii="仿宋_GB2312" w:hAnsi="宋体" w:eastAsia="仿宋_GB2312" w:cs="宋体"/>
          <w:b/>
          <w:sz w:val="24"/>
        </w:rPr>
      </w:pPr>
    </w:p>
    <w:p>
      <w:pPr>
        <w:spacing w:line="360" w:lineRule="auto"/>
        <w:rPr>
          <w:rFonts w:ascii="仿宋_GB2312" w:hAnsi="宋体" w:eastAsia="仿宋_GB2312" w:cs="宋体"/>
          <w:b/>
          <w:sz w:val="24"/>
        </w:rPr>
      </w:pPr>
    </w:p>
    <w:p>
      <w:pPr>
        <w:spacing w:line="360" w:lineRule="auto"/>
        <w:rPr>
          <w:rFonts w:ascii="仿宋_GB2312" w:hAnsi="宋体" w:eastAsia="仿宋_GB2312" w:cs="宋体"/>
          <w:b/>
          <w:sz w:val="24"/>
        </w:rPr>
      </w:pPr>
      <w:r>
        <w:rPr>
          <w:rFonts w:hint="eastAsia" w:ascii="仿宋_GB2312" w:hAnsi="宋体" w:eastAsia="仿宋_GB2312" w:cs="宋体"/>
          <w:b/>
          <w:sz w:val="24"/>
        </w:rPr>
        <w:t>质疑函制作说明：</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5.质疑函的质疑请求应与质疑事项相关。</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8"/>
        <w:rPr>
          <w:rFonts w:ascii="仿宋_GB2312" w:eastAsia="仿宋_GB2312"/>
        </w:rPr>
      </w:pPr>
    </w:p>
    <w:p>
      <w:pPr>
        <w:pStyle w:val="17"/>
      </w:pPr>
    </w:p>
    <w:p>
      <w:pPr>
        <w:spacing w:line="540" w:lineRule="exact"/>
        <w:contextualSpacing/>
        <w:rPr>
          <w:rFonts w:ascii="仿宋_GB2312" w:eastAsia="仿宋_GB2312"/>
          <w:sz w:val="28"/>
          <w:szCs w:val="28"/>
        </w:rPr>
      </w:pPr>
      <w:r>
        <w:rPr>
          <w:rFonts w:hint="eastAsia" w:ascii="仿宋_GB2312" w:eastAsia="仿宋_GB2312"/>
          <w:sz w:val="28"/>
          <w:szCs w:val="28"/>
        </w:rPr>
        <w:t>附件3：</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投诉书范本及制作说明</w:t>
      </w:r>
    </w:p>
    <w:p>
      <w:pPr>
        <w:spacing w:line="540" w:lineRule="exact"/>
        <w:contextualSpacing/>
        <w:rPr>
          <w:rFonts w:ascii="仿宋_GB2312" w:eastAsia="仿宋_GB2312"/>
          <w:sz w:val="24"/>
          <w:szCs w:val="24"/>
        </w:rPr>
      </w:pPr>
    </w:p>
    <w:p>
      <w:pPr>
        <w:spacing w:line="360" w:lineRule="auto"/>
        <w:jc w:val="center"/>
        <w:rPr>
          <w:rFonts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一、投诉相关主体基本情况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tabs>
          <w:tab w:val="left" w:pos="6510"/>
        </w:tabs>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法定代表人/主要负责人：</w:t>
      </w:r>
    </w:p>
    <w:p>
      <w:pPr>
        <w:tabs>
          <w:tab w:val="left" w:pos="6510"/>
        </w:tabs>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联系电话：</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被投诉人1：</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被投诉人2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相关供应商：</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二、投诉项目基本情况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采购项目名称：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采购项目编号：包号：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采购人名称：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代理机构名称：</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三、质疑基本情况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四、投诉事项具体内容</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投诉事项 1：</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事实依据：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法律依据：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投诉事项2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请求：</w:t>
      </w:r>
    </w:p>
    <w:p>
      <w:pPr>
        <w:spacing w:line="360" w:lineRule="auto"/>
        <w:rPr>
          <w:rFonts w:ascii="仿宋_GB2312" w:hAnsi="宋体" w:eastAsia="仿宋_GB2312" w:cs="宋体"/>
          <w:sz w:val="24"/>
          <w:szCs w:val="24"/>
          <w:u w:val="single"/>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签字(签章)：                   公章：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日期：    </w:t>
      </w:r>
    </w:p>
    <w:p>
      <w:pPr>
        <w:spacing w:line="360" w:lineRule="auto"/>
        <w:rPr>
          <w:rFonts w:ascii="仿宋_GB2312" w:hAnsi="宋体" w:eastAsia="仿宋_GB2312" w:cs="宋体"/>
          <w:b/>
          <w:sz w:val="24"/>
          <w:szCs w:val="24"/>
        </w:rPr>
      </w:pPr>
    </w:p>
    <w:p>
      <w:pPr>
        <w:spacing w:line="360" w:lineRule="auto"/>
        <w:rPr>
          <w:rFonts w:ascii="仿宋_GB2312" w:hAnsi="宋体" w:eastAsia="仿宋_GB2312" w:cs="宋体"/>
          <w:b/>
          <w:sz w:val="24"/>
          <w:szCs w:val="24"/>
        </w:rPr>
      </w:pP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投诉书制作说明：</w:t>
      </w:r>
    </w:p>
    <w:p>
      <w:pPr>
        <w:widowControl/>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pPr>
        <w:spacing w:line="360" w:lineRule="auto"/>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附件4：</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业务专用章使用说明函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r>
        <w:rPr>
          <w:rFonts w:hint="eastAsia" w:ascii="仿宋_GB2312" w:eastAsia="仿宋_GB2312"/>
          <w:sz w:val="24"/>
          <w:szCs w:val="24"/>
        </w:rPr>
        <w:t>附：</w:t>
      </w:r>
    </w:p>
    <w:p>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kzKQ9cAAAAJAQAADwAAAAAAAAABACAAAAAiAAAAZHJzL2Rvd25yZXYueG1sUEsB&#10;AhQAFAAAAAgAh07iQIt2Oo0vAgAAggQAAA4AAAAAAAAAAQAgAAAAJgEAAGRycy9lMm9Eb2MueG1s&#10;UEsFBgAAAAAGAAYAWQEAAMcFA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LR/YTc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VNQP1gAAAAgBAAAPAAAAAAAAAAEAIAAAACIAAABkcnMvZG93bnJldi54bWxQSwEC&#10;FAAUAAAACACHTuJAtH9hNy8CAACCBAAADgAAAAAAAAABACAAAAAlAQAAZHJzL2Uyb0RvYy54bWxQ&#10;SwUGAAAAAAYABgBZAQAAxgUAAAAA&#10;">
                <v:fill on="t" focussize="0,0"/>
                <v:stroke color="#000000" miterlimit="2" joinstyle="miter"/>
                <v:imagedata o:title=""/>
                <o:lock v:ext="edit" aspectratio="f"/>
              </v:rect>
            </w:pict>
          </mc:Fallback>
        </mc:AlternateConten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rPr>
          <w:rFonts w:hint="eastAsia" w:ascii="仿宋_GB2312" w:eastAsia="仿宋_GB2312"/>
          <w:sz w:val="28"/>
          <w:szCs w:val="28"/>
        </w:rPr>
      </w:pPr>
      <w:r>
        <w:rPr>
          <w:rFonts w:hint="eastAsia" w:ascii="仿宋_GB2312" w:eastAsia="仿宋_GB2312"/>
          <w:sz w:val="28"/>
          <w:szCs w:val="28"/>
        </w:rPr>
        <w:br w:type="page"/>
      </w:r>
    </w:p>
    <w:p>
      <w:pPr>
        <w:spacing w:line="540" w:lineRule="exact"/>
        <w:contextualSpacing/>
        <w:rPr>
          <w:rFonts w:ascii="仿宋_GB2312" w:eastAsia="仿宋_GB2312"/>
          <w:sz w:val="28"/>
          <w:szCs w:val="28"/>
        </w:rPr>
      </w:pPr>
      <w:r>
        <w:rPr>
          <w:rFonts w:hint="eastAsia" w:ascii="仿宋_GB2312" w:eastAsia="仿宋_GB2312"/>
          <w:sz w:val="28"/>
          <w:szCs w:val="28"/>
        </w:rPr>
        <w:t>附件5：</w:t>
      </w: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中小企业声明函（工程、服务）</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w:t>
      </w:r>
      <w:r>
        <w:rPr>
          <w:rFonts w:hint="eastAsia" w:ascii="仿宋_GB2312" w:eastAsia="仿宋_GB2312"/>
          <w:sz w:val="24"/>
          <w:szCs w:val="24"/>
          <w:lang w:eastAsia="zh-CN"/>
        </w:rPr>
        <w:t>舟山绿色石化基地管理委员会</w:t>
      </w:r>
      <w:r>
        <w:rPr>
          <w:rFonts w:hint="eastAsia" w:ascii="仿宋_GB2312" w:eastAsia="仿宋_GB2312"/>
          <w:sz w:val="24"/>
          <w:szCs w:val="24"/>
        </w:rPr>
        <w:t>） 的 （</w:t>
      </w:r>
      <w:r>
        <w:rPr>
          <w:rFonts w:hint="eastAsia" w:ascii="仿宋_GB2312" w:eastAsia="仿宋_GB2312"/>
          <w:sz w:val="24"/>
          <w:szCs w:val="24"/>
          <w:lang w:eastAsia="zh-CN"/>
        </w:rPr>
        <w:t>石化基地安全环保咨询服务项目</w:t>
      </w:r>
      <w:r>
        <w:rPr>
          <w:rFonts w:hint="eastAsia" w:ascii="仿宋_GB2312" w:eastAsia="仿宋_GB2312"/>
          <w:sz w:val="24"/>
          <w:szCs w:val="24"/>
        </w:rPr>
        <w:t>） 采购活动，服务全部由符合政策要求的中小企业承接。相关企业（含联合体中的中小企业、签订分包意向协议的中小企业）的具体情况如下：</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 </w:t>
      </w:r>
      <w:r>
        <w:rPr>
          <w:rFonts w:hint="eastAsia" w:ascii="仿宋_GB2312" w:eastAsia="仿宋_GB2312"/>
          <w:sz w:val="24"/>
          <w:szCs w:val="24"/>
          <w:u w:val="single"/>
        </w:rPr>
        <w:t>2024年舟山绿色石化基地安全环保咨询服务</w:t>
      </w:r>
      <w:r>
        <w:rPr>
          <w:rFonts w:hint="eastAsia" w:ascii="仿宋_GB2312" w:eastAsia="仿宋_GB2312"/>
          <w:sz w:val="24"/>
          <w:szCs w:val="24"/>
        </w:rPr>
        <w:t>，属于</w:t>
      </w:r>
      <w:r>
        <w:rPr>
          <w:rFonts w:hint="eastAsia" w:ascii="仿宋_GB2312" w:eastAsia="仿宋_GB2312"/>
          <w:sz w:val="24"/>
          <w:szCs w:val="24"/>
          <w:u w:val="single"/>
        </w:rPr>
        <w:t>租赁和商务服务业</w:t>
      </w:r>
      <w:r>
        <w:rPr>
          <w:rFonts w:hint="eastAsia" w:ascii="仿宋_GB2312" w:eastAsia="仿宋_GB2312"/>
          <w:sz w:val="24"/>
          <w:szCs w:val="24"/>
        </w:rPr>
        <w:t>；承接企业为 (企业名称)，从业人员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万元，属于</w:t>
      </w:r>
      <w:r>
        <w:rPr>
          <w:rFonts w:hint="eastAsia" w:ascii="仿宋_GB2312" w:eastAsia="仿宋_GB2312"/>
          <w:sz w:val="24"/>
          <w:szCs w:val="24"/>
          <w:u w:val="single"/>
        </w:rPr>
        <w:t xml:space="preserve">   </w:t>
      </w:r>
      <w:r>
        <w:rPr>
          <w:rFonts w:hint="eastAsia" w:ascii="仿宋_GB2312" w:eastAsia="仿宋_GB2312"/>
          <w:sz w:val="24"/>
          <w:szCs w:val="24"/>
        </w:rPr>
        <w:t>（中型企业、小型企业、微型企业）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pPr>
        <w:spacing w:line="500" w:lineRule="exact"/>
        <w:ind w:firstLine="4680" w:firstLineChars="1950"/>
        <w:contextualSpacing/>
        <w:rPr>
          <w:rFonts w:ascii="仿宋_GB2312" w:eastAsia="仿宋_GB2312"/>
          <w:sz w:val="24"/>
          <w:szCs w:val="24"/>
        </w:rPr>
      </w:pP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pPr>
        <w:keepNext w:val="0"/>
        <w:keepLines w:val="0"/>
        <w:pageBreakBefore w:val="0"/>
        <w:widowControl w:val="0"/>
        <w:kinsoku/>
        <w:wordWrap/>
        <w:overflowPunct/>
        <w:topLinePunct w:val="0"/>
        <w:autoSpaceDE/>
        <w:autoSpaceDN/>
        <w:bidi w:val="0"/>
        <w:adjustRightInd/>
        <w:snapToGrid/>
        <w:spacing w:line="288" w:lineRule="auto"/>
        <w:contextualSpacing/>
        <w:textAlignment w:val="auto"/>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snapToGrid/>
        <w:spacing w:line="288" w:lineRule="auto"/>
        <w:ind w:right="420" w:firstLine="480" w:firstLineChars="200"/>
        <w:textAlignment w:val="auto"/>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pPr>
        <w:autoSpaceDE w:val="0"/>
        <w:autoSpaceDN w:val="0"/>
        <w:rPr>
          <w:rFonts w:ascii="仿宋_GB2312" w:hAnsi="宋体" w:eastAsia="仿宋_GB2312" w:cs="宋体"/>
          <w:spacing w:val="6"/>
          <w:sz w:val="28"/>
          <w:szCs w:val="28"/>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type="lines" w:linePitch="312" w:charSpace="0"/>
        </w:sectPr>
      </w:pPr>
    </w:p>
    <w:tbl>
      <w:tblPr>
        <w:tblStyle w:val="24"/>
        <w:tblpPr w:leftFromText="180" w:rightFromText="180" w:vertAnchor="page" w:horzAnchor="margin" w:tblpXSpec="center" w:tblpY="886"/>
        <w:tblW w:w="15318" w:type="dxa"/>
        <w:jc w:val="center"/>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tblPrEx>
          <w:tblCellMar>
            <w:top w:w="0" w:type="dxa"/>
            <w:left w:w="108" w:type="dxa"/>
            <w:bottom w:w="0" w:type="dxa"/>
            <w:right w:w="108" w:type="dxa"/>
          </w:tblCellMar>
        </w:tblPrEx>
        <w:trPr>
          <w:trHeight w:val="420" w:hRule="atLeast"/>
          <w:jc w:val="center"/>
        </w:trPr>
        <w:tc>
          <w:tcPr>
            <w:tcW w:w="15318" w:type="dxa"/>
            <w:gridSpan w:val="10"/>
            <w:tcBorders>
              <w:top w:val="nil"/>
              <w:left w:val="nil"/>
              <w:bottom w:val="nil"/>
              <w:right w:val="nil"/>
            </w:tcBorders>
            <w:noWrap w:val="0"/>
            <w:vAlign w:val="bottom"/>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中小微行业划型标准规定（根据工信部联企业〔2011〕300号制定）【以文件规定为准】</w:t>
            </w:r>
          </w:p>
        </w:tc>
      </w:tr>
      <w:tr>
        <w:tblPrEx>
          <w:tblCellMar>
            <w:top w:w="0" w:type="dxa"/>
            <w:left w:w="108" w:type="dxa"/>
            <w:bottom w:w="0" w:type="dxa"/>
            <w:right w:w="108" w:type="dxa"/>
          </w:tblCellMar>
        </w:tblPrEx>
        <w:trPr>
          <w:trHeight w:val="305" w:hRule="atLeast"/>
          <w:jc w:val="center"/>
        </w:trPr>
        <w:tc>
          <w:tcPr>
            <w:tcW w:w="2376" w:type="dxa"/>
            <w:vMerge w:val="restart"/>
            <w:tcBorders>
              <w:top w:val="single" w:color="auto" w:sz="8" w:space="0"/>
              <w:left w:val="single" w:color="auto" w:sz="8" w:space="0"/>
              <w:bottom w:val="single" w:color="000000" w:sz="4" w:space="0"/>
              <w:right w:val="single" w:color="auto" w:sz="8" w:space="0"/>
            </w:tcBorders>
            <w:noWrap w:val="0"/>
            <w:vAlign w:val="center"/>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tblPrEx>
          <w:tblCellMar>
            <w:top w:w="0" w:type="dxa"/>
            <w:left w:w="108" w:type="dxa"/>
            <w:bottom w:w="0" w:type="dxa"/>
            <w:right w:w="108" w:type="dxa"/>
          </w:tblCellMar>
        </w:tblPrEx>
        <w:trPr>
          <w:trHeight w:val="525" w:hRule="atLeast"/>
          <w:jc w:val="center"/>
        </w:trPr>
        <w:tc>
          <w:tcPr>
            <w:tcW w:w="2376" w:type="dxa"/>
            <w:vMerge w:val="continue"/>
            <w:tcBorders>
              <w:top w:val="single" w:color="auto" w:sz="8" w:space="0"/>
              <w:left w:val="single" w:color="auto" w:sz="8" w:space="0"/>
              <w:bottom w:val="single" w:color="000000" w:sz="4" w:space="0"/>
              <w:right w:val="single" w:color="auto" w:sz="8" w:space="0"/>
            </w:tcBorders>
            <w:noWrap w:val="0"/>
            <w:vAlign w:val="center"/>
          </w:tcPr>
          <w:p>
            <w:pPr>
              <w:jc w:val="left"/>
              <w:outlineLvl w:val="9"/>
              <w:rPr>
                <w:rFonts w:hint="eastAsia" w:ascii="宋体" w:hAnsi="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val="0"/>
                <w:bCs w:val="0"/>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50≤Y＜1000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val="0"/>
                <w:bCs w:val="0"/>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val="0"/>
                <w:bCs w:val="0"/>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100≤Z＜8000</w:t>
            </w: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Z＜100</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8"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660" w:type="dxa"/>
            <w:tcBorders>
              <w:top w:val="nil"/>
              <w:left w:val="nil"/>
              <w:bottom w:val="single" w:color="auto" w:sz="8"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520" w:type="dxa"/>
            <w:tcBorders>
              <w:top w:val="nil"/>
              <w:left w:val="nil"/>
              <w:bottom w:val="single" w:color="auto" w:sz="8"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221" w:type="dxa"/>
            <w:tcBorders>
              <w:top w:val="nil"/>
              <w:left w:val="nil"/>
              <w:bottom w:val="single" w:color="auto" w:sz="8"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5318" w:type="dxa"/>
            <w:gridSpan w:val="10"/>
            <w:tcBorders>
              <w:top w:val="nil"/>
              <w:left w:val="nil"/>
              <w:bottom w:val="nil"/>
              <w:right w:val="nil"/>
            </w:tcBorders>
            <w:noWrap w:val="0"/>
            <w:vAlign w:val="bottom"/>
          </w:tcPr>
          <w:p>
            <w:pPr>
              <w:jc w:val="left"/>
              <w:outlineLvl w:val="9"/>
              <w:rPr>
                <w:rFonts w:hint="eastAsia" w:ascii="宋体" w:hAnsi="宋体" w:cs="宋体"/>
                <w:color w:val="auto"/>
                <w:sz w:val="18"/>
                <w:szCs w:val="18"/>
                <w:highlight w:val="none"/>
              </w:rPr>
            </w:pPr>
            <w:r>
              <w:rPr>
                <w:rFonts w:hint="eastAsia" w:ascii="宋体" w:hAnsi="宋体" w:cs="宋体"/>
                <w:color w:val="auto"/>
                <w:sz w:val="18"/>
                <w:szCs w:val="18"/>
                <w:highlight w:val="none"/>
              </w:rPr>
              <w:t>说明：1、企业类型的划分以统计部门的统计数据为依据。</w:t>
            </w:r>
          </w:p>
          <w:p>
            <w:pPr>
              <w:ind w:firstLine="540" w:firstLineChars="300"/>
              <w:jc w:val="left"/>
              <w:outlineLvl w:val="9"/>
              <w:rPr>
                <w:rFonts w:hint="eastAsia" w:ascii="宋体" w:hAnsi="宋体" w:cs="宋体"/>
                <w:color w:val="auto"/>
                <w:sz w:val="18"/>
                <w:szCs w:val="18"/>
                <w:highlight w:val="none"/>
              </w:rPr>
            </w:pPr>
            <w:r>
              <w:rPr>
                <w:rFonts w:hint="eastAsia" w:ascii="宋体" w:hAnsi="宋体" w:cs="宋体"/>
                <w:color w:val="auto"/>
                <w:sz w:val="18"/>
                <w:szCs w:val="18"/>
                <w:highlight w:val="none"/>
              </w:rPr>
              <w:t>2、个体工商户和本规定以外的行业，参照本规定进行划型。</w:t>
            </w:r>
          </w:p>
          <w:p>
            <w:pPr>
              <w:ind w:firstLine="540" w:firstLineChars="300"/>
              <w:jc w:val="left"/>
              <w:outlineLvl w:val="9"/>
              <w:rPr>
                <w:rFonts w:hint="eastAsia" w:ascii="宋体" w:hAnsi="宋体" w:cs="宋体"/>
                <w:color w:val="auto"/>
                <w:sz w:val="18"/>
                <w:szCs w:val="18"/>
                <w:highlight w:val="none"/>
              </w:rPr>
            </w:pPr>
            <w:r>
              <w:rPr>
                <w:rFonts w:hint="eastAsia" w:ascii="宋体" w:hAnsi="宋体" w:cs="宋体"/>
                <w:color w:val="auto"/>
                <w:sz w:val="18"/>
                <w:szCs w:val="18"/>
                <w:highlight w:val="none"/>
              </w:rPr>
              <w:t>3、本规定的中型企业标准上限即为大型企业标准的下限。</w:t>
            </w:r>
          </w:p>
          <w:p>
            <w:pPr>
              <w:pStyle w:val="22"/>
              <w:ind w:firstLine="542" w:firstLineChars="300"/>
              <w:outlineLvl w:val="9"/>
              <w:rPr>
                <w:rFonts w:hint="eastAsia" w:ascii="宋体" w:hAnsi="宋体" w:cs="宋体"/>
                <w:color w:val="auto"/>
                <w:sz w:val="18"/>
                <w:szCs w:val="18"/>
                <w:highlight w:val="none"/>
                <w:lang w:val="en-US" w:eastAsia="zh-CN"/>
              </w:rPr>
            </w:pPr>
            <w:r>
              <w:rPr>
                <w:rFonts w:hint="eastAsia" w:ascii="宋体" w:hAnsi="宋体" w:cs="宋体"/>
                <w:b/>
                <w:bCs/>
                <w:color w:val="auto"/>
                <w:sz w:val="18"/>
                <w:szCs w:val="18"/>
                <w:highlight w:val="none"/>
                <w:lang w:val="en-US" w:eastAsia="zh-CN"/>
              </w:rPr>
              <w:t>4、《关于印发中小企业划型标准规定的通知(工信部联企业〔2011〕300号)》全文链接：http://zfcg.changzhou.gov.cn/print.php?fid=191352060146258</w:t>
            </w:r>
          </w:p>
        </w:tc>
      </w:tr>
    </w:tbl>
    <w:p>
      <w:pPr>
        <w:pStyle w:val="22"/>
        <w:sectPr>
          <w:pgSz w:w="16838" w:h="11906" w:orient="landscape"/>
          <w:pgMar w:top="1134" w:right="1276" w:bottom="1134" w:left="1247" w:header="851" w:footer="992" w:gutter="0"/>
          <w:cols w:space="720" w:num="1"/>
          <w:titlePg/>
          <w:docGrid w:type="lines" w:linePitch="312" w:charSpace="0"/>
        </w:sectPr>
      </w:pPr>
    </w:p>
    <w:p/>
    <w:p>
      <w:pPr>
        <w:autoSpaceDE w:val="0"/>
        <w:autoSpaceDN w:val="0"/>
        <w:rPr>
          <w:rFonts w:ascii="仿宋_GB2312" w:hAnsi="宋体" w:eastAsia="仿宋_GB2312" w:cs="宋体"/>
          <w:spacing w:val="6"/>
          <w:sz w:val="28"/>
          <w:szCs w:val="28"/>
        </w:rPr>
      </w:pPr>
      <w:r>
        <w:rPr>
          <w:rFonts w:hint="eastAsia" w:ascii="仿宋_GB2312" w:hAnsi="宋体" w:eastAsia="仿宋_GB2312" w:cs="宋体"/>
          <w:spacing w:val="6"/>
          <w:sz w:val="28"/>
          <w:szCs w:val="28"/>
        </w:rPr>
        <w:t>附件6：</w:t>
      </w:r>
    </w:p>
    <w:p>
      <w:pPr>
        <w:autoSpaceDE w:val="0"/>
        <w:autoSpaceDN w:val="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pPr>
        <w:widowControl/>
        <w:spacing w:line="360" w:lineRule="auto"/>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pPr>
        <w:snapToGrid w:val="0"/>
        <w:spacing w:line="360" w:lineRule="auto"/>
        <w:ind w:firstLine="576"/>
        <w:rPr>
          <w:rFonts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405" w:name="_Hlk101131882"/>
      <w:r>
        <w:rPr>
          <w:rFonts w:hint="eastAsia" w:ascii="仿宋_GB2312" w:hAnsi="宋体" w:eastAsia="仿宋_GB2312" w:cs="宋体"/>
          <w:kern w:val="0"/>
          <w:sz w:val="24"/>
          <w:szCs w:val="24"/>
          <w:u w:val="single"/>
        </w:rPr>
        <w:t>联合体成员X,……</w:t>
      </w:r>
      <w:bookmarkEnd w:id="405"/>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406"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406"/>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07"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7"/>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right="960"/>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snapToGrid w:val="0"/>
        <w:spacing w:line="360" w:lineRule="auto"/>
        <w:rPr>
          <w:rFonts w:ascii="仿宋_GB2312" w:hAnsi="宋体" w:eastAsia="仿宋_GB2312" w:cs="宋体"/>
          <w:spacing w:val="6"/>
          <w:sz w:val="28"/>
          <w:szCs w:val="28"/>
        </w:rPr>
      </w:pPr>
      <w:r>
        <w:rPr>
          <w:rFonts w:hint="eastAsia" w:ascii="仿宋_GB2312" w:hAnsi="宋体" w:eastAsia="仿宋_GB2312" w:cs="宋体"/>
          <w:spacing w:val="6"/>
          <w:sz w:val="28"/>
          <w:szCs w:val="28"/>
        </w:rPr>
        <w:t>附件7：</w:t>
      </w:r>
    </w:p>
    <w:p>
      <w:pPr>
        <w:snapToGrid w:val="0"/>
        <w:spacing w:line="360" w:lineRule="auto"/>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pPr>
        <w:widowControl/>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pPr>
        <w:snapToGrid w:val="0"/>
        <w:spacing w:line="360" w:lineRule="auto"/>
        <w:ind w:firstLine="600" w:firstLineChars="25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pPr>
        <w:pStyle w:val="2"/>
        <w:ind w:left="664" w:leftChars="316" w:firstLine="229" w:firstLineChars="95"/>
        <w:rPr>
          <w:rFonts w:ascii="仿宋_GB2312" w:hAnsi="宋体" w:eastAsia="仿宋_GB2312" w:cs="宋体"/>
          <w:kern w:val="0"/>
          <w:sz w:val="24"/>
          <w:szCs w:val="24"/>
        </w:rPr>
      </w:pPr>
      <w:r>
        <w:rPr>
          <w:rFonts w:hint="eastAsia" w:ascii="仿宋_GB2312" w:hAnsi="宋体" w:eastAsia="仿宋_GB2312" w:cs="宋体"/>
          <w:kern w:val="0"/>
          <w:sz w:val="24"/>
          <w:szCs w:val="24"/>
        </w:rPr>
        <w:t>……</w:t>
      </w:r>
    </w:p>
    <w:p>
      <w:pPr>
        <w:rPr>
          <w:rFonts w:ascii="仿宋_GB2312" w:eastAsia="仿宋_GB2312"/>
          <w:sz w:val="24"/>
          <w:szCs w:val="24"/>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pPr>
        <w:snapToGrid w:val="0"/>
        <w:spacing w:line="360" w:lineRule="auto"/>
        <w:ind w:firstLine="576"/>
        <w:rPr>
          <w:rFonts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pPr>
        <w:snapToGrid w:val="0"/>
        <w:spacing w:line="360" w:lineRule="auto"/>
        <w:ind w:firstLine="576"/>
        <w:rPr>
          <w:rFonts w:ascii="仿宋_GB2312" w:hAnsi="宋体" w:eastAsia="仿宋_GB2312" w:cs="宋体"/>
          <w:sz w:val="24"/>
          <w:szCs w:val="24"/>
          <w:u w:val="single"/>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pPr>
        <w:snapToGrid w:val="0"/>
        <w:spacing w:line="360" w:lineRule="auto"/>
        <w:ind w:firstLine="576"/>
        <w:rPr>
          <w:rFonts w:ascii="仿宋_GB2312" w:hAnsi="宋体" w:eastAsia="仿宋_GB2312" w:cs="宋体"/>
          <w:kern w:val="0"/>
          <w:sz w:val="24"/>
          <w:szCs w:val="24"/>
          <w:lang w:val="zh-CN"/>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pPr>
        <w:snapToGrid w:val="0"/>
        <w:spacing w:line="360" w:lineRule="auto"/>
        <w:ind w:left="573" w:leftChars="273"/>
        <w:rPr>
          <w:rFonts w:ascii="仿宋_GB2312" w:hAnsi="宋体" w:eastAsia="仿宋_GB2312" w:cs="宋体"/>
          <w:kern w:val="0"/>
          <w:sz w:val="24"/>
          <w:szCs w:val="24"/>
          <w:lang w:val="zh-CN"/>
        </w:rPr>
      </w:pPr>
    </w:p>
    <w:p>
      <w:pPr>
        <w:snapToGrid w:val="0"/>
        <w:spacing w:line="360" w:lineRule="auto"/>
        <w:ind w:left="573" w:leftChars="273"/>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pPr>
        <w:snapToGrid w:val="0"/>
        <w:spacing w:line="360" w:lineRule="auto"/>
        <w:ind w:firstLine="576"/>
        <w:rPr>
          <w:rFonts w:ascii="仿宋_GB2312" w:hAnsi="宋体" w:eastAsia="仿宋_GB2312" w:cs="宋体"/>
          <w:kern w:val="0"/>
          <w:sz w:val="24"/>
          <w:szCs w:val="24"/>
          <w:lang w:val="zh-CN"/>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pPr>
        <w:snapToGrid w:val="0"/>
        <w:spacing w:line="360" w:lineRule="auto"/>
        <w:ind w:firstLine="576"/>
        <w:rPr>
          <w:rFonts w:ascii="仿宋_GB2312" w:hAnsi="宋体" w:eastAsia="仿宋_GB2312" w:cs="宋体"/>
          <w:kern w:val="0"/>
          <w:sz w:val="24"/>
          <w:szCs w:val="24"/>
          <w:lang w:val="zh-CN"/>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pPr>
        <w:snapToGrid w:val="0"/>
        <w:spacing w:line="360" w:lineRule="auto"/>
        <w:ind w:firstLine="576"/>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46" w:leftChars="2622" w:hanging="240" w:hangingChars="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pPr>
        <w:snapToGrid w:val="0"/>
        <w:spacing w:line="360" w:lineRule="auto"/>
        <w:ind w:firstLine="5760" w:firstLineChars="2400"/>
        <w:rPr>
          <w:rFonts w:ascii="仿宋_GB2312" w:hAnsi="宋体" w:eastAsia="仿宋_GB2312" w:cs="宋体"/>
          <w:sz w:val="24"/>
          <w:szCs w:val="24"/>
        </w:rPr>
      </w:pPr>
      <w:r>
        <w:rPr>
          <w:rFonts w:hint="eastAsia" w:ascii="仿宋_GB2312" w:hAnsi="宋体" w:eastAsia="仿宋_GB2312" w:cs="宋体"/>
          <w:kern w:val="0"/>
          <w:sz w:val="24"/>
          <w:szCs w:val="24"/>
          <w:lang w:val="zh-CN"/>
        </w:rPr>
        <w:t>……</w:t>
      </w:r>
    </w:p>
    <w:p>
      <w:pPr>
        <w:pStyle w:val="8"/>
        <w:rPr>
          <w:rFonts w:ascii="仿宋_GB2312" w:eastAsia="仿宋_GB2312"/>
        </w:rPr>
      </w:pPr>
      <w:r>
        <w:rPr>
          <w:rFonts w:hint="eastAsia" w:ascii="仿宋_GB2312" w:hAnsi="宋体" w:eastAsia="仿宋_GB2312" w:cs="宋体"/>
          <w:kern w:val="0"/>
          <w:sz w:val="24"/>
          <w:szCs w:val="24"/>
          <w:lang w:val="zh-CN"/>
        </w:rPr>
        <w:t xml:space="preserve">                                        日期：  年  月   日</w:t>
      </w: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pStyle w:val="8"/>
        <w:rPr>
          <w:rFonts w:ascii="仿宋_GB2312" w:eastAsia="仿宋_GB2312"/>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政  采  贷</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pPr>
              <w:numPr>
                <w:ilvl w:val="0"/>
                <w:numId w:val="3"/>
              </w:num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pPr>
              <w:numPr>
                <w:ilvl w:val="0"/>
                <w:numId w:val="4"/>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pPr>
              <w:numPr>
                <w:ilvl w:val="0"/>
                <w:numId w:val="4"/>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pPr>
              <w:numPr>
                <w:ilvl w:val="0"/>
                <w:numId w:val="4"/>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pPr>
              <w:numPr>
                <w:ilvl w:val="0"/>
                <w:numId w:val="4"/>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普陀片区：蔡妮妮</w:t>
            </w:r>
          </w:p>
          <w:p>
            <w:pPr>
              <w:spacing w:line="400" w:lineRule="exact"/>
              <w:contextualSpacing/>
              <w:jc w:val="center"/>
              <w:rPr>
                <w:rFonts w:ascii="仿宋_GB2312" w:eastAsia="仿宋_GB2312"/>
                <w:sz w:val="24"/>
              </w:rPr>
            </w:pPr>
            <w:r>
              <w:rPr>
                <w:rFonts w:hint="eastAsia" w:ascii="仿宋_GB2312" w:eastAsia="仿宋_GB2312"/>
                <w:sz w:val="24"/>
              </w:rPr>
              <w:t>定海片区：杨莹</w:t>
            </w:r>
          </w:p>
          <w:p>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普陀片区：13957201791</w:t>
            </w:r>
          </w:p>
          <w:p>
            <w:pPr>
              <w:spacing w:line="400" w:lineRule="exact"/>
              <w:contextualSpacing/>
              <w:rPr>
                <w:rFonts w:ascii="仿宋_GB2312" w:eastAsia="仿宋_GB2312"/>
                <w:sz w:val="24"/>
              </w:rPr>
            </w:pPr>
            <w:r>
              <w:rPr>
                <w:rFonts w:hint="eastAsia" w:ascii="仿宋_GB2312" w:eastAsia="仿宋_GB2312"/>
                <w:sz w:val="24"/>
              </w:rPr>
              <w:t>定海片区：13655803997</w:t>
            </w:r>
          </w:p>
          <w:p>
            <w:pPr>
              <w:spacing w:line="400" w:lineRule="exact"/>
              <w:contextualSpacing/>
              <w:rPr>
                <w:rFonts w:ascii="仿宋_GB2312" w:eastAsia="仿宋_GB2312"/>
                <w:sz w:val="24"/>
              </w:rPr>
            </w:pPr>
            <w:r>
              <w:rPr>
                <w:rFonts w:hint="eastAsia" w:ascii="仿宋_GB2312" w:eastAsia="仿宋_GB2312"/>
                <w:sz w:val="24"/>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pPr>
              <w:numPr>
                <w:ilvl w:val="0"/>
                <w:numId w:val="5"/>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pPr>
              <w:numPr>
                <w:ilvl w:val="0"/>
                <w:numId w:val="5"/>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5"/>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pPr>
              <w:numPr>
                <w:ilvl w:val="0"/>
                <w:numId w:val="5"/>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0580-2260728</w:t>
            </w:r>
          </w:p>
          <w:p>
            <w:pPr>
              <w:spacing w:line="400" w:lineRule="exact"/>
              <w:contextualSpacing/>
              <w:rPr>
                <w:rFonts w:ascii="仿宋_GB2312" w:eastAsia="仿宋_GB2312"/>
                <w:sz w:val="24"/>
              </w:rPr>
            </w:pPr>
            <w:r>
              <w:rPr>
                <w:rFonts w:hint="eastAsia" w:ascii="仿宋_GB2312" w:eastAsia="仿宋_GB2312"/>
                <w:sz w:val="24"/>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13732527321</w:t>
            </w:r>
          </w:p>
        </w:tc>
      </w:tr>
    </w:tbl>
    <w:p>
      <w:pPr>
        <w:spacing w:line="360" w:lineRule="auto"/>
        <w:contextualSpacing/>
        <w:rPr>
          <w:rFonts w:ascii="仿宋_GB2312" w:eastAsia="仿宋_GB2312"/>
          <w:sz w:val="24"/>
        </w:rPr>
      </w:pPr>
      <w:r>
        <w:rPr>
          <w:rFonts w:hint="eastAsia" w:ascii="仿宋_GB2312" w:eastAsia="仿宋_GB2312"/>
          <w:sz w:val="24"/>
        </w:rPr>
        <w:t>1. 一般步骤</w:t>
      </w:r>
    </w:p>
    <w:p>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pPr>
        <w:spacing w:line="360" w:lineRule="auto"/>
        <w:contextualSpacing/>
        <w:rPr>
          <w:rFonts w:ascii="仿宋_GB2312" w:eastAsia="仿宋_GB2312"/>
          <w:sz w:val="24"/>
        </w:rPr>
      </w:pPr>
      <w:r>
        <w:rPr>
          <w:rFonts w:hint="eastAsia" w:ascii="仿宋_GB2312" w:eastAsia="仿宋_GB2312"/>
          <w:sz w:val="24"/>
        </w:rPr>
        <w:t>2. 注意事项</w:t>
      </w:r>
    </w:p>
    <w:p>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pPr>
        <w:spacing w:line="540" w:lineRule="exact"/>
        <w:contextualSpacing/>
        <w:rPr>
          <w:rFonts w:ascii="仿宋_GB2312" w:eastAsia="仿宋_GB2312"/>
          <w:sz w:val="24"/>
          <w:szCs w:val="24"/>
        </w:rPr>
      </w:pPr>
    </w:p>
    <w:p>
      <w:pPr>
        <w:rPr>
          <w:rFonts w:ascii="仿宋_GB2312" w:eastAsia="仿宋_GB2312"/>
          <w:sz w:val="24"/>
          <w:szCs w:val="24"/>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sectPr>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848494"/>
    </w:sdtPr>
    <w:sdtContent>
      <w:p>
        <w:pPr>
          <w:pStyle w:val="1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63</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848495"/>
    </w:sdtPr>
    <w:sdtContent>
      <w:p>
        <w:pPr>
          <w:pStyle w:val="15"/>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4"/>
    </w:sdtPr>
    <w:sdtContent>
      <w:p>
        <w:pPr>
          <w:pStyle w:val="15"/>
          <w:jc w:val="center"/>
        </w:pPr>
        <w:r>
          <w:fldChar w:fldCharType="begin"/>
        </w:r>
        <w:r>
          <w:instrText xml:space="preserve"> PAGE   \* MERGEFORMAT </w:instrText>
        </w:r>
        <w:r>
          <w:fldChar w:fldCharType="separate"/>
        </w:r>
        <w:r>
          <w:rPr>
            <w:lang w:val="zh-CN"/>
          </w:rPr>
          <w:t>61</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3"/>
    </w:sdtPr>
    <w:sdtContent>
      <w:p>
        <w:pPr>
          <w:pStyle w:val="15"/>
          <w:jc w:val="center"/>
        </w:pPr>
        <w:r>
          <w:fldChar w:fldCharType="begin"/>
        </w:r>
        <w:r>
          <w:instrText xml:space="preserve"> PAGE   \* MERGEFORMAT </w:instrText>
        </w:r>
        <w:r>
          <w:fldChar w:fldCharType="separate"/>
        </w:r>
        <w:r>
          <w:rPr>
            <w:lang w:val="zh-CN"/>
          </w:rPr>
          <w:t>22</w:t>
        </w:r>
        <w:r>
          <w:rPr>
            <w:lang w:val="zh-CN"/>
          </w:rPr>
          <w:fldChar w:fldCharType="end"/>
        </w:r>
      </w:p>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7"/>
    </w:sdtPr>
    <w:sdtContent>
      <w:p>
        <w:pPr>
          <w:pStyle w:val="15"/>
          <w:jc w:val="center"/>
        </w:pPr>
        <w:r>
          <w:fldChar w:fldCharType="begin"/>
        </w:r>
        <w:r>
          <w:instrText xml:space="preserve"> PAGE   \* MERGEFORMAT </w:instrText>
        </w:r>
        <w:r>
          <w:fldChar w:fldCharType="separate"/>
        </w:r>
        <w:r>
          <w:rPr>
            <w:lang w:val="zh-CN"/>
          </w:rPr>
          <w:t>65</w:t>
        </w:r>
        <w:r>
          <w:rPr>
            <w:lang w:val="zh-CN"/>
          </w:rPr>
          <w:fldChar w:fldCharType="end"/>
        </w:r>
      </w:p>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6"/>
    </w:sdtPr>
    <w:sdtContent>
      <w:p>
        <w:pPr>
          <w:pStyle w:val="15"/>
          <w:jc w:val="center"/>
        </w:pPr>
        <w:r>
          <w:fldChar w:fldCharType="begin"/>
        </w:r>
        <w:r>
          <w:instrText xml:space="preserve"> PAGE   \* MERGEFORMAT </w:instrText>
        </w:r>
        <w:r>
          <w:fldChar w:fldCharType="separate"/>
        </w:r>
        <w:r>
          <w:rPr>
            <w:lang w:val="zh-CN"/>
          </w:rPr>
          <w:t>62</w:t>
        </w:r>
        <w:r>
          <w:rPr>
            <w:lang w:val="zh-CN"/>
          </w:rP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79</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B7AF9"/>
    <w:multiLevelType w:val="singleLevel"/>
    <w:tmpl w:val="CE0B7AF9"/>
    <w:lvl w:ilvl="0" w:tentative="0">
      <w:start w:val="1"/>
      <w:numFmt w:val="chineseCounting"/>
      <w:suff w:val="space"/>
      <w:lvlText w:val="第%1条"/>
      <w:lvlJc w:val="left"/>
      <w:rPr>
        <w:rFonts w:hint="eastAsia"/>
      </w:rPr>
    </w:lvl>
  </w:abstractNum>
  <w:abstractNum w:abstractNumId="1">
    <w:nsid w:val="0000000B"/>
    <w:multiLevelType w:val="singleLevel"/>
    <w:tmpl w:val="0000000B"/>
    <w:lvl w:ilvl="0" w:tentative="0">
      <w:start w:val="3"/>
      <w:numFmt w:val="decimal"/>
      <w:suff w:val="nothing"/>
      <w:lvlText w:val="%1."/>
      <w:lvlJc w:val="left"/>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NzFjYmRiZjdhYzAzZDE1OGM1NjIxOWRiYjU4ZDUifQ=="/>
  </w:docVars>
  <w:rsids>
    <w:rsidRoot w:val="00841A04"/>
    <w:rsid w:val="00015E56"/>
    <w:rsid w:val="000221CD"/>
    <w:rsid w:val="0003788D"/>
    <w:rsid w:val="00042E6A"/>
    <w:rsid w:val="000431A6"/>
    <w:rsid w:val="00044162"/>
    <w:rsid w:val="00046F81"/>
    <w:rsid w:val="000476C8"/>
    <w:rsid w:val="00051C97"/>
    <w:rsid w:val="00052CAB"/>
    <w:rsid w:val="00054540"/>
    <w:rsid w:val="000565B2"/>
    <w:rsid w:val="000621BD"/>
    <w:rsid w:val="00062DA9"/>
    <w:rsid w:val="00083D8F"/>
    <w:rsid w:val="000A712E"/>
    <w:rsid w:val="000E1E76"/>
    <w:rsid w:val="000E39B5"/>
    <w:rsid w:val="000E4F7A"/>
    <w:rsid w:val="000E6313"/>
    <w:rsid w:val="001150B8"/>
    <w:rsid w:val="0012194F"/>
    <w:rsid w:val="00121F30"/>
    <w:rsid w:val="001345AF"/>
    <w:rsid w:val="0013476A"/>
    <w:rsid w:val="00135766"/>
    <w:rsid w:val="00144355"/>
    <w:rsid w:val="00156B2D"/>
    <w:rsid w:val="00163DE1"/>
    <w:rsid w:val="0017677B"/>
    <w:rsid w:val="00185A65"/>
    <w:rsid w:val="001915B9"/>
    <w:rsid w:val="001A0189"/>
    <w:rsid w:val="001A16B8"/>
    <w:rsid w:val="001A23EB"/>
    <w:rsid w:val="001A7C90"/>
    <w:rsid w:val="001B481B"/>
    <w:rsid w:val="001C3718"/>
    <w:rsid w:val="001E03E1"/>
    <w:rsid w:val="0020045A"/>
    <w:rsid w:val="002041F3"/>
    <w:rsid w:val="002076A9"/>
    <w:rsid w:val="00214E41"/>
    <w:rsid w:val="00246AD5"/>
    <w:rsid w:val="00277F37"/>
    <w:rsid w:val="002830D3"/>
    <w:rsid w:val="002A5D8D"/>
    <w:rsid w:val="002C75F0"/>
    <w:rsid w:val="002D6039"/>
    <w:rsid w:val="002E2C6C"/>
    <w:rsid w:val="002E5BDB"/>
    <w:rsid w:val="002E704D"/>
    <w:rsid w:val="00303B3C"/>
    <w:rsid w:val="00307C6C"/>
    <w:rsid w:val="00310884"/>
    <w:rsid w:val="00310D10"/>
    <w:rsid w:val="003215C6"/>
    <w:rsid w:val="00327872"/>
    <w:rsid w:val="003538BD"/>
    <w:rsid w:val="0036206F"/>
    <w:rsid w:val="00367C88"/>
    <w:rsid w:val="00390580"/>
    <w:rsid w:val="003956F6"/>
    <w:rsid w:val="003A2757"/>
    <w:rsid w:val="003B51F1"/>
    <w:rsid w:val="003C1AF4"/>
    <w:rsid w:val="003C3BB3"/>
    <w:rsid w:val="003C7CA8"/>
    <w:rsid w:val="003D5500"/>
    <w:rsid w:val="003E33C4"/>
    <w:rsid w:val="003E4D9D"/>
    <w:rsid w:val="00402893"/>
    <w:rsid w:val="00414AE3"/>
    <w:rsid w:val="00420F55"/>
    <w:rsid w:val="004219FE"/>
    <w:rsid w:val="00432EE9"/>
    <w:rsid w:val="0044656A"/>
    <w:rsid w:val="004530F0"/>
    <w:rsid w:val="004617BF"/>
    <w:rsid w:val="0046290C"/>
    <w:rsid w:val="0047085F"/>
    <w:rsid w:val="00480D0E"/>
    <w:rsid w:val="00481775"/>
    <w:rsid w:val="004824B7"/>
    <w:rsid w:val="00491D30"/>
    <w:rsid w:val="00491E82"/>
    <w:rsid w:val="00493371"/>
    <w:rsid w:val="004A2B0C"/>
    <w:rsid w:val="004B1810"/>
    <w:rsid w:val="004B1EDF"/>
    <w:rsid w:val="004E5E4A"/>
    <w:rsid w:val="004F0B72"/>
    <w:rsid w:val="004F5321"/>
    <w:rsid w:val="005057B5"/>
    <w:rsid w:val="0050638A"/>
    <w:rsid w:val="00511F9D"/>
    <w:rsid w:val="00526EA7"/>
    <w:rsid w:val="00546BAF"/>
    <w:rsid w:val="005600E8"/>
    <w:rsid w:val="005734F6"/>
    <w:rsid w:val="00575950"/>
    <w:rsid w:val="005930A0"/>
    <w:rsid w:val="005A2B0E"/>
    <w:rsid w:val="005A7B07"/>
    <w:rsid w:val="005B57F7"/>
    <w:rsid w:val="005E5C36"/>
    <w:rsid w:val="005F2209"/>
    <w:rsid w:val="00614DD9"/>
    <w:rsid w:val="00620D1C"/>
    <w:rsid w:val="00635105"/>
    <w:rsid w:val="0064342E"/>
    <w:rsid w:val="006439A5"/>
    <w:rsid w:val="00644776"/>
    <w:rsid w:val="00663130"/>
    <w:rsid w:val="00670861"/>
    <w:rsid w:val="00691B9A"/>
    <w:rsid w:val="006A0234"/>
    <w:rsid w:val="006A158B"/>
    <w:rsid w:val="006C5B00"/>
    <w:rsid w:val="006C616A"/>
    <w:rsid w:val="006C735D"/>
    <w:rsid w:val="006D745A"/>
    <w:rsid w:val="006E27C5"/>
    <w:rsid w:val="00710FE6"/>
    <w:rsid w:val="007116EE"/>
    <w:rsid w:val="00724BCA"/>
    <w:rsid w:val="007362A8"/>
    <w:rsid w:val="007613C8"/>
    <w:rsid w:val="0076758C"/>
    <w:rsid w:val="00772001"/>
    <w:rsid w:val="00773D56"/>
    <w:rsid w:val="00792385"/>
    <w:rsid w:val="007C0FAE"/>
    <w:rsid w:val="007C4ADA"/>
    <w:rsid w:val="007D2F3D"/>
    <w:rsid w:val="007D65FF"/>
    <w:rsid w:val="007F3612"/>
    <w:rsid w:val="007F3625"/>
    <w:rsid w:val="007F555A"/>
    <w:rsid w:val="00817F17"/>
    <w:rsid w:val="00836DE1"/>
    <w:rsid w:val="00837B4A"/>
    <w:rsid w:val="00841A04"/>
    <w:rsid w:val="008674E0"/>
    <w:rsid w:val="0086759D"/>
    <w:rsid w:val="00875C1F"/>
    <w:rsid w:val="00877916"/>
    <w:rsid w:val="00886BA0"/>
    <w:rsid w:val="00886DA1"/>
    <w:rsid w:val="008B19E9"/>
    <w:rsid w:val="008B1E25"/>
    <w:rsid w:val="008B4515"/>
    <w:rsid w:val="008C5F92"/>
    <w:rsid w:val="008C7573"/>
    <w:rsid w:val="008D2BF5"/>
    <w:rsid w:val="008D56F8"/>
    <w:rsid w:val="008E6905"/>
    <w:rsid w:val="008F1CBD"/>
    <w:rsid w:val="00934703"/>
    <w:rsid w:val="00943DFF"/>
    <w:rsid w:val="00954C0D"/>
    <w:rsid w:val="00981DC2"/>
    <w:rsid w:val="00995BA7"/>
    <w:rsid w:val="009A0780"/>
    <w:rsid w:val="009A593F"/>
    <w:rsid w:val="009B2E86"/>
    <w:rsid w:val="009B71D3"/>
    <w:rsid w:val="009C57A1"/>
    <w:rsid w:val="009E50CD"/>
    <w:rsid w:val="009E7E17"/>
    <w:rsid w:val="00A015D4"/>
    <w:rsid w:val="00A022C2"/>
    <w:rsid w:val="00A06AAE"/>
    <w:rsid w:val="00A25FC8"/>
    <w:rsid w:val="00A303DA"/>
    <w:rsid w:val="00A3046F"/>
    <w:rsid w:val="00A44E41"/>
    <w:rsid w:val="00A52368"/>
    <w:rsid w:val="00A530A7"/>
    <w:rsid w:val="00A61CC1"/>
    <w:rsid w:val="00A9032E"/>
    <w:rsid w:val="00A9159B"/>
    <w:rsid w:val="00A94704"/>
    <w:rsid w:val="00A967AB"/>
    <w:rsid w:val="00AA24F1"/>
    <w:rsid w:val="00AA4CA4"/>
    <w:rsid w:val="00AB5E86"/>
    <w:rsid w:val="00AC107C"/>
    <w:rsid w:val="00AD108B"/>
    <w:rsid w:val="00AD5B12"/>
    <w:rsid w:val="00AD6D45"/>
    <w:rsid w:val="00AE2317"/>
    <w:rsid w:val="00B00CA6"/>
    <w:rsid w:val="00B0291B"/>
    <w:rsid w:val="00B0498A"/>
    <w:rsid w:val="00B20559"/>
    <w:rsid w:val="00B30AF8"/>
    <w:rsid w:val="00B37861"/>
    <w:rsid w:val="00B55C47"/>
    <w:rsid w:val="00B663A2"/>
    <w:rsid w:val="00B83CE4"/>
    <w:rsid w:val="00B84D22"/>
    <w:rsid w:val="00B95442"/>
    <w:rsid w:val="00BA2822"/>
    <w:rsid w:val="00BB0EAF"/>
    <w:rsid w:val="00BB5D22"/>
    <w:rsid w:val="00BC0BDE"/>
    <w:rsid w:val="00BD6D44"/>
    <w:rsid w:val="00BF2A79"/>
    <w:rsid w:val="00C0075A"/>
    <w:rsid w:val="00C04F49"/>
    <w:rsid w:val="00C11C56"/>
    <w:rsid w:val="00C51053"/>
    <w:rsid w:val="00C5318E"/>
    <w:rsid w:val="00C574AB"/>
    <w:rsid w:val="00C63079"/>
    <w:rsid w:val="00CA17E5"/>
    <w:rsid w:val="00CB0357"/>
    <w:rsid w:val="00CB2B2D"/>
    <w:rsid w:val="00CB31A0"/>
    <w:rsid w:val="00CE2EC3"/>
    <w:rsid w:val="00CF12F2"/>
    <w:rsid w:val="00CF5F7A"/>
    <w:rsid w:val="00D008D7"/>
    <w:rsid w:val="00D00AF0"/>
    <w:rsid w:val="00D12BD8"/>
    <w:rsid w:val="00D21E5E"/>
    <w:rsid w:val="00D30292"/>
    <w:rsid w:val="00D312CB"/>
    <w:rsid w:val="00D34C00"/>
    <w:rsid w:val="00D35430"/>
    <w:rsid w:val="00D612DF"/>
    <w:rsid w:val="00D835E5"/>
    <w:rsid w:val="00DA6108"/>
    <w:rsid w:val="00DB0C40"/>
    <w:rsid w:val="00DC4F4B"/>
    <w:rsid w:val="00DC5198"/>
    <w:rsid w:val="00DD2C4E"/>
    <w:rsid w:val="00DD5EBE"/>
    <w:rsid w:val="00DE5ADE"/>
    <w:rsid w:val="00DF1C19"/>
    <w:rsid w:val="00E05AA2"/>
    <w:rsid w:val="00E139D7"/>
    <w:rsid w:val="00E23E4B"/>
    <w:rsid w:val="00E243FE"/>
    <w:rsid w:val="00E373F1"/>
    <w:rsid w:val="00E5578E"/>
    <w:rsid w:val="00E71FAA"/>
    <w:rsid w:val="00E757F9"/>
    <w:rsid w:val="00EC3D4A"/>
    <w:rsid w:val="00EE4CD7"/>
    <w:rsid w:val="00EE600A"/>
    <w:rsid w:val="00EF36FD"/>
    <w:rsid w:val="00EF6051"/>
    <w:rsid w:val="00F00CF9"/>
    <w:rsid w:val="00F03409"/>
    <w:rsid w:val="00F03964"/>
    <w:rsid w:val="00F052A9"/>
    <w:rsid w:val="00F1217A"/>
    <w:rsid w:val="00F172F7"/>
    <w:rsid w:val="00F26CC5"/>
    <w:rsid w:val="00F33C50"/>
    <w:rsid w:val="00F37217"/>
    <w:rsid w:val="00F500C4"/>
    <w:rsid w:val="00F5582A"/>
    <w:rsid w:val="00F85C3B"/>
    <w:rsid w:val="00F94D52"/>
    <w:rsid w:val="00F950D7"/>
    <w:rsid w:val="00FB0247"/>
    <w:rsid w:val="00FD1926"/>
    <w:rsid w:val="00FD3039"/>
    <w:rsid w:val="00FD3372"/>
    <w:rsid w:val="00FD7613"/>
    <w:rsid w:val="00FE1721"/>
    <w:rsid w:val="00FE630F"/>
    <w:rsid w:val="093E51B1"/>
    <w:rsid w:val="0B9E220B"/>
    <w:rsid w:val="0C945850"/>
    <w:rsid w:val="0CD02452"/>
    <w:rsid w:val="0DB61E60"/>
    <w:rsid w:val="0F8971C2"/>
    <w:rsid w:val="100A3538"/>
    <w:rsid w:val="12A05EDB"/>
    <w:rsid w:val="13AE085B"/>
    <w:rsid w:val="13D62FD1"/>
    <w:rsid w:val="14BA3484"/>
    <w:rsid w:val="171E3623"/>
    <w:rsid w:val="176829DD"/>
    <w:rsid w:val="1779219C"/>
    <w:rsid w:val="17DF5EA9"/>
    <w:rsid w:val="188B49B5"/>
    <w:rsid w:val="1A126027"/>
    <w:rsid w:val="1AFC5779"/>
    <w:rsid w:val="1B5623A8"/>
    <w:rsid w:val="1E2348EE"/>
    <w:rsid w:val="1EF6578A"/>
    <w:rsid w:val="218B28CE"/>
    <w:rsid w:val="246A5867"/>
    <w:rsid w:val="25FA0F26"/>
    <w:rsid w:val="27643CAF"/>
    <w:rsid w:val="27F15632"/>
    <w:rsid w:val="30EE32D9"/>
    <w:rsid w:val="323D28B4"/>
    <w:rsid w:val="331F55C4"/>
    <w:rsid w:val="335307EA"/>
    <w:rsid w:val="34316ACF"/>
    <w:rsid w:val="364D52FE"/>
    <w:rsid w:val="3675462B"/>
    <w:rsid w:val="373C1C55"/>
    <w:rsid w:val="37714645"/>
    <w:rsid w:val="397F0B6A"/>
    <w:rsid w:val="3B1874C8"/>
    <w:rsid w:val="408C11E4"/>
    <w:rsid w:val="416B1B5E"/>
    <w:rsid w:val="466D50F1"/>
    <w:rsid w:val="47625F56"/>
    <w:rsid w:val="4E496B86"/>
    <w:rsid w:val="528F6551"/>
    <w:rsid w:val="53421AFA"/>
    <w:rsid w:val="5406601C"/>
    <w:rsid w:val="54EA382C"/>
    <w:rsid w:val="557B0242"/>
    <w:rsid w:val="55F3E483"/>
    <w:rsid w:val="5BFF0911"/>
    <w:rsid w:val="5F212CA2"/>
    <w:rsid w:val="5F4D54F9"/>
    <w:rsid w:val="5FFBEBF7"/>
    <w:rsid w:val="610C68D8"/>
    <w:rsid w:val="61116F96"/>
    <w:rsid w:val="654E7CF2"/>
    <w:rsid w:val="678F2BA5"/>
    <w:rsid w:val="68E91DC2"/>
    <w:rsid w:val="69E97283"/>
    <w:rsid w:val="6B3E4A7D"/>
    <w:rsid w:val="6DC677E4"/>
    <w:rsid w:val="6EBE48FA"/>
    <w:rsid w:val="6FFBC0A3"/>
    <w:rsid w:val="715A4C86"/>
    <w:rsid w:val="71E61442"/>
    <w:rsid w:val="73026D9D"/>
    <w:rsid w:val="73845C25"/>
    <w:rsid w:val="7427609D"/>
    <w:rsid w:val="75EE392A"/>
    <w:rsid w:val="76C23B1E"/>
    <w:rsid w:val="7B09415C"/>
    <w:rsid w:val="7CF32955"/>
    <w:rsid w:val="7D5CDDC5"/>
    <w:rsid w:val="7FE5F340"/>
    <w:rsid w:val="BEAF3EC5"/>
    <w:rsid w:val="C7FFC2CB"/>
    <w:rsid w:val="CEB929AB"/>
    <w:rsid w:val="E2FDBC0B"/>
    <w:rsid w:val="F2D95C46"/>
    <w:rsid w:val="F8EBCE4F"/>
    <w:rsid w:val="FDFB5EE0"/>
    <w:rsid w:val="FEFFECAE"/>
    <w:rsid w:val="FFD52A8E"/>
    <w:rsid w:val="FFD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3"/>
    <w:autoRedefine/>
    <w:qFormat/>
    <w:uiPriority w:val="99"/>
    <w:pPr>
      <w:keepNext/>
      <w:keepLines/>
      <w:spacing w:before="260" w:after="260" w:line="412" w:lineRule="auto"/>
      <w:outlineLvl w:val="1"/>
    </w:pPr>
    <w:rPr>
      <w:rFonts w:ascii="Arial" w:hAnsi="Arial" w:eastAsia="宋体" w:cs="Times New Roman"/>
      <w:b/>
      <w:sz w:val="32"/>
      <w:szCs w:val="28"/>
    </w:rPr>
  </w:style>
  <w:style w:type="paragraph" w:styleId="4">
    <w:name w:val="heading 3"/>
    <w:basedOn w:val="1"/>
    <w:next w:val="1"/>
    <w:autoRedefine/>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autoRedefine/>
    <w:qFormat/>
    <w:uiPriority w:val="99"/>
    <w:pPr>
      <w:keepNext/>
      <w:keepLines/>
      <w:spacing w:line="372" w:lineRule="auto"/>
      <w:jc w:val="left"/>
      <w:outlineLvl w:val="3"/>
    </w:pPr>
    <w:rPr>
      <w:rFonts w:ascii="Arial" w:hAnsi="Arial"/>
      <w:b/>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53"/>
    <w:autoRedefine/>
    <w:qFormat/>
    <w:uiPriority w:val="0"/>
    <w:pPr>
      <w:ind w:firstLine="420"/>
    </w:pPr>
    <w:rPr>
      <w:rFonts w:eastAsia="宋体"/>
    </w:rPr>
  </w:style>
  <w:style w:type="paragraph" w:styleId="7">
    <w:name w:val="annotation text"/>
    <w:basedOn w:val="1"/>
    <w:link w:val="51"/>
    <w:autoRedefine/>
    <w:unhideWhenUsed/>
    <w:qFormat/>
    <w:uiPriority w:val="0"/>
    <w:pPr>
      <w:jc w:val="left"/>
    </w:pPr>
  </w:style>
  <w:style w:type="paragraph" w:styleId="8">
    <w:name w:val="Body Text"/>
    <w:basedOn w:val="1"/>
    <w:link w:val="34"/>
    <w:autoRedefine/>
    <w:unhideWhenUsed/>
    <w:qFormat/>
    <w:uiPriority w:val="0"/>
    <w:pPr>
      <w:spacing w:after="120"/>
    </w:pPr>
  </w:style>
  <w:style w:type="paragraph" w:styleId="9">
    <w:name w:val="Body Text Indent"/>
    <w:basedOn w:val="1"/>
    <w:next w:val="1"/>
    <w:autoRedefine/>
    <w:qFormat/>
    <w:uiPriority w:val="0"/>
    <w:pPr>
      <w:spacing w:line="380" w:lineRule="exact"/>
      <w:ind w:firstLine="480"/>
    </w:pPr>
    <w:rPr>
      <w:rFonts w:eastAsia="方正书宋简体"/>
      <w:sz w:val="24"/>
      <w:szCs w:val="24"/>
    </w:rPr>
  </w:style>
  <w:style w:type="paragraph" w:styleId="10">
    <w:name w:val="Block Text"/>
    <w:basedOn w:val="1"/>
    <w:autoRedefine/>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1">
    <w:name w:val="Plain Text"/>
    <w:basedOn w:val="1"/>
    <w:next w:val="1"/>
    <w:link w:val="37"/>
    <w:autoRedefine/>
    <w:qFormat/>
    <w:uiPriority w:val="0"/>
    <w:rPr>
      <w:rFonts w:ascii="宋体" w:hAnsi="Courier New" w:eastAsia="Times New Roman" w:cs="宋体"/>
      <w:sz w:val="30"/>
      <w:szCs w:val="30"/>
    </w:rPr>
  </w:style>
  <w:style w:type="paragraph" w:styleId="12">
    <w:name w:val="Date"/>
    <w:basedOn w:val="1"/>
    <w:next w:val="1"/>
    <w:link w:val="45"/>
    <w:autoRedefine/>
    <w:unhideWhenUsed/>
    <w:qFormat/>
    <w:uiPriority w:val="99"/>
    <w:pPr>
      <w:ind w:left="100" w:leftChars="2500"/>
    </w:pPr>
  </w:style>
  <w:style w:type="paragraph" w:styleId="13">
    <w:name w:val="Body Text Indent 2"/>
    <w:basedOn w:val="1"/>
    <w:autoRedefine/>
    <w:qFormat/>
    <w:uiPriority w:val="0"/>
    <w:pPr>
      <w:snapToGrid w:val="0"/>
      <w:ind w:firstLine="542" w:firstLineChars="225"/>
    </w:pPr>
    <w:rPr>
      <w:rFonts w:ascii="仿宋_GB2312" w:hAnsi="宋体"/>
      <w:b/>
      <w:bCs/>
      <w:color w:val="000000"/>
      <w:sz w:val="24"/>
    </w:rPr>
  </w:style>
  <w:style w:type="paragraph" w:styleId="14">
    <w:name w:val="Balloon Text"/>
    <w:basedOn w:val="1"/>
    <w:link w:val="39"/>
    <w:autoRedefine/>
    <w:unhideWhenUsed/>
    <w:qFormat/>
    <w:uiPriority w:val="99"/>
    <w:rPr>
      <w:sz w:val="18"/>
      <w:szCs w:val="18"/>
    </w:rPr>
  </w:style>
  <w:style w:type="paragraph" w:styleId="15">
    <w:name w:val="footer"/>
    <w:basedOn w:val="1"/>
    <w:link w:val="40"/>
    <w:autoRedefine/>
    <w:unhideWhenUsed/>
    <w:qFormat/>
    <w:uiPriority w:val="99"/>
    <w:pPr>
      <w:tabs>
        <w:tab w:val="center" w:pos="4153"/>
        <w:tab w:val="right" w:pos="8306"/>
      </w:tabs>
      <w:snapToGrid w:val="0"/>
      <w:jc w:val="left"/>
    </w:pPr>
    <w:rPr>
      <w:sz w:val="18"/>
      <w:szCs w:val="18"/>
    </w:rPr>
  </w:style>
  <w:style w:type="paragraph" w:styleId="16">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5"/>
    <w:autoRedefine/>
    <w:qFormat/>
    <w:uiPriority w:val="11"/>
    <w:pPr>
      <w:adjustRightInd w:val="0"/>
      <w:snapToGrid w:val="0"/>
      <w:spacing w:before="240" w:after="480"/>
      <w:ind w:firstLine="883"/>
      <w:jc w:val="left"/>
      <w:pPrChange w:id="0" w:author="AutoBVT" w:date="2023-12-22T14:53:00Z">
        <w:pPr>
          <w:widowControl w:val="0"/>
          <w:adjustRightInd w:val="0"/>
          <w:snapToGrid w:val="0"/>
          <w:spacing w:before="240" w:after="480"/>
          <w:jc w:val="center"/>
        </w:pPr>
      </w:pPrChange>
    </w:pPr>
    <w:rPr>
      <w:rFonts w:ascii="仿宋_GB2312" w:hAnsi="Arial" w:eastAsia="仿宋_GB2312"/>
      <w:b/>
      <w:bCs/>
      <w:color w:val="FF0000"/>
      <w:kern w:val="28"/>
      <w:sz w:val="44"/>
      <w:szCs w:val="32"/>
      <w:rPrChange w:id="1" w:author="AutoBVT" w:date="2023-12-22T14:53:00Z">
        <w:rPr>
          <w:rFonts w:ascii="Arial" w:hAnsi="Arial" w:eastAsia="隶书" w:cstheme="minorBidi"/>
          <w:b/>
          <w:bCs/>
          <w:kern w:val="28"/>
          <w:sz w:val="44"/>
          <w:szCs w:val="32"/>
          <w:lang w:val="en-US" w:eastAsia="zh-CN" w:bidi="ar-SA"/>
        </w:rPr>
      </w:rPrChange>
    </w:rPr>
  </w:style>
  <w:style w:type="paragraph" w:styleId="18">
    <w:name w:val="toc 2"/>
    <w:basedOn w:val="1"/>
    <w:next w:val="1"/>
    <w:autoRedefine/>
    <w:qFormat/>
    <w:uiPriority w:val="0"/>
    <w:pPr>
      <w:widowControl/>
      <w:spacing w:before="120"/>
      <w:ind w:left="240"/>
      <w:jc w:val="left"/>
    </w:pPr>
    <w:rPr>
      <w:b/>
      <w:bCs/>
      <w:kern w:val="0"/>
      <w:sz w:val="22"/>
    </w:rPr>
  </w:style>
  <w:style w:type="paragraph" w:styleId="19">
    <w:name w:val="Normal (Web)"/>
    <w:basedOn w:val="1"/>
    <w:autoRedefine/>
    <w:unhideWhenUsed/>
    <w:qFormat/>
    <w:uiPriority w:val="99"/>
    <w:pPr>
      <w:spacing w:beforeAutospacing="1" w:afterAutospacing="1"/>
      <w:jc w:val="left"/>
    </w:pPr>
    <w:rPr>
      <w:rFonts w:cs="Times New Roman"/>
      <w:kern w:val="0"/>
      <w:sz w:val="24"/>
    </w:rPr>
  </w:style>
  <w:style w:type="paragraph" w:styleId="20">
    <w:name w:val="Title"/>
    <w:basedOn w:val="1"/>
    <w:next w:val="1"/>
    <w:link w:val="42"/>
    <w:autoRedefine/>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1">
    <w:name w:val="annotation subject"/>
    <w:basedOn w:val="7"/>
    <w:next w:val="7"/>
    <w:link w:val="52"/>
    <w:autoRedefine/>
    <w:unhideWhenUsed/>
    <w:qFormat/>
    <w:uiPriority w:val="99"/>
    <w:rPr>
      <w:b/>
      <w:bCs/>
    </w:rPr>
  </w:style>
  <w:style w:type="paragraph" w:styleId="22">
    <w:name w:val="Body Text First Indent"/>
    <w:basedOn w:val="8"/>
    <w:next w:val="1"/>
    <w:link w:val="44"/>
    <w:autoRedefine/>
    <w:qFormat/>
    <w:uiPriority w:val="0"/>
    <w:pPr>
      <w:widowControl/>
      <w:ind w:firstLine="420" w:firstLineChars="100"/>
      <w:jc w:val="left"/>
    </w:pPr>
    <w:rPr>
      <w:rFonts w:ascii="Times New Roman" w:cs="Times New Roman"/>
      <w:kern w:val="0"/>
      <w:sz w:val="24"/>
      <w:szCs w:val="24"/>
      <w:lang w:eastAsia="en-US" w:bidi="en-US"/>
    </w:rPr>
  </w:style>
  <w:style w:type="paragraph" w:styleId="23">
    <w:name w:val="Body Text First Indent 2"/>
    <w:basedOn w:val="8"/>
    <w:next w:val="1"/>
    <w:autoRedefine/>
    <w:qFormat/>
    <w:uiPriority w:val="99"/>
    <w:pPr>
      <w:ind w:firstLine="210"/>
    </w:pPr>
    <w:rPr>
      <w:sz w:val="2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99"/>
  </w:style>
  <w:style w:type="character" w:styleId="28">
    <w:name w:val="FollowedHyperlink"/>
    <w:basedOn w:val="26"/>
    <w:autoRedefine/>
    <w:semiHidden/>
    <w:unhideWhenUsed/>
    <w:qFormat/>
    <w:uiPriority w:val="99"/>
    <w:rPr>
      <w:color w:val="800080" w:themeColor="followedHyperlink"/>
      <w:u w:val="single"/>
      <w14:textFill>
        <w14:solidFill>
          <w14:schemeClr w14:val="folHlink"/>
        </w14:solidFill>
      </w14:textFill>
    </w:rPr>
  </w:style>
  <w:style w:type="character" w:styleId="29">
    <w:name w:val="Hyperlink"/>
    <w:basedOn w:val="26"/>
    <w:autoRedefine/>
    <w:unhideWhenUsed/>
    <w:qFormat/>
    <w:uiPriority w:val="99"/>
    <w:rPr>
      <w:color w:val="0000FF" w:themeColor="hyperlink"/>
      <w:u w:val="single"/>
      <w14:textFill>
        <w14:solidFill>
          <w14:schemeClr w14:val="hlink"/>
        </w14:solidFill>
      </w14:textFill>
    </w:rPr>
  </w:style>
  <w:style w:type="character" w:styleId="30">
    <w:name w:val="annotation reference"/>
    <w:basedOn w:val="26"/>
    <w:autoRedefine/>
    <w:qFormat/>
    <w:uiPriority w:val="0"/>
    <w:rPr>
      <w:sz w:val="21"/>
      <w:szCs w:val="21"/>
    </w:rPr>
  </w:style>
  <w:style w:type="paragraph" w:customStyle="1" w:styleId="31">
    <w:name w:val="[Normal]"/>
    <w:autoRedefine/>
    <w:qFormat/>
    <w:uiPriority w:val="0"/>
    <w:rPr>
      <w:rFonts w:ascii="宋体" w:hAnsi="宋体" w:eastAsia="宋体" w:cs="Times New Roman"/>
      <w:sz w:val="24"/>
      <w:szCs w:val="22"/>
      <w:lang w:val="zh-CN" w:eastAsia="zh-CN" w:bidi="ar-SA"/>
    </w:rPr>
  </w:style>
  <w:style w:type="character" w:customStyle="1" w:styleId="32">
    <w:name w:val="标题 1 Char"/>
    <w:basedOn w:val="26"/>
    <w:link w:val="3"/>
    <w:autoRedefine/>
    <w:qFormat/>
    <w:uiPriority w:val="9"/>
    <w:rPr>
      <w:b/>
      <w:bCs/>
      <w:kern w:val="44"/>
      <w:sz w:val="44"/>
      <w:szCs w:val="44"/>
    </w:rPr>
  </w:style>
  <w:style w:type="character" w:customStyle="1" w:styleId="33">
    <w:name w:val="标题 2 Char"/>
    <w:basedOn w:val="26"/>
    <w:link w:val="2"/>
    <w:autoRedefine/>
    <w:qFormat/>
    <w:uiPriority w:val="99"/>
    <w:rPr>
      <w:rFonts w:ascii="Arial" w:hAnsi="Arial" w:eastAsia="宋体" w:cs="Times New Roman"/>
      <w:b/>
      <w:sz w:val="32"/>
      <w:szCs w:val="28"/>
    </w:rPr>
  </w:style>
  <w:style w:type="character" w:customStyle="1" w:styleId="34">
    <w:name w:val="正文文本 Char"/>
    <w:basedOn w:val="26"/>
    <w:link w:val="8"/>
    <w:autoRedefine/>
    <w:qFormat/>
    <w:uiPriority w:val="99"/>
  </w:style>
  <w:style w:type="character" w:customStyle="1" w:styleId="35">
    <w:name w:val="副标题 Char"/>
    <w:basedOn w:val="26"/>
    <w:link w:val="17"/>
    <w:autoRedefine/>
    <w:qFormat/>
    <w:uiPriority w:val="11"/>
    <w:rPr>
      <w:rFonts w:ascii="仿宋_GB2312" w:hAnsi="Arial" w:eastAsia="仿宋_GB2312" w:cstheme="minorBidi"/>
      <w:b/>
      <w:bCs/>
      <w:color w:val="FF0000"/>
      <w:kern w:val="28"/>
      <w:sz w:val="44"/>
      <w:szCs w:val="32"/>
    </w:rPr>
  </w:style>
  <w:style w:type="character" w:customStyle="1" w:styleId="36">
    <w:name w:val="批注文字 Char"/>
    <w:basedOn w:val="26"/>
    <w:autoRedefine/>
    <w:qFormat/>
    <w:uiPriority w:val="0"/>
  </w:style>
  <w:style w:type="character" w:customStyle="1" w:styleId="37">
    <w:name w:val="纯文本 Char"/>
    <w:basedOn w:val="26"/>
    <w:link w:val="11"/>
    <w:autoRedefine/>
    <w:qFormat/>
    <w:uiPriority w:val="0"/>
    <w:rPr>
      <w:rFonts w:ascii="宋体" w:hAnsi="Courier New" w:eastAsia="Times New Roman" w:cs="宋体"/>
      <w:sz w:val="30"/>
      <w:szCs w:val="30"/>
    </w:rPr>
  </w:style>
  <w:style w:type="character" w:customStyle="1" w:styleId="38">
    <w:name w:val="日期 Char"/>
    <w:basedOn w:val="26"/>
    <w:autoRedefine/>
    <w:semiHidden/>
    <w:qFormat/>
    <w:uiPriority w:val="99"/>
  </w:style>
  <w:style w:type="character" w:customStyle="1" w:styleId="39">
    <w:name w:val="批注框文本 Char"/>
    <w:basedOn w:val="26"/>
    <w:link w:val="14"/>
    <w:autoRedefine/>
    <w:qFormat/>
    <w:uiPriority w:val="99"/>
    <w:rPr>
      <w:sz w:val="18"/>
      <w:szCs w:val="18"/>
    </w:rPr>
  </w:style>
  <w:style w:type="character" w:customStyle="1" w:styleId="40">
    <w:name w:val="页脚 Char"/>
    <w:basedOn w:val="26"/>
    <w:link w:val="15"/>
    <w:autoRedefine/>
    <w:qFormat/>
    <w:uiPriority w:val="99"/>
    <w:rPr>
      <w:sz w:val="18"/>
      <w:szCs w:val="18"/>
    </w:rPr>
  </w:style>
  <w:style w:type="character" w:customStyle="1" w:styleId="41">
    <w:name w:val="页眉 Char"/>
    <w:basedOn w:val="26"/>
    <w:link w:val="16"/>
    <w:autoRedefine/>
    <w:qFormat/>
    <w:uiPriority w:val="99"/>
    <w:rPr>
      <w:sz w:val="18"/>
      <w:szCs w:val="18"/>
    </w:rPr>
  </w:style>
  <w:style w:type="character" w:customStyle="1" w:styleId="42">
    <w:name w:val="标题 Char"/>
    <w:basedOn w:val="26"/>
    <w:link w:val="20"/>
    <w:autoRedefine/>
    <w:qFormat/>
    <w:uiPriority w:val="0"/>
    <w:rPr>
      <w:rFonts w:asciiTheme="majorHAnsi" w:hAnsiTheme="majorHAnsi" w:eastAsiaTheme="majorEastAsia" w:cstheme="majorBidi"/>
      <w:b/>
      <w:bCs/>
      <w:kern w:val="28"/>
      <w:sz w:val="32"/>
      <w:szCs w:val="32"/>
      <w:lang w:eastAsia="en-US" w:bidi="en-US"/>
    </w:rPr>
  </w:style>
  <w:style w:type="character" w:customStyle="1" w:styleId="43">
    <w:name w:val="批注主题 Char"/>
    <w:basedOn w:val="36"/>
    <w:autoRedefine/>
    <w:semiHidden/>
    <w:qFormat/>
    <w:uiPriority w:val="99"/>
    <w:rPr>
      <w:b/>
      <w:bCs/>
    </w:rPr>
  </w:style>
  <w:style w:type="character" w:customStyle="1" w:styleId="44">
    <w:name w:val="正文首行缩进 Char"/>
    <w:basedOn w:val="34"/>
    <w:link w:val="22"/>
    <w:autoRedefine/>
    <w:qFormat/>
    <w:uiPriority w:val="0"/>
    <w:rPr>
      <w:rFonts w:ascii="Times New Roman" w:cs="Times New Roman"/>
      <w:kern w:val="0"/>
      <w:sz w:val="24"/>
      <w:szCs w:val="24"/>
      <w:lang w:eastAsia="en-US" w:bidi="en-US"/>
    </w:rPr>
  </w:style>
  <w:style w:type="character" w:customStyle="1" w:styleId="45">
    <w:name w:val="日期 Char1"/>
    <w:basedOn w:val="26"/>
    <w:link w:val="12"/>
    <w:autoRedefine/>
    <w:qFormat/>
    <w:uiPriority w:val="99"/>
  </w:style>
  <w:style w:type="paragraph" w:customStyle="1" w:styleId="46">
    <w:name w:val="表格文字"/>
    <w:basedOn w:val="1"/>
    <w:autoRedefine/>
    <w:qFormat/>
    <w:uiPriority w:val="0"/>
    <w:pPr>
      <w:ind w:firstLine="200" w:firstLineChars="200"/>
    </w:pPr>
    <w:rPr>
      <w:rFonts w:ascii="Arial" w:hAnsi="Arial" w:eastAsia="宋体" w:cs="Times New Roman"/>
      <w:spacing w:val="-5"/>
      <w:kern w:val="0"/>
      <w:sz w:val="24"/>
      <w:szCs w:val="20"/>
    </w:rPr>
  </w:style>
  <w:style w:type="paragraph" w:customStyle="1" w:styleId="47">
    <w:name w:val="列出段落1"/>
    <w:basedOn w:val="1"/>
    <w:autoRedefine/>
    <w:qFormat/>
    <w:uiPriority w:val="34"/>
    <w:pPr>
      <w:ind w:firstLine="420" w:firstLineChars="200"/>
    </w:pPr>
  </w:style>
  <w:style w:type="paragraph" w:customStyle="1" w:styleId="48">
    <w:name w:val="Fließtext"/>
    <w:basedOn w:val="1"/>
    <w:autoRedefine/>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49">
    <w:name w:val="正文缩进1"/>
    <w:basedOn w:val="1"/>
    <w:autoRedefine/>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0">
    <w:name w:val="索引 11"/>
    <w:basedOn w:val="1"/>
    <w:next w:val="1"/>
    <w:autoRedefine/>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1">
    <w:name w:val="批注文字 Char1"/>
    <w:basedOn w:val="26"/>
    <w:link w:val="7"/>
    <w:autoRedefine/>
    <w:qFormat/>
    <w:uiPriority w:val="0"/>
  </w:style>
  <w:style w:type="character" w:customStyle="1" w:styleId="52">
    <w:name w:val="批注主题 Char1"/>
    <w:basedOn w:val="51"/>
    <w:link w:val="21"/>
    <w:autoRedefine/>
    <w:qFormat/>
    <w:uiPriority w:val="99"/>
    <w:rPr>
      <w:b/>
      <w:bCs/>
    </w:rPr>
  </w:style>
  <w:style w:type="character" w:customStyle="1" w:styleId="53">
    <w:name w:val="正文缩进 Char"/>
    <w:link w:val="6"/>
    <w:autoRedefine/>
    <w:qFormat/>
    <w:uiPriority w:val="0"/>
    <w:rPr>
      <w:rFonts w:eastAsia="宋体"/>
    </w:rPr>
  </w:style>
  <w:style w:type="paragraph" w:customStyle="1" w:styleId="54">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character" w:customStyle="1" w:styleId="55">
    <w:name w:val="正文缩进 Char2"/>
    <w:autoRedefine/>
    <w:qFormat/>
    <w:uiPriority w:val="0"/>
    <w:rPr>
      <w:rFonts w:ascii="宋体" w:eastAsia="宋体"/>
      <w:snapToGrid w:val="0"/>
      <w:color w:val="000000"/>
      <w:kern w:val="28"/>
      <w:sz w:val="28"/>
      <w:lang w:val="en-US" w:eastAsia="zh-CN" w:bidi="ar-SA"/>
    </w:rPr>
  </w:style>
  <w:style w:type="character" w:customStyle="1" w:styleId="56">
    <w:name w:val="纯文本 Char1"/>
    <w:link w:val="57"/>
    <w:autoRedefine/>
    <w:qFormat/>
    <w:uiPriority w:val="0"/>
    <w:rPr>
      <w:rFonts w:ascii="宋体" w:hAnsi="Courier New"/>
    </w:rPr>
  </w:style>
  <w:style w:type="paragraph" w:customStyle="1" w:styleId="57">
    <w:name w:val="纯文本1"/>
    <w:basedOn w:val="1"/>
    <w:link w:val="56"/>
    <w:autoRedefine/>
    <w:qFormat/>
    <w:uiPriority w:val="0"/>
    <w:rPr>
      <w:rFonts w:ascii="宋体" w:hAnsi="Courier New"/>
    </w:rPr>
  </w:style>
  <w:style w:type="paragraph" w:customStyle="1" w:styleId="58">
    <w:name w:val="text-tag"/>
    <w:basedOn w:val="1"/>
    <w:autoRedefine/>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60">
    <w:name w:val="apple-converted-space"/>
    <w:autoRedefine/>
    <w:qFormat/>
    <w:uiPriority w:val="0"/>
  </w:style>
  <w:style w:type="character" w:customStyle="1" w:styleId="61">
    <w:name w:val="textfont1"/>
    <w:basedOn w:val="26"/>
    <w:autoRedefine/>
    <w:qFormat/>
    <w:uiPriority w:val="0"/>
  </w:style>
  <w:style w:type="character" w:customStyle="1" w:styleId="62">
    <w:name w:val="htd0"/>
    <w:basedOn w:val="26"/>
    <w:autoRedefine/>
    <w:qFormat/>
    <w:uiPriority w:val="0"/>
  </w:style>
  <w:style w:type="paragraph" w:styleId="63">
    <w:name w:val="List Paragraph"/>
    <w:basedOn w:val="1"/>
    <w:autoRedefine/>
    <w:qFormat/>
    <w:uiPriority w:val="1"/>
    <w:pPr>
      <w:ind w:left="823" w:hanging="269"/>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7500</Words>
  <Characters>42752</Characters>
  <Lines>356</Lines>
  <Paragraphs>100</Paragraphs>
  <TotalTime>72</TotalTime>
  <ScaleCrop>false</ScaleCrop>
  <LinksUpToDate>false</LinksUpToDate>
  <CharactersWithSpaces>50152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2023-12-14T07:32:00Z</dcterms:created>
  <dc:creator>NTKO</dc:creator>
  <cp:lastModifiedBy>乌龙</cp:lastModifiedBy>
  <cp:lastPrinted>2024-04-18T06:55:00Z</cp:lastPrinted>
  <dcterms:modified xsi:type="dcterms:W3CDTF">2024-04-26T01:47:11Z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AA3FBB5FDF2A4ADE9976AAD05E55FAF5_13</vt:lpwstr>
  </property>
</Properties>
</file>