
<file path=[Content_Types].xml><?xml version="1.0" encoding="utf-8"?>
<Types xmlns="http://schemas.openxmlformats.org/package/2006/content-types">
  <Default ContentType="image/jpeg" Extension="jpeg"/>
  <Default ContentType="image/.jpg" Extension="jp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tabs>
          <w:tab w:val="left" w:pos="4500"/>
        </w:tabs>
        <w:snapToGrid w:val="0"/>
        <w:spacing w:line="360" w:lineRule="auto"/>
        <w:textAlignment w:val="bottom"/>
        <w:rPr>
          <w:rFonts w:ascii="宋体" w:hAnsi="宋体" w:cs="宋体"/>
          <w:b/>
          <w:bCs/>
          <w:spacing w:val="6"/>
          <w:sz w:val="52"/>
          <w:szCs w:val="52"/>
        </w:rPr>
      </w:pPr>
      <w:r>
        <w:rPr>
          <w:rFonts w:hint="eastAsia"/>
          <w:sz w:val="48"/>
          <w:szCs w:val="48"/>
        </w:rPr>
        <w:drawing>
          <wp:inline distT="0" distB="0" distL="114300" distR="114300">
            <wp:extent cx="1057275" cy="771525"/>
            <wp:effectExtent l="0" t="0" r="9525" b="9525"/>
            <wp:docPr id="1" name="图片 1" descr="8b7073bde8a3f52f88d1b7191676f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8b7073bde8a3f52f88d1b7191676f41"/>
                    <pic:cNvPicPr>
                      <a:picLocks noChangeAspect="1"/>
                    </pic:cNvPicPr>
                  </pic:nvPicPr>
                  <pic:blipFill>
                    <a:blip r:embed="rId15"/>
                    <a:stretch>
                      <a:fillRect/>
                    </a:stretch>
                  </pic:blipFill>
                  <pic:spPr>
                    <a:xfrm>
                      <a:off x="0" y="0"/>
                      <a:ext cx="1057275" cy="771525"/>
                    </a:xfrm>
                    <a:prstGeom prst="rect">
                      <a:avLst/>
                    </a:prstGeom>
                    <a:noFill/>
                    <a:ln>
                      <a:noFill/>
                    </a:ln>
                  </pic:spPr>
                </pic:pic>
              </a:graphicData>
            </a:graphic>
          </wp:inline>
        </w:drawing>
      </w:r>
      <w:r>
        <w:rPr>
          <w:rFonts w:hint="eastAsia" w:ascii="宋体" w:hAnsi="宋体" w:cs="宋体"/>
          <w:b/>
          <w:bCs/>
          <w:spacing w:val="6"/>
          <w:sz w:val="52"/>
          <w:szCs w:val="52"/>
        </w:rPr>
        <w:t xml:space="preserve">                                                                                                                                                                                                                                                                                                                                                                                                                                                                                                                                                                                                                                                                                                                                                                                                                                                                                                                                                                                                                                                                                                                                                                                                                                                                                                                                                                                                                                                                                                                                                                                                                                                                                                                                                                                                                                                                                                                                                                                                                                                                                                                                                                                                                                                                                                                                                                                                                                                                                                                                                                                                                                                                                                                                                                                                                                                                                                                                                                                                                                                                                                                                                                                                                                                                                                                                                                                                                                                                                                                                                                                                                                                                                                                                                                                                                                                                                                                                                                                                                                                                                                                                                                                                                </w:t>
      </w:r>
      <w:r>
        <w:rPr>
          <w:rFonts w:hint="eastAsia" w:ascii="宋体" w:hAnsi="宋体" w:cs="宋体"/>
          <w:b/>
          <w:bCs/>
          <w:spacing w:val="6"/>
          <w:sz w:val="52"/>
          <w:szCs w:val="52"/>
        </w:rPr>
        <w:t xml:space="preserve">                                                                                                                                                                                                                                                                                                                                                                                                                                                                                                                                                                                                                                                                                                                                                                                                                                                                                                                                                                                                                                                                                                                                                                                                                                                                                                                                    </w:t>
      </w:r>
    </w:p>
    <w:p>
      <w:pPr>
        <w:shd w:val="clear" w:color="auto" w:fill="FFFFFF"/>
        <w:tabs>
          <w:tab w:val="left" w:pos="4500"/>
        </w:tabs>
        <w:snapToGrid w:val="0"/>
        <w:spacing w:line="360" w:lineRule="auto"/>
        <w:jc w:val="center"/>
        <w:textAlignment w:val="bottom"/>
        <w:rPr>
          <w:rFonts w:ascii="宋体" w:hAnsi="宋体" w:cs="宋体"/>
          <w:b/>
          <w:bCs/>
          <w:sz w:val="56"/>
          <w:szCs w:val="56"/>
        </w:rPr>
      </w:pPr>
      <w:r>
        <w:rPr>
          <w:rFonts w:hint="eastAsia" w:ascii="宋体" w:hAnsi="宋体" w:cs="宋体"/>
          <w:b/>
          <w:bCs/>
          <w:spacing w:val="6"/>
          <w:sz w:val="52"/>
          <w:szCs w:val="52"/>
        </w:rPr>
        <w:t>台州市公安局公安信息网三级网和视频专网三级网设备维保项目</w:t>
      </w:r>
    </w:p>
    <w:p>
      <w:pPr>
        <w:shd w:val="clear" w:color="auto" w:fill="FFFFFF"/>
        <w:tabs>
          <w:tab w:val="left" w:pos="4500"/>
        </w:tabs>
        <w:snapToGrid w:val="0"/>
        <w:spacing w:line="360" w:lineRule="auto"/>
        <w:textAlignment w:val="bottom"/>
        <w:rPr>
          <w:rFonts w:ascii="宋体" w:hAnsi="宋体" w:cs="宋体"/>
          <w:b/>
          <w:bCs/>
          <w:sz w:val="72"/>
          <w:szCs w:val="72"/>
        </w:rPr>
      </w:pPr>
    </w:p>
    <w:p>
      <w:pPr>
        <w:shd w:val="clear" w:color="auto" w:fill="FFFFFF"/>
        <w:tabs>
          <w:tab w:val="left" w:pos="4500"/>
        </w:tabs>
        <w:snapToGrid w:val="0"/>
        <w:spacing w:line="360" w:lineRule="auto"/>
        <w:jc w:val="center"/>
        <w:textAlignment w:val="bottom"/>
        <w:rPr>
          <w:rFonts w:ascii="宋体" w:hAnsi="宋体" w:cs="宋体"/>
          <w:b/>
          <w:bCs/>
          <w:sz w:val="72"/>
          <w:szCs w:val="72"/>
        </w:rPr>
      </w:pPr>
      <w:r>
        <w:rPr>
          <w:rFonts w:hint="eastAsia" w:ascii="宋体" w:hAnsi="宋体" w:cs="宋体"/>
          <w:b/>
          <w:bCs/>
          <w:sz w:val="72"/>
          <w:szCs w:val="72"/>
        </w:rPr>
        <w:t>公开采购文件</w:t>
      </w:r>
    </w:p>
    <w:p>
      <w:pPr>
        <w:widowControl/>
        <w:spacing w:line="360" w:lineRule="auto"/>
        <w:ind w:right="-2"/>
        <w:jc w:val="center"/>
        <w:rPr>
          <w:rFonts w:ascii="宋体" w:hAnsi="宋体"/>
          <w:b/>
          <w:sz w:val="36"/>
        </w:rPr>
      </w:pPr>
      <w:r>
        <w:rPr>
          <w:rFonts w:hint="eastAsia" w:ascii="宋体" w:hAnsi="宋体"/>
          <w:b/>
          <w:sz w:val="36"/>
        </w:rPr>
        <w:t>（线上电子招投标）</w:t>
      </w:r>
    </w:p>
    <w:p>
      <w:pPr>
        <w:shd w:val="clear" w:color="auto" w:fill="FFFFFF"/>
        <w:snapToGrid w:val="0"/>
        <w:spacing w:line="360" w:lineRule="auto"/>
        <w:textAlignment w:val="bottom"/>
        <w:rPr>
          <w:rFonts w:ascii="宋体" w:hAnsi="宋体" w:cs="宋体"/>
          <w:b/>
          <w:bCs/>
          <w:sz w:val="30"/>
          <w:szCs w:val="30"/>
        </w:rPr>
      </w:pPr>
    </w:p>
    <w:p>
      <w:pPr>
        <w:shd w:val="clear" w:color="auto" w:fill="FFFFFF"/>
        <w:snapToGrid w:val="0"/>
        <w:spacing w:line="360" w:lineRule="auto"/>
        <w:textAlignment w:val="bottom"/>
        <w:rPr>
          <w:rFonts w:ascii="宋体" w:hAnsi="宋体" w:cs="宋体"/>
          <w:b/>
          <w:bCs/>
          <w:sz w:val="48"/>
          <w:szCs w:val="48"/>
        </w:rPr>
      </w:pPr>
      <w:r>
        <w:rPr>
          <w:rFonts w:ascii="宋体" w:hAnsi="宋体" w:cs="宋体"/>
          <w:sz w:val="48"/>
          <w:szCs w:val="48"/>
        </w:rPr>
        <mc:AlternateContent>
          <mc:Choice Requires="wps">
            <w:drawing>
              <wp:anchor distT="0" distB="0" distL="114300" distR="114300" simplePos="0" relativeHeight="251660288" behindDoc="0" locked="0" layoutInCell="0" allowOverlap="1">
                <wp:simplePos x="0" y="0"/>
                <wp:positionH relativeFrom="column">
                  <wp:posOffset>4191000</wp:posOffset>
                </wp:positionH>
                <wp:positionV relativeFrom="paragraph">
                  <wp:posOffset>72390</wp:posOffset>
                </wp:positionV>
                <wp:extent cx="635" cy="0"/>
                <wp:effectExtent l="0" t="0" r="0" b="0"/>
                <wp:wrapSquare wrapText="bothSides"/>
                <wp:docPr id="6" name="直线 2"/>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线 2" o:spid="_x0000_s1026" o:spt="20" style="position:absolute;left:0pt;margin-left:330pt;margin-top:5.7pt;height:0pt;width:0.05pt;mso-wrap-distance-bottom:0pt;mso-wrap-distance-left:9pt;mso-wrap-distance-right:9pt;mso-wrap-distance-top:0pt;z-index:251660288;mso-width-relative:page;mso-height-relative:page;" filled="f" stroked="t" coordsize="21600,21600" o:allowincell="f" o:gfxdata="UEsDBAoAAAAAAIdO4kAAAAAAAAAAAAAAAAAEAAAAZHJzL1BLAwQUAAAACACHTuJA/3LebdQAAAAJ AQAADwAAAGRycy9kb3ducmV2LnhtbE2PzU7DMBCE70i8g7VIXCpqp6AIpXF6AHLjQiniuo23SUS8 TmP3B56eRRzguDOj2W/K1dkP6khT7ANbyOYGFHETXM+thc1rfXMPKiZkh0NgsvBJEVbV5UWJhQsn fqHjOrVKSjgWaKFLaSy0jk1HHuM8jMTi7cLkMck5tdpNeJJyP+iFMbn22LN86HCkh46aj/XBW4j1 G+3rr1kzM++3baDF/vH5Ca29vsrMElSic/oLww++oEMlTNtwYBfVYCHPjWxJYmR3oCQgQgZq+yvo qtT/F1TfUEsDBBQAAAAIAIdO4kCQS/2l4AEAANkDAAAOAAAAZHJzL2Uyb0RvYy54bWytU0uOEzEQ 3SNxB8t70pmgiaCVziwmDBsEkWAOUPEnbck/uTzp5CxcgxUbjjPXoOzuCcOwyYJeuMvl8qt6r8qr m6Oz7KASmuA7fjWbc6a8CNL4fcfvv929eccZZvASbPCq4yeF/Gb9+tVqiK1ahD5YqRIjEI/tEDve 5xzbpkHRKwc4C1F5OtQhOci0TftGJhgI3dlmMZ8vmyEkGVMQCpG8m/GQT4jpEsCgtRFqE8SDUz6P qElZyEQJexORr2u1WiuRv2iNKjPbcWKa60pJyN6VtVmvoN0niL0RUwlwSQkvODkwnpKeoTaQgT0k 8w+UMyIFDDrPRHDNSKQqQiyu5i+0+dpDVJULSY3xLDr+P1jx+bBNzMiOLznz4Kjhj99/PP78xRZF myFiSyG3fpumHcZtKkSPOrnyJwrsWPU8nfVUx8wEOZdvrzkTT/7mz6WYMH9UwbFidNwaX2hCC4dP mCkRhT6FFLf1bOj4++tFgQOaOU29JtNFqhv9vt7FYI28M9aWG5j2u1ub2AFK3+tX6BDuX2ElyQaw H+Pq0TgRvQL5wUuWT5EU8fQQeCnBKcmZVfRuikWA0GYw9pJISm19uaDqVE48i76josXaBXmqQjdl Rx2vFU/TWUbq+Z7s5y9y/RtQSwMECgAAAAAAh07iQAAAAAAAAAAAAAAAAAYAAABfcmVscy9QSwME FAAAAAgAh07iQIoUZjzRAAAAlAEAAAsAAABfcmVscy8ucmVsc6WQwWrDMAyG74O9g9F9cZrDGKNO L6PQa+kewNiKYxpbRjLZ+vbzDoNl9LajfqHvE//+8JkWtSJLpGxg1/WgMDvyMQcD75fj0wsoqTZ7 u1BGAzcUOIyPD/szLra2I5ljEdUoWQzMtZZXrcXNmKx0VDC3zUScbG0jB12su9qAeuj7Z82/GTBu mOrkDfDJD6Aut9LMf9gpOiahqXaOkqZpiu4eVQe2ZY7uyDbhG7lGsxywGvAsGgdqWdd+BH1fv/un 3tNHPuO61X6HjOuPV2+6HL8AUEsDBBQAAAAIAIdO4kB+5uUg9wAAAOEBAAATAAAAW0NvbnRlbnRf VHlwZXNdLnhtbJWRQU7DMBBF90jcwfIWJU67QAgl6YK0S0CoHGBkTxKLZGx5TGhvj5O2G0SRWNoz /78nu9wcxkFMGNg6quQqL6RA0s5Y6ir5vt9lD1JwBDIwOMJKHpHlpr69KfdHjyxSmriSfYz+USnW PY7AufNIadK6MEJMx9ApD/oDOlTrorhX2lFEilmcO2RdNtjC5xDF9pCuTyYBB5bi6bQ4syoJ3g9W Q0ymaiLzg5KdCXlKLjvcW893SUOqXwnz5DrgnHtJTxOsQfEKIT7DmDSUCayM+6KAU/53yWw5cuba 1mrMm8BNir3hdLG61o5r1zj93/Ltkrp0q+WD6m9QSwECFAAUAAAACACHTuJAfublIPcAAADhAQAA EwAAAAAAAAABACAAAABNBAAAW0NvbnRlbnRfVHlwZXNdLnhtbFBLAQIUAAoAAAAAAIdO4kAAAAAA AAAAAAAAAAAGAAAAAAAAAAAAEAAAAC8DAABfcmVscy9QSwECFAAUAAAACACHTuJAihRmPNEAAACU AQAACwAAAAAAAAABACAAAABTAwAAX3JlbHMvLnJlbHNQSwECFAAKAAAAAACHTuJAAAAAAAAAAAAA AAAABAAAAAAAAAAAABAAAAAAAAAAZHJzL1BLAQIUABQAAAAIAIdO4kD/ct5t1AAAAAkBAAAPAAAA AAAAAAEAIAAAACIAAABkcnMvZG93bnJldi54bWxQSwECFAAUAAAACACHTuJAkEv9peABAADZAwAA DgAAAAAAAAABACAAAAAjAQAAZHJzL2Uyb0RvYy54bWxQSwUGAAAAAAYABgBZAQAAdQUAAAAA ">
                <v:fill on="f" focussize="0,0"/>
                <v:stroke color="#000000" joinstyle="round"/>
                <v:imagedata o:title=""/>
                <o:lock v:ext="edit" aspectratio="f"/>
                <w10:wrap type="square"/>
              </v:line>
            </w:pict>
          </mc:Fallback>
        </mc:AlternateContent>
      </w:r>
    </w:p>
    <w:p>
      <w:pPr>
        <w:shd w:val="clear" w:color="auto" w:fill="FFFFFF"/>
        <w:snapToGrid w:val="0"/>
        <w:spacing w:line="360" w:lineRule="auto"/>
        <w:jc w:val="center"/>
        <w:textAlignment w:val="bottom"/>
        <w:rPr>
          <w:rFonts w:ascii="宋体" w:hAnsi="宋体" w:cs="宋体"/>
          <w:b/>
          <w:bCs/>
          <w:sz w:val="30"/>
          <w:szCs w:val="30"/>
        </w:rPr>
      </w:pPr>
    </w:p>
    <w:p>
      <w:pPr>
        <w:spacing w:line="360" w:lineRule="auto"/>
        <w:ind w:left="-210" w:leftChars="-100" w:right="-57" w:firstLine="1200" w:firstLineChars="400"/>
        <w:rPr>
          <w:rFonts w:hint="default" w:eastAsia="宋体"/>
          <w:sz w:val="30"/>
          <w:szCs w:val="30"/>
          <w:lang w:val="en-US" w:eastAsia="zh-CN"/>
        </w:rPr>
      </w:pPr>
      <w:r>
        <w:rPr>
          <w:rFonts w:hint="eastAsia"/>
          <w:sz w:val="30"/>
          <w:szCs w:val="30"/>
        </w:rPr>
        <w:t>项目</w:t>
      </w:r>
      <w:r>
        <w:rPr>
          <w:sz w:val="30"/>
          <w:szCs w:val="30"/>
        </w:rPr>
        <w:t>编号：</w:t>
      </w:r>
      <w:r>
        <w:rPr>
          <w:rFonts w:hint="eastAsia"/>
          <w:sz w:val="30"/>
          <w:szCs w:val="30"/>
        </w:rPr>
        <w:t>ZGTZZB2022-0</w:t>
      </w:r>
      <w:r>
        <w:rPr>
          <w:rFonts w:hint="eastAsia"/>
          <w:sz w:val="30"/>
          <w:szCs w:val="30"/>
          <w:lang w:val="en-US" w:eastAsia="zh-CN"/>
        </w:rPr>
        <w:t>36</w:t>
      </w:r>
    </w:p>
    <w:p>
      <w:pPr>
        <w:spacing w:line="360" w:lineRule="auto"/>
        <w:ind w:left="-210" w:leftChars="-100" w:right="-57" w:firstLine="1200" w:firstLineChars="400"/>
        <w:rPr>
          <w:sz w:val="30"/>
          <w:szCs w:val="30"/>
        </w:rPr>
      </w:pPr>
      <w:r>
        <w:rPr>
          <w:sz w:val="30"/>
          <w:szCs w:val="30"/>
        </w:rPr>
        <w:t>采 购 人：</w:t>
      </w:r>
      <w:r>
        <w:rPr>
          <w:rFonts w:hint="eastAsia"/>
          <w:sz w:val="30"/>
          <w:szCs w:val="30"/>
        </w:rPr>
        <w:t>台州市公安局</w:t>
      </w:r>
    </w:p>
    <w:p>
      <w:pPr>
        <w:spacing w:line="360" w:lineRule="auto"/>
        <w:ind w:left="-210" w:leftChars="-100" w:right="-57" w:firstLine="1200" w:firstLineChars="400"/>
        <w:rPr>
          <w:sz w:val="30"/>
          <w:szCs w:val="30"/>
        </w:rPr>
      </w:pPr>
      <w:r>
        <w:rPr>
          <w:sz w:val="30"/>
          <w:szCs w:val="30"/>
        </w:rPr>
        <w:t>采购代理</w:t>
      </w:r>
      <w:r>
        <w:rPr>
          <w:rFonts w:hint="eastAsia"/>
          <w:sz w:val="30"/>
          <w:szCs w:val="30"/>
        </w:rPr>
        <w:t>机构</w:t>
      </w:r>
      <w:r>
        <w:rPr>
          <w:sz w:val="30"/>
          <w:szCs w:val="30"/>
        </w:rPr>
        <w:t>：中冠工程管理咨询有限公司</w:t>
      </w:r>
    </w:p>
    <w:p>
      <w:pPr>
        <w:spacing w:line="360" w:lineRule="auto"/>
        <w:ind w:left="-210" w:leftChars="-100" w:right="-57" w:firstLine="1200" w:firstLineChars="400"/>
        <w:rPr>
          <w:sz w:val="30"/>
          <w:szCs w:val="30"/>
        </w:rPr>
      </w:pPr>
      <w:r>
        <w:rPr>
          <w:sz w:val="30"/>
          <w:szCs w:val="30"/>
        </w:rPr>
        <w:t>二〇</w:t>
      </w:r>
      <w:r>
        <w:rPr>
          <w:rFonts w:hint="eastAsia"/>
          <w:sz w:val="30"/>
          <w:szCs w:val="30"/>
        </w:rPr>
        <w:t>二二</w:t>
      </w:r>
      <w:r>
        <w:rPr>
          <w:sz w:val="30"/>
          <w:szCs w:val="30"/>
        </w:rPr>
        <w:t>年</w:t>
      </w:r>
      <w:r>
        <w:rPr>
          <w:rFonts w:hint="eastAsia"/>
          <w:sz w:val="30"/>
          <w:szCs w:val="30"/>
          <w:lang w:eastAsia="zh-CN"/>
        </w:rPr>
        <w:t>七</w:t>
      </w:r>
      <w:r>
        <w:rPr>
          <w:sz w:val="30"/>
          <w:szCs w:val="30"/>
        </w:rPr>
        <w:t>月</w:t>
      </w:r>
    </w:p>
    <w:p>
      <w:pPr>
        <w:shd w:val="clear" w:color="auto" w:fill="FFFFFF"/>
        <w:snapToGrid w:val="0"/>
        <w:spacing w:line="480" w:lineRule="auto"/>
        <w:ind w:firstLine="425"/>
        <w:textAlignment w:val="bottom"/>
        <w:rPr>
          <w:rFonts w:ascii="宋体" w:hAnsi="宋体" w:cs="宋体"/>
          <w:b/>
          <w:bCs/>
          <w:sz w:val="30"/>
          <w:szCs w:val="30"/>
        </w:rPr>
      </w:pPr>
    </w:p>
    <w:p>
      <w:pPr>
        <w:pageBreakBefore/>
        <w:shd w:val="clear" w:color="auto" w:fill="FFFFFF"/>
        <w:snapToGrid w:val="0"/>
        <w:spacing w:line="360" w:lineRule="auto"/>
        <w:jc w:val="center"/>
        <w:rPr>
          <w:rFonts w:ascii="宋体" w:hAnsi="宋体" w:cs="宋体"/>
          <w:b/>
          <w:bCs/>
          <w:sz w:val="24"/>
        </w:rPr>
        <w:sectPr>
          <w:footerReference r:id="rId3" w:type="default"/>
          <w:pgSz w:w="12240" w:h="15840"/>
          <w:pgMar w:top="1440" w:right="1800" w:bottom="1440" w:left="1800" w:header="720" w:footer="720" w:gutter="0"/>
          <w:pgNumType w:fmt="decimal"/>
          <w:cols w:space="720" w:num="1"/>
        </w:sectPr>
      </w:pPr>
    </w:p>
    <w:p>
      <w:pPr>
        <w:jc w:val="center"/>
        <w:rPr>
          <w:rFonts w:ascii="宋体" w:hAnsi="宋体"/>
          <w:sz w:val="44"/>
          <w:szCs w:val="44"/>
        </w:rPr>
      </w:pPr>
      <w:bookmarkStart w:id="0" w:name="_Toc31859"/>
      <w:r>
        <w:rPr>
          <w:rFonts w:ascii="宋体" w:hAnsi="宋体"/>
          <w:sz w:val="44"/>
          <w:szCs w:val="44"/>
        </w:rPr>
        <w:t>目录</w:t>
      </w:r>
    </w:p>
    <w:p>
      <w:pPr>
        <w:pStyle w:val="22"/>
      </w:pPr>
    </w:p>
    <w:p>
      <w:pPr>
        <w:pStyle w:val="35"/>
        <w:tabs>
          <w:tab w:val="right" w:leader="dot" w:pos="8306"/>
          <w:tab w:val="clear" w:pos="8789"/>
        </w:tabs>
      </w:pPr>
      <w:r>
        <w:rPr>
          <w:rFonts w:hint="eastAsia" w:ascii="宋体" w:hAnsi="宋体" w:cs="宋体"/>
          <w:b/>
          <w:sz w:val="30"/>
          <w:szCs w:val="30"/>
        </w:rPr>
        <w:fldChar w:fldCharType="begin"/>
      </w:r>
      <w:r>
        <w:rPr>
          <w:rFonts w:hint="eastAsia" w:ascii="宋体" w:hAnsi="宋体" w:cs="宋体"/>
          <w:b/>
          <w:sz w:val="30"/>
          <w:szCs w:val="30"/>
        </w:rPr>
        <w:instrText xml:space="preserve">TOC \o "1-1" \h \u </w:instrText>
      </w:r>
      <w:r>
        <w:rPr>
          <w:rFonts w:hint="eastAsia" w:ascii="宋体" w:hAnsi="宋体" w:cs="宋体"/>
          <w:b/>
          <w:sz w:val="30"/>
          <w:szCs w:val="30"/>
        </w:rPr>
        <w:fldChar w:fldCharType="separate"/>
      </w:r>
      <w:r>
        <w:rPr>
          <w:rFonts w:hint="eastAsia" w:ascii="宋体" w:hAnsi="宋体" w:cs="宋体"/>
          <w:szCs w:val="30"/>
        </w:rPr>
        <w:fldChar w:fldCharType="begin"/>
      </w:r>
      <w:r>
        <w:rPr>
          <w:rFonts w:hint="eastAsia" w:ascii="宋体" w:hAnsi="宋体" w:cs="宋体"/>
          <w:szCs w:val="30"/>
        </w:rPr>
        <w:instrText xml:space="preserve"> HYPERLINK \l _Toc12855 </w:instrText>
      </w:r>
      <w:r>
        <w:rPr>
          <w:rFonts w:hint="eastAsia" w:ascii="宋体" w:hAnsi="宋体" w:cs="宋体"/>
          <w:szCs w:val="30"/>
        </w:rPr>
        <w:fldChar w:fldCharType="separate"/>
      </w:r>
      <w:r>
        <w:rPr>
          <w:rFonts w:hint="eastAsia" w:ascii="宋体" w:hAnsi="宋体" w:cs="宋体"/>
          <w:bCs/>
          <w:szCs w:val="32"/>
        </w:rPr>
        <w:t>第一部分  采购公告</w:t>
      </w:r>
      <w:r>
        <w:tab/>
      </w:r>
      <w:r>
        <w:fldChar w:fldCharType="begin"/>
      </w:r>
      <w:r>
        <w:instrText xml:space="preserve"> PAGEREF _Toc12855 \h </w:instrText>
      </w:r>
      <w:r>
        <w:fldChar w:fldCharType="separate"/>
      </w:r>
      <w:r>
        <w:t>1</w:t>
      </w:r>
      <w:r>
        <w:fldChar w:fldCharType="end"/>
      </w:r>
      <w:r>
        <w:rPr>
          <w:rFonts w:hint="eastAsia" w:ascii="宋体" w:hAnsi="宋体" w:cs="宋体"/>
          <w:szCs w:val="30"/>
        </w:rPr>
        <w:fldChar w:fldCharType="end"/>
      </w:r>
    </w:p>
    <w:p>
      <w:pPr>
        <w:pStyle w:val="35"/>
        <w:tabs>
          <w:tab w:val="right" w:leader="dot" w:pos="8306"/>
          <w:tab w:val="clear" w:pos="8789"/>
        </w:tabs>
      </w:pPr>
      <w:r>
        <w:rPr>
          <w:rFonts w:hint="eastAsia" w:ascii="宋体" w:hAnsi="宋体" w:cs="宋体"/>
          <w:szCs w:val="30"/>
        </w:rPr>
        <w:fldChar w:fldCharType="begin"/>
      </w:r>
      <w:r>
        <w:rPr>
          <w:rFonts w:hint="eastAsia" w:ascii="宋体" w:hAnsi="宋体" w:cs="宋体"/>
          <w:szCs w:val="30"/>
        </w:rPr>
        <w:instrText xml:space="preserve"> HYPERLINK \l _Toc25794 </w:instrText>
      </w:r>
      <w:r>
        <w:rPr>
          <w:rFonts w:hint="eastAsia" w:ascii="宋体" w:hAnsi="宋体" w:cs="宋体"/>
          <w:szCs w:val="30"/>
        </w:rPr>
        <w:fldChar w:fldCharType="separate"/>
      </w:r>
      <w:r>
        <w:rPr>
          <w:rFonts w:hint="eastAsia" w:ascii="宋体" w:hAnsi="宋体" w:cs="宋体"/>
          <w:bCs/>
          <w:szCs w:val="32"/>
        </w:rPr>
        <w:t>第二部分  编制和提交投标文件须知</w:t>
      </w:r>
      <w:r>
        <w:tab/>
      </w:r>
      <w:r>
        <w:fldChar w:fldCharType="begin"/>
      </w:r>
      <w:r>
        <w:instrText xml:space="preserve"> PAGEREF _Toc25794 \h </w:instrText>
      </w:r>
      <w:r>
        <w:fldChar w:fldCharType="separate"/>
      </w:r>
      <w:r>
        <w:t>8</w:t>
      </w:r>
      <w:r>
        <w:fldChar w:fldCharType="end"/>
      </w:r>
      <w:r>
        <w:rPr>
          <w:rFonts w:hint="eastAsia" w:ascii="宋体" w:hAnsi="宋体" w:cs="宋体"/>
          <w:szCs w:val="30"/>
        </w:rPr>
        <w:fldChar w:fldCharType="end"/>
      </w:r>
    </w:p>
    <w:p>
      <w:pPr>
        <w:pStyle w:val="35"/>
        <w:tabs>
          <w:tab w:val="right" w:leader="dot" w:pos="8306"/>
          <w:tab w:val="clear" w:pos="8789"/>
        </w:tabs>
      </w:pPr>
      <w:r>
        <w:rPr>
          <w:rFonts w:hint="eastAsia" w:ascii="宋体" w:hAnsi="宋体" w:cs="宋体"/>
          <w:szCs w:val="30"/>
        </w:rPr>
        <w:fldChar w:fldCharType="begin"/>
      </w:r>
      <w:r>
        <w:rPr>
          <w:rFonts w:hint="eastAsia" w:ascii="宋体" w:hAnsi="宋体" w:cs="宋体"/>
          <w:szCs w:val="30"/>
        </w:rPr>
        <w:instrText xml:space="preserve"> HYPERLINK \l _Toc22412 </w:instrText>
      </w:r>
      <w:r>
        <w:rPr>
          <w:rFonts w:hint="eastAsia" w:ascii="宋体" w:hAnsi="宋体" w:cs="宋体"/>
          <w:szCs w:val="30"/>
        </w:rPr>
        <w:fldChar w:fldCharType="separate"/>
      </w:r>
      <w:r>
        <w:rPr>
          <w:rFonts w:hint="eastAsia" w:ascii="宋体" w:hAnsi="宋体" w:eastAsia="宋体"/>
          <w:bCs/>
          <w:szCs w:val="32"/>
        </w:rPr>
        <w:t>第三部分  投标须知</w:t>
      </w:r>
      <w:r>
        <w:tab/>
      </w:r>
      <w:r>
        <w:fldChar w:fldCharType="begin"/>
      </w:r>
      <w:r>
        <w:instrText xml:space="preserve"> PAGEREF _Toc22412 \h </w:instrText>
      </w:r>
      <w:r>
        <w:fldChar w:fldCharType="separate"/>
      </w:r>
      <w:r>
        <w:t>12</w:t>
      </w:r>
      <w:r>
        <w:fldChar w:fldCharType="end"/>
      </w:r>
      <w:r>
        <w:rPr>
          <w:rFonts w:hint="eastAsia" w:ascii="宋体" w:hAnsi="宋体" w:cs="宋体"/>
          <w:szCs w:val="30"/>
        </w:rPr>
        <w:fldChar w:fldCharType="end"/>
      </w:r>
    </w:p>
    <w:p>
      <w:pPr>
        <w:pStyle w:val="35"/>
        <w:tabs>
          <w:tab w:val="right" w:leader="dot" w:pos="8306"/>
          <w:tab w:val="clear" w:pos="8789"/>
        </w:tabs>
      </w:pPr>
      <w:r>
        <w:rPr>
          <w:rFonts w:hint="eastAsia" w:ascii="宋体" w:hAnsi="宋体" w:cs="宋体"/>
          <w:szCs w:val="30"/>
        </w:rPr>
        <w:fldChar w:fldCharType="begin"/>
      </w:r>
      <w:r>
        <w:rPr>
          <w:rFonts w:hint="eastAsia" w:ascii="宋体" w:hAnsi="宋体" w:cs="宋体"/>
          <w:szCs w:val="30"/>
        </w:rPr>
        <w:instrText xml:space="preserve"> HYPERLINK \l _Toc26138 </w:instrText>
      </w:r>
      <w:r>
        <w:rPr>
          <w:rFonts w:hint="eastAsia" w:ascii="宋体" w:hAnsi="宋体" w:cs="宋体"/>
          <w:szCs w:val="30"/>
        </w:rPr>
        <w:fldChar w:fldCharType="separate"/>
      </w:r>
      <w:r>
        <w:rPr>
          <w:rFonts w:hint="eastAsia" w:ascii="宋体" w:hAnsi="宋体"/>
          <w:szCs w:val="32"/>
        </w:rPr>
        <w:t xml:space="preserve">第四部分 </w:t>
      </w:r>
      <w:r>
        <w:rPr>
          <w:rFonts w:hint="eastAsia" w:ascii="宋体" w:hAnsi="宋体"/>
          <w:szCs w:val="32"/>
          <w:lang w:val="en-US" w:eastAsia="zh-CN"/>
        </w:rPr>
        <w:t xml:space="preserve"> </w:t>
      </w:r>
      <w:r>
        <w:rPr>
          <w:rFonts w:hint="eastAsia" w:ascii="宋体" w:hAnsi="宋体"/>
          <w:szCs w:val="32"/>
        </w:rPr>
        <w:t>评标办法及评分标准</w:t>
      </w:r>
      <w:r>
        <w:tab/>
      </w:r>
      <w:r>
        <w:fldChar w:fldCharType="begin"/>
      </w:r>
      <w:r>
        <w:instrText xml:space="preserve"> PAGEREF _Toc26138 \h </w:instrText>
      </w:r>
      <w:r>
        <w:fldChar w:fldCharType="separate"/>
      </w:r>
      <w:r>
        <w:t>24</w:t>
      </w:r>
      <w:r>
        <w:fldChar w:fldCharType="end"/>
      </w:r>
      <w:r>
        <w:rPr>
          <w:rFonts w:hint="eastAsia" w:ascii="宋体" w:hAnsi="宋体" w:cs="宋体"/>
          <w:szCs w:val="30"/>
        </w:rPr>
        <w:fldChar w:fldCharType="end"/>
      </w:r>
    </w:p>
    <w:p>
      <w:pPr>
        <w:pStyle w:val="35"/>
        <w:tabs>
          <w:tab w:val="right" w:leader="dot" w:pos="8306"/>
          <w:tab w:val="clear" w:pos="8789"/>
        </w:tabs>
      </w:pPr>
      <w:r>
        <w:rPr>
          <w:rFonts w:hint="eastAsia" w:ascii="宋体" w:hAnsi="宋体" w:cs="宋体"/>
          <w:szCs w:val="30"/>
        </w:rPr>
        <w:fldChar w:fldCharType="begin"/>
      </w:r>
      <w:r>
        <w:rPr>
          <w:rFonts w:hint="eastAsia" w:ascii="宋体" w:hAnsi="宋体" w:cs="宋体"/>
          <w:szCs w:val="30"/>
        </w:rPr>
        <w:instrText xml:space="preserve"> HYPERLINK \l _Toc13083 </w:instrText>
      </w:r>
      <w:r>
        <w:rPr>
          <w:rFonts w:hint="eastAsia" w:ascii="宋体" w:hAnsi="宋体" w:cs="宋体"/>
          <w:szCs w:val="30"/>
        </w:rPr>
        <w:fldChar w:fldCharType="separate"/>
      </w:r>
      <w:r>
        <w:rPr>
          <w:rFonts w:hint="eastAsia" w:ascii="宋体" w:hAnsi="宋体"/>
          <w:szCs w:val="32"/>
        </w:rPr>
        <w:t xml:space="preserve">第五部分 </w:t>
      </w:r>
      <w:r>
        <w:rPr>
          <w:rFonts w:hint="eastAsia" w:ascii="宋体" w:hAnsi="宋体"/>
          <w:szCs w:val="32"/>
          <w:lang w:val="en-US" w:eastAsia="zh-CN"/>
        </w:rPr>
        <w:t xml:space="preserve"> </w:t>
      </w:r>
      <w:r>
        <w:rPr>
          <w:rFonts w:hint="eastAsia" w:ascii="宋体" w:hAnsi="宋体" w:cs="宋体"/>
          <w:bCs/>
          <w:szCs w:val="32"/>
        </w:rPr>
        <w:t>采购内容及要求</w:t>
      </w:r>
      <w:r>
        <w:tab/>
      </w:r>
      <w:r>
        <w:fldChar w:fldCharType="begin"/>
      </w:r>
      <w:r>
        <w:instrText xml:space="preserve"> PAGEREF _Toc13083 \h </w:instrText>
      </w:r>
      <w:r>
        <w:fldChar w:fldCharType="separate"/>
      </w:r>
      <w:r>
        <w:t>28</w:t>
      </w:r>
      <w:r>
        <w:fldChar w:fldCharType="end"/>
      </w:r>
      <w:r>
        <w:rPr>
          <w:rFonts w:hint="eastAsia" w:ascii="宋体" w:hAnsi="宋体" w:cs="宋体"/>
          <w:szCs w:val="30"/>
        </w:rPr>
        <w:fldChar w:fldCharType="end"/>
      </w:r>
    </w:p>
    <w:p>
      <w:pPr>
        <w:pStyle w:val="35"/>
        <w:tabs>
          <w:tab w:val="right" w:leader="dot" w:pos="8306"/>
          <w:tab w:val="clear" w:pos="8789"/>
        </w:tabs>
      </w:pPr>
      <w:r>
        <w:rPr>
          <w:rFonts w:hint="eastAsia" w:ascii="宋体" w:hAnsi="宋体" w:cs="宋体"/>
          <w:szCs w:val="30"/>
        </w:rPr>
        <w:fldChar w:fldCharType="begin"/>
      </w:r>
      <w:r>
        <w:rPr>
          <w:rFonts w:hint="eastAsia" w:ascii="宋体" w:hAnsi="宋体" w:cs="宋体"/>
          <w:szCs w:val="30"/>
        </w:rPr>
        <w:instrText xml:space="preserve"> HYPERLINK \l _Toc6603 </w:instrText>
      </w:r>
      <w:r>
        <w:rPr>
          <w:rFonts w:hint="eastAsia" w:ascii="宋体" w:hAnsi="宋体" w:cs="宋体"/>
          <w:szCs w:val="30"/>
        </w:rPr>
        <w:fldChar w:fldCharType="separate"/>
      </w:r>
      <w:r>
        <w:rPr>
          <w:rFonts w:hint="eastAsia" w:ascii="宋体" w:hAnsi="宋体"/>
          <w:szCs w:val="32"/>
        </w:rPr>
        <w:t xml:space="preserve">第六部分 </w:t>
      </w:r>
      <w:r>
        <w:rPr>
          <w:rFonts w:hint="eastAsia" w:ascii="宋体" w:hAnsi="宋体"/>
          <w:szCs w:val="32"/>
          <w:lang w:val="en-US" w:eastAsia="zh-CN"/>
        </w:rPr>
        <w:t xml:space="preserve"> </w:t>
      </w:r>
      <w:r>
        <w:rPr>
          <w:rFonts w:hint="eastAsia" w:ascii="宋体" w:hAnsi="宋体"/>
          <w:szCs w:val="32"/>
        </w:rPr>
        <w:t>拟签订的合同文本</w:t>
      </w:r>
      <w:r>
        <w:tab/>
      </w:r>
      <w:r>
        <w:fldChar w:fldCharType="begin"/>
      </w:r>
      <w:r>
        <w:instrText xml:space="preserve"> PAGEREF _Toc6603 \h </w:instrText>
      </w:r>
      <w:r>
        <w:fldChar w:fldCharType="separate"/>
      </w:r>
      <w:r>
        <w:t>32</w:t>
      </w:r>
      <w:r>
        <w:fldChar w:fldCharType="end"/>
      </w:r>
      <w:r>
        <w:rPr>
          <w:rFonts w:hint="eastAsia" w:ascii="宋体" w:hAnsi="宋体" w:cs="宋体"/>
          <w:szCs w:val="30"/>
        </w:rPr>
        <w:fldChar w:fldCharType="end"/>
      </w:r>
    </w:p>
    <w:p>
      <w:pPr>
        <w:pStyle w:val="35"/>
        <w:tabs>
          <w:tab w:val="right" w:leader="dot" w:pos="8306"/>
          <w:tab w:val="clear" w:pos="8789"/>
        </w:tabs>
      </w:pPr>
      <w:r>
        <w:rPr>
          <w:rFonts w:hint="eastAsia" w:ascii="宋体" w:hAnsi="宋体" w:cs="宋体"/>
          <w:szCs w:val="30"/>
        </w:rPr>
        <w:fldChar w:fldCharType="begin"/>
      </w:r>
      <w:r>
        <w:rPr>
          <w:rFonts w:hint="eastAsia" w:ascii="宋体" w:hAnsi="宋体" w:cs="宋体"/>
          <w:szCs w:val="30"/>
        </w:rPr>
        <w:instrText xml:space="preserve"> HYPERLINK \l _Toc5526 </w:instrText>
      </w:r>
      <w:r>
        <w:rPr>
          <w:rFonts w:hint="eastAsia" w:ascii="宋体" w:hAnsi="宋体" w:cs="宋体"/>
          <w:szCs w:val="30"/>
        </w:rPr>
        <w:fldChar w:fldCharType="separate"/>
      </w:r>
      <w:r>
        <w:rPr>
          <w:rFonts w:hint="eastAsia" w:ascii="宋体" w:hAnsi="宋体"/>
          <w:szCs w:val="32"/>
        </w:rPr>
        <w:t xml:space="preserve">第七部分  </w:t>
      </w:r>
      <w:r>
        <w:rPr>
          <w:rFonts w:hint="eastAsia" w:ascii="宋体" w:hAnsi="宋体" w:cs="宋体"/>
          <w:bCs/>
          <w:szCs w:val="32"/>
        </w:rPr>
        <w:t>格式与表格</w:t>
      </w:r>
      <w:r>
        <w:tab/>
      </w:r>
      <w:r>
        <w:fldChar w:fldCharType="begin"/>
      </w:r>
      <w:r>
        <w:instrText xml:space="preserve"> PAGEREF _Toc5526 \h </w:instrText>
      </w:r>
      <w:r>
        <w:fldChar w:fldCharType="separate"/>
      </w:r>
      <w:r>
        <w:t>39</w:t>
      </w:r>
      <w:r>
        <w:fldChar w:fldCharType="end"/>
      </w:r>
      <w:r>
        <w:rPr>
          <w:rFonts w:hint="eastAsia" w:ascii="宋体" w:hAnsi="宋体" w:cs="宋体"/>
          <w:szCs w:val="30"/>
        </w:rPr>
        <w:fldChar w:fldCharType="end"/>
      </w:r>
    </w:p>
    <w:p>
      <w:pPr>
        <w:rPr>
          <w:rFonts w:ascii="宋体" w:hAnsi="宋体" w:cs="宋体"/>
          <w:b/>
          <w:sz w:val="24"/>
        </w:rPr>
      </w:pPr>
      <w:r>
        <w:rPr>
          <w:rFonts w:hint="eastAsia" w:ascii="宋体" w:hAnsi="宋体" w:cs="宋体"/>
          <w:szCs w:val="30"/>
        </w:rPr>
        <w:fldChar w:fldCharType="end"/>
      </w:r>
    </w:p>
    <w:p>
      <w:pPr>
        <w:pStyle w:val="22"/>
      </w:pPr>
    </w:p>
    <w:p>
      <w:pPr>
        <w:pageBreakBefore/>
        <w:shd w:val="clear" w:color="auto" w:fill="FFFFFF"/>
        <w:snapToGrid w:val="0"/>
        <w:spacing w:line="500" w:lineRule="exact"/>
        <w:rPr>
          <w:rFonts w:ascii="宋体" w:hAnsi="宋体" w:cs="宋体"/>
          <w:b/>
          <w:bCs/>
          <w:sz w:val="32"/>
          <w:szCs w:val="32"/>
        </w:rPr>
        <w:sectPr>
          <w:footerReference r:id="rId4" w:type="default"/>
          <w:pgSz w:w="11906" w:h="16838"/>
          <w:pgMar w:top="1440" w:right="1800" w:bottom="1440" w:left="1800" w:header="851" w:footer="992" w:gutter="0"/>
          <w:pgNumType w:fmt="decimal" w:start="1"/>
          <w:cols w:space="425" w:num="1"/>
          <w:docGrid w:type="lines" w:linePitch="312" w:charSpace="0"/>
        </w:sectPr>
      </w:pPr>
    </w:p>
    <w:p>
      <w:pPr>
        <w:pageBreakBefore/>
        <w:shd w:val="clear" w:color="auto" w:fill="FFFFFF"/>
        <w:snapToGrid w:val="0"/>
        <w:spacing w:line="500" w:lineRule="exact"/>
        <w:ind w:left="105"/>
        <w:jc w:val="center"/>
        <w:outlineLvl w:val="0"/>
        <w:rPr>
          <w:rFonts w:ascii="宋体" w:hAnsi="宋体" w:cs="宋体"/>
          <w:b/>
          <w:bCs/>
          <w:sz w:val="32"/>
          <w:szCs w:val="32"/>
        </w:rPr>
      </w:pPr>
      <w:bookmarkStart w:id="1" w:name="_Toc12855"/>
      <w:bookmarkStart w:id="2" w:name="_Toc12459"/>
      <w:bookmarkStart w:id="3" w:name="_Toc18128"/>
      <w:bookmarkStart w:id="4" w:name="_Toc8375"/>
      <w:bookmarkStart w:id="5" w:name="_Toc11758"/>
      <w:bookmarkStart w:id="6" w:name="_Toc1038"/>
      <w:bookmarkStart w:id="7" w:name="_Toc25290"/>
      <w:r>
        <w:rPr>
          <w:rFonts w:hint="eastAsia" w:ascii="宋体" w:hAnsi="宋体" w:cs="宋体"/>
          <w:b/>
          <w:bCs/>
          <w:sz w:val="32"/>
          <w:szCs w:val="32"/>
        </w:rPr>
        <w:t>第一部分  采购公告</w:t>
      </w:r>
      <w:bookmarkEnd w:id="0"/>
      <w:bookmarkEnd w:id="1"/>
      <w:bookmarkEnd w:id="2"/>
      <w:bookmarkEnd w:id="3"/>
      <w:bookmarkEnd w:id="4"/>
      <w:bookmarkEnd w:id="5"/>
      <w:bookmarkEnd w:id="6"/>
      <w:bookmarkEnd w:id="7"/>
    </w:p>
    <w:p>
      <w:pPr>
        <w:tabs>
          <w:tab w:val="left" w:pos="405"/>
        </w:tabs>
        <w:spacing w:line="360" w:lineRule="auto"/>
        <w:ind w:left="464" w:leftChars="221" w:firstLine="420" w:firstLineChars="200"/>
        <w:contextualSpacing/>
        <w:rPr>
          <w:szCs w:val="21"/>
        </w:rPr>
      </w:pPr>
      <w:r>
        <w:rPr>
          <w:rFonts w:hint="eastAsia"/>
          <w:szCs w:val="21"/>
        </w:rPr>
        <w:t>根据《中华人民共和国政府采购法》、《中华人民共和国政府采购法实施条例》和财政部第87号令《政府采购货物和服务招标投标管理办法》等有关规定，经政府采购管理部门批准，中冠工程管理咨询有限公司受</w:t>
      </w:r>
      <w:r>
        <w:rPr>
          <w:rFonts w:hint="eastAsia"/>
          <w:b/>
          <w:szCs w:val="21"/>
          <w:u w:val="single"/>
        </w:rPr>
        <w:t>台州市公安局</w:t>
      </w:r>
      <w:r>
        <w:rPr>
          <w:rFonts w:hint="eastAsia"/>
          <w:szCs w:val="21"/>
        </w:rPr>
        <w:t>（采购人）委托，</w:t>
      </w:r>
      <w:r>
        <w:rPr>
          <w:szCs w:val="21"/>
        </w:rPr>
        <w:t>现就</w:t>
      </w:r>
      <w:r>
        <w:rPr>
          <w:rFonts w:hint="eastAsia"/>
          <w:b/>
          <w:szCs w:val="21"/>
          <w:u w:val="single"/>
        </w:rPr>
        <w:t>台州市公安局公安信息网三级网和视频专网三级网设备维保项目</w:t>
      </w:r>
      <w:r>
        <w:rPr>
          <w:rFonts w:hint="eastAsia"/>
          <w:szCs w:val="21"/>
        </w:rPr>
        <w:t>（项目名称）</w:t>
      </w:r>
      <w:r>
        <w:rPr>
          <w:szCs w:val="21"/>
        </w:rPr>
        <w:t>进行</w:t>
      </w:r>
      <w:r>
        <w:rPr>
          <w:rFonts w:hint="eastAsia"/>
          <w:szCs w:val="21"/>
        </w:rPr>
        <w:t>公开招标采购，欢迎具备本项目供应商的资格要求且能够及时提供相关货物及服务的供应商前来投标。</w:t>
      </w:r>
    </w:p>
    <w:p>
      <w:pPr>
        <w:numPr>
          <w:ilvl w:val="0"/>
          <w:numId w:val="3"/>
        </w:numPr>
        <w:tabs>
          <w:tab w:val="left" w:pos="180"/>
          <w:tab w:val="left" w:pos="360"/>
          <w:tab w:val="left" w:pos="540"/>
          <w:tab w:val="left" w:pos="8280"/>
        </w:tabs>
        <w:autoSpaceDE w:val="0"/>
        <w:autoSpaceDN w:val="0"/>
        <w:adjustRightInd w:val="0"/>
        <w:spacing w:before="100" w:line="360" w:lineRule="auto"/>
        <w:ind w:right="23" w:firstLine="422" w:firstLineChars="200"/>
        <w:jc w:val="left"/>
        <w:rPr>
          <w:b/>
          <w:szCs w:val="21"/>
        </w:rPr>
      </w:pPr>
      <w:r>
        <w:rPr>
          <w:rFonts w:hint="eastAsia"/>
          <w:b/>
          <w:szCs w:val="21"/>
        </w:rPr>
        <w:t>项目</w:t>
      </w:r>
      <w:r>
        <w:rPr>
          <w:b/>
          <w:szCs w:val="21"/>
        </w:rPr>
        <w:t>编号：</w:t>
      </w:r>
      <w:r>
        <w:rPr>
          <w:rFonts w:hint="eastAsia"/>
          <w:b/>
          <w:szCs w:val="21"/>
        </w:rPr>
        <w:t>ZGTZZB2022-0</w:t>
      </w:r>
      <w:r>
        <w:rPr>
          <w:rFonts w:hint="eastAsia"/>
          <w:b/>
          <w:szCs w:val="21"/>
          <w:lang w:val="en-US" w:eastAsia="zh-CN"/>
        </w:rPr>
        <w:t>36</w:t>
      </w:r>
    </w:p>
    <w:p>
      <w:pPr>
        <w:numPr>
          <w:ilvl w:val="0"/>
          <w:numId w:val="3"/>
        </w:numPr>
        <w:tabs>
          <w:tab w:val="left" w:pos="180"/>
          <w:tab w:val="left" w:pos="360"/>
          <w:tab w:val="left" w:pos="540"/>
          <w:tab w:val="left" w:pos="8280"/>
        </w:tabs>
        <w:autoSpaceDE w:val="0"/>
        <w:autoSpaceDN w:val="0"/>
        <w:adjustRightInd w:val="0"/>
        <w:spacing w:before="100" w:line="360" w:lineRule="auto"/>
        <w:ind w:right="23" w:firstLine="422" w:firstLineChars="200"/>
        <w:jc w:val="left"/>
        <w:rPr>
          <w:b/>
          <w:szCs w:val="21"/>
        </w:rPr>
      </w:pPr>
      <w:r>
        <w:rPr>
          <w:b/>
          <w:szCs w:val="21"/>
        </w:rPr>
        <w:t>采购组织类型：分散采购委托代理</w:t>
      </w:r>
    </w:p>
    <w:p>
      <w:pPr>
        <w:tabs>
          <w:tab w:val="left" w:pos="180"/>
          <w:tab w:val="left" w:pos="360"/>
          <w:tab w:val="left" w:pos="540"/>
          <w:tab w:val="left" w:pos="8280"/>
        </w:tabs>
        <w:autoSpaceDE w:val="0"/>
        <w:autoSpaceDN w:val="0"/>
        <w:adjustRightInd w:val="0"/>
        <w:spacing w:before="100" w:line="360" w:lineRule="auto"/>
        <w:ind w:right="23" w:firstLine="422" w:firstLineChars="200"/>
        <w:jc w:val="left"/>
        <w:rPr>
          <w:b/>
          <w:szCs w:val="21"/>
        </w:rPr>
      </w:pPr>
      <w:r>
        <w:rPr>
          <w:rFonts w:hint="eastAsia"/>
          <w:b/>
          <w:szCs w:val="21"/>
        </w:rPr>
        <w:t>三、采购方式：公开招标（电子化招投标）</w:t>
      </w:r>
    </w:p>
    <w:p>
      <w:pPr>
        <w:tabs>
          <w:tab w:val="left" w:pos="180"/>
          <w:tab w:val="left" w:pos="360"/>
          <w:tab w:val="left" w:pos="540"/>
          <w:tab w:val="left" w:pos="8280"/>
        </w:tabs>
        <w:autoSpaceDE w:val="0"/>
        <w:autoSpaceDN w:val="0"/>
        <w:adjustRightInd w:val="0"/>
        <w:spacing w:before="100" w:line="360" w:lineRule="auto"/>
        <w:ind w:right="23" w:firstLine="422" w:firstLineChars="200"/>
        <w:jc w:val="left"/>
        <w:rPr>
          <w:b/>
          <w:szCs w:val="21"/>
        </w:rPr>
      </w:pPr>
      <w:r>
        <w:rPr>
          <w:rFonts w:hint="eastAsia"/>
          <w:b/>
          <w:szCs w:val="21"/>
        </w:rPr>
        <w:t>四、公告期限：自本公告发布之日起5</w:t>
      </w:r>
      <w:r>
        <w:rPr>
          <w:b/>
          <w:szCs w:val="21"/>
        </w:rPr>
        <w:t>个工作日。</w:t>
      </w:r>
    </w:p>
    <w:p>
      <w:pPr>
        <w:tabs>
          <w:tab w:val="left" w:pos="180"/>
          <w:tab w:val="left" w:pos="360"/>
          <w:tab w:val="left" w:pos="540"/>
          <w:tab w:val="left" w:pos="8280"/>
        </w:tabs>
        <w:autoSpaceDE w:val="0"/>
        <w:autoSpaceDN w:val="0"/>
        <w:adjustRightInd w:val="0"/>
        <w:spacing w:before="100" w:line="360" w:lineRule="auto"/>
        <w:ind w:right="23" w:firstLine="422" w:firstLineChars="200"/>
        <w:jc w:val="left"/>
        <w:rPr>
          <w:b/>
          <w:szCs w:val="21"/>
        </w:rPr>
      </w:pPr>
      <w:r>
        <w:rPr>
          <w:rFonts w:hint="eastAsia"/>
          <w:b/>
          <w:szCs w:val="21"/>
        </w:rPr>
        <w:t>五</w:t>
      </w:r>
      <w:r>
        <w:rPr>
          <w:b/>
          <w:szCs w:val="21"/>
        </w:rPr>
        <w:t>、采购</w:t>
      </w:r>
      <w:r>
        <w:rPr>
          <w:rFonts w:hint="eastAsia"/>
          <w:b/>
          <w:szCs w:val="21"/>
        </w:rPr>
        <w:t>内容及数量</w:t>
      </w:r>
      <w:r>
        <w:rPr>
          <w:b/>
          <w:szCs w:val="21"/>
        </w:rPr>
        <w:t>：</w:t>
      </w:r>
    </w:p>
    <w:tbl>
      <w:tblPr>
        <w:tblStyle w:val="47"/>
        <w:tblW w:w="9475" w:type="dxa"/>
        <w:tblInd w:w="-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93"/>
        <w:gridCol w:w="1621"/>
        <w:gridCol w:w="1587"/>
        <w:gridCol w:w="820"/>
        <w:gridCol w:w="835"/>
        <w:gridCol w:w="1240"/>
        <w:gridCol w:w="1295"/>
        <w:gridCol w:w="148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83" w:hRule="atLeast"/>
        </w:trPr>
        <w:tc>
          <w:tcPr>
            <w:tcW w:w="593" w:type="dxa"/>
            <w:vAlign w:val="center"/>
          </w:tcPr>
          <w:p>
            <w:pPr>
              <w:tabs>
                <w:tab w:val="left" w:pos="8280"/>
              </w:tabs>
              <w:autoSpaceDE w:val="0"/>
              <w:autoSpaceDN w:val="0"/>
              <w:adjustRightInd w:val="0"/>
              <w:ind w:right="25"/>
              <w:jc w:val="center"/>
              <w:rPr>
                <w:szCs w:val="21"/>
              </w:rPr>
            </w:pPr>
            <w:r>
              <w:rPr>
                <w:rFonts w:hint="eastAsia" w:ascii="宋体" w:hAnsi="宋体" w:cs="宋体"/>
                <w:b/>
                <w:szCs w:val="21"/>
              </w:rPr>
              <w:t>序号</w:t>
            </w:r>
          </w:p>
        </w:tc>
        <w:tc>
          <w:tcPr>
            <w:tcW w:w="1621" w:type="dxa"/>
            <w:vAlign w:val="center"/>
          </w:tcPr>
          <w:p>
            <w:pPr>
              <w:tabs>
                <w:tab w:val="left" w:pos="8280"/>
              </w:tabs>
              <w:autoSpaceDE w:val="0"/>
              <w:autoSpaceDN w:val="0"/>
              <w:adjustRightInd w:val="0"/>
              <w:ind w:right="25"/>
              <w:jc w:val="center"/>
              <w:rPr>
                <w:szCs w:val="21"/>
              </w:rPr>
            </w:pPr>
            <w:r>
              <w:rPr>
                <w:rFonts w:hint="eastAsia" w:ascii="宋体" w:hAnsi="宋体" w:cs="宋体"/>
                <w:b/>
                <w:szCs w:val="21"/>
              </w:rPr>
              <w:t>采购内容</w:t>
            </w:r>
          </w:p>
        </w:tc>
        <w:tc>
          <w:tcPr>
            <w:tcW w:w="1587" w:type="dxa"/>
            <w:vAlign w:val="center"/>
          </w:tcPr>
          <w:p>
            <w:pPr>
              <w:tabs>
                <w:tab w:val="left" w:pos="8280"/>
              </w:tabs>
              <w:autoSpaceDE w:val="0"/>
              <w:autoSpaceDN w:val="0"/>
              <w:adjustRightInd w:val="0"/>
              <w:ind w:right="25"/>
              <w:jc w:val="center"/>
              <w:rPr>
                <w:szCs w:val="21"/>
              </w:rPr>
            </w:pPr>
            <w:r>
              <w:rPr>
                <w:rFonts w:hint="eastAsia" w:ascii="宋体" w:hAnsi="宋体" w:cs="宋体"/>
                <w:b/>
                <w:szCs w:val="21"/>
              </w:rPr>
              <w:t>简要技术要求</w:t>
            </w:r>
          </w:p>
        </w:tc>
        <w:tc>
          <w:tcPr>
            <w:tcW w:w="820" w:type="dxa"/>
            <w:tcBorders>
              <w:right w:val="single" w:color="auto" w:sz="4" w:space="0"/>
            </w:tcBorders>
            <w:vAlign w:val="center"/>
          </w:tcPr>
          <w:p>
            <w:pPr>
              <w:tabs>
                <w:tab w:val="left" w:pos="8280"/>
              </w:tabs>
              <w:autoSpaceDE w:val="0"/>
              <w:autoSpaceDN w:val="0"/>
              <w:adjustRightInd w:val="0"/>
              <w:ind w:right="25"/>
              <w:jc w:val="center"/>
              <w:rPr>
                <w:rFonts w:ascii="宋体" w:hAnsi="宋体"/>
                <w:szCs w:val="22"/>
              </w:rPr>
            </w:pPr>
            <w:r>
              <w:rPr>
                <w:rFonts w:hint="eastAsia" w:ascii="宋体" w:hAnsi="宋体" w:cs="宋体"/>
                <w:b/>
                <w:szCs w:val="21"/>
              </w:rPr>
              <w:t>数量</w:t>
            </w:r>
          </w:p>
        </w:tc>
        <w:tc>
          <w:tcPr>
            <w:tcW w:w="835" w:type="dxa"/>
            <w:tcBorders>
              <w:right w:val="single" w:color="auto" w:sz="4" w:space="0"/>
            </w:tcBorders>
            <w:vAlign w:val="center"/>
          </w:tcPr>
          <w:p>
            <w:pPr>
              <w:tabs>
                <w:tab w:val="left" w:pos="8280"/>
              </w:tabs>
              <w:autoSpaceDE w:val="0"/>
              <w:autoSpaceDN w:val="0"/>
              <w:adjustRightInd w:val="0"/>
              <w:ind w:right="25"/>
              <w:jc w:val="center"/>
              <w:rPr>
                <w:rFonts w:ascii="宋体" w:hAnsi="宋体"/>
                <w:szCs w:val="22"/>
              </w:rPr>
            </w:pPr>
            <w:r>
              <w:rPr>
                <w:rFonts w:hint="eastAsia" w:ascii="宋体" w:hAnsi="宋体" w:cs="宋体"/>
                <w:b/>
                <w:szCs w:val="21"/>
              </w:rPr>
              <w:t>单位</w:t>
            </w:r>
          </w:p>
        </w:tc>
        <w:tc>
          <w:tcPr>
            <w:tcW w:w="1240" w:type="dxa"/>
            <w:tcBorders>
              <w:left w:val="single" w:color="auto" w:sz="4" w:space="0"/>
            </w:tcBorders>
            <w:vAlign w:val="center"/>
          </w:tcPr>
          <w:p>
            <w:pPr>
              <w:tabs>
                <w:tab w:val="left" w:pos="8280"/>
              </w:tabs>
              <w:autoSpaceDE w:val="0"/>
              <w:autoSpaceDN w:val="0"/>
              <w:adjustRightInd w:val="0"/>
              <w:ind w:right="25"/>
              <w:jc w:val="center"/>
              <w:rPr>
                <w:rFonts w:ascii="宋体" w:hAnsi="宋体" w:cs="宋体"/>
                <w:b/>
                <w:szCs w:val="21"/>
              </w:rPr>
            </w:pPr>
            <w:r>
              <w:rPr>
                <w:rFonts w:hint="eastAsia" w:ascii="宋体" w:hAnsi="宋体" w:cs="宋体"/>
                <w:b/>
                <w:szCs w:val="21"/>
              </w:rPr>
              <w:t>预算</w:t>
            </w:r>
          </w:p>
          <w:p>
            <w:pPr>
              <w:tabs>
                <w:tab w:val="left" w:pos="8280"/>
              </w:tabs>
              <w:autoSpaceDE w:val="0"/>
              <w:autoSpaceDN w:val="0"/>
              <w:adjustRightInd w:val="0"/>
              <w:ind w:right="25"/>
              <w:jc w:val="center"/>
              <w:rPr>
                <w:rFonts w:ascii="宋体" w:hAnsi="宋体" w:cs="宋体"/>
                <w:b/>
                <w:szCs w:val="21"/>
              </w:rPr>
            </w:pPr>
            <w:r>
              <w:rPr>
                <w:rFonts w:hint="eastAsia" w:ascii="宋体" w:hAnsi="宋体" w:cs="宋体"/>
                <w:b/>
                <w:szCs w:val="21"/>
              </w:rPr>
              <w:t>（万元）</w:t>
            </w:r>
          </w:p>
        </w:tc>
        <w:tc>
          <w:tcPr>
            <w:tcW w:w="1295" w:type="dxa"/>
            <w:tcBorders>
              <w:left w:val="single" w:color="auto" w:sz="4" w:space="0"/>
            </w:tcBorders>
            <w:vAlign w:val="center"/>
          </w:tcPr>
          <w:p>
            <w:pPr>
              <w:tabs>
                <w:tab w:val="left" w:pos="8280"/>
              </w:tabs>
              <w:autoSpaceDE w:val="0"/>
              <w:autoSpaceDN w:val="0"/>
              <w:adjustRightInd w:val="0"/>
              <w:ind w:right="25"/>
              <w:jc w:val="center"/>
              <w:rPr>
                <w:rFonts w:ascii="宋体" w:hAnsi="宋体" w:cs="宋体"/>
                <w:b/>
                <w:szCs w:val="21"/>
              </w:rPr>
            </w:pPr>
            <w:r>
              <w:rPr>
                <w:rFonts w:hint="eastAsia" w:ascii="宋体" w:hAnsi="宋体" w:cs="宋体"/>
                <w:b/>
                <w:szCs w:val="21"/>
              </w:rPr>
              <w:t>最高限价</w:t>
            </w:r>
          </w:p>
          <w:p>
            <w:pPr>
              <w:tabs>
                <w:tab w:val="left" w:pos="8280"/>
              </w:tabs>
              <w:autoSpaceDE w:val="0"/>
              <w:autoSpaceDN w:val="0"/>
              <w:adjustRightInd w:val="0"/>
              <w:ind w:right="25"/>
              <w:jc w:val="center"/>
              <w:rPr>
                <w:szCs w:val="21"/>
              </w:rPr>
            </w:pPr>
            <w:r>
              <w:rPr>
                <w:rFonts w:hint="eastAsia" w:ascii="宋体" w:hAnsi="宋体" w:cs="宋体"/>
                <w:b/>
                <w:szCs w:val="21"/>
              </w:rPr>
              <w:t>（万元）</w:t>
            </w:r>
          </w:p>
        </w:tc>
        <w:tc>
          <w:tcPr>
            <w:tcW w:w="1484" w:type="dxa"/>
            <w:vAlign w:val="center"/>
          </w:tcPr>
          <w:p>
            <w:pPr>
              <w:tabs>
                <w:tab w:val="left" w:pos="8280"/>
              </w:tabs>
              <w:autoSpaceDE w:val="0"/>
              <w:autoSpaceDN w:val="0"/>
              <w:adjustRightInd w:val="0"/>
              <w:ind w:right="25"/>
              <w:jc w:val="center"/>
              <w:rPr>
                <w:rFonts w:hint="eastAsia" w:ascii="宋体" w:hAnsi="宋体" w:eastAsia="宋体" w:cs="宋体"/>
                <w:b/>
                <w:i w:val="0"/>
                <w:iCs w:val="0"/>
                <w:caps w:val="0"/>
                <w:spacing w:val="0"/>
                <w:sz w:val="21"/>
                <w:szCs w:val="21"/>
                <w:shd w:val="clear"/>
              </w:rPr>
            </w:pPr>
            <w:r>
              <w:rPr>
                <w:rFonts w:hint="eastAsia" w:ascii="宋体" w:hAnsi="宋体" w:eastAsia="宋体" w:cs="宋体"/>
                <w:b/>
                <w:i w:val="0"/>
                <w:iCs w:val="0"/>
                <w:caps w:val="0"/>
                <w:spacing w:val="0"/>
                <w:sz w:val="21"/>
                <w:szCs w:val="21"/>
                <w:shd w:val="clear"/>
              </w:rPr>
              <w:t>合同履约</w:t>
            </w:r>
          </w:p>
          <w:p>
            <w:pPr>
              <w:tabs>
                <w:tab w:val="left" w:pos="8280"/>
              </w:tabs>
              <w:autoSpaceDE w:val="0"/>
              <w:autoSpaceDN w:val="0"/>
              <w:adjustRightInd w:val="0"/>
              <w:ind w:right="25"/>
              <w:jc w:val="center"/>
              <w:rPr>
                <w:szCs w:val="21"/>
              </w:rPr>
            </w:pPr>
            <w:r>
              <w:rPr>
                <w:rFonts w:hint="eastAsia" w:ascii="宋体" w:hAnsi="宋体" w:eastAsia="宋体" w:cs="宋体"/>
                <w:b/>
                <w:i w:val="0"/>
                <w:iCs w:val="0"/>
                <w:caps w:val="0"/>
                <w:spacing w:val="0"/>
                <w:sz w:val="21"/>
                <w:szCs w:val="21"/>
                <w:shd w:val="clear"/>
              </w:rPr>
              <w:t>期限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3" w:hRule="atLeast"/>
        </w:trPr>
        <w:tc>
          <w:tcPr>
            <w:tcW w:w="593" w:type="dxa"/>
            <w:vAlign w:val="center"/>
          </w:tcPr>
          <w:p>
            <w:pPr>
              <w:widowControl/>
              <w:jc w:val="center"/>
              <w:rPr>
                <w:szCs w:val="21"/>
              </w:rPr>
            </w:pPr>
            <w:r>
              <w:rPr>
                <w:rFonts w:hint="eastAsia" w:ascii="宋体" w:hAnsi="宋体" w:cs="宋体"/>
                <w:szCs w:val="21"/>
              </w:rPr>
              <w:t>一</w:t>
            </w:r>
          </w:p>
        </w:tc>
        <w:tc>
          <w:tcPr>
            <w:tcW w:w="1621" w:type="dxa"/>
            <w:vAlign w:val="center"/>
          </w:tcPr>
          <w:p>
            <w:pPr>
              <w:widowControl/>
              <w:jc w:val="center"/>
              <w:rPr>
                <w:szCs w:val="21"/>
              </w:rPr>
            </w:pPr>
            <w:r>
              <w:rPr>
                <w:rFonts w:hint="eastAsia" w:ascii="宋体" w:hAnsi="宋体" w:cs="宋体"/>
                <w:szCs w:val="21"/>
              </w:rPr>
              <w:t>公安信息网三级网和视频专网三级网设备维保</w:t>
            </w:r>
          </w:p>
        </w:tc>
        <w:tc>
          <w:tcPr>
            <w:tcW w:w="1587" w:type="dxa"/>
            <w:vAlign w:val="center"/>
          </w:tcPr>
          <w:p>
            <w:pPr>
              <w:widowControl/>
              <w:jc w:val="center"/>
              <w:rPr>
                <w:szCs w:val="21"/>
              </w:rPr>
            </w:pPr>
            <w:r>
              <w:rPr>
                <w:rFonts w:hint="eastAsia" w:ascii="宋体" w:hAnsi="宋体" w:cs="宋体"/>
                <w:szCs w:val="21"/>
              </w:rPr>
              <w:t>详见第五部分—采购内容及要求</w:t>
            </w:r>
          </w:p>
        </w:tc>
        <w:tc>
          <w:tcPr>
            <w:tcW w:w="820" w:type="dxa"/>
            <w:tcBorders>
              <w:right w:val="single" w:color="auto" w:sz="4" w:space="0"/>
            </w:tcBorders>
            <w:vAlign w:val="center"/>
          </w:tcPr>
          <w:p>
            <w:pPr>
              <w:widowControl/>
              <w:jc w:val="center"/>
              <w:rPr>
                <w:szCs w:val="21"/>
              </w:rPr>
            </w:pPr>
            <w:r>
              <w:rPr>
                <w:rFonts w:hint="eastAsia"/>
                <w:szCs w:val="21"/>
              </w:rPr>
              <w:t>1</w:t>
            </w:r>
          </w:p>
        </w:tc>
        <w:tc>
          <w:tcPr>
            <w:tcW w:w="835" w:type="dxa"/>
            <w:tcBorders>
              <w:right w:val="single" w:color="auto" w:sz="4" w:space="0"/>
            </w:tcBorders>
            <w:vAlign w:val="center"/>
          </w:tcPr>
          <w:p>
            <w:pPr>
              <w:widowControl/>
              <w:jc w:val="center"/>
              <w:rPr>
                <w:szCs w:val="21"/>
              </w:rPr>
            </w:pPr>
            <w:r>
              <w:rPr>
                <w:rFonts w:hint="eastAsia"/>
                <w:szCs w:val="21"/>
              </w:rPr>
              <w:t>项</w:t>
            </w:r>
          </w:p>
        </w:tc>
        <w:tc>
          <w:tcPr>
            <w:tcW w:w="1240" w:type="dxa"/>
            <w:tcBorders>
              <w:left w:val="single" w:color="auto" w:sz="4" w:space="0"/>
            </w:tcBorders>
            <w:vAlign w:val="center"/>
          </w:tcPr>
          <w:p>
            <w:pPr>
              <w:widowControl/>
              <w:jc w:val="center"/>
              <w:rPr>
                <w:rFonts w:ascii="宋体" w:hAnsi="宋体" w:cs="宋体"/>
                <w:kern w:val="0"/>
                <w:szCs w:val="21"/>
              </w:rPr>
            </w:pPr>
            <w:r>
              <w:rPr>
                <w:rFonts w:hint="eastAsia" w:ascii="宋体" w:hAnsi="宋体" w:cs="宋体"/>
                <w:kern w:val="0"/>
                <w:szCs w:val="21"/>
              </w:rPr>
              <w:t>70</w:t>
            </w:r>
          </w:p>
        </w:tc>
        <w:tc>
          <w:tcPr>
            <w:tcW w:w="1295" w:type="dxa"/>
            <w:tcBorders>
              <w:left w:val="single" w:color="auto" w:sz="4" w:space="0"/>
            </w:tcBorders>
            <w:vAlign w:val="center"/>
          </w:tcPr>
          <w:p>
            <w:pPr>
              <w:widowControl/>
              <w:jc w:val="center"/>
              <w:rPr>
                <w:rFonts w:ascii="宋体" w:hAnsi="宋体" w:cs="宋体"/>
                <w:kern w:val="0"/>
                <w:szCs w:val="21"/>
              </w:rPr>
            </w:pPr>
            <w:r>
              <w:rPr>
                <w:rFonts w:hint="eastAsia" w:ascii="宋体" w:hAnsi="宋体" w:cs="宋体"/>
                <w:kern w:val="0"/>
                <w:szCs w:val="21"/>
              </w:rPr>
              <w:t xml:space="preserve"> </w:t>
            </w:r>
            <w:r>
              <w:rPr>
                <w:rFonts w:hint="eastAsia" w:ascii="宋体" w:hAnsi="宋体" w:cs="宋体"/>
                <w:bCs w:val="0"/>
                <w:kern w:val="0"/>
                <w:sz w:val="21"/>
                <w:szCs w:val="21"/>
                <w:lang w:val="en-US" w:eastAsia="zh-CN"/>
              </w:rPr>
              <w:t>51.8884</w:t>
            </w:r>
            <w:r>
              <w:rPr>
                <w:rFonts w:hint="eastAsia" w:ascii="宋体" w:hAnsi="宋体" w:cs="宋体"/>
                <w:kern w:val="0"/>
                <w:szCs w:val="21"/>
              </w:rPr>
              <w:t xml:space="preserve">      </w:t>
            </w:r>
          </w:p>
        </w:tc>
        <w:tc>
          <w:tcPr>
            <w:tcW w:w="1484" w:type="dxa"/>
            <w:vAlign w:val="center"/>
          </w:tcPr>
          <w:p>
            <w:pPr>
              <w:widowControl/>
              <w:jc w:val="center"/>
              <w:rPr>
                <w:rFonts w:ascii="宋体" w:hAnsi="宋体" w:cs="宋体"/>
                <w:kern w:val="0"/>
                <w:szCs w:val="21"/>
              </w:rPr>
            </w:pPr>
            <w:r>
              <w:rPr>
                <w:rFonts w:hint="eastAsia" w:ascii="宋体" w:hAnsi="宋体" w:cs="宋体"/>
                <w:kern w:val="0"/>
                <w:szCs w:val="21"/>
              </w:rPr>
              <w:t>自合同签订之日起一年</w:t>
            </w:r>
          </w:p>
        </w:tc>
      </w:tr>
    </w:tbl>
    <w:p>
      <w:pPr>
        <w:tabs>
          <w:tab w:val="left" w:pos="180"/>
          <w:tab w:val="left" w:pos="360"/>
          <w:tab w:val="left" w:pos="540"/>
          <w:tab w:val="left" w:pos="8280"/>
        </w:tabs>
        <w:autoSpaceDE w:val="0"/>
        <w:autoSpaceDN w:val="0"/>
        <w:adjustRightInd w:val="0"/>
        <w:spacing w:before="100" w:line="360" w:lineRule="auto"/>
        <w:ind w:right="23" w:firstLine="517" w:firstLineChars="245"/>
        <w:jc w:val="left"/>
        <w:rPr>
          <w:szCs w:val="21"/>
        </w:rPr>
      </w:pPr>
      <w:r>
        <w:rPr>
          <w:rFonts w:hint="eastAsia"/>
          <w:b/>
          <w:szCs w:val="21"/>
        </w:rPr>
        <w:t>本项目采用“电子交易”的方式提交投标响应文件，请各供应商按照要求进行。</w:t>
      </w:r>
    </w:p>
    <w:p>
      <w:pPr>
        <w:tabs>
          <w:tab w:val="left" w:pos="180"/>
          <w:tab w:val="left" w:pos="360"/>
          <w:tab w:val="left" w:pos="540"/>
          <w:tab w:val="left" w:pos="8280"/>
        </w:tabs>
        <w:autoSpaceDE w:val="0"/>
        <w:autoSpaceDN w:val="0"/>
        <w:adjustRightInd w:val="0"/>
        <w:spacing w:before="100" w:line="360" w:lineRule="auto"/>
        <w:ind w:right="23" w:firstLine="422" w:firstLineChars="200"/>
        <w:jc w:val="left"/>
        <w:rPr>
          <w:b/>
          <w:szCs w:val="21"/>
        </w:rPr>
      </w:pPr>
      <w:r>
        <w:rPr>
          <w:rFonts w:hint="eastAsia"/>
          <w:b/>
          <w:szCs w:val="21"/>
        </w:rPr>
        <w:t>六</w:t>
      </w:r>
      <w:r>
        <w:rPr>
          <w:b/>
          <w:szCs w:val="21"/>
        </w:rPr>
        <w:t>、合格供应商的资格条件：</w:t>
      </w:r>
    </w:p>
    <w:p>
      <w:pPr>
        <w:tabs>
          <w:tab w:val="left" w:pos="180"/>
          <w:tab w:val="left" w:pos="360"/>
          <w:tab w:val="left" w:pos="540"/>
          <w:tab w:val="left" w:pos="8280"/>
        </w:tabs>
        <w:autoSpaceDE w:val="0"/>
        <w:autoSpaceDN w:val="0"/>
        <w:adjustRightInd w:val="0"/>
        <w:spacing w:line="360" w:lineRule="auto"/>
        <w:ind w:right="23" w:firstLine="420" w:firstLineChars="200"/>
        <w:jc w:val="left"/>
        <w:rPr>
          <w:szCs w:val="21"/>
        </w:rPr>
      </w:pPr>
      <w:r>
        <w:rPr>
          <w:szCs w:val="21"/>
        </w:rPr>
        <w:t>（一）符合《中华人民共和国政府采购法》第二十二条规定的</w:t>
      </w:r>
      <w:r>
        <w:rPr>
          <w:rFonts w:hint="eastAsia"/>
          <w:szCs w:val="21"/>
        </w:rPr>
        <w:t>供应商</w:t>
      </w:r>
      <w:r>
        <w:rPr>
          <w:szCs w:val="21"/>
        </w:rPr>
        <w:t>资格条件；</w:t>
      </w:r>
    </w:p>
    <w:p>
      <w:pPr>
        <w:tabs>
          <w:tab w:val="left" w:pos="180"/>
          <w:tab w:val="left" w:pos="360"/>
          <w:tab w:val="left" w:pos="540"/>
          <w:tab w:val="left" w:pos="8280"/>
        </w:tabs>
        <w:autoSpaceDE w:val="0"/>
        <w:autoSpaceDN w:val="0"/>
        <w:adjustRightInd w:val="0"/>
        <w:spacing w:line="360" w:lineRule="auto"/>
        <w:ind w:right="23" w:firstLine="420" w:firstLineChars="200"/>
        <w:jc w:val="left"/>
        <w:rPr>
          <w:szCs w:val="21"/>
        </w:rPr>
      </w:pPr>
      <w:r>
        <w:rPr>
          <w:rFonts w:hint="eastAsia"/>
          <w:szCs w:val="21"/>
        </w:rPr>
        <w:t>（1）具有独立承担民事责任的能力；</w:t>
      </w:r>
    </w:p>
    <w:p>
      <w:pPr>
        <w:tabs>
          <w:tab w:val="left" w:pos="180"/>
          <w:tab w:val="left" w:pos="360"/>
          <w:tab w:val="left" w:pos="540"/>
          <w:tab w:val="left" w:pos="8280"/>
        </w:tabs>
        <w:autoSpaceDE w:val="0"/>
        <w:autoSpaceDN w:val="0"/>
        <w:adjustRightInd w:val="0"/>
        <w:spacing w:line="360" w:lineRule="auto"/>
        <w:ind w:right="23" w:firstLine="420" w:firstLineChars="200"/>
        <w:jc w:val="left"/>
        <w:rPr>
          <w:szCs w:val="21"/>
        </w:rPr>
      </w:pPr>
      <w:r>
        <w:rPr>
          <w:rFonts w:hint="eastAsia"/>
          <w:szCs w:val="21"/>
        </w:rPr>
        <w:t>（2）具有良好的商业信誉和健全的财务会计制度；</w:t>
      </w:r>
    </w:p>
    <w:p>
      <w:pPr>
        <w:tabs>
          <w:tab w:val="left" w:pos="180"/>
          <w:tab w:val="left" w:pos="360"/>
          <w:tab w:val="left" w:pos="540"/>
          <w:tab w:val="left" w:pos="8280"/>
        </w:tabs>
        <w:autoSpaceDE w:val="0"/>
        <w:autoSpaceDN w:val="0"/>
        <w:adjustRightInd w:val="0"/>
        <w:spacing w:line="360" w:lineRule="auto"/>
        <w:ind w:right="23" w:firstLine="420" w:firstLineChars="200"/>
        <w:jc w:val="left"/>
        <w:rPr>
          <w:szCs w:val="21"/>
        </w:rPr>
      </w:pPr>
      <w:r>
        <w:rPr>
          <w:rFonts w:hint="eastAsia"/>
          <w:szCs w:val="21"/>
        </w:rPr>
        <w:t>（3）具有履行合同所必需的设备和专业技术能力；</w:t>
      </w:r>
    </w:p>
    <w:p>
      <w:pPr>
        <w:tabs>
          <w:tab w:val="left" w:pos="180"/>
          <w:tab w:val="left" w:pos="360"/>
          <w:tab w:val="left" w:pos="540"/>
          <w:tab w:val="left" w:pos="8280"/>
        </w:tabs>
        <w:autoSpaceDE w:val="0"/>
        <w:autoSpaceDN w:val="0"/>
        <w:adjustRightInd w:val="0"/>
        <w:spacing w:line="360" w:lineRule="auto"/>
        <w:ind w:right="23" w:firstLine="420" w:firstLineChars="200"/>
        <w:jc w:val="left"/>
        <w:rPr>
          <w:szCs w:val="21"/>
        </w:rPr>
      </w:pPr>
      <w:r>
        <w:rPr>
          <w:rFonts w:hint="eastAsia"/>
          <w:szCs w:val="21"/>
        </w:rPr>
        <w:t>（4）有依法缴纳税收和社会保障资金的良好记录；</w:t>
      </w:r>
    </w:p>
    <w:p>
      <w:pPr>
        <w:tabs>
          <w:tab w:val="left" w:pos="180"/>
          <w:tab w:val="left" w:pos="360"/>
          <w:tab w:val="left" w:pos="540"/>
          <w:tab w:val="left" w:pos="8280"/>
        </w:tabs>
        <w:autoSpaceDE w:val="0"/>
        <w:autoSpaceDN w:val="0"/>
        <w:adjustRightInd w:val="0"/>
        <w:spacing w:line="360" w:lineRule="auto"/>
        <w:ind w:right="23" w:firstLine="420" w:firstLineChars="200"/>
        <w:jc w:val="left"/>
        <w:rPr>
          <w:szCs w:val="21"/>
        </w:rPr>
      </w:pPr>
      <w:r>
        <w:rPr>
          <w:rFonts w:hint="eastAsia"/>
          <w:szCs w:val="21"/>
        </w:rPr>
        <w:t xml:space="preserve">（5）参加政府采购活动前三年内，在经营活动中没有重大违法记录； </w:t>
      </w:r>
    </w:p>
    <w:p>
      <w:pPr>
        <w:tabs>
          <w:tab w:val="left" w:pos="180"/>
          <w:tab w:val="left" w:pos="360"/>
          <w:tab w:val="left" w:pos="540"/>
          <w:tab w:val="left" w:pos="8280"/>
        </w:tabs>
        <w:autoSpaceDE w:val="0"/>
        <w:autoSpaceDN w:val="0"/>
        <w:adjustRightInd w:val="0"/>
        <w:spacing w:line="360" w:lineRule="auto"/>
        <w:ind w:right="23" w:firstLine="420" w:firstLineChars="200"/>
        <w:jc w:val="left"/>
        <w:rPr>
          <w:szCs w:val="21"/>
        </w:rPr>
      </w:pPr>
      <w:r>
        <w:rPr>
          <w:rFonts w:hint="eastAsia"/>
          <w:szCs w:val="21"/>
        </w:rPr>
        <w:t>（6）法律、行政法规规定的其他条件。</w:t>
      </w:r>
    </w:p>
    <w:p>
      <w:pPr>
        <w:tabs>
          <w:tab w:val="left" w:pos="180"/>
          <w:tab w:val="left" w:pos="360"/>
          <w:tab w:val="left" w:pos="540"/>
          <w:tab w:val="left" w:pos="8280"/>
        </w:tabs>
        <w:autoSpaceDE w:val="0"/>
        <w:autoSpaceDN w:val="0"/>
        <w:adjustRightInd w:val="0"/>
        <w:spacing w:line="360" w:lineRule="auto"/>
        <w:ind w:right="23" w:firstLine="420" w:firstLineChars="200"/>
        <w:jc w:val="left"/>
        <w:rPr>
          <w:szCs w:val="21"/>
        </w:rPr>
      </w:pPr>
      <w:r>
        <w:rPr>
          <w:szCs w:val="21"/>
        </w:rPr>
        <w:t>（二）</w:t>
      </w:r>
      <w:r>
        <w:rPr>
          <w:rFonts w:hint="eastAsia"/>
          <w:szCs w:val="21"/>
        </w:rPr>
        <w:t>供应商及其法定代表人未被列入失信被执行人名单、重大税收违法案件当事人名单、政府采购严重违法失信行为记录名单，信用信息以投标截止日信用中国网站（www.creditchina.gov.cn）、中国政府采购网（www.ccgp.gov.cn）公布为准。</w:t>
      </w:r>
    </w:p>
    <w:p>
      <w:pPr>
        <w:tabs>
          <w:tab w:val="left" w:pos="180"/>
          <w:tab w:val="left" w:pos="360"/>
          <w:tab w:val="left" w:pos="540"/>
          <w:tab w:val="left" w:pos="8280"/>
        </w:tabs>
        <w:autoSpaceDE w:val="0"/>
        <w:autoSpaceDN w:val="0"/>
        <w:adjustRightInd w:val="0"/>
        <w:spacing w:line="360" w:lineRule="auto"/>
        <w:ind w:right="23" w:firstLine="420" w:firstLineChars="200"/>
        <w:jc w:val="left"/>
        <w:rPr>
          <w:szCs w:val="21"/>
        </w:rPr>
      </w:pPr>
      <w:r>
        <w:rPr>
          <w:szCs w:val="21"/>
        </w:rPr>
        <w:t>（</w:t>
      </w:r>
      <w:r>
        <w:rPr>
          <w:rFonts w:hint="eastAsia"/>
          <w:szCs w:val="21"/>
        </w:rPr>
        <w:t>三</w:t>
      </w:r>
      <w:r>
        <w:rPr>
          <w:szCs w:val="21"/>
        </w:rPr>
        <w:t>）</w:t>
      </w:r>
      <w:r>
        <w:rPr>
          <w:rFonts w:hint="eastAsia"/>
          <w:szCs w:val="21"/>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tabs>
          <w:tab w:val="left" w:pos="180"/>
          <w:tab w:val="left" w:pos="360"/>
          <w:tab w:val="left" w:pos="540"/>
          <w:tab w:val="left" w:pos="8280"/>
        </w:tabs>
        <w:autoSpaceDE w:val="0"/>
        <w:autoSpaceDN w:val="0"/>
        <w:adjustRightInd w:val="0"/>
        <w:spacing w:line="360" w:lineRule="auto"/>
        <w:ind w:right="23" w:firstLine="422" w:firstLineChars="200"/>
        <w:jc w:val="left"/>
        <w:rPr>
          <w:b/>
          <w:szCs w:val="21"/>
        </w:rPr>
      </w:pPr>
      <w:r>
        <w:rPr>
          <w:b/>
          <w:szCs w:val="21"/>
        </w:rPr>
        <w:t>（</w:t>
      </w:r>
      <w:r>
        <w:rPr>
          <w:rFonts w:hint="eastAsia"/>
          <w:b/>
          <w:szCs w:val="21"/>
        </w:rPr>
        <w:t>四</w:t>
      </w:r>
      <w:r>
        <w:rPr>
          <w:b/>
          <w:szCs w:val="21"/>
        </w:rPr>
        <w:t>）本项目</w:t>
      </w:r>
      <w:r>
        <w:rPr>
          <w:rFonts w:hint="eastAsia"/>
          <w:b/>
          <w:szCs w:val="21"/>
        </w:rPr>
        <w:t>供应商的</w:t>
      </w:r>
      <w:r>
        <w:rPr>
          <w:b/>
          <w:szCs w:val="21"/>
        </w:rPr>
        <w:t>特定条件：</w:t>
      </w:r>
    </w:p>
    <w:p>
      <w:pPr>
        <w:spacing w:line="360" w:lineRule="auto"/>
        <w:ind w:firstLine="420" w:firstLineChars="200"/>
        <w:jc w:val="left"/>
        <w:rPr>
          <w:rFonts w:hint="eastAsia"/>
          <w:szCs w:val="21"/>
        </w:rPr>
      </w:pPr>
      <w:r>
        <w:rPr>
          <w:rFonts w:hint="eastAsia"/>
          <w:szCs w:val="21"/>
        </w:rPr>
        <w:t>1、落实政府采购政策需满足的资格要求：本项目专门面向中小企业采购（须在资格证明文件里提供《中小企业声明函》）；</w:t>
      </w:r>
    </w:p>
    <w:p>
      <w:pPr>
        <w:spacing w:line="360" w:lineRule="auto"/>
        <w:ind w:firstLine="420" w:firstLineChars="200"/>
        <w:jc w:val="left"/>
        <w:rPr>
          <w:rFonts w:hint="eastAsia" w:eastAsia="宋体"/>
          <w:szCs w:val="21"/>
          <w:lang w:eastAsia="zh-CN"/>
        </w:rPr>
      </w:pPr>
      <w:r>
        <w:rPr>
          <w:rFonts w:hint="eastAsia"/>
          <w:szCs w:val="21"/>
        </w:rPr>
        <w:t>2、本项目不接受联合体投标</w:t>
      </w:r>
      <w:r>
        <w:rPr>
          <w:rFonts w:hint="eastAsia"/>
          <w:szCs w:val="21"/>
          <w:lang w:eastAsia="zh-CN"/>
        </w:rPr>
        <w:t>；</w:t>
      </w:r>
    </w:p>
    <w:p>
      <w:pPr>
        <w:spacing w:line="360" w:lineRule="auto"/>
        <w:ind w:firstLine="420" w:firstLineChars="200"/>
        <w:jc w:val="left"/>
        <w:rPr>
          <w:szCs w:val="21"/>
        </w:rPr>
      </w:pPr>
      <w:r>
        <w:rPr>
          <w:rFonts w:hint="eastAsia"/>
          <w:szCs w:val="21"/>
        </w:rPr>
        <w:t>3、本项目不允许分包。</w:t>
      </w:r>
    </w:p>
    <w:p>
      <w:pPr>
        <w:widowControl/>
        <w:snapToGrid w:val="0"/>
        <w:spacing w:line="360" w:lineRule="auto"/>
        <w:ind w:firstLine="422" w:firstLineChars="200"/>
        <w:jc w:val="left"/>
        <w:rPr>
          <w:b/>
          <w:szCs w:val="21"/>
        </w:rPr>
      </w:pPr>
      <w:bookmarkStart w:id="8" w:name="_Hlt74649545"/>
      <w:bookmarkEnd w:id="8"/>
      <w:bookmarkStart w:id="9" w:name="_Hlt74729822"/>
      <w:bookmarkEnd w:id="9"/>
      <w:bookmarkStart w:id="10" w:name="_Hlt74707423"/>
      <w:bookmarkEnd w:id="10"/>
      <w:bookmarkStart w:id="11" w:name="_Hlt74728647"/>
      <w:bookmarkEnd w:id="11"/>
      <w:r>
        <w:rPr>
          <w:rFonts w:hint="eastAsia"/>
          <w:b/>
          <w:szCs w:val="21"/>
        </w:rPr>
        <w:t>七、采购文件的获取：</w:t>
      </w:r>
    </w:p>
    <w:p>
      <w:pPr>
        <w:spacing w:line="360" w:lineRule="auto"/>
        <w:ind w:firstLine="420"/>
        <w:rPr>
          <w:szCs w:val="21"/>
        </w:rPr>
      </w:pPr>
      <w:r>
        <w:rPr>
          <w:rFonts w:hint="eastAsia"/>
          <w:szCs w:val="21"/>
        </w:rPr>
        <w:t>1、本项目实行“政府采购云平台”在线获取，不提供纸质版。供应商获取前应先完成“政府采购云平台”的账号注册；</w:t>
      </w:r>
    </w:p>
    <w:p>
      <w:pPr>
        <w:spacing w:line="360" w:lineRule="auto"/>
        <w:ind w:firstLine="420"/>
        <w:rPr>
          <w:szCs w:val="21"/>
        </w:rPr>
      </w:pPr>
      <w:r>
        <w:rPr>
          <w:rFonts w:hint="eastAsia"/>
          <w:szCs w:val="21"/>
        </w:rPr>
        <w:t>2、获取时间：公告发布时间至投标截止时间。</w:t>
      </w:r>
    </w:p>
    <w:p>
      <w:pPr>
        <w:spacing w:line="360" w:lineRule="auto"/>
        <w:ind w:firstLine="420"/>
        <w:rPr>
          <w:szCs w:val="21"/>
        </w:rPr>
      </w:pPr>
      <w:r>
        <w:rPr>
          <w:rFonts w:hint="eastAsia"/>
          <w:szCs w:val="21"/>
        </w:rPr>
        <w:t>3、地点：</w:t>
      </w:r>
    </w:p>
    <w:p>
      <w:pPr>
        <w:widowControl/>
        <w:snapToGrid w:val="0"/>
        <w:spacing w:line="360" w:lineRule="auto"/>
        <w:ind w:firstLine="420" w:firstLineChars="200"/>
        <w:jc w:val="left"/>
        <w:rPr>
          <w:szCs w:val="21"/>
        </w:rPr>
      </w:pPr>
      <w:r>
        <w:rPr>
          <w:rFonts w:hint="eastAsia"/>
          <w:szCs w:val="21"/>
        </w:rPr>
        <w:t>（1）政采云平台（http://zfcg.czt.zj.gov.cn）；</w:t>
      </w:r>
    </w:p>
    <w:p>
      <w:pPr>
        <w:widowControl/>
        <w:snapToGrid w:val="0"/>
        <w:spacing w:line="360" w:lineRule="auto"/>
        <w:ind w:firstLine="420" w:firstLineChars="200"/>
        <w:jc w:val="left"/>
        <w:rPr>
          <w:szCs w:val="21"/>
        </w:rPr>
      </w:pPr>
      <w:r>
        <w:rPr>
          <w:rFonts w:hint="eastAsia"/>
          <w:szCs w:val="21"/>
        </w:rPr>
        <w:t>（2）供应商网上报名操作指南：“浙江政府采购网-办事指南-省采中心-网上报名”（http://zfcg.czt.zj.gov.cn/bs_other/2018-03-30/12002.html）。</w:t>
      </w:r>
    </w:p>
    <w:p>
      <w:pPr>
        <w:widowControl/>
        <w:snapToGrid w:val="0"/>
        <w:spacing w:line="360" w:lineRule="auto"/>
        <w:ind w:firstLine="420" w:firstLineChars="200"/>
        <w:jc w:val="left"/>
        <w:rPr>
          <w:szCs w:val="21"/>
        </w:rPr>
      </w:pPr>
      <w:r>
        <w:rPr>
          <w:rFonts w:hint="eastAsia"/>
          <w:szCs w:val="21"/>
        </w:rPr>
        <w:t>4、方式：潜在供应商登陆政采云平台，在线申请获取</w:t>
      </w:r>
      <w:r>
        <w:rPr>
          <w:rFonts w:hint="eastAsia"/>
          <w:b/>
          <w:szCs w:val="21"/>
        </w:rPr>
        <w:t>（进入“项目采购”应用，在获取菜单中选择项目，申请获取，本项目不收取工本费；仅需</w:t>
      </w:r>
      <w:r>
        <w:rPr>
          <w:b/>
          <w:szCs w:val="21"/>
        </w:rPr>
        <w:t>浏览</w:t>
      </w:r>
      <w:r>
        <w:rPr>
          <w:rFonts w:hint="eastAsia"/>
          <w:b/>
          <w:szCs w:val="21"/>
        </w:rPr>
        <w:t>的供应商可点击“游客，</w:t>
      </w:r>
      <w:r>
        <w:rPr>
          <w:b/>
          <w:szCs w:val="21"/>
        </w:rPr>
        <w:t>浏览</w:t>
      </w:r>
      <w:r>
        <w:rPr>
          <w:rFonts w:hint="eastAsia"/>
          <w:b/>
          <w:szCs w:val="21"/>
        </w:rPr>
        <w:t>”直接下载</w:t>
      </w:r>
      <w:r>
        <w:rPr>
          <w:b/>
          <w:szCs w:val="21"/>
        </w:rPr>
        <w:t>浏览</w:t>
      </w:r>
      <w:r>
        <w:rPr>
          <w:rFonts w:hint="eastAsia"/>
          <w:b/>
          <w:szCs w:val="21"/>
        </w:rPr>
        <w:t>）；</w:t>
      </w:r>
    </w:p>
    <w:p>
      <w:pPr>
        <w:widowControl/>
        <w:snapToGrid w:val="0"/>
        <w:spacing w:line="360" w:lineRule="auto"/>
        <w:ind w:firstLine="420" w:firstLineChars="200"/>
        <w:jc w:val="left"/>
        <w:rPr>
          <w:szCs w:val="21"/>
        </w:rPr>
      </w:pPr>
      <w:r>
        <w:rPr>
          <w:rFonts w:hint="eastAsia"/>
          <w:szCs w:val="21"/>
        </w:rPr>
        <w:t>5、供应商获取时须提交的文件资料：无；</w:t>
      </w:r>
    </w:p>
    <w:p>
      <w:pPr>
        <w:widowControl/>
        <w:snapToGrid w:val="0"/>
        <w:spacing w:line="360" w:lineRule="auto"/>
        <w:ind w:firstLine="420" w:firstLineChars="200"/>
        <w:jc w:val="left"/>
        <w:rPr>
          <w:szCs w:val="21"/>
        </w:rPr>
      </w:pPr>
      <w:r>
        <w:rPr>
          <w:rFonts w:hint="eastAsia"/>
          <w:szCs w:val="21"/>
        </w:rPr>
        <w:t>6、提示：采购公告附件内的（或采购需求）仅供阅览使用，供应商只有在“政府采购云平台”完成获取申请并下载了后才视作依法获取（法律法规所指的供应商获取时间以供应商完成获取申请后下载的时间为准）。</w:t>
      </w:r>
    </w:p>
    <w:p>
      <w:pPr>
        <w:widowControl/>
        <w:snapToGrid w:val="0"/>
        <w:spacing w:line="360" w:lineRule="auto"/>
        <w:ind w:firstLine="420" w:firstLineChars="200"/>
        <w:jc w:val="left"/>
        <w:rPr>
          <w:szCs w:val="21"/>
        </w:rPr>
      </w:pPr>
      <w:r>
        <w:rPr>
          <w:rFonts w:hint="eastAsia"/>
          <w:szCs w:val="21"/>
        </w:rPr>
        <w:t>注：请供应商按上述要求获取，如未在“政采云”系统内完成相关流程，引起的投标无效责任自负。</w:t>
      </w:r>
    </w:p>
    <w:p>
      <w:pPr>
        <w:widowControl/>
        <w:snapToGrid w:val="0"/>
        <w:spacing w:line="360" w:lineRule="auto"/>
        <w:ind w:firstLine="420" w:firstLineChars="200"/>
        <w:jc w:val="left"/>
        <w:rPr>
          <w:rFonts w:hint="eastAsia" w:ascii="等线" w:hAnsi="等线"/>
          <w:sz w:val="21"/>
          <w:szCs w:val="21"/>
        </w:rPr>
      </w:pPr>
      <w:r>
        <w:rPr>
          <w:rFonts w:hint="eastAsia" w:ascii="等线" w:hAnsi="等线"/>
          <w:sz w:val="21"/>
          <w:szCs w:val="21"/>
        </w:rPr>
        <w:t>7、未进行供应商资格报名或登记（含网上报名登记）的供应商，应视为未参加政府采购活动，一般不得提出质疑，但因供应商资格条件受到限制、报名时间设定不符合有关规定等原因使供应商不能参加报名或登记的除外。</w:t>
      </w:r>
    </w:p>
    <w:p>
      <w:pPr>
        <w:widowControl/>
        <w:snapToGrid w:val="0"/>
        <w:spacing w:line="360" w:lineRule="auto"/>
        <w:ind w:firstLine="422" w:firstLineChars="200"/>
        <w:jc w:val="left"/>
        <w:rPr>
          <w:rFonts w:hint="eastAsia"/>
          <w:b/>
          <w:szCs w:val="21"/>
        </w:rPr>
      </w:pPr>
    </w:p>
    <w:p>
      <w:pPr>
        <w:widowControl/>
        <w:snapToGrid w:val="0"/>
        <w:spacing w:line="360" w:lineRule="auto"/>
        <w:ind w:firstLine="422" w:firstLineChars="200"/>
        <w:jc w:val="left"/>
        <w:rPr>
          <w:b/>
          <w:szCs w:val="21"/>
        </w:rPr>
      </w:pPr>
      <w:r>
        <w:rPr>
          <w:rFonts w:hint="eastAsia"/>
          <w:b/>
          <w:szCs w:val="21"/>
        </w:rPr>
        <w:t>八、投标须知：</w:t>
      </w:r>
    </w:p>
    <w:p>
      <w:pPr>
        <w:widowControl/>
        <w:snapToGrid w:val="0"/>
        <w:spacing w:line="360" w:lineRule="auto"/>
        <w:ind w:firstLine="422" w:firstLineChars="200"/>
        <w:jc w:val="left"/>
        <w:rPr>
          <w:szCs w:val="21"/>
        </w:rPr>
      </w:pPr>
      <w:r>
        <w:rPr>
          <w:rFonts w:hint="eastAsia"/>
          <w:b/>
          <w:szCs w:val="21"/>
        </w:rPr>
        <w:t>1、投标截止时间与地点：</w:t>
      </w:r>
      <w:r>
        <w:rPr>
          <w:rFonts w:hint="eastAsia"/>
          <w:szCs w:val="21"/>
        </w:rPr>
        <w:t>2022年</w:t>
      </w:r>
      <w:r>
        <w:rPr>
          <w:rFonts w:hint="eastAsia"/>
          <w:szCs w:val="21"/>
          <w:lang w:val="en-US" w:eastAsia="zh-CN"/>
        </w:rPr>
        <w:t>08</w:t>
      </w:r>
      <w:r>
        <w:rPr>
          <w:rFonts w:hint="eastAsia"/>
          <w:szCs w:val="21"/>
        </w:rPr>
        <w:t>月</w:t>
      </w:r>
      <w:r>
        <w:rPr>
          <w:rFonts w:hint="eastAsia"/>
          <w:szCs w:val="21"/>
          <w:lang w:val="en-US" w:eastAsia="zh-CN"/>
        </w:rPr>
        <w:t>16</w:t>
      </w:r>
      <w:r>
        <w:rPr>
          <w:rFonts w:hint="eastAsia"/>
          <w:szCs w:val="21"/>
        </w:rPr>
        <w:t>日 09时00分整；地点：通过政采云平台（www.zcygov.cn）”实行在线投标响应（电子投标）。</w:t>
      </w:r>
    </w:p>
    <w:p>
      <w:pPr>
        <w:widowControl/>
        <w:snapToGrid w:val="0"/>
        <w:spacing w:line="360" w:lineRule="auto"/>
        <w:ind w:firstLine="422" w:firstLineChars="200"/>
        <w:jc w:val="left"/>
        <w:rPr>
          <w:szCs w:val="21"/>
        </w:rPr>
      </w:pPr>
      <w:r>
        <w:rPr>
          <w:rFonts w:hint="eastAsia"/>
          <w:b/>
          <w:szCs w:val="21"/>
        </w:rPr>
        <w:t>2、开标时间及地点：</w:t>
      </w:r>
      <w:r>
        <w:rPr>
          <w:rFonts w:hint="eastAsia"/>
          <w:szCs w:val="21"/>
        </w:rPr>
        <w:t>2022年</w:t>
      </w:r>
      <w:r>
        <w:rPr>
          <w:rFonts w:hint="eastAsia"/>
          <w:szCs w:val="21"/>
          <w:lang w:val="en-US" w:eastAsia="zh-CN"/>
        </w:rPr>
        <w:t>08</w:t>
      </w:r>
      <w:r>
        <w:rPr>
          <w:rFonts w:hint="eastAsia"/>
          <w:szCs w:val="21"/>
        </w:rPr>
        <w:t>月</w:t>
      </w:r>
      <w:r>
        <w:rPr>
          <w:rFonts w:hint="eastAsia"/>
          <w:szCs w:val="21"/>
          <w:lang w:val="en-US" w:eastAsia="zh-CN"/>
        </w:rPr>
        <w:t>16</w:t>
      </w:r>
      <w:r>
        <w:rPr>
          <w:rFonts w:hint="eastAsia"/>
          <w:szCs w:val="21"/>
        </w:rPr>
        <w:t xml:space="preserve"> 日 09时00分整；地点：通过政采云平台（www.zcygov.cn）”实行在线投标响应（电子投标）。</w:t>
      </w:r>
    </w:p>
    <w:p>
      <w:pPr>
        <w:widowControl/>
        <w:snapToGrid w:val="0"/>
        <w:spacing w:line="360" w:lineRule="auto"/>
        <w:ind w:firstLine="422" w:firstLineChars="200"/>
        <w:jc w:val="left"/>
        <w:rPr>
          <w:szCs w:val="21"/>
        </w:rPr>
      </w:pPr>
      <w:r>
        <w:rPr>
          <w:rFonts w:hint="eastAsia"/>
          <w:b/>
          <w:szCs w:val="21"/>
        </w:rPr>
        <w:t>3、解密截止时间：</w:t>
      </w:r>
      <w:r>
        <w:rPr>
          <w:rFonts w:hint="eastAsia"/>
          <w:szCs w:val="21"/>
        </w:rPr>
        <w:t>2022年</w:t>
      </w:r>
      <w:r>
        <w:rPr>
          <w:rFonts w:hint="eastAsia"/>
          <w:szCs w:val="21"/>
          <w:lang w:val="en-US" w:eastAsia="zh-CN"/>
        </w:rPr>
        <w:t>08</w:t>
      </w:r>
      <w:r>
        <w:rPr>
          <w:rFonts w:hint="eastAsia"/>
          <w:szCs w:val="21"/>
        </w:rPr>
        <w:t>月</w:t>
      </w:r>
      <w:r>
        <w:rPr>
          <w:rFonts w:hint="eastAsia"/>
          <w:szCs w:val="21"/>
          <w:lang w:val="en-US" w:eastAsia="zh-CN"/>
        </w:rPr>
        <w:t>16</w:t>
      </w:r>
      <w:r>
        <w:rPr>
          <w:rFonts w:hint="eastAsia"/>
          <w:szCs w:val="21"/>
        </w:rPr>
        <w:t>日09时30分整。投标文件未按时解密，视为放弃投标。</w:t>
      </w:r>
    </w:p>
    <w:p>
      <w:pPr>
        <w:widowControl/>
        <w:snapToGrid w:val="0"/>
        <w:spacing w:line="360" w:lineRule="auto"/>
        <w:ind w:firstLine="422" w:firstLineChars="200"/>
        <w:jc w:val="left"/>
        <w:rPr>
          <w:szCs w:val="21"/>
        </w:rPr>
      </w:pPr>
      <w:r>
        <w:rPr>
          <w:rFonts w:hint="eastAsia"/>
          <w:b/>
          <w:szCs w:val="21"/>
        </w:rPr>
        <w:t>九、投标保证金：</w:t>
      </w:r>
      <w:r>
        <w:rPr>
          <w:rFonts w:hint="eastAsia"/>
          <w:szCs w:val="21"/>
        </w:rPr>
        <w:t>无</w:t>
      </w:r>
    </w:p>
    <w:p>
      <w:pPr>
        <w:widowControl/>
        <w:snapToGrid w:val="0"/>
        <w:spacing w:line="360" w:lineRule="auto"/>
        <w:ind w:firstLine="422" w:firstLineChars="200"/>
        <w:jc w:val="left"/>
        <w:rPr>
          <w:b/>
          <w:szCs w:val="21"/>
        </w:rPr>
      </w:pPr>
      <w:r>
        <w:rPr>
          <w:rFonts w:hint="eastAsia"/>
          <w:b/>
          <w:szCs w:val="21"/>
        </w:rPr>
        <w:t>十、在线投标响应（电子投标）说明</w:t>
      </w:r>
    </w:p>
    <w:p>
      <w:pPr>
        <w:widowControl/>
        <w:snapToGrid w:val="0"/>
        <w:spacing w:line="360" w:lineRule="auto"/>
        <w:ind w:firstLine="420" w:firstLineChars="200"/>
        <w:jc w:val="left"/>
        <w:rPr>
          <w:szCs w:val="21"/>
        </w:rPr>
      </w:pPr>
      <w:r>
        <w:rPr>
          <w:rFonts w:hint="eastAsia"/>
          <w:szCs w:val="21"/>
        </w:rPr>
        <w:t>1、本项目通过“政府采购云平台（</w:t>
      </w:r>
      <w:r>
        <w:rPr>
          <w:szCs w:val="21"/>
        </w:rPr>
        <w:t>www.</w:t>
      </w:r>
      <w:r>
        <w:rPr>
          <w:rFonts w:hint="eastAsia"/>
          <w:szCs w:val="21"/>
        </w:rPr>
        <w:t>zcy</w:t>
      </w:r>
      <w:r>
        <w:rPr>
          <w:szCs w:val="21"/>
        </w:rPr>
        <w:t>gov.cn</w:t>
      </w:r>
      <w:r>
        <w:rPr>
          <w:rFonts w:hint="eastAsia"/>
          <w:szCs w:val="21"/>
        </w:rPr>
        <w:t>）”实行在线投标响应（电子投标），供应商应先安装“政采云电子交易客户端”，并按照本和“政府采购云平台”的要求，通过“政采云电子交易客户端”编制并加密投标文件。供应商未按规定加密的投标文件，“政府采购云平台”将予以拒收。</w:t>
      </w:r>
    </w:p>
    <w:p>
      <w:pPr>
        <w:widowControl/>
        <w:snapToGrid w:val="0"/>
        <w:spacing w:line="360" w:lineRule="auto"/>
        <w:ind w:firstLine="420" w:firstLineChars="200"/>
        <w:jc w:val="left"/>
        <w:rPr>
          <w:szCs w:val="21"/>
        </w:rPr>
      </w:pPr>
      <w:r>
        <w:rPr>
          <w:rFonts w:hint="eastAsia"/>
          <w:szCs w:val="21"/>
        </w:rPr>
        <w:t>“政采云电子交易客户端”请自行前往“浙江政府采购网-下载专区-电子交易客户端”进行下载；电子投标具体操作流程详见《供应商项目采购-电子招投标操作指南》；通过“政府采购云平台”参与在线投标时如遇平台技术问题详询400-881-7190。</w:t>
      </w:r>
    </w:p>
    <w:p>
      <w:pPr>
        <w:widowControl/>
        <w:snapToGrid w:val="0"/>
        <w:spacing w:line="360" w:lineRule="auto"/>
        <w:ind w:firstLine="420" w:firstLineChars="200"/>
        <w:jc w:val="left"/>
        <w:rPr>
          <w:b/>
          <w:szCs w:val="21"/>
        </w:rPr>
      </w:pPr>
      <w:r>
        <w:rPr>
          <w:rFonts w:hint="eastAsia"/>
          <w:szCs w:val="21"/>
        </w:rPr>
        <w:t>2、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w:t>
      </w:r>
      <w:r>
        <w:fldChar w:fldCharType="begin"/>
      </w:r>
      <w:r>
        <w:instrText xml:space="preserve"> HYPERLINK "http://www.zjzfcg.gov.cn/bidClientTemplate/2019-05-27/12945.html" \t "_blank" \o "CA驱动和申领流程" </w:instrText>
      </w:r>
      <w:r>
        <w:fldChar w:fldCharType="separate"/>
      </w:r>
      <w:r>
        <w:rPr>
          <w:szCs w:val="21"/>
        </w:rPr>
        <w:t>CA驱动和申领流程</w:t>
      </w:r>
      <w:r>
        <w:rPr>
          <w:szCs w:val="21"/>
        </w:rPr>
        <w:fldChar w:fldCharType="end"/>
      </w:r>
      <w:r>
        <w:rPr>
          <w:rFonts w:hint="eastAsia"/>
          <w:szCs w:val="21"/>
        </w:rPr>
        <w:t>”进行查阅；</w:t>
      </w:r>
      <w:r>
        <w:rPr>
          <w:rFonts w:hint="eastAsia"/>
          <w:b/>
          <w:szCs w:val="21"/>
        </w:rPr>
        <w:t>（提示：完成CA数字证书办理预计一周左右，建议各供应商自行把握时间。）</w:t>
      </w:r>
    </w:p>
    <w:p>
      <w:pPr>
        <w:widowControl/>
        <w:snapToGrid w:val="0"/>
        <w:spacing w:line="360" w:lineRule="auto"/>
        <w:ind w:firstLine="420" w:firstLineChars="200"/>
        <w:jc w:val="left"/>
        <w:rPr>
          <w:b/>
          <w:szCs w:val="21"/>
        </w:rPr>
      </w:pPr>
      <w:r>
        <w:rPr>
          <w:rFonts w:hint="eastAsia"/>
          <w:szCs w:val="21"/>
        </w:rPr>
        <w:t>3、投标供应商应当在投标截止时间前，将生成的“电子加密投标文件”上传递交至“政府采购云平台”。投标截止时间以后上传递交的投标文件将被“政府采购云平台”拒收。</w:t>
      </w:r>
      <w:r>
        <w:rPr>
          <w:rFonts w:hint="eastAsia"/>
          <w:b/>
          <w:szCs w:val="21"/>
        </w:rPr>
        <w:t>（提示：供应商应提前上传，以便在上传时遇到技术问题，有充足时间请教平台的技术人员。）</w:t>
      </w:r>
    </w:p>
    <w:p>
      <w:pPr>
        <w:widowControl/>
        <w:snapToGrid w:val="0"/>
        <w:spacing w:line="360" w:lineRule="auto"/>
        <w:ind w:firstLine="420" w:firstLineChars="200"/>
        <w:jc w:val="left"/>
        <w:rPr>
          <w:szCs w:val="21"/>
        </w:rPr>
      </w:pPr>
      <w:r>
        <w:rPr>
          <w:rFonts w:hint="eastAsia"/>
          <w:szCs w:val="21"/>
        </w:rPr>
        <w:t>4、投标供应商在“政府采购云平台”完成“电子加密投标文件”的上传递交后，还可以（EMS邮寄或顺丰邮寄形式）在投标截止时间前递交以介质（U盘）存储的数据电文形式的“备份投标文件”，“备份投标文件”应当密封包装并在包装上标注投标项目编号、项目名称、投标单位名称并加盖公章。</w:t>
      </w:r>
    </w:p>
    <w:p>
      <w:pPr>
        <w:widowControl/>
        <w:snapToGrid w:val="0"/>
        <w:spacing w:line="360" w:lineRule="auto"/>
        <w:ind w:firstLine="420" w:firstLineChars="200"/>
        <w:jc w:val="left"/>
        <w:rPr>
          <w:szCs w:val="21"/>
        </w:rPr>
      </w:pPr>
      <w:r>
        <w:rPr>
          <w:rFonts w:hint="eastAsia"/>
          <w:szCs w:val="21"/>
        </w:rPr>
        <w:t>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pPr>
        <w:widowControl/>
        <w:snapToGrid w:val="0"/>
        <w:spacing w:line="360" w:lineRule="auto"/>
        <w:ind w:firstLine="422" w:firstLineChars="200"/>
        <w:jc w:val="left"/>
        <w:rPr>
          <w:b/>
          <w:szCs w:val="21"/>
        </w:rPr>
      </w:pPr>
      <w:r>
        <w:rPr>
          <w:rFonts w:hint="eastAsia"/>
          <w:b/>
          <w:szCs w:val="21"/>
        </w:rPr>
        <w:t>十一、其他事项：</w:t>
      </w:r>
    </w:p>
    <w:p>
      <w:pPr>
        <w:widowControl/>
        <w:snapToGrid w:val="0"/>
        <w:spacing w:line="360" w:lineRule="auto"/>
        <w:ind w:firstLine="420" w:firstLineChars="200"/>
        <w:jc w:val="left"/>
        <w:rPr>
          <w:szCs w:val="21"/>
        </w:rPr>
      </w:pPr>
      <w:r>
        <w:rPr>
          <w:rFonts w:hint="eastAsia"/>
          <w:szCs w:val="21"/>
        </w:rPr>
        <w:t>1、供应商认为采购文件使自己的权益受到损害的，可以自获取采购文件之日或者采购文件公告期限届满之日（公告期限届满后获取采购文件的，以公告期限届满之日为准）起</w:t>
      </w:r>
      <w:r>
        <w:rPr>
          <w:szCs w:val="21"/>
        </w:rPr>
        <w:t>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idowControl/>
        <w:snapToGrid w:val="0"/>
        <w:spacing w:line="360" w:lineRule="auto"/>
        <w:ind w:firstLine="420" w:firstLineChars="200"/>
        <w:jc w:val="left"/>
        <w:rPr>
          <w:szCs w:val="21"/>
        </w:rPr>
      </w:pPr>
      <w:r>
        <w:rPr>
          <w:rFonts w:hint="eastAsia"/>
          <w:szCs w:val="21"/>
        </w:rPr>
        <w:t>2.供应商如对采购文件有异议应按规定的时间提出，逾期提出的，采购组织机构可不予受理、答复。</w:t>
      </w:r>
    </w:p>
    <w:p>
      <w:pPr>
        <w:widowControl/>
        <w:snapToGrid w:val="0"/>
        <w:spacing w:line="360" w:lineRule="auto"/>
        <w:ind w:firstLine="420" w:firstLineChars="200"/>
        <w:jc w:val="left"/>
        <w:rPr>
          <w:szCs w:val="21"/>
        </w:rPr>
      </w:pPr>
      <w:r>
        <w:rPr>
          <w:rFonts w:hint="eastAsia"/>
          <w:szCs w:val="21"/>
        </w:rPr>
        <w:t>3、本项目对符合财政扶持政策的中小企业（小型、微型）、监狱企业、残疾人福利性单位给予价格优惠扶持，执行节能产品政府强制采购和优先采购政策，执行环境标志产品政府优先采购政策。</w:t>
      </w:r>
    </w:p>
    <w:p>
      <w:pPr>
        <w:widowControl/>
        <w:snapToGrid w:val="0"/>
        <w:spacing w:line="360" w:lineRule="auto"/>
        <w:ind w:firstLine="420" w:firstLineChars="200"/>
        <w:jc w:val="left"/>
        <w:rPr>
          <w:szCs w:val="21"/>
        </w:rPr>
      </w:pPr>
      <w:r>
        <w:rPr>
          <w:rFonts w:hint="eastAsia"/>
          <w:szCs w:val="21"/>
        </w:rPr>
        <w:t>4、书面质疑受理地点：浙江省台州市椒江区东海大道</w:t>
      </w:r>
      <w:r>
        <w:rPr>
          <w:szCs w:val="21"/>
        </w:rPr>
        <w:t>3</w:t>
      </w:r>
      <w:r>
        <w:rPr>
          <w:rFonts w:hint="eastAsia"/>
          <w:szCs w:val="21"/>
        </w:rPr>
        <w:t>5</w:t>
      </w:r>
      <w:r>
        <w:rPr>
          <w:szCs w:val="21"/>
        </w:rPr>
        <w:t>8号</w:t>
      </w:r>
      <w:r>
        <w:rPr>
          <w:rFonts w:hint="eastAsia"/>
          <w:szCs w:val="21"/>
        </w:rPr>
        <w:t>（原平安保险大楼）</w:t>
      </w:r>
      <w:r>
        <w:rPr>
          <w:szCs w:val="21"/>
        </w:rPr>
        <w:t>4楼，联系人：</w:t>
      </w:r>
      <w:r>
        <w:rPr>
          <w:rFonts w:hint="eastAsia"/>
          <w:szCs w:val="21"/>
        </w:rPr>
        <w:t>唐虹波</w:t>
      </w:r>
      <w:r>
        <w:rPr>
          <w:szCs w:val="21"/>
        </w:rPr>
        <w:t>；联系电话：0576-</w:t>
      </w:r>
      <w:r>
        <w:rPr>
          <w:rFonts w:hint="eastAsia"/>
          <w:szCs w:val="21"/>
        </w:rPr>
        <w:t>81810270</w:t>
      </w:r>
      <w:r>
        <w:rPr>
          <w:szCs w:val="21"/>
        </w:rPr>
        <w:t>。</w:t>
      </w:r>
    </w:p>
    <w:p>
      <w:pPr>
        <w:widowControl/>
        <w:snapToGrid w:val="0"/>
        <w:spacing w:line="360" w:lineRule="auto"/>
        <w:ind w:firstLine="422" w:firstLineChars="200"/>
        <w:jc w:val="left"/>
        <w:rPr>
          <w:rFonts w:ascii="宋体" w:hAnsi="宋体" w:cs="宋体"/>
          <w:b/>
          <w:kern w:val="0"/>
          <w:szCs w:val="21"/>
        </w:rPr>
      </w:pPr>
      <w:r>
        <w:rPr>
          <w:rFonts w:hint="eastAsia"/>
          <w:b/>
          <w:szCs w:val="21"/>
        </w:rPr>
        <w:t>十二、联系方式：</w:t>
      </w:r>
    </w:p>
    <w:p>
      <w:pPr>
        <w:snapToGrid w:val="0"/>
        <w:spacing w:line="440" w:lineRule="exact"/>
        <w:ind w:firstLine="420" w:firstLineChars="200"/>
        <w:rPr>
          <w:color w:val="000000"/>
          <w:szCs w:val="21"/>
        </w:rPr>
      </w:pPr>
      <w:bookmarkStart w:id="12" w:name="_Toc8864"/>
      <w:bookmarkStart w:id="13" w:name="_Toc19854"/>
      <w:r>
        <w:rPr>
          <w:rFonts w:hint="eastAsia"/>
          <w:color w:val="000000"/>
          <w:szCs w:val="21"/>
        </w:rPr>
        <w:t>1</w:t>
      </w:r>
      <w:r>
        <w:rPr>
          <w:rFonts w:hint="eastAsia"/>
          <w:b/>
          <w:color w:val="000000"/>
          <w:szCs w:val="21"/>
        </w:rPr>
        <w:t>、采购人名称</w:t>
      </w:r>
      <w:r>
        <w:rPr>
          <w:rFonts w:hint="eastAsia"/>
          <w:color w:val="000000"/>
          <w:szCs w:val="21"/>
        </w:rPr>
        <w:t>：台州市公安局</w:t>
      </w:r>
    </w:p>
    <w:p>
      <w:pPr>
        <w:snapToGrid w:val="0"/>
        <w:spacing w:line="440" w:lineRule="exact"/>
        <w:ind w:firstLine="420" w:firstLineChars="200"/>
        <w:rPr>
          <w:color w:val="000000"/>
          <w:szCs w:val="21"/>
        </w:rPr>
      </w:pPr>
      <w:r>
        <w:rPr>
          <w:rFonts w:hint="eastAsia"/>
          <w:color w:val="000000"/>
          <w:szCs w:val="21"/>
        </w:rPr>
        <w:t xml:space="preserve">联系人：叶警官   </w:t>
      </w:r>
      <w:r>
        <w:rPr>
          <w:color w:val="000000"/>
          <w:szCs w:val="21"/>
        </w:rPr>
        <w:t>联系电话：</w:t>
      </w:r>
      <w:r>
        <w:rPr>
          <w:rFonts w:hint="eastAsia"/>
          <w:color w:val="000000"/>
          <w:szCs w:val="21"/>
        </w:rPr>
        <w:t>13706550571</w:t>
      </w:r>
    </w:p>
    <w:p>
      <w:pPr>
        <w:snapToGrid w:val="0"/>
        <w:spacing w:line="440" w:lineRule="exact"/>
        <w:ind w:firstLine="420" w:firstLineChars="200"/>
        <w:rPr>
          <w:color w:val="000000"/>
          <w:szCs w:val="21"/>
        </w:rPr>
      </w:pPr>
      <w:r>
        <w:rPr>
          <w:rFonts w:hint="eastAsia"/>
          <w:color w:val="000000"/>
          <w:szCs w:val="21"/>
        </w:rPr>
        <w:t>地址：台州市椒江区康平路2号</w:t>
      </w:r>
    </w:p>
    <w:p>
      <w:pPr>
        <w:spacing w:line="440" w:lineRule="exact"/>
        <w:ind w:firstLine="413" w:firstLineChars="196"/>
        <w:rPr>
          <w:color w:val="000000"/>
          <w:szCs w:val="21"/>
        </w:rPr>
      </w:pPr>
      <w:r>
        <w:rPr>
          <w:b/>
          <w:color w:val="000000"/>
          <w:szCs w:val="21"/>
        </w:rPr>
        <w:t>2、采购代理机构</w:t>
      </w:r>
      <w:r>
        <w:rPr>
          <w:color w:val="000000"/>
          <w:szCs w:val="21"/>
        </w:rPr>
        <w:t>：中冠工程管理咨询有限公司</w:t>
      </w:r>
    </w:p>
    <w:p>
      <w:pPr>
        <w:spacing w:line="440" w:lineRule="exact"/>
        <w:ind w:firstLine="411" w:firstLineChars="196"/>
        <w:rPr>
          <w:color w:val="000000"/>
          <w:szCs w:val="21"/>
        </w:rPr>
      </w:pPr>
      <w:r>
        <w:rPr>
          <w:rFonts w:hint="eastAsia"/>
          <w:color w:val="000000"/>
          <w:szCs w:val="21"/>
        </w:rPr>
        <w:t>联系人：陈金泉、戴艳燕、王莎莎</w:t>
      </w:r>
    </w:p>
    <w:p>
      <w:pPr>
        <w:spacing w:line="440" w:lineRule="exact"/>
        <w:ind w:firstLine="411" w:firstLineChars="196"/>
        <w:rPr>
          <w:color w:val="000000"/>
          <w:szCs w:val="21"/>
        </w:rPr>
      </w:pPr>
      <w:r>
        <w:rPr>
          <w:rFonts w:hint="eastAsia"/>
          <w:color w:val="000000"/>
          <w:szCs w:val="21"/>
        </w:rPr>
        <w:t>联系电话：</w:t>
      </w:r>
      <w:r>
        <w:rPr>
          <w:color w:val="000000"/>
          <w:szCs w:val="21"/>
        </w:rPr>
        <w:t>0576-</w:t>
      </w:r>
      <w:r>
        <w:rPr>
          <w:rFonts w:hint="eastAsia"/>
          <w:color w:val="000000"/>
          <w:szCs w:val="21"/>
        </w:rPr>
        <w:t>81810227</w:t>
      </w:r>
      <w:r>
        <w:rPr>
          <w:color w:val="000000"/>
          <w:szCs w:val="21"/>
        </w:rPr>
        <w:t xml:space="preserve">、18968407875         传真：0576-81810806 </w:t>
      </w:r>
    </w:p>
    <w:p>
      <w:pPr>
        <w:spacing w:line="440" w:lineRule="exact"/>
        <w:ind w:firstLine="411" w:firstLineChars="196"/>
        <w:rPr>
          <w:color w:val="000000"/>
          <w:szCs w:val="21"/>
        </w:rPr>
      </w:pPr>
      <w:r>
        <w:rPr>
          <w:rFonts w:hint="eastAsia"/>
          <w:color w:val="000000"/>
          <w:szCs w:val="21"/>
        </w:rPr>
        <w:t>地址：浙江省台州市椒江区东海大道</w:t>
      </w:r>
      <w:r>
        <w:rPr>
          <w:color w:val="000000"/>
          <w:szCs w:val="21"/>
        </w:rPr>
        <w:t>3</w:t>
      </w:r>
      <w:r>
        <w:rPr>
          <w:rFonts w:hint="eastAsia"/>
          <w:color w:val="000000"/>
          <w:szCs w:val="21"/>
        </w:rPr>
        <w:t>5</w:t>
      </w:r>
      <w:r>
        <w:rPr>
          <w:color w:val="000000"/>
          <w:szCs w:val="21"/>
        </w:rPr>
        <w:t>8号</w:t>
      </w:r>
      <w:r>
        <w:rPr>
          <w:rFonts w:hint="eastAsia"/>
          <w:color w:val="000000"/>
          <w:szCs w:val="21"/>
        </w:rPr>
        <w:t>（原平安保险大楼）</w:t>
      </w:r>
      <w:r>
        <w:rPr>
          <w:color w:val="000000"/>
          <w:szCs w:val="21"/>
        </w:rPr>
        <w:t>4楼</w:t>
      </w:r>
    </w:p>
    <w:p>
      <w:pPr>
        <w:spacing w:line="440" w:lineRule="exact"/>
        <w:ind w:firstLine="413" w:firstLineChars="196"/>
        <w:rPr>
          <w:color w:val="000000"/>
          <w:szCs w:val="21"/>
        </w:rPr>
      </w:pPr>
      <w:r>
        <w:rPr>
          <w:b/>
          <w:color w:val="000000"/>
          <w:szCs w:val="21"/>
        </w:rPr>
        <w:t>3、同级政府采购监督管理部门名称</w:t>
      </w:r>
      <w:r>
        <w:rPr>
          <w:color w:val="000000"/>
          <w:szCs w:val="21"/>
        </w:rPr>
        <w:t>：台州市财政局政府采购监管处</w:t>
      </w:r>
    </w:p>
    <w:p>
      <w:pPr>
        <w:spacing w:line="440" w:lineRule="exact"/>
        <w:ind w:firstLine="411" w:firstLineChars="196"/>
        <w:rPr>
          <w:color w:val="000000"/>
          <w:szCs w:val="21"/>
        </w:rPr>
      </w:pPr>
      <w:r>
        <w:rPr>
          <w:rFonts w:hint="eastAsia"/>
          <w:color w:val="000000"/>
          <w:szCs w:val="21"/>
        </w:rPr>
        <w:t>联系人：陈老师、李老师</w:t>
      </w:r>
    </w:p>
    <w:p>
      <w:pPr>
        <w:spacing w:line="440" w:lineRule="exact"/>
        <w:ind w:firstLine="411" w:firstLineChars="196"/>
        <w:rPr>
          <w:color w:val="000000"/>
          <w:szCs w:val="21"/>
        </w:rPr>
      </w:pPr>
      <w:r>
        <w:rPr>
          <w:rFonts w:hint="eastAsia"/>
          <w:color w:val="000000"/>
          <w:szCs w:val="21"/>
        </w:rPr>
        <w:t>监督投诉电话：</w:t>
      </w:r>
      <w:r>
        <w:rPr>
          <w:color w:val="000000"/>
          <w:szCs w:val="21"/>
        </w:rPr>
        <w:t>0576-88206705 、88206731         传真：0576-88206705</w:t>
      </w:r>
    </w:p>
    <w:p>
      <w:pPr>
        <w:spacing w:line="440" w:lineRule="exact"/>
        <w:ind w:firstLine="411" w:firstLineChars="196"/>
        <w:rPr>
          <w:color w:val="000000"/>
          <w:szCs w:val="21"/>
        </w:rPr>
      </w:pPr>
      <w:r>
        <w:rPr>
          <w:rFonts w:hint="eastAsia"/>
          <w:color w:val="000000"/>
          <w:szCs w:val="21"/>
        </w:rPr>
        <w:t>地址：浙江省台州市椒江区纬一路66号</w:t>
      </w:r>
    </w:p>
    <w:p>
      <w:pPr>
        <w:ind w:firstLine="405"/>
        <w:rPr>
          <w:b/>
          <w:color w:val="000000" w:themeColor="text1"/>
          <w:szCs w:val="21"/>
          <w14:textFill>
            <w14:solidFill>
              <w14:schemeClr w14:val="tx1"/>
            </w14:solidFill>
          </w14:textFill>
        </w:rPr>
      </w:pPr>
      <w:bookmarkStart w:id="14" w:name="_Toc22418"/>
      <w:r>
        <w:rPr>
          <w:rFonts w:hint="eastAsia"/>
          <w:b/>
          <w:color w:val="000000" w:themeColor="text1"/>
          <w:szCs w:val="21"/>
          <w14:textFill>
            <w14:solidFill>
              <w14:schemeClr w14:val="tx1"/>
            </w14:solidFill>
          </w14:textFill>
        </w:rPr>
        <w:t>4、其余事项：</w:t>
      </w:r>
      <w:r>
        <w:rPr>
          <w:rFonts w:hint="eastAsia" w:ascii="宋体" w:hAnsi="宋体" w:cs="宋体"/>
          <w:b/>
          <w:color w:val="000000" w:themeColor="text1"/>
          <w:szCs w:val="21"/>
          <w14:textFill>
            <w14:solidFill>
              <w14:schemeClr w14:val="tx1"/>
            </w14:solidFill>
          </w14:textFill>
        </w:rPr>
        <w:t>中标人如有融资需求，可使用以下服务</w:t>
      </w:r>
    </w:p>
    <w:p>
      <w:pPr>
        <w:pStyle w:val="14"/>
        <w:ind w:firstLine="422"/>
        <w:jc w:val="center"/>
        <w:rPr>
          <w:rFonts w:ascii="宋体" w:hAnsi="宋体" w:cs="宋体"/>
          <w:b/>
          <w:color w:val="000000" w:themeColor="text1"/>
          <w:szCs w:val="21"/>
          <w14:textFill>
            <w14:solidFill>
              <w14:schemeClr w14:val="tx1"/>
            </w14:solidFill>
          </w14:textFill>
        </w:rPr>
      </w:pPr>
    </w:p>
    <w:p>
      <w:pPr>
        <w:pStyle w:val="14"/>
        <w:ind w:firstLine="0" w:firstLineChars="0"/>
        <w:jc w:val="center"/>
        <w:rPr>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政采贷联系方式</w:t>
      </w:r>
    </w:p>
    <w:p>
      <w:pPr>
        <w:pStyle w:val="14"/>
        <w:ind w:firstLine="422"/>
        <w:jc w:val="center"/>
        <w:rPr>
          <w:rFonts w:ascii="宋体" w:hAnsi="宋体" w:cs="宋体"/>
          <w:b/>
          <w:color w:val="000000" w:themeColor="text1"/>
          <w:szCs w:val="21"/>
          <w14:textFill>
            <w14:solidFill>
              <w14:schemeClr w14:val="tx1"/>
            </w14:solidFill>
          </w14:textFill>
        </w:rPr>
      </w:pPr>
    </w:p>
    <w:p>
      <w:pPr>
        <w:pStyle w:val="14"/>
        <w:ind w:firstLine="422"/>
        <w:jc w:val="center"/>
        <w:rPr>
          <w:rFonts w:ascii="宋体" w:hAnsi="宋体" w:cs="宋体"/>
          <w:b/>
          <w:color w:val="000000" w:themeColor="text1"/>
          <w:szCs w:val="21"/>
          <w14:textFill>
            <w14:solidFill>
              <w14:schemeClr w14:val="tx1"/>
            </w14:solidFill>
          </w14:textFill>
        </w:rPr>
      </w:pPr>
    </w:p>
    <w:p>
      <w:pPr>
        <w:pStyle w:val="45"/>
        <w:ind w:left="0" w:leftChars="0" w:firstLine="0" w:firstLineChars="0"/>
        <w:rPr>
          <w:szCs w:val="21"/>
        </w:rPr>
      </w:pPr>
    </w:p>
    <w:tbl>
      <w:tblPr>
        <w:tblStyle w:val="48"/>
        <w:tblW w:w="94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5"/>
        <w:gridCol w:w="1691"/>
        <w:gridCol w:w="1830"/>
        <w:gridCol w:w="36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银行</w:t>
            </w:r>
          </w:p>
        </w:tc>
        <w:tc>
          <w:tcPr>
            <w:tcW w:w="1691" w:type="dxa"/>
            <w:vAlign w:val="center"/>
          </w:tcPr>
          <w:p>
            <w:pPr>
              <w:jc w:val="center"/>
              <w:rPr>
                <w:color w:val="000000"/>
                <w:szCs w:val="21"/>
              </w:rPr>
            </w:pPr>
            <w:r>
              <w:rPr>
                <w:rFonts w:hint="eastAsia"/>
                <w:color w:val="000000"/>
                <w:szCs w:val="21"/>
              </w:rPr>
              <w:t>贷款年利率</w:t>
            </w:r>
          </w:p>
        </w:tc>
        <w:tc>
          <w:tcPr>
            <w:tcW w:w="1830" w:type="dxa"/>
            <w:vAlign w:val="center"/>
          </w:tcPr>
          <w:p>
            <w:pPr>
              <w:jc w:val="center"/>
              <w:rPr>
                <w:color w:val="000000"/>
                <w:szCs w:val="21"/>
              </w:rPr>
            </w:pPr>
            <w:r>
              <w:rPr>
                <w:rFonts w:hint="eastAsia"/>
                <w:color w:val="000000"/>
                <w:szCs w:val="21"/>
              </w:rPr>
              <w:t>联系人</w:t>
            </w:r>
          </w:p>
        </w:tc>
        <w:tc>
          <w:tcPr>
            <w:tcW w:w="3690" w:type="dxa"/>
            <w:vAlign w:val="center"/>
          </w:tcPr>
          <w:p>
            <w:pPr>
              <w:jc w:val="center"/>
              <w:rPr>
                <w:color w:val="000000"/>
                <w:szCs w:val="21"/>
              </w:rPr>
            </w:pPr>
            <w:r>
              <w:rPr>
                <w:rFonts w:hint="eastAsia"/>
                <w:color w:val="000000"/>
                <w:szCs w:val="21"/>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中国工商银行</w:t>
            </w:r>
          </w:p>
        </w:tc>
        <w:tc>
          <w:tcPr>
            <w:tcW w:w="1691" w:type="dxa"/>
            <w:vAlign w:val="center"/>
          </w:tcPr>
          <w:p>
            <w:pPr>
              <w:jc w:val="center"/>
              <w:rPr>
                <w:color w:val="000000"/>
                <w:szCs w:val="21"/>
              </w:rPr>
            </w:pPr>
            <w:r>
              <w:rPr>
                <w:rFonts w:hint="eastAsia"/>
                <w:color w:val="000000"/>
                <w:szCs w:val="21"/>
              </w:rPr>
              <w:t>3.8%起</w:t>
            </w:r>
          </w:p>
        </w:tc>
        <w:tc>
          <w:tcPr>
            <w:tcW w:w="1830" w:type="dxa"/>
            <w:vAlign w:val="center"/>
          </w:tcPr>
          <w:p>
            <w:pPr>
              <w:jc w:val="center"/>
              <w:rPr>
                <w:color w:val="000000"/>
                <w:szCs w:val="21"/>
              </w:rPr>
            </w:pPr>
            <w:r>
              <w:rPr>
                <w:rFonts w:hint="eastAsia"/>
                <w:color w:val="000000"/>
                <w:szCs w:val="21"/>
              </w:rPr>
              <w:t>王霖</w:t>
            </w:r>
          </w:p>
        </w:tc>
        <w:tc>
          <w:tcPr>
            <w:tcW w:w="3690" w:type="dxa"/>
            <w:vAlign w:val="center"/>
          </w:tcPr>
          <w:p>
            <w:pPr>
              <w:jc w:val="center"/>
              <w:rPr>
                <w:color w:val="000000"/>
                <w:szCs w:val="21"/>
              </w:rPr>
            </w:pPr>
            <w:r>
              <w:rPr>
                <w:rFonts w:hint="eastAsia"/>
                <w:color w:val="000000"/>
                <w:szCs w:val="21"/>
              </w:rPr>
              <w:t>88588246、13857654562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中国农业银行</w:t>
            </w:r>
          </w:p>
        </w:tc>
        <w:tc>
          <w:tcPr>
            <w:tcW w:w="1691" w:type="dxa"/>
            <w:vAlign w:val="center"/>
          </w:tcPr>
          <w:p>
            <w:pPr>
              <w:jc w:val="center"/>
              <w:rPr>
                <w:color w:val="000000"/>
                <w:szCs w:val="21"/>
              </w:rPr>
            </w:pPr>
            <w:r>
              <w:rPr>
                <w:rFonts w:hint="eastAsia"/>
                <w:color w:val="000000"/>
                <w:szCs w:val="21"/>
              </w:rPr>
              <w:t>3.8%起</w:t>
            </w:r>
          </w:p>
        </w:tc>
        <w:tc>
          <w:tcPr>
            <w:tcW w:w="1830" w:type="dxa"/>
            <w:vAlign w:val="center"/>
          </w:tcPr>
          <w:p>
            <w:pPr>
              <w:jc w:val="center"/>
              <w:rPr>
                <w:color w:val="000000"/>
                <w:szCs w:val="21"/>
              </w:rPr>
            </w:pPr>
            <w:r>
              <w:rPr>
                <w:rFonts w:hint="eastAsia"/>
                <w:color w:val="000000"/>
                <w:szCs w:val="21"/>
              </w:rPr>
              <w:t>龚盛</w:t>
            </w:r>
          </w:p>
        </w:tc>
        <w:tc>
          <w:tcPr>
            <w:tcW w:w="3690" w:type="dxa"/>
            <w:vAlign w:val="center"/>
          </w:tcPr>
          <w:p>
            <w:pPr>
              <w:jc w:val="center"/>
              <w:rPr>
                <w:color w:val="000000"/>
                <w:szCs w:val="21"/>
              </w:rPr>
            </w:pPr>
            <w:r>
              <w:rPr>
                <w:rFonts w:hint="eastAsia"/>
                <w:color w:val="000000"/>
                <w:szCs w:val="21"/>
              </w:rPr>
              <w:t>15858682216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中国建设银行</w:t>
            </w:r>
          </w:p>
        </w:tc>
        <w:tc>
          <w:tcPr>
            <w:tcW w:w="1691" w:type="dxa"/>
            <w:vAlign w:val="center"/>
          </w:tcPr>
          <w:p>
            <w:pPr>
              <w:jc w:val="center"/>
              <w:rPr>
                <w:color w:val="000000"/>
                <w:szCs w:val="21"/>
              </w:rPr>
            </w:pPr>
            <w:r>
              <w:rPr>
                <w:rFonts w:hint="eastAsia"/>
                <w:color w:val="000000"/>
                <w:szCs w:val="21"/>
              </w:rPr>
              <w:t>3.8%起</w:t>
            </w:r>
          </w:p>
        </w:tc>
        <w:tc>
          <w:tcPr>
            <w:tcW w:w="1830" w:type="dxa"/>
            <w:vAlign w:val="center"/>
          </w:tcPr>
          <w:p>
            <w:pPr>
              <w:jc w:val="center"/>
              <w:rPr>
                <w:color w:val="000000"/>
                <w:szCs w:val="21"/>
              </w:rPr>
            </w:pPr>
            <w:r>
              <w:rPr>
                <w:rFonts w:hint="eastAsia"/>
                <w:color w:val="000000"/>
                <w:szCs w:val="21"/>
              </w:rPr>
              <w:t>梅晶晶</w:t>
            </w:r>
          </w:p>
        </w:tc>
        <w:tc>
          <w:tcPr>
            <w:tcW w:w="3690" w:type="dxa"/>
            <w:vAlign w:val="center"/>
          </w:tcPr>
          <w:p>
            <w:pPr>
              <w:jc w:val="center"/>
              <w:rPr>
                <w:color w:val="000000"/>
                <w:szCs w:val="21"/>
              </w:rPr>
            </w:pPr>
            <w:r>
              <w:rPr>
                <w:rFonts w:hint="eastAsia"/>
                <w:color w:val="000000"/>
                <w:szCs w:val="21"/>
              </w:rPr>
              <w:t>88525339、13736585303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中国银行</w:t>
            </w:r>
          </w:p>
        </w:tc>
        <w:tc>
          <w:tcPr>
            <w:tcW w:w="1691" w:type="dxa"/>
            <w:vAlign w:val="center"/>
          </w:tcPr>
          <w:p>
            <w:pPr>
              <w:jc w:val="center"/>
              <w:rPr>
                <w:color w:val="000000"/>
                <w:szCs w:val="21"/>
              </w:rPr>
            </w:pPr>
            <w:r>
              <w:rPr>
                <w:rFonts w:hint="eastAsia"/>
                <w:color w:val="000000"/>
                <w:szCs w:val="21"/>
              </w:rPr>
              <w:t>3.75%起</w:t>
            </w:r>
          </w:p>
        </w:tc>
        <w:tc>
          <w:tcPr>
            <w:tcW w:w="1830" w:type="dxa"/>
            <w:vAlign w:val="center"/>
          </w:tcPr>
          <w:p>
            <w:pPr>
              <w:jc w:val="center"/>
              <w:rPr>
                <w:color w:val="000000"/>
                <w:szCs w:val="21"/>
              </w:rPr>
            </w:pPr>
            <w:r>
              <w:rPr>
                <w:rFonts w:hint="eastAsia"/>
                <w:color w:val="000000"/>
                <w:szCs w:val="21"/>
              </w:rPr>
              <w:t>任茜</w:t>
            </w:r>
          </w:p>
        </w:tc>
        <w:tc>
          <w:tcPr>
            <w:tcW w:w="3690" w:type="dxa"/>
            <w:vAlign w:val="center"/>
          </w:tcPr>
          <w:p>
            <w:pPr>
              <w:jc w:val="center"/>
              <w:rPr>
                <w:color w:val="000000"/>
                <w:szCs w:val="21"/>
              </w:rPr>
            </w:pPr>
            <w:r>
              <w:rPr>
                <w:rFonts w:hint="eastAsia"/>
                <w:color w:val="000000"/>
                <w:szCs w:val="21"/>
              </w:rPr>
              <w:t>13857695378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浦发银行台州分行</w:t>
            </w:r>
          </w:p>
        </w:tc>
        <w:tc>
          <w:tcPr>
            <w:tcW w:w="1691" w:type="dxa"/>
            <w:vAlign w:val="center"/>
          </w:tcPr>
          <w:p>
            <w:pPr>
              <w:jc w:val="center"/>
              <w:rPr>
                <w:color w:val="000000"/>
                <w:szCs w:val="21"/>
              </w:rPr>
            </w:pPr>
            <w:r>
              <w:rPr>
                <w:rFonts w:hint="eastAsia"/>
                <w:color w:val="000000"/>
                <w:szCs w:val="21"/>
              </w:rPr>
              <w:t>4.05%起</w:t>
            </w:r>
          </w:p>
        </w:tc>
        <w:tc>
          <w:tcPr>
            <w:tcW w:w="1830" w:type="dxa"/>
            <w:vAlign w:val="center"/>
          </w:tcPr>
          <w:p>
            <w:pPr>
              <w:jc w:val="center"/>
              <w:rPr>
                <w:color w:val="000000"/>
                <w:szCs w:val="21"/>
              </w:rPr>
            </w:pPr>
            <w:r>
              <w:rPr>
                <w:rFonts w:hint="eastAsia"/>
                <w:color w:val="000000"/>
                <w:szCs w:val="21"/>
              </w:rPr>
              <w:t>王渊</w:t>
            </w:r>
          </w:p>
        </w:tc>
        <w:tc>
          <w:tcPr>
            <w:tcW w:w="3690" w:type="dxa"/>
            <w:vAlign w:val="center"/>
          </w:tcPr>
          <w:p>
            <w:pPr>
              <w:jc w:val="center"/>
              <w:rPr>
                <w:color w:val="000000"/>
                <w:szCs w:val="21"/>
              </w:rPr>
            </w:pPr>
            <w:r>
              <w:rPr>
                <w:rFonts w:hint="eastAsia"/>
                <w:color w:val="000000"/>
                <w:szCs w:val="21"/>
              </w:rPr>
              <w:t>13616676319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浦发银行椒江分行</w:t>
            </w:r>
          </w:p>
        </w:tc>
        <w:tc>
          <w:tcPr>
            <w:tcW w:w="1691" w:type="dxa"/>
            <w:vAlign w:val="center"/>
          </w:tcPr>
          <w:p>
            <w:pPr>
              <w:jc w:val="center"/>
              <w:rPr>
                <w:color w:val="000000"/>
                <w:szCs w:val="21"/>
              </w:rPr>
            </w:pPr>
            <w:r>
              <w:rPr>
                <w:rFonts w:hint="eastAsia"/>
                <w:color w:val="000000"/>
                <w:szCs w:val="21"/>
              </w:rPr>
              <w:t>4.05%起</w:t>
            </w:r>
          </w:p>
        </w:tc>
        <w:tc>
          <w:tcPr>
            <w:tcW w:w="1830" w:type="dxa"/>
            <w:vAlign w:val="center"/>
          </w:tcPr>
          <w:p>
            <w:pPr>
              <w:jc w:val="center"/>
              <w:rPr>
                <w:color w:val="000000"/>
                <w:szCs w:val="21"/>
              </w:rPr>
            </w:pPr>
            <w:r>
              <w:rPr>
                <w:rFonts w:hint="eastAsia"/>
                <w:color w:val="000000"/>
                <w:szCs w:val="21"/>
              </w:rPr>
              <w:t>孙瑞华</w:t>
            </w:r>
          </w:p>
        </w:tc>
        <w:tc>
          <w:tcPr>
            <w:tcW w:w="3690" w:type="dxa"/>
            <w:vAlign w:val="center"/>
          </w:tcPr>
          <w:p>
            <w:pPr>
              <w:jc w:val="center"/>
              <w:rPr>
                <w:color w:val="000000"/>
                <w:szCs w:val="21"/>
              </w:rPr>
            </w:pPr>
            <w:r>
              <w:rPr>
                <w:rFonts w:hint="eastAsia"/>
                <w:color w:val="000000"/>
                <w:szCs w:val="21"/>
              </w:rPr>
              <w:t>13857688081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交通银行台州分行</w:t>
            </w:r>
          </w:p>
        </w:tc>
        <w:tc>
          <w:tcPr>
            <w:tcW w:w="1691" w:type="dxa"/>
            <w:vAlign w:val="center"/>
          </w:tcPr>
          <w:p>
            <w:pPr>
              <w:jc w:val="center"/>
              <w:rPr>
                <w:color w:val="000000"/>
                <w:szCs w:val="21"/>
              </w:rPr>
            </w:pPr>
            <w:r>
              <w:rPr>
                <w:rFonts w:hint="eastAsia"/>
                <w:color w:val="000000"/>
                <w:szCs w:val="21"/>
              </w:rPr>
              <w:t>3.75%起</w:t>
            </w:r>
          </w:p>
        </w:tc>
        <w:tc>
          <w:tcPr>
            <w:tcW w:w="1830" w:type="dxa"/>
            <w:vAlign w:val="center"/>
          </w:tcPr>
          <w:p>
            <w:pPr>
              <w:jc w:val="center"/>
              <w:rPr>
                <w:color w:val="000000"/>
                <w:szCs w:val="21"/>
              </w:rPr>
            </w:pPr>
            <w:r>
              <w:rPr>
                <w:rFonts w:hint="eastAsia"/>
                <w:color w:val="000000"/>
                <w:szCs w:val="21"/>
              </w:rPr>
              <w:t>周翔宇</w:t>
            </w:r>
          </w:p>
        </w:tc>
        <w:tc>
          <w:tcPr>
            <w:tcW w:w="3690" w:type="dxa"/>
            <w:vAlign w:val="center"/>
          </w:tcPr>
          <w:p>
            <w:pPr>
              <w:jc w:val="center"/>
              <w:rPr>
                <w:color w:val="000000"/>
                <w:szCs w:val="21"/>
              </w:rPr>
            </w:pPr>
            <w:r>
              <w:rPr>
                <w:rFonts w:hint="eastAsia"/>
                <w:color w:val="000000"/>
                <w:szCs w:val="21"/>
              </w:rPr>
              <w:t>13867697018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招商银行台州分行</w:t>
            </w:r>
          </w:p>
        </w:tc>
        <w:tc>
          <w:tcPr>
            <w:tcW w:w="1691" w:type="dxa"/>
            <w:vAlign w:val="center"/>
          </w:tcPr>
          <w:p>
            <w:pPr>
              <w:jc w:val="center"/>
              <w:rPr>
                <w:color w:val="000000"/>
                <w:szCs w:val="21"/>
              </w:rPr>
            </w:pPr>
            <w:r>
              <w:rPr>
                <w:rFonts w:hint="eastAsia"/>
                <w:color w:val="000000"/>
                <w:szCs w:val="21"/>
              </w:rPr>
              <w:t>4.32%起</w:t>
            </w:r>
          </w:p>
        </w:tc>
        <w:tc>
          <w:tcPr>
            <w:tcW w:w="1830" w:type="dxa"/>
            <w:vAlign w:val="center"/>
          </w:tcPr>
          <w:p>
            <w:pPr>
              <w:jc w:val="center"/>
              <w:rPr>
                <w:color w:val="000000"/>
                <w:szCs w:val="21"/>
              </w:rPr>
            </w:pPr>
            <w:r>
              <w:rPr>
                <w:rFonts w:hint="eastAsia"/>
                <w:color w:val="000000"/>
                <w:szCs w:val="21"/>
              </w:rPr>
              <w:t>王海玲</w:t>
            </w:r>
          </w:p>
        </w:tc>
        <w:tc>
          <w:tcPr>
            <w:tcW w:w="3690" w:type="dxa"/>
            <w:vAlign w:val="center"/>
          </w:tcPr>
          <w:p>
            <w:pPr>
              <w:jc w:val="center"/>
              <w:rPr>
                <w:color w:val="000000"/>
                <w:szCs w:val="21"/>
              </w:rPr>
            </w:pPr>
            <w:r>
              <w:rPr>
                <w:rFonts w:hint="eastAsia"/>
                <w:color w:val="000000"/>
                <w:szCs w:val="21"/>
              </w:rPr>
              <w:t>13566413827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浙商银行台州分行</w:t>
            </w:r>
          </w:p>
        </w:tc>
        <w:tc>
          <w:tcPr>
            <w:tcW w:w="1691" w:type="dxa"/>
            <w:vAlign w:val="center"/>
          </w:tcPr>
          <w:p>
            <w:pPr>
              <w:jc w:val="center"/>
              <w:rPr>
                <w:color w:val="000000"/>
                <w:szCs w:val="21"/>
              </w:rPr>
            </w:pPr>
            <w:r>
              <w:rPr>
                <w:rFonts w:hint="eastAsia"/>
                <w:color w:val="000000"/>
                <w:szCs w:val="21"/>
              </w:rPr>
              <w:t>5.01%起</w:t>
            </w:r>
          </w:p>
        </w:tc>
        <w:tc>
          <w:tcPr>
            <w:tcW w:w="1830" w:type="dxa"/>
            <w:vAlign w:val="center"/>
          </w:tcPr>
          <w:p>
            <w:pPr>
              <w:jc w:val="center"/>
              <w:rPr>
                <w:color w:val="000000"/>
                <w:szCs w:val="21"/>
              </w:rPr>
            </w:pPr>
            <w:r>
              <w:rPr>
                <w:rFonts w:hint="eastAsia"/>
                <w:color w:val="000000"/>
                <w:szCs w:val="21"/>
              </w:rPr>
              <w:t>章涉漪</w:t>
            </w:r>
          </w:p>
        </w:tc>
        <w:tc>
          <w:tcPr>
            <w:tcW w:w="3690" w:type="dxa"/>
            <w:vAlign w:val="center"/>
          </w:tcPr>
          <w:p>
            <w:pPr>
              <w:jc w:val="center"/>
              <w:rPr>
                <w:color w:val="000000"/>
                <w:szCs w:val="21"/>
              </w:rPr>
            </w:pPr>
            <w:r>
              <w:rPr>
                <w:rFonts w:hint="eastAsia"/>
                <w:color w:val="000000"/>
                <w:szCs w:val="21"/>
              </w:rPr>
              <w:t>81880185、13606681262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中信银行台州分行</w:t>
            </w:r>
          </w:p>
        </w:tc>
        <w:tc>
          <w:tcPr>
            <w:tcW w:w="1691" w:type="dxa"/>
            <w:vAlign w:val="center"/>
          </w:tcPr>
          <w:p>
            <w:pPr>
              <w:jc w:val="center"/>
              <w:rPr>
                <w:color w:val="000000"/>
                <w:szCs w:val="21"/>
              </w:rPr>
            </w:pPr>
            <w:r>
              <w:rPr>
                <w:rFonts w:hint="eastAsia"/>
                <w:color w:val="000000"/>
                <w:szCs w:val="21"/>
              </w:rPr>
              <w:t>4.15%起</w:t>
            </w:r>
          </w:p>
        </w:tc>
        <w:tc>
          <w:tcPr>
            <w:tcW w:w="1830" w:type="dxa"/>
            <w:vAlign w:val="center"/>
          </w:tcPr>
          <w:p>
            <w:pPr>
              <w:jc w:val="center"/>
              <w:rPr>
                <w:color w:val="000000"/>
                <w:szCs w:val="21"/>
              </w:rPr>
            </w:pPr>
            <w:r>
              <w:rPr>
                <w:rFonts w:hint="eastAsia"/>
                <w:color w:val="000000"/>
                <w:szCs w:val="21"/>
              </w:rPr>
              <w:t>陈金园</w:t>
            </w:r>
          </w:p>
        </w:tc>
        <w:tc>
          <w:tcPr>
            <w:tcW w:w="3690" w:type="dxa"/>
            <w:vAlign w:val="center"/>
          </w:tcPr>
          <w:p>
            <w:pPr>
              <w:jc w:val="center"/>
              <w:rPr>
                <w:color w:val="000000"/>
                <w:szCs w:val="21"/>
              </w:rPr>
            </w:pPr>
            <w:r>
              <w:rPr>
                <w:rFonts w:hint="eastAsia"/>
                <w:color w:val="000000"/>
                <w:szCs w:val="21"/>
              </w:rPr>
              <w:t>13586052161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华夏银行台州分行</w:t>
            </w:r>
          </w:p>
        </w:tc>
        <w:tc>
          <w:tcPr>
            <w:tcW w:w="1691" w:type="dxa"/>
            <w:vAlign w:val="center"/>
          </w:tcPr>
          <w:p>
            <w:pPr>
              <w:jc w:val="center"/>
              <w:rPr>
                <w:color w:val="000000"/>
                <w:szCs w:val="21"/>
              </w:rPr>
            </w:pPr>
            <w:r>
              <w:rPr>
                <w:rFonts w:hint="eastAsia"/>
                <w:color w:val="000000"/>
                <w:szCs w:val="21"/>
              </w:rPr>
              <w:t>4.5%起</w:t>
            </w:r>
          </w:p>
        </w:tc>
        <w:tc>
          <w:tcPr>
            <w:tcW w:w="1830" w:type="dxa"/>
            <w:vAlign w:val="center"/>
          </w:tcPr>
          <w:p>
            <w:pPr>
              <w:jc w:val="center"/>
              <w:rPr>
                <w:color w:val="000000"/>
                <w:szCs w:val="21"/>
              </w:rPr>
            </w:pPr>
            <w:r>
              <w:rPr>
                <w:rFonts w:hint="eastAsia"/>
                <w:color w:val="000000"/>
                <w:szCs w:val="21"/>
              </w:rPr>
              <w:t>邱明达</w:t>
            </w:r>
          </w:p>
        </w:tc>
        <w:tc>
          <w:tcPr>
            <w:tcW w:w="3690" w:type="dxa"/>
            <w:vAlign w:val="center"/>
          </w:tcPr>
          <w:p>
            <w:pPr>
              <w:jc w:val="center"/>
              <w:rPr>
                <w:color w:val="000000"/>
                <w:szCs w:val="21"/>
              </w:rPr>
            </w:pPr>
            <w:r>
              <w:rPr>
                <w:rFonts w:hint="eastAsia"/>
                <w:color w:val="000000"/>
                <w:szCs w:val="21"/>
              </w:rPr>
              <w:t>81871518、13736252233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泰隆银行开发区支行</w:t>
            </w:r>
          </w:p>
        </w:tc>
        <w:tc>
          <w:tcPr>
            <w:tcW w:w="1691" w:type="dxa"/>
            <w:vAlign w:val="center"/>
          </w:tcPr>
          <w:p>
            <w:pPr>
              <w:jc w:val="center"/>
              <w:rPr>
                <w:color w:val="000000"/>
                <w:szCs w:val="21"/>
              </w:rPr>
            </w:pPr>
            <w:r>
              <w:rPr>
                <w:rFonts w:hint="eastAsia"/>
                <w:color w:val="000000"/>
                <w:szCs w:val="21"/>
              </w:rPr>
              <w:t>5.6%起</w:t>
            </w:r>
          </w:p>
        </w:tc>
        <w:tc>
          <w:tcPr>
            <w:tcW w:w="1830" w:type="dxa"/>
            <w:vAlign w:val="center"/>
          </w:tcPr>
          <w:p>
            <w:pPr>
              <w:jc w:val="center"/>
              <w:rPr>
                <w:color w:val="000000"/>
                <w:szCs w:val="21"/>
              </w:rPr>
            </w:pPr>
            <w:r>
              <w:rPr>
                <w:rFonts w:hint="eastAsia"/>
                <w:color w:val="000000"/>
                <w:szCs w:val="21"/>
              </w:rPr>
              <w:t>梁宛莉</w:t>
            </w:r>
          </w:p>
        </w:tc>
        <w:tc>
          <w:tcPr>
            <w:tcW w:w="3690" w:type="dxa"/>
            <w:vAlign w:val="center"/>
          </w:tcPr>
          <w:p>
            <w:pPr>
              <w:jc w:val="center"/>
              <w:rPr>
                <w:color w:val="000000"/>
                <w:szCs w:val="21"/>
              </w:rPr>
            </w:pPr>
            <w:r>
              <w:rPr>
                <w:rFonts w:hint="eastAsia"/>
                <w:color w:val="000000"/>
                <w:szCs w:val="21"/>
              </w:rPr>
              <w:t>13306869100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民泰银行椒江支行</w:t>
            </w:r>
          </w:p>
        </w:tc>
        <w:tc>
          <w:tcPr>
            <w:tcW w:w="1691" w:type="dxa"/>
            <w:vAlign w:val="center"/>
          </w:tcPr>
          <w:p>
            <w:pPr>
              <w:jc w:val="center"/>
              <w:rPr>
                <w:color w:val="000000"/>
                <w:szCs w:val="21"/>
              </w:rPr>
            </w:pPr>
            <w:r>
              <w:rPr>
                <w:rFonts w:hint="eastAsia"/>
                <w:color w:val="000000"/>
                <w:szCs w:val="21"/>
              </w:rPr>
              <w:t>5.8%起</w:t>
            </w:r>
          </w:p>
        </w:tc>
        <w:tc>
          <w:tcPr>
            <w:tcW w:w="1830" w:type="dxa"/>
            <w:vAlign w:val="center"/>
          </w:tcPr>
          <w:p>
            <w:pPr>
              <w:jc w:val="center"/>
              <w:rPr>
                <w:color w:val="000000"/>
                <w:szCs w:val="21"/>
              </w:rPr>
            </w:pPr>
            <w:r>
              <w:rPr>
                <w:rFonts w:hint="eastAsia"/>
                <w:color w:val="000000"/>
                <w:szCs w:val="21"/>
              </w:rPr>
              <w:t>陈慧珠</w:t>
            </w:r>
          </w:p>
        </w:tc>
        <w:tc>
          <w:tcPr>
            <w:tcW w:w="3690" w:type="dxa"/>
            <w:vAlign w:val="center"/>
          </w:tcPr>
          <w:p>
            <w:pPr>
              <w:jc w:val="center"/>
              <w:rPr>
                <w:color w:val="000000"/>
                <w:szCs w:val="21"/>
              </w:rPr>
            </w:pPr>
            <w:r>
              <w:rPr>
                <w:rFonts w:hint="eastAsia"/>
                <w:color w:val="000000"/>
                <w:szCs w:val="21"/>
              </w:rPr>
              <w:t>13857699669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绍兴银行台州分行</w:t>
            </w:r>
          </w:p>
        </w:tc>
        <w:tc>
          <w:tcPr>
            <w:tcW w:w="1691" w:type="dxa"/>
            <w:vAlign w:val="center"/>
          </w:tcPr>
          <w:p>
            <w:pPr>
              <w:jc w:val="center"/>
              <w:rPr>
                <w:color w:val="000000"/>
                <w:szCs w:val="21"/>
              </w:rPr>
            </w:pPr>
            <w:r>
              <w:rPr>
                <w:rFonts w:hint="eastAsia"/>
                <w:color w:val="000000"/>
                <w:szCs w:val="21"/>
              </w:rPr>
              <w:t>5.1%起</w:t>
            </w:r>
          </w:p>
        </w:tc>
        <w:tc>
          <w:tcPr>
            <w:tcW w:w="1830" w:type="dxa"/>
            <w:vAlign w:val="center"/>
          </w:tcPr>
          <w:p>
            <w:pPr>
              <w:jc w:val="center"/>
              <w:rPr>
                <w:color w:val="000000"/>
                <w:szCs w:val="21"/>
              </w:rPr>
            </w:pPr>
            <w:r>
              <w:rPr>
                <w:rFonts w:hint="eastAsia"/>
                <w:color w:val="000000"/>
                <w:szCs w:val="21"/>
              </w:rPr>
              <w:t>郭庭斌</w:t>
            </w:r>
          </w:p>
        </w:tc>
        <w:tc>
          <w:tcPr>
            <w:tcW w:w="3690" w:type="dxa"/>
            <w:vAlign w:val="center"/>
          </w:tcPr>
          <w:p>
            <w:pPr>
              <w:jc w:val="center"/>
              <w:rPr>
                <w:color w:val="000000"/>
                <w:szCs w:val="21"/>
              </w:rPr>
            </w:pPr>
            <w:r>
              <w:rPr>
                <w:rFonts w:hint="eastAsia"/>
                <w:color w:val="000000"/>
                <w:szCs w:val="21"/>
              </w:rPr>
              <w:t>15958633119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温州银行台州分行</w:t>
            </w:r>
          </w:p>
        </w:tc>
        <w:tc>
          <w:tcPr>
            <w:tcW w:w="1691" w:type="dxa"/>
            <w:vAlign w:val="center"/>
          </w:tcPr>
          <w:p>
            <w:pPr>
              <w:jc w:val="center"/>
              <w:rPr>
                <w:color w:val="000000"/>
                <w:szCs w:val="21"/>
              </w:rPr>
            </w:pPr>
            <w:r>
              <w:rPr>
                <w:rFonts w:hint="eastAsia"/>
                <w:color w:val="000000"/>
                <w:szCs w:val="21"/>
              </w:rPr>
              <w:t>4.55%起</w:t>
            </w:r>
          </w:p>
        </w:tc>
        <w:tc>
          <w:tcPr>
            <w:tcW w:w="1830" w:type="dxa"/>
            <w:vAlign w:val="center"/>
          </w:tcPr>
          <w:p>
            <w:pPr>
              <w:jc w:val="center"/>
              <w:rPr>
                <w:color w:val="000000"/>
                <w:szCs w:val="21"/>
              </w:rPr>
            </w:pPr>
            <w:r>
              <w:rPr>
                <w:rFonts w:hint="eastAsia"/>
                <w:color w:val="000000"/>
                <w:szCs w:val="21"/>
              </w:rPr>
              <w:t>王晓波</w:t>
            </w:r>
          </w:p>
        </w:tc>
        <w:tc>
          <w:tcPr>
            <w:tcW w:w="3690" w:type="dxa"/>
            <w:vAlign w:val="center"/>
          </w:tcPr>
          <w:p>
            <w:pPr>
              <w:jc w:val="center"/>
              <w:rPr>
                <w:color w:val="000000"/>
                <w:szCs w:val="21"/>
              </w:rPr>
            </w:pPr>
            <w:r>
              <w:rPr>
                <w:rFonts w:hint="eastAsia"/>
                <w:color w:val="000000"/>
                <w:szCs w:val="21"/>
              </w:rPr>
              <w:t>15824005475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平安银行台州分行</w:t>
            </w:r>
          </w:p>
        </w:tc>
        <w:tc>
          <w:tcPr>
            <w:tcW w:w="1691" w:type="dxa"/>
            <w:vAlign w:val="center"/>
          </w:tcPr>
          <w:p>
            <w:pPr>
              <w:jc w:val="center"/>
              <w:rPr>
                <w:color w:val="000000"/>
                <w:szCs w:val="21"/>
              </w:rPr>
            </w:pPr>
            <w:r>
              <w:rPr>
                <w:rFonts w:hint="eastAsia"/>
                <w:color w:val="000000"/>
                <w:szCs w:val="21"/>
              </w:rPr>
              <w:t>6.53%起</w:t>
            </w:r>
          </w:p>
        </w:tc>
        <w:tc>
          <w:tcPr>
            <w:tcW w:w="1830" w:type="dxa"/>
            <w:vAlign w:val="center"/>
          </w:tcPr>
          <w:p>
            <w:pPr>
              <w:jc w:val="center"/>
              <w:rPr>
                <w:color w:val="000000"/>
                <w:szCs w:val="21"/>
              </w:rPr>
            </w:pPr>
            <w:r>
              <w:rPr>
                <w:rFonts w:hint="eastAsia"/>
                <w:color w:val="000000"/>
                <w:szCs w:val="21"/>
              </w:rPr>
              <w:t>李俊丽</w:t>
            </w:r>
          </w:p>
        </w:tc>
        <w:tc>
          <w:tcPr>
            <w:tcW w:w="3690" w:type="dxa"/>
            <w:vAlign w:val="center"/>
          </w:tcPr>
          <w:p>
            <w:pPr>
              <w:jc w:val="center"/>
              <w:rPr>
                <w:color w:val="000000"/>
                <w:szCs w:val="21"/>
              </w:rPr>
            </w:pPr>
            <w:r>
              <w:rPr>
                <w:rFonts w:hint="eastAsia"/>
                <w:color w:val="000000"/>
                <w:szCs w:val="21"/>
              </w:rPr>
              <w:t>15906861025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宁波银行台州分行</w:t>
            </w:r>
          </w:p>
        </w:tc>
        <w:tc>
          <w:tcPr>
            <w:tcW w:w="1691" w:type="dxa"/>
            <w:vAlign w:val="center"/>
          </w:tcPr>
          <w:p>
            <w:pPr>
              <w:jc w:val="center"/>
              <w:rPr>
                <w:color w:val="000000"/>
                <w:szCs w:val="21"/>
              </w:rPr>
            </w:pPr>
            <w:r>
              <w:rPr>
                <w:rFonts w:hint="eastAsia"/>
                <w:color w:val="000000"/>
                <w:szCs w:val="21"/>
              </w:rPr>
              <w:t>4.35%起</w:t>
            </w:r>
          </w:p>
        </w:tc>
        <w:tc>
          <w:tcPr>
            <w:tcW w:w="1830" w:type="dxa"/>
            <w:vAlign w:val="center"/>
          </w:tcPr>
          <w:p>
            <w:pPr>
              <w:jc w:val="center"/>
              <w:rPr>
                <w:color w:val="000000"/>
                <w:szCs w:val="21"/>
              </w:rPr>
            </w:pPr>
            <w:r>
              <w:rPr>
                <w:rFonts w:hint="eastAsia"/>
                <w:color w:val="000000"/>
                <w:szCs w:val="21"/>
              </w:rPr>
              <w:t>戴莉丽</w:t>
            </w:r>
          </w:p>
        </w:tc>
        <w:tc>
          <w:tcPr>
            <w:tcW w:w="3690" w:type="dxa"/>
            <w:vAlign w:val="center"/>
          </w:tcPr>
          <w:p>
            <w:pPr>
              <w:jc w:val="center"/>
              <w:rPr>
                <w:color w:val="000000"/>
                <w:szCs w:val="21"/>
              </w:rPr>
            </w:pPr>
            <w:r>
              <w:rPr>
                <w:rFonts w:hint="eastAsia"/>
                <w:color w:val="000000"/>
                <w:szCs w:val="21"/>
              </w:rPr>
              <w:t>13566627207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金华银行台州分行</w:t>
            </w:r>
          </w:p>
        </w:tc>
        <w:tc>
          <w:tcPr>
            <w:tcW w:w="1691" w:type="dxa"/>
            <w:vAlign w:val="center"/>
          </w:tcPr>
          <w:p>
            <w:pPr>
              <w:jc w:val="center"/>
              <w:rPr>
                <w:color w:val="000000"/>
                <w:szCs w:val="21"/>
              </w:rPr>
            </w:pPr>
            <w:r>
              <w:rPr>
                <w:rFonts w:hint="eastAsia"/>
                <w:color w:val="000000"/>
                <w:szCs w:val="21"/>
              </w:rPr>
              <w:t>4.05%起</w:t>
            </w:r>
          </w:p>
        </w:tc>
        <w:tc>
          <w:tcPr>
            <w:tcW w:w="1830" w:type="dxa"/>
            <w:vAlign w:val="center"/>
          </w:tcPr>
          <w:p>
            <w:pPr>
              <w:jc w:val="center"/>
              <w:rPr>
                <w:color w:val="000000"/>
                <w:szCs w:val="21"/>
              </w:rPr>
            </w:pPr>
            <w:r>
              <w:rPr>
                <w:rFonts w:hint="eastAsia"/>
                <w:color w:val="000000"/>
                <w:szCs w:val="21"/>
              </w:rPr>
              <w:t>金雪婷</w:t>
            </w:r>
          </w:p>
        </w:tc>
        <w:tc>
          <w:tcPr>
            <w:tcW w:w="3690" w:type="dxa"/>
            <w:vAlign w:val="center"/>
          </w:tcPr>
          <w:p>
            <w:pPr>
              <w:jc w:val="center"/>
              <w:rPr>
                <w:color w:val="000000"/>
                <w:szCs w:val="21"/>
              </w:rPr>
            </w:pPr>
            <w:r>
              <w:rPr>
                <w:rFonts w:hint="eastAsia"/>
                <w:color w:val="000000"/>
                <w:szCs w:val="21"/>
              </w:rPr>
              <w:t>81886670、15968661569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台州银行</w:t>
            </w:r>
          </w:p>
        </w:tc>
        <w:tc>
          <w:tcPr>
            <w:tcW w:w="1691" w:type="dxa"/>
            <w:vAlign w:val="center"/>
          </w:tcPr>
          <w:p>
            <w:pPr>
              <w:jc w:val="center"/>
              <w:rPr>
                <w:color w:val="000000"/>
                <w:szCs w:val="21"/>
              </w:rPr>
            </w:pPr>
            <w:r>
              <w:rPr>
                <w:rFonts w:hint="eastAsia"/>
                <w:color w:val="000000"/>
                <w:szCs w:val="21"/>
              </w:rPr>
              <w:t>5.6%起</w:t>
            </w:r>
          </w:p>
        </w:tc>
        <w:tc>
          <w:tcPr>
            <w:tcW w:w="1830" w:type="dxa"/>
            <w:vAlign w:val="center"/>
          </w:tcPr>
          <w:p>
            <w:pPr>
              <w:jc w:val="center"/>
              <w:rPr>
                <w:color w:val="000000"/>
                <w:szCs w:val="21"/>
              </w:rPr>
            </w:pPr>
            <w:r>
              <w:rPr>
                <w:rFonts w:hint="eastAsia"/>
                <w:color w:val="000000"/>
                <w:szCs w:val="21"/>
              </w:rPr>
              <w:t>洪婷</w:t>
            </w:r>
          </w:p>
        </w:tc>
        <w:tc>
          <w:tcPr>
            <w:tcW w:w="3690" w:type="dxa"/>
            <w:vAlign w:val="center"/>
          </w:tcPr>
          <w:p>
            <w:pPr>
              <w:jc w:val="center"/>
              <w:rPr>
                <w:color w:val="000000"/>
                <w:szCs w:val="21"/>
              </w:rPr>
            </w:pPr>
            <w:r>
              <w:rPr>
                <w:rFonts w:hint="eastAsia"/>
                <w:color w:val="000000"/>
                <w:szCs w:val="21"/>
              </w:rPr>
              <w:t>15858624999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35" w:type="dxa"/>
            <w:vAlign w:val="center"/>
          </w:tcPr>
          <w:p>
            <w:pPr>
              <w:jc w:val="center"/>
              <w:rPr>
                <w:color w:val="000000"/>
                <w:szCs w:val="21"/>
              </w:rPr>
            </w:pPr>
            <w:r>
              <w:rPr>
                <w:rFonts w:hint="eastAsia"/>
                <w:color w:val="000000"/>
                <w:szCs w:val="21"/>
              </w:rPr>
              <w:t>邮储银行台州分行</w:t>
            </w:r>
          </w:p>
        </w:tc>
        <w:tc>
          <w:tcPr>
            <w:tcW w:w="1691" w:type="dxa"/>
            <w:vAlign w:val="center"/>
          </w:tcPr>
          <w:p>
            <w:pPr>
              <w:jc w:val="center"/>
              <w:rPr>
                <w:color w:val="000000"/>
                <w:szCs w:val="21"/>
              </w:rPr>
            </w:pPr>
            <w:r>
              <w:rPr>
                <w:rFonts w:hint="eastAsia"/>
                <w:color w:val="000000"/>
                <w:szCs w:val="21"/>
              </w:rPr>
              <w:t>3.85%起</w:t>
            </w:r>
          </w:p>
        </w:tc>
        <w:tc>
          <w:tcPr>
            <w:tcW w:w="1830" w:type="dxa"/>
            <w:vAlign w:val="center"/>
          </w:tcPr>
          <w:p>
            <w:pPr>
              <w:jc w:val="center"/>
              <w:rPr>
                <w:color w:val="000000"/>
                <w:szCs w:val="21"/>
              </w:rPr>
            </w:pPr>
            <w:r>
              <w:rPr>
                <w:rFonts w:hint="eastAsia"/>
                <w:color w:val="000000"/>
                <w:szCs w:val="21"/>
              </w:rPr>
              <w:t>董庆</w:t>
            </w:r>
          </w:p>
        </w:tc>
        <w:tc>
          <w:tcPr>
            <w:tcW w:w="3690" w:type="dxa"/>
            <w:vAlign w:val="center"/>
          </w:tcPr>
          <w:p>
            <w:pPr>
              <w:jc w:val="center"/>
              <w:rPr>
                <w:color w:val="000000"/>
                <w:szCs w:val="21"/>
              </w:rPr>
            </w:pPr>
            <w:r>
              <w:rPr>
                <w:rFonts w:hint="eastAsia"/>
                <w:color w:val="000000"/>
                <w:szCs w:val="21"/>
              </w:rPr>
              <w:t>81888982、18957683757</w:t>
            </w:r>
          </w:p>
        </w:tc>
      </w:tr>
    </w:tbl>
    <w:p>
      <w:pPr>
        <w:pStyle w:val="27"/>
        <w:spacing w:before="156" w:beforeLines="50" w:after="156" w:afterLines="50" w:line="360" w:lineRule="auto"/>
        <w:outlineLvl w:val="0"/>
        <w:rPr>
          <w:rFonts w:hAnsi="宋体"/>
          <w:color w:val="000000" w:themeColor="text1"/>
          <w14:textFill>
            <w14:solidFill>
              <w14:schemeClr w14:val="tx1"/>
            </w14:solidFill>
          </w14:textFill>
        </w:rPr>
      </w:pPr>
    </w:p>
    <w:p>
      <w:pPr>
        <w:pStyle w:val="14"/>
        <w:ind w:firstLine="422"/>
        <w:jc w:val="center"/>
        <w:rPr>
          <w:b/>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合同履约保函联系方式</w:t>
      </w:r>
    </w:p>
    <w:tbl>
      <w:tblPr>
        <w:tblStyle w:val="48"/>
        <w:tblW w:w="9499"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61"/>
        <w:gridCol w:w="3261"/>
        <w:gridCol w:w="1276"/>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261" w:type="dxa"/>
            <w:vAlign w:val="center"/>
          </w:tcPr>
          <w:p>
            <w:pPr>
              <w:jc w:val="center"/>
              <w:rPr>
                <w:color w:val="000000"/>
                <w:szCs w:val="21"/>
              </w:rPr>
            </w:pPr>
            <w:r>
              <w:rPr>
                <w:rFonts w:hint="eastAsia"/>
                <w:color w:val="000000"/>
                <w:szCs w:val="21"/>
              </w:rPr>
              <w:t>保险公司名称</w:t>
            </w:r>
          </w:p>
        </w:tc>
        <w:tc>
          <w:tcPr>
            <w:tcW w:w="3261" w:type="dxa"/>
            <w:vAlign w:val="center"/>
          </w:tcPr>
          <w:p>
            <w:pPr>
              <w:jc w:val="center"/>
              <w:rPr>
                <w:color w:val="000000"/>
                <w:szCs w:val="21"/>
              </w:rPr>
            </w:pPr>
            <w:r>
              <w:rPr>
                <w:rFonts w:hint="eastAsia"/>
                <w:color w:val="000000"/>
                <w:szCs w:val="21"/>
              </w:rPr>
              <w:t>保费率</w:t>
            </w:r>
          </w:p>
        </w:tc>
        <w:tc>
          <w:tcPr>
            <w:tcW w:w="1276" w:type="dxa"/>
            <w:vAlign w:val="center"/>
          </w:tcPr>
          <w:p>
            <w:pPr>
              <w:jc w:val="center"/>
              <w:rPr>
                <w:color w:val="000000"/>
                <w:szCs w:val="21"/>
              </w:rPr>
            </w:pPr>
            <w:r>
              <w:rPr>
                <w:rFonts w:hint="eastAsia"/>
                <w:color w:val="000000"/>
                <w:szCs w:val="21"/>
              </w:rPr>
              <w:t>联系人</w:t>
            </w:r>
          </w:p>
        </w:tc>
        <w:tc>
          <w:tcPr>
            <w:tcW w:w="1701" w:type="dxa"/>
            <w:vAlign w:val="center"/>
          </w:tcPr>
          <w:p>
            <w:pPr>
              <w:jc w:val="center"/>
              <w:rPr>
                <w:color w:val="000000"/>
                <w:szCs w:val="21"/>
              </w:rPr>
            </w:pPr>
            <w:r>
              <w:rPr>
                <w:rFonts w:hint="eastAsia"/>
                <w:color w:val="000000"/>
                <w:szCs w:val="21"/>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261" w:type="dxa"/>
            <w:vAlign w:val="center"/>
          </w:tcPr>
          <w:p>
            <w:pPr>
              <w:jc w:val="center"/>
              <w:rPr>
                <w:color w:val="000000"/>
                <w:szCs w:val="21"/>
              </w:rPr>
            </w:pPr>
            <w:r>
              <w:rPr>
                <w:rFonts w:hint="eastAsia"/>
                <w:color w:val="000000"/>
                <w:szCs w:val="21"/>
              </w:rPr>
              <w:t>中国人寿财产保险股份有限公司台州中心支公司</w:t>
            </w:r>
          </w:p>
        </w:tc>
        <w:tc>
          <w:tcPr>
            <w:tcW w:w="3261" w:type="dxa"/>
            <w:vAlign w:val="center"/>
          </w:tcPr>
          <w:p>
            <w:pPr>
              <w:jc w:val="center"/>
              <w:rPr>
                <w:color w:val="000000"/>
                <w:szCs w:val="21"/>
              </w:rPr>
            </w:pPr>
            <w:r>
              <w:rPr>
                <w:rFonts w:hint="eastAsia"/>
                <w:color w:val="000000"/>
                <w:szCs w:val="21"/>
              </w:rPr>
              <w:t>年费率1%，最低保费500元</w:t>
            </w:r>
          </w:p>
        </w:tc>
        <w:tc>
          <w:tcPr>
            <w:tcW w:w="1276" w:type="dxa"/>
            <w:vAlign w:val="center"/>
          </w:tcPr>
          <w:p>
            <w:pPr>
              <w:jc w:val="center"/>
              <w:rPr>
                <w:color w:val="000000"/>
                <w:szCs w:val="21"/>
              </w:rPr>
            </w:pPr>
            <w:r>
              <w:rPr>
                <w:rFonts w:hint="eastAsia"/>
                <w:color w:val="000000"/>
                <w:szCs w:val="21"/>
              </w:rPr>
              <w:t>徐凌</w:t>
            </w:r>
          </w:p>
        </w:tc>
        <w:tc>
          <w:tcPr>
            <w:tcW w:w="1701" w:type="dxa"/>
            <w:vAlign w:val="center"/>
          </w:tcPr>
          <w:p>
            <w:pPr>
              <w:jc w:val="center"/>
              <w:rPr>
                <w:color w:val="000000"/>
                <w:szCs w:val="21"/>
              </w:rPr>
            </w:pPr>
            <w:r>
              <w:rPr>
                <w:rFonts w:hint="eastAsia"/>
                <w:color w:val="000000"/>
                <w:szCs w:val="21"/>
              </w:rPr>
              <w:t>13905168070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261" w:type="dxa"/>
            <w:vAlign w:val="center"/>
          </w:tcPr>
          <w:p>
            <w:pPr>
              <w:jc w:val="center"/>
              <w:rPr>
                <w:color w:val="000000"/>
                <w:szCs w:val="21"/>
              </w:rPr>
            </w:pPr>
            <w:r>
              <w:rPr>
                <w:rFonts w:hint="eastAsia"/>
                <w:color w:val="000000"/>
                <w:szCs w:val="21"/>
              </w:rPr>
              <w:t>永诚财产保险股份有限公司台州分公司</w:t>
            </w:r>
          </w:p>
        </w:tc>
        <w:tc>
          <w:tcPr>
            <w:tcW w:w="3261" w:type="dxa"/>
            <w:vAlign w:val="center"/>
          </w:tcPr>
          <w:p>
            <w:pPr>
              <w:jc w:val="center"/>
              <w:rPr>
                <w:color w:val="000000"/>
                <w:szCs w:val="21"/>
              </w:rPr>
            </w:pPr>
            <w:r>
              <w:rPr>
                <w:rFonts w:hint="eastAsia"/>
                <w:color w:val="000000"/>
                <w:szCs w:val="21"/>
              </w:rPr>
              <w:t>年费率1%，最低保费1000元</w:t>
            </w:r>
          </w:p>
        </w:tc>
        <w:tc>
          <w:tcPr>
            <w:tcW w:w="1276" w:type="dxa"/>
            <w:vAlign w:val="center"/>
          </w:tcPr>
          <w:p>
            <w:pPr>
              <w:jc w:val="center"/>
              <w:rPr>
                <w:color w:val="000000"/>
                <w:szCs w:val="21"/>
              </w:rPr>
            </w:pPr>
            <w:r>
              <w:rPr>
                <w:rFonts w:hint="eastAsia"/>
                <w:color w:val="000000"/>
                <w:szCs w:val="21"/>
              </w:rPr>
              <w:t>尹刚强</w:t>
            </w:r>
          </w:p>
        </w:tc>
        <w:tc>
          <w:tcPr>
            <w:tcW w:w="1701" w:type="dxa"/>
            <w:vAlign w:val="center"/>
          </w:tcPr>
          <w:p>
            <w:pPr>
              <w:jc w:val="center"/>
              <w:rPr>
                <w:color w:val="000000"/>
                <w:szCs w:val="21"/>
              </w:rPr>
            </w:pPr>
            <w:r>
              <w:rPr>
                <w:rFonts w:hint="eastAsia"/>
                <w:color w:val="000000"/>
                <w:szCs w:val="21"/>
              </w:rPr>
              <w:t>13750668184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261" w:type="dxa"/>
            <w:vAlign w:val="center"/>
          </w:tcPr>
          <w:p>
            <w:pPr>
              <w:jc w:val="center"/>
              <w:rPr>
                <w:color w:val="000000"/>
                <w:szCs w:val="21"/>
              </w:rPr>
            </w:pPr>
            <w:r>
              <w:rPr>
                <w:rFonts w:hint="eastAsia"/>
                <w:color w:val="000000"/>
                <w:szCs w:val="21"/>
              </w:rPr>
              <w:t>华泰财产保险有限公司台州中心支公司</w:t>
            </w:r>
          </w:p>
        </w:tc>
        <w:tc>
          <w:tcPr>
            <w:tcW w:w="3261" w:type="dxa"/>
            <w:vAlign w:val="center"/>
          </w:tcPr>
          <w:p>
            <w:pPr>
              <w:jc w:val="center"/>
              <w:rPr>
                <w:color w:val="000000"/>
                <w:szCs w:val="21"/>
              </w:rPr>
            </w:pPr>
            <w:r>
              <w:rPr>
                <w:rFonts w:hint="eastAsia"/>
                <w:color w:val="000000"/>
                <w:szCs w:val="21"/>
              </w:rPr>
              <w:t>年费率0.5%，最低保费1000元</w:t>
            </w:r>
          </w:p>
        </w:tc>
        <w:tc>
          <w:tcPr>
            <w:tcW w:w="1276" w:type="dxa"/>
            <w:vAlign w:val="center"/>
          </w:tcPr>
          <w:p>
            <w:pPr>
              <w:jc w:val="center"/>
              <w:rPr>
                <w:color w:val="000000"/>
                <w:szCs w:val="21"/>
              </w:rPr>
            </w:pPr>
            <w:r>
              <w:rPr>
                <w:rFonts w:hint="eastAsia"/>
                <w:color w:val="000000"/>
                <w:szCs w:val="21"/>
              </w:rPr>
              <w:t>王灵芳</w:t>
            </w:r>
          </w:p>
        </w:tc>
        <w:tc>
          <w:tcPr>
            <w:tcW w:w="1701" w:type="dxa"/>
            <w:vAlign w:val="center"/>
          </w:tcPr>
          <w:p>
            <w:pPr>
              <w:jc w:val="center"/>
              <w:rPr>
                <w:color w:val="000000"/>
                <w:szCs w:val="21"/>
              </w:rPr>
            </w:pPr>
            <w:r>
              <w:rPr>
                <w:rFonts w:hint="eastAsia"/>
                <w:color w:val="000000"/>
                <w:szCs w:val="21"/>
              </w:rPr>
              <w:t>88869818、13586123199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261" w:type="dxa"/>
            <w:vAlign w:val="center"/>
          </w:tcPr>
          <w:p>
            <w:pPr>
              <w:jc w:val="center"/>
              <w:rPr>
                <w:color w:val="000000"/>
                <w:szCs w:val="21"/>
              </w:rPr>
            </w:pPr>
            <w:r>
              <w:rPr>
                <w:rFonts w:hint="eastAsia"/>
                <w:color w:val="000000"/>
                <w:szCs w:val="21"/>
              </w:rPr>
              <w:t>中国大地财产保险股份有限公司台州中心支公司</w:t>
            </w:r>
          </w:p>
        </w:tc>
        <w:tc>
          <w:tcPr>
            <w:tcW w:w="3261" w:type="dxa"/>
            <w:vAlign w:val="center"/>
          </w:tcPr>
          <w:p>
            <w:pPr>
              <w:jc w:val="center"/>
              <w:rPr>
                <w:color w:val="000000"/>
                <w:szCs w:val="21"/>
              </w:rPr>
            </w:pPr>
            <w:r>
              <w:rPr>
                <w:rFonts w:hint="eastAsia"/>
                <w:color w:val="000000"/>
                <w:szCs w:val="21"/>
              </w:rPr>
              <w:t>年费率1.5%，最低保费1000元</w:t>
            </w:r>
          </w:p>
        </w:tc>
        <w:tc>
          <w:tcPr>
            <w:tcW w:w="1276" w:type="dxa"/>
            <w:vAlign w:val="center"/>
          </w:tcPr>
          <w:p>
            <w:pPr>
              <w:jc w:val="center"/>
              <w:rPr>
                <w:color w:val="000000"/>
                <w:szCs w:val="21"/>
              </w:rPr>
            </w:pPr>
            <w:r>
              <w:rPr>
                <w:rFonts w:hint="eastAsia"/>
                <w:color w:val="000000"/>
                <w:szCs w:val="21"/>
              </w:rPr>
              <w:t>徐小明</w:t>
            </w:r>
          </w:p>
        </w:tc>
        <w:tc>
          <w:tcPr>
            <w:tcW w:w="1701" w:type="dxa"/>
            <w:vAlign w:val="center"/>
          </w:tcPr>
          <w:p>
            <w:pPr>
              <w:jc w:val="center"/>
              <w:rPr>
                <w:color w:val="000000"/>
                <w:szCs w:val="21"/>
              </w:rPr>
            </w:pPr>
            <w:r>
              <w:rPr>
                <w:rFonts w:hint="eastAsia"/>
                <w:color w:val="000000"/>
                <w:szCs w:val="21"/>
              </w:rPr>
              <w:t>88552788、13968603112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261" w:type="dxa"/>
            <w:vAlign w:val="center"/>
          </w:tcPr>
          <w:p>
            <w:pPr>
              <w:jc w:val="center"/>
              <w:rPr>
                <w:color w:val="000000"/>
                <w:szCs w:val="21"/>
              </w:rPr>
            </w:pPr>
            <w:r>
              <w:rPr>
                <w:rFonts w:hint="eastAsia"/>
                <w:color w:val="000000"/>
                <w:szCs w:val="21"/>
              </w:rPr>
              <w:t>阳光保险台州中心支公司</w:t>
            </w:r>
          </w:p>
        </w:tc>
        <w:tc>
          <w:tcPr>
            <w:tcW w:w="3261" w:type="dxa"/>
            <w:vAlign w:val="center"/>
          </w:tcPr>
          <w:p>
            <w:pPr>
              <w:jc w:val="center"/>
              <w:rPr>
                <w:color w:val="000000"/>
                <w:szCs w:val="21"/>
              </w:rPr>
            </w:pPr>
            <w:r>
              <w:rPr>
                <w:rFonts w:hint="eastAsia"/>
                <w:color w:val="000000"/>
                <w:szCs w:val="21"/>
              </w:rPr>
              <w:t>年费率1%，最低保费500元</w:t>
            </w:r>
          </w:p>
        </w:tc>
        <w:tc>
          <w:tcPr>
            <w:tcW w:w="1276" w:type="dxa"/>
            <w:vAlign w:val="center"/>
          </w:tcPr>
          <w:p>
            <w:pPr>
              <w:jc w:val="center"/>
              <w:rPr>
                <w:color w:val="000000"/>
                <w:szCs w:val="21"/>
              </w:rPr>
            </w:pPr>
            <w:r>
              <w:rPr>
                <w:rFonts w:hint="eastAsia"/>
                <w:color w:val="000000"/>
                <w:szCs w:val="21"/>
              </w:rPr>
              <w:t>林高明</w:t>
            </w:r>
          </w:p>
        </w:tc>
        <w:tc>
          <w:tcPr>
            <w:tcW w:w="1701" w:type="dxa"/>
            <w:vAlign w:val="center"/>
          </w:tcPr>
          <w:p>
            <w:pPr>
              <w:jc w:val="center"/>
              <w:rPr>
                <w:color w:val="000000"/>
                <w:szCs w:val="21"/>
              </w:rPr>
            </w:pPr>
            <w:r>
              <w:rPr>
                <w:rFonts w:hint="eastAsia"/>
                <w:color w:val="000000"/>
                <w:szCs w:val="21"/>
              </w:rPr>
              <w:t>15888682693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261" w:type="dxa"/>
            <w:vAlign w:val="center"/>
          </w:tcPr>
          <w:p>
            <w:pPr>
              <w:jc w:val="center"/>
              <w:rPr>
                <w:color w:val="000000"/>
                <w:szCs w:val="21"/>
              </w:rPr>
            </w:pPr>
            <w:r>
              <w:rPr>
                <w:rFonts w:hint="eastAsia"/>
                <w:color w:val="000000"/>
                <w:szCs w:val="21"/>
              </w:rPr>
              <w:t>中华联合财产保险股份有限公司台州中心支公司</w:t>
            </w:r>
          </w:p>
        </w:tc>
        <w:tc>
          <w:tcPr>
            <w:tcW w:w="3261" w:type="dxa"/>
            <w:vAlign w:val="center"/>
          </w:tcPr>
          <w:p>
            <w:pPr>
              <w:jc w:val="center"/>
              <w:rPr>
                <w:color w:val="000000"/>
                <w:szCs w:val="21"/>
              </w:rPr>
            </w:pPr>
            <w:r>
              <w:rPr>
                <w:rFonts w:hint="eastAsia"/>
                <w:color w:val="000000"/>
                <w:szCs w:val="21"/>
              </w:rPr>
              <w:t>年费率2%，最低保费500元</w:t>
            </w:r>
          </w:p>
        </w:tc>
        <w:tc>
          <w:tcPr>
            <w:tcW w:w="1276" w:type="dxa"/>
            <w:vAlign w:val="center"/>
          </w:tcPr>
          <w:p>
            <w:pPr>
              <w:jc w:val="center"/>
              <w:rPr>
                <w:color w:val="000000"/>
                <w:szCs w:val="21"/>
              </w:rPr>
            </w:pPr>
            <w:r>
              <w:rPr>
                <w:rFonts w:hint="eastAsia"/>
                <w:color w:val="000000"/>
                <w:szCs w:val="21"/>
              </w:rPr>
              <w:t>王仙高</w:t>
            </w:r>
          </w:p>
        </w:tc>
        <w:tc>
          <w:tcPr>
            <w:tcW w:w="1701" w:type="dxa"/>
            <w:vAlign w:val="center"/>
          </w:tcPr>
          <w:p>
            <w:pPr>
              <w:jc w:val="center"/>
              <w:rPr>
                <w:color w:val="000000"/>
                <w:szCs w:val="21"/>
              </w:rPr>
            </w:pPr>
            <w:r>
              <w:rPr>
                <w:rFonts w:hint="eastAsia"/>
                <w:color w:val="000000"/>
                <w:szCs w:val="21"/>
              </w:rPr>
              <w:t>13858600221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261" w:type="dxa"/>
            <w:vAlign w:val="center"/>
          </w:tcPr>
          <w:p>
            <w:pPr>
              <w:jc w:val="center"/>
              <w:rPr>
                <w:color w:val="000000"/>
                <w:szCs w:val="21"/>
              </w:rPr>
            </w:pPr>
            <w:r>
              <w:rPr>
                <w:rFonts w:hint="eastAsia"/>
                <w:color w:val="000000"/>
                <w:szCs w:val="21"/>
              </w:rPr>
              <w:t>中国人民财产保险股份有限公司台州中心支公司</w:t>
            </w:r>
          </w:p>
        </w:tc>
        <w:tc>
          <w:tcPr>
            <w:tcW w:w="3261" w:type="dxa"/>
            <w:vAlign w:val="center"/>
          </w:tcPr>
          <w:p>
            <w:pPr>
              <w:jc w:val="center"/>
              <w:rPr>
                <w:color w:val="000000"/>
                <w:szCs w:val="21"/>
              </w:rPr>
            </w:pPr>
            <w:r>
              <w:rPr>
                <w:rFonts w:hint="eastAsia"/>
                <w:color w:val="000000"/>
                <w:szCs w:val="21"/>
              </w:rPr>
              <w:t>年费率0.3%，最低保费1000元</w:t>
            </w:r>
          </w:p>
        </w:tc>
        <w:tc>
          <w:tcPr>
            <w:tcW w:w="1276" w:type="dxa"/>
            <w:vAlign w:val="center"/>
          </w:tcPr>
          <w:p>
            <w:pPr>
              <w:jc w:val="center"/>
              <w:rPr>
                <w:color w:val="000000"/>
                <w:szCs w:val="21"/>
              </w:rPr>
            </w:pPr>
            <w:r>
              <w:rPr>
                <w:rFonts w:hint="eastAsia"/>
                <w:color w:val="000000"/>
                <w:szCs w:val="21"/>
              </w:rPr>
              <w:t>王仙春</w:t>
            </w:r>
          </w:p>
        </w:tc>
        <w:tc>
          <w:tcPr>
            <w:tcW w:w="1701" w:type="dxa"/>
            <w:vAlign w:val="center"/>
          </w:tcPr>
          <w:p>
            <w:pPr>
              <w:jc w:val="center"/>
              <w:rPr>
                <w:color w:val="000000"/>
                <w:szCs w:val="21"/>
              </w:rPr>
            </w:pPr>
            <w:r>
              <w:rPr>
                <w:rFonts w:hint="eastAsia"/>
                <w:color w:val="000000"/>
                <w:szCs w:val="21"/>
              </w:rPr>
              <w:t>13515769179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261" w:type="dxa"/>
            <w:vAlign w:val="center"/>
          </w:tcPr>
          <w:p>
            <w:pPr>
              <w:jc w:val="center"/>
              <w:rPr>
                <w:color w:val="000000"/>
                <w:szCs w:val="21"/>
              </w:rPr>
            </w:pPr>
            <w:r>
              <w:rPr>
                <w:rFonts w:hint="eastAsia"/>
                <w:color w:val="000000"/>
                <w:szCs w:val="21"/>
              </w:rPr>
              <w:t>永安财产保险股份有限公司台州中心支公司</w:t>
            </w:r>
          </w:p>
        </w:tc>
        <w:tc>
          <w:tcPr>
            <w:tcW w:w="3261" w:type="dxa"/>
            <w:vAlign w:val="center"/>
          </w:tcPr>
          <w:p>
            <w:pPr>
              <w:jc w:val="center"/>
              <w:rPr>
                <w:color w:val="000000"/>
                <w:szCs w:val="21"/>
              </w:rPr>
            </w:pPr>
            <w:r>
              <w:rPr>
                <w:rFonts w:hint="eastAsia"/>
                <w:color w:val="000000"/>
                <w:szCs w:val="21"/>
              </w:rPr>
              <w:t>年费率0.3%，最低保费1000</w:t>
            </w:r>
          </w:p>
        </w:tc>
        <w:tc>
          <w:tcPr>
            <w:tcW w:w="1276" w:type="dxa"/>
            <w:vAlign w:val="center"/>
          </w:tcPr>
          <w:p>
            <w:pPr>
              <w:jc w:val="center"/>
              <w:rPr>
                <w:color w:val="000000"/>
                <w:szCs w:val="21"/>
              </w:rPr>
            </w:pPr>
            <w:r>
              <w:rPr>
                <w:rFonts w:hint="eastAsia"/>
                <w:color w:val="000000"/>
                <w:szCs w:val="21"/>
              </w:rPr>
              <w:t>王春宇</w:t>
            </w:r>
          </w:p>
        </w:tc>
        <w:tc>
          <w:tcPr>
            <w:tcW w:w="1701" w:type="dxa"/>
            <w:vAlign w:val="center"/>
          </w:tcPr>
          <w:p>
            <w:pPr>
              <w:jc w:val="center"/>
              <w:rPr>
                <w:color w:val="000000"/>
                <w:szCs w:val="21"/>
              </w:rPr>
            </w:pPr>
            <w:r>
              <w:rPr>
                <w:rFonts w:hint="eastAsia"/>
                <w:color w:val="000000"/>
                <w:szCs w:val="21"/>
              </w:rPr>
              <w:t>13676675331</w:t>
            </w:r>
          </w:p>
        </w:tc>
      </w:tr>
    </w:tbl>
    <w:p>
      <w:pPr>
        <w:spacing w:line="360" w:lineRule="exact"/>
        <w:ind w:firstLine="738" w:firstLineChars="350"/>
        <w:jc w:val="center"/>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预付款保函联系方式</w:t>
      </w:r>
    </w:p>
    <w:p>
      <w:pPr>
        <w:pStyle w:val="14"/>
        <w:rPr>
          <w:szCs w:val="21"/>
        </w:rPr>
      </w:pPr>
    </w:p>
    <w:tbl>
      <w:tblPr>
        <w:tblStyle w:val="48"/>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06"/>
        <w:gridCol w:w="3300"/>
        <w:gridCol w:w="1275"/>
        <w:gridCol w:w="16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06" w:type="dxa"/>
            <w:vAlign w:val="center"/>
          </w:tcPr>
          <w:p>
            <w:pPr>
              <w:jc w:val="center"/>
              <w:rPr>
                <w:color w:val="000000"/>
                <w:szCs w:val="21"/>
              </w:rPr>
            </w:pPr>
            <w:r>
              <w:rPr>
                <w:rFonts w:hint="eastAsia"/>
                <w:color w:val="000000"/>
                <w:szCs w:val="21"/>
              </w:rPr>
              <w:t>保险公司名称</w:t>
            </w:r>
          </w:p>
        </w:tc>
        <w:tc>
          <w:tcPr>
            <w:tcW w:w="3300" w:type="dxa"/>
            <w:vAlign w:val="center"/>
          </w:tcPr>
          <w:p>
            <w:pPr>
              <w:jc w:val="center"/>
              <w:rPr>
                <w:color w:val="000000"/>
                <w:szCs w:val="21"/>
              </w:rPr>
            </w:pPr>
            <w:r>
              <w:rPr>
                <w:rFonts w:hint="eastAsia"/>
                <w:color w:val="000000"/>
                <w:szCs w:val="21"/>
              </w:rPr>
              <w:t>保费率</w:t>
            </w:r>
          </w:p>
        </w:tc>
        <w:tc>
          <w:tcPr>
            <w:tcW w:w="1275" w:type="dxa"/>
            <w:vAlign w:val="center"/>
          </w:tcPr>
          <w:p>
            <w:pPr>
              <w:jc w:val="center"/>
              <w:rPr>
                <w:color w:val="000000"/>
                <w:szCs w:val="21"/>
              </w:rPr>
            </w:pPr>
            <w:r>
              <w:rPr>
                <w:rFonts w:hint="eastAsia"/>
                <w:color w:val="000000"/>
                <w:szCs w:val="21"/>
              </w:rPr>
              <w:t>联系人</w:t>
            </w:r>
          </w:p>
        </w:tc>
        <w:tc>
          <w:tcPr>
            <w:tcW w:w="1683" w:type="dxa"/>
            <w:vAlign w:val="center"/>
          </w:tcPr>
          <w:p>
            <w:pPr>
              <w:jc w:val="center"/>
              <w:rPr>
                <w:color w:val="000000"/>
                <w:szCs w:val="21"/>
              </w:rPr>
            </w:pPr>
            <w:r>
              <w:rPr>
                <w:rFonts w:hint="eastAsia"/>
                <w:color w:val="000000"/>
                <w:szCs w:val="21"/>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206" w:type="dxa"/>
            <w:vAlign w:val="center"/>
          </w:tcPr>
          <w:p>
            <w:pPr>
              <w:jc w:val="center"/>
              <w:rPr>
                <w:color w:val="000000"/>
                <w:szCs w:val="21"/>
              </w:rPr>
            </w:pPr>
            <w:r>
              <w:rPr>
                <w:rFonts w:hint="eastAsia"/>
                <w:color w:val="000000"/>
                <w:szCs w:val="21"/>
              </w:rPr>
              <w:t>中国人寿财产保险股份有限公司台州中心支公司</w:t>
            </w:r>
          </w:p>
        </w:tc>
        <w:tc>
          <w:tcPr>
            <w:tcW w:w="3300" w:type="dxa"/>
            <w:vAlign w:val="center"/>
          </w:tcPr>
          <w:p>
            <w:pPr>
              <w:jc w:val="center"/>
              <w:rPr>
                <w:color w:val="000000"/>
                <w:szCs w:val="21"/>
              </w:rPr>
            </w:pPr>
            <w:r>
              <w:rPr>
                <w:rFonts w:hint="eastAsia"/>
                <w:color w:val="000000"/>
                <w:szCs w:val="21"/>
              </w:rPr>
              <w:t>年费率3%，最低保费500元</w:t>
            </w:r>
          </w:p>
        </w:tc>
        <w:tc>
          <w:tcPr>
            <w:tcW w:w="1275" w:type="dxa"/>
            <w:vAlign w:val="center"/>
          </w:tcPr>
          <w:p>
            <w:pPr>
              <w:jc w:val="center"/>
              <w:rPr>
                <w:color w:val="000000"/>
                <w:szCs w:val="21"/>
              </w:rPr>
            </w:pPr>
            <w:r>
              <w:rPr>
                <w:rFonts w:hint="eastAsia"/>
                <w:color w:val="000000"/>
                <w:szCs w:val="21"/>
              </w:rPr>
              <w:t>徐凌</w:t>
            </w:r>
          </w:p>
        </w:tc>
        <w:tc>
          <w:tcPr>
            <w:tcW w:w="1683" w:type="dxa"/>
            <w:vAlign w:val="center"/>
          </w:tcPr>
          <w:p>
            <w:pPr>
              <w:jc w:val="center"/>
              <w:rPr>
                <w:color w:val="000000"/>
                <w:szCs w:val="21"/>
              </w:rPr>
            </w:pPr>
            <w:r>
              <w:rPr>
                <w:rFonts w:hint="eastAsia"/>
                <w:color w:val="000000"/>
                <w:szCs w:val="21"/>
              </w:rPr>
              <w:t>13905168070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206" w:type="dxa"/>
            <w:vAlign w:val="center"/>
          </w:tcPr>
          <w:p>
            <w:pPr>
              <w:jc w:val="center"/>
              <w:rPr>
                <w:color w:val="000000"/>
                <w:szCs w:val="21"/>
              </w:rPr>
            </w:pPr>
            <w:r>
              <w:rPr>
                <w:rFonts w:hint="eastAsia"/>
                <w:color w:val="000000"/>
                <w:szCs w:val="21"/>
              </w:rPr>
              <w:t>阳光保险台州中心支公司</w:t>
            </w:r>
          </w:p>
        </w:tc>
        <w:tc>
          <w:tcPr>
            <w:tcW w:w="3300" w:type="dxa"/>
            <w:vAlign w:val="center"/>
          </w:tcPr>
          <w:p>
            <w:pPr>
              <w:jc w:val="center"/>
              <w:rPr>
                <w:color w:val="000000"/>
                <w:szCs w:val="21"/>
              </w:rPr>
            </w:pPr>
            <w:r>
              <w:rPr>
                <w:rFonts w:hint="eastAsia"/>
                <w:color w:val="000000"/>
                <w:szCs w:val="21"/>
              </w:rPr>
              <w:t>年费率1%，最低保费500元</w:t>
            </w:r>
          </w:p>
        </w:tc>
        <w:tc>
          <w:tcPr>
            <w:tcW w:w="1275" w:type="dxa"/>
            <w:vAlign w:val="center"/>
          </w:tcPr>
          <w:p>
            <w:pPr>
              <w:jc w:val="center"/>
              <w:rPr>
                <w:color w:val="000000"/>
                <w:szCs w:val="21"/>
              </w:rPr>
            </w:pPr>
            <w:r>
              <w:rPr>
                <w:rFonts w:hint="eastAsia"/>
                <w:color w:val="000000"/>
                <w:szCs w:val="21"/>
              </w:rPr>
              <w:t>林高明</w:t>
            </w:r>
          </w:p>
        </w:tc>
        <w:tc>
          <w:tcPr>
            <w:tcW w:w="1683" w:type="dxa"/>
            <w:vAlign w:val="center"/>
          </w:tcPr>
          <w:p>
            <w:pPr>
              <w:jc w:val="center"/>
              <w:rPr>
                <w:color w:val="000000"/>
                <w:szCs w:val="21"/>
              </w:rPr>
            </w:pPr>
            <w:r>
              <w:rPr>
                <w:rFonts w:hint="eastAsia"/>
                <w:color w:val="000000"/>
                <w:szCs w:val="21"/>
              </w:rPr>
              <w:t>15888682693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3206" w:type="dxa"/>
            <w:vAlign w:val="center"/>
          </w:tcPr>
          <w:p>
            <w:pPr>
              <w:jc w:val="center"/>
              <w:rPr>
                <w:color w:val="000000"/>
                <w:szCs w:val="21"/>
              </w:rPr>
            </w:pPr>
            <w:r>
              <w:rPr>
                <w:rFonts w:hint="eastAsia"/>
                <w:color w:val="000000"/>
                <w:szCs w:val="21"/>
              </w:rPr>
              <w:t>天安财产保险股份有限公司台州中心支公司</w:t>
            </w:r>
          </w:p>
        </w:tc>
        <w:tc>
          <w:tcPr>
            <w:tcW w:w="3300" w:type="dxa"/>
            <w:vAlign w:val="center"/>
          </w:tcPr>
          <w:p>
            <w:pPr>
              <w:jc w:val="center"/>
              <w:rPr>
                <w:color w:val="000000"/>
                <w:szCs w:val="21"/>
              </w:rPr>
            </w:pPr>
            <w:r>
              <w:rPr>
                <w:rFonts w:hint="eastAsia"/>
                <w:color w:val="000000"/>
                <w:szCs w:val="21"/>
              </w:rPr>
              <w:t>年费率1%-2%，最低保费500元</w:t>
            </w:r>
          </w:p>
        </w:tc>
        <w:tc>
          <w:tcPr>
            <w:tcW w:w="1275" w:type="dxa"/>
            <w:vAlign w:val="center"/>
          </w:tcPr>
          <w:p>
            <w:pPr>
              <w:jc w:val="center"/>
              <w:rPr>
                <w:color w:val="000000"/>
                <w:szCs w:val="21"/>
              </w:rPr>
            </w:pPr>
            <w:r>
              <w:rPr>
                <w:rFonts w:hint="eastAsia"/>
                <w:color w:val="000000"/>
                <w:szCs w:val="21"/>
              </w:rPr>
              <w:t>罗赛</w:t>
            </w:r>
          </w:p>
        </w:tc>
        <w:tc>
          <w:tcPr>
            <w:tcW w:w="1683" w:type="dxa"/>
            <w:vAlign w:val="center"/>
          </w:tcPr>
          <w:p>
            <w:pPr>
              <w:jc w:val="center"/>
              <w:rPr>
                <w:color w:val="000000"/>
                <w:szCs w:val="21"/>
              </w:rPr>
            </w:pPr>
            <w:r>
              <w:rPr>
                <w:rFonts w:hint="eastAsia"/>
                <w:color w:val="000000"/>
                <w:szCs w:val="21"/>
              </w:rPr>
              <w:t>13736605643</w:t>
            </w:r>
          </w:p>
        </w:tc>
      </w:tr>
    </w:tbl>
    <w:p>
      <w:pPr>
        <w:pageBreakBefore/>
        <w:shd w:val="clear" w:color="auto" w:fill="FFFFFF"/>
        <w:snapToGrid w:val="0"/>
        <w:spacing w:line="360" w:lineRule="auto"/>
        <w:ind w:left="105"/>
        <w:jc w:val="center"/>
        <w:outlineLvl w:val="0"/>
        <w:rPr>
          <w:rFonts w:ascii="宋体" w:hAnsi="宋体" w:cs="宋体"/>
          <w:b/>
          <w:bCs/>
          <w:sz w:val="32"/>
          <w:szCs w:val="32"/>
        </w:rPr>
      </w:pPr>
      <w:bookmarkStart w:id="15" w:name="_Toc11440"/>
      <w:bookmarkStart w:id="16" w:name="_Toc25794"/>
      <w:bookmarkStart w:id="17" w:name="_Toc22671"/>
      <w:bookmarkStart w:id="18" w:name="_Toc18266"/>
      <w:bookmarkStart w:id="19" w:name="_Toc3692"/>
      <w:bookmarkStart w:id="20" w:name="_Toc32413"/>
      <w:r>
        <w:rPr>
          <w:rFonts w:hint="eastAsia" w:ascii="宋体" w:hAnsi="宋体" w:cs="宋体"/>
          <w:b/>
          <w:bCs/>
          <w:sz w:val="32"/>
          <w:szCs w:val="32"/>
        </w:rPr>
        <w:t>第二部分  编制和提交投标文件须知</w:t>
      </w:r>
      <w:bookmarkEnd w:id="15"/>
      <w:bookmarkEnd w:id="16"/>
      <w:bookmarkEnd w:id="17"/>
      <w:bookmarkEnd w:id="18"/>
      <w:bookmarkEnd w:id="19"/>
      <w:bookmarkEnd w:id="20"/>
    </w:p>
    <w:p>
      <w:pPr>
        <w:shd w:val="clear" w:color="auto" w:fill="FFFFFF"/>
        <w:tabs>
          <w:tab w:val="left" w:pos="706"/>
        </w:tabs>
        <w:snapToGrid w:val="0"/>
        <w:spacing w:line="360" w:lineRule="auto"/>
        <w:ind w:left="561" w:firstLine="454"/>
        <w:jc w:val="center"/>
        <w:outlineLvl w:val="1"/>
        <w:rPr>
          <w:rFonts w:ascii="宋体" w:hAnsi="宋体" w:cs="宋体"/>
          <w:b/>
          <w:bCs/>
          <w:sz w:val="24"/>
        </w:rPr>
      </w:pPr>
      <w:bookmarkStart w:id="21" w:name="_Toc233618971"/>
      <w:bookmarkStart w:id="22" w:name="_Toc8189"/>
      <w:bookmarkStart w:id="23" w:name="_Toc14033"/>
      <w:bookmarkStart w:id="24" w:name="_Toc5551"/>
      <w:bookmarkStart w:id="25" w:name="_Toc354996695"/>
      <w:bookmarkStart w:id="26" w:name="_Toc32345"/>
      <w:r>
        <w:rPr>
          <w:rFonts w:hint="eastAsia" w:ascii="宋体" w:hAnsi="宋体" w:cs="宋体"/>
          <w:b/>
          <w:bCs/>
          <w:sz w:val="24"/>
        </w:rPr>
        <w:t>前 附 表</w:t>
      </w:r>
      <w:bookmarkEnd w:id="21"/>
      <w:bookmarkEnd w:id="22"/>
      <w:bookmarkEnd w:id="23"/>
      <w:bookmarkEnd w:id="24"/>
      <w:bookmarkEnd w:id="25"/>
      <w:bookmarkEnd w:id="26"/>
    </w:p>
    <w:tbl>
      <w:tblPr>
        <w:tblStyle w:val="47"/>
        <w:tblW w:w="1029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52"/>
        <w:gridCol w:w="1537"/>
        <w:gridCol w:w="810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52" w:type="dxa"/>
            <w:tcBorders>
              <w:top w:val="single" w:color="000000" w:sz="8"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条款</w:t>
            </w:r>
          </w:p>
        </w:tc>
        <w:tc>
          <w:tcPr>
            <w:tcW w:w="9639" w:type="dxa"/>
            <w:gridSpan w:val="2"/>
            <w:tcBorders>
              <w:top w:val="single" w:color="000000" w:sz="8" w:space="0"/>
              <w:left w:val="single" w:color="000000" w:sz="2" w:space="0"/>
              <w:bottom w:val="single" w:color="000000" w:sz="2" w:space="0"/>
              <w:right w:val="single" w:color="000000" w:sz="8" w:space="0"/>
            </w:tcBorders>
            <w:vAlign w:val="center"/>
          </w:tcPr>
          <w:p>
            <w:pPr>
              <w:snapToGrid w:val="0"/>
              <w:spacing w:line="360" w:lineRule="auto"/>
              <w:jc w:val="center"/>
              <w:rPr>
                <w:rFonts w:ascii="宋体" w:hAnsi="宋体" w:cs="宋体"/>
                <w:b/>
                <w:bCs/>
                <w:sz w:val="24"/>
              </w:rPr>
            </w:pPr>
            <w:r>
              <w:rPr>
                <w:rFonts w:hint="eastAsia" w:ascii="宋体" w:hAnsi="宋体" w:cs="宋体"/>
                <w:b/>
                <w:bCs/>
                <w:sz w:val="24"/>
              </w:rPr>
              <w:t>内容规定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76" w:hRule="atLeast"/>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1</w:t>
            </w:r>
          </w:p>
        </w:tc>
        <w:tc>
          <w:tcPr>
            <w:tcW w:w="9639" w:type="dxa"/>
            <w:gridSpan w:val="2"/>
            <w:tcBorders>
              <w:top w:val="single" w:color="000000" w:sz="2" w:space="0"/>
              <w:left w:val="single" w:color="000000" w:sz="2" w:space="0"/>
              <w:bottom w:val="single" w:color="000000" w:sz="2" w:space="0"/>
              <w:right w:val="single" w:color="000000" w:sz="8" w:space="0"/>
            </w:tcBorders>
          </w:tcPr>
          <w:p>
            <w:pPr>
              <w:snapToGrid w:val="0"/>
              <w:spacing w:line="444" w:lineRule="exact"/>
              <w:rPr>
                <w:rFonts w:ascii="宋体" w:hAnsi="宋体" w:cs="宋体"/>
                <w:b/>
                <w:szCs w:val="21"/>
              </w:rPr>
            </w:pPr>
            <w:r>
              <w:rPr>
                <w:rFonts w:hint="eastAsia" w:ascii="宋体" w:hAnsi="宋体" w:cs="宋体"/>
                <w:b/>
                <w:szCs w:val="21"/>
              </w:rPr>
              <w:t xml:space="preserve">                              项目说明</w:t>
            </w:r>
          </w:p>
          <w:p>
            <w:pPr>
              <w:autoSpaceDE w:val="0"/>
              <w:autoSpaceDN w:val="0"/>
              <w:snapToGrid w:val="0"/>
              <w:spacing w:line="444" w:lineRule="exact"/>
              <w:rPr>
                <w:szCs w:val="21"/>
              </w:rPr>
            </w:pPr>
            <w:r>
              <w:rPr>
                <w:rFonts w:hint="eastAsia" w:ascii="宋体" w:hAnsi="宋体" w:cs="宋体"/>
                <w:b/>
                <w:szCs w:val="21"/>
              </w:rPr>
              <w:t>一、项目名称：</w:t>
            </w:r>
            <w:bookmarkStart w:id="27" w:name="_Hlt75139851"/>
            <w:bookmarkEnd w:id="27"/>
            <w:r>
              <w:rPr>
                <w:rFonts w:hint="eastAsia"/>
                <w:szCs w:val="21"/>
              </w:rPr>
              <w:t>台州市公安局公安信息网三级网和视频专网三级网设备维保项目</w:t>
            </w:r>
          </w:p>
          <w:p>
            <w:pPr>
              <w:autoSpaceDE w:val="0"/>
              <w:autoSpaceDN w:val="0"/>
              <w:snapToGrid w:val="0"/>
              <w:spacing w:line="444" w:lineRule="exact"/>
              <w:rPr>
                <w:szCs w:val="21"/>
              </w:rPr>
            </w:pPr>
            <w:r>
              <w:rPr>
                <w:rFonts w:hint="eastAsia" w:ascii="宋体" w:hAnsi="宋体" w:cs="宋体"/>
                <w:b/>
                <w:szCs w:val="21"/>
              </w:rPr>
              <w:t>二、采购内容：</w:t>
            </w:r>
            <w:r>
              <w:rPr>
                <w:rFonts w:hint="eastAsia"/>
                <w:szCs w:val="21"/>
              </w:rPr>
              <w:t>公安信息网三级网和视频专网三级网设备维保</w:t>
            </w:r>
          </w:p>
          <w:p>
            <w:pPr>
              <w:autoSpaceDE w:val="0"/>
              <w:autoSpaceDN w:val="0"/>
              <w:snapToGrid w:val="0"/>
              <w:spacing w:line="444" w:lineRule="exact"/>
              <w:rPr>
                <w:rFonts w:ascii="宋体" w:hAnsi="宋体" w:cs="宋体"/>
                <w:szCs w:val="21"/>
              </w:rPr>
            </w:pPr>
            <w:r>
              <w:rPr>
                <w:rFonts w:hint="eastAsia" w:ascii="宋体" w:hAnsi="宋体" w:cs="宋体"/>
                <w:b/>
                <w:szCs w:val="21"/>
              </w:rPr>
              <w:t>三、项目服务地点：</w:t>
            </w:r>
            <w:r>
              <w:rPr>
                <w:rFonts w:hint="eastAsia" w:ascii="宋体" w:hAnsi="宋体"/>
                <w:szCs w:val="21"/>
              </w:rPr>
              <w:t>台州市公安局</w:t>
            </w:r>
          </w:p>
          <w:p>
            <w:pPr>
              <w:autoSpaceDE w:val="0"/>
              <w:autoSpaceDN w:val="0"/>
              <w:snapToGrid w:val="0"/>
              <w:spacing w:line="444" w:lineRule="exact"/>
              <w:rPr>
                <w:rFonts w:ascii="宋体" w:hAnsi="宋体" w:cs="宋体"/>
                <w:szCs w:val="21"/>
              </w:rPr>
            </w:pPr>
            <w:r>
              <w:rPr>
                <w:rFonts w:hint="eastAsia" w:ascii="宋体" w:hAnsi="宋体" w:cs="宋体"/>
                <w:b/>
                <w:szCs w:val="21"/>
              </w:rPr>
              <w:t>四、主要功能和性能要求：</w:t>
            </w:r>
            <w:r>
              <w:rPr>
                <w:rFonts w:hint="eastAsia" w:ascii="宋体" w:hAnsi="宋体" w:cs="宋体"/>
                <w:szCs w:val="21"/>
              </w:rPr>
              <w:t>详见第五部分——</w:t>
            </w:r>
            <w:r>
              <w:rPr>
                <w:rFonts w:ascii="宋体" w:hAnsi="宋体" w:cs="宋体"/>
                <w:szCs w:val="21"/>
              </w:rPr>
              <w:t>采购内容及要求</w:t>
            </w:r>
            <w:r>
              <w:rPr>
                <w:rFonts w:hint="eastAsia" w:ascii="宋体" w:hAnsi="宋体" w:cs="宋体"/>
                <w:szCs w:val="21"/>
              </w:rPr>
              <w:t>。</w:t>
            </w:r>
          </w:p>
          <w:p>
            <w:pPr>
              <w:autoSpaceDE w:val="0"/>
              <w:autoSpaceDN w:val="0"/>
              <w:snapToGrid w:val="0"/>
              <w:spacing w:line="444" w:lineRule="exact"/>
              <w:rPr>
                <w:rFonts w:ascii="宋体" w:hAnsi="宋体" w:cs="宋体"/>
                <w:bCs/>
                <w:szCs w:val="21"/>
              </w:rPr>
            </w:pPr>
            <w:r>
              <w:rPr>
                <w:rFonts w:hint="eastAsia" w:ascii="宋体" w:hAnsi="宋体" w:cs="宋体"/>
                <w:b/>
                <w:szCs w:val="21"/>
              </w:rPr>
              <w:t>五、合同履约期限：</w:t>
            </w:r>
            <w:r>
              <w:rPr>
                <w:rFonts w:hint="eastAsia" w:ascii="宋体" w:hAnsi="宋体" w:cs="宋体"/>
                <w:bCs/>
                <w:szCs w:val="21"/>
              </w:rPr>
              <w:t>自合同签订之日起一年</w:t>
            </w:r>
            <w:r>
              <w:rPr>
                <w:rFonts w:ascii="宋体" w:hAnsi="宋体" w:cs="宋体"/>
                <w:bCs/>
                <w:szCs w:val="21"/>
              </w:rPr>
              <w:t>。</w:t>
            </w:r>
          </w:p>
          <w:p>
            <w:pPr>
              <w:spacing w:line="444" w:lineRule="exact"/>
              <w:rPr>
                <w:rFonts w:ascii="宋体" w:hAnsi="宋体" w:cs="宋体"/>
                <w:b/>
                <w:szCs w:val="21"/>
              </w:rPr>
            </w:pPr>
            <w:r>
              <w:rPr>
                <w:rFonts w:hint="eastAsia" w:ascii="宋体" w:hAnsi="宋体" w:cs="宋体"/>
                <w:b/>
                <w:szCs w:val="21"/>
              </w:rPr>
              <w:t>六、采购预算及最高投标限价：</w:t>
            </w:r>
          </w:p>
          <w:p>
            <w:pPr>
              <w:spacing w:line="444" w:lineRule="exact"/>
              <w:rPr>
                <w:rFonts w:ascii="宋体" w:hAnsi="宋体" w:cs="宋体"/>
                <w:b/>
                <w:szCs w:val="21"/>
              </w:rPr>
            </w:pPr>
            <w:r>
              <w:rPr>
                <w:rFonts w:hint="eastAsia" w:ascii="宋体" w:hAnsi="宋体" w:cs="宋体"/>
                <w:b/>
                <w:szCs w:val="21"/>
              </w:rPr>
              <w:t>1）采购预算：70万元。</w:t>
            </w:r>
          </w:p>
          <w:p>
            <w:pPr>
              <w:spacing w:line="444" w:lineRule="exact"/>
              <w:ind w:firstLine="0" w:firstLineChars="0"/>
              <w:rPr>
                <w:rFonts w:ascii="宋体" w:hAnsi="宋体" w:cs="宋体"/>
                <w:b/>
                <w:bCs/>
                <w:szCs w:val="21"/>
              </w:rPr>
            </w:pPr>
            <w:r>
              <w:rPr>
                <w:rFonts w:hint="eastAsia" w:ascii="宋体" w:hAnsi="宋体" w:cs="宋体"/>
                <w:b/>
                <w:szCs w:val="21"/>
              </w:rPr>
              <w:t>最高投标限价：</w:t>
            </w:r>
            <w:r>
              <w:rPr>
                <w:rFonts w:hint="eastAsia" w:ascii="宋体" w:hAnsi="宋体" w:cs="宋体"/>
                <w:b/>
                <w:bCs/>
                <w:kern w:val="0"/>
                <w:sz w:val="21"/>
                <w:szCs w:val="21"/>
                <w:lang w:val="en-US" w:eastAsia="zh-CN"/>
              </w:rPr>
              <w:t>51.8884</w:t>
            </w:r>
            <w:r>
              <w:rPr>
                <w:rFonts w:hint="eastAsia" w:ascii="宋体" w:hAnsi="宋体" w:cs="宋体"/>
                <w:b/>
                <w:bCs/>
                <w:kern w:val="0"/>
                <w:szCs w:val="21"/>
              </w:rPr>
              <w:t xml:space="preserve"> </w:t>
            </w:r>
            <w:r>
              <w:rPr>
                <w:rFonts w:hint="eastAsia" w:ascii="宋体" w:hAnsi="宋体" w:cs="宋体"/>
                <w:b/>
                <w:bCs/>
                <w:szCs w:val="21"/>
                <w:lang w:eastAsia="zh-CN"/>
              </w:rPr>
              <w:t>万元</w:t>
            </w:r>
            <w:r>
              <w:rPr>
                <w:rFonts w:hint="eastAsia" w:ascii="宋体" w:hAnsi="宋体" w:cs="宋体"/>
                <w:b/>
                <w:bCs/>
                <w:szCs w:val="21"/>
              </w:rPr>
              <w:t>，超过</w:t>
            </w:r>
            <w:r>
              <w:rPr>
                <w:rFonts w:hint="eastAsia" w:ascii="宋体" w:hAnsi="宋体" w:cs="宋体"/>
                <w:b/>
                <w:szCs w:val="21"/>
              </w:rPr>
              <w:t>最高投标限价</w:t>
            </w:r>
            <w:r>
              <w:rPr>
                <w:rFonts w:ascii="Times New Roman" w:hAnsi="Times New Roman"/>
                <w:b/>
                <w:szCs w:val="21"/>
              </w:rPr>
              <w:t>作无效投标处理</w:t>
            </w:r>
            <w:r>
              <w:rPr>
                <w:rFonts w:hint="eastAsia" w:ascii="宋体" w:hAnsi="宋体" w:cs="宋体"/>
                <w:b/>
                <w:szCs w:val="21"/>
              </w:rPr>
              <w:t>。</w:t>
            </w:r>
          </w:p>
          <w:p>
            <w:pPr>
              <w:spacing w:line="444" w:lineRule="exact"/>
              <w:rPr>
                <w:rFonts w:asciiTheme="minorEastAsia" w:hAnsiTheme="minorEastAsia" w:eastAsiaTheme="minorEastAsia"/>
                <w:b/>
                <w:bCs/>
                <w:szCs w:val="21"/>
              </w:rPr>
            </w:pPr>
            <w:r>
              <w:rPr>
                <w:rFonts w:hint="eastAsia" w:ascii="宋体" w:hAnsi="宋体" w:cs="宋体"/>
                <w:b/>
                <w:szCs w:val="21"/>
              </w:rPr>
              <w:t>2）投标报价：</w:t>
            </w:r>
            <w:r>
              <w:rPr>
                <w:rFonts w:hint="eastAsia" w:ascii="宋体" w:hAnsi="宋体"/>
                <w:b/>
                <w:color w:val="000000"/>
                <w:szCs w:val="21"/>
              </w:rPr>
              <w:t>为含税全包价，包括与提供服务相关的人工、设备、保险、税费、验收及知识产权等一切费用</w:t>
            </w:r>
            <w:r>
              <w:rPr>
                <w:rFonts w:hint="eastAsia" w:ascii="宋体" w:hAnsi="宋体" w:cs="宋体"/>
                <w:b/>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2</w:t>
            </w:r>
          </w:p>
        </w:tc>
        <w:tc>
          <w:tcPr>
            <w:tcW w:w="1537" w:type="dxa"/>
            <w:tcBorders>
              <w:top w:val="single" w:color="000000" w:sz="2" w:space="0"/>
              <w:left w:val="single" w:color="000000" w:sz="2" w:space="0"/>
              <w:bottom w:val="single" w:color="000000" w:sz="2" w:space="0"/>
              <w:right w:val="single" w:color="000000" w:sz="2" w:space="0"/>
            </w:tcBorders>
            <w:vAlign w:val="center"/>
          </w:tcPr>
          <w:p>
            <w:pPr>
              <w:snapToGrid w:val="0"/>
              <w:spacing w:line="444" w:lineRule="exact"/>
              <w:rPr>
                <w:rFonts w:ascii="宋体" w:hAnsi="宋体" w:cs="宋体"/>
                <w:b/>
                <w:bCs/>
                <w:szCs w:val="21"/>
              </w:rPr>
            </w:pPr>
            <w:r>
              <w:rPr>
                <w:rFonts w:hint="eastAsia" w:ascii="宋体" w:hAnsi="宋体" w:cs="宋体"/>
                <w:b/>
                <w:szCs w:val="21"/>
              </w:rPr>
              <w:t>合同名称</w:t>
            </w:r>
          </w:p>
        </w:tc>
        <w:tc>
          <w:tcPr>
            <w:tcW w:w="8102" w:type="dxa"/>
            <w:tcBorders>
              <w:top w:val="single" w:color="000000" w:sz="2" w:space="0"/>
              <w:left w:val="single" w:color="000000" w:sz="2" w:space="0"/>
              <w:bottom w:val="single" w:color="000000" w:sz="2" w:space="0"/>
              <w:right w:val="single" w:color="000000" w:sz="8" w:space="0"/>
            </w:tcBorders>
            <w:vAlign w:val="center"/>
          </w:tcPr>
          <w:p>
            <w:pPr>
              <w:snapToGrid w:val="0"/>
              <w:spacing w:line="444" w:lineRule="exact"/>
              <w:jc w:val="left"/>
              <w:rPr>
                <w:rFonts w:ascii="宋体" w:hAnsi="宋体" w:cs="宋体"/>
                <w:szCs w:val="21"/>
              </w:rPr>
            </w:pPr>
            <w:r>
              <w:rPr>
                <w:rFonts w:hint="eastAsia" w:ascii="宋体" w:hAnsi="宋体" w:cs="宋体"/>
                <w:szCs w:val="21"/>
              </w:rPr>
              <w:t>《</w:t>
            </w:r>
            <w:r>
              <w:rPr>
                <w:rFonts w:hint="eastAsia"/>
                <w:szCs w:val="21"/>
              </w:rPr>
              <w:t>台州市公安局公安信息网三级网和视频专网三级网设备维保项目</w:t>
            </w:r>
            <w:r>
              <w:rPr>
                <w:rFonts w:hint="eastAsia" w:ascii="宋体" w:hAnsi="宋体" w:cs="宋体"/>
                <w:szCs w:val="21"/>
              </w:rPr>
              <w:t>合同》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3</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napToGrid w:val="0"/>
              <w:spacing w:line="444" w:lineRule="exact"/>
              <w:rPr>
                <w:rFonts w:ascii="宋体" w:hAnsi="宋体" w:cs="宋体"/>
                <w:szCs w:val="21"/>
              </w:rPr>
            </w:pPr>
            <w:r>
              <w:rPr>
                <w:rFonts w:hint="eastAsia" w:ascii="宋体" w:hAnsi="宋体" w:cs="宋体"/>
                <w:szCs w:val="21"/>
              </w:rPr>
              <w:t>投标有效期：自投标截止日起90天。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3" w:hRule="atLeast"/>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4</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napToGrid w:val="0"/>
              <w:spacing w:line="444" w:lineRule="exact"/>
              <w:rPr>
                <w:rFonts w:ascii="宋体" w:hAnsi="宋体" w:cs="宋体"/>
                <w:szCs w:val="21"/>
              </w:rPr>
            </w:pPr>
            <w:r>
              <w:rPr>
                <w:rFonts w:hint="eastAsia" w:ascii="宋体" w:hAnsi="宋体" w:cs="宋体"/>
                <w:szCs w:val="21"/>
              </w:rPr>
              <w:t>投标保证金数额：无。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5</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pacing w:line="444" w:lineRule="exact"/>
              <w:rPr>
                <w:rFonts w:cs="宋体" w:asciiTheme="minorEastAsia" w:hAnsiTheme="minorEastAsia" w:eastAsiaTheme="minorEastAsia"/>
                <w:szCs w:val="21"/>
              </w:rPr>
            </w:pPr>
            <w:r>
              <w:rPr>
                <w:rFonts w:hint="eastAsia" w:cs="宋体" w:asciiTheme="minorEastAsia" w:hAnsiTheme="minorEastAsia" w:eastAsiaTheme="minorEastAsia"/>
                <w:szCs w:val="21"/>
              </w:rPr>
              <w:t>招标代理服务费：</w:t>
            </w:r>
          </w:p>
          <w:p>
            <w:pPr>
              <w:spacing w:line="444" w:lineRule="exact"/>
              <w:rPr>
                <w:rFonts w:cs="宋体" w:asciiTheme="minorEastAsia" w:hAnsiTheme="minorEastAsia" w:eastAsiaTheme="minorEastAsia"/>
                <w:szCs w:val="21"/>
              </w:rPr>
            </w:pPr>
            <w:r>
              <w:rPr>
                <w:rFonts w:hint="eastAsia" w:cs="宋体" w:asciiTheme="minorEastAsia" w:hAnsiTheme="minorEastAsia" w:eastAsiaTheme="minorEastAsia"/>
                <w:szCs w:val="21"/>
              </w:rPr>
              <w:t>1、</w:t>
            </w:r>
            <w:r>
              <w:rPr>
                <w:rFonts w:cs="宋体" w:asciiTheme="minorEastAsia" w:hAnsiTheme="minorEastAsia" w:eastAsiaTheme="minorEastAsia"/>
                <w:szCs w:val="21"/>
              </w:rPr>
              <w:t>中标人须在领取中标通知书</w:t>
            </w:r>
            <w:r>
              <w:rPr>
                <w:rFonts w:hint="eastAsia" w:cs="宋体" w:asciiTheme="minorEastAsia" w:hAnsiTheme="minorEastAsia" w:eastAsiaTheme="minorEastAsia"/>
                <w:szCs w:val="21"/>
              </w:rPr>
              <w:t>之后，应向采购组织机构缴纳招标代理服务费。各投标人应在投标报价中予以考虑。</w:t>
            </w:r>
          </w:p>
          <w:p>
            <w:pPr>
              <w:spacing w:line="444" w:lineRule="exact"/>
              <w:rPr>
                <w:rFonts w:cs="宋体" w:asciiTheme="minorEastAsia" w:hAnsiTheme="minorEastAsia" w:eastAsiaTheme="minorEastAsia"/>
                <w:szCs w:val="21"/>
              </w:rPr>
            </w:pPr>
            <w:r>
              <w:rPr>
                <w:rFonts w:hint="eastAsia" w:cs="宋体" w:asciiTheme="minorEastAsia" w:hAnsiTheme="minorEastAsia" w:eastAsiaTheme="minorEastAsia"/>
                <w:szCs w:val="21"/>
              </w:rPr>
              <w:t>2、招标代理服务费：根据《国家发展改革委关于进一步放开建设项目专业服务价格的通知》</w:t>
            </w:r>
            <w:r>
              <w:rPr>
                <w:rFonts w:cs="宋体" w:asciiTheme="minorEastAsia" w:hAnsiTheme="minorEastAsia" w:eastAsiaTheme="minorEastAsia"/>
                <w:szCs w:val="21"/>
              </w:rPr>
              <w:t>(</w:t>
            </w:r>
            <w:r>
              <w:rPr>
                <w:rFonts w:hint="eastAsia" w:cs="宋体" w:asciiTheme="minorEastAsia" w:hAnsiTheme="minorEastAsia" w:eastAsiaTheme="minorEastAsia"/>
                <w:szCs w:val="21"/>
              </w:rPr>
              <w:t>发改价格〔</w:t>
            </w:r>
            <w:r>
              <w:rPr>
                <w:rFonts w:cs="宋体" w:asciiTheme="minorEastAsia" w:hAnsiTheme="minorEastAsia" w:eastAsiaTheme="minorEastAsia"/>
                <w:szCs w:val="21"/>
              </w:rPr>
              <w:t>2015〕299 号)规定的标准，按照中标通知书确定的中标金额，按下附表收费标准</w:t>
            </w:r>
            <w:r>
              <w:rPr>
                <w:rFonts w:hint="eastAsia" w:cs="宋体" w:asciiTheme="minorEastAsia" w:hAnsiTheme="minorEastAsia" w:eastAsiaTheme="minorEastAsia"/>
                <w:szCs w:val="21"/>
              </w:rPr>
              <w:t>的75%</w:t>
            </w:r>
            <w:r>
              <w:rPr>
                <w:rFonts w:cs="宋体" w:asciiTheme="minorEastAsia" w:hAnsiTheme="minorEastAsia" w:eastAsiaTheme="minorEastAsia"/>
                <w:szCs w:val="21"/>
              </w:rPr>
              <w:t>，向中标人收取代理服务费。代理服务费结算不足</w:t>
            </w:r>
            <w:r>
              <w:rPr>
                <w:rFonts w:hint="eastAsia" w:cs="宋体" w:asciiTheme="minorEastAsia" w:hAnsiTheme="minorEastAsia" w:eastAsiaTheme="minorEastAsia"/>
                <w:szCs w:val="21"/>
              </w:rPr>
              <w:t>陆</w:t>
            </w:r>
            <w:r>
              <w:rPr>
                <w:rFonts w:cs="宋体" w:asciiTheme="minorEastAsia" w:hAnsiTheme="minorEastAsia" w:eastAsiaTheme="minorEastAsia"/>
                <w:szCs w:val="21"/>
              </w:rPr>
              <w:t>仟元的，按定额</w:t>
            </w:r>
            <w:r>
              <w:rPr>
                <w:rFonts w:hint="eastAsia" w:cs="宋体" w:asciiTheme="minorEastAsia" w:hAnsiTheme="minorEastAsia" w:eastAsiaTheme="minorEastAsia"/>
                <w:szCs w:val="21"/>
              </w:rPr>
              <w:t>陆</w:t>
            </w:r>
            <w:r>
              <w:rPr>
                <w:rFonts w:cs="宋体" w:asciiTheme="minorEastAsia" w:hAnsiTheme="minorEastAsia" w:eastAsiaTheme="minorEastAsia"/>
                <w:szCs w:val="21"/>
              </w:rPr>
              <w:t>仟元收取。</w:t>
            </w:r>
          </w:p>
          <w:tbl>
            <w:tblPr>
              <w:tblStyle w:val="48"/>
              <w:tblW w:w="8221" w:type="dxa"/>
              <w:tblInd w:w="1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6"/>
              <w:gridCol w:w="2067"/>
              <w:gridCol w:w="2183"/>
              <w:gridCol w:w="18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8" w:hRule="atLeast"/>
              </w:trPr>
              <w:tc>
                <w:tcPr>
                  <w:tcW w:w="2126" w:type="dxa"/>
                </w:tcPr>
                <w:p>
                  <w:pPr>
                    <w:spacing w:line="444" w:lineRule="exact"/>
                    <w:ind w:firstLine="1155" w:firstLineChars="550"/>
                    <w:jc w:val="left"/>
                    <w:rPr>
                      <w:rFonts w:cs="宋体" w:asciiTheme="minorEastAsia" w:hAnsiTheme="minorEastAsia" w:eastAsiaTheme="minorEastAsia"/>
                      <w:szCs w:val="21"/>
                    </w:rPr>
                  </w:pPr>
                  <w:r>
                    <w:rPr>
                      <w:rFonts w:cs="宋体" w:asciiTheme="minorEastAsia" w:hAnsiTheme="minorEastAsia" w:eastAsiaTheme="minorEastAsia"/>
                      <w:szCs w:val="21"/>
                    </w:rPr>
                    <mc:AlternateContent>
                      <mc:Choice Requires="wps">
                        <w:drawing>
                          <wp:anchor distT="0" distB="0" distL="114300" distR="114300" simplePos="0" relativeHeight="251661312" behindDoc="0" locked="0" layoutInCell="1" allowOverlap="1">
                            <wp:simplePos x="0" y="0"/>
                            <wp:positionH relativeFrom="column">
                              <wp:posOffset>234950</wp:posOffset>
                            </wp:positionH>
                            <wp:positionV relativeFrom="paragraph">
                              <wp:posOffset>1270</wp:posOffset>
                            </wp:positionV>
                            <wp:extent cx="1000125" cy="1021715"/>
                            <wp:effectExtent l="0" t="0" r="28575" b="26035"/>
                            <wp:wrapNone/>
                            <wp:docPr id="5" name="直线 3"/>
                            <wp:cNvGraphicFramePr/>
                            <a:graphic xmlns:a="http://schemas.openxmlformats.org/drawingml/2006/main">
                              <a:graphicData uri="http://schemas.microsoft.com/office/word/2010/wordprocessingShape">
                                <wps:wsp>
                                  <wps:cNvCnPr/>
                                  <wps:spPr>
                                    <a:xfrm flipH="1" flipV="1">
                                      <a:off x="0" y="0"/>
                                      <a:ext cx="1000125" cy="102171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3" o:spid="_x0000_s1026" o:spt="20" style="position:absolute;left:0pt;flip:x y;margin-left:18.5pt;margin-top:0.1pt;height:80.45pt;width:78.75pt;z-index:251661312;mso-width-relative:page;mso-height-relative:page;" filled="f" stroked="t" coordsize="21600,21600" o:gfxdata="UEsDBAoAAAAAAIdO4kAAAAAAAAAAAAAAAAAEAAAAZHJzL1BLAwQUAAAACACHTuJAYtErb9MAAAAH AQAADwAAAGRycy9kb3ducmV2LnhtbE2PwU7DMBBE70j8g7VI3KjjAk0IcXqo1A9oQRVHN17iCHsd Yrcpf8/2BLdZzWrmTbO+BC/OOKUhkga1KEAgddEO1Gt4f9s+VCBSNmSNj4QafjDBur29aUxt40w7 PO9zLziEUm00uJzHWsrUOQwmLeKIxN5nnILJfE69tJOZOTx4uSyKlQxmIG5wZsSNw+5rfwoafFVU 34dNOX/sLLdsD95RqbS+v1PFK4iMl/z3DFd8RoeWmY7xRDYJr+Gx5ClZwxLE1X15egZxZLFSCmTb yP/87S9QSwMEFAAAAAgAh07iQLqijRvtAQAA6QMAAA4AAABkcnMvZTJvRG9jLnhtbK1TS44TMRDd I3EHy3vS3UHh00pnFhMGFggiDcy+YrvTlvyTy5NOzsI1WLHhOHMNyu4QhmGTBb2wyvV5Ve91eXl1 sIbtVUTtXcebWc2ZcsJL7XYd//rl5sUbzjCBk2C8Ux0/KuRXq+fPlmNo1dwP3kgVGYE4bMfQ8SGl 0FYVikFZwJkPylGw99FComvcVTLCSOjWVPO6flWNPsoQvVCI5F1PQX5CjJcA+r7XQq29uLfKpQk1 KgOJKOGgA/JVmbbvlUif+x5VYqbjxDSVk5qQvc1ntVpCu4sQBi1OI8AlIzzhZEE7anqGWkMCdh/1 P1BWi+jR92kmvK0mIkURYtHUT7S5HSCowoWkxnAWHf8frPi030SmZccXnDmw9MMfvn1/+PGTvcza jAFbSrl2m3i6YdjETPTQR8t6o8MHWiJerLts5RjRYoei8fGssTokJsjZ1HXdzKmZoFhTz5vXzSJ3 qibIXB4ipvfKW5aNjhvtsgjQwv4jpin1d0p2G8fGjr9dFFCgjexpEwjfBmKFbldq0Rstb7QxuQLj bnttIttD3orynUb4Ky03WQMOU14J5TRoBwXynZMsHQPp5eiZ8DyCVZIzo+hVZatkJtDmkkxibxyJ kPWeFM7W1stjEb74aQOKTKdtzSv2+F6q/7zQ1S9QSwMECgAAAAAAh07iQAAAAAAAAAAAAAAAAAYA AABfcmVscy9QSwMEFAAAAAgAh07iQIoUZjzRAAAAlAEAAAsAAABfcmVscy8ucmVsc6WQwWrDMAyG 74O9g9F9cZrDGKNOL6PQa+kewNiKYxpbRjLZ+vbzDoNl9LajfqHvE//+8JkWtSJLpGxg1/WgMDvy MQcD75fj0wsoqTZ7u1BGAzcUOIyPD/szLra2I5ljEdUoWQzMtZZXrcXNmKx0VDC3zUScbG0jB12s u9qAeuj7Z82/GTBumOrkDfDJD6Aut9LMf9gpOiahqXaOkqZpiu4eVQe2ZY7uyDbhG7lGsxywGvAs GgdqWdd+BH1fv/un3tNHPuO61X6HjOuPV2+6HL8AUEsDBBQAAAAIAIdO4kB+5uUg9wAAAOEBAAAT AAAAW0NvbnRlbnRfVHlwZXNdLnhtbJWRQU7DMBBF90jcwfIWJU67QAgl6YK0S0CoHGBkTxKLZGx5 TGhvj5O2G0SRWNoz/78nu9wcxkFMGNg6quQqL6RA0s5Y6ir5vt9lD1JwBDIwOMJKHpHlpr69KfdH jyxSmriSfYz+USnWPY7AufNIadK6MEJMx9ApD/oDOlTrorhX2lFEilmcO2RdNtjC5xDF9pCuTyYB B5bi6bQ4syoJ3g9WQ0ymaiLzg5KdCXlKLjvcW893SUOqXwnz5DrgnHtJTxOsQfEKIT7DmDSUCayM +6KAU/53yWw5cuba1mrMm8BNir3hdLG61o5r1zj93/Ltkrp0q+WD6m9QSwECFAAUAAAACACHTuJA fublIPcAAADhAQAAEwAAAAAAAAABACAAAABZBAAAW0NvbnRlbnRfVHlwZXNdLnhtbFBLAQIUAAoA AAAAAIdO4kAAAAAAAAAAAAAAAAAGAAAAAAAAAAAAEAAAADsDAABfcmVscy9QSwECFAAUAAAACACH TuJAihRmPNEAAACUAQAACwAAAAAAAAABACAAAABfAwAAX3JlbHMvLnJlbHNQSwECFAAKAAAAAACH TuJAAAAAAAAAAAAAAAAABAAAAAAAAAAAABAAAAAAAAAAZHJzL1BLAQIUABQAAAAIAIdO4kBi0Stv 0wAAAAcBAAAPAAAAAAAAAAEAIAAAACIAAABkcnMvZG93bnJldi54bWxQSwECFAAUAAAACACHTuJA uqKNG+0BAADpAwAADgAAAAAAAAABACAAAAAiAQAAZHJzL2Uyb0RvYy54bWxQSwUGAAAAAAYABgBZ AQAAgQUAAAAA ">
                            <v:fill on="f" focussize="0,0"/>
                            <v:stroke color="#000000" joinstyle="round"/>
                            <v:imagedata o:title=""/>
                            <o:lock v:ext="edit" aspectratio="f"/>
                          </v:line>
                        </w:pict>
                      </mc:Fallback>
                    </mc:AlternateContent>
                  </w:r>
                  <w:r>
                    <w:rPr>
                      <w:rFonts w:hint="eastAsia" w:cs="宋体" w:asciiTheme="minorEastAsia" w:hAnsiTheme="minorEastAsia" w:eastAsiaTheme="minorEastAsia"/>
                      <w:szCs w:val="21"/>
                    </w:rPr>
                    <w:t>服务类型</w:t>
                  </w:r>
                </w:p>
                <w:p>
                  <w:pPr>
                    <w:spacing w:line="444" w:lineRule="exact"/>
                    <w:ind w:firstLine="945" w:firstLineChars="450"/>
                    <w:jc w:val="left"/>
                    <w:rPr>
                      <w:rFonts w:cs="宋体" w:asciiTheme="minorEastAsia" w:hAnsiTheme="minorEastAsia" w:eastAsiaTheme="minorEastAsia"/>
                      <w:szCs w:val="21"/>
                    </w:rPr>
                  </w:pPr>
                  <w:r>
                    <w:rPr>
                      <w:rFonts w:cs="宋体" w:asciiTheme="minorEastAsia" w:hAnsiTheme="minorEastAsia" w:eastAsiaTheme="minorEastAsia"/>
                      <w:szCs w:val="21"/>
                    </w:rPr>
                    <mc:AlternateContent>
                      <mc:Choice Requires="wps">
                        <w:drawing>
                          <wp:anchor distT="0" distB="0" distL="114300" distR="114300" simplePos="0" relativeHeight="251662336" behindDoc="0" locked="0" layoutInCell="1" allowOverlap="1">
                            <wp:simplePos x="0" y="0"/>
                            <wp:positionH relativeFrom="column">
                              <wp:posOffset>-66040</wp:posOffset>
                            </wp:positionH>
                            <wp:positionV relativeFrom="paragraph">
                              <wp:posOffset>22860</wp:posOffset>
                            </wp:positionV>
                            <wp:extent cx="1364615" cy="535940"/>
                            <wp:effectExtent l="0" t="0" r="26035" b="35560"/>
                            <wp:wrapNone/>
                            <wp:docPr id="3" name="直线 4"/>
                            <wp:cNvGraphicFramePr/>
                            <a:graphic xmlns:a="http://schemas.openxmlformats.org/drawingml/2006/main">
                              <a:graphicData uri="http://schemas.microsoft.com/office/word/2010/wordprocessingShape">
                                <wps:wsp>
                                  <wps:cNvCnPr/>
                                  <wps:spPr>
                                    <a:xfrm flipH="1" flipV="1">
                                      <a:off x="0" y="0"/>
                                      <a:ext cx="1364615" cy="53594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4" o:spid="_x0000_s1026" o:spt="20" style="position:absolute;left:0pt;flip:x y;margin-left:-5.2pt;margin-top:1.8pt;height:42.2pt;width:107.45pt;z-index:251662336;mso-width-relative:page;mso-height-relative:page;" filled="f" stroked="t" coordsize="21600,21600" o:gfxdata="UEsDBAoAAAAAAIdO4kAAAAAAAAAAAAAAAAAEAAAAZHJzL1BLAwQUAAAACACHTuJARnh2zdQAAAAI AQAADwAAAGRycy9kb3ducmV2LnhtbE2PwW7CMBBE75X6D9ZW6g3sUApWyIYDEh8ArVCPJt4mEfY6 jQ2hf1/31B5HM5p5U23v3okbjbEPjFDMFQjiJtieW4T3t/1Mg4jJsDUuMCF8U4Rt/fhQmdKGiQ90 O6ZW5BKOpUHoUhpKKWPTkTdxHgbi7H2G0ZuU5dhKO5opl3snF0qtpDc954XODLTrqLkcrx7BaaW/ Trv19HGweWV/ch2vC8Tnp0JtQCS6p78w/OJndKgz0zlc2UbhEGaFWuYowssKRPYXavkK4oygtQJZ V/L/gfoHUEsDBBQAAAAIAIdO4kD0OOuT8AEAAOgDAAAOAAAAZHJzL2Uyb0RvYy54bWytU0uOEzEQ 3SNxB8t70vmLaaUziwkDCwSRBthXbHfakn9yedLJWbgGKzYcZ65B2R0CDJss6IVVrs+req/Lq9uj NeygImrvGj4ZjTlTTnip3b7hnz/dv3rNGSZwEox3quEnhfx2/fLFqg+1mvrOG6kiIxCHdR8a3qUU 6qpC0SkLOPJBOQq2PlpIdI37SkboCd2aajoeL6veRxmiFwqRvJshyM+I8RpA37ZaqI0Xj1a5NKBG ZSARJex0QL4u07atEulj26JKzDScmKZyUhOyd/ms1iuo9xFCp8V5BLhmhGecLGhHTS9QG0jAHqP+ B8pqET36No2Et9VApChCLCbjZ9o8dBBU4UJSY7iIjv8PVnw4bCPTsuEzzhxY+uFPX789ff/B5lmb PmBNKXduG883DNuYiR7baFlrdHhHS8SL9SVbOUa02LFofLporI6JCXJOZsv5crLgTFBsMVvczMtP qAbEXB0iprfKW5aNhhvtsgZQw+E9JpqCUn+lZLdxrG/4zWKaMYEWsqVFINMGIoVuX2rRGy3vtTG5 AuN+d2ciO0BeivJlroT7V1pusgHshrwSGtalUyDfOMnSKZBcjl4JzyNYJTkzih5VtggQ6gTaXJNJ rY2jCbLcg8DZ2nl5KroXPy1AmfG8rHnD/ryX6t8PdP0TUEsDBAoAAAAAAIdO4kAAAAAAAAAAAAAA AAAGAAAAX3JlbHMvUEsDBBQAAAAIAIdO4kCKFGY80QAAAJQBAAALAAAAX3JlbHMvLnJlbHOlkMFq wzAMhu+DvYPRfXGawxijTi+j0GvpHsDYimMaW0Yy2fr28w6DZfS2o36h7xP//vCZFrUiS6RsYNf1 oDA78jEHA++X49MLKKk2e7tQRgM3FDiMjw/7My62tiOZYxHVKFkMzLWWV63FzZisdFQwt81EnGxt IwddrLvagHro+2fNvxkwbpjq5A3wyQ+gLrfSzH/YKTomoal2jpKmaYruHlUHtmWO7sg24Ru5RrMc sBrwLBoHalnXfgR9X7/7p97TRz7jutV+h4zrj1dvuhy/AFBLAwQUAAAACACHTuJAfublIPcAAADh AQAAEwAAAFtDb250ZW50X1R5cGVzXS54bWyVkUFOwzAQRfdI3MHyFiVOu0AIJemCtEtAqBxgZE8S i2RseUxob4+TthtEkVjaM/+/J7vcHMZBTBjYOqrkKi+kQNLOWOoq+b7fZQ9ScAQyMDjCSh6R5aa+ vSn3R48sUpq4kn2M/lEp1j2OwLnzSGnSujBCTMfQKQ/6AzpU66K4V9pRRIpZnDtkXTbYwucQxfaQ rk8mAQeW4um0OLMqCd4PVkNMpmoi84OSnQl5Si473FvPd0lDql8J8+Q64Jx7SU8TrEHxCiE+w5g0 lAmsjPuigFP+d8lsOXLm2tZqzJvATYq94XSxutaOa9c4/d/y7ZK6dKvlg+pvUEsBAhQAFAAAAAgA h07iQH7m5SD3AAAA4QEAABMAAAAAAAAAAQAgAAAAXQQAAFtDb250ZW50X1R5cGVzXS54bWxQSwEC FAAKAAAAAACHTuJAAAAAAAAAAAAAAAAABgAAAAAAAAAAABAAAAA/AwAAX3JlbHMvUEsBAhQAFAAA AAgAh07iQIoUZjzRAAAAlAEAAAsAAAAAAAAAAQAgAAAAYwMAAF9yZWxzLy5yZWxzUEsBAhQACgAA AAAAh07iQAAAAAAAAAAAAAAAAAQAAAAAAAAAAAAQAAAAAAAAAGRycy9QSwECFAAUAAAACACHTuJA Rnh2zdQAAAAIAQAADwAAAAAAAAABACAAAAAiAAAAZHJzL2Rvd25yZXYueG1sUEsBAhQAFAAAAAgA h07iQPQ465PwAQAA6AMAAA4AAAAAAAAAAQAgAAAAIwEAAGRycy9lMm9Eb2MueG1sUEsFBgAAAAAG AAYAWQEAAIUFAAAAAA== ">
                            <v:fill on="f" focussize="0,0"/>
                            <v:stroke color="#000000" joinstyle="round"/>
                            <v:imagedata o:title=""/>
                            <o:lock v:ext="edit" aspectratio="f"/>
                          </v:line>
                        </w:pict>
                      </mc:Fallback>
                    </mc:AlternateContent>
                  </w:r>
                  <w:r>
                    <w:rPr>
                      <w:rFonts w:hint="eastAsia" w:cs="宋体" w:asciiTheme="minorEastAsia" w:hAnsiTheme="minorEastAsia" w:eastAsiaTheme="minorEastAsia"/>
                      <w:szCs w:val="21"/>
                    </w:rPr>
                    <w:t>费率</w:t>
                  </w:r>
                </w:p>
                <w:p>
                  <w:pPr>
                    <w:spacing w:line="444" w:lineRule="exact"/>
                    <w:jc w:val="left"/>
                    <w:rPr>
                      <w:rFonts w:cs="宋体" w:asciiTheme="minorEastAsia" w:hAnsiTheme="minorEastAsia" w:eastAsiaTheme="minorEastAsia"/>
                      <w:szCs w:val="21"/>
                    </w:rPr>
                  </w:pPr>
                  <w:r>
                    <w:rPr>
                      <w:rFonts w:hint="eastAsia" w:asciiTheme="minorEastAsia" w:hAnsiTheme="minorEastAsia" w:eastAsiaTheme="minorEastAsia"/>
                      <w:szCs w:val="21"/>
                    </w:rPr>
                    <w:t>中标金额（万元）</w:t>
                  </w:r>
                </w:p>
              </w:tc>
              <w:tc>
                <w:tcPr>
                  <w:tcW w:w="2067" w:type="dxa"/>
                  <w:vAlign w:val="center"/>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货物招标</w:t>
                  </w:r>
                </w:p>
              </w:tc>
              <w:tc>
                <w:tcPr>
                  <w:tcW w:w="2183" w:type="dxa"/>
                  <w:vAlign w:val="center"/>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服务招标</w:t>
                  </w:r>
                </w:p>
              </w:tc>
              <w:tc>
                <w:tcPr>
                  <w:tcW w:w="1845" w:type="dxa"/>
                  <w:vAlign w:val="center"/>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6" w:type="dxa"/>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100以下</w:t>
                  </w:r>
                </w:p>
              </w:tc>
              <w:tc>
                <w:tcPr>
                  <w:tcW w:w="2067" w:type="dxa"/>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1.5%</w:t>
                  </w:r>
                </w:p>
              </w:tc>
              <w:tc>
                <w:tcPr>
                  <w:tcW w:w="2183" w:type="dxa"/>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1.5%</w:t>
                  </w:r>
                </w:p>
              </w:tc>
              <w:tc>
                <w:tcPr>
                  <w:tcW w:w="1845" w:type="dxa"/>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6" w:type="dxa"/>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100-500</w:t>
                  </w:r>
                </w:p>
              </w:tc>
              <w:tc>
                <w:tcPr>
                  <w:tcW w:w="2067" w:type="dxa"/>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1.1%</w:t>
                  </w:r>
                </w:p>
              </w:tc>
              <w:tc>
                <w:tcPr>
                  <w:tcW w:w="2183" w:type="dxa"/>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0.8%</w:t>
                  </w:r>
                </w:p>
              </w:tc>
              <w:tc>
                <w:tcPr>
                  <w:tcW w:w="1845" w:type="dxa"/>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6" w:type="dxa"/>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500-1000</w:t>
                  </w:r>
                </w:p>
              </w:tc>
              <w:tc>
                <w:tcPr>
                  <w:tcW w:w="2067" w:type="dxa"/>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0.8%</w:t>
                  </w:r>
                </w:p>
              </w:tc>
              <w:tc>
                <w:tcPr>
                  <w:tcW w:w="2183" w:type="dxa"/>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0.45%</w:t>
                  </w:r>
                </w:p>
              </w:tc>
              <w:tc>
                <w:tcPr>
                  <w:tcW w:w="1845" w:type="dxa"/>
                </w:tcPr>
                <w:p>
                  <w:pPr>
                    <w:spacing w:line="444" w:lineRule="exact"/>
                    <w:jc w:val="center"/>
                    <w:rPr>
                      <w:rFonts w:asciiTheme="minorEastAsia" w:hAnsiTheme="minorEastAsia" w:eastAsiaTheme="minorEastAsia"/>
                      <w:kern w:val="0"/>
                      <w:szCs w:val="21"/>
                    </w:rPr>
                  </w:pPr>
                  <w:r>
                    <w:rPr>
                      <w:rFonts w:hint="eastAsia" w:asciiTheme="minorEastAsia" w:hAnsiTheme="minorEastAsia" w:eastAsiaTheme="minorEastAsia"/>
                      <w:kern w:val="0"/>
                      <w:szCs w:val="21"/>
                    </w:rPr>
                    <w:t>0.55%</w:t>
                  </w:r>
                </w:p>
              </w:tc>
            </w:tr>
          </w:tbl>
          <w:p>
            <w:pPr>
              <w:spacing w:line="444" w:lineRule="exact"/>
              <w:rPr>
                <w:rFonts w:cs="宋体" w:asciiTheme="minorEastAsia" w:hAnsiTheme="minorEastAsia" w:eastAsiaTheme="minorEastAsia"/>
                <w:szCs w:val="21"/>
              </w:rPr>
            </w:pPr>
            <w:r>
              <w:rPr>
                <w:rFonts w:hint="eastAsia" w:cs="宋体" w:asciiTheme="minorEastAsia" w:hAnsiTheme="minorEastAsia" w:eastAsiaTheme="minorEastAsia"/>
                <w:szCs w:val="21"/>
              </w:rPr>
              <w:t>3、收费账号：</w:t>
            </w:r>
          </w:p>
          <w:p>
            <w:pPr>
              <w:spacing w:line="444" w:lineRule="exact"/>
              <w:rPr>
                <w:rFonts w:cs="宋体" w:asciiTheme="minorEastAsia" w:hAnsiTheme="minorEastAsia" w:eastAsiaTheme="minorEastAsia"/>
                <w:szCs w:val="21"/>
              </w:rPr>
            </w:pPr>
            <w:r>
              <w:rPr>
                <w:rFonts w:hint="eastAsia" w:cs="宋体" w:asciiTheme="minorEastAsia" w:hAnsiTheme="minorEastAsia" w:eastAsiaTheme="minorEastAsia"/>
                <w:szCs w:val="21"/>
              </w:rPr>
              <w:t>开户银行：中国农业银行股份有限公司台州经济开发区支行</w:t>
            </w:r>
          </w:p>
          <w:p>
            <w:pPr>
              <w:spacing w:line="444" w:lineRule="exact"/>
              <w:rPr>
                <w:rFonts w:cs="宋体" w:asciiTheme="minorEastAsia" w:hAnsiTheme="minorEastAsia" w:eastAsiaTheme="minorEastAsia"/>
                <w:szCs w:val="21"/>
              </w:rPr>
            </w:pPr>
            <w:r>
              <w:rPr>
                <w:rFonts w:hint="eastAsia" w:cs="宋体" w:asciiTheme="minorEastAsia" w:hAnsiTheme="minorEastAsia" w:eastAsiaTheme="minorEastAsia"/>
                <w:szCs w:val="21"/>
              </w:rPr>
              <w:t>户名：中冠工程管理咨询有限公司台州分公司</w:t>
            </w:r>
          </w:p>
          <w:p>
            <w:pPr>
              <w:spacing w:line="444" w:lineRule="exact"/>
              <w:rPr>
                <w:rFonts w:ascii="宋体" w:hAnsi="宋体" w:cs="宋体"/>
                <w:szCs w:val="21"/>
              </w:rPr>
            </w:pPr>
            <w:r>
              <w:rPr>
                <w:rFonts w:hint="eastAsia" w:cs="宋体" w:asciiTheme="minorEastAsia" w:hAnsiTheme="minorEastAsia" w:eastAsiaTheme="minorEastAsia"/>
                <w:szCs w:val="21"/>
              </w:rPr>
              <w:t>账号：</w:t>
            </w:r>
            <w:r>
              <w:rPr>
                <w:rFonts w:cs="宋体" w:asciiTheme="minorEastAsia" w:hAnsiTheme="minorEastAsia" w:eastAsiaTheme="minorEastAsia"/>
                <w:szCs w:val="21"/>
              </w:rPr>
              <w:t>19900101040031566</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▲6</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pacing w:line="444" w:lineRule="exact"/>
              <w:jc w:val="left"/>
              <w:rPr>
                <w:rFonts w:ascii="宋体" w:hAnsi="宋体"/>
                <w:szCs w:val="21"/>
              </w:rPr>
            </w:pPr>
            <w:r>
              <w:rPr>
                <w:rFonts w:hint="eastAsia" w:cs="宋体" w:asciiTheme="minorEastAsia" w:hAnsiTheme="minorEastAsia" w:eastAsiaTheme="minorEastAsia"/>
                <w:szCs w:val="21"/>
              </w:rPr>
              <w:t>▲1）履约保证金：合同总价的1％作为履约保证金，签订合同后 3 个工作日内由中标人交入采购人帐户（履约保证金可以以银行转账、由银行或保险公司出具的保函保单等形式），</w:t>
            </w:r>
            <w:r>
              <w:rPr>
                <w:rFonts w:hint="eastAsia" w:cs="宋体" w:asciiTheme="minorEastAsia" w:hAnsiTheme="minorEastAsia" w:eastAsiaTheme="minorEastAsia"/>
                <w:szCs w:val="21"/>
                <w:lang w:val="en-US" w:eastAsia="zh-CN"/>
              </w:rPr>
              <w:t>维保期</w:t>
            </w:r>
            <w:r>
              <w:rPr>
                <w:rFonts w:hint="eastAsia" w:cs="宋体" w:asciiTheme="minorEastAsia" w:hAnsiTheme="minorEastAsia" w:eastAsiaTheme="minorEastAsia"/>
                <w:szCs w:val="21"/>
              </w:rPr>
              <w:t>满后，如无质量、服务投诉和索赔，该款项5个工作日内无息返还。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7</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pacing w:line="444" w:lineRule="exact"/>
              <w:rPr>
                <w:rFonts w:ascii="宋体" w:hAnsi="宋体" w:cs="宋体"/>
                <w:szCs w:val="21"/>
              </w:rPr>
            </w:pPr>
            <w:r>
              <w:rPr>
                <w:rFonts w:hint="eastAsia" w:ascii="宋体" w:hAnsi="宋体" w:cs="宋体"/>
                <w:szCs w:val="21"/>
              </w:rPr>
              <w:t>投标文件的组成：</w:t>
            </w:r>
            <w:r>
              <w:rPr>
                <w:rFonts w:ascii="宋体" w:hAnsi="宋体" w:cs="宋体"/>
                <w:szCs w:val="21"/>
              </w:rPr>
              <w:t>完整的《投标文件》由</w:t>
            </w:r>
            <w:r>
              <w:rPr>
                <w:rFonts w:hint="eastAsia" w:ascii="宋体" w:hAnsi="宋体" w:cs="宋体"/>
                <w:szCs w:val="21"/>
              </w:rPr>
              <w:t>“资格证明文件”、</w:t>
            </w:r>
            <w:r>
              <w:rPr>
                <w:rFonts w:ascii="宋体" w:hAnsi="宋体" w:cs="宋体"/>
                <w:szCs w:val="21"/>
              </w:rPr>
              <w:t>“报价文件”</w:t>
            </w:r>
            <w:r>
              <w:rPr>
                <w:rFonts w:hint="eastAsia" w:ascii="宋体" w:hAnsi="宋体" w:cs="宋体"/>
                <w:szCs w:val="21"/>
              </w:rPr>
              <w:t>和</w:t>
            </w:r>
            <w:r>
              <w:rPr>
                <w:rFonts w:ascii="宋体" w:hAnsi="宋体" w:cs="宋体"/>
                <w:szCs w:val="21"/>
              </w:rPr>
              <w:t>“</w:t>
            </w:r>
            <w:r>
              <w:rPr>
                <w:rFonts w:hint="eastAsia" w:ascii="宋体" w:hAnsi="宋体" w:cs="宋体"/>
                <w:szCs w:val="21"/>
              </w:rPr>
              <w:t>商务</w:t>
            </w:r>
            <w:r>
              <w:rPr>
                <w:rFonts w:ascii="宋体" w:hAnsi="宋体" w:cs="宋体"/>
                <w:szCs w:val="21"/>
              </w:rPr>
              <w:t>技术文件”</w:t>
            </w:r>
            <w:r>
              <w:rPr>
                <w:rFonts w:hint="eastAsia" w:ascii="宋体" w:hAnsi="宋体" w:cs="宋体"/>
                <w:szCs w:val="21"/>
              </w:rPr>
              <w:t>三</w:t>
            </w:r>
            <w:r>
              <w:rPr>
                <w:rFonts w:ascii="宋体" w:hAnsi="宋体" w:cs="宋体"/>
                <w:szCs w:val="21"/>
              </w:rPr>
              <w:t>个部分组成。</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8</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pacing w:line="444" w:lineRule="exact"/>
              <w:rPr>
                <w:rFonts w:ascii="宋体" w:hAnsi="宋体" w:cs="宋体"/>
                <w:szCs w:val="21"/>
              </w:rPr>
            </w:pPr>
            <w:r>
              <w:rPr>
                <w:rFonts w:hint="eastAsia" w:ascii="宋体" w:hAnsi="宋体" w:cs="宋体"/>
                <w:szCs w:val="21"/>
              </w:rPr>
              <w:t>投标文件的编制：供应商应先安装“政采云电子交易客户端”，并按照本和“政府采购云平台”的要求，通过“政采云电子交易客户端”编制并加密投标文件。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9</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pacing w:line="444" w:lineRule="exact"/>
              <w:rPr>
                <w:rFonts w:ascii="宋体" w:hAnsi="宋体" w:cs="宋体"/>
                <w:szCs w:val="21"/>
              </w:rPr>
            </w:pPr>
            <w:r>
              <w:rPr>
                <w:rFonts w:hint="eastAsia" w:ascii="宋体" w:hAnsi="宋体" w:cs="宋体"/>
                <w:szCs w:val="21"/>
              </w:rPr>
              <w:t>投标文件的签章：电子签章。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10</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pacing w:line="444" w:lineRule="exact"/>
              <w:rPr>
                <w:rFonts w:ascii="宋体" w:hAnsi="宋体" w:cs="宋体"/>
                <w:szCs w:val="21"/>
              </w:rPr>
            </w:pPr>
            <w:r>
              <w:rPr>
                <w:rFonts w:hint="eastAsia" w:ascii="宋体" w:hAnsi="宋体" w:cs="宋体"/>
                <w:szCs w:val="21"/>
              </w:rPr>
              <w:t>投标文件的形式：☑电子投标文件（包括“电子加密投标文件”和“备份投标文件”，在投标文件编制完成后同时生成）；</w:t>
            </w:r>
          </w:p>
          <w:p>
            <w:pPr>
              <w:spacing w:line="444" w:lineRule="exact"/>
              <w:rPr>
                <w:rFonts w:ascii="宋体" w:hAnsi="宋体" w:cs="宋体"/>
                <w:szCs w:val="21"/>
              </w:rPr>
            </w:pPr>
            <w:r>
              <w:rPr>
                <w:rFonts w:hint="eastAsia" w:ascii="宋体" w:hAnsi="宋体" w:cs="宋体"/>
                <w:szCs w:val="21"/>
              </w:rPr>
              <w:t>（1）“电子加密投标文件”是指通过“政采云电子交易客户端”完成投标文件编制后生成并加密的数据电文形式的投标文件。</w:t>
            </w:r>
          </w:p>
          <w:p>
            <w:pPr>
              <w:spacing w:line="444" w:lineRule="exact"/>
              <w:rPr>
                <w:rFonts w:ascii="宋体" w:hAnsi="宋体" w:cs="宋体"/>
                <w:szCs w:val="21"/>
              </w:rPr>
            </w:pPr>
            <w:r>
              <w:rPr>
                <w:rFonts w:hint="eastAsia" w:ascii="宋体" w:hAnsi="宋体" w:cs="宋体"/>
                <w:szCs w:val="21"/>
              </w:rPr>
              <w:t>（2）“备份投标文件”是指与“电子加密投标文件”同时生成的数据电文形式的电子文件（备份标书），其他方式编制的备份投标文件视为无效备份投标文件。</w:t>
            </w:r>
          </w:p>
          <w:p>
            <w:pPr>
              <w:spacing w:line="444" w:lineRule="exact"/>
              <w:rPr>
                <w:rFonts w:ascii="宋体" w:hAnsi="宋体" w:cs="宋体"/>
                <w:szCs w:val="21"/>
              </w:rPr>
            </w:pPr>
            <w:r>
              <w:rPr>
                <w:rFonts w:hint="eastAsia" w:ascii="宋体" w:hAnsi="宋体" w:cs="宋体"/>
                <w:szCs w:val="21"/>
              </w:rPr>
              <w:t>（3）投标文件启用顺序和效力：投标文件的启用，按先后顺位分别为电子投标文件、以介质存储的数据电文形式的备份投标文件。顺位在先的投标文件已按时解密的，备份投标文件自动失效。在下一顺位的投标文件启用时，前一顺位的投标文件自动失效。</w:t>
            </w:r>
          </w:p>
          <w:p>
            <w:pPr>
              <w:spacing w:line="444" w:lineRule="exact"/>
              <w:rPr>
                <w:rFonts w:ascii="宋体" w:hAnsi="宋体" w:cs="宋体"/>
                <w:szCs w:val="21"/>
              </w:rPr>
            </w:pPr>
            <w:r>
              <w:rPr>
                <w:rFonts w:hint="eastAsia" w:ascii="宋体" w:hAnsi="宋体" w:cs="宋体"/>
                <w:szCs w:val="21"/>
              </w:rPr>
              <w:t>（4）▲未传输递交电子投标文件的，投标无效。▲未按规定提供相应的备份投标文件，造成项目开评标活动无法进行下去的，投标无效。</w:t>
            </w:r>
          </w:p>
          <w:p>
            <w:pPr>
              <w:spacing w:line="444" w:lineRule="exact"/>
              <w:rPr>
                <w:szCs w:val="21"/>
              </w:rPr>
            </w:pPr>
            <w:r>
              <w:rPr>
                <w:rFonts w:hint="eastAsia" w:ascii="宋体" w:hAnsi="宋体" w:cs="宋体"/>
                <w:b/>
                <w:bCs/>
                <w:szCs w:val="21"/>
              </w:rPr>
              <w:t>（5</w:t>
            </w:r>
            <w:r>
              <w:rPr>
                <w:rFonts w:ascii="宋体" w:hAnsi="宋体" w:cs="宋体"/>
                <w:b/>
                <w:bCs/>
                <w:szCs w:val="21"/>
              </w:rPr>
              <w:t>）</w:t>
            </w:r>
            <w:r>
              <w:rPr>
                <w:rFonts w:ascii="宋体" w:hAnsi="宋体" w:cs="宋体"/>
                <w:b/>
                <w:szCs w:val="21"/>
              </w:rPr>
              <w:t>中标供应商中标后需提供纸质投标文件给采购组织机构作为备案存档，纸质投标文件系电子投标文件纸质版，两者内容应一致；数量为：资格证明文件2份；资格及商务技术文件2份；报价文件2份。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11</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pacing w:line="444" w:lineRule="exact"/>
              <w:rPr>
                <w:b/>
                <w:bCs/>
                <w:szCs w:val="21"/>
              </w:rPr>
            </w:pPr>
            <w:r>
              <w:rPr>
                <w:rFonts w:hint="eastAsia"/>
                <w:b/>
                <w:bCs/>
                <w:szCs w:val="21"/>
              </w:rPr>
              <w:t>投标文件份数：</w:t>
            </w:r>
          </w:p>
          <w:p>
            <w:pPr>
              <w:spacing w:line="444" w:lineRule="exact"/>
              <w:rPr>
                <w:b/>
                <w:bCs/>
                <w:szCs w:val="21"/>
              </w:rPr>
            </w:pPr>
            <w:r>
              <w:rPr>
                <w:rFonts w:hint="eastAsia"/>
                <w:b/>
                <w:bCs/>
                <w:szCs w:val="21"/>
              </w:rPr>
              <w:t>（1）“电子加密投标文件”：在线上传递交、一份。</w:t>
            </w:r>
          </w:p>
          <w:p>
            <w:pPr>
              <w:spacing w:line="444" w:lineRule="exact"/>
              <w:rPr>
                <w:b/>
                <w:bCs/>
                <w:szCs w:val="21"/>
              </w:rPr>
            </w:pPr>
            <w:r>
              <w:rPr>
                <w:rFonts w:hint="eastAsia"/>
                <w:b/>
                <w:bCs/>
                <w:szCs w:val="21"/>
              </w:rPr>
              <w:t xml:space="preserve">（2）“备份投标文件”：密封包装后（EMS邮寄或顺丰邮寄或现场递交形式）投标截止时间前递交、一份（邮寄地址：浙江省台州市椒江区东海大道358号（原平安保险大楼）4楼 </w:t>
            </w:r>
          </w:p>
          <w:p>
            <w:pPr>
              <w:spacing w:line="444" w:lineRule="exact"/>
              <w:rPr>
                <w:szCs w:val="21"/>
              </w:rPr>
            </w:pPr>
            <w:r>
              <w:rPr>
                <w:rFonts w:hint="eastAsia"/>
                <w:b/>
                <w:bCs/>
                <w:szCs w:val="21"/>
              </w:rPr>
              <w:t>陈金泉0576-81810227；18968407875。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12</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pacing w:line="444" w:lineRule="exact"/>
              <w:rPr>
                <w:szCs w:val="21"/>
              </w:rPr>
            </w:pPr>
            <w:r>
              <w:rPr>
                <w:rFonts w:hint="eastAsia"/>
                <w:szCs w:val="21"/>
              </w:rPr>
              <w:t>投标文件的上传和递交：</w:t>
            </w:r>
          </w:p>
          <w:p>
            <w:pPr>
              <w:spacing w:line="444" w:lineRule="exact"/>
              <w:rPr>
                <w:szCs w:val="21"/>
              </w:rPr>
            </w:pPr>
            <w:r>
              <w:rPr>
                <w:rFonts w:hint="eastAsia"/>
                <w:szCs w:val="21"/>
              </w:rPr>
              <w:t>（1）“电子加密投标文件”的上传、递交：</w:t>
            </w:r>
          </w:p>
          <w:p>
            <w:pPr>
              <w:spacing w:line="444" w:lineRule="exact"/>
              <w:rPr>
                <w:szCs w:val="21"/>
              </w:rPr>
            </w:pPr>
            <w:r>
              <w:rPr>
                <w:rFonts w:hint="eastAsia"/>
                <w:szCs w:val="21"/>
              </w:rPr>
              <w:t>a.投标供应商应在投标截止时间前将“电子加密投标文件”成功上传递交至“政府采购云平台”，否则投标无效。</w:t>
            </w:r>
          </w:p>
          <w:p>
            <w:pPr>
              <w:spacing w:line="444" w:lineRule="exact"/>
              <w:rPr>
                <w:szCs w:val="21"/>
              </w:rPr>
            </w:pPr>
            <w:r>
              <w:rPr>
                <w:rFonts w:hint="eastAsia"/>
                <w:szCs w:val="21"/>
              </w:rPr>
              <w:t>b.“电子加密投标文件”成功上传递交后，供应商可自行打印投标文件接收回执。</w:t>
            </w:r>
          </w:p>
          <w:p>
            <w:pPr>
              <w:spacing w:line="444" w:lineRule="exact"/>
              <w:rPr>
                <w:szCs w:val="21"/>
              </w:rPr>
            </w:pPr>
            <w:r>
              <w:rPr>
                <w:rFonts w:hint="eastAsia"/>
                <w:szCs w:val="21"/>
              </w:rPr>
              <w:t>（2）“备份投标文件”的密封包装、递交：</w:t>
            </w:r>
          </w:p>
          <w:p>
            <w:pPr>
              <w:spacing w:line="444" w:lineRule="exact"/>
              <w:rPr>
                <w:szCs w:val="21"/>
              </w:rPr>
            </w:pPr>
            <w:r>
              <w:rPr>
                <w:rFonts w:hint="eastAsia"/>
                <w:szCs w:val="21"/>
              </w:rPr>
              <w:t>a.投标供应商在“政府采购云平台”完成“电子加密投标文件”的上传递交后，还可以（EMS邮寄或顺丰邮寄形式）在投标截止时间前递交以介质（U盘）存储的 “备份投标文件”（一份）；</w:t>
            </w:r>
          </w:p>
          <w:p>
            <w:pPr>
              <w:spacing w:line="444" w:lineRule="exact"/>
              <w:rPr>
                <w:szCs w:val="21"/>
              </w:rPr>
            </w:pPr>
            <w:r>
              <w:rPr>
                <w:rFonts w:hint="eastAsia"/>
                <w:szCs w:val="21"/>
              </w:rPr>
              <w:t>b.“备份投标文件”应当密封包装，并在包装上标注投标项目名称、投标单位名称并加盖公章。没有密封包装或者逾期邮寄送达至投标地点的“备份投标文件”将不予接收；</w:t>
            </w:r>
          </w:p>
          <w:p>
            <w:pPr>
              <w:spacing w:line="444" w:lineRule="exact"/>
              <w:rPr>
                <w:szCs w:val="21"/>
              </w:rPr>
            </w:pPr>
            <w:r>
              <w:rPr>
                <w:rFonts w:hint="eastAsia"/>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13</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pacing w:line="444" w:lineRule="exact"/>
              <w:rPr>
                <w:rFonts w:ascii="宋体" w:hAnsi="宋体" w:cs="宋体"/>
                <w:szCs w:val="21"/>
              </w:rPr>
            </w:pPr>
            <w:r>
              <w:rPr>
                <w:rFonts w:hint="eastAsia" w:ascii="宋体" w:hAnsi="宋体" w:cs="宋体"/>
                <w:szCs w:val="21"/>
              </w:rPr>
              <w:t>电子加密投标文件的解密和异常情况处理：</w:t>
            </w:r>
          </w:p>
          <w:p>
            <w:pPr>
              <w:spacing w:line="444" w:lineRule="exact"/>
              <w:rPr>
                <w:rFonts w:ascii="宋体" w:hAnsi="宋体" w:cs="宋体"/>
                <w:szCs w:val="21"/>
              </w:rPr>
            </w:pPr>
            <w:r>
              <w:rPr>
                <w:rFonts w:hint="eastAsia" w:ascii="宋体" w:hAnsi="宋体" w:cs="宋体"/>
                <w:szCs w:val="21"/>
              </w:rPr>
              <w:t>（1）开标后，采购组织机构将向各投标供应商发出“电子加密投标文件”的解密通知，各投标供应商代表应当在接到解密通知后30分钟内自行完成“电子加密投标文件”的在线解密。</w:t>
            </w:r>
          </w:p>
          <w:p>
            <w:pPr>
              <w:spacing w:line="444" w:lineRule="exact"/>
              <w:rPr>
                <w:rFonts w:ascii="宋体" w:hAnsi="宋体" w:cs="宋体"/>
                <w:szCs w:val="21"/>
              </w:rPr>
            </w:pPr>
            <w:r>
              <w:rPr>
                <w:rFonts w:hint="eastAsia" w:ascii="宋体" w:hAnsi="宋体" w:cs="宋体"/>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spacing w:line="444" w:lineRule="exact"/>
              <w:rPr>
                <w:rFonts w:ascii="宋体" w:hAnsi="宋体" w:cs="宋体"/>
                <w:szCs w:val="21"/>
              </w:rPr>
            </w:pPr>
            <w:r>
              <w:rPr>
                <w:rFonts w:hint="eastAsia" w:ascii="宋体" w:hAnsi="宋体" w:cs="宋体"/>
                <w:szCs w:val="21"/>
              </w:rPr>
              <w:t>（3）投标截止时间前，投标供应商仅递交了“备份投标文件”而未将电子加密投标文件上传至“政府采购云平台”的，投标无效。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ascii="宋体" w:hAnsi="宋体" w:cs="宋体"/>
                <w:b/>
                <w:sz w:val="24"/>
              </w:rPr>
              <w:t>1</w:t>
            </w:r>
            <w:r>
              <w:rPr>
                <w:rFonts w:hint="eastAsia" w:ascii="宋体" w:hAnsi="宋体" w:cs="宋体"/>
                <w:b/>
                <w:sz w:val="24"/>
              </w:rPr>
              <w:t>4</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napToGrid w:val="0"/>
              <w:spacing w:line="444" w:lineRule="exact"/>
              <w:rPr>
                <w:rFonts w:ascii="宋体" w:hAnsi="宋体" w:cs="宋体"/>
                <w:szCs w:val="21"/>
              </w:rPr>
            </w:pPr>
            <w:r>
              <w:rPr>
                <w:rFonts w:hint="eastAsia" w:ascii="宋体" w:hAnsi="宋体" w:cs="宋体"/>
                <w:szCs w:val="21"/>
              </w:rPr>
              <w:t>解密截止时间：2022年</w:t>
            </w:r>
            <w:r>
              <w:rPr>
                <w:rFonts w:hint="eastAsia"/>
                <w:szCs w:val="21"/>
              </w:rPr>
              <w:t>**月 ** 日</w:t>
            </w:r>
            <w:r>
              <w:rPr>
                <w:rFonts w:hint="eastAsia" w:ascii="宋体" w:hAnsi="宋体" w:cs="宋体"/>
                <w:szCs w:val="21"/>
              </w:rPr>
              <w:t xml:space="preserve"> ，09时30分整。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ascii="宋体" w:hAnsi="宋体" w:cs="宋体"/>
                <w:b/>
                <w:sz w:val="24"/>
              </w:rPr>
              <w:t>1</w:t>
            </w:r>
            <w:r>
              <w:rPr>
                <w:rFonts w:hint="eastAsia" w:ascii="宋体" w:hAnsi="宋体" w:cs="宋体"/>
                <w:b/>
                <w:sz w:val="24"/>
              </w:rPr>
              <w:t>5</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napToGrid w:val="0"/>
              <w:spacing w:line="444" w:lineRule="exact"/>
              <w:rPr>
                <w:rFonts w:ascii="宋体" w:hAnsi="宋体" w:cs="宋体"/>
                <w:szCs w:val="21"/>
              </w:rPr>
            </w:pPr>
            <w:r>
              <w:rPr>
                <w:rFonts w:hint="eastAsia" w:ascii="宋体" w:hAnsi="宋体" w:cs="宋体"/>
                <w:szCs w:val="21"/>
              </w:rPr>
              <w:t>投标地点：通过“政府采购云平台（www.zcygov.cn）”实行在线投标响应。</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0" w:hRule="atLeast"/>
          <w:jc w:val="center"/>
        </w:trPr>
        <w:tc>
          <w:tcPr>
            <w:tcW w:w="652" w:type="dxa"/>
            <w:tcBorders>
              <w:top w:val="single" w:color="000000" w:sz="2"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b/>
                <w:sz w:val="24"/>
              </w:rPr>
            </w:pPr>
            <w:r>
              <w:rPr>
                <w:rFonts w:ascii="宋体" w:hAnsi="宋体" w:cs="宋体"/>
                <w:b/>
                <w:sz w:val="24"/>
              </w:rPr>
              <w:t>1</w:t>
            </w:r>
            <w:r>
              <w:rPr>
                <w:rFonts w:hint="eastAsia" w:ascii="宋体" w:hAnsi="宋体" w:cs="宋体"/>
                <w:b/>
                <w:sz w:val="24"/>
              </w:rPr>
              <w:t>6</w:t>
            </w:r>
          </w:p>
        </w:tc>
        <w:tc>
          <w:tcPr>
            <w:tcW w:w="9639" w:type="dxa"/>
            <w:gridSpan w:val="2"/>
            <w:tcBorders>
              <w:top w:val="single" w:color="000000" w:sz="2" w:space="0"/>
              <w:left w:val="single" w:color="000000" w:sz="2" w:space="0"/>
              <w:bottom w:val="single" w:color="auto" w:sz="4" w:space="0"/>
              <w:right w:val="single" w:color="000000" w:sz="8" w:space="0"/>
            </w:tcBorders>
            <w:vAlign w:val="center"/>
          </w:tcPr>
          <w:p>
            <w:pPr>
              <w:widowControl/>
              <w:snapToGrid w:val="0"/>
              <w:spacing w:line="444" w:lineRule="exact"/>
              <w:jc w:val="left"/>
              <w:rPr>
                <w:rFonts w:ascii="宋体" w:hAnsi="宋体" w:cs="宋体"/>
                <w:szCs w:val="21"/>
              </w:rPr>
            </w:pPr>
            <w:r>
              <w:rPr>
                <w:rFonts w:hint="eastAsia" w:ascii="宋体" w:hAnsi="宋体" w:cs="宋体"/>
                <w:szCs w:val="21"/>
              </w:rPr>
              <w:t>开标时间和地点：同投标截止时间与地点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4" w:hRule="atLeast"/>
          <w:jc w:val="center"/>
        </w:trPr>
        <w:tc>
          <w:tcPr>
            <w:tcW w:w="652"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17</w:t>
            </w:r>
          </w:p>
        </w:tc>
        <w:tc>
          <w:tcPr>
            <w:tcW w:w="9639" w:type="dxa"/>
            <w:gridSpan w:val="2"/>
            <w:tcBorders>
              <w:top w:val="single" w:color="auto" w:sz="4" w:space="0"/>
              <w:left w:val="single" w:color="000000" w:sz="2" w:space="0"/>
              <w:bottom w:val="single" w:color="auto" w:sz="4" w:space="0"/>
              <w:right w:val="single" w:color="000000" w:sz="8" w:space="0"/>
            </w:tcBorders>
            <w:vAlign w:val="center"/>
          </w:tcPr>
          <w:p>
            <w:pPr>
              <w:snapToGrid w:val="0"/>
              <w:spacing w:line="444" w:lineRule="exact"/>
              <w:rPr>
                <w:rFonts w:ascii="宋体" w:hAnsi="宋体" w:cs="宋体"/>
                <w:szCs w:val="21"/>
              </w:rPr>
            </w:pPr>
            <w:r>
              <w:rPr>
                <w:rFonts w:hint="eastAsia" w:ascii="宋体" w:hAnsi="宋体" w:cs="宋体"/>
                <w:szCs w:val="21"/>
              </w:rPr>
              <w:t>带“▲”条款系指实质性要求条款。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4" w:hRule="atLeast"/>
          <w:jc w:val="center"/>
        </w:trPr>
        <w:tc>
          <w:tcPr>
            <w:tcW w:w="652"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18</w:t>
            </w:r>
          </w:p>
        </w:tc>
        <w:tc>
          <w:tcPr>
            <w:tcW w:w="9639" w:type="dxa"/>
            <w:gridSpan w:val="2"/>
            <w:tcBorders>
              <w:top w:val="single" w:color="auto" w:sz="4" w:space="0"/>
              <w:left w:val="single" w:color="000000" w:sz="2" w:space="0"/>
              <w:bottom w:val="single" w:color="auto" w:sz="4" w:space="0"/>
              <w:right w:val="single" w:color="000000" w:sz="8" w:space="0"/>
            </w:tcBorders>
            <w:vAlign w:val="center"/>
          </w:tcPr>
          <w:p>
            <w:pPr>
              <w:snapToGrid w:val="0"/>
              <w:spacing w:line="444" w:lineRule="exact"/>
              <w:rPr>
                <w:rFonts w:ascii="宋体" w:hAnsi="宋体" w:cs="宋体"/>
                <w:szCs w:val="21"/>
              </w:rPr>
            </w:pPr>
            <w:r>
              <w:rPr>
                <w:rFonts w:hint="eastAsia" w:ascii="宋体" w:hAnsi="宋体" w:cs="宋体"/>
                <w:szCs w:val="21"/>
              </w:rPr>
              <w:t>1、投标截止后，在投标有效期内，投标人不能撤销投标文件。</w:t>
            </w:r>
          </w:p>
          <w:p>
            <w:pPr>
              <w:snapToGrid w:val="0"/>
              <w:spacing w:line="444" w:lineRule="exact"/>
              <w:rPr>
                <w:rFonts w:ascii="宋体" w:hAnsi="宋体" w:cs="宋体"/>
                <w:szCs w:val="21"/>
              </w:rPr>
            </w:pPr>
            <w:r>
              <w:rPr>
                <w:rFonts w:hint="eastAsia" w:ascii="宋体" w:hAnsi="宋体" w:cs="宋体"/>
                <w:szCs w:val="21"/>
              </w:rPr>
              <w:t>2、中标后，投标人拒绝签订合同的，采购人可以按照评审报告推荐的中标候选人名单排序，确定下一候选人为中标人，也可以重新开展政府采购活动。</w:t>
            </w:r>
          </w:p>
          <w:p>
            <w:pPr>
              <w:snapToGrid w:val="0"/>
              <w:spacing w:line="444" w:lineRule="exact"/>
              <w:rPr>
                <w:rFonts w:ascii="宋体" w:hAnsi="宋体" w:cs="宋体"/>
                <w:szCs w:val="21"/>
              </w:rPr>
            </w:pPr>
            <w:r>
              <w:rPr>
                <w:rFonts w:hint="eastAsia" w:ascii="宋体" w:hAnsi="宋体" w:cs="宋体"/>
                <w:szCs w:val="21"/>
              </w:rPr>
              <w:t>3、存在下列行为的，采购组织机构将其失信行为上报政府采购主管部门，由主管部门按有关规定对其违法失信行为记录进行公开：</w:t>
            </w:r>
          </w:p>
          <w:p>
            <w:pPr>
              <w:snapToGrid w:val="0"/>
              <w:spacing w:line="444" w:lineRule="exact"/>
              <w:rPr>
                <w:rFonts w:ascii="宋体" w:hAnsi="宋体" w:cs="宋体"/>
                <w:szCs w:val="21"/>
              </w:rPr>
            </w:pPr>
            <w:r>
              <w:rPr>
                <w:rFonts w:hint="eastAsia" w:ascii="宋体" w:hAnsi="宋体" w:cs="宋体"/>
                <w:szCs w:val="21"/>
              </w:rPr>
              <w:t>（1）中标或者成交后，拒绝签订政府采购合同的；</w:t>
            </w:r>
          </w:p>
          <w:p>
            <w:pPr>
              <w:snapToGrid w:val="0"/>
              <w:spacing w:line="444" w:lineRule="exact"/>
              <w:rPr>
                <w:rFonts w:ascii="宋体" w:hAnsi="宋体" w:cs="宋体"/>
                <w:szCs w:val="21"/>
              </w:rPr>
            </w:pPr>
            <w:r>
              <w:rPr>
                <w:rFonts w:hint="eastAsia" w:ascii="宋体" w:hAnsi="宋体" w:cs="宋体"/>
                <w:szCs w:val="21"/>
              </w:rPr>
              <w:t>（2）投标有效期内撤销投标文件的。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94" w:hRule="atLeast"/>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19</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napToGrid w:val="0"/>
              <w:spacing w:line="444" w:lineRule="exact"/>
              <w:rPr>
                <w:rFonts w:ascii="宋体" w:hAnsi="宋体" w:cs="宋体"/>
                <w:szCs w:val="21"/>
              </w:rPr>
            </w:pPr>
            <w:r>
              <w:rPr>
                <w:rFonts w:hint="eastAsia" w:ascii="宋体" w:hAnsi="宋体" w:cs="宋体"/>
                <w:szCs w:val="21"/>
              </w:rPr>
              <w:t>潜在供应商需在浙江政府采购网http://www.ccgp-zhejiang.gov.cn/进行免费注册，具体详见浙江政府采购网供应商注册要求。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94" w:hRule="atLeast"/>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20</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widowControl/>
              <w:snapToGrid w:val="0"/>
              <w:spacing w:line="444" w:lineRule="exact"/>
              <w:ind w:firstLine="420" w:firstLineChars="200"/>
              <w:rPr>
                <w:rFonts w:ascii="宋体" w:hAnsi="宋体" w:cs="宋体"/>
                <w:szCs w:val="21"/>
              </w:rPr>
            </w:pPr>
            <w:r>
              <w:rPr>
                <w:rFonts w:hint="eastAsia" w:ascii="宋体" w:hAnsi="宋体" w:cs="宋体"/>
                <w:szCs w:val="21"/>
              </w:rPr>
              <w:t>1、本项目对符合财政扶持政策的中小企业（小型、微型）、监狱企业、残疾人福利性单位给予价格优惠扶持，价格优惠扶持见评标办法。</w:t>
            </w:r>
          </w:p>
          <w:p>
            <w:pPr>
              <w:widowControl/>
              <w:snapToGrid w:val="0"/>
              <w:spacing w:line="444" w:lineRule="exact"/>
              <w:ind w:firstLine="420" w:firstLineChars="200"/>
              <w:rPr>
                <w:rFonts w:ascii="宋体" w:hAnsi="宋体" w:cs="宋体"/>
                <w:szCs w:val="21"/>
              </w:rPr>
            </w:pPr>
            <w:r>
              <w:rPr>
                <w:rFonts w:hint="eastAsia" w:ascii="宋体" w:hAnsi="宋体" w:cs="宋体"/>
                <w:szCs w:val="21"/>
              </w:rPr>
              <w:t>2、满足财政部工业和信息化部关于印发《政府采购促进中小企业发展管理办法》的通知（财库〔2020〕46号）的规定的中小企业可享受优惠扶持。</w:t>
            </w:r>
          </w:p>
          <w:p>
            <w:pPr>
              <w:widowControl/>
              <w:snapToGrid w:val="0"/>
              <w:spacing w:line="444" w:lineRule="exact"/>
              <w:ind w:firstLine="420" w:firstLineChars="200"/>
              <w:rPr>
                <w:rFonts w:ascii="宋体" w:hAnsi="宋体" w:cs="宋体"/>
                <w:szCs w:val="21"/>
              </w:rPr>
            </w:pPr>
            <w:r>
              <w:rPr>
                <w:rFonts w:hint="eastAsia" w:ascii="宋体" w:hAnsi="宋体" w:cs="宋体"/>
                <w:szCs w:val="21"/>
              </w:rPr>
              <w:t>3、满足关于政府采购支持监狱企业发展有关问题的通知（财库〔2014〕68号）的规定的供应商可享受优惠扶持。</w:t>
            </w:r>
          </w:p>
          <w:p>
            <w:pPr>
              <w:widowControl/>
              <w:snapToGrid w:val="0"/>
              <w:spacing w:line="444" w:lineRule="exact"/>
              <w:ind w:firstLine="420" w:firstLineChars="200"/>
              <w:jc w:val="left"/>
              <w:rPr>
                <w:rFonts w:hint="eastAsia" w:ascii="宋体" w:hAnsi="宋体" w:cs="宋体"/>
                <w:b w:val="0"/>
                <w:bCs w:val="0"/>
                <w:color w:val="auto"/>
                <w:szCs w:val="21"/>
              </w:rPr>
            </w:pPr>
            <w:r>
              <w:rPr>
                <w:rFonts w:hint="eastAsia" w:ascii="宋体" w:hAnsi="宋体" w:cs="宋体"/>
                <w:szCs w:val="21"/>
              </w:rPr>
              <w:t>4、满足关于促进残疾人就业政府采购政策的通知（财库〔2017〕141号）的规定的供应商可享受优惠扶持。</w:t>
            </w:r>
          </w:p>
          <w:p>
            <w:pPr>
              <w:widowControl/>
              <w:snapToGrid w:val="0"/>
              <w:spacing w:line="444" w:lineRule="exact"/>
              <w:ind w:firstLine="420" w:firstLineChars="200"/>
              <w:jc w:val="left"/>
              <w:rPr>
                <w:rFonts w:hint="eastAsia" w:ascii="宋体" w:hAnsi="宋体" w:cs="宋体"/>
                <w:b w:val="0"/>
                <w:bCs w:val="0"/>
                <w:color w:val="auto"/>
                <w:sz w:val="21"/>
                <w:szCs w:val="21"/>
              </w:rPr>
            </w:pPr>
            <w:r>
              <w:rPr>
                <w:rFonts w:hint="eastAsia" w:ascii="宋体" w:hAnsi="宋体" w:cs="宋体"/>
                <w:b w:val="0"/>
                <w:bCs w:val="0"/>
                <w:color w:val="auto"/>
                <w:szCs w:val="21"/>
                <w:lang w:val="en-US" w:eastAsia="zh-CN"/>
              </w:rPr>
              <w:t>5、</w:t>
            </w:r>
            <w:r>
              <w:rPr>
                <w:rFonts w:hint="eastAsia" w:ascii="宋体" w:hAnsi="宋体" w:cs="宋体"/>
                <w:b w:val="0"/>
                <w:bCs w:val="0"/>
                <w:color w:val="auto"/>
                <w:sz w:val="21"/>
                <w:szCs w:val="21"/>
              </w:rPr>
              <w:t>《财政部关于进一步加大政府采购支持中小企业力度的通知规定》（财库〔2022〕19号）</w:t>
            </w:r>
          </w:p>
          <w:p>
            <w:pPr>
              <w:widowControl/>
              <w:snapToGrid w:val="0"/>
              <w:spacing w:line="444" w:lineRule="exact"/>
              <w:ind w:firstLine="420" w:firstLineChars="200"/>
              <w:jc w:val="left"/>
              <w:rPr>
                <w:rFonts w:ascii="宋体" w:hAnsi="宋体" w:cs="宋体"/>
                <w:szCs w:val="21"/>
              </w:rPr>
            </w:pPr>
            <w:r>
              <w:rPr>
                <w:rFonts w:hint="eastAsia" w:ascii="宋体" w:hAnsi="宋体" w:cs="宋体"/>
                <w:b w:val="0"/>
                <w:bCs w:val="0"/>
                <w:color w:val="auto"/>
                <w:sz w:val="21"/>
                <w:szCs w:val="21"/>
                <w:lang w:val="en-US" w:eastAsia="zh-CN"/>
              </w:rPr>
              <w:t>6、</w:t>
            </w:r>
            <w:r>
              <w:rPr>
                <w:rFonts w:hint="eastAsia" w:ascii="宋体" w:hAnsi="宋体" w:cs="宋体"/>
                <w:b w:val="0"/>
                <w:bCs w:val="0"/>
                <w:color w:val="auto"/>
                <w:sz w:val="21"/>
                <w:szCs w:val="21"/>
              </w:rPr>
              <w:t>《浙</w:t>
            </w:r>
            <w:r>
              <w:rPr>
                <w:rFonts w:hint="eastAsia"/>
                <w:b w:val="0"/>
                <w:bCs w:val="0"/>
                <w:color w:val="auto"/>
                <w:sz w:val="21"/>
                <w:szCs w:val="21"/>
              </w:rPr>
              <w:t>江省财政厅关于进一步加大政府采购支持中小企业力度 助力扎实稳住经济的通知》（浙财采监〔2022〕8号）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94" w:hRule="atLeast"/>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bCs/>
                <w:sz w:val="24"/>
              </w:rPr>
            </w:pPr>
            <w:r>
              <w:rPr>
                <w:rFonts w:hint="eastAsia" w:ascii="宋体" w:hAnsi="宋体" w:cs="宋体"/>
                <w:b/>
                <w:sz w:val="24"/>
              </w:rPr>
              <w:t>21</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napToGrid w:val="0"/>
              <w:spacing w:line="444" w:lineRule="exact"/>
              <w:ind w:left="105" w:leftChars="50"/>
              <w:rPr>
                <w:rFonts w:ascii="宋体" w:hAnsi="宋体" w:cs="宋体"/>
                <w:szCs w:val="21"/>
              </w:rPr>
            </w:pPr>
            <w:r>
              <w:rPr>
                <w:rFonts w:hint="eastAsia" w:ascii="宋体" w:hAnsi="宋体" w:cs="宋体"/>
                <w:szCs w:val="21"/>
              </w:rPr>
              <w:t>根据《关于在政府采购活动中查询及使用信用记录有关问题的通知》财库〔2016〕125号的规定：</w:t>
            </w:r>
          </w:p>
          <w:p>
            <w:pPr>
              <w:snapToGrid w:val="0"/>
              <w:spacing w:line="444" w:lineRule="exact"/>
              <w:ind w:left="105" w:leftChars="50"/>
              <w:rPr>
                <w:rFonts w:ascii="宋体" w:hAnsi="宋体" w:cs="宋体"/>
                <w:szCs w:val="21"/>
              </w:rPr>
            </w:pPr>
            <w:r>
              <w:rPr>
                <w:rFonts w:hint="eastAsia" w:ascii="宋体" w:hAnsi="宋体" w:cs="宋体"/>
                <w:szCs w:val="21"/>
              </w:rPr>
              <w:t>（1）采购人或采购代理机构将对本项目供应商的信用记录进行查询。查询渠道为信用中国网站（www.creditchina.gov.cn）、中国政府采购网（www.ccgp.gov.cn）；</w:t>
            </w:r>
          </w:p>
          <w:p>
            <w:pPr>
              <w:snapToGrid w:val="0"/>
              <w:spacing w:line="444" w:lineRule="exact"/>
              <w:ind w:firstLine="105" w:firstLineChars="50"/>
              <w:rPr>
                <w:rFonts w:ascii="宋体" w:hAnsi="宋体" w:cs="宋体"/>
                <w:szCs w:val="21"/>
              </w:rPr>
            </w:pPr>
            <w:r>
              <w:rPr>
                <w:rFonts w:hint="eastAsia" w:ascii="宋体" w:hAnsi="宋体" w:cs="宋体"/>
                <w:szCs w:val="21"/>
              </w:rPr>
              <w:t>（2）截止时点：开标后评标前；</w:t>
            </w:r>
          </w:p>
          <w:p>
            <w:pPr>
              <w:snapToGrid w:val="0"/>
              <w:spacing w:line="444" w:lineRule="exact"/>
              <w:ind w:left="105" w:leftChars="50"/>
              <w:rPr>
                <w:rFonts w:ascii="宋体" w:hAnsi="宋体" w:cs="宋体"/>
                <w:szCs w:val="21"/>
              </w:rPr>
            </w:pPr>
            <w:r>
              <w:rPr>
                <w:rFonts w:hint="eastAsia" w:ascii="宋体" w:hAnsi="宋体" w:cs="宋体"/>
                <w:szCs w:val="21"/>
              </w:rPr>
              <w:t>（3）查询记录和证据的留存：信用信息查询记录和证据以网页截图等方式留存。</w:t>
            </w:r>
          </w:p>
          <w:p>
            <w:pPr>
              <w:snapToGrid w:val="0"/>
              <w:spacing w:line="444" w:lineRule="exact"/>
              <w:ind w:left="105" w:leftChars="50"/>
              <w:rPr>
                <w:rFonts w:ascii="宋体" w:hAnsi="宋体" w:cs="宋体"/>
                <w:szCs w:val="21"/>
              </w:rPr>
            </w:pPr>
            <w:r>
              <w:rPr>
                <w:rFonts w:hint="eastAsia" w:ascii="宋体" w:hAnsi="宋体" w:cs="宋体"/>
                <w:szCs w:val="21"/>
              </w:rPr>
              <w:t>（4）使用规则：对列入失信被执行人、重大税收违法案件当事人名单、政府采购严重违法失信行为记录名单及其它不符合《中华人民共和国政府采购法》第二十二条规定条件的供应商，其投标将被拒绝。</w:t>
            </w:r>
          </w:p>
          <w:p>
            <w:pPr>
              <w:snapToGrid w:val="0"/>
              <w:spacing w:line="444" w:lineRule="exact"/>
              <w:ind w:left="105" w:leftChars="50"/>
              <w:rPr>
                <w:rFonts w:ascii="宋体" w:hAnsi="宋体" w:cs="宋体"/>
                <w:szCs w:val="21"/>
              </w:rPr>
            </w:pPr>
            <w:r>
              <w:rPr>
                <w:rFonts w:hint="eastAsia" w:ascii="宋体" w:hAnsi="宋体" w:cs="宋体"/>
                <w:szCs w:val="21"/>
              </w:rPr>
              <w:t>（5）联合体成员任意一方存在不良信用记录的，视同联合体存在不良信用记录。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94" w:hRule="atLeast"/>
          <w:jc w:val="center"/>
        </w:trPr>
        <w:tc>
          <w:tcPr>
            <w:tcW w:w="652" w:type="dxa"/>
            <w:tcBorders>
              <w:top w:val="single" w:color="000000" w:sz="2" w:space="0"/>
              <w:left w:val="single" w:color="000000" w:sz="8" w:space="0"/>
              <w:bottom w:val="single" w:color="000000" w:sz="2" w:space="0"/>
              <w:right w:val="single" w:color="000000" w:sz="2" w:space="0"/>
            </w:tcBorders>
            <w:vAlign w:val="center"/>
          </w:tcPr>
          <w:p>
            <w:pPr>
              <w:snapToGrid w:val="0"/>
              <w:spacing w:line="360" w:lineRule="auto"/>
              <w:jc w:val="center"/>
              <w:rPr>
                <w:rFonts w:ascii="宋体" w:hAnsi="宋体" w:cs="宋体"/>
                <w:b/>
                <w:sz w:val="24"/>
              </w:rPr>
            </w:pPr>
            <w:r>
              <w:rPr>
                <w:rFonts w:hint="eastAsia" w:ascii="宋体" w:hAnsi="宋体" w:cs="宋体"/>
                <w:b/>
                <w:sz w:val="24"/>
              </w:rPr>
              <w:t>22</w:t>
            </w:r>
          </w:p>
        </w:tc>
        <w:tc>
          <w:tcPr>
            <w:tcW w:w="9639" w:type="dxa"/>
            <w:gridSpan w:val="2"/>
            <w:tcBorders>
              <w:top w:val="single" w:color="000000" w:sz="2" w:space="0"/>
              <w:left w:val="single" w:color="000000" w:sz="2" w:space="0"/>
              <w:bottom w:val="single" w:color="000000" w:sz="2" w:space="0"/>
              <w:right w:val="single" w:color="000000" w:sz="8" w:space="0"/>
            </w:tcBorders>
            <w:vAlign w:val="center"/>
          </w:tcPr>
          <w:p>
            <w:pPr>
              <w:spacing w:line="444" w:lineRule="exact"/>
              <w:ind w:left="105" w:leftChars="50"/>
              <w:rPr>
                <w:rFonts w:ascii="宋体" w:hAnsi="宋体" w:cs="宋体"/>
                <w:kern w:val="0"/>
                <w:szCs w:val="21"/>
              </w:rPr>
            </w:pPr>
            <w:r>
              <w:rPr>
                <w:rFonts w:ascii="宋体" w:hAnsi="宋体" w:cs="宋体"/>
                <w:kern w:val="0"/>
                <w:szCs w:val="21"/>
              </w:rPr>
              <w:t>1、踏勘现场时间及地点：不组织，各投标单位根据自己需要，自行前往 勘察现场和周围环境，所产生的费用由投标单位自理。</w:t>
            </w:r>
          </w:p>
          <w:p>
            <w:pPr>
              <w:spacing w:line="444" w:lineRule="exact"/>
              <w:ind w:left="105" w:leftChars="50"/>
              <w:rPr>
                <w:rFonts w:ascii="宋体" w:hAnsi="宋体" w:cs="宋体"/>
                <w:kern w:val="0"/>
                <w:szCs w:val="21"/>
              </w:rPr>
            </w:pPr>
            <w:r>
              <w:rPr>
                <w:rFonts w:ascii="宋体" w:hAnsi="宋体" w:cs="宋体"/>
                <w:kern w:val="0"/>
                <w:szCs w:val="21"/>
              </w:rPr>
              <w:t>2、节能产品、环保产品：无要求；</w:t>
            </w:r>
          </w:p>
          <w:p>
            <w:pPr>
              <w:spacing w:line="444" w:lineRule="exact"/>
              <w:ind w:left="105" w:leftChars="50"/>
              <w:rPr>
                <w:rFonts w:ascii="宋体" w:hAnsi="宋体" w:cs="宋体"/>
                <w:kern w:val="0"/>
                <w:szCs w:val="21"/>
              </w:rPr>
            </w:pPr>
            <w:r>
              <w:rPr>
                <w:rFonts w:ascii="宋体" w:hAnsi="宋体" w:cs="宋体"/>
                <w:kern w:val="0"/>
                <w:szCs w:val="21"/>
              </w:rPr>
              <w:t>3、样品：</w:t>
            </w:r>
            <w:r>
              <w:rPr>
                <w:rFonts w:hint="eastAsia" w:ascii="宋体" w:hAnsi="宋体" w:cs="宋体"/>
                <w:kern w:val="0"/>
                <w:szCs w:val="21"/>
              </w:rPr>
              <w:t>无</w:t>
            </w:r>
            <w:r>
              <w:rPr>
                <w:rFonts w:ascii="宋体" w:hAnsi="宋体" w:cs="宋体"/>
                <w:kern w:val="0"/>
                <w:szCs w:val="21"/>
              </w:rPr>
              <w:t>；</w:t>
            </w:r>
          </w:p>
          <w:p>
            <w:pPr>
              <w:spacing w:line="444" w:lineRule="exact"/>
              <w:ind w:left="105" w:leftChars="50"/>
              <w:rPr>
                <w:rFonts w:ascii="宋体" w:hAnsi="宋体" w:cs="宋体"/>
                <w:szCs w:val="21"/>
              </w:rPr>
            </w:pPr>
            <w:r>
              <w:rPr>
                <w:rFonts w:ascii="宋体" w:hAnsi="宋体" w:cs="宋体"/>
                <w:kern w:val="0"/>
                <w:szCs w:val="21"/>
              </w:rPr>
              <w:t>4、现场演示：无要求。</w:t>
            </w:r>
          </w:p>
        </w:tc>
      </w:tr>
    </w:tbl>
    <w:p>
      <w:pPr>
        <w:pStyle w:val="27"/>
        <w:snapToGrid w:val="0"/>
        <w:spacing w:before="120" w:after="120" w:line="360" w:lineRule="auto"/>
        <w:outlineLvl w:val="0"/>
        <w:rPr>
          <w:rFonts w:ascii="宋体" w:hAnsi="宋体" w:eastAsia="宋体"/>
          <w:b/>
          <w:bCs/>
          <w:sz w:val="32"/>
          <w:szCs w:val="32"/>
        </w:rPr>
      </w:pPr>
      <w:bookmarkStart w:id="28" w:name="_Toc1767"/>
    </w:p>
    <w:p>
      <w:pPr>
        <w:pStyle w:val="27"/>
        <w:snapToGrid w:val="0"/>
        <w:spacing w:before="120" w:after="120" w:line="360" w:lineRule="auto"/>
        <w:jc w:val="center"/>
        <w:outlineLvl w:val="0"/>
        <w:rPr>
          <w:rFonts w:hint="eastAsia" w:ascii="宋体" w:hAnsi="宋体" w:eastAsia="宋体"/>
          <w:b/>
          <w:bCs/>
          <w:sz w:val="32"/>
          <w:szCs w:val="32"/>
        </w:rPr>
        <w:sectPr>
          <w:footerReference r:id="rId5" w:type="default"/>
          <w:pgSz w:w="11906" w:h="16838"/>
          <w:pgMar w:top="1021" w:right="1588" w:bottom="1021" w:left="1588" w:header="851" w:footer="992" w:gutter="0"/>
          <w:pgNumType w:fmt="decimal" w:start="1"/>
          <w:cols w:space="425" w:num="1"/>
          <w:docGrid w:type="lines" w:linePitch="312" w:charSpace="0"/>
        </w:sectPr>
      </w:pPr>
    </w:p>
    <w:p>
      <w:pPr>
        <w:pStyle w:val="27"/>
        <w:snapToGrid w:val="0"/>
        <w:spacing w:before="120" w:after="120" w:line="360" w:lineRule="auto"/>
        <w:jc w:val="center"/>
        <w:outlineLvl w:val="0"/>
        <w:rPr>
          <w:rFonts w:ascii="宋体" w:hAnsi="宋体"/>
          <w:bCs/>
          <w:sz w:val="30"/>
          <w:szCs w:val="30"/>
        </w:rPr>
      </w:pPr>
      <w:bookmarkStart w:id="29" w:name="_Toc22412"/>
      <w:bookmarkStart w:id="30" w:name="_Toc10621"/>
      <w:bookmarkStart w:id="31" w:name="_Toc28191"/>
      <w:bookmarkStart w:id="32" w:name="_Toc1293"/>
      <w:bookmarkStart w:id="33" w:name="_Toc19894"/>
      <w:bookmarkStart w:id="34" w:name="_Toc5157"/>
      <w:r>
        <w:rPr>
          <w:rFonts w:hint="eastAsia" w:ascii="宋体" w:hAnsi="宋体" w:eastAsia="宋体"/>
          <w:b/>
          <w:bCs/>
          <w:sz w:val="32"/>
          <w:szCs w:val="32"/>
        </w:rPr>
        <w:t>第三部分  投标须知</w:t>
      </w:r>
      <w:bookmarkEnd w:id="28"/>
      <w:bookmarkEnd w:id="29"/>
      <w:bookmarkEnd w:id="30"/>
      <w:bookmarkEnd w:id="31"/>
      <w:bookmarkEnd w:id="32"/>
      <w:bookmarkEnd w:id="33"/>
      <w:bookmarkEnd w:id="34"/>
    </w:p>
    <w:p>
      <w:pPr>
        <w:pStyle w:val="116"/>
        <w:ind w:firstLine="562"/>
        <w:jc w:val="center"/>
        <w:rPr>
          <w:b/>
          <w:sz w:val="28"/>
        </w:rPr>
      </w:pPr>
      <w:r>
        <w:rPr>
          <w:rFonts w:hint="eastAsia"/>
          <w:b/>
          <w:sz w:val="28"/>
        </w:rPr>
        <w:t>一 、总  则</w:t>
      </w:r>
    </w:p>
    <w:p>
      <w:pPr>
        <w:pStyle w:val="116"/>
        <w:ind w:firstLine="422"/>
        <w:rPr>
          <w:b/>
          <w:sz w:val="21"/>
          <w:szCs w:val="21"/>
        </w:rPr>
      </w:pPr>
      <w:r>
        <w:rPr>
          <w:rFonts w:hint="eastAsia"/>
          <w:b/>
          <w:sz w:val="21"/>
          <w:szCs w:val="21"/>
        </w:rPr>
        <w:t>1、适用范围</w:t>
      </w:r>
    </w:p>
    <w:p>
      <w:pPr>
        <w:pStyle w:val="116"/>
        <w:ind w:firstLine="420"/>
        <w:rPr>
          <w:sz w:val="21"/>
          <w:szCs w:val="21"/>
        </w:rPr>
      </w:pPr>
      <w:r>
        <w:rPr>
          <w:rFonts w:hint="eastAsia"/>
          <w:sz w:val="21"/>
          <w:szCs w:val="21"/>
        </w:rPr>
        <w:t>本适用于本次项目的招标采购、投标、评标、定标、验收、合同履约、付款等行为（法律、法规另有规定的，从其规定）。</w:t>
      </w:r>
    </w:p>
    <w:p>
      <w:pPr>
        <w:pStyle w:val="116"/>
        <w:ind w:firstLine="422"/>
        <w:rPr>
          <w:b/>
          <w:sz w:val="21"/>
          <w:szCs w:val="21"/>
        </w:rPr>
      </w:pPr>
      <w:r>
        <w:rPr>
          <w:rFonts w:hint="eastAsia"/>
          <w:b/>
          <w:sz w:val="21"/>
          <w:szCs w:val="21"/>
        </w:rPr>
        <w:t>2、定义</w:t>
      </w:r>
    </w:p>
    <w:p>
      <w:pPr>
        <w:pStyle w:val="116"/>
        <w:ind w:firstLine="420"/>
        <w:rPr>
          <w:sz w:val="21"/>
          <w:szCs w:val="21"/>
        </w:rPr>
      </w:pPr>
      <w:r>
        <w:rPr>
          <w:rFonts w:hint="eastAsia"/>
          <w:sz w:val="21"/>
          <w:szCs w:val="21"/>
        </w:rPr>
        <w:t>2.1、“采购组织机构”指组织本次招标采购的中冠工程管理咨询有限公司。</w:t>
      </w:r>
    </w:p>
    <w:p>
      <w:pPr>
        <w:pStyle w:val="116"/>
        <w:ind w:firstLine="420"/>
        <w:rPr>
          <w:sz w:val="21"/>
          <w:szCs w:val="21"/>
        </w:rPr>
      </w:pPr>
      <w:r>
        <w:rPr>
          <w:rFonts w:hint="eastAsia"/>
          <w:sz w:val="21"/>
          <w:szCs w:val="21"/>
        </w:rPr>
        <w:t>2.2、采购人：是指委托集中采购机构/采购代理机构采购本次项目的国家机关、事业单位和团体组织。</w:t>
      </w:r>
    </w:p>
    <w:p>
      <w:pPr>
        <w:pStyle w:val="116"/>
        <w:ind w:firstLine="420"/>
        <w:rPr>
          <w:sz w:val="21"/>
          <w:szCs w:val="21"/>
        </w:rPr>
      </w:pPr>
      <w:r>
        <w:rPr>
          <w:rFonts w:hint="eastAsia"/>
          <w:sz w:val="21"/>
          <w:szCs w:val="21"/>
        </w:rPr>
        <w:t>2.3、投标人：是指向采购组织机构提交投标文件的单位或个人。</w:t>
      </w:r>
    </w:p>
    <w:p>
      <w:pPr>
        <w:pStyle w:val="116"/>
        <w:ind w:firstLine="420"/>
        <w:rPr>
          <w:sz w:val="21"/>
          <w:szCs w:val="21"/>
        </w:rPr>
      </w:pPr>
      <w:r>
        <w:rPr>
          <w:rFonts w:hint="eastAsia"/>
          <w:sz w:val="21"/>
          <w:szCs w:val="21"/>
        </w:rPr>
        <w:t>2.4、货物：是指各种形态和种类的物品，包括原材料、燃料、设备、产品等。</w:t>
      </w:r>
    </w:p>
    <w:p>
      <w:pPr>
        <w:pStyle w:val="116"/>
        <w:ind w:firstLine="420"/>
        <w:rPr>
          <w:sz w:val="21"/>
          <w:szCs w:val="21"/>
        </w:rPr>
      </w:pPr>
      <w:r>
        <w:rPr>
          <w:rFonts w:hint="eastAsia"/>
          <w:sz w:val="21"/>
          <w:szCs w:val="21"/>
        </w:rPr>
        <w:t>2.5、服务：是指除货物和工程以外的政府采购对象，包括各类专业服务、信息网络开发服务、金融保险服务、运输服务，以及维修与维护服务等。</w:t>
      </w:r>
    </w:p>
    <w:p>
      <w:pPr>
        <w:pStyle w:val="116"/>
        <w:ind w:firstLine="420"/>
        <w:rPr>
          <w:sz w:val="21"/>
          <w:szCs w:val="21"/>
        </w:rPr>
      </w:pPr>
      <w:r>
        <w:rPr>
          <w:rFonts w:hint="eastAsia"/>
          <w:sz w:val="21"/>
          <w:szCs w:val="21"/>
        </w:rPr>
        <w:t>2.6、“书面形式”包括信函、传真等。</w:t>
      </w:r>
    </w:p>
    <w:p>
      <w:pPr>
        <w:pStyle w:val="116"/>
        <w:ind w:firstLine="420"/>
        <w:rPr>
          <w:sz w:val="21"/>
          <w:szCs w:val="21"/>
        </w:rPr>
      </w:pPr>
      <w:r>
        <w:rPr>
          <w:rFonts w:hint="eastAsia"/>
          <w:sz w:val="21"/>
          <w:szCs w:val="21"/>
        </w:rPr>
        <w:t>2.7、“▲”系指实质性要求条款。</w:t>
      </w:r>
    </w:p>
    <w:p>
      <w:pPr>
        <w:pStyle w:val="116"/>
        <w:ind w:firstLine="422"/>
        <w:rPr>
          <w:b/>
          <w:sz w:val="21"/>
          <w:szCs w:val="21"/>
        </w:rPr>
      </w:pPr>
      <w:r>
        <w:rPr>
          <w:rFonts w:hint="eastAsia"/>
          <w:b/>
          <w:sz w:val="21"/>
          <w:szCs w:val="21"/>
        </w:rPr>
        <w:t>3、投标费用</w:t>
      </w:r>
    </w:p>
    <w:p>
      <w:pPr>
        <w:pStyle w:val="116"/>
        <w:ind w:firstLine="420"/>
        <w:rPr>
          <w:sz w:val="21"/>
          <w:szCs w:val="21"/>
        </w:rPr>
      </w:pPr>
      <w:r>
        <w:rPr>
          <w:rFonts w:hint="eastAsia"/>
          <w:sz w:val="21"/>
          <w:szCs w:val="21"/>
        </w:rPr>
        <w:t>不论投标结果如何，投标人均应自行承担所有与投标有关的全部费用（有相关规定除外）。</w:t>
      </w:r>
    </w:p>
    <w:p>
      <w:pPr>
        <w:pStyle w:val="116"/>
        <w:ind w:firstLine="422"/>
        <w:rPr>
          <w:b/>
          <w:sz w:val="21"/>
          <w:szCs w:val="21"/>
        </w:rPr>
      </w:pPr>
      <w:r>
        <w:rPr>
          <w:rFonts w:hint="eastAsia"/>
          <w:b/>
          <w:sz w:val="21"/>
          <w:szCs w:val="21"/>
        </w:rPr>
        <w:t>4、特别说明</w:t>
      </w:r>
    </w:p>
    <w:p>
      <w:pPr>
        <w:pStyle w:val="116"/>
        <w:ind w:firstLine="420"/>
        <w:rPr>
          <w:sz w:val="21"/>
          <w:szCs w:val="21"/>
        </w:rPr>
      </w:pPr>
      <w:r>
        <w:rPr>
          <w:rFonts w:hint="eastAsia"/>
          <w:sz w:val="21"/>
          <w:szCs w:val="21"/>
        </w:rPr>
        <w:t>4.1、</w:t>
      </w:r>
      <w:r>
        <w:rPr>
          <w:sz w:val="21"/>
          <w:szCs w:val="21"/>
        </w:rPr>
        <w:t>投标人投标所使用的资格、信誉、荣誉、业绩与企业认证必须为本法人所拥有。投标人投标所使用的采购项目实施人员必须为本法人员工（</w:t>
      </w:r>
      <w:r>
        <w:rPr>
          <w:rFonts w:hint="eastAsia"/>
          <w:sz w:val="21"/>
          <w:szCs w:val="21"/>
        </w:rPr>
        <w:t>指</w:t>
      </w:r>
      <w:r>
        <w:rPr>
          <w:sz w:val="21"/>
          <w:szCs w:val="21"/>
        </w:rPr>
        <w:t>本法人或控股公司正式员工）。</w:t>
      </w:r>
    </w:p>
    <w:p>
      <w:pPr>
        <w:pStyle w:val="116"/>
        <w:ind w:firstLine="420"/>
        <w:rPr>
          <w:sz w:val="21"/>
          <w:szCs w:val="21"/>
        </w:rPr>
      </w:pPr>
      <w:r>
        <w:rPr>
          <w:rFonts w:hint="eastAsia"/>
          <w:sz w:val="21"/>
          <w:szCs w:val="21"/>
        </w:rPr>
        <w:t>4.2、</w:t>
      </w:r>
      <w:r>
        <w:rPr>
          <w:sz w:val="21"/>
          <w:szCs w:val="21"/>
        </w:rPr>
        <w:t>投标人在投标活动中提供任何虚假材料,其投标无效，并报监管部门查处；中标后发现的,根据《中华人民共和国政府采购法》第七十七条第一款第一项之规定</w:t>
      </w:r>
      <w:r>
        <w:rPr>
          <w:rFonts w:hint="eastAsia"/>
          <w:sz w:val="21"/>
          <w:szCs w:val="21"/>
        </w:rPr>
        <w:t>，</w:t>
      </w:r>
      <w:r>
        <w:rPr>
          <w:sz w:val="21"/>
          <w:szCs w:val="21"/>
        </w:rPr>
        <w:t>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r>
        <w:rPr>
          <w:rFonts w:hint="eastAsia"/>
          <w:sz w:val="21"/>
          <w:szCs w:val="21"/>
        </w:rPr>
        <w:t>。</w:t>
      </w:r>
    </w:p>
    <w:p>
      <w:pPr>
        <w:pStyle w:val="116"/>
        <w:ind w:firstLine="420"/>
        <w:rPr>
          <w:b/>
          <w:sz w:val="21"/>
          <w:szCs w:val="21"/>
        </w:rPr>
      </w:pPr>
      <w:r>
        <w:rPr>
          <w:rFonts w:hint="eastAsia"/>
          <w:sz w:val="21"/>
          <w:szCs w:val="21"/>
        </w:rPr>
        <w:t>4.3、投标人被列入“黑名单”的，采购组织单位将根据《浙江省政府采购供应商注册及诚信管理暂行办法》第四十六条之规定，在处罚有效期内，资格审查时不予通过。</w:t>
      </w:r>
    </w:p>
    <w:p>
      <w:pPr>
        <w:pStyle w:val="116"/>
        <w:ind w:firstLine="420"/>
        <w:rPr>
          <w:rFonts w:hint="eastAsia"/>
          <w:sz w:val="21"/>
          <w:szCs w:val="21"/>
        </w:rPr>
        <w:sectPr>
          <w:footerReference r:id="rId6" w:type="default"/>
          <w:pgSz w:w="11906" w:h="16838"/>
          <w:pgMar w:top="1021" w:right="1588" w:bottom="1021" w:left="1588" w:header="851" w:footer="992" w:gutter="0"/>
          <w:pgNumType w:fmt="decimal"/>
          <w:cols w:space="425" w:num="1"/>
          <w:docGrid w:type="lines" w:linePitch="312" w:charSpace="0"/>
        </w:sectPr>
      </w:pPr>
      <w:r>
        <w:rPr>
          <w:rFonts w:hint="eastAsia"/>
          <w:sz w:val="21"/>
          <w:szCs w:val="21"/>
        </w:rPr>
        <w:t>4.4、投标人不得相互串通投标报价，不得妨碍其他投标人的公平竞争，不得损害采购人或其他投标人的合法权益，投标人不得以向采购人、评标委员会成员行贿或者采取其他不</w:t>
      </w:r>
    </w:p>
    <w:p>
      <w:pPr>
        <w:pStyle w:val="116"/>
        <w:ind w:firstLine="420"/>
        <w:rPr>
          <w:sz w:val="21"/>
          <w:szCs w:val="21"/>
        </w:rPr>
      </w:pPr>
      <w:r>
        <w:rPr>
          <w:rFonts w:hint="eastAsia"/>
          <w:sz w:val="21"/>
          <w:szCs w:val="21"/>
        </w:rPr>
        <w:t>正当手段谋取中标。</w:t>
      </w:r>
    </w:p>
    <w:p>
      <w:pPr>
        <w:pStyle w:val="116"/>
        <w:ind w:firstLine="420"/>
        <w:rPr>
          <w:b/>
          <w:sz w:val="21"/>
          <w:szCs w:val="21"/>
        </w:rPr>
      </w:pPr>
      <w:r>
        <w:rPr>
          <w:rFonts w:hint="eastAsia"/>
          <w:sz w:val="21"/>
          <w:szCs w:val="21"/>
        </w:rPr>
        <w:t>4.5、为采购项目提供整体设计、规范编制或者项目管理、监理、检测等服务的供应商，不得再参加该采购项目的其他采购活动。</w:t>
      </w:r>
    </w:p>
    <w:p>
      <w:pPr>
        <w:pStyle w:val="116"/>
        <w:ind w:firstLine="420"/>
        <w:rPr>
          <w:b/>
          <w:bCs/>
          <w:sz w:val="21"/>
          <w:szCs w:val="21"/>
        </w:rPr>
      </w:pPr>
      <w:r>
        <w:rPr>
          <w:rFonts w:hint="eastAsia"/>
          <w:sz w:val="21"/>
          <w:szCs w:val="21"/>
        </w:rPr>
        <w:t>4.6、投标文件格式中的表格式样可以根据项目差别做适当调整,但应当保持表格样式基本形态不变。</w:t>
      </w:r>
    </w:p>
    <w:p>
      <w:pPr>
        <w:pStyle w:val="116"/>
        <w:ind w:firstLine="420"/>
        <w:rPr>
          <w:b/>
          <w:bCs/>
          <w:sz w:val="21"/>
          <w:szCs w:val="21"/>
        </w:rPr>
      </w:pPr>
      <w:r>
        <w:rPr>
          <w:rFonts w:hint="eastAsia"/>
          <w:sz w:val="21"/>
          <w:szCs w:val="21"/>
        </w:rPr>
        <w:t>4.7、单位负责人为同一人或者存在直接控股、管理关系的不同供应商，不得参加同一合同项下的政府采购活动。</w:t>
      </w:r>
    </w:p>
    <w:p>
      <w:pPr>
        <w:pStyle w:val="116"/>
        <w:ind w:firstLine="420"/>
        <w:rPr>
          <w:b/>
          <w:sz w:val="21"/>
          <w:szCs w:val="21"/>
        </w:rPr>
      </w:pPr>
      <w:r>
        <w:rPr>
          <w:rFonts w:hint="eastAsia"/>
          <w:sz w:val="21"/>
          <w:szCs w:val="21"/>
        </w:rPr>
        <w:t>4.8、本项目不允许分包。</w:t>
      </w:r>
    </w:p>
    <w:p>
      <w:pPr>
        <w:pStyle w:val="116"/>
        <w:ind w:firstLine="422"/>
        <w:rPr>
          <w:b/>
          <w:sz w:val="21"/>
          <w:szCs w:val="21"/>
        </w:rPr>
      </w:pPr>
      <w:r>
        <w:rPr>
          <w:rFonts w:hint="eastAsia"/>
          <w:b/>
          <w:sz w:val="21"/>
          <w:szCs w:val="21"/>
        </w:rPr>
        <w:t>5、 质疑与投诉</w:t>
      </w:r>
    </w:p>
    <w:p>
      <w:pPr>
        <w:pStyle w:val="116"/>
        <w:ind w:firstLine="420"/>
        <w:rPr>
          <w:sz w:val="21"/>
          <w:szCs w:val="21"/>
        </w:rPr>
      </w:pPr>
      <w:r>
        <w:rPr>
          <w:rFonts w:hint="eastAsia"/>
          <w:sz w:val="21"/>
          <w:szCs w:val="21"/>
        </w:rPr>
        <w:t>5.1、投标人认为、采购过程和中标、成交结果使自己的权益受到损害的，可以在知道或者应知其权益受到损害之日起七个工作日内，以书面形式向采购人、采购组织机构提出质疑</w:t>
      </w:r>
      <w:r>
        <w:rPr>
          <w:rFonts w:hint="eastAsia"/>
          <w:b/>
          <w:sz w:val="21"/>
          <w:szCs w:val="21"/>
        </w:rPr>
        <w:t>（注</w:t>
      </w:r>
      <w:r>
        <w:rPr>
          <w:b/>
          <w:sz w:val="21"/>
          <w:szCs w:val="21"/>
        </w:rPr>
        <w:t>：</w:t>
      </w:r>
      <w:r>
        <w:rPr>
          <w:rFonts w:hint="eastAsia"/>
          <w:b/>
          <w:sz w:val="21"/>
          <w:szCs w:val="21"/>
        </w:rPr>
        <w:t>投标人须</w:t>
      </w:r>
      <w:r>
        <w:rPr>
          <w:b/>
          <w:sz w:val="21"/>
          <w:szCs w:val="21"/>
        </w:rPr>
        <w:t>在法定质疑期内一次性提出针对同一采购程序环节的质疑</w:t>
      </w:r>
      <w:r>
        <w:rPr>
          <w:rFonts w:hint="eastAsia"/>
          <w:b/>
          <w:sz w:val="21"/>
          <w:szCs w:val="21"/>
        </w:rPr>
        <w:t>）</w:t>
      </w:r>
      <w:r>
        <w:rPr>
          <w:rFonts w:hint="eastAsia"/>
          <w:sz w:val="21"/>
          <w:szCs w:val="21"/>
        </w:rPr>
        <w:t>。潜在投标人的书面质疑或澄清要求均应加盖单位公章，署明日期。投标人未按规定要求提出的，则视同认可，但法律法规及规范性文件有明确规定的除外。供应商对采购组织机构的质疑答复不满意或者采购机构未在规定时间内作出答复的，可以在答复期满后十五个工作日内向同级政府采购监督管理部门投诉。</w:t>
      </w:r>
    </w:p>
    <w:p>
      <w:pPr>
        <w:pStyle w:val="116"/>
        <w:ind w:firstLine="420"/>
        <w:rPr>
          <w:sz w:val="21"/>
          <w:szCs w:val="21"/>
        </w:rPr>
      </w:pPr>
      <w:r>
        <w:rPr>
          <w:rFonts w:hint="eastAsia"/>
          <w:sz w:val="21"/>
          <w:szCs w:val="21"/>
        </w:rPr>
        <w:t>5.2、对于受理的质疑，采购组织机构将以书面形式或其他适当方式进行答疑，必要时将书面答复发送所有取得本的投标人。若采购组织机构所作的答疑不引起相应条款的实质性改变，则不应视作对采购文件的修正或更正。</w:t>
      </w:r>
    </w:p>
    <w:p>
      <w:pPr>
        <w:pStyle w:val="116"/>
        <w:ind w:firstLine="420"/>
        <w:rPr>
          <w:sz w:val="21"/>
          <w:szCs w:val="21"/>
        </w:rPr>
      </w:pPr>
      <w:r>
        <w:rPr>
          <w:rFonts w:hint="eastAsia"/>
          <w:sz w:val="21"/>
          <w:szCs w:val="21"/>
        </w:rPr>
        <w:t>5.3、采购组织机构发送的答疑文件是的组成部分，对投标人具有约束力。</w:t>
      </w:r>
    </w:p>
    <w:p>
      <w:pPr>
        <w:pStyle w:val="116"/>
        <w:ind w:firstLine="420"/>
        <w:rPr>
          <w:rFonts w:ascii="等线" w:hAnsi="等线"/>
          <w:sz w:val="21"/>
          <w:szCs w:val="21"/>
        </w:rPr>
      </w:pPr>
      <w:bookmarkStart w:id="35" w:name="_Hlk49407732"/>
      <w:r>
        <w:rPr>
          <w:rFonts w:hint="eastAsia"/>
          <w:sz w:val="21"/>
          <w:szCs w:val="21"/>
        </w:rPr>
        <w:t>5.4、未尽事宜，见《政府采购质疑和投诉办法》（中华人民共和国财政部令第94号）</w:t>
      </w:r>
      <w:bookmarkEnd w:id="35"/>
      <w:r>
        <w:rPr>
          <w:rFonts w:hint="eastAsia" w:ascii="等线" w:hAnsi="等线"/>
          <w:sz w:val="21"/>
          <w:szCs w:val="21"/>
        </w:rPr>
        <w:t>。</w:t>
      </w:r>
    </w:p>
    <w:p>
      <w:pPr>
        <w:pStyle w:val="116"/>
        <w:ind w:firstLine="562"/>
        <w:jc w:val="center"/>
        <w:rPr>
          <w:b/>
          <w:sz w:val="28"/>
        </w:rPr>
      </w:pPr>
      <w:r>
        <w:rPr>
          <w:rFonts w:hint="eastAsia"/>
          <w:b/>
          <w:sz w:val="28"/>
        </w:rPr>
        <w:t>二、采购文件</w:t>
      </w:r>
    </w:p>
    <w:p>
      <w:pPr>
        <w:pStyle w:val="116"/>
        <w:ind w:firstLine="422"/>
        <w:rPr>
          <w:b/>
          <w:sz w:val="21"/>
          <w:szCs w:val="21"/>
        </w:rPr>
      </w:pPr>
      <w:r>
        <w:rPr>
          <w:b/>
          <w:sz w:val="21"/>
          <w:szCs w:val="21"/>
        </w:rPr>
        <w:t>6</w:t>
      </w:r>
      <w:r>
        <w:rPr>
          <w:rFonts w:hint="eastAsia"/>
          <w:b/>
          <w:sz w:val="21"/>
          <w:szCs w:val="21"/>
        </w:rPr>
        <w:t>、采购文件构成</w:t>
      </w:r>
    </w:p>
    <w:p>
      <w:pPr>
        <w:pStyle w:val="116"/>
        <w:ind w:firstLine="420"/>
        <w:rPr>
          <w:sz w:val="21"/>
          <w:szCs w:val="21"/>
        </w:rPr>
      </w:pPr>
      <w:r>
        <w:rPr>
          <w:sz w:val="21"/>
          <w:szCs w:val="21"/>
        </w:rPr>
        <w:t>6</w:t>
      </w:r>
      <w:r>
        <w:rPr>
          <w:rFonts w:hint="eastAsia"/>
          <w:sz w:val="21"/>
          <w:szCs w:val="21"/>
        </w:rPr>
        <w:t>.1、采购文件包括目录所示内容及采购文件的澄清或修改。</w:t>
      </w:r>
    </w:p>
    <w:p>
      <w:pPr>
        <w:pStyle w:val="116"/>
        <w:ind w:firstLine="420"/>
        <w:rPr>
          <w:sz w:val="21"/>
          <w:szCs w:val="21"/>
        </w:rPr>
      </w:pPr>
      <w:r>
        <w:rPr>
          <w:sz w:val="21"/>
          <w:szCs w:val="21"/>
        </w:rPr>
        <w:t>6</w:t>
      </w:r>
      <w:r>
        <w:rPr>
          <w:rFonts w:hint="eastAsia"/>
          <w:sz w:val="21"/>
          <w:szCs w:val="21"/>
        </w:rPr>
        <w:t>.2、除上述所列内容外，采购人和采购代理机构的任何工作人员对投标人所作的任何口头解释、介绍、答复，只能供投标人参考，对采购人、采购代理机构和投标人无任何约束力。</w:t>
      </w:r>
    </w:p>
    <w:p>
      <w:pPr>
        <w:pStyle w:val="116"/>
        <w:ind w:firstLine="420"/>
        <w:rPr>
          <w:sz w:val="21"/>
          <w:szCs w:val="21"/>
        </w:rPr>
      </w:pPr>
      <w:r>
        <w:rPr>
          <w:sz w:val="21"/>
          <w:szCs w:val="21"/>
        </w:rPr>
        <w:t>6</w:t>
      </w:r>
      <w:r>
        <w:rPr>
          <w:rFonts w:hint="eastAsia"/>
          <w:sz w:val="21"/>
          <w:szCs w:val="21"/>
        </w:rPr>
        <w:t>.3、采购文件是招标过程进行的有效依据，也是成交后签订合同的依据，对双方均具有约束力，凡不遵守采购文件规定或对采购文件的实质性内容不响应的，将可能被拒绝或以无效标处理。</w:t>
      </w:r>
    </w:p>
    <w:p>
      <w:pPr>
        <w:pStyle w:val="116"/>
        <w:ind w:firstLine="420"/>
        <w:rPr>
          <w:sz w:val="21"/>
          <w:szCs w:val="21"/>
        </w:rPr>
      </w:pPr>
      <w:r>
        <w:rPr>
          <w:sz w:val="21"/>
          <w:szCs w:val="21"/>
        </w:rPr>
        <w:t>6</w:t>
      </w:r>
      <w:r>
        <w:rPr>
          <w:rFonts w:hint="eastAsia"/>
          <w:sz w:val="21"/>
          <w:szCs w:val="21"/>
        </w:rPr>
        <w:t>.4、本采购文件由采购人或采购代理机构依据相关法律、法规、规章、省市规定及采购文件进行解释。</w:t>
      </w:r>
    </w:p>
    <w:p>
      <w:pPr>
        <w:pStyle w:val="116"/>
        <w:ind w:firstLine="422"/>
        <w:rPr>
          <w:b/>
          <w:sz w:val="21"/>
          <w:szCs w:val="21"/>
        </w:rPr>
      </w:pPr>
      <w:r>
        <w:rPr>
          <w:rFonts w:hint="eastAsia"/>
          <w:b/>
          <w:sz w:val="21"/>
          <w:szCs w:val="21"/>
        </w:rPr>
        <w:t>7、采购文件的澄清或修改</w:t>
      </w:r>
    </w:p>
    <w:p>
      <w:pPr>
        <w:pStyle w:val="116"/>
        <w:ind w:firstLine="420"/>
        <w:rPr>
          <w:sz w:val="21"/>
          <w:szCs w:val="21"/>
        </w:rPr>
      </w:pPr>
      <w:r>
        <w:rPr>
          <w:sz w:val="21"/>
          <w:szCs w:val="21"/>
        </w:rPr>
        <w:t>7</w:t>
      </w:r>
      <w:r>
        <w:rPr>
          <w:rFonts w:hint="eastAsia"/>
          <w:sz w:val="21"/>
          <w:szCs w:val="21"/>
        </w:rPr>
        <w:t xml:space="preserve">.1、采购组织机构可视采购具体情况对已发出的采购文件进行必要的澄清或者修改。澄清或者修改的内容可能影响投标文件编制的，采购人或者采购组织机构应当在投标截止时间至少15日前，在原公告发布媒体上发布澄清公告，澄清或者修改的内容为采购文件的组成部分；不足15日的，采购人或者采购组织机构应当顺延提交投标文件的截止时间。 </w:t>
      </w:r>
    </w:p>
    <w:p>
      <w:pPr>
        <w:pStyle w:val="116"/>
        <w:ind w:firstLine="420"/>
        <w:rPr>
          <w:sz w:val="21"/>
          <w:szCs w:val="21"/>
        </w:rPr>
      </w:pPr>
      <w:r>
        <w:rPr>
          <w:sz w:val="21"/>
          <w:szCs w:val="21"/>
        </w:rPr>
        <w:t>7</w:t>
      </w:r>
      <w:r>
        <w:rPr>
          <w:rFonts w:hint="eastAsia"/>
          <w:sz w:val="21"/>
          <w:szCs w:val="21"/>
        </w:rPr>
        <w:t>.2、投标人在规定的时间内未对提出疑问、质疑或要求澄清的，将视其为无异议。对中描述有歧义或前后不一致的地方，评标委员会有权进行评判，但对同一条款的评判应适用于每个投标人。</w:t>
      </w:r>
    </w:p>
    <w:p>
      <w:pPr>
        <w:pStyle w:val="116"/>
        <w:ind w:firstLine="562"/>
        <w:jc w:val="center"/>
        <w:rPr>
          <w:b/>
          <w:sz w:val="28"/>
        </w:rPr>
      </w:pPr>
      <w:r>
        <w:rPr>
          <w:rFonts w:hint="eastAsia"/>
          <w:b/>
          <w:sz w:val="28"/>
        </w:rPr>
        <w:t>三、投标文件</w:t>
      </w:r>
    </w:p>
    <w:p>
      <w:pPr>
        <w:pStyle w:val="116"/>
        <w:ind w:firstLine="422"/>
        <w:rPr>
          <w:b/>
          <w:sz w:val="21"/>
          <w:szCs w:val="21"/>
        </w:rPr>
      </w:pPr>
      <w:r>
        <w:rPr>
          <w:rFonts w:hint="eastAsia"/>
          <w:b/>
          <w:sz w:val="21"/>
          <w:szCs w:val="21"/>
        </w:rPr>
        <w:t>投标人应认真阅读采购文件中所有的事项、格式、条款和技术要求等。如果投标人没有按照采购文件要求和规定编制投标文件及提交全部资料，或者投标人没有对采购文件中各方面作出实质性响应，其风险应由投标人自行承担。</w:t>
      </w:r>
    </w:p>
    <w:p>
      <w:pPr>
        <w:pStyle w:val="116"/>
        <w:ind w:firstLine="422"/>
        <w:rPr>
          <w:b/>
          <w:sz w:val="21"/>
          <w:szCs w:val="21"/>
        </w:rPr>
      </w:pPr>
      <w:r>
        <w:rPr>
          <w:rFonts w:hint="eastAsia" w:hAnsi="Arial"/>
          <w:b/>
          <w:sz w:val="21"/>
          <w:szCs w:val="21"/>
        </w:rPr>
        <w:t>8、</w:t>
      </w:r>
      <w:r>
        <w:rPr>
          <w:rFonts w:hint="eastAsia"/>
          <w:b/>
          <w:sz w:val="21"/>
          <w:szCs w:val="21"/>
        </w:rPr>
        <w:t>投标文件的组成</w:t>
      </w:r>
    </w:p>
    <w:p>
      <w:pPr>
        <w:pStyle w:val="116"/>
        <w:ind w:firstLine="420"/>
        <w:rPr>
          <w:sz w:val="21"/>
          <w:szCs w:val="21"/>
        </w:rPr>
      </w:pPr>
      <w:r>
        <w:rPr>
          <w:rFonts w:hint="eastAsia"/>
          <w:sz w:val="21"/>
          <w:szCs w:val="21"/>
        </w:rPr>
        <w:t>投标人接到后，按照采购组织机构的要求提供：资格证明文件、商务与技术文件和报价文件。</w:t>
      </w:r>
    </w:p>
    <w:p>
      <w:pPr>
        <w:pStyle w:val="116"/>
        <w:ind w:firstLine="420"/>
        <w:rPr>
          <w:rFonts w:hAnsi="仿宋_GB2312" w:eastAsia="仿宋_GB2312" w:cs="仿宋_GB2312"/>
          <w:sz w:val="21"/>
          <w:szCs w:val="21"/>
          <w:lang w:val="zh-CN"/>
        </w:rPr>
      </w:pPr>
      <w:r>
        <w:rPr>
          <w:rFonts w:hint="eastAsia"/>
          <w:sz w:val="21"/>
          <w:szCs w:val="21"/>
          <w:lang w:val="zh-CN"/>
        </w:rPr>
        <w:t>【特别提示：如有要求提供各项证书、合同、报告等证明的，请将原件清晰扫描做入投标文件。】</w:t>
      </w:r>
    </w:p>
    <w:p>
      <w:pPr>
        <w:pStyle w:val="116"/>
        <w:ind w:firstLine="420"/>
        <w:rPr>
          <w:sz w:val="21"/>
          <w:szCs w:val="21"/>
        </w:rPr>
      </w:pPr>
      <w:r>
        <w:rPr>
          <w:rFonts w:hint="eastAsia" w:cs="宋体"/>
          <w:sz w:val="21"/>
          <w:szCs w:val="21"/>
        </w:rPr>
        <w:t>▲</w:t>
      </w:r>
      <w:r>
        <w:rPr>
          <w:rFonts w:hint="eastAsia"/>
          <w:sz w:val="21"/>
          <w:szCs w:val="21"/>
        </w:rPr>
        <w:t>8.1、资格证明</w:t>
      </w:r>
      <w:r>
        <w:rPr>
          <w:sz w:val="21"/>
          <w:szCs w:val="21"/>
        </w:rPr>
        <w:t>文件</w:t>
      </w:r>
      <w:r>
        <w:rPr>
          <w:rFonts w:hint="eastAsia"/>
          <w:sz w:val="21"/>
          <w:szCs w:val="21"/>
        </w:rPr>
        <w:t>的组成：</w:t>
      </w:r>
    </w:p>
    <w:p>
      <w:pPr>
        <w:pStyle w:val="116"/>
        <w:ind w:firstLine="420"/>
        <w:rPr>
          <w:rFonts w:hint="eastAsia" w:cs="宋体"/>
          <w:sz w:val="21"/>
          <w:szCs w:val="21"/>
        </w:rPr>
      </w:pPr>
      <w:r>
        <w:rPr>
          <w:rFonts w:hint="eastAsia" w:cs="宋体"/>
          <w:sz w:val="21"/>
          <w:szCs w:val="21"/>
        </w:rPr>
        <w:t>（1）声明书 (须包含参加政府招标采购活动前3年内在经营活动中没有重大违法记录的内容,详见附件)；</w:t>
      </w:r>
    </w:p>
    <w:p>
      <w:pPr>
        <w:pStyle w:val="116"/>
        <w:ind w:firstLine="420"/>
        <w:rPr>
          <w:rFonts w:hint="eastAsia" w:cs="宋体"/>
          <w:sz w:val="21"/>
          <w:szCs w:val="21"/>
        </w:rPr>
      </w:pPr>
      <w:r>
        <w:rPr>
          <w:rFonts w:hint="eastAsia" w:cs="宋体"/>
          <w:sz w:val="21"/>
          <w:szCs w:val="21"/>
        </w:rPr>
        <w:t>（2）授权委托书（法定代表人亲自办理投标事宜的，无需提交，详见附件)；</w:t>
      </w:r>
    </w:p>
    <w:p>
      <w:pPr>
        <w:pStyle w:val="116"/>
        <w:ind w:firstLine="420"/>
        <w:rPr>
          <w:rFonts w:hint="eastAsia" w:cs="宋体"/>
          <w:sz w:val="21"/>
          <w:szCs w:val="21"/>
        </w:rPr>
      </w:pPr>
      <w:r>
        <w:rPr>
          <w:rFonts w:hint="eastAsia" w:cs="宋体"/>
          <w:sz w:val="21"/>
          <w:szCs w:val="21"/>
        </w:rPr>
        <w:t>（3）营业执照扫描件；</w:t>
      </w:r>
    </w:p>
    <w:p>
      <w:pPr>
        <w:pStyle w:val="116"/>
        <w:ind w:firstLine="420"/>
        <w:rPr>
          <w:rFonts w:hint="eastAsia" w:cs="宋体"/>
          <w:sz w:val="21"/>
          <w:szCs w:val="21"/>
        </w:rPr>
      </w:pPr>
      <w:r>
        <w:rPr>
          <w:rFonts w:hint="eastAsia" w:cs="宋体"/>
          <w:sz w:val="21"/>
          <w:szCs w:val="21"/>
        </w:rPr>
        <w:t>（4）中小企业声明函、监狱企业、残疾人福利性单位及其他相关的充分的证明材料；</w:t>
      </w:r>
    </w:p>
    <w:p>
      <w:pPr>
        <w:pStyle w:val="116"/>
        <w:ind w:firstLine="420"/>
        <w:rPr>
          <w:rFonts w:hint="eastAsia" w:cs="宋体"/>
          <w:sz w:val="21"/>
          <w:szCs w:val="21"/>
        </w:rPr>
      </w:pPr>
      <w:r>
        <w:rPr>
          <w:rFonts w:hint="eastAsia" w:cs="宋体"/>
          <w:sz w:val="21"/>
          <w:szCs w:val="21"/>
        </w:rPr>
        <w:t>（5）财务状况报告的相关材料或承诺函（格式自拟）；</w:t>
      </w:r>
    </w:p>
    <w:p>
      <w:pPr>
        <w:pStyle w:val="116"/>
        <w:ind w:firstLine="420"/>
        <w:rPr>
          <w:rFonts w:hint="eastAsia" w:cs="宋体"/>
          <w:sz w:val="21"/>
          <w:szCs w:val="21"/>
        </w:rPr>
      </w:pPr>
      <w:r>
        <w:rPr>
          <w:rFonts w:hint="eastAsia" w:cs="宋体"/>
          <w:sz w:val="21"/>
          <w:szCs w:val="21"/>
        </w:rPr>
        <w:t>（6）具有履行合同所必需的场地、设备和专业技术能力的承诺函；</w:t>
      </w:r>
    </w:p>
    <w:p>
      <w:pPr>
        <w:pStyle w:val="116"/>
        <w:ind w:firstLine="420"/>
        <w:rPr>
          <w:rFonts w:hint="eastAsia" w:cs="宋体"/>
          <w:sz w:val="21"/>
          <w:szCs w:val="21"/>
        </w:rPr>
      </w:pPr>
      <w:r>
        <w:rPr>
          <w:rFonts w:hint="eastAsia" w:cs="宋体"/>
          <w:sz w:val="21"/>
          <w:szCs w:val="21"/>
        </w:rPr>
        <w:t>（7）依法缴纳税收和社会保障资金的相关材料证明或承诺函；</w:t>
      </w:r>
    </w:p>
    <w:p>
      <w:pPr>
        <w:pStyle w:val="116"/>
        <w:ind w:firstLine="420"/>
        <w:rPr>
          <w:rFonts w:cs="宋体"/>
          <w:sz w:val="21"/>
          <w:szCs w:val="21"/>
        </w:rPr>
      </w:pPr>
      <w:r>
        <w:rPr>
          <w:rFonts w:hint="eastAsia" w:cs="宋体"/>
          <w:sz w:val="21"/>
          <w:szCs w:val="21"/>
        </w:rPr>
        <w:t>（8）投标供应商没有失信记录承诺函。声明书 (须包含参加政府招标采购活动前3年内在经营活动中没有重大违法记录的内容,详见附件)。</w:t>
      </w:r>
    </w:p>
    <w:p>
      <w:pPr>
        <w:pStyle w:val="116"/>
        <w:ind w:firstLine="422"/>
        <w:rPr>
          <w:rFonts w:cs="宋体"/>
          <w:b/>
          <w:sz w:val="21"/>
          <w:szCs w:val="21"/>
        </w:rPr>
      </w:pPr>
      <w:r>
        <w:rPr>
          <w:rFonts w:hint="eastAsia" w:cs="宋体"/>
          <w:b/>
          <w:sz w:val="21"/>
          <w:szCs w:val="21"/>
        </w:rPr>
        <w:t>8.2、报价文件的组成</w:t>
      </w:r>
    </w:p>
    <w:p>
      <w:pPr>
        <w:pStyle w:val="116"/>
        <w:ind w:firstLine="420"/>
        <w:rPr>
          <w:rFonts w:cs="宋体"/>
          <w:sz w:val="21"/>
          <w:szCs w:val="21"/>
        </w:rPr>
      </w:pPr>
      <w:r>
        <w:rPr>
          <w:rFonts w:hint="eastAsia" w:cs="宋体"/>
          <w:sz w:val="21"/>
          <w:szCs w:val="21"/>
        </w:rPr>
        <w:t>（1）投标函；</w:t>
      </w:r>
    </w:p>
    <w:p>
      <w:pPr>
        <w:pStyle w:val="116"/>
        <w:ind w:firstLine="420"/>
        <w:rPr>
          <w:rFonts w:cs="宋体"/>
          <w:sz w:val="21"/>
          <w:szCs w:val="21"/>
        </w:rPr>
      </w:pPr>
      <w:r>
        <w:rPr>
          <w:rFonts w:hint="eastAsia" w:cs="宋体"/>
          <w:sz w:val="21"/>
          <w:szCs w:val="21"/>
        </w:rPr>
        <w:t>（2）开标一览表。</w:t>
      </w:r>
    </w:p>
    <w:p>
      <w:pPr>
        <w:pStyle w:val="116"/>
        <w:ind w:firstLine="422"/>
        <w:rPr>
          <w:rFonts w:cs="宋体"/>
          <w:b/>
          <w:sz w:val="21"/>
          <w:szCs w:val="21"/>
        </w:rPr>
      </w:pPr>
      <w:r>
        <w:rPr>
          <w:rFonts w:hint="eastAsia" w:cs="宋体"/>
          <w:b/>
          <w:sz w:val="21"/>
          <w:szCs w:val="21"/>
        </w:rPr>
        <w:t>8.3、商务与技术文件的组成：</w:t>
      </w:r>
    </w:p>
    <w:p>
      <w:pPr>
        <w:pStyle w:val="116"/>
        <w:ind w:left="964" w:leftChars="409" w:hanging="105" w:hangingChars="50"/>
        <w:rPr>
          <w:rFonts w:cs="宋体"/>
          <w:sz w:val="21"/>
          <w:szCs w:val="21"/>
        </w:rPr>
      </w:pPr>
      <w:r>
        <w:rPr>
          <w:rFonts w:cs="宋体"/>
          <w:sz w:val="21"/>
          <w:szCs w:val="21"/>
        </w:rPr>
        <w:t>（1）商务技术自评表；</w:t>
      </w:r>
    </w:p>
    <w:p>
      <w:pPr>
        <w:pStyle w:val="116"/>
        <w:ind w:left="964" w:leftChars="409" w:hanging="105" w:hangingChars="50"/>
        <w:rPr>
          <w:rFonts w:cs="宋体"/>
          <w:sz w:val="21"/>
          <w:szCs w:val="21"/>
        </w:rPr>
      </w:pPr>
      <w:r>
        <w:rPr>
          <w:rFonts w:cs="宋体"/>
          <w:sz w:val="21"/>
          <w:szCs w:val="21"/>
        </w:rPr>
        <w:t xml:space="preserve">（2）供应商情况介绍（如主要产品、技术力量、生产规模等等所有有必要介绍的情况，详见附件）； </w:t>
      </w:r>
    </w:p>
    <w:p>
      <w:pPr>
        <w:pStyle w:val="116"/>
        <w:ind w:left="964" w:leftChars="409" w:hanging="105" w:hangingChars="50"/>
        <w:rPr>
          <w:rFonts w:cs="宋体"/>
          <w:sz w:val="21"/>
          <w:szCs w:val="21"/>
        </w:rPr>
      </w:pPr>
      <w:r>
        <w:rPr>
          <w:rFonts w:cs="宋体"/>
          <w:sz w:val="21"/>
          <w:szCs w:val="21"/>
        </w:rPr>
        <w:t>（3）整体</w:t>
      </w:r>
      <w:r>
        <w:rPr>
          <w:rFonts w:hint="eastAsia" w:cs="宋体"/>
          <w:sz w:val="21"/>
          <w:szCs w:val="21"/>
        </w:rPr>
        <w:t>维保</w:t>
      </w:r>
      <w:r>
        <w:rPr>
          <w:rFonts w:cs="宋体"/>
          <w:sz w:val="21"/>
          <w:szCs w:val="21"/>
        </w:rPr>
        <w:t>服务方案；</w:t>
      </w:r>
    </w:p>
    <w:p>
      <w:pPr>
        <w:pStyle w:val="116"/>
        <w:ind w:left="964" w:leftChars="409" w:hanging="105" w:hangingChars="50"/>
        <w:rPr>
          <w:rFonts w:cs="宋体"/>
          <w:sz w:val="21"/>
          <w:szCs w:val="21"/>
        </w:rPr>
      </w:pPr>
      <w:r>
        <w:rPr>
          <w:rFonts w:cs="宋体"/>
          <w:sz w:val="21"/>
          <w:szCs w:val="21"/>
        </w:rPr>
        <w:t xml:space="preserve">（4）技术规范偏离表（详见附件）； </w:t>
      </w:r>
    </w:p>
    <w:p>
      <w:pPr>
        <w:pStyle w:val="116"/>
        <w:ind w:left="964" w:leftChars="409" w:hanging="105" w:hangingChars="50"/>
        <w:rPr>
          <w:rFonts w:cs="宋体"/>
          <w:sz w:val="21"/>
          <w:szCs w:val="21"/>
        </w:rPr>
      </w:pPr>
      <w:r>
        <w:rPr>
          <w:rFonts w:cs="宋体"/>
          <w:sz w:val="21"/>
          <w:szCs w:val="21"/>
        </w:rPr>
        <w:t>（5）商务偏离表（详见附件）；</w:t>
      </w:r>
    </w:p>
    <w:p>
      <w:pPr>
        <w:pStyle w:val="116"/>
        <w:ind w:left="964" w:leftChars="409" w:hanging="105" w:hangingChars="50"/>
        <w:rPr>
          <w:rFonts w:cs="宋体"/>
          <w:sz w:val="21"/>
          <w:szCs w:val="21"/>
        </w:rPr>
      </w:pPr>
      <w:r>
        <w:rPr>
          <w:rFonts w:cs="宋体"/>
          <w:sz w:val="21"/>
          <w:szCs w:val="21"/>
        </w:rPr>
        <w:t>（6）项目实施人员一览表（详见附件）；</w:t>
      </w:r>
    </w:p>
    <w:p>
      <w:pPr>
        <w:pStyle w:val="116"/>
        <w:ind w:left="964" w:leftChars="409" w:hanging="105" w:hangingChars="50"/>
        <w:rPr>
          <w:rFonts w:cs="宋体"/>
          <w:sz w:val="21"/>
          <w:szCs w:val="21"/>
        </w:rPr>
      </w:pPr>
      <w:r>
        <w:rPr>
          <w:rFonts w:cs="宋体"/>
          <w:sz w:val="21"/>
          <w:szCs w:val="21"/>
        </w:rPr>
        <w:t xml:space="preserve">（7）相关项目实施业绩一览表（详见附件）；  </w:t>
      </w:r>
    </w:p>
    <w:p>
      <w:pPr>
        <w:pStyle w:val="116"/>
        <w:ind w:left="964" w:leftChars="409" w:hanging="105" w:hangingChars="50"/>
        <w:rPr>
          <w:rFonts w:cs="宋体"/>
          <w:sz w:val="21"/>
          <w:szCs w:val="21"/>
        </w:rPr>
      </w:pPr>
      <w:r>
        <w:rPr>
          <w:rFonts w:cs="宋体"/>
          <w:sz w:val="21"/>
          <w:szCs w:val="21"/>
        </w:rPr>
        <w:t xml:space="preserve">（8）评分标准或采购文件需要提供的其他技术商务材料； </w:t>
      </w:r>
    </w:p>
    <w:p>
      <w:pPr>
        <w:pStyle w:val="116"/>
        <w:ind w:left="964" w:leftChars="409" w:hanging="105" w:hangingChars="50"/>
        <w:rPr>
          <w:rFonts w:cs="宋体"/>
          <w:sz w:val="21"/>
          <w:szCs w:val="21"/>
        </w:rPr>
      </w:pPr>
      <w:r>
        <w:rPr>
          <w:rFonts w:cs="宋体"/>
          <w:sz w:val="21"/>
          <w:szCs w:val="21"/>
        </w:rPr>
        <w:t>（9）供应商认为有必要提供的其他技术商务文件资料。</w:t>
      </w:r>
    </w:p>
    <w:p>
      <w:pPr>
        <w:pStyle w:val="116"/>
        <w:ind w:firstLine="422"/>
        <w:rPr>
          <w:b/>
          <w:sz w:val="21"/>
          <w:szCs w:val="21"/>
        </w:rPr>
      </w:pPr>
      <w:r>
        <w:rPr>
          <w:rFonts w:hint="eastAsia" w:hAnsi="Arial"/>
          <w:b/>
          <w:sz w:val="21"/>
          <w:szCs w:val="21"/>
        </w:rPr>
        <w:t>9、投标文件的制作、封装及递交要求</w:t>
      </w:r>
    </w:p>
    <w:p>
      <w:pPr>
        <w:pStyle w:val="116"/>
        <w:ind w:firstLine="422"/>
        <w:rPr>
          <w:b/>
          <w:sz w:val="21"/>
          <w:szCs w:val="21"/>
        </w:rPr>
      </w:pPr>
      <w:r>
        <w:rPr>
          <w:rFonts w:hint="eastAsia"/>
          <w:b/>
          <w:sz w:val="21"/>
          <w:szCs w:val="21"/>
        </w:rPr>
        <w:t>9.1、投标文件的制作要求</w:t>
      </w:r>
    </w:p>
    <w:p>
      <w:pPr>
        <w:pStyle w:val="116"/>
        <w:ind w:firstLine="420"/>
        <w:rPr>
          <w:sz w:val="21"/>
          <w:szCs w:val="21"/>
        </w:rPr>
      </w:pPr>
      <w:r>
        <w:rPr>
          <w:rFonts w:hint="eastAsia"/>
          <w:sz w:val="21"/>
          <w:szCs w:val="21"/>
        </w:rPr>
        <w:t>（1）投标人应按照投标文件组成内容及项目采购需求和浙江政府采购云平台要求制作投标文件，不按投标文件组成内容及项目采购需求和浙江政府采购云平台要求制作投标文件的将视情处理（拒收、扣分等），由此产生的责任由投标人自行承担。</w:t>
      </w:r>
    </w:p>
    <w:p>
      <w:pPr>
        <w:pStyle w:val="116"/>
        <w:ind w:firstLine="422"/>
        <w:rPr>
          <w:rFonts w:cs="仿宋_GB2312"/>
          <w:b/>
          <w:sz w:val="21"/>
          <w:szCs w:val="21"/>
        </w:rPr>
      </w:pPr>
      <w:r>
        <w:rPr>
          <w:rFonts w:hint="eastAsia" w:cs="仿宋_GB2312"/>
          <w:b/>
          <w:sz w:val="21"/>
          <w:szCs w:val="21"/>
        </w:rPr>
        <w:t>电子投标文件部分：投标人应根据“政采云供应商项目采购-电子招投标操作指南”及本规定的格式和顺序编制电子投标文件并进行关联定位。</w:t>
      </w:r>
    </w:p>
    <w:p>
      <w:pPr>
        <w:pStyle w:val="116"/>
        <w:ind w:firstLine="420"/>
        <w:rPr>
          <w:sz w:val="21"/>
          <w:szCs w:val="21"/>
        </w:rPr>
      </w:pPr>
      <w:r>
        <w:rPr>
          <w:rFonts w:hint="eastAsia"/>
          <w:sz w:val="21"/>
          <w:szCs w:val="21"/>
        </w:rPr>
        <w:t>备份电子投标文件：通过“政采云”平台电子投标工具制作投标文件所产生的备份文件</w:t>
      </w:r>
    </w:p>
    <w:p>
      <w:pPr>
        <w:pStyle w:val="116"/>
        <w:ind w:firstLine="420"/>
        <w:rPr>
          <w:rFonts w:cs="Lucida Sans"/>
          <w:sz w:val="21"/>
          <w:szCs w:val="21"/>
        </w:rPr>
      </w:pPr>
      <w:r>
        <w:rPr>
          <w:rFonts w:hint="eastAsia" w:cs="Lucida Sans"/>
          <w:sz w:val="21"/>
          <w:szCs w:val="21"/>
        </w:rPr>
        <w:t>（2）投标人应对所提供的全部资料的真实性、有效性承担法律责任，电子投标文件中所须加盖公章部分均采用CA签章。</w:t>
      </w:r>
    </w:p>
    <w:p>
      <w:pPr>
        <w:pStyle w:val="116"/>
        <w:ind w:firstLine="420"/>
        <w:rPr>
          <w:sz w:val="21"/>
          <w:szCs w:val="21"/>
        </w:rPr>
      </w:pPr>
      <w:r>
        <w:rPr>
          <w:rFonts w:hint="eastAsia"/>
          <w:sz w:val="21"/>
          <w:szCs w:val="21"/>
        </w:rPr>
        <w:t>（3）</w:t>
      </w:r>
      <w:r>
        <w:rPr>
          <w:sz w:val="21"/>
          <w:szCs w:val="21"/>
        </w:rPr>
        <w:t>投标文件以及投标人与</w:t>
      </w:r>
      <w:r>
        <w:rPr>
          <w:rFonts w:hint="eastAsia"/>
          <w:sz w:val="21"/>
          <w:szCs w:val="21"/>
        </w:rPr>
        <w:t>采购组织机构</w:t>
      </w:r>
      <w:r>
        <w:rPr>
          <w:sz w:val="21"/>
          <w:szCs w:val="21"/>
        </w:rPr>
        <w:t>就有关投标事宜的所有来往函电，均应以中文汉语书写。除</w:t>
      </w:r>
      <w:r>
        <w:rPr>
          <w:rFonts w:hint="eastAsia"/>
          <w:sz w:val="21"/>
          <w:szCs w:val="21"/>
        </w:rPr>
        <w:t>签字</w:t>
      </w:r>
      <w:r>
        <w:rPr>
          <w:sz w:val="21"/>
          <w:szCs w:val="21"/>
        </w:rPr>
        <w:t>、盖章、专用名称等特殊情形外，以中文汉语以外的文字表述的投标文件视同未提供。</w:t>
      </w:r>
    </w:p>
    <w:p>
      <w:pPr>
        <w:pStyle w:val="116"/>
        <w:ind w:firstLine="420"/>
        <w:rPr>
          <w:sz w:val="21"/>
          <w:szCs w:val="21"/>
        </w:rPr>
      </w:pPr>
      <w:r>
        <w:rPr>
          <w:rFonts w:hint="eastAsia"/>
          <w:sz w:val="21"/>
          <w:szCs w:val="21"/>
        </w:rPr>
        <w:t>（4）</w:t>
      </w:r>
      <w:r>
        <w:rPr>
          <w:sz w:val="21"/>
          <w:szCs w:val="21"/>
        </w:rPr>
        <w:t>投标计量单位，已有明确规定的，使用规定的计量单位；没有规定的，应采用中华人民共和国法定计量单位（货币单位：人民币元）。</w:t>
      </w:r>
    </w:p>
    <w:p>
      <w:pPr>
        <w:pStyle w:val="116"/>
        <w:ind w:firstLine="420"/>
        <w:rPr>
          <w:sz w:val="21"/>
          <w:szCs w:val="21"/>
        </w:rPr>
      </w:pPr>
      <w:r>
        <w:rPr>
          <w:rFonts w:hint="eastAsia"/>
          <w:sz w:val="21"/>
          <w:szCs w:val="21"/>
        </w:rPr>
        <w:t>（5）</w:t>
      </w:r>
      <w:r>
        <w:rPr>
          <w:sz w:val="21"/>
          <w:szCs w:val="21"/>
        </w:rPr>
        <w:t>若投标人不按的要求提供资格审查材料，其风险由投标人自行承担。</w:t>
      </w:r>
    </w:p>
    <w:p>
      <w:pPr>
        <w:pStyle w:val="116"/>
        <w:ind w:firstLine="420"/>
        <w:rPr>
          <w:sz w:val="21"/>
          <w:szCs w:val="21"/>
        </w:rPr>
      </w:pPr>
      <w:r>
        <w:rPr>
          <w:rFonts w:hint="eastAsia"/>
          <w:sz w:val="21"/>
          <w:szCs w:val="21"/>
        </w:rPr>
        <w:t>（6）与本次投标无关的内容请不要制作在内，确保投标文件有针对性、简洁明了。</w:t>
      </w:r>
    </w:p>
    <w:p>
      <w:pPr>
        <w:pStyle w:val="116"/>
        <w:ind w:firstLine="422"/>
        <w:rPr>
          <w:b/>
          <w:sz w:val="21"/>
          <w:szCs w:val="21"/>
        </w:rPr>
      </w:pPr>
      <w:r>
        <w:rPr>
          <w:rFonts w:hint="eastAsia"/>
          <w:b/>
          <w:sz w:val="21"/>
          <w:szCs w:val="21"/>
        </w:rPr>
        <w:t>9.2、投标文件的封装、递交要求</w:t>
      </w:r>
    </w:p>
    <w:p>
      <w:pPr>
        <w:pStyle w:val="116"/>
        <w:ind w:firstLine="420"/>
        <w:rPr>
          <w:sz w:val="21"/>
          <w:szCs w:val="21"/>
        </w:rPr>
      </w:pPr>
      <w:r>
        <w:rPr>
          <w:rFonts w:hint="eastAsia"/>
          <w:sz w:val="21"/>
          <w:szCs w:val="21"/>
        </w:rPr>
        <w:t>投标文件的递交要求</w:t>
      </w:r>
    </w:p>
    <w:p>
      <w:pPr>
        <w:pStyle w:val="116"/>
        <w:ind w:firstLine="420"/>
        <w:rPr>
          <w:sz w:val="21"/>
          <w:szCs w:val="21"/>
        </w:rPr>
      </w:pPr>
      <w:r>
        <w:rPr>
          <w:rFonts w:hint="eastAsia" w:cs="宋体"/>
          <w:sz w:val="21"/>
          <w:szCs w:val="21"/>
        </w:rPr>
        <w:t>（1）投标人须按照采购文件和政采云平台的要求编制并加密投标文件。在投标文件递交截止时间以前完成投标文件的传输递交。</w:t>
      </w:r>
    </w:p>
    <w:p>
      <w:pPr>
        <w:pStyle w:val="116"/>
        <w:ind w:firstLine="420"/>
        <w:rPr>
          <w:sz w:val="21"/>
          <w:szCs w:val="21"/>
        </w:rPr>
      </w:pPr>
      <w:r>
        <w:rPr>
          <w:rFonts w:hint="eastAsia"/>
          <w:sz w:val="21"/>
          <w:szCs w:val="21"/>
        </w:rPr>
        <w:t>（2）备份电子投标文件必须在规定时间前以邮寄的方式送达指定的地点。</w:t>
      </w:r>
      <w:r>
        <w:rPr>
          <w:rFonts w:hint="eastAsia" w:cs="Arial"/>
          <w:sz w:val="21"/>
          <w:szCs w:val="21"/>
        </w:rPr>
        <w:t>备份电子投标文件需单独</w:t>
      </w:r>
      <w:r>
        <w:rPr>
          <w:rFonts w:hint="eastAsia" w:cs="宋体"/>
          <w:b/>
          <w:sz w:val="21"/>
          <w:szCs w:val="21"/>
        </w:rPr>
        <w:t>密封包装，包装封口处应加盖单位公章，</w:t>
      </w:r>
      <w:r>
        <w:rPr>
          <w:rFonts w:hint="eastAsia"/>
          <w:b/>
          <w:sz w:val="21"/>
          <w:szCs w:val="21"/>
        </w:rPr>
        <w:t>采用邮寄的方式送达</w:t>
      </w:r>
      <w:r>
        <w:rPr>
          <w:b/>
          <w:sz w:val="21"/>
          <w:szCs w:val="21"/>
        </w:rPr>
        <w:t>。</w:t>
      </w:r>
      <w:r>
        <w:rPr>
          <w:rFonts w:hint="eastAsia" w:cs="宋体"/>
          <w:sz w:val="21"/>
          <w:szCs w:val="21"/>
        </w:rPr>
        <w:t>外包装上需写明项目编号、项目名称、标段号及投标公司全称。</w:t>
      </w:r>
      <w:r>
        <w:rPr>
          <w:rFonts w:hint="eastAsia"/>
          <w:sz w:val="21"/>
          <w:szCs w:val="21"/>
        </w:rPr>
        <w:t>备份电子投标文件在截止时间后提交，采购组织机构将拒绝接收。</w:t>
      </w:r>
    </w:p>
    <w:p>
      <w:pPr>
        <w:pStyle w:val="116"/>
        <w:ind w:firstLine="420"/>
        <w:rPr>
          <w:sz w:val="21"/>
          <w:szCs w:val="21"/>
        </w:rPr>
      </w:pPr>
      <w:r>
        <w:rPr>
          <w:rFonts w:hint="eastAsia"/>
          <w:sz w:val="21"/>
          <w:szCs w:val="21"/>
        </w:rPr>
        <w:t>（3）如有特殊情况，采购组织机构延长截止时间和开标时间，采购组织机构和投标人的权利和义务将受到新的截止时间和开标时间的约束。</w:t>
      </w:r>
    </w:p>
    <w:p>
      <w:pPr>
        <w:pStyle w:val="116"/>
        <w:ind w:firstLine="422"/>
        <w:rPr>
          <w:b/>
          <w:sz w:val="21"/>
          <w:szCs w:val="21"/>
        </w:rPr>
      </w:pPr>
      <w:r>
        <w:rPr>
          <w:rFonts w:hint="eastAsia"/>
          <w:b/>
          <w:sz w:val="21"/>
          <w:szCs w:val="21"/>
        </w:rPr>
        <w:t>9.3、投标文件的补充、修改和撤回</w:t>
      </w:r>
    </w:p>
    <w:p>
      <w:pPr>
        <w:pStyle w:val="116"/>
        <w:ind w:firstLine="420"/>
        <w:rPr>
          <w:sz w:val="21"/>
          <w:szCs w:val="21"/>
        </w:rPr>
      </w:pPr>
      <w:r>
        <w:rPr>
          <w:rFonts w:hint="eastAsia" w:cs="宋体"/>
          <w:sz w:val="21"/>
          <w:szCs w:val="21"/>
        </w:rPr>
        <w:t>（1）</w:t>
      </w:r>
      <w:r>
        <w:rPr>
          <w:rFonts w:hint="eastAsia"/>
          <w:sz w:val="21"/>
          <w:szCs w:val="21"/>
        </w:rPr>
        <w:t>补充或者修改投标文件的，应当先行撤回原文件，补充、修改后重新传输递交。投标截止时间前未完成传输的，视为撤回投标文件。</w:t>
      </w:r>
    </w:p>
    <w:p>
      <w:pPr>
        <w:pStyle w:val="116"/>
        <w:ind w:firstLine="422"/>
        <w:rPr>
          <w:b/>
          <w:sz w:val="21"/>
          <w:szCs w:val="21"/>
        </w:rPr>
      </w:pPr>
      <w:r>
        <w:rPr>
          <w:b/>
          <w:sz w:val="21"/>
          <w:szCs w:val="21"/>
        </w:rPr>
        <w:t>9.4</w:t>
      </w:r>
      <w:r>
        <w:rPr>
          <w:rFonts w:hint="eastAsia"/>
          <w:b/>
          <w:sz w:val="21"/>
          <w:szCs w:val="21"/>
        </w:rPr>
        <w:t>投标文件的有效期</w:t>
      </w:r>
    </w:p>
    <w:p>
      <w:pPr>
        <w:pStyle w:val="116"/>
        <w:ind w:firstLine="420"/>
        <w:rPr>
          <w:rFonts w:cs="仿宋_GB2312"/>
          <w:sz w:val="21"/>
          <w:szCs w:val="21"/>
          <w:lang w:val="en-GB"/>
        </w:rPr>
      </w:pPr>
      <w:r>
        <w:rPr>
          <w:rFonts w:hint="eastAsia"/>
          <w:sz w:val="21"/>
          <w:szCs w:val="21"/>
          <w:lang w:val="en-GB"/>
        </w:rPr>
        <w:t>（1）自投标截止日起90天投标文件应保持有效。有效期不足的投标文件将被拒绝。</w:t>
      </w:r>
    </w:p>
    <w:p>
      <w:pPr>
        <w:pStyle w:val="116"/>
        <w:ind w:firstLine="420"/>
        <w:rPr>
          <w:sz w:val="21"/>
          <w:szCs w:val="21"/>
          <w:lang w:val="en-GB"/>
        </w:rPr>
      </w:pPr>
      <w:r>
        <w:rPr>
          <w:rFonts w:hint="eastAsia"/>
          <w:sz w:val="21"/>
          <w:szCs w:val="21"/>
          <w:lang w:val="en-GB"/>
        </w:rPr>
        <w:t>（2）在特殊情况下，采购人可与投标人协商延长投标文件的有效期，这种要求和答复均以书面形式进行。</w:t>
      </w:r>
    </w:p>
    <w:p>
      <w:pPr>
        <w:pStyle w:val="116"/>
        <w:ind w:firstLine="420"/>
        <w:rPr>
          <w:sz w:val="21"/>
          <w:szCs w:val="21"/>
        </w:rPr>
      </w:pPr>
      <w:bookmarkStart w:id="36" w:name="_Toc15470"/>
      <w:bookmarkStart w:id="37" w:name="_Toc24220"/>
      <w:bookmarkStart w:id="38" w:name="_Toc30825"/>
      <w:r>
        <w:rPr>
          <w:rFonts w:hint="eastAsia"/>
          <w:sz w:val="21"/>
          <w:szCs w:val="21"/>
          <w:lang w:val="en-GB"/>
        </w:rPr>
        <w:t>（3）</w:t>
      </w:r>
      <w:r>
        <w:rPr>
          <w:sz w:val="21"/>
          <w:szCs w:val="21"/>
        </w:rPr>
        <w:t>中标人的投标文件自开标之日起至合同履行完毕均应保持有效。</w:t>
      </w:r>
      <w:bookmarkEnd w:id="36"/>
      <w:bookmarkEnd w:id="37"/>
      <w:bookmarkEnd w:id="38"/>
    </w:p>
    <w:p>
      <w:pPr>
        <w:pStyle w:val="116"/>
        <w:ind w:firstLine="562"/>
        <w:jc w:val="center"/>
        <w:rPr>
          <w:b/>
          <w:sz w:val="28"/>
        </w:rPr>
      </w:pPr>
      <w:r>
        <w:rPr>
          <w:rFonts w:hint="eastAsia"/>
          <w:b/>
          <w:sz w:val="28"/>
        </w:rPr>
        <w:t>四、开标</w:t>
      </w:r>
    </w:p>
    <w:p>
      <w:pPr>
        <w:pStyle w:val="116"/>
        <w:ind w:firstLine="422"/>
        <w:rPr>
          <w:b/>
          <w:sz w:val="21"/>
          <w:szCs w:val="21"/>
        </w:rPr>
      </w:pPr>
      <w:r>
        <w:rPr>
          <w:rFonts w:hint="eastAsia"/>
          <w:b/>
          <w:sz w:val="21"/>
          <w:szCs w:val="21"/>
        </w:rPr>
        <w:t>10、开标事项</w:t>
      </w:r>
    </w:p>
    <w:p>
      <w:pPr>
        <w:pStyle w:val="116"/>
        <w:ind w:firstLine="420"/>
        <w:rPr>
          <w:rFonts w:ascii="??" w:hAnsi="??" w:eastAsia="??"/>
          <w:sz w:val="21"/>
          <w:szCs w:val="21"/>
        </w:rPr>
      </w:pPr>
      <w:r>
        <w:rPr>
          <w:rFonts w:hint="eastAsia" w:ascii="??" w:hAnsi="??" w:eastAsia="??"/>
          <w:sz w:val="21"/>
          <w:szCs w:val="21"/>
        </w:rPr>
        <w:t>10.1</w:t>
      </w:r>
      <w:r>
        <w:rPr>
          <w:rFonts w:hint="eastAsia"/>
          <w:sz w:val="21"/>
          <w:szCs w:val="21"/>
        </w:rPr>
        <w:t>、采购组织机构在</w:t>
      </w:r>
      <w:r>
        <w:rPr>
          <w:rFonts w:ascii="Times New Roman" w:eastAsia="??"/>
          <w:sz w:val="21"/>
          <w:szCs w:val="21"/>
        </w:rPr>
        <w:t>“</w:t>
      </w:r>
      <w:r>
        <w:rPr>
          <w:rFonts w:hint="eastAsia"/>
          <w:sz w:val="21"/>
          <w:szCs w:val="21"/>
        </w:rPr>
        <w:t>采购公告</w:t>
      </w:r>
      <w:r>
        <w:rPr>
          <w:rFonts w:ascii="Times New Roman" w:eastAsia="??"/>
          <w:sz w:val="21"/>
          <w:szCs w:val="21"/>
        </w:rPr>
        <w:t>”</w:t>
      </w:r>
      <w:r>
        <w:rPr>
          <w:rFonts w:hint="eastAsia"/>
          <w:sz w:val="21"/>
          <w:szCs w:val="21"/>
        </w:rPr>
        <w:t>规定的时间和地点公开开标，采购组织机构工作人员接收投标文件并登记。</w:t>
      </w:r>
    </w:p>
    <w:p>
      <w:pPr>
        <w:pStyle w:val="116"/>
        <w:ind w:firstLine="420"/>
        <w:rPr>
          <w:rFonts w:ascii="??" w:hAnsi="??" w:eastAsia="??"/>
          <w:sz w:val="21"/>
          <w:szCs w:val="21"/>
        </w:rPr>
      </w:pPr>
      <w:r>
        <w:rPr>
          <w:rFonts w:hint="eastAsia" w:ascii="??" w:hAnsi="??" w:eastAsia="??"/>
          <w:sz w:val="21"/>
          <w:szCs w:val="21"/>
        </w:rPr>
        <w:t>10.2</w:t>
      </w:r>
      <w:r>
        <w:rPr>
          <w:rFonts w:hint="eastAsia"/>
          <w:sz w:val="21"/>
          <w:szCs w:val="21"/>
        </w:rPr>
        <w:t>、评标期间，供应商代表应在线操作，并关注政采云有关信息公布、澄清等情况。供应商代表不参加开标程序的，事后不得对采购相关人员、开标过程和开标结果提出异议。</w:t>
      </w:r>
    </w:p>
    <w:p>
      <w:pPr>
        <w:pStyle w:val="116"/>
        <w:ind w:firstLine="422"/>
        <w:rPr>
          <w:b/>
          <w:sz w:val="21"/>
          <w:szCs w:val="21"/>
        </w:rPr>
      </w:pPr>
      <w:r>
        <w:rPr>
          <w:rFonts w:hint="eastAsia"/>
          <w:b/>
          <w:sz w:val="21"/>
          <w:szCs w:val="21"/>
        </w:rPr>
        <w:t>11、 开标程序：</w:t>
      </w:r>
    </w:p>
    <w:p>
      <w:pPr>
        <w:pStyle w:val="116"/>
        <w:ind w:firstLine="420"/>
        <w:rPr>
          <w:sz w:val="21"/>
          <w:szCs w:val="21"/>
        </w:rPr>
      </w:pPr>
      <w:r>
        <w:rPr>
          <w:rFonts w:hint="eastAsia"/>
          <w:sz w:val="21"/>
          <w:szCs w:val="21"/>
        </w:rPr>
        <w:t>11.1、开标时间到后，采购组织机构项目负责人准时组织开标。</w:t>
      </w:r>
    </w:p>
    <w:p>
      <w:pPr>
        <w:pStyle w:val="116"/>
        <w:ind w:firstLine="420"/>
        <w:rPr>
          <w:b/>
          <w:sz w:val="21"/>
          <w:szCs w:val="21"/>
        </w:rPr>
      </w:pPr>
      <w:r>
        <w:rPr>
          <w:rFonts w:hint="eastAsia"/>
          <w:sz w:val="21"/>
          <w:szCs w:val="21"/>
        </w:rPr>
        <w:t>11.2、投标人登录政采云平台，用“项目采购-开标评标”功能对电子投标文件进行在线解密。在线解密电子投标文件时间为开标时间起半个小时内。</w:t>
      </w:r>
      <w:r>
        <w:rPr>
          <w:rFonts w:hint="eastAsia"/>
          <w:b/>
          <w:sz w:val="21"/>
          <w:szCs w:val="21"/>
        </w:rPr>
        <w:t>投标文件解密结束，供应商通过电子邮件形式将经授权代表签署的《政府采购活动现场确认声明书》（格式见最后一页内容）的扫描件或（图片）发至采购代理机构邮箱：zgtzfgs@163.com。开评标活动结束之前供应商拒不发送《政府采购活动现场确认声明书》的，由此产生的一切风险责任由供应商自行承担。</w:t>
      </w:r>
    </w:p>
    <w:p>
      <w:pPr>
        <w:pStyle w:val="116"/>
        <w:ind w:firstLine="420"/>
        <w:rPr>
          <w:sz w:val="21"/>
          <w:szCs w:val="21"/>
        </w:rPr>
      </w:pPr>
      <w:r>
        <w:rPr>
          <w:rFonts w:hint="eastAsia"/>
          <w:sz w:val="21"/>
          <w:szCs w:val="21"/>
        </w:rPr>
        <w:t>11.3、开启《报价响应文件》后并在线公布开标一览表有关内容，供应商应在线签字确认（不予确认的应说明理由，否则视为无异议）。</w:t>
      </w:r>
    </w:p>
    <w:p>
      <w:pPr>
        <w:pStyle w:val="116"/>
        <w:ind w:firstLine="420"/>
        <w:rPr>
          <w:sz w:val="21"/>
          <w:szCs w:val="21"/>
        </w:rPr>
      </w:pPr>
      <w:r>
        <w:rPr>
          <w:rFonts w:hint="eastAsia"/>
          <w:sz w:val="21"/>
          <w:szCs w:val="21"/>
        </w:rPr>
        <w:t>11.4、公布开标结果。</w:t>
      </w:r>
    </w:p>
    <w:p>
      <w:pPr>
        <w:pStyle w:val="116"/>
        <w:ind w:firstLine="420"/>
        <w:rPr>
          <w:sz w:val="21"/>
          <w:szCs w:val="21"/>
        </w:rPr>
      </w:pPr>
      <w:r>
        <w:rPr>
          <w:rFonts w:hint="eastAsia"/>
          <w:sz w:val="21"/>
          <w:szCs w:val="21"/>
        </w:rPr>
        <w:t>11.5、特别说明：本项目原则上采用政采云电子招投标开标及评审程序，但有下情形之一的，按以下情况处理：</w:t>
      </w:r>
    </w:p>
    <w:p>
      <w:pPr>
        <w:pStyle w:val="116"/>
        <w:ind w:firstLine="420"/>
        <w:rPr>
          <w:sz w:val="21"/>
          <w:szCs w:val="21"/>
        </w:rPr>
      </w:pPr>
      <w:r>
        <w:rPr>
          <w:rFonts w:hint="eastAsia"/>
          <w:sz w:val="21"/>
          <w:szCs w:val="21"/>
        </w:rPr>
        <w:t>（1）若投标人在规定时间内无法解密或解密失败，采购组织机构将开启该投标人递交的以介质存储的数据电文形式的备份电子投标文件，上传至政采云平台项目采购模块，以完成开标，电子投标文件自动失效。</w:t>
      </w:r>
    </w:p>
    <w:p>
      <w:pPr>
        <w:pStyle w:val="116"/>
        <w:ind w:firstLine="420"/>
        <w:rPr>
          <w:b/>
          <w:sz w:val="21"/>
          <w:szCs w:val="21"/>
        </w:rPr>
      </w:pPr>
      <w:r>
        <w:rPr>
          <w:rFonts w:hint="eastAsia"/>
          <w:sz w:val="21"/>
          <w:szCs w:val="21"/>
        </w:rPr>
        <w:t>（2）</w:t>
      </w:r>
      <w:r>
        <w:rPr>
          <w:rFonts w:hint="eastAsia"/>
          <w:b/>
          <w:sz w:val="21"/>
          <w:szCs w:val="21"/>
        </w:rPr>
        <w:t>开评标细则按政采云电子评标流程进行。特别说明：政采云公司如对电子化开标及评审程序有调整的，按调整后的程序操作。</w:t>
      </w:r>
    </w:p>
    <w:p>
      <w:pPr>
        <w:pStyle w:val="116"/>
        <w:ind w:firstLine="562"/>
        <w:jc w:val="center"/>
        <w:rPr>
          <w:b/>
          <w:sz w:val="28"/>
        </w:rPr>
      </w:pPr>
      <w:r>
        <w:rPr>
          <w:rFonts w:hint="eastAsia"/>
          <w:b/>
          <w:sz w:val="28"/>
        </w:rPr>
        <w:t>五、评标和定标</w:t>
      </w:r>
    </w:p>
    <w:p>
      <w:pPr>
        <w:pStyle w:val="116"/>
        <w:ind w:firstLine="422"/>
        <w:rPr>
          <w:b/>
          <w:sz w:val="21"/>
          <w:szCs w:val="21"/>
        </w:rPr>
      </w:pPr>
      <w:bookmarkStart w:id="39" w:name="_Toc425780292"/>
      <w:bookmarkStart w:id="40" w:name="_Toc429407708"/>
      <w:bookmarkStart w:id="41" w:name="_Toc430790229"/>
      <w:bookmarkStart w:id="42" w:name="_Toc425151748"/>
      <w:r>
        <w:rPr>
          <w:rFonts w:hint="eastAsia"/>
          <w:b/>
          <w:sz w:val="21"/>
          <w:szCs w:val="21"/>
        </w:rPr>
        <w:t>12、</w:t>
      </w:r>
      <w:r>
        <w:rPr>
          <w:b/>
          <w:sz w:val="21"/>
          <w:szCs w:val="21"/>
        </w:rPr>
        <w:t>评标委员会</w:t>
      </w:r>
      <w:bookmarkEnd w:id="39"/>
      <w:bookmarkEnd w:id="40"/>
      <w:bookmarkEnd w:id="41"/>
      <w:bookmarkEnd w:id="42"/>
    </w:p>
    <w:p>
      <w:pPr>
        <w:pStyle w:val="116"/>
        <w:ind w:firstLine="420"/>
        <w:rPr>
          <w:sz w:val="21"/>
          <w:szCs w:val="21"/>
        </w:rPr>
      </w:pPr>
      <w:r>
        <w:rPr>
          <w:rFonts w:hint="eastAsia"/>
          <w:sz w:val="21"/>
          <w:szCs w:val="21"/>
        </w:rPr>
        <w:t>12.1</w:t>
      </w:r>
      <w:r>
        <w:rPr>
          <w:sz w:val="21"/>
          <w:szCs w:val="21"/>
        </w:rPr>
        <w:t>受采购人的委托，采购代理机构根据《</w:t>
      </w:r>
      <w:r>
        <w:rPr>
          <w:rFonts w:hint="eastAsia"/>
          <w:sz w:val="21"/>
          <w:szCs w:val="21"/>
        </w:rPr>
        <w:t>中华人民共和国</w:t>
      </w:r>
      <w:r>
        <w:rPr>
          <w:sz w:val="21"/>
          <w:szCs w:val="21"/>
        </w:rPr>
        <w:t>政府采购法》、财政部第8</w:t>
      </w:r>
      <w:r>
        <w:rPr>
          <w:rFonts w:hint="eastAsia"/>
          <w:sz w:val="21"/>
          <w:szCs w:val="21"/>
        </w:rPr>
        <w:t>7</w:t>
      </w:r>
      <w:r>
        <w:rPr>
          <w:sz w:val="21"/>
          <w:szCs w:val="21"/>
        </w:rPr>
        <w:t>号令的规定和有关的</w:t>
      </w:r>
      <w:r>
        <w:rPr>
          <w:rFonts w:hint="eastAsia"/>
          <w:sz w:val="21"/>
          <w:szCs w:val="21"/>
        </w:rPr>
        <w:t>法律</w:t>
      </w:r>
      <w:r>
        <w:rPr>
          <w:sz w:val="21"/>
          <w:szCs w:val="21"/>
        </w:rPr>
        <w:t>法规组建评标委员会，评标委员会负责评标工作。评标委员会由</w:t>
      </w:r>
      <w:r>
        <w:rPr>
          <w:rFonts w:hint="eastAsia"/>
          <w:sz w:val="21"/>
          <w:szCs w:val="21"/>
        </w:rPr>
        <w:t>采购人</w:t>
      </w:r>
      <w:r>
        <w:rPr>
          <w:sz w:val="21"/>
          <w:szCs w:val="21"/>
        </w:rPr>
        <w:t>代表和</w:t>
      </w:r>
      <w:r>
        <w:rPr>
          <w:rFonts w:hint="eastAsia"/>
          <w:sz w:val="21"/>
          <w:szCs w:val="21"/>
        </w:rPr>
        <w:t>评审</w:t>
      </w:r>
      <w:r>
        <w:rPr>
          <w:sz w:val="21"/>
          <w:szCs w:val="21"/>
        </w:rPr>
        <w:t>专家组成。</w:t>
      </w:r>
      <w:r>
        <w:rPr>
          <w:rFonts w:hint="eastAsia"/>
          <w:sz w:val="21"/>
          <w:szCs w:val="21"/>
        </w:rPr>
        <w:t>评审</w:t>
      </w:r>
      <w:r>
        <w:rPr>
          <w:sz w:val="21"/>
          <w:szCs w:val="21"/>
        </w:rPr>
        <w:t>专家将在开标日之前在管理部门的</w:t>
      </w:r>
      <w:r>
        <w:rPr>
          <w:rFonts w:hint="eastAsia"/>
          <w:sz w:val="21"/>
          <w:szCs w:val="21"/>
        </w:rPr>
        <w:t>评审</w:t>
      </w:r>
      <w:r>
        <w:rPr>
          <w:sz w:val="21"/>
          <w:szCs w:val="21"/>
        </w:rPr>
        <w:t>专家库中随机抽取。</w:t>
      </w:r>
      <w:r>
        <w:rPr>
          <w:rFonts w:hint="eastAsia"/>
          <w:sz w:val="21"/>
          <w:szCs w:val="21"/>
        </w:rPr>
        <w:t>评标委员会成员名单在评标结果公告前应当保密。</w:t>
      </w:r>
    </w:p>
    <w:p>
      <w:pPr>
        <w:pStyle w:val="116"/>
        <w:ind w:firstLine="420"/>
        <w:rPr>
          <w:sz w:val="21"/>
          <w:szCs w:val="21"/>
        </w:rPr>
      </w:pPr>
      <w:r>
        <w:rPr>
          <w:rFonts w:hint="eastAsia"/>
          <w:sz w:val="21"/>
          <w:szCs w:val="21"/>
        </w:rPr>
        <w:t>12.2</w:t>
      </w:r>
      <w:r>
        <w:rPr>
          <w:sz w:val="21"/>
          <w:szCs w:val="21"/>
        </w:rPr>
        <w:t>评标委员会将遵循公平、公正、科学、廉洁的原则和规定的程序进行评标，并且只依据投标文件本身对采购文件的响应情况进行评审，不考虑投标人在开标后提交的任何的补充声明、修正方案。</w:t>
      </w:r>
    </w:p>
    <w:p>
      <w:pPr>
        <w:pStyle w:val="116"/>
        <w:ind w:firstLine="420"/>
        <w:rPr>
          <w:sz w:val="21"/>
          <w:szCs w:val="21"/>
        </w:rPr>
      </w:pPr>
      <w:r>
        <w:rPr>
          <w:rFonts w:hint="eastAsia"/>
          <w:sz w:val="21"/>
          <w:szCs w:val="21"/>
        </w:rPr>
        <w:t>12.3</w:t>
      </w:r>
      <w:r>
        <w:rPr>
          <w:sz w:val="21"/>
          <w:szCs w:val="21"/>
        </w:rPr>
        <w:t>评标委员会将核对投标价格和</w:t>
      </w:r>
      <w:r>
        <w:rPr>
          <w:rFonts w:hint="eastAsia"/>
          <w:sz w:val="21"/>
          <w:szCs w:val="21"/>
        </w:rPr>
        <w:t>服务内容</w:t>
      </w:r>
      <w:r>
        <w:rPr>
          <w:sz w:val="21"/>
          <w:szCs w:val="21"/>
        </w:rPr>
        <w:t>，对发现的价格计算错误按下述原则处理：</w:t>
      </w:r>
    </w:p>
    <w:p>
      <w:pPr>
        <w:pStyle w:val="116"/>
        <w:ind w:firstLine="420"/>
        <w:rPr>
          <w:sz w:val="21"/>
          <w:szCs w:val="21"/>
        </w:rPr>
      </w:pPr>
      <w:r>
        <w:rPr>
          <w:rFonts w:hint="eastAsia"/>
          <w:sz w:val="21"/>
          <w:szCs w:val="21"/>
        </w:rPr>
        <w:t>（1）投标文件中开标一览表内容与投标文件中相应内容不一致的，以开标一览表为准。</w:t>
      </w:r>
    </w:p>
    <w:p>
      <w:pPr>
        <w:pStyle w:val="116"/>
        <w:ind w:firstLine="420"/>
        <w:rPr>
          <w:sz w:val="21"/>
          <w:szCs w:val="21"/>
        </w:rPr>
      </w:pPr>
      <w:r>
        <w:rPr>
          <w:rFonts w:hint="eastAsia"/>
          <w:sz w:val="21"/>
          <w:szCs w:val="21"/>
        </w:rPr>
        <w:t>（2）投标文件的大写金额和小写金额不一致的，以大写金额为准。</w:t>
      </w:r>
    </w:p>
    <w:p>
      <w:pPr>
        <w:pStyle w:val="116"/>
        <w:ind w:firstLine="420"/>
        <w:rPr>
          <w:sz w:val="21"/>
          <w:szCs w:val="21"/>
        </w:rPr>
      </w:pPr>
      <w:r>
        <w:rPr>
          <w:rFonts w:hint="eastAsia"/>
          <w:sz w:val="21"/>
          <w:szCs w:val="21"/>
        </w:rPr>
        <w:t>（3）单价金额小数点或者百分比有明显错位的，以开标一览表的总价为准，并修改单价；</w:t>
      </w:r>
    </w:p>
    <w:p>
      <w:pPr>
        <w:pStyle w:val="116"/>
        <w:ind w:firstLine="420"/>
        <w:rPr>
          <w:sz w:val="21"/>
          <w:szCs w:val="21"/>
        </w:rPr>
      </w:pPr>
      <w:r>
        <w:rPr>
          <w:rFonts w:hint="eastAsia"/>
          <w:sz w:val="21"/>
          <w:szCs w:val="21"/>
        </w:rPr>
        <w:t>（4）总价金额与按单价汇总金额不一致，以单价金额计算结果为准。</w:t>
      </w:r>
    </w:p>
    <w:p>
      <w:pPr>
        <w:pStyle w:val="116"/>
        <w:ind w:firstLine="420"/>
        <w:rPr>
          <w:sz w:val="21"/>
          <w:szCs w:val="21"/>
        </w:rPr>
      </w:pPr>
      <w:r>
        <w:rPr>
          <w:rFonts w:hint="eastAsia"/>
          <w:sz w:val="21"/>
          <w:szCs w:val="21"/>
        </w:rPr>
        <w:t>（5）政采云平台填报的开标一览表中的价格与上传的报价文件中开标一览表的报价不一致的，以上传的报价文件为准。</w:t>
      </w:r>
    </w:p>
    <w:p>
      <w:pPr>
        <w:pStyle w:val="116"/>
        <w:ind w:firstLine="420"/>
        <w:rPr>
          <w:sz w:val="21"/>
          <w:szCs w:val="21"/>
        </w:rPr>
      </w:pPr>
      <w:r>
        <w:rPr>
          <w:rFonts w:hint="eastAsia"/>
          <w:sz w:val="21"/>
          <w:szCs w:val="21"/>
        </w:rPr>
        <w:t>同时出现两种以上不一致的，按照前款规定的顺序修正。修正后的报价经投标人确认后产生约束力，投标人不确认的，其投标无效。</w:t>
      </w:r>
    </w:p>
    <w:p>
      <w:pPr>
        <w:pStyle w:val="116"/>
        <w:ind w:firstLine="420"/>
        <w:rPr>
          <w:sz w:val="21"/>
          <w:szCs w:val="21"/>
        </w:rPr>
      </w:pPr>
      <w:r>
        <w:rPr>
          <w:rFonts w:hint="eastAsia"/>
          <w:sz w:val="21"/>
          <w:szCs w:val="21"/>
        </w:rPr>
        <w:t>12.4</w:t>
      </w:r>
      <w:r>
        <w:rPr>
          <w:sz w:val="21"/>
          <w:szCs w:val="21"/>
        </w:rPr>
        <w:t>评标委员会根据采购文件的《评标办法》及在《投标资料表》和《</w:t>
      </w:r>
      <w:r>
        <w:rPr>
          <w:rFonts w:hint="eastAsia"/>
          <w:sz w:val="21"/>
          <w:szCs w:val="21"/>
        </w:rPr>
        <w:t>采购内容及要求</w:t>
      </w:r>
      <w:r>
        <w:rPr>
          <w:sz w:val="21"/>
          <w:szCs w:val="21"/>
        </w:rPr>
        <w:t>》中所列的具体标准，对投标文件进行评审和比较。</w:t>
      </w:r>
    </w:p>
    <w:p>
      <w:pPr>
        <w:pStyle w:val="116"/>
        <w:ind w:firstLine="422"/>
        <w:rPr>
          <w:b/>
          <w:sz w:val="21"/>
          <w:szCs w:val="21"/>
        </w:rPr>
      </w:pPr>
      <w:bookmarkStart w:id="43" w:name="_Toc429407709"/>
      <w:bookmarkStart w:id="44" w:name="_Toc425780293"/>
      <w:bookmarkStart w:id="45" w:name="_Toc425151749"/>
      <w:bookmarkStart w:id="46" w:name="_Toc430790230"/>
      <w:r>
        <w:rPr>
          <w:rFonts w:hint="eastAsia"/>
          <w:b/>
          <w:sz w:val="21"/>
          <w:szCs w:val="21"/>
        </w:rPr>
        <w:t>13、</w:t>
      </w:r>
      <w:bookmarkEnd w:id="43"/>
      <w:bookmarkEnd w:id="44"/>
      <w:bookmarkEnd w:id="45"/>
      <w:bookmarkEnd w:id="46"/>
      <w:bookmarkStart w:id="47" w:name="_Toc425151750"/>
      <w:bookmarkStart w:id="48" w:name="_Toc425780294"/>
      <w:bookmarkStart w:id="49" w:name="_Toc429407710"/>
      <w:bookmarkStart w:id="50" w:name="_Toc430790231"/>
      <w:r>
        <w:rPr>
          <w:rFonts w:hint="eastAsia"/>
          <w:b/>
          <w:sz w:val="21"/>
          <w:szCs w:val="21"/>
        </w:rPr>
        <w:t>澄清问题的形式</w:t>
      </w:r>
    </w:p>
    <w:p>
      <w:pPr>
        <w:pStyle w:val="116"/>
        <w:ind w:firstLine="420"/>
        <w:rPr>
          <w:sz w:val="21"/>
          <w:szCs w:val="21"/>
        </w:rPr>
      </w:pPr>
      <w:r>
        <w:rPr>
          <w:rFonts w:hint="eastAsia"/>
          <w:sz w:val="21"/>
          <w:szCs w:val="21"/>
        </w:rPr>
        <w:t>13.1评标委员会在对投标文件的有效性、完整性和响应程度进行审查时，可以要求供应商对投标文件中含义不明确、同类问题表述不一致或者有明显文字和计算错误的内容等做出必要的澄清。供应商的澄清不得超出投标文件的范围或者改变投标文件的实质性内容。</w:t>
      </w:r>
    </w:p>
    <w:p>
      <w:pPr>
        <w:pStyle w:val="116"/>
        <w:ind w:firstLine="420"/>
        <w:rPr>
          <w:sz w:val="21"/>
          <w:szCs w:val="21"/>
        </w:rPr>
      </w:pPr>
      <w:r>
        <w:rPr>
          <w:rFonts w:hint="eastAsia"/>
          <w:sz w:val="21"/>
          <w:szCs w:val="21"/>
        </w:rPr>
        <w:t>13.2政采云具体操作如下：</w:t>
      </w:r>
    </w:p>
    <w:p>
      <w:pPr>
        <w:pStyle w:val="116"/>
        <w:ind w:firstLine="420"/>
        <w:rPr>
          <w:sz w:val="21"/>
          <w:szCs w:val="21"/>
        </w:rPr>
      </w:pPr>
      <w:r>
        <w:rPr>
          <w:rFonts w:hint="eastAsia"/>
          <w:sz w:val="21"/>
          <w:szCs w:val="21"/>
        </w:rPr>
        <w:t>在评审过程中，如评标委员会对投标文件有疑问，由评标委员会组长将问题汇总后发函，或由采购代理机构代替发起。供应商在截止时间前，予以回复。此回复将作为投标文件内容的一部分，具有相应的法律效力。</w:t>
      </w:r>
    </w:p>
    <w:p>
      <w:pPr>
        <w:pStyle w:val="116"/>
        <w:ind w:firstLine="420"/>
        <w:rPr>
          <w:sz w:val="21"/>
          <w:szCs w:val="21"/>
        </w:rPr>
      </w:pPr>
      <w:r>
        <w:rPr>
          <w:rFonts w:hint="eastAsia"/>
          <w:sz w:val="21"/>
          <w:szCs w:val="21"/>
        </w:rPr>
        <w:t>路径：用户中心—项目采购—询标澄清</w:t>
      </w:r>
    </w:p>
    <w:p>
      <w:pPr>
        <w:pStyle w:val="116"/>
        <w:ind w:firstLine="420"/>
        <w:rPr>
          <w:sz w:val="21"/>
          <w:szCs w:val="21"/>
        </w:rPr>
      </w:pPr>
      <w:r>
        <w:rPr>
          <w:rFonts w:hint="eastAsia"/>
          <w:sz w:val="21"/>
          <w:szCs w:val="21"/>
        </w:rPr>
        <w:t>（1）政采云平台通过待办事项和短信提醒供应商在截止时间前完成澄清。</w:t>
      </w:r>
    </w:p>
    <w:p>
      <w:pPr>
        <w:pStyle w:val="116"/>
        <w:ind w:firstLine="420"/>
        <w:rPr>
          <w:sz w:val="21"/>
          <w:szCs w:val="21"/>
        </w:rPr>
      </w:pPr>
      <w:r>
        <w:rPr>
          <w:rFonts w:hint="eastAsia"/>
          <w:sz w:val="21"/>
          <w:szCs w:val="21"/>
        </w:rPr>
        <w:t>（2）供应商在“询标澄清-待办理”标签页下选择状态为“待澄清”的项目，点击操作栏【澄清】。</w:t>
      </w:r>
    </w:p>
    <w:p>
      <w:pPr>
        <w:pStyle w:val="116"/>
        <w:ind w:firstLine="420"/>
        <w:rPr>
          <w:sz w:val="21"/>
          <w:szCs w:val="21"/>
        </w:rPr>
      </w:pPr>
      <w:r>
        <w:rPr>
          <w:rFonts w:hint="eastAsia"/>
          <w:sz w:val="21"/>
          <w:szCs w:val="21"/>
        </w:rPr>
        <w:t>（3）查看函内容，在澄清截止时间前上传澄清文件并对澄清文件进行签章。（注：澄清文件必须以PDF格式上传，文件大小：50M）</w:t>
      </w:r>
    </w:p>
    <w:p>
      <w:pPr>
        <w:pStyle w:val="116"/>
        <w:ind w:firstLine="420"/>
        <w:rPr>
          <w:sz w:val="21"/>
          <w:szCs w:val="21"/>
        </w:rPr>
      </w:pPr>
      <w:r>
        <w:rPr>
          <w:rFonts w:hint="eastAsia"/>
          <w:sz w:val="21"/>
          <w:szCs w:val="21"/>
        </w:rPr>
        <w:t>（4）签章完成，文件名称处显示“已签章”，供应商可“撤回签章”修改澄清函和“查看文件”。</w:t>
      </w:r>
    </w:p>
    <w:p>
      <w:pPr>
        <w:pStyle w:val="116"/>
        <w:ind w:firstLine="420"/>
        <w:rPr>
          <w:sz w:val="21"/>
          <w:szCs w:val="21"/>
        </w:rPr>
      </w:pPr>
      <w:r>
        <w:rPr>
          <w:rFonts w:hint="eastAsia"/>
          <w:sz w:val="21"/>
          <w:szCs w:val="21"/>
        </w:rPr>
        <w:t>（5）确认澄清文件内容后，点击右上角【提交】；（注：供应商未对澄清文件签章，提交时，弹框提醒“澄清文件未签章，请进行签章操作”，如遇CA突发情况无法签章，供应商可点击【放弃签章并提交】提交澄清文件；反之则签章后再提交。）</w:t>
      </w:r>
    </w:p>
    <w:p>
      <w:pPr>
        <w:pStyle w:val="116"/>
        <w:ind w:firstLine="420"/>
        <w:rPr>
          <w:sz w:val="21"/>
          <w:szCs w:val="21"/>
        </w:rPr>
      </w:pPr>
      <w:r>
        <w:rPr>
          <w:rFonts w:hint="eastAsia"/>
          <w:sz w:val="21"/>
          <w:szCs w:val="21"/>
        </w:rPr>
        <w:t>（6）完成状态：供应商澄清文件提交成功后，在“询标澄清-全部”标签页下显示状态为“已澄清”。</w:t>
      </w:r>
    </w:p>
    <w:p>
      <w:pPr>
        <w:pStyle w:val="116"/>
        <w:ind w:firstLine="420"/>
        <w:rPr>
          <w:sz w:val="21"/>
          <w:szCs w:val="21"/>
        </w:rPr>
      </w:pPr>
      <w:r>
        <w:rPr>
          <w:rFonts w:hint="eastAsia"/>
          <w:sz w:val="21"/>
          <w:szCs w:val="21"/>
        </w:rPr>
        <w:t>13.3供应商未在截止时间前完成澄清，将被视作自动放弃。</w:t>
      </w:r>
    </w:p>
    <w:p>
      <w:pPr>
        <w:pStyle w:val="116"/>
        <w:ind w:firstLine="422"/>
        <w:rPr>
          <w:b/>
          <w:sz w:val="21"/>
          <w:szCs w:val="21"/>
        </w:rPr>
      </w:pPr>
      <w:r>
        <w:rPr>
          <w:rFonts w:hint="eastAsia"/>
          <w:b/>
          <w:sz w:val="21"/>
          <w:szCs w:val="21"/>
        </w:rPr>
        <w:t>14、</w:t>
      </w:r>
      <w:r>
        <w:rPr>
          <w:b/>
          <w:sz w:val="21"/>
          <w:szCs w:val="21"/>
        </w:rPr>
        <w:t>评标办法</w:t>
      </w:r>
      <w:bookmarkEnd w:id="47"/>
      <w:bookmarkEnd w:id="48"/>
      <w:bookmarkEnd w:id="49"/>
      <w:bookmarkEnd w:id="50"/>
    </w:p>
    <w:p>
      <w:pPr>
        <w:pStyle w:val="116"/>
        <w:ind w:firstLine="420"/>
        <w:rPr>
          <w:sz w:val="21"/>
          <w:szCs w:val="21"/>
        </w:rPr>
      </w:pPr>
      <w:r>
        <w:rPr>
          <w:rFonts w:hint="eastAsia"/>
          <w:sz w:val="21"/>
          <w:szCs w:val="21"/>
        </w:rPr>
        <w:t>14.1本项目</w:t>
      </w:r>
      <w:r>
        <w:rPr>
          <w:sz w:val="21"/>
          <w:szCs w:val="21"/>
        </w:rPr>
        <w:t>采用综合评分法。本次招标</w:t>
      </w:r>
      <w:r>
        <w:rPr>
          <w:rFonts w:hint="eastAsia"/>
          <w:sz w:val="21"/>
          <w:szCs w:val="21"/>
        </w:rPr>
        <w:t>采购</w:t>
      </w:r>
      <w:r>
        <w:rPr>
          <w:sz w:val="21"/>
          <w:szCs w:val="21"/>
        </w:rPr>
        <w:t>采用的评标方法</w:t>
      </w:r>
      <w:r>
        <w:rPr>
          <w:rFonts w:hint="eastAsia"/>
          <w:sz w:val="21"/>
          <w:szCs w:val="21"/>
        </w:rPr>
        <w:t>具体说明</w:t>
      </w:r>
      <w:r>
        <w:rPr>
          <w:sz w:val="21"/>
          <w:szCs w:val="21"/>
        </w:rPr>
        <w:t>载明在采购文件</w:t>
      </w:r>
      <w:r>
        <w:rPr>
          <w:rFonts w:hint="eastAsia"/>
          <w:sz w:val="21"/>
          <w:szCs w:val="21"/>
        </w:rPr>
        <w:t>“</w:t>
      </w:r>
      <w:r>
        <w:rPr>
          <w:sz w:val="21"/>
          <w:szCs w:val="21"/>
        </w:rPr>
        <w:t>评标</w:t>
      </w:r>
      <w:r>
        <w:rPr>
          <w:rFonts w:hint="eastAsia"/>
          <w:sz w:val="21"/>
          <w:szCs w:val="21"/>
        </w:rPr>
        <w:t>办法”</w:t>
      </w:r>
      <w:r>
        <w:rPr>
          <w:sz w:val="21"/>
          <w:szCs w:val="21"/>
        </w:rPr>
        <w:t>部分中。</w:t>
      </w:r>
    </w:p>
    <w:p>
      <w:pPr>
        <w:pStyle w:val="116"/>
        <w:ind w:firstLine="420"/>
        <w:rPr>
          <w:sz w:val="21"/>
          <w:szCs w:val="21"/>
        </w:rPr>
      </w:pPr>
      <w:r>
        <w:rPr>
          <w:rFonts w:hint="eastAsia"/>
          <w:sz w:val="21"/>
          <w:szCs w:val="21"/>
        </w:rPr>
        <w:t>14.2</w:t>
      </w:r>
      <w:r>
        <w:rPr>
          <w:sz w:val="21"/>
          <w:szCs w:val="21"/>
        </w:rPr>
        <w:t>综合评分法：</w:t>
      </w:r>
    </w:p>
    <w:p>
      <w:pPr>
        <w:pStyle w:val="116"/>
        <w:ind w:firstLine="420"/>
        <w:rPr>
          <w:sz w:val="21"/>
          <w:szCs w:val="21"/>
        </w:rPr>
      </w:pPr>
      <w:r>
        <w:rPr>
          <w:rFonts w:hint="eastAsia"/>
          <w:sz w:val="21"/>
          <w:szCs w:val="21"/>
        </w:rPr>
        <w:t>投标文件满足采购文件全部实质性要求，且按照评审因素的量化指标评审得分最高的投标人为中标候选人的评标方法。</w:t>
      </w:r>
    </w:p>
    <w:p>
      <w:pPr>
        <w:pStyle w:val="116"/>
        <w:ind w:firstLine="422"/>
        <w:rPr>
          <w:b/>
          <w:sz w:val="21"/>
          <w:szCs w:val="21"/>
        </w:rPr>
      </w:pPr>
      <w:bookmarkStart w:id="51" w:name="_Toc422996750"/>
      <w:bookmarkEnd w:id="51"/>
      <w:bookmarkStart w:id="52" w:name="_Toc422996818"/>
      <w:bookmarkEnd w:id="52"/>
      <w:bookmarkStart w:id="53" w:name="_Toc422996749"/>
      <w:bookmarkEnd w:id="53"/>
      <w:bookmarkStart w:id="54" w:name="_Toc422996819"/>
      <w:bookmarkEnd w:id="54"/>
      <w:bookmarkStart w:id="55" w:name="_Toc430790232"/>
      <w:bookmarkStart w:id="56" w:name="_Toc429407711"/>
      <w:bookmarkStart w:id="57" w:name="_Toc425780295"/>
      <w:bookmarkStart w:id="58" w:name="_Toc425151751"/>
      <w:r>
        <w:rPr>
          <w:rFonts w:hint="eastAsia"/>
          <w:b/>
          <w:sz w:val="21"/>
          <w:szCs w:val="21"/>
        </w:rPr>
        <w:t>15、</w:t>
      </w:r>
      <w:r>
        <w:rPr>
          <w:b/>
          <w:sz w:val="21"/>
          <w:szCs w:val="21"/>
        </w:rPr>
        <w:t>评标程序和原则</w:t>
      </w:r>
      <w:bookmarkEnd w:id="55"/>
      <w:bookmarkEnd w:id="56"/>
      <w:bookmarkEnd w:id="57"/>
      <w:bookmarkEnd w:id="58"/>
    </w:p>
    <w:p>
      <w:pPr>
        <w:pStyle w:val="116"/>
        <w:ind w:firstLine="420"/>
        <w:rPr>
          <w:sz w:val="21"/>
          <w:szCs w:val="21"/>
        </w:rPr>
      </w:pPr>
      <w:r>
        <w:rPr>
          <w:rFonts w:hint="eastAsia"/>
          <w:sz w:val="21"/>
          <w:szCs w:val="21"/>
        </w:rPr>
        <w:t>15.1</w:t>
      </w:r>
      <w:r>
        <w:rPr>
          <w:sz w:val="21"/>
          <w:szCs w:val="21"/>
        </w:rPr>
        <w:t>评标程序：遵循初步审查、澄清有关问题、比较与评价、推荐中标候选人的程序依次进行。</w:t>
      </w:r>
    </w:p>
    <w:p>
      <w:pPr>
        <w:pStyle w:val="116"/>
        <w:ind w:firstLine="420"/>
        <w:rPr>
          <w:sz w:val="21"/>
          <w:szCs w:val="21"/>
        </w:rPr>
      </w:pPr>
      <w:r>
        <w:rPr>
          <w:rFonts w:hint="eastAsia"/>
          <w:sz w:val="21"/>
          <w:szCs w:val="21"/>
        </w:rPr>
        <w:t>15.2</w:t>
      </w:r>
      <w:r>
        <w:rPr>
          <w:sz w:val="21"/>
          <w:szCs w:val="21"/>
        </w:rPr>
        <w:t>初步审查</w:t>
      </w:r>
      <w:r>
        <w:rPr>
          <w:rFonts w:hint="eastAsia"/>
          <w:sz w:val="21"/>
          <w:szCs w:val="21"/>
        </w:rPr>
        <w:t>：</w:t>
      </w:r>
      <w:r>
        <w:rPr>
          <w:sz w:val="21"/>
          <w:szCs w:val="21"/>
        </w:rPr>
        <w:t>包含资格性审查和符合性审查。初步审查不合格者不进入澄清有关问题及后续的评标程序。</w:t>
      </w:r>
    </w:p>
    <w:p>
      <w:pPr>
        <w:pStyle w:val="116"/>
        <w:ind w:firstLine="420"/>
        <w:rPr>
          <w:sz w:val="21"/>
          <w:szCs w:val="21"/>
        </w:rPr>
      </w:pPr>
      <w:r>
        <w:rPr>
          <w:rFonts w:hint="eastAsia"/>
          <w:sz w:val="21"/>
          <w:szCs w:val="21"/>
        </w:rPr>
        <w:t>（1</w:t>
      </w:r>
      <w:r>
        <w:rPr>
          <w:sz w:val="21"/>
          <w:szCs w:val="21"/>
        </w:rPr>
        <w:t>）资格性审查：</w:t>
      </w:r>
    </w:p>
    <w:p>
      <w:pPr>
        <w:pStyle w:val="116"/>
        <w:ind w:firstLine="420"/>
        <w:rPr>
          <w:sz w:val="21"/>
          <w:szCs w:val="21"/>
        </w:rPr>
      </w:pPr>
      <w:r>
        <w:rPr>
          <w:sz w:val="21"/>
          <w:szCs w:val="21"/>
        </w:rPr>
        <w:t>依据法律法规和采购文件的规定，</w:t>
      </w:r>
      <w:r>
        <w:rPr>
          <w:rFonts w:hint="eastAsia"/>
          <w:sz w:val="21"/>
          <w:szCs w:val="21"/>
        </w:rPr>
        <w:t>采购人或采购代理机构</w:t>
      </w:r>
      <w:r>
        <w:rPr>
          <w:sz w:val="21"/>
          <w:szCs w:val="21"/>
        </w:rPr>
        <w:t>对其资格证明文件齐全性和有效性等方面进行审查，以确定投标人是否具备投标资格。</w:t>
      </w:r>
    </w:p>
    <w:p>
      <w:pPr>
        <w:pStyle w:val="116"/>
        <w:ind w:firstLine="420"/>
        <w:rPr>
          <w:sz w:val="21"/>
          <w:szCs w:val="21"/>
        </w:rPr>
      </w:pPr>
      <w:r>
        <w:rPr>
          <w:rFonts w:hint="eastAsia"/>
          <w:sz w:val="21"/>
          <w:szCs w:val="21"/>
        </w:rPr>
        <w:t>（2）</w:t>
      </w:r>
      <w:r>
        <w:rPr>
          <w:sz w:val="21"/>
          <w:szCs w:val="21"/>
        </w:rPr>
        <w:t>符合性检查：</w:t>
      </w:r>
    </w:p>
    <w:p>
      <w:pPr>
        <w:pStyle w:val="116"/>
        <w:ind w:firstLine="420"/>
        <w:rPr>
          <w:sz w:val="21"/>
          <w:szCs w:val="21"/>
        </w:rPr>
      </w:pPr>
      <w:r>
        <w:rPr>
          <w:sz w:val="21"/>
          <w:szCs w:val="21"/>
        </w:rPr>
        <w:t>依据采购文件的规定，</w:t>
      </w:r>
      <w:r>
        <w:rPr>
          <w:rFonts w:hint="eastAsia"/>
          <w:sz w:val="21"/>
          <w:szCs w:val="21"/>
        </w:rPr>
        <w:t>评标委员会</w:t>
      </w:r>
      <w:r>
        <w:rPr>
          <w:sz w:val="21"/>
          <w:szCs w:val="21"/>
        </w:rPr>
        <w:t>从投标文件的有效性、完整性和对采购文件的响应程度进行审查，以确定是否对采购文件的要求作出实质性响应。</w:t>
      </w:r>
    </w:p>
    <w:p>
      <w:pPr>
        <w:pStyle w:val="116"/>
        <w:ind w:firstLine="420"/>
        <w:rPr>
          <w:sz w:val="21"/>
          <w:szCs w:val="21"/>
        </w:rPr>
      </w:pPr>
      <w:r>
        <w:rPr>
          <w:rFonts w:hint="eastAsia"/>
          <w:sz w:val="21"/>
          <w:szCs w:val="21"/>
        </w:rPr>
        <w:t>15.3</w:t>
      </w:r>
      <w:r>
        <w:rPr>
          <w:sz w:val="21"/>
          <w:szCs w:val="21"/>
        </w:rPr>
        <w:t>澄清有关问题：按第</w:t>
      </w:r>
      <w:r>
        <w:rPr>
          <w:rFonts w:hint="eastAsia"/>
          <w:sz w:val="21"/>
          <w:szCs w:val="21"/>
        </w:rPr>
        <w:t>13</w:t>
      </w:r>
      <w:r>
        <w:rPr>
          <w:sz w:val="21"/>
          <w:szCs w:val="21"/>
        </w:rPr>
        <w:t>条规定进行。</w:t>
      </w:r>
    </w:p>
    <w:p>
      <w:pPr>
        <w:pStyle w:val="116"/>
        <w:ind w:firstLine="420"/>
        <w:rPr>
          <w:sz w:val="21"/>
          <w:szCs w:val="21"/>
        </w:rPr>
      </w:pPr>
      <w:r>
        <w:rPr>
          <w:rFonts w:hint="eastAsia"/>
          <w:sz w:val="21"/>
          <w:szCs w:val="21"/>
        </w:rPr>
        <w:t>15.4</w:t>
      </w:r>
      <w:r>
        <w:rPr>
          <w:sz w:val="21"/>
          <w:szCs w:val="21"/>
        </w:rPr>
        <w:t>比较与评价：</w:t>
      </w:r>
    </w:p>
    <w:p>
      <w:pPr>
        <w:pStyle w:val="116"/>
        <w:ind w:firstLine="420"/>
        <w:rPr>
          <w:sz w:val="21"/>
          <w:szCs w:val="21"/>
        </w:rPr>
      </w:pPr>
      <w:r>
        <w:rPr>
          <w:rFonts w:hint="eastAsia"/>
          <w:sz w:val="21"/>
          <w:szCs w:val="21"/>
        </w:rPr>
        <w:t>（1）</w:t>
      </w:r>
      <w:r>
        <w:rPr>
          <w:sz w:val="21"/>
          <w:szCs w:val="21"/>
        </w:rPr>
        <w:t>技术</w:t>
      </w:r>
      <w:r>
        <w:rPr>
          <w:rFonts w:hint="eastAsia"/>
          <w:sz w:val="21"/>
          <w:szCs w:val="21"/>
        </w:rPr>
        <w:t>商务</w:t>
      </w:r>
      <w:r>
        <w:rPr>
          <w:sz w:val="21"/>
          <w:szCs w:val="21"/>
        </w:rPr>
        <w:t>评价：按照采购文件的要求和</w:t>
      </w:r>
      <w:r>
        <w:rPr>
          <w:rFonts w:hint="eastAsia"/>
          <w:sz w:val="21"/>
          <w:szCs w:val="21"/>
        </w:rPr>
        <w:t>《</w:t>
      </w:r>
      <w:r>
        <w:rPr>
          <w:sz w:val="21"/>
          <w:szCs w:val="21"/>
        </w:rPr>
        <w:t>评标</w:t>
      </w:r>
      <w:r>
        <w:rPr>
          <w:rFonts w:hint="eastAsia"/>
          <w:sz w:val="21"/>
          <w:szCs w:val="21"/>
        </w:rPr>
        <w:t>标准》</w:t>
      </w:r>
      <w:r>
        <w:rPr>
          <w:sz w:val="21"/>
          <w:szCs w:val="21"/>
        </w:rPr>
        <w:t>对照投标文件的响应进行</w:t>
      </w:r>
      <w:r>
        <w:rPr>
          <w:rFonts w:hint="eastAsia"/>
          <w:sz w:val="21"/>
          <w:szCs w:val="21"/>
        </w:rPr>
        <w:t>技术商务</w:t>
      </w:r>
      <w:r>
        <w:rPr>
          <w:sz w:val="21"/>
          <w:szCs w:val="21"/>
        </w:rPr>
        <w:t>评价，评定其偏差程度，并计算其相应的</w:t>
      </w:r>
      <w:r>
        <w:rPr>
          <w:rFonts w:hint="eastAsia"/>
          <w:sz w:val="21"/>
          <w:szCs w:val="21"/>
        </w:rPr>
        <w:t>技术商务评分</w:t>
      </w:r>
      <w:r>
        <w:rPr>
          <w:sz w:val="21"/>
          <w:szCs w:val="21"/>
        </w:rPr>
        <w:t>分值。</w:t>
      </w:r>
    </w:p>
    <w:p>
      <w:pPr>
        <w:pStyle w:val="116"/>
        <w:ind w:firstLine="420"/>
        <w:rPr>
          <w:sz w:val="21"/>
          <w:szCs w:val="21"/>
        </w:rPr>
      </w:pPr>
      <w:r>
        <w:rPr>
          <w:rFonts w:hint="eastAsia"/>
          <w:sz w:val="21"/>
          <w:szCs w:val="21"/>
        </w:rPr>
        <w:t>（2）</w:t>
      </w:r>
      <w:r>
        <w:rPr>
          <w:sz w:val="21"/>
          <w:szCs w:val="21"/>
        </w:rPr>
        <w:t>综合评价：对经过技术</w:t>
      </w:r>
      <w:r>
        <w:rPr>
          <w:rFonts w:hint="eastAsia"/>
          <w:sz w:val="21"/>
          <w:szCs w:val="21"/>
        </w:rPr>
        <w:t>商务</w:t>
      </w:r>
      <w:r>
        <w:rPr>
          <w:sz w:val="21"/>
          <w:szCs w:val="21"/>
        </w:rPr>
        <w:t>评价的投标，按</w:t>
      </w:r>
      <w:r>
        <w:rPr>
          <w:rFonts w:hint="eastAsia"/>
          <w:sz w:val="21"/>
          <w:szCs w:val="21"/>
        </w:rPr>
        <w:t>《</w:t>
      </w:r>
      <w:r>
        <w:rPr>
          <w:sz w:val="21"/>
          <w:szCs w:val="21"/>
        </w:rPr>
        <w:t>评标标准</w:t>
      </w:r>
      <w:r>
        <w:rPr>
          <w:rFonts w:hint="eastAsia"/>
          <w:sz w:val="21"/>
          <w:szCs w:val="21"/>
        </w:rPr>
        <w:t>》</w:t>
      </w:r>
      <w:r>
        <w:rPr>
          <w:sz w:val="21"/>
          <w:szCs w:val="21"/>
        </w:rPr>
        <w:t>规定的评价办法进行综合评价，并按以下原则进行评审计算：</w:t>
      </w:r>
    </w:p>
    <w:p>
      <w:pPr>
        <w:pStyle w:val="116"/>
        <w:ind w:firstLine="420"/>
        <w:rPr>
          <w:sz w:val="21"/>
          <w:szCs w:val="21"/>
        </w:rPr>
      </w:pPr>
      <w:r>
        <w:rPr>
          <w:sz w:val="21"/>
          <w:szCs w:val="21"/>
        </w:rPr>
        <w:t>综合评分法的</w:t>
      </w:r>
      <w:r>
        <w:rPr>
          <w:rFonts w:hint="eastAsia"/>
          <w:sz w:val="21"/>
          <w:szCs w:val="21"/>
        </w:rPr>
        <w:t>最终</w:t>
      </w:r>
      <w:r>
        <w:rPr>
          <w:sz w:val="21"/>
          <w:szCs w:val="21"/>
        </w:rPr>
        <w:t>得分计算：综合得分=</w:t>
      </w:r>
      <w:r>
        <w:rPr>
          <w:rFonts w:hint="eastAsia"/>
          <w:sz w:val="21"/>
          <w:szCs w:val="21"/>
        </w:rPr>
        <w:t>报价</w:t>
      </w:r>
      <w:r>
        <w:rPr>
          <w:sz w:val="21"/>
          <w:szCs w:val="21"/>
        </w:rPr>
        <w:t>得分+技术</w:t>
      </w:r>
      <w:r>
        <w:rPr>
          <w:rFonts w:hint="eastAsia"/>
          <w:sz w:val="21"/>
          <w:szCs w:val="21"/>
        </w:rPr>
        <w:t>商务</w:t>
      </w:r>
      <w:r>
        <w:rPr>
          <w:sz w:val="21"/>
          <w:szCs w:val="21"/>
        </w:rPr>
        <w:t>评审得分</w:t>
      </w:r>
    </w:p>
    <w:p>
      <w:pPr>
        <w:pStyle w:val="116"/>
        <w:ind w:firstLine="420"/>
        <w:rPr>
          <w:sz w:val="21"/>
          <w:szCs w:val="21"/>
        </w:rPr>
      </w:pPr>
      <w:r>
        <w:rPr>
          <w:sz w:val="21"/>
          <w:szCs w:val="21"/>
        </w:rPr>
        <w:t>综合评价结束，按照上述第</w:t>
      </w:r>
      <w:r>
        <w:rPr>
          <w:rFonts w:hint="eastAsia"/>
          <w:sz w:val="21"/>
          <w:szCs w:val="21"/>
        </w:rPr>
        <w:t>14</w:t>
      </w:r>
      <w:r>
        <w:rPr>
          <w:sz w:val="21"/>
          <w:szCs w:val="21"/>
        </w:rPr>
        <w:t>条规定，列出进入最终评审各投标</w:t>
      </w:r>
      <w:r>
        <w:rPr>
          <w:rFonts w:hint="eastAsia"/>
          <w:sz w:val="21"/>
          <w:szCs w:val="21"/>
        </w:rPr>
        <w:t>人</w:t>
      </w:r>
      <w:r>
        <w:rPr>
          <w:sz w:val="21"/>
          <w:szCs w:val="21"/>
        </w:rPr>
        <w:t>排序次序。</w:t>
      </w:r>
    </w:p>
    <w:p>
      <w:pPr>
        <w:pStyle w:val="116"/>
        <w:ind w:firstLine="420"/>
        <w:rPr>
          <w:sz w:val="21"/>
          <w:szCs w:val="21"/>
        </w:rPr>
      </w:pPr>
      <w:r>
        <w:rPr>
          <w:rFonts w:hint="eastAsia"/>
          <w:sz w:val="21"/>
          <w:szCs w:val="21"/>
        </w:rPr>
        <w:t>15.5</w:t>
      </w:r>
      <w:r>
        <w:rPr>
          <w:sz w:val="21"/>
          <w:szCs w:val="21"/>
        </w:rPr>
        <w:t>推荐中标</w:t>
      </w:r>
      <w:r>
        <w:rPr>
          <w:rFonts w:hint="eastAsia"/>
          <w:sz w:val="21"/>
          <w:szCs w:val="21"/>
        </w:rPr>
        <w:t>候选人</w:t>
      </w:r>
      <w:r>
        <w:rPr>
          <w:sz w:val="21"/>
          <w:szCs w:val="21"/>
        </w:rPr>
        <w:t>：按</w:t>
      </w:r>
      <w:r>
        <w:rPr>
          <w:rFonts w:hint="eastAsia"/>
          <w:sz w:val="21"/>
          <w:szCs w:val="21"/>
        </w:rPr>
        <w:t>16</w:t>
      </w:r>
      <w:r>
        <w:rPr>
          <w:sz w:val="21"/>
          <w:szCs w:val="21"/>
        </w:rPr>
        <w:t>条规定推荐中标</w:t>
      </w:r>
      <w:r>
        <w:rPr>
          <w:rFonts w:hint="eastAsia"/>
          <w:sz w:val="21"/>
          <w:szCs w:val="21"/>
        </w:rPr>
        <w:t>候选人</w:t>
      </w:r>
      <w:r>
        <w:rPr>
          <w:sz w:val="21"/>
          <w:szCs w:val="21"/>
        </w:rPr>
        <w:t>。</w:t>
      </w:r>
    </w:p>
    <w:p>
      <w:pPr>
        <w:pStyle w:val="116"/>
        <w:ind w:firstLine="422"/>
        <w:rPr>
          <w:b/>
          <w:sz w:val="21"/>
          <w:szCs w:val="21"/>
        </w:rPr>
      </w:pPr>
      <w:bookmarkStart w:id="59" w:name="_Toc429407712"/>
      <w:bookmarkStart w:id="60" w:name="_Toc425780296"/>
      <w:bookmarkStart w:id="61" w:name="_Toc430790233"/>
      <w:bookmarkStart w:id="62" w:name="_Toc425151752"/>
      <w:r>
        <w:rPr>
          <w:rFonts w:hint="eastAsia"/>
          <w:b/>
          <w:sz w:val="21"/>
          <w:szCs w:val="21"/>
        </w:rPr>
        <w:t>16、</w:t>
      </w:r>
      <w:r>
        <w:rPr>
          <w:b/>
          <w:sz w:val="21"/>
          <w:szCs w:val="21"/>
        </w:rPr>
        <w:t>推荐中标</w:t>
      </w:r>
      <w:r>
        <w:rPr>
          <w:rFonts w:hint="eastAsia"/>
          <w:b/>
          <w:sz w:val="21"/>
          <w:szCs w:val="21"/>
        </w:rPr>
        <w:t>候选人</w:t>
      </w:r>
      <w:bookmarkEnd w:id="59"/>
      <w:bookmarkEnd w:id="60"/>
      <w:bookmarkEnd w:id="61"/>
      <w:bookmarkEnd w:id="62"/>
    </w:p>
    <w:p>
      <w:pPr>
        <w:pStyle w:val="116"/>
        <w:ind w:firstLine="422"/>
        <w:rPr>
          <w:b/>
          <w:sz w:val="21"/>
          <w:szCs w:val="21"/>
        </w:rPr>
      </w:pPr>
      <w:bookmarkStart w:id="63" w:name="_Toc430790234"/>
      <w:bookmarkStart w:id="64" w:name="_Toc425151753"/>
      <w:bookmarkStart w:id="65" w:name="_Toc429407713"/>
      <w:bookmarkStart w:id="66" w:name="_Toc425780297"/>
      <w:r>
        <w:rPr>
          <w:rFonts w:hint="eastAsia"/>
          <w:b/>
          <w:sz w:val="21"/>
          <w:szCs w:val="21"/>
        </w:rPr>
        <w:t>评标委员会根据各投标人的综合得分由高到低排定顺序，推荐本项目</w:t>
      </w:r>
      <w:r>
        <w:rPr>
          <w:b/>
          <w:sz w:val="21"/>
          <w:szCs w:val="21"/>
        </w:rPr>
        <w:t>的</w:t>
      </w:r>
      <w:r>
        <w:rPr>
          <w:rFonts w:hint="eastAsia"/>
          <w:b/>
          <w:sz w:val="21"/>
          <w:szCs w:val="21"/>
        </w:rPr>
        <w:t>中标候选人。</w:t>
      </w:r>
    </w:p>
    <w:p>
      <w:pPr>
        <w:pStyle w:val="116"/>
        <w:ind w:firstLine="422"/>
        <w:rPr>
          <w:b/>
          <w:sz w:val="21"/>
          <w:szCs w:val="21"/>
        </w:rPr>
      </w:pPr>
      <w:r>
        <w:rPr>
          <w:rFonts w:hint="eastAsia"/>
          <w:b/>
          <w:sz w:val="21"/>
          <w:szCs w:val="21"/>
        </w:rPr>
        <w:t>17、</w:t>
      </w:r>
      <w:bookmarkEnd w:id="63"/>
      <w:bookmarkEnd w:id="64"/>
      <w:bookmarkEnd w:id="65"/>
      <w:bookmarkEnd w:id="66"/>
      <w:r>
        <w:rPr>
          <w:b/>
          <w:sz w:val="21"/>
          <w:szCs w:val="21"/>
        </w:rPr>
        <w:t>采购方式</w:t>
      </w:r>
      <w:r>
        <w:rPr>
          <w:rFonts w:hint="eastAsia"/>
          <w:b/>
          <w:sz w:val="21"/>
          <w:szCs w:val="21"/>
        </w:rPr>
        <w:t>转换</w:t>
      </w:r>
    </w:p>
    <w:p>
      <w:pPr>
        <w:pStyle w:val="116"/>
        <w:ind w:firstLine="420"/>
        <w:rPr>
          <w:sz w:val="21"/>
          <w:szCs w:val="21"/>
        </w:rPr>
      </w:pPr>
      <w:r>
        <w:rPr>
          <w:rFonts w:hint="eastAsia"/>
          <w:sz w:val="21"/>
          <w:szCs w:val="21"/>
        </w:rPr>
        <w:t>公开招标数额标准以上的采购项目，投标截止后投标人不足3家或者通过资格审查或符合性审查的投标人不足3家的，除采购任务取消情形外，按照以下方式处理： </w:t>
      </w:r>
    </w:p>
    <w:p>
      <w:pPr>
        <w:pStyle w:val="116"/>
        <w:ind w:firstLine="420"/>
        <w:rPr>
          <w:sz w:val="21"/>
          <w:szCs w:val="21"/>
        </w:rPr>
      </w:pPr>
      <w:r>
        <w:rPr>
          <w:rFonts w:hint="eastAsia"/>
          <w:sz w:val="21"/>
          <w:szCs w:val="21"/>
        </w:rPr>
        <w:t>17.1采购文件存在不合理条款或者招标程序不符合规定的，采购人、采购代理机构改正后依法重新招标； </w:t>
      </w:r>
    </w:p>
    <w:p>
      <w:pPr>
        <w:pStyle w:val="116"/>
        <w:ind w:firstLine="420"/>
        <w:rPr>
          <w:sz w:val="21"/>
          <w:szCs w:val="21"/>
        </w:rPr>
      </w:pPr>
      <w:r>
        <w:rPr>
          <w:rFonts w:hint="eastAsia"/>
          <w:sz w:val="21"/>
          <w:szCs w:val="21"/>
        </w:rPr>
        <w:t>17.2采购文件没有不合理条款、招标程序符合规定，需要采用其他采购方式采购的，采购人依法报财政部门批准。 </w:t>
      </w:r>
    </w:p>
    <w:p>
      <w:pPr>
        <w:pStyle w:val="116"/>
        <w:ind w:firstLine="422"/>
        <w:rPr>
          <w:b/>
          <w:sz w:val="21"/>
          <w:szCs w:val="21"/>
        </w:rPr>
      </w:pPr>
      <w:bookmarkStart w:id="67" w:name="_Toc429407714"/>
      <w:bookmarkStart w:id="68" w:name="_Toc430790235"/>
      <w:bookmarkStart w:id="69" w:name="_Toc425780298"/>
      <w:bookmarkStart w:id="70" w:name="_Toc425151754"/>
      <w:r>
        <w:rPr>
          <w:rFonts w:hint="eastAsia"/>
          <w:b/>
          <w:sz w:val="21"/>
          <w:szCs w:val="21"/>
        </w:rPr>
        <w:t>18、</w:t>
      </w:r>
      <w:bookmarkEnd w:id="67"/>
      <w:bookmarkEnd w:id="68"/>
      <w:bookmarkEnd w:id="69"/>
      <w:bookmarkEnd w:id="70"/>
      <w:r>
        <w:rPr>
          <w:rFonts w:hint="eastAsia"/>
          <w:b/>
          <w:sz w:val="21"/>
          <w:szCs w:val="21"/>
        </w:rPr>
        <w:t>评标过程的监控与保密</w:t>
      </w:r>
    </w:p>
    <w:p>
      <w:pPr>
        <w:pStyle w:val="116"/>
        <w:ind w:firstLine="420"/>
        <w:rPr>
          <w:sz w:val="21"/>
          <w:szCs w:val="21"/>
        </w:rPr>
      </w:pPr>
      <w:r>
        <w:rPr>
          <w:rFonts w:hint="eastAsia"/>
          <w:sz w:val="21"/>
          <w:szCs w:val="21"/>
        </w:rPr>
        <w:t>18.1本项目评标过程实行全程录音、录像监控，投标人在评标过程中所进行的试图影响评标结果的不公正活动，可能导致其投标被拒绝。</w:t>
      </w:r>
    </w:p>
    <w:p>
      <w:pPr>
        <w:pStyle w:val="116"/>
        <w:ind w:firstLine="420"/>
        <w:rPr>
          <w:sz w:val="21"/>
          <w:szCs w:val="21"/>
        </w:rPr>
      </w:pPr>
      <w:r>
        <w:rPr>
          <w:rFonts w:hint="eastAsia"/>
          <w:sz w:val="21"/>
          <w:szCs w:val="21"/>
        </w:rPr>
        <w:t>18.2开标后到中标通知书发出之前，所有涉及评标委员会名单以及对投标文件的澄清、评价、比较等情况，评标委员会成员、采购人和采购代理机构的有关人员均不得向投标人或其他无关人员透露。</w:t>
      </w:r>
    </w:p>
    <w:p>
      <w:pPr>
        <w:pStyle w:val="116"/>
        <w:ind w:firstLine="422"/>
        <w:rPr>
          <w:b/>
          <w:sz w:val="21"/>
          <w:szCs w:val="21"/>
        </w:rPr>
      </w:pPr>
      <w:r>
        <w:rPr>
          <w:rFonts w:hint="eastAsia"/>
          <w:b/>
          <w:sz w:val="21"/>
          <w:szCs w:val="21"/>
        </w:rPr>
        <w:t>19、确定中标人、评标结果公示与质疑</w:t>
      </w:r>
    </w:p>
    <w:p>
      <w:pPr>
        <w:pStyle w:val="116"/>
        <w:ind w:firstLine="420"/>
        <w:rPr>
          <w:sz w:val="21"/>
          <w:szCs w:val="21"/>
        </w:rPr>
      </w:pPr>
      <w:r>
        <w:rPr>
          <w:rFonts w:hint="eastAsia"/>
          <w:sz w:val="21"/>
          <w:szCs w:val="21"/>
        </w:rPr>
        <w:t>19.1采购代理机构在评标结束后2个工作日内将评标报告交采购人确认，采购人在收到评标报告之日起5个工作日内在评标报告确定的中标候选人中按顺序确定中标人，采购人在收到评标报告之日起5个工作日内未按评标报告推荐的中标候选人排序确定中标人，又不能说明合法理由的，视同按评标报告推荐的顺序确定排名第一的中标候选人为中标人。</w:t>
      </w:r>
    </w:p>
    <w:p>
      <w:pPr>
        <w:pStyle w:val="116"/>
        <w:ind w:firstLine="420"/>
        <w:rPr>
          <w:sz w:val="21"/>
          <w:szCs w:val="21"/>
        </w:rPr>
      </w:pPr>
      <w:r>
        <w:rPr>
          <w:rFonts w:hint="eastAsia"/>
          <w:sz w:val="21"/>
          <w:szCs w:val="21"/>
        </w:rPr>
        <w:t>19.2代理机构自中标人确定之日起2个工作日内，在发布采购公告的网站上对中标结果进行公示，中标结果公告期限为1个工作日。</w:t>
      </w:r>
    </w:p>
    <w:p>
      <w:pPr>
        <w:pStyle w:val="116"/>
        <w:ind w:firstLine="420"/>
        <w:rPr>
          <w:rFonts w:ascii="Verdana" w:hAnsi="Verdana"/>
          <w:sz w:val="21"/>
          <w:szCs w:val="21"/>
        </w:rPr>
      </w:pPr>
      <w:r>
        <w:rPr>
          <w:rFonts w:hint="eastAsia"/>
          <w:sz w:val="21"/>
          <w:szCs w:val="21"/>
        </w:rPr>
        <w:t>19.3投标人若对评标结果有异议，可在中标公告期限届满之日起七个工作日内向采购人提出书面质疑，质疑书应该有质疑人名称、地址、公章、法定代表人签名盖章、联系人姓名、联系电话、传真以及被质疑人名称及联系方式，被质疑采购项目名称、编号及采购内容，具体的质疑事项及事实依据，认为自己合法权益受到损害或可能受到损害的相关证据材料，提出质疑的日期，否则视为无效质疑。本采购代理机构将受采购人委托在收到质疑文件之日起7个工作日内书面答复。不受理无效的任何质疑。</w:t>
      </w:r>
    </w:p>
    <w:p>
      <w:pPr>
        <w:pStyle w:val="116"/>
        <w:ind w:firstLine="562"/>
        <w:jc w:val="center"/>
        <w:rPr>
          <w:b/>
          <w:sz w:val="28"/>
        </w:rPr>
      </w:pPr>
      <w:r>
        <w:rPr>
          <w:rFonts w:hint="eastAsia"/>
          <w:b/>
          <w:sz w:val="28"/>
        </w:rPr>
        <w:t>六、无效投标认定</w:t>
      </w:r>
    </w:p>
    <w:p>
      <w:pPr>
        <w:pStyle w:val="116"/>
        <w:ind w:firstLine="422"/>
        <w:rPr>
          <w:b/>
          <w:sz w:val="21"/>
          <w:szCs w:val="21"/>
        </w:rPr>
      </w:pPr>
      <w:r>
        <w:rPr>
          <w:rFonts w:hint="eastAsia"/>
          <w:b/>
          <w:sz w:val="21"/>
          <w:szCs w:val="21"/>
        </w:rPr>
        <w:t>20、实质上没有响应采购文件要求的投标将被视为无效投标。</w:t>
      </w:r>
    </w:p>
    <w:p>
      <w:pPr>
        <w:pStyle w:val="116"/>
        <w:ind w:firstLine="420"/>
        <w:rPr>
          <w:sz w:val="21"/>
          <w:szCs w:val="21"/>
        </w:rPr>
      </w:pPr>
      <w:r>
        <w:rPr>
          <w:rFonts w:hint="eastAsia"/>
          <w:sz w:val="21"/>
          <w:szCs w:val="21"/>
        </w:rPr>
        <w:t>20.1在资格审查时，不具备采购文件中规定的资格要求的，或者资格证明文件不全的，投标文件将被视为无效。</w:t>
      </w:r>
    </w:p>
    <w:p>
      <w:pPr>
        <w:pStyle w:val="116"/>
        <w:ind w:firstLine="420"/>
        <w:rPr>
          <w:sz w:val="21"/>
          <w:szCs w:val="21"/>
        </w:rPr>
      </w:pPr>
      <w:r>
        <w:rPr>
          <w:rFonts w:hint="eastAsia"/>
          <w:sz w:val="21"/>
          <w:szCs w:val="21"/>
        </w:rPr>
        <w:t>20.2</w:t>
      </w:r>
      <w:r>
        <w:rPr>
          <w:sz w:val="21"/>
          <w:szCs w:val="21"/>
        </w:rPr>
        <w:t>在符合性审查时，如发现下列情形之一的，投标文件将被视为无效：</w:t>
      </w:r>
    </w:p>
    <w:p>
      <w:pPr>
        <w:pStyle w:val="116"/>
        <w:ind w:firstLine="420"/>
        <w:rPr>
          <w:rFonts w:ascii="??" w:hAnsi="??" w:cs="宋体"/>
          <w:sz w:val="21"/>
          <w:szCs w:val="21"/>
        </w:rPr>
      </w:pPr>
      <w:r>
        <w:rPr>
          <w:rFonts w:hint="eastAsia" w:ascii="??" w:hAnsi="??" w:cs="宋体"/>
          <w:sz w:val="21"/>
          <w:szCs w:val="21"/>
        </w:rPr>
        <w:t>（1）投标文件未按采购文件要求签署、签章的；</w:t>
      </w:r>
    </w:p>
    <w:p>
      <w:pPr>
        <w:pStyle w:val="116"/>
        <w:ind w:firstLine="420"/>
        <w:rPr>
          <w:rFonts w:ascii="??" w:hAnsi="??" w:cs="宋体"/>
          <w:sz w:val="21"/>
          <w:szCs w:val="21"/>
        </w:rPr>
      </w:pPr>
      <w:r>
        <w:rPr>
          <w:rFonts w:hint="eastAsia" w:ascii="??" w:hAnsi="??" w:cs="宋体"/>
          <w:sz w:val="21"/>
          <w:szCs w:val="21"/>
        </w:rPr>
        <w:t>（2）投标有效期不满足采购文件要求的；</w:t>
      </w:r>
    </w:p>
    <w:p>
      <w:pPr>
        <w:pStyle w:val="116"/>
        <w:ind w:firstLine="420"/>
        <w:rPr>
          <w:rFonts w:ascii="??" w:hAnsi="??" w:cs="宋体"/>
          <w:sz w:val="21"/>
          <w:szCs w:val="21"/>
        </w:rPr>
      </w:pPr>
      <w:r>
        <w:rPr>
          <w:rFonts w:hint="eastAsia" w:ascii="??" w:hAnsi="??" w:cs="宋体"/>
          <w:sz w:val="21"/>
          <w:szCs w:val="21"/>
        </w:rPr>
        <w:t>（3）明显不符合采购文件要求的，或者与采购文件中标注“▲”的条款发生实质性偏离的；</w:t>
      </w:r>
    </w:p>
    <w:p>
      <w:pPr>
        <w:pStyle w:val="116"/>
        <w:ind w:firstLine="420"/>
        <w:rPr>
          <w:rFonts w:ascii="??" w:hAnsi="??" w:cs="宋体"/>
          <w:sz w:val="21"/>
          <w:szCs w:val="21"/>
        </w:rPr>
      </w:pPr>
      <w:r>
        <w:rPr>
          <w:rFonts w:hint="eastAsia" w:ascii="??" w:hAnsi="??" w:cs="宋体"/>
          <w:sz w:val="21"/>
          <w:szCs w:val="21"/>
        </w:rPr>
        <w:t>（4）投标文件中含有采购人不能接受的附加条件的；</w:t>
      </w:r>
    </w:p>
    <w:p>
      <w:pPr>
        <w:pStyle w:val="116"/>
        <w:ind w:firstLine="420"/>
        <w:rPr>
          <w:rFonts w:ascii="??" w:hAnsi="??" w:cs="宋体"/>
          <w:sz w:val="21"/>
          <w:szCs w:val="21"/>
        </w:rPr>
      </w:pPr>
      <w:r>
        <w:rPr>
          <w:rFonts w:hint="eastAsia" w:ascii="??" w:hAnsi="??" w:cs="宋体"/>
          <w:sz w:val="21"/>
          <w:szCs w:val="21"/>
        </w:rPr>
        <w:t>（5）投标声明书无法定代表人签名，或委托人未提供法定代表人授权委托书、填写项目不齐全的；</w:t>
      </w:r>
    </w:p>
    <w:p>
      <w:pPr>
        <w:pStyle w:val="116"/>
        <w:ind w:firstLine="420"/>
        <w:rPr>
          <w:rFonts w:ascii="??" w:hAnsi="??" w:cs="宋体"/>
          <w:sz w:val="21"/>
          <w:szCs w:val="21"/>
        </w:rPr>
      </w:pPr>
      <w:r>
        <w:rPr>
          <w:rFonts w:hint="eastAsia" w:ascii="??" w:hAnsi="??" w:cs="宋体"/>
          <w:sz w:val="21"/>
          <w:szCs w:val="21"/>
        </w:rPr>
        <w:t>（6）投标文件格式不规范、提供资料不齐全或者内容虚假的；</w:t>
      </w:r>
    </w:p>
    <w:p>
      <w:pPr>
        <w:pStyle w:val="116"/>
        <w:ind w:firstLine="420"/>
        <w:rPr>
          <w:sz w:val="21"/>
          <w:szCs w:val="21"/>
        </w:rPr>
      </w:pPr>
      <w:r>
        <w:rPr>
          <w:rFonts w:hint="eastAsia"/>
          <w:sz w:val="21"/>
          <w:szCs w:val="21"/>
        </w:rPr>
        <w:t>（7）投标文件的实质性内容未使用中文表述、表述不明确、前后矛盾或者使用计量单位不符合采购文件要求的（经评标委员会认定并允许其更正的笔误除外）；</w:t>
      </w:r>
    </w:p>
    <w:p>
      <w:pPr>
        <w:pStyle w:val="116"/>
        <w:ind w:firstLine="420"/>
        <w:rPr>
          <w:sz w:val="21"/>
          <w:szCs w:val="21"/>
        </w:rPr>
      </w:pPr>
      <w:r>
        <w:rPr>
          <w:rFonts w:hint="eastAsia"/>
          <w:sz w:val="21"/>
          <w:szCs w:val="21"/>
        </w:rPr>
        <w:t xml:space="preserve">（8）投标文件的关键内容字迹模糊、无法辨认的，或者投标文件中经修正的内容字迹模糊难以辨认或者修改处未按规定签署、盖章的； </w:t>
      </w:r>
    </w:p>
    <w:p>
      <w:pPr>
        <w:pStyle w:val="116"/>
        <w:ind w:firstLine="420"/>
        <w:rPr>
          <w:sz w:val="21"/>
          <w:szCs w:val="21"/>
        </w:rPr>
      </w:pPr>
      <w:r>
        <w:rPr>
          <w:rFonts w:hint="eastAsia"/>
          <w:sz w:val="21"/>
          <w:szCs w:val="21"/>
        </w:rPr>
        <w:t>（9）法律、法规和采购文件规定的其他无效情形。</w:t>
      </w:r>
    </w:p>
    <w:p>
      <w:pPr>
        <w:pStyle w:val="116"/>
        <w:ind w:firstLine="420"/>
        <w:rPr>
          <w:sz w:val="21"/>
          <w:szCs w:val="21"/>
        </w:rPr>
      </w:pPr>
      <w:r>
        <w:rPr>
          <w:rFonts w:hint="eastAsia"/>
          <w:sz w:val="21"/>
          <w:szCs w:val="21"/>
        </w:rPr>
        <w:t>20.3在技术商务评审时，如发现下列情形之一的，</w:t>
      </w:r>
      <w:r>
        <w:rPr>
          <w:sz w:val="21"/>
          <w:szCs w:val="21"/>
        </w:rPr>
        <w:t>投标文件将被视为无效：</w:t>
      </w:r>
    </w:p>
    <w:p>
      <w:pPr>
        <w:pStyle w:val="116"/>
        <w:ind w:firstLine="420"/>
        <w:rPr>
          <w:rFonts w:ascii="??" w:hAnsi="??" w:cs="宋体"/>
          <w:sz w:val="21"/>
          <w:szCs w:val="21"/>
        </w:rPr>
      </w:pPr>
      <w:r>
        <w:rPr>
          <w:rFonts w:ascii="??" w:hAnsi="??" w:cs="宋体"/>
          <w:sz w:val="21"/>
          <w:szCs w:val="21"/>
        </w:rPr>
        <w:t>（1）</w:t>
      </w:r>
      <w:r>
        <w:rPr>
          <w:rFonts w:hint="eastAsia" w:ascii="??" w:hAnsi="??" w:cs="宋体"/>
          <w:sz w:val="21"/>
          <w:szCs w:val="21"/>
        </w:rPr>
        <w:t>未提供或未如实提供投标货物的技术参数，或者投标文件标明的响应或偏离与事实不符或虚假投标的</w:t>
      </w:r>
      <w:r>
        <w:rPr>
          <w:rFonts w:ascii="??" w:hAnsi="??" w:cs="宋体"/>
          <w:sz w:val="21"/>
          <w:szCs w:val="21"/>
        </w:rPr>
        <w:t>；</w:t>
      </w:r>
    </w:p>
    <w:p>
      <w:pPr>
        <w:pStyle w:val="116"/>
        <w:ind w:firstLine="420"/>
        <w:rPr>
          <w:rFonts w:ascii="??" w:hAnsi="??" w:cs="宋体"/>
          <w:sz w:val="21"/>
          <w:szCs w:val="21"/>
        </w:rPr>
      </w:pPr>
      <w:r>
        <w:rPr>
          <w:rFonts w:ascii="??" w:hAnsi="??" w:cs="宋体"/>
          <w:sz w:val="21"/>
          <w:szCs w:val="21"/>
        </w:rPr>
        <w:t>（</w:t>
      </w:r>
      <w:r>
        <w:rPr>
          <w:rFonts w:hint="eastAsia" w:ascii="??" w:hAnsi="??" w:cs="宋体"/>
          <w:sz w:val="21"/>
          <w:szCs w:val="21"/>
        </w:rPr>
        <w:t>2</w:t>
      </w:r>
      <w:r>
        <w:rPr>
          <w:rFonts w:ascii="??" w:hAnsi="??" w:cs="宋体"/>
          <w:sz w:val="21"/>
          <w:szCs w:val="21"/>
        </w:rPr>
        <w:t>）</w:t>
      </w:r>
      <w:r>
        <w:rPr>
          <w:rFonts w:hint="eastAsia" w:ascii="??" w:hAnsi="??" w:cs="宋体"/>
          <w:sz w:val="21"/>
          <w:szCs w:val="21"/>
        </w:rPr>
        <w:t>明显不符合采购文件要求的规格型号、质量标准</w:t>
      </w:r>
      <w:r>
        <w:rPr>
          <w:rFonts w:ascii="??" w:hAnsi="??" w:cs="宋体"/>
          <w:sz w:val="21"/>
          <w:szCs w:val="21"/>
        </w:rPr>
        <w:t>；</w:t>
      </w:r>
    </w:p>
    <w:p>
      <w:pPr>
        <w:pStyle w:val="116"/>
        <w:ind w:firstLine="420"/>
        <w:rPr>
          <w:rFonts w:ascii="??" w:hAnsi="??" w:cs="宋体"/>
          <w:sz w:val="21"/>
          <w:szCs w:val="21"/>
        </w:rPr>
      </w:pPr>
      <w:r>
        <w:rPr>
          <w:rFonts w:hint="eastAsia" w:ascii="??" w:hAnsi="??" w:cs="宋体"/>
          <w:sz w:val="21"/>
          <w:szCs w:val="21"/>
        </w:rPr>
        <w:t>（3）投标技术方案不明确，存在一个或一个以上备选（替代）投标方案的。</w:t>
      </w:r>
    </w:p>
    <w:p>
      <w:pPr>
        <w:pStyle w:val="116"/>
        <w:ind w:firstLine="420"/>
        <w:rPr>
          <w:sz w:val="21"/>
          <w:szCs w:val="21"/>
        </w:rPr>
      </w:pPr>
      <w:r>
        <w:rPr>
          <w:rFonts w:hint="eastAsia"/>
          <w:sz w:val="21"/>
          <w:szCs w:val="21"/>
        </w:rPr>
        <w:t>20.4</w:t>
      </w:r>
      <w:r>
        <w:rPr>
          <w:sz w:val="21"/>
          <w:szCs w:val="21"/>
        </w:rPr>
        <w:t>在报价评审时，如发现下列情形之一的，投标文件将被视为无效：</w:t>
      </w:r>
    </w:p>
    <w:p>
      <w:pPr>
        <w:pStyle w:val="116"/>
        <w:ind w:firstLine="420"/>
        <w:rPr>
          <w:rFonts w:ascii="??" w:hAnsi="??" w:cs="宋体"/>
          <w:sz w:val="21"/>
          <w:szCs w:val="21"/>
        </w:rPr>
      </w:pPr>
      <w:r>
        <w:rPr>
          <w:rFonts w:ascii="??" w:hAnsi="??" w:cs="宋体"/>
          <w:sz w:val="21"/>
          <w:szCs w:val="21"/>
        </w:rPr>
        <w:t>（1）</w:t>
      </w:r>
      <w:r>
        <w:rPr>
          <w:rFonts w:hint="eastAsia" w:ascii="??" w:hAnsi="??" w:cs="宋体"/>
          <w:bCs/>
          <w:sz w:val="21"/>
          <w:szCs w:val="21"/>
        </w:rPr>
        <w:t>报价超过采购文件中规定的预算金额或者最高限价的</w:t>
      </w:r>
      <w:r>
        <w:rPr>
          <w:rFonts w:ascii="??" w:hAnsi="??" w:cs="宋体"/>
          <w:sz w:val="21"/>
          <w:szCs w:val="21"/>
        </w:rPr>
        <w:t>；</w:t>
      </w:r>
    </w:p>
    <w:p>
      <w:pPr>
        <w:pStyle w:val="116"/>
        <w:ind w:firstLine="420"/>
        <w:rPr>
          <w:rFonts w:ascii="??" w:hAnsi="??" w:cs="宋体"/>
          <w:sz w:val="21"/>
          <w:szCs w:val="21"/>
        </w:rPr>
      </w:pPr>
      <w:r>
        <w:rPr>
          <w:rFonts w:ascii="??" w:hAnsi="??" w:cs="宋体"/>
          <w:sz w:val="21"/>
          <w:szCs w:val="21"/>
        </w:rPr>
        <w:t>（2）</w:t>
      </w:r>
      <w:r>
        <w:rPr>
          <w:rFonts w:hint="eastAsia" w:ascii="??" w:hAnsi="??" w:cs="宋体"/>
          <w:bCs/>
          <w:sz w:val="21"/>
          <w:szCs w:val="21"/>
        </w:rPr>
        <w:t>未采用采购文件要求的报价形式报价的</w:t>
      </w:r>
      <w:r>
        <w:rPr>
          <w:rFonts w:hint="eastAsia" w:ascii="??" w:hAnsi="??" w:cs="宋体"/>
          <w:sz w:val="21"/>
          <w:szCs w:val="21"/>
        </w:rPr>
        <w:t>；</w:t>
      </w:r>
    </w:p>
    <w:p>
      <w:pPr>
        <w:pStyle w:val="116"/>
        <w:ind w:firstLine="420"/>
        <w:rPr>
          <w:rFonts w:ascii="??" w:hAnsi="??" w:cs="宋体"/>
          <w:sz w:val="21"/>
          <w:szCs w:val="21"/>
        </w:rPr>
      </w:pPr>
      <w:r>
        <w:rPr>
          <w:rFonts w:hint="eastAsia" w:ascii="??" w:hAnsi="??" w:cs="宋体"/>
          <w:sz w:val="21"/>
          <w:szCs w:val="21"/>
        </w:rPr>
        <w:t>（3）投标报价具有选择性的；</w:t>
      </w:r>
    </w:p>
    <w:p>
      <w:pPr>
        <w:pStyle w:val="116"/>
        <w:ind w:firstLine="420"/>
        <w:rPr>
          <w:rFonts w:ascii="??" w:hAnsi="??" w:cs="宋体"/>
          <w:sz w:val="21"/>
          <w:szCs w:val="21"/>
        </w:rPr>
      </w:pPr>
      <w:r>
        <w:rPr>
          <w:rFonts w:hint="eastAsia" w:ascii="??" w:hAnsi="??" w:cs="宋体"/>
          <w:sz w:val="21"/>
          <w:szCs w:val="21"/>
        </w:rPr>
        <w:t>（4）投标人的报价明显低于其他通过符合性审查供应商的报价，评标委员会认为有可能影响产品质量或者不能诚信履约要求其在评标</w:t>
      </w:r>
      <w:r>
        <w:rPr>
          <w:rFonts w:ascii="??" w:hAnsi="??" w:cs="宋体"/>
          <w:sz w:val="21"/>
          <w:szCs w:val="21"/>
        </w:rPr>
        <w:t>现场</w:t>
      </w:r>
      <w:r>
        <w:rPr>
          <w:rFonts w:hint="eastAsia" w:ascii="??" w:hAnsi="??" w:cs="宋体"/>
          <w:sz w:val="21"/>
          <w:szCs w:val="21"/>
        </w:rPr>
        <w:t>合理的时间内提供书面说明，必要时提交相关证明材料，投标人不能证明其报价合理性的；</w:t>
      </w:r>
    </w:p>
    <w:p>
      <w:pPr>
        <w:pStyle w:val="116"/>
        <w:ind w:firstLine="420"/>
        <w:rPr>
          <w:rFonts w:ascii="??" w:hAnsi="??" w:cs="宋体"/>
          <w:sz w:val="21"/>
          <w:szCs w:val="21"/>
        </w:rPr>
      </w:pPr>
      <w:r>
        <w:rPr>
          <w:rFonts w:hint="eastAsia" w:ascii="??" w:hAnsi="??" w:cs="宋体"/>
          <w:sz w:val="21"/>
          <w:szCs w:val="21"/>
        </w:rPr>
        <w:t>（5）投标报价中出现重大缺项、漏项或被评标委员会</w:t>
      </w:r>
      <w:r>
        <w:rPr>
          <w:rFonts w:hint="eastAsia" w:ascii="??" w:hAnsi="??" w:cs="宋体"/>
          <w:bCs/>
          <w:sz w:val="21"/>
          <w:szCs w:val="21"/>
        </w:rPr>
        <w:t>认为投标人的报价明显低于</w:t>
      </w:r>
      <w:r>
        <w:rPr>
          <w:rFonts w:hint="eastAsia" w:ascii="??" w:hAnsi="??" w:cs="宋体"/>
          <w:sz w:val="21"/>
          <w:szCs w:val="21"/>
        </w:rPr>
        <w:t>其他通过符合性审查投标人的报价，且投标人不能证明其报价合理性的；</w:t>
      </w:r>
    </w:p>
    <w:p>
      <w:pPr>
        <w:pStyle w:val="116"/>
        <w:ind w:firstLine="420"/>
        <w:rPr>
          <w:rFonts w:ascii="??" w:hAnsi="??" w:cs="宋体"/>
          <w:sz w:val="21"/>
          <w:szCs w:val="21"/>
        </w:rPr>
      </w:pPr>
      <w:r>
        <w:rPr>
          <w:rFonts w:hint="eastAsia" w:ascii="??" w:hAnsi="??" w:cs="宋体"/>
          <w:sz w:val="21"/>
          <w:szCs w:val="21"/>
        </w:rPr>
        <w:t>（6）</w:t>
      </w:r>
      <w:r>
        <w:rPr>
          <w:rFonts w:hint="eastAsia" w:ascii="??" w:hAnsi="??" w:cs="宋体"/>
          <w:bCs/>
          <w:sz w:val="21"/>
          <w:szCs w:val="21"/>
        </w:rPr>
        <w:t>采购文件规定的其他无效情形。</w:t>
      </w:r>
    </w:p>
    <w:p>
      <w:pPr>
        <w:pStyle w:val="116"/>
        <w:ind w:firstLine="420"/>
        <w:rPr>
          <w:sz w:val="21"/>
          <w:szCs w:val="21"/>
        </w:rPr>
      </w:pPr>
      <w:r>
        <w:rPr>
          <w:rFonts w:hint="eastAsia"/>
          <w:sz w:val="21"/>
          <w:szCs w:val="21"/>
        </w:rPr>
        <w:t>20.5</w:t>
      </w:r>
      <w:r>
        <w:rPr>
          <w:sz w:val="21"/>
          <w:szCs w:val="21"/>
        </w:rPr>
        <w:t>被拒绝的投标文件为无效。</w:t>
      </w:r>
    </w:p>
    <w:p>
      <w:pPr>
        <w:pStyle w:val="116"/>
        <w:ind w:firstLine="562"/>
        <w:jc w:val="center"/>
        <w:rPr>
          <w:b/>
          <w:sz w:val="28"/>
        </w:rPr>
      </w:pPr>
      <w:r>
        <w:rPr>
          <w:rFonts w:hint="eastAsia"/>
          <w:b/>
          <w:sz w:val="28"/>
        </w:rPr>
        <w:t>七、合同签订及其他</w:t>
      </w:r>
    </w:p>
    <w:p>
      <w:pPr>
        <w:pStyle w:val="116"/>
        <w:ind w:firstLine="420"/>
        <w:rPr>
          <w:sz w:val="21"/>
          <w:szCs w:val="21"/>
        </w:rPr>
      </w:pPr>
      <w:r>
        <w:rPr>
          <w:rFonts w:hint="eastAsia"/>
          <w:sz w:val="21"/>
          <w:szCs w:val="21"/>
        </w:rPr>
        <w:t>21、中标人在本采购代理机构发出中标通知书的30日内，应与采购人按照和中标人的投标文件的约定内容签订书面合同。</w:t>
      </w:r>
    </w:p>
    <w:p>
      <w:pPr>
        <w:pStyle w:val="116"/>
        <w:ind w:firstLine="420"/>
        <w:rPr>
          <w:sz w:val="21"/>
          <w:szCs w:val="21"/>
        </w:rPr>
      </w:pPr>
      <w:r>
        <w:rPr>
          <w:rFonts w:hint="eastAsia"/>
          <w:sz w:val="21"/>
          <w:szCs w:val="21"/>
        </w:rPr>
        <w:t>22、采购人不得向中标人提出任何不合理的要求作为签订合同的条件。</w:t>
      </w:r>
    </w:p>
    <w:p>
      <w:pPr>
        <w:pStyle w:val="116"/>
        <w:ind w:firstLine="420"/>
        <w:rPr>
          <w:sz w:val="21"/>
          <w:szCs w:val="21"/>
        </w:rPr>
      </w:pPr>
      <w:r>
        <w:rPr>
          <w:rFonts w:hint="eastAsia"/>
          <w:sz w:val="21"/>
          <w:szCs w:val="21"/>
        </w:rPr>
        <w:t>23、中标人的投标文件及在评标过程中提交的澄清文件均应作为合同附件。</w:t>
      </w:r>
    </w:p>
    <w:p>
      <w:pPr>
        <w:pStyle w:val="116"/>
        <w:ind w:firstLine="420"/>
        <w:rPr>
          <w:sz w:val="21"/>
          <w:szCs w:val="21"/>
        </w:rPr>
      </w:pPr>
      <w:r>
        <w:rPr>
          <w:rFonts w:hint="eastAsia"/>
          <w:sz w:val="21"/>
          <w:szCs w:val="21"/>
        </w:rPr>
        <w:t>24、中标人拒绝与采购人签订合同的。采购人可以按照评审报告推荐的中标候选人名单排序，确定下一候选人为中标人，也可以重新开展政府采购活动。同时，拒绝与采购人签订合同的供应商，由同级财政部门依法作出处理。</w:t>
      </w:r>
    </w:p>
    <w:p>
      <w:pPr>
        <w:pStyle w:val="116"/>
        <w:ind w:firstLine="420"/>
        <w:rPr>
          <w:sz w:val="21"/>
          <w:szCs w:val="21"/>
        </w:rPr>
      </w:pPr>
      <w:r>
        <w:rPr>
          <w:rFonts w:hint="eastAsia"/>
          <w:sz w:val="21"/>
          <w:szCs w:val="21"/>
        </w:rPr>
        <w:t>25、采购人应当自政府采购合同签订之日起2个工作日内，在省级以上财政部门指定的政府采购信息发布媒体及相关网站上公告。</w:t>
      </w:r>
    </w:p>
    <w:p>
      <w:pPr>
        <w:pStyle w:val="116"/>
        <w:ind w:firstLine="420"/>
        <w:rPr>
          <w:sz w:val="21"/>
          <w:szCs w:val="21"/>
        </w:rPr>
      </w:pPr>
      <w:r>
        <w:rPr>
          <w:rFonts w:hint="eastAsia"/>
          <w:sz w:val="21"/>
          <w:szCs w:val="21"/>
        </w:rPr>
        <w:t>26、采购人应当自政府采购合同签订之日起7个工作日内，将政府采购合同副本报同级人民政府财政部门备案以及采购组织。</w:t>
      </w:r>
    </w:p>
    <w:p>
      <w:pPr>
        <w:pStyle w:val="116"/>
        <w:ind w:firstLine="562"/>
        <w:jc w:val="center"/>
        <w:rPr>
          <w:b/>
          <w:sz w:val="28"/>
        </w:rPr>
      </w:pPr>
      <w:r>
        <w:rPr>
          <w:rFonts w:hint="eastAsia"/>
          <w:b/>
          <w:sz w:val="28"/>
        </w:rPr>
        <w:t>八、履约验收</w:t>
      </w:r>
    </w:p>
    <w:p>
      <w:pPr>
        <w:pStyle w:val="116"/>
        <w:ind w:firstLine="420"/>
        <w:rPr>
          <w:sz w:val="21"/>
          <w:szCs w:val="21"/>
        </w:rPr>
      </w:pPr>
      <w:r>
        <w:rPr>
          <w:rFonts w:hint="eastAsia"/>
          <w:sz w:val="21"/>
          <w:szCs w:val="21"/>
        </w:rPr>
        <w:t>27、采购人负责对中标供应商的履约行为进行验收。政府向社会公众提供的公共服务项目，验收时应当邀请服务对象参与并出具意见，验收结果应当向社会公告。</w:t>
      </w:r>
    </w:p>
    <w:p>
      <w:pPr>
        <w:pStyle w:val="116"/>
        <w:ind w:firstLine="562"/>
        <w:jc w:val="center"/>
        <w:rPr>
          <w:b/>
          <w:sz w:val="28"/>
        </w:rPr>
      </w:pPr>
      <w:r>
        <w:rPr>
          <w:rFonts w:hint="eastAsia"/>
          <w:b/>
          <w:sz w:val="28"/>
        </w:rPr>
        <w:t>九、政府采购活动中有关中小企业的相关规定</w:t>
      </w:r>
    </w:p>
    <w:p>
      <w:pPr>
        <w:pStyle w:val="116"/>
        <w:ind w:firstLine="562"/>
        <w:jc w:val="center"/>
        <w:rPr>
          <w:b/>
          <w:sz w:val="28"/>
          <w:highlight w:val="none"/>
        </w:rPr>
      </w:pPr>
      <w:r>
        <w:rPr>
          <w:rFonts w:hint="eastAsia"/>
          <w:b/>
          <w:sz w:val="28"/>
        </w:rPr>
        <w:t>（采购进口产品的项目不适</w:t>
      </w:r>
      <w:r>
        <w:rPr>
          <w:rFonts w:hint="eastAsia"/>
          <w:b/>
          <w:sz w:val="28"/>
          <w:highlight w:val="none"/>
        </w:rPr>
        <w:t>用）</w:t>
      </w:r>
    </w:p>
    <w:p>
      <w:pPr>
        <w:pStyle w:val="116"/>
        <w:ind w:firstLine="422"/>
        <w:rPr>
          <w:b/>
          <w:sz w:val="21"/>
          <w:szCs w:val="21"/>
          <w:highlight w:val="none"/>
        </w:rPr>
      </w:pPr>
      <w:r>
        <w:rPr>
          <w:rFonts w:hint="eastAsia"/>
          <w:b/>
          <w:sz w:val="21"/>
          <w:szCs w:val="21"/>
          <w:highlight w:val="none"/>
        </w:rPr>
        <w:t>28、</w:t>
      </w:r>
      <w:r>
        <w:rPr>
          <w:rFonts w:hint="eastAsia"/>
          <w:b w:val="0"/>
          <w:bCs/>
          <w:sz w:val="21"/>
          <w:szCs w:val="21"/>
          <w:highlight w:val="none"/>
        </w:rPr>
        <w:t>本项目专门面向</w:t>
      </w:r>
      <w:r>
        <w:rPr>
          <w:rFonts w:hint="eastAsia"/>
          <w:b/>
          <w:sz w:val="21"/>
          <w:szCs w:val="21"/>
          <w:highlight w:val="none"/>
        </w:rPr>
        <w:t>中小企业/小微企业</w:t>
      </w:r>
      <w:r>
        <w:rPr>
          <w:rFonts w:hint="eastAsia"/>
          <w:b w:val="0"/>
          <w:bCs/>
          <w:sz w:val="21"/>
          <w:szCs w:val="21"/>
          <w:highlight w:val="none"/>
        </w:rPr>
        <w:t>采购</w:t>
      </w:r>
      <w:r>
        <w:rPr>
          <w:rFonts w:hint="eastAsia"/>
          <w:b/>
          <w:sz w:val="21"/>
          <w:szCs w:val="21"/>
          <w:highlight w:val="none"/>
        </w:rPr>
        <w:t>。</w:t>
      </w:r>
    </w:p>
    <w:p>
      <w:pPr>
        <w:pStyle w:val="116"/>
        <w:ind w:firstLine="422"/>
        <w:rPr>
          <w:b/>
          <w:sz w:val="21"/>
          <w:szCs w:val="21"/>
          <w:highlight w:val="none"/>
        </w:rPr>
      </w:pPr>
      <w:r>
        <w:rPr>
          <w:rFonts w:hint="eastAsia"/>
          <w:b/>
          <w:sz w:val="21"/>
          <w:szCs w:val="21"/>
          <w:highlight w:val="none"/>
        </w:rPr>
        <w:t>29、本项目对应的中小企业划型标准所属行业：软件和信息技术服务业。</w:t>
      </w:r>
    </w:p>
    <w:p>
      <w:pPr>
        <w:pStyle w:val="116"/>
        <w:ind w:firstLine="420"/>
        <w:rPr>
          <w:sz w:val="21"/>
          <w:szCs w:val="21"/>
        </w:rPr>
      </w:pPr>
      <w:r>
        <w:rPr>
          <w:rFonts w:hint="eastAsia"/>
          <w:sz w:val="21"/>
          <w:szCs w:val="21"/>
          <w:highlight w:val="none"/>
        </w:rPr>
        <w:t>30、小微企业是指中华人民共和国境内依法设立，依据国务院批准</w:t>
      </w:r>
      <w:r>
        <w:rPr>
          <w:rFonts w:hint="eastAsia"/>
          <w:sz w:val="21"/>
          <w:szCs w:val="21"/>
        </w:rPr>
        <w:t>的中小企业划分标准确定的小型企业和微型企业，但与大企业的负责人为同一人，或者与大企业存在直接控股、管理关系的除外。</w:t>
      </w:r>
    </w:p>
    <w:p>
      <w:pPr>
        <w:pStyle w:val="116"/>
        <w:ind w:firstLine="420"/>
        <w:rPr>
          <w:sz w:val="21"/>
          <w:szCs w:val="21"/>
        </w:rPr>
      </w:pPr>
      <w:r>
        <w:rPr>
          <w:rFonts w:hint="eastAsia"/>
          <w:sz w:val="21"/>
          <w:szCs w:val="21"/>
        </w:rPr>
        <w:t>符合中小企业划分标准的个体工商户，在政府采购活动中视同中小企业。</w:t>
      </w:r>
    </w:p>
    <w:p>
      <w:pPr>
        <w:pStyle w:val="116"/>
        <w:ind w:firstLine="420"/>
        <w:rPr>
          <w:sz w:val="21"/>
          <w:szCs w:val="21"/>
        </w:rPr>
      </w:pPr>
      <w:r>
        <w:rPr>
          <w:rFonts w:hint="eastAsia"/>
          <w:sz w:val="21"/>
          <w:szCs w:val="21"/>
        </w:rPr>
        <w:t>国务院批准的中小企业划分标准：具体见工信部联企业[2011]300号。</w:t>
      </w:r>
    </w:p>
    <w:p>
      <w:pPr>
        <w:pStyle w:val="116"/>
        <w:ind w:firstLine="420"/>
        <w:rPr>
          <w:sz w:val="21"/>
          <w:szCs w:val="21"/>
        </w:rPr>
      </w:pPr>
      <w:r>
        <w:rPr>
          <w:rFonts w:hint="eastAsia"/>
          <w:sz w:val="21"/>
          <w:szCs w:val="21"/>
        </w:rPr>
        <w:t>31、在政府采购活动中，供应商提供的货物、工程或者服务符合下列情形的，可享受小型、微型企业（以下简称小微企业）的价格扣除：</w:t>
      </w:r>
    </w:p>
    <w:p>
      <w:pPr>
        <w:pStyle w:val="116"/>
        <w:ind w:firstLine="420"/>
        <w:rPr>
          <w:sz w:val="21"/>
          <w:szCs w:val="21"/>
        </w:rPr>
      </w:pPr>
      <w:r>
        <w:rPr>
          <w:rFonts w:hint="eastAsia"/>
          <w:sz w:val="21"/>
          <w:szCs w:val="21"/>
        </w:rPr>
        <w:t>（1）在货物采购项目中，货物由小微企业制造，即货物由小微企业生产且使用该小微企业商号或者注册商标；</w:t>
      </w:r>
    </w:p>
    <w:p>
      <w:pPr>
        <w:pStyle w:val="116"/>
        <w:ind w:firstLine="420"/>
        <w:rPr>
          <w:sz w:val="21"/>
          <w:szCs w:val="21"/>
        </w:rPr>
      </w:pPr>
      <w:r>
        <w:rPr>
          <w:rFonts w:hint="eastAsia"/>
          <w:sz w:val="21"/>
          <w:szCs w:val="21"/>
        </w:rPr>
        <w:t>（2）在工程采购项目中，工程由小微企业承建，即工程施工单位为小微企业；</w:t>
      </w:r>
    </w:p>
    <w:p>
      <w:pPr>
        <w:pStyle w:val="116"/>
        <w:ind w:firstLine="420"/>
        <w:rPr>
          <w:sz w:val="21"/>
          <w:szCs w:val="21"/>
        </w:rPr>
      </w:pPr>
      <w:r>
        <w:rPr>
          <w:rFonts w:hint="eastAsia"/>
          <w:sz w:val="21"/>
          <w:szCs w:val="21"/>
        </w:rPr>
        <w:t>（3）在服务采购项目中，服务由小微企业承接，即提供服务的人员为小微企业依照《中华人民共和国劳动合同法》订立劳动合同的从业人员。</w:t>
      </w:r>
    </w:p>
    <w:p>
      <w:pPr>
        <w:pStyle w:val="116"/>
        <w:ind w:firstLine="420"/>
        <w:rPr>
          <w:sz w:val="21"/>
          <w:szCs w:val="21"/>
        </w:rPr>
      </w:pPr>
      <w:r>
        <w:rPr>
          <w:rFonts w:hint="eastAsia"/>
          <w:sz w:val="21"/>
          <w:szCs w:val="21"/>
        </w:rPr>
        <w:t>以联合体形式参加政府采购活动，联合体各方均为小微企业的，联合体视同小微企业。</w:t>
      </w:r>
    </w:p>
    <w:p>
      <w:pPr>
        <w:pStyle w:val="116"/>
        <w:ind w:firstLine="420"/>
        <w:rPr>
          <w:sz w:val="21"/>
          <w:szCs w:val="21"/>
        </w:rPr>
      </w:pPr>
      <w:r>
        <w:rPr>
          <w:rFonts w:hint="eastAsia"/>
          <w:sz w:val="21"/>
          <w:szCs w:val="21"/>
        </w:rPr>
        <w:t>32、在货物采购项目中，供应商提供的货物既有中小企业制造货物，也有大型企业制造货物的，不享受的小微企业价格扣除。</w:t>
      </w:r>
    </w:p>
    <w:p>
      <w:pPr>
        <w:pStyle w:val="116"/>
        <w:ind w:firstLine="420"/>
        <w:rPr>
          <w:sz w:val="21"/>
          <w:szCs w:val="21"/>
        </w:rPr>
      </w:pPr>
      <w:r>
        <w:rPr>
          <w:rFonts w:hint="eastAsia"/>
          <w:sz w:val="21"/>
          <w:szCs w:val="21"/>
        </w:rPr>
        <w:t>3</w:t>
      </w:r>
      <w:r>
        <w:rPr>
          <w:rFonts w:hint="eastAsia"/>
          <w:sz w:val="21"/>
          <w:szCs w:val="21"/>
          <w:lang w:val="en-US" w:eastAsia="zh-CN"/>
        </w:rPr>
        <w:t>3</w:t>
      </w:r>
      <w:r>
        <w:rPr>
          <w:rFonts w:hint="eastAsia"/>
          <w:sz w:val="21"/>
          <w:szCs w:val="21"/>
        </w:rPr>
        <w:t>、小微企业应按照采购文件格式要求提供《中小企业声明函》。</w:t>
      </w:r>
    </w:p>
    <w:p>
      <w:pPr>
        <w:pStyle w:val="116"/>
        <w:ind w:firstLine="420"/>
        <w:rPr>
          <w:sz w:val="21"/>
          <w:szCs w:val="21"/>
        </w:rPr>
      </w:pPr>
      <w:r>
        <w:rPr>
          <w:rFonts w:hint="eastAsia"/>
          <w:sz w:val="21"/>
          <w:szCs w:val="21"/>
        </w:rPr>
        <w:t>3</w:t>
      </w:r>
      <w:r>
        <w:rPr>
          <w:rFonts w:hint="eastAsia"/>
          <w:sz w:val="21"/>
          <w:szCs w:val="21"/>
          <w:lang w:val="en-US" w:eastAsia="zh-CN"/>
        </w:rPr>
        <w:t>4</w:t>
      </w:r>
      <w:r>
        <w:rPr>
          <w:rFonts w:hint="eastAsia"/>
          <w:sz w:val="21"/>
          <w:szCs w:val="21"/>
        </w:rPr>
        <w:t>、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pPr>
        <w:pStyle w:val="116"/>
        <w:ind w:firstLine="420"/>
        <w:rPr>
          <w:sz w:val="21"/>
          <w:szCs w:val="21"/>
        </w:rPr>
      </w:pPr>
      <w:r>
        <w:rPr>
          <w:rFonts w:hint="eastAsia"/>
          <w:sz w:val="21"/>
          <w:szCs w:val="21"/>
        </w:rPr>
        <w:t>3</w:t>
      </w:r>
      <w:r>
        <w:rPr>
          <w:rFonts w:hint="eastAsia"/>
          <w:sz w:val="21"/>
          <w:szCs w:val="21"/>
          <w:lang w:val="en-US" w:eastAsia="zh-CN"/>
        </w:rPr>
        <w:t>5</w:t>
      </w:r>
      <w:r>
        <w:rPr>
          <w:rFonts w:hint="eastAsia"/>
          <w:sz w:val="21"/>
          <w:szCs w:val="21"/>
        </w:rPr>
        <w:t>、根据《关于促进残疾人就业政府采购政策的通知》（财库[2017]141号）规定，在政府采购活动中，残疾人福利性单位视同小型、微型企业。残疾人福利性单位参加政府采购活动时，提供《残疾人福利性单位声明函》。</w:t>
      </w:r>
    </w:p>
    <w:p>
      <w:pPr>
        <w:pStyle w:val="116"/>
        <w:ind w:firstLine="420"/>
        <w:rPr>
          <w:sz w:val="21"/>
          <w:szCs w:val="21"/>
        </w:rPr>
      </w:pPr>
      <w:r>
        <w:rPr>
          <w:rFonts w:hint="eastAsia"/>
          <w:sz w:val="21"/>
          <w:szCs w:val="21"/>
        </w:rPr>
        <w:t>3</w:t>
      </w:r>
      <w:r>
        <w:rPr>
          <w:rFonts w:hint="eastAsia"/>
          <w:sz w:val="21"/>
          <w:szCs w:val="21"/>
          <w:lang w:val="en-US" w:eastAsia="zh-CN"/>
        </w:rPr>
        <w:t>6</w:t>
      </w:r>
      <w:r>
        <w:rPr>
          <w:rFonts w:hint="eastAsia"/>
          <w:sz w:val="21"/>
          <w:szCs w:val="21"/>
        </w:rPr>
        <w:t>、按规定享受扶持政策获得政府采购合同的，小微企业不得将合同分包给大中型企业，中型企业不得将合同分包给大型企业。</w:t>
      </w:r>
    </w:p>
    <w:p>
      <w:pPr>
        <w:pStyle w:val="116"/>
        <w:ind w:firstLine="420"/>
        <w:rPr>
          <w:sz w:val="21"/>
          <w:szCs w:val="21"/>
        </w:rPr>
      </w:pPr>
      <w:r>
        <w:rPr>
          <w:rFonts w:hint="eastAsia"/>
          <w:sz w:val="21"/>
          <w:szCs w:val="21"/>
        </w:rPr>
        <w:t>3</w:t>
      </w:r>
      <w:r>
        <w:rPr>
          <w:rFonts w:hint="eastAsia"/>
          <w:sz w:val="21"/>
          <w:szCs w:val="21"/>
          <w:lang w:val="en-US" w:eastAsia="zh-CN"/>
        </w:rPr>
        <w:t>7</w:t>
      </w:r>
      <w:r>
        <w:rPr>
          <w:rFonts w:hint="eastAsia"/>
          <w:sz w:val="21"/>
          <w:szCs w:val="21"/>
        </w:rPr>
        <w:t xml:space="preserve">、供应商按照《政府采购促进中小企业发展管理办法》（财库﹝2020﹞46号）规定提供声明函内容不实的，属于提供虚假材料谋取中标、成交，依照《中华人民共和国政府采购法》等国家有关规定追究相应责任。  </w:t>
      </w:r>
    </w:p>
    <w:p>
      <w:pPr>
        <w:shd w:val="clear" w:color="auto" w:fill="FFFFFF"/>
        <w:snapToGrid w:val="0"/>
        <w:spacing w:line="400" w:lineRule="exact"/>
        <w:ind w:firstLine="482" w:firstLineChars="200"/>
        <w:jc w:val="left"/>
        <w:rPr>
          <w:rFonts w:ascii="宋体" w:hAnsi="宋体"/>
          <w:b/>
          <w:sz w:val="24"/>
        </w:rPr>
        <w:sectPr>
          <w:footerReference r:id="rId7" w:type="default"/>
          <w:pgSz w:w="11906" w:h="16838"/>
          <w:pgMar w:top="1021" w:right="1588" w:bottom="1021" w:left="1588" w:header="851" w:footer="992" w:gutter="0"/>
          <w:pgNumType w:fmt="decimal"/>
          <w:cols w:space="425" w:num="1"/>
          <w:docGrid w:type="lines" w:linePitch="312" w:charSpace="0"/>
        </w:sectPr>
      </w:pPr>
    </w:p>
    <w:bookmarkEnd w:id="12"/>
    <w:bookmarkEnd w:id="13"/>
    <w:bookmarkEnd w:id="14"/>
    <w:p>
      <w:pPr>
        <w:spacing w:line="360" w:lineRule="auto"/>
        <w:jc w:val="center"/>
        <w:outlineLvl w:val="0"/>
        <w:rPr>
          <w:rFonts w:ascii="宋体" w:hAnsi="宋体"/>
          <w:b/>
          <w:sz w:val="36"/>
          <w:szCs w:val="36"/>
        </w:rPr>
      </w:pPr>
      <w:bookmarkStart w:id="71" w:name="_Toc19405"/>
      <w:bookmarkStart w:id="72" w:name="_Toc10854"/>
      <w:bookmarkStart w:id="73" w:name="_Toc29648"/>
      <w:bookmarkStart w:id="74" w:name="_Toc15940"/>
      <w:bookmarkStart w:id="75" w:name="_Toc26138"/>
      <w:bookmarkStart w:id="76" w:name="_Toc4213"/>
      <w:bookmarkStart w:id="77" w:name="_Toc9564"/>
      <w:bookmarkStart w:id="78" w:name="_Toc4644"/>
      <w:r>
        <w:fldChar w:fldCharType="begin"/>
      </w:r>
      <w:r>
        <w:instrText xml:space="preserve">HYPERLINK "file:///F:\\微信\\WeChat%20Files\\a29023143\\FileStorage\\File\\2021-11\\台州市公安局特警支队最小作战单元装备建设采购项目10.28.docx" \l "●评分标准"</w:instrText>
      </w:r>
      <w:r>
        <w:fldChar w:fldCharType="separate"/>
      </w:r>
      <w:r>
        <w:rPr>
          <w:rStyle w:val="54"/>
          <w:rFonts w:hint="eastAsia" w:ascii="宋体" w:hAnsi="宋体"/>
          <w:b/>
          <w:color w:val="auto"/>
          <w:sz w:val="32"/>
          <w:szCs w:val="32"/>
          <w:u w:val="none"/>
        </w:rPr>
        <w:t>第四部分 评标办法及评分标准</w:t>
      </w:r>
      <w:bookmarkEnd w:id="71"/>
      <w:r>
        <w:fldChar w:fldCharType="end"/>
      </w:r>
      <w:bookmarkEnd w:id="72"/>
      <w:bookmarkEnd w:id="73"/>
      <w:bookmarkEnd w:id="74"/>
      <w:bookmarkEnd w:id="75"/>
      <w:bookmarkEnd w:id="76"/>
      <w:bookmarkEnd w:id="77"/>
      <w:bookmarkEnd w:id="78"/>
    </w:p>
    <w:p>
      <w:pPr>
        <w:pStyle w:val="116"/>
        <w:ind w:firstLine="420"/>
        <w:rPr>
          <w:sz w:val="21"/>
          <w:szCs w:val="21"/>
        </w:rPr>
      </w:pPr>
      <w:r>
        <w:rPr>
          <w:rFonts w:hint="eastAsia"/>
          <w:sz w:val="21"/>
          <w:szCs w:val="21"/>
        </w:rPr>
        <w:t>一、</w:t>
      </w:r>
      <w:r>
        <w:rPr>
          <w:sz w:val="21"/>
          <w:szCs w:val="21"/>
        </w:rPr>
        <w:t>本评标标准是对</w:t>
      </w:r>
      <w:r>
        <w:rPr>
          <w:rFonts w:hint="eastAsia"/>
          <w:sz w:val="21"/>
          <w:szCs w:val="21"/>
        </w:rPr>
        <w:t>《投标人须知》中</w:t>
      </w:r>
      <w:r>
        <w:rPr>
          <w:sz w:val="21"/>
          <w:szCs w:val="21"/>
        </w:rPr>
        <w:t>的</w:t>
      </w:r>
      <w:r>
        <w:rPr>
          <w:rFonts w:hint="eastAsia"/>
          <w:sz w:val="21"/>
          <w:szCs w:val="21"/>
        </w:rPr>
        <w:t>“五、</w:t>
      </w:r>
      <w:r>
        <w:rPr>
          <w:sz w:val="21"/>
          <w:szCs w:val="21"/>
        </w:rPr>
        <w:t>评标和定标</w:t>
      </w:r>
      <w:r>
        <w:rPr>
          <w:rFonts w:hint="eastAsia"/>
          <w:sz w:val="21"/>
          <w:szCs w:val="21"/>
        </w:rPr>
        <w:t>”</w:t>
      </w:r>
      <w:r>
        <w:rPr>
          <w:sz w:val="21"/>
          <w:szCs w:val="21"/>
        </w:rPr>
        <w:t>的具体补充，如有不一致，以本办法为准。</w:t>
      </w:r>
    </w:p>
    <w:p>
      <w:pPr>
        <w:pStyle w:val="116"/>
        <w:ind w:firstLine="420"/>
        <w:rPr>
          <w:sz w:val="21"/>
          <w:szCs w:val="21"/>
        </w:rPr>
      </w:pPr>
      <w:r>
        <w:rPr>
          <w:rFonts w:hint="eastAsia"/>
          <w:sz w:val="21"/>
          <w:szCs w:val="21"/>
        </w:rPr>
        <w:t>二、</w:t>
      </w:r>
      <w:r>
        <w:rPr>
          <w:sz w:val="21"/>
          <w:szCs w:val="21"/>
        </w:rPr>
        <w:t>评标委员会按照</w:t>
      </w:r>
      <w:r>
        <w:rPr>
          <w:rFonts w:hint="eastAsia"/>
          <w:sz w:val="21"/>
          <w:szCs w:val="21"/>
        </w:rPr>
        <w:t>投“标文件须知</w:t>
      </w:r>
      <w:r>
        <w:rPr>
          <w:sz w:val="21"/>
          <w:szCs w:val="21"/>
        </w:rPr>
        <w:t>中”中关于评标委员会、评标办法、评标程序和原则、推荐中标人、定标等规定和本标准开展评标工作。</w:t>
      </w:r>
    </w:p>
    <w:p>
      <w:pPr>
        <w:pStyle w:val="116"/>
        <w:ind w:firstLine="420"/>
        <w:rPr>
          <w:sz w:val="21"/>
          <w:szCs w:val="21"/>
        </w:rPr>
      </w:pPr>
      <w:r>
        <w:rPr>
          <w:rFonts w:hint="eastAsia"/>
          <w:sz w:val="21"/>
          <w:szCs w:val="21"/>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pStyle w:val="116"/>
        <w:ind w:firstLine="420"/>
        <w:rPr>
          <w:sz w:val="21"/>
          <w:szCs w:val="21"/>
        </w:rPr>
      </w:pPr>
      <w:bookmarkStart w:id="79" w:name="_Toc30471"/>
      <w:bookmarkStart w:id="80" w:name="_Toc263083252"/>
      <w:bookmarkStart w:id="81" w:name="_Toc250837975"/>
      <w:r>
        <w:rPr>
          <w:rFonts w:hint="eastAsia"/>
          <w:sz w:val="21"/>
          <w:szCs w:val="21"/>
        </w:rPr>
        <w:t>三、</w:t>
      </w:r>
      <w:r>
        <w:rPr>
          <w:sz w:val="21"/>
          <w:szCs w:val="21"/>
        </w:rPr>
        <w:t>评标办法</w:t>
      </w:r>
      <w:bookmarkEnd w:id="79"/>
      <w:bookmarkEnd w:id="80"/>
    </w:p>
    <w:p>
      <w:pPr>
        <w:pStyle w:val="116"/>
        <w:ind w:firstLine="420"/>
        <w:rPr>
          <w:sz w:val="21"/>
          <w:szCs w:val="21"/>
        </w:rPr>
      </w:pPr>
      <w:r>
        <w:rPr>
          <w:sz w:val="21"/>
          <w:szCs w:val="21"/>
        </w:rPr>
        <w:t>本次采购招标项目选用：综合评分法</w:t>
      </w:r>
      <w:bookmarkEnd w:id="81"/>
      <w:bookmarkStart w:id="82" w:name="_Toc263083253"/>
      <w:bookmarkStart w:id="83" w:name="_Toc5897"/>
      <w:bookmarkStart w:id="84" w:name="_Toc250837976"/>
      <w:r>
        <w:rPr>
          <w:rFonts w:hint="eastAsia"/>
          <w:sz w:val="21"/>
          <w:szCs w:val="21"/>
        </w:rPr>
        <w:t>。</w:t>
      </w:r>
    </w:p>
    <w:p>
      <w:pPr>
        <w:pStyle w:val="116"/>
        <w:ind w:firstLine="420"/>
        <w:rPr>
          <w:sz w:val="21"/>
          <w:szCs w:val="21"/>
        </w:rPr>
      </w:pPr>
      <w:r>
        <w:rPr>
          <w:rFonts w:hint="eastAsia"/>
          <w:sz w:val="21"/>
          <w:szCs w:val="21"/>
        </w:rPr>
        <w:t>四、</w:t>
      </w:r>
      <w:r>
        <w:rPr>
          <w:sz w:val="21"/>
          <w:szCs w:val="21"/>
        </w:rPr>
        <w:t>评标细则</w:t>
      </w:r>
      <w:bookmarkEnd w:id="82"/>
      <w:bookmarkEnd w:id="83"/>
      <w:bookmarkEnd w:id="84"/>
    </w:p>
    <w:p>
      <w:pPr>
        <w:pStyle w:val="116"/>
        <w:ind w:firstLine="420"/>
        <w:rPr>
          <w:sz w:val="21"/>
          <w:szCs w:val="21"/>
        </w:rPr>
      </w:pPr>
      <w:bookmarkStart w:id="85" w:name="_Toc250837977"/>
      <w:bookmarkStart w:id="86" w:name="_Toc202897570"/>
      <w:bookmarkStart w:id="87" w:name="_Toc203406683"/>
      <w:bookmarkStart w:id="88" w:name="_Toc208222299"/>
      <w:bookmarkStart w:id="89" w:name="_Toc246663002"/>
      <w:bookmarkStart w:id="90" w:name="_Toc263083254"/>
      <w:bookmarkStart w:id="91" w:name="_Toc15854"/>
      <w:bookmarkStart w:id="92" w:name="_Toc471938831"/>
      <w:bookmarkStart w:id="93" w:name="_Toc243312838"/>
      <w:r>
        <w:rPr>
          <w:rFonts w:hint="eastAsia"/>
          <w:sz w:val="21"/>
          <w:szCs w:val="21"/>
        </w:rPr>
        <w:t>（一）</w:t>
      </w:r>
      <w:r>
        <w:rPr>
          <w:sz w:val="21"/>
          <w:szCs w:val="21"/>
        </w:rPr>
        <w:t>对初步审查（含资格性审查、符合性审查）合格者进行评分。</w:t>
      </w:r>
    </w:p>
    <w:p>
      <w:pPr>
        <w:pStyle w:val="116"/>
        <w:ind w:firstLine="420"/>
        <w:rPr>
          <w:sz w:val="21"/>
          <w:szCs w:val="21"/>
        </w:rPr>
      </w:pPr>
      <w:r>
        <w:rPr>
          <w:rFonts w:hint="eastAsia"/>
          <w:sz w:val="21"/>
          <w:szCs w:val="21"/>
        </w:rPr>
        <w:t>（二）</w:t>
      </w:r>
      <w:r>
        <w:rPr>
          <w:sz w:val="21"/>
          <w:szCs w:val="21"/>
        </w:rPr>
        <w:t>评审顺序依为初步审查、商务</w:t>
      </w:r>
      <w:r>
        <w:rPr>
          <w:rFonts w:hint="eastAsia"/>
          <w:sz w:val="21"/>
          <w:szCs w:val="21"/>
        </w:rPr>
        <w:t>技术</w:t>
      </w:r>
      <w:r>
        <w:rPr>
          <w:sz w:val="21"/>
          <w:szCs w:val="21"/>
        </w:rPr>
        <w:t>评审、价格评审、最终评分；评审过程中出现不合格时，不再进行下个程序评审，其投标报价也不进入价格评审范围。</w:t>
      </w:r>
    </w:p>
    <w:p>
      <w:pPr>
        <w:pStyle w:val="116"/>
        <w:ind w:firstLine="420"/>
        <w:rPr>
          <w:sz w:val="21"/>
          <w:szCs w:val="21"/>
        </w:rPr>
      </w:pPr>
      <w:r>
        <w:rPr>
          <w:rFonts w:hint="eastAsia"/>
          <w:sz w:val="21"/>
          <w:szCs w:val="21"/>
        </w:rPr>
        <w:t>（三）商务技术分（80</w:t>
      </w:r>
      <w:r>
        <w:rPr>
          <w:sz w:val="21"/>
          <w:szCs w:val="21"/>
        </w:rPr>
        <w:t>分）</w:t>
      </w:r>
    </w:p>
    <w:p>
      <w:pPr>
        <w:pStyle w:val="116"/>
        <w:ind w:firstLine="420"/>
        <w:rPr>
          <w:sz w:val="21"/>
          <w:szCs w:val="21"/>
        </w:rPr>
      </w:pPr>
      <w:r>
        <w:rPr>
          <w:rFonts w:hint="eastAsia"/>
          <w:sz w:val="21"/>
          <w:szCs w:val="21"/>
        </w:rPr>
        <w:t>1</w:t>
      </w:r>
      <w:r>
        <w:rPr>
          <w:sz w:val="21"/>
          <w:szCs w:val="21"/>
        </w:rPr>
        <w:t>、商务与技术文件中的客观分由评标委员会讨论后统一打分；其余在规定的分值内单独评定打分。</w:t>
      </w:r>
    </w:p>
    <w:p>
      <w:pPr>
        <w:pStyle w:val="116"/>
        <w:ind w:firstLine="420"/>
        <w:rPr>
          <w:sz w:val="21"/>
          <w:szCs w:val="21"/>
        </w:rPr>
      </w:pPr>
      <w:r>
        <w:rPr>
          <w:rFonts w:hint="eastAsia"/>
          <w:sz w:val="21"/>
          <w:szCs w:val="21"/>
        </w:rPr>
        <w:t>2</w:t>
      </w:r>
      <w:r>
        <w:rPr>
          <w:sz w:val="21"/>
          <w:szCs w:val="21"/>
        </w:rPr>
        <w:t>、各投标人商务与技术文件得分按照评标委员会成员的独立评分结果汇总后的算术平均分计算，计算公式为：</w:t>
      </w:r>
    </w:p>
    <w:p>
      <w:pPr>
        <w:pStyle w:val="116"/>
        <w:ind w:firstLine="420"/>
        <w:rPr>
          <w:sz w:val="21"/>
          <w:szCs w:val="21"/>
        </w:rPr>
      </w:pPr>
      <w:r>
        <w:rPr>
          <w:rFonts w:hint="eastAsia"/>
          <w:sz w:val="21"/>
          <w:szCs w:val="21"/>
        </w:rPr>
        <w:t>商务与技术文件得分</w:t>
      </w:r>
      <w:r>
        <w:rPr>
          <w:sz w:val="21"/>
          <w:szCs w:val="21"/>
        </w:rPr>
        <w:t>=评标委员会所有成员评分合计数/评标委员会组成人员数。</w:t>
      </w:r>
    </w:p>
    <w:p>
      <w:pPr>
        <w:pStyle w:val="116"/>
        <w:ind w:firstLine="420"/>
        <w:rPr>
          <w:rFonts w:cs="宋体"/>
          <w:bCs/>
          <w:sz w:val="21"/>
          <w:szCs w:val="21"/>
          <w:lang w:val="zh-CN"/>
        </w:rPr>
      </w:pPr>
      <w:r>
        <w:rPr>
          <w:rFonts w:hint="eastAsia" w:cs="宋体"/>
          <w:bCs/>
          <w:sz w:val="21"/>
          <w:szCs w:val="21"/>
          <w:lang w:val="zh-CN"/>
        </w:rPr>
        <w:t>注：得分以系统计算为准，保留</w:t>
      </w:r>
      <w:r>
        <w:rPr>
          <w:rFonts w:cs="宋体"/>
          <w:bCs/>
          <w:sz w:val="21"/>
          <w:szCs w:val="21"/>
          <w:lang w:val="zh-CN"/>
        </w:rPr>
        <w:t>2位小数。</w:t>
      </w:r>
    </w:p>
    <w:p>
      <w:pPr>
        <w:pStyle w:val="116"/>
        <w:ind w:firstLine="420"/>
        <w:rPr>
          <w:sz w:val="21"/>
          <w:szCs w:val="21"/>
        </w:rPr>
      </w:pPr>
      <w:r>
        <w:rPr>
          <w:rFonts w:hint="eastAsia"/>
          <w:sz w:val="21"/>
          <w:szCs w:val="21"/>
        </w:rPr>
        <w:t>（四）、价格分（20</w:t>
      </w:r>
      <w:r>
        <w:rPr>
          <w:sz w:val="21"/>
          <w:szCs w:val="21"/>
        </w:rPr>
        <w:t>分）</w:t>
      </w:r>
    </w:p>
    <w:p>
      <w:pPr>
        <w:pStyle w:val="116"/>
        <w:ind w:firstLine="420"/>
        <w:rPr>
          <w:sz w:val="21"/>
          <w:szCs w:val="21"/>
        </w:rPr>
      </w:pPr>
      <w:r>
        <w:rPr>
          <w:rFonts w:hint="eastAsia"/>
          <w:sz w:val="21"/>
          <w:szCs w:val="21"/>
        </w:rPr>
        <w:t>1</w:t>
      </w:r>
      <w:r>
        <w:rPr>
          <w:sz w:val="21"/>
          <w:szCs w:val="21"/>
        </w:rPr>
        <w:t>、</w:t>
      </w:r>
      <w:r>
        <w:rPr>
          <w:rFonts w:hint="eastAsia"/>
          <w:sz w:val="21"/>
          <w:szCs w:val="21"/>
        </w:rPr>
        <w:t>价格评审基准价格与价格评审：有效投标中的最低投标报价为基准价格，其投标价格分得满分。其余投标价格分得分计算按照“评分标准”中评审得分公式计算，以四舍五入方法整合到小数点后二位</w:t>
      </w:r>
      <w:r>
        <w:rPr>
          <w:sz w:val="21"/>
          <w:szCs w:val="21"/>
        </w:rPr>
        <w:t>。其他投标人的价格分按照下列公式计算：</w:t>
      </w:r>
    </w:p>
    <w:p>
      <w:pPr>
        <w:pStyle w:val="116"/>
        <w:ind w:firstLine="420"/>
        <w:rPr>
          <w:sz w:val="21"/>
          <w:szCs w:val="21"/>
        </w:rPr>
      </w:pPr>
      <w:r>
        <w:rPr>
          <w:rFonts w:hint="eastAsia"/>
          <w:sz w:val="21"/>
          <w:szCs w:val="21"/>
        </w:rPr>
        <w:t>价格分</w:t>
      </w:r>
      <w:r>
        <w:rPr>
          <w:sz w:val="21"/>
          <w:szCs w:val="21"/>
        </w:rPr>
        <w:t>=（评标基准价/评标价）×</w:t>
      </w:r>
      <w:r>
        <w:rPr>
          <w:rFonts w:hint="eastAsia"/>
          <w:sz w:val="21"/>
          <w:szCs w:val="21"/>
        </w:rPr>
        <w:t>20</w:t>
      </w:r>
      <w:r>
        <w:rPr>
          <w:sz w:val="21"/>
          <w:szCs w:val="21"/>
        </w:rPr>
        <w:t>%×100</w:t>
      </w:r>
    </w:p>
    <w:p>
      <w:pPr>
        <w:pStyle w:val="116"/>
        <w:ind w:firstLine="420"/>
        <w:rPr>
          <w:sz w:val="21"/>
          <w:szCs w:val="21"/>
        </w:rPr>
      </w:pPr>
      <w:r>
        <w:rPr>
          <w:rFonts w:hint="eastAsia"/>
          <w:sz w:val="21"/>
          <w:szCs w:val="21"/>
        </w:rPr>
        <w:t>（五）</w:t>
      </w:r>
      <w:r>
        <w:rPr>
          <w:sz w:val="21"/>
          <w:szCs w:val="21"/>
        </w:rPr>
        <w:t>、最终得分：</w:t>
      </w:r>
    </w:p>
    <w:p>
      <w:pPr>
        <w:pStyle w:val="116"/>
        <w:ind w:firstLine="420"/>
        <w:rPr>
          <w:sz w:val="21"/>
          <w:szCs w:val="21"/>
        </w:rPr>
      </w:pPr>
      <w:r>
        <w:rPr>
          <w:sz w:val="21"/>
          <w:szCs w:val="21"/>
        </w:rPr>
        <w:t>各评委商务</w:t>
      </w:r>
      <w:r>
        <w:rPr>
          <w:rFonts w:hint="eastAsia"/>
          <w:sz w:val="21"/>
          <w:szCs w:val="21"/>
        </w:rPr>
        <w:t>技术</w:t>
      </w:r>
      <w:r>
        <w:rPr>
          <w:sz w:val="21"/>
          <w:szCs w:val="21"/>
        </w:rPr>
        <w:t>分的算术平均值+投标价格分=最终得分，以四舍五入法整合到小数点后二位。</w:t>
      </w:r>
    </w:p>
    <w:p>
      <w:pPr>
        <w:pStyle w:val="116"/>
        <w:ind w:firstLine="420"/>
        <w:rPr>
          <w:sz w:val="21"/>
          <w:szCs w:val="21"/>
        </w:rPr>
      </w:pPr>
      <w:r>
        <w:rPr>
          <w:rFonts w:hint="eastAsia"/>
          <w:sz w:val="21"/>
          <w:szCs w:val="21"/>
        </w:rPr>
        <w:t>（六）</w:t>
      </w:r>
      <w:r>
        <w:rPr>
          <w:sz w:val="21"/>
          <w:szCs w:val="21"/>
        </w:rPr>
        <w:t>、评价排序：按评审后得分由高到低顺序排列。得分相同的，按投标报价由低到高顺序排列。得分且投标报价相同的并列。投标文件满足全部实质性要求，且按照评审因素的量化指标评审得分最高的供应商为排名第一的中标候选人。</w:t>
      </w:r>
    </w:p>
    <w:p>
      <w:pPr>
        <w:pStyle w:val="116"/>
        <w:ind w:firstLine="420"/>
        <w:rPr>
          <w:sz w:val="21"/>
          <w:szCs w:val="21"/>
        </w:rPr>
      </w:pPr>
      <w:r>
        <w:rPr>
          <w:rFonts w:hint="eastAsia"/>
          <w:sz w:val="21"/>
          <w:szCs w:val="21"/>
        </w:rPr>
        <w:t>（七）</w:t>
      </w:r>
      <w:r>
        <w:rPr>
          <w:sz w:val="21"/>
          <w:szCs w:val="21"/>
        </w:rPr>
        <w:t>、如果中标人自动放弃中标资格或因质疑或是投诉被取消中标资格的，可视情况报经财政部门同意后根据评审结果按顺序由排在后面的候选供应商递补，以此类推。</w:t>
      </w:r>
    </w:p>
    <w:p>
      <w:pPr>
        <w:pStyle w:val="116"/>
        <w:ind w:firstLine="420"/>
        <w:rPr>
          <w:sz w:val="21"/>
          <w:szCs w:val="21"/>
        </w:rPr>
      </w:pPr>
      <w:r>
        <w:rPr>
          <w:rFonts w:hint="eastAsia"/>
          <w:sz w:val="21"/>
          <w:szCs w:val="21"/>
        </w:rPr>
        <w:t>（八）、</w:t>
      </w:r>
      <w:r>
        <w:rPr>
          <w:sz w:val="21"/>
          <w:szCs w:val="21"/>
        </w:rPr>
        <w:t>其他说明</w:t>
      </w:r>
      <w:bookmarkEnd w:id="85"/>
      <w:bookmarkEnd w:id="86"/>
      <w:bookmarkEnd w:id="87"/>
      <w:bookmarkEnd w:id="88"/>
      <w:bookmarkEnd w:id="89"/>
      <w:bookmarkEnd w:id="90"/>
      <w:bookmarkEnd w:id="91"/>
      <w:bookmarkEnd w:id="92"/>
      <w:bookmarkEnd w:id="93"/>
    </w:p>
    <w:p>
      <w:pPr>
        <w:pStyle w:val="116"/>
        <w:ind w:firstLine="420"/>
        <w:rPr>
          <w:sz w:val="21"/>
          <w:szCs w:val="21"/>
        </w:rPr>
      </w:pPr>
      <w:r>
        <w:rPr>
          <w:sz w:val="21"/>
          <w:szCs w:val="21"/>
        </w:rPr>
        <w:t>1、有效投标：通过初步审查且投标报价符合评审范围。</w:t>
      </w:r>
    </w:p>
    <w:p>
      <w:pPr>
        <w:pStyle w:val="116"/>
        <w:ind w:firstLine="420"/>
        <w:rPr>
          <w:sz w:val="21"/>
          <w:szCs w:val="21"/>
        </w:rPr>
      </w:pPr>
      <w:r>
        <w:rPr>
          <w:sz w:val="21"/>
          <w:szCs w:val="21"/>
        </w:rPr>
        <w:t>2、若出现参与采购响应或者对作出实质性响应的供应商不足3家的情况，除经政府采购管理部门同意且有效供应商仍有两家可直接与该两家供应商进行竞争性谈判采购外，采购程序依法即行终止。</w:t>
      </w:r>
      <w:bookmarkStart w:id="94" w:name="_Toc15665"/>
      <w:bookmarkStart w:id="95" w:name="_Toc250837981"/>
      <w:bookmarkStart w:id="96" w:name="_Toc263083256"/>
    </w:p>
    <w:p>
      <w:pPr>
        <w:pStyle w:val="116"/>
        <w:ind w:firstLine="422"/>
        <w:rPr>
          <w:b/>
          <w:color w:val="000000"/>
          <w:sz w:val="28"/>
          <w:szCs w:val="28"/>
        </w:rPr>
      </w:pPr>
      <w:r>
        <w:rPr>
          <w:rFonts w:hint="eastAsia"/>
          <w:b/>
          <w:sz w:val="21"/>
          <w:szCs w:val="21"/>
        </w:rPr>
        <w:t>3、</w:t>
      </w:r>
      <w:r>
        <w:rPr>
          <w:rFonts w:hint="eastAsia" w:ascii="宋体" w:hAnsi="宋体"/>
          <w:b/>
          <w:color w:val="000000"/>
          <w:szCs w:val="21"/>
        </w:rPr>
        <w:t>专门面向中小企业采购的项目不再执行价格优惠措施</w:t>
      </w:r>
      <w:r>
        <w:rPr>
          <w:b/>
          <w:sz w:val="21"/>
          <w:szCs w:val="21"/>
        </w:rPr>
        <w:t>。</w:t>
      </w:r>
      <w:bookmarkEnd w:id="94"/>
      <w:bookmarkEnd w:id="95"/>
      <w:bookmarkEnd w:id="96"/>
    </w:p>
    <w:p>
      <w:pPr>
        <w:snapToGrid w:val="0"/>
        <w:spacing w:after="156" w:afterLines="50" w:line="360" w:lineRule="auto"/>
        <w:ind w:firstLine="562" w:firstLineChars="200"/>
        <w:jc w:val="center"/>
        <w:rPr>
          <w:b/>
          <w:color w:val="000000"/>
          <w:sz w:val="28"/>
          <w:szCs w:val="28"/>
        </w:rPr>
      </w:pPr>
    </w:p>
    <w:p>
      <w:pPr>
        <w:snapToGrid w:val="0"/>
        <w:spacing w:after="156" w:afterLines="50" w:line="360" w:lineRule="auto"/>
        <w:ind w:firstLine="562" w:firstLineChars="200"/>
        <w:jc w:val="center"/>
        <w:rPr>
          <w:b/>
          <w:color w:val="000000"/>
          <w:sz w:val="28"/>
          <w:szCs w:val="28"/>
        </w:rPr>
      </w:pPr>
      <w:r>
        <w:rPr>
          <w:b/>
          <w:color w:val="000000"/>
          <w:sz w:val="28"/>
          <w:szCs w:val="28"/>
        </w:rPr>
        <w:t>评分标准</w:t>
      </w:r>
    </w:p>
    <w:tbl>
      <w:tblPr>
        <w:tblStyle w:val="47"/>
        <w:tblW w:w="10443" w:type="dxa"/>
        <w:tblInd w:w="-2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559"/>
        <w:gridCol w:w="7577"/>
        <w:gridCol w:w="6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9" w:type="dxa"/>
            <w:vAlign w:val="center"/>
          </w:tcPr>
          <w:p>
            <w:pPr>
              <w:autoSpaceDE w:val="0"/>
              <w:autoSpaceDN w:val="0"/>
              <w:adjustRightInd w:val="0"/>
              <w:spacing w:line="240" w:lineRule="exact"/>
              <w:ind w:right="124"/>
              <w:jc w:val="center"/>
              <w:rPr>
                <w:rFonts w:ascii="宋体" w:hAnsi="宋体" w:cs="微软雅黑"/>
                <w:b/>
                <w:kern w:val="0"/>
                <w:szCs w:val="21"/>
              </w:rPr>
            </w:pPr>
            <w:r>
              <w:rPr>
                <w:rFonts w:hint="eastAsia" w:ascii="宋体" w:hAnsi="宋体" w:cs="微软雅黑"/>
                <w:b/>
                <w:kern w:val="0"/>
                <w:szCs w:val="21"/>
              </w:rPr>
              <w:t>序号</w:t>
            </w:r>
          </w:p>
        </w:tc>
        <w:tc>
          <w:tcPr>
            <w:tcW w:w="1559" w:type="dxa"/>
            <w:vAlign w:val="center"/>
          </w:tcPr>
          <w:p>
            <w:pPr>
              <w:autoSpaceDE w:val="0"/>
              <w:autoSpaceDN w:val="0"/>
              <w:adjustRightInd w:val="0"/>
              <w:spacing w:line="240" w:lineRule="exact"/>
              <w:ind w:right="124"/>
              <w:jc w:val="center"/>
              <w:rPr>
                <w:rFonts w:ascii="宋体" w:hAnsi="宋体" w:cs="微软雅黑"/>
                <w:b/>
                <w:kern w:val="0"/>
                <w:szCs w:val="21"/>
              </w:rPr>
            </w:pPr>
            <w:r>
              <w:rPr>
                <w:rFonts w:hint="eastAsia" w:ascii="宋体" w:hAnsi="宋体" w:cs="微软雅黑"/>
                <w:b/>
                <w:kern w:val="0"/>
                <w:szCs w:val="21"/>
              </w:rPr>
              <w:t>评分内容</w:t>
            </w:r>
          </w:p>
        </w:tc>
        <w:tc>
          <w:tcPr>
            <w:tcW w:w="7577" w:type="dxa"/>
            <w:vAlign w:val="center"/>
          </w:tcPr>
          <w:p>
            <w:pPr>
              <w:keepLines/>
              <w:autoSpaceDE w:val="0"/>
              <w:autoSpaceDN w:val="0"/>
              <w:adjustRightInd w:val="0"/>
              <w:snapToGrid w:val="0"/>
              <w:spacing w:line="240" w:lineRule="exact"/>
              <w:jc w:val="center"/>
              <w:rPr>
                <w:rFonts w:ascii="宋体" w:hAnsi="宋体" w:cs="微软雅黑"/>
                <w:b/>
                <w:kern w:val="0"/>
                <w:szCs w:val="21"/>
              </w:rPr>
            </w:pPr>
            <w:r>
              <w:rPr>
                <w:rFonts w:hint="eastAsia" w:ascii="宋体" w:hAnsi="宋体" w:cs="微软雅黑"/>
                <w:b/>
                <w:kern w:val="0"/>
                <w:szCs w:val="21"/>
              </w:rPr>
              <w:t>具体评分标准</w:t>
            </w:r>
          </w:p>
        </w:tc>
        <w:tc>
          <w:tcPr>
            <w:tcW w:w="648" w:type="dxa"/>
            <w:vAlign w:val="center"/>
          </w:tcPr>
          <w:p>
            <w:pPr>
              <w:autoSpaceDE w:val="0"/>
              <w:autoSpaceDN w:val="0"/>
              <w:adjustRightInd w:val="0"/>
              <w:spacing w:line="240" w:lineRule="exact"/>
              <w:ind w:right="-3"/>
              <w:jc w:val="center"/>
              <w:rPr>
                <w:rFonts w:ascii="宋体" w:hAnsi="宋体" w:cs="微软雅黑"/>
                <w:b/>
                <w:kern w:val="0"/>
                <w:szCs w:val="21"/>
              </w:rPr>
            </w:pPr>
            <w:r>
              <w:rPr>
                <w:rFonts w:hint="eastAsia" w:ascii="宋体" w:hAnsi="宋体" w:cs="微软雅黑"/>
                <w:b/>
                <w:kern w:val="0"/>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1" w:hRule="atLeast"/>
        </w:trPr>
        <w:tc>
          <w:tcPr>
            <w:tcW w:w="659" w:type="dxa"/>
            <w:vAlign w:val="center"/>
          </w:tcPr>
          <w:p>
            <w:pPr>
              <w:spacing w:line="360" w:lineRule="auto"/>
              <w:jc w:val="center"/>
              <w:rPr>
                <w:rFonts w:cs="宋体" w:asciiTheme="minorEastAsia" w:hAnsiTheme="minorEastAsia" w:eastAsiaTheme="minorEastAsia"/>
                <w:b/>
                <w:szCs w:val="21"/>
              </w:rPr>
            </w:pPr>
            <w:r>
              <w:rPr>
                <w:rFonts w:hint="eastAsia" w:cs="宋体" w:asciiTheme="minorEastAsia" w:hAnsiTheme="minorEastAsia" w:eastAsiaTheme="minorEastAsia"/>
                <w:b/>
                <w:szCs w:val="21"/>
              </w:rPr>
              <w:t>1</w:t>
            </w:r>
          </w:p>
        </w:tc>
        <w:tc>
          <w:tcPr>
            <w:tcW w:w="1559" w:type="dxa"/>
            <w:vAlign w:val="center"/>
          </w:tcPr>
          <w:p>
            <w:pPr>
              <w:adjustRightInd w:val="0"/>
              <w:snapToGrid w:val="0"/>
              <w:spacing w:line="360" w:lineRule="auto"/>
              <w:jc w:val="center"/>
              <w:rPr>
                <w:rFonts w:ascii="宋体" w:hAnsi="宋体" w:cs="宋体"/>
                <w:b/>
                <w:bCs/>
                <w:szCs w:val="21"/>
              </w:rPr>
            </w:pPr>
            <w:r>
              <w:rPr>
                <w:rFonts w:hint="eastAsia" w:ascii="宋体" w:hAnsi="宋体" w:cs="宋体"/>
                <w:b/>
                <w:bCs/>
                <w:szCs w:val="21"/>
              </w:rPr>
              <w:t>企业业绩</w:t>
            </w:r>
          </w:p>
          <w:p>
            <w:pPr>
              <w:adjustRightInd w:val="0"/>
              <w:snapToGrid w:val="0"/>
              <w:spacing w:line="360" w:lineRule="auto"/>
              <w:jc w:val="center"/>
              <w:rPr>
                <w:rFonts w:asciiTheme="minorEastAsia" w:hAnsiTheme="minorEastAsia" w:eastAsiaTheme="minorEastAsia"/>
                <w:b/>
                <w:bCs/>
                <w:snapToGrid w:val="0"/>
                <w:szCs w:val="21"/>
              </w:rPr>
            </w:pPr>
            <w:r>
              <w:rPr>
                <w:rFonts w:hint="eastAsia" w:ascii="宋体" w:hAnsi="宋体" w:cs="宋体"/>
                <w:b/>
                <w:bCs/>
                <w:szCs w:val="21"/>
              </w:rPr>
              <w:t>（2分）</w:t>
            </w:r>
          </w:p>
        </w:tc>
        <w:tc>
          <w:tcPr>
            <w:tcW w:w="7577" w:type="dxa"/>
            <w:vAlign w:val="center"/>
          </w:tcPr>
          <w:p>
            <w:pPr>
              <w:pStyle w:val="247"/>
              <w:spacing w:line="360" w:lineRule="auto"/>
              <w:rPr>
                <w:rFonts w:ascii="宋体" w:hAnsi="宋体" w:cs="宋体"/>
                <w:szCs w:val="21"/>
              </w:rPr>
            </w:pPr>
            <w:r>
              <w:rPr>
                <w:rFonts w:hint="eastAsia" w:ascii="宋体" w:hAnsi="宋体" w:cs="宋体"/>
                <w:szCs w:val="21"/>
              </w:rPr>
              <w:t>投标人自2019年</w:t>
            </w:r>
            <w:r>
              <w:rPr>
                <w:rFonts w:hint="eastAsia" w:ascii="宋体" w:hAnsi="宋体" w:cs="宋体"/>
                <w:szCs w:val="21"/>
                <w:lang w:val="en-US" w:eastAsia="zh-CN"/>
              </w:rPr>
              <w:t>7</w:t>
            </w:r>
            <w:r>
              <w:rPr>
                <w:rFonts w:hint="eastAsia" w:ascii="宋体" w:hAnsi="宋体" w:cs="宋体"/>
                <w:szCs w:val="21"/>
              </w:rPr>
              <w:t>月1日（含）以来（</w:t>
            </w:r>
            <w:r>
              <w:rPr>
                <w:rFonts w:hint="eastAsia" w:ascii="宋体" w:hAnsi="宋体" w:cs="宋体"/>
                <w:szCs w:val="21"/>
                <w:lang w:eastAsia="zh-CN"/>
              </w:rPr>
              <w:t>以</w:t>
            </w:r>
            <w:r>
              <w:rPr>
                <w:rFonts w:hint="eastAsia" w:ascii="宋体" w:hAnsi="宋体" w:cs="宋体"/>
                <w:szCs w:val="21"/>
              </w:rPr>
              <w:t>合同签订时间</w:t>
            </w:r>
            <w:r>
              <w:rPr>
                <w:rFonts w:hint="eastAsia" w:ascii="宋体" w:hAnsi="宋体" w:cs="宋体"/>
                <w:szCs w:val="21"/>
                <w:lang w:eastAsia="zh-CN"/>
              </w:rPr>
              <w:t>为准</w:t>
            </w:r>
            <w:r>
              <w:rPr>
                <w:rFonts w:hint="eastAsia" w:ascii="宋体" w:hAnsi="宋体" w:cs="宋体"/>
                <w:szCs w:val="21"/>
              </w:rPr>
              <w:t>），具有类似维保项目合同业绩的，每提供1个得1分，最多得2分。</w:t>
            </w:r>
          </w:p>
          <w:p>
            <w:pPr>
              <w:pStyle w:val="247"/>
              <w:spacing w:line="360" w:lineRule="auto"/>
              <w:rPr>
                <w:rFonts w:asciiTheme="minorEastAsia" w:hAnsiTheme="minorEastAsia" w:eastAsiaTheme="minorEastAsia"/>
                <w:szCs w:val="21"/>
              </w:rPr>
            </w:pPr>
            <w:r>
              <w:rPr>
                <w:rFonts w:hint="eastAsia" w:ascii="宋体" w:hAnsi="宋体" w:cs="宋体"/>
                <w:szCs w:val="21"/>
              </w:rPr>
              <w:t>（提供合同扫描件并加盖电子公章，未提供或缺项不得分。）</w:t>
            </w:r>
          </w:p>
        </w:tc>
        <w:tc>
          <w:tcPr>
            <w:tcW w:w="648" w:type="dxa"/>
            <w:vAlign w:val="center"/>
          </w:tcPr>
          <w:p>
            <w:pPr>
              <w:autoSpaceDE w:val="0"/>
              <w:autoSpaceDN w:val="0"/>
              <w:adjustRightInd w:val="0"/>
              <w:spacing w:line="360" w:lineRule="auto"/>
              <w:ind w:right="-3"/>
              <w:jc w:val="center"/>
              <w:rPr>
                <w:rFonts w:cs="微软雅黑" w:asciiTheme="minorEastAsia" w:hAnsiTheme="minorEastAsia" w:eastAsiaTheme="minorEastAsia"/>
                <w:b/>
                <w:kern w:val="0"/>
                <w:szCs w:val="21"/>
                <w:highlight w:val="yellow"/>
              </w:rPr>
            </w:pPr>
            <w:r>
              <w:rPr>
                <w:rFonts w:hint="eastAsia" w:ascii="宋体" w:hAnsi="宋体" w:cs="微软雅黑" w:eastAsiaTheme="minorEastAsia"/>
                <w:bCs/>
                <w:kern w:val="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5" w:hRule="atLeast"/>
        </w:trPr>
        <w:tc>
          <w:tcPr>
            <w:tcW w:w="659" w:type="dxa"/>
            <w:vAlign w:val="center"/>
          </w:tcPr>
          <w:p>
            <w:pPr>
              <w:spacing w:line="360" w:lineRule="auto"/>
              <w:jc w:val="center"/>
              <w:rPr>
                <w:rFonts w:cs="宋体" w:asciiTheme="minorEastAsia" w:hAnsiTheme="minorEastAsia" w:eastAsiaTheme="minorEastAsia"/>
                <w:b/>
                <w:szCs w:val="21"/>
              </w:rPr>
            </w:pPr>
            <w:r>
              <w:rPr>
                <w:rFonts w:hint="eastAsia" w:cs="宋体" w:asciiTheme="minorEastAsia" w:hAnsiTheme="minorEastAsia" w:eastAsiaTheme="minorEastAsia"/>
                <w:b/>
                <w:szCs w:val="21"/>
              </w:rPr>
              <w:t>2</w:t>
            </w:r>
          </w:p>
        </w:tc>
        <w:tc>
          <w:tcPr>
            <w:tcW w:w="1559" w:type="dxa"/>
            <w:vAlign w:val="center"/>
          </w:tcPr>
          <w:p>
            <w:pPr>
              <w:pStyle w:val="247"/>
              <w:spacing w:line="360" w:lineRule="auto"/>
              <w:jc w:val="center"/>
              <w:rPr>
                <w:rFonts w:ascii="宋体" w:hAnsi="宋体" w:cs="宋体"/>
                <w:b/>
                <w:bCs/>
                <w:szCs w:val="21"/>
              </w:rPr>
            </w:pPr>
            <w:r>
              <w:rPr>
                <w:rFonts w:hint="eastAsia" w:ascii="宋体" w:hAnsi="宋体" w:cs="宋体"/>
                <w:b/>
                <w:bCs/>
                <w:szCs w:val="21"/>
              </w:rPr>
              <w:t>综合实力</w:t>
            </w:r>
          </w:p>
          <w:p>
            <w:pPr>
              <w:pStyle w:val="247"/>
              <w:spacing w:line="360" w:lineRule="auto"/>
              <w:jc w:val="center"/>
              <w:rPr>
                <w:rFonts w:ascii="宋体" w:hAnsi="宋体" w:cs="宋体"/>
                <w:b/>
                <w:bCs/>
                <w:szCs w:val="21"/>
              </w:rPr>
            </w:pPr>
            <w:r>
              <w:rPr>
                <w:rFonts w:hint="eastAsia" w:ascii="宋体" w:hAnsi="宋体" w:cs="宋体"/>
                <w:b/>
                <w:bCs/>
                <w:szCs w:val="21"/>
              </w:rPr>
              <w:t>（</w:t>
            </w:r>
            <w:r>
              <w:rPr>
                <w:rFonts w:hint="eastAsia" w:ascii="宋体" w:hAnsi="宋体" w:cs="宋体"/>
                <w:b/>
                <w:bCs/>
                <w:szCs w:val="21"/>
                <w:lang w:val="en-US" w:eastAsia="zh-CN"/>
              </w:rPr>
              <w:t>5</w:t>
            </w:r>
            <w:r>
              <w:rPr>
                <w:rFonts w:hint="eastAsia" w:ascii="宋体" w:hAnsi="宋体" w:cs="宋体"/>
                <w:b/>
                <w:bCs/>
                <w:szCs w:val="21"/>
              </w:rPr>
              <w:t>分）</w:t>
            </w:r>
          </w:p>
        </w:tc>
        <w:tc>
          <w:tcPr>
            <w:tcW w:w="7577" w:type="dxa"/>
            <w:vAlign w:val="center"/>
          </w:tcPr>
          <w:p>
            <w:pPr>
              <w:pStyle w:val="247"/>
              <w:spacing w:line="360" w:lineRule="auto"/>
              <w:rPr>
                <w:rFonts w:ascii="宋体" w:hAnsi="宋体" w:cs="宋体"/>
                <w:szCs w:val="21"/>
              </w:rPr>
            </w:pPr>
            <w:r>
              <w:rPr>
                <w:rFonts w:hint="eastAsia" w:ascii="宋体" w:hAnsi="宋体" w:cs="宋体"/>
                <w:szCs w:val="21"/>
              </w:rPr>
              <w:t>证书情况：</w:t>
            </w:r>
          </w:p>
          <w:p>
            <w:pPr>
              <w:pStyle w:val="247"/>
              <w:spacing w:line="360" w:lineRule="auto"/>
              <w:rPr>
                <w:rFonts w:ascii="宋体" w:hAnsi="宋体" w:cs="宋体"/>
                <w:szCs w:val="21"/>
              </w:rPr>
            </w:pPr>
            <w:r>
              <w:rPr>
                <w:rFonts w:hint="eastAsia" w:ascii="宋体" w:hAnsi="宋体" w:cs="宋体"/>
                <w:szCs w:val="21"/>
              </w:rPr>
              <w:t>（1）投标人具有有效期内的信息安全管理体系认证证书的得1分；</w:t>
            </w:r>
          </w:p>
          <w:p>
            <w:pPr>
              <w:pStyle w:val="247"/>
              <w:spacing w:line="360" w:lineRule="auto"/>
              <w:rPr>
                <w:rFonts w:ascii="宋体" w:hAnsi="宋体" w:cs="宋体"/>
                <w:szCs w:val="21"/>
              </w:rPr>
            </w:pPr>
            <w:r>
              <w:rPr>
                <w:rFonts w:hint="eastAsia" w:ascii="宋体" w:hAnsi="宋体" w:cs="宋体"/>
                <w:szCs w:val="21"/>
              </w:rPr>
              <w:t>（2）投标人具有有效期内的环境管理体系认证证书的得1分；</w:t>
            </w:r>
          </w:p>
          <w:p>
            <w:pPr>
              <w:pStyle w:val="247"/>
              <w:spacing w:line="360" w:lineRule="auto"/>
              <w:rPr>
                <w:rFonts w:ascii="宋体" w:hAnsi="宋体" w:cs="宋体"/>
                <w:szCs w:val="21"/>
              </w:rPr>
            </w:pPr>
            <w:r>
              <w:rPr>
                <w:rFonts w:hint="eastAsia" w:ascii="宋体" w:hAnsi="宋体" w:cs="宋体"/>
                <w:szCs w:val="21"/>
              </w:rPr>
              <w:t>（3）投标人具有有效期内的职业健康安全管理体系认证证书的得1分；</w:t>
            </w:r>
          </w:p>
          <w:p>
            <w:pPr>
              <w:pStyle w:val="247"/>
              <w:spacing w:line="360" w:lineRule="auto"/>
              <w:rPr>
                <w:rFonts w:ascii="宋体" w:hAnsi="宋体" w:cs="宋体"/>
                <w:szCs w:val="21"/>
              </w:rPr>
            </w:pPr>
            <w:r>
              <w:rPr>
                <w:rFonts w:hint="eastAsia" w:ascii="宋体" w:hAnsi="宋体" w:cs="宋体"/>
                <w:szCs w:val="21"/>
              </w:rPr>
              <w:t>（4）</w:t>
            </w:r>
            <w:bookmarkStart w:id="97" w:name="_Toc10929"/>
            <w:bookmarkStart w:id="98" w:name="_Toc26454"/>
            <w:bookmarkStart w:id="99" w:name="_Toc30754"/>
            <w:r>
              <w:rPr>
                <w:rFonts w:hint="eastAsia" w:ascii="宋体" w:hAnsi="宋体" w:cs="宋体"/>
                <w:szCs w:val="21"/>
              </w:rPr>
              <w:t>投标人具有有效期内的质量管理体系认证证书</w:t>
            </w:r>
            <w:bookmarkEnd w:id="97"/>
            <w:bookmarkEnd w:id="98"/>
            <w:bookmarkEnd w:id="99"/>
            <w:r>
              <w:rPr>
                <w:rFonts w:hint="eastAsia" w:ascii="宋体" w:hAnsi="宋体" w:cs="宋体"/>
                <w:szCs w:val="21"/>
              </w:rPr>
              <w:t>的得1分；</w:t>
            </w:r>
          </w:p>
          <w:p>
            <w:pPr>
              <w:pStyle w:val="247"/>
              <w:spacing w:line="360" w:lineRule="auto"/>
              <w:rPr>
                <w:rFonts w:hint="eastAsia" w:ascii="宋体" w:hAnsi="宋体" w:eastAsia="宋体" w:cs="宋体"/>
                <w:szCs w:val="21"/>
                <w:lang w:eastAsia="zh-CN"/>
              </w:rPr>
            </w:pPr>
            <w:r>
              <w:rPr>
                <w:rFonts w:hint="eastAsia" w:ascii="宋体" w:hAnsi="宋体" w:cs="宋体"/>
                <w:szCs w:val="21"/>
              </w:rPr>
              <w:t>（5）投标人具有有效期内的信息技术服务管理体系认证证书的得1分</w:t>
            </w:r>
            <w:r>
              <w:rPr>
                <w:rFonts w:hint="eastAsia" w:ascii="宋体" w:hAnsi="宋体" w:cs="宋体"/>
                <w:szCs w:val="21"/>
                <w:lang w:eastAsia="zh-CN"/>
              </w:rPr>
              <w:t>。</w:t>
            </w:r>
          </w:p>
          <w:p>
            <w:pPr>
              <w:pStyle w:val="247"/>
              <w:spacing w:line="360" w:lineRule="auto"/>
              <w:rPr>
                <w:rFonts w:ascii="宋体" w:hAnsi="宋体" w:cs="宋体"/>
                <w:szCs w:val="21"/>
              </w:rPr>
            </w:pPr>
            <w:r>
              <w:rPr>
                <w:rFonts w:hint="eastAsia" w:ascii="宋体" w:hAnsi="宋体" w:cs="宋体"/>
                <w:szCs w:val="21"/>
              </w:rPr>
              <w:t>（需提供相关证书扫描件并加盖电子公章，未提供或缺项不得分。）</w:t>
            </w:r>
          </w:p>
        </w:tc>
        <w:tc>
          <w:tcPr>
            <w:tcW w:w="648" w:type="dxa"/>
            <w:vAlign w:val="center"/>
          </w:tcPr>
          <w:p>
            <w:pPr>
              <w:spacing w:line="360" w:lineRule="auto"/>
              <w:jc w:val="center"/>
              <w:rPr>
                <w:rFonts w:hint="eastAsia" w:ascii="宋体" w:hAnsi="宋体" w:eastAsia="宋体" w:cs="宋体"/>
                <w:color w:val="000000" w:themeColor="text1"/>
                <w:sz w:val="22"/>
                <w:szCs w:val="22"/>
                <w:lang w:eastAsia="zh-CN"/>
                <w14:textFill>
                  <w14:solidFill>
                    <w14:schemeClr w14:val="tx1"/>
                  </w14:solidFill>
                </w14:textFill>
              </w:rPr>
            </w:pPr>
            <w:r>
              <w:rPr>
                <w:rFonts w:hint="eastAsia" w:ascii="宋体" w:hAnsi="宋体" w:cs="宋体"/>
                <w:color w:val="000000" w:themeColor="text1"/>
                <w:sz w:val="22"/>
                <w:szCs w:val="22"/>
                <w:lang w:val="en-US" w:eastAsia="zh-CN"/>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659" w:type="dxa"/>
            <w:vAlign w:val="center"/>
          </w:tcPr>
          <w:p>
            <w:pPr>
              <w:spacing w:line="360" w:lineRule="auto"/>
              <w:jc w:val="center"/>
              <w:rPr>
                <w:rFonts w:cs="宋体" w:asciiTheme="minorEastAsia" w:hAnsiTheme="minorEastAsia" w:eastAsiaTheme="minorEastAsia"/>
                <w:b/>
                <w:szCs w:val="21"/>
              </w:rPr>
            </w:pPr>
            <w:r>
              <w:rPr>
                <w:rFonts w:hint="eastAsia" w:cs="宋体" w:asciiTheme="minorEastAsia" w:hAnsiTheme="minorEastAsia" w:eastAsiaTheme="minorEastAsia"/>
                <w:b/>
                <w:szCs w:val="21"/>
              </w:rPr>
              <w:t>3</w:t>
            </w:r>
          </w:p>
        </w:tc>
        <w:tc>
          <w:tcPr>
            <w:tcW w:w="1559" w:type="dxa"/>
            <w:vAlign w:val="center"/>
          </w:tcPr>
          <w:p>
            <w:pPr>
              <w:pStyle w:val="247"/>
              <w:spacing w:line="360" w:lineRule="auto"/>
              <w:jc w:val="center"/>
              <w:rPr>
                <w:rFonts w:ascii="宋体" w:hAnsi="宋体" w:cs="宋体"/>
                <w:b/>
                <w:bCs/>
                <w:szCs w:val="21"/>
                <w:lang w:eastAsia="zh-Hans"/>
              </w:rPr>
            </w:pPr>
            <w:r>
              <w:rPr>
                <w:rFonts w:hint="eastAsia" w:ascii="宋体" w:hAnsi="宋体" w:cs="宋体"/>
                <w:b/>
                <w:bCs/>
                <w:szCs w:val="21"/>
                <w:lang w:eastAsia="zh-Hans"/>
              </w:rPr>
              <w:t>项目团队能力（</w:t>
            </w:r>
            <w:r>
              <w:rPr>
                <w:rFonts w:hint="eastAsia" w:ascii="宋体" w:hAnsi="宋体" w:cs="宋体"/>
                <w:b/>
                <w:bCs/>
                <w:szCs w:val="21"/>
              </w:rPr>
              <w:t>5</w:t>
            </w:r>
            <w:r>
              <w:rPr>
                <w:rFonts w:hint="eastAsia" w:ascii="宋体" w:hAnsi="宋体" w:cs="宋体"/>
                <w:b/>
                <w:bCs/>
                <w:szCs w:val="21"/>
                <w:lang w:eastAsia="zh-Hans"/>
              </w:rPr>
              <w:t>分）</w:t>
            </w:r>
          </w:p>
          <w:p>
            <w:pPr>
              <w:pStyle w:val="247"/>
              <w:spacing w:line="360" w:lineRule="auto"/>
              <w:jc w:val="center"/>
              <w:rPr>
                <w:rFonts w:ascii="宋体" w:hAnsi="宋体" w:cs="宋体"/>
                <w:b/>
                <w:bCs/>
                <w:szCs w:val="21"/>
              </w:rPr>
            </w:pPr>
          </w:p>
        </w:tc>
        <w:tc>
          <w:tcPr>
            <w:tcW w:w="7577" w:type="dxa"/>
            <w:vAlign w:val="center"/>
          </w:tcPr>
          <w:p>
            <w:pPr>
              <w:pStyle w:val="247"/>
              <w:spacing w:line="360" w:lineRule="auto"/>
              <w:rPr>
                <w:rFonts w:ascii="宋体" w:hAnsi="宋体" w:cs="宋体"/>
                <w:szCs w:val="21"/>
              </w:rPr>
            </w:pPr>
            <w:r>
              <w:rPr>
                <w:rFonts w:hint="eastAsia" w:ascii="宋体" w:hAnsi="宋体" w:cs="宋体"/>
                <w:szCs w:val="21"/>
              </w:rPr>
              <w:t>证书情况：</w:t>
            </w:r>
          </w:p>
          <w:p>
            <w:pPr>
              <w:pStyle w:val="247"/>
              <w:spacing w:line="360" w:lineRule="auto"/>
              <w:rPr>
                <w:rFonts w:ascii="宋体" w:hAnsi="宋体" w:cs="宋体"/>
                <w:szCs w:val="21"/>
              </w:rPr>
            </w:pPr>
            <w:r>
              <w:rPr>
                <w:rFonts w:hint="eastAsia" w:ascii="宋体" w:hAnsi="宋体" w:cs="宋体"/>
                <w:szCs w:val="21"/>
              </w:rPr>
              <w:t>（1）项目负责人</w:t>
            </w:r>
            <w:r>
              <w:rPr>
                <w:rFonts w:hint="eastAsia" w:ascii="宋体" w:hAnsi="宋体" w:cs="宋体"/>
                <w:color w:val="auto"/>
                <w:szCs w:val="21"/>
                <w:highlight w:val="none"/>
              </w:rPr>
              <w:t>具有高级网络工程师</w:t>
            </w:r>
            <w:r>
              <w:rPr>
                <w:rFonts w:hint="eastAsia" w:ascii="宋体" w:hAnsi="宋体" w:cs="宋体"/>
                <w:color w:val="auto"/>
                <w:szCs w:val="21"/>
                <w:highlight w:val="none"/>
                <w:lang w:eastAsia="zh-CN"/>
              </w:rPr>
              <w:t>证书</w:t>
            </w:r>
            <w:r>
              <w:rPr>
                <w:rFonts w:hint="eastAsia" w:ascii="宋体" w:hAnsi="宋体" w:cs="宋体"/>
                <w:szCs w:val="21"/>
                <w:lang w:val="zh-CN"/>
              </w:rPr>
              <w:t>的</w:t>
            </w:r>
            <w:r>
              <w:rPr>
                <w:rFonts w:hint="eastAsia" w:ascii="宋体" w:hAnsi="宋体" w:cs="宋体"/>
                <w:szCs w:val="21"/>
              </w:rPr>
              <w:t>，得2分；</w:t>
            </w:r>
          </w:p>
          <w:p>
            <w:pPr>
              <w:pStyle w:val="247"/>
              <w:spacing w:line="360" w:lineRule="auto"/>
              <w:rPr>
                <w:rFonts w:ascii="宋体" w:hAnsi="宋体" w:cs="宋体"/>
                <w:szCs w:val="21"/>
              </w:rPr>
            </w:pPr>
            <w:r>
              <w:rPr>
                <w:rFonts w:hint="eastAsia" w:ascii="宋体" w:hAnsi="宋体" w:cs="宋体"/>
                <w:szCs w:val="21"/>
              </w:rPr>
              <w:t>（2）服务团队人员（</w:t>
            </w:r>
            <w:r>
              <w:rPr>
                <w:rFonts w:hint="eastAsia" w:ascii="宋体" w:hAnsi="宋体" w:cs="宋体"/>
                <w:szCs w:val="21"/>
                <w:lang w:eastAsia="zh-Hans"/>
              </w:rPr>
              <w:t>不含项目</w:t>
            </w:r>
            <w:r>
              <w:rPr>
                <w:rFonts w:hint="eastAsia" w:ascii="宋体" w:hAnsi="宋体" w:cs="宋体"/>
                <w:szCs w:val="21"/>
              </w:rPr>
              <w:t>负责人）</w:t>
            </w:r>
            <w:r>
              <w:rPr>
                <w:rFonts w:hint="eastAsia" w:ascii="宋体" w:hAnsi="宋体" w:cs="宋体"/>
                <w:szCs w:val="21"/>
                <w:lang w:eastAsia="zh-CN"/>
              </w:rPr>
              <w:t>具有</w:t>
            </w:r>
            <w:r>
              <w:rPr>
                <w:rFonts w:hint="eastAsia" w:ascii="宋体" w:hAnsi="宋体" w:cs="宋体"/>
                <w:szCs w:val="21"/>
                <w:lang w:val="zh-CN"/>
              </w:rPr>
              <w:t>网络认证工程师证书的</w:t>
            </w:r>
            <w:r>
              <w:rPr>
                <w:rFonts w:hint="eastAsia" w:ascii="宋体" w:hAnsi="宋体" w:cs="宋体"/>
                <w:szCs w:val="21"/>
              </w:rPr>
              <w:t>，每个证书得1分</w:t>
            </w:r>
            <w:r>
              <w:rPr>
                <w:rFonts w:hint="eastAsia" w:ascii="宋体" w:hAnsi="宋体" w:cs="宋体"/>
                <w:szCs w:val="21"/>
                <w:lang w:eastAsia="zh-Hans"/>
              </w:rPr>
              <w:t>，</w:t>
            </w:r>
            <w:r>
              <w:rPr>
                <w:rFonts w:hint="eastAsia" w:ascii="宋体" w:hAnsi="宋体" w:cs="宋体"/>
                <w:szCs w:val="21"/>
              </w:rPr>
              <w:t>本项最高得3分。</w:t>
            </w:r>
          </w:p>
          <w:p>
            <w:pPr>
              <w:pStyle w:val="247"/>
              <w:spacing w:line="360" w:lineRule="auto"/>
              <w:rPr>
                <w:rFonts w:ascii="宋体" w:hAnsi="宋体" w:cs="宋体"/>
                <w:szCs w:val="21"/>
              </w:rPr>
            </w:pPr>
            <w:r>
              <w:rPr>
                <w:rFonts w:hint="eastAsia" w:ascii="宋体" w:hAnsi="宋体" w:cs="宋体"/>
                <w:szCs w:val="21"/>
              </w:rPr>
              <w:t>（需提供相关证书扫描件并加盖电子公章，未提供或缺项不得分。）</w:t>
            </w:r>
          </w:p>
        </w:tc>
        <w:tc>
          <w:tcPr>
            <w:tcW w:w="648" w:type="dxa"/>
            <w:vAlign w:val="center"/>
          </w:tcPr>
          <w:p>
            <w:pPr>
              <w:spacing w:line="360" w:lineRule="auto"/>
              <w:jc w:val="center"/>
              <w:rPr>
                <w:rFonts w:ascii="宋体" w:hAnsi="宋体" w:cs="宋体"/>
                <w:color w:val="000000" w:themeColor="text1"/>
                <w:sz w:val="22"/>
                <w:szCs w:val="22"/>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trPr>
        <w:tc>
          <w:tcPr>
            <w:tcW w:w="659" w:type="dxa"/>
            <w:vAlign w:val="center"/>
          </w:tcPr>
          <w:p>
            <w:pPr>
              <w:spacing w:line="360" w:lineRule="auto"/>
              <w:jc w:val="center"/>
              <w:rPr>
                <w:rFonts w:cs="宋体" w:asciiTheme="minorEastAsia" w:hAnsiTheme="minorEastAsia" w:eastAsiaTheme="minorEastAsia"/>
                <w:b/>
                <w:szCs w:val="21"/>
              </w:rPr>
            </w:pPr>
            <w:r>
              <w:rPr>
                <w:rFonts w:hint="eastAsia" w:cs="宋体" w:asciiTheme="minorEastAsia" w:hAnsiTheme="minorEastAsia" w:eastAsiaTheme="minorEastAsia"/>
                <w:b/>
                <w:szCs w:val="21"/>
              </w:rPr>
              <w:t>4</w:t>
            </w:r>
          </w:p>
        </w:tc>
        <w:tc>
          <w:tcPr>
            <w:tcW w:w="1559" w:type="dxa"/>
            <w:vAlign w:val="center"/>
          </w:tcPr>
          <w:p>
            <w:pPr>
              <w:adjustRightInd w:val="0"/>
              <w:snapToGrid w:val="0"/>
              <w:spacing w:line="360" w:lineRule="auto"/>
              <w:jc w:val="center"/>
              <w:rPr>
                <w:rFonts w:asciiTheme="minorEastAsia" w:hAnsiTheme="minorEastAsia" w:eastAsiaTheme="minorEastAsia"/>
                <w:b/>
                <w:bCs/>
                <w:snapToGrid w:val="0"/>
                <w:szCs w:val="21"/>
              </w:rPr>
            </w:pPr>
            <w:r>
              <w:rPr>
                <w:rFonts w:hint="eastAsia" w:ascii="宋体" w:hAnsi="宋体" w:cs="宋体"/>
                <w:b/>
                <w:bCs/>
                <w:szCs w:val="21"/>
              </w:rPr>
              <w:t>满足服务要求指标（3</w:t>
            </w:r>
            <w:r>
              <w:rPr>
                <w:rFonts w:hint="eastAsia" w:ascii="宋体" w:hAnsi="宋体" w:cs="宋体"/>
                <w:b/>
                <w:bCs/>
                <w:szCs w:val="21"/>
                <w:lang w:val="en-US" w:eastAsia="zh-CN"/>
              </w:rPr>
              <w:t>2</w:t>
            </w:r>
            <w:r>
              <w:rPr>
                <w:rFonts w:hint="eastAsia" w:ascii="宋体" w:hAnsi="宋体" w:cs="宋体"/>
                <w:b/>
                <w:bCs/>
                <w:szCs w:val="21"/>
              </w:rPr>
              <w:t>分）</w:t>
            </w:r>
          </w:p>
        </w:tc>
        <w:tc>
          <w:tcPr>
            <w:tcW w:w="7577" w:type="dxa"/>
            <w:vAlign w:val="center"/>
          </w:tcPr>
          <w:p>
            <w:pPr>
              <w:pStyle w:val="247"/>
              <w:spacing w:line="360" w:lineRule="auto"/>
              <w:rPr>
                <w:rFonts w:cs="宋体" w:asciiTheme="minorEastAsia" w:hAnsiTheme="minorEastAsia" w:eastAsiaTheme="minorEastAsia"/>
                <w:bCs/>
                <w:kern w:val="2"/>
                <w:szCs w:val="21"/>
              </w:rPr>
            </w:pPr>
            <w:r>
              <w:rPr>
                <w:rFonts w:hint="eastAsia" w:ascii="宋体" w:hAnsi="宋体" w:cs="宋体"/>
                <w:szCs w:val="21"/>
              </w:rPr>
              <w:t>根据采购文件《第五部分 采购内容及要求》维保设备清单、服务内容及要求完全满足的得3</w:t>
            </w:r>
            <w:r>
              <w:rPr>
                <w:rFonts w:hint="eastAsia" w:ascii="宋体" w:hAnsi="宋体" w:cs="宋体"/>
                <w:szCs w:val="21"/>
                <w:lang w:val="en-US" w:eastAsia="zh-CN"/>
              </w:rPr>
              <w:t>2</w:t>
            </w:r>
            <w:r>
              <w:rPr>
                <w:rFonts w:hint="eastAsia" w:ascii="宋体" w:hAnsi="宋体" w:cs="宋体"/>
                <w:szCs w:val="21"/>
              </w:rPr>
              <w:t>分，带“★”的每负偏离一项扣2分，其他服务要求每负偏离一项扣1分，扣完为止。</w:t>
            </w:r>
          </w:p>
        </w:tc>
        <w:tc>
          <w:tcPr>
            <w:tcW w:w="648" w:type="dxa"/>
            <w:vAlign w:val="center"/>
          </w:tcPr>
          <w:p>
            <w:pPr>
              <w:autoSpaceDE w:val="0"/>
              <w:autoSpaceDN w:val="0"/>
              <w:adjustRightInd w:val="0"/>
              <w:spacing w:line="360" w:lineRule="auto"/>
              <w:ind w:right="-3"/>
              <w:jc w:val="center"/>
              <w:rPr>
                <w:rFonts w:hint="eastAsia" w:ascii="宋体" w:hAnsi="宋体" w:eastAsia="宋体" w:cs="宋体"/>
                <w:b/>
                <w:szCs w:val="21"/>
                <w:highlight w:val="yellow"/>
                <w:lang w:eastAsia="zh-CN"/>
              </w:rPr>
            </w:pPr>
            <w:r>
              <w:rPr>
                <w:rFonts w:hint="eastAsia" w:ascii="宋体" w:hAnsi="宋体" w:cs="微软雅黑"/>
                <w:bCs/>
                <w:kern w:val="0"/>
                <w:szCs w:val="21"/>
              </w:rPr>
              <w:t>3</w:t>
            </w:r>
            <w:r>
              <w:rPr>
                <w:rFonts w:hint="eastAsia" w:ascii="宋体" w:hAnsi="宋体" w:cs="微软雅黑"/>
                <w:bCs/>
                <w:kern w:val="0"/>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trPr>
        <w:tc>
          <w:tcPr>
            <w:tcW w:w="659" w:type="dxa"/>
            <w:vAlign w:val="center"/>
          </w:tcPr>
          <w:p>
            <w:pPr>
              <w:pStyle w:val="247"/>
              <w:spacing w:line="360" w:lineRule="auto"/>
              <w:jc w:val="center"/>
              <w:rPr>
                <w:rFonts w:ascii="宋体" w:hAnsi="宋体" w:cs="宋体"/>
                <w:b/>
                <w:szCs w:val="21"/>
              </w:rPr>
            </w:pPr>
            <w:r>
              <w:rPr>
                <w:rFonts w:hint="eastAsia" w:ascii="宋体" w:hAnsi="宋体" w:cs="宋体"/>
                <w:b/>
                <w:szCs w:val="21"/>
              </w:rPr>
              <w:t>5</w:t>
            </w:r>
          </w:p>
        </w:tc>
        <w:tc>
          <w:tcPr>
            <w:tcW w:w="1559" w:type="dxa"/>
            <w:vAlign w:val="center"/>
          </w:tcPr>
          <w:p>
            <w:pPr>
              <w:pStyle w:val="247"/>
              <w:spacing w:line="360" w:lineRule="auto"/>
              <w:jc w:val="center"/>
              <w:rPr>
                <w:rFonts w:ascii="宋体" w:hAnsi="宋体" w:cs="宋体"/>
                <w:b/>
                <w:bCs/>
                <w:szCs w:val="21"/>
              </w:rPr>
            </w:pPr>
            <w:r>
              <w:rPr>
                <w:rFonts w:hint="eastAsia" w:ascii="宋体" w:hAnsi="宋体" w:cs="宋体"/>
                <w:b/>
                <w:bCs/>
                <w:szCs w:val="21"/>
              </w:rPr>
              <w:t>维保实施方案（12分）</w:t>
            </w:r>
          </w:p>
        </w:tc>
        <w:tc>
          <w:tcPr>
            <w:tcW w:w="7577" w:type="dxa"/>
            <w:vAlign w:val="center"/>
          </w:tcPr>
          <w:p>
            <w:pPr>
              <w:pStyle w:val="247"/>
              <w:spacing w:line="360" w:lineRule="auto"/>
              <w:jc w:val="left"/>
              <w:rPr>
                <w:rFonts w:ascii="宋体" w:hAnsi="宋体" w:cs="宋体"/>
                <w:szCs w:val="21"/>
              </w:rPr>
            </w:pPr>
            <w:r>
              <w:rPr>
                <w:rFonts w:hint="eastAsia" w:ascii="宋体" w:hAnsi="宋体" w:cs="宋体"/>
                <w:szCs w:val="21"/>
              </w:rPr>
              <w:t>根据投标人提供的投标文件维保实施方案，对其针对本项目现场服务、技术故障解决时间、设备故障解决时间承诺等评分：</w:t>
            </w:r>
          </w:p>
          <w:p>
            <w:pPr>
              <w:pStyle w:val="247"/>
              <w:spacing w:line="360" w:lineRule="auto"/>
              <w:jc w:val="left"/>
              <w:rPr>
                <w:rFonts w:ascii="宋体" w:hAnsi="宋体" w:cs="宋体"/>
                <w:szCs w:val="21"/>
              </w:rPr>
            </w:pPr>
            <w:r>
              <w:rPr>
                <w:rFonts w:hint="eastAsia" w:ascii="宋体" w:hAnsi="宋体" w:cs="宋体"/>
                <w:szCs w:val="21"/>
              </w:rPr>
              <w:t>（1）针对本项目现场服务人员、物资充足，承诺故障响应及解决时间快的，得8-12分；</w:t>
            </w:r>
          </w:p>
          <w:p>
            <w:pPr>
              <w:pStyle w:val="247"/>
              <w:spacing w:line="360" w:lineRule="auto"/>
              <w:jc w:val="left"/>
              <w:rPr>
                <w:rFonts w:ascii="宋体" w:hAnsi="宋体" w:cs="宋体"/>
                <w:szCs w:val="21"/>
              </w:rPr>
            </w:pPr>
            <w:r>
              <w:rPr>
                <w:rFonts w:hint="eastAsia" w:ascii="宋体" w:hAnsi="宋体" w:cs="宋体"/>
                <w:szCs w:val="21"/>
              </w:rPr>
              <w:t>（2）针对本项目现场服务人员、物资较充足，承诺故障响应及修复时间满足要求的，得 4-7.9分；</w:t>
            </w:r>
          </w:p>
          <w:p>
            <w:pPr>
              <w:pStyle w:val="247"/>
              <w:spacing w:line="360" w:lineRule="auto"/>
              <w:jc w:val="left"/>
              <w:rPr>
                <w:rFonts w:ascii="宋体" w:hAnsi="宋体" w:cs="宋体"/>
                <w:szCs w:val="21"/>
              </w:rPr>
            </w:pPr>
            <w:r>
              <w:rPr>
                <w:rFonts w:hint="eastAsia" w:ascii="宋体" w:hAnsi="宋体" w:cs="宋体"/>
                <w:szCs w:val="21"/>
              </w:rPr>
              <w:t>（3）针对本项目现场服务人员、物资，承诺故障响应及修复时间描述不具体、无针对性的，得 0.1-3.9分；</w:t>
            </w:r>
          </w:p>
          <w:p>
            <w:pPr>
              <w:pStyle w:val="247"/>
              <w:spacing w:line="360" w:lineRule="auto"/>
              <w:jc w:val="left"/>
              <w:rPr>
                <w:rFonts w:ascii="宋体" w:hAnsi="宋体" w:cs="宋体"/>
                <w:szCs w:val="21"/>
              </w:rPr>
            </w:pPr>
            <w:r>
              <w:rPr>
                <w:rFonts w:hint="eastAsia" w:ascii="宋体" w:hAnsi="宋体" w:cs="宋体"/>
                <w:szCs w:val="21"/>
              </w:rPr>
              <w:t>（4）投标文件中无此项内容的不得分。</w:t>
            </w:r>
          </w:p>
        </w:tc>
        <w:tc>
          <w:tcPr>
            <w:tcW w:w="648" w:type="dxa"/>
            <w:vAlign w:val="center"/>
          </w:tcPr>
          <w:p>
            <w:pPr>
              <w:autoSpaceDE w:val="0"/>
              <w:autoSpaceDN w:val="0"/>
              <w:adjustRightInd w:val="0"/>
              <w:spacing w:line="240" w:lineRule="exact"/>
              <w:ind w:right="-3"/>
              <w:jc w:val="center"/>
              <w:rPr>
                <w:rFonts w:hint="eastAsia" w:ascii="宋体" w:hAnsi="宋体" w:eastAsia="宋体" w:cs="微软雅黑"/>
                <w:bCs/>
                <w:kern w:val="0"/>
                <w:szCs w:val="21"/>
                <w:lang w:eastAsia="zh-CN"/>
              </w:rPr>
            </w:pPr>
            <w:r>
              <w:rPr>
                <w:rFonts w:hint="eastAsia" w:ascii="宋体" w:hAnsi="宋体" w:cs="微软雅黑"/>
                <w:bCs/>
                <w:kern w:val="0"/>
                <w:szCs w:val="21"/>
              </w:rPr>
              <w:t>1</w:t>
            </w:r>
            <w:r>
              <w:rPr>
                <w:rFonts w:hint="eastAsia" w:ascii="宋体" w:hAnsi="宋体" w:cs="微软雅黑"/>
                <w:bCs/>
                <w:kern w:val="0"/>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trPr>
        <w:tc>
          <w:tcPr>
            <w:tcW w:w="659" w:type="dxa"/>
            <w:vAlign w:val="center"/>
          </w:tcPr>
          <w:p>
            <w:pPr>
              <w:pStyle w:val="247"/>
              <w:spacing w:line="360" w:lineRule="auto"/>
              <w:jc w:val="center"/>
              <w:rPr>
                <w:rFonts w:ascii="宋体" w:hAnsi="宋体" w:cs="宋体"/>
                <w:b/>
                <w:szCs w:val="21"/>
              </w:rPr>
            </w:pPr>
            <w:r>
              <w:rPr>
                <w:rFonts w:hint="eastAsia" w:ascii="宋体" w:hAnsi="宋体" w:cs="宋体"/>
                <w:b/>
                <w:szCs w:val="21"/>
              </w:rPr>
              <w:t>6</w:t>
            </w:r>
          </w:p>
        </w:tc>
        <w:tc>
          <w:tcPr>
            <w:tcW w:w="1559" w:type="dxa"/>
            <w:vAlign w:val="center"/>
          </w:tcPr>
          <w:p>
            <w:pPr>
              <w:pStyle w:val="247"/>
              <w:spacing w:line="360" w:lineRule="auto"/>
              <w:jc w:val="center"/>
              <w:rPr>
                <w:rFonts w:ascii="宋体" w:hAnsi="宋体" w:cs="宋体"/>
                <w:b/>
                <w:bCs/>
                <w:szCs w:val="21"/>
              </w:rPr>
            </w:pPr>
            <w:r>
              <w:rPr>
                <w:rFonts w:hint="eastAsia" w:ascii="宋体" w:hAnsi="宋体" w:cs="宋体"/>
                <w:b/>
                <w:bCs/>
                <w:szCs w:val="21"/>
              </w:rPr>
              <w:t>故障处理分析及预防和应急措施（10分）</w:t>
            </w:r>
          </w:p>
        </w:tc>
        <w:tc>
          <w:tcPr>
            <w:tcW w:w="7577" w:type="dxa"/>
            <w:vAlign w:val="center"/>
          </w:tcPr>
          <w:p>
            <w:pPr>
              <w:pStyle w:val="247"/>
              <w:spacing w:line="360" w:lineRule="auto"/>
              <w:jc w:val="left"/>
              <w:rPr>
                <w:rFonts w:ascii="宋体" w:hAnsi="宋体" w:cs="宋体"/>
                <w:szCs w:val="21"/>
              </w:rPr>
            </w:pPr>
            <w:r>
              <w:rPr>
                <w:rFonts w:hint="eastAsia" w:ascii="宋体" w:hAnsi="宋体" w:cs="宋体"/>
                <w:szCs w:val="21"/>
              </w:rPr>
              <w:t>根据投标人提供的投标文件维保实施方案，对其针对本项目制定的故障处理分析及预防和应急措施评分：</w:t>
            </w:r>
          </w:p>
          <w:p>
            <w:pPr>
              <w:pStyle w:val="247"/>
              <w:spacing w:line="360" w:lineRule="auto"/>
              <w:jc w:val="left"/>
              <w:rPr>
                <w:rFonts w:ascii="宋体" w:hAnsi="宋体" w:cs="宋体"/>
                <w:szCs w:val="21"/>
              </w:rPr>
            </w:pPr>
            <w:r>
              <w:rPr>
                <w:rFonts w:hint="eastAsia" w:ascii="宋体" w:hAnsi="宋体" w:cs="宋体"/>
                <w:szCs w:val="21"/>
              </w:rPr>
              <w:t>（1）对本项目故障处理分析及预防和应急措施符合本项目的实际情况，内容详尽、可行的，为得7-10分；</w:t>
            </w:r>
          </w:p>
          <w:p>
            <w:pPr>
              <w:pStyle w:val="247"/>
              <w:spacing w:line="360" w:lineRule="auto"/>
              <w:jc w:val="left"/>
              <w:rPr>
                <w:rFonts w:ascii="宋体" w:hAnsi="宋体" w:cs="宋体"/>
                <w:szCs w:val="21"/>
              </w:rPr>
            </w:pPr>
            <w:r>
              <w:rPr>
                <w:rFonts w:hint="eastAsia" w:ascii="宋体" w:hAnsi="宋体" w:cs="宋体"/>
                <w:szCs w:val="21"/>
              </w:rPr>
              <w:t>（2）故障处理分析及预防和应急措施有针对性和可行性，但不够详尽具体的，得 3-6.9分；</w:t>
            </w:r>
          </w:p>
          <w:p>
            <w:pPr>
              <w:pStyle w:val="247"/>
              <w:spacing w:line="360" w:lineRule="auto"/>
              <w:jc w:val="left"/>
              <w:rPr>
                <w:rFonts w:ascii="宋体" w:hAnsi="宋体" w:cs="宋体"/>
                <w:szCs w:val="21"/>
              </w:rPr>
            </w:pPr>
            <w:r>
              <w:rPr>
                <w:rFonts w:hint="eastAsia" w:ascii="宋体" w:hAnsi="宋体" w:cs="宋体"/>
                <w:szCs w:val="21"/>
              </w:rPr>
              <w:t>（3）故障处理分析及预防和应急措施无针对性和可行性，不详尽不具体的，得 0.1-2.9 分；</w:t>
            </w:r>
          </w:p>
          <w:p>
            <w:pPr>
              <w:pStyle w:val="247"/>
              <w:spacing w:line="360" w:lineRule="auto"/>
              <w:jc w:val="left"/>
              <w:rPr>
                <w:rFonts w:ascii="宋体" w:hAnsi="宋体" w:cs="宋体"/>
                <w:szCs w:val="21"/>
              </w:rPr>
            </w:pPr>
            <w:r>
              <w:rPr>
                <w:rFonts w:hint="eastAsia" w:ascii="宋体" w:hAnsi="宋体" w:cs="宋体"/>
                <w:szCs w:val="21"/>
              </w:rPr>
              <w:t>（4）投标文件中无此项内容的不得分。</w:t>
            </w:r>
          </w:p>
        </w:tc>
        <w:tc>
          <w:tcPr>
            <w:tcW w:w="648" w:type="dxa"/>
            <w:vAlign w:val="center"/>
          </w:tcPr>
          <w:p>
            <w:pPr>
              <w:autoSpaceDE w:val="0"/>
              <w:autoSpaceDN w:val="0"/>
              <w:adjustRightInd w:val="0"/>
              <w:spacing w:line="360" w:lineRule="auto"/>
              <w:ind w:right="-3"/>
              <w:jc w:val="center"/>
              <w:rPr>
                <w:rFonts w:ascii="宋体" w:hAnsi="宋体" w:cs="微软雅黑"/>
                <w:bCs/>
                <w:kern w:val="0"/>
                <w:szCs w:val="21"/>
              </w:rPr>
            </w:pPr>
            <w:r>
              <w:rPr>
                <w:rFonts w:hint="eastAsia" w:ascii="宋体" w:hAnsi="宋体" w:cs="微软雅黑"/>
                <w:bCs/>
                <w:kern w:val="0"/>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trPr>
        <w:tc>
          <w:tcPr>
            <w:tcW w:w="659" w:type="dxa"/>
            <w:vAlign w:val="center"/>
          </w:tcPr>
          <w:p>
            <w:pPr>
              <w:pStyle w:val="247"/>
              <w:spacing w:line="360" w:lineRule="auto"/>
              <w:jc w:val="center"/>
              <w:rPr>
                <w:rFonts w:ascii="宋体" w:hAnsi="宋体" w:cs="宋体"/>
                <w:b/>
                <w:szCs w:val="21"/>
              </w:rPr>
            </w:pPr>
            <w:r>
              <w:rPr>
                <w:rFonts w:hint="eastAsia" w:ascii="宋体" w:hAnsi="宋体" w:cs="宋体"/>
                <w:b/>
                <w:szCs w:val="21"/>
              </w:rPr>
              <w:t>7</w:t>
            </w:r>
          </w:p>
        </w:tc>
        <w:tc>
          <w:tcPr>
            <w:tcW w:w="1559" w:type="dxa"/>
            <w:vAlign w:val="center"/>
          </w:tcPr>
          <w:p>
            <w:pPr>
              <w:pStyle w:val="247"/>
              <w:spacing w:line="360" w:lineRule="auto"/>
              <w:jc w:val="center"/>
              <w:rPr>
                <w:rFonts w:ascii="宋体" w:hAnsi="宋体" w:cs="宋体"/>
                <w:b/>
                <w:bCs/>
                <w:szCs w:val="21"/>
              </w:rPr>
            </w:pPr>
            <w:r>
              <w:rPr>
                <w:rFonts w:hint="eastAsia" w:ascii="宋体" w:hAnsi="宋体" w:cs="宋体"/>
                <w:b/>
                <w:bCs/>
                <w:szCs w:val="21"/>
              </w:rPr>
              <w:t>备品备件</w:t>
            </w:r>
          </w:p>
          <w:p>
            <w:pPr>
              <w:pStyle w:val="247"/>
              <w:spacing w:line="360" w:lineRule="auto"/>
              <w:jc w:val="center"/>
              <w:rPr>
                <w:rFonts w:ascii="宋体" w:hAnsi="宋体" w:cs="宋体"/>
                <w:b/>
                <w:bCs/>
                <w:szCs w:val="21"/>
              </w:rPr>
            </w:pPr>
            <w:r>
              <w:rPr>
                <w:rFonts w:hint="eastAsia" w:ascii="宋体" w:hAnsi="宋体" w:cs="宋体"/>
                <w:b/>
                <w:bCs/>
                <w:szCs w:val="21"/>
              </w:rPr>
              <w:t>（8分）</w:t>
            </w:r>
          </w:p>
        </w:tc>
        <w:tc>
          <w:tcPr>
            <w:tcW w:w="7577" w:type="dxa"/>
            <w:vAlign w:val="center"/>
          </w:tcPr>
          <w:p>
            <w:pPr>
              <w:pStyle w:val="247"/>
              <w:spacing w:line="360" w:lineRule="auto"/>
              <w:jc w:val="left"/>
              <w:rPr>
                <w:rFonts w:ascii="宋体" w:hAnsi="宋体" w:cs="宋体"/>
                <w:szCs w:val="21"/>
              </w:rPr>
            </w:pPr>
            <w:r>
              <w:rPr>
                <w:rFonts w:hint="eastAsia" w:ascii="宋体" w:hAnsi="宋体" w:cs="宋体"/>
                <w:szCs w:val="21"/>
              </w:rPr>
              <w:t>一、根据投标人提供的备品备件等实质性服务承诺进行综合评分。</w:t>
            </w:r>
          </w:p>
          <w:p>
            <w:pPr>
              <w:pStyle w:val="247"/>
              <w:spacing w:line="360" w:lineRule="auto"/>
              <w:jc w:val="left"/>
              <w:rPr>
                <w:rFonts w:ascii="宋体" w:hAnsi="宋体" w:cs="宋体"/>
                <w:szCs w:val="21"/>
              </w:rPr>
            </w:pPr>
            <w:r>
              <w:rPr>
                <w:rFonts w:hint="eastAsia" w:ascii="宋体" w:hAnsi="宋体" w:cs="宋体"/>
                <w:szCs w:val="21"/>
              </w:rPr>
              <w:t>（1）备品备件种类丰富，数量多得4-6分；</w:t>
            </w:r>
          </w:p>
          <w:p>
            <w:pPr>
              <w:pStyle w:val="247"/>
              <w:spacing w:line="360" w:lineRule="auto"/>
              <w:jc w:val="left"/>
              <w:rPr>
                <w:rFonts w:ascii="宋体" w:hAnsi="宋体" w:cs="宋体"/>
                <w:szCs w:val="21"/>
              </w:rPr>
            </w:pPr>
            <w:r>
              <w:rPr>
                <w:rFonts w:hint="eastAsia" w:ascii="宋体" w:hAnsi="宋体" w:cs="宋体"/>
                <w:szCs w:val="21"/>
              </w:rPr>
              <w:t>（2）备品备件较丰富得2-3.9分；</w:t>
            </w:r>
          </w:p>
          <w:p>
            <w:pPr>
              <w:pStyle w:val="247"/>
              <w:spacing w:line="360" w:lineRule="auto"/>
              <w:jc w:val="left"/>
              <w:rPr>
                <w:rFonts w:ascii="宋体" w:hAnsi="宋体" w:cs="宋体"/>
                <w:szCs w:val="21"/>
              </w:rPr>
            </w:pPr>
            <w:r>
              <w:rPr>
                <w:rFonts w:hint="eastAsia" w:ascii="宋体" w:hAnsi="宋体" w:cs="宋体"/>
                <w:szCs w:val="21"/>
              </w:rPr>
              <w:t>（3）备品备件不多得0－1.9分。</w:t>
            </w:r>
          </w:p>
          <w:p>
            <w:pPr>
              <w:pStyle w:val="247"/>
              <w:spacing w:line="360" w:lineRule="auto"/>
              <w:jc w:val="left"/>
              <w:rPr>
                <w:rFonts w:ascii="宋体" w:hAnsi="宋体" w:cs="宋体"/>
                <w:szCs w:val="21"/>
              </w:rPr>
            </w:pPr>
            <w:r>
              <w:rPr>
                <w:rFonts w:hint="eastAsia" w:ascii="宋体" w:hAnsi="宋体" w:cs="宋体"/>
                <w:szCs w:val="21"/>
              </w:rPr>
              <w:t>二、投标人承诺提供</w:t>
            </w:r>
            <w:r>
              <w:rPr>
                <w:rFonts w:hint="eastAsia" w:ascii="宋体" w:hAnsi="宋体" w:cs="宋体"/>
                <w:szCs w:val="21"/>
                <w:lang w:eastAsia="zh-Hans"/>
              </w:rPr>
              <w:t>的</w:t>
            </w:r>
            <w:r>
              <w:rPr>
                <w:rFonts w:hint="eastAsia" w:ascii="宋体" w:hAnsi="宋体" w:cs="宋体"/>
                <w:szCs w:val="21"/>
              </w:rPr>
              <w:t>备品备件为原厂正品备品备件的得2分。</w:t>
            </w:r>
          </w:p>
        </w:tc>
        <w:tc>
          <w:tcPr>
            <w:tcW w:w="648" w:type="dxa"/>
            <w:vAlign w:val="center"/>
          </w:tcPr>
          <w:p>
            <w:pPr>
              <w:autoSpaceDE w:val="0"/>
              <w:autoSpaceDN w:val="0"/>
              <w:adjustRightInd w:val="0"/>
              <w:spacing w:line="360" w:lineRule="auto"/>
              <w:ind w:right="-3"/>
              <w:jc w:val="center"/>
              <w:rPr>
                <w:rFonts w:ascii="宋体" w:hAnsi="宋体" w:cs="微软雅黑"/>
                <w:bCs/>
                <w:kern w:val="0"/>
                <w:szCs w:val="21"/>
              </w:rPr>
            </w:pPr>
            <w:r>
              <w:rPr>
                <w:rFonts w:hint="eastAsia" w:ascii="宋体" w:hAnsi="宋体" w:cs="微软雅黑"/>
                <w:bCs/>
                <w:kern w:val="0"/>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trPr>
        <w:tc>
          <w:tcPr>
            <w:tcW w:w="659" w:type="dxa"/>
            <w:vAlign w:val="center"/>
          </w:tcPr>
          <w:p>
            <w:pPr>
              <w:pStyle w:val="247"/>
              <w:spacing w:line="360" w:lineRule="auto"/>
              <w:jc w:val="center"/>
              <w:rPr>
                <w:rFonts w:ascii="宋体" w:hAnsi="宋体" w:cs="宋体"/>
                <w:b/>
                <w:szCs w:val="21"/>
              </w:rPr>
            </w:pPr>
            <w:r>
              <w:rPr>
                <w:rFonts w:hint="eastAsia" w:ascii="宋体" w:hAnsi="宋体" w:cs="宋体"/>
                <w:b/>
                <w:szCs w:val="21"/>
              </w:rPr>
              <w:t>8</w:t>
            </w:r>
          </w:p>
        </w:tc>
        <w:tc>
          <w:tcPr>
            <w:tcW w:w="1559" w:type="dxa"/>
            <w:vAlign w:val="center"/>
          </w:tcPr>
          <w:p>
            <w:pPr>
              <w:pStyle w:val="247"/>
              <w:spacing w:line="360" w:lineRule="auto"/>
              <w:jc w:val="center"/>
              <w:rPr>
                <w:rFonts w:ascii="宋体" w:hAnsi="宋体" w:cs="宋体"/>
                <w:b/>
                <w:bCs/>
                <w:szCs w:val="21"/>
              </w:rPr>
            </w:pPr>
            <w:r>
              <w:rPr>
                <w:rFonts w:hint="eastAsia" w:ascii="宋体" w:hAnsi="宋体" w:cs="宋体"/>
                <w:b/>
                <w:bCs/>
                <w:szCs w:val="21"/>
              </w:rPr>
              <w:t>培训计划</w:t>
            </w:r>
          </w:p>
          <w:p>
            <w:pPr>
              <w:pStyle w:val="247"/>
              <w:spacing w:line="360" w:lineRule="auto"/>
              <w:jc w:val="center"/>
              <w:rPr>
                <w:rFonts w:ascii="宋体" w:hAnsi="宋体" w:cs="宋体"/>
                <w:b/>
                <w:bCs/>
                <w:szCs w:val="21"/>
              </w:rPr>
            </w:pPr>
            <w:r>
              <w:rPr>
                <w:rFonts w:hint="eastAsia" w:ascii="宋体" w:hAnsi="宋体" w:cs="宋体"/>
                <w:b/>
                <w:bCs/>
                <w:szCs w:val="21"/>
              </w:rPr>
              <w:t>（4分）</w:t>
            </w:r>
          </w:p>
        </w:tc>
        <w:tc>
          <w:tcPr>
            <w:tcW w:w="7577" w:type="dxa"/>
            <w:vAlign w:val="center"/>
          </w:tcPr>
          <w:p>
            <w:pPr>
              <w:pStyle w:val="247"/>
              <w:spacing w:line="360" w:lineRule="auto"/>
              <w:jc w:val="left"/>
              <w:rPr>
                <w:rFonts w:ascii="宋体" w:hAnsi="宋体" w:cs="宋体"/>
                <w:szCs w:val="21"/>
              </w:rPr>
            </w:pPr>
            <w:r>
              <w:rPr>
                <w:rFonts w:hint="eastAsia" w:ascii="宋体" w:hAnsi="宋体" w:cs="宋体"/>
                <w:szCs w:val="21"/>
              </w:rPr>
              <w:t>根据投标人提供的投标文件维保实施方案，对其针对本项目培训计划评分：</w:t>
            </w:r>
          </w:p>
          <w:p>
            <w:pPr>
              <w:pStyle w:val="247"/>
              <w:spacing w:line="360" w:lineRule="auto"/>
              <w:jc w:val="left"/>
              <w:rPr>
                <w:rFonts w:ascii="宋体" w:hAnsi="宋体" w:cs="宋体"/>
                <w:szCs w:val="21"/>
              </w:rPr>
            </w:pPr>
            <w:r>
              <w:rPr>
                <w:rFonts w:hint="eastAsia" w:ascii="宋体" w:hAnsi="宋体" w:cs="宋体"/>
                <w:szCs w:val="21"/>
              </w:rPr>
              <w:t>（1）培训计划内容丰富有针对性、师资力量强、课程设置合理，资料提供齐全，得3-4分；</w:t>
            </w:r>
          </w:p>
          <w:p>
            <w:pPr>
              <w:pStyle w:val="247"/>
              <w:spacing w:line="360" w:lineRule="auto"/>
              <w:jc w:val="left"/>
              <w:rPr>
                <w:rFonts w:ascii="宋体" w:hAnsi="宋体" w:cs="宋体"/>
                <w:szCs w:val="21"/>
              </w:rPr>
            </w:pPr>
            <w:r>
              <w:rPr>
                <w:rFonts w:hint="eastAsia" w:ascii="宋体" w:hAnsi="宋体" w:cs="宋体"/>
                <w:szCs w:val="21"/>
              </w:rPr>
              <w:t>（2）培训计划内容、课程设置、师资力量一般，提供资料简单，得 2-3.9分；</w:t>
            </w:r>
          </w:p>
          <w:p>
            <w:pPr>
              <w:pStyle w:val="247"/>
              <w:spacing w:line="360" w:lineRule="auto"/>
              <w:jc w:val="left"/>
              <w:rPr>
                <w:rFonts w:ascii="宋体" w:hAnsi="宋体" w:cs="宋体"/>
                <w:szCs w:val="21"/>
              </w:rPr>
            </w:pPr>
            <w:r>
              <w:rPr>
                <w:rFonts w:hint="eastAsia" w:ascii="宋体" w:hAnsi="宋体" w:cs="宋体"/>
                <w:szCs w:val="21"/>
              </w:rPr>
              <w:t>（3）培训计划内容不完整，师资力量差，不提供资料或有偿提供资料的，得0-1.9分；</w:t>
            </w:r>
          </w:p>
          <w:p>
            <w:pPr>
              <w:pStyle w:val="247"/>
              <w:spacing w:line="360" w:lineRule="auto"/>
              <w:jc w:val="left"/>
              <w:rPr>
                <w:rFonts w:ascii="宋体" w:hAnsi="宋体" w:cs="宋体"/>
                <w:szCs w:val="21"/>
              </w:rPr>
            </w:pPr>
            <w:r>
              <w:rPr>
                <w:rFonts w:hint="eastAsia" w:ascii="宋体" w:hAnsi="宋体" w:cs="宋体"/>
                <w:szCs w:val="21"/>
              </w:rPr>
              <w:t>（4）投标文件中无此项内容的不得分。</w:t>
            </w:r>
          </w:p>
        </w:tc>
        <w:tc>
          <w:tcPr>
            <w:tcW w:w="648" w:type="dxa"/>
            <w:vAlign w:val="center"/>
          </w:tcPr>
          <w:p>
            <w:pPr>
              <w:autoSpaceDE w:val="0"/>
              <w:autoSpaceDN w:val="0"/>
              <w:adjustRightInd w:val="0"/>
              <w:spacing w:line="360" w:lineRule="auto"/>
              <w:ind w:right="-3"/>
              <w:jc w:val="center"/>
              <w:rPr>
                <w:rFonts w:hint="eastAsia" w:ascii="宋体" w:hAnsi="宋体" w:eastAsia="宋体" w:cs="微软雅黑"/>
                <w:bCs/>
                <w:kern w:val="0"/>
                <w:szCs w:val="21"/>
                <w:lang w:eastAsia="zh-CN"/>
              </w:rPr>
            </w:pPr>
            <w:r>
              <w:rPr>
                <w:rFonts w:hint="eastAsia" w:ascii="宋体" w:hAnsi="宋体" w:cs="微软雅黑"/>
                <w:bCs/>
                <w:kern w:val="0"/>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trPr>
        <w:tc>
          <w:tcPr>
            <w:tcW w:w="659" w:type="dxa"/>
            <w:vAlign w:val="center"/>
          </w:tcPr>
          <w:p>
            <w:pPr>
              <w:pStyle w:val="247"/>
              <w:spacing w:line="360" w:lineRule="auto"/>
              <w:jc w:val="center"/>
              <w:rPr>
                <w:rFonts w:ascii="宋体" w:hAnsi="宋体" w:cs="宋体"/>
                <w:b/>
                <w:szCs w:val="21"/>
              </w:rPr>
            </w:pPr>
            <w:r>
              <w:rPr>
                <w:rFonts w:hint="eastAsia" w:ascii="宋体" w:hAnsi="宋体" w:cs="宋体"/>
                <w:b/>
                <w:szCs w:val="21"/>
              </w:rPr>
              <w:t>9</w:t>
            </w:r>
          </w:p>
        </w:tc>
        <w:tc>
          <w:tcPr>
            <w:tcW w:w="1559" w:type="dxa"/>
            <w:vAlign w:val="center"/>
          </w:tcPr>
          <w:p>
            <w:pPr>
              <w:pStyle w:val="247"/>
              <w:spacing w:line="360" w:lineRule="auto"/>
              <w:jc w:val="center"/>
              <w:rPr>
                <w:rFonts w:ascii="宋体" w:hAnsi="宋体" w:cs="宋体"/>
                <w:b/>
                <w:bCs/>
                <w:szCs w:val="21"/>
              </w:rPr>
            </w:pPr>
            <w:r>
              <w:rPr>
                <w:rFonts w:hint="eastAsia" w:ascii="宋体" w:hAnsi="宋体" w:cs="宋体"/>
                <w:b/>
                <w:bCs/>
                <w:szCs w:val="21"/>
              </w:rPr>
              <w:t>本地化服务</w:t>
            </w:r>
          </w:p>
          <w:p>
            <w:pPr>
              <w:pStyle w:val="247"/>
              <w:spacing w:line="360" w:lineRule="auto"/>
              <w:jc w:val="center"/>
              <w:rPr>
                <w:rFonts w:ascii="宋体" w:hAnsi="宋体" w:cs="宋体"/>
                <w:b/>
                <w:bCs/>
                <w:szCs w:val="21"/>
              </w:rPr>
            </w:pPr>
            <w:r>
              <w:rPr>
                <w:rFonts w:hint="eastAsia" w:ascii="宋体" w:hAnsi="宋体" w:cs="宋体"/>
                <w:b/>
                <w:bCs/>
                <w:szCs w:val="21"/>
              </w:rPr>
              <w:t>（</w:t>
            </w:r>
            <w:r>
              <w:rPr>
                <w:rFonts w:hint="eastAsia" w:ascii="宋体" w:hAnsi="宋体" w:cs="宋体"/>
                <w:b/>
                <w:bCs/>
                <w:szCs w:val="21"/>
                <w:lang w:val="en-US" w:eastAsia="zh-CN"/>
              </w:rPr>
              <w:t>2</w:t>
            </w:r>
            <w:r>
              <w:rPr>
                <w:rFonts w:hint="eastAsia" w:ascii="宋体" w:hAnsi="宋体" w:cs="宋体"/>
                <w:b/>
                <w:bCs/>
                <w:szCs w:val="21"/>
              </w:rPr>
              <w:t>分）</w:t>
            </w:r>
          </w:p>
        </w:tc>
        <w:tc>
          <w:tcPr>
            <w:tcW w:w="7577" w:type="dxa"/>
            <w:vAlign w:val="center"/>
          </w:tcPr>
          <w:p>
            <w:pPr>
              <w:pStyle w:val="247"/>
              <w:numPr>
                <w:ilvl w:val="-1"/>
                <w:numId w:val="0"/>
              </w:numPr>
              <w:spacing w:line="360" w:lineRule="auto"/>
              <w:ind w:left="0" w:firstLine="0"/>
              <w:jc w:val="left"/>
              <w:rPr>
                <w:rFonts w:ascii="宋体" w:hAnsi="宋体" w:cs="宋体"/>
                <w:szCs w:val="21"/>
              </w:rPr>
            </w:pPr>
            <w:r>
              <w:rPr>
                <w:rFonts w:hint="eastAsia" w:ascii="宋体" w:hAnsi="宋体" w:cs="宋体"/>
                <w:szCs w:val="21"/>
              </w:rPr>
              <w:t>投标人能否有技术和能力提供本地化售后服务：</w:t>
            </w:r>
          </w:p>
          <w:p>
            <w:pPr>
              <w:pStyle w:val="247"/>
              <w:numPr>
                <w:ilvl w:val="-1"/>
                <w:numId w:val="0"/>
              </w:numPr>
              <w:spacing w:line="360" w:lineRule="auto"/>
              <w:ind w:left="0" w:firstLine="0"/>
              <w:jc w:val="left"/>
              <w:rPr>
                <w:rFonts w:ascii="宋体" w:hAnsi="宋体" w:cs="宋体"/>
                <w:szCs w:val="21"/>
              </w:rPr>
            </w:pPr>
            <w:bookmarkStart w:id="182" w:name="_GoBack"/>
            <w:r>
              <w:rPr>
                <w:rFonts w:hint="eastAsia" w:ascii="宋体" w:hAnsi="宋体" w:cs="宋体"/>
                <w:szCs w:val="21"/>
              </w:rPr>
              <w:t>投标人在台州市内具有售后服务机构或承诺中标后1个月内在台州市成立常驻售后服务机构的得</w:t>
            </w:r>
            <w:r>
              <w:rPr>
                <w:rFonts w:hint="eastAsia" w:ascii="宋体" w:hAnsi="宋体" w:cs="宋体"/>
                <w:szCs w:val="21"/>
                <w:lang w:val="en-US" w:eastAsia="zh-CN"/>
              </w:rPr>
              <w:t>2</w:t>
            </w:r>
            <w:r>
              <w:rPr>
                <w:rFonts w:hint="eastAsia" w:ascii="宋体" w:hAnsi="宋体" w:cs="宋体"/>
                <w:szCs w:val="21"/>
              </w:rPr>
              <w:t>分</w:t>
            </w:r>
            <w:bookmarkEnd w:id="182"/>
            <w:r>
              <w:rPr>
                <w:rFonts w:hint="eastAsia" w:ascii="宋体" w:hAnsi="宋体" w:cs="宋体"/>
                <w:szCs w:val="21"/>
                <w:lang w:eastAsia="zh-CN"/>
              </w:rPr>
              <w:t>。</w:t>
            </w:r>
          </w:p>
        </w:tc>
        <w:tc>
          <w:tcPr>
            <w:tcW w:w="648" w:type="dxa"/>
            <w:vAlign w:val="center"/>
          </w:tcPr>
          <w:p>
            <w:pPr>
              <w:autoSpaceDE w:val="0"/>
              <w:autoSpaceDN w:val="0"/>
              <w:adjustRightInd w:val="0"/>
              <w:spacing w:line="360" w:lineRule="exact"/>
              <w:jc w:val="center"/>
              <w:rPr>
                <w:rFonts w:hint="eastAsia" w:ascii="宋体" w:hAnsi="宋体" w:eastAsia="宋体" w:cs="微软雅黑"/>
                <w:bCs/>
                <w:kern w:val="0"/>
                <w:szCs w:val="21"/>
                <w:lang w:eastAsia="zh-CN"/>
              </w:rPr>
            </w:pPr>
            <w:r>
              <w:rPr>
                <w:rFonts w:hint="eastAsia" w:ascii="宋体" w:hAnsi="宋体" w:cs="微软雅黑"/>
                <w:bCs/>
                <w:kern w:val="0"/>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659" w:type="dxa"/>
            <w:vAlign w:val="center"/>
          </w:tcPr>
          <w:p>
            <w:pPr>
              <w:spacing w:line="400" w:lineRule="exact"/>
              <w:jc w:val="center"/>
              <w:rPr>
                <w:rFonts w:cs="宋体" w:asciiTheme="minorEastAsia" w:hAnsiTheme="minorEastAsia" w:eastAsiaTheme="minorEastAsia"/>
                <w:b/>
                <w:szCs w:val="21"/>
              </w:rPr>
            </w:pPr>
            <w:r>
              <w:rPr>
                <w:rFonts w:hint="eastAsia" w:cs="宋体" w:asciiTheme="minorEastAsia" w:hAnsiTheme="minorEastAsia" w:eastAsiaTheme="minorEastAsia"/>
                <w:b/>
                <w:szCs w:val="21"/>
              </w:rPr>
              <w:t>10</w:t>
            </w:r>
          </w:p>
        </w:tc>
        <w:tc>
          <w:tcPr>
            <w:tcW w:w="1559" w:type="dxa"/>
            <w:vAlign w:val="center"/>
          </w:tcPr>
          <w:p>
            <w:pPr>
              <w:spacing w:line="400" w:lineRule="exact"/>
              <w:jc w:val="center"/>
              <w:rPr>
                <w:rFonts w:cs="宋体" w:asciiTheme="minorEastAsia" w:hAnsiTheme="minorEastAsia" w:eastAsiaTheme="minorEastAsia"/>
                <w:b/>
                <w:bCs/>
                <w:szCs w:val="21"/>
              </w:rPr>
            </w:pPr>
            <w:r>
              <w:rPr>
                <w:rFonts w:hint="eastAsia" w:cs="宋体" w:asciiTheme="minorEastAsia" w:hAnsiTheme="minorEastAsia" w:eastAsiaTheme="minorEastAsia"/>
                <w:b/>
                <w:bCs/>
                <w:szCs w:val="21"/>
              </w:rPr>
              <w:t>价格</w:t>
            </w:r>
          </w:p>
          <w:p>
            <w:pPr>
              <w:spacing w:line="400" w:lineRule="exact"/>
              <w:jc w:val="center"/>
              <w:rPr>
                <w:rFonts w:cs="宋体" w:asciiTheme="minorEastAsia" w:hAnsiTheme="minorEastAsia" w:eastAsiaTheme="minorEastAsia"/>
                <w:b/>
                <w:bCs/>
                <w:szCs w:val="21"/>
              </w:rPr>
            </w:pPr>
            <w:r>
              <w:rPr>
                <w:rFonts w:hint="eastAsia" w:cs="宋体" w:asciiTheme="minorEastAsia" w:hAnsiTheme="minorEastAsia" w:eastAsiaTheme="minorEastAsia"/>
                <w:b/>
                <w:bCs/>
                <w:szCs w:val="21"/>
              </w:rPr>
              <w:t>（20分）</w:t>
            </w:r>
          </w:p>
        </w:tc>
        <w:tc>
          <w:tcPr>
            <w:tcW w:w="7577" w:type="dxa"/>
            <w:vAlign w:val="center"/>
          </w:tcPr>
          <w:p>
            <w:pPr>
              <w:spacing w:line="400" w:lineRule="exact"/>
              <w:rPr>
                <w:rFonts w:asciiTheme="minorEastAsia" w:hAnsiTheme="minorEastAsia" w:eastAsiaTheme="minorEastAsia"/>
                <w:snapToGrid w:val="0"/>
                <w:szCs w:val="21"/>
              </w:rPr>
            </w:pPr>
            <w:r>
              <w:rPr>
                <w:rFonts w:hint="eastAsia" w:asciiTheme="minorEastAsia" w:hAnsiTheme="minorEastAsia" w:eastAsiaTheme="minorEastAsia"/>
                <w:snapToGrid w:val="0"/>
                <w:szCs w:val="21"/>
              </w:rPr>
              <w:t>评标基准价</w:t>
            </w:r>
            <w:r>
              <w:rPr>
                <w:rFonts w:asciiTheme="minorEastAsia" w:hAnsiTheme="minorEastAsia" w:eastAsiaTheme="minorEastAsia"/>
                <w:snapToGrid w:val="0"/>
                <w:szCs w:val="21"/>
              </w:rPr>
              <w:t>=满足要求的有效参与评审价格的最低价</w:t>
            </w:r>
            <w:r>
              <w:rPr>
                <w:rFonts w:hint="eastAsia" w:asciiTheme="minorEastAsia" w:hAnsiTheme="minorEastAsia" w:eastAsiaTheme="minorEastAsia"/>
                <w:snapToGrid w:val="0"/>
                <w:szCs w:val="21"/>
              </w:rPr>
              <w:t>。</w:t>
            </w:r>
          </w:p>
          <w:p>
            <w:pPr>
              <w:spacing w:line="400" w:lineRule="exact"/>
              <w:rPr>
                <w:rFonts w:asciiTheme="minorEastAsia" w:hAnsiTheme="minorEastAsia" w:eastAsiaTheme="minorEastAsia"/>
                <w:snapToGrid w:val="0"/>
                <w:szCs w:val="21"/>
              </w:rPr>
            </w:pPr>
            <w:r>
              <w:rPr>
                <w:rFonts w:hint="eastAsia" w:asciiTheme="minorEastAsia" w:hAnsiTheme="minorEastAsia" w:eastAsiaTheme="minorEastAsia"/>
                <w:snapToGrid w:val="0"/>
                <w:szCs w:val="21"/>
              </w:rPr>
              <w:t>评标基准价得分为满分。</w:t>
            </w:r>
          </w:p>
          <w:p>
            <w:pPr>
              <w:spacing w:line="400" w:lineRule="exact"/>
              <w:rPr>
                <w:rFonts w:asciiTheme="minorEastAsia" w:hAnsiTheme="minorEastAsia" w:eastAsiaTheme="minorEastAsia"/>
                <w:snapToGrid w:val="0"/>
                <w:szCs w:val="21"/>
              </w:rPr>
            </w:pPr>
            <w:r>
              <w:rPr>
                <w:rFonts w:hint="eastAsia" w:asciiTheme="minorEastAsia" w:hAnsiTheme="minorEastAsia" w:eastAsiaTheme="minorEastAsia"/>
                <w:snapToGrid w:val="0"/>
                <w:szCs w:val="21"/>
              </w:rPr>
              <w:t>参与评审价格</w:t>
            </w:r>
            <w:r>
              <w:rPr>
                <w:rFonts w:asciiTheme="minorEastAsia" w:hAnsiTheme="minorEastAsia" w:eastAsiaTheme="minorEastAsia"/>
                <w:snapToGrid w:val="0"/>
                <w:szCs w:val="21"/>
              </w:rPr>
              <w:t>=投标报价</w:t>
            </w:r>
          </w:p>
          <w:p>
            <w:pPr>
              <w:spacing w:line="400" w:lineRule="exact"/>
              <w:rPr>
                <w:rFonts w:asciiTheme="minorEastAsia" w:hAnsiTheme="minorEastAsia" w:eastAsiaTheme="minorEastAsia"/>
                <w:snapToGrid w:val="0"/>
                <w:szCs w:val="21"/>
              </w:rPr>
            </w:pPr>
            <w:r>
              <w:rPr>
                <w:rFonts w:hint="eastAsia" w:asciiTheme="minorEastAsia" w:hAnsiTheme="minorEastAsia" w:eastAsiaTheme="minorEastAsia"/>
                <w:snapToGrid w:val="0"/>
                <w:szCs w:val="21"/>
              </w:rPr>
              <w:t>投标报价得分</w:t>
            </w:r>
            <w:r>
              <w:rPr>
                <w:rFonts w:asciiTheme="minorEastAsia" w:hAnsiTheme="minorEastAsia" w:eastAsiaTheme="minorEastAsia"/>
                <w:snapToGrid w:val="0"/>
                <w:szCs w:val="21"/>
              </w:rPr>
              <w:t>=（评标基准价/参与评审的价格）×</w:t>
            </w:r>
            <w:r>
              <w:rPr>
                <w:rFonts w:hint="eastAsia" w:asciiTheme="minorEastAsia" w:hAnsiTheme="minorEastAsia" w:eastAsiaTheme="minorEastAsia"/>
                <w:snapToGrid w:val="0"/>
                <w:szCs w:val="21"/>
                <w:lang w:val="en-US" w:eastAsia="zh-CN"/>
              </w:rPr>
              <w:t>20</w:t>
            </w:r>
            <w:r>
              <w:rPr>
                <w:rFonts w:hint="eastAsia" w:asciiTheme="minorEastAsia" w:hAnsiTheme="minorEastAsia" w:eastAsiaTheme="minorEastAsia"/>
                <w:snapToGrid w:val="0"/>
                <w:szCs w:val="21"/>
              </w:rPr>
              <w:t>%</w:t>
            </w:r>
            <w:r>
              <w:rPr>
                <w:rFonts w:asciiTheme="minorEastAsia" w:hAnsiTheme="minorEastAsia" w:eastAsiaTheme="minorEastAsia"/>
                <w:snapToGrid w:val="0"/>
                <w:szCs w:val="21"/>
              </w:rPr>
              <w:t>×100</w:t>
            </w:r>
          </w:p>
          <w:p>
            <w:pPr>
              <w:spacing w:line="400" w:lineRule="exact"/>
              <w:rPr>
                <w:rFonts w:asciiTheme="minorEastAsia" w:hAnsiTheme="minorEastAsia" w:eastAsiaTheme="minorEastAsia"/>
                <w:b/>
                <w:snapToGrid w:val="0"/>
                <w:szCs w:val="21"/>
              </w:rPr>
            </w:pPr>
            <w:r>
              <w:rPr>
                <w:rFonts w:hint="eastAsia" w:asciiTheme="minorEastAsia" w:hAnsiTheme="minorEastAsia" w:eastAsiaTheme="minorEastAsia"/>
                <w:snapToGrid w:val="0"/>
                <w:szCs w:val="21"/>
              </w:rPr>
              <w:t>投标报价得分以四舍五入保留小数点后两位。</w:t>
            </w:r>
          </w:p>
        </w:tc>
        <w:tc>
          <w:tcPr>
            <w:tcW w:w="648" w:type="dxa"/>
            <w:vAlign w:val="center"/>
          </w:tcPr>
          <w:p>
            <w:pPr>
              <w:spacing w:line="380" w:lineRule="exact"/>
              <w:jc w:val="center"/>
              <w:rPr>
                <w:rFonts w:asciiTheme="minorEastAsia" w:hAnsiTheme="minorEastAsia" w:eastAsiaTheme="minorEastAsia"/>
                <w:b/>
                <w:szCs w:val="21"/>
              </w:rPr>
            </w:pPr>
            <w:r>
              <w:rPr>
                <w:rFonts w:hint="eastAsia" w:asciiTheme="minorEastAsia" w:hAnsiTheme="minorEastAsia" w:eastAsiaTheme="minorEastAsia"/>
                <w:bCs/>
                <w:szCs w:val="21"/>
              </w:rPr>
              <w:t>20</w:t>
            </w:r>
          </w:p>
        </w:tc>
      </w:tr>
    </w:tbl>
    <w:p>
      <w:pPr>
        <w:pStyle w:val="20"/>
        <w:ind w:firstLine="210"/>
        <w:rPr>
          <w:rFonts w:eastAsiaTheme="minorEastAsia"/>
        </w:rPr>
      </w:pPr>
    </w:p>
    <w:p>
      <w:pPr>
        <w:pStyle w:val="21"/>
      </w:pPr>
    </w:p>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spacing w:line="360" w:lineRule="auto"/>
        <w:jc w:val="center"/>
        <w:outlineLvl w:val="0"/>
        <w:sectPr>
          <w:headerReference r:id="rId10" w:type="first"/>
          <w:headerReference r:id="rId8" w:type="default"/>
          <w:footerReference r:id="rId11" w:type="default"/>
          <w:headerReference r:id="rId9" w:type="even"/>
          <w:pgSz w:w="11906" w:h="16838"/>
          <w:pgMar w:top="1440" w:right="1134" w:bottom="1440" w:left="1134" w:header="851" w:footer="992" w:gutter="0"/>
          <w:pgNumType w:fmt="decimal"/>
          <w:cols w:space="720" w:num="1"/>
          <w:docGrid w:type="lines" w:linePitch="312" w:charSpace="0"/>
        </w:sectPr>
      </w:pPr>
    </w:p>
    <w:p>
      <w:pPr>
        <w:spacing w:line="360" w:lineRule="auto"/>
        <w:jc w:val="center"/>
        <w:outlineLvl w:val="0"/>
        <w:rPr>
          <w:rFonts w:ascii="宋体" w:hAnsi="宋体" w:cs="宋体"/>
          <w:b/>
          <w:bCs/>
          <w:sz w:val="32"/>
          <w:szCs w:val="32"/>
        </w:rPr>
      </w:pPr>
      <w:bookmarkStart w:id="100" w:name="_Toc16946"/>
      <w:bookmarkStart w:id="101" w:name="_Toc15735"/>
      <w:bookmarkStart w:id="102" w:name="_Toc15145"/>
      <w:bookmarkStart w:id="103" w:name="_Toc6241"/>
      <w:bookmarkStart w:id="104" w:name="_Toc13083"/>
      <w:bookmarkStart w:id="105" w:name="_Toc10462"/>
      <w:r>
        <w:fldChar w:fldCharType="begin"/>
      </w:r>
      <w:r>
        <w:instrText xml:space="preserve"> HYPERLINK "file:///F:\\微信\\WeChat%20Files\\a29023143\\FileStorage\\File\\2021-11\\台州市公安局特警支队最小作战单元装备建设采购项目10.28.docx" \l "●评分标准" </w:instrText>
      </w:r>
      <w:r>
        <w:fldChar w:fldCharType="separate"/>
      </w:r>
      <w:r>
        <w:rPr>
          <w:rStyle w:val="54"/>
          <w:rFonts w:hint="eastAsia" w:ascii="宋体" w:hAnsi="宋体"/>
          <w:b/>
          <w:color w:val="auto"/>
          <w:sz w:val="32"/>
          <w:szCs w:val="32"/>
          <w:u w:val="none"/>
        </w:rPr>
        <w:t xml:space="preserve">第五部分 </w:t>
      </w:r>
      <w:r>
        <w:rPr>
          <w:rStyle w:val="54"/>
          <w:rFonts w:hint="eastAsia" w:ascii="宋体" w:hAnsi="宋体"/>
          <w:b/>
          <w:color w:val="auto"/>
          <w:sz w:val="32"/>
          <w:szCs w:val="32"/>
          <w:u w:val="none"/>
        </w:rPr>
        <w:fldChar w:fldCharType="end"/>
      </w:r>
      <w:r>
        <w:rPr>
          <w:rFonts w:hint="eastAsia" w:ascii="宋体" w:hAnsi="宋体" w:cs="宋体"/>
          <w:b/>
          <w:bCs/>
          <w:sz w:val="32"/>
          <w:szCs w:val="32"/>
        </w:rPr>
        <w:t>采购内容及要求</w:t>
      </w:r>
      <w:bookmarkEnd w:id="100"/>
      <w:bookmarkEnd w:id="101"/>
      <w:bookmarkEnd w:id="102"/>
      <w:bookmarkEnd w:id="103"/>
      <w:bookmarkEnd w:id="104"/>
      <w:bookmarkEnd w:id="105"/>
    </w:p>
    <w:p>
      <w:pPr>
        <w:ind w:firstLine="422" w:firstLineChars="200"/>
        <w:rPr>
          <w:rFonts w:ascii="宋体" w:hAnsi="宋体" w:cs="宋体"/>
          <w:b/>
        </w:rPr>
      </w:pPr>
      <w:r>
        <w:rPr>
          <w:rFonts w:hint="eastAsia"/>
          <w:b/>
          <w:szCs w:val="21"/>
        </w:rPr>
        <w:t>一、</w:t>
      </w:r>
      <w:bookmarkStart w:id="106" w:name="_Toc15530"/>
      <w:bookmarkStart w:id="107" w:name="_Toc8606"/>
      <w:bookmarkStart w:id="108" w:name="_Toc6305"/>
      <w:r>
        <w:rPr>
          <w:rFonts w:hint="eastAsia" w:ascii="宋体" w:hAnsi="宋体" w:cs="宋体"/>
          <w:b/>
        </w:rPr>
        <w:t>项目背景</w:t>
      </w:r>
    </w:p>
    <w:p>
      <w:pPr>
        <w:pStyle w:val="116"/>
        <w:ind w:firstLine="420"/>
        <w:rPr>
          <w:rFonts w:cs="宋体"/>
          <w:bCs/>
          <w:sz w:val="21"/>
          <w:szCs w:val="21"/>
          <w:lang w:val="zh-CN"/>
        </w:rPr>
      </w:pPr>
      <w:r>
        <w:rPr>
          <w:rFonts w:hint="eastAsia" w:cs="宋体"/>
          <w:bCs/>
          <w:sz w:val="21"/>
          <w:szCs w:val="21"/>
          <w:lang w:val="zh-CN"/>
        </w:rPr>
        <w:t>台州市公安局视频专网建设于2013年，自视频专网建成以来，为全市公安信息化大发展和“科技强警”战略的顺利实施创造了良好的基础条件，并在构筑以四大防控网络为核心的打防控一体化机制进程中发挥了巨大的作用。目前视频专网三级网的核心和汇聚交换机设备年限较长，设备脱保存在隐患影响三级网主干网络稳定运行。台州市公安局公安信息网三级网于2017年完成升级，升级后为全市公安信息化大发展提供安全、稳定、可靠的主干网络。公安信息网三级网的核心和汇聚交换机设备将于</w:t>
      </w:r>
      <w:r>
        <w:rPr>
          <w:rFonts w:hint="eastAsia" w:cs="宋体"/>
          <w:bCs/>
          <w:sz w:val="21"/>
          <w:szCs w:val="21"/>
        </w:rPr>
        <w:t>2022</w:t>
      </w:r>
      <w:r>
        <w:rPr>
          <w:rFonts w:hint="eastAsia" w:cs="宋体"/>
          <w:bCs/>
          <w:sz w:val="21"/>
          <w:szCs w:val="21"/>
          <w:lang w:val="zh-CN"/>
        </w:rPr>
        <w:t xml:space="preserve">年8月脱保，影响三级网主干网络稳定运行。  </w:t>
      </w:r>
    </w:p>
    <w:p>
      <w:pPr>
        <w:tabs>
          <w:tab w:val="left" w:pos="1260"/>
        </w:tabs>
        <w:spacing w:line="312" w:lineRule="auto"/>
        <w:ind w:left="420" w:leftChars="200"/>
        <w:jc w:val="left"/>
        <w:rPr>
          <w:rFonts w:ascii="宋体" w:hAnsi="宋体" w:cs="宋体" w:eastAsiaTheme="minorEastAsia"/>
          <w:bCs/>
          <w:kern w:val="0"/>
          <w:szCs w:val="21"/>
          <w:lang w:val="zh-CN"/>
        </w:rPr>
      </w:pPr>
      <w:r>
        <w:rPr>
          <w:rFonts w:hint="eastAsia" w:ascii="宋体" w:hAnsi="宋体" w:cs="宋体"/>
          <w:b/>
          <w:szCs w:val="21"/>
        </w:rPr>
        <w:t>二、</w:t>
      </w:r>
      <w:r>
        <w:rPr>
          <w:rFonts w:hint="eastAsia" w:ascii="宋体" w:hAnsi="宋体" w:cs="宋体" w:eastAsiaTheme="minorEastAsia"/>
          <w:b/>
          <w:bCs w:val="0"/>
          <w:kern w:val="0"/>
          <w:szCs w:val="21"/>
          <w:lang w:val="zh-CN"/>
        </w:rPr>
        <w:t>维保设备清单和</w:t>
      </w:r>
      <w:r>
        <w:rPr>
          <w:rFonts w:hint="eastAsia" w:ascii="宋体" w:hAnsi="宋体" w:cs="宋体"/>
          <w:b/>
          <w:szCs w:val="21"/>
        </w:rPr>
        <w:t>采购清单</w:t>
      </w:r>
    </w:p>
    <w:p>
      <w:pPr>
        <w:tabs>
          <w:tab w:val="left" w:pos="1260"/>
        </w:tabs>
        <w:spacing w:line="312"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（一）设备维保。对原有核心、汇聚交换机设备进行维保续保，提高设备稳定运行的可靠性。维保设备清单如下：</w:t>
      </w:r>
    </w:p>
    <w:p>
      <w:pPr>
        <w:tabs>
          <w:tab w:val="left" w:pos="1260"/>
        </w:tabs>
        <w:spacing w:line="312"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1、视频专网三级网设备</w:t>
      </w:r>
    </w:p>
    <w:tbl>
      <w:tblPr>
        <w:tblStyle w:val="47"/>
        <w:tblW w:w="92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1"/>
        <w:gridCol w:w="839"/>
        <w:gridCol w:w="2014"/>
        <w:gridCol w:w="5244"/>
        <w:gridCol w:w="7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471" w:type="dxa"/>
            <w:tcBorders>
              <w:top w:val="single" w:color="auto" w:sz="4" w:space="0"/>
              <w:left w:val="single" w:color="auto" w:sz="4" w:space="0"/>
              <w:bottom w:val="single" w:color="auto" w:sz="4" w:space="0"/>
              <w:right w:val="single" w:color="auto" w:sz="4" w:space="0"/>
            </w:tcBorders>
            <w:shd w:val="clear" w:color="auto" w:fill="DCD8C2" w:themeFill="background2" w:themeFillShade="E5"/>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序号</w:t>
            </w:r>
          </w:p>
        </w:tc>
        <w:tc>
          <w:tcPr>
            <w:tcW w:w="839" w:type="dxa"/>
            <w:tcBorders>
              <w:top w:val="single" w:color="auto" w:sz="4" w:space="0"/>
              <w:left w:val="single" w:color="auto" w:sz="4" w:space="0"/>
              <w:right w:val="single" w:color="auto" w:sz="4" w:space="0"/>
            </w:tcBorders>
            <w:shd w:val="clear" w:color="auto" w:fill="DCD8C2" w:themeFill="background2" w:themeFillShade="E5"/>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设备类型</w:t>
            </w:r>
          </w:p>
        </w:tc>
        <w:tc>
          <w:tcPr>
            <w:tcW w:w="2014" w:type="dxa"/>
            <w:tcBorders>
              <w:top w:val="single" w:color="auto" w:sz="4" w:space="0"/>
              <w:left w:val="single" w:color="auto" w:sz="4" w:space="0"/>
              <w:right w:val="single" w:color="auto" w:sz="4" w:space="0"/>
            </w:tcBorders>
            <w:shd w:val="clear" w:color="auto" w:fill="DCD8C2" w:themeFill="background2" w:themeFillShade="E5"/>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型号</w:t>
            </w:r>
          </w:p>
        </w:tc>
        <w:tc>
          <w:tcPr>
            <w:tcW w:w="5244" w:type="dxa"/>
            <w:tcBorders>
              <w:top w:val="single" w:color="auto" w:sz="4" w:space="0"/>
              <w:left w:val="single" w:color="auto" w:sz="4" w:space="0"/>
              <w:bottom w:val="single" w:color="auto" w:sz="4" w:space="0"/>
              <w:right w:val="single" w:color="auto" w:sz="4" w:space="0"/>
            </w:tcBorders>
            <w:shd w:val="clear" w:color="auto" w:fill="DCD8C2" w:themeFill="background2" w:themeFillShade="E5"/>
            <w:noWrap/>
            <w:vAlign w:val="center"/>
          </w:tcPr>
          <w:p>
            <w:pPr>
              <w:widowControl/>
              <w:jc w:val="center"/>
              <w:textAlignment w:val="center"/>
              <w:rPr>
                <w:rFonts w:ascii="宋体" w:hAnsi="宋体" w:cs="宋体"/>
                <w:color w:val="000000"/>
                <w:kern w:val="0"/>
                <w:szCs w:val="21"/>
              </w:rPr>
            </w:pPr>
            <w:r>
              <w:rPr>
                <w:rFonts w:hint="eastAsia" w:ascii="宋体" w:hAnsi="宋体" w:cs="宋体"/>
                <w:szCs w:val="21"/>
              </w:rPr>
              <w:t>描述</w:t>
            </w:r>
          </w:p>
        </w:tc>
        <w:tc>
          <w:tcPr>
            <w:tcW w:w="710" w:type="dxa"/>
            <w:tcBorders>
              <w:top w:val="single" w:color="auto" w:sz="4" w:space="0"/>
              <w:left w:val="single" w:color="auto" w:sz="4" w:space="0"/>
              <w:bottom w:val="single" w:color="auto" w:sz="4" w:space="0"/>
              <w:right w:val="single" w:color="auto" w:sz="4" w:space="0"/>
            </w:tcBorders>
            <w:shd w:val="clear" w:color="auto" w:fill="DCD8C2" w:themeFill="background2" w:themeFillShade="E5"/>
            <w:noWrap/>
            <w:vAlign w:val="center"/>
          </w:tcPr>
          <w:p>
            <w:pPr>
              <w:widowControl/>
              <w:jc w:val="center"/>
              <w:textAlignment w:val="center"/>
              <w:rPr>
                <w:rFonts w:ascii="宋体" w:hAnsi="宋体" w:cs="宋体"/>
                <w:b/>
                <w:szCs w:val="21"/>
              </w:rPr>
            </w:pPr>
            <w:r>
              <w:rPr>
                <w:rFonts w:hint="eastAsia" w:ascii="宋体" w:hAnsi="宋体" w:cs="宋体"/>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471" w:type="dxa"/>
            <w:vMerge w:val="restart"/>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r>
              <w:rPr>
                <w:rFonts w:hint="eastAsia" w:ascii="宋体" w:hAnsi="宋体" w:cs="宋体"/>
                <w:kern w:val="0"/>
                <w:szCs w:val="21"/>
              </w:rPr>
              <w:t>1</w:t>
            </w:r>
          </w:p>
        </w:tc>
        <w:tc>
          <w:tcPr>
            <w:tcW w:w="839" w:type="dxa"/>
            <w:vMerge w:val="restart"/>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r>
              <w:rPr>
                <w:rFonts w:hint="eastAsia" w:ascii="宋体" w:hAnsi="宋体" w:cs="宋体"/>
                <w:szCs w:val="21"/>
              </w:rPr>
              <w:t>视频专网核心交换机</w:t>
            </w:r>
          </w:p>
        </w:tc>
        <w:tc>
          <w:tcPr>
            <w:tcW w:w="2014" w:type="dxa"/>
            <w:tcBorders>
              <w:left w:val="single" w:color="auto" w:sz="4" w:space="0"/>
              <w:right w:val="single" w:color="auto" w:sz="4" w:space="0"/>
            </w:tcBorders>
            <w:noWrap/>
            <w:vAlign w:val="center"/>
          </w:tcPr>
          <w:p>
            <w:pPr>
              <w:jc w:val="center"/>
              <w:rPr>
                <w:rFonts w:ascii="宋体" w:hAnsi="宋体" w:cs="宋体"/>
                <w:kern w:val="0"/>
                <w:szCs w:val="21"/>
              </w:rPr>
            </w:pPr>
            <w:r>
              <w:rPr>
                <w:rFonts w:hint="eastAsia" w:ascii="宋体" w:hAnsi="宋体" w:cs="宋体"/>
                <w:szCs w:val="21"/>
              </w:rPr>
              <w:t>LS-10508</w:t>
            </w:r>
          </w:p>
        </w:tc>
        <w:tc>
          <w:tcPr>
            <w:tcW w:w="5244"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kern w:val="0"/>
                <w:szCs w:val="21"/>
              </w:rPr>
            </w:pPr>
            <w:r>
              <w:rPr>
                <w:rFonts w:hint="eastAsia" w:ascii="宋体" w:hAnsi="宋体" w:cs="宋体"/>
                <w:szCs w:val="21"/>
              </w:rPr>
              <w:t>H3C S10508 以太网交换机主机</w:t>
            </w:r>
          </w:p>
        </w:tc>
        <w:tc>
          <w:tcPr>
            <w:tcW w:w="71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47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839"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2014" w:type="dxa"/>
            <w:tcBorders>
              <w:left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kern w:val="0"/>
                <w:szCs w:val="21"/>
              </w:rPr>
              <w:t>LSUM1SUPA0</w:t>
            </w:r>
          </w:p>
        </w:tc>
        <w:tc>
          <w:tcPr>
            <w:tcW w:w="5244"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kern w:val="0"/>
                <w:szCs w:val="21"/>
              </w:rPr>
            </w:pPr>
            <w:r>
              <w:rPr>
                <w:rFonts w:hint="eastAsia" w:ascii="宋体" w:hAnsi="宋体" w:cs="宋体"/>
                <w:szCs w:val="21"/>
              </w:rPr>
              <w:t>H3C S10500 系列主控制引擎模块</w:t>
            </w:r>
          </w:p>
        </w:tc>
        <w:tc>
          <w:tcPr>
            <w:tcW w:w="71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47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839"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2014" w:type="dxa"/>
            <w:tcBorders>
              <w:left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kern w:val="0"/>
                <w:szCs w:val="21"/>
              </w:rPr>
              <w:t>LSUM1FAB08DO</w:t>
            </w:r>
          </w:p>
        </w:tc>
        <w:tc>
          <w:tcPr>
            <w:tcW w:w="5244"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kern w:val="0"/>
                <w:szCs w:val="21"/>
              </w:rPr>
            </w:pPr>
            <w:r>
              <w:rPr>
                <w:rFonts w:hint="eastAsia" w:ascii="宋体" w:hAnsi="宋体" w:cs="宋体"/>
                <w:szCs w:val="21"/>
              </w:rPr>
              <w:t>S10508 &amp; S10508-V交换网板,D类</w:t>
            </w:r>
          </w:p>
        </w:tc>
        <w:tc>
          <w:tcPr>
            <w:tcW w:w="71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szCs w:val="21"/>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47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839"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2014" w:type="dxa"/>
            <w:tcBorders>
              <w:left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kern w:val="0"/>
                <w:szCs w:val="21"/>
              </w:rPr>
              <w:t>LSUM1GP24TXSE0</w:t>
            </w:r>
          </w:p>
        </w:tc>
        <w:tc>
          <w:tcPr>
            <w:tcW w:w="5244"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kern w:val="0"/>
                <w:szCs w:val="21"/>
              </w:rPr>
            </w:pPr>
            <w:r>
              <w:rPr>
                <w:rFonts w:hint="eastAsia" w:ascii="宋体" w:hAnsi="宋体" w:cs="宋体"/>
                <w:szCs w:val="21"/>
              </w:rPr>
              <w:t>H3C S10500 16端口千兆以太网光口(SFP,LC)+8端口千兆以太网Combo口+2端口万兆以太网光接口模块(XFP,LC)(SE)</w:t>
            </w:r>
          </w:p>
        </w:tc>
        <w:tc>
          <w:tcPr>
            <w:tcW w:w="71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7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839"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2014" w:type="dxa"/>
            <w:tcBorders>
              <w:left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kern w:val="0"/>
                <w:szCs w:val="21"/>
              </w:rPr>
              <w:t>LSUM1TGS32SF0</w:t>
            </w:r>
          </w:p>
        </w:tc>
        <w:tc>
          <w:tcPr>
            <w:tcW w:w="5244"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kern w:val="0"/>
                <w:szCs w:val="21"/>
              </w:rPr>
            </w:pPr>
            <w:r>
              <w:rPr>
                <w:rFonts w:hint="eastAsia" w:ascii="宋体" w:hAnsi="宋体" w:cs="宋体"/>
                <w:szCs w:val="21"/>
              </w:rPr>
              <w:t>H3C S10500 32端口万兆以太网光接口模块(SFP+,LC)(SF)</w:t>
            </w:r>
          </w:p>
        </w:tc>
        <w:tc>
          <w:tcPr>
            <w:tcW w:w="71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47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839"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2014" w:type="dxa"/>
            <w:tcBorders>
              <w:left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kern w:val="0"/>
                <w:szCs w:val="21"/>
              </w:rPr>
              <w:t>LSUM1GP24TSEO</w:t>
            </w:r>
          </w:p>
        </w:tc>
        <w:tc>
          <w:tcPr>
            <w:tcW w:w="5244"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kern w:val="0"/>
                <w:szCs w:val="21"/>
              </w:rPr>
            </w:pPr>
            <w:r>
              <w:rPr>
                <w:rFonts w:hint="eastAsia" w:ascii="宋体" w:hAnsi="宋体" w:cs="宋体"/>
                <w:szCs w:val="21"/>
              </w:rPr>
              <w:t>H3C S10500 16端口千兆以太网光口(SFP,LC)+8端口千兆以太网Combo口(SE)</w:t>
            </w:r>
          </w:p>
        </w:tc>
        <w:tc>
          <w:tcPr>
            <w:tcW w:w="71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471" w:type="dxa"/>
            <w:vMerge w:val="continue"/>
            <w:tcBorders>
              <w:left w:val="single" w:color="auto" w:sz="4" w:space="0"/>
              <w:bottom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839"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2014" w:type="dxa"/>
            <w:tcBorders>
              <w:left w:val="single" w:color="auto" w:sz="4" w:space="0"/>
              <w:bottom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kern w:val="0"/>
                <w:szCs w:val="21"/>
              </w:rPr>
              <w:t>LSUM1AC2500</w:t>
            </w:r>
          </w:p>
        </w:tc>
        <w:tc>
          <w:tcPr>
            <w:tcW w:w="5244"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color w:val="000000"/>
                <w:kern w:val="0"/>
                <w:szCs w:val="21"/>
              </w:rPr>
            </w:pPr>
            <w:r>
              <w:rPr>
                <w:rFonts w:hint="eastAsia" w:ascii="宋体" w:hAnsi="宋体" w:cs="宋体"/>
                <w:szCs w:val="21"/>
              </w:rPr>
              <w:t>交流电源模块,2500W</w:t>
            </w:r>
          </w:p>
        </w:tc>
        <w:tc>
          <w:tcPr>
            <w:tcW w:w="71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bottom"/>
              <w:rPr>
                <w:rFonts w:ascii="宋体" w:hAnsi="宋体" w:cs="宋体"/>
                <w:color w:val="000000"/>
                <w:kern w:val="0"/>
                <w:szCs w:val="21"/>
              </w:rPr>
            </w:pPr>
            <w:r>
              <w:rPr>
                <w:rFonts w:hint="eastAsia" w:ascii="宋体" w:hAnsi="宋体" w:cs="宋体"/>
                <w:szCs w:val="21"/>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471" w:type="dxa"/>
            <w:vMerge w:val="restart"/>
            <w:tcBorders>
              <w:top w:val="single" w:color="auto" w:sz="4" w:space="0"/>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2</w:t>
            </w:r>
          </w:p>
        </w:tc>
        <w:tc>
          <w:tcPr>
            <w:tcW w:w="839" w:type="dxa"/>
            <w:vMerge w:val="restart"/>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r>
              <w:rPr>
                <w:rFonts w:hint="eastAsia" w:ascii="宋体" w:hAnsi="宋体" w:cs="宋体"/>
                <w:szCs w:val="21"/>
              </w:rPr>
              <w:t>视频专网汇聚交换机</w:t>
            </w:r>
          </w:p>
        </w:tc>
        <w:tc>
          <w:tcPr>
            <w:tcW w:w="2014" w:type="dxa"/>
            <w:tcBorders>
              <w:top w:val="single" w:color="auto" w:sz="4" w:space="0"/>
              <w:left w:val="single" w:color="auto" w:sz="4" w:space="0"/>
              <w:right w:val="single" w:color="auto" w:sz="4" w:space="0"/>
            </w:tcBorders>
            <w:noWrap/>
            <w:vAlign w:val="center"/>
          </w:tcPr>
          <w:p>
            <w:pPr>
              <w:jc w:val="center"/>
              <w:rPr>
                <w:rFonts w:ascii="宋体" w:hAnsi="宋体" w:cs="宋体"/>
                <w:color w:val="000000"/>
                <w:kern w:val="0"/>
                <w:szCs w:val="21"/>
              </w:rPr>
            </w:pPr>
            <w:r>
              <w:rPr>
                <w:rFonts w:hint="eastAsia" w:ascii="宋体" w:hAnsi="宋体" w:cs="宋体"/>
                <w:szCs w:val="21"/>
              </w:rPr>
              <w:t>LS-7506E-S</w:t>
            </w:r>
          </w:p>
        </w:tc>
        <w:tc>
          <w:tcPr>
            <w:tcW w:w="5244"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kern w:val="0"/>
                <w:szCs w:val="21"/>
              </w:rPr>
            </w:pPr>
            <w:r>
              <w:rPr>
                <w:rFonts w:hint="eastAsia" w:ascii="宋体" w:hAnsi="宋体" w:cs="宋体"/>
                <w:szCs w:val="21"/>
              </w:rPr>
              <w:t>H3C S7506E-S 以太网交换机主机</w:t>
            </w:r>
          </w:p>
        </w:tc>
        <w:tc>
          <w:tcPr>
            <w:tcW w:w="71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47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839"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2014" w:type="dxa"/>
            <w:tcBorders>
              <w:left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kern w:val="0"/>
                <w:szCs w:val="21"/>
              </w:rPr>
              <w:t>LSQM1SRPA0</w:t>
            </w:r>
          </w:p>
        </w:tc>
        <w:tc>
          <w:tcPr>
            <w:tcW w:w="5244"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kern w:val="0"/>
                <w:szCs w:val="21"/>
              </w:rPr>
            </w:pPr>
            <w:r>
              <w:rPr>
                <w:rFonts w:hint="eastAsia" w:ascii="宋体" w:hAnsi="宋体" w:cs="宋体"/>
                <w:szCs w:val="21"/>
              </w:rPr>
              <w:t>H3C S7506E-S Salience VI-Smart 专用交换路由引擎</w:t>
            </w:r>
          </w:p>
        </w:tc>
        <w:tc>
          <w:tcPr>
            <w:tcW w:w="71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47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839"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kern w:val="0"/>
                <w:szCs w:val="21"/>
              </w:rPr>
            </w:pPr>
          </w:p>
        </w:tc>
        <w:tc>
          <w:tcPr>
            <w:tcW w:w="2014" w:type="dxa"/>
            <w:tcBorders>
              <w:left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kern w:val="0"/>
                <w:szCs w:val="21"/>
              </w:rPr>
              <w:t>LSQM1AC1400</w:t>
            </w:r>
          </w:p>
        </w:tc>
        <w:tc>
          <w:tcPr>
            <w:tcW w:w="5244"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kern w:val="0"/>
                <w:szCs w:val="21"/>
              </w:rPr>
            </w:pPr>
            <w:r>
              <w:rPr>
                <w:rFonts w:hint="eastAsia" w:ascii="宋体" w:hAnsi="宋体" w:cs="宋体"/>
                <w:szCs w:val="21"/>
              </w:rPr>
              <w:t>H3C 交流电源模块,1400W</w:t>
            </w:r>
          </w:p>
        </w:tc>
        <w:tc>
          <w:tcPr>
            <w:tcW w:w="71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szCs w:val="21"/>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atLeast"/>
          <w:jc w:val="center"/>
        </w:trPr>
        <w:tc>
          <w:tcPr>
            <w:tcW w:w="47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839"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2014" w:type="dxa"/>
            <w:tcBorders>
              <w:left w:val="single" w:color="auto" w:sz="4" w:space="0"/>
              <w:right w:val="single" w:color="auto" w:sz="4" w:space="0"/>
            </w:tcBorders>
            <w:noWrap/>
            <w:vAlign w:val="center"/>
          </w:tcPr>
          <w:p>
            <w:pPr>
              <w:widowControl/>
              <w:jc w:val="center"/>
              <w:textAlignment w:val="bottom"/>
              <w:rPr>
                <w:rFonts w:ascii="宋体" w:hAnsi="宋体" w:cs="宋体"/>
                <w:color w:val="000000"/>
                <w:kern w:val="0"/>
                <w:szCs w:val="21"/>
              </w:rPr>
            </w:pPr>
            <w:r>
              <w:rPr>
                <w:rFonts w:hint="eastAsia" w:ascii="宋体" w:hAnsi="宋体" w:cs="宋体"/>
                <w:color w:val="000000"/>
                <w:kern w:val="0"/>
                <w:szCs w:val="21"/>
              </w:rPr>
              <w:t>LSQM1GP24TXSD0</w:t>
            </w:r>
          </w:p>
        </w:tc>
        <w:tc>
          <w:tcPr>
            <w:tcW w:w="5244"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color w:val="000000"/>
                <w:kern w:val="0"/>
                <w:szCs w:val="21"/>
              </w:rPr>
            </w:pPr>
            <w:r>
              <w:rPr>
                <w:rFonts w:hint="eastAsia" w:ascii="宋体" w:hAnsi="宋体" w:cs="宋体"/>
                <w:szCs w:val="21"/>
              </w:rPr>
              <w:t>H3C S7500E 16端口千兆以太网光口(SFP,LC)+8端口千兆以太网Combo口+2端口万兆以太网光接口模块(XFP,LC)</w:t>
            </w:r>
          </w:p>
        </w:tc>
        <w:tc>
          <w:tcPr>
            <w:tcW w:w="710"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bottom"/>
              <w:rPr>
                <w:rFonts w:ascii="宋体" w:hAnsi="宋体" w:cs="宋体"/>
                <w:kern w:val="0"/>
                <w:szCs w:val="21"/>
              </w:rPr>
            </w:pPr>
            <w:r>
              <w:rPr>
                <w:rFonts w:hint="eastAsia" w:ascii="宋体" w:hAnsi="宋体" w:cs="宋体"/>
                <w:szCs w:val="21"/>
              </w:rPr>
              <w:t>40</w:t>
            </w:r>
          </w:p>
        </w:tc>
      </w:tr>
    </w:tbl>
    <w:p>
      <w:pPr>
        <w:tabs>
          <w:tab w:val="left" w:pos="1260"/>
        </w:tabs>
        <w:spacing w:line="312"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2、公安信息网三级网设备</w:t>
      </w:r>
    </w:p>
    <w:tbl>
      <w:tblPr>
        <w:tblStyle w:val="47"/>
        <w:tblW w:w="91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1"/>
        <w:gridCol w:w="1006"/>
        <w:gridCol w:w="1663"/>
        <w:gridCol w:w="5435"/>
        <w:gridCol w:w="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481" w:type="dxa"/>
            <w:tcBorders>
              <w:top w:val="single" w:color="auto" w:sz="4" w:space="0"/>
              <w:left w:val="single" w:color="auto" w:sz="4" w:space="0"/>
              <w:bottom w:val="single" w:color="auto" w:sz="4" w:space="0"/>
              <w:right w:val="single" w:color="auto" w:sz="4" w:space="0"/>
            </w:tcBorders>
            <w:shd w:val="clear" w:color="auto" w:fill="DCD8C2" w:themeFill="background2" w:themeFillShade="E5"/>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序号</w:t>
            </w:r>
          </w:p>
        </w:tc>
        <w:tc>
          <w:tcPr>
            <w:tcW w:w="1006" w:type="dxa"/>
            <w:tcBorders>
              <w:top w:val="single" w:color="auto" w:sz="4" w:space="0"/>
              <w:left w:val="single" w:color="auto" w:sz="4" w:space="0"/>
              <w:right w:val="single" w:color="auto" w:sz="4" w:space="0"/>
            </w:tcBorders>
            <w:shd w:val="clear" w:color="auto" w:fill="DCD8C2" w:themeFill="background2" w:themeFillShade="E5"/>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设备类型</w:t>
            </w:r>
          </w:p>
        </w:tc>
        <w:tc>
          <w:tcPr>
            <w:tcW w:w="1663" w:type="dxa"/>
            <w:tcBorders>
              <w:top w:val="single" w:color="auto" w:sz="4" w:space="0"/>
              <w:left w:val="single" w:color="auto" w:sz="4" w:space="0"/>
              <w:right w:val="single" w:color="auto" w:sz="4" w:space="0"/>
            </w:tcBorders>
            <w:shd w:val="clear" w:color="auto" w:fill="DCD8C2" w:themeFill="background2" w:themeFillShade="E5"/>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型号</w:t>
            </w:r>
          </w:p>
        </w:tc>
        <w:tc>
          <w:tcPr>
            <w:tcW w:w="5435" w:type="dxa"/>
            <w:tcBorders>
              <w:top w:val="single" w:color="auto" w:sz="4" w:space="0"/>
              <w:left w:val="single" w:color="auto" w:sz="4" w:space="0"/>
              <w:bottom w:val="single" w:color="auto" w:sz="4" w:space="0"/>
              <w:right w:val="single" w:color="auto" w:sz="4" w:space="0"/>
            </w:tcBorders>
            <w:shd w:val="clear" w:color="auto" w:fill="DCD8C2" w:themeFill="background2" w:themeFillShade="E5"/>
            <w:noWrap/>
            <w:vAlign w:val="center"/>
          </w:tcPr>
          <w:p>
            <w:pPr>
              <w:widowControl/>
              <w:jc w:val="center"/>
              <w:textAlignment w:val="center"/>
              <w:rPr>
                <w:rFonts w:ascii="宋体" w:hAnsi="宋体" w:cs="宋体"/>
                <w:color w:val="000000"/>
                <w:kern w:val="0"/>
                <w:szCs w:val="21"/>
              </w:rPr>
            </w:pPr>
            <w:r>
              <w:rPr>
                <w:rFonts w:hint="eastAsia" w:ascii="宋体" w:hAnsi="宋体" w:cs="宋体"/>
                <w:szCs w:val="21"/>
              </w:rPr>
              <w:t>描述</w:t>
            </w:r>
          </w:p>
        </w:tc>
        <w:tc>
          <w:tcPr>
            <w:tcW w:w="572" w:type="dxa"/>
            <w:tcBorders>
              <w:top w:val="single" w:color="auto" w:sz="4" w:space="0"/>
              <w:left w:val="single" w:color="auto" w:sz="4" w:space="0"/>
              <w:bottom w:val="single" w:color="auto" w:sz="4" w:space="0"/>
              <w:right w:val="single" w:color="auto" w:sz="4" w:space="0"/>
            </w:tcBorders>
            <w:shd w:val="clear" w:color="auto" w:fill="DCD8C2" w:themeFill="background2" w:themeFillShade="E5"/>
            <w:noWrap/>
            <w:vAlign w:val="center"/>
          </w:tcPr>
          <w:p>
            <w:pPr>
              <w:widowControl/>
              <w:jc w:val="center"/>
              <w:textAlignment w:val="center"/>
              <w:rPr>
                <w:rFonts w:ascii="宋体" w:hAnsi="宋体" w:cs="宋体"/>
                <w:b/>
                <w:szCs w:val="21"/>
              </w:rPr>
            </w:pPr>
            <w:r>
              <w:rPr>
                <w:rFonts w:hint="eastAsia" w:ascii="宋体" w:hAnsi="宋体" w:cs="宋体"/>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restart"/>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w:t>
            </w:r>
          </w:p>
        </w:tc>
        <w:tc>
          <w:tcPr>
            <w:tcW w:w="1006" w:type="dxa"/>
            <w:vMerge w:val="restart"/>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r>
              <w:rPr>
                <w:rFonts w:ascii="宋体" w:hAnsi="宋体" w:cs="宋体"/>
                <w:color w:val="000000"/>
                <w:kern w:val="0"/>
                <w:szCs w:val="21"/>
              </w:rPr>
              <w:t>公安网核心交换机</w:t>
            </w: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LS-12508X-AF</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S12508X-AF 以太网交换机主机</w:t>
            </w:r>
          </w:p>
        </w:tc>
        <w:tc>
          <w:tcPr>
            <w:tcW w:w="572" w:type="dxa"/>
            <w:tcBorders>
              <w:top w:val="single" w:color="auto" w:sz="4" w:space="0"/>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LSXM1SUPB1</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S12500X-AF 主控制引擎模块</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LSXM1SFF08B1</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S12508X-AF交换网板,F型(B类)</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PSR2400-54A</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S12508X-AF-交流电源模块</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LSXM1TGS48FX1</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S12508-X48端口万兆以太网光接口模块（SFP+,LC）(FX)</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LSXM1GT48FX1</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S12500-X 48端口千兆电口以太网接口模块(RJ45)(FX)</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LSXM1GP48FX1</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S12500-X 48端口千兆以太网光接口模块(SFP,LC)(FX)</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hint="default" w:ascii="宋体" w:hAnsi="宋体" w:eastAsia="宋体" w:cs="宋体"/>
                <w:color w:val="000000"/>
                <w:kern w:val="0"/>
                <w:szCs w:val="21"/>
                <w:lang w:val="en-US" w:eastAsia="zh-CN"/>
              </w:rPr>
            </w:pPr>
            <w:r>
              <w:rPr>
                <w:rFonts w:hint="eastAsia" w:ascii="宋体" w:hAnsi="宋体" w:cs="宋体"/>
                <w:color w:val="000000"/>
                <w:kern w:val="0"/>
                <w:szCs w:val="21"/>
              </w:rPr>
              <w:t>LSXM1</w:t>
            </w:r>
            <w:r>
              <w:rPr>
                <w:rFonts w:hint="eastAsia" w:ascii="宋体" w:hAnsi="宋体" w:cs="宋体"/>
                <w:color w:val="000000"/>
                <w:kern w:val="0"/>
                <w:szCs w:val="21"/>
                <w:lang w:val="en-US" w:eastAsia="zh-CN"/>
              </w:rPr>
              <w:t>IMA</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hint="default" w:ascii="宋体" w:hAnsi="宋体" w:eastAsia="宋体" w:cs="宋体"/>
                <w:szCs w:val="21"/>
                <w:lang w:val="en-US" w:eastAsia="zh-CN"/>
              </w:rPr>
            </w:pPr>
            <w:r>
              <w:rPr>
                <w:rFonts w:hint="eastAsia" w:ascii="宋体" w:hAnsi="宋体" w:cs="宋体"/>
                <w:szCs w:val="21"/>
              </w:rPr>
              <w:t>H3C S12500-X</w:t>
            </w:r>
            <w:r>
              <w:rPr>
                <w:rFonts w:hint="eastAsia" w:ascii="宋体" w:hAnsi="宋体" w:cs="宋体"/>
                <w:szCs w:val="21"/>
                <w:lang w:val="en-US" w:eastAsia="zh-CN"/>
              </w:rPr>
              <w:t>-AF 业务板适配器</w:t>
            </w:r>
          </w:p>
        </w:tc>
        <w:tc>
          <w:tcPr>
            <w:tcW w:w="572" w:type="dxa"/>
            <w:tcBorders>
              <w:left w:val="single" w:color="auto" w:sz="4" w:space="0"/>
              <w:right w:val="single" w:color="auto" w:sz="4" w:space="0"/>
            </w:tcBorders>
            <w:noWrap/>
            <w:vAlign w:val="center"/>
          </w:tcPr>
          <w:p>
            <w:pPr>
              <w:widowControl/>
              <w:jc w:val="center"/>
              <w:textAlignment w:val="bottom"/>
              <w:rPr>
                <w:rFonts w:hint="eastAsia" w:ascii="宋体" w:hAnsi="宋体" w:eastAsia="宋体" w:cs="宋体"/>
                <w:szCs w:val="21"/>
                <w:lang w:val="en-US" w:eastAsia="zh-CN"/>
              </w:rPr>
            </w:pPr>
            <w:r>
              <w:rPr>
                <w:rFonts w:hint="eastAsia" w:ascii="宋体" w:hAnsi="宋体" w:cs="宋体"/>
                <w:szCs w:val="21"/>
                <w:lang w:val="en-US" w:eastAsia="zh-CN"/>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LSXM108XFAN</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S12500X-AF-风扇框</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restart"/>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2</w:t>
            </w:r>
          </w:p>
        </w:tc>
        <w:tc>
          <w:tcPr>
            <w:tcW w:w="1006" w:type="dxa"/>
            <w:vMerge w:val="restart"/>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r>
              <w:rPr>
                <w:rFonts w:ascii="宋体" w:hAnsi="宋体" w:cs="宋体"/>
                <w:color w:val="000000"/>
                <w:kern w:val="0"/>
                <w:szCs w:val="21"/>
              </w:rPr>
              <w:t>市局服务器汇聚</w:t>
            </w: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LS-10510</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S10510 以太网交换机主机</w:t>
            </w:r>
          </w:p>
        </w:tc>
        <w:tc>
          <w:tcPr>
            <w:tcW w:w="572" w:type="dxa"/>
            <w:tcBorders>
              <w:left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LSUM1MPU10A0</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S10510主控板</w:t>
            </w:r>
          </w:p>
        </w:tc>
        <w:tc>
          <w:tcPr>
            <w:tcW w:w="572" w:type="dxa"/>
            <w:tcBorders>
              <w:left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ascii="宋体" w:hAnsi="宋体" w:cs="宋体"/>
                <w:color w:val="000000"/>
                <w:kern w:val="0"/>
                <w:szCs w:val="21"/>
              </w:rPr>
              <w:t>LSUM1</w:t>
            </w:r>
            <w:r>
              <w:rPr>
                <w:rFonts w:hint="eastAsia" w:ascii="宋体" w:hAnsi="宋体" w:cs="宋体"/>
                <w:color w:val="000000"/>
                <w:kern w:val="0"/>
                <w:szCs w:val="21"/>
              </w:rPr>
              <w:t>FAB10A0</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ascii="宋体" w:hAnsi="宋体" w:cs="宋体"/>
                <w:szCs w:val="21"/>
              </w:rPr>
              <w:t>H3C</w:t>
            </w:r>
            <w:r>
              <w:rPr>
                <w:rFonts w:hint="eastAsia" w:ascii="宋体" w:hAnsi="宋体" w:cs="宋体"/>
                <w:szCs w:val="21"/>
              </w:rPr>
              <w:t xml:space="preserve"> S10510交换网板</w:t>
            </w:r>
          </w:p>
        </w:tc>
        <w:tc>
          <w:tcPr>
            <w:tcW w:w="572" w:type="dxa"/>
            <w:tcBorders>
              <w:left w:val="single" w:color="auto" w:sz="4" w:space="0"/>
              <w:right w:val="single" w:color="auto" w:sz="4" w:space="0"/>
            </w:tcBorders>
            <w:noWrap/>
            <w:vAlign w:val="center"/>
          </w:tcPr>
          <w:p>
            <w:pPr>
              <w:jc w:val="center"/>
              <w:rPr>
                <w:rFonts w:ascii="宋体" w:hAnsi="宋体" w:cs="宋体"/>
                <w:szCs w:val="21"/>
              </w:rPr>
            </w:pPr>
            <w:r>
              <w:rPr>
                <w:rFonts w:hint="eastAsia" w:ascii="宋体" w:hAnsi="宋体" w:cs="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ascii="宋体" w:hAnsi="宋体" w:cs="宋体"/>
                <w:color w:val="000000"/>
                <w:kern w:val="0"/>
                <w:szCs w:val="21"/>
              </w:rPr>
              <w:t>LSUM</w:t>
            </w:r>
            <w:r>
              <w:rPr>
                <w:rFonts w:hint="eastAsia" w:ascii="宋体" w:hAnsi="宋体" w:cs="宋体"/>
                <w:color w:val="000000"/>
                <w:kern w:val="0"/>
                <w:szCs w:val="21"/>
              </w:rPr>
              <w:t>2GT48SE0</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ascii="宋体" w:hAnsi="宋体" w:cs="宋体"/>
                <w:szCs w:val="21"/>
              </w:rPr>
              <w:t>H3C</w:t>
            </w:r>
            <w:r>
              <w:rPr>
                <w:rFonts w:hint="eastAsia" w:ascii="宋体" w:hAnsi="宋体" w:cs="宋体"/>
                <w:szCs w:val="21"/>
              </w:rPr>
              <w:t xml:space="preserve"> S10510-48端口千兆以太网电接口业务板</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ascii="宋体" w:hAnsi="宋体" w:cs="宋体"/>
                <w:color w:val="000000"/>
                <w:kern w:val="0"/>
                <w:szCs w:val="21"/>
              </w:rPr>
              <w:t>LSUM2</w:t>
            </w:r>
            <w:r>
              <w:rPr>
                <w:rFonts w:hint="eastAsia" w:ascii="宋体" w:hAnsi="宋体" w:cs="宋体"/>
                <w:color w:val="000000"/>
                <w:kern w:val="0"/>
                <w:szCs w:val="21"/>
              </w:rPr>
              <w:t>GP44TSSE0</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ascii="宋体" w:hAnsi="宋体" w:cs="宋体"/>
                <w:szCs w:val="21"/>
              </w:rPr>
              <w:t>H3C</w:t>
            </w:r>
            <w:r>
              <w:rPr>
                <w:rFonts w:hint="eastAsia" w:ascii="宋体" w:hAnsi="宋体" w:cs="宋体"/>
                <w:szCs w:val="21"/>
              </w:rPr>
              <w:t xml:space="preserve"> S10510-44端口千兆SFP光接口+4端口万兆SFP+光接口业务板</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LSUM1AC2500</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交流电源模块2500W</w:t>
            </w:r>
          </w:p>
        </w:tc>
        <w:tc>
          <w:tcPr>
            <w:tcW w:w="572" w:type="dxa"/>
            <w:tcBorders>
              <w:left w:val="single" w:color="auto" w:sz="4" w:space="0"/>
              <w:right w:val="single" w:color="auto" w:sz="4" w:space="0"/>
            </w:tcBorders>
            <w:noWrap/>
            <w:vAlign w:val="center"/>
          </w:tcPr>
          <w:p>
            <w:pPr>
              <w:widowControl/>
              <w:jc w:val="center"/>
              <w:textAlignment w:val="bottom"/>
              <w:rPr>
                <w:rFonts w:hint="default" w:ascii="宋体" w:hAnsi="宋体" w:eastAsia="宋体" w:cs="宋体"/>
                <w:szCs w:val="21"/>
                <w:lang w:val="en-US" w:eastAsia="zh-CN"/>
              </w:rPr>
            </w:pPr>
            <w:r>
              <w:rPr>
                <w:rFonts w:hint="eastAsia" w:ascii="宋体" w:hAnsi="宋体" w:cs="宋体"/>
                <w:szCs w:val="21"/>
                <w:lang w:val="en-US" w:eastAsia="zh-CN"/>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481" w:type="dxa"/>
            <w:vMerge w:val="restart"/>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3</w:t>
            </w:r>
          </w:p>
        </w:tc>
        <w:tc>
          <w:tcPr>
            <w:tcW w:w="1006" w:type="dxa"/>
            <w:vMerge w:val="restart"/>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市局楼层汇聚交换机</w:t>
            </w:r>
          </w:p>
        </w:tc>
        <w:tc>
          <w:tcPr>
            <w:tcW w:w="1663" w:type="dxa"/>
            <w:tcBorders>
              <w:left w:val="single" w:color="auto" w:sz="4" w:space="0"/>
              <w:right w:val="single" w:color="auto" w:sz="4" w:space="0"/>
            </w:tcBorders>
            <w:noWrap/>
            <w:vAlign w:val="center"/>
          </w:tcPr>
          <w:p>
            <w:pPr>
              <w:textAlignment w:val="bottom"/>
              <w:rPr>
                <w:rFonts w:ascii="宋体" w:hAnsi="宋体" w:cs="宋体"/>
                <w:color w:val="000000"/>
                <w:kern w:val="0"/>
                <w:szCs w:val="21"/>
              </w:rPr>
            </w:pPr>
            <w:r>
              <w:rPr>
                <w:rFonts w:hint="eastAsia" w:ascii="宋体" w:hAnsi="宋体" w:cs="宋体"/>
                <w:color w:val="000000"/>
                <w:kern w:val="0"/>
                <w:szCs w:val="21"/>
              </w:rPr>
              <w:t>LSQM2GT48SC0</w:t>
            </w:r>
          </w:p>
        </w:tc>
        <w:tc>
          <w:tcPr>
            <w:tcW w:w="5435" w:type="dxa"/>
            <w:tcBorders>
              <w:top w:val="single" w:color="auto" w:sz="4" w:space="0"/>
              <w:left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48端口千兆以太网电接口模块(RJ45)</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LSQM2GP24TSSC0</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24端口千兆以太网光接口(SFP,LC)＋4端口万兆以太光接口模块(SFP+,LC)</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LSUM1AC1200</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交流电源模块,1200W</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LS-7506E-X</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S7506E-X 以太网交换机主机</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LSQM1MPU06B0</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S7506E-X-主控板，B类</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LSQM2GT48SC0</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S7506E-X-交换网板,C类</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jc w:val="center"/>
        </w:trPr>
        <w:tc>
          <w:tcPr>
            <w:tcW w:w="481" w:type="dxa"/>
            <w:vMerge w:val="restart"/>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4</w:t>
            </w:r>
          </w:p>
        </w:tc>
        <w:tc>
          <w:tcPr>
            <w:tcW w:w="1006" w:type="dxa"/>
            <w:vMerge w:val="restart"/>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区县汇聚交换机</w:t>
            </w: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 xml:space="preserve"> </w:t>
            </w:r>
          </w:p>
          <w:p>
            <w:pPr>
              <w:textAlignment w:val="bottom"/>
              <w:rPr>
                <w:rFonts w:ascii="宋体" w:hAnsi="宋体" w:cs="宋体"/>
                <w:color w:val="000000"/>
                <w:kern w:val="0"/>
                <w:szCs w:val="21"/>
              </w:rPr>
            </w:pPr>
            <w:r>
              <w:rPr>
                <w:rFonts w:hint="eastAsia" w:ascii="宋体" w:hAnsi="宋体" w:cs="宋体"/>
                <w:color w:val="000000"/>
                <w:kern w:val="0"/>
                <w:szCs w:val="21"/>
              </w:rPr>
              <w:t>LS-7506E-NonPoE</w:t>
            </w:r>
          </w:p>
        </w:tc>
        <w:tc>
          <w:tcPr>
            <w:tcW w:w="5435" w:type="dxa"/>
            <w:tcBorders>
              <w:top w:val="single" w:color="auto" w:sz="4" w:space="0"/>
              <w:left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 xml:space="preserve"> </w:t>
            </w:r>
          </w:p>
          <w:p>
            <w:pPr>
              <w:rPr>
                <w:rFonts w:ascii="宋体" w:hAnsi="宋体" w:cs="宋体"/>
                <w:szCs w:val="21"/>
              </w:rPr>
            </w:pPr>
            <w:r>
              <w:rPr>
                <w:rFonts w:hint="eastAsia" w:ascii="宋体" w:hAnsi="宋体" w:cs="宋体"/>
                <w:szCs w:val="21"/>
              </w:rPr>
              <w:t>H3C S7506E 以太网交换机主机-非PoE</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LSQM3MPUB0</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H3C S7506E-NP交换路由引擎模块</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LSQM2GT48SCO</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48端口千兆以太网电接口模块(RJ45)</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LSQM2GP24TSSC0</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24端口千兆以太网光口(SFP,LC)+4端口万兆以太网光接口模块(SFP+,LC)</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481"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006" w:type="dxa"/>
            <w:vMerge w:val="continue"/>
            <w:tcBorders>
              <w:left w:val="single" w:color="auto" w:sz="4" w:space="0"/>
              <w:right w:val="single" w:color="auto" w:sz="4" w:space="0"/>
            </w:tcBorders>
            <w:noWrap/>
            <w:vAlign w:val="center"/>
          </w:tcPr>
          <w:p>
            <w:pPr>
              <w:widowControl/>
              <w:jc w:val="center"/>
              <w:textAlignment w:val="center"/>
              <w:rPr>
                <w:rFonts w:ascii="宋体" w:hAnsi="宋体" w:cs="宋体"/>
                <w:color w:val="000000"/>
                <w:kern w:val="0"/>
                <w:szCs w:val="21"/>
              </w:rPr>
            </w:pPr>
          </w:p>
        </w:tc>
        <w:tc>
          <w:tcPr>
            <w:tcW w:w="1663" w:type="dxa"/>
            <w:tcBorders>
              <w:left w:val="single" w:color="auto" w:sz="4" w:space="0"/>
              <w:right w:val="single" w:color="auto" w:sz="4" w:space="0"/>
            </w:tcBorders>
            <w:noWrap/>
            <w:vAlign w:val="center"/>
          </w:tcPr>
          <w:p>
            <w:pPr>
              <w:widowControl/>
              <w:textAlignment w:val="bottom"/>
              <w:rPr>
                <w:rFonts w:ascii="宋体" w:hAnsi="宋体" w:cs="宋体"/>
                <w:color w:val="000000"/>
                <w:kern w:val="0"/>
                <w:szCs w:val="21"/>
              </w:rPr>
            </w:pPr>
            <w:r>
              <w:rPr>
                <w:rFonts w:hint="eastAsia" w:ascii="宋体" w:hAnsi="宋体" w:cs="宋体"/>
                <w:color w:val="000000"/>
                <w:kern w:val="0"/>
                <w:szCs w:val="21"/>
              </w:rPr>
              <w:t>LSQM1AC650C</w:t>
            </w:r>
          </w:p>
        </w:tc>
        <w:tc>
          <w:tcPr>
            <w:tcW w:w="543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szCs w:val="21"/>
              </w:rPr>
            </w:pPr>
            <w:r>
              <w:rPr>
                <w:rFonts w:hint="eastAsia" w:ascii="宋体" w:hAnsi="宋体" w:cs="宋体"/>
                <w:szCs w:val="21"/>
              </w:rPr>
              <w:t>以太网交换机交流电源模块-650W</w:t>
            </w:r>
          </w:p>
        </w:tc>
        <w:tc>
          <w:tcPr>
            <w:tcW w:w="572" w:type="dxa"/>
            <w:tcBorders>
              <w:left w:val="single" w:color="auto" w:sz="4" w:space="0"/>
              <w:right w:val="single" w:color="auto" w:sz="4" w:space="0"/>
            </w:tcBorders>
            <w:noWrap/>
            <w:vAlign w:val="center"/>
          </w:tcPr>
          <w:p>
            <w:pPr>
              <w:widowControl/>
              <w:jc w:val="center"/>
              <w:textAlignment w:val="bottom"/>
              <w:rPr>
                <w:rFonts w:ascii="宋体" w:hAnsi="宋体" w:cs="宋体"/>
                <w:szCs w:val="21"/>
              </w:rPr>
            </w:pPr>
            <w:r>
              <w:rPr>
                <w:rFonts w:hint="eastAsia" w:ascii="宋体" w:hAnsi="宋体" w:cs="宋体"/>
                <w:szCs w:val="21"/>
              </w:rPr>
              <w:t>40</w:t>
            </w:r>
          </w:p>
        </w:tc>
      </w:tr>
    </w:tbl>
    <w:p>
      <w:pPr>
        <w:pStyle w:val="22"/>
        <w:rPr>
          <w:rFonts w:ascii="宋体" w:hAnsi="宋体" w:eastAsiaTheme="minorEastAsia"/>
          <w:bCs/>
          <w:kern w:val="0"/>
          <w:sz w:val="21"/>
          <w:szCs w:val="21"/>
          <w:lang w:val="zh-CN"/>
        </w:rPr>
      </w:pPr>
      <w:r>
        <w:rPr>
          <w:rFonts w:ascii="宋体" w:hAnsi="宋体" w:eastAsiaTheme="minorEastAsia"/>
          <w:bCs/>
          <w:kern w:val="0"/>
          <w:sz w:val="21"/>
          <w:szCs w:val="21"/>
          <w:lang w:val="zh-CN"/>
        </w:rPr>
        <w:t>（二）货品采购</w:t>
      </w:r>
    </w:p>
    <w:tbl>
      <w:tblPr>
        <w:tblStyle w:val="47"/>
        <w:tblW w:w="90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1930"/>
        <w:gridCol w:w="5853"/>
        <w:gridCol w:w="5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747"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序号</w:t>
            </w:r>
          </w:p>
        </w:tc>
        <w:tc>
          <w:tcPr>
            <w:tcW w:w="193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货品类型</w:t>
            </w:r>
          </w:p>
        </w:tc>
        <w:tc>
          <w:tcPr>
            <w:tcW w:w="5853"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宋体" w:hAnsi="宋体" w:cs="宋体"/>
                <w:color w:val="000000"/>
                <w:kern w:val="0"/>
                <w:szCs w:val="21"/>
              </w:rPr>
            </w:pPr>
            <w:r>
              <w:rPr>
                <w:rFonts w:hint="eastAsia" w:ascii="宋体" w:hAnsi="宋体" w:cs="宋体"/>
                <w:szCs w:val="21"/>
              </w:rPr>
              <w:t>描述</w:t>
            </w:r>
          </w:p>
        </w:tc>
        <w:tc>
          <w:tcPr>
            <w:tcW w:w="56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宋体" w:hAnsi="宋体" w:cs="宋体"/>
                <w:b/>
                <w:szCs w:val="21"/>
              </w:rPr>
            </w:pPr>
            <w:r>
              <w:rPr>
                <w:rFonts w:hint="eastAsia" w:ascii="宋体" w:hAnsi="宋体" w:cs="宋体"/>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747"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w:t>
            </w:r>
          </w:p>
        </w:tc>
        <w:tc>
          <w:tcPr>
            <w:tcW w:w="193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光模块</w:t>
            </w:r>
          </w:p>
        </w:tc>
        <w:tc>
          <w:tcPr>
            <w:tcW w:w="5853"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hint="eastAsia" w:ascii="宋体" w:hAnsi="宋体" w:eastAsia="宋体" w:cs="宋体"/>
                <w:szCs w:val="21"/>
                <w:lang w:eastAsia="zh-CN"/>
              </w:rPr>
            </w:pPr>
            <w:r>
              <w:rPr>
                <w:rFonts w:ascii="宋体" w:hAnsi="宋体" w:cs="宋体"/>
                <w:szCs w:val="21"/>
              </w:rPr>
              <w:t>40km,单模</w:t>
            </w:r>
            <w:r>
              <w:rPr>
                <w:rFonts w:hint="eastAsia" w:ascii="宋体" w:hAnsi="宋体" w:cs="宋体"/>
                <w:szCs w:val="21"/>
              </w:rPr>
              <w:t>10G</w:t>
            </w:r>
            <w:r>
              <w:rPr>
                <w:rFonts w:ascii="宋体" w:hAnsi="宋体" w:cs="宋体"/>
                <w:szCs w:val="21"/>
              </w:rPr>
              <w:t>(SFP+)</w:t>
            </w:r>
          </w:p>
        </w:tc>
        <w:tc>
          <w:tcPr>
            <w:tcW w:w="56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textAlignment w:val="center"/>
              <w:rPr>
                <w:rFonts w:ascii="宋体" w:hAnsi="宋体" w:cs="宋体"/>
                <w:szCs w:val="21"/>
              </w:rPr>
            </w:pPr>
            <w:r>
              <w:rPr>
                <w:rFonts w:hint="eastAsia" w:ascii="宋体" w:hAnsi="宋体" w:cs="宋体"/>
                <w:szCs w:val="21"/>
                <w:lang w:val="en-US" w:eastAsia="zh-CN"/>
              </w:rPr>
              <w:t>3</w:t>
            </w:r>
            <w:r>
              <w:rPr>
                <w:rFonts w:hint="eastAsia" w:ascii="宋体" w:hAnsi="宋体" w:cs="宋体"/>
                <w:szCs w:val="21"/>
              </w:rPr>
              <w:t>0</w:t>
            </w:r>
          </w:p>
        </w:tc>
      </w:tr>
    </w:tbl>
    <w:p>
      <w:pPr>
        <w:pStyle w:val="22"/>
        <w:rPr>
          <w:lang w:val="zh-CN"/>
        </w:rPr>
      </w:pPr>
    </w:p>
    <w:p>
      <w:pPr>
        <w:widowControl/>
        <w:ind w:firstLine="422" w:firstLineChars="200"/>
        <w:jc w:val="left"/>
        <w:rPr>
          <w:rFonts w:ascii="宋体" w:hAnsi="宋体" w:cs="宋体"/>
          <w:b/>
        </w:rPr>
      </w:pPr>
      <w:r>
        <w:rPr>
          <w:rFonts w:hint="eastAsia" w:ascii="宋体" w:hAnsi="宋体" w:cs="宋体"/>
          <w:b/>
          <w:lang w:eastAsia="zh-Hans"/>
        </w:rPr>
        <w:t>三</w:t>
      </w:r>
      <w:r>
        <w:rPr>
          <w:rFonts w:hint="eastAsia" w:ascii="宋体" w:hAnsi="宋体" w:cs="宋体"/>
          <w:b/>
        </w:rPr>
        <w:t>、</w:t>
      </w:r>
      <w:r>
        <w:rPr>
          <w:rFonts w:hint="eastAsia" w:ascii="宋体" w:hAnsi="宋体" w:cs="宋体"/>
          <w:b/>
          <w:szCs w:val="21"/>
        </w:rPr>
        <w:t>服务内容及要求</w:t>
      </w:r>
    </w:p>
    <w:p>
      <w:pPr>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w:t>
      </w:r>
      <w:r>
        <w:rPr>
          <w:rFonts w:hint="eastAsia" w:ascii="宋体" w:hAnsi="宋体" w:cs="宋体" w:eastAsiaTheme="minorEastAsia"/>
          <w:bCs/>
          <w:kern w:val="0"/>
          <w:szCs w:val="21"/>
          <w:lang w:val="zh-CN" w:eastAsia="zh-Hans"/>
        </w:rPr>
        <w:t>一</w:t>
      </w:r>
      <w:r>
        <w:rPr>
          <w:rFonts w:hint="eastAsia" w:ascii="宋体" w:hAnsi="宋体" w:cs="宋体" w:eastAsiaTheme="minorEastAsia"/>
          <w:bCs/>
          <w:kern w:val="0"/>
          <w:szCs w:val="21"/>
          <w:lang w:val="zh-CN"/>
        </w:rPr>
        <w:t>）服务承诺</w:t>
      </w:r>
    </w:p>
    <w:p>
      <w:pPr>
        <w:widowControl/>
        <w:spacing w:line="360" w:lineRule="auto"/>
        <w:ind w:left="420" w:leftChars="200" w:firstLine="420" w:firstLineChars="200"/>
        <w:jc w:val="left"/>
        <w:rPr>
          <w:rFonts w:ascii="宋体" w:hAnsi="宋体" w:cs="宋体" w:eastAsiaTheme="minorEastAsia"/>
          <w:bCs/>
          <w:kern w:val="0"/>
          <w:szCs w:val="21"/>
          <w:lang w:val="zh-CN"/>
        </w:rPr>
      </w:pPr>
      <w:r>
        <w:rPr>
          <w:rFonts w:hint="eastAsia" w:cs="宋体" w:asciiTheme="minorEastAsia" w:hAnsiTheme="minorEastAsia" w:eastAsiaTheme="minorEastAsia"/>
          <w:bCs/>
          <w:kern w:val="0"/>
          <w:szCs w:val="21"/>
          <w:lang w:val="zh-CN"/>
        </w:rPr>
        <w:t>▲</w:t>
      </w:r>
      <w:r>
        <w:rPr>
          <w:rFonts w:hint="eastAsia" w:ascii="宋体" w:hAnsi="宋体" w:cs="宋体" w:eastAsiaTheme="minorEastAsia"/>
          <w:bCs/>
          <w:kern w:val="0"/>
          <w:szCs w:val="21"/>
        </w:rPr>
        <w:t>1</w:t>
      </w:r>
      <w:r>
        <w:rPr>
          <w:rFonts w:hint="eastAsia" w:ascii="宋体" w:hAnsi="宋体" w:cs="宋体" w:eastAsiaTheme="minorEastAsia"/>
          <w:bCs/>
          <w:kern w:val="0"/>
          <w:szCs w:val="21"/>
          <w:lang w:val="zh-CN"/>
        </w:rPr>
        <w:t>、</w:t>
      </w:r>
      <w:r>
        <w:rPr>
          <w:rFonts w:hint="eastAsia" w:ascii="宋体" w:hAnsi="宋体" w:cs="宋体" w:eastAsiaTheme="minorEastAsia"/>
          <w:b/>
          <w:bCs w:val="0"/>
          <w:kern w:val="0"/>
          <w:szCs w:val="21"/>
          <w:lang w:val="zh-CN"/>
        </w:rPr>
        <w:t>中标人提供1名网络工程师驻场运维</w:t>
      </w:r>
      <w:r>
        <w:rPr>
          <w:rFonts w:ascii="宋体" w:hAnsi="宋体" w:cs="宋体" w:eastAsiaTheme="minorEastAsia"/>
          <w:bCs/>
          <w:kern w:val="0"/>
          <w:szCs w:val="21"/>
          <w:lang w:val="zh-CN"/>
        </w:rPr>
        <w:t>，</w:t>
      </w:r>
      <w:r>
        <w:rPr>
          <w:rFonts w:hint="eastAsia" w:ascii="宋体" w:hAnsi="宋体" w:cs="宋体" w:eastAsiaTheme="minorEastAsia"/>
          <w:bCs/>
          <w:kern w:val="0"/>
          <w:szCs w:val="21"/>
          <w:lang w:val="zh-CN"/>
        </w:rPr>
        <w:t>对系统运行正常、仅受到有限的影响或未受到严重影响的故障，接到支持需求必须在5分钟内做出回应；如需现场排障需提供到达现场时效。</w:t>
      </w:r>
    </w:p>
    <w:p>
      <w:pPr>
        <w:widowControl/>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rPr>
        <w:t>2</w:t>
      </w:r>
      <w:r>
        <w:rPr>
          <w:rFonts w:hint="eastAsia" w:ascii="宋体" w:hAnsi="宋体" w:cs="宋体" w:eastAsiaTheme="minorEastAsia"/>
          <w:bCs/>
          <w:kern w:val="0"/>
          <w:szCs w:val="21"/>
          <w:lang w:val="zh-CN"/>
        </w:rPr>
        <w:t>、中标人对系统故障或与系统相关联的系统故障，中标人在接到采购人故障申告电话后应于5分钟内响应，根据实际发现的故障，进行电话/远程/现场进行相关故障定位和排除，同时安排H3CIE或H3CTE或同等证书技术人员1小时内到达现场，直至系统硬件恢复正常状态。</w:t>
      </w:r>
    </w:p>
    <w:p>
      <w:pPr>
        <w:widowControl/>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w:t>
      </w:r>
      <w:r>
        <w:rPr>
          <w:rFonts w:hint="eastAsia" w:ascii="宋体" w:hAnsi="宋体" w:cs="宋体" w:eastAsiaTheme="minorEastAsia"/>
          <w:bCs/>
          <w:kern w:val="0"/>
          <w:szCs w:val="21"/>
        </w:rPr>
        <w:t>3</w:t>
      </w:r>
      <w:r>
        <w:rPr>
          <w:rFonts w:hint="eastAsia" w:ascii="宋体" w:hAnsi="宋体" w:cs="宋体" w:eastAsiaTheme="minorEastAsia"/>
          <w:bCs/>
          <w:kern w:val="0"/>
          <w:szCs w:val="21"/>
          <w:lang w:val="zh-CN"/>
        </w:rPr>
        <w:t>、中标人在系统恢复正常运行后，应对系统进行跟踪，并分析产生故障的原因，10日内向甲方提交故障分析报告及解决方案。</w:t>
      </w:r>
    </w:p>
    <w:p>
      <w:pPr>
        <w:widowControl/>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rPr>
        <w:t>4</w:t>
      </w:r>
      <w:r>
        <w:rPr>
          <w:rFonts w:hint="eastAsia" w:ascii="宋体" w:hAnsi="宋体" w:cs="宋体" w:eastAsiaTheme="minorEastAsia"/>
          <w:bCs/>
          <w:kern w:val="0"/>
          <w:szCs w:val="21"/>
          <w:lang w:val="zh-CN"/>
        </w:rPr>
        <w:t>、中标人现场技术服务内容包括：系统重启支持、系统故障定位、系统故障解决、系统优化实施。</w:t>
      </w:r>
    </w:p>
    <w:p>
      <w:pPr>
        <w:widowControl/>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rPr>
        <w:t>5</w:t>
      </w:r>
      <w:r>
        <w:rPr>
          <w:rFonts w:hint="eastAsia" w:ascii="宋体" w:hAnsi="宋体" w:cs="宋体" w:eastAsiaTheme="minorEastAsia"/>
          <w:bCs/>
          <w:kern w:val="0"/>
          <w:szCs w:val="21"/>
          <w:lang w:val="zh-CN"/>
        </w:rPr>
        <w:t>、中标人现场技术支持服务实施步骤要求： 通过现场数据收集--数据分析—提供合理化建议和实施方案—组织实施--报告形成；同时根据系统运行情况和业务运行情况制定改进计划并配合实施改进计划，以及实施后对故障系统进行跟踪分析。</w:t>
      </w:r>
    </w:p>
    <w:p>
      <w:pPr>
        <w:widowControl/>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w:t>
      </w:r>
      <w:r>
        <w:rPr>
          <w:rFonts w:hint="eastAsia" w:ascii="宋体" w:hAnsi="宋体" w:cs="宋体" w:eastAsiaTheme="minorEastAsia"/>
          <w:bCs/>
          <w:kern w:val="0"/>
          <w:szCs w:val="21"/>
        </w:rPr>
        <w:t>6</w:t>
      </w:r>
      <w:r>
        <w:rPr>
          <w:rFonts w:hint="eastAsia" w:ascii="宋体" w:hAnsi="宋体" w:cs="宋体" w:eastAsiaTheme="minorEastAsia"/>
          <w:bCs/>
          <w:kern w:val="0"/>
          <w:szCs w:val="21"/>
          <w:lang w:val="zh-CN"/>
        </w:rPr>
        <w:t>、中标人需承诺让设备厂商即H3C的原厂服务工程师提供每半年一次现场检查服务，同时提供一年2次的免费上门服务，并在系统或紧急故障时，原厂工程师根据实际发现的故障，进行电话/远程/现场相关故障定位和排除，同时安排技术人员1小时内到达现场，直至系统硬件恢复正常状态。原厂H3C远程运维团队提供每月一次的远程巡检服务，并形成月报表形式交由甲方留档。中标人需指派服务工程师提供每</w:t>
      </w:r>
      <w:r>
        <w:rPr>
          <w:rFonts w:hint="eastAsia" w:ascii="宋体" w:hAnsi="宋体" w:cs="宋体" w:eastAsiaTheme="minorEastAsia"/>
          <w:bCs/>
          <w:kern w:val="0"/>
          <w:szCs w:val="21"/>
          <w:lang w:val="en-US" w:eastAsia="zh-CN"/>
        </w:rPr>
        <w:t>月</w:t>
      </w:r>
      <w:r>
        <w:rPr>
          <w:rFonts w:hint="eastAsia" w:ascii="宋体" w:hAnsi="宋体" w:cs="宋体" w:eastAsiaTheme="minorEastAsia"/>
          <w:bCs/>
          <w:kern w:val="0"/>
          <w:szCs w:val="21"/>
          <w:lang w:val="zh-CN"/>
        </w:rPr>
        <w:t>一次的现场检查服务，并在检查结束后的提供检查报告给甲方，另服务周期结束给甲方出具年度服务报告；投标文件内需提供H3C主网络星级服务商资质等证书复印件并加盖公司公章。</w:t>
      </w:r>
    </w:p>
    <w:p>
      <w:pPr>
        <w:pStyle w:val="22"/>
        <w:tabs>
          <w:tab w:val="left" w:pos="720"/>
          <w:tab w:val="left" w:pos="1260"/>
          <w:tab w:val="left" w:pos="2160"/>
          <w:tab w:val="left" w:pos="2880"/>
          <w:tab w:val="left" w:pos="3600"/>
          <w:tab w:val="left" w:pos="4320"/>
          <w:tab w:val="left" w:pos="5040"/>
          <w:tab w:val="left" w:pos="5760"/>
        </w:tabs>
        <w:spacing w:line="360" w:lineRule="auto"/>
        <w:ind w:left="420" w:leftChars="200" w:right="29" w:firstLine="420" w:firstLineChars="200"/>
        <w:jc w:val="left"/>
        <w:rPr>
          <w:rFonts w:ascii="宋体" w:hAnsi="宋体" w:eastAsiaTheme="minorEastAsia"/>
          <w:bCs/>
          <w:kern w:val="0"/>
          <w:sz w:val="21"/>
          <w:szCs w:val="21"/>
          <w:lang w:val="zh-CN" w:eastAsia="zh-Hans"/>
        </w:rPr>
      </w:pPr>
      <w:r>
        <w:rPr>
          <w:rFonts w:hint="eastAsia" w:ascii="宋体" w:hAnsi="宋体" w:eastAsiaTheme="minorEastAsia"/>
          <w:bCs/>
          <w:kern w:val="0"/>
          <w:sz w:val="21"/>
          <w:szCs w:val="21"/>
          <w:lang w:val="zh-CN"/>
        </w:rPr>
        <w:t>★</w:t>
      </w:r>
      <w:r>
        <w:rPr>
          <w:rFonts w:hint="eastAsia" w:ascii="宋体" w:hAnsi="宋体" w:eastAsiaTheme="minorEastAsia"/>
          <w:bCs/>
          <w:kern w:val="0"/>
          <w:sz w:val="21"/>
          <w:szCs w:val="21"/>
        </w:rPr>
        <w:t>7</w:t>
      </w:r>
      <w:r>
        <w:rPr>
          <w:rFonts w:hint="eastAsia" w:ascii="宋体" w:hAnsi="宋体" w:eastAsiaTheme="minorEastAsia"/>
          <w:bCs/>
          <w:kern w:val="0"/>
          <w:sz w:val="21"/>
          <w:szCs w:val="21"/>
          <w:lang w:val="zh-CN" w:eastAsia="zh-Hans"/>
        </w:rPr>
        <w:t>、当中标人遇到无法及时解决的问题时，需尽快联系原厂售后团队解决问题；涉及到更复杂的问题时，需协调原厂H3C研发团队或H3C专家团队解决。</w:t>
      </w:r>
    </w:p>
    <w:p>
      <w:pPr>
        <w:pStyle w:val="14"/>
        <w:spacing w:line="360" w:lineRule="auto"/>
        <w:ind w:left="420" w:leftChars="200" w:firstLine="0" w:firstLineChars="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（二）项目验收标准</w:t>
      </w:r>
    </w:p>
    <w:p>
      <w:pPr>
        <w:pStyle w:val="22"/>
        <w:tabs>
          <w:tab w:val="left" w:pos="720"/>
          <w:tab w:val="left" w:pos="1260"/>
          <w:tab w:val="left" w:pos="2160"/>
          <w:tab w:val="left" w:pos="2880"/>
          <w:tab w:val="left" w:pos="3600"/>
          <w:tab w:val="left" w:pos="4320"/>
          <w:tab w:val="left" w:pos="5040"/>
          <w:tab w:val="left" w:pos="5760"/>
        </w:tabs>
        <w:spacing w:line="360" w:lineRule="auto"/>
        <w:ind w:left="420" w:leftChars="200" w:right="29" w:firstLine="420" w:firstLineChars="200"/>
        <w:jc w:val="left"/>
        <w:rPr>
          <w:rFonts w:ascii="宋体" w:hAnsi="宋体" w:eastAsiaTheme="minorEastAsia"/>
          <w:bCs/>
          <w:kern w:val="0"/>
          <w:sz w:val="21"/>
          <w:szCs w:val="21"/>
          <w:lang w:val="zh-CN"/>
        </w:rPr>
      </w:pPr>
      <w:r>
        <w:rPr>
          <w:rFonts w:hint="eastAsia" w:ascii="宋体" w:hAnsi="宋体" w:eastAsiaTheme="minorEastAsia"/>
          <w:bCs/>
          <w:kern w:val="0"/>
          <w:sz w:val="21"/>
          <w:szCs w:val="21"/>
          <w:lang w:val="zh-CN"/>
        </w:rPr>
        <w:t>1、</w:t>
      </w:r>
      <w:r>
        <w:rPr>
          <w:rFonts w:hint="eastAsia" w:ascii="宋体" w:hAnsi="宋体" w:cs="宋体" w:eastAsiaTheme="minorEastAsia"/>
          <w:bCs/>
          <w:kern w:val="0"/>
          <w:sz w:val="21"/>
          <w:szCs w:val="21"/>
          <w:lang w:val="zh-CN" w:eastAsia="zh-CN"/>
        </w:rPr>
        <w:t>维保期结束后进行项目验收</w:t>
      </w:r>
      <w:r>
        <w:rPr>
          <w:rFonts w:hint="eastAsia" w:ascii="宋体" w:hAnsi="宋体" w:eastAsiaTheme="minorEastAsia"/>
          <w:bCs/>
          <w:kern w:val="0"/>
          <w:sz w:val="21"/>
          <w:szCs w:val="21"/>
          <w:lang w:val="zh-CN"/>
        </w:rPr>
        <w:t>；</w:t>
      </w:r>
    </w:p>
    <w:p>
      <w:pPr>
        <w:pStyle w:val="22"/>
        <w:tabs>
          <w:tab w:val="left" w:pos="720"/>
          <w:tab w:val="left" w:pos="1260"/>
          <w:tab w:val="left" w:pos="2160"/>
          <w:tab w:val="left" w:pos="2880"/>
          <w:tab w:val="left" w:pos="3600"/>
          <w:tab w:val="left" w:pos="4320"/>
          <w:tab w:val="left" w:pos="5040"/>
          <w:tab w:val="left" w:pos="5760"/>
        </w:tabs>
        <w:spacing w:line="360" w:lineRule="auto"/>
        <w:ind w:left="420" w:leftChars="200" w:right="29" w:firstLine="420" w:firstLineChars="200"/>
        <w:jc w:val="left"/>
        <w:rPr>
          <w:rFonts w:ascii="宋体" w:hAnsi="宋体" w:eastAsiaTheme="minorEastAsia"/>
          <w:bCs/>
          <w:kern w:val="0"/>
          <w:sz w:val="21"/>
          <w:szCs w:val="21"/>
          <w:lang w:val="zh-CN"/>
        </w:rPr>
      </w:pPr>
      <w:r>
        <w:rPr>
          <w:rFonts w:hint="eastAsia" w:ascii="宋体" w:hAnsi="宋体" w:eastAsiaTheme="minorEastAsia"/>
          <w:bCs/>
          <w:kern w:val="0"/>
          <w:sz w:val="21"/>
          <w:szCs w:val="21"/>
        </w:rPr>
        <w:t>2</w:t>
      </w:r>
      <w:r>
        <w:rPr>
          <w:rFonts w:hint="eastAsia" w:ascii="宋体" w:hAnsi="宋体" w:eastAsiaTheme="minorEastAsia"/>
          <w:bCs/>
          <w:kern w:val="0"/>
          <w:sz w:val="21"/>
          <w:szCs w:val="21"/>
          <w:lang w:val="zh-CN"/>
        </w:rPr>
        <w:t>、本项目建设标准必须遵循台州市公安局科技项目建设管理办法以及台州市政府数字化转型项目管理办法要求，验收资料文档必须满足上述管理办法要求</w:t>
      </w:r>
    </w:p>
    <w:p>
      <w:pPr>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（三）项目售后服务标准</w:t>
      </w:r>
    </w:p>
    <w:p>
      <w:pPr>
        <w:pStyle w:val="14"/>
        <w:spacing w:line="360" w:lineRule="auto"/>
        <w:ind w:left="420" w:leftChars="200"/>
        <w:jc w:val="left"/>
        <w:rPr>
          <w:rFonts w:ascii="宋体" w:hAnsi="宋体" w:cs="宋体" w:eastAsiaTheme="minorEastAsia"/>
          <w:bCs/>
          <w:color w:val="auto"/>
          <w:kern w:val="0"/>
          <w:szCs w:val="21"/>
          <w:highlight w:val="none"/>
          <w:lang w:val="zh-CN"/>
        </w:rPr>
      </w:pPr>
      <w:r>
        <w:rPr>
          <w:rFonts w:hint="eastAsia" w:ascii="宋体" w:hAnsi="宋体" w:cs="宋体" w:eastAsiaTheme="minorEastAsia"/>
          <w:bCs/>
          <w:kern w:val="0"/>
          <w:szCs w:val="21"/>
          <w:lang w:val="zh-CN"/>
        </w:rPr>
        <w:t>1、中标方需在合同维保期提供</w:t>
      </w:r>
      <w:r>
        <w:rPr>
          <w:rFonts w:hint="eastAsia" w:ascii="宋体" w:hAnsi="宋体" w:cs="宋体" w:eastAsiaTheme="minorEastAsia"/>
          <w:bCs/>
          <w:kern w:val="0"/>
          <w:szCs w:val="21"/>
        </w:rPr>
        <w:t>1</w:t>
      </w:r>
      <w:r>
        <w:rPr>
          <w:rFonts w:hint="eastAsia" w:ascii="宋体" w:hAnsi="宋体" w:cs="宋体" w:eastAsiaTheme="minorEastAsia"/>
          <w:bCs/>
          <w:kern w:val="0"/>
          <w:szCs w:val="21"/>
          <w:lang w:val="zh-CN"/>
        </w:rPr>
        <w:t>年7×24小时的技术支持服务。（电话、邮件、传真、远程、现场）。合同维保期内中标方应确保设备的正常使用，在接到用户维修要求后应立即作出回应，当系统的软硬件设备出现故障时，承诺在2小时内响应并提出解决方案，12小时之内到现场对故障进行处理。若现场维护人员12小时内无法解决的，应在24小时内提供不低于故障设备档次及性能的备用设备或备件并负</w:t>
      </w:r>
      <w:r>
        <w:rPr>
          <w:rFonts w:hint="eastAsia" w:ascii="宋体" w:hAnsi="宋体" w:cs="宋体" w:eastAsiaTheme="minorEastAsia"/>
          <w:bCs/>
          <w:color w:val="auto"/>
          <w:kern w:val="0"/>
          <w:szCs w:val="21"/>
          <w:highlight w:val="none"/>
          <w:lang w:val="zh-CN"/>
        </w:rPr>
        <w:t>责安装调试。</w:t>
      </w:r>
    </w:p>
    <w:p>
      <w:pPr>
        <w:pStyle w:val="14"/>
        <w:spacing w:line="360" w:lineRule="auto"/>
        <w:ind w:left="420" w:leftChars="200"/>
        <w:jc w:val="left"/>
        <w:rPr>
          <w:rFonts w:ascii="宋体" w:hAnsi="宋体" w:cs="宋体" w:eastAsiaTheme="minorEastAsia"/>
          <w:bCs/>
          <w:color w:val="auto"/>
          <w:kern w:val="0"/>
          <w:szCs w:val="21"/>
          <w:highlight w:val="none"/>
          <w:lang w:val="zh-CN"/>
        </w:rPr>
      </w:pPr>
      <w:r>
        <w:rPr>
          <w:rFonts w:hint="eastAsia" w:ascii="宋体" w:hAnsi="宋体" w:cs="宋体" w:eastAsiaTheme="minorEastAsia"/>
          <w:bCs/>
          <w:color w:val="auto"/>
          <w:kern w:val="0"/>
          <w:szCs w:val="21"/>
          <w:highlight w:val="none"/>
          <w:lang w:val="zh-CN"/>
        </w:rPr>
        <w:t>2、在合同维保期内，</w:t>
      </w:r>
      <w:r>
        <w:rPr>
          <w:rFonts w:hint="eastAsia" w:ascii="宋体" w:hAnsi="宋体" w:cs="宋体" w:eastAsiaTheme="minorEastAsia"/>
          <w:b/>
          <w:bCs w:val="0"/>
          <w:color w:val="auto"/>
          <w:kern w:val="0"/>
          <w:szCs w:val="21"/>
          <w:highlight w:val="none"/>
          <w:lang w:val="zh-CN"/>
        </w:rPr>
        <w:t>中标人需在台州市公安局建立设备的备品备件库</w:t>
      </w:r>
      <w:r>
        <w:rPr>
          <w:rFonts w:hint="eastAsia" w:ascii="宋体" w:hAnsi="宋体" w:cs="宋体" w:eastAsiaTheme="minorEastAsia"/>
          <w:bCs/>
          <w:color w:val="auto"/>
          <w:kern w:val="0"/>
          <w:szCs w:val="21"/>
          <w:highlight w:val="none"/>
          <w:lang w:val="zh-CN"/>
        </w:rPr>
        <w:t>，确保必要的备品备件，其中电源备品备件不低于25%，以提高故障抢修速度，确保系统的稳定运行。</w:t>
      </w:r>
    </w:p>
    <w:p>
      <w:pPr>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（四）其他要求</w:t>
      </w:r>
    </w:p>
    <w:p>
      <w:pPr>
        <w:pStyle w:val="14"/>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1、中标人在与用户签订合同时签订相应的安全保密承诺书和协议。确保用户的相应技术资料及信息不被泄露和滥用。</w:t>
      </w:r>
    </w:p>
    <w:p>
      <w:pPr>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 xml:space="preserve">    2、实施过程流程管控应符合ISO9001相关要求，文档质量符合国家标准规范及监理要求。其它应符合国家及行业标准规范要求。</w:t>
      </w:r>
    </w:p>
    <w:p>
      <w:pPr>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中标人必须配合监理单位工作，对采购人及监理单位开出的工作联系单或整改通知单等，都要按要求予以办理并及时回复，否则采购人有权扣除1000元/次违约金。</w:t>
      </w:r>
    </w:p>
    <w:p>
      <w:pPr>
        <w:pStyle w:val="22"/>
        <w:tabs>
          <w:tab w:val="left" w:pos="720"/>
          <w:tab w:val="left" w:pos="1260"/>
          <w:tab w:val="left" w:pos="2160"/>
          <w:tab w:val="left" w:pos="2880"/>
          <w:tab w:val="left" w:pos="3600"/>
          <w:tab w:val="left" w:pos="4320"/>
          <w:tab w:val="left" w:pos="5040"/>
          <w:tab w:val="left" w:pos="5760"/>
        </w:tabs>
        <w:spacing w:line="360" w:lineRule="auto"/>
        <w:ind w:left="420" w:leftChars="200" w:right="29" w:firstLine="420" w:firstLineChars="200"/>
        <w:jc w:val="left"/>
        <w:rPr>
          <w:rFonts w:ascii="宋体" w:hAnsi="宋体" w:eastAsiaTheme="minorEastAsia"/>
          <w:bCs/>
          <w:kern w:val="0"/>
          <w:sz w:val="21"/>
          <w:szCs w:val="21"/>
          <w:lang w:val="zh-CN"/>
        </w:rPr>
      </w:pPr>
      <w:r>
        <w:rPr>
          <w:rFonts w:hint="eastAsia" w:ascii="宋体" w:hAnsi="宋体" w:eastAsiaTheme="minorEastAsia"/>
          <w:bCs/>
          <w:kern w:val="0"/>
          <w:sz w:val="21"/>
          <w:szCs w:val="21"/>
          <w:lang w:val="zh-CN"/>
        </w:rPr>
        <w:t>★</w:t>
      </w:r>
      <w:r>
        <w:rPr>
          <w:rFonts w:hint="eastAsia" w:ascii="宋体" w:hAnsi="宋体" w:eastAsiaTheme="minorEastAsia"/>
          <w:b/>
          <w:bCs w:val="0"/>
          <w:kern w:val="0"/>
          <w:sz w:val="21"/>
          <w:szCs w:val="21"/>
          <w:lang w:val="zh-CN"/>
        </w:rPr>
        <w:t>3、</w:t>
      </w:r>
      <w:r>
        <w:rPr>
          <w:rFonts w:hint="eastAsia" w:ascii="宋体" w:hAnsi="宋体" w:eastAsiaTheme="minorEastAsia"/>
          <w:b/>
          <w:bCs w:val="0"/>
          <w:kern w:val="0"/>
          <w:sz w:val="21"/>
          <w:szCs w:val="21"/>
          <w:lang w:val="zh-CN" w:eastAsia="zh-Hans"/>
        </w:rPr>
        <w:t>在投标文件中</w:t>
      </w:r>
      <w:r>
        <w:rPr>
          <w:rFonts w:hint="eastAsia" w:ascii="宋体" w:hAnsi="宋体" w:eastAsiaTheme="minorEastAsia"/>
          <w:b/>
          <w:bCs w:val="0"/>
          <w:kern w:val="0"/>
          <w:sz w:val="21"/>
          <w:szCs w:val="21"/>
          <w:lang w:val="zh-CN"/>
        </w:rPr>
        <w:t>，</w:t>
      </w:r>
      <w:r>
        <w:rPr>
          <w:rFonts w:hint="eastAsia" w:ascii="宋体" w:hAnsi="宋体" w:eastAsiaTheme="minorEastAsia"/>
          <w:b/>
          <w:bCs w:val="0"/>
          <w:kern w:val="0"/>
          <w:sz w:val="21"/>
          <w:szCs w:val="21"/>
          <w:lang w:val="zh-CN" w:eastAsia="zh-Hans"/>
        </w:rPr>
        <w:t>需</w:t>
      </w:r>
      <w:r>
        <w:rPr>
          <w:rFonts w:hint="eastAsia" w:ascii="宋体" w:hAnsi="宋体" w:eastAsiaTheme="minorEastAsia"/>
          <w:b/>
          <w:bCs w:val="0"/>
          <w:kern w:val="0"/>
          <w:sz w:val="21"/>
          <w:szCs w:val="21"/>
          <w:lang w:val="zh-CN"/>
        </w:rPr>
        <w:t>提供原厂服务承诺函原件扫描件。</w:t>
      </w:r>
    </w:p>
    <w:p>
      <w:pPr>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4、提供不少于两天的培训（主要设备由认证工程师授课，根据实际情况可采用集中或视频会议方式），费用由中标人负责。</w:t>
      </w:r>
    </w:p>
    <w:p>
      <w:pPr>
        <w:pStyle w:val="22"/>
        <w:tabs>
          <w:tab w:val="left" w:pos="720"/>
          <w:tab w:val="left" w:pos="1260"/>
          <w:tab w:val="left" w:pos="2160"/>
          <w:tab w:val="left" w:pos="2880"/>
          <w:tab w:val="left" w:pos="3600"/>
          <w:tab w:val="left" w:pos="4320"/>
          <w:tab w:val="left" w:pos="5040"/>
          <w:tab w:val="left" w:pos="5760"/>
        </w:tabs>
        <w:spacing w:line="360" w:lineRule="auto"/>
        <w:ind w:left="420" w:leftChars="200" w:right="29" w:firstLine="420" w:firstLineChars="200"/>
        <w:jc w:val="left"/>
        <w:rPr>
          <w:rFonts w:ascii="宋体" w:hAnsi="宋体" w:eastAsiaTheme="minorEastAsia"/>
          <w:bCs/>
          <w:kern w:val="0"/>
          <w:sz w:val="21"/>
          <w:szCs w:val="21"/>
          <w:lang w:val="zh-CN"/>
        </w:rPr>
      </w:pPr>
      <w:r>
        <w:rPr>
          <w:rFonts w:hint="eastAsia" w:ascii="宋体" w:hAnsi="宋体" w:eastAsiaTheme="minorEastAsia"/>
          <w:bCs/>
          <w:kern w:val="0"/>
          <w:sz w:val="21"/>
          <w:szCs w:val="21"/>
          <w:lang w:val="zh-CN"/>
        </w:rPr>
        <w:t>如果在本采购文件中未列明而投标方又认为确实需要的，投标方应在投标文件中予以列明并计入投标报价。在供货或系统集成时出现软、硬件、线路的任何遗漏，均必须由中标方免费提供，采购人将不再支付任何费用。</w:t>
      </w:r>
    </w:p>
    <w:p>
      <w:pPr>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（五） 商务需求</w:t>
      </w:r>
    </w:p>
    <w:p>
      <w:pPr>
        <w:pStyle w:val="14"/>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1、维保期：自合同签订之日起一年。</w:t>
      </w:r>
    </w:p>
    <w:p>
      <w:pPr>
        <w:pStyle w:val="14"/>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2、维保地点：台州市公安局，中标方须在30天内完成合同所涉及设备的安全巡检和备品、备件到货；如因特殊原因暂时无法开通，中标方有责任尽快协调相关部门，并通过正式书面文件告知采购人。</w:t>
      </w:r>
    </w:p>
    <w:p>
      <w:pPr>
        <w:pStyle w:val="14"/>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4、付款条件：签订合同并收到发票后7个工作日内，支付合同总价的60%；合同维保期满收到发票后</w:t>
      </w:r>
      <w:r>
        <w:rPr>
          <w:rFonts w:hint="eastAsia" w:ascii="宋体" w:hAnsi="宋体" w:cs="宋体" w:eastAsiaTheme="minorEastAsia"/>
          <w:bCs/>
          <w:kern w:val="0"/>
          <w:szCs w:val="21"/>
        </w:rPr>
        <w:t>7</w:t>
      </w:r>
      <w:r>
        <w:rPr>
          <w:rFonts w:hint="eastAsia" w:ascii="宋体" w:hAnsi="宋体" w:cs="宋体" w:eastAsiaTheme="minorEastAsia"/>
          <w:bCs/>
          <w:kern w:val="0"/>
          <w:szCs w:val="21"/>
          <w:lang w:val="zh-CN"/>
        </w:rPr>
        <w:t>个工作日内支付合同总价的40%。</w:t>
      </w:r>
    </w:p>
    <w:p>
      <w:pPr>
        <w:spacing w:line="360" w:lineRule="auto"/>
        <w:ind w:left="420" w:leftChars="200"/>
        <w:jc w:val="left"/>
        <w:rPr>
          <w:rFonts w:ascii="宋体" w:hAnsi="宋体" w:cs="宋体" w:eastAsiaTheme="minorEastAsia"/>
          <w:bCs/>
          <w:kern w:val="0"/>
          <w:szCs w:val="21"/>
          <w:lang w:val="zh-CN"/>
        </w:rPr>
        <w:sectPr>
          <w:pgSz w:w="11906" w:h="16838"/>
          <w:pgMar w:top="1440" w:right="1134" w:bottom="1440" w:left="1134" w:header="851" w:footer="992" w:gutter="0"/>
          <w:pgNumType w:fmt="decimal"/>
          <w:cols w:space="720" w:num="1"/>
          <w:docGrid w:type="lines" w:linePitch="312" w:charSpace="0"/>
        </w:sectPr>
      </w:pPr>
      <w:r>
        <w:rPr>
          <w:rFonts w:hint="eastAsia" w:ascii="宋体" w:hAnsi="宋体" w:cs="宋体" w:eastAsiaTheme="minorEastAsia"/>
          <w:bCs/>
          <w:kern w:val="0"/>
          <w:szCs w:val="21"/>
        </w:rPr>
        <w:t xml:space="preserve">    </w:t>
      </w:r>
      <w:r>
        <w:rPr>
          <w:rFonts w:hint="eastAsia" w:ascii="宋体" w:hAnsi="宋体" w:cs="宋体" w:eastAsiaTheme="minorEastAsia"/>
          <w:bCs/>
          <w:kern w:val="0"/>
          <w:szCs w:val="21"/>
          <w:lang w:val="zh-CN"/>
        </w:rPr>
        <w:t xml:space="preserve">5、履约保证金：合同总价的 </w:t>
      </w:r>
      <w:r>
        <w:rPr>
          <w:rFonts w:hint="eastAsia" w:ascii="宋体" w:hAnsi="宋体" w:cs="宋体" w:eastAsiaTheme="minorEastAsia"/>
          <w:bCs/>
          <w:kern w:val="0"/>
          <w:szCs w:val="21"/>
        </w:rPr>
        <w:t>1</w:t>
      </w:r>
      <w:r>
        <w:rPr>
          <w:rFonts w:hint="eastAsia" w:ascii="宋体" w:hAnsi="宋体" w:cs="宋体" w:eastAsiaTheme="minorEastAsia"/>
          <w:bCs/>
          <w:kern w:val="0"/>
          <w:szCs w:val="21"/>
          <w:lang w:val="zh-CN"/>
        </w:rPr>
        <w:t>％作为履约保证金，签订合同后 3 个工作日内由中标人交入采购人帐户（履约保证金可以以银行转账、由银行或保险公司出具的保函保单等形式），</w:t>
      </w:r>
      <w:r>
        <w:rPr>
          <w:rFonts w:hint="eastAsia" w:ascii="宋体" w:hAnsi="宋体" w:cs="宋体" w:eastAsiaTheme="minorEastAsia"/>
          <w:bCs/>
          <w:kern w:val="0"/>
          <w:sz w:val="21"/>
          <w:szCs w:val="21"/>
          <w:lang w:val="zh-CN" w:eastAsia="zh-CN"/>
        </w:rPr>
        <w:t>维保期满后</w:t>
      </w:r>
      <w:r>
        <w:rPr>
          <w:rFonts w:hint="eastAsia" w:ascii="宋体" w:hAnsi="宋体" w:cs="宋体" w:eastAsiaTheme="minorEastAsia"/>
          <w:bCs/>
          <w:kern w:val="0"/>
          <w:szCs w:val="21"/>
          <w:lang w:val="zh-CN"/>
        </w:rPr>
        <w:t>，如无质量、服务投诉和索赔，该款项5个工作日内无息返还。</w:t>
      </w:r>
    </w:p>
    <w:p>
      <w:pPr>
        <w:spacing w:line="520" w:lineRule="exact"/>
        <w:jc w:val="center"/>
        <w:outlineLvl w:val="0"/>
        <w:rPr>
          <w:rFonts w:ascii="宋体" w:hAnsi="宋体"/>
          <w:b/>
          <w:sz w:val="32"/>
          <w:szCs w:val="32"/>
        </w:rPr>
      </w:pPr>
      <w:bookmarkStart w:id="109" w:name="_Toc24854"/>
      <w:bookmarkStart w:id="110" w:name="_Toc24706"/>
      <w:bookmarkStart w:id="111" w:name="_Toc6603"/>
      <w:r>
        <w:rPr>
          <w:rFonts w:hint="eastAsia" w:ascii="宋体" w:hAnsi="宋体"/>
          <w:b/>
          <w:sz w:val="32"/>
          <w:szCs w:val="32"/>
        </w:rPr>
        <w:t>第六部分 拟签订的合同文本</w:t>
      </w:r>
      <w:bookmarkEnd w:id="106"/>
      <w:bookmarkEnd w:id="107"/>
      <w:bookmarkEnd w:id="108"/>
      <w:bookmarkEnd w:id="109"/>
      <w:bookmarkEnd w:id="110"/>
      <w:bookmarkEnd w:id="111"/>
      <w:bookmarkStart w:id="112" w:name="_Toc29740"/>
      <w:bookmarkStart w:id="113" w:name="_Toc7096"/>
    </w:p>
    <w:p>
      <w:pPr>
        <w:spacing w:line="500" w:lineRule="exact"/>
        <w:jc w:val="center"/>
        <w:rPr>
          <w:rFonts w:ascii="宋体" w:hAnsi="宋体" w:cs="微软雅黑"/>
          <w:b/>
          <w:kern w:val="0"/>
          <w:szCs w:val="21"/>
          <w:lang w:bidi="en-US"/>
        </w:rPr>
      </w:pPr>
      <w:bookmarkStart w:id="114" w:name="_Toc4877"/>
      <w:r>
        <w:rPr>
          <w:rFonts w:hint="eastAsia" w:ascii="宋体" w:hAnsi="宋体" w:cs="微软雅黑"/>
          <w:b/>
          <w:kern w:val="0"/>
          <w:szCs w:val="21"/>
          <w:lang w:bidi="en-US"/>
        </w:rPr>
        <w:t>（本合同为参考，具体结合采购需求及中标人投标承诺，以实际签署为准）</w:t>
      </w:r>
    </w:p>
    <w:p>
      <w:pPr>
        <w:spacing w:line="500" w:lineRule="exact"/>
        <w:rPr>
          <w:rFonts w:ascii="宋体" w:hAnsi="宋体" w:cs="宋体"/>
          <w:color w:val="000000"/>
          <w:kern w:val="0"/>
          <w:szCs w:val="21"/>
        </w:rPr>
      </w:pPr>
      <w:r>
        <w:rPr>
          <w:rFonts w:hint="eastAsia" w:ascii="宋体" w:hAnsi="宋体" w:cs="宋体"/>
          <w:b/>
          <w:color w:val="000000"/>
          <w:szCs w:val="21"/>
        </w:rPr>
        <w:t>甲方（采购人）</w:t>
      </w:r>
      <w:r>
        <w:rPr>
          <w:rFonts w:hint="eastAsia" w:ascii="宋体" w:hAnsi="宋体" w:cs="宋体"/>
          <w:color w:val="000000"/>
          <w:kern w:val="0"/>
          <w:szCs w:val="21"/>
        </w:rPr>
        <w:t>：</w:t>
      </w:r>
      <w:r>
        <w:rPr>
          <w:rFonts w:hint="eastAsia" w:ascii="宋体" w:hAnsi="宋体" w:cs="宋体"/>
          <w:color w:val="000000"/>
          <w:kern w:val="0"/>
          <w:szCs w:val="21"/>
          <w:lang w:val="zh-CN"/>
        </w:rPr>
        <w:t>台州市公安局</w:t>
      </w:r>
    </w:p>
    <w:p>
      <w:pPr>
        <w:spacing w:line="500" w:lineRule="exact"/>
        <w:rPr>
          <w:rFonts w:ascii="宋体" w:hAnsi="宋体" w:cs="宋体"/>
          <w:b/>
          <w:szCs w:val="21"/>
        </w:rPr>
      </w:pPr>
      <w:r>
        <w:rPr>
          <w:rFonts w:hint="eastAsia" w:ascii="宋体" w:hAnsi="宋体" w:cs="宋体"/>
          <w:b/>
          <w:color w:val="000000"/>
          <w:szCs w:val="21"/>
        </w:rPr>
        <w:t>乙方（中标人）</w:t>
      </w:r>
      <w:r>
        <w:rPr>
          <w:rFonts w:hint="eastAsia" w:ascii="宋体" w:hAnsi="宋体" w:cs="宋体"/>
          <w:color w:val="000000"/>
          <w:kern w:val="0"/>
          <w:szCs w:val="21"/>
        </w:rPr>
        <w:t xml:space="preserve">： </w:t>
      </w:r>
    </w:p>
    <w:p>
      <w:pPr>
        <w:spacing w:line="500" w:lineRule="exact"/>
        <w:ind w:firstLine="420" w:firstLineChars="200"/>
        <w:rPr>
          <w:rFonts w:ascii="宋体" w:hAnsi="宋体" w:cs="宋体"/>
          <w:szCs w:val="21"/>
        </w:rPr>
      </w:pPr>
      <w:r>
        <w:rPr>
          <w:rFonts w:hint="eastAsia" w:ascii="宋体" w:hAnsi="宋体" w:cs="宋体"/>
          <w:szCs w:val="21"/>
        </w:rPr>
        <w:t>根据 年 月日</w:t>
      </w:r>
      <w:r>
        <w:rPr>
          <w:rFonts w:hint="eastAsia" w:ascii="宋体" w:hAnsi="宋体" w:cs="宋体"/>
          <w:b/>
          <w:szCs w:val="21"/>
          <w:u w:val="single"/>
        </w:rPr>
        <w:t>台州市公安局公安信息网三级网和视频专网三级网设备维保项目</w:t>
      </w:r>
      <w:r>
        <w:rPr>
          <w:rFonts w:hint="eastAsia" w:ascii="宋体" w:hAnsi="宋体" w:cs="宋体"/>
          <w:szCs w:val="21"/>
        </w:rPr>
        <w:t>招标结果和要求，并依照《中华人民共和国民法典》《中华人民共和国政府采购法》及其他等有关法律、行政法规的规定，同时在平等、公平、诚实和信用的原则下，经双方协商一致，订立本合同。</w:t>
      </w:r>
    </w:p>
    <w:p>
      <w:pPr>
        <w:spacing w:line="500" w:lineRule="exact"/>
        <w:jc w:val="right"/>
        <w:rPr>
          <w:rFonts w:ascii="宋体" w:hAnsi="宋体" w:cs="宋体"/>
          <w:szCs w:val="21"/>
        </w:rPr>
      </w:pPr>
    </w:p>
    <w:bookmarkEnd w:id="112"/>
    <w:bookmarkEnd w:id="113"/>
    <w:bookmarkEnd w:id="114"/>
    <w:p>
      <w:pPr>
        <w:spacing w:line="312" w:lineRule="auto"/>
        <w:ind w:firstLine="422" w:firstLineChars="200"/>
        <w:rPr>
          <w:rFonts w:ascii="宋体" w:hAnsi="宋体" w:cs="宋体"/>
          <w:b/>
          <w:bCs/>
          <w:szCs w:val="21"/>
        </w:rPr>
      </w:pPr>
      <w:r>
        <w:rPr>
          <w:rFonts w:hint="eastAsia" w:ascii="宋体" w:hAnsi="宋体" w:cs="宋体"/>
          <w:b/>
          <w:bCs/>
          <w:szCs w:val="21"/>
        </w:rPr>
        <w:t>一、服务内容</w:t>
      </w:r>
    </w:p>
    <w:p>
      <w:pPr>
        <w:spacing w:line="312" w:lineRule="auto"/>
        <w:ind w:firstLine="420" w:firstLineChars="200"/>
        <w:rPr>
          <w:rFonts w:ascii="宋体" w:hAnsi="宋体" w:cs="宋体"/>
          <w:szCs w:val="21"/>
          <w:lang w:val="zh-CN"/>
        </w:rPr>
      </w:pPr>
      <w:r>
        <w:rPr>
          <w:rFonts w:hint="eastAsia" w:ascii="宋体" w:hAnsi="宋体" w:cs="宋体"/>
          <w:szCs w:val="21"/>
          <w:lang w:val="zh-CN"/>
        </w:rPr>
        <w:t>服务期内完成台州市公安局公安信息网三级网和视频专网三级网设备维保项目需做的所有工作。</w:t>
      </w:r>
    </w:p>
    <w:p>
      <w:pPr>
        <w:spacing w:line="312" w:lineRule="auto"/>
        <w:ind w:firstLine="422" w:firstLineChars="200"/>
        <w:rPr>
          <w:rFonts w:ascii="宋体" w:hAnsi="宋体" w:cs="宋体"/>
          <w:b/>
          <w:bCs/>
          <w:szCs w:val="21"/>
        </w:rPr>
      </w:pPr>
      <w:r>
        <w:rPr>
          <w:rFonts w:hint="eastAsia" w:ascii="宋体" w:hAnsi="宋体" w:cs="宋体"/>
          <w:b/>
          <w:bCs/>
          <w:szCs w:val="21"/>
        </w:rPr>
        <w:t>二、合同金额</w:t>
      </w:r>
    </w:p>
    <w:p>
      <w:pPr>
        <w:spacing w:line="312" w:lineRule="auto"/>
        <w:ind w:firstLine="420" w:firstLineChars="200"/>
        <w:rPr>
          <w:rFonts w:ascii="宋体" w:hAnsi="宋体" w:cs="宋体"/>
          <w:szCs w:val="21"/>
        </w:rPr>
      </w:pPr>
      <w:r>
        <w:rPr>
          <w:rFonts w:hint="eastAsia" w:ascii="宋体" w:hAnsi="宋体" w:cs="宋体"/>
          <w:szCs w:val="21"/>
        </w:rPr>
        <w:t xml:space="preserve"> 本合同金额为（大写）：</w:t>
      </w:r>
      <w:r>
        <w:rPr>
          <w:rFonts w:hint="eastAsia" w:ascii="宋体" w:hAnsi="宋体" w:cs="宋体"/>
          <w:szCs w:val="21"/>
          <w:u w:val="single"/>
        </w:rPr>
        <w:t xml:space="preserve">                </w:t>
      </w:r>
      <w:r>
        <w:rPr>
          <w:rFonts w:hint="eastAsia" w:ascii="宋体" w:hAnsi="宋体" w:cs="宋体"/>
          <w:szCs w:val="21"/>
        </w:rPr>
        <w:t>元（￥</w:t>
      </w:r>
      <w:r>
        <w:rPr>
          <w:rFonts w:hint="eastAsia" w:ascii="宋体" w:hAnsi="宋体" w:cs="宋体"/>
          <w:szCs w:val="21"/>
          <w:u w:val="single"/>
        </w:rPr>
        <w:t xml:space="preserve">               </w:t>
      </w:r>
      <w:r>
        <w:rPr>
          <w:rFonts w:hint="eastAsia" w:ascii="宋体" w:hAnsi="宋体" w:cs="宋体"/>
          <w:szCs w:val="21"/>
        </w:rPr>
        <w:t>元）人民币。</w:t>
      </w:r>
    </w:p>
    <w:p>
      <w:pPr>
        <w:spacing w:line="312" w:lineRule="auto"/>
        <w:ind w:firstLine="422" w:firstLineChars="200"/>
        <w:rPr>
          <w:rFonts w:ascii="宋体" w:hAnsi="宋体" w:cs="宋体"/>
          <w:b/>
          <w:bCs/>
          <w:szCs w:val="21"/>
        </w:rPr>
      </w:pPr>
      <w:r>
        <w:rPr>
          <w:rFonts w:hint="eastAsia" w:ascii="宋体" w:hAnsi="宋体" w:cs="宋体"/>
          <w:b/>
          <w:bCs/>
          <w:szCs w:val="21"/>
        </w:rPr>
        <w:t>三、技术资料</w:t>
      </w:r>
    </w:p>
    <w:p>
      <w:pPr>
        <w:spacing w:line="312" w:lineRule="auto"/>
        <w:ind w:firstLine="420" w:firstLineChars="200"/>
        <w:rPr>
          <w:rFonts w:ascii="宋体" w:hAnsi="宋体" w:cs="宋体"/>
          <w:szCs w:val="21"/>
        </w:rPr>
      </w:pPr>
      <w:r>
        <w:rPr>
          <w:rFonts w:hint="eastAsia" w:ascii="宋体" w:hAnsi="宋体" w:cs="宋体"/>
          <w:szCs w:val="21"/>
        </w:rPr>
        <w:t>1.乙方应按采购文件规定的时间向甲方提供有关技术资料。</w:t>
      </w:r>
    </w:p>
    <w:p>
      <w:pPr>
        <w:spacing w:line="312" w:lineRule="auto"/>
        <w:ind w:firstLine="420" w:firstLineChars="200"/>
        <w:rPr>
          <w:rFonts w:ascii="宋体" w:hAnsi="宋体" w:cs="宋体"/>
          <w:szCs w:val="21"/>
        </w:rPr>
      </w:pPr>
      <w:r>
        <w:rPr>
          <w:rFonts w:hint="eastAsia" w:ascii="宋体" w:hAnsi="宋体" w:cs="宋体"/>
          <w:szCs w:val="21"/>
        </w:rPr>
        <w:t>2.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pPr>
        <w:spacing w:line="312" w:lineRule="auto"/>
        <w:ind w:firstLine="422" w:firstLineChars="200"/>
        <w:rPr>
          <w:rFonts w:ascii="宋体" w:hAnsi="宋体" w:cs="宋体"/>
          <w:b/>
          <w:bCs/>
          <w:szCs w:val="21"/>
        </w:rPr>
      </w:pPr>
      <w:r>
        <w:rPr>
          <w:rFonts w:hint="eastAsia" w:ascii="宋体" w:hAnsi="宋体" w:cs="宋体"/>
          <w:b/>
          <w:bCs/>
          <w:szCs w:val="21"/>
        </w:rPr>
        <w:t>四、知识产权</w:t>
      </w:r>
    </w:p>
    <w:p>
      <w:pPr>
        <w:spacing w:line="312" w:lineRule="auto"/>
        <w:ind w:firstLine="420" w:firstLineChars="200"/>
        <w:rPr>
          <w:rFonts w:ascii="宋体" w:hAnsi="宋体" w:cs="宋体"/>
          <w:szCs w:val="21"/>
        </w:rPr>
      </w:pPr>
      <w:r>
        <w:rPr>
          <w:rFonts w:hint="eastAsia" w:ascii="宋体" w:hAnsi="宋体" w:cs="宋体"/>
          <w:szCs w:val="21"/>
        </w:rPr>
        <w:t>乙方应保证所提供的成果或任何一部分均不会侵犯任何第三方的知识产权。</w:t>
      </w:r>
    </w:p>
    <w:p>
      <w:pPr>
        <w:spacing w:line="312" w:lineRule="auto"/>
        <w:ind w:firstLine="422" w:firstLineChars="200"/>
        <w:rPr>
          <w:rFonts w:ascii="宋体" w:hAnsi="宋体" w:cs="宋体"/>
          <w:b/>
          <w:bCs/>
          <w:szCs w:val="21"/>
        </w:rPr>
      </w:pPr>
      <w:r>
        <w:rPr>
          <w:rFonts w:hint="eastAsia" w:ascii="宋体" w:hAnsi="宋体" w:cs="宋体"/>
          <w:b/>
          <w:bCs/>
          <w:szCs w:val="21"/>
        </w:rPr>
        <w:t>五、产权担保</w:t>
      </w:r>
    </w:p>
    <w:p>
      <w:pPr>
        <w:spacing w:line="312" w:lineRule="auto"/>
        <w:ind w:firstLine="420" w:firstLineChars="200"/>
        <w:rPr>
          <w:rFonts w:ascii="宋体" w:hAnsi="宋体" w:cs="宋体"/>
          <w:szCs w:val="21"/>
        </w:rPr>
      </w:pPr>
      <w:r>
        <w:rPr>
          <w:rFonts w:hint="eastAsia" w:ascii="宋体" w:hAnsi="宋体" w:cs="宋体"/>
          <w:szCs w:val="21"/>
        </w:rPr>
        <w:t>乙方保证所交付的服务的所有权完全属于乙方且无任何抵押、查封等产权瑕疵。</w:t>
      </w:r>
    </w:p>
    <w:p>
      <w:pPr>
        <w:spacing w:line="312" w:lineRule="auto"/>
        <w:ind w:firstLine="422" w:firstLineChars="200"/>
        <w:rPr>
          <w:rFonts w:ascii="宋体" w:hAnsi="宋体" w:cs="宋体"/>
          <w:b/>
          <w:bCs/>
          <w:szCs w:val="21"/>
        </w:rPr>
      </w:pPr>
      <w:r>
        <w:rPr>
          <w:rFonts w:hint="eastAsia" w:ascii="宋体" w:hAnsi="宋体" w:cs="宋体"/>
          <w:b/>
          <w:bCs/>
          <w:szCs w:val="21"/>
        </w:rPr>
        <w:t>六、履约保证金</w:t>
      </w:r>
    </w:p>
    <w:p>
      <w:pPr>
        <w:spacing w:line="312" w:lineRule="auto"/>
        <w:ind w:firstLine="420" w:firstLineChars="200"/>
        <w:rPr>
          <w:rFonts w:ascii="宋体" w:hAnsi="宋体" w:cs="宋体"/>
          <w:szCs w:val="21"/>
        </w:rPr>
      </w:pPr>
      <w:r>
        <w:rPr>
          <w:rFonts w:hint="eastAsia" w:ascii="宋体" w:hAnsi="宋体" w:cs="宋体"/>
          <w:szCs w:val="21"/>
        </w:rPr>
        <w:t>履约保证金：</w:t>
      </w:r>
      <w:r>
        <w:rPr>
          <w:rFonts w:hint="eastAsia" w:ascii="宋体" w:hAnsi="宋体" w:cs="宋体" w:eastAsiaTheme="minorEastAsia"/>
          <w:bCs/>
          <w:kern w:val="0"/>
          <w:szCs w:val="21"/>
          <w:lang w:val="zh-CN"/>
        </w:rPr>
        <w:t xml:space="preserve">合同总价的 </w:t>
      </w:r>
      <w:r>
        <w:rPr>
          <w:rFonts w:hint="eastAsia" w:ascii="宋体" w:hAnsi="宋体" w:cs="宋体" w:eastAsiaTheme="minorEastAsia"/>
          <w:bCs/>
          <w:kern w:val="0"/>
          <w:szCs w:val="21"/>
        </w:rPr>
        <w:t>1</w:t>
      </w:r>
      <w:r>
        <w:rPr>
          <w:rFonts w:hint="eastAsia" w:ascii="宋体" w:hAnsi="宋体" w:cs="宋体" w:eastAsiaTheme="minorEastAsia"/>
          <w:bCs/>
          <w:kern w:val="0"/>
          <w:szCs w:val="21"/>
          <w:lang w:val="zh-CN"/>
        </w:rPr>
        <w:t>％作为履约保证金，签订合同后 3 个工作日内由中标人交入采购人帐户（履约保证金可以以银行转账、由银行或保险公司出具的保函保单等形式），</w:t>
      </w:r>
      <w:r>
        <w:rPr>
          <w:rFonts w:hint="eastAsia" w:ascii="宋体" w:hAnsi="宋体" w:cs="宋体" w:eastAsiaTheme="minorEastAsia"/>
          <w:bCs/>
          <w:kern w:val="0"/>
          <w:sz w:val="21"/>
          <w:szCs w:val="21"/>
          <w:lang w:val="zh-CN" w:eastAsia="zh-CN"/>
        </w:rPr>
        <w:t>维保期满后</w:t>
      </w:r>
      <w:r>
        <w:rPr>
          <w:rFonts w:hint="eastAsia" w:ascii="宋体" w:hAnsi="宋体" w:cs="宋体" w:eastAsiaTheme="minorEastAsia"/>
          <w:bCs/>
          <w:kern w:val="0"/>
          <w:szCs w:val="21"/>
          <w:lang w:val="zh-CN"/>
        </w:rPr>
        <w:t>，如无质量、服务投诉和索赔，该款项5个工作日内无息返还。</w:t>
      </w:r>
      <w:r>
        <w:rPr>
          <w:rFonts w:ascii="宋体" w:hAnsi="宋体" w:cs="宋体"/>
          <w:szCs w:val="21"/>
        </w:rPr>
        <w:t>。</w:t>
      </w:r>
    </w:p>
    <w:p>
      <w:pPr>
        <w:spacing w:line="312" w:lineRule="auto"/>
        <w:ind w:firstLine="422" w:firstLineChars="200"/>
        <w:rPr>
          <w:rFonts w:ascii="宋体" w:hAnsi="宋体" w:cs="宋体"/>
          <w:b/>
          <w:bCs/>
          <w:szCs w:val="21"/>
        </w:rPr>
      </w:pPr>
      <w:r>
        <w:rPr>
          <w:rFonts w:hint="eastAsia" w:ascii="宋体" w:hAnsi="宋体" w:cs="宋体"/>
          <w:b/>
          <w:bCs/>
          <w:szCs w:val="21"/>
        </w:rPr>
        <w:t>七、转包或分包</w:t>
      </w:r>
    </w:p>
    <w:p>
      <w:pPr>
        <w:spacing w:line="312" w:lineRule="auto"/>
        <w:ind w:firstLine="420" w:firstLineChars="200"/>
        <w:rPr>
          <w:rFonts w:ascii="宋体" w:hAnsi="宋体" w:cs="宋体"/>
          <w:szCs w:val="21"/>
        </w:rPr>
      </w:pPr>
      <w:r>
        <w:rPr>
          <w:rFonts w:hint="eastAsia" w:ascii="宋体" w:hAnsi="宋体" w:cs="宋体"/>
          <w:szCs w:val="21"/>
        </w:rPr>
        <w:t>1.本合同范围的服务，应由乙方直接供应，不得转让他人供应；</w:t>
      </w:r>
    </w:p>
    <w:p>
      <w:pPr>
        <w:spacing w:line="312" w:lineRule="auto"/>
        <w:ind w:firstLine="420" w:firstLineChars="200"/>
        <w:rPr>
          <w:rFonts w:ascii="宋体" w:hAnsi="宋体" w:cs="宋体"/>
          <w:szCs w:val="21"/>
        </w:rPr>
      </w:pPr>
      <w:r>
        <w:rPr>
          <w:rFonts w:hint="eastAsia" w:ascii="宋体" w:hAnsi="宋体" w:cs="宋体"/>
          <w:szCs w:val="21"/>
        </w:rPr>
        <w:t>2.除非得到甲方的书面同意，乙方不得将本合同范围的服务全部或部分分包给他人供应；</w:t>
      </w:r>
    </w:p>
    <w:p>
      <w:pPr>
        <w:spacing w:line="312" w:lineRule="auto"/>
        <w:ind w:firstLine="422" w:firstLineChars="200"/>
        <w:rPr>
          <w:rFonts w:ascii="宋体" w:hAnsi="宋体" w:cs="宋体"/>
          <w:b/>
          <w:bCs/>
          <w:szCs w:val="21"/>
        </w:rPr>
      </w:pPr>
      <w:r>
        <w:rPr>
          <w:rFonts w:hint="eastAsia" w:ascii="宋体" w:hAnsi="宋体" w:cs="宋体"/>
          <w:b/>
          <w:bCs/>
          <w:szCs w:val="21"/>
        </w:rPr>
        <w:t>八、服务期及地点</w:t>
      </w:r>
    </w:p>
    <w:p>
      <w:pPr>
        <w:spacing w:line="312" w:lineRule="auto"/>
        <w:ind w:firstLine="420" w:firstLineChars="200"/>
        <w:rPr>
          <w:rFonts w:ascii="宋体" w:hAnsi="宋体" w:cs="宋体"/>
          <w:szCs w:val="21"/>
        </w:rPr>
      </w:pPr>
      <w:r>
        <w:rPr>
          <w:rFonts w:hint="eastAsia" w:ascii="宋体" w:hAnsi="宋体" w:cs="宋体"/>
          <w:szCs w:val="21"/>
        </w:rPr>
        <w:t>1.服务期：自合同签订之日一年。</w:t>
      </w:r>
    </w:p>
    <w:p>
      <w:pPr>
        <w:spacing w:line="312" w:lineRule="auto"/>
        <w:ind w:firstLine="420" w:firstLineChars="200"/>
        <w:rPr>
          <w:rFonts w:ascii="宋体" w:hAnsi="宋体" w:cs="宋体"/>
          <w:szCs w:val="21"/>
        </w:rPr>
      </w:pPr>
      <w:r>
        <w:rPr>
          <w:rFonts w:hint="eastAsia" w:ascii="宋体" w:hAnsi="宋体" w:cs="宋体"/>
          <w:szCs w:val="21"/>
        </w:rPr>
        <w:t>2.服务地点：台州市公安局。</w:t>
      </w:r>
    </w:p>
    <w:p>
      <w:pPr>
        <w:spacing w:line="312" w:lineRule="auto"/>
        <w:ind w:firstLine="422" w:firstLineChars="200"/>
        <w:rPr>
          <w:rFonts w:ascii="宋体" w:hAnsi="宋体" w:cs="宋体"/>
          <w:b/>
          <w:bCs/>
          <w:szCs w:val="21"/>
        </w:rPr>
      </w:pPr>
      <w:r>
        <w:rPr>
          <w:rFonts w:hint="eastAsia" w:ascii="宋体" w:hAnsi="宋体" w:cs="宋体"/>
          <w:b/>
          <w:bCs/>
          <w:szCs w:val="21"/>
        </w:rPr>
        <w:t>九、付款方式</w:t>
      </w:r>
    </w:p>
    <w:p>
      <w:pPr>
        <w:spacing w:line="312" w:lineRule="auto"/>
        <w:ind w:firstLine="420" w:firstLineChars="200"/>
        <w:rPr>
          <w:rFonts w:ascii="宋体" w:hAnsi="宋体" w:cs="宋体"/>
          <w:szCs w:val="21"/>
        </w:rPr>
      </w:pPr>
      <w:r>
        <w:rPr>
          <w:rFonts w:hint="eastAsia" w:ascii="宋体" w:hAnsi="宋体" w:cs="宋体" w:eastAsiaTheme="minorEastAsia"/>
          <w:bCs/>
          <w:kern w:val="0"/>
          <w:szCs w:val="21"/>
          <w:lang w:val="zh-CN"/>
        </w:rPr>
        <w:t>签订合同并收到发票后7个工作日内，支付合同总价的60%；合同维保期满收到发票后</w:t>
      </w:r>
      <w:r>
        <w:rPr>
          <w:rFonts w:hint="eastAsia" w:ascii="宋体" w:hAnsi="宋体" w:cs="宋体" w:eastAsiaTheme="minorEastAsia"/>
          <w:bCs/>
          <w:kern w:val="0"/>
          <w:szCs w:val="21"/>
        </w:rPr>
        <w:t>7</w:t>
      </w:r>
      <w:r>
        <w:rPr>
          <w:rFonts w:hint="eastAsia" w:ascii="宋体" w:hAnsi="宋体" w:cs="宋体" w:eastAsiaTheme="minorEastAsia"/>
          <w:bCs/>
          <w:kern w:val="0"/>
          <w:szCs w:val="21"/>
          <w:lang w:val="zh-CN"/>
        </w:rPr>
        <w:t>个工作日内支付合同总价的40%。</w:t>
      </w:r>
      <w:r>
        <w:rPr>
          <w:rFonts w:hint="eastAsia" w:ascii="宋体" w:hAnsi="宋体" w:cs="宋体"/>
          <w:szCs w:val="21"/>
        </w:rPr>
        <w:t>。</w:t>
      </w:r>
    </w:p>
    <w:p>
      <w:pPr>
        <w:spacing w:line="312" w:lineRule="auto"/>
        <w:ind w:firstLine="422" w:firstLineChars="200"/>
        <w:rPr>
          <w:rFonts w:ascii="宋体" w:hAnsi="宋体" w:cs="宋体"/>
          <w:b/>
          <w:bCs/>
          <w:szCs w:val="21"/>
        </w:rPr>
      </w:pPr>
      <w:r>
        <w:rPr>
          <w:rFonts w:hint="eastAsia" w:ascii="宋体" w:hAnsi="宋体" w:cs="宋体"/>
          <w:b/>
          <w:bCs/>
          <w:szCs w:val="21"/>
        </w:rPr>
        <w:t>十、税费</w:t>
      </w:r>
    </w:p>
    <w:p>
      <w:pPr>
        <w:spacing w:line="312" w:lineRule="auto"/>
        <w:ind w:firstLine="420" w:firstLineChars="200"/>
        <w:rPr>
          <w:rFonts w:ascii="宋体" w:hAnsi="宋体" w:cs="宋体"/>
          <w:szCs w:val="21"/>
        </w:rPr>
      </w:pPr>
      <w:r>
        <w:rPr>
          <w:rFonts w:hint="eastAsia" w:ascii="宋体" w:hAnsi="宋体" w:cs="宋体"/>
          <w:szCs w:val="21"/>
        </w:rPr>
        <w:t>本合同执行中相关的一切税费均由乙方负担。</w:t>
      </w:r>
    </w:p>
    <w:p>
      <w:pPr>
        <w:spacing w:line="312" w:lineRule="auto"/>
        <w:ind w:firstLine="422" w:firstLineChars="200"/>
        <w:rPr>
          <w:rFonts w:ascii="宋体" w:hAnsi="宋体" w:cs="宋体"/>
          <w:b/>
          <w:bCs/>
          <w:szCs w:val="21"/>
        </w:rPr>
      </w:pPr>
      <w:r>
        <w:rPr>
          <w:rFonts w:hint="eastAsia" w:ascii="宋体" w:hAnsi="宋体" w:cs="宋体"/>
          <w:b/>
          <w:bCs/>
          <w:szCs w:val="21"/>
        </w:rPr>
        <w:t>十一、质量保证及售后服务</w:t>
      </w:r>
    </w:p>
    <w:p>
      <w:pPr>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w:t>
      </w:r>
      <w:r>
        <w:rPr>
          <w:rFonts w:hint="eastAsia" w:ascii="宋体" w:hAnsi="宋体" w:cs="宋体" w:eastAsiaTheme="minorEastAsia"/>
          <w:bCs/>
          <w:kern w:val="0"/>
          <w:szCs w:val="21"/>
          <w:lang w:val="zh-CN" w:eastAsia="zh-Hans"/>
        </w:rPr>
        <w:t>一</w:t>
      </w:r>
      <w:r>
        <w:rPr>
          <w:rFonts w:hint="eastAsia" w:ascii="宋体" w:hAnsi="宋体" w:cs="宋体" w:eastAsiaTheme="minorEastAsia"/>
          <w:bCs/>
          <w:kern w:val="0"/>
          <w:szCs w:val="21"/>
          <w:lang w:val="zh-CN"/>
        </w:rPr>
        <w:t>）服务承诺</w:t>
      </w:r>
    </w:p>
    <w:p>
      <w:pPr>
        <w:widowControl/>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rPr>
        <w:t>1</w:t>
      </w:r>
      <w:r>
        <w:rPr>
          <w:rFonts w:hint="eastAsia" w:ascii="宋体" w:hAnsi="宋体" w:cs="宋体" w:eastAsiaTheme="minorEastAsia"/>
          <w:bCs/>
          <w:kern w:val="0"/>
          <w:szCs w:val="21"/>
          <w:lang w:val="zh-CN"/>
        </w:rPr>
        <w:t>、乙方提供1名网络工程师驻场运维</w:t>
      </w:r>
      <w:r>
        <w:rPr>
          <w:rFonts w:ascii="宋体" w:hAnsi="宋体" w:cs="宋体" w:eastAsiaTheme="minorEastAsia"/>
          <w:bCs/>
          <w:kern w:val="0"/>
          <w:szCs w:val="21"/>
          <w:lang w:val="zh-CN"/>
        </w:rPr>
        <w:t>，</w:t>
      </w:r>
      <w:r>
        <w:rPr>
          <w:rFonts w:hint="eastAsia" w:ascii="宋体" w:hAnsi="宋体" w:cs="宋体" w:eastAsiaTheme="minorEastAsia"/>
          <w:bCs/>
          <w:kern w:val="0"/>
          <w:szCs w:val="21"/>
          <w:lang w:val="zh-CN"/>
        </w:rPr>
        <w:t>乙方对系统运行正常、仅受到有限的影响或未受到严重影响的故障，接到支持需求必须在5分钟内做出回应；如需现场排障需提供到达现场时效。</w:t>
      </w:r>
    </w:p>
    <w:p>
      <w:pPr>
        <w:widowControl/>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rPr>
        <w:t>2</w:t>
      </w:r>
      <w:r>
        <w:rPr>
          <w:rFonts w:hint="eastAsia" w:ascii="宋体" w:hAnsi="宋体" w:cs="宋体" w:eastAsiaTheme="minorEastAsia"/>
          <w:bCs/>
          <w:kern w:val="0"/>
          <w:szCs w:val="21"/>
          <w:lang w:val="zh-CN"/>
        </w:rPr>
        <w:t>、乙方对系统故障或与系统相关联的系统故障，乙方在接到甲方故障申告电话后应于5分钟内响应，根据实际发现的故障，进行电话/远程/现场进行相关故障定位和排除，同时安排H3CIE或H3CTE或同等证书技术人员1小时内到达现场，直至系统硬件恢复正常状态。</w:t>
      </w:r>
    </w:p>
    <w:p>
      <w:pPr>
        <w:widowControl/>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rPr>
        <w:t>3</w:t>
      </w:r>
      <w:r>
        <w:rPr>
          <w:rFonts w:hint="eastAsia" w:ascii="宋体" w:hAnsi="宋体" w:cs="宋体" w:eastAsiaTheme="minorEastAsia"/>
          <w:bCs/>
          <w:kern w:val="0"/>
          <w:szCs w:val="21"/>
          <w:lang w:val="zh-CN"/>
        </w:rPr>
        <w:t>、乙方在系统恢复正常运行后，应对系统进行跟踪，并分析产生故障的原因，10日内向甲方提交故障分析报告及解决方案。</w:t>
      </w:r>
    </w:p>
    <w:p>
      <w:pPr>
        <w:widowControl/>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rPr>
        <w:t>4</w:t>
      </w:r>
      <w:r>
        <w:rPr>
          <w:rFonts w:hint="eastAsia" w:ascii="宋体" w:hAnsi="宋体" w:cs="宋体" w:eastAsiaTheme="minorEastAsia"/>
          <w:bCs/>
          <w:kern w:val="0"/>
          <w:szCs w:val="21"/>
          <w:lang w:val="zh-CN"/>
        </w:rPr>
        <w:t>、乙方现场技术服务内容包括：系统重启支持、系统故障定位、系统故障解决、系统优化实施。</w:t>
      </w:r>
    </w:p>
    <w:p>
      <w:pPr>
        <w:widowControl/>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rPr>
        <w:t>5</w:t>
      </w:r>
      <w:r>
        <w:rPr>
          <w:rFonts w:hint="eastAsia" w:ascii="宋体" w:hAnsi="宋体" w:cs="宋体" w:eastAsiaTheme="minorEastAsia"/>
          <w:bCs/>
          <w:kern w:val="0"/>
          <w:szCs w:val="21"/>
          <w:lang w:val="zh-CN"/>
        </w:rPr>
        <w:t>、乙方现场技术支持服务实施步骤要求： 通过现场数据收集--数据分析—提供合理化建议和实施方案—组织实施--报告形成；同时根据系统运行情况和业务运行情况制定改进计划并配合实施改进计划，以及实施后对故障系统进行跟踪分析。</w:t>
      </w:r>
    </w:p>
    <w:p>
      <w:pPr>
        <w:widowControl/>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rPr>
        <w:t>6</w:t>
      </w:r>
      <w:r>
        <w:rPr>
          <w:rFonts w:hint="eastAsia" w:ascii="宋体" w:hAnsi="宋体" w:cs="宋体" w:eastAsiaTheme="minorEastAsia"/>
          <w:bCs/>
          <w:kern w:val="0"/>
          <w:szCs w:val="21"/>
          <w:lang w:val="zh-CN"/>
        </w:rPr>
        <w:t>、乙方需承诺让设备厂商即H3C的原厂服务工程师提供每半年一次现场检查服务，同时提供一年2次的免费上门服务，并在系统或紧急故障时，原厂工程师根据实际发现的故障，进行电话/远程/现场相关故障定位和排除，同时安排技术人员1小时内到达现场，直至系统硬件恢复正常状态。原厂H3C远程运维团队提供每月一次的远程巡检服务，并形成月报表形式交由甲方留档。乙方需指派服务工程师提供每季度一次的现场检查服务，并在检查结束后的提供检查报告给甲方，另服务周期结束给甲方出具年度服务报告；投标文件内需提供H3C主网络星级服务商资质等证书复印件并加盖公司公章。</w:t>
      </w:r>
    </w:p>
    <w:p>
      <w:pPr>
        <w:pStyle w:val="22"/>
        <w:tabs>
          <w:tab w:val="left" w:pos="720"/>
          <w:tab w:val="left" w:pos="1260"/>
          <w:tab w:val="left" w:pos="2160"/>
          <w:tab w:val="left" w:pos="2880"/>
          <w:tab w:val="left" w:pos="3600"/>
          <w:tab w:val="left" w:pos="4320"/>
          <w:tab w:val="left" w:pos="5040"/>
          <w:tab w:val="left" w:pos="5760"/>
        </w:tabs>
        <w:spacing w:line="360" w:lineRule="auto"/>
        <w:ind w:left="420" w:leftChars="200" w:right="29" w:firstLine="420" w:firstLineChars="200"/>
        <w:jc w:val="left"/>
        <w:rPr>
          <w:rFonts w:ascii="宋体" w:hAnsi="宋体" w:eastAsiaTheme="minorEastAsia"/>
          <w:bCs/>
          <w:kern w:val="0"/>
          <w:sz w:val="21"/>
          <w:szCs w:val="21"/>
          <w:lang w:val="zh-CN" w:eastAsia="zh-Hans"/>
        </w:rPr>
      </w:pPr>
      <w:r>
        <w:rPr>
          <w:rFonts w:hint="eastAsia" w:ascii="宋体" w:hAnsi="宋体" w:eastAsiaTheme="minorEastAsia"/>
          <w:bCs/>
          <w:kern w:val="0"/>
          <w:sz w:val="21"/>
          <w:szCs w:val="21"/>
        </w:rPr>
        <w:t>7</w:t>
      </w:r>
      <w:r>
        <w:rPr>
          <w:rFonts w:hint="eastAsia" w:ascii="宋体" w:hAnsi="宋体" w:eastAsiaTheme="minorEastAsia"/>
          <w:bCs/>
          <w:kern w:val="0"/>
          <w:sz w:val="21"/>
          <w:szCs w:val="21"/>
          <w:lang w:val="zh-CN" w:eastAsia="zh-Hans"/>
        </w:rPr>
        <w:t>、当</w:t>
      </w:r>
      <w:r>
        <w:rPr>
          <w:rFonts w:hint="eastAsia" w:ascii="宋体" w:hAnsi="宋体" w:eastAsiaTheme="minorEastAsia"/>
          <w:bCs/>
          <w:kern w:val="0"/>
          <w:sz w:val="21"/>
          <w:szCs w:val="21"/>
          <w:lang w:val="zh-CN"/>
        </w:rPr>
        <w:t>乙方</w:t>
      </w:r>
      <w:r>
        <w:rPr>
          <w:rFonts w:hint="eastAsia" w:ascii="宋体" w:hAnsi="宋体" w:eastAsiaTheme="minorEastAsia"/>
          <w:bCs/>
          <w:kern w:val="0"/>
          <w:sz w:val="21"/>
          <w:szCs w:val="21"/>
          <w:lang w:val="zh-CN" w:eastAsia="zh-Hans"/>
        </w:rPr>
        <w:t>遇到无法及时解决的问题时，需尽快联系原厂售后团队解决问题；涉及到更复杂的问题时，需协调原厂H3C研发团队或H3C专家团队解决。</w:t>
      </w:r>
    </w:p>
    <w:p>
      <w:pPr>
        <w:pStyle w:val="14"/>
        <w:spacing w:line="360" w:lineRule="auto"/>
        <w:ind w:left="420" w:leftChars="200" w:firstLine="0" w:firstLineChars="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（二）项目验收标准</w:t>
      </w:r>
    </w:p>
    <w:p>
      <w:pPr>
        <w:pStyle w:val="22"/>
        <w:tabs>
          <w:tab w:val="left" w:pos="720"/>
          <w:tab w:val="left" w:pos="1260"/>
          <w:tab w:val="left" w:pos="2160"/>
          <w:tab w:val="left" w:pos="2880"/>
          <w:tab w:val="left" w:pos="3600"/>
          <w:tab w:val="left" w:pos="4320"/>
          <w:tab w:val="left" w:pos="5040"/>
          <w:tab w:val="left" w:pos="5760"/>
        </w:tabs>
        <w:spacing w:line="360" w:lineRule="auto"/>
        <w:ind w:left="420" w:leftChars="200" w:right="29" w:firstLine="420" w:firstLineChars="200"/>
        <w:jc w:val="left"/>
        <w:rPr>
          <w:rFonts w:ascii="宋体" w:hAnsi="宋体" w:eastAsiaTheme="minorEastAsia"/>
          <w:bCs/>
          <w:kern w:val="0"/>
          <w:sz w:val="21"/>
          <w:szCs w:val="21"/>
          <w:lang w:val="zh-CN"/>
        </w:rPr>
      </w:pPr>
      <w:r>
        <w:rPr>
          <w:rFonts w:hint="eastAsia" w:ascii="宋体" w:hAnsi="宋体" w:eastAsiaTheme="minorEastAsia"/>
          <w:bCs/>
          <w:kern w:val="0"/>
          <w:sz w:val="21"/>
          <w:szCs w:val="21"/>
          <w:lang w:val="zh-CN"/>
        </w:rPr>
        <w:t>本项目建设标准必须遵循台州市公安局科技项目建设管理办法以及台州市政府数字化转型项目管理办法要求，验收资料文档必须满足上述管理办法要求。</w:t>
      </w:r>
    </w:p>
    <w:p>
      <w:pPr>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（三）项目售后服务标准</w:t>
      </w:r>
    </w:p>
    <w:p>
      <w:pPr>
        <w:pStyle w:val="14"/>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1、乙方需在合同维保期提供</w:t>
      </w:r>
      <w:r>
        <w:rPr>
          <w:rFonts w:hint="eastAsia" w:ascii="宋体" w:hAnsi="宋体" w:cs="宋体" w:eastAsiaTheme="minorEastAsia"/>
          <w:bCs/>
          <w:kern w:val="0"/>
          <w:szCs w:val="21"/>
        </w:rPr>
        <w:t>1</w:t>
      </w:r>
      <w:r>
        <w:rPr>
          <w:rFonts w:hint="eastAsia" w:ascii="宋体" w:hAnsi="宋体" w:cs="宋体" w:eastAsiaTheme="minorEastAsia"/>
          <w:bCs/>
          <w:kern w:val="0"/>
          <w:szCs w:val="21"/>
          <w:lang w:val="zh-CN"/>
        </w:rPr>
        <w:t>年7×24小时的技术支持服务。（电话、邮件、传真、远程、现场）。合同维保期内乙方应确保设备的正常使用，在接到用户维修要求后应立即作出回应，当系统的软硬件设备出现故障时，承诺在2小时内响应并提出解决方案，12小时之内到现场对故障进行处理。若现场维护人员12小时内无法解决的，应在24小时内提供不低于故障设备档次及性能的备用设备或备件并负责安装调试。</w:t>
      </w:r>
    </w:p>
    <w:p>
      <w:pPr>
        <w:spacing w:line="360" w:lineRule="auto"/>
        <w:ind w:left="420" w:left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 xml:space="preserve">    2、实施过程流程管控应符合ISO9001相关要求，文档质量符合国家标准规范及监理要求。其它应符合国家及行业标准规范要求。</w:t>
      </w:r>
    </w:p>
    <w:p>
      <w:pPr>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rPr>
        <w:t>3、</w:t>
      </w:r>
      <w:r>
        <w:rPr>
          <w:rFonts w:hint="eastAsia" w:ascii="宋体" w:hAnsi="宋体" w:cs="宋体" w:eastAsiaTheme="minorEastAsia"/>
          <w:bCs/>
          <w:kern w:val="0"/>
          <w:szCs w:val="21"/>
          <w:lang w:val="zh-CN"/>
        </w:rPr>
        <w:t>乙方必须配合监理单位工作，对采购人及监理单位开出的工作联系单或整改通知单等，都要按要求予以办理并及时回复，否则采购人有权扣除1000元/次违约金。</w:t>
      </w:r>
    </w:p>
    <w:p>
      <w:pPr>
        <w:spacing w:line="360" w:lineRule="auto"/>
        <w:ind w:left="420" w:leftChars="200" w:firstLine="420" w:firstLineChars="200"/>
        <w:jc w:val="left"/>
        <w:rPr>
          <w:rFonts w:ascii="宋体" w:hAnsi="宋体" w:cs="宋体" w:eastAsiaTheme="minorEastAsia"/>
          <w:bCs/>
          <w:kern w:val="0"/>
          <w:szCs w:val="21"/>
          <w:lang w:val="zh-CN"/>
        </w:rPr>
      </w:pPr>
      <w:r>
        <w:rPr>
          <w:rFonts w:hint="eastAsia" w:ascii="宋体" w:hAnsi="宋体" w:cs="宋体" w:eastAsiaTheme="minorEastAsia"/>
          <w:bCs/>
          <w:kern w:val="0"/>
          <w:szCs w:val="21"/>
          <w:lang w:val="zh-CN"/>
        </w:rPr>
        <w:t>4、提供不少于两天的培训（主要设备由认证工程师授课，根据实际情况可采用集中或视频会议方式），费用由乙方负责。</w:t>
      </w:r>
    </w:p>
    <w:p>
      <w:pPr>
        <w:spacing w:line="312" w:lineRule="auto"/>
        <w:ind w:firstLine="422" w:firstLineChars="200"/>
        <w:rPr>
          <w:rFonts w:ascii="宋体" w:hAnsi="宋体" w:cs="宋体"/>
          <w:b/>
          <w:bCs/>
          <w:szCs w:val="21"/>
        </w:rPr>
      </w:pPr>
      <w:r>
        <w:rPr>
          <w:rFonts w:hint="eastAsia" w:ascii="宋体" w:hAnsi="宋体" w:cs="宋体"/>
          <w:b/>
          <w:bCs/>
          <w:szCs w:val="21"/>
        </w:rPr>
        <w:t>十二、调试和检测</w:t>
      </w:r>
    </w:p>
    <w:p>
      <w:pPr>
        <w:spacing w:line="312" w:lineRule="auto"/>
        <w:ind w:firstLine="420" w:firstLineChars="200"/>
        <w:rPr>
          <w:rFonts w:ascii="宋体" w:hAnsi="宋体" w:cs="宋体"/>
          <w:szCs w:val="21"/>
        </w:rPr>
      </w:pPr>
      <w:r>
        <w:rPr>
          <w:rFonts w:hint="eastAsia" w:ascii="宋体" w:hAnsi="宋体" w:cs="宋体"/>
          <w:szCs w:val="21"/>
        </w:rPr>
        <w:t>1.甲方对乙方提交的服务依据采购文件上的技术规格要求和国家有关质量标准进行现场初步检测，外观、说明书符合采购文件技术要求的，给予签收，初步检测不合格的不予签收。</w:t>
      </w:r>
    </w:p>
    <w:p>
      <w:pPr>
        <w:spacing w:line="312" w:lineRule="auto"/>
        <w:ind w:firstLine="420" w:firstLineChars="200"/>
        <w:rPr>
          <w:rFonts w:ascii="宋体" w:hAnsi="宋体" w:cs="宋体"/>
          <w:szCs w:val="21"/>
        </w:rPr>
      </w:pPr>
      <w:r>
        <w:rPr>
          <w:rFonts w:hint="eastAsia" w:ascii="宋体" w:hAnsi="宋体" w:cs="宋体"/>
          <w:szCs w:val="21"/>
        </w:rPr>
        <w:t>2.乙方按合同要求提供完整服务前应作出全面自检，并列出清单，作为甲方验收和使用的技术条件依据。</w:t>
      </w:r>
    </w:p>
    <w:p>
      <w:pPr>
        <w:spacing w:line="312" w:lineRule="auto"/>
        <w:ind w:firstLine="420" w:firstLineChars="200"/>
        <w:rPr>
          <w:rFonts w:ascii="宋体" w:hAnsi="宋体" w:cs="宋体"/>
          <w:szCs w:val="21"/>
        </w:rPr>
      </w:pPr>
      <w:r>
        <w:rPr>
          <w:rFonts w:hint="eastAsia" w:ascii="宋体" w:hAnsi="宋体" w:cs="宋体"/>
          <w:szCs w:val="21"/>
        </w:rPr>
        <w:t>3.甲方对乙方提供的服务在使用前，乙方需负责培训甲方的使用操作人员，并协助甲方一起调试，直到符合技术要求，甲方才做最终验收。</w:t>
      </w:r>
    </w:p>
    <w:p>
      <w:pPr>
        <w:spacing w:line="312" w:lineRule="auto"/>
        <w:ind w:firstLine="422" w:firstLineChars="200"/>
        <w:rPr>
          <w:rFonts w:ascii="宋体" w:hAnsi="宋体" w:cs="宋体"/>
          <w:b/>
          <w:bCs/>
          <w:szCs w:val="21"/>
        </w:rPr>
      </w:pPr>
      <w:r>
        <w:rPr>
          <w:rFonts w:hint="eastAsia" w:ascii="宋体" w:hAnsi="宋体" w:cs="宋体"/>
          <w:b/>
          <w:bCs/>
          <w:szCs w:val="21"/>
        </w:rPr>
        <w:t>十三、违约责任</w:t>
      </w:r>
    </w:p>
    <w:p>
      <w:pPr>
        <w:spacing w:line="312" w:lineRule="auto"/>
        <w:ind w:firstLine="420" w:firstLineChars="200"/>
        <w:rPr>
          <w:rFonts w:ascii="宋体" w:hAnsi="宋体" w:cs="宋体"/>
          <w:szCs w:val="21"/>
        </w:rPr>
      </w:pPr>
      <w:r>
        <w:rPr>
          <w:rFonts w:hint="eastAsia" w:ascii="宋体" w:hAnsi="宋体" w:cs="宋体"/>
          <w:szCs w:val="21"/>
        </w:rPr>
        <w:t>1.甲方无正当理由拒收服务的，甲方向乙方支付合同款项的百分之五作为违约金。</w:t>
      </w:r>
    </w:p>
    <w:p>
      <w:pPr>
        <w:spacing w:line="312" w:lineRule="auto"/>
        <w:ind w:firstLine="420" w:firstLineChars="200"/>
        <w:rPr>
          <w:rFonts w:ascii="宋体" w:hAnsi="宋体" w:cs="宋体"/>
          <w:szCs w:val="21"/>
        </w:rPr>
      </w:pPr>
      <w:r>
        <w:rPr>
          <w:rFonts w:hint="eastAsia" w:ascii="宋体" w:hAnsi="宋体" w:cs="宋体"/>
          <w:szCs w:val="21"/>
        </w:rPr>
        <w:t>2.甲方无故逾期验收和办理款项支付手续的，甲方应按逾期付款总额每日万分之五向乙方支付违约金。</w:t>
      </w:r>
    </w:p>
    <w:p>
      <w:pPr>
        <w:spacing w:line="312" w:lineRule="auto"/>
        <w:ind w:firstLine="420" w:firstLineChars="200"/>
        <w:rPr>
          <w:rFonts w:ascii="宋体" w:hAnsi="宋体" w:cs="宋体"/>
          <w:szCs w:val="21"/>
        </w:rPr>
      </w:pPr>
      <w:r>
        <w:rPr>
          <w:rFonts w:hint="eastAsia" w:ascii="宋体" w:hAnsi="宋体" w:cs="宋体"/>
          <w:szCs w:val="21"/>
        </w:rPr>
        <w:t xml:space="preserve">3.乙方逾期提供服务的，乙方应按逾期天数合同总额每日千分之六向甲方支付违约金，由甲方从待付合同款中扣除。逾期超过约定日期10个工作日不能提供服务的，甲方可解除本合同。乙方因逾期提供服务或因其他违约行为导致甲方解除合同的，乙方应向甲方支付合同总金额5%的违约金，如造成甲方损失超过违约金的，超出部分由乙方继续承担赔偿责任。 </w:t>
      </w:r>
    </w:p>
    <w:p>
      <w:pPr>
        <w:spacing w:line="312" w:lineRule="auto"/>
        <w:ind w:firstLine="420" w:firstLineChars="200"/>
        <w:rPr>
          <w:rFonts w:ascii="宋体" w:hAnsi="宋体" w:cs="宋体"/>
          <w:szCs w:val="21"/>
        </w:rPr>
      </w:pPr>
      <w:r>
        <w:rPr>
          <w:rFonts w:hint="eastAsia" w:ascii="宋体" w:hAnsi="宋体" w:cs="宋体"/>
          <w:szCs w:val="21"/>
        </w:rPr>
        <w:t>4.乙方应保证服务设备区域内的其他有关设施、设备不受损坏，否则由此引起的责任和损失由乙方承担。</w:t>
      </w:r>
    </w:p>
    <w:p>
      <w:pPr>
        <w:spacing w:line="312" w:lineRule="auto"/>
        <w:ind w:firstLine="422" w:firstLineChars="200"/>
        <w:rPr>
          <w:rFonts w:ascii="宋体" w:hAnsi="宋体" w:cs="宋体"/>
          <w:b/>
          <w:bCs/>
          <w:szCs w:val="21"/>
        </w:rPr>
      </w:pPr>
      <w:r>
        <w:rPr>
          <w:rFonts w:hint="eastAsia" w:ascii="宋体" w:hAnsi="宋体" w:cs="宋体"/>
          <w:b/>
          <w:bCs/>
          <w:szCs w:val="21"/>
        </w:rPr>
        <w:t>十四、不可抗力事件处理</w:t>
      </w:r>
    </w:p>
    <w:p>
      <w:pPr>
        <w:spacing w:line="312" w:lineRule="auto"/>
        <w:ind w:firstLine="420" w:firstLineChars="200"/>
        <w:rPr>
          <w:rFonts w:ascii="宋体" w:hAnsi="宋体" w:cs="宋体"/>
          <w:szCs w:val="21"/>
        </w:rPr>
      </w:pPr>
      <w:r>
        <w:rPr>
          <w:rFonts w:hint="eastAsia" w:ascii="宋体" w:hAnsi="宋体" w:cs="宋体"/>
          <w:szCs w:val="21"/>
        </w:rPr>
        <w:t>1.在合同有效期内，任何一方因不可抗力事件导致不能履行合同，则合同履行期可延长，其延长期与不可抗力影响期相同。</w:t>
      </w:r>
    </w:p>
    <w:p>
      <w:pPr>
        <w:spacing w:line="312" w:lineRule="auto"/>
        <w:ind w:firstLine="420" w:firstLineChars="200"/>
        <w:rPr>
          <w:rFonts w:ascii="宋体" w:hAnsi="宋体" w:cs="宋体"/>
          <w:szCs w:val="21"/>
        </w:rPr>
      </w:pPr>
      <w:r>
        <w:rPr>
          <w:rFonts w:hint="eastAsia" w:ascii="宋体" w:hAnsi="宋体" w:cs="宋体"/>
          <w:szCs w:val="21"/>
        </w:rPr>
        <w:t>2.不可抗力事件发生后，应立即通知对方，并寄送有关权威机构出具的证明。</w:t>
      </w:r>
    </w:p>
    <w:p>
      <w:pPr>
        <w:spacing w:line="312" w:lineRule="auto"/>
        <w:ind w:firstLine="420" w:firstLineChars="200"/>
        <w:rPr>
          <w:rFonts w:ascii="宋体" w:hAnsi="宋体" w:cs="宋体"/>
          <w:szCs w:val="21"/>
        </w:rPr>
      </w:pPr>
      <w:r>
        <w:rPr>
          <w:rFonts w:hint="eastAsia" w:ascii="宋体" w:hAnsi="宋体" w:cs="宋体"/>
          <w:szCs w:val="21"/>
        </w:rPr>
        <w:t>3.不可抗力事件延续120天以上，双方应通过友好协商，确定是否继续履行合同。</w:t>
      </w:r>
    </w:p>
    <w:p>
      <w:pPr>
        <w:spacing w:line="312" w:lineRule="auto"/>
        <w:ind w:firstLine="422" w:firstLineChars="200"/>
        <w:rPr>
          <w:rFonts w:ascii="宋体" w:hAnsi="宋体" w:cs="宋体"/>
          <w:b/>
          <w:bCs/>
          <w:szCs w:val="21"/>
        </w:rPr>
      </w:pPr>
      <w:r>
        <w:rPr>
          <w:rFonts w:hint="eastAsia" w:ascii="宋体" w:hAnsi="宋体" w:cs="宋体"/>
          <w:b/>
          <w:bCs/>
          <w:szCs w:val="21"/>
        </w:rPr>
        <w:t>十五、诉讼</w:t>
      </w:r>
    </w:p>
    <w:p>
      <w:pPr>
        <w:spacing w:line="312" w:lineRule="auto"/>
        <w:ind w:firstLine="420" w:firstLineChars="200"/>
        <w:rPr>
          <w:rFonts w:ascii="宋体" w:hAnsi="宋体" w:cs="宋体"/>
          <w:szCs w:val="21"/>
        </w:rPr>
      </w:pPr>
      <w:r>
        <w:rPr>
          <w:rFonts w:hint="eastAsia" w:ascii="宋体" w:hAnsi="宋体" w:cs="宋体"/>
          <w:szCs w:val="21"/>
        </w:rPr>
        <w:t xml:space="preserve">    双方在执行合同中所发生的一切争议，应通过协商解决。如协商不成，可向甲方所在地法院起诉。</w:t>
      </w:r>
    </w:p>
    <w:p>
      <w:pPr>
        <w:spacing w:line="312" w:lineRule="auto"/>
        <w:ind w:firstLine="422" w:firstLineChars="200"/>
        <w:rPr>
          <w:rFonts w:ascii="宋体" w:hAnsi="宋体" w:cs="宋体"/>
          <w:b/>
          <w:bCs/>
          <w:szCs w:val="21"/>
        </w:rPr>
      </w:pPr>
      <w:r>
        <w:rPr>
          <w:rFonts w:hint="eastAsia" w:ascii="宋体" w:hAnsi="宋体" w:cs="宋体"/>
          <w:b/>
          <w:bCs/>
          <w:szCs w:val="21"/>
        </w:rPr>
        <w:t>十六、合同生效及其它</w:t>
      </w:r>
    </w:p>
    <w:p>
      <w:pPr>
        <w:spacing w:line="312" w:lineRule="auto"/>
        <w:ind w:firstLine="420" w:firstLineChars="200"/>
        <w:rPr>
          <w:rFonts w:ascii="宋体" w:hAnsi="宋体" w:cs="宋体"/>
          <w:szCs w:val="21"/>
        </w:rPr>
      </w:pPr>
      <w:r>
        <w:rPr>
          <w:rFonts w:hint="eastAsia" w:ascii="宋体" w:hAnsi="宋体" w:cs="宋体"/>
          <w:szCs w:val="21"/>
        </w:rPr>
        <w:t>1. 合同经双方法定代表人或授权代表签字并加盖单位公章后生效。</w:t>
      </w:r>
    </w:p>
    <w:p>
      <w:pPr>
        <w:spacing w:line="312" w:lineRule="auto"/>
        <w:ind w:firstLine="420" w:firstLineChars="200"/>
        <w:rPr>
          <w:rFonts w:ascii="宋体" w:hAnsi="宋体" w:cs="宋体"/>
          <w:szCs w:val="21"/>
        </w:rPr>
      </w:pPr>
      <w:r>
        <w:rPr>
          <w:rFonts w:hint="eastAsia" w:ascii="宋体" w:hAnsi="宋体" w:cs="宋体"/>
          <w:szCs w:val="21"/>
        </w:rPr>
        <w:t>2.合同执行中涉及采购资金和采购内容修改或补充的，须经财政部门审批，方可作为主合同不可分割的一部分。</w:t>
      </w:r>
    </w:p>
    <w:p>
      <w:pPr>
        <w:spacing w:line="312" w:lineRule="auto"/>
        <w:ind w:firstLine="420" w:firstLineChars="200"/>
        <w:rPr>
          <w:rFonts w:ascii="宋体" w:hAnsi="宋体" w:cs="宋体"/>
          <w:szCs w:val="21"/>
        </w:rPr>
      </w:pPr>
      <w:r>
        <w:rPr>
          <w:rFonts w:hint="eastAsia" w:ascii="宋体" w:hAnsi="宋体" w:cs="宋体"/>
          <w:szCs w:val="21"/>
        </w:rPr>
        <w:t>3.本合同未尽事宜，遵照《民法典》有关条文执行。</w:t>
      </w:r>
    </w:p>
    <w:p>
      <w:pPr>
        <w:spacing w:line="312" w:lineRule="auto"/>
        <w:ind w:firstLine="420" w:firstLineChars="200"/>
        <w:rPr>
          <w:rFonts w:ascii="宋体" w:hAnsi="宋体" w:cs="宋体"/>
          <w:szCs w:val="21"/>
        </w:rPr>
      </w:pPr>
      <w:r>
        <w:rPr>
          <w:rFonts w:hint="eastAsia" w:ascii="宋体" w:hAnsi="宋体" w:cs="宋体"/>
          <w:szCs w:val="21"/>
        </w:rPr>
        <w:t>4.本合同正本一式肆份，具有同等法律效力，甲乙双方各执两份。</w:t>
      </w:r>
    </w:p>
    <w:p>
      <w:pPr>
        <w:spacing w:line="312" w:lineRule="auto"/>
        <w:ind w:firstLine="420" w:firstLineChars="200"/>
        <w:rPr>
          <w:rFonts w:ascii="宋体" w:hAnsi="宋体" w:cs="宋体"/>
          <w:szCs w:val="21"/>
        </w:rPr>
      </w:pPr>
    </w:p>
    <w:p>
      <w:pPr>
        <w:spacing w:line="312" w:lineRule="auto"/>
        <w:ind w:firstLine="420" w:firstLineChars="200"/>
        <w:rPr>
          <w:rFonts w:ascii="宋体" w:hAnsi="宋体" w:cs="宋体"/>
          <w:szCs w:val="21"/>
        </w:rPr>
      </w:pPr>
    </w:p>
    <w:p>
      <w:pPr>
        <w:spacing w:line="312" w:lineRule="auto"/>
        <w:ind w:firstLine="420" w:firstLineChars="200"/>
        <w:rPr>
          <w:rFonts w:ascii="宋体" w:hAnsi="宋体" w:cs="宋体"/>
          <w:szCs w:val="21"/>
        </w:rPr>
      </w:pPr>
    </w:p>
    <w:p>
      <w:pPr>
        <w:spacing w:line="312" w:lineRule="auto"/>
        <w:ind w:firstLine="420" w:firstLineChars="200"/>
        <w:rPr>
          <w:rFonts w:ascii="宋体" w:hAnsi="宋体" w:cs="宋体"/>
          <w:szCs w:val="21"/>
        </w:rPr>
      </w:pPr>
      <w:r>
        <w:rPr>
          <w:rFonts w:hint="eastAsia" w:ascii="宋体" w:hAnsi="宋体" w:cs="宋体"/>
          <w:szCs w:val="21"/>
        </w:rPr>
        <w:t xml:space="preserve">  甲方：                                   乙方： </w:t>
      </w:r>
    </w:p>
    <w:p>
      <w:pPr>
        <w:spacing w:line="312" w:lineRule="auto"/>
        <w:ind w:firstLine="420" w:firstLineChars="200"/>
        <w:rPr>
          <w:rFonts w:ascii="宋体" w:hAnsi="宋体" w:cs="宋体"/>
          <w:szCs w:val="21"/>
        </w:rPr>
      </w:pPr>
      <w:r>
        <w:rPr>
          <w:rFonts w:hint="eastAsia" w:ascii="宋体" w:hAnsi="宋体" w:cs="宋体"/>
          <w:szCs w:val="21"/>
        </w:rPr>
        <w:t xml:space="preserve">  地址：                                   地址： </w:t>
      </w:r>
    </w:p>
    <w:p>
      <w:pPr>
        <w:spacing w:line="312" w:lineRule="auto"/>
        <w:ind w:firstLine="420" w:firstLineChars="200"/>
        <w:rPr>
          <w:rFonts w:ascii="宋体" w:hAnsi="宋体" w:cs="宋体"/>
          <w:szCs w:val="21"/>
        </w:rPr>
      </w:pPr>
      <w:r>
        <w:rPr>
          <w:rFonts w:hint="eastAsia" w:ascii="宋体" w:hAnsi="宋体" w:cs="宋体"/>
          <w:szCs w:val="21"/>
        </w:rPr>
        <w:t xml:space="preserve">  法定（授权）代表人：                     法定（授权）代表人：</w:t>
      </w:r>
    </w:p>
    <w:p>
      <w:pPr>
        <w:spacing w:line="312" w:lineRule="auto"/>
        <w:ind w:firstLine="420" w:firstLineChars="200"/>
        <w:rPr>
          <w:rFonts w:ascii="宋体" w:hAnsi="宋体" w:cs="宋体"/>
          <w:szCs w:val="21"/>
        </w:rPr>
      </w:pPr>
    </w:p>
    <w:p>
      <w:pPr>
        <w:spacing w:line="312" w:lineRule="auto"/>
        <w:ind w:firstLine="630" w:firstLineChars="300"/>
        <w:rPr>
          <w:rFonts w:ascii="宋体" w:hAnsi="宋体" w:cs="宋体"/>
          <w:szCs w:val="21"/>
        </w:rPr>
      </w:pPr>
      <w:r>
        <w:rPr>
          <w:rFonts w:hint="eastAsia" w:ascii="宋体" w:hAnsi="宋体" w:cs="宋体"/>
          <w:szCs w:val="21"/>
        </w:rPr>
        <w:t xml:space="preserve">签字日期：      年  月  日             </w:t>
      </w:r>
    </w:p>
    <w:p>
      <w:pPr>
        <w:spacing w:line="312" w:lineRule="auto"/>
        <w:ind w:firstLine="630" w:firstLineChars="300"/>
        <w:rPr>
          <w:rFonts w:ascii="宋体" w:hAnsi="宋体" w:cs="宋体"/>
          <w:szCs w:val="21"/>
        </w:rPr>
      </w:pPr>
      <w:r>
        <w:rPr>
          <w:rFonts w:hint="eastAsia" w:ascii="宋体" w:hAnsi="宋体" w:cs="宋体"/>
          <w:szCs w:val="21"/>
        </w:rPr>
        <w:t xml:space="preserve">签约地址：  </w:t>
      </w:r>
    </w:p>
    <w:p>
      <w:pPr>
        <w:spacing w:line="312" w:lineRule="auto"/>
        <w:ind w:firstLine="630" w:firstLineChars="300"/>
        <w:rPr>
          <w:rFonts w:ascii="宋体" w:hAnsi="宋体" w:cs="宋体"/>
          <w:szCs w:val="21"/>
        </w:rPr>
      </w:pPr>
      <w:r>
        <w:rPr>
          <w:rFonts w:hint="eastAsia" w:ascii="宋体" w:hAnsi="宋体" w:cs="宋体"/>
          <w:szCs w:val="21"/>
        </w:rPr>
        <w:t>签约时间：      年  月   日</w:t>
      </w:r>
    </w:p>
    <w:p>
      <w:pPr>
        <w:spacing w:line="312" w:lineRule="auto"/>
        <w:ind w:firstLine="420" w:firstLineChars="200"/>
        <w:rPr>
          <w:rFonts w:ascii="宋体" w:hAnsi="宋体" w:cs="宋体"/>
          <w:szCs w:val="21"/>
        </w:rPr>
      </w:pPr>
    </w:p>
    <w:p>
      <w:pPr>
        <w:pStyle w:val="22"/>
        <w:rPr>
          <w:rFonts w:ascii="宋体" w:hAnsi="宋体"/>
          <w:szCs w:val="21"/>
        </w:rPr>
      </w:pPr>
    </w:p>
    <w:p>
      <w:pPr>
        <w:rPr>
          <w:rFonts w:ascii="宋体" w:hAnsi="宋体" w:cs="宋体"/>
          <w:szCs w:val="21"/>
        </w:rPr>
      </w:pPr>
    </w:p>
    <w:p>
      <w:pPr>
        <w:adjustRightInd w:val="0"/>
        <w:snapToGrid w:val="0"/>
        <w:spacing w:before="312" w:beforeLines="100" w:after="312" w:afterLines="100" w:line="580" w:lineRule="exact"/>
        <w:rPr>
          <w:rFonts w:ascii="宋体" w:hAnsi="宋体" w:cs="宋体"/>
          <w:b/>
        </w:rPr>
        <w:sectPr>
          <w:pgSz w:w="11906" w:h="16838"/>
          <w:pgMar w:top="1440" w:right="1800" w:bottom="1440" w:left="1800" w:header="851" w:footer="992" w:gutter="0"/>
          <w:pgNumType w:fmt="decimal"/>
          <w:cols w:space="720" w:num="1"/>
          <w:docGrid w:type="lines" w:linePitch="312" w:charSpace="0"/>
        </w:sectPr>
      </w:pPr>
    </w:p>
    <w:p>
      <w:pPr>
        <w:adjustRightInd w:val="0"/>
        <w:snapToGrid w:val="0"/>
        <w:spacing w:before="312" w:beforeLines="100" w:after="312" w:afterLines="100" w:line="580" w:lineRule="exact"/>
        <w:rPr>
          <w:rFonts w:ascii="宋体" w:hAnsi="宋体" w:cs="宋体"/>
          <w:b/>
        </w:rPr>
      </w:pPr>
      <w:r>
        <w:rPr>
          <w:rFonts w:hint="eastAsia" w:ascii="宋体" w:hAnsi="宋体" w:cs="宋体"/>
          <w:b/>
        </w:rPr>
        <w:t>附件一</w:t>
      </w:r>
    </w:p>
    <w:p>
      <w:pPr>
        <w:adjustRightInd w:val="0"/>
        <w:snapToGrid w:val="0"/>
        <w:spacing w:before="312" w:beforeLines="100" w:after="312" w:afterLines="100" w:line="580" w:lineRule="exact"/>
        <w:jc w:val="center"/>
        <w:rPr>
          <w:rFonts w:ascii="宋体" w:hAnsi="宋体" w:cs="宋体"/>
          <w:b/>
          <w:sz w:val="32"/>
          <w:szCs w:val="32"/>
        </w:rPr>
      </w:pPr>
      <w:r>
        <w:rPr>
          <w:rFonts w:hint="eastAsia" w:ascii="宋体" w:hAnsi="宋体" w:cs="宋体"/>
          <w:b/>
          <w:sz w:val="32"/>
          <w:szCs w:val="32"/>
        </w:rPr>
        <w:t>公安网络与信息安全保密协议</w:t>
      </w:r>
    </w:p>
    <w:p>
      <w:pPr>
        <w:spacing w:line="312" w:lineRule="auto"/>
        <w:ind w:firstLine="420" w:firstLineChars="200"/>
        <w:rPr>
          <w:rFonts w:ascii="宋体" w:hAnsi="宋体" w:cs="宋体"/>
          <w:szCs w:val="21"/>
        </w:rPr>
      </w:pPr>
      <w:r>
        <w:rPr>
          <w:rFonts w:hint="eastAsia" w:ascii="宋体" w:hAnsi="宋体" w:cs="宋体"/>
          <w:szCs w:val="21"/>
        </w:rPr>
        <w:t>甲方： 台州市公安局（公安机关单位名称）</w:t>
      </w:r>
    </w:p>
    <w:p>
      <w:pPr>
        <w:spacing w:line="312" w:lineRule="auto"/>
        <w:ind w:firstLine="420" w:firstLineChars="200"/>
        <w:rPr>
          <w:rFonts w:ascii="宋体" w:hAnsi="宋体" w:cs="宋体"/>
          <w:szCs w:val="21"/>
        </w:rPr>
      </w:pPr>
      <w:r>
        <w:rPr>
          <w:rFonts w:hint="eastAsia" w:ascii="宋体" w:hAnsi="宋体" w:cs="宋体"/>
          <w:szCs w:val="21"/>
        </w:rPr>
        <w:t>乙方：                        （信息化合作单位名称）</w:t>
      </w:r>
    </w:p>
    <w:p>
      <w:pPr>
        <w:spacing w:line="312" w:lineRule="auto"/>
        <w:ind w:firstLine="420" w:firstLineChars="200"/>
        <w:rPr>
          <w:rFonts w:ascii="宋体" w:hAnsi="宋体" w:cs="宋体"/>
          <w:szCs w:val="21"/>
        </w:rPr>
      </w:pPr>
      <w:r>
        <w:rPr>
          <w:rFonts w:hint="eastAsia" w:ascii="宋体" w:hAnsi="宋体" w:cs="宋体"/>
          <w:szCs w:val="21"/>
        </w:rPr>
        <w:t>为切实保障公安网络和信息安全保密，根据《中华人民共和国保守国家秘密法》和有关法律、法规之规定，为确保甲方所涉及的国家秘密和**工作秘密的网络与信息安全，双方同意签订如下保密协议：</w:t>
      </w:r>
    </w:p>
    <w:p>
      <w:pPr>
        <w:spacing w:line="312" w:lineRule="auto"/>
        <w:ind w:firstLine="420" w:firstLineChars="200"/>
        <w:rPr>
          <w:rFonts w:ascii="宋体" w:hAnsi="宋体" w:cs="宋体"/>
          <w:szCs w:val="21"/>
        </w:rPr>
      </w:pPr>
      <w:r>
        <w:rPr>
          <w:rFonts w:hint="eastAsia" w:ascii="宋体" w:hAnsi="宋体" w:cs="宋体"/>
          <w:szCs w:val="21"/>
        </w:rPr>
        <w:t>一、保密范围</w:t>
      </w:r>
    </w:p>
    <w:p>
      <w:pPr>
        <w:spacing w:line="312" w:lineRule="auto"/>
        <w:ind w:firstLine="420" w:firstLineChars="200"/>
        <w:rPr>
          <w:rFonts w:ascii="宋体" w:hAnsi="宋体" w:cs="宋体"/>
          <w:szCs w:val="21"/>
        </w:rPr>
      </w:pPr>
      <w:r>
        <w:rPr>
          <w:rFonts w:hint="eastAsia" w:ascii="宋体" w:hAnsi="宋体" w:cs="宋体"/>
          <w:szCs w:val="21"/>
        </w:rPr>
        <w:t>1、乙方为甲方提供技术咨询、技术服务、系统建设而了解、掌握的甲方公安信息网络系统的拓扑结构、安全保密措施、各项参数等，以及甲方场地环境、硬件、软件、电子信息和所有资料内容（以上简称专有信息）。</w:t>
      </w:r>
    </w:p>
    <w:p>
      <w:pPr>
        <w:spacing w:line="312" w:lineRule="auto"/>
        <w:ind w:firstLine="420" w:firstLineChars="200"/>
        <w:rPr>
          <w:rFonts w:ascii="宋体" w:hAnsi="宋体" w:cs="宋体"/>
          <w:szCs w:val="21"/>
        </w:rPr>
      </w:pPr>
      <w:r>
        <w:rPr>
          <w:rFonts w:hint="eastAsia" w:ascii="宋体" w:hAnsi="宋体" w:cs="宋体"/>
          <w:szCs w:val="21"/>
        </w:rPr>
        <w:t>二、保密责任</w:t>
      </w:r>
    </w:p>
    <w:p>
      <w:pPr>
        <w:spacing w:line="312" w:lineRule="auto"/>
        <w:ind w:firstLine="420" w:firstLineChars="200"/>
        <w:rPr>
          <w:rFonts w:ascii="宋体" w:hAnsi="宋体" w:cs="宋体"/>
          <w:szCs w:val="21"/>
        </w:rPr>
      </w:pPr>
      <w:r>
        <w:rPr>
          <w:rFonts w:hint="eastAsia" w:ascii="宋体" w:hAnsi="宋体" w:cs="宋体"/>
          <w:szCs w:val="21"/>
        </w:rPr>
        <w:t>2、乙方须确定项目开发与维护的专门人员，并将有关人员情况报甲方备案并须通过甲方审查和书面确认。其中，对涉密数据加载运行后承担系统维护的人员，甲乙双方须按照各自职责进行更为严格的审查。</w:t>
      </w:r>
    </w:p>
    <w:p>
      <w:pPr>
        <w:spacing w:line="312" w:lineRule="auto"/>
        <w:ind w:firstLine="420" w:firstLineChars="200"/>
        <w:rPr>
          <w:rFonts w:ascii="宋体" w:hAnsi="宋体" w:cs="宋体"/>
          <w:szCs w:val="21"/>
        </w:rPr>
      </w:pPr>
      <w:r>
        <w:rPr>
          <w:rFonts w:hint="eastAsia" w:ascii="宋体" w:hAnsi="宋体" w:cs="宋体"/>
          <w:szCs w:val="21"/>
        </w:rPr>
        <w:t>3、乙方须在签订本保密协议后，才可使用甲方提供的有关专有信息开展相关工作。</w:t>
      </w:r>
    </w:p>
    <w:p>
      <w:pPr>
        <w:spacing w:line="312" w:lineRule="auto"/>
        <w:ind w:firstLine="420" w:firstLineChars="200"/>
        <w:rPr>
          <w:rFonts w:ascii="宋体" w:hAnsi="宋体" w:cs="宋体"/>
          <w:szCs w:val="21"/>
        </w:rPr>
      </w:pPr>
      <w:r>
        <w:rPr>
          <w:rFonts w:hint="eastAsia" w:ascii="宋体" w:hAnsi="宋体" w:cs="宋体"/>
          <w:szCs w:val="21"/>
        </w:rPr>
        <w:t>4、乙方须与参加项目的有关人员签订《保密协议》，经常对有关人员进行保密教育，监督个人履约情况；未经甲方书面确认，乙方不得随意增减、更换有关技术人员。</w:t>
      </w:r>
    </w:p>
    <w:p>
      <w:pPr>
        <w:spacing w:line="312" w:lineRule="auto"/>
        <w:ind w:firstLine="420" w:firstLineChars="200"/>
        <w:rPr>
          <w:rFonts w:ascii="宋体" w:hAnsi="宋体" w:cs="宋体"/>
          <w:szCs w:val="21"/>
        </w:rPr>
      </w:pPr>
      <w:r>
        <w:rPr>
          <w:rFonts w:hint="eastAsia" w:ascii="宋体" w:hAnsi="宋体" w:cs="宋体"/>
          <w:szCs w:val="21"/>
        </w:rPr>
        <w:t>5、乙方须严格控制使用甲方的专有信息，保证不向第三方泄露甲方提供的任何专有信息，并对专有信息提供管理良好的安全保密措施。乙方不能将甲方的专有信息用于其他任何目的。除乙方直接参与本项目工程的员工之外，不将专有信息透露给其他任何人，禁止无关人员介入或了解项目相关情况。乙方及其参与本项工作的员工严禁在系统建设中私设“后门”，非法访问系统。</w:t>
      </w:r>
    </w:p>
    <w:p>
      <w:pPr>
        <w:spacing w:line="312" w:lineRule="auto"/>
        <w:ind w:firstLine="420" w:firstLineChars="200"/>
        <w:rPr>
          <w:rFonts w:ascii="宋体" w:hAnsi="宋体" w:cs="宋体"/>
          <w:szCs w:val="21"/>
        </w:rPr>
      </w:pPr>
      <w:r>
        <w:rPr>
          <w:rFonts w:hint="eastAsia" w:ascii="宋体" w:hAnsi="宋体" w:cs="宋体"/>
          <w:szCs w:val="21"/>
        </w:rPr>
        <w:t>6、建设涉密信息系统，乙方须具有国家保密工作部门核发的《资质证书》，制定甲方认可的安全保密管理方案，并采用适当的安全保密技术和措施对涉密系统进行集成。</w:t>
      </w:r>
    </w:p>
    <w:p>
      <w:pPr>
        <w:spacing w:line="312" w:lineRule="auto"/>
        <w:ind w:firstLine="420" w:firstLineChars="200"/>
        <w:rPr>
          <w:rFonts w:ascii="宋体" w:hAnsi="宋体" w:cs="宋体"/>
          <w:szCs w:val="21"/>
        </w:rPr>
      </w:pPr>
      <w:r>
        <w:rPr>
          <w:rFonts w:hint="eastAsia" w:ascii="宋体" w:hAnsi="宋体" w:cs="宋体"/>
          <w:szCs w:val="21"/>
        </w:rPr>
        <w:t>7、对项目实施过程中乙方出现的不符合保密规定的问题，甲方有责任及时指出，并督促乙方纠正。</w:t>
      </w:r>
    </w:p>
    <w:p>
      <w:pPr>
        <w:spacing w:line="312" w:lineRule="auto"/>
        <w:ind w:firstLine="420" w:firstLineChars="200"/>
        <w:rPr>
          <w:rFonts w:ascii="宋体" w:hAnsi="宋体" w:cs="宋体"/>
          <w:szCs w:val="21"/>
        </w:rPr>
      </w:pPr>
      <w:r>
        <w:rPr>
          <w:rFonts w:hint="eastAsia" w:ascii="宋体" w:hAnsi="宋体" w:cs="宋体"/>
          <w:szCs w:val="21"/>
        </w:rPr>
        <w:t>8、甲方向乙方提供的所有资料，仅供项目小组人员参考使用，乙方须严守资料中所涉及秘密，妥善保管，不得遗失、复制。乙方发现保密范围内的有关事项已经泄露或可能泄露时应当报告甲方，并及时采取补救措施。</w:t>
      </w:r>
    </w:p>
    <w:p>
      <w:pPr>
        <w:spacing w:line="312" w:lineRule="auto"/>
        <w:ind w:firstLine="420" w:firstLineChars="200"/>
        <w:rPr>
          <w:rFonts w:ascii="宋体" w:hAnsi="宋体" w:cs="宋体"/>
          <w:szCs w:val="21"/>
        </w:rPr>
      </w:pPr>
      <w:r>
        <w:rPr>
          <w:rFonts w:hint="eastAsia" w:ascii="宋体" w:hAnsi="宋体" w:cs="宋体"/>
          <w:szCs w:val="21"/>
        </w:rPr>
        <w:t>9、当甲方以书面形式要求乙方交回专有信息时，乙方应当立即交回所有书面的或其他形式的专有信息以及所有描述和概括该专有信息的文件资料，不能以任何形式保留或擅自处理。</w:t>
      </w:r>
    </w:p>
    <w:p>
      <w:pPr>
        <w:spacing w:line="312" w:lineRule="auto"/>
        <w:ind w:firstLine="420" w:firstLineChars="200"/>
        <w:rPr>
          <w:rFonts w:ascii="宋体" w:hAnsi="宋体" w:cs="宋体"/>
          <w:szCs w:val="21"/>
        </w:rPr>
      </w:pPr>
      <w:r>
        <w:rPr>
          <w:rFonts w:hint="eastAsia" w:ascii="宋体" w:hAnsi="宋体" w:cs="宋体"/>
          <w:szCs w:val="21"/>
        </w:rPr>
        <w:t>10、乙方在进行现场系统维护时，非经允许，不得使用自行携带的笔记本电脑，应使用甲方提供的工作环境完成现场维护任务。原则上不允许乙方使用U盘、移动硬盘等存储设备；若因特殊情况要使用U盘、移动硬盘等存储设备的，须提出书面申请，通过甲方审查和确认后方可使用；在将移动存储设备带离现场前，须经甲方检查确认。</w:t>
      </w:r>
    </w:p>
    <w:p>
      <w:pPr>
        <w:spacing w:line="312" w:lineRule="auto"/>
        <w:ind w:firstLine="420" w:firstLineChars="200"/>
        <w:rPr>
          <w:rFonts w:ascii="宋体" w:hAnsi="宋体" w:cs="宋体"/>
          <w:szCs w:val="21"/>
        </w:rPr>
      </w:pPr>
      <w:r>
        <w:rPr>
          <w:rFonts w:hint="eastAsia" w:ascii="宋体" w:hAnsi="宋体" w:cs="宋体"/>
          <w:szCs w:val="21"/>
        </w:rPr>
        <w:t>11、乙方不得在任何场合介绍和演示甲方产品项目的任何信息。</w:t>
      </w:r>
    </w:p>
    <w:p>
      <w:pPr>
        <w:spacing w:line="312" w:lineRule="auto"/>
        <w:ind w:firstLine="420" w:firstLineChars="200"/>
        <w:rPr>
          <w:rFonts w:ascii="宋体" w:hAnsi="宋体" w:cs="宋体"/>
          <w:szCs w:val="21"/>
        </w:rPr>
      </w:pPr>
      <w:r>
        <w:rPr>
          <w:rFonts w:hint="eastAsia" w:ascii="宋体" w:hAnsi="宋体" w:cs="宋体"/>
          <w:szCs w:val="21"/>
        </w:rPr>
        <w:t>三、违约责任</w:t>
      </w:r>
    </w:p>
    <w:p>
      <w:pPr>
        <w:spacing w:line="312" w:lineRule="auto"/>
        <w:ind w:firstLine="420" w:firstLineChars="200"/>
        <w:rPr>
          <w:rFonts w:ascii="宋体" w:hAnsi="宋体" w:cs="宋体"/>
          <w:szCs w:val="21"/>
        </w:rPr>
      </w:pPr>
      <w:r>
        <w:rPr>
          <w:rFonts w:hint="eastAsia" w:ascii="宋体" w:hAnsi="宋体" w:cs="宋体"/>
          <w:szCs w:val="21"/>
        </w:rPr>
        <w:t>12、乙方应严格遵守协议的全部内容，凡违反本协议造成失密泄密事件，乙方须承担有关法律责任并视情节追究有关人员责任，并赔偿相应经济损失。给国家安全和国家利益造成严重损害、触犯刑律的，要追究有关人员的刑事责任。</w:t>
      </w:r>
    </w:p>
    <w:p>
      <w:pPr>
        <w:spacing w:line="312" w:lineRule="auto"/>
        <w:ind w:firstLine="420" w:firstLineChars="200"/>
        <w:rPr>
          <w:rFonts w:ascii="宋体" w:hAnsi="宋体" w:cs="宋体"/>
          <w:szCs w:val="21"/>
        </w:rPr>
      </w:pPr>
      <w:r>
        <w:rPr>
          <w:rFonts w:hint="eastAsia" w:ascii="宋体" w:hAnsi="宋体" w:cs="宋体"/>
          <w:szCs w:val="21"/>
        </w:rPr>
        <w:t>四、保密期限</w:t>
      </w:r>
    </w:p>
    <w:p>
      <w:pPr>
        <w:spacing w:line="312" w:lineRule="auto"/>
        <w:ind w:firstLine="420" w:firstLineChars="200"/>
        <w:rPr>
          <w:rFonts w:ascii="宋体" w:hAnsi="宋体" w:cs="宋体"/>
          <w:szCs w:val="21"/>
        </w:rPr>
      </w:pPr>
      <w:r>
        <w:rPr>
          <w:rFonts w:hint="eastAsia" w:ascii="宋体" w:hAnsi="宋体" w:cs="宋体"/>
          <w:szCs w:val="21"/>
        </w:rPr>
        <w:t>13、本协议双方签字盖章后生效，并长期有效。自本协议生效之日起，双方的合作交流都要符合本协议的条款。除非甲方通过书面通知明确说明对本协议所涉及的某项专有信息予以解密或同意共享，乙方必须按照本协议所承担的保密义务对在各项工作中所掌握的专有信息进行保密。</w:t>
      </w:r>
    </w:p>
    <w:p>
      <w:pPr>
        <w:spacing w:line="312" w:lineRule="auto"/>
        <w:ind w:firstLine="420" w:firstLineChars="200"/>
        <w:rPr>
          <w:rFonts w:ascii="宋体" w:hAnsi="宋体" w:cs="宋体"/>
          <w:szCs w:val="21"/>
        </w:rPr>
      </w:pPr>
      <w:r>
        <w:rPr>
          <w:rFonts w:hint="eastAsia" w:ascii="宋体" w:hAnsi="宋体" w:cs="宋体"/>
          <w:szCs w:val="21"/>
        </w:rPr>
        <w:t>五、附则</w:t>
      </w:r>
    </w:p>
    <w:p>
      <w:pPr>
        <w:spacing w:line="312" w:lineRule="auto"/>
        <w:ind w:firstLine="420" w:firstLineChars="200"/>
        <w:rPr>
          <w:rFonts w:ascii="宋体" w:hAnsi="宋体" w:cs="宋体"/>
          <w:szCs w:val="21"/>
        </w:rPr>
      </w:pPr>
      <w:r>
        <w:rPr>
          <w:rFonts w:hint="eastAsia" w:ascii="宋体" w:hAnsi="宋体" w:cs="宋体"/>
          <w:szCs w:val="21"/>
        </w:rPr>
        <w:t>14、本协议一式八份，甲方执四份，乙方执二份，甲方保密组织执两份。</w:t>
      </w:r>
    </w:p>
    <w:p>
      <w:pPr>
        <w:spacing w:line="312" w:lineRule="auto"/>
        <w:ind w:firstLine="420" w:firstLineChars="200"/>
        <w:rPr>
          <w:rFonts w:ascii="宋体" w:hAnsi="宋体" w:cs="宋体"/>
          <w:szCs w:val="21"/>
        </w:rPr>
      </w:pPr>
    </w:p>
    <w:p>
      <w:pPr>
        <w:spacing w:line="312" w:lineRule="auto"/>
        <w:ind w:firstLine="420" w:firstLineChars="200"/>
        <w:rPr>
          <w:rFonts w:ascii="宋体" w:hAnsi="宋体" w:cs="宋体"/>
          <w:szCs w:val="21"/>
        </w:rPr>
      </w:pPr>
    </w:p>
    <w:p>
      <w:pPr>
        <w:spacing w:line="312" w:lineRule="auto"/>
        <w:ind w:firstLine="420" w:firstLineChars="200"/>
        <w:rPr>
          <w:rFonts w:ascii="宋体" w:hAnsi="宋体" w:cs="宋体"/>
          <w:szCs w:val="21"/>
        </w:rPr>
      </w:pPr>
      <w:r>
        <w:rPr>
          <w:rFonts w:hint="eastAsia" w:ascii="宋体" w:hAnsi="宋体" w:cs="宋体"/>
          <w:szCs w:val="21"/>
        </w:rPr>
        <w:t>甲方代表签字：               乙方代表签字：</w:t>
      </w:r>
    </w:p>
    <w:p>
      <w:pPr>
        <w:spacing w:line="312" w:lineRule="auto"/>
        <w:ind w:firstLine="420" w:firstLineChars="200"/>
        <w:rPr>
          <w:rFonts w:ascii="宋体" w:hAnsi="宋体" w:cs="宋体"/>
          <w:szCs w:val="21"/>
        </w:rPr>
      </w:pPr>
    </w:p>
    <w:p>
      <w:pPr>
        <w:spacing w:line="312" w:lineRule="auto"/>
        <w:ind w:firstLine="420" w:firstLineChars="200"/>
        <w:rPr>
          <w:rFonts w:ascii="宋体" w:hAnsi="宋体" w:cs="宋体"/>
          <w:szCs w:val="21"/>
        </w:rPr>
      </w:pPr>
    </w:p>
    <w:p>
      <w:pPr>
        <w:spacing w:line="312" w:lineRule="auto"/>
        <w:ind w:firstLine="420" w:firstLineChars="200"/>
        <w:rPr>
          <w:rFonts w:ascii="宋体" w:hAnsi="宋体" w:cs="宋体"/>
          <w:szCs w:val="21"/>
        </w:rPr>
      </w:pPr>
      <w:r>
        <w:rPr>
          <w:rFonts w:hint="eastAsia" w:ascii="宋体" w:hAnsi="宋体" w:cs="宋体"/>
          <w:szCs w:val="21"/>
        </w:rPr>
        <w:t>单位盖章                     单位盖章</w:t>
      </w:r>
    </w:p>
    <w:p>
      <w:pPr>
        <w:spacing w:line="312" w:lineRule="auto"/>
        <w:ind w:firstLine="420" w:firstLineChars="200"/>
        <w:rPr>
          <w:rFonts w:ascii="宋体" w:hAnsi="宋体" w:cs="宋体"/>
          <w:szCs w:val="21"/>
        </w:rPr>
      </w:pPr>
      <w:r>
        <w:rPr>
          <w:rFonts w:hint="eastAsia" w:ascii="宋体" w:hAnsi="宋体" w:cs="宋体"/>
          <w:szCs w:val="21"/>
        </w:rPr>
        <w:t>日期：                       日期：</w:t>
      </w:r>
    </w:p>
    <w:p>
      <w:pPr>
        <w:widowControl/>
        <w:overflowPunct w:val="0"/>
        <w:autoSpaceDE w:val="0"/>
        <w:autoSpaceDN w:val="0"/>
        <w:adjustRightInd w:val="0"/>
        <w:snapToGrid w:val="0"/>
        <w:ind w:firstLine="411" w:firstLineChars="196"/>
        <w:jc w:val="left"/>
        <w:textAlignment w:val="baseline"/>
        <w:rPr>
          <w:rFonts w:ascii="宋体" w:hAnsi="宋体"/>
          <w:szCs w:val="22"/>
        </w:rPr>
      </w:pPr>
    </w:p>
    <w:p>
      <w:pPr>
        <w:widowControl/>
        <w:overflowPunct w:val="0"/>
        <w:autoSpaceDE w:val="0"/>
        <w:autoSpaceDN w:val="0"/>
        <w:adjustRightInd w:val="0"/>
        <w:snapToGrid w:val="0"/>
        <w:ind w:firstLine="411" w:firstLineChars="196"/>
        <w:jc w:val="left"/>
        <w:textAlignment w:val="baseline"/>
        <w:rPr>
          <w:rFonts w:ascii="宋体" w:hAnsi="宋体"/>
          <w:szCs w:val="22"/>
        </w:rPr>
      </w:pPr>
    </w:p>
    <w:p>
      <w:pPr>
        <w:spacing w:after="120"/>
        <w:ind w:left="420" w:leftChars="200" w:firstLine="420"/>
        <w:rPr>
          <w:rFonts w:hAnsi="宋体" w:cs="宋体"/>
          <w:szCs w:val="21"/>
        </w:rPr>
        <w:sectPr>
          <w:pgSz w:w="11906" w:h="16838"/>
          <w:pgMar w:top="1440" w:right="1800" w:bottom="1440" w:left="1800" w:header="851" w:footer="992" w:gutter="0"/>
          <w:pgNumType w:fmt="decimal"/>
          <w:cols w:space="720" w:num="1"/>
          <w:docGrid w:type="lines" w:linePitch="312" w:charSpace="0"/>
        </w:sectPr>
      </w:pPr>
      <w:bookmarkStart w:id="115" w:name="_Toc18152"/>
    </w:p>
    <w:p>
      <w:pPr>
        <w:adjustRightInd w:val="0"/>
        <w:snapToGrid w:val="0"/>
        <w:spacing w:before="312" w:beforeLines="100" w:after="312" w:afterLines="100" w:line="580" w:lineRule="exact"/>
        <w:ind w:firstLine="482"/>
        <w:rPr>
          <w:rFonts w:ascii="宋体" w:hAnsi="宋体" w:cs="宋体"/>
          <w:b/>
        </w:rPr>
      </w:pPr>
      <w:r>
        <w:rPr>
          <w:rFonts w:hint="eastAsia" w:ascii="宋体" w:hAnsi="宋体" w:cs="宋体"/>
          <w:b/>
        </w:rPr>
        <w:t>附件二：</w:t>
      </w:r>
      <w:bookmarkEnd w:id="115"/>
    </w:p>
    <w:p>
      <w:pPr>
        <w:jc w:val="center"/>
        <w:rPr>
          <w:b/>
          <w:bCs/>
          <w:sz w:val="32"/>
          <w:szCs w:val="32"/>
        </w:rPr>
      </w:pPr>
      <w:r>
        <w:rPr>
          <w:rFonts w:hint="eastAsia" w:ascii="宋体" w:hAnsi="宋体" w:cs="宋体"/>
          <w:b/>
          <w:bCs/>
          <w:sz w:val="32"/>
          <w:szCs w:val="32"/>
        </w:rPr>
        <w:t>廉洁诚信协议</w:t>
      </w:r>
    </w:p>
    <w:p>
      <w:pPr>
        <w:ind w:firstLine="420"/>
        <w:rPr>
          <w:rFonts w:ascii="宋体" w:hAnsi="宋体" w:cs="宋体"/>
          <w:szCs w:val="20"/>
        </w:rPr>
      </w:pPr>
    </w:p>
    <w:p>
      <w:pPr>
        <w:spacing w:line="312" w:lineRule="auto"/>
        <w:ind w:firstLine="420" w:firstLineChars="200"/>
        <w:rPr>
          <w:rFonts w:ascii="宋体" w:hAnsi="宋体" w:cs="宋体"/>
          <w:szCs w:val="21"/>
        </w:rPr>
      </w:pPr>
      <w:r>
        <w:rPr>
          <w:rFonts w:hint="eastAsia" w:ascii="宋体" w:hAnsi="宋体" w:cs="宋体"/>
          <w:szCs w:val="21"/>
        </w:rPr>
        <w:t>为加强台州市公安局政府采购项目廉政建设，预防违法违规行为，确保双方在业务交往中保持廉洁自律，防止各种不正当行为的发生，保证合作双方在业务交往活动中做到诚信廉洁、高效共赢，根据国家相关法律法规及政策规定，经双方协商一致，在签订合同的同时订立本廉洁诚信协议，内容如下：</w:t>
      </w:r>
    </w:p>
    <w:p>
      <w:pPr>
        <w:spacing w:line="312" w:lineRule="auto"/>
        <w:ind w:firstLine="420" w:firstLineChars="200"/>
        <w:rPr>
          <w:rFonts w:ascii="宋体" w:hAnsi="宋体" w:cs="宋体"/>
          <w:szCs w:val="21"/>
        </w:rPr>
      </w:pPr>
      <w:r>
        <w:rPr>
          <w:rFonts w:hint="eastAsia" w:ascii="宋体" w:hAnsi="宋体" w:cs="宋体"/>
          <w:szCs w:val="21"/>
        </w:rPr>
        <w:t>1、双方在整个项目采购、建设活动中，做到公平、公正、公开，不搞暗箱操作，不搞不正当竞争，双方工作人员及亲属不得违反以下规定：</w:t>
      </w:r>
    </w:p>
    <w:p>
      <w:pPr>
        <w:spacing w:line="312" w:lineRule="auto"/>
        <w:ind w:firstLine="420" w:firstLineChars="200"/>
        <w:rPr>
          <w:rFonts w:ascii="宋体" w:hAnsi="宋体" w:cs="宋体"/>
          <w:szCs w:val="21"/>
        </w:rPr>
      </w:pPr>
      <w:r>
        <w:rPr>
          <w:rFonts w:hint="eastAsia" w:ascii="宋体" w:hAnsi="宋体" w:cs="宋体"/>
          <w:szCs w:val="21"/>
        </w:rPr>
        <w:t>（1）不得收受或向对方馈送现金、贵重物品、有价证券、购物卡、充值卡等，不得收受回扣；</w:t>
      </w:r>
    </w:p>
    <w:p>
      <w:pPr>
        <w:spacing w:line="312" w:lineRule="auto"/>
        <w:ind w:firstLine="420" w:firstLineChars="200"/>
        <w:rPr>
          <w:rFonts w:ascii="宋体" w:hAnsi="宋体" w:cs="宋体"/>
          <w:szCs w:val="21"/>
        </w:rPr>
      </w:pPr>
      <w:r>
        <w:rPr>
          <w:rFonts w:hint="eastAsia" w:ascii="宋体" w:hAnsi="宋体" w:cs="宋体"/>
          <w:szCs w:val="21"/>
        </w:rPr>
        <w:t xml:space="preserve">（2）不得介绍亲友或为对方亲友安排从事与双方合作有关的业务活动，甲方项目相关员工及其配偶、父母、子女、利害关系人及控股、参股企业不得在乙方或乙方关联企业中投资入股，甲方员工不得在乙方或乙方关联企业担任兼职，不得以咨询费、服务费或其他任何形式从乙方或乙方关联企业获得收入； </w:t>
      </w:r>
    </w:p>
    <w:p>
      <w:pPr>
        <w:spacing w:line="312" w:lineRule="auto"/>
        <w:ind w:firstLine="420" w:firstLineChars="200"/>
        <w:rPr>
          <w:rFonts w:ascii="宋体" w:hAnsi="宋体" w:cs="宋体"/>
          <w:szCs w:val="21"/>
        </w:rPr>
      </w:pPr>
      <w:r>
        <w:rPr>
          <w:rFonts w:hint="eastAsia" w:ascii="宋体" w:hAnsi="宋体" w:cs="宋体"/>
          <w:szCs w:val="21"/>
        </w:rPr>
        <w:t>（3）不得接受对方或向对方在住房建修、婚丧嫁娶、出国考察、旅游、攻读学历学位等方面提供资助；</w:t>
      </w:r>
    </w:p>
    <w:p>
      <w:pPr>
        <w:spacing w:line="312" w:lineRule="auto"/>
        <w:ind w:firstLine="420" w:firstLineChars="200"/>
        <w:rPr>
          <w:rFonts w:ascii="宋体" w:hAnsi="宋体" w:cs="宋体"/>
          <w:szCs w:val="21"/>
        </w:rPr>
      </w:pPr>
      <w:r>
        <w:rPr>
          <w:rFonts w:hint="eastAsia" w:ascii="宋体" w:hAnsi="宋体" w:cs="宋体"/>
          <w:szCs w:val="21"/>
        </w:rPr>
        <w:t>（4）不得参加或提供可能影响合作业务公平、公正的娱乐、宴请、健身等活动；</w:t>
      </w:r>
    </w:p>
    <w:p>
      <w:pPr>
        <w:spacing w:line="312" w:lineRule="auto"/>
        <w:ind w:firstLine="420" w:firstLineChars="200"/>
        <w:rPr>
          <w:rFonts w:ascii="宋体" w:hAnsi="宋体" w:cs="宋体"/>
          <w:szCs w:val="21"/>
        </w:rPr>
      </w:pPr>
      <w:r>
        <w:rPr>
          <w:rFonts w:hint="eastAsia" w:ascii="宋体" w:hAnsi="宋体" w:cs="宋体"/>
          <w:szCs w:val="21"/>
        </w:rPr>
        <w:t>（5）不得报销或为对方报销应由个人支付的费用。</w:t>
      </w:r>
    </w:p>
    <w:p>
      <w:pPr>
        <w:spacing w:line="312" w:lineRule="auto"/>
        <w:ind w:firstLine="420" w:firstLineChars="200"/>
        <w:rPr>
          <w:rFonts w:ascii="宋体" w:hAnsi="宋体" w:cs="宋体"/>
          <w:szCs w:val="21"/>
        </w:rPr>
      </w:pPr>
      <w:r>
        <w:rPr>
          <w:rFonts w:hint="eastAsia" w:ascii="宋体" w:hAnsi="宋体" w:cs="宋体"/>
          <w:szCs w:val="21"/>
        </w:rPr>
        <w:t>2、乙方人员若有违反第1条规定的行为，或者存在其它违反商业道德与市场规则的情况,甲方有义务向对方监察或相应部门举报，并有权扣除本项目未支付部分款项的30%，同时甲方有权视情节轻重停止该项目或类似项目的合作。</w:t>
      </w:r>
    </w:p>
    <w:p>
      <w:pPr>
        <w:spacing w:line="312" w:lineRule="auto"/>
        <w:ind w:firstLine="420" w:firstLineChars="200"/>
        <w:rPr>
          <w:rFonts w:ascii="宋体" w:hAnsi="宋体" w:cs="宋体"/>
          <w:szCs w:val="21"/>
        </w:rPr>
      </w:pPr>
      <w:r>
        <w:rPr>
          <w:rFonts w:hint="eastAsia" w:ascii="宋体" w:hAnsi="宋体" w:cs="宋体"/>
          <w:szCs w:val="21"/>
        </w:rPr>
        <w:t>3、甲方人员有违反第1条规定的行为，或者存在其它索贿、受贿行为或者徇私舞弊、滥用职权、严重渎职等情况时，乙方有义务向对方监察或相应部门举报。</w:t>
      </w:r>
    </w:p>
    <w:p>
      <w:pPr>
        <w:spacing w:line="312" w:lineRule="auto"/>
        <w:ind w:firstLine="420" w:firstLineChars="200"/>
        <w:rPr>
          <w:rFonts w:ascii="宋体" w:hAnsi="宋体" w:cs="宋体"/>
          <w:szCs w:val="21"/>
        </w:rPr>
      </w:pPr>
      <w:r>
        <w:rPr>
          <w:rFonts w:hint="eastAsia" w:ascii="宋体" w:hAnsi="宋体" w:cs="宋体"/>
          <w:szCs w:val="21"/>
        </w:rPr>
        <w:t>4、双方及相关人员违反上述规定及其他廉洁诚信准则的，愿意接受党纪政纪及法律惩处。</w:t>
      </w:r>
    </w:p>
    <w:p>
      <w:pPr>
        <w:spacing w:line="312" w:lineRule="auto"/>
        <w:ind w:firstLine="420" w:firstLineChars="200"/>
        <w:rPr>
          <w:rFonts w:ascii="宋体" w:hAnsi="宋体" w:cs="宋体"/>
          <w:szCs w:val="21"/>
        </w:rPr>
      </w:pPr>
      <w:r>
        <w:rPr>
          <w:rFonts w:hint="eastAsia" w:ascii="宋体" w:hAnsi="宋体" w:cs="宋体"/>
          <w:szCs w:val="21"/>
        </w:rPr>
        <w:t>5、本保证及承诺的有效期与对应的合同或交易事项相同。</w:t>
      </w:r>
    </w:p>
    <w:p>
      <w:pPr>
        <w:spacing w:line="312" w:lineRule="auto"/>
        <w:ind w:firstLine="420" w:firstLineChars="200"/>
        <w:rPr>
          <w:rFonts w:ascii="宋体" w:hAnsi="宋体" w:cs="宋体"/>
          <w:szCs w:val="21"/>
        </w:rPr>
      </w:pPr>
      <w:r>
        <w:rPr>
          <w:rFonts w:hint="eastAsia" w:ascii="宋体" w:hAnsi="宋体" w:cs="宋体"/>
          <w:szCs w:val="21"/>
        </w:rPr>
        <w:t>6、本廉洁承诺约定作为双方签订的合同附件，具有同等法律效力。</w:t>
      </w:r>
    </w:p>
    <w:p>
      <w:pPr>
        <w:spacing w:line="312" w:lineRule="auto"/>
        <w:ind w:firstLine="420" w:firstLineChars="200"/>
        <w:rPr>
          <w:rFonts w:ascii="宋体" w:hAnsi="宋体" w:cs="宋体"/>
          <w:szCs w:val="21"/>
        </w:rPr>
      </w:pPr>
    </w:p>
    <w:p>
      <w:pPr>
        <w:spacing w:line="312" w:lineRule="auto"/>
        <w:ind w:firstLine="420" w:firstLineChars="200"/>
        <w:rPr>
          <w:rFonts w:ascii="宋体" w:hAnsi="宋体" w:cs="宋体"/>
          <w:szCs w:val="21"/>
        </w:rPr>
      </w:pPr>
    </w:p>
    <w:p>
      <w:pPr>
        <w:spacing w:line="312" w:lineRule="auto"/>
        <w:ind w:firstLine="420" w:firstLineChars="200"/>
        <w:rPr>
          <w:rFonts w:ascii="宋体" w:hAnsi="宋体" w:cs="宋体"/>
          <w:szCs w:val="21"/>
        </w:rPr>
      </w:pPr>
      <w:r>
        <w:rPr>
          <w:rFonts w:hint="eastAsia" w:ascii="宋体" w:hAnsi="宋体" w:cs="宋体"/>
          <w:szCs w:val="21"/>
        </w:rPr>
        <w:t>台州市公安局举报渠道：             合作方举报渠道：</w:t>
      </w:r>
    </w:p>
    <w:p>
      <w:pPr>
        <w:spacing w:line="312" w:lineRule="auto"/>
        <w:ind w:firstLine="420" w:firstLineChars="200"/>
        <w:rPr>
          <w:rFonts w:ascii="宋体" w:hAnsi="宋体" w:cs="宋体"/>
          <w:szCs w:val="21"/>
        </w:rPr>
        <w:sectPr>
          <w:pgSz w:w="11906" w:h="16838"/>
          <w:pgMar w:top="1440" w:right="1134" w:bottom="1440" w:left="1134" w:header="851" w:footer="992" w:gutter="0"/>
          <w:pgNumType w:fmt="decimal"/>
          <w:cols w:space="720" w:num="1"/>
          <w:docGrid w:type="lines" w:linePitch="312" w:charSpace="0"/>
        </w:sectPr>
      </w:pPr>
      <w:r>
        <w:rPr>
          <w:rFonts w:hint="eastAsia" w:ascii="宋体" w:hAnsi="宋体" w:cs="宋体"/>
          <w:szCs w:val="21"/>
        </w:rPr>
        <w:t>电话：12389                        电话：</w:t>
      </w:r>
    </w:p>
    <w:p>
      <w:pPr>
        <w:spacing w:line="520" w:lineRule="exact"/>
        <w:jc w:val="center"/>
        <w:outlineLvl w:val="0"/>
        <w:rPr>
          <w:rFonts w:ascii="宋体" w:hAnsi="宋体" w:cs="宋体"/>
          <w:b/>
          <w:bCs/>
          <w:sz w:val="32"/>
          <w:szCs w:val="32"/>
        </w:rPr>
      </w:pPr>
      <w:bookmarkStart w:id="116" w:name="_Toc5526"/>
      <w:bookmarkStart w:id="117" w:name="_Toc5920"/>
      <w:bookmarkStart w:id="118" w:name="_Toc29514"/>
      <w:r>
        <w:rPr>
          <w:rFonts w:hint="eastAsia" w:ascii="宋体" w:hAnsi="宋体"/>
          <w:b/>
          <w:sz w:val="32"/>
          <w:szCs w:val="32"/>
        </w:rPr>
        <w:t xml:space="preserve">第七部分   </w:t>
      </w:r>
      <w:r>
        <w:rPr>
          <w:rFonts w:hint="eastAsia" w:ascii="宋体" w:hAnsi="宋体" w:cs="宋体"/>
          <w:b/>
          <w:bCs/>
          <w:sz w:val="32"/>
          <w:szCs w:val="32"/>
        </w:rPr>
        <w:t>格式与表格</w:t>
      </w:r>
      <w:bookmarkEnd w:id="116"/>
      <w:bookmarkEnd w:id="117"/>
      <w:bookmarkEnd w:id="118"/>
    </w:p>
    <w:p>
      <w:pPr>
        <w:pStyle w:val="19"/>
      </w:pPr>
    </w:p>
    <w:p>
      <w:pPr>
        <w:shd w:val="clear" w:color="auto" w:fill="FFFFFF"/>
        <w:snapToGrid w:val="0"/>
        <w:spacing w:line="360" w:lineRule="auto"/>
        <w:jc w:val="center"/>
        <w:rPr>
          <w:rFonts w:ascii="宋体" w:hAnsi="宋体" w:cs="宋体"/>
          <w:b/>
          <w:bCs/>
          <w:szCs w:val="21"/>
        </w:rPr>
      </w:pPr>
      <w:bookmarkStart w:id="119" w:name="_Toc22871"/>
      <w:bookmarkStart w:id="120" w:name="_Toc2172"/>
      <w:r>
        <w:rPr>
          <w:rFonts w:hint="eastAsia"/>
          <w:sz w:val="52"/>
          <w:szCs w:val="52"/>
        </w:rPr>
        <w:t>项目名称</w:t>
      </w:r>
      <w:bookmarkEnd w:id="119"/>
      <w:bookmarkEnd w:id="120"/>
    </w:p>
    <w:p>
      <w:pPr>
        <w:spacing w:line="360" w:lineRule="auto"/>
        <w:ind w:firstLine="3596" w:firstLineChars="995"/>
        <w:jc w:val="left"/>
        <w:rPr>
          <w:sz w:val="30"/>
          <w:szCs w:val="30"/>
        </w:rPr>
      </w:pPr>
      <w:r>
        <w:rPr>
          <w:rFonts w:hint="eastAsia"/>
          <w:b/>
          <w:sz w:val="36"/>
          <w:szCs w:val="36"/>
        </w:rPr>
        <w:t>项目编号：</w:t>
      </w:r>
    </w:p>
    <w:p>
      <w:pPr>
        <w:spacing w:line="360" w:lineRule="auto"/>
        <w:jc w:val="center"/>
        <w:rPr>
          <w:sz w:val="84"/>
          <w:szCs w:val="84"/>
        </w:rPr>
      </w:pPr>
      <w:r>
        <w:rPr>
          <w:rFonts w:hint="eastAsia"/>
          <w:sz w:val="84"/>
          <w:szCs w:val="84"/>
        </w:rPr>
        <w:t xml:space="preserve">投 </w:t>
      </w:r>
    </w:p>
    <w:p>
      <w:pPr>
        <w:spacing w:line="360" w:lineRule="auto"/>
        <w:jc w:val="center"/>
        <w:rPr>
          <w:sz w:val="84"/>
          <w:szCs w:val="84"/>
        </w:rPr>
      </w:pPr>
      <w:r>
        <w:rPr>
          <w:rFonts w:hint="eastAsia"/>
          <w:sz w:val="84"/>
          <w:szCs w:val="84"/>
        </w:rPr>
        <w:t xml:space="preserve">标 </w:t>
      </w:r>
    </w:p>
    <w:p>
      <w:pPr>
        <w:spacing w:line="360" w:lineRule="auto"/>
        <w:jc w:val="center"/>
        <w:rPr>
          <w:sz w:val="84"/>
          <w:szCs w:val="84"/>
        </w:rPr>
      </w:pPr>
      <w:r>
        <w:rPr>
          <w:rFonts w:hint="eastAsia"/>
          <w:sz w:val="84"/>
          <w:szCs w:val="84"/>
        </w:rPr>
        <w:t>文</w:t>
      </w:r>
    </w:p>
    <w:p>
      <w:pPr>
        <w:spacing w:line="360" w:lineRule="auto"/>
        <w:jc w:val="center"/>
        <w:rPr>
          <w:sz w:val="84"/>
          <w:szCs w:val="84"/>
        </w:rPr>
      </w:pPr>
      <w:r>
        <w:rPr>
          <w:rFonts w:hint="eastAsia"/>
          <w:sz w:val="84"/>
          <w:szCs w:val="84"/>
        </w:rPr>
        <w:t>件</w:t>
      </w:r>
    </w:p>
    <w:p>
      <w:pPr>
        <w:spacing w:line="360" w:lineRule="auto"/>
        <w:jc w:val="center"/>
        <w:rPr>
          <w:sz w:val="28"/>
          <w:szCs w:val="28"/>
        </w:rPr>
      </w:pPr>
    </w:p>
    <w:p>
      <w:pPr>
        <w:spacing w:line="360" w:lineRule="auto"/>
        <w:jc w:val="center"/>
        <w:rPr>
          <w:sz w:val="32"/>
          <w:szCs w:val="32"/>
        </w:rPr>
      </w:pPr>
      <w:r>
        <w:rPr>
          <w:rFonts w:hint="eastAsia"/>
          <w:sz w:val="32"/>
          <w:szCs w:val="32"/>
        </w:rPr>
        <w:t>（资格证明文件）</w:t>
      </w:r>
    </w:p>
    <w:p>
      <w:pPr>
        <w:spacing w:line="360" w:lineRule="auto"/>
        <w:jc w:val="center"/>
        <w:rPr>
          <w:sz w:val="32"/>
          <w:szCs w:val="32"/>
        </w:rPr>
      </w:pPr>
    </w:p>
    <w:p>
      <w:pPr>
        <w:spacing w:line="360" w:lineRule="auto"/>
        <w:jc w:val="center"/>
        <w:rPr>
          <w:sz w:val="32"/>
          <w:szCs w:val="32"/>
        </w:rPr>
      </w:pPr>
    </w:p>
    <w:p>
      <w:pPr>
        <w:spacing w:line="360" w:lineRule="auto"/>
        <w:jc w:val="left"/>
        <w:rPr>
          <w:sz w:val="36"/>
          <w:szCs w:val="36"/>
        </w:rPr>
      </w:pPr>
      <w:r>
        <w:rPr>
          <w:rFonts w:hint="eastAsia"/>
          <w:sz w:val="36"/>
          <w:szCs w:val="36"/>
        </w:rPr>
        <w:t>供应商全称（公章）：</w:t>
      </w:r>
    </w:p>
    <w:p>
      <w:pPr>
        <w:spacing w:line="360" w:lineRule="auto"/>
        <w:jc w:val="left"/>
        <w:rPr>
          <w:sz w:val="36"/>
          <w:szCs w:val="36"/>
        </w:rPr>
      </w:pPr>
      <w:r>
        <w:rPr>
          <w:rFonts w:hint="eastAsia"/>
          <w:sz w:val="36"/>
          <w:szCs w:val="36"/>
        </w:rPr>
        <w:t>地 址：</w:t>
      </w:r>
    </w:p>
    <w:p>
      <w:pPr>
        <w:spacing w:line="360" w:lineRule="auto"/>
        <w:jc w:val="left"/>
        <w:rPr>
          <w:sz w:val="36"/>
          <w:szCs w:val="36"/>
        </w:rPr>
      </w:pPr>
      <w:r>
        <w:rPr>
          <w:rFonts w:hint="eastAsia"/>
          <w:sz w:val="36"/>
          <w:szCs w:val="36"/>
        </w:rPr>
        <w:t>日 期：</w:t>
      </w:r>
    </w:p>
    <w:p>
      <w:pPr>
        <w:pStyle w:val="29"/>
      </w:pPr>
    </w:p>
    <w:p/>
    <w:p>
      <w:pPr>
        <w:pStyle w:val="19"/>
      </w:pPr>
    </w:p>
    <w:p>
      <w:pPr>
        <w:spacing w:line="360" w:lineRule="auto"/>
        <w:jc w:val="center"/>
        <w:rPr>
          <w:b/>
          <w:sz w:val="44"/>
          <w:szCs w:val="44"/>
        </w:rPr>
      </w:pPr>
    </w:p>
    <w:p>
      <w:pPr>
        <w:spacing w:line="360" w:lineRule="auto"/>
        <w:jc w:val="center"/>
        <w:rPr>
          <w:b/>
          <w:sz w:val="44"/>
          <w:szCs w:val="44"/>
        </w:rPr>
      </w:pPr>
      <w:r>
        <w:rPr>
          <w:b/>
          <w:sz w:val="44"/>
          <w:szCs w:val="44"/>
        </w:rPr>
        <w:t>资格证明文件</w:t>
      </w:r>
    </w:p>
    <w:p>
      <w:pPr>
        <w:spacing w:line="360" w:lineRule="auto"/>
        <w:jc w:val="center"/>
        <w:rPr>
          <w:b/>
          <w:sz w:val="32"/>
          <w:szCs w:val="32"/>
        </w:rPr>
      </w:pPr>
      <w:r>
        <w:rPr>
          <w:b/>
          <w:sz w:val="32"/>
          <w:szCs w:val="32"/>
        </w:rPr>
        <w:t>目录</w:t>
      </w:r>
    </w:p>
    <w:p>
      <w:pPr>
        <w:pStyle w:val="116"/>
        <w:numPr>
          <w:ilvl w:val="0"/>
          <w:numId w:val="4"/>
        </w:numPr>
        <w:spacing w:line="480" w:lineRule="auto"/>
        <w:ind w:left="1123" w:hanging="284" w:firstLineChars="0"/>
        <w:rPr>
          <w:rFonts w:hint="eastAsia"/>
        </w:rPr>
      </w:pPr>
      <w:r>
        <w:rPr>
          <w:rFonts w:hint="eastAsia"/>
        </w:rPr>
        <w:t>声明书……………………………………………………………………………（页码）</w:t>
      </w:r>
    </w:p>
    <w:p>
      <w:pPr>
        <w:pStyle w:val="116"/>
        <w:numPr>
          <w:ilvl w:val="0"/>
          <w:numId w:val="4"/>
        </w:numPr>
        <w:spacing w:line="480" w:lineRule="auto"/>
        <w:ind w:left="1123" w:hanging="284" w:firstLineChars="0"/>
        <w:rPr>
          <w:rFonts w:hint="eastAsia"/>
        </w:rPr>
      </w:pPr>
      <w:r>
        <w:rPr>
          <w:rFonts w:hint="eastAsia"/>
        </w:rPr>
        <w:t>授权委托书 ……………………………………………………………………（页码）</w:t>
      </w:r>
    </w:p>
    <w:p>
      <w:pPr>
        <w:pStyle w:val="116"/>
        <w:numPr>
          <w:ilvl w:val="0"/>
          <w:numId w:val="4"/>
        </w:numPr>
        <w:spacing w:line="480" w:lineRule="auto"/>
        <w:ind w:left="1123" w:hanging="284" w:firstLineChars="0"/>
        <w:rPr>
          <w:rFonts w:hint="eastAsia"/>
        </w:rPr>
      </w:pPr>
      <w:r>
        <w:rPr>
          <w:rFonts w:hint="eastAsia"/>
        </w:rPr>
        <w:t>营业执照…………………………………………………………………………（页码）</w:t>
      </w:r>
    </w:p>
    <w:p>
      <w:pPr>
        <w:pStyle w:val="116"/>
        <w:numPr>
          <w:ilvl w:val="0"/>
          <w:numId w:val="4"/>
        </w:numPr>
        <w:spacing w:line="480" w:lineRule="auto"/>
        <w:ind w:left="1123" w:hanging="284" w:firstLineChars="0"/>
        <w:rPr>
          <w:rFonts w:hint="eastAsia"/>
        </w:rPr>
      </w:pPr>
      <w:r>
        <w:rPr>
          <w:rFonts w:hint="eastAsia" w:cs="宋体"/>
          <w:szCs w:val="21"/>
        </w:rPr>
        <w:t>中小企业声明函、监狱企业、残疾人福利性单位及其他相关的充分的证明材料</w:t>
      </w:r>
      <w:r>
        <w:rPr>
          <w:rFonts w:hint="eastAsia"/>
        </w:rPr>
        <w:t>…（页码）</w:t>
      </w:r>
    </w:p>
    <w:p>
      <w:pPr>
        <w:pStyle w:val="116"/>
        <w:numPr>
          <w:ilvl w:val="0"/>
          <w:numId w:val="4"/>
        </w:numPr>
        <w:spacing w:line="480" w:lineRule="auto"/>
        <w:ind w:left="1123" w:hanging="284" w:firstLineChars="0"/>
        <w:rPr>
          <w:rFonts w:hint="eastAsia"/>
        </w:rPr>
      </w:pPr>
      <w:r>
        <w:rPr>
          <w:rFonts w:hint="eastAsia" w:cs="宋体"/>
          <w:szCs w:val="21"/>
        </w:rPr>
        <w:t>财务状况报告的相关材料或承诺函</w:t>
      </w:r>
      <w:r>
        <w:rPr>
          <w:rFonts w:hint="eastAsia"/>
        </w:rPr>
        <w:t>……………………………………………（页码）</w:t>
      </w:r>
    </w:p>
    <w:p>
      <w:pPr>
        <w:pStyle w:val="116"/>
        <w:numPr>
          <w:ilvl w:val="0"/>
          <w:numId w:val="4"/>
        </w:numPr>
        <w:spacing w:line="480" w:lineRule="auto"/>
        <w:ind w:left="1123" w:hanging="284" w:firstLineChars="0"/>
      </w:pPr>
      <w:r>
        <w:rPr>
          <w:rFonts w:hint="eastAsia"/>
        </w:rPr>
        <w:t xml:space="preserve">具有履行合同所必需的场地、设备和专业技术能力的承诺函…………………（页码）     </w:t>
      </w:r>
    </w:p>
    <w:p>
      <w:pPr>
        <w:pStyle w:val="116"/>
        <w:numPr>
          <w:ilvl w:val="0"/>
          <w:numId w:val="4"/>
        </w:numPr>
        <w:spacing w:line="480" w:lineRule="auto"/>
        <w:ind w:left="1123" w:hanging="284" w:firstLineChars="0"/>
        <w:rPr>
          <w:rFonts w:hint="eastAsia"/>
        </w:rPr>
      </w:pPr>
      <w:r>
        <w:rPr>
          <w:rFonts w:hint="eastAsia"/>
        </w:rPr>
        <w:t>依法缴纳税收和社会保障资金的相关材料证明或承诺函………………………（页码）</w:t>
      </w:r>
    </w:p>
    <w:p>
      <w:pPr>
        <w:pStyle w:val="116"/>
        <w:numPr>
          <w:ilvl w:val="0"/>
          <w:numId w:val="4"/>
        </w:numPr>
        <w:spacing w:line="480" w:lineRule="auto"/>
        <w:ind w:left="1123" w:hanging="284" w:firstLineChars="0"/>
        <w:rPr>
          <w:rFonts w:hint="eastAsia"/>
        </w:rPr>
      </w:pPr>
      <w:r>
        <w:rPr>
          <w:rFonts w:hint="eastAsia"/>
        </w:rPr>
        <w:t>投标供应商没有失信记录承诺函……………………………………………（页码）</w:t>
      </w:r>
    </w:p>
    <w:p>
      <w:pPr>
        <w:pStyle w:val="116"/>
        <w:spacing w:line="480" w:lineRule="auto"/>
        <w:ind w:left="420" w:firstLine="420"/>
      </w:pPr>
      <w:r>
        <w:rPr>
          <w:rFonts w:hint="eastAsia"/>
        </w:rPr>
        <w:t>.....( 目录自行扩展)</w:t>
      </w:r>
    </w:p>
    <w:p/>
    <w:p>
      <w:pPr>
        <w:pStyle w:val="19"/>
      </w:pPr>
    </w:p>
    <w:p>
      <w:pPr>
        <w:pStyle w:val="21"/>
      </w:pPr>
    </w:p>
    <w:p/>
    <w:p>
      <w:pPr>
        <w:spacing w:after="100" w:afterAutospacing="1"/>
        <w:jc w:val="center"/>
        <w:rPr>
          <w:rFonts w:hint="eastAsia"/>
          <w:b/>
          <w:sz w:val="32"/>
          <w:szCs w:val="32"/>
        </w:rPr>
        <w:sectPr>
          <w:footerReference r:id="rId12" w:type="default"/>
          <w:pgSz w:w="11906" w:h="16838"/>
          <w:pgMar w:top="907" w:right="1134" w:bottom="907" w:left="1134" w:header="851" w:footer="992" w:gutter="0"/>
          <w:pgNumType w:fmt="decimal"/>
          <w:cols w:space="720" w:num="1"/>
          <w:docGrid w:type="lines" w:linePitch="312" w:charSpace="0"/>
        </w:sectPr>
      </w:pPr>
    </w:p>
    <w:p>
      <w:pPr>
        <w:spacing w:after="100" w:afterAutospacing="1"/>
        <w:jc w:val="center"/>
        <w:rPr>
          <w:b/>
          <w:sz w:val="32"/>
          <w:szCs w:val="32"/>
        </w:rPr>
      </w:pPr>
      <w:r>
        <w:rPr>
          <w:rFonts w:hint="eastAsia"/>
          <w:b/>
          <w:sz w:val="32"/>
          <w:szCs w:val="32"/>
        </w:rPr>
        <w:t>一、</w:t>
      </w:r>
      <w:r>
        <w:rPr>
          <w:b/>
          <w:sz w:val="32"/>
          <w:szCs w:val="32"/>
        </w:rPr>
        <w:t>声明书</w:t>
      </w:r>
    </w:p>
    <w:p>
      <w:pPr>
        <w:spacing w:line="360" w:lineRule="auto"/>
        <w:jc w:val="left"/>
        <w:rPr>
          <w:szCs w:val="21"/>
        </w:rPr>
      </w:pPr>
      <w:r>
        <w:rPr>
          <w:b/>
          <w:sz w:val="24"/>
          <w:u w:val="single"/>
        </w:rPr>
        <w:t xml:space="preserve"> </w:t>
      </w:r>
      <w:r>
        <w:rPr>
          <w:b/>
          <w:szCs w:val="21"/>
          <w:u w:val="single"/>
        </w:rPr>
        <w:t xml:space="preserve">  （</w:t>
      </w:r>
      <w:r>
        <w:rPr>
          <w:rFonts w:hint="eastAsia"/>
          <w:b/>
          <w:szCs w:val="21"/>
          <w:u w:val="single"/>
        </w:rPr>
        <w:t>采购</w:t>
      </w:r>
      <w:r>
        <w:rPr>
          <w:b/>
          <w:szCs w:val="21"/>
          <w:u w:val="single"/>
        </w:rPr>
        <w:t>人名称）</w:t>
      </w:r>
      <w:r>
        <w:rPr>
          <w:szCs w:val="21"/>
          <w:u w:val="single"/>
        </w:rPr>
        <w:t xml:space="preserve">   </w:t>
      </w:r>
      <w:r>
        <w:rPr>
          <w:szCs w:val="21"/>
        </w:rPr>
        <w:t>：</w:t>
      </w:r>
    </w:p>
    <w:p>
      <w:pPr>
        <w:spacing w:line="360" w:lineRule="auto"/>
        <w:ind w:firstLine="422" w:firstLineChars="200"/>
        <w:jc w:val="left"/>
        <w:rPr>
          <w:szCs w:val="21"/>
        </w:rPr>
      </w:pPr>
      <w:r>
        <w:rPr>
          <w:b/>
          <w:szCs w:val="21"/>
          <w:u w:val="single"/>
        </w:rPr>
        <w:t>(投标人名称)</w:t>
      </w:r>
      <w:r>
        <w:rPr>
          <w:rFonts w:hint="eastAsia"/>
          <w:b/>
          <w:szCs w:val="21"/>
          <w:u w:val="single"/>
        </w:rPr>
        <w:t xml:space="preserve">     </w:t>
      </w:r>
      <w:r>
        <w:rPr>
          <w:szCs w:val="21"/>
        </w:rPr>
        <w:t>系中华人民共和国合法企业,经营地址。</w:t>
      </w:r>
    </w:p>
    <w:p>
      <w:pPr>
        <w:spacing w:line="360" w:lineRule="auto"/>
        <w:ind w:firstLine="420" w:firstLineChars="200"/>
        <w:jc w:val="left"/>
        <w:rPr>
          <w:szCs w:val="21"/>
        </w:rPr>
      </w:pPr>
      <w:r>
        <w:rPr>
          <w:szCs w:val="21"/>
        </w:rPr>
        <w:t>本人</w:t>
      </w:r>
      <w:r>
        <w:rPr>
          <w:szCs w:val="21"/>
          <w:u w:val="single"/>
        </w:rPr>
        <w:t xml:space="preserve"> </w:t>
      </w:r>
      <w:r>
        <w:rPr>
          <w:b/>
          <w:szCs w:val="21"/>
          <w:u w:val="single"/>
        </w:rPr>
        <w:t>（姓名）</w:t>
      </w:r>
      <w:r>
        <w:rPr>
          <w:rFonts w:hint="eastAsia"/>
          <w:b/>
          <w:szCs w:val="21"/>
          <w:u w:val="single"/>
        </w:rPr>
        <w:t xml:space="preserve">    </w:t>
      </w:r>
      <w:r>
        <w:rPr>
          <w:szCs w:val="21"/>
        </w:rPr>
        <w:t>系</w:t>
      </w:r>
      <w:r>
        <w:rPr>
          <w:b/>
          <w:szCs w:val="21"/>
          <w:u w:val="single"/>
        </w:rPr>
        <w:t>（投标人名称）</w:t>
      </w:r>
      <w:r>
        <w:rPr>
          <w:rFonts w:hint="eastAsia"/>
          <w:b/>
          <w:szCs w:val="21"/>
          <w:u w:val="single"/>
        </w:rPr>
        <w:t xml:space="preserve">     </w:t>
      </w:r>
      <w:r>
        <w:rPr>
          <w:szCs w:val="21"/>
        </w:rPr>
        <w:t>的法定代表人，我公司自愿参加贵方组织的</w:t>
      </w:r>
      <w:r>
        <w:rPr>
          <w:b/>
          <w:szCs w:val="21"/>
          <w:u w:val="single"/>
        </w:rPr>
        <w:t>（项目名称）（</w:t>
      </w:r>
      <w:r>
        <w:rPr>
          <w:rFonts w:hint="eastAsia"/>
          <w:b/>
          <w:szCs w:val="21"/>
          <w:u w:val="single"/>
        </w:rPr>
        <w:t>项目</w:t>
      </w:r>
      <w:r>
        <w:rPr>
          <w:b/>
          <w:szCs w:val="21"/>
          <w:u w:val="single"/>
        </w:rPr>
        <w:t>编号）</w:t>
      </w:r>
      <w:r>
        <w:rPr>
          <w:rFonts w:hint="eastAsia"/>
          <w:b/>
          <w:szCs w:val="21"/>
          <w:u w:val="single"/>
        </w:rPr>
        <w:t xml:space="preserve">          </w:t>
      </w:r>
      <w:r>
        <w:rPr>
          <w:szCs w:val="21"/>
        </w:rPr>
        <w:t>的投标，为此，我公司就本次投标有关事项郑重声明如下：</w:t>
      </w:r>
    </w:p>
    <w:p>
      <w:pPr>
        <w:spacing w:line="360" w:lineRule="auto"/>
        <w:ind w:firstLine="422" w:firstLineChars="200"/>
        <w:rPr>
          <w:b/>
          <w:szCs w:val="21"/>
        </w:rPr>
      </w:pPr>
      <w:r>
        <w:rPr>
          <w:b/>
          <w:szCs w:val="21"/>
        </w:rPr>
        <w:t>1、我公司声明截止投标时间近三年以来，在政府采购领域中的项目招标、投标和合同履约期间无任何不良行为记录和违法、违规行为。</w:t>
      </w:r>
    </w:p>
    <w:p>
      <w:pPr>
        <w:spacing w:line="360" w:lineRule="auto"/>
        <w:ind w:firstLine="420" w:firstLineChars="200"/>
        <w:rPr>
          <w:szCs w:val="21"/>
        </w:rPr>
      </w:pPr>
      <w:r>
        <w:rPr>
          <w:szCs w:val="21"/>
        </w:rPr>
        <w:t>2、我公司在参与投标前已详细审查了和所有相关资料，我方完全明白并认为此没有倾向性，也没有存在排斥潜在投标人的内容，我方同意的相关条款，放弃对提出误解和质疑的一切权利。</w:t>
      </w:r>
    </w:p>
    <w:p>
      <w:pPr>
        <w:spacing w:line="360" w:lineRule="auto"/>
        <w:ind w:firstLine="420" w:firstLineChars="200"/>
        <w:rPr>
          <w:szCs w:val="21"/>
        </w:rPr>
      </w:pPr>
      <w:r>
        <w:rPr>
          <w:szCs w:val="21"/>
        </w:rPr>
        <w:t>3、我公司不是采购人的附属机构；在获知本项目招标信息后，与采购人聘请的为此项目提供咨询服务的公司及其附属机构没有任何联系。</w:t>
      </w:r>
    </w:p>
    <w:p>
      <w:pPr>
        <w:spacing w:line="360" w:lineRule="auto"/>
        <w:ind w:firstLine="420" w:firstLineChars="200"/>
        <w:rPr>
          <w:szCs w:val="21"/>
        </w:rPr>
      </w:pPr>
      <w:r>
        <w:rPr>
          <w:szCs w:val="21"/>
        </w:rPr>
        <w:t>4、我公司向贵方提交的所有投标文件、资料都是准确、真实、合法的。</w:t>
      </w:r>
    </w:p>
    <w:p>
      <w:pPr>
        <w:spacing w:line="360" w:lineRule="auto"/>
        <w:ind w:firstLine="420" w:firstLineChars="200"/>
        <w:rPr>
          <w:szCs w:val="21"/>
        </w:rPr>
      </w:pPr>
      <w:r>
        <w:rPr>
          <w:szCs w:val="21"/>
        </w:rPr>
        <w:t>5、我公司提供的所有检测数据均真实有效。</w:t>
      </w:r>
    </w:p>
    <w:p>
      <w:pPr>
        <w:spacing w:line="360" w:lineRule="auto"/>
        <w:ind w:firstLine="420" w:firstLineChars="200"/>
        <w:rPr>
          <w:szCs w:val="21"/>
        </w:rPr>
      </w:pPr>
      <w:r>
        <w:rPr>
          <w:szCs w:val="21"/>
        </w:rPr>
        <w:t>5、若中标，我公司将按规定履行合同责任和义务。</w:t>
      </w:r>
    </w:p>
    <w:p>
      <w:pPr>
        <w:spacing w:line="360" w:lineRule="auto"/>
        <w:ind w:firstLine="420" w:firstLineChars="200"/>
        <w:rPr>
          <w:szCs w:val="21"/>
        </w:rPr>
      </w:pPr>
      <w:r>
        <w:rPr>
          <w:szCs w:val="21"/>
        </w:rPr>
        <w:t>6、我公司保证，采购人在中华人民共和国境内使用我公司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pPr>
        <w:spacing w:line="360" w:lineRule="auto"/>
        <w:ind w:firstLine="420" w:firstLineChars="200"/>
        <w:rPr>
          <w:szCs w:val="21"/>
        </w:rPr>
      </w:pPr>
      <w:r>
        <w:rPr>
          <w:szCs w:val="21"/>
        </w:rPr>
        <w:t>7、以上事项如有虚假或隐瞒，我公司愿意承担一切后果，并不再寻求任何旨在减轻或免除法律责任的辩解。</w:t>
      </w:r>
    </w:p>
    <w:p>
      <w:pPr>
        <w:spacing w:line="480" w:lineRule="auto"/>
        <w:ind w:firstLine="420" w:firstLineChars="200"/>
        <w:jc w:val="right"/>
        <w:rPr>
          <w:szCs w:val="21"/>
        </w:rPr>
      </w:pPr>
      <w:r>
        <w:rPr>
          <w:szCs w:val="21"/>
        </w:rPr>
        <w:t xml:space="preserve">                              投标人名称(公章)： </w:t>
      </w:r>
    </w:p>
    <w:p>
      <w:pPr>
        <w:pStyle w:val="29"/>
        <w:jc w:val="right"/>
        <w:rPr>
          <w:sz w:val="21"/>
          <w:szCs w:val="21"/>
        </w:rPr>
      </w:pPr>
      <w:r>
        <w:rPr>
          <w:sz w:val="21"/>
          <w:szCs w:val="21"/>
        </w:rPr>
        <w:t xml:space="preserve">                                  法定代表人或授权委托人(签字或盖章)：  日期： 20</w:t>
      </w:r>
      <w:r>
        <w:rPr>
          <w:rFonts w:hint="eastAsia"/>
          <w:sz w:val="21"/>
          <w:szCs w:val="21"/>
        </w:rPr>
        <w:t>22</w:t>
      </w:r>
      <w:r>
        <w:rPr>
          <w:sz w:val="21"/>
          <w:szCs w:val="21"/>
        </w:rPr>
        <w:t>年  月  日</w:t>
      </w:r>
    </w:p>
    <w:p>
      <w:pPr>
        <w:spacing w:after="100" w:afterAutospacing="1"/>
        <w:jc w:val="center"/>
        <w:rPr>
          <w:b/>
          <w:szCs w:val="21"/>
        </w:rPr>
      </w:pPr>
    </w:p>
    <w:p>
      <w:pPr>
        <w:spacing w:after="100" w:afterAutospacing="1"/>
        <w:jc w:val="center"/>
        <w:rPr>
          <w:rFonts w:hint="eastAsia"/>
          <w:b/>
          <w:sz w:val="32"/>
          <w:szCs w:val="32"/>
        </w:rPr>
        <w:sectPr>
          <w:pgSz w:w="11906" w:h="16838"/>
          <w:pgMar w:top="907" w:right="1134" w:bottom="907" w:left="1134" w:header="851" w:footer="992" w:gutter="0"/>
          <w:pgNumType w:fmt="decimal"/>
          <w:cols w:space="720" w:num="1"/>
          <w:docGrid w:type="lines" w:linePitch="312" w:charSpace="0"/>
        </w:sectPr>
      </w:pPr>
    </w:p>
    <w:p>
      <w:pPr>
        <w:spacing w:after="100" w:afterAutospacing="1"/>
        <w:jc w:val="center"/>
        <w:rPr>
          <w:b/>
          <w:sz w:val="32"/>
          <w:szCs w:val="32"/>
        </w:rPr>
      </w:pPr>
      <w:r>
        <w:rPr>
          <w:rFonts w:hint="eastAsia"/>
          <w:b/>
          <w:sz w:val="32"/>
          <w:szCs w:val="32"/>
        </w:rPr>
        <w:t>二、</w:t>
      </w:r>
      <w:r>
        <w:rPr>
          <w:b/>
          <w:sz w:val="32"/>
          <w:szCs w:val="32"/>
        </w:rPr>
        <w:t>法定代表人授权书</w:t>
      </w:r>
    </w:p>
    <w:p>
      <w:pPr>
        <w:snapToGrid w:val="0"/>
        <w:spacing w:before="156" w:beforeLines="50" w:after="50" w:line="360" w:lineRule="auto"/>
        <w:rPr>
          <w:rFonts w:ascii="宋体" w:hAnsi="宋体"/>
          <w:b/>
          <w:bCs/>
          <w:szCs w:val="21"/>
          <w:u w:val="single"/>
        </w:rPr>
      </w:pPr>
      <w:r>
        <w:rPr>
          <w:rFonts w:hint="eastAsia" w:ascii="宋体" w:hAnsi="宋体"/>
          <w:bCs/>
          <w:szCs w:val="21"/>
        </w:rPr>
        <w:t>致：</w:t>
      </w:r>
      <w:r>
        <w:rPr>
          <w:rFonts w:hint="eastAsia" w:ascii="宋体" w:hAnsi="宋体"/>
          <w:bCs/>
          <w:szCs w:val="21"/>
          <w:u w:val="single"/>
        </w:rPr>
        <w:t xml:space="preserve"> </w:t>
      </w:r>
      <w:r>
        <w:rPr>
          <w:rFonts w:ascii="宋体" w:hAnsi="宋体"/>
          <w:bCs/>
          <w:szCs w:val="21"/>
          <w:u w:val="single"/>
        </w:rPr>
        <w:t xml:space="preserve">   （采购人名称）  </w:t>
      </w:r>
      <w:r>
        <w:rPr>
          <w:rFonts w:ascii="宋体" w:hAnsi="宋体"/>
          <w:bCs/>
          <w:szCs w:val="21"/>
        </w:rPr>
        <w:t xml:space="preserve"> </w:t>
      </w:r>
      <w:r>
        <w:rPr>
          <w:rFonts w:hint="eastAsia" w:ascii="宋体" w:hAnsi="宋体"/>
          <w:bCs/>
          <w:szCs w:val="21"/>
        </w:rPr>
        <w:t xml:space="preserve">          </w:t>
      </w:r>
    </w:p>
    <w:p>
      <w:pPr>
        <w:snapToGrid w:val="0"/>
        <w:spacing w:before="156" w:beforeLines="50" w:after="50" w:line="360" w:lineRule="auto"/>
        <w:ind w:firstLine="630" w:firstLineChars="300"/>
        <w:rPr>
          <w:rFonts w:ascii="宋体" w:hAnsi="宋体"/>
          <w:szCs w:val="21"/>
          <w:u w:val="single"/>
        </w:rPr>
      </w:pPr>
      <w:r>
        <w:rPr>
          <w:rFonts w:hint="eastAsia" w:ascii="宋体" w:hAnsi="宋体"/>
          <w:szCs w:val="21"/>
        </w:rPr>
        <w:t>我</w:t>
      </w:r>
      <w:r>
        <w:rPr>
          <w:rFonts w:hint="eastAsia" w:ascii="宋体" w:hAnsi="宋体"/>
          <w:szCs w:val="21"/>
          <w:u w:val="single"/>
        </w:rPr>
        <w:t>（姓名</w:t>
      </w:r>
      <w:r>
        <w:rPr>
          <w:rFonts w:hint="eastAsia" w:ascii="宋体" w:hAnsi="宋体"/>
          <w:szCs w:val="21"/>
        </w:rPr>
        <w:t>）系</w:t>
      </w:r>
      <w:r>
        <w:rPr>
          <w:rFonts w:hint="eastAsia" w:ascii="宋体" w:hAnsi="宋体"/>
          <w:szCs w:val="21"/>
          <w:u w:val="single"/>
        </w:rPr>
        <w:t>（投标人名称）</w:t>
      </w:r>
      <w:r>
        <w:rPr>
          <w:rFonts w:hint="eastAsia" w:ascii="宋体" w:hAnsi="宋体"/>
          <w:szCs w:val="21"/>
        </w:rPr>
        <w:t>的法定代表人，现授权委托本单位在职职工</w:t>
      </w:r>
      <w:r>
        <w:rPr>
          <w:rFonts w:hint="eastAsia" w:ascii="宋体" w:hAnsi="宋体"/>
          <w:szCs w:val="21"/>
          <w:u w:val="single"/>
        </w:rPr>
        <w:t xml:space="preserve">（姓名）       </w:t>
      </w:r>
      <w:r>
        <w:rPr>
          <w:rFonts w:hint="eastAsia" w:ascii="宋体" w:hAnsi="宋体"/>
          <w:szCs w:val="21"/>
        </w:rPr>
        <w:t>以我方的名义参加</w:t>
      </w:r>
      <w:r>
        <w:rPr>
          <w:rFonts w:hint="eastAsia" w:ascii="宋体" w:hAnsi="宋体"/>
          <w:szCs w:val="21"/>
          <w:u w:val="single"/>
        </w:rPr>
        <w:t xml:space="preserve">    （项目编号） （项目名称）                </w:t>
      </w:r>
      <w:r>
        <w:rPr>
          <w:rFonts w:hint="eastAsia" w:ascii="宋体" w:hAnsi="宋体"/>
          <w:szCs w:val="21"/>
        </w:rPr>
        <w:t>项目的投标活动，并代表我方全权办理针对上述项目的投标、开标、评标、签约等具体事务和签署相关文件。</w:t>
      </w:r>
    </w:p>
    <w:p>
      <w:pPr>
        <w:snapToGrid w:val="0"/>
        <w:spacing w:before="156" w:beforeLines="50" w:after="50" w:line="360" w:lineRule="auto"/>
        <w:rPr>
          <w:rFonts w:ascii="宋体" w:hAnsi="宋体"/>
          <w:szCs w:val="21"/>
        </w:rPr>
      </w:pPr>
      <w:r>
        <w:rPr>
          <w:rFonts w:hint="eastAsia" w:ascii="宋体" w:hAnsi="宋体"/>
          <w:szCs w:val="21"/>
        </w:rPr>
        <w:t>我方对被授权人的签名事项负全部责任。</w:t>
      </w:r>
    </w:p>
    <w:p>
      <w:pPr>
        <w:snapToGrid w:val="0"/>
        <w:spacing w:before="156" w:beforeLines="50" w:after="50" w:line="360" w:lineRule="auto"/>
        <w:ind w:firstLine="480"/>
        <w:rPr>
          <w:rFonts w:ascii="宋体" w:hAnsi="宋体"/>
          <w:szCs w:val="21"/>
        </w:rPr>
      </w:pPr>
      <w:r>
        <w:rPr>
          <w:rFonts w:hint="eastAsia" w:ascii="宋体" w:hAnsi="宋体"/>
          <w:szCs w:val="21"/>
          <w:u w:val="single"/>
        </w:rPr>
        <w:t>在撤销授权的书面通知以前，本授权书一直有效。</w:t>
      </w:r>
      <w:r>
        <w:rPr>
          <w:rFonts w:hint="eastAsia" w:ascii="宋体" w:hAnsi="宋体"/>
          <w:szCs w:val="21"/>
        </w:rPr>
        <w:t>被授权人在授权书有效期内签署的所有文件不因授权的撤销而失效。</w:t>
      </w:r>
    </w:p>
    <w:p>
      <w:pPr>
        <w:snapToGrid w:val="0"/>
        <w:spacing w:before="156" w:beforeLines="50" w:after="50" w:line="360" w:lineRule="auto"/>
        <w:ind w:firstLine="480"/>
        <w:rPr>
          <w:rFonts w:ascii="宋体" w:hAnsi="宋体"/>
          <w:szCs w:val="21"/>
        </w:rPr>
      </w:pPr>
      <w:r>
        <w:rPr>
          <w:rFonts w:hint="eastAsia" w:ascii="宋体" w:hAnsi="宋体"/>
          <w:szCs w:val="21"/>
        </w:rPr>
        <w:t>被授权人无转委托权，特此委托。</w:t>
      </w:r>
    </w:p>
    <w:p>
      <w:pPr>
        <w:snapToGrid w:val="0"/>
        <w:spacing w:before="156" w:beforeLines="50" w:after="50" w:line="360" w:lineRule="auto"/>
        <w:rPr>
          <w:rFonts w:ascii="宋体" w:hAnsi="宋体"/>
          <w:szCs w:val="21"/>
        </w:rPr>
      </w:pPr>
    </w:p>
    <w:p>
      <w:pPr>
        <w:snapToGrid w:val="0"/>
        <w:spacing w:before="156" w:beforeLines="50" w:after="50" w:line="360" w:lineRule="auto"/>
        <w:rPr>
          <w:rFonts w:ascii="宋体" w:hAnsi="宋体"/>
          <w:szCs w:val="21"/>
          <w:u w:val="single"/>
        </w:rPr>
      </w:pPr>
      <w:r>
        <w:rPr>
          <w:rFonts w:hint="eastAsia" w:ascii="宋体" w:hAnsi="宋体"/>
          <w:szCs w:val="21"/>
        </w:rPr>
        <w:t>授权委托代理人（签字或盖章）：                       法定代表人</w:t>
      </w:r>
      <w:r>
        <w:rPr>
          <w:rFonts w:hint="eastAsia" w:ascii="宋体" w:hAnsi="宋体" w:cs="宋体"/>
          <w:szCs w:val="21"/>
        </w:rPr>
        <w:t>（签字或盖章）</w:t>
      </w:r>
      <w:r>
        <w:rPr>
          <w:rFonts w:hint="eastAsia" w:ascii="宋体" w:hAnsi="宋体"/>
          <w:szCs w:val="21"/>
        </w:rPr>
        <w:t>：</w:t>
      </w:r>
    </w:p>
    <w:p>
      <w:pPr>
        <w:snapToGrid w:val="0"/>
        <w:spacing w:before="156" w:beforeLines="50" w:after="50" w:line="360" w:lineRule="auto"/>
        <w:rPr>
          <w:rFonts w:ascii="宋体" w:hAnsi="宋体"/>
          <w:szCs w:val="21"/>
        </w:rPr>
      </w:pPr>
      <w:r>
        <w:rPr>
          <w:rFonts w:hint="eastAsia" w:ascii="宋体" w:hAnsi="宋体"/>
          <w:szCs w:val="21"/>
        </w:rPr>
        <w:t>职务：                                              职务：</w:t>
      </w:r>
    </w:p>
    <w:p>
      <w:pPr>
        <w:snapToGrid w:val="0"/>
        <w:spacing w:before="156" w:beforeLines="50" w:after="50" w:line="360" w:lineRule="auto"/>
        <w:rPr>
          <w:rFonts w:ascii="宋体" w:hAnsi="宋体"/>
          <w:szCs w:val="21"/>
        </w:rPr>
      </w:pPr>
      <w:r>
        <w:rPr>
          <w:rFonts w:hint="eastAsia" w:ascii="宋体" w:hAnsi="宋体"/>
          <w:szCs w:val="21"/>
        </w:rPr>
        <w:t>被授权人身份证号码：</w:t>
      </w:r>
    </w:p>
    <w:p>
      <w:pPr>
        <w:spacing w:line="360" w:lineRule="auto"/>
        <w:rPr>
          <w:szCs w:val="21"/>
        </w:rPr>
      </w:pPr>
      <w:r>
        <w:rPr>
          <w:rFonts w:hint="eastAsia" w:ascii="宋体" w:hAnsi="宋体"/>
          <w:szCs w:val="21"/>
        </w:rPr>
        <w:t>传真：</w:t>
      </w:r>
    </w:p>
    <w:p>
      <w:pPr>
        <w:spacing w:line="360" w:lineRule="auto"/>
        <w:rPr>
          <w:rFonts w:ascii="宋体" w:hAnsi="宋体"/>
          <w:szCs w:val="21"/>
        </w:rPr>
      </w:pPr>
      <w:r>
        <w:rPr>
          <w:rFonts w:hint="eastAsia" w:ascii="宋体" w:hAnsi="宋体"/>
          <w:szCs w:val="21"/>
        </w:rPr>
        <w:t>电话：</w:t>
      </w:r>
    </w:p>
    <w:p>
      <w:pPr>
        <w:spacing w:line="360" w:lineRule="auto"/>
        <w:rPr>
          <w:szCs w:val="21"/>
        </w:rPr>
      </w:pPr>
      <w:r>
        <w:rPr>
          <w:rFonts w:hint="eastAsia" w:ascii="宋体" w:hAnsi="宋体"/>
          <w:szCs w:val="21"/>
        </w:rPr>
        <w:t>详细通讯地址：</w:t>
      </w:r>
    </w:p>
    <w:p>
      <w:pPr>
        <w:spacing w:line="360" w:lineRule="auto"/>
        <w:rPr>
          <w:rFonts w:ascii="宋体" w:hAnsi="宋体"/>
          <w:szCs w:val="21"/>
        </w:rPr>
      </w:pPr>
      <w:r>
        <w:rPr>
          <w:rFonts w:hint="eastAsia" w:ascii="宋体" w:hAnsi="宋体"/>
          <w:szCs w:val="21"/>
        </w:rPr>
        <w:t>邮政编码：</w:t>
      </w:r>
    </w:p>
    <w:p>
      <w:pPr>
        <w:snapToGrid w:val="0"/>
        <w:spacing w:before="156" w:beforeLines="50" w:after="50" w:line="360" w:lineRule="auto"/>
        <w:rPr>
          <w:rFonts w:ascii="宋体" w:hAnsi="宋体"/>
          <w:szCs w:val="21"/>
        </w:rPr>
      </w:pPr>
    </w:p>
    <w:p>
      <w:pPr>
        <w:snapToGrid w:val="0"/>
        <w:spacing w:before="156" w:beforeLines="50" w:after="50" w:line="360" w:lineRule="auto"/>
        <w:rPr>
          <w:rFonts w:ascii="宋体" w:hAnsi="宋体"/>
          <w:szCs w:val="21"/>
        </w:rPr>
      </w:pPr>
      <w:r>
        <w:rPr>
          <w:rFonts w:hint="eastAsia" w:ascii="宋体" w:hAnsi="宋体"/>
          <w:szCs w:val="21"/>
        </w:rPr>
        <w:t>（附被授权人身份证正反双面复印件）</w:t>
      </w:r>
    </w:p>
    <w:p>
      <w:pPr>
        <w:snapToGrid w:val="0"/>
        <w:spacing w:before="156" w:beforeLines="50" w:after="50" w:line="360" w:lineRule="auto"/>
        <w:rPr>
          <w:rFonts w:ascii="宋体" w:hAnsi="宋体"/>
          <w:szCs w:val="21"/>
        </w:rPr>
      </w:pPr>
    </w:p>
    <w:p>
      <w:pPr>
        <w:snapToGrid w:val="0"/>
        <w:spacing w:before="156" w:beforeLines="50" w:after="50" w:line="360" w:lineRule="auto"/>
        <w:rPr>
          <w:rFonts w:ascii="宋体" w:hAnsi="宋体"/>
          <w:szCs w:val="21"/>
        </w:rPr>
      </w:pPr>
      <w:r>
        <w:rPr>
          <w:rFonts w:hint="eastAsia" w:ascii="宋体" w:hAnsi="宋体"/>
          <w:szCs w:val="21"/>
        </w:rPr>
        <w:t xml:space="preserve">                                                 投标人公章：</w:t>
      </w:r>
    </w:p>
    <w:p>
      <w:pPr>
        <w:snapToGrid w:val="0"/>
        <w:spacing w:before="156" w:beforeLines="50" w:after="50" w:line="360" w:lineRule="auto"/>
        <w:jc w:val="center"/>
        <w:rPr>
          <w:rFonts w:ascii="宋体" w:hAnsi="宋体"/>
          <w:szCs w:val="21"/>
        </w:rPr>
      </w:pPr>
      <w:r>
        <w:rPr>
          <w:rFonts w:hint="eastAsia" w:ascii="宋体" w:hAnsi="宋体"/>
          <w:szCs w:val="21"/>
        </w:rPr>
        <w:t xml:space="preserve">                                     年  月  日</w:t>
      </w:r>
    </w:p>
    <w:p>
      <w:pPr>
        <w:spacing w:line="360" w:lineRule="auto"/>
        <w:rPr>
          <w:szCs w:val="21"/>
        </w:rPr>
      </w:pPr>
      <w:r>
        <w:rPr>
          <w:rFonts w:hint="eastAsia" w:ascii="宋体" w:hAnsi="宋体"/>
          <w:szCs w:val="21"/>
        </w:rPr>
        <w:t xml:space="preserve">                          </w:t>
      </w:r>
    </w:p>
    <w:p>
      <w:pPr>
        <w:pStyle w:val="2"/>
      </w:pPr>
    </w:p>
    <w:p>
      <w:pPr>
        <w:pStyle w:val="2"/>
      </w:pPr>
    </w:p>
    <w:p>
      <w:pPr>
        <w:pStyle w:val="2"/>
      </w:pPr>
    </w:p>
    <w:p>
      <w:pPr>
        <w:pStyle w:val="2"/>
      </w:pPr>
    </w:p>
    <w:p>
      <w:pPr>
        <w:pStyle w:val="19"/>
        <w:rPr>
          <w:sz w:val="21"/>
          <w:szCs w:val="21"/>
        </w:rPr>
      </w:pPr>
    </w:p>
    <w:p>
      <w:pPr>
        <w:shd w:val="clear" w:color="auto" w:fill="FFFFFF"/>
        <w:snapToGrid w:val="0"/>
        <w:spacing w:line="360" w:lineRule="auto"/>
        <w:jc w:val="center"/>
        <w:rPr>
          <w:rFonts w:ascii="宋体" w:hAnsi="宋体"/>
          <w:b/>
          <w:bCs/>
          <w:sz w:val="32"/>
          <w:szCs w:val="32"/>
        </w:rPr>
      </w:pPr>
    </w:p>
    <w:p>
      <w:pPr>
        <w:pStyle w:val="116"/>
        <w:ind w:left="420" w:firstLine="562"/>
        <w:jc w:val="center"/>
        <w:rPr>
          <w:rFonts w:hint="eastAsia"/>
          <w:b/>
          <w:sz w:val="28"/>
        </w:rPr>
        <w:sectPr>
          <w:footerReference r:id="rId13" w:type="default"/>
          <w:pgSz w:w="11906" w:h="16838"/>
          <w:pgMar w:top="1134" w:right="1531" w:bottom="1134" w:left="1531" w:header="510" w:footer="567" w:gutter="0"/>
          <w:pgNumType w:fmt="decimal"/>
          <w:cols w:space="720" w:num="1"/>
          <w:docGrid w:linePitch="326" w:charSpace="0"/>
        </w:sectPr>
      </w:pPr>
    </w:p>
    <w:p>
      <w:pPr>
        <w:pStyle w:val="116"/>
        <w:ind w:left="420" w:firstLine="562"/>
        <w:jc w:val="center"/>
        <w:rPr>
          <w:b/>
          <w:sz w:val="28"/>
        </w:rPr>
      </w:pPr>
      <w:r>
        <w:rPr>
          <w:rFonts w:hint="eastAsia"/>
          <w:b/>
          <w:sz w:val="28"/>
        </w:rPr>
        <w:t>三、营业执照</w:t>
      </w:r>
    </w:p>
    <w:p>
      <w:pPr>
        <w:pStyle w:val="116"/>
        <w:ind w:left="420" w:firstLine="420"/>
      </w:pPr>
    </w:p>
    <w:p>
      <w:pPr>
        <w:pStyle w:val="116"/>
        <w:ind w:left="420" w:firstLine="420"/>
      </w:pPr>
    </w:p>
    <w:p>
      <w:pPr>
        <w:pStyle w:val="116"/>
        <w:ind w:left="420" w:firstLine="562"/>
        <w:jc w:val="center"/>
        <w:rPr>
          <w:rFonts w:hint="eastAsia"/>
          <w:b/>
          <w:sz w:val="28"/>
        </w:rPr>
      </w:pPr>
    </w:p>
    <w:p>
      <w:pPr>
        <w:pStyle w:val="116"/>
        <w:ind w:left="0" w:leftChars="0" w:firstLine="0" w:firstLineChars="0"/>
        <w:jc w:val="both"/>
        <w:rPr>
          <w:rFonts w:hint="eastAsia"/>
          <w:b/>
          <w:sz w:val="28"/>
        </w:rPr>
      </w:pPr>
    </w:p>
    <w:p>
      <w:pPr>
        <w:pStyle w:val="116"/>
        <w:ind w:left="0" w:leftChars="0" w:firstLine="0" w:firstLineChars="0"/>
        <w:jc w:val="both"/>
        <w:rPr>
          <w:rFonts w:hint="eastAsia"/>
          <w:b/>
          <w:sz w:val="28"/>
        </w:rPr>
      </w:pPr>
    </w:p>
    <w:p>
      <w:pPr>
        <w:pStyle w:val="116"/>
        <w:ind w:left="420" w:firstLine="562"/>
        <w:jc w:val="center"/>
        <w:rPr>
          <w:rFonts w:hint="eastAsia"/>
          <w:b/>
          <w:sz w:val="28"/>
        </w:rPr>
        <w:sectPr>
          <w:pgSz w:w="11906" w:h="16838"/>
          <w:pgMar w:top="1134" w:right="1531" w:bottom="1134" w:left="1531" w:header="510" w:footer="567" w:gutter="0"/>
          <w:pgNumType w:fmt="decimal"/>
          <w:cols w:space="720" w:num="1"/>
          <w:docGrid w:linePitch="326" w:charSpace="0"/>
        </w:sectPr>
      </w:pPr>
    </w:p>
    <w:p>
      <w:pPr>
        <w:pStyle w:val="116"/>
        <w:ind w:left="420" w:firstLine="562"/>
        <w:jc w:val="center"/>
      </w:pPr>
      <w:r>
        <w:rPr>
          <w:rFonts w:hint="eastAsia"/>
          <w:b/>
          <w:sz w:val="28"/>
        </w:rPr>
        <w:t>四</w:t>
      </w:r>
      <w:r>
        <w:rPr>
          <w:rFonts w:hint="eastAsia"/>
          <w:b/>
          <w:sz w:val="28"/>
          <w:lang w:val="en-US" w:eastAsia="zh-CN"/>
        </w:rPr>
        <w:t>-1</w:t>
      </w:r>
      <w:r>
        <w:rPr>
          <w:rFonts w:hint="eastAsia"/>
          <w:b/>
          <w:sz w:val="28"/>
        </w:rPr>
        <w:t>、</w:t>
      </w:r>
      <w:r>
        <w:rPr>
          <w:rFonts w:ascii="方正小标宋简体" w:hAnsi="方正小标宋简体" w:eastAsia="方正小标宋简体" w:cs="方正小标宋简体"/>
          <w:sz w:val="30"/>
          <w:szCs w:val="30"/>
        </w:rPr>
        <w:t>中小企业声明函</w:t>
      </w:r>
      <w:r>
        <w:rPr>
          <w:rFonts w:hint="eastAsia" w:ascii="方正小标宋简体" w:hAnsi="方正小标宋简体" w:eastAsia="方正小标宋简体" w:cs="方正小标宋简体"/>
          <w:sz w:val="30"/>
          <w:szCs w:val="30"/>
        </w:rPr>
        <w:t>（服务）</w:t>
      </w:r>
    </w:p>
    <w:p>
      <w:pPr>
        <w:ind w:firstLine="480"/>
      </w:pPr>
      <w:r>
        <w:rPr>
          <w:rFonts w:hint="eastAsia"/>
        </w:rPr>
        <w:t xml:space="preserve">本公司（联合体）郑重声明，根据《政府采购促进中小企业发展管理办法》（财库﹝2020﹞46 号）的规定，本公司（联合体）参加 </w:t>
      </w:r>
      <w:r>
        <w:rPr>
          <w:rFonts w:hint="eastAsia"/>
          <w:u w:val="single"/>
        </w:rPr>
        <w:t>（单位名称）</w:t>
      </w:r>
      <w:r>
        <w:rPr>
          <w:rFonts w:hint="eastAsia"/>
        </w:rPr>
        <w:t xml:space="preserve"> 的 </w:t>
      </w:r>
      <w:r>
        <w:rPr>
          <w:rFonts w:hint="eastAsia"/>
          <w:u w:val="single"/>
        </w:rPr>
        <w:t>（项目名称）</w:t>
      </w:r>
      <w:r>
        <w:rPr>
          <w:rFonts w:hint="eastAsia"/>
        </w:rPr>
        <w:t xml:space="preserve"> 采购活动，工</w:t>
      </w:r>
    </w:p>
    <w:p>
      <w:pPr>
        <w:ind w:firstLine="480"/>
      </w:pPr>
      <w:r>
        <w:rPr>
          <w:rFonts w:hint="eastAsia"/>
        </w:rPr>
        <w:t>程的施工单位全部为符合政策要求的中小企业（或者：服务全部由符合政策要求的中小企业承接）。相关企业（含联合体中的中小企业、签订分包意向协议的中小企业）的具体情况如下：</w:t>
      </w:r>
    </w:p>
    <w:p>
      <w:pPr>
        <w:ind w:firstLine="480"/>
      </w:pPr>
      <w:r>
        <w:rPr>
          <w:rFonts w:hint="eastAsia"/>
        </w:rPr>
        <w:t xml:space="preserve">1. </w:t>
      </w:r>
      <w:r>
        <w:rPr>
          <w:rFonts w:hint="eastAsia"/>
          <w:u w:val="single"/>
        </w:rPr>
        <w:t>（标的名称）</w:t>
      </w:r>
      <w:r>
        <w:rPr>
          <w:rFonts w:hint="eastAsia"/>
        </w:rPr>
        <w:t xml:space="preserve"> ，属于 </w:t>
      </w:r>
      <w:r>
        <w:rPr>
          <w:rFonts w:hint="eastAsia"/>
          <w:u w:val="single"/>
        </w:rPr>
        <w:t>（竞争性磋商文件中明确的所属行业）</w:t>
      </w:r>
      <w:r>
        <w:rPr>
          <w:rFonts w:hint="eastAsia"/>
        </w:rPr>
        <w:t xml:space="preserve"> ；承建（承接）企业为</w:t>
      </w:r>
      <w:r>
        <w:rPr>
          <w:rFonts w:hint="eastAsia"/>
          <w:u w:val="single"/>
        </w:rPr>
        <w:t xml:space="preserve"> （企业名称）</w:t>
      </w:r>
      <w:r>
        <w:rPr>
          <w:rFonts w:hint="eastAsia"/>
        </w:rPr>
        <w:t xml:space="preserve"> ，从业人员人，营业收入为万元，资产总额为万元 ，属于</w:t>
      </w:r>
      <w:r>
        <w:rPr>
          <w:rFonts w:hint="eastAsia"/>
          <w:u w:val="single"/>
        </w:rPr>
        <w:t xml:space="preserve"> （中型企业、小型企业、微型企业） </w:t>
      </w:r>
      <w:r>
        <w:rPr>
          <w:rFonts w:hint="eastAsia"/>
        </w:rPr>
        <w:t>；</w:t>
      </w:r>
    </w:p>
    <w:p>
      <w:pPr>
        <w:ind w:firstLine="480"/>
      </w:pPr>
      <w:r>
        <w:rPr>
          <w:rFonts w:hint="eastAsia"/>
        </w:rPr>
        <w:t xml:space="preserve">2. </w:t>
      </w:r>
      <w:r>
        <w:rPr>
          <w:rFonts w:hint="eastAsia"/>
          <w:u w:val="single"/>
        </w:rPr>
        <w:t>（标的名称）</w:t>
      </w:r>
      <w:r>
        <w:rPr>
          <w:rFonts w:hint="eastAsia"/>
        </w:rPr>
        <w:t xml:space="preserve"> ，属于 </w:t>
      </w:r>
      <w:r>
        <w:rPr>
          <w:rFonts w:hint="eastAsia"/>
          <w:u w:val="single"/>
        </w:rPr>
        <w:t>（竞争性磋商文件中明确的所属行业）</w:t>
      </w:r>
      <w:r>
        <w:rPr>
          <w:rFonts w:hint="eastAsia"/>
        </w:rPr>
        <w:t xml:space="preserve"> ；承建（承接）企业为</w:t>
      </w:r>
      <w:r>
        <w:rPr>
          <w:rFonts w:hint="eastAsia"/>
          <w:u w:val="single"/>
        </w:rPr>
        <w:t xml:space="preserve"> （企业名称）</w:t>
      </w:r>
      <w:r>
        <w:rPr>
          <w:rFonts w:hint="eastAsia"/>
        </w:rPr>
        <w:t xml:space="preserve"> ，从业人员人，营业收入为万元，资产总额为万元 ，属于</w:t>
      </w:r>
      <w:r>
        <w:rPr>
          <w:rFonts w:hint="eastAsia"/>
          <w:u w:val="single"/>
        </w:rPr>
        <w:t xml:space="preserve"> （中型企业、小型企业、微型企业） </w:t>
      </w:r>
      <w:r>
        <w:rPr>
          <w:rFonts w:hint="eastAsia"/>
        </w:rPr>
        <w:t>；</w:t>
      </w:r>
    </w:p>
    <w:p>
      <w:pPr>
        <w:ind w:firstLine="480"/>
      </w:pPr>
      <w:r>
        <w:rPr>
          <w:rFonts w:hint="eastAsia"/>
        </w:rPr>
        <w:t>……</w:t>
      </w:r>
    </w:p>
    <w:p>
      <w:pPr>
        <w:ind w:firstLine="480"/>
      </w:pPr>
      <w:r>
        <w:rPr>
          <w:rFonts w:hint="eastAsia"/>
        </w:rPr>
        <w:t>以上企业，不属于大企业的分支机构，不存在控股股东为大企业的情形，也不存在与大企业的负责人为同一人的情形。</w:t>
      </w:r>
    </w:p>
    <w:p>
      <w:pPr>
        <w:ind w:firstLine="480"/>
      </w:pPr>
      <w:r>
        <w:rPr>
          <w:rFonts w:hint="eastAsia"/>
        </w:rPr>
        <w:t>本企业对上述声明内容的真实性负责。如有虚假，将依法承担相应责任。</w:t>
      </w:r>
    </w:p>
    <w:p>
      <w:pPr>
        <w:ind w:firstLine="480"/>
        <w:jc w:val="center"/>
      </w:pPr>
    </w:p>
    <w:p>
      <w:pPr>
        <w:ind w:firstLine="480"/>
        <w:jc w:val="center"/>
      </w:pPr>
    </w:p>
    <w:p>
      <w:pPr>
        <w:ind w:firstLine="480"/>
        <w:jc w:val="right"/>
      </w:pPr>
      <w:r>
        <w:rPr>
          <w:rFonts w:hint="eastAsia"/>
        </w:rPr>
        <w:t>企业名称（盖章）：</w:t>
      </w:r>
    </w:p>
    <w:p>
      <w:pPr>
        <w:pStyle w:val="116"/>
        <w:ind w:left="0" w:leftChars="0" w:firstLine="0" w:firstLineChars="0"/>
        <w:jc w:val="left"/>
        <w:rPr>
          <w:rFonts w:hint="eastAsia"/>
          <w:b/>
          <w:sz w:val="28"/>
        </w:rPr>
      </w:pPr>
      <w:r>
        <w:rPr>
          <w:rFonts w:hint="eastAsia"/>
        </w:rPr>
        <w:t>日 期：</w:t>
      </w:r>
    </w:p>
    <w:p>
      <w:pPr>
        <w:pStyle w:val="116"/>
        <w:ind w:firstLine="0" w:firstLineChars="0"/>
        <w:jc w:val="left"/>
        <w:rPr>
          <w:rFonts w:hint="eastAsia"/>
          <w:b/>
          <w:sz w:val="28"/>
        </w:rPr>
      </w:pPr>
    </w:p>
    <w:p>
      <w:pPr>
        <w:pStyle w:val="116"/>
        <w:ind w:left="420" w:firstLine="562"/>
        <w:jc w:val="center"/>
        <w:rPr>
          <w:rFonts w:hint="eastAsia"/>
          <w:b/>
          <w:sz w:val="28"/>
          <w:lang w:val="en-US" w:eastAsia="zh-CN"/>
        </w:rPr>
        <w:sectPr>
          <w:pgSz w:w="11906" w:h="16838"/>
          <w:pgMar w:top="907" w:right="1134" w:bottom="907" w:left="1134" w:header="851" w:footer="992" w:gutter="0"/>
          <w:pgNumType w:fmt="decimal"/>
          <w:cols w:space="720" w:num="1"/>
          <w:docGrid w:type="lines" w:linePitch="312" w:charSpace="0"/>
        </w:sectPr>
      </w:pPr>
    </w:p>
    <w:p>
      <w:pPr>
        <w:ind w:firstLine="562"/>
        <w:jc w:val="center"/>
        <w:rPr>
          <w:rFonts w:ascii="仿宋_GB2312"/>
          <w:b/>
          <w:sz w:val="28"/>
          <w:szCs w:val="28"/>
        </w:rPr>
      </w:pPr>
      <w:r>
        <w:rPr>
          <w:rFonts w:hint="eastAsia" w:ascii="仿宋_GB2312"/>
          <w:b/>
          <w:sz w:val="28"/>
          <w:szCs w:val="28"/>
          <w:lang w:eastAsia="zh-CN"/>
        </w:rPr>
        <w:t>四</w:t>
      </w:r>
      <w:r>
        <w:rPr>
          <w:rFonts w:hint="eastAsia" w:ascii="仿宋_GB2312"/>
          <w:b/>
          <w:sz w:val="28"/>
          <w:szCs w:val="28"/>
          <w:lang w:val="en-US" w:eastAsia="zh-CN"/>
        </w:rPr>
        <w:t>-2</w:t>
      </w:r>
      <w:r>
        <w:rPr>
          <w:rFonts w:hint="eastAsia" w:ascii="仿宋_GB2312"/>
          <w:b/>
          <w:sz w:val="28"/>
          <w:szCs w:val="28"/>
        </w:rPr>
        <w:t>、</w:t>
      </w:r>
      <w:r>
        <w:rPr>
          <w:rFonts w:ascii="仿宋_GB2312"/>
          <w:b/>
          <w:sz w:val="28"/>
          <w:szCs w:val="28"/>
        </w:rPr>
        <w:t>残疾人福利性单位声明函</w:t>
      </w:r>
    </w:p>
    <w:p>
      <w:pPr>
        <w:snapToGrid w:val="0"/>
        <w:ind w:firstLine="641"/>
        <w:jc w:val="center"/>
        <w:rPr>
          <w:rFonts w:eastAsia="华文中宋"/>
          <w:b/>
          <w:bCs/>
          <w:sz w:val="32"/>
          <w:szCs w:val="32"/>
        </w:rPr>
      </w:pPr>
    </w:p>
    <w:p>
      <w:pPr>
        <w:adjustRightInd w:val="0"/>
        <w:snapToGrid w:val="0"/>
        <w:spacing w:line="480" w:lineRule="auto"/>
        <w:ind w:firstLine="504"/>
        <w:rPr>
          <w:spacing w:val="6"/>
          <w:szCs w:val="21"/>
        </w:rPr>
      </w:pPr>
      <w:r>
        <w:rPr>
          <w:spacing w:val="6"/>
          <w:szCs w:val="21"/>
        </w:rPr>
        <w:t>本单位郑重声明，根据《财政部民政部中国残疾人联合会关于促进残疾人就业政府采购政策的通知》（财库</w:t>
      </w:r>
      <w:r>
        <w:rPr>
          <w:szCs w:val="21"/>
        </w:rPr>
        <w:t>〔2017〕141</w:t>
      </w:r>
      <w:r>
        <w:rPr>
          <w:spacing w:val="6"/>
          <w:szCs w:val="21"/>
        </w:rPr>
        <w:t>号）的规定，本单位为符合条件的残疾人福利性单位，且本单位参加</w:t>
      </w:r>
      <w:r>
        <w:rPr>
          <w:spacing w:val="6"/>
          <w:szCs w:val="21"/>
          <w:u w:val="single"/>
        </w:rPr>
        <w:t>（采购人名称）</w:t>
      </w:r>
      <w:r>
        <w:rPr>
          <w:spacing w:val="6"/>
          <w:szCs w:val="21"/>
        </w:rPr>
        <w:t>单位的</w:t>
      </w:r>
      <w:r>
        <w:rPr>
          <w:spacing w:val="6"/>
          <w:szCs w:val="21"/>
          <w:u w:val="single"/>
        </w:rPr>
        <w:t>（项目名称）</w:t>
      </w:r>
      <w:r>
        <w:rPr>
          <w:spacing w:val="6"/>
          <w:szCs w:val="21"/>
        </w:rPr>
        <w:t>项目采购活动提供本单位制造的货物（由本单位承担工程/提供服务），或者提供其他残疾人福利性单位制造的货物（不包括使用非残疾人福利性单位注册商标的货物）。</w:t>
      </w:r>
    </w:p>
    <w:p>
      <w:pPr>
        <w:adjustRightInd w:val="0"/>
        <w:snapToGrid w:val="0"/>
        <w:spacing w:line="480" w:lineRule="auto"/>
        <w:ind w:firstLine="504"/>
        <w:rPr>
          <w:spacing w:val="6"/>
          <w:szCs w:val="21"/>
        </w:rPr>
      </w:pPr>
      <w:r>
        <w:rPr>
          <w:spacing w:val="6"/>
          <w:szCs w:val="21"/>
        </w:rPr>
        <w:t>本单位对上述声明的真实性负责。如有虚假，将依法承担相应责任。</w:t>
      </w:r>
    </w:p>
    <w:p>
      <w:pPr>
        <w:snapToGrid w:val="0"/>
        <w:ind w:firstLine="504"/>
        <w:rPr>
          <w:spacing w:val="6"/>
          <w:szCs w:val="21"/>
        </w:rPr>
      </w:pPr>
    </w:p>
    <w:p>
      <w:pPr>
        <w:snapToGrid w:val="0"/>
        <w:ind w:firstLine="504"/>
        <w:rPr>
          <w:spacing w:val="6"/>
          <w:szCs w:val="21"/>
        </w:rPr>
      </w:pPr>
    </w:p>
    <w:p>
      <w:pPr>
        <w:adjustRightInd w:val="0"/>
        <w:snapToGrid w:val="0"/>
        <w:spacing w:line="480" w:lineRule="auto"/>
        <w:ind w:firstLine="480"/>
        <w:rPr>
          <w:kern w:val="0"/>
          <w:szCs w:val="21"/>
          <w:u w:val="single"/>
        </w:rPr>
      </w:pPr>
      <w:r>
        <w:rPr>
          <w:kern w:val="0"/>
          <w:szCs w:val="21"/>
        </w:rPr>
        <w:t>投标人名称（盖章）：</w:t>
      </w:r>
    </w:p>
    <w:p>
      <w:pPr>
        <w:pStyle w:val="116"/>
        <w:ind w:left="420" w:firstLine="562"/>
        <w:jc w:val="center"/>
        <w:rPr>
          <w:rFonts w:hint="eastAsia"/>
          <w:kern w:val="0"/>
          <w:szCs w:val="21"/>
        </w:rPr>
      </w:pPr>
      <w:r>
        <w:rPr>
          <w:kern w:val="0"/>
          <w:szCs w:val="21"/>
        </w:rPr>
        <w:t>日期：</w:t>
      </w:r>
      <w:r>
        <w:rPr>
          <w:rFonts w:hint="eastAsia"/>
          <w:kern w:val="0"/>
          <w:szCs w:val="21"/>
        </w:rPr>
        <w:t>2022年月日</w:t>
      </w:r>
    </w:p>
    <w:p>
      <w:pPr>
        <w:rPr>
          <w:rFonts w:hint="eastAsia"/>
          <w:kern w:val="0"/>
          <w:szCs w:val="21"/>
        </w:rPr>
      </w:pPr>
      <w:r>
        <w:rPr>
          <w:rFonts w:hint="eastAsia"/>
          <w:kern w:val="0"/>
          <w:szCs w:val="21"/>
        </w:rPr>
        <w:br w:type="page"/>
      </w:r>
    </w:p>
    <w:p>
      <w:pPr>
        <w:pStyle w:val="116"/>
        <w:ind w:left="420" w:firstLine="562"/>
        <w:jc w:val="center"/>
        <w:rPr>
          <w:rFonts w:hint="eastAsia"/>
        </w:rPr>
      </w:pPr>
      <w:r>
        <w:rPr>
          <w:rFonts w:hint="eastAsia"/>
          <w:b/>
          <w:sz w:val="28"/>
          <w:lang w:val="en-US" w:eastAsia="zh-CN"/>
        </w:rPr>
        <w:t>五</w:t>
      </w:r>
      <w:r>
        <w:rPr>
          <w:rFonts w:hint="eastAsia"/>
          <w:b/>
          <w:sz w:val="28"/>
        </w:rPr>
        <w:t>、财务状况报告的相关材料或承诺函</w:t>
      </w:r>
    </w:p>
    <w:p>
      <w:pPr>
        <w:pStyle w:val="116"/>
        <w:ind w:left="420" w:firstLine="420"/>
        <w:rPr>
          <w:rFonts w:hint="eastAsia"/>
        </w:rPr>
      </w:pPr>
    </w:p>
    <w:p>
      <w:pPr>
        <w:pStyle w:val="116"/>
        <w:ind w:left="420" w:firstLine="420"/>
        <w:rPr>
          <w:rFonts w:hint="eastAsia"/>
        </w:rPr>
      </w:pPr>
    </w:p>
    <w:p>
      <w:pPr>
        <w:pStyle w:val="116"/>
        <w:ind w:left="420" w:firstLine="420"/>
        <w:rPr>
          <w:rFonts w:hint="eastAsia"/>
        </w:rPr>
      </w:pPr>
    </w:p>
    <w:p>
      <w:pPr>
        <w:pStyle w:val="116"/>
        <w:ind w:left="0" w:leftChars="0" w:firstLine="0" w:firstLineChars="0"/>
        <w:rPr>
          <w:rFonts w:hint="eastAsia"/>
        </w:rPr>
      </w:pPr>
    </w:p>
    <w:p>
      <w:pPr>
        <w:pStyle w:val="116"/>
        <w:ind w:left="420" w:firstLine="420"/>
        <w:rPr>
          <w:rFonts w:hint="eastAsia"/>
        </w:rPr>
      </w:pPr>
    </w:p>
    <w:p>
      <w:pPr>
        <w:pStyle w:val="116"/>
        <w:ind w:left="420" w:firstLine="420"/>
        <w:rPr>
          <w:rFonts w:hint="eastAsia"/>
        </w:rPr>
      </w:pPr>
    </w:p>
    <w:p>
      <w:pPr>
        <w:pStyle w:val="116"/>
        <w:ind w:left="420" w:firstLine="420"/>
      </w:pPr>
    </w:p>
    <w:p>
      <w:pPr>
        <w:pStyle w:val="116"/>
        <w:ind w:left="420" w:firstLine="420"/>
      </w:pPr>
    </w:p>
    <w:p>
      <w:pPr>
        <w:pStyle w:val="116"/>
        <w:ind w:left="420" w:firstLine="562"/>
        <w:jc w:val="left"/>
        <w:rPr>
          <w:b/>
          <w:sz w:val="28"/>
        </w:rPr>
      </w:pPr>
      <w:r>
        <w:rPr>
          <w:rFonts w:hint="eastAsia"/>
          <w:b/>
          <w:sz w:val="28"/>
          <w:lang w:val="en-US" w:eastAsia="zh-CN"/>
        </w:rPr>
        <w:t>六</w:t>
      </w:r>
      <w:r>
        <w:rPr>
          <w:rFonts w:hint="eastAsia"/>
          <w:b/>
          <w:sz w:val="28"/>
        </w:rPr>
        <w:t>、具有履行合同所必需的场地、设备和专业技术能力的承诺函；</w:t>
      </w:r>
    </w:p>
    <w:p>
      <w:pPr>
        <w:pStyle w:val="116"/>
        <w:ind w:left="420" w:firstLine="420"/>
      </w:pPr>
    </w:p>
    <w:p>
      <w:pPr>
        <w:pStyle w:val="116"/>
        <w:ind w:left="0" w:leftChars="0" w:firstLine="0" w:firstLineChars="0"/>
        <w:jc w:val="left"/>
        <w:rPr>
          <w:rFonts w:hint="eastAsia"/>
          <w:b/>
          <w:sz w:val="28"/>
        </w:rPr>
      </w:pPr>
    </w:p>
    <w:p>
      <w:pPr>
        <w:pStyle w:val="116"/>
        <w:ind w:left="420" w:firstLine="562"/>
        <w:jc w:val="left"/>
        <w:rPr>
          <w:rFonts w:hint="eastAsia"/>
          <w:b/>
          <w:sz w:val="28"/>
        </w:rPr>
      </w:pPr>
    </w:p>
    <w:p>
      <w:pPr>
        <w:pStyle w:val="116"/>
        <w:ind w:left="420" w:firstLine="562"/>
        <w:jc w:val="left"/>
        <w:rPr>
          <w:rFonts w:hint="eastAsia"/>
          <w:b/>
          <w:sz w:val="28"/>
        </w:rPr>
      </w:pPr>
    </w:p>
    <w:p>
      <w:pPr>
        <w:pStyle w:val="116"/>
        <w:ind w:left="420" w:firstLine="562"/>
        <w:jc w:val="left"/>
        <w:rPr>
          <w:rFonts w:hint="eastAsia"/>
          <w:b/>
          <w:sz w:val="28"/>
        </w:rPr>
      </w:pPr>
    </w:p>
    <w:p>
      <w:pPr>
        <w:pStyle w:val="116"/>
        <w:ind w:left="420" w:firstLine="562"/>
        <w:jc w:val="left"/>
        <w:rPr>
          <w:rFonts w:hint="eastAsia"/>
          <w:b/>
          <w:sz w:val="28"/>
        </w:rPr>
      </w:pPr>
    </w:p>
    <w:p>
      <w:pPr>
        <w:pStyle w:val="116"/>
        <w:ind w:left="420" w:firstLine="562"/>
        <w:jc w:val="left"/>
        <w:rPr>
          <w:b/>
          <w:sz w:val="28"/>
        </w:rPr>
      </w:pPr>
      <w:r>
        <w:rPr>
          <w:rFonts w:hint="eastAsia"/>
          <w:b/>
          <w:sz w:val="28"/>
          <w:lang w:val="en-US" w:eastAsia="zh-CN"/>
        </w:rPr>
        <w:t>七</w:t>
      </w:r>
      <w:r>
        <w:rPr>
          <w:rFonts w:hint="eastAsia"/>
          <w:b/>
          <w:sz w:val="28"/>
        </w:rPr>
        <w:t>、依法缴纳税收和社会保障资金的相关材料证明或承诺函</w:t>
      </w:r>
    </w:p>
    <w:p>
      <w:pPr>
        <w:pStyle w:val="116"/>
        <w:ind w:left="420" w:firstLine="562"/>
        <w:jc w:val="left"/>
        <w:rPr>
          <w:b/>
          <w:sz w:val="28"/>
        </w:rPr>
      </w:pPr>
    </w:p>
    <w:p>
      <w:pPr>
        <w:pStyle w:val="116"/>
        <w:ind w:left="420" w:firstLine="562"/>
        <w:jc w:val="left"/>
        <w:rPr>
          <w:rFonts w:hint="eastAsia"/>
          <w:b/>
          <w:sz w:val="28"/>
        </w:rPr>
      </w:pPr>
    </w:p>
    <w:p>
      <w:pPr>
        <w:pStyle w:val="116"/>
        <w:ind w:left="420" w:firstLine="562"/>
        <w:jc w:val="left"/>
        <w:rPr>
          <w:rFonts w:hint="eastAsia"/>
          <w:b/>
          <w:sz w:val="28"/>
        </w:rPr>
      </w:pPr>
    </w:p>
    <w:p>
      <w:pPr>
        <w:pStyle w:val="116"/>
        <w:ind w:left="0" w:leftChars="0" w:firstLine="0" w:firstLineChars="0"/>
        <w:jc w:val="left"/>
        <w:rPr>
          <w:rFonts w:hint="eastAsia"/>
          <w:b/>
          <w:sz w:val="28"/>
        </w:rPr>
      </w:pPr>
    </w:p>
    <w:p>
      <w:pPr>
        <w:pStyle w:val="116"/>
        <w:ind w:left="420" w:firstLine="562"/>
        <w:jc w:val="center"/>
        <w:rPr>
          <w:b/>
          <w:sz w:val="28"/>
        </w:rPr>
      </w:pPr>
    </w:p>
    <w:p>
      <w:pPr>
        <w:pStyle w:val="116"/>
        <w:ind w:left="420" w:firstLine="562"/>
        <w:jc w:val="center"/>
        <w:rPr>
          <w:rFonts w:hint="eastAsia"/>
          <w:b/>
          <w:sz w:val="28"/>
          <w:lang w:val="en-US" w:eastAsia="zh-CN"/>
        </w:rPr>
        <w:sectPr>
          <w:pgSz w:w="11906" w:h="16838"/>
          <w:pgMar w:top="907" w:right="1134" w:bottom="907" w:left="1134" w:header="851" w:footer="992" w:gutter="0"/>
          <w:pgNumType w:fmt="decimal"/>
          <w:cols w:space="720" w:num="1"/>
          <w:docGrid w:type="lines" w:linePitch="312" w:charSpace="0"/>
        </w:sectPr>
      </w:pPr>
    </w:p>
    <w:p>
      <w:pPr>
        <w:pStyle w:val="116"/>
        <w:ind w:left="420" w:firstLine="562"/>
        <w:jc w:val="center"/>
        <w:rPr>
          <w:b/>
          <w:sz w:val="28"/>
        </w:rPr>
      </w:pPr>
      <w:r>
        <w:rPr>
          <w:rFonts w:hint="eastAsia"/>
          <w:b/>
          <w:sz w:val="28"/>
          <w:lang w:val="en-US" w:eastAsia="zh-CN"/>
        </w:rPr>
        <w:t>八</w:t>
      </w:r>
      <w:r>
        <w:rPr>
          <w:rFonts w:hint="eastAsia"/>
          <w:b/>
          <w:sz w:val="28"/>
        </w:rPr>
        <w:t>、投标供应商没有失信记录承诺函</w:t>
      </w:r>
    </w:p>
    <w:p>
      <w:pPr>
        <w:pStyle w:val="116"/>
        <w:ind w:firstLine="420"/>
        <w:rPr>
          <w:rFonts w:hint="eastAsia"/>
          <w:u w:val="single"/>
        </w:rPr>
      </w:pPr>
      <w:r>
        <w:rPr>
          <w:rFonts w:hint="eastAsia"/>
          <w:u w:val="single"/>
        </w:rPr>
        <w:t xml:space="preserve">   （采购人名称）   ： </w:t>
      </w:r>
    </w:p>
    <w:p>
      <w:pPr>
        <w:pStyle w:val="116"/>
        <w:ind w:firstLine="420"/>
        <w:rPr>
          <w:rFonts w:hint="eastAsia"/>
        </w:rPr>
      </w:pPr>
      <w:r>
        <w:rPr>
          <w:rFonts w:hint="eastAsia"/>
        </w:rPr>
        <w:t>我公司郑重承诺：到本项目投标截止时间为止，我公司未被“信用中国”（www.creditchina.gov.cn）、中国政府采购网（www.ccgp.gov.cn）列入失信被执行人名单、重大税收违法案件当事人名单、政府采购严重违法失信行为记录名单。如有隐瞒，愿承担一切责任。</w:t>
      </w:r>
    </w:p>
    <w:p>
      <w:pPr>
        <w:pStyle w:val="116"/>
        <w:ind w:firstLine="420"/>
      </w:pPr>
    </w:p>
    <w:p>
      <w:pPr>
        <w:pStyle w:val="116"/>
        <w:ind w:firstLine="420"/>
        <w:rPr>
          <w:rFonts w:hint="eastAsia"/>
        </w:rPr>
      </w:pPr>
      <w:r>
        <w:rPr>
          <w:rFonts w:hint="eastAsia"/>
        </w:rPr>
        <w:t>特此承诺！</w:t>
      </w:r>
    </w:p>
    <w:p>
      <w:pPr>
        <w:pStyle w:val="116"/>
        <w:ind w:firstLine="420"/>
      </w:pPr>
    </w:p>
    <w:p>
      <w:pPr>
        <w:pStyle w:val="116"/>
        <w:ind w:firstLine="420"/>
        <w:rPr>
          <w:rFonts w:hint="eastAsia"/>
        </w:rPr>
      </w:pPr>
      <w:r>
        <w:rPr>
          <w:rFonts w:hint="eastAsia"/>
        </w:rPr>
        <w:t>供应商名称（盖公章） ：</w:t>
      </w:r>
    </w:p>
    <w:p>
      <w:pPr>
        <w:pStyle w:val="116"/>
        <w:ind w:firstLine="420"/>
        <w:rPr>
          <w:rFonts w:hint="eastAsia"/>
        </w:rPr>
      </w:pPr>
      <w:r>
        <w:rPr>
          <w:rFonts w:hint="eastAsia"/>
        </w:rPr>
        <w:t>法定代表人或其授权代表（签字或盖章）：</w:t>
      </w:r>
    </w:p>
    <w:p>
      <w:pPr>
        <w:pStyle w:val="116"/>
        <w:ind w:firstLine="420"/>
      </w:pPr>
    </w:p>
    <w:p>
      <w:pPr>
        <w:shd w:val="clear" w:color="auto" w:fill="FFFFFF"/>
        <w:snapToGrid w:val="0"/>
        <w:spacing w:line="360" w:lineRule="auto"/>
        <w:jc w:val="center"/>
        <w:rPr>
          <w:rFonts w:hint="eastAsia"/>
        </w:rPr>
        <w:sectPr>
          <w:pgSz w:w="11906" w:h="16838"/>
          <w:pgMar w:top="907" w:right="1134" w:bottom="907" w:left="1134" w:header="851" w:footer="992" w:gutter="0"/>
          <w:pgNumType w:fmt="decimal"/>
          <w:cols w:space="720" w:num="1"/>
          <w:docGrid w:type="lines" w:linePitch="312" w:charSpace="0"/>
        </w:sectPr>
      </w:pPr>
      <w:r>
        <w:rPr>
          <w:rFonts w:hint="eastAsia"/>
        </w:rPr>
        <w:t>日期：   年    月     日</w:t>
      </w:r>
    </w:p>
    <w:p>
      <w:pPr>
        <w:spacing w:line="360" w:lineRule="auto"/>
        <w:ind w:right="-110"/>
        <w:jc w:val="center"/>
        <w:outlineLvl w:val="0"/>
        <w:rPr>
          <w:rFonts w:ascii="宋体" w:hAnsi="宋体"/>
          <w:spacing w:val="40"/>
          <w:sz w:val="52"/>
          <w:szCs w:val="52"/>
        </w:rPr>
      </w:pPr>
      <w:bookmarkStart w:id="121" w:name="_Toc28068"/>
      <w:bookmarkStart w:id="122" w:name="_Toc18892"/>
      <w:bookmarkStart w:id="123" w:name="_Toc6727"/>
      <w:bookmarkStart w:id="124" w:name="_Toc2003"/>
      <w:bookmarkStart w:id="125" w:name="_Toc7488"/>
      <w:bookmarkStart w:id="126" w:name="_Toc17529"/>
      <w:r>
        <w:rPr>
          <w:rFonts w:hint="eastAsia" w:ascii="宋体" w:hAnsi="宋体"/>
          <w:spacing w:val="40"/>
          <w:sz w:val="52"/>
          <w:szCs w:val="52"/>
        </w:rPr>
        <w:t>项目名称</w:t>
      </w:r>
      <w:bookmarkEnd w:id="121"/>
      <w:bookmarkEnd w:id="122"/>
      <w:bookmarkEnd w:id="123"/>
      <w:bookmarkEnd w:id="124"/>
      <w:bookmarkEnd w:id="125"/>
      <w:bookmarkEnd w:id="126"/>
    </w:p>
    <w:p>
      <w:pPr>
        <w:spacing w:before="312" w:beforeLines="100" w:line="360" w:lineRule="auto"/>
        <w:ind w:right="-108"/>
        <w:jc w:val="center"/>
        <w:rPr>
          <w:rFonts w:ascii="宋体" w:hAnsi="宋体"/>
          <w:sz w:val="36"/>
          <w:szCs w:val="36"/>
        </w:rPr>
      </w:pPr>
      <w:r>
        <w:rPr>
          <w:rFonts w:hint="eastAsia" w:ascii="宋体" w:hAnsi="宋体"/>
          <w:sz w:val="36"/>
          <w:szCs w:val="36"/>
        </w:rPr>
        <w:t xml:space="preserve">项目编号：    </w:t>
      </w:r>
    </w:p>
    <w:p>
      <w:pPr>
        <w:spacing w:after="100" w:afterAutospacing="1" w:line="360" w:lineRule="auto"/>
        <w:ind w:right="-108"/>
        <w:jc w:val="center"/>
        <w:rPr>
          <w:rFonts w:ascii="宋体" w:hAnsi="宋体"/>
          <w:b/>
          <w:spacing w:val="40"/>
          <w:sz w:val="84"/>
          <w:szCs w:val="84"/>
        </w:rPr>
      </w:pPr>
      <w:r>
        <w:rPr>
          <w:rFonts w:hint="eastAsia" w:ascii="宋体" w:hAnsi="宋体"/>
          <w:b/>
          <w:spacing w:val="40"/>
          <w:sz w:val="84"/>
          <w:szCs w:val="84"/>
        </w:rPr>
        <w:t>报</w:t>
      </w:r>
    </w:p>
    <w:p>
      <w:pPr>
        <w:spacing w:after="100" w:afterAutospacing="1" w:line="360" w:lineRule="auto"/>
        <w:ind w:right="-108"/>
        <w:jc w:val="center"/>
        <w:rPr>
          <w:rFonts w:ascii="宋体" w:hAnsi="宋体"/>
          <w:b/>
          <w:spacing w:val="40"/>
          <w:sz w:val="84"/>
          <w:szCs w:val="84"/>
        </w:rPr>
      </w:pPr>
      <w:r>
        <w:rPr>
          <w:rFonts w:hint="eastAsia" w:ascii="宋体" w:hAnsi="宋体"/>
          <w:b/>
          <w:spacing w:val="40"/>
          <w:sz w:val="84"/>
          <w:szCs w:val="84"/>
        </w:rPr>
        <w:t>价</w:t>
      </w:r>
    </w:p>
    <w:p>
      <w:pPr>
        <w:spacing w:after="100" w:afterAutospacing="1" w:line="360" w:lineRule="auto"/>
        <w:ind w:right="-108"/>
        <w:jc w:val="center"/>
        <w:rPr>
          <w:rFonts w:ascii="宋体" w:hAnsi="宋体"/>
          <w:b/>
          <w:spacing w:val="40"/>
          <w:sz w:val="84"/>
          <w:szCs w:val="84"/>
        </w:rPr>
      </w:pPr>
      <w:r>
        <w:rPr>
          <w:rFonts w:hint="eastAsia" w:ascii="宋体" w:hAnsi="宋体"/>
          <w:b/>
          <w:spacing w:val="40"/>
          <w:sz w:val="84"/>
          <w:szCs w:val="84"/>
        </w:rPr>
        <w:t>文</w:t>
      </w:r>
    </w:p>
    <w:p>
      <w:pPr>
        <w:spacing w:after="100" w:afterAutospacing="1" w:line="360" w:lineRule="auto"/>
        <w:ind w:right="-108"/>
        <w:jc w:val="center"/>
        <w:rPr>
          <w:rFonts w:ascii="宋体" w:hAnsi="宋体"/>
          <w:b/>
          <w:spacing w:val="40"/>
          <w:sz w:val="84"/>
          <w:szCs w:val="84"/>
        </w:rPr>
      </w:pPr>
      <w:r>
        <w:rPr>
          <w:rFonts w:hint="eastAsia" w:ascii="宋体" w:hAnsi="宋体"/>
          <w:b/>
          <w:spacing w:val="40"/>
          <w:sz w:val="84"/>
          <w:szCs w:val="84"/>
        </w:rPr>
        <w:t>件</w:t>
      </w:r>
    </w:p>
    <w:p>
      <w:pPr>
        <w:spacing w:line="360" w:lineRule="auto"/>
        <w:jc w:val="center"/>
        <w:rPr>
          <w:sz w:val="32"/>
          <w:szCs w:val="32"/>
        </w:rPr>
      </w:pPr>
      <w:r>
        <w:rPr>
          <w:rFonts w:hint="eastAsia"/>
          <w:sz w:val="32"/>
          <w:szCs w:val="32"/>
        </w:rPr>
        <w:t>（报价文件）</w:t>
      </w:r>
    </w:p>
    <w:p>
      <w:pPr>
        <w:spacing w:line="360" w:lineRule="auto"/>
        <w:ind w:right="532"/>
        <w:rPr>
          <w:rFonts w:ascii="宋体" w:hAnsi="宋体"/>
          <w:sz w:val="36"/>
          <w:szCs w:val="36"/>
        </w:rPr>
      </w:pPr>
    </w:p>
    <w:p>
      <w:pPr>
        <w:spacing w:line="360" w:lineRule="auto"/>
        <w:ind w:right="532" w:firstLine="720" w:firstLineChars="200"/>
        <w:rPr>
          <w:rFonts w:ascii="宋体" w:hAnsi="宋体"/>
          <w:sz w:val="36"/>
          <w:szCs w:val="36"/>
        </w:rPr>
      </w:pPr>
      <w:r>
        <w:rPr>
          <w:rFonts w:hint="eastAsia" w:ascii="宋体" w:hAnsi="宋体"/>
          <w:sz w:val="36"/>
          <w:szCs w:val="36"/>
        </w:rPr>
        <w:t>供应商全称（公章）：</w:t>
      </w:r>
    </w:p>
    <w:p>
      <w:pPr>
        <w:spacing w:line="360" w:lineRule="auto"/>
        <w:ind w:right="-108" w:firstLine="720" w:firstLineChars="200"/>
        <w:rPr>
          <w:rFonts w:ascii="宋体" w:hAnsi="宋体"/>
          <w:sz w:val="36"/>
          <w:szCs w:val="36"/>
        </w:rPr>
      </w:pPr>
      <w:r>
        <w:rPr>
          <w:rFonts w:hint="eastAsia" w:ascii="宋体" w:hAnsi="宋体"/>
          <w:sz w:val="36"/>
          <w:szCs w:val="36"/>
        </w:rPr>
        <w:t>地    址：</w:t>
      </w:r>
    </w:p>
    <w:p>
      <w:pPr>
        <w:spacing w:line="360" w:lineRule="auto"/>
        <w:ind w:right="-108" w:firstLine="720" w:firstLineChars="200"/>
        <w:rPr>
          <w:rFonts w:ascii="宋体" w:hAnsi="宋体"/>
          <w:sz w:val="36"/>
          <w:szCs w:val="36"/>
        </w:rPr>
      </w:pPr>
      <w:r>
        <w:rPr>
          <w:rFonts w:hint="eastAsia" w:ascii="宋体" w:hAnsi="宋体"/>
          <w:sz w:val="36"/>
          <w:szCs w:val="36"/>
        </w:rPr>
        <w:t>时    间：</w:t>
      </w:r>
    </w:p>
    <w:p>
      <w:pPr>
        <w:pStyle w:val="19"/>
      </w:pPr>
    </w:p>
    <w:p>
      <w:pPr>
        <w:pStyle w:val="29"/>
      </w:pPr>
    </w:p>
    <w:p/>
    <w:p>
      <w:pPr>
        <w:pStyle w:val="19"/>
      </w:pPr>
    </w:p>
    <w:p>
      <w:pPr>
        <w:shd w:val="clear" w:color="auto" w:fill="FFFFFF"/>
        <w:snapToGrid w:val="0"/>
        <w:spacing w:line="360" w:lineRule="auto"/>
        <w:jc w:val="center"/>
        <w:outlineLvl w:val="1"/>
        <w:rPr>
          <w:rFonts w:ascii="宋体" w:hAnsi="宋体" w:cs="宋体"/>
          <w:b/>
          <w:bCs/>
          <w:kern w:val="0"/>
          <w:sz w:val="32"/>
          <w:szCs w:val="32"/>
        </w:rPr>
      </w:pPr>
    </w:p>
    <w:p>
      <w:pPr>
        <w:spacing w:line="360" w:lineRule="auto"/>
        <w:jc w:val="center"/>
        <w:rPr>
          <w:b/>
          <w:sz w:val="44"/>
          <w:szCs w:val="44"/>
        </w:rPr>
      </w:pPr>
      <w:r>
        <w:rPr>
          <w:rFonts w:hint="eastAsia"/>
          <w:b/>
          <w:sz w:val="44"/>
          <w:szCs w:val="44"/>
        </w:rPr>
        <w:t>报价文件</w:t>
      </w:r>
    </w:p>
    <w:p>
      <w:pPr>
        <w:spacing w:line="360" w:lineRule="auto"/>
        <w:jc w:val="center"/>
        <w:rPr>
          <w:b/>
          <w:sz w:val="32"/>
          <w:szCs w:val="32"/>
        </w:rPr>
      </w:pPr>
      <w:r>
        <w:rPr>
          <w:rFonts w:hint="eastAsia"/>
          <w:b/>
          <w:sz w:val="32"/>
          <w:szCs w:val="32"/>
        </w:rPr>
        <w:t>目录</w:t>
      </w:r>
    </w:p>
    <w:p>
      <w:pPr>
        <w:spacing w:line="360" w:lineRule="auto"/>
        <w:jc w:val="left"/>
        <w:rPr>
          <w:sz w:val="24"/>
        </w:rPr>
      </w:pPr>
      <w:r>
        <w:rPr>
          <w:rFonts w:hint="eastAsia"/>
          <w:sz w:val="24"/>
        </w:rPr>
        <w:t>1</w:t>
      </w:r>
      <w:r>
        <w:rPr>
          <w:sz w:val="24"/>
        </w:rPr>
        <w:t>、</w:t>
      </w:r>
      <w:r>
        <w:rPr>
          <w:rFonts w:hint="eastAsia"/>
          <w:sz w:val="24"/>
        </w:rPr>
        <w:t>投标函</w:t>
      </w:r>
      <w:r>
        <w:rPr>
          <w:sz w:val="24"/>
        </w:rPr>
        <w:t>………………………………………………………………………………（页码）</w:t>
      </w:r>
    </w:p>
    <w:p>
      <w:pPr>
        <w:spacing w:line="360" w:lineRule="auto"/>
        <w:jc w:val="left"/>
        <w:rPr>
          <w:sz w:val="24"/>
        </w:rPr>
      </w:pPr>
      <w:r>
        <w:rPr>
          <w:rFonts w:hint="eastAsia"/>
          <w:sz w:val="24"/>
        </w:rPr>
        <w:t>2、</w:t>
      </w:r>
      <w:r>
        <w:rPr>
          <w:sz w:val="24"/>
        </w:rPr>
        <w:t>开标一览表…………………………………………………………………………（页码）</w:t>
      </w:r>
    </w:p>
    <w:p>
      <w:pPr>
        <w:pStyle w:val="29"/>
      </w:pPr>
    </w:p>
    <w:p/>
    <w:p>
      <w:pPr>
        <w:pStyle w:val="19"/>
      </w:pPr>
    </w:p>
    <w:p>
      <w:pPr>
        <w:pStyle w:val="29"/>
      </w:pPr>
    </w:p>
    <w:p/>
    <w:p>
      <w:pPr>
        <w:pStyle w:val="19"/>
      </w:pPr>
    </w:p>
    <w:p>
      <w:pPr>
        <w:pStyle w:val="29"/>
      </w:pPr>
    </w:p>
    <w:p/>
    <w:p>
      <w:pPr>
        <w:pStyle w:val="19"/>
      </w:pPr>
    </w:p>
    <w:p>
      <w:pPr>
        <w:pStyle w:val="29"/>
      </w:pPr>
    </w:p>
    <w:p/>
    <w:p>
      <w:pPr>
        <w:pStyle w:val="19"/>
      </w:pPr>
    </w:p>
    <w:p>
      <w:pPr>
        <w:pStyle w:val="29"/>
      </w:pPr>
    </w:p>
    <w:p/>
    <w:p>
      <w:pPr>
        <w:pStyle w:val="19"/>
      </w:pPr>
    </w:p>
    <w:p>
      <w:pPr>
        <w:pStyle w:val="19"/>
      </w:pPr>
    </w:p>
    <w:p>
      <w:pPr>
        <w:pStyle w:val="20"/>
        <w:ind w:firstLine="210"/>
        <w:rPr>
          <w:rFonts w:eastAsiaTheme="minorEastAsia"/>
        </w:rPr>
      </w:pPr>
    </w:p>
    <w:p>
      <w:pPr>
        <w:pStyle w:val="20"/>
        <w:ind w:firstLine="210"/>
        <w:rPr>
          <w:rFonts w:eastAsiaTheme="minorEastAsia"/>
        </w:rPr>
      </w:pPr>
    </w:p>
    <w:p>
      <w:pPr>
        <w:spacing w:line="360" w:lineRule="auto"/>
        <w:jc w:val="center"/>
        <w:rPr>
          <w:rFonts w:ascii="宋体" w:hAnsi="宋体" w:cs="宋体"/>
          <w:b/>
          <w:bCs/>
          <w:kern w:val="0"/>
          <w:sz w:val="32"/>
          <w:szCs w:val="32"/>
        </w:rPr>
      </w:pPr>
    </w:p>
    <w:p>
      <w:pPr>
        <w:pStyle w:val="2"/>
      </w:pPr>
    </w:p>
    <w:p>
      <w:pPr>
        <w:pStyle w:val="2"/>
      </w:pPr>
    </w:p>
    <w:p>
      <w:pPr>
        <w:spacing w:line="360" w:lineRule="auto"/>
        <w:jc w:val="both"/>
        <w:rPr>
          <w:rFonts w:ascii="宋体" w:hAnsi="宋体" w:cs="宋体"/>
          <w:b/>
          <w:bCs/>
          <w:kern w:val="0"/>
          <w:sz w:val="32"/>
          <w:szCs w:val="32"/>
        </w:rPr>
      </w:pPr>
    </w:p>
    <w:p>
      <w:pPr>
        <w:spacing w:line="360" w:lineRule="auto"/>
        <w:jc w:val="center"/>
        <w:rPr>
          <w:rFonts w:hint="eastAsia" w:ascii="宋体" w:hAnsi="宋体" w:cs="宋体"/>
          <w:b/>
          <w:bCs/>
          <w:kern w:val="0"/>
          <w:sz w:val="32"/>
          <w:szCs w:val="32"/>
        </w:rPr>
        <w:sectPr>
          <w:pgSz w:w="11906" w:h="16838"/>
          <w:pgMar w:top="907" w:right="1134" w:bottom="907" w:left="1134" w:header="851" w:footer="992" w:gutter="0"/>
          <w:pgNumType w:fmt="decimal"/>
          <w:cols w:space="720" w:num="1"/>
          <w:docGrid w:type="lines" w:linePitch="312" w:charSpace="0"/>
        </w:sectPr>
      </w:pPr>
    </w:p>
    <w:p>
      <w:pPr>
        <w:spacing w:line="360" w:lineRule="auto"/>
        <w:jc w:val="center"/>
        <w:rPr>
          <w:b/>
          <w:sz w:val="44"/>
          <w:szCs w:val="44"/>
        </w:rPr>
      </w:pPr>
      <w:r>
        <w:rPr>
          <w:rFonts w:hint="eastAsia" w:ascii="宋体" w:hAnsi="宋体" w:cs="宋体"/>
          <w:b/>
          <w:bCs/>
          <w:kern w:val="0"/>
          <w:sz w:val="32"/>
          <w:szCs w:val="32"/>
        </w:rPr>
        <w:t>一、投标函</w:t>
      </w:r>
    </w:p>
    <w:p>
      <w:pPr>
        <w:pStyle w:val="22"/>
        <w:spacing w:line="360" w:lineRule="auto"/>
        <w:ind w:left="-284" w:firstLine="0"/>
        <w:rPr>
          <w:rFonts w:ascii="宋体" w:hAnsi="宋体" w:eastAsia="宋体"/>
          <w:sz w:val="21"/>
          <w:szCs w:val="21"/>
        </w:rPr>
      </w:pPr>
      <w:r>
        <w:rPr>
          <w:rFonts w:ascii="宋体" w:hAnsi="宋体" w:eastAsia="宋体"/>
          <w:sz w:val="21"/>
          <w:szCs w:val="21"/>
        </w:rPr>
        <w:t>致：</w:t>
      </w:r>
      <w:r>
        <w:rPr>
          <w:rFonts w:ascii="宋体" w:hAnsi="宋体" w:eastAsia="宋体"/>
          <w:sz w:val="21"/>
          <w:szCs w:val="21"/>
          <w:u w:val="single"/>
        </w:rPr>
        <w:t xml:space="preserve">  （</w:t>
      </w:r>
      <w:r>
        <w:rPr>
          <w:rFonts w:hint="eastAsia" w:ascii="宋体" w:hAnsi="宋体" w:eastAsia="宋体"/>
          <w:sz w:val="21"/>
          <w:szCs w:val="21"/>
          <w:u w:val="single"/>
        </w:rPr>
        <w:t>采购人</w:t>
      </w:r>
      <w:r>
        <w:rPr>
          <w:rFonts w:ascii="宋体" w:hAnsi="宋体" w:eastAsia="宋体"/>
          <w:sz w:val="21"/>
          <w:szCs w:val="21"/>
          <w:u w:val="single"/>
        </w:rPr>
        <w:t xml:space="preserve">）  </w:t>
      </w:r>
    </w:p>
    <w:p>
      <w:pPr>
        <w:pStyle w:val="22"/>
        <w:spacing w:line="360" w:lineRule="auto"/>
        <w:ind w:firstLine="490"/>
        <w:rPr>
          <w:rFonts w:ascii="宋体" w:hAnsi="宋体" w:eastAsia="宋体"/>
          <w:sz w:val="21"/>
          <w:szCs w:val="21"/>
          <w:u w:val="single"/>
        </w:rPr>
      </w:pPr>
      <w:r>
        <w:rPr>
          <w:rFonts w:ascii="宋体" w:hAnsi="宋体" w:eastAsia="宋体"/>
          <w:sz w:val="21"/>
          <w:szCs w:val="21"/>
          <w:u w:val="single"/>
        </w:rPr>
        <w:t xml:space="preserve">   （供应商全称）       </w:t>
      </w:r>
      <w:r>
        <w:rPr>
          <w:rFonts w:ascii="宋体" w:hAnsi="宋体" w:eastAsia="宋体"/>
          <w:sz w:val="21"/>
          <w:szCs w:val="21"/>
        </w:rPr>
        <w:t>授权</w:t>
      </w:r>
      <w:r>
        <w:rPr>
          <w:rFonts w:ascii="宋体" w:hAnsi="宋体" w:eastAsia="宋体"/>
          <w:sz w:val="21"/>
          <w:szCs w:val="21"/>
          <w:u w:val="single"/>
        </w:rPr>
        <w:t xml:space="preserve">   （</w:t>
      </w:r>
      <w:r>
        <w:rPr>
          <w:rFonts w:hint="eastAsia" w:ascii="宋体" w:hAnsi="宋体" w:eastAsia="宋体"/>
          <w:sz w:val="21"/>
          <w:szCs w:val="21"/>
          <w:u w:val="single"/>
        </w:rPr>
        <w:t>被授权人</w:t>
      </w:r>
      <w:r>
        <w:rPr>
          <w:rFonts w:ascii="宋体" w:hAnsi="宋体" w:eastAsia="宋体"/>
          <w:sz w:val="21"/>
          <w:szCs w:val="21"/>
          <w:u w:val="single"/>
        </w:rPr>
        <w:t xml:space="preserve">姓名、职务）   </w:t>
      </w:r>
      <w:r>
        <w:rPr>
          <w:rFonts w:ascii="宋体" w:hAnsi="宋体" w:eastAsia="宋体"/>
          <w:sz w:val="21"/>
          <w:szCs w:val="21"/>
        </w:rPr>
        <w:t>为本公司合法代理人，参加贵方组织的</w:t>
      </w:r>
      <w:r>
        <w:rPr>
          <w:rFonts w:ascii="宋体" w:hAnsi="宋体" w:eastAsia="宋体"/>
          <w:sz w:val="21"/>
          <w:szCs w:val="21"/>
          <w:u w:val="single"/>
        </w:rPr>
        <w:t xml:space="preserve">   （项目编号、项目名称）  </w:t>
      </w:r>
      <w:r>
        <w:rPr>
          <w:rFonts w:ascii="宋体" w:hAnsi="宋体" w:eastAsia="宋体"/>
          <w:sz w:val="21"/>
          <w:szCs w:val="21"/>
        </w:rPr>
        <w:t>招投标活动，代表本公司处理招投标活动中的一切事宜。在此：</w:t>
      </w:r>
    </w:p>
    <w:p>
      <w:pPr>
        <w:pStyle w:val="22"/>
        <w:tabs>
          <w:tab w:val="left" w:pos="426"/>
        </w:tabs>
        <w:spacing w:line="360" w:lineRule="auto"/>
        <w:ind w:firstLine="0"/>
        <w:rPr>
          <w:rFonts w:ascii="宋体" w:hAnsi="宋体" w:eastAsia="宋体"/>
          <w:sz w:val="21"/>
          <w:szCs w:val="21"/>
        </w:rPr>
      </w:pPr>
      <w:r>
        <w:rPr>
          <w:rFonts w:ascii="宋体" w:hAnsi="宋体" w:eastAsia="宋体"/>
          <w:sz w:val="21"/>
          <w:szCs w:val="21"/>
        </w:rPr>
        <w:t>1、提供采购文件中“投标须知”规定的全部投标文件资料</w:t>
      </w:r>
      <w:r>
        <w:rPr>
          <w:rFonts w:hint="eastAsia" w:ascii="宋体" w:hAnsi="宋体" w:eastAsia="宋体"/>
          <w:sz w:val="21"/>
          <w:szCs w:val="21"/>
        </w:rPr>
        <w:t>。</w:t>
      </w:r>
    </w:p>
    <w:p>
      <w:pPr>
        <w:pStyle w:val="22"/>
        <w:tabs>
          <w:tab w:val="left" w:pos="426"/>
        </w:tabs>
        <w:spacing w:line="360" w:lineRule="auto"/>
        <w:ind w:firstLine="0"/>
        <w:rPr>
          <w:rFonts w:ascii="宋体" w:hAnsi="宋体" w:eastAsia="宋体"/>
          <w:sz w:val="21"/>
          <w:szCs w:val="21"/>
        </w:rPr>
      </w:pPr>
      <w:r>
        <w:rPr>
          <w:rFonts w:hint="eastAsia" w:ascii="宋体" w:hAnsi="宋体" w:eastAsia="宋体"/>
          <w:sz w:val="21"/>
          <w:szCs w:val="21"/>
        </w:rPr>
        <w:t>2</w:t>
      </w:r>
      <w:r>
        <w:rPr>
          <w:rFonts w:ascii="宋体" w:hAnsi="宋体" w:eastAsia="宋体"/>
          <w:sz w:val="21"/>
          <w:szCs w:val="21"/>
        </w:rPr>
        <w:t>、据此函，签字代表宣布并承诺如下：</w:t>
      </w:r>
    </w:p>
    <w:p>
      <w:pPr>
        <w:pStyle w:val="22"/>
        <w:spacing w:line="360" w:lineRule="auto"/>
        <w:ind w:firstLine="210" w:firstLineChars="100"/>
        <w:rPr>
          <w:rFonts w:ascii="宋体" w:hAnsi="宋体" w:eastAsia="宋体"/>
          <w:sz w:val="21"/>
          <w:szCs w:val="21"/>
        </w:rPr>
      </w:pPr>
      <w:r>
        <w:rPr>
          <w:rFonts w:ascii="宋体" w:hAnsi="宋体" w:eastAsia="宋体"/>
          <w:sz w:val="21"/>
          <w:szCs w:val="21"/>
        </w:rPr>
        <w:t>（1）我们已详细审查全部“采购文件”，包括修改文件（如有）以及全部参考资料和有关附件，我们完全理解并同意放弃对这方面提出任何异议的权利。已经了解对于采购文件、采购过程、采购结果有依法进行询问、质疑、投诉的权利及相关渠道和要求。</w:t>
      </w:r>
    </w:p>
    <w:p>
      <w:pPr>
        <w:pStyle w:val="22"/>
        <w:spacing w:line="360" w:lineRule="auto"/>
        <w:ind w:firstLine="210" w:firstLineChars="100"/>
        <w:rPr>
          <w:rFonts w:ascii="宋体" w:hAnsi="宋体" w:eastAsia="宋体"/>
          <w:sz w:val="21"/>
          <w:szCs w:val="21"/>
        </w:rPr>
      </w:pPr>
      <w:r>
        <w:rPr>
          <w:rFonts w:ascii="宋体" w:hAnsi="宋体" w:eastAsia="宋体"/>
          <w:sz w:val="21"/>
          <w:szCs w:val="21"/>
        </w:rPr>
        <w:t>（2）本投标自开标之日起</w:t>
      </w:r>
      <w:r>
        <w:rPr>
          <w:rFonts w:hint="eastAsia" w:ascii="宋体" w:hAnsi="宋体" w:eastAsia="宋体"/>
          <w:sz w:val="21"/>
          <w:szCs w:val="21"/>
          <w:u w:val="single"/>
        </w:rPr>
        <w:t>90天</w:t>
      </w:r>
      <w:r>
        <w:rPr>
          <w:rFonts w:ascii="宋体" w:hAnsi="宋体" w:eastAsia="宋体"/>
          <w:sz w:val="21"/>
          <w:szCs w:val="21"/>
        </w:rPr>
        <w:t>内有效。</w:t>
      </w:r>
    </w:p>
    <w:p>
      <w:pPr>
        <w:pStyle w:val="22"/>
        <w:spacing w:line="360" w:lineRule="auto"/>
        <w:ind w:firstLine="210" w:firstLineChars="100"/>
        <w:rPr>
          <w:rFonts w:ascii="宋体" w:hAnsi="宋体" w:eastAsia="宋体"/>
          <w:sz w:val="21"/>
          <w:szCs w:val="21"/>
        </w:rPr>
      </w:pPr>
      <w:r>
        <w:rPr>
          <w:rFonts w:ascii="宋体" w:hAnsi="宋体" w:eastAsia="宋体"/>
          <w:sz w:val="21"/>
          <w:szCs w:val="21"/>
        </w:rPr>
        <w:t>（3）保证遵守采购文件有关条款规定。</w:t>
      </w:r>
    </w:p>
    <w:p>
      <w:pPr>
        <w:pStyle w:val="22"/>
        <w:spacing w:line="360" w:lineRule="auto"/>
        <w:ind w:firstLine="210" w:firstLineChars="100"/>
        <w:rPr>
          <w:rFonts w:ascii="宋体" w:hAnsi="宋体" w:eastAsia="宋体"/>
          <w:sz w:val="21"/>
          <w:szCs w:val="21"/>
        </w:rPr>
      </w:pPr>
      <w:r>
        <w:rPr>
          <w:rFonts w:ascii="宋体" w:hAnsi="宋体" w:eastAsia="宋体"/>
          <w:sz w:val="21"/>
          <w:szCs w:val="21"/>
        </w:rPr>
        <w:t>（4）保证在中标后忠实地执行与采购人所签署的合同，并承担合同规定的责任义务。保证在中标后按照采购文件的规定支付招标代理服务费。</w:t>
      </w:r>
    </w:p>
    <w:p>
      <w:pPr>
        <w:pStyle w:val="22"/>
        <w:spacing w:line="360" w:lineRule="auto"/>
        <w:ind w:firstLine="210" w:firstLineChars="100"/>
        <w:rPr>
          <w:rFonts w:ascii="宋体" w:hAnsi="宋体" w:eastAsia="宋体"/>
          <w:sz w:val="21"/>
          <w:szCs w:val="21"/>
        </w:rPr>
      </w:pPr>
      <w:r>
        <w:rPr>
          <w:rFonts w:ascii="宋体" w:hAnsi="宋体" w:eastAsia="宋体"/>
          <w:sz w:val="21"/>
          <w:szCs w:val="21"/>
        </w:rPr>
        <w:t>（5）承诺应贵方要求提供任何与该项目投标有关的数据、情况和技术资料。</w:t>
      </w:r>
    </w:p>
    <w:p>
      <w:pPr>
        <w:pStyle w:val="22"/>
        <w:tabs>
          <w:tab w:val="left" w:pos="426"/>
        </w:tabs>
        <w:spacing w:line="360" w:lineRule="auto"/>
        <w:ind w:firstLine="0"/>
        <w:rPr>
          <w:rFonts w:ascii="宋体" w:hAnsi="宋体" w:eastAsia="宋体"/>
          <w:sz w:val="21"/>
          <w:szCs w:val="21"/>
        </w:rPr>
      </w:pPr>
      <w:r>
        <w:rPr>
          <w:rFonts w:hint="eastAsia" w:ascii="宋体" w:hAnsi="宋体" w:eastAsia="宋体"/>
          <w:sz w:val="21"/>
          <w:szCs w:val="21"/>
        </w:rPr>
        <w:t>3</w:t>
      </w:r>
      <w:r>
        <w:rPr>
          <w:rFonts w:ascii="宋体" w:hAnsi="宋体" w:eastAsia="宋体"/>
          <w:sz w:val="21"/>
          <w:szCs w:val="21"/>
        </w:rPr>
        <w:t>、我们郑重声明：</w:t>
      </w:r>
    </w:p>
    <w:p>
      <w:pPr>
        <w:pStyle w:val="22"/>
        <w:tabs>
          <w:tab w:val="left" w:pos="426"/>
        </w:tabs>
        <w:spacing w:line="360" w:lineRule="auto"/>
        <w:ind w:firstLine="420" w:firstLineChars="200"/>
        <w:rPr>
          <w:rFonts w:ascii="宋体" w:hAnsi="宋体" w:eastAsia="宋体"/>
          <w:sz w:val="21"/>
          <w:szCs w:val="21"/>
        </w:rPr>
      </w:pPr>
      <w:r>
        <w:rPr>
          <w:rFonts w:ascii="宋体" w:hAnsi="宋体" w:eastAsia="宋体"/>
          <w:sz w:val="21"/>
          <w:szCs w:val="21"/>
        </w:rPr>
        <w:t>我公司符合政府采购法规定的参加采购活动应当具备的条件：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法律行政法规规定的其他条件。</w:t>
      </w:r>
    </w:p>
    <w:p>
      <w:pPr>
        <w:pStyle w:val="22"/>
        <w:tabs>
          <w:tab w:val="left" w:pos="426"/>
        </w:tabs>
        <w:spacing w:line="360" w:lineRule="auto"/>
        <w:ind w:firstLine="0"/>
        <w:rPr>
          <w:rFonts w:ascii="宋体" w:hAnsi="宋体" w:eastAsia="宋体"/>
          <w:sz w:val="21"/>
          <w:szCs w:val="21"/>
        </w:rPr>
      </w:pPr>
      <w:r>
        <w:rPr>
          <w:rFonts w:hint="eastAsia" w:ascii="宋体" w:hAnsi="宋体" w:eastAsia="宋体"/>
          <w:sz w:val="21"/>
          <w:szCs w:val="21"/>
        </w:rPr>
        <w:t>4</w:t>
      </w:r>
      <w:r>
        <w:rPr>
          <w:rFonts w:ascii="宋体" w:hAnsi="宋体" w:eastAsia="宋体"/>
          <w:sz w:val="21"/>
          <w:szCs w:val="21"/>
        </w:rPr>
        <w:t>、与本投标有关的一切往来通讯请寄：</w:t>
      </w:r>
    </w:p>
    <w:p>
      <w:pPr>
        <w:pStyle w:val="22"/>
        <w:spacing w:line="360" w:lineRule="auto"/>
        <w:ind w:left="480" w:firstLine="0"/>
        <w:rPr>
          <w:rFonts w:ascii="宋体" w:hAnsi="宋体" w:eastAsia="宋体"/>
          <w:sz w:val="21"/>
          <w:szCs w:val="21"/>
        </w:rPr>
      </w:pPr>
      <w:r>
        <w:rPr>
          <w:rFonts w:ascii="宋体" w:hAnsi="宋体" w:eastAsia="宋体"/>
          <w:sz w:val="21"/>
          <w:szCs w:val="21"/>
        </w:rPr>
        <w:t>地址：</w:t>
      </w:r>
    </w:p>
    <w:p>
      <w:pPr>
        <w:pStyle w:val="22"/>
        <w:spacing w:line="360" w:lineRule="auto"/>
        <w:ind w:left="480" w:firstLine="0"/>
        <w:rPr>
          <w:rFonts w:ascii="宋体" w:hAnsi="宋体" w:eastAsia="宋体"/>
          <w:sz w:val="21"/>
          <w:szCs w:val="21"/>
          <w:u w:val="single"/>
        </w:rPr>
      </w:pPr>
      <w:r>
        <w:rPr>
          <w:rFonts w:ascii="宋体" w:hAnsi="宋体" w:eastAsia="宋体"/>
          <w:sz w:val="21"/>
          <w:szCs w:val="21"/>
        </w:rPr>
        <w:t>邮编：电话：传真：</w:t>
      </w:r>
    </w:p>
    <w:p>
      <w:pPr>
        <w:pStyle w:val="22"/>
        <w:tabs>
          <w:tab w:val="left" w:pos="5340"/>
        </w:tabs>
        <w:wordWrap w:val="0"/>
        <w:spacing w:before="100" w:beforeAutospacing="1" w:after="100" w:afterAutospacing="1" w:line="360" w:lineRule="auto"/>
        <w:ind w:firstLine="0"/>
        <w:jc w:val="right"/>
        <w:rPr>
          <w:rFonts w:ascii="宋体" w:hAnsi="宋体" w:eastAsia="宋体"/>
          <w:sz w:val="21"/>
          <w:szCs w:val="21"/>
        </w:rPr>
      </w:pPr>
      <w:r>
        <w:rPr>
          <w:rFonts w:hint="eastAsia" w:ascii="宋体" w:hAnsi="宋体" w:eastAsia="宋体"/>
          <w:sz w:val="21"/>
          <w:szCs w:val="21"/>
        </w:rPr>
        <w:t xml:space="preserve">         投标人名称（盖公章）：</w:t>
      </w:r>
      <w:r>
        <w:rPr>
          <w:rFonts w:ascii="宋体" w:hAnsi="宋体" w:eastAsia="宋体"/>
          <w:sz w:val="21"/>
          <w:szCs w:val="21"/>
        </w:rPr>
        <w:tab/>
      </w:r>
    </w:p>
    <w:p>
      <w:pPr>
        <w:jc w:val="right"/>
        <w:rPr>
          <w:rFonts w:ascii="宋体" w:hAnsi="宋体" w:cs="宋体"/>
          <w:szCs w:val="21"/>
        </w:rPr>
      </w:pPr>
      <w:r>
        <w:rPr>
          <w:rFonts w:hint="eastAsia" w:ascii="宋体" w:hAnsi="宋体" w:cs="宋体"/>
          <w:szCs w:val="21"/>
        </w:rPr>
        <w:t>法定代表人或授权委托代理人（签字或盖章）：</w:t>
      </w:r>
    </w:p>
    <w:p>
      <w:pPr>
        <w:jc w:val="right"/>
        <w:rPr>
          <w:rFonts w:ascii="宋体" w:hAnsi="宋体"/>
          <w:szCs w:val="21"/>
        </w:rPr>
      </w:pPr>
      <w:r>
        <w:rPr>
          <w:rFonts w:ascii="宋体" w:hAnsi="宋体"/>
          <w:szCs w:val="21"/>
        </w:rPr>
        <w:tab/>
      </w:r>
    </w:p>
    <w:p>
      <w:pPr>
        <w:jc w:val="right"/>
      </w:pPr>
      <w:r>
        <w:rPr>
          <w:rFonts w:ascii="宋体" w:hAnsi="宋体"/>
          <w:szCs w:val="21"/>
        </w:rPr>
        <w:t>日期：年   月</w:t>
      </w:r>
      <w:r>
        <w:rPr>
          <w:rFonts w:hint="eastAsia" w:ascii="宋体" w:hAnsi="宋体"/>
          <w:szCs w:val="21"/>
        </w:rPr>
        <w:t xml:space="preserve">  年</w:t>
      </w:r>
    </w:p>
    <w:p>
      <w:pPr>
        <w:pStyle w:val="19"/>
        <w:jc w:val="right"/>
      </w:pPr>
    </w:p>
    <w:p/>
    <w:p>
      <w:pPr>
        <w:spacing w:line="360" w:lineRule="auto"/>
        <w:jc w:val="center"/>
        <w:rPr>
          <w:rFonts w:ascii="宋体" w:hAnsi="宋体" w:cs="宋体"/>
          <w:b/>
          <w:bCs/>
          <w:kern w:val="0"/>
          <w:sz w:val="32"/>
          <w:szCs w:val="32"/>
        </w:rPr>
      </w:pPr>
    </w:p>
    <w:p>
      <w:pPr>
        <w:spacing w:line="360" w:lineRule="auto"/>
        <w:jc w:val="center"/>
        <w:rPr>
          <w:rFonts w:ascii="宋体" w:hAnsi="宋体" w:cs="宋体"/>
          <w:b/>
          <w:sz w:val="28"/>
          <w:szCs w:val="28"/>
        </w:rPr>
      </w:pPr>
      <w:r>
        <w:rPr>
          <w:rFonts w:hint="eastAsia" w:ascii="宋体" w:hAnsi="宋体" w:cs="宋体"/>
          <w:b/>
          <w:bCs/>
          <w:kern w:val="0"/>
          <w:sz w:val="32"/>
          <w:szCs w:val="32"/>
        </w:rPr>
        <w:t>二、</w:t>
      </w:r>
      <w:r>
        <w:rPr>
          <w:rFonts w:ascii="宋体" w:hAnsi="宋体" w:cs="宋体"/>
          <w:b/>
          <w:sz w:val="28"/>
          <w:szCs w:val="28"/>
        </w:rPr>
        <w:t>开标一览表</w:t>
      </w:r>
    </w:p>
    <w:p>
      <w:pPr>
        <w:tabs>
          <w:tab w:val="left" w:pos="8280"/>
        </w:tabs>
        <w:autoSpaceDE w:val="0"/>
        <w:autoSpaceDN w:val="0"/>
        <w:adjustRightInd w:val="0"/>
        <w:spacing w:line="300" w:lineRule="exact"/>
        <w:rPr>
          <w:rFonts w:ascii="宋体" w:hAnsi="宋体" w:cs="宋体"/>
          <w:szCs w:val="21"/>
        </w:rPr>
      </w:pPr>
      <w:r>
        <w:rPr>
          <w:rFonts w:hint="eastAsia" w:ascii="宋体" w:hAnsi="宋体" w:cs="宋体"/>
          <w:szCs w:val="21"/>
        </w:rPr>
        <w:t>项目编号：                                             项目名称：</w:t>
      </w:r>
    </w:p>
    <w:p>
      <w:pPr>
        <w:pStyle w:val="90"/>
        <w:spacing w:line="360" w:lineRule="auto"/>
        <w:ind w:right="480"/>
        <w:jc w:val="left"/>
        <w:rPr>
          <w:rFonts w:ascii="宋体" w:hAnsi="宋体" w:cs="宋体"/>
          <w:szCs w:val="21"/>
        </w:rPr>
      </w:pPr>
    </w:p>
    <w:tbl>
      <w:tblPr>
        <w:tblStyle w:val="47"/>
        <w:tblW w:w="9423" w:type="dxa"/>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2110"/>
        <w:gridCol w:w="6050"/>
        <w:gridCol w:w="1263"/>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64" w:hRule="atLeast"/>
          <w:jc w:val="center"/>
        </w:trPr>
        <w:tc>
          <w:tcPr>
            <w:tcW w:w="2110" w:type="dxa"/>
            <w:tcBorders>
              <w:top w:val="single" w:color="auto" w:sz="4" w:space="0"/>
              <w:bottom w:val="single" w:color="auto" w:sz="4" w:space="0"/>
            </w:tcBorders>
            <w:tcMar>
              <w:left w:w="0" w:type="dxa"/>
              <w:right w:w="0" w:type="dxa"/>
            </w:tcMar>
            <w:vAlign w:val="center"/>
          </w:tcPr>
          <w:p>
            <w:pPr>
              <w:pStyle w:val="22"/>
              <w:spacing w:line="360" w:lineRule="auto"/>
              <w:rPr>
                <w:rFonts w:ascii="宋体" w:hAnsi="宋体" w:eastAsia="宋体" w:cs="Times New Roman"/>
                <w:b/>
                <w:color w:val="000000"/>
                <w:sz w:val="21"/>
                <w:szCs w:val="21"/>
              </w:rPr>
            </w:pPr>
            <w:r>
              <w:rPr>
                <w:rFonts w:hint="eastAsia" w:ascii="宋体" w:hAnsi="宋体" w:eastAsia="宋体" w:cs="Times New Roman"/>
                <w:b/>
                <w:color w:val="000000"/>
                <w:sz w:val="21"/>
                <w:szCs w:val="21"/>
              </w:rPr>
              <w:t>名称</w:t>
            </w:r>
          </w:p>
        </w:tc>
        <w:tc>
          <w:tcPr>
            <w:tcW w:w="6050" w:type="dxa"/>
            <w:tcBorders>
              <w:top w:val="single" w:color="auto" w:sz="4" w:space="0"/>
              <w:bottom w:val="single" w:color="auto" w:sz="4" w:space="0"/>
              <w:right w:val="single" w:color="auto" w:sz="4" w:space="0"/>
            </w:tcBorders>
            <w:tcMar>
              <w:left w:w="0" w:type="dxa"/>
              <w:right w:w="0" w:type="dxa"/>
            </w:tcMar>
            <w:vAlign w:val="center"/>
          </w:tcPr>
          <w:p>
            <w:pPr>
              <w:pStyle w:val="22"/>
              <w:spacing w:line="360" w:lineRule="auto"/>
              <w:ind w:right="-133"/>
              <w:jc w:val="center"/>
              <w:rPr>
                <w:rFonts w:ascii="宋体" w:hAnsi="宋体" w:eastAsia="宋体" w:cs="Times New Roman"/>
                <w:b/>
                <w:color w:val="000000"/>
                <w:sz w:val="21"/>
                <w:szCs w:val="21"/>
              </w:rPr>
            </w:pPr>
            <w:r>
              <w:rPr>
                <w:rFonts w:hint="eastAsia" w:ascii="宋体" w:hAnsi="宋体" w:eastAsia="宋体" w:cs="Times New Roman"/>
                <w:b/>
                <w:color w:val="000000"/>
                <w:sz w:val="21"/>
                <w:szCs w:val="21"/>
              </w:rPr>
              <w:t>内容</w:t>
            </w:r>
          </w:p>
        </w:tc>
        <w:tc>
          <w:tcPr>
            <w:tcW w:w="1263" w:type="dxa"/>
            <w:tcBorders>
              <w:top w:val="single" w:color="auto" w:sz="4" w:space="0"/>
              <w:left w:val="single" w:color="auto" w:sz="4" w:space="0"/>
              <w:bottom w:val="single" w:color="auto" w:sz="4" w:space="0"/>
            </w:tcBorders>
            <w:tcMar>
              <w:left w:w="0" w:type="dxa"/>
              <w:right w:w="0" w:type="dxa"/>
            </w:tcMar>
            <w:vAlign w:val="center"/>
          </w:tcPr>
          <w:p>
            <w:pPr>
              <w:pStyle w:val="22"/>
              <w:spacing w:line="360" w:lineRule="auto"/>
              <w:ind w:right="-133" w:firstLine="211" w:firstLineChars="100"/>
              <w:rPr>
                <w:rFonts w:ascii="宋体" w:hAnsi="宋体" w:eastAsia="宋体" w:cs="Times New Roman"/>
                <w:b/>
                <w:color w:val="000000"/>
                <w:sz w:val="21"/>
                <w:szCs w:val="21"/>
              </w:rPr>
            </w:pPr>
            <w:r>
              <w:rPr>
                <w:rFonts w:hint="eastAsia" w:ascii="宋体" w:hAnsi="宋体" w:eastAsia="宋体" w:cs="Times New Roman"/>
                <w:b/>
                <w:color w:val="000000"/>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64" w:hRule="atLeast"/>
          <w:jc w:val="center"/>
        </w:trPr>
        <w:tc>
          <w:tcPr>
            <w:tcW w:w="2110" w:type="dxa"/>
            <w:vMerge w:val="restart"/>
            <w:tcBorders>
              <w:top w:val="single" w:color="auto" w:sz="4" w:space="0"/>
              <w:bottom w:val="single" w:color="auto" w:sz="2" w:space="0"/>
              <w:right w:val="single" w:color="auto" w:sz="2" w:space="0"/>
            </w:tcBorders>
            <w:tcMar>
              <w:left w:w="0" w:type="dxa"/>
              <w:right w:w="0" w:type="dxa"/>
            </w:tcMar>
            <w:vAlign w:val="center"/>
          </w:tcPr>
          <w:p>
            <w:pPr>
              <w:pStyle w:val="22"/>
              <w:spacing w:line="360" w:lineRule="auto"/>
              <w:ind w:firstLine="0"/>
              <w:jc w:val="center"/>
              <w:rPr>
                <w:rFonts w:ascii="宋体" w:hAnsi="宋体" w:eastAsia="宋体" w:cs="Times New Roman"/>
                <w:b/>
                <w:color w:val="000000"/>
                <w:sz w:val="21"/>
                <w:szCs w:val="21"/>
              </w:rPr>
            </w:pPr>
            <w:r>
              <w:rPr>
                <w:rFonts w:hint="eastAsia" w:ascii="宋体" w:hAnsi="宋体" w:eastAsia="宋体" w:cs="Times New Roman"/>
                <w:b/>
                <w:color w:val="000000"/>
                <w:sz w:val="21"/>
                <w:szCs w:val="21"/>
              </w:rPr>
              <w:t>投标总价</w:t>
            </w:r>
          </w:p>
        </w:tc>
        <w:tc>
          <w:tcPr>
            <w:tcW w:w="6050" w:type="dxa"/>
            <w:tcBorders>
              <w:top w:val="single" w:color="auto" w:sz="4" w:space="0"/>
              <w:left w:val="single" w:color="auto" w:sz="2" w:space="0"/>
              <w:bottom w:val="single" w:color="auto" w:sz="2" w:space="0"/>
              <w:right w:val="single" w:color="auto" w:sz="4" w:space="0"/>
            </w:tcBorders>
            <w:vAlign w:val="center"/>
          </w:tcPr>
          <w:p>
            <w:pPr>
              <w:pStyle w:val="22"/>
              <w:spacing w:line="360" w:lineRule="auto"/>
              <w:jc w:val="left"/>
              <w:rPr>
                <w:rFonts w:ascii="宋体" w:hAnsi="宋体" w:eastAsia="宋体" w:cs="Times New Roman"/>
                <w:b/>
                <w:color w:val="000000"/>
                <w:sz w:val="21"/>
                <w:szCs w:val="21"/>
              </w:rPr>
            </w:pPr>
            <w:r>
              <w:rPr>
                <w:rFonts w:hint="eastAsia" w:ascii="宋体" w:hAnsi="宋体" w:eastAsia="宋体" w:cs="Times New Roman"/>
                <w:b/>
                <w:color w:val="000000"/>
                <w:sz w:val="21"/>
                <w:szCs w:val="21"/>
              </w:rPr>
              <w:t>（小写）</w:t>
            </w:r>
          </w:p>
        </w:tc>
        <w:tc>
          <w:tcPr>
            <w:tcW w:w="1263" w:type="dxa"/>
            <w:tcBorders>
              <w:top w:val="single" w:color="auto" w:sz="4" w:space="0"/>
              <w:left w:val="single" w:color="auto" w:sz="4" w:space="0"/>
              <w:bottom w:val="single" w:color="auto" w:sz="2" w:space="0"/>
            </w:tcBorders>
          </w:tcPr>
          <w:p>
            <w:pPr>
              <w:pStyle w:val="22"/>
              <w:spacing w:line="360" w:lineRule="auto"/>
              <w:jc w:val="center"/>
              <w:rPr>
                <w:rFonts w:ascii="宋体" w:hAnsi="宋体" w:eastAsia="宋体" w:cs="Times New Roman"/>
                <w:b/>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64" w:hRule="atLeast"/>
          <w:jc w:val="center"/>
        </w:trPr>
        <w:tc>
          <w:tcPr>
            <w:tcW w:w="2110" w:type="dxa"/>
            <w:vMerge w:val="continue"/>
            <w:tcBorders>
              <w:top w:val="single" w:color="auto" w:sz="2" w:space="0"/>
              <w:bottom w:val="single" w:color="auto" w:sz="2" w:space="0"/>
              <w:right w:val="single" w:color="auto" w:sz="2" w:space="0"/>
            </w:tcBorders>
            <w:tcMar>
              <w:left w:w="0" w:type="dxa"/>
              <w:right w:w="0" w:type="dxa"/>
            </w:tcMar>
            <w:vAlign w:val="center"/>
          </w:tcPr>
          <w:p>
            <w:pPr>
              <w:pStyle w:val="22"/>
              <w:spacing w:line="360" w:lineRule="auto"/>
              <w:jc w:val="center"/>
              <w:rPr>
                <w:rFonts w:ascii="宋体" w:hAnsi="宋体" w:eastAsia="宋体" w:cs="Times New Roman"/>
                <w:b/>
                <w:color w:val="000000"/>
                <w:sz w:val="21"/>
                <w:szCs w:val="21"/>
              </w:rPr>
            </w:pPr>
          </w:p>
        </w:tc>
        <w:tc>
          <w:tcPr>
            <w:tcW w:w="6050" w:type="dxa"/>
            <w:tcBorders>
              <w:top w:val="single" w:color="auto" w:sz="2" w:space="0"/>
              <w:left w:val="single" w:color="auto" w:sz="2" w:space="0"/>
              <w:bottom w:val="single" w:color="auto" w:sz="2" w:space="0"/>
              <w:right w:val="single" w:color="auto" w:sz="4" w:space="0"/>
            </w:tcBorders>
            <w:vAlign w:val="center"/>
          </w:tcPr>
          <w:p>
            <w:pPr>
              <w:pStyle w:val="22"/>
              <w:spacing w:line="360" w:lineRule="auto"/>
              <w:jc w:val="left"/>
              <w:rPr>
                <w:rFonts w:ascii="宋体" w:hAnsi="宋体" w:eastAsia="宋体" w:cs="Times New Roman"/>
                <w:b/>
                <w:color w:val="000000"/>
                <w:sz w:val="21"/>
                <w:szCs w:val="21"/>
              </w:rPr>
            </w:pPr>
            <w:r>
              <w:rPr>
                <w:rFonts w:hint="eastAsia" w:ascii="宋体" w:hAnsi="宋体" w:eastAsia="宋体" w:cs="Times New Roman"/>
                <w:b/>
                <w:color w:val="000000"/>
                <w:sz w:val="21"/>
                <w:szCs w:val="21"/>
              </w:rPr>
              <w:t>（大写）</w:t>
            </w:r>
          </w:p>
        </w:tc>
        <w:tc>
          <w:tcPr>
            <w:tcW w:w="1263" w:type="dxa"/>
            <w:tcBorders>
              <w:top w:val="single" w:color="auto" w:sz="2" w:space="0"/>
              <w:left w:val="single" w:color="auto" w:sz="4" w:space="0"/>
              <w:bottom w:val="single" w:color="auto" w:sz="2" w:space="0"/>
              <w:right w:val="single" w:color="auto" w:sz="4" w:space="0"/>
            </w:tcBorders>
          </w:tcPr>
          <w:p>
            <w:pPr>
              <w:pStyle w:val="22"/>
              <w:spacing w:line="360" w:lineRule="auto"/>
              <w:jc w:val="center"/>
              <w:rPr>
                <w:rFonts w:ascii="宋体" w:hAnsi="宋体" w:eastAsia="宋体" w:cs="Times New Roman"/>
                <w:b/>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64" w:hRule="atLeast"/>
          <w:jc w:val="center"/>
        </w:trPr>
        <w:tc>
          <w:tcPr>
            <w:tcW w:w="2110" w:type="dxa"/>
            <w:tcBorders>
              <w:top w:val="single" w:color="auto" w:sz="2" w:space="0"/>
              <w:bottom w:val="single" w:color="auto" w:sz="4" w:space="0"/>
              <w:right w:val="single" w:color="auto" w:sz="2" w:space="0"/>
            </w:tcBorders>
            <w:tcMar>
              <w:left w:w="0" w:type="dxa"/>
              <w:right w:w="0" w:type="dxa"/>
            </w:tcMar>
            <w:vAlign w:val="center"/>
          </w:tcPr>
          <w:p>
            <w:pPr>
              <w:pStyle w:val="22"/>
              <w:spacing w:line="360" w:lineRule="auto"/>
              <w:rPr>
                <w:rFonts w:ascii="宋体" w:hAnsi="宋体" w:eastAsia="宋体" w:cs="Times New Roman"/>
                <w:b/>
                <w:color w:val="000000"/>
                <w:sz w:val="21"/>
                <w:szCs w:val="21"/>
              </w:rPr>
            </w:pPr>
            <w:r>
              <w:rPr>
                <w:rFonts w:hint="eastAsia" w:ascii="宋体" w:hAnsi="宋体" w:eastAsia="宋体" w:cs="Times New Roman"/>
                <w:b/>
                <w:color w:val="000000"/>
                <w:sz w:val="21"/>
                <w:szCs w:val="21"/>
                <w:lang w:eastAsia="zh-CN"/>
              </w:rPr>
              <w:t>维保</w:t>
            </w:r>
            <w:r>
              <w:rPr>
                <w:rFonts w:hint="eastAsia" w:ascii="宋体" w:hAnsi="宋体" w:eastAsia="宋体" w:cs="Times New Roman"/>
                <w:b/>
                <w:color w:val="000000"/>
                <w:sz w:val="21"/>
                <w:szCs w:val="21"/>
              </w:rPr>
              <w:t>期</w:t>
            </w:r>
          </w:p>
        </w:tc>
        <w:tc>
          <w:tcPr>
            <w:tcW w:w="6050" w:type="dxa"/>
            <w:tcBorders>
              <w:top w:val="single" w:color="auto" w:sz="2" w:space="0"/>
              <w:left w:val="single" w:color="auto" w:sz="2" w:space="0"/>
              <w:bottom w:val="single" w:color="auto" w:sz="4" w:space="0"/>
              <w:right w:val="single" w:color="auto" w:sz="4" w:space="0"/>
            </w:tcBorders>
            <w:vAlign w:val="center"/>
          </w:tcPr>
          <w:p>
            <w:pPr>
              <w:pStyle w:val="22"/>
              <w:spacing w:line="360" w:lineRule="auto"/>
              <w:jc w:val="left"/>
              <w:rPr>
                <w:rFonts w:ascii="宋体" w:hAnsi="宋体" w:eastAsia="宋体" w:cs="Times New Roman"/>
                <w:b/>
                <w:color w:val="000000"/>
                <w:sz w:val="21"/>
                <w:szCs w:val="21"/>
              </w:rPr>
            </w:pPr>
          </w:p>
        </w:tc>
        <w:tc>
          <w:tcPr>
            <w:tcW w:w="1263" w:type="dxa"/>
            <w:tcBorders>
              <w:top w:val="single" w:color="auto" w:sz="2" w:space="0"/>
              <w:left w:val="single" w:color="auto" w:sz="4" w:space="0"/>
              <w:bottom w:val="single" w:color="auto" w:sz="4" w:space="0"/>
              <w:right w:val="single" w:color="auto" w:sz="4" w:space="0"/>
            </w:tcBorders>
          </w:tcPr>
          <w:p>
            <w:pPr>
              <w:pStyle w:val="22"/>
              <w:spacing w:line="360" w:lineRule="auto"/>
              <w:jc w:val="center"/>
              <w:rPr>
                <w:rFonts w:ascii="宋体" w:hAnsi="宋体" w:eastAsia="宋体" w:cs="Times New Roman"/>
                <w:b/>
                <w:color w:val="000000"/>
                <w:sz w:val="21"/>
                <w:szCs w:val="21"/>
              </w:rPr>
            </w:pPr>
          </w:p>
        </w:tc>
      </w:tr>
    </w:tbl>
    <w:p>
      <w:pPr>
        <w:shd w:val="clear" w:color="auto" w:fill="FFFFFF"/>
        <w:adjustRightInd w:val="0"/>
        <w:snapToGrid w:val="0"/>
        <w:spacing w:line="360" w:lineRule="auto"/>
        <w:rPr>
          <w:rFonts w:ascii="宋体" w:hAnsi="宋体" w:cs="宋体"/>
          <w:kern w:val="0"/>
          <w:szCs w:val="21"/>
        </w:rPr>
      </w:pPr>
    </w:p>
    <w:p>
      <w:pPr>
        <w:shd w:val="clear" w:color="auto" w:fill="FFFFFF"/>
        <w:adjustRightInd w:val="0"/>
        <w:snapToGrid w:val="0"/>
        <w:spacing w:line="360" w:lineRule="auto"/>
        <w:rPr>
          <w:rFonts w:ascii="宋体" w:hAnsi="宋体" w:cs="宋体"/>
          <w:kern w:val="0"/>
          <w:szCs w:val="21"/>
          <w:lang w:val="zh-CN"/>
        </w:rPr>
      </w:pPr>
      <w:r>
        <w:rPr>
          <w:rFonts w:hint="eastAsia" w:ascii="宋体" w:hAnsi="宋体" w:cs="宋体"/>
          <w:kern w:val="0"/>
          <w:szCs w:val="21"/>
        </w:rPr>
        <w:t>注：</w:t>
      </w:r>
      <w:r>
        <w:rPr>
          <w:rFonts w:hint="eastAsia" w:ascii="宋体" w:hAnsi="宋体" w:cs="宋体"/>
          <w:kern w:val="0"/>
          <w:szCs w:val="21"/>
          <w:lang w:val="zh-CN"/>
        </w:rPr>
        <w:t>（</w:t>
      </w:r>
      <w:r>
        <w:rPr>
          <w:rFonts w:hint="eastAsia" w:ascii="宋体" w:hAnsi="宋体" w:cs="宋体"/>
          <w:kern w:val="0"/>
          <w:szCs w:val="21"/>
        </w:rPr>
        <w:t>1</w:t>
      </w:r>
      <w:r>
        <w:rPr>
          <w:rFonts w:hint="eastAsia" w:ascii="宋体" w:hAnsi="宋体" w:cs="宋体"/>
          <w:kern w:val="0"/>
          <w:szCs w:val="21"/>
          <w:lang w:val="zh-CN"/>
        </w:rPr>
        <w:t>）本投标文件及其所附文件涵盖了我方要约的全部内容。</w:t>
      </w:r>
    </w:p>
    <w:p>
      <w:pPr>
        <w:shd w:val="clear" w:color="auto" w:fill="FFFFFF"/>
        <w:adjustRightInd w:val="0"/>
        <w:snapToGrid w:val="0"/>
        <w:spacing w:line="360" w:lineRule="auto"/>
        <w:ind w:firstLine="420" w:firstLineChars="200"/>
        <w:rPr>
          <w:rFonts w:ascii="宋体" w:hAnsi="宋体" w:cs="宋体"/>
          <w:kern w:val="0"/>
          <w:szCs w:val="21"/>
        </w:rPr>
      </w:pPr>
      <w:r>
        <w:rPr>
          <w:rFonts w:hint="eastAsia" w:ascii="宋体" w:hAnsi="宋体" w:cs="宋体"/>
          <w:kern w:val="0"/>
          <w:szCs w:val="21"/>
          <w:lang w:val="zh-CN"/>
        </w:rPr>
        <w:t>（</w:t>
      </w:r>
      <w:r>
        <w:rPr>
          <w:rFonts w:hint="eastAsia" w:ascii="宋体" w:hAnsi="宋体" w:cs="宋体"/>
          <w:kern w:val="0"/>
          <w:szCs w:val="21"/>
        </w:rPr>
        <w:t>2</w:t>
      </w:r>
      <w:r>
        <w:rPr>
          <w:rFonts w:hint="eastAsia" w:ascii="宋体" w:hAnsi="宋体" w:cs="宋体"/>
          <w:kern w:val="0"/>
          <w:szCs w:val="21"/>
          <w:lang w:val="zh-CN"/>
        </w:rPr>
        <w:t>）我方要约有效期为自投标截止日起90天；</w:t>
      </w:r>
    </w:p>
    <w:p>
      <w:pPr>
        <w:shd w:val="clear" w:color="auto" w:fill="FFFFFF"/>
        <w:adjustRightInd w:val="0"/>
        <w:snapToGrid w:val="0"/>
        <w:spacing w:line="360" w:lineRule="auto"/>
        <w:ind w:firstLine="420" w:firstLineChars="200"/>
        <w:rPr>
          <w:rFonts w:ascii="宋体" w:hAnsi="宋体" w:cs="宋体"/>
          <w:kern w:val="0"/>
          <w:szCs w:val="21"/>
          <w:lang w:val="zh-CN"/>
        </w:rPr>
      </w:pPr>
      <w:r>
        <w:rPr>
          <w:rFonts w:hint="eastAsia" w:ascii="宋体" w:hAnsi="宋体" w:cs="宋体"/>
          <w:kern w:val="0"/>
          <w:szCs w:val="21"/>
          <w:lang w:val="zh-CN"/>
        </w:rPr>
        <w:t>（</w:t>
      </w:r>
      <w:r>
        <w:rPr>
          <w:rFonts w:hint="eastAsia" w:ascii="宋体" w:hAnsi="宋体" w:cs="宋体"/>
          <w:kern w:val="0"/>
          <w:szCs w:val="21"/>
        </w:rPr>
        <w:t>3</w:t>
      </w:r>
      <w:r>
        <w:rPr>
          <w:rFonts w:hint="eastAsia" w:ascii="宋体" w:hAnsi="宋体" w:cs="宋体"/>
          <w:kern w:val="0"/>
          <w:szCs w:val="21"/>
          <w:lang w:val="zh-CN"/>
        </w:rPr>
        <w:t>）在投标有效标期内，我方受投标文件之价目表上我方要约金额的约束；</w:t>
      </w:r>
    </w:p>
    <w:p>
      <w:pPr>
        <w:pStyle w:val="90"/>
        <w:spacing w:line="360" w:lineRule="auto"/>
        <w:ind w:right="480"/>
        <w:jc w:val="left"/>
        <w:rPr>
          <w:rFonts w:ascii="宋体" w:hAnsi="宋体" w:cs="宋体"/>
          <w:szCs w:val="21"/>
        </w:rPr>
      </w:pPr>
    </w:p>
    <w:p>
      <w:pPr>
        <w:pStyle w:val="90"/>
        <w:spacing w:line="360" w:lineRule="auto"/>
        <w:ind w:right="480"/>
        <w:jc w:val="left"/>
        <w:rPr>
          <w:rFonts w:ascii="宋体" w:hAnsi="宋体" w:cs="宋体"/>
          <w:szCs w:val="21"/>
        </w:rPr>
      </w:pPr>
      <w:r>
        <w:rPr>
          <w:rFonts w:hint="eastAsia" w:ascii="宋体" w:hAnsi="宋体" w:cs="宋体"/>
          <w:szCs w:val="21"/>
        </w:rPr>
        <w:t>填报要求：</w:t>
      </w:r>
    </w:p>
    <w:p>
      <w:pPr>
        <w:pStyle w:val="14"/>
        <w:spacing w:line="360" w:lineRule="auto"/>
        <w:rPr>
          <w:rFonts w:ascii="宋体" w:hAnsi="宋体" w:cs="宋体"/>
          <w:szCs w:val="21"/>
        </w:rPr>
      </w:pPr>
      <w:r>
        <w:rPr>
          <w:rFonts w:hint="eastAsia" w:ascii="宋体" w:hAnsi="宋体" w:cs="宋体"/>
          <w:szCs w:val="21"/>
        </w:rPr>
        <w:t>1.投标总报价是履行本项目合同的所有费用包含了所有风险责任等各项费用及不可预见费等所需的全部费用。</w:t>
      </w:r>
    </w:p>
    <w:p>
      <w:pPr>
        <w:spacing w:line="360" w:lineRule="auto"/>
        <w:ind w:firstLine="420" w:firstLineChars="200"/>
        <w:rPr>
          <w:rFonts w:ascii="宋体" w:hAnsi="宋体" w:cs="宋体"/>
          <w:szCs w:val="21"/>
        </w:rPr>
      </w:pPr>
      <w:r>
        <w:rPr>
          <w:rFonts w:hint="eastAsia" w:ascii="宋体" w:hAnsi="宋体" w:cs="宋体"/>
          <w:szCs w:val="21"/>
        </w:rPr>
        <w:t>2.报价一经涂改，应在涂改处加盖单位公章，或者由法定代表人或授权代理人签字或盖章，否则其投标作无效标处理。</w:t>
      </w:r>
    </w:p>
    <w:p>
      <w:pPr>
        <w:spacing w:line="360" w:lineRule="auto"/>
        <w:ind w:left="420"/>
        <w:rPr>
          <w:rFonts w:ascii="宋体" w:hAnsi="宋体" w:cs="宋体"/>
          <w:szCs w:val="21"/>
        </w:rPr>
      </w:pPr>
    </w:p>
    <w:p>
      <w:pPr>
        <w:spacing w:line="360" w:lineRule="auto"/>
        <w:ind w:left="420"/>
        <w:rPr>
          <w:rFonts w:ascii="宋体" w:hAnsi="宋体" w:cs="宋体"/>
          <w:szCs w:val="21"/>
        </w:rPr>
      </w:pPr>
      <w:r>
        <w:rPr>
          <w:rFonts w:hint="eastAsia" w:ascii="宋体" w:hAnsi="宋体" w:cs="宋体"/>
          <w:szCs w:val="21"/>
        </w:rPr>
        <w:t>投标人名称（盖公章）：</w:t>
      </w:r>
    </w:p>
    <w:p>
      <w:pPr>
        <w:spacing w:line="360" w:lineRule="auto"/>
        <w:ind w:firstLine="371" w:firstLineChars="177"/>
        <w:rPr>
          <w:rFonts w:ascii="宋体" w:hAnsi="宋体" w:cs="宋体"/>
          <w:szCs w:val="21"/>
        </w:rPr>
      </w:pPr>
      <w:r>
        <w:rPr>
          <w:rFonts w:hint="eastAsia" w:ascii="宋体" w:hAnsi="宋体" w:cs="宋体"/>
          <w:szCs w:val="21"/>
        </w:rPr>
        <w:t>法定代表人或授权委托代理人（签字或盖章）：</w:t>
      </w:r>
    </w:p>
    <w:p>
      <w:pPr>
        <w:spacing w:line="360" w:lineRule="auto"/>
        <w:ind w:firstLine="435"/>
        <w:rPr>
          <w:rFonts w:ascii="宋体" w:hAnsi="宋体" w:cs="宋体"/>
          <w:szCs w:val="21"/>
        </w:rPr>
      </w:pPr>
      <w:r>
        <w:rPr>
          <w:rFonts w:hint="eastAsia" w:ascii="宋体" w:hAnsi="宋体" w:cs="宋体"/>
          <w:szCs w:val="21"/>
        </w:rPr>
        <w:t>日        期：</w:t>
      </w:r>
    </w:p>
    <w:p>
      <w:pPr>
        <w:pStyle w:val="19"/>
      </w:pPr>
    </w:p>
    <w:p/>
    <w:p>
      <w:pPr>
        <w:spacing w:line="360" w:lineRule="auto"/>
        <w:ind w:right="-110"/>
        <w:jc w:val="center"/>
        <w:outlineLvl w:val="0"/>
        <w:rPr>
          <w:rFonts w:ascii="宋体" w:hAnsi="宋体"/>
          <w:spacing w:val="40"/>
          <w:sz w:val="52"/>
          <w:szCs w:val="52"/>
        </w:rPr>
        <w:sectPr>
          <w:pgSz w:w="11906" w:h="16838"/>
          <w:pgMar w:top="907" w:right="1134" w:bottom="907" w:left="1134" w:header="851" w:footer="992" w:gutter="0"/>
          <w:pgNumType w:fmt="decimal"/>
          <w:cols w:space="720" w:num="1"/>
          <w:docGrid w:type="lines" w:linePitch="312" w:charSpace="0"/>
        </w:sectPr>
      </w:pPr>
    </w:p>
    <w:p>
      <w:pPr>
        <w:spacing w:line="360" w:lineRule="auto"/>
        <w:ind w:right="-110"/>
        <w:jc w:val="center"/>
        <w:outlineLvl w:val="0"/>
        <w:rPr>
          <w:rFonts w:ascii="宋体" w:hAnsi="宋体"/>
          <w:spacing w:val="40"/>
          <w:sz w:val="52"/>
          <w:szCs w:val="52"/>
        </w:rPr>
      </w:pPr>
      <w:bookmarkStart w:id="127" w:name="_Toc4606"/>
      <w:bookmarkStart w:id="128" w:name="_Toc12630"/>
      <w:bookmarkStart w:id="129" w:name="_Toc24755"/>
      <w:bookmarkStart w:id="130" w:name="_Toc29941"/>
      <w:bookmarkStart w:id="131" w:name="_Toc11790"/>
      <w:bookmarkStart w:id="132" w:name="_Toc17190"/>
      <w:r>
        <w:rPr>
          <w:rFonts w:hint="eastAsia" w:ascii="宋体" w:hAnsi="宋体"/>
          <w:spacing w:val="40"/>
          <w:sz w:val="52"/>
          <w:szCs w:val="52"/>
        </w:rPr>
        <w:t>项目名称</w:t>
      </w:r>
      <w:bookmarkEnd w:id="127"/>
      <w:bookmarkEnd w:id="128"/>
      <w:bookmarkEnd w:id="129"/>
      <w:bookmarkEnd w:id="130"/>
      <w:bookmarkEnd w:id="131"/>
      <w:bookmarkEnd w:id="132"/>
    </w:p>
    <w:p>
      <w:pPr>
        <w:spacing w:before="312" w:beforeLines="100" w:line="360" w:lineRule="auto"/>
        <w:ind w:right="-108"/>
        <w:jc w:val="center"/>
        <w:rPr>
          <w:rFonts w:ascii="宋体" w:hAnsi="宋体"/>
          <w:sz w:val="36"/>
          <w:szCs w:val="36"/>
        </w:rPr>
      </w:pPr>
      <w:r>
        <w:rPr>
          <w:rFonts w:hint="eastAsia" w:ascii="宋体" w:hAnsi="宋体"/>
          <w:sz w:val="36"/>
          <w:szCs w:val="36"/>
        </w:rPr>
        <w:t xml:space="preserve">项目编号：   </w:t>
      </w:r>
    </w:p>
    <w:p>
      <w:pPr>
        <w:spacing w:before="312" w:beforeLines="100" w:line="360" w:lineRule="auto"/>
        <w:ind w:right="-108"/>
        <w:jc w:val="center"/>
        <w:rPr>
          <w:rFonts w:ascii="宋体" w:hAnsi="宋体" w:cs="宋体"/>
          <w:sz w:val="84"/>
          <w:szCs w:val="84"/>
          <w:lang w:val="zh-CN"/>
        </w:rPr>
      </w:pPr>
      <w:r>
        <w:rPr>
          <w:rFonts w:hint="eastAsia" w:ascii="宋体" w:hAnsi="宋体" w:cs="宋体"/>
          <w:sz w:val="84"/>
          <w:szCs w:val="84"/>
          <w:lang w:val="zh-CN"/>
        </w:rPr>
        <w:t>投</w:t>
      </w:r>
    </w:p>
    <w:p>
      <w:pPr>
        <w:autoSpaceDE w:val="0"/>
        <w:autoSpaceDN w:val="0"/>
        <w:adjustRightInd w:val="0"/>
        <w:spacing w:line="360" w:lineRule="auto"/>
        <w:jc w:val="center"/>
        <w:rPr>
          <w:rFonts w:ascii="宋体" w:hAnsi="宋体" w:cs="宋体"/>
          <w:sz w:val="84"/>
          <w:szCs w:val="84"/>
          <w:lang w:val="zh-CN"/>
        </w:rPr>
      </w:pPr>
      <w:r>
        <w:rPr>
          <w:rFonts w:hint="eastAsia" w:ascii="宋体" w:hAnsi="宋体" w:cs="宋体"/>
          <w:sz w:val="84"/>
          <w:szCs w:val="84"/>
          <w:lang w:val="zh-CN"/>
        </w:rPr>
        <w:t>标</w:t>
      </w:r>
    </w:p>
    <w:p>
      <w:pPr>
        <w:autoSpaceDE w:val="0"/>
        <w:autoSpaceDN w:val="0"/>
        <w:adjustRightInd w:val="0"/>
        <w:spacing w:line="360" w:lineRule="auto"/>
        <w:jc w:val="center"/>
        <w:rPr>
          <w:rFonts w:ascii="宋体" w:hAnsi="宋体"/>
          <w:sz w:val="84"/>
          <w:szCs w:val="84"/>
        </w:rPr>
      </w:pPr>
      <w:r>
        <w:rPr>
          <w:rFonts w:hint="eastAsia" w:ascii="宋体" w:hAnsi="宋体" w:cs="宋体"/>
          <w:sz w:val="84"/>
          <w:szCs w:val="84"/>
          <w:lang w:val="zh-CN"/>
        </w:rPr>
        <w:t>文</w:t>
      </w:r>
    </w:p>
    <w:p>
      <w:pPr>
        <w:spacing w:after="100" w:afterAutospacing="1" w:line="360" w:lineRule="auto"/>
        <w:ind w:right="-108"/>
        <w:jc w:val="center"/>
        <w:rPr>
          <w:rFonts w:ascii="宋体" w:hAnsi="宋体" w:cs="宋体"/>
          <w:sz w:val="84"/>
          <w:szCs w:val="84"/>
          <w:lang w:val="zh-CN"/>
        </w:rPr>
      </w:pPr>
      <w:r>
        <w:rPr>
          <w:rFonts w:hint="eastAsia" w:ascii="宋体" w:hAnsi="宋体" w:cs="宋体"/>
          <w:sz w:val="84"/>
          <w:szCs w:val="84"/>
          <w:lang w:val="zh-CN"/>
        </w:rPr>
        <w:t>件</w:t>
      </w:r>
    </w:p>
    <w:p>
      <w:pPr>
        <w:spacing w:after="100" w:afterAutospacing="1" w:line="360" w:lineRule="auto"/>
        <w:ind w:right="-108"/>
        <w:jc w:val="center"/>
        <w:rPr>
          <w:rFonts w:ascii="宋体" w:hAnsi="宋体"/>
          <w:b/>
          <w:spacing w:val="40"/>
          <w:sz w:val="28"/>
          <w:szCs w:val="28"/>
        </w:rPr>
      </w:pPr>
      <w:r>
        <w:rPr>
          <w:rFonts w:hint="eastAsia" w:ascii="宋体" w:hAnsi="宋体" w:cs="宋体"/>
          <w:sz w:val="28"/>
          <w:szCs w:val="28"/>
          <w:lang w:val="zh-CN"/>
        </w:rPr>
        <w:t>（</w:t>
      </w:r>
      <w:r>
        <w:rPr>
          <w:rFonts w:hint="eastAsia" w:ascii="宋体" w:hAnsi="宋体"/>
          <w:bCs/>
          <w:sz w:val="24"/>
          <w:lang w:val="zh-CN"/>
        </w:rPr>
        <w:t>商务与技术文件</w:t>
      </w:r>
      <w:r>
        <w:rPr>
          <w:rFonts w:hint="eastAsia" w:ascii="宋体" w:hAnsi="宋体"/>
          <w:b/>
          <w:spacing w:val="40"/>
          <w:sz w:val="28"/>
          <w:szCs w:val="28"/>
        </w:rPr>
        <w:t>）</w:t>
      </w:r>
    </w:p>
    <w:p>
      <w:pPr>
        <w:spacing w:line="360" w:lineRule="auto"/>
        <w:ind w:right="532" w:firstLine="720" w:firstLineChars="200"/>
        <w:rPr>
          <w:rFonts w:ascii="宋体" w:hAnsi="宋体"/>
          <w:sz w:val="36"/>
          <w:szCs w:val="36"/>
        </w:rPr>
      </w:pPr>
      <w:r>
        <w:rPr>
          <w:rFonts w:hint="eastAsia" w:ascii="宋体" w:hAnsi="宋体"/>
          <w:sz w:val="36"/>
          <w:szCs w:val="36"/>
        </w:rPr>
        <w:t>投标人全称（公章）：</w:t>
      </w:r>
    </w:p>
    <w:p>
      <w:pPr>
        <w:spacing w:line="360" w:lineRule="auto"/>
        <w:ind w:right="532" w:firstLine="720" w:firstLineChars="200"/>
        <w:rPr>
          <w:rFonts w:ascii="宋体" w:hAnsi="宋体"/>
          <w:sz w:val="36"/>
          <w:szCs w:val="36"/>
        </w:rPr>
      </w:pPr>
      <w:r>
        <w:rPr>
          <w:rFonts w:hint="eastAsia" w:ascii="宋体" w:hAnsi="宋体"/>
          <w:sz w:val="36"/>
          <w:szCs w:val="36"/>
        </w:rPr>
        <w:t>地    址：</w:t>
      </w:r>
    </w:p>
    <w:p>
      <w:pPr>
        <w:spacing w:line="360" w:lineRule="auto"/>
        <w:ind w:right="532" w:firstLine="720" w:firstLineChars="200"/>
        <w:rPr>
          <w:rFonts w:ascii="宋体" w:hAnsi="宋体"/>
          <w:sz w:val="36"/>
          <w:szCs w:val="36"/>
        </w:rPr>
      </w:pPr>
      <w:r>
        <w:rPr>
          <w:rFonts w:hint="eastAsia" w:ascii="宋体" w:hAnsi="宋体"/>
          <w:sz w:val="36"/>
          <w:szCs w:val="36"/>
        </w:rPr>
        <w:t>时    间：</w:t>
      </w:r>
    </w:p>
    <w:p>
      <w:pPr>
        <w:spacing w:line="360" w:lineRule="auto"/>
        <w:ind w:right="532" w:firstLine="720" w:firstLineChars="200"/>
        <w:rPr>
          <w:rFonts w:ascii="宋体" w:hAnsi="宋体"/>
          <w:sz w:val="36"/>
          <w:szCs w:val="36"/>
        </w:rPr>
      </w:pPr>
    </w:p>
    <w:p/>
    <w:p>
      <w:pPr>
        <w:pStyle w:val="19"/>
      </w:pPr>
    </w:p>
    <w:p>
      <w:pPr>
        <w:pStyle w:val="29"/>
      </w:pPr>
    </w:p>
    <w:p>
      <w:pPr>
        <w:jc w:val="both"/>
        <w:rPr>
          <w:b/>
          <w:sz w:val="44"/>
          <w:szCs w:val="44"/>
        </w:rPr>
      </w:pPr>
    </w:p>
    <w:p>
      <w:pPr>
        <w:jc w:val="center"/>
        <w:rPr>
          <w:b/>
          <w:sz w:val="44"/>
          <w:szCs w:val="44"/>
        </w:rPr>
        <w:sectPr>
          <w:pgSz w:w="11906" w:h="16838"/>
          <w:pgMar w:top="907" w:right="1134" w:bottom="907" w:left="1134" w:header="851" w:footer="992" w:gutter="0"/>
          <w:pgNumType w:fmt="decimal"/>
          <w:cols w:space="720" w:num="1"/>
          <w:docGrid w:type="lines" w:linePitch="312" w:charSpace="0"/>
        </w:sectPr>
      </w:pPr>
    </w:p>
    <w:p>
      <w:pPr>
        <w:jc w:val="center"/>
        <w:rPr>
          <w:b/>
          <w:sz w:val="44"/>
          <w:szCs w:val="44"/>
        </w:rPr>
      </w:pPr>
      <w:r>
        <w:rPr>
          <w:b/>
          <w:sz w:val="44"/>
          <w:szCs w:val="44"/>
        </w:rPr>
        <w:t>技术商务文件</w:t>
      </w:r>
    </w:p>
    <w:p>
      <w:pPr>
        <w:jc w:val="center"/>
        <w:rPr>
          <w:b/>
          <w:sz w:val="32"/>
          <w:szCs w:val="32"/>
        </w:rPr>
      </w:pPr>
      <w:r>
        <w:rPr>
          <w:b/>
          <w:sz w:val="32"/>
          <w:szCs w:val="32"/>
        </w:rPr>
        <w:t>目录</w:t>
      </w:r>
    </w:p>
    <w:p>
      <w:pPr>
        <w:jc w:val="left"/>
        <w:rPr>
          <w:sz w:val="24"/>
        </w:rPr>
      </w:pPr>
      <w:r>
        <w:rPr>
          <w:sz w:val="24"/>
        </w:rPr>
        <w:t>1</w:t>
      </w:r>
      <w:r>
        <w:rPr>
          <w:rFonts w:hint="eastAsia"/>
          <w:sz w:val="24"/>
        </w:rPr>
        <w:t>、商务技术自评表</w:t>
      </w:r>
      <w:r>
        <w:rPr>
          <w:sz w:val="24"/>
        </w:rPr>
        <w:t>………………………………………………………………………（页码）</w:t>
      </w:r>
    </w:p>
    <w:p>
      <w:pPr>
        <w:jc w:val="left"/>
        <w:rPr>
          <w:sz w:val="24"/>
        </w:rPr>
      </w:pPr>
      <w:r>
        <w:rPr>
          <w:rFonts w:hint="eastAsia"/>
          <w:sz w:val="24"/>
        </w:rPr>
        <w:t>2、供应商情况介绍</w:t>
      </w:r>
      <w:r>
        <w:rPr>
          <w:sz w:val="24"/>
        </w:rPr>
        <w:t>……………………………………………………………………………（页码）</w:t>
      </w:r>
    </w:p>
    <w:p>
      <w:pPr>
        <w:jc w:val="left"/>
        <w:rPr>
          <w:sz w:val="24"/>
        </w:rPr>
      </w:pPr>
      <w:r>
        <w:rPr>
          <w:rFonts w:hint="eastAsia"/>
          <w:sz w:val="24"/>
        </w:rPr>
        <w:t>3、</w:t>
      </w:r>
      <w:r>
        <w:rPr>
          <w:sz w:val="24"/>
        </w:rPr>
        <w:t>整体</w:t>
      </w:r>
      <w:r>
        <w:rPr>
          <w:rFonts w:hint="eastAsia"/>
          <w:sz w:val="24"/>
        </w:rPr>
        <w:t>服务方案</w:t>
      </w:r>
      <w:r>
        <w:rPr>
          <w:sz w:val="24"/>
        </w:rPr>
        <w:t>………………………………………………………………………………（页码）</w:t>
      </w:r>
    </w:p>
    <w:p>
      <w:pPr>
        <w:jc w:val="left"/>
        <w:rPr>
          <w:sz w:val="24"/>
        </w:rPr>
      </w:pPr>
      <w:r>
        <w:rPr>
          <w:rFonts w:hint="eastAsia"/>
          <w:sz w:val="24"/>
        </w:rPr>
        <w:t>4、</w:t>
      </w:r>
      <w:r>
        <w:rPr>
          <w:sz w:val="24"/>
        </w:rPr>
        <w:t>技术规范</w:t>
      </w:r>
      <w:r>
        <w:rPr>
          <w:rFonts w:hint="eastAsia"/>
          <w:sz w:val="24"/>
        </w:rPr>
        <w:t>偏离表</w:t>
      </w:r>
      <w:r>
        <w:rPr>
          <w:sz w:val="24"/>
        </w:rPr>
        <w:t>……………………………………………………………………………（页码）</w:t>
      </w:r>
    </w:p>
    <w:p>
      <w:pPr>
        <w:jc w:val="left"/>
        <w:rPr>
          <w:sz w:val="24"/>
        </w:rPr>
      </w:pPr>
      <w:r>
        <w:rPr>
          <w:rFonts w:hint="eastAsia"/>
          <w:sz w:val="24"/>
        </w:rPr>
        <w:t>5、</w:t>
      </w:r>
      <w:r>
        <w:rPr>
          <w:sz w:val="24"/>
        </w:rPr>
        <w:t>商务规范</w:t>
      </w:r>
      <w:r>
        <w:rPr>
          <w:rFonts w:hint="eastAsia"/>
          <w:sz w:val="24"/>
        </w:rPr>
        <w:t>偏离表</w:t>
      </w:r>
      <w:r>
        <w:rPr>
          <w:sz w:val="24"/>
        </w:rPr>
        <w:t>……………………………………………………………………………（页码）</w:t>
      </w:r>
    </w:p>
    <w:p>
      <w:pPr>
        <w:jc w:val="left"/>
        <w:rPr>
          <w:sz w:val="24"/>
        </w:rPr>
      </w:pPr>
      <w:r>
        <w:rPr>
          <w:rFonts w:hint="eastAsia"/>
          <w:sz w:val="24"/>
        </w:rPr>
        <w:t>6、项目实施人员一览表</w:t>
      </w:r>
      <w:r>
        <w:rPr>
          <w:sz w:val="24"/>
        </w:rPr>
        <w:t>……………………………………………………………………（页码）</w:t>
      </w:r>
    </w:p>
    <w:p>
      <w:pPr>
        <w:jc w:val="left"/>
        <w:rPr>
          <w:sz w:val="24"/>
        </w:rPr>
      </w:pPr>
      <w:r>
        <w:rPr>
          <w:rFonts w:hint="eastAsia"/>
          <w:sz w:val="24"/>
        </w:rPr>
        <w:t>7、相关项目实施业绩一览表</w:t>
      </w:r>
      <w:r>
        <w:rPr>
          <w:sz w:val="24"/>
        </w:rPr>
        <w:t>………………………………………………………………（页码）</w:t>
      </w:r>
    </w:p>
    <w:p>
      <w:pPr>
        <w:jc w:val="left"/>
        <w:rPr>
          <w:sz w:val="24"/>
        </w:rPr>
      </w:pPr>
      <w:r>
        <w:rPr>
          <w:rFonts w:hint="eastAsia"/>
          <w:sz w:val="24"/>
        </w:rPr>
        <w:t>8、评分标准或采购文件需要提供的其他技术商务材料</w:t>
      </w:r>
      <w:r>
        <w:rPr>
          <w:sz w:val="24"/>
        </w:rPr>
        <w:t>…………………………………（页码）</w:t>
      </w:r>
    </w:p>
    <w:p>
      <w:pPr>
        <w:jc w:val="left"/>
        <w:rPr>
          <w:sz w:val="24"/>
        </w:rPr>
      </w:pPr>
      <w:r>
        <w:rPr>
          <w:rFonts w:hint="eastAsia"/>
          <w:sz w:val="24"/>
        </w:rPr>
        <w:t>9、供应商认为有必要提供的其他技术商务文件资料</w:t>
      </w:r>
      <w:r>
        <w:rPr>
          <w:sz w:val="24"/>
        </w:rPr>
        <w:t>…………………………………（页码）</w:t>
      </w:r>
    </w:p>
    <w:p>
      <w:pPr>
        <w:pStyle w:val="19"/>
      </w:pPr>
    </w:p>
    <w:p>
      <w:pPr>
        <w:pStyle w:val="29"/>
      </w:pPr>
    </w:p>
    <w:p/>
    <w:p>
      <w:pPr>
        <w:pStyle w:val="19"/>
      </w:pPr>
    </w:p>
    <w:p>
      <w:pPr>
        <w:pStyle w:val="29"/>
      </w:pPr>
    </w:p>
    <w:p/>
    <w:p>
      <w:pPr>
        <w:pStyle w:val="29"/>
        <w:sectPr>
          <w:pgSz w:w="11906" w:h="16838"/>
          <w:pgMar w:top="907" w:right="1134" w:bottom="907" w:left="1134" w:header="851" w:footer="992" w:gutter="0"/>
          <w:pgNumType w:fmt="decimal"/>
          <w:cols w:space="720" w:num="1"/>
          <w:docGrid w:type="lines" w:linePitch="312" w:charSpace="0"/>
        </w:sectPr>
      </w:pPr>
    </w:p>
    <w:p>
      <w:pPr>
        <w:pStyle w:val="21"/>
        <w:ind w:left="0"/>
      </w:pPr>
    </w:p>
    <w:p>
      <w:pPr>
        <w:pStyle w:val="71"/>
        <w:numPr>
          <w:ilvl w:val="0"/>
          <w:numId w:val="5"/>
        </w:numPr>
        <w:spacing w:after="156" w:afterLines="50" w:line="360" w:lineRule="auto"/>
        <w:ind w:firstLineChars="0"/>
        <w:jc w:val="center"/>
        <w:outlineLvl w:val="0"/>
        <w:rPr>
          <w:rFonts w:ascii="宋体" w:hAnsi="宋体"/>
          <w:b/>
          <w:sz w:val="32"/>
          <w:szCs w:val="32"/>
        </w:rPr>
      </w:pPr>
      <w:bookmarkStart w:id="133" w:name="_Toc26107"/>
      <w:bookmarkStart w:id="134" w:name="_Toc20566"/>
      <w:bookmarkStart w:id="135" w:name="_Toc25635"/>
      <w:bookmarkStart w:id="136" w:name="_Toc13033"/>
      <w:bookmarkStart w:id="137" w:name="_Toc28471"/>
      <w:bookmarkStart w:id="138" w:name="_Toc4248"/>
      <w:r>
        <w:rPr>
          <w:rFonts w:hint="eastAsia" w:ascii="宋体" w:hAnsi="宋体"/>
          <w:b/>
          <w:sz w:val="32"/>
          <w:szCs w:val="32"/>
        </w:rPr>
        <w:t>商务技术自评表</w:t>
      </w:r>
      <w:bookmarkEnd w:id="133"/>
      <w:bookmarkEnd w:id="134"/>
      <w:bookmarkEnd w:id="135"/>
      <w:bookmarkEnd w:id="136"/>
      <w:bookmarkEnd w:id="137"/>
      <w:bookmarkEnd w:id="138"/>
    </w:p>
    <w:tbl>
      <w:tblPr>
        <w:tblStyle w:val="47"/>
        <w:tblW w:w="101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2044"/>
        <w:gridCol w:w="5567"/>
        <w:gridCol w:w="709"/>
        <w:gridCol w:w="709"/>
        <w:gridCol w:w="11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67" w:hRule="atLeast"/>
          <w:jc w:val="center"/>
        </w:trPr>
        <w:tc>
          <w:tcPr>
            <w:tcW w:w="2044" w:type="dxa"/>
            <w:tcBorders>
              <w:top w:val="single" w:color="auto" w:sz="2" w:space="0"/>
              <w:left w:val="single" w:color="auto" w:sz="2" w:space="0"/>
              <w:bottom w:val="single" w:color="auto" w:sz="2" w:space="0"/>
              <w:right w:val="single" w:color="auto" w:sz="4" w:space="0"/>
            </w:tcBorders>
            <w:tcMar>
              <w:left w:w="28" w:type="dxa"/>
              <w:right w:w="28" w:type="dxa"/>
            </w:tcMar>
            <w:vAlign w:val="center"/>
          </w:tcPr>
          <w:p>
            <w:pPr>
              <w:spacing w:line="360" w:lineRule="exact"/>
              <w:jc w:val="center"/>
              <w:rPr>
                <w:rFonts w:ascii="Times New Roman" w:hAnsi="Times New Roman" w:cs="宋体"/>
                <w:b/>
                <w:spacing w:val="20"/>
                <w:szCs w:val="21"/>
              </w:rPr>
            </w:pPr>
            <w:r>
              <w:rPr>
                <w:rFonts w:hint="eastAsia" w:ascii="Times New Roman" w:hAnsi="Times New Roman" w:cs="宋体"/>
                <w:b/>
                <w:spacing w:val="20"/>
                <w:szCs w:val="21"/>
              </w:rPr>
              <w:t>评审项目</w:t>
            </w:r>
          </w:p>
        </w:tc>
        <w:tc>
          <w:tcPr>
            <w:tcW w:w="5567"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r>
              <w:rPr>
                <w:rFonts w:hint="eastAsia" w:ascii="Times New Roman" w:hAnsi="Times New Roman" w:cs="宋体"/>
                <w:b/>
                <w:spacing w:val="20"/>
                <w:szCs w:val="21"/>
              </w:rPr>
              <w:t>评审细则</w:t>
            </w: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r>
              <w:rPr>
                <w:rFonts w:hint="eastAsia" w:ascii="Times New Roman" w:hAnsi="Times New Roman" w:cs="宋体"/>
                <w:b/>
                <w:spacing w:val="20"/>
                <w:szCs w:val="21"/>
              </w:rPr>
              <w:t>分值</w:t>
            </w: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r>
              <w:rPr>
                <w:rFonts w:hint="eastAsia" w:cs="宋体"/>
                <w:b/>
                <w:spacing w:val="20"/>
                <w:szCs w:val="21"/>
              </w:rPr>
              <w:t>自评分</w:t>
            </w:r>
          </w:p>
        </w:tc>
        <w:tc>
          <w:tcPr>
            <w:tcW w:w="1145"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r>
              <w:rPr>
                <w:rFonts w:hint="eastAsia" w:cs="宋体"/>
                <w:b/>
                <w:spacing w:val="20"/>
                <w:szCs w:val="21"/>
              </w:rPr>
              <w:t>投标文件对应页码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1" w:hRule="atLeast"/>
          <w:jc w:val="center"/>
        </w:trPr>
        <w:tc>
          <w:tcPr>
            <w:tcW w:w="2044" w:type="dxa"/>
            <w:tcBorders>
              <w:top w:val="single" w:color="auto" w:sz="2" w:space="0"/>
              <w:left w:val="single" w:color="auto" w:sz="2" w:space="0"/>
              <w:bottom w:val="single" w:color="auto" w:sz="2" w:space="0"/>
              <w:right w:val="single" w:color="auto" w:sz="4" w:space="0"/>
            </w:tcBorders>
            <w:tcMar>
              <w:left w:w="28" w:type="dxa"/>
              <w:right w:w="28" w:type="dxa"/>
            </w:tcMar>
            <w:vAlign w:val="center"/>
          </w:tcPr>
          <w:p>
            <w:pPr>
              <w:spacing w:line="360" w:lineRule="exact"/>
              <w:jc w:val="center"/>
              <w:rPr>
                <w:rFonts w:ascii="Times New Roman" w:hAnsi="Times New Roman" w:cs="宋体"/>
                <w:b/>
                <w:spacing w:val="20"/>
                <w:szCs w:val="21"/>
              </w:rPr>
            </w:pPr>
          </w:p>
        </w:tc>
        <w:tc>
          <w:tcPr>
            <w:tcW w:w="5567"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c>
          <w:tcPr>
            <w:tcW w:w="1145"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134" w:hRule="atLeast"/>
          <w:jc w:val="center"/>
        </w:trPr>
        <w:tc>
          <w:tcPr>
            <w:tcW w:w="2044" w:type="dxa"/>
            <w:tcBorders>
              <w:top w:val="single" w:color="auto" w:sz="2" w:space="0"/>
              <w:left w:val="single" w:color="auto" w:sz="2" w:space="0"/>
              <w:bottom w:val="single" w:color="auto" w:sz="2" w:space="0"/>
              <w:right w:val="single" w:color="auto" w:sz="4" w:space="0"/>
            </w:tcBorders>
            <w:tcMar>
              <w:left w:w="28" w:type="dxa"/>
              <w:right w:w="28" w:type="dxa"/>
            </w:tcMar>
            <w:vAlign w:val="center"/>
          </w:tcPr>
          <w:p>
            <w:pPr>
              <w:spacing w:line="360" w:lineRule="exact"/>
              <w:jc w:val="center"/>
              <w:rPr>
                <w:rFonts w:ascii="Times New Roman" w:hAnsi="Times New Roman" w:cs="宋体"/>
                <w:b/>
                <w:spacing w:val="20"/>
                <w:szCs w:val="21"/>
              </w:rPr>
            </w:pPr>
          </w:p>
        </w:tc>
        <w:tc>
          <w:tcPr>
            <w:tcW w:w="5567"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c>
          <w:tcPr>
            <w:tcW w:w="1145"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134" w:hRule="atLeast"/>
          <w:jc w:val="center"/>
        </w:trPr>
        <w:tc>
          <w:tcPr>
            <w:tcW w:w="2044" w:type="dxa"/>
            <w:tcBorders>
              <w:top w:val="single" w:color="auto" w:sz="2" w:space="0"/>
              <w:left w:val="single" w:color="auto" w:sz="2" w:space="0"/>
              <w:bottom w:val="single" w:color="auto" w:sz="2" w:space="0"/>
              <w:right w:val="single" w:color="auto" w:sz="4" w:space="0"/>
            </w:tcBorders>
            <w:tcMar>
              <w:left w:w="28" w:type="dxa"/>
              <w:right w:w="28" w:type="dxa"/>
            </w:tcMar>
            <w:vAlign w:val="center"/>
          </w:tcPr>
          <w:p>
            <w:pPr>
              <w:spacing w:line="360" w:lineRule="exact"/>
              <w:jc w:val="center"/>
              <w:rPr>
                <w:rFonts w:ascii="Times New Roman" w:hAnsi="Times New Roman" w:cs="宋体"/>
                <w:b/>
                <w:spacing w:val="20"/>
                <w:szCs w:val="21"/>
              </w:rPr>
            </w:pPr>
          </w:p>
        </w:tc>
        <w:tc>
          <w:tcPr>
            <w:tcW w:w="5567"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c>
          <w:tcPr>
            <w:tcW w:w="1145"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134" w:hRule="atLeast"/>
          <w:jc w:val="center"/>
        </w:trPr>
        <w:tc>
          <w:tcPr>
            <w:tcW w:w="2044" w:type="dxa"/>
            <w:tcBorders>
              <w:top w:val="single" w:color="auto" w:sz="2" w:space="0"/>
              <w:left w:val="single" w:color="auto" w:sz="2" w:space="0"/>
              <w:bottom w:val="single" w:color="auto" w:sz="2" w:space="0"/>
              <w:right w:val="single" w:color="auto" w:sz="4" w:space="0"/>
            </w:tcBorders>
            <w:tcMar>
              <w:left w:w="28" w:type="dxa"/>
              <w:right w:w="28" w:type="dxa"/>
            </w:tcMar>
            <w:vAlign w:val="center"/>
          </w:tcPr>
          <w:p>
            <w:pPr>
              <w:spacing w:line="360" w:lineRule="exact"/>
              <w:jc w:val="center"/>
              <w:rPr>
                <w:rFonts w:ascii="Times New Roman" w:hAnsi="Times New Roman" w:cs="宋体"/>
                <w:b/>
                <w:spacing w:val="20"/>
                <w:szCs w:val="21"/>
              </w:rPr>
            </w:pPr>
          </w:p>
        </w:tc>
        <w:tc>
          <w:tcPr>
            <w:tcW w:w="5567"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c>
          <w:tcPr>
            <w:tcW w:w="1145"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42" w:hRule="atLeast"/>
          <w:jc w:val="center"/>
        </w:trPr>
        <w:tc>
          <w:tcPr>
            <w:tcW w:w="2044" w:type="dxa"/>
            <w:tcBorders>
              <w:top w:val="single" w:color="auto" w:sz="2" w:space="0"/>
              <w:left w:val="single" w:color="auto" w:sz="2" w:space="0"/>
              <w:bottom w:val="single" w:color="auto" w:sz="2" w:space="0"/>
              <w:right w:val="single" w:color="auto" w:sz="4" w:space="0"/>
            </w:tcBorders>
            <w:tcMar>
              <w:left w:w="28" w:type="dxa"/>
              <w:right w:w="28" w:type="dxa"/>
            </w:tcMar>
            <w:vAlign w:val="center"/>
          </w:tcPr>
          <w:p>
            <w:pPr>
              <w:spacing w:line="360" w:lineRule="exact"/>
              <w:jc w:val="center"/>
              <w:rPr>
                <w:rFonts w:ascii="Times New Roman" w:hAnsi="Times New Roman" w:cs="宋体"/>
                <w:b/>
                <w:spacing w:val="20"/>
                <w:szCs w:val="21"/>
              </w:rPr>
            </w:pPr>
          </w:p>
        </w:tc>
        <w:tc>
          <w:tcPr>
            <w:tcW w:w="5567"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c>
          <w:tcPr>
            <w:tcW w:w="1145"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11" w:hRule="atLeast"/>
          <w:jc w:val="center"/>
        </w:trPr>
        <w:tc>
          <w:tcPr>
            <w:tcW w:w="2044" w:type="dxa"/>
            <w:tcBorders>
              <w:top w:val="single" w:color="auto" w:sz="2" w:space="0"/>
              <w:left w:val="single" w:color="auto" w:sz="2" w:space="0"/>
              <w:bottom w:val="single" w:color="auto" w:sz="2" w:space="0"/>
              <w:right w:val="single" w:color="auto" w:sz="4" w:space="0"/>
            </w:tcBorders>
            <w:tcMar>
              <w:left w:w="28" w:type="dxa"/>
              <w:right w:w="28" w:type="dxa"/>
            </w:tcMar>
            <w:vAlign w:val="center"/>
          </w:tcPr>
          <w:p>
            <w:pPr>
              <w:spacing w:line="360" w:lineRule="exact"/>
              <w:jc w:val="center"/>
              <w:rPr>
                <w:rFonts w:ascii="Times New Roman" w:hAnsi="Times New Roman" w:cs="宋体"/>
                <w:b/>
                <w:spacing w:val="20"/>
                <w:szCs w:val="21"/>
              </w:rPr>
            </w:pPr>
          </w:p>
        </w:tc>
        <w:tc>
          <w:tcPr>
            <w:tcW w:w="5567"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c>
          <w:tcPr>
            <w:tcW w:w="1145"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134" w:hRule="atLeast"/>
          <w:jc w:val="center"/>
        </w:trPr>
        <w:tc>
          <w:tcPr>
            <w:tcW w:w="2044" w:type="dxa"/>
            <w:tcBorders>
              <w:top w:val="single" w:color="auto" w:sz="2" w:space="0"/>
              <w:left w:val="single" w:color="auto" w:sz="2" w:space="0"/>
              <w:bottom w:val="single" w:color="auto" w:sz="2" w:space="0"/>
              <w:right w:val="single" w:color="auto" w:sz="4" w:space="0"/>
            </w:tcBorders>
            <w:tcMar>
              <w:left w:w="28" w:type="dxa"/>
              <w:right w:w="28" w:type="dxa"/>
            </w:tcMar>
            <w:vAlign w:val="center"/>
          </w:tcPr>
          <w:p>
            <w:pPr>
              <w:spacing w:line="360" w:lineRule="exact"/>
              <w:jc w:val="center"/>
              <w:rPr>
                <w:rFonts w:ascii="Times New Roman" w:hAnsi="Times New Roman" w:cs="宋体"/>
                <w:b/>
                <w:spacing w:val="20"/>
                <w:szCs w:val="21"/>
              </w:rPr>
            </w:pPr>
          </w:p>
        </w:tc>
        <w:tc>
          <w:tcPr>
            <w:tcW w:w="5567"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c>
          <w:tcPr>
            <w:tcW w:w="1145"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134" w:hRule="atLeast"/>
          <w:jc w:val="center"/>
        </w:trPr>
        <w:tc>
          <w:tcPr>
            <w:tcW w:w="2044" w:type="dxa"/>
            <w:tcBorders>
              <w:top w:val="single" w:color="auto" w:sz="2" w:space="0"/>
              <w:left w:val="single" w:color="auto" w:sz="2" w:space="0"/>
              <w:bottom w:val="single" w:color="auto" w:sz="2" w:space="0"/>
              <w:right w:val="single" w:color="auto" w:sz="4" w:space="0"/>
            </w:tcBorders>
            <w:tcMar>
              <w:left w:w="28" w:type="dxa"/>
              <w:right w:w="28" w:type="dxa"/>
            </w:tcMar>
            <w:vAlign w:val="center"/>
          </w:tcPr>
          <w:p>
            <w:pPr>
              <w:spacing w:line="360" w:lineRule="exact"/>
              <w:jc w:val="center"/>
              <w:rPr>
                <w:rFonts w:ascii="Times New Roman" w:hAnsi="Times New Roman" w:cs="宋体"/>
                <w:b/>
                <w:spacing w:val="20"/>
                <w:szCs w:val="21"/>
              </w:rPr>
            </w:pPr>
          </w:p>
        </w:tc>
        <w:tc>
          <w:tcPr>
            <w:tcW w:w="5567"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c>
          <w:tcPr>
            <w:tcW w:w="1145"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134" w:hRule="atLeast"/>
          <w:jc w:val="center"/>
        </w:trPr>
        <w:tc>
          <w:tcPr>
            <w:tcW w:w="2044" w:type="dxa"/>
            <w:tcBorders>
              <w:top w:val="single" w:color="auto" w:sz="2" w:space="0"/>
              <w:left w:val="single" w:color="auto" w:sz="2" w:space="0"/>
              <w:bottom w:val="single" w:color="auto" w:sz="2" w:space="0"/>
              <w:right w:val="single" w:color="auto" w:sz="4" w:space="0"/>
            </w:tcBorders>
            <w:tcMar>
              <w:left w:w="28" w:type="dxa"/>
              <w:right w:w="28" w:type="dxa"/>
            </w:tcMar>
            <w:vAlign w:val="center"/>
          </w:tcPr>
          <w:p>
            <w:pPr>
              <w:spacing w:line="360" w:lineRule="exact"/>
              <w:jc w:val="center"/>
              <w:rPr>
                <w:rFonts w:ascii="Times New Roman" w:hAnsi="Times New Roman" w:cs="宋体"/>
                <w:b/>
                <w:spacing w:val="20"/>
                <w:szCs w:val="21"/>
              </w:rPr>
            </w:pPr>
          </w:p>
        </w:tc>
        <w:tc>
          <w:tcPr>
            <w:tcW w:w="5567"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c>
          <w:tcPr>
            <w:tcW w:w="1145"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134" w:hRule="atLeast"/>
          <w:jc w:val="center"/>
        </w:trPr>
        <w:tc>
          <w:tcPr>
            <w:tcW w:w="2044" w:type="dxa"/>
            <w:tcBorders>
              <w:top w:val="single" w:color="auto" w:sz="2" w:space="0"/>
              <w:left w:val="single" w:color="auto" w:sz="2" w:space="0"/>
              <w:bottom w:val="single" w:color="auto" w:sz="2" w:space="0"/>
              <w:right w:val="single" w:color="auto" w:sz="4" w:space="0"/>
            </w:tcBorders>
            <w:tcMar>
              <w:left w:w="28" w:type="dxa"/>
              <w:right w:w="28" w:type="dxa"/>
            </w:tcMar>
            <w:vAlign w:val="center"/>
          </w:tcPr>
          <w:p>
            <w:pPr>
              <w:spacing w:line="360" w:lineRule="exact"/>
              <w:jc w:val="center"/>
              <w:rPr>
                <w:rFonts w:ascii="Times New Roman" w:hAnsi="Times New Roman" w:cs="宋体"/>
                <w:b/>
                <w:spacing w:val="20"/>
                <w:szCs w:val="21"/>
              </w:rPr>
            </w:pPr>
          </w:p>
        </w:tc>
        <w:tc>
          <w:tcPr>
            <w:tcW w:w="5567"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c>
          <w:tcPr>
            <w:tcW w:w="1145"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134" w:hRule="atLeast"/>
          <w:jc w:val="center"/>
        </w:trPr>
        <w:tc>
          <w:tcPr>
            <w:tcW w:w="2044" w:type="dxa"/>
            <w:tcBorders>
              <w:top w:val="single" w:color="auto" w:sz="2" w:space="0"/>
              <w:left w:val="single" w:color="auto" w:sz="2" w:space="0"/>
              <w:bottom w:val="single" w:color="auto" w:sz="2" w:space="0"/>
              <w:right w:val="single" w:color="auto" w:sz="4" w:space="0"/>
            </w:tcBorders>
            <w:tcMar>
              <w:left w:w="28" w:type="dxa"/>
              <w:right w:w="28" w:type="dxa"/>
            </w:tcMar>
            <w:vAlign w:val="center"/>
          </w:tcPr>
          <w:p>
            <w:pPr>
              <w:spacing w:line="360" w:lineRule="exact"/>
              <w:jc w:val="center"/>
              <w:rPr>
                <w:rFonts w:ascii="Times New Roman" w:hAnsi="Times New Roman" w:cs="宋体"/>
                <w:b/>
                <w:spacing w:val="20"/>
                <w:szCs w:val="21"/>
              </w:rPr>
            </w:pPr>
          </w:p>
        </w:tc>
        <w:tc>
          <w:tcPr>
            <w:tcW w:w="5567"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ascii="Times New Roman" w:hAnsi="Times New Roman" w:cs="宋体"/>
                <w:b/>
                <w:spacing w:val="20"/>
                <w:szCs w:val="21"/>
              </w:rPr>
            </w:pPr>
          </w:p>
        </w:tc>
        <w:tc>
          <w:tcPr>
            <w:tcW w:w="709"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c>
          <w:tcPr>
            <w:tcW w:w="1145" w:type="dxa"/>
            <w:tcBorders>
              <w:top w:val="single" w:color="auto" w:sz="2" w:space="0"/>
              <w:left w:val="single" w:color="auto" w:sz="4" w:space="0"/>
              <w:bottom w:val="single" w:color="auto" w:sz="2" w:space="0"/>
              <w:right w:val="single" w:color="auto" w:sz="2" w:space="0"/>
            </w:tcBorders>
            <w:vAlign w:val="center"/>
          </w:tcPr>
          <w:p>
            <w:pPr>
              <w:spacing w:line="360" w:lineRule="exact"/>
              <w:jc w:val="center"/>
              <w:rPr>
                <w:rFonts w:cs="宋体"/>
                <w:b/>
                <w:spacing w:val="20"/>
                <w:szCs w:val="21"/>
              </w:rPr>
            </w:pPr>
          </w:p>
        </w:tc>
      </w:tr>
    </w:tbl>
    <w:p>
      <w:pPr>
        <w:spacing w:after="156" w:afterLines="50" w:line="360" w:lineRule="auto"/>
        <w:jc w:val="center"/>
        <w:outlineLvl w:val="0"/>
        <w:rPr>
          <w:rFonts w:ascii="宋体" w:hAnsi="宋体"/>
          <w:b/>
          <w:sz w:val="32"/>
          <w:szCs w:val="32"/>
        </w:rPr>
        <w:sectPr>
          <w:pgSz w:w="11906" w:h="16838"/>
          <w:pgMar w:top="907" w:right="1134" w:bottom="907" w:left="1134" w:header="851" w:footer="992" w:gutter="0"/>
          <w:pgNumType w:fmt="decimal"/>
          <w:cols w:space="720" w:num="1"/>
          <w:docGrid w:type="lines" w:linePitch="312" w:charSpace="0"/>
        </w:sectPr>
      </w:pPr>
    </w:p>
    <w:p>
      <w:pPr>
        <w:spacing w:after="156" w:afterLines="50" w:line="360" w:lineRule="auto"/>
        <w:jc w:val="center"/>
        <w:outlineLvl w:val="0"/>
        <w:rPr>
          <w:rFonts w:ascii="宋体" w:hAnsi="宋体"/>
          <w:b/>
          <w:sz w:val="32"/>
          <w:szCs w:val="32"/>
        </w:rPr>
      </w:pPr>
      <w:bookmarkStart w:id="139" w:name="_Toc10969"/>
      <w:bookmarkStart w:id="140" w:name="_Toc29896"/>
      <w:bookmarkStart w:id="141" w:name="_Toc15162"/>
      <w:bookmarkStart w:id="142" w:name="_Toc5952"/>
      <w:bookmarkStart w:id="143" w:name="_Toc8155"/>
      <w:bookmarkStart w:id="144" w:name="_Toc2650"/>
      <w:r>
        <w:rPr>
          <w:rFonts w:hint="eastAsia" w:ascii="宋体" w:hAnsi="宋体"/>
          <w:b/>
          <w:sz w:val="32"/>
          <w:szCs w:val="32"/>
        </w:rPr>
        <w:t>二、供应商基本情况表</w:t>
      </w:r>
      <w:bookmarkEnd w:id="139"/>
      <w:bookmarkEnd w:id="140"/>
      <w:bookmarkEnd w:id="141"/>
      <w:bookmarkEnd w:id="142"/>
      <w:bookmarkEnd w:id="143"/>
      <w:bookmarkEnd w:id="144"/>
    </w:p>
    <w:tbl>
      <w:tblPr>
        <w:tblStyle w:val="47"/>
        <w:tblW w:w="102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993"/>
        <w:gridCol w:w="1417"/>
        <w:gridCol w:w="464"/>
        <w:gridCol w:w="812"/>
        <w:gridCol w:w="851"/>
        <w:gridCol w:w="425"/>
        <w:gridCol w:w="992"/>
        <w:gridCol w:w="851"/>
        <w:gridCol w:w="330"/>
        <w:gridCol w:w="662"/>
        <w:gridCol w:w="142"/>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440" w:lineRule="exact"/>
              <w:jc w:val="center"/>
              <w:rPr>
                <w:rFonts w:ascii="宋体" w:hAnsi="宋体"/>
                <w:szCs w:val="21"/>
              </w:rPr>
            </w:pPr>
            <w:r>
              <w:rPr>
                <w:rFonts w:hint="eastAsia" w:ascii="宋体" w:hAnsi="宋体"/>
                <w:szCs w:val="21"/>
              </w:rPr>
              <w:t>企业名称</w:t>
            </w:r>
          </w:p>
        </w:tc>
        <w:tc>
          <w:tcPr>
            <w:tcW w:w="4962" w:type="dxa"/>
            <w:gridSpan w:val="6"/>
            <w:vAlign w:val="center"/>
          </w:tcPr>
          <w:p>
            <w:pPr>
              <w:spacing w:line="440" w:lineRule="exact"/>
              <w:jc w:val="center"/>
              <w:rPr>
                <w:rFonts w:ascii="宋体" w:hAnsi="宋体"/>
                <w:szCs w:val="21"/>
              </w:rPr>
            </w:pPr>
          </w:p>
        </w:tc>
        <w:tc>
          <w:tcPr>
            <w:tcW w:w="1843" w:type="dxa"/>
            <w:gridSpan w:val="2"/>
            <w:vAlign w:val="center"/>
          </w:tcPr>
          <w:p>
            <w:pPr>
              <w:spacing w:line="440" w:lineRule="exact"/>
              <w:jc w:val="center"/>
              <w:rPr>
                <w:rFonts w:ascii="宋体" w:hAnsi="宋体"/>
                <w:szCs w:val="21"/>
              </w:rPr>
            </w:pPr>
            <w:r>
              <w:rPr>
                <w:rFonts w:hint="eastAsia" w:ascii="宋体" w:hAnsi="宋体"/>
                <w:szCs w:val="21"/>
              </w:rPr>
              <w:t>法人代表</w:t>
            </w:r>
          </w:p>
        </w:tc>
        <w:tc>
          <w:tcPr>
            <w:tcW w:w="2551" w:type="dxa"/>
            <w:gridSpan w:val="4"/>
            <w:vAlign w:val="center"/>
          </w:tcPr>
          <w:p>
            <w:pPr>
              <w:spacing w:line="44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440" w:lineRule="exact"/>
              <w:jc w:val="center"/>
              <w:rPr>
                <w:rFonts w:ascii="宋体" w:hAnsi="宋体"/>
                <w:szCs w:val="21"/>
              </w:rPr>
            </w:pPr>
            <w:r>
              <w:rPr>
                <w:rFonts w:hint="eastAsia" w:ascii="宋体" w:hAnsi="宋体"/>
                <w:szCs w:val="21"/>
              </w:rPr>
              <w:t>地址</w:t>
            </w:r>
          </w:p>
        </w:tc>
        <w:tc>
          <w:tcPr>
            <w:tcW w:w="4962" w:type="dxa"/>
            <w:gridSpan w:val="6"/>
            <w:vAlign w:val="center"/>
          </w:tcPr>
          <w:p>
            <w:pPr>
              <w:spacing w:line="440" w:lineRule="exact"/>
              <w:jc w:val="center"/>
              <w:rPr>
                <w:rFonts w:ascii="宋体" w:hAnsi="宋体"/>
                <w:szCs w:val="21"/>
              </w:rPr>
            </w:pPr>
          </w:p>
        </w:tc>
        <w:tc>
          <w:tcPr>
            <w:tcW w:w="1843" w:type="dxa"/>
            <w:gridSpan w:val="2"/>
            <w:vAlign w:val="center"/>
          </w:tcPr>
          <w:p>
            <w:pPr>
              <w:spacing w:line="440" w:lineRule="exact"/>
              <w:jc w:val="center"/>
              <w:rPr>
                <w:rFonts w:ascii="宋体" w:hAnsi="宋体"/>
                <w:szCs w:val="21"/>
              </w:rPr>
            </w:pPr>
            <w:r>
              <w:rPr>
                <w:rFonts w:hint="eastAsia" w:ascii="宋体" w:hAnsi="宋体"/>
                <w:szCs w:val="21"/>
              </w:rPr>
              <w:t>企业性质</w:t>
            </w:r>
          </w:p>
        </w:tc>
        <w:tc>
          <w:tcPr>
            <w:tcW w:w="2551" w:type="dxa"/>
            <w:gridSpan w:val="4"/>
            <w:vAlign w:val="center"/>
          </w:tcPr>
          <w:p>
            <w:pPr>
              <w:spacing w:line="44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440" w:lineRule="exact"/>
              <w:jc w:val="center"/>
              <w:rPr>
                <w:rFonts w:ascii="宋体" w:hAnsi="宋体"/>
                <w:szCs w:val="21"/>
              </w:rPr>
            </w:pPr>
            <w:r>
              <w:rPr>
                <w:rFonts w:hint="eastAsia" w:ascii="宋体" w:hAnsi="宋体"/>
                <w:szCs w:val="21"/>
              </w:rPr>
              <w:t>股东姓名</w:t>
            </w:r>
          </w:p>
        </w:tc>
        <w:tc>
          <w:tcPr>
            <w:tcW w:w="993" w:type="dxa"/>
            <w:vAlign w:val="center"/>
          </w:tcPr>
          <w:p>
            <w:pPr>
              <w:spacing w:line="440" w:lineRule="exact"/>
              <w:jc w:val="center"/>
              <w:rPr>
                <w:rFonts w:ascii="宋体" w:hAnsi="宋体"/>
                <w:szCs w:val="21"/>
              </w:rPr>
            </w:pPr>
          </w:p>
        </w:tc>
        <w:tc>
          <w:tcPr>
            <w:tcW w:w="1417" w:type="dxa"/>
            <w:vAlign w:val="center"/>
          </w:tcPr>
          <w:p>
            <w:pPr>
              <w:spacing w:line="440" w:lineRule="exact"/>
              <w:jc w:val="center"/>
              <w:rPr>
                <w:rFonts w:ascii="宋体" w:hAnsi="宋体"/>
                <w:szCs w:val="21"/>
              </w:rPr>
            </w:pPr>
            <w:r>
              <w:rPr>
                <w:rFonts w:hint="eastAsia" w:ascii="宋体" w:hAnsi="宋体"/>
                <w:szCs w:val="21"/>
              </w:rPr>
              <w:t>股权结构（%）</w:t>
            </w:r>
          </w:p>
        </w:tc>
        <w:tc>
          <w:tcPr>
            <w:tcW w:w="2552" w:type="dxa"/>
            <w:gridSpan w:val="4"/>
            <w:vAlign w:val="center"/>
          </w:tcPr>
          <w:p>
            <w:pPr>
              <w:spacing w:line="440" w:lineRule="exact"/>
              <w:jc w:val="center"/>
              <w:rPr>
                <w:rFonts w:ascii="宋体" w:hAnsi="宋体"/>
                <w:szCs w:val="21"/>
              </w:rPr>
            </w:pPr>
          </w:p>
        </w:tc>
        <w:tc>
          <w:tcPr>
            <w:tcW w:w="1843" w:type="dxa"/>
            <w:gridSpan w:val="2"/>
            <w:vAlign w:val="center"/>
          </w:tcPr>
          <w:p>
            <w:pPr>
              <w:spacing w:line="440" w:lineRule="exact"/>
              <w:jc w:val="center"/>
              <w:rPr>
                <w:rFonts w:ascii="宋体" w:hAnsi="宋体"/>
                <w:szCs w:val="21"/>
              </w:rPr>
            </w:pPr>
            <w:r>
              <w:rPr>
                <w:rFonts w:hint="eastAsia" w:ascii="宋体" w:hAnsi="宋体"/>
                <w:szCs w:val="21"/>
              </w:rPr>
              <w:t>股东关系</w:t>
            </w:r>
          </w:p>
        </w:tc>
        <w:tc>
          <w:tcPr>
            <w:tcW w:w="2551" w:type="dxa"/>
            <w:gridSpan w:val="4"/>
            <w:vAlign w:val="center"/>
          </w:tcPr>
          <w:p>
            <w:pPr>
              <w:spacing w:line="44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851" w:type="dxa"/>
            <w:vMerge w:val="restart"/>
            <w:vAlign w:val="center"/>
          </w:tcPr>
          <w:p>
            <w:pPr>
              <w:spacing w:line="440" w:lineRule="exact"/>
              <w:jc w:val="center"/>
              <w:rPr>
                <w:rFonts w:ascii="宋体" w:hAnsi="宋体"/>
                <w:szCs w:val="21"/>
              </w:rPr>
            </w:pPr>
            <w:r>
              <w:rPr>
                <w:rFonts w:hint="eastAsia" w:ascii="宋体" w:hAnsi="宋体"/>
                <w:szCs w:val="21"/>
              </w:rPr>
              <w:t>联系人姓名</w:t>
            </w:r>
          </w:p>
        </w:tc>
        <w:tc>
          <w:tcPr>
            <w:tcW w:w="993" w:type="dxa"/>
            <w:vMerge w:val="restart"/>
            <w:vAlign w:val="center"/>
          </w:tcPr>
          <w:p>
            <w:pPr>
              <w:spacing w:line="440" w:lineRule="exact"/>
              <w:jc w:val="center"/>
              <w:rPr>
                <w:rFonts w:ascii="宋体" w:hAnsi="宋体"/>
                <w:szCs w:val="21"/>
              </w:rPr>
            </w:pPr>
          </w:p>
        </w:tc>
        <w:tc>
          <w:tcPr>
            <w:tcW w:w="1417" w:type="dxa"/>
            <w:vAlign w:val="center"/>
          </w:tcPr>
          <w:p>
            <w:pPr>
              <w:spacing w:line="440" w:lineRule="exact"/>
              <w:jc w:val="center"/>
              <w:rPr>
                <w:rFonts w:ascii="宋体" w:hAnsi="宋体"/>
                <w:szCs w:val="21"/>
              </w:rPr>
            </w:pPr>
            <w:r>
              <w:rPr>
                <w:rFonts w:hint="eastAsia" w:ascii="宋体" w:hAnsi="宋体"/>
                <w:szCs w:val="21"/>
              </w:rPr>
              <w:t>固定电话</w:t>
            </w:r>
          </w:p>
        </w:tc>
        <w:tc>
          <w:tcPr>
            <w:tcW w:w="2552" w:type="dxa"/>
            <w:gridSpan w:val="4"/>
            <w:vAlign w:val="center"/>
          </w:tcPr>
          <w:p>
            <w:pPr>
              <w:spacing w:line="440" w:lineRule="exact"/>
              <w:jc w:val="center"/>
              <w:rPr>
                <w:rFonts w:ascii="宋体" w:hAnsi="宋体"/>
                <w:szCs w:val="21"/>
              </w:rPr>
            </w:pPr>
          </w:p>
        </w:tc>
        <w:tc>
          <w:tcPr>
            <w:tcW w:w="1843" w:type="dxa"/>
            <w:gridSpan w:val="2"/>
            <w:vMerge w:val="restart"/>
            <w:vAlign w:val="center"/>
          </w:tcPr>
          <w:p>
            <w:pPr>
              <w:spacing w:line="440" w:lineRule="exact"/>
              <w:jc w:val="center"/>
              <w:rPr>
                <w:rFonts w:ascii="宋体" w:hAnsi="宋体"/>
                <w:szCs w:val="21"/>
              </w:rPr>
            </w:pPr>
            <w:r>
              <w:rPr>
                <w:rFonts w:hint="eastAsia" w:ascii="宋体" w:hAnsi="宋体"/>
                <w:szCs w:val="21"/>
              </w:rPr>
              <w:t>传真</w:t>
            </w:r>
          </w:p>
        </w:tc>
        <w:tc>
          <w:tcPr>
            <w:tcW w:w="2551" w:type="dxa"/>
            <w:gridSpan w:val="4"/>
            <w:vMerge w:val="restart"/>
            <w:vAlign w:val="center"/>
          </w:tcPr>
          <w:p>
            <w:pPr>
              <w:spacing w:line="44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851" w:type="dxa"/>
            <w:vMerge w:val="continue"/>
            <w:vAlign w:val="center"/>
          </w:tcPr>
          <w:p>
            <w:pPr>
              <w:spacing w:line="440" w:lineRule="exact"/>
              <w:jc w:val="center"/>
              <w:rPr>
                <w:rFonts w:ascii="宋体" w:hAnsi="宋体"/>
                <w:szCs w:val="21"/>
              </w:rPr>
            </w:pPr>
          </w:p>
        </w:tc>
        <w:tc>
          <w:tcPr>
            <w:tcW w:w="993" w:type="dxa"/>
            <w:vMerge w:val="continue"/>
            <w:vAlign w:val="center"/>
          </w:tcPr>
          <w:p>
            <w:pPr>
              <w:spacing w:line="440" w:lineRule="exact"/>
              <w:jc w:val="center"/>
              <w:rPr>
                <w:rFonts w:ascii="宋体" w:hAnsi="宋体"/>
                <w:szCs w:val="21"/>
              </w:rPr>
            </w:pPr>
          </w:p>
        </w:tc>
        <w:tc>
          <w:tcPr>
            <w:tcW w:w="1417" w:type="dxa"/>
            <w:vAlign w:val="center"/>
          </w:tcPr>
          <w:p>
            <w:pPr>
              <w:spacing w:line="440" w:lineRule="exact"/>
              <w:jc w:val="center"/>
              <w:rPr>
                <w:rFonts w:ascii="宋体" w:hAnsi="宋体"/>
                <w:szCs w:val="21"/>
              </w:rPr>
            </w:pPr>
            <w:r>
              <w:rPr>
                <w:rFonts w:hint="eastAsia" w:ascii="宋体" w:hAnsi="宋体"/>
                <w:szCs w:val="21"/>
              </w:rPr>
              <w:t>手 机</w:t>
            </w:r>
          </w:p>
        </w:tc>
        <w:tc>
          <w:tcPr>
            <w:tcW w:w="2552" w:type="dxa"/>
            <w:gridSpan w:val="4"/>
            <w:vAlign w:val="center"/>
          </w:tcPr>
          <w:p>
            <w:pPr>
              <w:spacing w:line="440" w:lineRule="exact"/>
              <w:jc w:val="center"/>
              <w:rPr>
                <w:rFonts w:ascii="宋体" w:hAnsi="宋体"/>
                <w:szCs w:val="21"/>
              </w:rPr>
            </w:pPr>
          </w:p>
        </w:tc>
        <w:tc>
          <w:tcPr>
            <w:tcW w:w="1843" w:type="dxa"/>
            <w:gridSpan w:val="2"/>
            <w:vMerge w:val="continue"/>
            <w:vAlign w:val="center"/>
          </w:tcPr>
          <w:p>
            <w:pPr>
              <w:spacing w:line="440" w:lineRule="exact"/>
              <w:jc w:val="center"/>
              <w:rPr>
                <w:rFonts w:ascii="宋体" w:hAnsi="宋体"/>
                <w:szCs w:val="21"/>
              </w:rPr>
            </w:pPr>
          </w:p>
        </w:tc>
        <w:tc>
          <w:tcPr>
            <w:tcW w:w="2551" w:type="dxa"/>
            <w:gridSpan w:val="4"/>
            <w:vMerge w:val="continue"/>
            <w:vAlign w:val="center"/>
          </w:tcPr>
          <w:p>
            <w:pPr>
              <w:spacing w:line="44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Merge w:val="restart"/>
            <w:vAlign w:val="center"/>
          </w:tcPr>
          <w:p>
            <w:pPr>
              <w:spacing w:line="440" w:lineRule="exact"/>
              <w:jc w:val="center"/>
              <w:rPr>
                <w:rFonts w:ascii="宋体" w:hAnsi="宋体"/>
                <w:szCs w:val="21"/>
              </w:rPr>
            </w:pPr>
            <w:r>
              <w:rPr>
                <w:rFonts w:hint="eastAsia" w:ascii="宋体" w:hAnsi="宋体"/>
                <w:szCs w:val="21"/>
              </w:rPr>
              <w:t xml:space="preserve">1. </w:t>
            </w:r>
          </w:p>
          <w:p>
            <w:pPr>
              <w:spacing w:line="440" w:lineRule="exact"/>
              <w:jc w:val="center"/>
              <w:rPr>
                <w:rFonts w:ascii="宋体" w:hAnsi="宋体"/>
                <w:szCs w:val="21"/>
              </w:rPr>
            </w:pPr>
            <w:r>
              <w:rPr>
                <w:rFonts w:hint="eastAsia" w:ascii="宋体" w:hAnsi="宋体"/>
                <w:szCs w:val="21"/>
              </w:rPr>
              <w:t xml:space="preserve">企 </w:t>
            </w:r>
          </w:p>
          <w:p>
            <w:pPr>
              <w:spacing w:line="440" w:lineRule="exact"/>
              <w:jc w:val="center"/>
              <w:rPr>
                <w:rFonts w:ascii="宋体" w:hAnsi="宋体"/>
                <w:szCs w:val="21"/>
              </w:rPr>
            </w:pPr>
            <w:r>
              <w:rPr>
                <w:rFonts w:hint="eastAsia" w:ascii="宋体" w:hAnsi="宋体"/>
                <w:szCs w:val="21"/>
              </w:rPr>
              <w:t xml:space="preserve">业 </w:t>
            </w:r>
          </w:p>
          <w:p>
            <w:pPr>
              <w:spacing w:line="440" w:lineRule="exact"/>
              <w:jc w:val="center"/>
              <w:rPr>
                <w:rFonts w:ascii="宋体" w:hAnsi="宋体"/>
                <w:szCs w:val="21"/>
              </w:rPr>
            </w:pPr>
            <w:r>
              <w:rPr>
                <w:rFonts w:hint="eastAsia" w:ascii="宋体" w:hAnsi="宋体"/>
                <w:szCs w:val="21"/>
              </w:rPr>
              <w:t xml:space="preserve">概 </w:t>
            </w:r>
          </w:p>
          <w:p>
            <w:pPr>
              <w:spacing w:line="440" w:lineRule="exact"/>
              <w:jc w:val="center"/>
              <w:rPr>
                <w:rFonts w:ascii="宋体" w:hAnsi="宋体"/>
                <w:szCs w:val="21"/>
              </w:rPr>
            </w:pPr>
            <w:r>
              <w:rPr>
                <w:rFonts w:hint="eastAsia" w:ascii="宋体" w:hAnsi="宋体"/>
                <w:szCs w:val="21"/>
              </w:rPr>
              <w:t>况</w:t>
            </w:r>
          </w:p>
        </w:tc>
        <w:tc>
          <w:tcPr>
            <w:tcW w:w="993" w:type="dxa"/>
            <w:vAlign w:val="center"/>
          </w:tcPr>
          <w:p>
            <w:pPr>
              <w:spacing w:line="440" w:lineRule="exact"/>
              <w:jc w:val="center"/>
              <w:rPr>
                <w:rFonts w:ascii="宋体" w:hAnsi="宋体"/>
                <w:szCs w:val="21"/>
              </w:rPr>
            </w:pPr>
            <w:r>
              <w:rPr>
                <w:rFonts w:hint="eastAsia" w:ascii="宋体" w:hAnsi="宋体"/>
                <w:szCs w:val="21"/>
              </w:rPr>
              <w:t>职工</w:t>
            </w:r>
          </w:p>
          <w:p>
            <w:pPr>
              <w:spacing w:line="440" w:lineRule="exact"/>
              <w:jc w:val="center"/>
              <w:rPr>
                <w:rFonts w:ascii="宋体" w:hAnsi="宋体"/>
                <w:szCs w:val="21"/>
              </w:rPr>
            </w:pPr>
            <w:r>
              <w:rPr>
                <w:rFonts w:hint="eastAsia" w:ascii="宋体" w:hAnsi="宋体"/>
                <w:szCs w:val="21"/>
              </w:rPr>
              <w:t>人数</w:t>
            </w:r>
          </w:p>
        </w:tc>
        <w:tc>
          <w:tcPr>
            <w:tcW w:w="1417" w:type="dxa"/>
            <w:vAlign w:val="center"/>
          </w:tcPr>
          <w:p>
            <w:pPr>
              <w:spacing w:line="440" w:lineRule="exact"/>
              <w:jc w:val="center"/>
              <w:rPr>
                <w:rFonts w:ascii="宋体" w:hAnsi="宋体"/>
                <w:szCs w:val="21"/>
              </w:rPr>
            </w:pPr>
          </w:p>
        </w:tc>
        <w:tc>
          <w:tcPr>
            <w:tcW w:w="1276" w:type="dxa"/>
            <w:gridSpan w:val="2"/>
            <w:vAlign w:val="center"/>
          </w:tcPr>
          <w:p>
            <w:pPr>
              <w:spacing w:line="440" w:lineRule="exact"/>
              <w:jc w:val="center"/>
              <w:rPr>
                <w:rFonts w:ascii="宋体" w:hAnsi="宋体"/>
                <w:szCs w:val="21"/>
              </w:rPr>
            </w:pPr>
            <w:r>
              <w:rPr>
                <w:rFonts w:hint="eastAsia" w:ascii="宋体" w:hAnsi="宋体"/>
                <w:szCs w:val="21"/>
              </w:rPr>
              <w:t>具备大专以上学历人数</w:t>
            </w:r>
          </w:p>
        </w:tc>
        <w:tc>
          <w:tcPr>
            <w:tcW w:w="1276" w:type="dxa"/>
            <w:gridSpan w:val="2"/>
            <w:vAlign w:val="center"/>
          </w:tcPr>
          <w:p>
            <w:pPr>
              <w:spacing w:line="440" w:lineRule="exact"/>
              <w:jc w:val="center"/>
              <w:rPr>
                <w:rFonts w:ascii="宋体" w:hAnsi="宋体"/>
                <w:szCs w:val="21"/>
              </w:rPr>
            </w:pPr>
          </w:p>
        </w:tc>
        <w:tc>
          <w:tcPr>
            <w:tcW w:w="1843" w:type="dxa"/>
            <w:gridSpan w:val="2"/>
            <w:vAlign w:val="center"/>
          </w:tcPr>
          <w:p>
            <w:pPr>
              <w:spacing w:line="440" w:lineRule="exact"/>
              <w:jc w:val="center"/>
              <w:rPr>
                <w:rFonts w:ascii="宋体" w:hAnsi="宋体"/>
                <w:szCs w:val="21"/>
              </w:rPr>
            </w:pPr>
            <w:r>
              <w:rPr>
                <w:rFonts w:hint="eastAsia" w:ascii="宋体" w:hAnsi="宋体"/>
                <w:szCs w:val="21"/>
              </w:rPr>
              <w:t>国家授予技术职称人数</w:t>
            </w:r>
          </w:p>
        </w:tc>
        <w:tc>
          <w:tcPr>
            <w:tcW w:w="2551" w:type="dxa"/>
            <w:gridSpan w:val="4"/>
            <w:vAlign w:val="center"/>
          </w:tcPr>
          <w:p>
            <w:pPr>
              <w:spacing w:line="44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Merge w:val="continue"/>
            <w:vAlign w:val="center"/>
          </w:tcPr>
          <w:p>
            <w:pPr>
              <w:spacing w:line="440" w:lineRule="exact"/>
              <w:jc w:val="center"/>
              <w:rPr>
                <w:rFonts w:ascii="宋体" w:hAnsi="宋体"/>
                <w:szCs w:val="21"/>
              </w:rPr>
            </w:pPr>
          </w:p>
        </w:tc>
        <w:tc>
          <w:tcPr>
            <w:tcW w:w="993" w:type="dxa"/>
            <w:vAlign w:val="center"/>
          </w:tcPr>
          <w:p>
            <w:pPr>
              <w:spacing w:line="440" w:lineRule="exact"/>
              <w:jc w:val="center"/>
              <w:rPr>
                <w:rFonts w:ascii="宋体" w:hAnsi="宋体"/>
                <w:szCs w:val="21"/>
              </w:rPr>
            </w:pPr>
            <w:r>
              <w:rPr>
                <w:rFonts w:hint="eastAsia" w:ascii="宋体" w:hAnsi="宋体"/>
                <w:szCs w:val="21"/>
              </w:rPr>
              <w:t>占地</w:t>
            </w:r>
          </w:p>
          <w:p>
            <w:pPr>
              <w:spacing w:line="440" w:lineRule="exact"/>
              <w:jc w:val="center"/>
              <w:rPr>
                <w:rFonts w:ascii="宋体" w:hAnsi="宋体"/>
                <w:szCs w:val="21"/>
              </w:rPr>
            </w:pPr>
            <w:r>
              <w:rPr>
                <w:rFonts w:hint="eastAsia" w:ascii="宋体" w:hAnsi="宋体"/>
                <w:szCs w:val="21"/>
              </w:rPr>
              <w:t>面积</w:t>
            </w:r>
          </w:p>
        </w:tc>
        <w:tc>
          <w:tcPr>
            <w:tcW w:w="1417" w:type="dxa"/>
            <w:vAlign w:val="center"/>
          </w:tcPr>
          <w:p>
            <w:pPr>
              <w:spacing w:line="440" w:lineRule="exact"/>
              <w:jc w:val="center"/>
              <w:rPr>
                <w:rFonts w:ascii="宋体" w:hAnsi="宋体"/>
                <w:szCs w:val="21"/>
              </w:rPr>
            </w:pPr>
          </w:p>
        </w:tc>
        <w:tc>
          <w:tcPr>
            <w:tcW w:w="1276" w:type="dxa"/>
            <w:gridSpan w:val="2"/>
            <w:vAlign w:val="center"/>
          </w:tcPr>
          <w:p>
            <w:pPr>
              <w:spacing w:line="440" w:lineRule="exact"/>
              <w:jc w:val="center"/>
              <w:rPr>
                <w:rFonts w:ascii="宋体" w:hAnsi="宋体"/>
                <w:szCs w:val="21"/>
              </w:rPr>
            </w:pPr>
            <w:r>
              <w:rPr>
                <w:rFonts w:hint="eastAsia" w:ascii="宋体" w:hAnsi="宋体"/>
                <w:szCs w:val="21"/>
              </w:rPr>
              <w:t>建筑面积</w:t>
            </w:r>
          </w:p>
        </w:tc>
        <w:tc>
          <w:tcPr>
            <w:tcW w:w="1276" w:type="dxa"/>
            <w:gridSpan w:val="2"/>
            <w:vAlign w:val="center"/>
          </w:tcPr>
          <w:p>
            <w:pPr>
              <w:spacing w:line="440" w:lineRule="exact"/>
              <w:jc w:val="center"/>
              <w:rPr>
                <w:rFonts w:ascii="宋体" w:hAnsi="宋体"/>
                <w:szCs w:val="21"/>
              </w:rPr>
            </w:pPr>
            <w:r>
              <w:rPr>
                <w:rFonts w:hint="eastAsia" w:ascii="宋体" w:hAnsi="宋体"/>
                <w:szCs w:val="21"/>
              </w:rPr>
              <w:t>平方米 □自有 □租赁</w:t>
            </w:r>
          </w:p>
        </w:tc>
        <w:tc>
          <w:tcPr>
            <w:tcW w:w="1843" w:type="dxa"/>
            <w:gridSpan w:val="2"/>
            <w:vAlign w:val="center"/>
          </w:tcPr>
          <w:p>
            <w:pPr>
              <w:spacing w:line="440" w:lineRule="exact"/>
              <w:jc w:val="center"/>
              <w:rPr>
                <w:rFonts w:ascii="宋体" w:hAnsi="宋体"/>
                <w:szCs w:val="21"/>
              </w:rPr>
            </w:pPr>
            <w:r>
              <w:rPr>
                <w:rFonts w:hint="eastAsia" w:ascii="宋体" w:hAnsi="宋体"/>
                <w:szCs w:val="21"/>
              </w:rPr>
              <w:t>生产经营场所及场所的设施与设备</w:t>
            </w:r>
          </w:p>
        </w:tc>
        <w:tc>
          <w:tcPr>
            <w:tcW w:w="2551" w:type="dxa"/>
            <w:gridSpan w:val="4"/>
            <w:vAlign w:val="center"/>
          </w:tcPr>
          <w:p>
            <w:pPr>
              <w:spacing w:line="44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Merge w:val="continue"/>
            <w:vAlign w:val="center"/>
          </w:tcPr>
          <w:p>
            <w:pPr>
              <w:spacing w:line="440" w:lineRule="exact"/>
              <w:jc w:val="center"/>
              <w:rPr>
                <w:rFonts w:ascii="宋体" w:hAnsi="宋体"/>
                <w:szCs w:val="21"/>
              </w:rPr>
            </w:pPr>
          </w:p>
        </w:tc>
        <w:tc>
          <w:tcPr>
            <w:tcW w:w="993" w:type="dxa"/>
            <w:vAlign w:val="center"/>
          </w:tcPr>
          <w:p>
            <w:pPr>
              <w:spacing w:line="440" w:lineRule="exact"/>
              <w:jc w:val="center"/>
              <w:rPr>
                <w:rFonts w:ascii="宋体" w:hAnsi="宋体"/>
                <w:szCs w:val="21"/>
              </w:rPr>
            </w:pPr>
            <w:r>
              <w:rPr>
                <w:rFonts w:hint="eastAsia" w:ascii="宋体" w:hAnsi="宋体"/>
                <w:szCs w:val="21"/>
              </w:rPr>
              <w:t>注册</w:t>
            </w:r>
          </w:p>
          <w:p>
            <w:pPr>
              <w:spacing w:line="440" w:lineRule="exact"/>
              <w:jc w:val="center"/>
              <w:rPr>
                <w:rFonts w:ascii="宋体" w:hAnsi="宋体"/>
                <w:szCs w:val="21"/>
              </w:rPr>
            </w:pPr>
            <w:r>
              <w:rPr>
                <w:rFonts w:hint="eastAsia" w:ascii="宋体" w:hAnsi="宋体"/>
                <w:szCs w:val="21"/>
              </w:rPr>
              <w:t>资金</w:t>
            </w:r>
          </w:p>
        </w:tc>
        <w:tc>
          <w:tcPr>
            <w:tcW w:w="1417" w:type="dxa"/>
            <w:vAlign w:val="center"/>
          </w:tcPr>
          <w:p>
            <w:pPr>
              <w:spacing w:line="440" w:lineRule="exact"/>
              <w:jc w:val="center"/>
              <w:rPr>
                <w:rFonts w:ascii="宋体" w:hAnsi="宋体"/>
                <w:szCs w:val="21"/>
              </w:rPr>
            </w:pPr>
          </w:p>
        </w:tc>
        <w:tc>
          <w:tcPr>
            <w:tcW w:w="1276" w:type="dxa"/>
            <w:gridSpan w:val="2"/>
            <w:vAlign w:val="center"/>
          </w:tcPr>
          <w:p>
            <w:pPr>
              <w:spacing w:line="440" w:lineRule="exact"/>
              <w:jc w:val="center"/>
              <w:rPr>
                <w:rFonts w:ascii="宋体" w:hAnsi="宋体"/>
                <w:szCs w:val="21"/>
              </w:rPr>
            </w:pPr>
            <w:r>
              <w:rPr>
                <w:rFonts w:hint="eastAsia" w:ascii="宋体" w:hAnsi="宋体"/>
                <w:szCs w:val="21"/>
              </w:rPr>
              <w:t>注册发证机 关</w:t>
            </w:r>
          </w:p>
        </w:tc>
        <w:tc>
          <w:tcPr>
            <w:tcW w:w="3119" w:type="dxa"/>
            <w:gridSpan w:val="4"/>
            <w:vAlign w:val="center"/>
          </w:tcPr>
          <w:p>
            <w:pPr>
              <w:spacing w:line="440" w:lineRule="exact"/>
              <w:jc w:val="center"/>
              <w:rPr>
                <w:rFonts w:ascii="宋体" w:hAnsi="宋体"/>
                <w:szCs w:val="21"/>
              </w:rPr>
            </w:pPr>
          </w:p>
        </w:tc>
        <w:tc>
          <w:tcPr>
            <w:tcW w:w="992" w:type="dxa"/>
            <w:gridSpan w:val="2"/>
            <w:vAlign w:val="center"/>
          </w:tcPr>
          <w:p>
            <w:pPr>
              <w:spacing w:line="440" w:lineRule="exact"/>
              <w:jc w:val="center"/>
              <w:rPr>
                <w:rFonts w:ascii="宋体" w:hAnsi="宋体"/>
                <w:szCs w:val="21"/>
              </w:rPr>
            </w:pPr>
            <w:r>
              <w:rPr>
                <w:rFonts w:hint="eastAsia" w:ascii="宋体" w:hAnsi="宋体"/>
                <w:szCs w:val="21"/>
              </w:rPr>
              <w:t>公司成立时间</w:t>
            </w:r>
          </w:p>
        </w:tc>
        <w:tc>
          <w:tcPr>
            <w:tcW w:w="1559" w:type="dxa"/>
            <w:gridSpan w:val="2"/>
            <w:vAlign w:val="center"/>
          </w:tcPr>
          <w:p>
            <w:pPr>
              <w:spacing w:line="44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Merge w:val="continue"/>
            <w:vAlign w:val="center"/>
          </w:tcPr>
          <w:p>
            <w:pPr>
              <w:spacing w:line="440" w:lineRule="exact"/>
              <w:jc w:val="center"/>
              <w:rPr>
                <w:rFonts w:ascii="宋体" w:hAnsi="宋体"/>
                <w:szCs w:val="21"/>
              </w:rPr>
            </w:pPr>
          </w:p>
        </w:tc>
        <w:tc>
          <w:tcPr>
            <w:tcW w:w="993" w:type="dxa"/>
            <w:vAlign w:val="center"/>
          </w:tcPr>
          <w:p>
            <w:pPr>
              <w:spacing w:line="440" w:lineRule="exact"/>
              <w:jc w:val="center"/>
              <w:rPr>
                <w:rFonts w:ascii="宋体" w:hAnsi="宋体"/>
                <w:szCs w:val="21"/>
              </w:rPr>
            </w:pPr>
            <w:r>
              <w:rPr>
                <w:rFonts w:hint="eastAsia" w:ascii="宋体" w:hAnsi="宋体"/>
                <w:szCs w:val="21"/>
              </w:rPr>
              <w:t>核准经营范围</w:t>
            </w:r>
          </w:p>
        </w:tc>
        <w:tc>
          <w:tcPr>
            <w:tcW w:w="8363" w:type="dxa"/>
            <w:gridSpan w:val="11"/>
            <w:vAlign w:val="center"/>
          </w:tcPr>
          <w:p>
            <w:pPr>
              <w:spacing w:line="44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Merge w:val="continue"/>
            <w:vAlign w:val="center"/>
          </w:tcPr>
          <w:p>
            <w:pPr>
              <w:spacing w:line="440" w:lineRule="exact"/>
              <w:jc w:val="center"/>
              <w:rPr>
                <w:rFonts w:ascii="宋体" w:hAnsi="宋体"/>
                <w:szCs w:val="21"/>
              </w:rPr>
            </w:pPr>
          </w:p>
        </w:tc>
        <w:tc>
          <w:tcPr>
            <w:tcW w:w="9356" w:type="dxa"/>
            <w:gridSpan w:val="12"/>
            <w:vAlign w:val="center"/>
          </w:tcPr>
          <w:p>
            <w:pPr>
              <w:spacing w:line="440" w:lineRule="exact"/>
              <w:jc w:val="left"/>
              <w:rPr>
                <w:rFonts w:ascii="宋体" w:hAnsi="宋体"/>
                <w:szCs w:val="21"/>
              </w:rPr>
            </w:pPr>
            <w:r>
              <w:rPr>
                <w:rFonts w:hint="eastAsia" w:ascii="宋体" w:hAnsi="宋体"/>
                <w:szCs w:val="21"/>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851" w:type="dxa"/>
            <w:vMerge w:val="restart"/>
            <w:vAlign w:val="center"/>
          </w:tcPr>
          <w:p>
            <w:pPr>
              <w:spacing w:line="440" w:lineRule="exact"/>
              <w:jc w:val="center"/>
              <w:rPr>
                <w:rFonts w:ascii="宋体" w:hAnsi="宋体"/>
                <w:szCs w:val="21"/>
              </w:rPr>
            </w:pPr>
            <w:r>
              <w:rPr>
                <w:rFonts w:hint="eastAsia" w:ascii="宋体" w:hAnsi="宋体"/>
                <w:szCs w:val="21"/>
              </w:rPr>
              <w:t>2.企业有关资 质获证情况</w:t>
            </w:r>
          </w:p>
        </w:tc>
        <w:tc>
          <w:tcPr>
            <w:tcW w:w="2874" w:type="dxa"/>
            <w:gridSpan w:val="3"/>
            <w:vMerge w:val="restart"/>
            <w:vAlign w:val="center"/>
          </w:tcPr>
          <w:p>
            <w:pPr>
              <w:spacing w:line="440" w:lineRule="exact"/>
              <w:jc w:val="center"/>
              <w:rPr>
                <w:rFonts w:ascii="宋体" w:hAnsi="宋体"/>
                <w:szCs w:val="21"/>
              </w:rPr>
            </w:pPr>
            <w:r>
              <w:rPr>
                <w:rFonts w:hint="eastAsia" w:ascii="宋体" w:hAnsi="宋体"/>
                <w:szCs w:val="21"/>
              </w:rPr>
              <w:t>产品生产许可证情况（对需获得生产许可证的产品要填写此栏）</w:t>
            </w:r>
          </w:p>
        </w:tc>
        <w:tc>
          <w:tcPr>
            <w:tcW w:w="1663" w:type="dxa"/>
            <w:gridSpan w:val="2"/>
            <w:vAlign w:val="center"/>
          </w:tcPr>
          <w:p>
            <w:pPr>
              <w:spacing w:line="440" w:lineRule="exact"/>
              <w:jc w:val="center"/>
              <w:rPr>
                <w:rFonts w:ascii="宋体" w:hAnsi="宋体"/>
                <w:szCs w:val="21"/>
              </w:rPr>
            </w:pPr>
            <w:r>
              <w:rPr>
                <w:rFonts w:hint="eastAsia" w:ascii="宋体" w:hAnsi="宋体"/>
                <w:szCs w:val="21"/>
              </w:rPr>
              <w:t>产品名称</w:t>
            </w:r>
          </w:p>
        </w:tc>
        <w:tc>
          <w:tcPr>
            <w:tcW w:w="1417" w:type="dxa"/>
            <w:gridSpan w:val="2"/>
            <w:vAlign w:val="center"/>
          </w:tcPr>
          <w:p>
            <w:pPr>
              <w:spacing w:line="440" w:lineRule="exact"/>
              <w:jc w:val="center"/>
              <w:rPr>
                <w:rFonts w:ascii="宋体" w:hAnsi="宋体"/>
                <w:szCs w:val="21"/>
              </w:rPr>
            </w:pPr>
            <w:r>
              <w:rPr>
                <w:rFonts w:hint="eastAsia" w:ascii="宋体" w:hAnsi="宋体"/>
                <w:szCs w:val="21"/>
              </w:rPr>
              <w:t>发证机关</w:t>
            </w:r>
          </w:p>
        </w:tc>
        <w:tc>
          <w:tcPr>
            <w:tcW w:w="1181" w:type="dxa"/>
            <w:gridSpan w:val="2"/>
            <w:vAlign w:val="center"/>
          </w:tcPr>
          <w:p>
            <w:pPr>
              <w:spacing w:line="440" w:lineRule="exact"/>
              <w:jc w:val="center"/>
              <w:rPr>
                <w:rFonts w:ascii="宋体" w:hAnsi="宋体"/>
                <w:szCs w:val="21"/>
              </w:rPr>
            </w:pPr>
            <w:r>
              <w:rPr>
                <w:rFonts w:hint="eastAsia" w:ascii="宋体" w:hAnsi="宋体"/>
                <w:szCs w:val="21"/>
              </w:rPr>
              <w:t>编 号</w:t>
            </w:r>
          </w:p>
        </w:tc>
        <w:tc>
          <w:tcPr>
            <w:tcW w:w="804" w:type="dxa"/>
            <w:gridSpan w:val="2"/>
            <w:vAlign w:val="center"/>
          </w:tcPr>
          <w:p>
            <w:pPr>
              <w:spacing w:line="440" w:lineRule="exact"/>
              <w:jc w:val="center"/>
              <w:rPr>
                <w:rFonts w:ascii="宋体" w:hAnsi="宋体"/>
                <w:szCs w:val="21"/>
              </w:rPr>
            </w:pPr>
            <w:r>
              <w:rPr>
                <w:rFonts w:hint="eastAsia" w:ascii="宋体" w:hAnsi="宋体"/>
                <w:szCs w:val="21"/>
              </w:rPr>
              <w:t>发证时间</w:t>
            </w:r>
          </w:p>
        </w:tc>
        <w:tc>
          <w:tcPr>
            <w:tcW w:w="1417" w:type="dxa"/>
            <w:vAlign w:val="center"/>
          </w:tcPr>
          <w:p>
            <w:pPr>
              <w:spacing w:line="440" w:lineRule="exact"/>
              <w:jc w:val="center"/>
              <w:rPr>
                <w:rFonts w:ascii="宋体" w:hAnsi="宋体"/>
                <w:szCs w:val="21"/>
              </w:rPr>
            </w:pPr>
            <w:r>
              <w:rPr>
                <w:rFonts w:hint="eastAsia" w:ascii="宋体" w:hAnsi="宋体"/>
                <w:szCs w:val="21"/>
              </w:rPr>
              <w:t>期 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Merge w:val="continue"/>
            <w:vAlign w:val="center"/>
          </w:tcPr>
          <w:p>
            <w:pPr>
              <w:spacing w:line="440" w:lineRule="exact"/>
              <w:jc w:val="center"/>
              <w:rPr>
                <w:rFonts w:ascii="宋体" w:hAnsi="宋体"/>
                <w:szCs w:val="21"/>
              </w:rPr>
            </w:pPr>
          </w:p>
        </w:tc>
        <w:tc>
          <w:tcPr>
            <w:tcW w:w="2874" w:type="dxa"/>
            <w:gridSpan w:val="3"/>
            <w:vMerge w:val="continue"/>
            <w:vAlign w:val="center"/>
          </w:tcPr>
          <w:p>
            <w:pPr>
              <w:spacing w:line="440" w:lineRule="exact"/>
              <w:jc w:val="center"/>
              <w:rPr>
                <w:rFonts w:ascii="宋体" w:hAnsi="宋体"/>
                <w:szCs w:val="21"/>
              </w:rPr>
            </w:pPr>
          </w:p>
        </w:tc>
        <w:tc>
          <w:tcPr>
            <w:tcW w:w="1663" w:type="dxa"/>
            <w:gridSpan w:val="2"/>
            <w:vAlign w:val="center"/>
          </w:tcPr>
          <w:p>
            <w:pPr>
              <w:spacing w:line="440" w:lineRule="exact"/>
              <w:jc w:val="center"/>
              <w:rPr>
                <w:rFonts w:ascii="宋体" w:hAnsi="宋体"/>
                <w:szCs w:val="21"/>
              </w:rPr>
            </w:pPr>
          </w:p>
        </w:tc>
        <w:tc>
          <w:tcPr>
            <w:tcW w:w="1417" w:type="dxa"/>
            <w:gridSpan w:val="2"/>
            <w:vAlign w:val="center"/>
          </w:tcPr>
          <w:p>
            <w:pPr>
              <w:spacing w:line="440" w:lineRule="exact"/>
              <w:jc w:val="center"/>
              <w:rPr>
                <w:rFonts w:ascii="宋体" w:hAnsi="宋体"/>
                <w:szCs w:val="21"/>
              </w:rPr>
            </w:pPr>
          </w:p>
        </w:tc>
        <w:tc>
          <w:tcPr>
            <w:tcW w:w="1181" w:type="dxa"/>
            <w:gridSpan w:val="2"/>
            <w:vAlign w:val="center"/>
          </w:tcPr>
          <w:p>
            <w:pPr>
              <w:spacing w:line="440" w:lineRule="exact"/>
              <w:jc w:val="center"/>
              <w:rPr>
                <w:rFonts w:ascii="宋体" w:hAnsi="宋体"/>
                <w:szCs w:val="21"/>
              </w:rPr>
            </w:pPr>
          </w:p>
        </w:tc>
        <w:tc>
          <w:tcPr>
            <w:tcW w:w="2221" w:type="dxa"/>
            <w:gridSpan w:val="3"/>
            <w:vAlign w:val="center"/>
          </w:tcPr>
          <w:p>
            <w:pPr>
              <w:spacing w:line="44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Merge w:val="continue"/>
            <w:vAlign w:val="center"/>
          </w:tcPr>
          <w:p>
            <w:pPr>
              <w:spacing w:line="440" w:lineRule="exact"/>
              <w:jc w:val="center"/>
              <w:rPr>
                <w:rFonts w:ascii="宋体" w:hAnsi="宋体"/>
                <w:szCs w:val="21"/>
              </w:rPr>
            </w:pPr>
          </w:p>
        </w:tc>
        <w:tc>
          <w:tcPr>
            <w:tcW w:w="2874" w:type="dxa"/>
            <w:gridSpan w:val="3"/>
            <w:vAlign w:val="center"/>
          </w:tcPr>
          <w:p>
            <w:pPr>
              <w:spacing w:line="440" w:lineRule="exact"/>
              <w:jc w:val="center"/>
              <w:rPr>
                <w:rFonts w:ascii="宋体" w:hAnsi="宋体"/>
                <w:szCs w:val="21"/>
              </w:rPr>
            </w:pPr>
            <w:r>
              <w:rPr>
                <w:rFonts w:hint="eastAsia" w:ascii="宋体" w:hAnsi="宋体"/>
                <w:szCs w:val="21"/>
              </w:rPr>
              <w:t>企业通过质量体 系、环保体系、计量等认证情况</w:t>
            </w:r>
          </w:p>
        </w:tc>
        <w:tc>
          <w:tcPr>
            <w:tcW w:w="6482" w:type="dxa"/>
            <w:gridSpan w:val="9"/>
            <w:vAlign w:val="center"/>
          </w:tcPr>
          <w:p>
            <w:pPr>
              <w:spacing w:line="44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Merge w:val="continue"/>
            <w:vAlign w:val="center"/>
          </w:tcPr>
          <w:p>
            <w:pPr>
              <w:spacing w:line="440" w:lineRule="exact"/>
              <w:jc w:val="center"/>
              <w:rPr>
                <w:rFonts w:ascii="宋体" w:hAnsi="宋体"/>
                <w:szCs w:val="21"/>
              </w:rPr>
            </w:pPr>
          </w:p>
        </w:tc>
        <w:tc>
          <w:tcPr>
            <w:tcW w:w="2874" w:type="dxa"/>
            <w:gridSpan w:val="3"/>
            <w:vAlign w:val="center"/>
          </w:tcPr>
          <w:p>
            <w:pPr>
              <w:spacing w:line="440" w:lineRule="exact"/>
              <w:jc w:val="center"/>
              <w:rPr>
                <w:rFonts w:ascii="宋体" w:hAnsi="宋体"/>
                <w:szCs w:val="21"/>
              </w:rPr>
            </w:pPr>
            <w:r>
              <w:rPr>
                <w:rFonts w:hint="eastAsia" w:ascii="宋体" w:hAnsi="宋体"/>
                <w:szCs w:val="21"/>
              </w:rPr>
              <w:t>企业获得专利情况</w:t>
            </w:r>
          </w:p>
        </w:tc>
        <w:tc>
          <w:tcPr>
            <w:tcW w:w="6482" w:type="dxa"/>
            <w:gridSpan w:val="9"/>
            <w:vAlign w:val="center"/>
          </w:tcPr>
          <w:p>
            <w:pPr>
              <w:spacing w:line="440" w:lineRule="exact"/>
              <w:jc w:val="center"/>
              <w:rPr>
                <w:rFonts w:ascii="宋体" w:hAnsi="宋体"/>
                <w:szCs w:val="21"/>
              </w:rPr>
            </w:pPr>
          </w:p>
        </w:tc>
      </w:tr>
    </w:tbl>
    <w:p>
      <w:pPr>
        <w:spacing w:line="360" w:lineRule="auto"/>
        <w:jc w:val="left"/>
        <w:rPr>
          <w:rFonts w:ascii="宋体" w:hAnsi="宋体"/>
          <w:b/>
          <w:szCs w:val="21"/>
        </w:rPr>
      </w:pPr>
      <w:r>
        <w:rPr>
          <w:rFonts w:hint="eastAsia" w:ascii="宋体" w:hAnsi="宋体"/>
          <w:b/>
          <w:szCs w:val="21"/>
        </w:rPr>
        <w:t>要求：</w:t>
      </w:r>
    </w:p>
    <w:p>
      <w:pPr>
        <w:spacing w:line="360" w:lineRule="auto"/>
        <w:ind w:firstLine="420" w:firstLineChars="200"/>
        <w:rPr>
          <w:rFonts w:ascii="宋体" w:hAnsi="宋体"/>
          <w:szCs w:val="21"/>
        </w:rPr>
      </w:pPr>
      <w:r>
        <w:rPr>
          <w:rFonts w:hint="eastAsia" w:ascii="宋体" w:hAnsi="宋体"/>
          <w:szCs w:val="21"/>
        </w:rPr>
        <w:t>1.姓名栏必须将所有股东都统计在内，若非股份公司此行（第三行）无需填写；</w:t>
      </w:r>
    </w:p>
    <w:p>
      <w:pPr>
        <w:spacing w:line="360" w:lineRule="auto"/>
        <w:jc w:val="left"/>
        <w:rPr>
          <w:rFonts w:ascii="宋体" w:hAnsi="宋体"/>
          <w:szCs w:val="21"/>
        </w:rPr>
      </w:pPr>
      <w:r>
        <w:rPr>
          <w:rFonts w:hint="eastAsia" w:ascii="宋体" w:hAnsi="宋体"/>
          <w:szCs w:val="21"/>
        </w:rPr>
        <w:t xml:space="preserve">供应商名称（盖章）： </w:t>
      </w:r>
    </w:p>
    <w:p>
      <w:pPr>
        <w:spacing w:line="360" w:lineRule="auto"/>
        <w:jc w:val="left"/>
        <w:rPr>
          <w:rFonts w:ascii="宋体" w:hAnsi="宋体"/>
          <w:szCs w:val="21"/>
        </w:rPr>
      </w:pPr>
      <w:r>
        <w:rPr>
          <w:rFonts w:hint="eastAsia" w:ascii="宋体" w:hAnsi="宋体"/>
          <w:szCs w:val="21"/>
        </w:rPr>
        <w:t xml:space="preserve">法定代表人或授权委托代理人（签字或盖章）： </w:t>
      </w:r>
    </w:p>
    <w:p>
      <w:pPr>
        <w:spacing w:line="360" w:lineRule="auto"/>
        <w:jc w:val="left"/>
        <w:rPr>
          <w:rFonts w:ascii="宋体" w:hAnsi="宋体"/>
          <w:szCs w:val="21"/>
        </w:rPr>
      </w:pPr>
      <w:r>
        <w:rPr>
          <w:rFonts w:hint="eastAsia" w:ascii="宋体" w:hAnsi="宋体"/>
          <w:szCs w:val="21"/>
        </w:rPr>
        <w:t>日 期：    年  月  日</w:t>
      </w:r>
    </w:p>
    <w:p>
      <w:pPr>
        <w:spacing w:after="100" w:afterAutospacing="1" w:line="360" w:lineRule="auto"/>
        <w:jc w:val="center"/>
        <w:outlineLvl w:val="0"/>
        <w:rPr>
          <w:b/>
          <w:sz w:val="32"/>
          <w:szCs w:val="32"/>
        </w:rPr>
      </w:pPr>
    </w:p>
    <w:p>
      <w:pPr>
        <w:spacing w:after="100" w:afterAutospacing="1" w:line="360" w:lineRule="auto"/>
        <w:jc w:val="center"/>
        <w:outlineLvl w:val="0"/>
        <w:rPr>
          <w:b/>
          <w:sz w:val="32"/>
          <w:szCs w:val="32"/>
        </w:rPr>
      </w:pPr>
      <w:bookmarkStart w:id="145" w:name="_Toc14297"/>
      <w:bookmarkStart w:id="146" w:name="_Toc11379"/>
      <w:bookmarkStart w:id="147" w:name="_Toc5966"/>
      <w:bookmarkStart w:id="148" w:name="_Toc20172"/>
      <w:bookmarkStart w:id="149" w:name="_Toc4427"/>
      <w:bookmarkStart w:id="150" w:name="_Toc5320"/>
      <w:r>
        <w:rPr>
          <w:rFonts w:hint="eastAsia"/>
          <w:b/>
          <w:sz w:val="32"/>
          <w:szCs w:val="32"/>
        </w:rPr>
        <w:t>三、</w:t>
      </w:r>
      <w:r>
        <w:rPr>
          <w:b/>
          <w:sz w:val="32"/>
          <w:szCs w:val="32"/>
        </w:rPr>
        <w:t>技术规范偏离表</w:t>
      </w:r>
      <w:bookmarkEnd w:id="145"/>
      <w:bookmarkEnd w:id="146"/>
      <w:bookmarkEnd w:id="147"/>
      <w:bookmarkEnd w:id="148"/>
      <w:bookmarkEnd w:id="149"/>
      <w:bookmarkEnd w:id="150"/>
    </w:p>
    <w:tbl>
      <w:tblPr>
        <w:tblStyle w:val="47"/>
        <w:tblW w:w="895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4"/>
        <w:gridCol w:w="1393"/>
        <w:gridCol w:w="764"/>
        <w:gridCol w:w="2454"/>
        <w:gridCol w:w="1813"/>
        <w:gridCol w:w="18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664" w:type="dxa"/>
            <w:vAlign w:val="center"/>
          </w:tcPr>
          <w:p>
            <w:pPr>
              <w:spacing w:line="360" w:lineRule="auto"/>
              <w:jc w:val="center"/>
              <w:rPr>
                <w:szCs w:val="21"/>
              </w:rPr>
            </w:pPr>
            <w:r>
              <w:rPr>
                <w:szCs w:val="21"/>
              </w:rPr>
              <w:t>序号</w:t>
            </w:r>
          </w:p>
        </w:tc>
        <w:tc>
          <w:tcPr>
            <w:tcW w:w="1393" w:type="dxa"/>
            <w:vAlign w:val="center"/>
          </w:tcPr>
          <w:p>
            <w:pPr>
              <w:spacing w:line="360" w:lineRule="auto"/>
              <w:jc w:val="center"/>
              <w:rPr>
                <w:szCs w:val="21"/>
              </w:rPr>
            </w:pPr>
            <w:r>
              <w:rPr>
                <w:szCs w:val="21"/>
              </w:rPr>
              <w:t>内容</w:t>
            </w:r>
          </w:p>
        </w:tc>
        <w:tc>
          <w:tcPr>
            <w:tcW w:w="764" w:type="dxa"/>
            <w:vAlign w:val="center"/>
          </w:tcPr>
          <w:p>
            <w:pPr>
              <w:spacing w:line="360" w:lineRule="auto"/>
              <w:jc w:val="center"/>
              <w:rPr>
                <w:szCs w:val="21"/>
              </w:rPr>
            </w:pPr>
            <w:r>
              <w:rPr>
                <w:szCs w:val="21"/>
              </w:rPr>
              <w:t>数量</w:t>
            </w:r>
          </w:p>
        </w:tc>
        <w:tc>
          <w:tcPr>
            <w:tcW w:w="2454" w:type="dxa"/>
            <w:vAlign w:val="center"/>
          </w:tcPr>
          <w:p>
            <w:pPr>
              <w:spacing w:line="360" w:lineRule="auto"/>
              <w:jc w:val="center"/>
              <w:rPr>
                <w:szCs w:val="21"/>
              </w:rPr>
            </w:pPr>
            <w:r>
              <w:rPr>
                <w:szCs w:val="21"/>
              </w:rPr>
              <w:t>采购文件</w:t>
            </w:r>
          </w:p>
          <w:p>
            <w:pPr>
              <w:spacing w:line="360" w:lineRule="auto"/>
              <w:jc w:val="center"/>
              <w:rPr>
                <w:szCs w:val="21"/>
              </w:rPr>
            </w:pPr>
            <w:r>
              <w:rPr>
                <w:szCs w:val="21"/>
              </w:rPr>
              <w:t>技术规范、要求</w:t>
            </w:r>
          </w:p>
        </w:tc>
        <w:tc>
          <w:tcPr>
            <w:tcW w:w="1813" w:type="dxa"/>
            <w:vAlign w:val="center"/>
          </w:tcPr>
          <w:p>
            <w:pPr>
              <w:spacing w:line="360" w:lineRule="auto"/>
              <w:jc w:val="center"/>
              <w:rPr>
                <w:szCs w:val="21"/>
              </w:rPr>
            </w:pPr>
            <w:r>
              <w:rPr>
                <w:szCs w:val="21"/>
              </w:rPr>
              <w:t>投标文件</w:t>
            </w:r>
          </w:p>
          <w:p>
            <w:pPr>
              <w:spacing w:line="360" w:lineRule="auto"/>
              <w:jc w:val="center"/>
              <w:rPr>
                <w:szCs w:val="21"/>
              </w:rPr>
            </w:pPr>
            <w:r>
              <w:rPr>
                <w:szCs w:val="21"/>
              </w:rPr>
              <w:t>技术规范</w:t>
            </w:r>
          </w:p>
        </w:tc>
        <w:tc>
          <w:tcPr>
            <w:tcW w:w="1865" w:type="dxa"/>
            <w:vAlign w:val="center"/>
          </w:tcPr>
          <w:p>
            <w:pPr>
              <w:spacing w:line="360" w:lineRule="auto"/>
              <w:jc w:val="center"/>
              <w:rPr>
                <w:szCs w:val="21"/>
              </w:rPr>
            </w:pPr>
            <w:r>
              <w:rPr>
                <w:szCs w:val="21"/>
              </w:rPr>
              <w:t>备注</w:t>
            </w:r>
            <w:r>
              <w:rPr>
                <w:rFonts w:hint="eastAsia"/>
                <w:szCs w:val="21"/>
              </w:rPr>
              <w:t>（正/负偏离）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664" w:type="dxa"/>
          </w:tcPr>
          <w:p>
            <w:pPr>
              <w:spacing w:line="360" w:lineRule="auto"/>
              <w:ind w:firstLine="420" w:firstLineChars="200"/>
              <w:jc w:val="center"/>
              <w:rPr>
                <w:szCs w:val="21"/>
              </w:rPr>
            </w:pPr>
          </w:p>
        </w:tc>
        <w:tc>
          <w:tcPr>
            <w:tcW w:w="1393" w:type="dxa"/>
          </w:tcPr>
          <w:p>
            <w:pPr>
              <w:spacing w:line="360" w:lineRule="auto"/>
              <w:ind w:firstLine="420" w:firstLineChars="200"/>
              <w:jc w:val="center"/>
              <w:rPr>
                <w:szCs w:val="21"/>
              </w:rPr>
            </w:pPr>
          </w:p>
        </w:tc>
        <w:tc>
          <w:tcPr>
            <w:tcW w:w="764" w:type="dxa"/>
          </w:tcPr>
          <w:p>
            <w:pPr>
              <w:spacing w:line="360" w:lineRule="auto"/>
              <w:ind w:firstLine="420" w:firstLineChars="200"/>
              <w:jc w:val="center"/>
              <w:rPr>
                <w:szCs w:val="21"/>
              </w:rPr>
            </w:pPr>
          </w:p>
        </w:tc>
        <w:tc>
          <w:tcPr>
            <w:tcW w:w="2454" w:type="dxa"/>
          </w:tcPr>
          <w:p>
            <w:pPr>
              <w:spacing w:line="360" w:lineRule="auto"/>
              <w:ind w:firstLine="420" w:firstLineChars="200"/>
              <w:jc w:val="center"/>
              <w:rPr>
                <w:szCs w:val="21"/>
              </w:rPr>
            </w:pPr>
          </w:p>
        </w:tc>
        <w:tc>
          <w:tcPr>
            <w:tcW w:w="1813" w:type="dxa"/>
          </w:tcPr>
          <w:p>
            <w:pPr>
              <w:spacing w:line="360" w:lineRule="auto"/>
              <w:ind w:firstLine="420" w:firstLineChars="200"/>
              <w:jc w:val="center"/>
              <w:rPr>
                <w:szCs w:val="21"/>
              </w:rPr>
            </w:pPr>
          </w:p>
        </w:tc>
        <w:tc>
          <w:tcPr>
            <w:tcW w:w="1865" w:type="dxa"/>
          </w:tcPr>
          <w:p>
            <w:pPr>
              <w:spacing w:line="360" w:lineRule="auto"/>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664" w:type="dxa"/>
          </w:tcPr>
          <w:p>
            <w:pPr>
              <w:spacing w:line="360" w:lineRule="auto"/>
              <w:ind w:firstLine="420" w:firstLineChars="200"/>
              <w:jc w:val="center"/>
              <w:rPr>
                <w:szCs w:val="21"/>
              </w:rPr>
            </w:pPr>
          </w:p>
        </w:tc>
        <w:tc>
          <w:tcPr>
            <w:tcW w:w="1393" w:type="dxa"/>
          </w:tcPr>
          <w:p>
            <w:pPr>
              <w:spacing w:line="360" w:lineRule="auto"/>
              <w:ind w:firstLine="420" w:firstLineChars="200"/>
              <w:jc w:val="center"/>
              <w:rPr>
                <w:szCs w:val="21"/>
              </w:rPr>
            </w:pPr>
          </w:p>
        </w:tc>
        <w:tc>
          <w:tcPr>
            <w:tcW w:w="764" w:type="dxa"/>
          </w:tcPr>
          <w:p>
            <w:pPr>
              <w:spacing w:line="360" w:lineRule="auto"/>
              <w:ind w:firstLine="420" w:firstLineChars="200"/>
              <w:jc w:val="center"/>
              <w:rPr>
                <w:szCs w:val="21"/>
              </w:rPr>
            </w:pPr>
          </w:p>
        </w:tc>
        <w:tc>
          <w:tcPr>
            <w:tcW w:w="2454" w:type="dxa"/>
          </w:tcPr>
          <w:p>
            <w:pPr>
              <w:spacing w:line="360" w:lineRule="auto"/>
              <w:ind w:firstLine="420" w:firstLineChars="200"/>
              <w:jc w:val="center"/>
              <w:rPr>
                <w:szCs w:val="21"/>
              </w:rPr>
            </w:pPr>
          </w:p>
        </w:tc>
        <w:tc>
          <w:tcPr>
            <w:tcW w:w="1813" w:type="dxa"/>
          </w:tcPr>
          <w:p>
            <w:pPr>
              <w:spacing w:line="360" w:lineRule="auto"/>
              <w:ind w:firstLine="420" w:firstLineChars="200"/>
              <w:jc w:val="center"/>
              <w:rPr>
                <w:szCs w:val="21"/>
              </w:rPr>
            </w:pPr>
          </w:p>
        </w:tc>
        <w:tc>
          <w:tcPr>
            <w:tcW w:w="1865" w:type="dxa"/>
          </w:tcPr>
          <w:p>
            <w:pPr>
              <w:spacing w:line="360" w:lineRule="auto"/>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664" w:type="dxa"/>
          </w:tcPr>
          <w:p>
            <w:pPr>
              <w:spacing w:line="360" w:lineRule="auto"/>
              <w:ind w:firstLine="420" w:firstLineChars="200"/>
              <w:jc w:val="center"/>
              <w:rPr>
                <w:szCs w:val="21"/>
              </w:rPr>
            </w:pPr>
          </w:p>
        </w:tc>
        <w:tc>
          <w:tcPr>
            <w:tcW w:w="1393" w:type="dxa"/>
          </w:tcPr>
          <w:p>
            <w:pPr>
              <w:spacing w:line="360" w:lineRule="auto"/>
              <w:ind w:firstLine="420" w:firstLineChars="200"/>
              <w:jc w:val="center"/>
              <w:rPr>
                <w:szCs w:val="21"/>
              </w:rPr>
            </w:pPr>
          </w:p>
        </w:tc>
        <w:tc>
          <w:tcPr>
            <w:tcW w:w="764" w:type="dxa"/>
          </w:tcPr>
          <w:p>
            <w:pPr>
              <w:spacing w:line="360" w:lineRule="auto"/>
              <w:ind w:firstLine="420" w:firstLineChars="200"/>
              <w:jc w:val="center"/>
              <w:rPr>
                <w:szCs w:val="21"/>
              </w:rPr>
            </w:pPr>
          </w:p>
        </w:tc>
        <w:tc>
          <w:tcPr>
            <w:tcW w:w="2454" w:type="dxa"/>
          </w:tcPr>
          <w:p>
            <w:pPr>
              <w:spacing w:line="360" w:lineRule="auto"/>
              <w:ind w:firstLine="420" w:firstLineChars="200"/>
              <w:jc w:val="center"/>
              <w:rPr>
                <w:szCs w:val="21"/>
              </w:rPr>
            </w:pPr>
          </w:p>
        </w:tc>
        <w:tc>
          <w:tcPr>
            <w:tcW w:w="1813" w:type="dxa"/>
          </w:tcPr>
          <w:p>
            <w:pPr>
              <w:spacing w:line="360" w:lineRule="auto"/>
              <w:ind w:firstLine="420" w:firstLineChars="200"/>
              <w:jc w:val="center"/>
              <w:rPr>
                <w:szCs w:val="21"/>
              </w:rPr>
            </w:pPr>
          </w:p>
        </w:tc>
        <w:tc>
          <w:tcPr>
            <w:tcW w:w="1865" w:type="dxa"/>
          </w:tcPr>
          <w:p>
            <w:pPr>
              <w:spacing w:line="360" w:lineRule="auto"/>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664" w:type="dxa"/>
          </w:tcPr>
          <w:p>
            <w:pPr>
              <w:spacing w:line="360" w:lineRule="auto"/>
              <w:ind w:firstLine="420" w:firstLineChars="200"/>
              <w:jc w:val="center"/>
              <w:rPr>
                <w:szCs w:val="21"/>
              </w:rPr>
            </w:pPr>
          </w:p>
        </w:tc>
        <w:tc>
          <w:tcPr>
            <w:tcW w:w="1393" w:type="dxa"/>
          </w:tcPr>
          <w:p>
            <w:pPr>
              <w:spacing w:line="360" w:lineRule="auto"/>
              <w:ind w:firstLine="420" w:firstLineChars="200"/>
              <w:jc w:val="center"/>
              <w:rPr>
                <w:szCs w:val="21"/>
              </w:rPr>
            </w:pPr>
          </w:p>
        </w:tc>
        <w:tc>
          <w:tcPr>
            <w:tcW w:w="764" w:type="dxa"/>
          </w:tcPr>
          <w:p>
            <w:pPr>
              <w:spacing w:line="360" w:lineRule="auto"/>
              <w:ind w:firstLine="420" w:firstLineChars="200"/>
              <w:jc w:val="center"/>
              <w:rPr>
                <w:szCs w:val="21"/>
              </w:rPr>
            </w:pPr>
          </w:p>
        </w:tc>
        <w:tc>
          <w:tcPr>
            <w:tcW w:w="2454" w:type="dxa"/>
          </w:tcPr>
          <w:p>
            <w:pPr>
              <w:spacing w:line="360" w:lineRule="auto"/>
              <w:ind w:firstLine="420" w:firstLineChars="200"/>
              <w:jc w:val="center"/>
              <w:rPr>
                <w:szCs w:val="21"/>
              </w:rPr>
            </w:pPr>
          </w:p>
        </w:tc>
        <w:tc>
          <w:tcPr>
            <w:tcW w:w="1813" w:type="dxa"/>
          </w:tcPr>
          <w:p>
            <w:pPr>
              <w:spacing w:line="360" w:lineRule="auto"/>
              <w:ind w:firstLine="420" w:firstLineChars="200"/>
              <w:jc w:val="center"/>
              <w:rPr>
                <w:szCs w:val="21"/>
              </w:rPr>
            </w:pPr>
          </w:p>
        </w:tc>
        <w:tc>
          <w:tcPr>
            <w:tcW w:w="1865" w:type="dxa"/>
          </w:tcPr>
          <w:p>
            <w:pPr>
              <w:spacing w:line="360" w:lineRule="auto"/>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664" w:type="dxa"/>
          </w:tcPr>
          <w:p>
            <w:pPr>
              <w:spacing w:line="360" w:lineRule="auto"/>
              <w:ind w:firstLine="420" w:firstLineChars="200"/>
              <w:jc w:val="center"/>
              <w:rPr>
                <w:szCs w:val="21"/>
              </w:rPr>
            </w:pPr>
          </w:p>
        </w:tc>
        <w:tc>
          <w:tcPr>
            <w:tcW w:w="1393" w:type="dxa"/>
          </w:tcPr>
          <w:p>
            <w:pPr>
              <w:spacing w:line="360" w:lineRule="auto"/>
              <w:ind w:firstLine="420" w:firstLineChars="200"/>
              <w:jc w:val="center"/>
              <w:rPr>
                <w:szCs w:val="21"/>
              </w:rPr>
            </w:pPr>
          </w:p>
        </w:tc>
        <w:tc>
          <w:tcPr>
            <w:tcW w:w="764" w:type="dxa"/>
          </w:tcPr>
          <w:p>
            <w:pPr>
              <w:spacing w:line="360" w:lineRule="auto"/>
              <w:ind w:firstLine="420" w:firstLineChars="200"/>
              <w:jc w:val="center"/>
              <w:rPr>
                <w:szCs w:val="21"/>
              </w:rPr>
            </w:pPr>
          </w:p>
        </w:tc>
        <w:tc>
          <w:tcPr>
            <w:tcW w:w="2454" w:type="dxa"/>
          </w:tcPr>
          <w:p>
            <w:pPr>
              <w:spacing w:line="360" w:lineRule="auto"/>
              <w:ind w:firstLine="420" w:firstLineChars="200"/>
              <w:jc w:val="center"/>
              <w:rPr>
                <w:szCs w:val="21"/>
              </w:rPr>
            </w:pPr>
          </w:p>
        </w:tc>
        <w:tc>
          <w:tcPr>
            <w:tcW w:w="1813" w:type="dxa"/>
          </w:tcPr>
          <w:p>
            <w:pPr>
              <w:spacing w:line="360" w:lineRule="auto"/>
              <w:ind w:firstLine="420" w:firstLineChars="200"/>
              <w:jc w:val="center"/>
              <w:rPr>
                <w:szCs w:val="21"/>
              </w:rPr>
            </w:pPr>
          </w:p>
        </w:tc>
        <w:tc>
          <w:tcPr>
            <w:tcW w:w="1865" w:type="dxa"/>
          </w:tcPr>
          <w:p>
            <w:pPr>
              <w:spacing w:line="360" w:lineRule="auto"/>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664" w:type="dxa"/>
          </w:tcPr>
          <w:p>
            <w:pPr>
              <w:spacing w:line="360" w:lineRule="auto"/>
              <w:ind w:firstLine="420" w:firstLineChars="200"/>
              <w:jc w:val="center"/>
              <w:rPr>
                <w:szCs w:val="21"/>
              </w:rPr>
            </w:pPr>
          </w:p>
        </w:tc>
        <w:tc>
          <w:tcPr>
            <w:tcW w:w="1393" w:type="dxa"/>
          </w:tcPr>
          <w:p>
            <w:pPr>
              <w:spacing w:line="360" w:lineRule="auto"/>
              <w:ind w:firstLine="420" w:firstLineChars="200"/>
              <w:jc w:val="center"/>
              <w:rPr>
                <w:szCs w:val="21"/>
              </w:rPr>
            </w:pPr>
          </w:p>
        </w:tc>
        <w:tc>
          <w:tcPr>
            <w:tcW w:w="764" w:type="dxa"/>
          </w:tcPr>
          <w:p>
            <w:pPr>
              <w:spacing w:line="360" w:lineRule="auto"/>
              <w:ind w:firstLine="420" w:firstLineChars="200"/>
              <w:jc w:val="center"/>
              <w:rPr>
                <w:szCs w:val="21"/>
              </w:rPr>
            </w:pPr>
          </w:p>
        </w:tc>
        <w:tc>
          <w:tcPr>
            <w:tcW w:w="2454" w:type="dxa"/>
          </w:tcPr>
          <w:p>
            <w:pPr>
              <w:spacing w:line="360" w:lineRule="auto"/>
              <w:ind w:firstLine="420" w:firstLineChars="200"/>
              <w:jc w:val="center"/>
              <w:rPr>
                <w:szCs w:val="21"/>
              </w:rPr>
            </w:pPr>
          </w:p>
        </w:tc>
        <w:tc>
          <w:tcPr>
            <w:tcW w:w="1813" w:type="dxa"/>
          </w:tcPr>
          <w:p>
            <w:pPr>
              <w:spacing w:line="360" w:lineRule="auto"/>
              <w:ind w:firstLine="420" w:firstLineChars="200"/>
              <w:jc w:val="center"/>
              <w:rPr>
                <w:szCs w:val="21"/>
              </w:rPr>
            </w:pPr>
          </w:p>
        </w:tc>
        <w:tc>
          <w:tcPr>
            <w:tcW w:w="1865" w:type="dxa"/>
          </w:tcPr>
          <w:p>
            <w:pPr>
              <w:spacing w:line="360" w:lineRule="auto"/>
              <w:ind w:firstLine="420" w:firstLineChars="200"/>
              <w:jc w:val="center"/>
              <w:rPr>
                <w:szCs w:val="21"/>
              </w:rPr>
            </w:pPr>
          </w:p>
        </w:tc>
      </w:tr>
    </w:tbl>
    <w:p>
      <w:pPr>
        <w:spacing w:line="360" w:lineRule="auto"/>
        <w:jc w:val="left"/>
        <w:rPr>
          <w:sz w:val="28"/>
          <w:szCs w:val="28"/>
        </w:rPr>
      </w:pPr>
    </w:p>
    <w:p>
      <w:pPr>
        <w:spacing w:line="360" w:lineRule="auto"/>
        <w:jc w:val="left"/>
        <w:rPr>
          <w:sz w:val="28"/>
          <w:szCs w:val="28"/>
        </w:rPr>
      </w:pPr>
    </w:p>
    <w:p>
      <w:pPr>
        <w:spacing w:line="360" w:lineRule="auto"/>
        <w:jc w:val="left"/>
        <w:rPr>
          <w:szCs w:val="21"/>
        </w:rPr>
      </w:pPr>
      <w:r>
        <w:rPr>
          <w:szCs w:val="21"/>
        </w:rPr>
        <w:t xml:space="preserve">供应商名称（盖章）： </w:t>
      </w:r>
    </w:p>
    <w:p>
      <w:pPr>
        <w:spacing w:line="360" w:lineRule="auto"/>
        <w:jc w:val="left"/>
        <w:rPr>
          <w:szCs w:val="21"/>
        </w:rPr>
      </w:pPr>
      <w:r>
        <w:rPr>
          <w:rFonts w:hint="eastAsia" w:ascii="宋体" w:hAnsi="宋体"/>
          <w:szCs w:val="21"/>
        </w:rPr>
        <w:t>法定代表人或授权委托代理人</w:t>
      </w:r>
      <w:r>
        <w:rPr>
          <w:szCs w:val="21"/>
        </w:rPr>
        <w:t xml:space="preserve">（签字或盖章）： </w:t>
      </w:r>
    </w:p>
    <w:p>
      <w:pPr>
        <w:spacing w:line="360" w:lineRule="auto"/>
        <w:rPr>
          <w:rFonts w:ascii="宋体" w:hAnsi="宋体"/>
          <w:szCs w:val="21"/>
        </w:rPr>
      </w:pPr>
      <w:r>
        <w:rPr>
          <w:szCs w:val="21"/>
        </w:rPr>
        <w:t>日 期：</w:t>
      </w:r>
      <w:r>
        <w:rPr>
          <w:rFonts w:hint="eastAsia" w:ascii="宋体" w:hAnsi="宋体"/>
          <w:szCs w:val="21"/>
        </w:rPr>
        <w:t xml:space="preserve">   年  月  日</w:t>
      </w:r>
    </w:p>
    <w:p>
      <w:pPr>
        <w:spacing w:line="360" w:lineRule="auto"/>
        <w:jc w:val="left"/>
        <w:rPr>
          <w:rFonts w:ascii="宋体" w:hAnsi="宋体"/>
          <w:sz w:val="28"/>
          <w:szCs w:val="28"/>
        </w:rPr>
      </w:pPr>
    </w:p>
    <w:p>
      <w:pPr>
        <w:spacing w:after="100" w:afterAutospacing="1" w:line="360" w:lineRule="auto"/>
        <w:jc w:val="center"/>
        <w:rPr>
          <w:rFonts w:ascii="宋体" w:hAnsi="宋体"/>
          <w:b/>
          <w:sz w:val="44"/>
          <w:szCs w:val="44"/>
        </w:rPr>
      </w:pPr>
    </w:p>
    <w:p>
      <w:pPr>
        <w:spacing w:after="100" w:afterAutospacing="1" w:line="360" w:lineRule="auto"/>
        <w:jc w:val="center"/>
        <w:rPr>
          <w:rFonts w:ascii="宋体" w:hAnsi="宋体"/>
          <w:b/>
          <w:sz w:val="44"/>
          <w:szCs w:val="44"/>
        </w:rPr>
      </w:pPr>
    </w:p>
    <w:p>
      <w:pPr>
        <w:pStyle w:val="29"/>
      </w:pPr>
    </w:p>
    <w:p/>
    <w:p>
      <w:pPr>
        <w:pStyle w:val="19"/>
      </w:pPr>
    </w:p>
    <w:p>
      <w:pPr>
        <w:pStyle w:val="20"/>
        <w:ind w:firstLine="210"/>
        <w:rPr>
          <w:rFonts w:eastAsiaTheme="minorEastAsia"/>
        </w:rPr>
      </w:pPr>
    </w:p>
    <w:p>
      <w:pPr>
        <w:pStyle w:val="29"/>
      </w:pPr>
    </w:p>
    <w:p>
      <w:pPr>
        <w:spacing w:after="100" w:afterAutospacing="1" w:line="360" w:lineRule="auto"/>
        <w:jc w:val="center"/>
        <w:outlineLvl w:val="0"/>
        <w:rPr>
          <w:rFonts w:ascii="宋体" w:hAnsi="宋体"/>
          <w:b/>
          <w:sz w:val="32"/>
          <w:szCs w:val="32"/>
        </w:rPr>
      </w:pPr>
    </w:p>
    <w:p>
      <w:pPr>
        <w:spacing w:after="100" w:afterAutospacing="1" w:line="360" w:lineRule="auto"/>
        <w:jc w:val="center"/>
        <w:outlineLvl w:val="0"/>
        <w:rPr>
          <w:rFonts w:ascii="宋体" w:hAnsi="宋体"/>
          <w:b/>
          <w:sz w:val="32"/>
          <w:szCs w:val="32"/>
        </w:rPr>
      </w:pPr>
      <w:bookmarkStart w:id="151" w:name="_Toc14058"/>
      <w:bookmarkStart w:id="152" w:name="_Toc22735"/>
      <w:bookmarkStart w:id="153" w:name="_Toc18229"/>
      <w:bookmarkStart w:id="154" w:name="_Toc7232"/>
      <w:bookmarkStart w:id="155" w:name="_Toc3100"/>
      <w:bookmarkStart w:id="156" w:name="_Toc4688"/>
      <w:r>
        <w:rPr>
          <w:rFonts w:hint="eastAsia" w:ascii="宋体" w:hAnsi="宋体"/>
          <w:b/>
          <w:sz w:val="32"/>
          <w:szCs w:val="32"/>
        </w:rPr>
        <w:t>四、</w:t>
      </w:r>
      <w:r>
        <w:rPr>
          <w:rFonts w:ascii="宋体" w:hAnsi="宋体"/>
          <w:b/>
          <w:sz w:val="32"/>
          <w:szCs w:val="32"/>
        </w:rPr>
        <w:t>商务偏离表</w:t>
      </w:r>
      <w:bookmarkEnd w:id="151"/>
      <w:bookmarkEnd w:id="152"/>
      <w:bookmarkEnd w:id="153"/>
      <w:bookmarkEnd w:id="154"/>
      <w:bookmarkEnd w:id="155"/>
      <w:bookmarkEnd w:id="156"/>
    </w:p>
    <w:tbl>
      <w:tblPr>
        <w:tblStyle w:val="47"/>
        <w:tblW w:w="906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3"/>
        <w:gridCol w:w="1451"/>
        <w:gridCol w:w="2922"/>
        <w:gridCol w:w="2069"/>
        <w:gridCol w:w="18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793" w:type="dxa"/>
            <w:vAlign w:val="center"/>
          </w:tcPr>
          <w:p>
            <w:pPr>
              <w:spacing w:line="360" w:lineRule="auto"/>
              <w:jc w:val="center"/>
              <w:rPr>
                <w:rFonts w:ascii="宋体" w:hAnsi="宋体"/>
                <w:szCs w:val="21"/>
              </w:rPr>
            </w:pPr>
            <w:r>
              <w:rPr>
                <w:rFonts w:ascii="宋体" w:hAnsi="宋体"/>
                <w:szCs w:val="21"/>
              </w:rPr>
              <w:t>序号</w:t>
            </w:r>
          </w:p>
        </w:tc>
        <w:tc>
          <w:tcPr>
            <w:tcW w:w="1451" w:type="dxa"/>
            <w:vAlign w:val="center"/>
          </w:tcPr>
          <w:p>
            <w:pPr>
              <w:spacing w:line="360" w:lineRule="auto"/>
              <w:jc w:val="center"/>
              <w:rPr>
                <w:rFonts w:ascii="宋体" w:hAnsi="宋体"/>
                <w:szCs w:val="21"/>
              </w:rPr>
            </w:pPr>
            <w:r>
              <w:rPr>
                <w:rFonts w:ascii="宋体" w:hAnsi="宋体"/>
                <w:szCs w:val="21"/>
              </w:rPr>
              <w:t>内容</w:t>
            </w:r>
          </w:p>
        </w:tc>
        <w:tc>
          <w:tcPr>
            <w:tcW w:w="2922" w:type="dxa"/>
            <w:vAlign w:val="center"/>
          </w:tcPr>
          <w:p>
            <w:pPr>
              <w:spacing w:line="360" w:lineRule="auto"/>
              <w:jc w:val="center"/>
              <w:rPr>
                <w:rFonts w:ascii="宋体" w:hAnsi="宋体"/>
                <w:szCs w:val="21"/>
              </w:rPr>
            </w:pPr>
            <w:r>
              <w:rPr>
                <w:rFonts w:ascii="宋体" w:hAnsi="宋体"/>
                <w:szCs w:val="21"/>
              </w:rPr>
              <w:t>采购文件商务要求</w:t>
            </w:r>
          </w:p>
        </w:tc>
        <w:tc>
          <w:tcPr>
            <w:tcW w:w="2069" w:type="dxa"/>
            <w:vAlign w:val="center"/>
          </w:tcPr>
          <w:p>
            <w:pPr>
              <w:spacing w:line="360" w:lineRule="auto"/>
              <w:jc w:val="center"/>
              <w:rPr>
                <w:rFonts w:ascii="宋体" w:hAnsi="宋体"/>
                <w:szCs w:val="21"/>
              </w:rPr>
            </w:pPr>
            <w:r>
              <w:rPr>
                <w:rFonts w:ascii="宋体" w:hAnsi="宋体"/>
                <w:szCs w:val="21"/>
              </w:rPr>
              <w:t>投标文件</w:t>
            </w:r>
          </w:p>
          <w:p>
            <w:pPr>
              <w:spacing w:line="360" w:lineRule="auto"/>
              <w:jc w:val="center"/>
              <w:rPr>
                <w:rFonts w:ascii="宋体" w:hAnsi="宋体"/>
                <w:szCs w:val="21"/>
              </w:rPr>
            </w:pPr>
            <w:r>
              <w:rPr>
                <w:rFonts w:ascii="宋体" w:hAnsi="宋体"/>
                <w:szCs w:val="21"/>
              </w:rPr>
              <w:t>商务资料</w:t>
            </w:r>
          </w:p>
        </w:tc>
        <w:tc>
          <w:tcPr>
            <w:tcW w:w="1826" w:type="dxa"/>
            <w:vAlign w:val="center"/>
          </w:tcPr>
          <w:p>
            <w:pPr>
              <w:spacing w:line="360" w:lineRule="auto"/>
              <w:jc w:val="center"/>
              <w:rPr>
                <w:rFonts w:ascii="宋体" w:hAnsi="宋体"/>
                <w:szCs w:val="21"/>
              </w:rPr>
            </w:pPr>
            <w:r>
              <w:rPr>
                <w:rFonts w:ascii="宋体" w:hAnsi="宋体"/>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93" w:type="dxa"/>
            <w:vAlign w:val="center"/>
          </w:tcPr>
          <w:p>
            <w:pPr>
              <w:spacing w:line="360" w:lineRule="auto"/>
              <w:jc w:val="center"/>
              <w:rPr>
                <w:rFonts w:ascii="宋体" w:hAnsi="宋体"/>
                <w:szCs w:val="21"/>
              </w:rPr>
            </w:pPr>
            <w:r>
              <w:rPr>
                <w:rFonts w:ascii="宋体" w:hAnsi="宋体"/>
                <w:szCs w:val="21"/>
              </w:rPr>
              <w:t>1</w:t>
            </w:r>
          </w:p>
        </w:tc>
        <w:tc>
          <w:tcPr>
            <w:tcW w:w="1451" w:type="dxa"/>
            <w:vAlign w:val="center"/>
          </w:tcPr>
          <w:p>
            <w:pPr>
              <w:spacing w:line="360" w:lineRule="auto"/>
              <w:ind w:firstLine="420" w:firstLineChars="200"/>
              <w:jc w:val="center"/>
              <w:rPr>
                <w:rFonts w:ascii="宋体" w:hAnsi="宋体"/>
                <w:szCs w:val="21"/>
              </w:rPr>
            </w:pPr>
          </w:p>
        </w:tc>
        <w:tc>
          <w:tcPr>
            <w:tcW w:w="2922" w:type="dxa"/>
            <w:vAlign w:val="center"/>
          </w:tcPr>
          <w:p>
            <w:pPr>
              <w:spacing w:line="360" w:lineRule="auto"/>
              <w:ind w:firstLine="420" w:firstLineChars="200"/>
              <w:jc w:val="center"/>
              <w:rPr>
                <w:rFonts w:ascii="宋体" w:hAnsi="宋体"/>
                <w:szCs w:val="21"/>
              </w:rPr>
            </w:pPr>
          </w:p>
        </w:tc>
        <w:tc>
          <w:tcPr>
            <w:tcW w:w="2069" w:type="dxa"/>
            <w:vAlign w:val="center"/>
          </w:tcPr>
          <w:p>
            <w:pPr>
              <w:spacing w:line="360" w:lineRule="auto"/>
              <w:ind w:firstLine="420" w:firstLineChars="200"/>
              <w:jc w:val="center"/>
              <w:rPr>
                <w:rFonts w:ascii="宋体" w:hAnsi="宋体"/>
                <w:szCs w:val="21"/>
              </w:rPr>
            </w:pPr>
          </w:p>
        </w:tc>
        <w:tc>
          <w:tcPr>
            <w:tcW w:w="1826" w:type="dxa"/>
            <w:vAlign w:val="center"/>
          </w:tcPr>
          <w:p>
            <w:pPr>
              <w:spacing w:line="360" w:lineRule="auto"/>
              <w:ind w:firstLine="420" w:firstLineChars="200"/>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93" w:type="dxa"/>
            <w:vAlign w:val="center"/>
          </w:tcPr>
          <w:p>
            <w:pPr>
              <w:spacing w:line="360" w:lineRule="auto"/>
              <w:jc w:val="center"/>
              <w:rPr>
                <w:rFonts w:ascii="宋体" w:hAnsi="宋体"/>
                <w:szCs w:val="21"/>
              </w:rPr>
            </w:pPr>
            <w:r>
              <w:rPr>
                <w:rFonts w:ascii="宋体" w:hAnsi="宋体"/>
                <w:szCs w:val="21"/>
              </w:rPr>
              <w:t>2</w:t>
            </w:r>
          </w:p>
        </w:tc>
        <w:tc>
          <w:tcPr>
            <w:tcW w:w="1451" w:type="dxa"/>
            <w:vAlign w:val="center"/>
          </w:tcPr>
          <w:p>
            <w:pPr>
              <w:spacing w:line="360" w:lineRule="auto"/>
              <w:ind w:firstLine="420" w:firstLineChars="200"/>
              <w:jc w:val="center"/>
              <w:rPr>
                <w:rFonts w:ascii="宋体" w:hAnsi="宋体"/>
                <w:szCs w:val="21"/>
              </w:rPr>
            </w:pPr>
          </w:p>
        </w:tc>
        <w:tc>
          <w:tcPr>
            <w:tcW w:w="2922" w:type="dxa"/>
            <w:vAlign w:val="center"/>
          </w:tcPr>
          <w:p>
            <w:pPr>
              <w:spacing w:line="360" w:lineRule="auto"/>
              <w:ind w:firstLine="420" w:firstLineChars="200"/>
              <w:jc w:val="center"/>
              <w:rPr>
                <w:rFonts w:ascii="宋体" w:hAnsi="宋体"/>
                <w:szCs w:val="21"/>
              </w:rPr>
            </w:pPr>
          </w:p>
        </w:tc>
        <w:tc>
          <w:tcPr>
            <w:tcW w:w="2069" w:type="dxa"/>
            <w:vAlign w:val="center"/>
          </w:tcPr>
          <w:p>
            <w:pPr>
              <w:spacing w:line="360" w:lineRule="auto"/>
              <w:ind w:firstLine="420" w:firstLineChars="200"/>
              <w:jc w:val="center"/>
              <w:rPr>
                <w:rFonts w:ascii="宋体" w:hAnsi="宋体"/>
                <w:szCs w:val="21"/>
              </w:rPr>
            </w:pPr>
          </w:p>
        </w:tc>
        <w:tc>
          <w:tcPr>
            <w:tcW w:w="1826" w:type="dxa"/>
            <w:vAlign w:val="center"/>
          </w:tcPr>
          <w:p>
            <w:pPr>
              <w:spacing w:line="360" w:lineRule="auto"/>
              <w:ind w:firstLine="420" w:firstLineChars="200"/>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93" w:type="dxa"/>
            <w:vAlign w:val="center"/>
          </w:tcPr>
          <w:p>
            <w:pPr>
              <w:spacing w:line="360" w:lineRule="auto"/>
              <w:jc w:val="center"/>
              <w:rPr>
                <w:rFonts w:ascii="宋体" w:hAnsi="宋体"/>
                <w:szCs w:val="21"/>
              </w:rPr>
            </w:pPr>
            <w:r>
              <w:rPr>
                <w:rFonts w:ascii="宋体" w:hAnsi="宋体"/>
                <w:szCs w:val="21"/>
              </w:rPr>
              <w:t>…</w:t>
            </w:r>
          </w:p>
        </w:tc>
        <w:tc>
          <w:tcPr>
            <w:tcW w:w="1451" w:type="dxa"/>
            <w:vAlign w:val="center"/>
          </w:tcPr>
          <w:p>
            <w:pPr>
              <w:spacing w:line="360" w:lineRule="auto"/>
              <w:ind w:firstLine="420" w:firstLineChars="200"/>
              <w:jc w:val="center"/>
              <w:rPr>
                <w:rFonts w:ascii="宋体" w:hAnsi="宋体"/>
                <w:szCs w:val="21"/>
              </w:rPr>
            </w:pPr>
          </w:p>
        </w:tc>
        <w:tc>
          <w:tcPr>
            <w:tcW w:w="2922" w:type="dxa"/>
            <w:vAlign w:val="center"/>
          </w:tcPr>
          <w:p>
            <w:pPr>
              <w:spacing w:line="360" w:lineRule="auto"/>
              <w:ind w:firstLine="420" w:firstLineChars="200"/>
              <w:jc w:val="center"/>
              <w:rPr>
                <w:rFonts w:ascii="宋体" w:hAnsi="宋体"/>
                <w:szCs w:val="21"/>
              </w:rPr>
            </w:pPr>
          </w:p>
        </w:tc>
        <w:tc>
          <w:tcPr>
            <w:tcW w:w="2069" w:type="dxa"/>
            <w:vAlign w:val="center"/>
          </w:tcPr>
          <w:p>
            <w:pPr>
              <w:spacing w:line="360" w:lineRule="auto"/>
              <w:ind w:firstLine="420" w:firstLineChars="200"/>
              <w:jc w:val="center"/>
              <w:rPr>
                <w:rFonts w:ascii="宋体" w:hAnsi="宋体"/>
                <w:szCs w:val="21"/>
              </w:rPr>
            </w:pPr>
          </w:p>
        </w:tc>
        <w:tc>
          <w:tcPr>
            <w:tcW w:w="1826" w:type="dxa"/>
            <w:vAlign w:val="center"/>
          </w:tcPr>
          <w:p>
            <w:pPr>
              <w:spacing w:line="360" w:lineRule="auto"/>
              <w:ind w:firstLine="420" w:firstLineChars="200"/>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93" w:type="dxa"/>
            <w:vAlign w:val="center"/>
          </w:tcPr>
          <w:p>
            <w:pPr>
              <w:spacing w:line="360" w:lineRule="auto"/>
              <w:jc w:val="center"/>
              <w:rPr>
                <w:rFonts w:ascii="宋体" w:hAnsi="宋体"/>
                <w:szCs w:val="21"/>
              </w:rPr>
            </w:pPr>
          </w:p>
        </w:tc>
        <w:tc>
          <w:tcPr>
            <w:tcW w:w="1451" w:type="dxa"/>
            <w:vAlign w:val="center"/>
          </w:tcPr>
          <w:p>
            <w:pPr>
              <w:spacing w:line="360" w:lineRule="auto"/>
              <w:ind w:firstLine="420" w:firstLineChars="200"/>
              <w:jc w:val="center"/>
              <w:rPr>
                <w:rFonts w:ascii="宋体" w:hAnsi="宋体"/>
                <w:szCs w:val="21"/>
              </w:rPr>
            </w:pPr>
          </w:p>
        </w:tc>
        <w:tc>
          <w:tcPr>
            <w:tcW w:w="2922" w:type="dxa"/>
            <w:vAlign w:val="center"/>
          </w:tcPr>
          <w:p>
            <w:pPr>
              <w:spacing w:line="360" w:lineRule="auto"/>
              <w:ind w:firstLine="420" w:firstLineChars="200"/>
              <w:jc w:val="center"/>
              <w:rPr>
                <w:rFonts w:ascii="宋体" w:hAnsi="宋体"/>
                <w:szCs w:val="21"/>
              </w:rPr>
            </w:pPr>
          </w:p>
        </w:tc>
        <w:tc>
          <w:tcPr>
            <w:tcW w:w="2069" w:type="dxa"/>
            <w:vAlign w:val="center"/>
          </w:tcPr>
          <w:p>
            <w:pPr>
              <w:spacing w:line="360" w:lineRule="auto"/>
              <w:ind w:firstLine="420" w:firstLineChars="200"/>
              <w:jc w:val="center"/>
              <w:rPr>
                <w:rFonts w:ascii="宋体" w:hAnsi="宋体"/>
                <w:szCs w:val="21"/>
              </w:rPr>
            </w:pPr>
          </w:p>
        </w:tc>
        <w:tc>
          <w:tcPr>
            <w:tcW w:w="1826" w:type="dxa"/>
            <w:vAlign w:val="center"/>
          </w:tcPr>
          <w:p>
            <w:pPr>
              <w:spacing w:line="360" w:lineRule="auto"/>
              <w:ind w:firstLine="420" w:firstLineChars="200"/>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93" w:type="dxa"/>
            <w:vAlign w:val="center"/>
          </w:tcPr>
          <w:p>
            <w:pPr>
              <w:spacing w:line="360" w:lineRule="auto"/>
              <w:jc w:val="center"/>
              <w:rPr>
                <w:rFonts w:ascii="宋体" w:hAnsi="宋体"/>
                <w:szCs w:val="21"/>
              </w:rPr>
            </w:pPr>
          </w:p>
        </w:tc>
        <w:tc>
          <w:tcPr>
            <w:tcW w:w="1451" w:type="dxa"/>
            <w:vAlign w:val="center"/>
          </w:tcPr>
          <w:p>
            <w:pPr>
              <w:spacing w:line="360" w:lineRule="auto"/>
              <w:ind w:firstLine="420" w:firstLineChars="200"/>
              <w:jc w:val="center"/>
              <w:rPr>
                <w:rFonts w:ascii="宋体" w:hAnsi="宋体"/>
                <w:szCs w:val="21"/>
              </w:rPr>
            </w:pPr>
          </w:p>
        </w:tc>
        <w:tc>
          <w:tcPr>
            <w:tcW w:w="2922" w:type="dxa"/>
            <w:vAlign w:val="center"/>
          </w:tcPr>
          <w:p>
            <w:pPr>
              <w:spacing w:line="360" w:lineRule="auto"/>
              <w:ind w:firstLine="420" w:firstLineChars="200"/>
              <w:jc w:val="center"/>
              <w:rPr>
                <w:rFonts w:ascii="宋体" w:hAnsi="宋体"/>
                <w:szCs w:val="21"/>
              </w:rPr>
            </w:pPr>
          </w:p>
        </w:tc>
        <w:tc>
          <w:tcPr>
            <w:tcW w:w="2069" w:type="dxa"/>
            <w:vAlign w:val="center"/>
          </w:tcPr>
          <w:p>
            <w:pPr>
              <w:spacing w:line="360" w:lineRule="auto"/>
              <w:ind w:firstLine="420" w:firstLineChars="200"/>
              <w:jc w:val="center"/>
              <w:rPr>
                <w:rFonts w:ascii="宋体" w:hAnsi="宋体"/>
                <w:szCs w:val="21"/>
              </w:rPr>
            </w:pPr>
          </w:p>
        </w:tc>
        <w:tc>
          <w:tcPr>
            <w:tcW w:w="1826" w:type="dxa"/>
            <w:vAlign w:val="center"/>
          </w:tcPr>
          <w:p>
            <w:pPr>
              <w:spacing w:line="360" w:lineRule="auto"/>
              <w:ind w:firstLine="420" w:firstLineChars="200"/>
              <w:jc w:val="center"/>
              <w:rPr>
                <w:rFonts w:ascii="宋体" w:hAnsi="宋体"/>
                <w:szCs w:val="21"/>
              </w:rPr>
            </w:pPr>
          </w:p>
        </w:tc>
      </w:tr>
    </w:tbl>
    <w:p>
      <w:pPr>
        <w:spacing w:line="360" w:lineRule="auto"/>
        <w:rPr>
          <w:szCs w:val="21"/>
        </w:rPr>
      </w:pPr>
    </w:p>
    <w:p>
      <w:pPr>
        <w:spacing w:line="360" w:lineRule="auto"/>
        <w:rPr>
          <w:szCs w:val="21"/>
        </w:rPr>
      </w:pPr>
    </w:p>
    <w:p>
      <w:pPr>
        <w:spacing w:line="360" w:lineRule="auto"/>
        <w:rPr>
          <w:szCs w:val="21"/>
        </w:rPr>
      </w:pPr>
    </w:p>
    <w:p>
      <w:pPr>
        <w:spacing w:line="360" w:lineRule="auto"/>
        <w:rPr>
          <w:rFonts w:ascii="宋体" w:hAnsi="宋体"/>
          <w:szCs w:val="21"/>
        </w:rPr>
      </w:pPr>
      <w:r>
        <w:rPr>
          <w:rFonts w:ascii="宋体" w:hAnsi="宋体"/>
          <w:szCs w:val="21"/>
        </w:rPr>
        <w:t>供应商名称（盖章）：</w:t>
      </w:r>
    </w:p>
    <w:p>
      <w:pPr>
        <w:spacing w:line="360" w:lineRule="auto"/>
        <w:jc w:val="left"/>
        <w:rPr>
          <w:rFonts w:ascii="宋体" w:hAnsi="宋体"/>
          <w:szCs w:val="21"/>
        </w:rPr>
      </w:pPr>
      <w:r>
        <w:rPr>
          <w:rFonts w:hint="eastAsia" w:ascii="宋体" w:hAnsi="宋体"/>
          <w:szCs w:val="21"/>
        </w:rPr>
        <w:t>法定代表人或授权委托代理人</w:t>
      </w:r>
      <w:r>
        <w:rPr>
          <w:rFonts w:ascii="宋体" w:hAnsi="宋体"/>
          <w:szCs w:val="21"/>
        </w:rPr>
        <w:t>（签字或盖章）：</w:t>
      </w:r>
    </w:p>
    <w:p>
      <w:pPr>
        <w:spacing w:line="360" w:lineRule="auto"/>
        <w:jc w:val="left"/>
        <w:rPr>
          <w:rFonts w:ascii="宋体" w:hAnsi="宋体"/>
          <w:szCs w:val="21"/>
        </w:rPr>
      </w:pPr>
      <w:r>
        <w:rPr>
          <w:rFonts w:ascii="宋体" w:hAnsi="宋体"/>
          <w:szCs w:val="21"/>
        </w:rPr>
        <w:t>日期：</w:t>
      </w:r>
      <w:r>
        <w:rPr>
          <w:rFonts w:hint="eastAsia" w:ascii="宋体" w:hAnsi="宋体"/>
          <w:szCs w:val="21"/>
        </w:rPr>
        <w:t xml:space="preserve">   年  月  日</w:t>
      </w:r>
    </w:p>
    <w:p/>
    <w:p>
      <w:pPr>
        <w:pStyle w:val="19"/>
      </w:pPr>
    </w:p>
    <w:p>
      <w:pPr>
        <w:pStyle w:val="29"/>
      </w:pPr>
    </w:p>
    <w:p/>
    <w:p>
      <w:pPr>
        <w:pStyle w:val="19"/>
      </w:pPr>
    </w:p>
    <w:p>
      <w:pPr>
        <w:spacing w:line="360" w:lineRule="auto"/>
        <w:jc w:val="both"/>
        <w:outlineLvl w:val="0"/>
        <w:rPr>
          <w:rFonts w:ascii="宋体" w:hAnsi="宋体"/>
          <w:b/>
          <w:sz w:val="32"/>
          <w:szCs w:val="32"/>
        </w:rPr>
      </w:pPr>
    </w:p>
    <w:p>
      <w:pPr>
        <w:spacing w:line="360" w:lineRule="auto"/>
        <w:jc w:val="center"/>
        <w:outlineLvl w:val="0"/>
        <w:rPr>
          <w:rFonts w:hint="eastAsia" w:ascii="宋体" w:hAnsi="宋体"/>
          <w:b/>
          <w:sz w:val="32"/>
          <w:szCs w:val="32"/>
        </w:rPr>
        <w:sectPr>
          <w:pgSz w:w="11906" w:h="16838"/>
          <w:pgMar w:top="907" w:right="1134" w:bottom="907" w:left="1134" w:header="851" w:footer="992" w:gutter="0"/>
          <w:pgNumType w:fmt="decimal"/>
          <w:cols w:space="720" w:num="1"/>
          <w:docGrid w:type="lines" w:linePitch="312" w:charSpace="0"/>
        </w:sectPr>
      </w:pPr>
      <w:bookmarkStart w:id="157" w:name="_Toc24263"/>
      <w:bookmarkStart w:id="158" w:name="_Toc5031"/>
      <w:bookmarkStart w:id="159" w:name="_Toc17343"/>
      <w:bookmarkStart w:id="160" w:name="_Toc14352"/>
      <w:bookmarkStart w:id="161" w:name="_Toc18183"/>
    </w:p>
    <w:p>
      <w:pPr>
        <w:spacing w:line="360" w:lineRule="auto"/>
        <w:jc w:val="center"/>
        <w:outlineLvl w:val="0"/>
        <w:rPr>
          <w:rFonts w:ascii="宋体" w:hAnsi="宋体"/>
          <w:b/>
          <w:sz w:val="32"/>
          <w:szCs w:val="32"/>
        </w:rPr>
      </w:pPr>
      <w:bookmarkStart w:id="162" w:name="_Toc30962"/>
      <w:r>
        <w:rPr>
          <w:rFonts w:hint="eastAsia" w:ascii="宋体" w:hAnsi="宋体"/>
          <w:b/>
          <w:sz w:val="32"/>
          <w:szCs w:val="32"/>
        </w:rPr>
        <w:t>五、项目实施人员一览表</w:t>
      </w:r>
      <w:bookmarkEnd w:id="157"/>
      <w:bookmarkEnd w:id="158"/>
      <w:bookmarkEnd w:id="159"/>
      <w:bookmarkEnd w:id="160"/>
      <w:bookmarkEnd w:id="161"/>
      <w:bookmarkEnd w:id="162"/>
    </w:p>
    <w:p>
      <w:pPr>
        <w:spacing w:line="360" w:lineRule="auto"/>
        <w:jc w:val="center"/>
        <w:outlineLvl w:val="0"/>
        <w:rPr>
          <w:rFonts w:ascii="宋体" w:hAnsi="宋体"/>
          <w:sz w:val="28"/>
          <w:szCs w:val="28"/>
        </w:rPr>
      </w:pPr>
      <w:bookmarkStart w:id="163" w:name="_Toc11034"/>
      <w:bookmarkStart w:id="164" w:name="_Toc1209"/>
      <w:bookmarkStart w:id="165" w:name="_Toc9541"/>
      <w:bookmarkStart w:id="166" w:name="_Toc30359"/>
      <w:bookmarkStart w:id="167" w:name="_Toc15311"/>
      <w:bookmarkStart w:id="168" w:name="_Toc17994"/>
      <w:r>
        <w:rPr>
          <w:rFonts w:hint="eastAsia" w:ascii="宋体" w:hAnsi="宋体"/>
          <w:sz w:val="28"/>
          <w:szCs w:val="28"/>
        </w:rPr>
        <w:t>（主要从业人员及其技术资格）</w:t>
      </w:r>
      <w:bookmarkEnd w:id="163"/>
      <w:bookmarkEnd w:id="164"/>
      <w:bookmarkEnd w:id="165"/>
      <w:bookmarkEnd w:id="166"/>
      <w:bookmarkEnd w:id="167"/>
      <w:bookmarkEnd w:id="168"/>
    </w:p>
    <w:tbl>
      <w:tblPr>
        <w:tblStyle w:val="47"/>
        <w:tblW w:w="9363" w:type="dxa"/>
        <w:tblInd w:w="8" w:type="dxa"/>
        <w:tblLayout w:type="fixed"/>
        <w:tblCellMar>
          <w:top w:w="57" w:type="dxa"/>
          <w:left w:w="57" w:type="dxa"/>
          <w:bottom w:w="57" w:type="dxa"/>
          <w:right w:w="57" w:type="dxa"/>
        </w:tblCellMar>
      </w:tblPr>
      <w:tblGrid>
        <w:gridCol w:w="589"/>
        <w:gridCol w:w="1303"/>
        <w:gridCol w:w="709"/>
        <w:gridCol w:w="850"/>
        <w:gridCol w:w="851"/>
        <w:gridCol w:w="992"/>
        <w:gridCol w:w="1134"/>
        <w:gridCol w:w="851"/>
        <w:gridCol w:w="1275"/>
        <w:gridCol w:w="809"/>
      </w:tblGrid>
      <w:tr>
        <w:tblPrEx>
          <w:tblCellMar>
            <w:top w:w="57" w:type="dxa"/>
            <w:left w:w="57" w:type="dxa"/>
            <w:bottom w:w="57" w:type="dxa"/>
            <w:right w:w="57" w:type="dxa"/>
          </w:tblCellMar>
        </w:tblPrEx>
        <w:trPr>
          <w:cantSplit/>
          <w:trHeight w:val="529" w:hRule="atLeast"/>
        </w:trPr>
        <w:tc>
          <w:tcPr>
            <w:tcW w:w="58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r>
              <w:rPr>
                <w:rFonts w:ascii="宋体" w:hAnsi="宋体"/>
                <w:szCs w:val="21"/>
              </w:rPr>
              <w:t>序号</w:t>
            </w:r>
          </w:p>
        </w:tc>
        <w:tc>
          <w:tcPr>
            <w:tcW w:w="1303"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r>
              <w:rPr>
                <w:rFonts w:ascii="宋体" w:hAnsi="宋体"/>
                <w:szCs w:val="21"/>
              </w:rPr>
              <w:t>姓 名</w:t>
            </w:r>
          </w:p>
        </w:tc>
        <w:tc>
          <w:tcPr>
            <w:tcW w:w="70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r>
              <w:rPr>
                <w:rFonts w:ascii="宋体" w:hAnsi="宋体"/>
                <w:szCs w:val="21"/>
              </w:rPr>
              <w:t>性别</w:t>
            </w:r>
          </w:p>
        </w:tc>
        <w:tc>
          <w:tcPr>
            <w:tcW w:w="850"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r>
              <w:rPr>
                <w:rFonts w:ascii="宋体" w:hAnsi="宋体"/>
                <w:szCs w:val="21"/>
              </w:rPr>
              <w:t>年龄</w:t>
            </w:r>
          </w:p>
        </w:tc>
        <w:tc>
          <w:tcPr>
            <w:tcW w:w="851"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r>
              <w:rPr>
                <w:rFonts w:ascii="宋体" w:hAnsi="宋体"/>
                <w:szCs w:val="21"/>
              </w:rPr>
              <w:t>学 历</w:t>
            </w:r>
          </w:p>
        </w:tc>
        <w:tc>
          <w:tcPr>
            <w:tcW w:w="992"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r>
              <w:rPr>
                <w:rFonts w:hint="eastAsia" w:ascii="宋体" w:hAnsi="宋体"/>
                <w:szCs w:val="21"/>
              </w:rPr>
              <w:t>专业技术资格</w:t>
            </w:r>
          </w:p>
        </w:tc>
        <w:tc>
          <w:tcPr>
            <w:tcW w:w="1134" w:type="dxa"/>
            <w:tcBorders>
              <w:top w:val="single" w:color="auto" w:sz="6" w:space="0"/>
              <w:left w:val="single" w:color="auto" w:sz="6" w:space="0"/>
              <w:bottom w:val="single" w:color="auto" w:sz="6"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证书编号</w:t>
            </w:r>
          </w:p>
        </w:tc>
        <w:tc>
          <w:tcPr>
            <w:tcW w:w="851" w:type="dxa"/>
            <w:tcBorders>
              <w:top w:val="single" w:color="auto" w:sz="6" w:space="0"/>
              <w:left w:val="single" w:color="auto" w:sz="4" w:space="0"/>
              <w:bottom w:val="single" w:color="auto" w:sz="6" w:space="0"/>
              <w:right w:val="single" w:color="auto" w:sz="6" w:space="0"/>
            </w:tcBorders>
            <w:vAlign w:val="center"/>
          </w:tcPr>
          <w:p>
            <w:pPr>
              <w:spacing w:line="360" w:lineRule="auto"/>
              <w:jc w:val="center"/>
              <w:rPr>
                <w:rFonts w:ascii="宋体" w:hAnsi="宋体"/>
                <w:szCs w:val="21"/>
              </w:rPr>
            </w:pPr>
            <w:r>
              <w:rPr>
                <w:rFonts w:ascii="宋体" w:hAnsi="宋体"/>
                <w:szCs w:val="21"/>
              </w:rPr>
              <w:t>职称</w:t>
            </w:r>
          </w:p>
        </w:tc>
        <w:tc>
          <w:tcPr>
            <w:tcW w:w="1275"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r>
              <w:rPr>
                <w:rFonts w:ascii="宋体" w:hAnsi="宋体"/>
                <w:szCs w:val="21"/>
              </w:rPr>
              <w:t>拟任本项目职务</w:t>
            </w:r>
          </w:p>
        </w:tc>
        <w:tc>
          <w:tcPr>
            <w:tcW w:w="809" w:type="dxa"/>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r>
              <w:rPr>
                <w:rFonts w:ascii="宋体" w:hAnsi="宋体"/>
                <w:szCs w:val="21"/>
              </w:rPr>
              <w:t>备注</w:t>
            </w:r>
          </w:p>
        </w:tc>
      </w:tr>
      <w:tr>
        <w:tblPrEx>
          <w:tblCellMar>
            <w:top w:w="57" w:type="dxa"/>
            <w:left w:w="57" w:type="dxa"/>
            <w:bottom w:w="57" w:type="dxa"/>
            <w:right w:w="57" w:type="dxa"/>
          </w:tblCellMar>
        </w:tblPrEx>
        <w:trPr>
          <w:cantSplit/>
          <w:trHeight w:val="468" w:hRule="atLeast"/>
        </w:trPr>
        <w:tc>
          <w:tcPr>
            <w:tcW w:w="589"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1303"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709"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50"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51"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992"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1134" w:type="dxa"/>
            <w:tcBorders>
              <w:top w:val="single" w:color="auto" w:sz="6" w:space="0"/>
              <w:left w:val="single" w:color="auto" w:sz="6" w:space="0"/>
              <w:bottom w:val="single" w:color="auto" w:sz="4" w:space="0"/>
              <w:right w:val="single" w:color="auto" w:sz="4" w:space="0"/>
            </w:tcBorders>
            <w:vAlign w:val="center"/>
          </w:tcPr>
          <w:p>
            <w:pPr>
              <w:spacing w:line="360" w:lineRule="auto"/>
              <w:jc w:val="center"/>
              <w:rPr>
                <w:rFonts w:ascii="宋体" w:hAnsi="宋体"/>
                <w:szCs w:val="21"/>
              </w:rPr>
            </w:pPr>
          </w:p>
        </w:tc>
        <w:tc>
          <w:tcPr>
            <w:tcW w:w="851" w:type="dxa"/>
            <w:tcBorders>
              <w:top w:val="single" w:color="auto" w:sz="6" w:space="0"/>
              <w:left w:val="single" w:color="auto" w:sz="4" w:space="0"/>
              <w:bottom w:val="single" w:color="auto" w:sz="4" w:space="0"/>
              <w:right w:val="single" w:color="auto" w:sz="6" w:space="0"/>
            </w:tcBorders>
            <w:vAlign w:val="center"/>
          </w:tcPr>
          <w:p>
            <w:pPr>
              <w:spacing w:line="360" w:lineRule="auto"/>
              <w:jc w:val="center"/>
              <w:rPr>
                <w:rFonts w:ascii="宋体" w:hAnsi="宋体"/>
                <w:szCs w:val="21"/>
              </w:rPr>
            </w:pPr>
          </w:p>
        </w:tc>
        <w:tc>
          <w:tcPr>
            <w:tcW w:w="1275"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09"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r>
      <w:tr>
        <w:tblPrEx>
          <w:tblCellMar>
            <w:top w:w="57" w:type="dxa"/>
            <w:left w:w="57" w:type="dxa"/>
            <w:bottom w:w="57" w:type="dxa"/>
            <w:right w:w="57" w:type="dxa"/>
          </w:tblCellMar>
        </w:tblPrEx>
        <w:trPr>
          <w:cantSplit/>
          <w:trHeight w:val="468" w:hRule="atLeast"/>
        </w:trPr>
        <w:tc>
          <w:tcPr>
            <w:tcW w:w="589"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1303"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709"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50"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51"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992"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1134" w:type="dxa"/>
            <w:tcBorders>
              <w:top w:val="single" w:color="auto" w:sz="6" w:space="0"/>
              <w:left w:val="single" w:color="auto" w:sz="6" w:space="0"/>
              <w:bottom w:val="single" w:color="auto" w:sz="4" w:space="0"/>
              <w:right w:val="single" w:color="auto" w:sz="4" w:space="0"/>
            </w:tcBorders>
            <w:vAlign w:val="center"/>
          </w:tcPr>
          <w:p>
            <w:pPr>
              <w:spacing w:line="360" w:lineRule="auto"/>
              <w:jc w:val="center"/>
              <w:rPr>
                <w:rFonts w:ascii="宋体" w:hAnsi="宋体"/>
                <w:szCs w:val="21"/>
              </w:rPr>
            </w:pPr>
          </w:p>
        </w:tc>
        <w:tc>
          <w:tcPr>
            <w:tcW w:w="851" w:type="dxa"/>
            <w:tcBorders>
              <w:top w:val="single" w:color="auto" w:sz="6" w:space="0"/>
              <w:left w:val="single" w:color="auto" w:sz="4" w:space="0"/>
              <w:bottom w:val="single" w:color="auto" w:sz="4" w:space="0"/>
              <w:right w:val="single" w:color="auto" w:sz="6" w:space="0"/>
            </w:tcBorders>
            <w:vAlign w:val="center"/>
          </w:tcPr>
          <w:p>
            <w:pPr>
              <w:spacing w:line="360" w:lineRule="auto"/>
              <w:jc w:val="center"/>
              <w:rPr>
                <w:rFonts w:ascii="宋体" w:hAnsi="宋体"/>
                <w:szCs w:val="21"/>
              </w:rPr>
            </w:pPr>
          </w:p>
        </w:tc>
        <w:tc>
          <w:tcPr>
            <w:tcW w:w="1275"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09"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r>
      <w:tr>
        <w:tblPrEx>
          <w:tblCellMar>
            <w:top w:w="57" w:type="dxa"/>
            <w:left w:w="57" w:type="dxa"/>
            <w:bottom w:w="57" w:type="dxa"/>
            <w:right w:w="57" w:type="dxa"/>
          </w:tblCellMar>
        </w:tblPrEx>
        <w:trPr>
          <w:cantSplit/>
          <w:trHeight w:val="468" w:hRule="atLeast"/>
        </w:trPr>
        <w:tc>
          <w:tcPr>
            <w:tcW w:w="589"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1303"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709"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50"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51"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992"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1134" w:type="dxa"/>
            <w:tcBorders>
              <w:top w:val="single" w:color="auto" w:sz="6" w:space="0"/>
              <w:left w:val="single" w:color="auto" w:sz="6" w:space="0"/>
              <w:bottom w:val="single" w:color="auto" w:sz="4" w:space="0"/>
              <w:right w:val="single" w:color="auto" w:sz="4" w:space="0"/>
            </w:tcBorders>
            <w:vAlign w:val="center"/>
          </w:tcPr>
          <w:p>
            <w:pPr>
              <w:spacing w:line="360" w:lineRule="auto"/>
              <w:jc w:val="center"/>
              <w:rPr>
                <w:rFonts w:ascii="宋体" w:hAnsi="宋体"/>
                <w:szCs w:val="21"/>
              </w:rPr>
            </w:pPr>
          </w:p>
        </w:tc>
        <w:tc>
          <w:tcPr>
            <w:tcW w:w="851" w:type="dxa"/>
            <w:tcBorders>
              <w:top w:val="single" w:color="auto" w:sz="6" w:space="0"/>
              <w:left w:val="single" w:color="auto" w:sz="4" w:space="0"/>
              <w:bottom w:val="single" w:color="auto" w:sz="4" w:space="0"/>
              <w:right w:val="single" w:color="auto" w:sz="6" w:space="0"/>
            </w:tcBorders>
            <w:vAlign w:val="center"/>
          </w:tcPr>
          <w:p>
            <w:pPr>
              <w:spacing w:line="360" w:lineRule="auto"/>
              <w:jc w:val="center"/>
              <w:rPr>
                <w:rFonts w:ascii="宋体" w:hAnsi="宋体"/>
                <w:szCs w:val="21"/>
              </w:rPr>
            </w:pPr>
          </w:p>
        </w:tc>
        <w:tc>
          <w:tcPr>
            <w:tcW w:w="1275"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09"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r>
      <w:tr>
        <w:tblPrEx>
          <w:tblCellMar>
            <w:top w:w="57" w:type="dxa"/>
            <w:left w:w="57" w:type="dxa"/>
            <w:bottom w:w="57" w:type="dxa"/>
            <w:right w:w="57" w:type="dxa"/>
          </w:tblCellMar>
        </w:tblPrEx>
        <w:trPr>
          <w:cantSplit/>
          <w:trHeight w:val="468" w:hRule="atLeast"/>
        </w:trPr>
        <w:tc>
          <w:tcPr>
            <w:tcW w:w="589"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1303"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709"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50"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51"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992"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1134" w:type="dxa"/>
            <w:tcBorders>
              <w:top w:val="single" w:color="auto" w:sz="6" w:space="0"/>
              <w:left w:val="single" w:color="auto" w:sz="6" w:space="0"/>
              <w:bottom w:val="single" w:color="auto" w:sz="4" w:space="0"/>
              <w:right w:val="single" w:color="auto" w:sz="4" w:space="0"/>
            </w:tcBorders>
            <w:vAlign w:val="center"/>
          </w:tcPr>
          <w:p>
            <w:pPr>
              <w:spacing w:line="360" w:lineRule="auto"/>
              <w:jc w:val="center"/>
              <w:rPr>
                <w:rFonts w:ascii="宋体" w:hAnsi="宋体"/>
                <w:szCs w:val="21"/>
              </w:rPr>
            </w:pPr>
          </w:p>
        </w:tc>
        <w:tc>
          <w:tcPr>
            <w:tcW w:w="851" w:type="dxa"/>
            <w:tcBorders>
              <w:top w:val="single" w:color="auto" w:sz="6" w:space="0"/>
              <w:left w:val="single" w:color="auto" w:sz="4" w:space="0"/>
              <w:bottom w:val="single" w:color="auto" w:sz="4" w:space="0"/>
              <w:right w:val="single" w:color="auto" w:sz="6" w:space="0"/>
            </w:tcBorders>
            <w:vAlign w:val="center"/>
          </w:tcPr>
          <w:p>
            <w:pPr>
              <w:spacing w:line="360" w:lineRule="auto"/>
              <w:jc w:val="center"/>
              <w:rPr>
                <w:rFonts w:ascii="宋体" w:hAnsi="宋体"/>
                <w:szCs w:val="21"/>
              </w:rPr>
            </w:pPr>
          </w:p>
        </w:tc>
        <w:tc>
          <w:tcPr>
            <w:tcW w:w="1275"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09" w:type="dxa"/>
            <w:tcBorders>
              <w:top w:val="single" w:color="auto" w:sz="6"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r>
      <w:tr>
        <w:tblPrEx>
          <w:tblCellMar>
            <w:top w:w="57" w:type="dxa"/>
            <w:left w:w="57" w:type="dxa"/>
            <w:bottom w:w="57" w:type="dxa"/>
            <w:right w:w="57" w:type="dxa"/>
          </w:tblCellMar>
        </w:tblPrEx>
        <w:trPr>
          <w:cantSplit/>
          <w:trHeight w:val="468" w:hRule="atLeast"/>
        </w:trPr>
        <w:tc>
          <w:tcPr>
            <w:tcW w:w="589"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1303"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709"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50"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51"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992"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1134" w:type="dxa"/>
            <w:tcBorders>
              <w:top w:val="single" w:color="auto" w:sz="4" w:space="0"/>
              <w:left w:val="single" w:color="auto" w:sz="6" w:space="0"/>
              <w:bottom w:val="single" w:color="auto" w:sz="4" w:space="0"/>
              <w:right w:val="single" w:color="auto" w:sz="4" w:space="0"/>
            </w:tcBorders>
            <w:vAlign w:val="center"/>
          </w:tcPr>
          <w:p>
            <w:pPr>
              <w:spacing w:line="360" w:lineRule="auto"/>
              <w:jc w:val="center"/>
              <w:rPr>
                <w:rFonts w:ascii="宋体" w:hAnsi="宋体"/>
                <w:szCs w:val="21"/>
              </w:rPr>
            </w:pPr>
          </w:p>
        </w:tc>
        <w:tc>
          <w:tcPr>
            <w:tcW w:w="851" w:type="dxa"/>
            <w:tcBorders>
              <w:top w:val="single" w:color="auto" w:sz="4" w:space="0"/>
              <w:left w:val="single" w:color="auto" w:sz="4" w:space="0"/>
              <w:bottom w:val="single" w:color="auto" w:sz="4" w:space="0"/>
              <w:right w:val="single" w:color="auto" w:sz="6" w:space="0"/>
            </w:tcBorders>
            <w:vAlign w:val="center"/>
          </w:tcPr>
          <w:p>
            <w:pPr>
              <w:spacing w:line="360" w:lineRule="auto"/>
              <w:jc w:val="center"/>
              <w:rPr>
                <w:rFonts w:ascii="宋体" w:hAnsi="宋体"/>
                <w:szCs w:val="21"/>
              </w:rPr>
            </w:pPr>
          </w:p>
        </w:tc>
        <w:tc>
          <w:tcPr>
            <w:tcW w:w="1275"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09"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r>
      <w:tr>
        <w:tblPrEx>
          <w:tblCellMar>
            <w:top w:w="57" w:type="dxa"/>
            <w:left w:w="57" w:type="dxa"/>
            <w:bottom w:w="57" w:type="dxa"/>
            <w:right w:w="57" w:type="dxa"/>
          </w:tblCellMar>
        </w:tblPrEx>
        <w:trPr>
          <w:cantSplit/>
          <w:trHeight w:val="468" w:hRule="atLeast"/>
        </w:trPr>
        <w:tc>
          <w:tcPr>
            <w:tcW w:w="589"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1303"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709"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50"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51"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992"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1134" w:type="dxa"/>
            <w:tcBorders>
              <w:top w:val="single" w:color="auto" w:sz="4" w:space="0"/>
              <w:left w:val="single" w:color="auto" w:sz="6" w:space="0"/>
              <w:bottom w:val="single" w:color="auto" w:sz="4" w:space="0"/>
              <w:right w:val="single" w:color="auto" w:sz="4" w:space="0"/>
            </w:tcBorders>
            <w:vAlign w:val="center"/>
          </w:tcPr>
          <w:p>
            <w:pPr>
              <w:spacing w:line="360" w:lineRule="auto"/>
              <w:jc w:val="center"/>
              <w:rPr>
                <w:rFonts w:ascii="宋体" w:hAnsi="宋体"/>
                <w:szCs w:val="21"/>
              </w:rPr>
            </w:pPr>
          </w:p>
        </w:tc>
        <w:tc>
          <w:tcPr>
            <w:tcW w:w="851" w:type="dxa"/>
            <w:tcBorders>
              <w:top w:val="single" w:color="auto" w:sz="4" w:space="0"/>
              <w:left w:val="single" w:color="auto" w:sz="4" w:space="0"/>
              <w:bottom w:val="single" w:color="auto" w:sz="4" w:space="0"/>
              <w:right w:val="single" w:color="auto" w:sz="6" w:space="0"/>
            </w:tcBorders>
            <w:vAlign w:val="center"/>
          </w:tcPr>
          <w:p>
            <w:pPr>
              <w:spacing w:line="360" w:lineRule="auto"/>
              <w:jc w:val="center"/>
              <w:rPr>
                <w:rFonts w:ascii="宋体" w:hAnsi="宋体"/>
                <w:szCs w:val="21"/>
              </w:rPr>
            </w:pPr>
          </w:p>
        </w:tc>
        <w:tc>
          <w:tcPr>
            <w:tcW w:w="1275"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c>
          <w:tcPr>
            <w:tcW w:w="809" w:type="dxa"/>
            <w:tcBorders>
              <w:top w:val="single" w:color="auto" w:sz="4" w:space="0"/>
              <w:left w:val="single" w:color="auto" w:sz="6" w:space="0"/>
              <w:bottom w:val="single" w:color="auto" w:sz="4" w:space="0"/>
              <w:right w:val="single" w:color="auto" w:sz="6" w:space="0"/>
            </w:tcBorders>
            <w:vAlign w:val="center"/>
          </w:tcPr>
          <w:p>
            <w:pPr>
              <w:spacing w:line="360" w:lineRule="auto"/>
              <w:jc w:val="center"/>
              <w:rPr>
                <w:rFonts w:ascii="宋体" w:hAnsi="宋体"/>
                <w:szCs w:val="21"/>
              </w:rPr>
            </w:pPr>
          </w:p>
        </w:tc>
      </w:tr>
      <w:tr>
        <w:tblPrEx>
          <w:tblCellMar>
            <w:top w:w="57" w:type="dxa"/>
            <w:left w:w="57" w:type="dxa"/>
            <w:bottom w:w="57" w:type="dxa"/>
            <w:right w:w="57" w:type="dxa"/>
          </w:tblCellMar>
        </w:tblPrEx>
        <w:trPr>
          <w:cantSplit/>
          <w:trHeight w:val="468" w:hRule="atLeast"/>
        </w:trPr>
        <w:tc>
          <w:tcPr>
            <w:tcW w:w="589" w:type="dxa"/>
            <w:tcBorders>
              <w:top w:val="single" w:color="auto" w:sz="4"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p>
        </w:tc>
        <w:tc>
          <w:tcPr>
            <w:tcW w:w="1303" w:type="dxa"/>
            <w:tcBorders>
              <w:top w:val="single" w:color="auto" w:sz="4"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p>
        </w:tc>
        <w:tc>
          <w:tcPr>
            <w:tcW w:w="709" w:type="dxa"/>
            <w:tcBorders>
              <w:top w:val="single" w:color="auto" w:sz="4"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p>
        </w:tc>
        <w:tc>
          <w:tcPr>
            <w:tcW w:w="850" w:type="dxa"/>
            <w:tcBorders>
              <w:top w:val="single" w:color="auto" w:sz="4"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p>
        </w:tc>
        <w:tc>
          <w:tcPr>
            <w:tcW w:w="851" w:type="dxa"/>
            <w:tcBorders>
              <w:top w:val="single" w:color="auto" w:sz="4"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p>
        </w:tc>
        <w:tc>
          <w:tcPr>
            <w:tcW w:w="992" w:type="dxa"/>
            <w:tcBorders>
              <w:top w:val="single" w:color="auto" w:sz="4"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p>
        </w:tc>
        <w:tc>
          <w:tcPr>
            <w:tcW w:w="1134" w:type="dxa"/>
            <w:tcBorders>
              <w:top w:val="single" w:color="auto" w:sz="4" w:space="0"/>
              <w:left w:val="single" w:color="auto" w:sz="6" w:space="0"/>
              <w:bottom w:val="single" w:color="auto" w:sz="6" w:space="0"/>
              <w:right w:val="single" w:color="auto" w:sz="4" w:space="0"/>
            </w:tcBorders>
            <w:vAlign w:val="center"/>
          </w:tcPr>
          <w:p>
            <w:pPr>
              <w:spacing w:line="360" w:lineRule="auto"/>
              <w:jc w:val="center"/>
              <w:rPr>
                <w:rFonts w:ascii="宋体" w:hAnsi="宋体"/>
                <w:szCs w:val="21"/>
              </w:rPr>
            </w:pPr>
          </w:p>
        </w:tc>
        <w:tc>
          <w:tcPr>
            <w:tcW w:w="851" w:type="dxa"/>
            <w:tcBorders>
              <w:top w:val="single" w:color="auto" w:sz="4" w:space="0"/>
              <w:left w:val="single" w:color="auto" w:sz="4" w:space="0"/>
              <w:bottom w:val="single" w:color="auto" w:sz="6" w:space="0"/>
              <w:right w:val="single" w:color="auto" w:sz="6" w:space="0"/>
            </w:tcBorders>
            <w:vAlign w:val="center"/>
          </w:tcPr>
          <w:p>
            <w:pPr>
              <w:spacing w:line="360" w:lineRule="auto"/>
              <w:jc w:val="center"/>
              <w:rPr>
                <w:rFonts w:ascii="宋体" w:hAnsi="宋体"/>
                <w:szCs w:val="21"/>
              </w:rPr>
            </w:pPr>
          </w:p>
        </w:tc>
        <w:tc>
          <w:tcPr>
            <w:tcW w:w="1275" w:type="dxa"/>
            <w:tcBorders>
              <w:top w:val="single" w:color="auto" w:sz="4"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p>
        </w:tc>
        <w:tc>
          <w:tcPr>
            <w:tcW w:w="809" w:type="dxa"/>
            <w:tcBorders>
              <w:top w:val="single" w:color="auto" w:sz="4" w:space="0"/>
              <w:left w:val="single" w:color="auto" w:sz="6" w:space="0"/>
              <w:bottom w:val="single" w:color="auto" w:sz="6" w:space="0"/>
              <w:right w:val="single" w:color="auto" w:sz="6" w:space="0"/>
            </w:tcBorders>
            <w:vAlign w:val="center"/>
          </w:tcPr>
          <w:p>
            <w:pPr>
              <w:spacing w:line="360" w:lineRule="auto"/>
              <w:jc w:val="center"/>
              <w:rPr>
                <w:rFonts w:ascii="宋体" w:hAnsi="宋体"/>
                <w:szCs w:val="21"/>
              </w:rPr>
            </w:pPr>
          </w:p>
        </w:tc>
      </w:tr>
    </w:tbl>
    <w:p>
      <w:pPr>
        <w:spacing w:before="100" w:beforeAutospacing="1" w:line="360" w:lineRule="auto"/>
        <w:jc w:val="left"/>
        <w:rPr>
          <w:rFonts w:ascii="宋体" w:hAnsi="宋体"/>
          <w:b/>
          <w:szCs w:val="21"/>
        </w:rPr>
      </w:pPr>
      <w:r>
        <w:rPr>
          <w:rFonts w:hint="eastAsia" w:ascii="宋体" w:hAnsi="宋体"/>
          <w:b/>
          <w:szCs w:val="21"/>
        </w:rPr>
        <w:t>要求：</w:t>
      </w:r>
    </w:p>
    <w:p>
      <w:pPr>
        <w:spacing w:line="360" w:lineRule="auto"/>
        <w:ind w:firstLine="420" w:firstLineChars="200"/>
        <w:jc w:val="left"/>
        <w:rPr>
          <w:rFonts w:ascii="宋体" w:hAnsi="宋体"/>
          <w:szCs w:val="21"/>
        </w:rPr>
      </w:pPr>
      <w:r>
        <w:rPr>
          <w:rFonts w:hint="eastAsia" w:ascii="宋体" w:hAnsi="宋体"/>
          <w:szCs w:val="21"/>
        </w:rPr>
        <w:t>1.在填写时，如本表格不适合投标单位的实际情况，可根据本表格式自行划表填写。</w:t>
      </w:r>
    </w:p>
    <w:p>
      <w:pPr>
        <w:spacing w:line="360" w:lineRule="auto"/>
        <w:ind w:firstLine="420" w:firstLineChars="200"/>
        <w:jc w:val="left"/>
        <w:rPr>
          <w:rFonts w:ascii="宋体" w:hAnsi="宋体"/>
          <w:szCs w:val="21"/>
        </w:rPr>
      </w:pPr>
      <w:r>
        <w:rPr>
          <w:rFonts w:hint="eastAsia" w:ascii="宋体" w:hAnsi="宋体"/>
          <w:szCs w:val="21"/>
        </w:rPr>
        <w:t>2.</w:t>
      </w:r>
      <w:r>
        <w:rPr>
          <w:rFonts w:ascii="宋体" w:hAnsi="宋体"/>
          <w:szCs w:val="21"/>
        </w:rPr>
        <w:t>需</w:t>
      </w:r>
      <w:r>
        <w:rPr>
          <w:rFonts w:hint="eastAsia" w:ascii="宋体" w:hAnsi="宋体"/>
          <w:szCs w:val="21"/>
        </w:rPr>
        <w:t>按采购文件需求、评分标准要求提供证书</w:t>
      </w:r>
      <w:r>
        <w:rPr>
          <w:rFonts w:ascii="宋体" w:hAnsi="宋体"/>
          <w:szCs w:val="21"/>
        </w:rPr>
        <w:t>材料</w:t>
      </w:r>
      <w:r>
        <w:rPr>
          <w:rFonts w:hint="eastAsia" w:ascii="宋体" w:hAnsi="宋体"/>
          <w:szCs w:val="21"/>
        </w:rPr>
        <w:t>扫描件及其他相关证明材料</w:t>
      </w:r>
      <w:r>
        <w:rPr>
          <w:rFonts w:ascii="宋体" w:hAnsi="宋体"/>
          <w:szCs w:val="21"/>
        </w:rPr>
        <w:t>。</w:t>
      </w:r>
    </w:p>
    <w:p>
      <w:pPr>
        <w:spacing w:line="360" w:lineRule="auto"/>
        <w:jc w:val="left"/>
        <w:rPr>
          <w:rFonts w:ascii="宋体" w:hAnsi="宋体"/>
          <w:szCs w:val="21"/>
        </w:rPr>
      </w:pPr>
    </w:p>
    <w:p>
      <w:pPr>
        <w:spacing w:line="360" w:lineRule="auto"/>
        <w:jc w:val="left"/>
        <w:rPr>
          <w:rFonts w:ascii="宋体" w:hAnsi="宋体"/>
          <w:szCs w:val="21"/>
        </w:rPr>
      </w:pPr>
      <w:r>
        <w:rPr>
          <w:rFonts w:hint="eastAsia" w:ascii="宋体" w:hAnsi="宋体"/>
          <w:szCs w:val="21"/>
        </w:rPr>
        <w:t xml:space="preserve">供应商名称（盖章）： </w:t>
      </w:r>
    </w:p>
    <w:p>
      <w:pPr>
        <w:spacing w:line="360" w:lineRule="auto"/>
        <w:jc w:val="left"/>
        <w:rPr>
          <w:rFonts w:ascii="宋体" w:hAnsi="宋体"/>
          <w:szCs w:val="21"/>
        </w:rPr>
      </w:pPr>
      <w:r>
        <w:rPr>
          <w:rFonts w:hint="eastAsia" w:ascii="宋体" w:hAnsi="宋体"/>
          <w:szCs w:val="21"/>
        </w:rPr>
        <w:t xml:space="preserve">法定代表人或授权委托代理人（签字或盖章）： </w:t>
      </w:r>
    </w:p>
    <w:p>
      <w:pPr>
        <w:spacing w:line="360" w:lineRule="auto"/>
        <w:rPr>
          <w:rFonts w:ascii="宋体" w:hAnsi="宋体"/>
          <w:szCs w:val="21"/>
        </w:rPr>
      </w:pPr>
      <w:r>
        <w:rPr>
          <w:rFonts w:hint="eastAsia" w:ascii="宋体" w:hAnsi="宋体"/>
          <w:szCs w:val="21"/>
        </w:rPr>
        <w:t>日 期：   年  月  日</w:t>
      </w:r>
    </w:p>
    <w:p>
      <w:pPr>
        <w:pStyle w:val="19"/>
      </w:pPr>
    </w:p>
    <w:p>
      <w:pPr>
        <w:spacing w:line="360" w:lineRule="auto"/>
        <w:jc w:val="center"/>
        <w:outlineLvl w:val="0"/>
        <w:rPr>
          <w:rFonts w:ascii="宋体" w:hAnsi="宋体"/>
          <w:b/>
          <w:sz w:val="32"/>
          <w:szCs w:val="32"/>
        </w:rPr>
      </w:pPr>
    </w:p>
    <w:p>
      <w:pPr>
        <w:spacing w:line="360" w:lineRule="auto"/>
        <w:jc w:val="center"/>
        <w:outlineLvl w:val="0"/>
        <w:rPr>
          <w:rFonts w:hint="eastAsia" w:ascii="宋体" w:hAnsi="宋体"/>
          <w:b/>
          <w:sz w:val="32"/>
          <w:szCs w:val="32"/>
        </w:rPr>
        <w:sectPr>
          <w:pgSz w:w="11906" w:h="16838"/>
          <w:pgMar w:top="907" w:right="1134" w:bottom="907" w:left="1134" w:header="851" w:footer="992" w:gutter="0"/>
          <w:pgNumType w:fmt="decimal"/>
          <w:cols w:space="720" w:num="1"/>
          <w:docGrid w:type="lines" w:linePitch="312" w:charSpace="0"/>
        </w:sectPr>
      </w:pPr>
      <w:bookmarkStart w:id="169" w:name="_Toc21753"/>
      <w:bookmarkStart w:id="170" w:name="_Toc19019"/>
      <w:bookmarkStart w:id="171" w:name="_Toc2665"/>
      <w:bookmarkStart w:id="172" w:name="_Toc19473"/>
      <w:bookmarkStart w:id="173" w:name="_Toc31566"/>
    </w:p>
    <w:p>
      <w:pPr>
        <w:spacing w:line="360" w:lineRule="auto"/>
        <w:jc w:val="center"/>
        <w:outlineLvl w:val="0"/>
        <w:rPr>
          <w:rFonts w:ascii="宋体" w:hAnsi="宋体"/>
          <w:sz w:val="32"/>
          <w:szCs w:val="32"/>
        </w:rPr>
      </w:pPr>
      <w:bookmarkStart w:id="174" w:name="_Toc15797"/>
      <w:r>
        <w:rPr>
          <w:rFonts w:hint="eastAsia" w:ascii="宋体" w:hAnsi="宋体"/>
          <w:b/>
          <w:sz w:val="32"/>
          <w:szCs w:val="32"/>
        </w:rPr>
        <w:t>六、</w:t>
      </w:r>
      <w:r>
        <w:rPr>
          <w:rFonts w:ascii="宋体" w:hAnsi="宋体"/>
          <w:b/>
          <w:sz w:val="32"/>
          <w:szCs w:val="32"/>
        </w:rPr>
        <w:t>相关项目实施业绩一览表</w:t>
      </w:r>
      <w:bookmarkEnd w:id="169"/>
      <w:bookmarkEnd w:id="170"/>
      <w:bookmarkEnd w:id="171"/>
      <w:bookmarkEnd w:id="172"/>
      <w:bookmarkEnd w:id="173"/>
      <w:bookmarkEnd w:id="174"/>
    </w:p>
    <w:tbl>
      <w:tblPr>
        <w:tblStyle w:val="47"/>
        <w:tblW w:w="94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1783"/>
        <w:gridCol w:w="2306"/>
        <w:gridCol w:w="1774"/>
        <w:gridCol w:w="1242"/>
        <w:gridCol w:w="1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727" w:type="dxa"/>
            <w:vAlign w:val="center"/>
          </w:tcPr>
          <w:p>
            <w:pPr>
              <w:spacing w:line="360" w:lineRule="auto"/>
              <w:jc w:val="center"/>
              <w:rPr>
                <w:rFonts w:ascii="宋体" w:hAnsi="宋体"/>
                <w:szCs w:val="21"/>
              </w:rPr>
            </w:pPr>
            <w:r>
              <w:rPr>
                <w:rFonts w:ascii="宋体" w:hAnsi="宋体"/>
                <w:szCs w:val="21"/>
              </w:rPr>
              <w:t>序号</w:t>
            </w:r>
          </w:p>
        </w:tc>
        <w:tc>
          <w:tcPr>
            <w:tcW w:w="1783" w:type="dxa"/>
            <w:vAlign w:val="center"/>
          </w:tcPr>
          <w:p>
            <w:pPr>
              <w:spacing w:line="360" w:lineRule="auto"/>
              <w:jc w:val="center"/>
              <w:rPr>
                <w:rFonts w:ascii="宋体" w:hAnsi="宋体"/>
                <w:szCs w:val="21"/>
              </w:rPr>
            </w:pPr>
            <w:r>
              <w:rPr>
                <w:rFonts w:ascii="宋体" w:hAnsi="宋体"/>
                <w:szCs w:val="21"/>
              </w:rPr>
              <w:t>项目名称</w:t>
            </w:r>
          </w:p>
        </w:tc>
        <w:tc>
          <w:tcPr>
            <w:tcW w:w="2306" w:type="dxa"/>
            <w:vAlign w:val="center"/>
          </w:tcPr>
          <w:p>
            <w:pPr>
              <w:spacing w:line="360" w:lineRule="auto"/>
              <w:jc w:val="center"/>
              <w:rPr>
                <w:rFonts w:ascii="宋体" w:hAnsi="宋体"/>
                <w:szCs w:val="21"/>
              </w:rPr>
            </w:pPr>
            <w:r>
              <w:rPr>
                <w:rFonts w:ascii="宋体" w:hAnsi="宋体"/>
                <w:szCs w:val="21"/>
              </w:rPr>
              <w:t>项目简要描述</w:t>
            </w:r>
          </w:p>
        </w:tc>
        <w:tc>
          <w:tcPr>
            <w:tcW w:w="1774" w:type="dxa"/>
            <w:vAlign w:val="center"/>
          </w:tcPr>
          <w:p>
            <w:pPr>
              <w:spacing w:line="360" w:lineRule="auto"/>
              <w:jc w:val="center"/>
              <w:rPr>
                <w:rFonts w:ascii="宋体" w:hAnsi="宋体"/>
                <w:szCs w:val="21"/>
              </w:rPr>
            </w:pPr>
            <w:r>
              <w:rPr>
                <w:rFonts w:ascii="宋体" w:hAnsi="宋体"/>
                <w:szCs w:val="21"/>
              </w:rPr>
              <w:t>项目金额</w:t>
            </w:r>
          </w:p>
          <w:p>
            <w:pPr>
              <w:spacing w:line="360" w:lineRule="auto"/>
              <w:jc w:val="center"/>
              <w:rPr>
                <w:rFonts w:ascii="宋体" w:hAnsi="宋体"/>
                <w:szCs w:val="21"/>
              </w:rPr>
            </w:pPr>
            <w:r>
              <w:rPr>
                <w:rFonts w:ascii="宋体" w:hAnsi="宋体"/>
                <w:szCs w:val="21"/>
              </w:rPr>
              <w:t>（元）</w:t>
            </w:r>
          </w:p>
        </w:tc>
        <w:tc>
          <w:tcPr>
            <w:tcW w:w="1242" w:type="dxa"/>
            <w:vAlign w:val="center"/>
          </w:tcPr>
          <w:p>
            <w:pPr>
              <w:spacing w:line="360" w:lineRule="auto"/>
              <w:jc w:val="center"/>
              <w:rPr>
                <w:rFonts w:ascii="宋体" w:hAnsi="宋体"/>
                <w:szCs w:val="21"/>
              </w:rPr>
            </w:pPr>
            <w:r>
              <w:rPr>
                <w:rFonts w:ascii="宋体" w:hAnsi="宋体"/>
                <w:szCs w:val="21"/>
              </w:rPr>
              <w:t>实施时间</w:t>
            </w:r>
          </w:p>
        </w:tc>
        <w:tc>
          <w:tcPr>
            <w:tcW w:w="1643" w:type="dxa"/>
            <w:vAlign w:val="center"/>
          </w:tcPr>
          <w:p>
            <w:pPr>
              <w:spacing w:line="360" w:lineRule="auto"/>
              <w:jc w:val="center"/>
              <w:rPr>
                <w:rFonts w:ascii="宋体" w:hAnsi="宋体"/>
                <w:szCs w:val="21"/>
              </w:rPr>
            </w:pPr>
            <w:r>
              <w:rPr>
                <w:rFonts w:ascii="宋体" w:hAnsi="宋体"/>
                <w:szCs w:val="21"/>
              </w:rPr>
              <w:t>采购单位</w:t>
            </w:r>
          </w:p>
          <w:p>
            <w:pPr>
              <w:spacing w:line="360" w:lineRule="auto"/>
              <w:jc w:val="center"/>
              <w:rPr>
                <w:rFonts w:ascii="宋体" w:hAnsi="宋体"/>
                <w:szCs w:val="21"/>
              </w:rPr>
            </w:pPr>
            <w:r>
              <w:rPr>
                <w:rFonts w:ascii="宋体" w:hAnsi="宋体"/>
                <w:szCs w:val="21"/>
              </w:rPr>
              <w:t>联系人及电话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pPr>
              <w:spacing w:line="360" w:lineRule="auto"/>
              <w:jc w:val="center"/>
              <w:rPr>
                <w:rFonts w:ascii="宋体" w:hAnsi="宋体"/>
                <w:szCs w:val="21"/>
              </w:rPr>
            </w:pPr>
            <w:r>
              <w:rPr>
                <w:rFonts w:hint="eastAsia" w:ascii="宋体" w:hAnsi="宋体"/>
                <w:szCs w:val="21"/>
              </w:rPr>
              <w:t>1</w:t>
            </w:r>
          </w:p>
        </w:tc>
        <w:tc>
          <w:tcPr>
            <w:tcW w:w="1783" w:type="dxa"/>
            <w:vAlign w:val="center"/>
          </w:tcPr>
          <w:p>
            <w:pPr>
              <w:spacing w:line="360" w:lineRule="auto"/>
              <w:jc w:val="center"/>
              <w:rPr>
                <w:rFonts w:ascii="宋体" w:hAnsi="宋体"/>
                <w:szCs w:val="21"/>
              </w:rPr>
            </w:pPr>
          </w:p>
        </w:tc>
        <w:tc>
          <w:tcPr>
            <w:tcW w:w="2306" w:type="dxa"/>
            <w:vAlign w:val="center"/>
          </w:tcPr>
          <w:p>
            <w:pPr>
              <w:spacing w:line="360" w:lineRule="auto"/>
              <w:jc w:val="center"/>
              <w:rPr>
                <w:rFonts w:ascii="宋体" w:hAnsi="宋体"/>
                <w:szCs w:val="21"/>
              </w:rPr>
            </w:pPr>
          </w:p>
        </w:tc>
        <w:tc>
          <w:tcPr>
            <w:tcW w:w="1774" w:type="dxa"/>
            <w:vAlign w:val="center"/>
          </w:tcPr>
          <w:p>
            <w:pPr>
              <w:spacing w:line="360" w:lineRule="auto"/>
              <w:jc w:val="center"/>
              <w:rPr>
                <w:rFonts w:ascii="宋体" w:hAnsi="宋体"/>
                <w:szCs w:val="21"/>
              </w:rPr>
            </w:pPr>
          </w:p>
        </w:tc>
        <w:tc>
          <w:tcPr>
            <w:tcW w:w="1242" w:type="dxa"/>
            <w:vAlign w:val="center"/>
          </w:tcPr>
          <w:p>
            <w:pPr>
              <w:spacing w:line="360" w:lineRule="auto"/>
              <w:jc w:val="center"/>
              <w:rPr>
                <w:rFonts w:ascii="宋体" w:hAnsi="宋体"/>
                <w:szCs w:val="21"/>
              </w:rPr>
            </w:pPr>
          </w:p>
        </w:tc>
        <w:tc>
          <w:tcPr>
            <w:tcW w:w="1643" w:type="dxa"/>
            <w:vAlign w:val="center"/>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pPr>
              <w:spacing w:line="360" w:lineRule="auto"/>
              <w:jc w:val="center"/>
              <w:rPr>
                <w:rFonts w:ascii="宋体" w:hAnsi="宋体"/>
                <w:szCs w:val="21"/>
              </w:rPr>
            </w:pPr>
            <w:r>
              <w:rPr>
                <w:rFonts w:hint="eastAsia" w:ascii="宋体" w:hAnsi="宋体"/>
                <w:szCs w:val="21"/>
              </w:rPr>
              <w:t>2</w:t>
            </w:r>
          </w:p>
        </w:tc>
        <w:tc>
          <w:tcPr>
            <w:tcW w:w="1783" w:type="dxa"/>
            <w:vAlign w:val="center"/>
          </w:tcPr>
          <w:p>
            <w:pPr>
              <w:spacing w:line="360" w:lineRule="auto"/>
              <w:jc w:val="center"/>
              <w:rPr>
                <w:rFonts w:ascii="宋体" w:hAnsi="宋体"/>
                <w:szCs w:val="21"/>
              </w:rPr>
            </w:pPr>
          </w:p>
        </w:tc>
        <w:tc>
          <w:tcPr>
            <w:tcW w:w="2306" w:type="dxa"/>
            <w:vAlign w:val="center"/>
          </w:tcPr>
          <w:p>
            <w:pPr>
              <w:spacing w:line="360" w:lineRule="auto"/>
              <w:jc w:val="center"/>
              <w:rPr>
                <w:rFonts w:ascii="宋体" w:hAnsi="宋体"/>
                <w:szCs w:val="21"/>
              </w:rPr>
            </w:pPr>
          </w:p>
        </w:tc>
        <w:tc>
          <w:tcPr>
            <w:tcW w:w="1774" w:type="dxa"/>
            <w:vAlign w:val="center"/>
          </w:tcPr>
          <w:p>
            <w:pPr>
              <w:spacing w:line="360" w:lineRule="auto"/>
              <w:jc w:val="center"/>
              <w:rPr>
                <w:rFonts w:ascii="宋体" w:hAnsi="宋体"/>
                <w:szCs w:val="21"/>
              </w:rPr>
            </w:pPr>
          </w:p>
        </w:tc>
        <w:tc>
          <w:tcPr>
            <w:tcW w:w="1242" w:type="dxa"/>
            <w:vAlign w:val="center"/>
          </w:tcPr>
          <w:p>
            <w:pPr>
              <w:spacing w:line="360" w:lineRule="auto"/>
              <w:jc w:val="center"/>
              <w:rPr>
                <w:rFonts w:ascii="宋体" w:hAnsi="宋体"/>
                <w:szCs w:val="21"/>
              </w:rPr>
            </w:pPr>
          </w:p>
        </w:tc>
        <w:tc>
          <w:tcPr>
            <w:tcW w:w="1643" w:type="dxa"/>
            <w:vAlign w:val="center"/>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pPr>
              <w:spacing w:line="360" w:lineRule="auto"/>
              <w:jc w:val="center"/>
              <w:rPr>
                <w:rFonts w:ascii="宋体" w:hAnsi="宋体"/>
                <w:szCs w:val="21"/>
              </w:rPr>
            </w:pPr>
            <w:r>
              <w:rPr>
                <w:rFonts w:hint="eastAsia" w:ascii="宋体" w:hAnsi="宋体"/>
                <w:szCs w:val="21"/>
              </w:rPr>
              <w:t>3</w:t>
            </w:r>
          </w:p>
        </w:tc>
        <w:tc>
          <w:tcPr>
            <w:tcW w:w="1783" w:type="dxa"/>
            <w:vAlign w:val="center"/>
          </w:tcPr>
          <w:p>
            <w:pPr>
              <w:spacing w:line="360" w:lineRule="auto"/>
              <w:jc w:val="center"/>
              <w:rPr>
                <w:rFonts w:ascii="宋体" w:hAnsi="宋体"/>
                <w:szCs w:val="21"/>
              </w:rPr>
            </w:pPr>
          </w:p>
        </w:tc>
        <w:tc>
          <w:tcPr>
            <w:tcW w:w="2306" w:type="dxa"/>
            <w:vAlign w:val="center"/>
          </w:tcPr>
          <w:p>
            <w:pPr>
              <w:spacing w:line="360" w:lineRule="auto"/>
              <w:jc w:val="center"/>
              <w:rPr>
                <w:rFonts w:ascii="宋体" w:hAnsi="宋体"/>
                <w:szCs w:val="21"/>
              </w:rPr>
            </w:pPr>
          </w:p>
        </w:tc>
        <w:tc>
          <w:tcPr>
            <w:tcW w:w="1774" w:type="dxa"/>
            <w:vAlign w:val="center"/>
          </w:tcPr>
          <w:p>
            <w:pPr>
              <w:spacing w:line="360" w:lineRule="auto"/>
              <w:jc w:val="center"/>
              <w:rPr>
                <w:rFonts w:ascii="宋体" w:hAnsi="宋体"/>
                <w:szCs w:val="21"/>
              </w:rPr>
            </w:pPr>
          </w:p>
        </w:tc>
        <w:tc>
          <w:tcPr>
            <w:tcW w:w="1242" w:type="dxa"/>
            <w:vAlign w:val="center"/>
          </w:tcPr>
          <w:p>
            <w:pPr>
              <w:spacing w:line="360" w:lineRule="auto"/>
              <w:jc w:val="center"/>
              <w:rPr>
                <w:rFonts w:ascii="宋体" w:hAnsi="宋体"/>
                <w:szCs w:val="21"/>
              </w:rPr>
            </w:pPr>
          </w:p>
        </w:tc>
        <w:tc>
          <w:tcPr>
            <w:tcW w:w="1643" w:type="dxa"/>
            <w:vAlign w:val="center"/>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pPr>
              <w:spacing w:line="360" w:lineRule="auto"/>
              <w:jc w:val="center"/>
              <w:rPr>
                <w:rFonts w:ascii="宋体" w:hAnsi="宋体"/>
                <w:szCs w:val="21"/>
              </w:rPr>
            </w:pPr>
            <w:r>
              <w:rPr>
                <w:rFonts w:ascii="宋体" w:hAnsi="宋体"/>
                <w:szCs w:val="21"/>
              </w:rPr>
              <w:t>…</w:t>
            </w:r>
          </w:p>
        </w:tc>
        <w:tc>
          <w:tcPr>
            <w:tcW w:w="1783" w:type="dxa"/>
            <w:vAlign w:val="center"/>
          </w:tcPr>
          <w:p>
            <w:pPr>
              <w:spacing w:line="360" w:lineRule="auto"/>
              <w:jc w:val="center"/>
              <w:rPr>
                <w:rFonts w:ascii="宋体" w:hAnsi="宋体"/>
                <w:szCs w:val="21"/>
              </w:rPr>
            </w:pPr>
          </w:p>
        </w:tc>
        <w:tc>
          <w:tcPr>
            <w:tcW w:w="2306" w:type="dxa"/>
            <w:vAlign w:val="center"/>
          </w:tcPr>
          <w:p>
            <w:pPr>
              <w:spacing w:line="360" w:lineRule="auto"/>
              <w:jc w:val="center"/>
              <w:rPr>
                <w:rFonts w:ascii="宋体" w:hAnsi="宋体"/>
                <w:szCs w:val="21"/>
              </w:rPr>
            </w:pPr>
          </w:p>
        </w:tc>
        <w:tc>
          <w:tcPr>
            <w:tcW w:w="1774" w:type="dxa"/>
            <w:vAlign w:val="center"/>
          </w:tcPr>
          <w:p>
            <w:pPr>
              <w:spacing w:line="360" w:lineRule="auto"/>
              <w:jc w:val="center"/>
              <w:rPr>
                <w:rFonts w:ascii="宋体" w:hAnsi="宋体"/>
                <w:szCs w:val="21"/>
              </w:rPr>
            </w:pPr>
          </w:p>
        </w:tc>
        <w:tc>
          <w:tcPr>
            <w:tcW w:w="1242" w:type="dxa"/>
            <w:vAlign w:val="center"/>
          </w:tcPr>
          <w:p>
            <w:pPr>
              <w:spacing w:line="360" w:lineRule="auto"/>
              <w:jc w:val="center"/>
              <w:rPr>
                <w:rFonts w:ascii="宋体" w:hAnsi="宋体"/>
                <w:szCs w:val="21"/>
              </w:rPr>
            </w:pPr>
          </w:p>
        </w:tc>
        <w:tc>
          <w:tcPr>
            <w:tcW w:w="1643" w:type="dxa"/>
            <w:vAlign w:val="center"/>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pPr>
              <w:spacing w:line="360" w:lineRule="auto"/>
              <w:jc w:val="center"/>
              <w:rPr>
                <w:rFonts w:ascii="宋体" w:hAnsi="宋体"/>
                <w:szCs w:val="21"/>
              </w:rPr>
            </w:pPr>
          </w:p>
        </w:tc>
        <w:tc>
          <w:tcPr>
            <w:tcW w:w="1783" w:type="dxa"/>
            <w:vAlign w:val="center"/>
          </w:tcPr>
          <w:p>
            <w:pPr>
              <w:spacing w:line="360" w:lineRule="auto"/>
              <w:jc w:val="center"/>
              <w:rPr>
                <w:rFonts w:ascii="宋体" w:hAnsi="宋体"/>
                <w:szCs w:val="21"/>
              </w:rPr>
            </w:pPr>
          </w:p>
        </w:tc>
        <w:tc>
          <w:tcPr>
            <w:tcW w:w="2306" w:type="dxa"/>
            <w:vAlign w:val="center"/>
          </w:tcPr>
          <w:p>
            <w:pPr>
              <w:spacing w:line="360" w:lineRule="auto"/>
              <w:jc w:val="center"/>
              <w:rPr>
                <w:rFonts w:ascii="宋体" w:hAnsi="宋体"/>
                <w:szCs w:val="21"/>
              </w:rPr>
            </w:pPr>
          </w:p>
        </w:tc>
        <w:tc>
          <w:tcPr>
            <w:tcW w:w="1774" w:type="dxa"/>
            <w:vAlign w:val="center"/>
          </w:tcPr>
          <w:p>
            <w:pPr>
              <w:spacing w:line="360" w:lineRule="auto"/>
              <w:jc w:val="center"/>
              <w:rPr>
                <w:rFonts w:ascii="宋体" w:hAnsi="宋体"/>
                <w:szCs w:val="21"/>
              </w:rPr>
            </w:pPr>
          </w:p>
        </w:tc>
        <w:tc>
          <w:tcPr>
            <w:tcW w:w="1242" w:type="dxa"/>
            <w:vAlign w:val="center"/>
          </w:tcPr>
          <w:p>
            <w:pPr>
              <w:spacing w:line="360" w:lineRule="auto"/>
              <w:jc w:val="center"/>
              <w:rPr>
                <w:rFonts w:ascii="宋体" w:hAnsi="宋体"/>
                <w:szCs w:val="21"/>
              </w:rPr>
            </w:pPr>
          </w:p>
        </w:tc>
        <w:tc>
          <w:tcPr>
            <w:tcW w:w="1643" w:type="dxa"/>
            <w:vAlign w:val="center"/>
          </w:tcPr>
          <w:p>
            <w:pPr>
              <w:spacing w:line="360" w:lineRule="auto"/>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pPr>
              <w:spacing w:line="360" w:lineRule="auto"/>
              <w:jc w:val="center"/>
              <w:rPr>
                <w:rFonts w:ascii="宋体" w:hAnsi="宋体"/>
                <w:szCs w:val="21"/>
              </w:rPr>
            </w:pPr>
          </w:p>
        </w:tc>
        <w:tc>
          <w:tcPr>
            <w:tcW w:w="1783" w:type="dxa"/>
            <w:vAlign w:val="center"/>
          </w:tcPr>
          <w:p>
            <w:pPr>
              <w:spacing w:line="360" w:lineRule="auto"/>
              <w:jc w:val="center"/>
              <w:rPr>
                <w:rFonts w:ascii="宋体" w:hAnsi="宋体"/>
                <w:szCs w:val="21"/>
              </w:rPr>
            </w:pPr>
          </w:p>
        </w:tc>
        <w:tc>
          <w:tcPr>
            <w:tcW w:w="2306" w:type="dxa"/>
            <w:vAlign w:val="center"/>
          </w:tcPr>
          <w:p>
            <w:pPr>
              <w:spacing w:line="360" w:lineRule="auto"/>
              <w:jc w:val="center"/>
              <w:rPr>
                <w:rFonts w:ascii="宋体" w:hAnsi="宋体"/>
                <w:szCs w:val="21"/>
              </w:rPr>
            </w:pPr>
          </w:p>
        </w:tc>
        <w:tc>
          <w:tcPr>
            <w:tcW w:w="1774" w:type="dxa"/>
            <w:vAlign w:val="center"/>
          </w:tcPr>
          <w:p>
            <w:pPr>
              <w:spacing w:line="360" w:lineRule="auto"/>
              <w:jc w:val="center"/>
              <w:rPr>
                <w:rFonts w:ascii="宋体" w:hAnsi="宋体"/>
                <w:szCs w:val="21"/>
              </w:rPr>
            </w:pPr>
          </w:p>
        </w:tc>
        <w:tc>
          <w:tcPr>
            <w:tcW w:w="1242" w:type="dxa"/>
            <w:vAlign w:val="center"/>
          </w:tcPr>
          <w:p>
            <w:pPr>
              <w:spacing w:line="360" w:lineRule="auto"/>
              <w:jc w:val="center"/>
              <w:rPr>
                <w:rFonts w:ascii="宋体" w:hAnsi="宋体"/>
                <w:szCs w:val="21"/>
              </w:rPr>
            </w:pPr>
          </w:p>
        </w:tc>
        <w:tc>
          <w:tcPr>
            <w:tcW w:w="1643" w:type="dxa"/>
            <w:vAlign w:val="center"/>
          </w:tcPr>
          <w:p>
            <w:pPr>
              <w:spacing w:line="360" w:lineRule="auto"/>
              <w:jc w:val="center"/>
              <w:rPr>
                <w:rFonts w:ascii="宋体" w:hAnsi="宋体"/>
                <w:szCs w:val="21"/>
              </w:rPr>
            </w:pPr>
          </w:p>
        </w:tc>
      </w:tr>
    </w:tbl>
    <w:p>
      <w:pPr>
        <w:spacing w:before="77" w:line="360" w:lineRule="auto"/>
        <w:ind w:right="6"/>
        <w:rPr>
          <w:rFonts w:ascii="宋体" w:hAnsi="宋体"/>
          <w:b/>
          <w:szCs w:val="21"/>
        </w:rPr>
      </w:pPr>
      <w:r>
        <w:rPr>
          <w:rFonts w:ascii="宋体" w:hAnsi="宋体"/>
          <w:b/>
          <w:szCs w:val="21"/>
        </w:rPr>
        <w:t>注：需</w:t>
      </w:r>
      <w:r>
        <w:rPr>
          <w:rFonts w:hint="eastAsia" w:ascii="宋体" w:hAnsi="宋体"/>
          <w:b/>
          <w:szCs w:val="21"/>
        </w:rPr>
        <w:t>按评分标准要求附项目证明材料。</w:t>
      </w:r>
    </w:p>
    <w:p>
      <w:pPr>
        <w:spacing w:line="360" w:lineRule="auto"/>
        <w:ind w:firstLine="3885" w:firstLineChars="1850"/>
        <w:rPr>
          <w:szCs w:val="21"/>
        </w:rPr>
      </w:pPr>
    </w:p>
    <w:p>
      <w:pPr>
        <w:spacing w:line="360" w:lineRule="auto"/>
        <w:jc w:val="left"/>
        <w:rPr>
          <w:rFonts w:ascii="宋体" w:hAnsi="宋体"/>
          <w:szCs w:val="21"/>
        </w:rPr>
      </w:pPr>
      <w:r>
        <w:rPr>
          <w:rFonts w:hint="eastAsia" w:ascii="宋体" w:hAnsi="宋体"/>
          <w:szCs w:val="21"/>
        </w:rPr>
        <w:t xml:space="preserve">供应商名称（盖章）： </w:t>
      </w:r>
    </w:p>
    <w:p>
      <w:pPr>
        <w:spacing w:line="360" w:lineRule="auto"/>
        <w:jc w:val="left"/>
        <w:rPr>
          <w:rFonts w:ascii="宋体" w:hAnsi="宋体"/>
          <w:szCs w:val="21"/>
        </w:rPr>
      </w:pPr>
      <w:r>
        <w:rPr>
          <w:rFonts w:hint="eastAsia" w:ascii="宋体" w:hAnsi="宋体"/>
          <w:szCs w:val="21"/>
        </w:rPr>
        <w:t xml:space="preserve">法定代表人或授权委托代理人（签字或盖章）： </w:t>
      </w:r>
    </w:p>
    <w:p>
      <w:pPr>
        <w:spacing w:line="360" w:lineRule="auto"/>
        <w:rPr>
          <w:rFonts w:ascii="宋体" w:hAnsi="宋体"/>
          <w:szCs w:val="21"/>
        </w:rPr>
      </w:pPr>
      <w:r>
        <w:rPr>
          <w:rFonts w:hint="eastAsia" w:ascii="宋体" w:hAnsi="宋体"/>
          <w:szCs w:val="21"/>
        </w:rPr>
        <w:t>日 期：   年  月  日</w:t>
      </w:r>
    </w:p>
    <w:p>
      <w:pPr>
        <w:pStyle w:val="29"/>
      </w:pPr>
    </w:p>
    <w:p/>
    <w:p>
      <w:pPr>
        <w:pStyle w:val="19"/>
      </w:pPr>
    </w:p>
    <w:p>
      <w:pPr>
        <w:pStyle w:val="29"/>
      </w:pPr>
    </w:p>
    <w:p/>
    <w:p/>
    <w:p>
      <w:pPr>
        <w:pStyle w:val="20"/>
        <w:ind w:firstLine="210"/>
      </w:pPr>
    </w:p>
    <w:p>
      <w:pPr>
        <w:pStyle w:val="95"/>
        <w:widowControl w:val="0"/>
        <w:snapToGrid w:val="0"/>
        <w:spacing w:line="500" w:lineRule="exact"/>
        <w:ind w:firstLine="720"/>
        <w:jc w:val="center"/>
        <w:rPr>
          <w:rFonts w:hAnsi="宋体"/>
          <w:b/>
          <w:sz w:val="32"/>
          <w:szCs w:val="32"/>
        </w:rPr>
        <w:sectPr>
          <w:pgSz w:w="11906" w:h="16838"/>
          <w:pgMar w:top="907" w:right="1134" w:bottom="907" w:left="1134" w:header="851" w:footer="992" w:gutter="0"/>
          <w:pgNumType w:fmt="decimal"/>
          <w:cols w:space="720" w:num="1"/>
          <w:docGrid w:type="lines" w:linePitch="312" w:charSpace="0"/>
        </w:sectPr>
      </w:pPr>
    </w:p>
    <w:p>
      <w:pPr>
        <w:pStyle w:val="95"/>
        <w:widowControl w:val="0"/>
        <w:snapToGrid w:val="0"/>
        <w:spacing w:line="500" w:lineRule="exact"/>
        <w:ind w:firstLine="720"/>
        <w:jc w:val="center"/>
        <w:rPr>
          <w:rFonts w:hint="default" w:hAnsi="宋体"/>
          <w:b/>
          <w:sz w:val="32"/>
          <w:szCs w:val="32"/>
        </w:rPr>
      </w:pPr>
      <w:r>
        <w:rPr>
          <w:rFonts w:hAnsi="宋体"/>
          <w:b/>
          <w:sz w:val="32"/>
          <w:szCs w:val="32"/>
        </w:rPr>
        <w:t>政府采购活动现场确认声明书</w:t>
      </w:r>
    </w:p>
    <w:p>
      <w:pPr>
        <w:pStyle w:val="95"/>
        <w:widowControl w:val="0"/>
        <w:snapToGrid w:val="0"/>
        <w:spacing w:line="500" w:lineRule="exact"/>
        <w:jc w:val="both"/>
        <w:rPr>
          <w:rFonts w:hint="default" w:ascii="仿宋" w:hAnsi="仿宋"/>
          <w:kern w:val="0"/>
          <w:sz w:val="28"/>
        </w:rPr>
      </w:pPr>
    </w:p>
    <w:p>
      <w:pPr>
        <w:pStyle w:val="95"/>
        <w:widowControl w:val="0"/>
        <w:snapToGrid w:val="0"/>
        <w:spacing w:line="400" w:lineRule="exact"/>
        <w:jc w:val="both"/>
        <w:rPr>
          <w:rFonts w:hint="default" w:ascii="仿宋" w:hAnsi="仿宋"/>
          <w:b/>
          <w:sz w:val="24"/>
          <w:szCs w:val="24"/>
        </w:rPr>
      </w:pPr>
      <w:r>
        <w:rPr>
          <w:rFonts w:ascii="仿宋" w:hAnsi="仿宋"/>
          <w:kern w:val="0"/>
          <w:sz w:val="28"/>
          <w:u w:val="single"/>
        </w:rPr>
        <w:t xml:space="preserve">  </w:t>
      </w:r>
      <w:r>
        <w:rPr>
          <w:rFonts w:ascii="仿宋" w:hAnsi="仿宋"/>
          <w:kern w:val="0"/>
          <w:sz w:val="24"/>
          <w:szCs w:val="24"/>
          <w:u w:val="single"/>
        </w:rPr>
        <w:t xml:space="preserve">中冠工程管理咨询有限公司  </w:t>
      </w:r>
      <w:r>
        <w:rPr>
          <w:rFonts w:ascii="仿宋" w:hAnsi="仿宋"/>
          <w:kern w:val="0"/>
          <w:sz w:val="24"/>
          <w:szCs w:val="24"/>
        </w:rPr>
        <w:t>：</w:t>
      </w:r>
    </w:p>
    <w:p>
      <w:pPr>
        <w:pStyle w:val="95"/>
        <w:widowControl w:val="0"/>
        <w:snapToGrid w:val="0"/>
        <w:spacing w:line="400" w:lineRule="exact"/>
        <w:ind w:firstLine="504" w:firstLineChars="200"/>
        <w:jc w:val="both"/>
        <w:rPr>
          <w:rFonts w:hint="default" w:ascii="仿宋" w:hAnsi="仿宋"/>
          <w:spacing w:val="6"/>
          <w:sz w:val="24"/>
          <w:szCs w:val="24"/>
        </w:rPr>
      </w:pPr>
      <w:r>
        <w:rPr>
          <w:rFonts w:ascii="仿宋" w:hAnsi="仿宋"/>
          <w:spacing w:val="6"/>
          <w:sz w:val="24"/>
          <w:szCs w:val="24"/>
        </w:rPr>
        <w:t>本人经由</w:t>
      </w:r>
      <w:r>
        <w:rPr>
          <w:rFonts w:ascii="仿宋" w:hAnsi="仿宋"/>
          <w:spacing w:val="6"/>
          <w:sz w:val="24"/>
          <w:szCs w:val="24"/>
          <w:u w:val="single"/>
        </w:rPr>
        <w:t xml:space="preserve">               （单位）</w:t>
      </w:r>
      <w:r>
        <w:rPr>
          <w:rFonts w:ascii="仿宋" w:hAnsi="仿宋"/>
          <w:spacing w:val="6"/>
          <w:sz w:val="24"/>
          <w:szCs w:val="24"/>
        </w:rPr>
        <w:t>法人代表（负责人）</w:t>
      </w:r>
      <w:r>
        <w:rPr>
          <w:rFonts w:ascii="仿宋" w:hAnsi="仿宋"/>
          <w:spacing w:val="6"/>
          <w:sz w:val="24"/>
          <w:szCs w:val="24"/>
          <w:u w:val="single"/>
        </w:rPr>
        <w:t xml:space="preserve">        （姓名）</w:t>
      </w:r>
      <w:r>
        <w:rPr>
          <w:rFonts w:ascii="仿宋" w:hAnsi="仿宋"/>
          <w:spacing w:val="6"/>
          <w:sz w:val="24"/>
          <w:szCs w:val="24"/>
        </w:rPr>
        <w:t xml:space="preserve">合法授权参加项目（编号：）政府采购活动，经与本单位法人代表（负责人）联系确认，现就有关公平竞争事项郑重声明如下： </w:t>
      </w:r>
    </w:p>
    <w:p>
      <w:pPr>
        <w:pStyle w:val="96"/>
        <w:widowControl/>
        <w:numPr>
          <w:ilvl w:val="0"/>
          <w:numId w:val="6"/>
        </w:numPr>
        <w:snapToGrid w:val="0"/>
        <w:spacing w:line="400" w:lineRule="exact"/>
        <w:ind w:firstLine="453" w:firstLineChars="189"/>
        <w:rPr>
          <w:rFonts w:hint="default" w:ascii="仿宋" w:hAnsi="仿宋"/>
          <w:kern w:val="0"/>
          <w:sz w:val="24"/>
          <w:szCs w:val="24"/>
        </w:rPr>
      </w:pPr>
      <w:r>
        <w:rPr>
          <w:rFonts w:ascii="仿宋" w:hAnsi="仿宋"/>
          <w:kern w:val="0"/>
          <w:sz w:val="24"/>
          <w:szCs w:val="24"/>
        </w:rPr>
        <w:t xml:space="preserve">本单位与采购人之间 </w:t>
      </w:r>
      <w:r>
        <w:rPr>
          <w:rFonts w:ascii="宋体" w:hAnsi="宋体" w:cs="宋体"/>
          <w:kern w:val="0"/>
          <w:sz w:val="24"/>
          <w:szCs w:val="24"/>
        </w:rPr>
        <w:t>□</w:t>
      </w:r>
      <w:r>
        <w:rPr>
          <w:rFonts w:ascii="仿宋" w:hAnsi="仿宋"/>
          <w:kern w:val="0"/>
          <w:sz w:val="24"/>
          <w:szCs w:val="24"/>
        </w:rPr>
        <w:t xml:space="preserve">不存在利害关系 </w:t>
      </w:r>
      <w:r>
        <w:rPr>
          <w:rFonts w:ascii="宋体" w:hAnsi="宋体" w:cs="宋体"/>
          <w:kern w:val="0"/>
          <w:sz w:val="24"/>
          <w:szCs w:val="24"/>
        </w:rPr>
        <w:t>□</w:t>
      </w:r>
      <w:r>
        <w:rPr>
          <w:rFonts w:ascii="仿宋" w:hAnsi="仿宋"/>
          <w:kern w:val="0"/>
          <w:sz w:val="24"/>
          <w:szCs w:val="24"/>
        </w:rPr>
        <w:t>存在下列利害关系：</w:t>
      </w:r>
    </w:p>
    <w:p>
      <w:pPr>
        <w:pStyle w:val="96"/>
        <w:widowControl/>
        <w:snapToGrid w:val="0"/>
        <w:spacing w:line="400" w:lineRule="exact"/>
        <w:rPr>
          <w:rFonts w:hint="default" w:ascii="仿宋" w:hAnsi="仿宋"/>
          <w:kern w:val="0"/>
          <w:sz w:val="24"/>
          <w:szCs w:val="24"/>
        </w:rPr>
      </w:pPr>
      <w:r>
        <w:rPr>
          <w:rFonts w:ascii="仿宋" w:hAnsi="仿宋"/>
          <w:kern w:val="0"/>
          <w:sz w:val="24"/>
          <w:szCs w:val="24"/>
        </w:rPr>
        <w:t xml:space="preserve">  A.投资关系    B.行政隶属关系    C.业务指导关系</w:t>
      </w:r>
    </w:p>
    <w:p>
      <w:pPr>
        <w:pStyle w:val="96"/>
        <w:widowControl/>
        <w:snapToGrid w:val="0"/>
        <w:spacing w:line="400" w:lineRule="exact"/>
        <w:rPr>
          <w:rFonts w:hint="default" w:ascii="仿宋" w:hAnsi="仿宋"/>
          <w:kern w:val="0"/>
          <w:sz w:val="24"/>
          <w:szCs w:val="24"/>
        </w:rPr>
      </w:pPr>
      <w:r>
        <w:rPr>
          <w:rFonts w:ascii="仿宋" w:hAnsi="仿宋"/>
          <w:kern w:val="0"/>
          <w:sz w:val="24"/>
          <w:szCs w:val="24"/>
        </w:rPr>
        <w:t xml:space="preserve">  D.其他可能</w:t>
      </w:r>
      <w:r>
        <w:rPr>
          <w:rFonts w:ascii="仿宋" w:hAnsi="仿宋"/>
          <w:sz w:val="24"/>
          <w:szCs w:val="24"/>
        </w:rPr>
        <w:t>影响采购公正的</w:t>
      </w:r>
      <w:r>
        <w:rPr>
          <w:rFonts w:ascii="仿宋" w:hAnsi="仿宋"/>
          <w:kern w:val="0"/>
          <w:sz w:val="24"/>
          <w:szCs w:val="24"/>
        </w:rPr>
        <w:t>利害关系</w:t>
      </w:r>
      <w:r>
        <w:rPr>
          <w:rFonts w:ascii="仿宋" w:hAnsi="仿宋"/>
          <w:kern w:val="0"/>
          <w:sz w:val="24"/>
          <w:szCs w:val="24"/>
          <w:u w:val="single"/>
        </w:rPr>
        <w:t xml:space="preserve">（如有，请如实说明）                 </w:t>
      </w:r>
      <w:r>
        <w:rPr>
          <w:rFonts w:ascii="仿宋" w:hAnsi="仿宋"/>
          <w:kern w:val="0"/>
          <w:sz w:val="24"/>
          <w:szCs w:val="24"/>
        </w:rPr>
        <w:t>。</w:t>
      </w:r>
    </w:p>
    <w:p>
      <w:pPr>
        <w:pStyle w:val="96"/>
        <w:widowControl/>
        <w:snapToGrid w:val="0"/>
        <w:spacing w:line="400" w:lineRule="exact"/>
        <w:rPr>
          <w:rFonts w:hint="default" w:ascii="仿宋" w:hAnsi="仿宋"/>
          <w:kern w:val="0"/>
          <w:sz w:val="24"/>
          <w:szCs w:val="24"/>
        </w:rPr>
      </w:pPr>
      <w:r>
        <w:rPr>
          <w:rFonts w:ascii="仿宋" w:hAnsi="仿宋"/>
          <w:spacing w:val="6"/>
          <w:sz w:val="24"/>
          <w:szCs w:val="24"/>
        </w:rPr>
        <w:t xml:space="preserve">  二、</w:t>
      </w:r>
      <w:r>
        <w:rPr>
          <w:rFonts w:ascii="仿宋" w:hAnsi="仿宋"/>
          <w:kern w:val="0"/>
          <w:sz w:val="24"/>
          <w:szCs w:val="24"/>
        </w:rPr>
        <w:t xml:space="preserve">现已清楚知道参加本项目采购活动的其他所有供应商名称，本单位 </w:t>
      </w:r>
      <w:r>
        <w:rPr>
          <w:rFonts w:ascii="宋体" w:hAnsi="宋体" w:cs="宋体"/>
          <w:kern w:val="0"/>
          <w:sz w:val="24"/>
          <w:szCs w:val="24"/>
        </w:rPr>
        <w:t>□与其他所有供应商之间均</w:t>
      </w:r>
      <w:r>
        <w:rPr>
          <w:rFonts w:ascii="仿宋" w:hAnsi="仿宋"/>
          <w:kern w:val="0"/>
          <w:sz w:val="24"/>
          <w:szCs w:val="24"/>
        </w:rPr>
        <w:t xml:space="preserve">不存在利害关系 </w:t>
      </w:r>
      <w:r>
        <w:rPr>
          <w:rFonts w:ascii="宋体" w:hAnsi="宋体" w:cs="宋体"/>
          <w:kern w:val="0"/>
          <w:sz w:val="24"/>
          <w:szCs w:val="24"/>
        </w:rPr>
        <w:t>□与</w:t>
      </w:r>
      <w:r>
        <w:rPr>
          <w:rFonts w:ascii="宋体" w:hAnsi="宋体" w:cs="宋体"/>
          <w:kern w:val="0"/>
          <w:sz w:val="24"/>
          <w:szCs w:val="24"/>
          <w:u w:val="single"/>
        </w:rPr>
        <w:t xml:space="preserve">           （供应商名称）</w:t>
      </w:r>
      <w:r>
        <w:rPr>
          <w:rFonts w:ascii="宋体" w:hAnsi="宋体" w:cs="宋体"/>
          <w:kern w:val="0"/>
          <w:sz w:val="24"/>
          <w:szCs w:val="24"/>
        </w:rPr>
        <w:t>之间</w:t>
      </w:r>
      <w:r>
        <w:rPr>
          <w:rFonts w:ascii="仿宋" w:hAnsi="仿宋"/>
          <w:kern w:val="0"/>
          <w:sz w:val="24"/>
          <w:szCs w:val="24"/>
        </w:rPr>
        <w:t>存在下列利害关系：</w:t>
      </w:r>
    </w:p>
    <w:p>
      <w:pPr>
        <w:pStyle w:val="95"/>
        <w:widowControl w:val="0"/>
        <w:snapToGrid w:val="0"/>
        <w:spacing w:line="400" w:lineRule="exact"/>
        <w:jc w:val="both"/>
        <w:rPr>
          <w:rFonts w:hint="default" w:ascii="仿宋" w:hAnsi="仿宋"/>
          <w:kern w:val="0"/>
          <w:sz w:val="24"/>
          <w:szCs w:val="24"/>
        </w:rPr>
      </w:pPr>
      <w:r>
        <w:rPr>
          <w:rFonts w:ascii="仿宋" w:hAnsi="仿宋"/>
          <w:kern w:val="0"/>
          <w:sz w:val="24"/>
          <w:szCs w:val="24"/>
        </w:rPr>
        <w:t xml:space="preserve">  A.法定代表人或负责人或实际控制人是同一人；</w:t>
      </w:r>
    </w:p>
    <w:p>
      <w:pPr>
        <w:pStyle w:val="95"/>
        <w:widowControl w:val="0"/>
        <w:snapToGrid w:val="0"/>
        <w:spacing w:line="400" w:lineRule="exact"/>
        <w:jc w:val="both"/>
        <w:rPr>
          <w:rFonts w:hint="default" w:ascii="仿宋" w:hAnsi="仿宋"/>
          <w:spacing w:val="6"/>
          <w:sz w:val="24"/>
          <w:szCs w:val="24"/>
        </w:rPr>
      </w:pPr>
      <w:r>
        <w:rPr>
          <w:rFonts w:ascii="仿宋" w:hAnsi="仿宋"/>
          <w:kern w:val="0"/>
          <w:sz w:val="24"/>
          <w:szCs w:val="24"/>
        </w:rPr>
        <w:t xml:space="preserve">  B.法定代表人或负责人或实际控制人是夫妻关系；</w:t>
      </w:r>
    </w:p>
    <w:p>
      <w:pPr>
        <w:pStyle w:val="95"/>
        <w:widowControl w:val="0"/>
        <w:snapToGrid w:val="0"/>
        <w:spacing w:line="400" w:lineRule="exact"/>
        <w:jc w:val="both"/>
        <w:rPr>
          <w:rFonts w:hint="default" w:ascii="仿宋" w:hAnsi="仿宋"/>
          <w:spacing w:val="6"/>
          <w:sz w:val="24"/>
          <w:szCs w:val="24"/>
        </w:rPr>
      </w:pPr>
      <w:r>
        <w:rPr>
          <w:rFonts w:ascii="仿宋" w:hAnsi="仿宋"/>
          <w:kern w:val="0"/>
          <w:sz w:val="24"/>
          <w:szCs w:val="24"/>
        </w:rPr>
        <w:t xml:space="preserve">  C.法定代表人或负责人或实际控制人是直系血亲关系；</w:t>
      </w:r>
    </w:p>
    <w:p>
      <w:pPr>
        <w:pStyle w:val="95"/>
        <w:widowControl w:val="0"/>
        <w:snapToGrid w:val="0"/>
        <w:spacing w:line="400" w:lineRule="exact"/>
        <w:jc w:val="both"/>
        <w:rPr>
          <w:rFonts w:hint="default" w:ascii="仿宋" w:hAnsi="仿宋"/>
          <w:spacing w:val="6"/>
          <w:sz w:val="24"/>
          <w:szCs w:val="24"/>
        </w:rPr>
      </w:pPr>
      <w:r>
        <w:rPr>
          <w:rFonts w:ascii="仿宋" w:hAnsi="仿宋"/>
          <w:kern w:val="0"/>
          <w:sz w:val="24"/>
          <w:szCs w:val="24"/>
        </w:rPr>
        <w:t xml:space="preserve">  D.法定代表人或负责人或实际控制人存在三代以内旁系血亲关系；</w:t>
      </w:r>
    </w:p>
    <w:p>
      <w:pPr>
        <w:pStyle w:val="95"/>
        <w:widowControl w:val="0"/>
        <w:snapToGrid w:val="0"/>
        <w:spacing w:line="400" w:lineRule="exact"/>
        <w:jc w:val="both"/>
        <w:rPr>
          <w:rFonts w:hint="default" w:ascii="仿宋" w:hAnsi="仿宋"/>
          <w:kern w:val="0"/>
          <w:sz w:val="24"/>
          <w:szCs w:val="24"/>
        </w:rPr>
      </w:pPr>
      <w:r>
        <w:rPr>
          <w:rFonts w:ascii="仿宋" w:hAnsi="仿宋"/>
          <w:kern w:val="0"/>
          <w:sz w:val="24"/>
          <w:szCs w:val="24"/>
        </w:rPr>
        <w:t xml:space="preserve">  E.法定代表人或负责人或实际控制人存在近姻亲关系；</w:t>
      </w:r>
    </w:p>
    <w:p>
      <w:pPr>
        <w:pStyle w:val="95"/>
        <w:widowControl w:val="0"/>
        <w:snapToGrid w:val="0"/>
        <w:spacing w:line="400" w:lineRule="exact"/>
        <w:jc w:val="both"/>
        <w:rPr>
          <w:rFonts w:hint="default" w:ascii="仿宋" w:hAnsi="仿宋"/>
          <w:kern w:val="0"/>
          <w:sz w:val="24"/>
          <w:szCs w:val="24"/>
        </w:rPr>
      </w:pPr>
      <w:r>
        <w:rPr>
          <w:rFonts w:ascii="仿宋" w:hAnsi="仿宋"/>
          <w:kern w:val="0"/>
          <w:sz w:val="24"/>
          <w:szCs w:val="24"/>
        </w:rPr>
        <w:t xml:space="preserve">  F.法定代表人或负责人或实际控制人存在股份控制或实际控制关系；</w:t>
      </w:r>
    </w:p>
    <w:p>
      <w:pPr>
        <w:pStyle w:val="95"/>
        <w:widowControl w:val="0"/>
        <w:snapToGrid w:val="0"/>
        <w:spacing w:line="400" w:lineRule="exact"/>
        <w:jc w:val="both"/>
        <w:outlineLvl w:val="0"/>
        <w:rPr>
          <w:rFonts w:hint="default" w:ascii="仿宋" w:hAnsi="仿宋"/>
          <w:kern w:val="0"/>
          <w:sz w:val="24"/>
          <w:szCs w:val="24"/>
        </w:rPr>
      </w:pPr>
      <w:bookmarkStart w:id="175" w:name="_Toc24072"/>
      <w:bookmarkStart w:id="176" w:name="_Toc9367"/>
      <w:bookmarkStart w:id="177" w:name="_Toc2857"/>
      <w:bookmarkStart w:id="178" w:name="_Toc15030"/>
      <w:bookmarkStart w:id="179" w:name="_Toc21795"/>
      <w:bookmarkStart w:id="180" w:name="_Toc20365"/>
      <w:r>
        <w:rPr>
          <w:rFonts w:ascii="仿宋" w:hAnsi="仿宋"/>
          <w:kern w:val="0"/>
          <w:sz w:val="24"/>
          <w:szCs w:val="24"/>
        </w:rPr>
        <w:t>G.存在共同直接或间接投资设立子公司、联营企业和合营企业情况；</w:t>
      </w:r>
      <w:bookmarkEnd w:id="175"/>
      <w:bookmarkEnd w:id="176"/>
      <w:bookmarkEnd w:id="177"/>
      <w:bookmarkEnd w:id="178"/>
      <w:bookmarkEnd w:id="179"/>
      <w:bookmarkEnd w:id="180"/>
    </w:p>
    <w:p>
      <w:pPr>
        <w:pStyle w:val="95"/>
        <w:widowControl w:val="0"/>
        <w:snapToGrid w:val="0"/>
        <w:spacing w:line="400" w:lineRule="exact"/>
        <w:jc w:val="both"/>
        <w:rPr>
          <w:rFonts w:hint="default" w:ascii="仿宋" w:hAnsi="仿宋"/>
          <w:sz w:val="24"/>
          <w:szCs w:val="24"/>
        </w:rPr>
      </w:pPr>
      <w:r>
        <w:rPr>
          <w:rFonts w:ascii="仿宋" w:hAnsi="仿宋"/>
          <w:kern w:val="0"/>
          <w:sz w:val="24"/>
          <w:szCs w:val="24"/>
        </w:rPr>
        <w:t xml:space="preserve">  H.存在分级代理或代销关系、同一生产制造商关系、</w:t>
      </w:r>
      <w:r>
        <w:rPr>
          <w:rFonts w:ascii="仿宋" w:hAnsi="仿宋"/>
          <w:sz w:val="24"/>
          <w:szCs w:val="24"/>
        </w:rPr>
        <w:t>管理关系、重要业务（占主营业务收入50%以上）或重要财务往来关系（如融资）等其他实质性控制关系；</w:t>
      </w:r>
    </w:p>
    <w:p>
      <w:pPr>
        <w:pStyle w:val="95"/>
        <w:widowControl w:val="0"/>
        <w:snapToGrid w:val="0"/>
        <w:spacing w:line="400" w:lineRule="exact"/>
        <w:jc w:val="both"/>
        <w:rPr>
          <w:rFonts w:hint="default" w:ascii="仿宋" w:hAnsi="仿宋"/>
          <w:spacing w:val="6"/>
          <w:sz w:val="24"/>
          <w:szCs w:val="24"/>
        </w:rPr>
      </w:pPr>
      <w:r>
        <w:rPr>
          <w:rFonts w:ascii="仿宋" w:hAnsi="仿宋"/>
          <w:sz w:val="24"/>
          <w:szCs w:val="24"/>
        </w:rPr>
        <w:t xml:space="preserve">  I</w:t>
      </w:r>
      <w:r>
        <w:rPr>
          <w:rFonts w:ascii="仿宋" w:hAnsi="仿宋"/>
          <w:kern w:val="0"/>
          <w:sz w:val="24"/>
          <w:szCs w:val="24"/>
        </w:rPr>
        <w:t>.</w:t>
      </w:r>
      <w:r>
        <w:rPr>
          <w:rFonts w:ascii="仿宋" w:hAnsi="仿宋"/>
          <w:sz w:val="24"/>
          <w:szCs w:val="24"/>
        </w:rPr>
        <w:t>其他利害关系情况</w:t>
      </w:r>
      <w:r>
        <w:rPr>
          <w:rFonts w:ascii="仿宋" w:hAnsi="仿宋"/>
          <w:kern w:val="0"/>
          <w:sz w:val="24"/>
          <w:szCs w:val="24"/>
        </w:rPr>
        <w:t>。</w:t>
      </w:r>
    </w:p>
    <w:p>
      <w:pPr>
        <w:pStyle w:val="96"/>
        <w:widowControl/>
        <w:numPr>
          <w:ilvl w:val="0"/>
          <w:numId w:val="7"/>
        </w:numPr>
        <w:snapToGrid w:val="0"/>
        <w:spacing w:line="400" w:lineRule="exact"/>
        <w:ind w:firstLine="453" w:firstLineChars="189"/>
        <w:rPr>
          <w:rFonts w:hint="default" w:ascii="仿宋" w:hAnsi="仿宋"/>
          <w:kern w:val="0"/>
          <w:sz w:val="24"/>
          <w:szCs w:val="24"/>
        </w:rPr>
      </w:pPr>
      <w:r>
        <w:rPr>
          <w:rFonts w:ascii="仿宋" w:hAnsi="仿宋"/>
          <w:sz w:val="24"/>
          <w:szCs w:val="24"/>
        </w:rPr>
        <w:t>现已清楚知道并</w:t>
      </w:r>
      <w:r>
        <w:rPr>
          <w:rFonts w:ascii="仿宋" w:hAnsi="仿宋"/>
          <w:kern w:val="0"/>
          <w:sz w:val="24"/>
          <w:szCs w:val="24"/>
        </w:rPr>
        <w:t>严格遵守政府采购法律法规和现场纪律。</w:t>
      </w:r>
    </w:p>
    <w:p>
      <w:pPr>
        <w:pStyle w:val="96"/>
        <w:widowControl/>
        <w:numPr>
          <w:ilvl w:val="0"/>
          <w:numId w:val="7"/>
        </w:numPr>
        <w:snapToGrid w:val="0"/>
        <w:spacing w:line="400" w:lineRule="exact"/>
        <w:ind w:firstLine="453" w:firstLineChars="189"/>
        <w:rPr>
          <w:rFonts w:hint="default" w:ascii="仿宋" w:hAnsi="仿宋"/>
          <w:kern w:val="0"/>
          <w:sz w:val="24"/>
          <w:szCs w:val="24"/>
        </w:rPr>
      </w:pPr>
      <w:r>
        <w:rPr>
          <w:rFonts w:ascii="仿宋" w:hAnsi="仿宋"/>
          <w:kern w:val="0"/>
          <w:sz w:val="24"/>
          <w:szCs w:val="24"/>
        </w:rPr>
        <w:t>我发现供应商</w:t>
      </w:r>
      <w:r>
        <w:rPr>
          <w:rFonts w:ascii="仿宋" w:hAnsi="仿宋"/>
          <w:kern w:val="0"/>
          <w:sz w:val="24"/>
          <w:szCs w:val="24"/>
          <w:u w:val="single"/>
        </w:rPr>
        <w:t xml:space="preserve">                              </w:t>
      </w:r>
      <w:r>
        <w:rPr>
          <w:rFonts w:ascii="仿宋" w:hAnsi="仿宋"/>
          <w:kern w:val="0"/>
          <w:sz w:val="24"/>
          <w:szCs w:val="24"/>
        </w:rPr>
        <w:t>之间存在或可能存在上述第二条第项利害关系。</w:t>
      </w:r>
    </w:p>
    <w:p>
      <w:pPr>
        <w:pStyle w:val="19"/>
        <w:jc w:val="right"/>
      </w:pPr>
    </w:p>
    <w:p>
      <w:pPr>
        <w:pStyle w:val="95"/>
        <w:widowControl w:val="0"/>
        <w:snapToGrid w:val="0"/>
        <w:ind w:firstLine="480" w:firstLineChars="200"/>
        <w:jc w:val="right"/>
        <w:rPr>
          <w:rFonts w:hint="default" w:ascii="仿宋" w:hAnsi="仿宋"/>
          <w:sz w:val="24"/>
          <w:szCs w:val="24"/>
        </w:rPr>
      </w:pPr>
    </w:p>
    <w:p>
      <w:pPr>
        <w:pStyle w:val="95"/>
        <w:widowControl w:val="0"/>
        <w:snapToGrid w:val="0"/>
        <w:ind w:firstLine="480" w:firstLineChars="200"/>
        <w:jc w:val="right"/>
        <w:rPr>
          <w:rFonts w:hint="default" w:ascii="仿宋" w:hAnsi="仿宋"/>
          <w:sz w:val="24"/>
          <w:szCs w:val="24"/>
        </w:rPr>
      </w:pPr>
    </w:p>
    <w:p>
      <w:pPr>
        <w:pStyle w:val="95"/>
        <w:widowControl w:val="0"/>
        <w:snapToGrid w:val="0"/>
        <w:ind w:firstLine="480" w:firstLineChars="200"/>
        <w:jc w:val="right"/>
        <w:rPr>
          <w:rFonts w:hint="default" w:ascii="仿宋" w:hAnsi="仿宋"/>
          <w:sz w:val="24"/>
          <w:szCs w:val="24"/>
        </w:rPr>
      </w:pPr>
      <w:r>
        <w:rPr>
          <w:rFonts w:ascii="仿宋" w:hAnsi="仿宋"/>
          <w:sz w:val="24"/>
          <w:szCs w:val="24"/>
        </w:rPr>
        <w:t>（供应商代表签名）：</w:t>
      </w:r>
    </w:p>
    <w:p>
      <w:pPr>
        <w:pStyle w:val="95"/>
        <w:widowControl w:val="0"/>
        <w:snapToGrid w:val="0"/>
        <w:ind w:firstLine="480" w:firstLineChars="200"/>
        <w:jc w:val="right"/>
        <w:rPr>
          <w:rFonts w:hint="default" w:ascii="仿宋" w:hAnsi="仿宋"/>
          <w:sz w:val="24"/>
          <w:szCs w:val="24"/>
        </w:rPr>
      </w:pPr>
    </w:p>
    <w:p>
      <w:pPr>
        <w:pStyle w:val="95"/>
        <w:widowControl w:val="0"/>
        <w:snapToGrid w:val="0"/>
        <w:ind w:firstLine="480" w:firstLineChars="200"/>
        <w:jc w:val="right"/>
        <w:rPr>
          <w:rFonts w:hint="default" w:ascii="仿宋" w:hAnsi="仿宋"/>
          <w:sz w:val="24"/>
          <w:szCs w:val="24"/>
        </w:rPr>
        <w:sectPr>
          <w:pgSz w:w="11906" w:h="16838"/>
          <w:pgMar w:top="907" w:right="1134" w:bottom="907" w:left="1134" w:header="851" w:footer="992" w:gutter="0"/>
          <w:pgNumType w:fmt="decimal"/>
          <w:cols w:space="720" w:num="1"/>
          <w:docGrid w:type="lines" w:linePitch="312" w:charSpace="0"/>
        </w:sectPr>
      </w:pPr>
      <w:r>
        <w:rPr>
          <w:rFonts w:ascii="仿宋" w:hAnsi="仿宋"/>
          <w:sz w:val="24"/>
          <w:szCs w:val="24"/>
        </w:rPr>
        <w:t xml:space="preserve"> 2022年  月 日  </w:t>
      </w:r>
    </w:p>
    <w:tbl>
      <w:tblPr>
        <w:tblStyle w:val="47"/>
        <w:tblpPr w:leftFromText="180" w:rightFromText="180" w:vertAnchor="page" w:horzAnchor="margin" w:tblpY="1291"/>
        <w:tblW w:w="14535" w:type="dxa"/>
        <w:tblInd w:w="0" w:type="dxa"/>
        <w:tblLayout w:type="fixed"/>
        <w:tblCellMar>
          <w:top w:w="0" w:type="dxa"/>
          <w:left w:w="108" w:type="dxa"/>
          <w:bottom w:w="0" w:type="dxa"/>
          <w:right w:w="108" w:type="dxa"/>
        </w:tblCellMar>
      </w:tblPr>
      <w:tblGrid>
        <w:gridCol w:w="2179"/>
        <w:gridCol w:w="1430"/>
        <w:gridCol w:w="1681"/>
        <w:gridCol w:w="1586"/>
        <w:gridCol w:w="1183"/>
        <w:gridCol w:w="1412"/>
        <w:gridCol w:w="1452"/>
        <w:gridCol w:w="1226"/>
        <w:gridCol w:w="1216"/>
        <w:gridCol w:w="1170"/>
      </w:tblGrid>
      <w:tr>
        <w:tblPrEx>
          <w:tblCellMar>
            <w:top w:w="0" w:type="dxa"/>
            <w:left w:w="108" w:type="dxa"/>
            <w:bottom w:w="0" w:type="dxa"/>
            <w:right w:w="108" w:type="dxa"/>
          </w:tblCellMar>
        </w:tblPrEx>
        <w:trPr>
          <w:trHeight w:val="190" w:hRule="atLeast"/>
        </w:trPr>
        <w:tc>
          <w:tcPr>
            <w:tcW w:w="14535" w:type="dxa"/>
            <w:gridSpan w:val="10"/>
            <w:tcBorders>
              <w:top w:val="nil"/>
              <w:left w:val="nil"/>
              <w:bottom w:val="nil"/>
              <w:right w:val="nil"/>
            </w:tcBorders>
            <w:vAlign w:val="bottom"/>
          </w:tcPr>
          <w:p>
            <w:pPr>
              <w:widowControl/>
              <w:jc w:val="center"/>
              <w:rPr>
                <w:rFonts w:ascii="Times New Roman" w:hAnsi="Times New Roman" w:cs="宋体"/>
                <w:b/>
                <w:bCs/>
                <w:kern w:val="0"/>
                <w:sz w:val="24"/>
              </w:rPr>
            </w:pPr>
            <w:bookmarkStart w:id="181" w:name="_Hlk76317129"/>
            <w:r>
              <w:rPr>
                <w:rFonts w:hint="eastAsia" w:ascii="Times New Roman" w:hAnsi="Times New Roman" w:cs="宋体"/>
                <w:b/>
                <w:bCs/>
                <w:kern w:val="0"/>
                <w:sz w:val="24"/>
              </w:rPr>
              <w:t>中小微行业划型标准规定（根据工信部联企业〔2011〕300号制定）</w:t>
            </w:r>
          </w:p>
        </w:tc>
      </w:tr>
      <w:tr>
        <w:tblPrEx>
          <w:tblCellMar>
            <w:top w:w="0" w:type="dxa"/>
            <w:left w:w="108" w:type="dxa"/>
            <w:bottom w:w="0" w:type="dxa"/>
            <w:right w:w="108" w:type="dxa"/>
          </w:tblCellMar>
        </w:tblPrEx>
        <w:trPr>
          <w:trHeight w:val="326" w:hRule="atLeast"/>
        </w:trPr>
        <w:tc>
          <w:tcPr>
            <w:tcW w:w="2179" w:type="dxa"/>
            <w:vMerge w:val="restart"/>
            <w:tcBorders>
              <w:top w:val="single" w:color="auto" w:sz="8" w:space="0"/>
              <w:left w:val="single" w:color="auto" w:sz="8" w:space="0"/>
              <w:bottom w:val="single" w:color="000000" w:sz="4" w:space="0"/>
              <w:right w:val="single" w:color="auto" w:sz="8" w:space="0"/>
            </w:tcBorders>
            <w:vAlign w:val="center"/>
          </w:tcPr>
          <w:p>
            <w:pPr>
              <w:widowControl/>
              <w:jc w:val="center"/>
              <w:rPr>
                <w:rFonts w:ascii="Times New Roman" w:hAnsi="Times New Roman" w:cs="宋体"/>
                <w:b/>
                <w:bCs/>
                <w:kern w:val="0"/>
                <w:sz w:val="18"/>
                <w:szCs w:val="18"/>
              </w:rPr>
            </w:pPr>
            <w:r>
              <w:rPr>
                <w:rFonts w:hint="eastAsia" w:ascii="Times New Roman" w:hAnsi="Times New Roman" w:cs="宋体"/>
                <w:b/>
                <w:bCs/>
                <w:kern w:val="0"/>
                <w:sz w:val="18"/>
                <w:szCs w:val="18"/>
              </w:rPr>
              <w:t>行业</w:t>
            </w:r>
          </w:p>
        </w:tc>
        <w:tc>
          <w:tcPr>
            <w:tcW w:w="4697" w:type="dxa"/>
            <w:gridSpan w:val="3"/>
            <w:tcBorders>
              <w:top w:val="single" w:color="auto" w:sz="8" w:space="0"/>
              <w:left w:val="nil"/>
              <w:bottom w:val="single" w:color="auto" w:sz="4" w:space="0"/>
              <w:right w:val="single" w:color="000000" w:sz="8" w:space="0"/>
            </w:tcBorders>
            <w:vAlign w:val="bottom"/>
          </w:tcPr>
          <w:p>
            <w:pPr>
              <w:widowControl/>
              <w:jc w:val="center"/>
              <w:rPr>
                <w:rFonts w:ascii="Times New Roman" w:hAnsi="Times New Roman" w:cs="宋体"/>
                <w:b/>
                <w:bCs/>
                <w:kern w:val="0"/>
                <w:sz w:val="18"/>
                <w:szCs w:val="18"/>
              </w:rPr>
            </w:pPr>
            <w:r>
              <w:rPr>
                <w:rFonts w:hint="eastAsia" w:ascii="Times New Roman" w:hAnsi="Times New Roman" w:cs="宋体"/>
                <w:b/>
                <w:bCs/>
                <w:kern w:val="0"/>
                <w:sz w:val="18"/>
                <w:szCs w:val="18"/>
              </w:rPr>
              <w:t>中型企业</w:t>
            </w:r>
          </w:p>
        </w:tc>
        <w:tc>
          <w:tcPr>
            <w:tcW w:w="4047" w:type="dxa"/>
            <w:gridSpan w:val="3"/>
            <w:tcBorders>
              <w:top w:val="single" w:color="auto" w:sz="8" w:space="0"/>
              <w:left w:val="nil"/>
              <w:bottom w:val="single" w:color="auto" w:sz="4" w:space="0"/>
              <w:right w:val="single" w:color="000000" w:sz="8" w:space="0"/>
            </w:tcBorders>
            <w:vAlign w:val="bottom"/>
          </w:tcPr>
          <w:p>
            <w:pPr>
              <w:widowControl/>
              <w:jc w:val="center"/>
              <w:rPr>
                <w:rFonts w:ascii="Times New Roman" w:hAnsi="Times New Roman" w:cs="宋体"/>
                <w:b/>
                <w:bCs/>
                <w:kern w:val="0"/>
                <w:sz w:val="18"/>
                <w:szCs w:val="18"/>
              </w:rPr>
            </w:pPr>
            <w:r>
              <w:rPr>
                <w:rFonts w:hint="eastAsia" w:ascii="Times New Roman" w:hAnsi="Times New Roman" w:cs="宋体"/>
                <w:b/>
                <w:bCs/>
                <w:kern w:val="0"/>
                <w:sz w:val="18"/>
                <w:szCs w:val="18"/>
              </w:rPr>
              <w:t>小型企业</w:t>
            </w:r>
          </w:p>
        </w:tc>
        <w:tc>
          <w:tcPr>
            <w:tcW w:w="3611" w:type="dxa"/>
            <w:gridSpan w:val="3"/>
            <w:tcBorders>
              <w:top w:val="single" w:color="auto" w:sz="8" w:space="0"/>
              <w:left w:val="nil"/>
              <w:bottom w:val="single" w:color="auto" w:sz="4" w:space="0"/>
              <w:right w:val="single" w:color="000000" w:sz="8" w:space="0"/>
            </w:tcBorders>
            <w:vAlign w:val="bottom"/>
          </w:tcPr>
          <w:p>
            <w:pPr>
              <w:widowControl/>
              <w:jc w:val="center"/>
              <w:rPr>
                <w:rFonts w:ascii="Times New Roman" w:hAnsi="Times New Roman" w:cs="宋体"/>
                <w:b/>
                <w:bCs/>
                <w:kern w:val="0"/>
                <w:sz w:val="18"/>
                <w:szCs w:val="18"/>
              </w:rPr>
            </w:pPr>
            <w:r>
              <w:rPr>
                <w:rFonts w:hint="eastAsia" w:ascii="Times New Roman" w:hAnsi="Times New Roman" w:cs="宋体"/>
                <w:b/>
                <w:bCs/>
                <w:kern w:val="0"/>
                <w:sz w:val="18"/>
                <w:szCs w:val="18"/>
              </w:rPr>
              <w:t>微型企业</w:t>
            </w:r>
          </w:p>
        </w:tc>
      </w:tr>
      <w:tr>
        <w:tblPrEx>
          <w:tblCellMar>
            <w:top w:w="0" w:type="dxa"/>
            <w:left w:w="108" w:type="dxa"/>
            <w:bottom w:w="0" w:type="dxa"/>
            <w:right w:w="108" w:type="dxa"/>
          </w:tblCellMar>
        </w:tblPrEx>
        <w:trPr>
          <w:trHeight w:val="370" w:hRule="atLeast"/>
        </w:trPr>
        <w:tc>
          <w:tcPr>
            <w:tcW w:w="2179" w:type="dxa"/>
            <w:vMerge w:val="continue"/>
            <w:tcBorders>
              <w:top w:val="single" w:color="auto" w:sz="8" w:space="0"/>
              <w:left w:val="single" w:color="auto" w:sz="8" w:space="0"/>
              <w:bottom w:val="single" w:color="000000" w:sz="4" w:space="0"/>
              <w:right w:val="single" w:color="auto" w:sz="8" w:space="0"/>
            </w:tcBorders>
            <w:vAlign w:val="center"/>
          </w:tcPr>
          <w:p>
            <w:pPr>
              <w:widowControl/>
              <w:jc w:val="left"/>
              <w:rPr>
                <w:rFonts w:ascii="Times New Roman" w:hAnsi="Times New Roman" w:cs="宋体"/>
                <w:b/>
                <w:bCs/>
                <w:kern w:val="0"/>
                <w:sz w:val="18"/>
                <w:szCs w:val="18"/>
              </w:rPr>
            </w:pPr>
          </w:p>
        </w:tc>
        <w:tc>
          <w:tcPr>
            <w:tcW w:w="1430" w:type="dxa"/>
            <w:tcBorders>
              <w:top w:val="nil"/>
              <w:left w:val="nil"/>
              <w:bottom w:val="single" w:color="auto" w:sz="4" w:space="0"/>
              <w:right w:val="single" w:color="auto" w:sz="4" w:space="0"/>
            </w:tcBorders>
            <w:vAlign w:val="bottom"/>
          </w:tcPr>
          <w:p>
            <w:pPr>
              <w:widowControl/>
              <w:jc w:val="center"/>
              <w:rPr>
                <w:rFonts w:ascii="Times New Roman" w:hAnsi="Times New Roman" w:cs="宋体"/>
                <w:kern w:val="0"/>
                <w:sz w:val="18"/>
                <w:szCs w:val="18"/>
              </w:rPr>
            </w:pPr>
            <w:r>
              <w:rPr>
                <w:rFonts w:hint="eastAsia" w:ascii="Times New Roman" w:hAnsi="Times New Roman" w:cs="宋体"/>
                <w:kern w:val="0"/>
                <w:sz w:val="18"/>
                <w:szCs w:val="18"/>
              </w:rPr>
              <w:t>从业人员X（人）</w:t>
            </w:r>
          </w:p>
        </w:tc>
        <w:tc>
          <w:tcPr>
            <w:tcW w:w="1681" w:type="dxa"/>
            <w:tcBorders>
              <w:top w:val="nil"/>
              <w:left w:val="nil"/>
              <w:bottom w:val="single" w:color="auto" w:sz="4" w:space="0"/>
              <w:right w:val="single" w:color="auto" w:sz="4" w:space="0"/>
            </w:tcBorders>
            <w:vAlign w:val="bottom"/>
          </w:tcPr>
          <w:p>
            <w:pPr>
              <w:widowControl/>
              <w:jc w:val="center"/>
              <w:rPr>
                <w:rFonts w:ascii="Times New Roman" w:hAnsi="Times New Roman" w:cs="宋体"/>
                <w:kern w:val="0"/>
                <w:sz w:val="18"/>
                <w:szCs w:val="18"/>
              </w:rPr>
            </w:pPr>
            <w:r>
              <w:rPr>
                <w:rFonts w:hint="eastAsia" w:ascii="Times New Roman" w:hAnsi="Times New Roman" w:cs="宋体"/>
                <w:kern w:val="0"/>
                <w:sz w:val="18"/>
                <w:szCs w:val="18"/>
              </w:rPr>
              <w:t>营业收入Y</w:t>
            </w:r>
          </w:p>
          <w:p>
            <w:pPr>
              <w:widowControl/>
              <w:jc w:val="center"/>
              <w:rPr>
                <w:rFonts w:ascii="Times New Roman" w:hAnsi="Times New Roman" w:cs="宋体"/>
                <w:kern w:val="0"/>
                <w:sz w:val="18"/>
                <w:szCs w:val="18"/>
              </w:rPr>
            </w:pPr>
            <w:r>
              <w:rPr>
                <w:rFonts w:hint="eastAsia" w:ascii="Times New Roman" w:hAnsi="Times New Roman" w:cs="宋体"/>
                <w:kern w:val="0"/>
                <w:sz w:val="18"/>
                <w:szCs w:val="18"/>
              </w:rPr>
              <w:t>（万元）</w:t>
            </w:r>
          </w:p>
        </w:tc>
        <w:tc>
          <w:tcPr>
            <w:tcW w:w="1585" w:type="dxa"/>
            <w:tcBorders>
              <w:top w:val="nil"/>
              <w:left w:val="nil"/>
              <w:bottom w:val="single" w:color="auto" w:sz="4" w:space="0"/>
              <w:right w:val="single" w:color="auto" w:sz="8" w:space="0"/>
            </w:tcBorders>
            <w:vAlign w:val="bottom"/>
          </w:tcPr>
          <w:p>
            <w:pPr>
              <w:widowControl/>
              <w:jc w:val="center"/>
              <w:rPr>
                <w:rFonts w:ascii="Times New Roman" w:hAnsi="Times New Roman" w:cs="宋体"/>
                <w:kern w:val="0"/>
                <w:sz w:val="18"/>
                <w:szCs w:val="18"/>
              </w:rPr>
            </w:pPr>
            <w:r>
              <w:rPr>
                <w:rFonts w:hint="eastAsia" w:ascii="Times New Roman" w:hAnsi="Times New Roman" w:cs="宋体"/>
                <w:kern w:val="0"/>
                <w:sz w:val="18"/>
                <w:szCs w:val="18"/>
              </w:rPr>
              <w:t>资产总额Z</w:t>
            </w:r>
          </w:p>
          <w:p>
            <w:pPr>
              <w:widowControl/>
              <w:jc w:val="center"/>
              <w:rPr>
                <w:rFonts w:ascii="Times New Roman" w:hAnsi="Times New Roman" w:cs="宋体"/>
                <w:kern w:val="0"/>
                <w:sz w:val="18"/>
                <w:szCs w:val="18"/>
              </w:rPr>
            </w:pPr>
            <w:r>
              <w:rPr>
                <w:rFonts w:hint="eastAsia" w:ascii="Times New Roman" w:hAnsi="Times New Roman" w:cs="宋体"/>
                <w:kern w:val="0"/>
                <w:sz w:val="18"/>
                <w:szCs w:val="18"/>
              </w:rPr>
              <w:t>（万元）</w:t>
            </w:r>
          </w:p>
        </w:tc>
        <w:tc>
          <w:tcPr>
            <w:tcW w:w="1183" w:type="dxa"/>
            <w:tcBorders>
              <w:top w:val="nil"/>
              <w:left w:val="nil"/>
              <w:bottom w:val="single" w:color="auto" w:sz="4" w:space="0"/>
              <w:right w:val="single" w:color="auto" w:sz="4" w:space="0"/>
            </w:tcBorders>
            <w:vAlign w:val="bottom"/>
          </w:tcPr>
          <w:p>
            <w:pPr>
              <w:widowControl/>
              <w:jc w:val="center"/>
              <w:rPr>
                <w:rFonts w:ascii="Times New Roman" w:hAnsi="Times New Roman" w:cs="宋体"/>
                <w:kern w:val="0"/>
                <w:sz w:val="18"/>
                <w:szCs w:val="18"/>
              </w:rPr>
            </w:pPr>
            <w:r>
              <w:rPr>
                <w:rFonts w:hint="eastAsia" w:ascii="Times New Roman" w:hAnsi="Times New Roman" w:cs="宋体"/>
                <w:kern w:val="0"/>
                <w:sz w:val="18"/>
                <w:szCs w:val="18"/>
              </w:rPr>
              <w:t>从业人员X（人）</w:t>
            </w:r>
          </w:p>
        </w:tc>
        <w:tc>
          <w:tcPr>
            <w:tcW w:w="1412" w:type="dxa"/>
            <w:tcBorders>
              <w:top w:val="nil"/>
              <w:left w:val="nil"/>
              <w:bottom w:val="single" w:color="auto" w:sz="4" w:space="0"/>
              <w:right w:val="single" w:color="auto" w:sz="4" w:space="0"/>
            </w:tcBorders>
            <w:vAlign w:val="bottom"/>
          </w:tcPr>
          <w:p>
            <w:pPr>
              <w:widowControl/>
              <w:jc w:val="center"/>
              <w:rPr>
                <w:rFonts w:ascii="Times New Roman" w:hAnsi="Times New Roman" w:cs="宋体"/>
                <w:kern w:val="0"/>
                <w:sz w:val="18"/>
                <w:szCs w:val="18"/>
              </w:rPr>
            </w:pPr>
            <w:r>
              <w:rPr>
                <w:rFonts w:hint="eastAsia" w:ascii="Times New Roman" w:hAnsi="Times New Roman" w:cs="宋体"/>
                <w:kern w:val="0"/>
                <w:sz w:val="18"/>
                <w:szCs w:val="18"/>
              </w:rPr>
              <w:t>营业收入Y</w:t>
            </w:r>
          </w:p>
          <w:p>
            <w:pPr>
              <w:widowControl/>
              <w:jc w:val="center"/>
              <w:rPr>
                <w:rFonts w:ascii="Times New Roman" w:hAnsi="Times New Roman" w:cs="宋体"/>
                <w:kern w:val="0"/>
                <w:sz w:val="18"/>
                <w:szCs w:val="18"/>
              </w:rPr>
            </w:pPr>
            <w:r>
              <w:rPr>
                <w:rFonts w:hint="eastAsia" w:ascii="Times New Roman" w:hAnsi="Times New Roman" w:cs="宋体"/>
                <w:kern w:val="0"/>
                <w:sz w:val="18"/>
                <w:szCs w:val="18"/>
              </w:rPr>
              <w:t>（万元）</w:t>
            </w:r>
          </w:p>
        </w:tc>
        <w:tc>
          <w:tcPr>
            <w:tcW w:w="1451" w:type="dxa"/>
            <w:tcBorders>
              <w:top w:val="nil"/>
              <w:left w:val="nil"/>
              <w:bottom w:val="single" w:color="auto" w:sz="4" w:space="0"/>
              <w:right w:val="single" w:color="auto" w:sz="8" w:space="0"/>
            </w:tcBorders>
            <w:vAlign w:val="bottom"/>
          </w:tcPr>
          <w:p>
            <w:pPr>
              <w:widowControl/>
              <w:jc w:val="center"/>
              <w:rPr>
                <w:rFonts w:ascii="Times New Roman" w:hAnsi="Times New Roman" w:cs="宋体"/>
                <w:kern w:val="0"/>
                <w:sz w:val="18"/>
                <w:szCs w:val="18"/>
              </w:rPr>
            </w:pPr>
            <w:r>
              <w:rPr>
                <w:rFonts w:hint="eastAsia" w:ascii="Times New Roman" w:hAnsi="Times New Roman" w:cs="宋体"/>
                <w:kern w:val="0"/>
                <w:sz w:val="18"/>
                <w:szCs w:val="18"/>
              </w:rPr>
              <w:t>资产总额Z</w:t>
            </w:r>
          </w:p>
          <w:p>
            <w:pPr>
              <w:widowControl/>
              <w:jc w:val="center"/>
              <w:rPr>
                <w:rFonts w:ascii="Times New Roman" w:hAnsi="Times New Roman" w:cs="宋体"/>
                <w:kern w:val="0"/>
                <w:sz w:val="18"/>
                <w:szCs w:val="18"/>
              </w:rPr>
            </w:pPr>
            <w:r>
              <w:rPr>
                <w:rFonts w:hint="eastAsia" w:ascii="Times New Roman" w:hAnsi="Times New Roman" w:cs="宋体"/>
                <w:kern w:val="0"/>
                <w:sz w:val="18"/>
                <w:szCs w:val="18"/>
              </w:rPr>
              <w:t>（万元）</w:t>
            </w:r>
          </w:p>
        </w:tc>
        <w:tc>
          <w:tcPr>
            <w:tcW w:w="1226" w:type="dxa"/>
            <w:tcBorders>
              <w:top w:val="nil"/>
              <w:left w:val="nil"/>
              <w:bottom w:val="single" w:color="auto" w:sz="4" w:space="0"/>
              <w:right w:val="single" w:color="auto" w:sz="4" w:space="0"/>
            </w:tcBorders>
            <w:vAlign w:val="bottom"/>
          </w:tcPr>
          <w:p>
            <w:pPr>
              <w:widowControl/>
              <w:jc w:val="center"/>
              <w:rPr>
                <w:rFonts w:ascii="Times New Roman" w:hAnsi="Times New Roman" w:cs="宋体"/>
                <w:kern w:val="0"/>
                <w:sz w:val="18"/>
                <w:szCs w:val="18"/>
              </w:rPr>
            </w:pPr>
            <w:r>
              <w:rPr>
                <w:rFonts w:hint="eastAsia" w:ascii="Times New Roman" w:hAnsi="Times New Roman" w:cs="宋体"/>
                <w:kern w:val="0"/>
                <w:sz w:val="18"/>
                <w:szCs w:val="18"/>
              </w:rPr>
              <w:t>从业人员X（人）</w:t>
            </w:r>
          </w:p>
        </w:tc>
        <w:tc>
          <w:tcPr>
            <w:tcW w:w="1216" w:type="dxa"/>
            <w:tcBorders>
              <w:top w:val="nil"/>
              <w:left w:val="nil"/>
              <w:bottom w:val="single" w:color="auto" w:sz="4" w:space="0"/>
              <w:right w:val="single" w:color="auto" w:sz="4" w:space="0"/>
            </w:tcBorders>
            <w:vAlign w:val="bottom"/>
          </w:tcPr>
          <w:p>
            <w:pPr>
              <w:widowControl/>
              <w:jc w:val="center"/>
              <w:rPr>
                <w:rFonts w:ascii="Times New Roman" w:hAnsi="Times New Roman" w:cs="宋体"/>
                <w:kern w:val="0"/>
                <w:sz w:val="18"/>
                <w:szCs w:val="18"/>
              </w:rPr>
            </w:pPr>
            <w:r>
              <w:rPr>
                <w:rFonts w:hint="eastAsia" w:ascii="Times New Roman" w:hAnsi="Times New Roman" w:cs="宋体"/>
                <w:kern w:val="0"/>
                <w:sz w:val="18"/>
                <w:szCs w:val="18"/>
              </w:rPr>
              <w:t>营业收入Y（万元）</w:t>
            </w:r>
          </w:p>
        </w:tc>
        <w:tc>
          <w:tcPr>
            <w:tcW w:w="1168" w:type="dxa"/>
            <w:tcBorders>
              <w:top w:val="nil"/>
              <w:left w:val="nil"/>
              <w:bottom w:val="single" w:color="auto" w:sz="4" w:space="0"/>
              <w:right w:val="single" w:color="auto" w:sz="8" w:space="0"/>
            </w:tcBorders>
            <w:vAlign w:val="bottom"/>
          </w:tcPr>
          <w:p>
            <w:pPr>
              <w:widowControl/>
              <w:jc w:val="center"/>
              <w:rPr>
                <w:rFonts w:ascii="Times New Roman" w:hAnsi="Times New Roman" w:cs="宋体"/>
                <w:kern w:val="0"/>
                <w:sz w:val="18"/>
                <w:szCs w:val="18"/>
              </w:rPr>
            </w:pPr>
            <w:r>
              <w:rPr>
                <w:rFonts w:hint="eastAsia" w:ascii="Times New Roman" w:hAnsi="Times New Roman" w:cs="宋体"/>
                <w:kern w:val="0"/>
                <w:sz w:val="18"/>
                <w:szCs w:val="18"/>
              </w:rPr>
              <w:t>资产总额Z（万元）</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1、农林牧渔业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500≤Y＜20000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50≤Y＜500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Y＜50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2、工业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300≤X＜1000</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2000≤Y＜40000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20≤X＜300</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300≤Y＜2000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X＜20</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Y＜300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3、建筑业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6000≤Y＜80000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5000≤Z＜80000</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300≤Y＜6000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300≤Z＜5000</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Y＜300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Z＜300</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4、批发业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20≤X＜200</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5000≤Y＜40000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5≤X＜20</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1000≤Y＜5000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X＜5</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Y＜1000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5、零售业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50≤X＜300</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500≤Y＜20000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10≤X＜50</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100≤Y＜500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X＜10</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Y＜100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6、交通运输业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300≤X＜1000</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3000≤Y＜30000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20≤X＜300</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200≤Y＜3000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X＜20</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V＜200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7、仓储业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100≤X＜200</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1000≤Y＜30000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20≤X＜100</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100≤Y＜1000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X＜20</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Y＜100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8、邮政业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300≤X＜1000</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2000≤Y＜30000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20≤X＜300</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100≤Y＜2000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X＜20</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Y＜100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9、住宿业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100≤X＜300</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2000≤Y＜10000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10≤X＜100</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100≤Y＜2000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X＜10</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Y＜100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10、餐饮业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100≤X＜300</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2000≤Y＜10000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10≤X＜100</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100≤Y＜2000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X＜10</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V＜100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11、信息传输业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100≤X＜2000</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1000≤Y＜100000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10≤X＜100</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100≤Y＜1000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X＜10</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Y＜100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12、软件和信息技术服务业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100≤X＜300</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1000≤Y＜10000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10≤X＜100</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50≤Y＜1000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X＜10</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Y＜50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13、房地产开发经营</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1000≤Y＜200000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5000≤Z＜10000</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100≤Y＜1000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2000≤Z＜5000</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Y＜100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Z＜2000</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14、物业管理</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300≤X＜1000</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1000≤Y＜5000</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100≤X＜300</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500≤Y＜1000</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X＜100</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Y＜500</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15、租赁和商务服务业</w:t>
            </w:r>
          </w:p>
        </w:tc>
        <w:tc>
          <w:tcPr>
            <w:tcW w:w="1430"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100≤X＜300</w:t>
            </w:r>
          </w:p>
        </w:tc>
        <w:tc>
          <w:tcPr>
            <w:tcW w:w="1681"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585"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8000≤Z＜120000</w:t>
            </w:r>
          </w:p>
        </w:tc>
        <w:tc>
          <w:tcPr>
            <w:tcW w:w="1183"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10≤X＜100</w:t>
            </w:r>
          </w:p>
        </w:tc>
        <w:tc>
          <w:tcPr>
            <w:tcW w:w="1412"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451"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xml:space="preserve"> 100≤Z＜8000</w:t>
            </w:r>
          </w:p>
        </w:tc>
        <w:tc>
          <w:tcPr>
            <w:tcW w:w="122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X＜10</w:t>
            </w:r>
          </w:p>
        </w:tc>
        <w:tc>
          <w:tcPr>
            <w:tcW w:w="1216" w:type="dxa"/>
            <w:tcBorders>
              <w:top w:val="nil"/>
              <w:left w:val="nil"/>
              <w:bottom w:val="single" w:color="auto" w:sz="4" w:space="0"/>
              <w:right w:val="single" w:color="auto" w:sz="4"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　</w:t>
            </w:r>
          </w:p>
        </w:tc>
        <w:tc>
          <w:tcPr>
            <w:tcW w:w="1168" w:type="dxa"/>
            <w:tcBorders>
              <w:top w:val="nil"/>
              <w:left w:val="nil"/>
              <w:bottom w:val="single" w:color="auto" w:sz="4" w:space="0"/>
              <w:right w:val="single" w:color="auto" w:sz="8" w:space="0"/>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Z＜100</w:t>
            </w:r>
          </w:p>
        </w:tc>
      </w:tr>
      <w:tr>
        <w:tblPrEx>
          <w:tblCellMar>
            <w:top w:w="0" w:type="dxa"/>
            <w:left w:w="108" w:type="dxa"/>
            <w:bottom w:w="0" w:type="dxa"/>
            <w:right w:w="108" w:type="dxa"/>
          </w:tblCellMar>
        </w:tblPrEx>
        <w:trPr>
          <w:trHeight w:val="252" w:hRule="atLeast"/>
        </w:trPr>
        <w:tc>
          <w:tcPr>
            <w:tcW w:w="2179" w:type="dxa"/>
            <w:tcBorders>
              <w:top w:val="nil"/>
              <w:left w:val="single" w:color="auto" w:sz="8" w:space="0"/>
              <w:bottom w:val="single" w:color="auto" w:sz="8" w:space="0"/>
              <w:right w:val="single" w:color="auto" w:sz="8" w:space="0"/>
            </w:tcBorders>
            <w:vAlign w:val="bottom"/>
          </w:tcPr>
          <w:p>
            <w:pPr>
              <w:widowControl/>
              <w:jc w:val="left"/>
              <w:rPr>
                <w:rFonts w:ascii="Times New Roman" w:hAnsi="Times New Roman" w:cs="宋体"/>
                <w:b/>
                <w:kern w:val="0"/>
                <w:sz w:val="18"/>
                <w:szCs w:val="18"/>
              </w:rPr>
            </w:pPr>
            <w:r>
              <w:rPr>
                <w:rFonts w:hint="eastAsia" w:ascii="Times New Roman" w:hAnsi="Times New Roman" w:cs="宋体"/>
                <w:b/>
                <w:kern w:val="0"/>
                <w:sz w:val="18"/>
                <w:szCs w:val="18"/>
              </w:rPr>
              <w:t>16、其他未列明行业</w:t>
            </w:r>
          </w:p>
        </w:tc>
        <w:tc>
          <w:tcPr>
            <w:tcW w:w="1430" w:type="dxa"/>
            <w:tcBorders>
              <w:top w:val="nil"/>
              <w:left w:val="nil"/>
              <w:bottom w:val="single" w:color="auto" w:sz="8" w:space="0"/>
              <w:right w:val="single" w:color="auto" w:sz="4" w:space="0"/>
            </w:tcBorders>
            <w:vAlign w:val="bottom"/>
          </w:tcPr>
          <w:p>
            <w:pPr>
              <w:widowControl/>
              <w:jc w:val="left"/>
              <w:rPr>
                <w:rFonts w:ascii="Times New Roman" w:hAnsi="Times New Roman" w:cs="宋体"/>
                <w:b/>
                <w:kern w:val="0"/>
                <w:sz w:val="18"/>
                <w:szCs w:val="18"/>
              </w:rPr>
            </w:pPr>
            <w:r>
              <w:rPr>
                <w:rFonts w:hint="eastAsia" w:ascii="Times New Roman" w:hAnsi="Times New Roman" w:cs="宋体"/>
                <w:b/>
                <w:kern w:val="0"/>
                <w:sz w:val="18"/>
                <w:szCs w:val="18"/>
              </w:rPr>
              <w:t>100≤X＜300</w:t>
            </w:r>
          </w:p>
        </w:tc>
        <w:tc>
          <w:tcPr>
            <w:tcW w:w="1681" w:type="dxa"/>
            <w:tcBorders>
              <w:top w:val="nil"/>
              <w:left w:val="nil"/>
              <w:bottom w:val="single" w:color="auto" w:sz="8" w:space="0"/>
              <w:right w:val="single" w:color="auto" w:sz="4" w:space="0"/>
            </w:tcBorders>
            <w:vAlign w:val="bottom"/>
          </w:tcPr>
          <w:p>
            <w:pPr>
              <w:widowControl/>
              <w:jc w:val="left"/>
              <w:rPr>
                <w:rFonts w:ascii="Times New Roman" w:hAnsi="Times New Roman" w:cs="宋体"/>
                <w:b/>
                <w:kern w:val="0"/>
                <w:sz w:val="18"/>
                <w:szCs w:val="18"/>
              </w:rPr>
            </w:pPr>
            <w:r>
              <w:rPr>
                <w:rFonts w:hint="eastAsia" w:ascii="Times New Roman" w:hAnsi="Times New Roman" w:cs="宋体"/>
                <w:b/>
                <w:kern w:val="0"/>
                <w:sz w:val="18"/>
                <w:szCs w:val="18"/>
              </w:rPr>
              <w:t>　</w:t>
            </w:r>
          </w:p>
        </w:tc>
        <w:tc>
          <w:tcPr>
            <w:tcW w:w="1585" w:type="dxa"/>
            <w:tcBorders>
              <w:top w:val="nil"/>
              <w:left w:val="nil"/>
              <w:bottom w:val="single" w:color="auto" w:sz="8" w:space="0"/>
              <w:right w:val="single" w:color="auto" w:sz="8" w:space="0"/>
            </w:tcBorders>
            <w:vAlign w:val="bottom"/>
          </w:tcPr>
          <w:p>
            <w:pPr>
              <w:widowControl/>
              <w:jc w:val="left"/>
              <w:rPr>
                <w:rFonts w:ascii="Times New Roman" w:hAnsi="Times New Roman" w:cs="宋体"/>
                <w:b/>
                <w:kern w:val="0"/>
                <w:sz w:val="18"/>
                <w:szCs w:val="18"/>
              </w:rPr>
            </w:pPr>
            <w:r>
              <w:rPr>
                <w:rFonts w:hint="eastAsia" w:ascii="Times New Roman" w:hAnsi="Times New Roman" w:cs="宋体"/>
                <w:b/>
                <w:kern w:val="0"/>
                <w:sz w:val="18"/>
                <w:szCs w:val="18"/>
              </w:rPr>
              <w:t>　</w:t>
            </w:r>
          </w:p>
        </w:tc>
        <w:tc>
          <w:tcPr>
            <w:tcW w:w="1183" w:type="dxa"/>
            <w:tcBorders>
              <w:top w:val="nil"/>
              <w:left w:val="nil"/>
              <w:bottom w:val="single" w:color="auto" w:sz="8" w:space="0"/>
              <w:right w:val="single" w:color="auto" w:sz="4" w:space="0"/>
            </w:tcBorders>
            <w:vAlign w:val="bottom"/>
          </w:tcPr>
          <w:p>
            <w:pPr>
              <w:widowControl/>
              <w:jc w:val="left"/>
              <w:rPr>
                <w:rFonts w:ascii="Times New Roman" w:hAnsi="Times New Roman" w:cs="宋体"/>
                <w:b/>
                <w:kern w:val="0"/>
                <w:sz w:val="18"/>
                <w:szCs w:val="18"/>
              </w:rPr>
            </w:pPr>
            <w:r>
              <w:rPr>
                <w:rFonts w:hint="eastAsia" w:ascii="Times New Roman" w:hAnsi="Times New Roman" w:cs="宋体"/>
                <w:b/>
                <w:kern w:val="0"/>
                <w:sz w:val="18"/>
                <w:szCs w:val="18"/>
              </w:rPr>
              <w:t>10≤X＜100</w:t>
            </w:r>
          </w:p>
        </w:tc>
        <w:tc>
          <w:tcPr>
            <w:tcW w:w="1412" w:type="dxa"/>
            <w:tcBorders>
              <w:top w:val="nil"/>
              <w:left w:val="nil"/>
              <w:bottom w:val="single" w:color="auto" w:sz="8" w:space="0"/>
              <w:right w:val="single" w:color="auto" w:sz="4" w:space="0"/>
            </w:tcBorders>
            <w:vAlign w:val="bottom"/>
          </w:tcPr>
          <w:p>
            <w:pPr>
              <w:widowControl/>
              <w:jc w:val="left"/>
              <w:rPr>
                <w:rFonts w:ascii="Times New Roman" w:hAnsi="Times New Roman" w:cs="宋体"/>
                <w:b/>
                <w:kern w:val="0"/>
                <w:sz w:val="18"/>
                <w:szCs w:val="18"/>
              </w:rPr>
            </w:pPr>
            <w:r>
              <w:rPr>
                <w:rFonts w:hint="eastAsia" w:ascii="Times New Roman" w:hAnsi="Times New Roman" w:cs="宋体"/>
                <w:b/>
                <w:kern w:val="0"/>
                <w:sz w:val="18"/>
                <w:szCs w:val="18"/>
              </w:rPr>
              <w:t>　</w:t>
            </w:r>
          </w:p>
        </w:tc>
        <w:tc>
          <w:tcPr>
            <w:tcW w:w="1451" w:type="dxa"/>
            <w:tcBorders>
              <w:top w:val="nil"/>
              <w:left w:val="nil"/>
              <w:bottom w:val="single" w:color="auto" w:sz="8" w:space="0"/>
              <w:right w:val="single" w:color="auto" w:sz="8" w:space="0"/>
            </w:tcBorders>
            <w:vAlign w:val="bottom"/>
          </w:tcPr>
          <w:p>
            <w:pPr>
              <w:widowControl/>
              <w:jc w:val="left"/>
              <w:rPr>
                <w:rFonts w:ascii="Times New Roman" w:hAnsi="Times New Roman" w:cs="宋体"/>
                <w:b/>
                <w:kern w:val="0"/>
                <w:sz w:val="18"/>
                <w:szCs w:val="18"/>
              </w:rPr>
            </w:pPr>
            <w:r>
              <w:rPr>
                <w:rFonts w:hint="eastAsia" w:ascii="Times New Roman" w:hAnsi="Times New Roman" w:cs="宋体"/>
                <w:b/>
                <w:kern w:val="0"/>
                <w:sz w:val="18"/>
                <w:szCs w:val="18"/>
              </w:rPr>
              <w:t>　</w:t>
            </w:r>
          </w:p>
        </w:tc>
        <w:tc>
          <w:tcPr>
            <w:tcW w:w="1226" w:type="dxa"/>
            <w:tcBorders>
              <w:top w:val="nil"/>
              <w:left w:val="nil"/>
              <w:bottom w:val="single" w:color="auto" w:sz="8" w:space="0"/>
              <w:right w:val="single" w:color="auto" w:sz="4" w:space="0"/>
            </w:tcBorders>
            <w:vAlign w:val="bottom"/>
          </w:tcPr>
          <w:p>
            <w:pPr>
              <w:widowControl/>
              <w:jc w:val="left"/>
              <w:rPr>
                <w:rFonts w:ascii="Times New Roman" w:hAnsi="Times New Roman" w:cs="宋体"/>
                <w:b/>
                <w:kern w:val="0"/>
                <w:sz w:val="18"/>
                <w:szCs w:val="18"/>
              </w:rPr>
            </w:pPr>
            <w:r>
              <w:rPr>
                <w:rFonts w:hint="eastAsia" w:ascii="Times New Roman" w:hAnsi="Times New Roman" w:cs="宋体"/>
                <w:b/>
                <w:kern w:val="0"/>
                <w:sz w:val="18"/>
                <w:szCs w:val="18"/>
              </w:rPr>
              <w:t>X＜10</w:t>
            </w:r>
          </w:p>
        </w:tc>
        <w:tc>
          <w:tcPr>
            <w:tcW w:w="1216" w:type="dxa"/>
            <w:tcBorders>
              <w:top w:val="nil"/>
              <w:left w:val="nil"/>
              <w:bottom w:val="single" w:color="auto" w:sz="8" w:space="0"/>
              <w:right w:val="single" w:color="auto" w:sz="4" w:space="0"/>
            </w:tcBorders>
            <w:vAlign w:val="bottom"/>
          </w:tcPr>
          <w:p>
            <w:pPr>
              <w:widowControl/>
              <w:jc w:val="left"/>
              <w:rPr>
                <w:rFonts w:ascii="Times New Roman" w:hAnsi="Times New Roman" w:cs="宋体"/>
                <w:b/>
                <w:kern w:val="0"/>
                <w:sz w:val="18"/>
                <w:szCs w:val="18"/>
              </w:rPr>
            </w:pPr>
            <w:r>
              <w:rPr>
                <w:rFonts w:hint="eastAsia" w:ascii="Times New Roman" w:hAnsi="Times New Roman" w:cs="宋体"/>
                <w:b/>
                <w:kern w:val="0"/>
                <w:sz w:val="18"/>
                <w:szCs w:val="18"/>
              </w:rPr>
              <w:t>　</w:t>
            </w:r>
          </w:p>
        </w:tc>
        <w:tc>
          <w:tcPr>
            <w:tcW w:w="1168" w:type="dxa"/>
            <w:tcBorders>
              <w:top w:val="nil"/>
              <w:left w:val="nil"/>
              <w:bottom w:val="single" w:color="auto" w:sz="8" w:space="0"/>
              <w:right w:val="single" w:color="auto" w:sz="8" w:space="0"/>
            </w:tcBorders>
            <w:vAlign w:val="bottom"/>
          </w:tcPr>
          <w:p>
            <w:pPr>
              <w:widowControl/>
              <w:jc w:val="left"/>
              <w:rPr>
                <w:rFonts w:ascii="Times New Roman" w:hAnsi="Times New Roman" w:cs="宋体"/>
                <w:b/>
                <w:kern w:val="0"/>
                <w:sz w:val="18"/>
                <w:szCs w:val="18"/>
              </w:rPr>
            </w:pPr>
            <w:r>
              <w:rPr>
                <w:rFonts w:hint="eastAsia" w:ascii="Times New Roman" w:hAnsi="Times New Roman" w:cs="宋体"/>
                <w:b/>
                <w:kern w:val="0"/>
                <w:sz w:val="18"/>
                <w:szCs w:val="18"/>
              </w:rPr>
              <w:t>　</w:t>
            </w:r>
          </w:p>
        </w:tc>
      </w:tr>
      <w:tr>
        <w:tblPrEx>
          <w:tblCellMar>
            <w:top w:w="0" w:type="dxa"/>
            <w:left w:w="108" w:type="dxa"/>
            <w:bottom w:w="0" w:type="dxa"/>
            <w:right w:w="108" w:type="dxa"/>
          </w:tblCellMar>
        </w:tblPrEx>
        <w:trPr>
          <w:trHeight w:val="60" w:hRule="atLeast"/>
        </w:trPr>
        <w:tc>
          <w:tcPr>
            <w:tcW w:w="14535" w:type="dxa"/>
            <w:gridSpan w:val="10"/>
            <w:tcBorders>
              <w:top w:val="nil"/>
              <w:left w:val="nil"/>
              <w:bottom w:val="nil"/>
              <w:right w:val="nil"/>
            </w:tcBorders>
            <w:vAlign w:val="bottom"/>
          </w:tcPr>
          <w:p>
            <w:pPr>
              <w:widowControl/>
              <w:jc w:val="left"/>
              <w:rPr>
                <w:rFonts w:ascii="Times New Roman" w:hAnsi="Times New Roman" w:cs="宋体"/>
                <w:kern w:val="0"/>
                <w:sz w:val="18"/>
                <w:szCs w:val="18"/>
              </w:rPr>
            </w:pPr>
            <w:r>
              <w:rPr>
                <w:rFonts w:hint="eastAsia" w:ascii="Times New Roman" w:hAnsi="Times New Roman" w:cs="宋体"/>
                <w:kern w:val="0"/>
                <w:sz w:val="18"/>
                <w:szCs w:val="18"/>
              </w:rPr>
              <w:t>说明　1、企业类型的划分以统计部门的统计数据为依据。</w:t>
            </w:r>
          </w:p>
          <w:p>
            <w:pPr>
              <w:widowControl/>
              <w:ind w:firstLine="540" w:firstLineChars="300"/>
              <w:jc w:val="left"/>
              <w:rPr>
                <w:rFonts w:ascii="Times New Roman" w:hAnsi="Times New Roman" w:cs="宋体"/>
                <w:kern w:val="0"/>
                <w:sz w:val="18"/>
                <w:szCs w:val="18"/>
              </w:rPr>
            </w:pPr>
            <w:r>
              <w:rPr>
                <w:rFonts w:hint="eastAsia" w:ascii="Times New Roman" w:hAnsi="Times New Roman" w:cs="宋体"/>
                <w:kern w:val="0"/>
                <w:sz w:val="18"/>
                <w:szCs w:val="18"/>
              </w:rPr>
              <w:t>2、个体工商户和本规定以外的行业，参照本规定进行划型。</w:t>
            </w:r>
          </w:p>
          <w:p>
            <w:pPr>
              <w:widowControl/>
              <w:ind w:firstLine="540" w:firstLineChars="300"/>
              <w:jc w:val="left"/>
              <w:rPr>
                <w:rFonts w:ascii="Times New Roman" w:hAnsi="Times New Roman" w:cs="宋体"/>
                <w:kern w:val="0"/>
                <w:sz w:val="18"/>
                <w:szCs w:val="18"/>
              </w:rPr>
            </w:pPr>
            <w:r>
              <w:rPr>
                <w:rFonts w:hint="eastAsia" w:ascii="Times New Roman" w:hAnsi="Times New Roman" w:cs="宋体"/>
                <w:kern w:val="0"/>
                <w:sz w:val="18"/>
                <w:szCs w:val="18"/>
              </w:rPr>
              <w:t>3、本规定的中型企业标准上限即为大型企业标准的下限。</w:t>
            </w:r>
          </w:p>
        </w:tc>
      </w:tr>
      <w:bookmarkEnd w:id="181"/>
    </w:tbl>
    <w:p/>
    <w:sectPr>
      <w:pgSz w:w="16838" w:h="11906" w:orient="landscape"/>
      <w:pgMar w:top="1134" w:right="1134" w:bottom="1134" w:left="1134"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Cambria">
    <w:panose1 w:val="02040503050406030204"/>
    <w:charset w:val="00"/>
    <w:family w:val="roman"/>
    <w:pitch w:val="default"/>
    <w:sig w:usb0="E00002FF" w:usb1="400004FF" w:usb2="00000000" w:usb3="00000000" w:csb0="2000019F" w:csb1="00000000"/>
  </w:font>
  <w:font w:name="??">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简体">
    <w:altName w:val="宋体"/>
    <w:panose1 w:val="00000000000000000000"/>
    <w:charset w:val="86"/>
    <w:family w:val="auto"/>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华文细黑">
    <w:panose1 w:val="02010600040101010101"/>
    <w:charset w:val="86"/>
    <w:family w:val="auto"/>
    <w:pitch w:val="default"/>
    <w:sig w:usb0="00000287" w:usb1="080F0000" w:usb2="00000000" w:usb3="00000000" w:csb0="0004009F" w:csb1="DFD70000"/>
  </w:font>
  <w:font w:name="华文中宋">
    <w:panose1 w:val="02010600040101010101"/>
    <w:charset w:val="86"/>
    <w:family w:val="auto"/>
    <w:pitch w:val="default"/>
    <w:sig w:usb0="00000287" w:usb1="080F0000" w:usb2="00000000" w:usb3="00000000" w:csb0="0004009F" w:csb1="DFD70000"/>
  </w:font>
  <w:font w:name="方正小标宋简体">
    <w:altName w:val="黑体"/>
    <w:panose1 w:val="02010601030101010101"/>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right"/>
    </w:pPr>
  </w:p>
  <w:p>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center"/>
    </w:pPr>
  </w:p>
  <w:p>
    <w:pPr>
      <w:pStyle w:val="3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cente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OsAOHoxAgAAYwQAAA4AAABkcnMvZTJvRG9jLnhtbK1US44TMRDdI3EH y3vSSRCjKEpnFCYKQoqYkQJi7bjdaUv+yXbSHQ4AN2DFhj3nyjl47k8GDSxmwcZddpVf1XtV7sVt oxU5CR+kNTmdjMaUCMNtIc0hp58+bl7NKAmRmYIpa0ROzyLQ2+XLF4vazcXUVlYVwhOAmDCvXU6r GN08ywKvhGZhZJ0wcJbWaxax9Yes8KwGulbZdDy+yWrrC+ctFyHgdN05aY/onwNoy1Jysbb8qIWJ HaoXikVQCpV0gS7bastS8HhflkFEonIKprFdkQT2Pq3ZcsHmB89cJXlfAntOCU84aSYNkl6h1iwy cvTyLygtubfBlnHErc46Iq0iYDEZP9FmVzEnWi6QOrir6OH/wfIPpwdPZIFJmFBimEbHL9+/XX78 uvz8SnAGgWoX5ojbOUTG5q1tEDycBxwm3k3pdfqCEYEf8p6v8oomEp4uzaaz2RguDt+wAX72eN35 EN8Jq0kycurRv1ZWdtqG2IUOISmbsRupVNtDZUid05vXb8bthasH4MogRyLRFZus2OybntneFmcQ 87abjeD4RiL5loX4wDyGAQXjucR7LKWySGJ7i5LK+i//Ok/x6BG8lNQYrpwavCVK1HuD3gEwDoYf jP1gmKO+s5hWtAO1tCYu+KgGs/RWf8YbWqUccDHDkSmncTDvYjfgeINcrFZt0NF5eai6C5g8x+LW 7BxPaZKQwa2OEWK2GieBOlV63TB7bZf6d5KG+899G/X4b1j+BlBLAwQKAAAAAACHTuJAAAAAAAAA AAAAAAAABgAAAF9yZWxzL1BLAwQUAAAACACHTuJAihRmPNEAAACUAQAACwAAAF9yZWxzLy5yZWxz pZDBasMwDIbvg72D0X1xmsMYo04vo9Br6R7A2IpjGltGMtn69vMOg2X0tqN+oe8T//7wmRa1Ikuk bGDX9aAwO/IxBwPvl+PTCyipNnu7UEYDNxQ4jI8P+zMutrYjmWMR1ShZDMy1lletxc2YrHRUMLfN RJxsbSMHXay72oB66Ptnzb8ZMG6Y6uQN8MkPoC630sx/2Ck6JqGpdo6SpmmK7h5VB7Zlju7INuEb uUazHLAa8CwaB2pZ134EfV+/+6fe00c+47rVfoeM649Xb7ocvwBQSwMEFAAAAAgAh07iQH7m5SD3 AAAA4QEAABMAAABbQ29udGVudF9UeXBlc10ueG1slZFBTsMwEEX3SNzB8hYlTrtACCXpgrRLQKgc YGRPEotkbHlMaG+Pk7YbRJFY2jP/vye73BzGQUwY2Dqq5CovpEDSzljqKvm+32UPUnAEMjA4wkoe keWmvr0p90ePLFKauJJ9jP5RKdY9jsC580hp0rowQkzH0CkP+gM6VOuiuFfaUUSKWZw7ZF022MLn EMX2kK5PJgEHluLptDizKgneD1ZDTKZqIvODkp0JeUouO9xbz3dJQ6pfCfPkOuCce0lPE6xB8Qoh PsOYNJQJrIz7ooBT/nfJbDly5trWasybwE2KveF0sbrWjmvXOP3f8u2SunSr5YPqb1BLAQIUABQA AAAIAIdO4kB+5uUg9wAAAOEBAAATAAAAAAAAAAEAIAAAAJoEAABbQ29udGVudF9UeXBlc10ueG1s UEsBAhQACgAAAAAAh07iQAAAAAAAAAAAAAAAAAYAAAAAAAAAAAAQAAAAfAMAAF9yZWxzL1BLAQIU ABQAAAAIAIdO4kCKFGY80QAAAJQBAAALAAAAAAAAAAEAIAAAAKADAABfcmVscy8ucmVsc1BLAQIU AAoAAAAAAIdO4kAAAAAAAAAAAAAAAAAEAAAAAAAAAAAAEAAAAAAAAABkcnMvUEsBAhQAFAAAAAgA h07iQLNJWO7QAAAABQEAAA8AAAAAAAAAAQAgAAAAIgAAAGRycy9kb3ducmV2LnhtbFBLAQIUABQA AAAIAIdO4kDrADh6MQIAAGMEAAAOAAAAAAAAAAEAIAAAAB8BAABkcnMvZTJvRG9jLnhtbFBLBQYA AAAABgAGAFkBAADCBQAAAAA= ">
              <v:fill on="f" focussize="0,0"/>
              <v:stroke on="f" weight="0.5pt"/>
              <v:imagedata o:title=""/>
              <o:lock v:ext="edit" aspectratio="f"/>
              <v:textbox inset="0mm,0mm,0mm,0mm" style="mso-fit-shape-to-text:t;">
                <w:txbxContent>
                  <w:p>
                    <w:pPr>
                      <w:pStyle w:val="32"/>
                    </w:pPr>
                    <w:r>
                      <w:fldChar w:fldCharType="begin"/>
                    </w:r>
                    <w:r>
                      <w:instrText xml:space="preserve"> PAGE  \* MERGEFORMAT </w:instrText>
                    </w:r>
                    <w:r>
                      <w:fldChar w:fldCharType="separate"/>
                    </w:r>
                    <w:r>
                      <w:t>1</w:t>
                    </w:r>
                    <w:r>
                      <w:fldChar w:fldCharType="end"/>
                    </w:r>
                  </w:p>
                </w:txbxContent>
              </v:textbox>
            </v:shape>
          </w:pict>
        </mc:Fallback>
      </mc:AlternateContent>
    </w:r>
  </w:p>
  <w:p>
    <w:pPr>
      <w:pStyle w:val="32"/>
      <w:tabs>
        <w:tab w:val="clear" w:pos="4153"/>
      </w:tabs>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AKVIPQyAgAAYQQAAA4AAABkcnMvZTJvRG9jLnhtbK1UzY7TMBC+I/EO lu80aRGrbtV0VbYqQqrYlRbE2XWcJpL/ZLtNygPAG3Diwp3n6nPw2Wm6aOGwBy7O2DP+xt83M5nf dEqSg3C+Mbqg41FOidDclI3eFfTTx/WrKSU+MF0yabQo6FF4erN4+WLe2pmYmNrIUjgCEO1nrS1o HYKdZZnntVDMj4wVGs7KOMUCtm6XlY61QFcym+T5VdYaV1pnuPAep6veSc+I7jmApqoaLlaG75XQ oUd1QrIASr5urKeL9NqqEjzcVZUXgciCgmlIK5LA3sY1W8zZbOeYrRt+fgJ7zhOecFKs0Uh6gVqx wMjeNX9BqYY7400VRtyorCeSFAGLcf5Em4eaWZG4QGpvL6L7/wfLPxzuHWnKgl5ToplCwU/fv51+ /Dr9/Equozyt9TNEPVjEhe6t6dA0w7nHYWTdVU7FL/gQ+CHu8SKu6ALh8dJ0Mp3mcHH4hg3ws8fr 1vnwThhFolFQh+olUdlh40MfOoTEbNqsGylTBaUmbUGvXr/J04WLB+BSI0ck0T82WqHbdmdmW1Me QcyZvjO85esGyTfMh3vm0Ap4MIYl3GGppEESc7YoqY378q/zGI8KwUtJi9YqqMYkUSLfa1QOgGEw 3GBsB0Pv1a1Br44xhJYnExdckINZOaM+Y4KWMQdcTHNkKmgYzNvQtzcmkIvlMgXtrWt2dX8BfWdZ 2OgHy2OaKKS3y32AmEnjKFCvylk3dF6q0nlKYmv/uU9Rj3+GxW9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CzSVju0AAAAAUBAAAPAAAAAAAAAAEAIAAAACIAAABkcnMvZG93bnJldi54bWxQSwECFAAU AAAACACHTuJAApUg9DICAABhBAAADgAAAAAAAAABACAAAAAfAQAAZHJzL2Uyb0RvYy54bWxQSwUG AAAAAAYABgBZAQAAwwUAAAAA ">
              <v:fill on="f" focussize="0,0"/>
              <v:stroke on="f" weight="0.5pt"/>
              <v:imagedata o:title=""/>
              <o:lock v:ext="edit" aspectratio="f"/>
              <v:textbox inset="0mm,0mm,0mm,0mm" style="mso-fit-shape-to-text:t;">
                <w:txbxContent>
                  <w:p>
                    <w:pPr>
                      <w:pStyle w:val="22"/>
                    </w:pPr>
                    <w:r>
                      <w:fldChar w:fldCharType="begin"/>
                    </w:r>
                    <w:r>
                      <w:instrText xml:space="preserve"> PAGE  \* MERGEFORMAT </w:instrText>
                    </w:r>
                    <w:r>
                      <w:fldChar w:fldCharType="separate"/>
                    </w:r>
                    <w:r>
                      <w:t>1</w:t>
                    </w:r>
                    <w:r>
                      <w:fldChar w:fldCharType="end"/>
                    </w:r>
                  </w:p>
                </w:txbxContent>
              </v:textbox>
            </v:shape>
          </w:pict>
        </mc:Fallback>
      </mc:AlternateContent>
    </w:r>
  </w:p>
  <w:p>
    <w:pPr>
      <w:pStyle w:val="3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Gz+8ZExAgAAYwQAAA4AAABkcnMvZTJvRG9jLnhtbK1US44TMRDdI3EH y3vSSRCjKEpnFCYKQoqYkQJi7bjdaUv+yXbSHQ4AN2DFhj3nyjl47k8GDSxmwcZddpVf+b2q6sVt oxU5CR+kNTmdjMaUCMNtIc0hp58+bl7NKAmRmYIpa0ROzyLQ2+XLF4vazcXUVlYVwhOAmDCvXU6r GN08ywKvhGZhZJ0wcJbWaxax9Yes8KwGulbZdDy+yWrrC+ctFyHgdN05aY/onwNoy1Jysbb8qIWJ HaoXikVQCpV0gS7b15al4PG+LIOIROUUTGO7IgnsfVqz5YLND565SvL+Cew5T3jCSTNpkPQKtWaR kaOXf0Fpyb0NtowjbnXWEWkVAYvJ+Ik2u4o50XKB1MFdRQ//D5Z/OD14Igt0wpQSwzQqfvn+7fLj 1+XnV4IzCFS7MEfcziEyNm9tg+DhPOAw8W5Kr9MXjAj8kPd8lVc0kfB0aTadzcZwcfiGDfCzx+vO h/hOWE2SkVOP+rWystM2xC50CEnZjN1IpdoaKkPqnN68fjNuL1w9AFcGORKJ7rHJis2+6ZntbXEG MW+73giObySSb1mID8yjGfBgjEu8x1IqiyS2tyiprP/yr/MUjxrBS0mN5sqpwSxRot4b1A6AcTD8 YOwHwxz1nUW3TjCGjrcmLvioBrP0Vn/GDK1SDriY4ciU0ziYd7FrcMwgF6tVG3R0Xh6q7gI6z7G4 NTvHU5okZHCrY4SYrcZJoE6VXjf0Xlulfk5Sc/+5b6Me/w3L31BLAwQKAAAAAACHTuJAAAAAAAAA AAAAAAAABgAAAF9yZWxzL1BLAwQUAAAACACHTuJAihRmPNEAAACUAQAACwAAAF9yZWxzLy5yZWxz pZDBasMwDIbvg72D0X1xmsMYo04vo9Br6R7A2IpjGltGMtn69vMOg2X0tqN+oe8T//7wmRa1Ikuk bGDX9aAwO/IxBwPvl+PTCyipNnu7UEYDNxQ4jI8P+zMutrYjmWMR1ShZDMy1lletxc2YrHRUMLfN RJxsbSMHXay72oB66Ptnzb8ZMG6Y6uQN8MkPoC630sx/2Ck6JqGpdo6SpmmK7h5VB7Zlju7INuEb uUazHLAa8CwaB2pZ134EfV+/+6fe00c+47rVfoeM649Xb7ocvwBQSwMEFAAAAAgAh07iQH7m5SD3 AAAA4QEAABMAAABbQ29udGVudF9UeXBlc10ueG1slZFBTsMwEEX3SNzB8hYlTrtACCXpgrRLQKgc YGRPEotkbHlMaG+Pk7YbRJFY2jP/vye73BzGQUwY2Dqq5CovpEDSzljqKvm+32UPUnAEMjA4wkoe keWmvr0p90ePLFKauJJ9jP5RKdY9jsC580hp0rowQkzH0CkP+gM6VOuiuFfaUUSKWZw7ZF022MLn EMX2kK5PJgEHluLptDizKgneD1ZDTKZqIvODkp0JeUouO9xbz3dJQ6pfCfPkOuCce0lPE6xB8Qoh PsOYNJQJrIz7ooBT/nfJbDly5trWasybwE2KveF0sbrWjmvXOP3f8u2SunSr5YPqb1BLAQIUABQA AAAIAIdO4kB+5uUg9wAAAOEBAAATAAAAAAAAAAEAIAAAAJoEAABbQ29udGVudF9UeXBlc10ueG1s UEsBAhQACgAAAAAAh07iQAAAAAAAAAAAAAAAAAYAAAAAAAAAAAAQAAAAfAMAAF9yZWxzL1BLAQIU ABQAAAAIAIdO4kCKFGY80QAAAJQBAAALAAAAAAAAAAEAIAAAAKADAABfcmVscy8ucmVsc1BLAQIU AAoAAAAAAIdO4kAAAAAAAAAAAAAAAAAEAAAAAAAAAAAAEAAAAAAAAABkcnMvUEsBAhQAFAAAAAgA h07iQLNJWO7QAAAABQEAAA8AAAAAAAAAAQAgAAAAIgAAAGRycy9kb3ducmV2LnhtbFBLAQIUABQA AAAIAIdO4kBs/vGRMQIAAGMEAAAOAAAAAAAAAAEAIAAAAB8BAABkcnMvZTJvRG9jLnhtbFBLBQYA AAAABgAGAFkBAADCBQAAAAA= ">
              <v:fill on="f" focussize="0,0"/>
              <v:stroke on="f" weight="0.5pt"/>
              <v:imagedata o:title=""/>
              <o:lock v:ext="edit" aspectratio="f"/>
              <v:textbox inset="0mm,0mm,0mm,0mm" style="mso-fit-shape-to-text:t;">
                <w:txbxContent>
                  <w:p>
                    <w:pPr>
                      <w:pStyle w:val="32"/>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30737252"/>
                          </w:sdtPr>
                          <w:sdtContent>
                            <w:p>
                              <w:pPr>
                                <w:pStyle w:val="32"/>
                                <w:jc w:val="center"/>
                              </w:pPr>
                            </w:p>
                          </w:sdtContent>
                        </w:sdt>
                        <w:p>
                          <w:pPr>
                            <w:pStyle w:val="2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Kmor5UxAgAAYwQAAA4AAABkcnMvZTJvRG9jLnhtbK1US44TMRDdI3EH y3vSSRCjKEpnFCYKQoqYkQJi7bjdaUv+yXbSHQ4AN2DFhj3nyjl47k8GDSxmwcZddpVf+b2q6sVt oxU5CR+kNTmdjMaUCMNtIc0hp58+bl7NKAmRmYIpa0ROzyLQ2+XLF4vazcXUVlYVwhOAmDCvXU6r GN08ywKvhGZhZJ0wcJbWaxax9Yes8KwGulbZdDy+yWrrC+ctFyHgdN05aY/onwNoy1Jysbb8qIWJ HaoXikVQCpV0gS7b15al4PG+LIOIROUUTGO7IgnsfVqz5YLND565SvL+Cew5T3jCSTNpkPQKtWaR kaOXf0Fpyb0NtowjbnXWEWkVAYvJ+Ik2u4o50XKB1MFdRQ//D5Z/OD14Igt0AiQxTKPil+/fLj9+ XX5+JTiDQLULc8TtHCJj89Y2CB7OAw4T76b0On3BiMAPrPNVXtFEwtOl2XQ2G8PF4Rs2wM8erzsf 4jthNUlGTj3q18rKTtsQu9AhJGUzdiOVamuoDKlzevP6zbi9cPUAXBnkSCS6xyYrNvumZ7a3xRnE vO16Izi+kUi+ZSE+MI9mwIMxLvEeS6ksktjeoqSy/su/zlM8agQvJTWaK6cGs0SJem9QOwDGwfCD sR8Mc9R3Ft06wRg63pq44KMazNJb/RkztEo54GKGI1NO42Dexa7BMYNcrFZt0NF5eai6C+g8x+LW 7BxPaZKQwa2OEWK2GieBOlV63dB7bZX6OUnN/ee+jXr8Nyx/A1BLAwQKAAAAAACHTuJAAAAAAAAA AAAAAAAABgAAAF9yZWxzL1BLAwQUAAAACACHTuJAihRmPNEAAACUAQAACwAAAF9yZWxzLy5yZWxz pZDBasMwDIbvg72D0X1xmsMYo04vo9Br6R7A2IpjGltGMtn69vMOg2X0tqN+oe8T//7wmRa1Ikuk bGDX9aAwO/IxBwPvl+PTCyipNnu7UEYDNxQ4jI8P+zMutrYjmWMR1ShZDMy1lletxc2YrHRUMLfN RJxsbSMHXay72oB66Ptnzb8ZMG6Y6uQN8MkPoC630sx/2Ck6JqGpdo6SpmmK7h5VB7Zlju7INuEb uUazHLAa8CwaB2pZ134EfV+/+6fe00c+47rVfoeM649Xb7ocvwBQSwMEFAAAAAgAh07iQH7m5SD3 AAAA4QEAABMAAABbQ29udGVudF9UeXBlc10ueG1slZFBTsMwEEX3SNzB8hYlTrtACCXpgrRLQKgc YGRPEotkbHlMaG+Pk7YbRJFY2jP/vye73BzGQUwY2Dqq5CovpEDSzljqKvm+32UPUnAEMjA4wkoe keWmvr0p90ePLFKauJJ9jP5RKdY9jsC580hp0rowQkzH0CkP+gM6VOuiuFfaUUSKWZw7ZF022MLn EMX2kK5PJgEHluLptDizKgneD1ZDTKZqIvODkp0JeUouO9xbz3dJQ6pfCfPkOuCce0lPE6xB8Qoh PsOYNJQJrIz7ooBT/nfJbDly5trWasybwE2KveF0sbrWjmvXOP3f8u2SunSr5YPqb1BLAQIUABQA AAAIAIdO4kB+5uUg9wAAAOEBAAATAAAAAAAAAAEAIAAAAJoEAABbQ29udGVudF9UeXBlc10ueG1s UEsBAhQACgAAAAAAh07iQAAAAAAAAAAAAAAAAAYAAAAAAAAAAAAQAAAAfAMAAF9yZWxzL1BLAQIU ABQAAAAIAIdO4kCKFGY80QAAAJQBAAALAAAAAAAAAAEAIAAAAKADAABfcmVscy8ucmVsc1BLAQIU AAoAAAAAAIdO4kAAAAAAAAAAAAAAAAAEAAAAAAAAAAAAEAAAAAAAAABkcnMvUEsBAhQAFAAAAAgA h07iQLNJWO7QAAAABQEAAA8AAAAAAAAAAQAgAAAAIgAAAGRycy9kb3ducmV2LnhtbFBLAQIUABQA AAAIAIdO4kCpqK+VMQIAAGMEAAAOAAAAAAAAAAEAIAAAAB8BAABkcnMvZTJvRG9jLnhtbFBLBQYA AAAABgAGAFkBAADCBQAAAAA= ">
              <v:fill on="f" focussize="0,0"/>
              <v:stroke on="f" weight="0.5pt"/>
              <v:imagedata o:title=""/>
              <o:lock v:ext="edit" aspectratio="f"/>
              <v:textbox inset="0mm,0mm,0mm,0mm" style="mso-fit-shape-to-text:t;">
                <w:txbxContent>
                  <w:sdt>
                    <w:sdtPr>
                      <w:id w:val="30737252"/>
                    </w:sdtPr>
                    <w:sdtContent>
                      <w:p>
                        <w:pPr>
                          <w:pStyle w:val="32"/>
                          <w:jc w:val="center"/>
                        </w:pPr>
                      </w:p>
                    </w:sdtContent>
                  </w:sdt>
                  <w:p>
                    <w:pPr>
                      <w:pStyle w:val="22"/>
                    </w:pPr>
                  </w:p>
                </w:txbxContent>
              </v:textbox>
            </v:shape>
          </w:pict>
        </mc:Fallback>
      </mc:AlternateContent>
    </w:r>
  </w:p>
  <w:p>
    <w:pPr>
      <w:pStyle w:val="32"/>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20650" cy="154940"/>
              <wp:effectExtent l="0" t="0" r="0" b="0"/>
              <wp:wrapNone/>
              <wp:docPr id="2" name="Text Box 2"/>
              <wp:cNvGraphicFramePr/>
              <a:graphic xmlns:a="http://schemas.openxmlformats.org/drawingml/2006/main">
                <a:graphicData uri="http://schemas.microsoft.com/office/word/2010/wordprocessingShape">
                  <wps:wsp>
                    <wps:cNvSpPr txBox="1">
                      <a:spLocks noChangeArrowheads="1"/>
                    </wps:cNvSpPr>
                    <wps:spPr bwMode="auto">
                      <a:xfrm>
                        <a:off x="0" y="0"/>
                        <a:ext cx="120650" cy="154940"/>
                      </a:xfrm>
                      <a:prstGeom prst="rect">
                        <a:avLst/>
                      </a:prstGeom>
                      <a:noFill/>
                      <a:ln>
                        <a:noFill/>
                      </a:ln>
                    </wps:spPr>
                    <wps:txbx>
                      <w:txbxContent>
                        <w:p>
                          <w:pPr>
                            <w:pStyle w:val="32"/>
                          </w:pPr>
                          <w:r>
                            <w:fldChar w:fldCharType="begin"/>
                          </w:r>
                          <w:r>
                            <w:instrText xml:space="preserve"> PAGE  \* MERGEFORMAT </w:instrText>
                          </w:r>
                          <w:r>
                            <w:fldChar w:fldCharType="separate"/>
                          </w:r>
                          <w:r>
                            <w:t>1</w:t>
                          </w:r>
                          <w:r>
                            <w:fldChar w:fldCharType="end"/>
                          </w:r>
                        </w:p>
                      </w:txbxContent>
                    </wps:txbx>
                    <wps:bodyPr rot="0" vert="horz" wrap="none" lIns="0" tIns="0" rIns="0" bIns="0" anchor="t" anchorCtr="0" upright="1">
                      <a:spAutoFit/>
                    </wps:bodyPr>
                  </wps:wsp>
                </a:graphicData>
              </a:graphic>
            </wp:anchor>
          </w:drawing>
        </mc:Choice>
        <mc:Fallback>
          <w:pict>
            <v:shape id="Text Box 2" o:spid="_x0000_s1026" o:spt="202" type="#_x0000_t202" style="position:absolute;left:0pt;margin-top:0pt;height:12.2pt;width:9.5pt;mso-position-horizontal:center;mso-position-horizontal-relative:margin;mso-wrap-style:none;z-index:251663360;mso-width-relative:page;mso-height-relative:page;" filled="f" stroked="f" coordsize="21600,21600" o:gfxdata="UEsDBAoAAAAAAIdO4kAAAAAAAAAAAAAAAAAEAAAAZHJzL1BLAwQUAAAACACHTuJA7278y9AAAAAD AQAADwAAAGRycy9kb3ducmV2LnhtbE2PwWrDMBBE74X+g9hCb42cENLEsZxDoJfempRCboq1sUyl lZEUx/77bnppLwPDLDNvq93onRgwpi6QgvmsAIHUBNNRq+Dz+PayBpGyJqNdIFQwYYJd/fhQ6dKE G33gcMit4BJKpVZgc+5LKVNj0es0Cz0SZ5cQvc5sYytN1Dcu904uimIlve6IF6zucW+x+T5cvYLX 8Stgn3CPp8vQRNtNa/c+KfX8NC+2IDKO+e8Y7viMDjUzncOVTBJOAT+Sf/WebdidFSyWS5B1Jf+z 1z9QSwMEFAAAAAgAh07iQCcaM6b5AQAAAQQAAA4AAABkcnMvZTJvRG9jLnhtbK1TTW/bMAy9D9h/ EHRfnARtsRlxiq5BhgHdB9DuBzCyHAuzRIFSYme/fpQcZ1136WEXgZKox/ceqdXtYDtx1BQMukou ZnMptFNYG7ev5I+n7bv3UoQIroYOna7kSQd5u377ZtX7Ui+xxa7WJBjEhbL3lWxj9GVRBNVqC2GG Xju+bJAsRN7SvqgJeka3XbGcz2+KHqn2hEqHwKeb8VKeEek1gNg0RukNqoPVLo6opDuILCm0xge5 zmybRqv4rWmCjqKrJCuNeeUiHO/SWqxXUO4JfGvUmQK8hsILTRaM46IXqA1EEAcy/0BZowgDNnGm 0BajkOwIq1jMX3jz2ILXWQtbHfzF9PD/YNXX43cSpq7kUgoHlhv+pIcoPuIglsmd3oeSkx49p8WB j3lmstLgH1D9DMLhfQtur++IsG811MxukV4Wz56OOCGB7PovWHMZOETMQENDNlnHZghG586cLp1J VFQquZzfXPON4qvF9dWHq9y5AsrpsacQP2m0IgWVJG58BofjQ4iJDJRTSqrlcGu6Lje/c38dcGI6 yeQT35F5HHbD2Ywd1ieWQTjOEv8kDlqkX1L0PEeVdPxtpOg+OzYijdwU0BTspgCc4oeVjFKM4X0c R/Pgyexbxp2svmOztiYLSa6OHM4seTKyvvMUp9F7vs9Zf37u+jd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BiBAAAW0NvbnRlbnRfVHlwZXNdLnht bFBLAQIUAAoAAAAAAIdO4kAAAAAAAAAAAAAAAAAGAAAAAAAAAAAAEAAAAEQDAABfcmVscy9QSwEC FAAUAAAACACHTuJAihRmPNEAAACUAQAACwAAAAAAAAABACAAAABoAwAAX3JlbHMvLnJlbHNQSwEC FAAKAAAAAACHTuJAAAAAAAAAAAAAAAAABAAAAAAAAAAAABAAAAAAAAAAZHJzL1BLAQIUABQAAAAI AIdO4kDvbvzL0AAAAAMBAAAPAAAAAAAAAAEAIAAAACIAAABkcnMvZG93bnJldi54bWxQSwECFAAU AAAACACHTuJAJxozpvkBAAABBAAADgAAAAAAAAABACAAAAAfAQAAZHJzL2Uyb0RvYy54bWxQSwUG AAAAAAYABgBZAQAAigUAAAAA ">
              <v:fill on="f" focussize="0,0"/>
              <v:stroke on="f"/>
              <v:imagedata o:title=""/>
              <o:lock v:ext="edit" aspectratio="f"/>
              <v:textbox inset="0mm,0mm,0mm,0mm" style="mso-fit-shape-to-text:t;">
                <w:txbxContent>
                  <w:p>
                    <w:pPr>
                      <w:pStyle w:val="3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jc w:val="right"/>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20650" cy="154940"/>
              <wp:effectExtent l="0" t="0" r="6350" b="10160"/>
              <wp:wrapNone/>
              <wp:docPr id="4" name="文本框 4"/>
              <wp:cNvGraphicFramePr/>
              <a:graphic xmlns:a="http://schemas.openxmlformats.org/drawingml/2006/main">
                <a:graphicData uri="http://schemas.microsoft.com/office/word/2010/wordprocessingShape">
                  <wps:wsp>
                    <wps:cNvSpPr txBox="1"/>
                    <wps:spPr>
                      <a:xfrm>
                        <a:off x="0" y="0"/>
                        <a:ext cx="120650" cy="154940"/>
                      </a:xfrm>
                      <a:prstGeom prst="rect">
                        <a:avLst/>
                      </a:prstGeom>
                      <a:noFill/>
                      <a:ln w="6350">
                        <a:noFill/>
                      </a:ln>
                      <a:effectLst/>
                    </wps:spPr>
                    <wps:txbx>
                      <w:txbxContent>
                        <w:p>
                          <w:pPr>
                            <w:pStyle w:val="32"/>
                            <w:jc w:val="right"/>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2.2pt;width:9.5pt;mso-position-horizontal:center;mso-position-horizontal-relative:margin;mso-wrap-style:none;z-index:251659264;mso-width-relative:page;mso-height-relative:page;" filled="f" stroked="f" coordsize="21600,21600" o:gfxdata="UEsDBAoAAAAAAIdO4kAAAAAAAAAAAAAAAAAEAAAAZHJzL1BLAwQUAAAACACHTuJACVfj99EAAAAD AQAADwAAAGRycy9kb3ducmV2LnhtbE2PwU7DMBBE70j8g7VI3KjTEiFI41SiIhyRaDhw3MbbJGCv I9tNw9/jcqGXkUazmnlbbmZrxEQ+DI4VLBcZCOLW6YE7BR9NffcIIkRkjcYxKfihAJvq+qrEQrsT v9O0i51IJRwKVNDHOBZShrYni2HhRuKUHZy3GJP1ndQeT6ncGrnKsgdpceC00ONI257a793RKtjW TeMnCt580mt9//X2nNPLrNTtzTJbg4g0x/9jOOMndKgS094dWQdhFKRH4p+es6fk9gpWeQ6yKuUl e/ULUEsDBBQAAAAIAIdO4kAcWG4eNAIAAGEEAAAOAAAAZHJzL2Uyb0RvYy54bWytVM2O0zAQviPx DpbvNO3SraBquipbFSFV7EoFcXYdp4nkP9luk/IA8AacuHDnufocfHaaLiwc9sDFGXvG38z3eSaz m1ZJchDO10bndDQYUiI0N0Wtdzn9+GH14hUlPjBdMGm0yOlReHozf/5s1tipuDKVkYVwBCDaTxub 0yoEO80yzyuhmB8YKzScpXGKBWzdLisca4CuZHY1HE6yxrjCOsOF9zhddk56RnRPATRlWXOxNHyv hA4dqhOSBVDyVW09nadqy1LwcFeWXgQicwqmIa1IAnsb12w+Y9OdY7aq+bkE9pQSHnFSrNZIeoFa ssDI3tV/QamaO+NNGQbcqKwjkhQBi9HwkTabilmRuEBqby+i+/8Hy98f7h2pi5yOKdFM4cFP376e vv88/fhCxlGexvopojYWcaF9Y1o0TX/ucRhZt6VT8Qs+BH6Ie7yIK9pAeLx0NZxcw8PhGl2PX4+T +NnDZet8eCuMItHIqcPbJUnZYe0DCkFoHxJzabOqpUzvJzVpcjp5Cfg/PLghdTwRqRPOMJFQV3i0 Qrttzyy3pjiCpDNdl3jLVzVKWTMf7plDW6B6DE64w1JKg5TmbFFSGff5X+cxHq8FLyUN2iynGlNF iXyn8YoADL3hemPbG3qvbg36doSBtDyZuOCC7M3SGfUJ07SIOeBimiNTTkNv3oau1TGNXCwWKQh9 Z1lY643lETrK4+1iHyBnUjmK0ikByeMGnZfEP09JbO3f9ynq4c8w/wVQSwMECgAAAAAAh07iQAAA AAAAAAAAAAAAAAYAAABfcmVscy9QSwMEFAAAAAgAh07iQIoUZjzRAAAAlAEAAAsAAABfcmVscy8u cmVsc6WQwWrDMAyG74O9g9F9cZrDGKNOL6PQa+kewNiKYxpbRjLZ+vbzDoNl9LajfqHvE//+8JkW tSJLpGxg1/WgMDvyMQcD75fj0wsoqTZ7u1BGAzcUOIyPD/szLra2I5ljEdUoWQzMtZZXrcXNmKx0 VDC3zUScbG0jB12su9qAeuj7Z82/GTBumOrkDfDJD6Aut9LMf9gpOiahqXaOkqZpiu4eVQe2ZY7u yDbhG7lGsxywGvAsGgdqWdd+BH1fv/un3tNHPuO61X6HjOuPV2+6HL8AUEsDBBQAAAAIAIdO4kB+ 5uUg9wAAAOEBAAATAAAAW0NvbnRlbnRfVHlwZXNdLnhtbJWRQU7DMBBF90jcwfIWJU67QAgl6YK0 S0CoHGBkTxKLZGx5TGhvj5O2G0SRWNoz/78nu9wcxkFMGNg6quQqL6RA0s5Y6ir5vt9lD1JwBDIw OMJKHpHlpr69KfdHjyxSmriSfYz+USnWPY7AufNIadK6MEJMx9ApD/oDOlTrorhX2lFEilmcO2Rd NtjC5xDF9pCuTyYBB5bi6bQ4syoJ3g9WQ0ymaiLzg5KdCXlKLjvcW893SUOqXwnz5DrgnHtJTxOs QfEKIT7DmDSUCayM+6KAU/53yWw5cuba1mrMm8BNir3hdLG61o5r1zj93/Ltkrp0q+WD6m9QSwEC FAAUAAAACACHTuJAfublIPcAAADhAQAAEwAAAAAAAAABACAAAACeBAAAW0NvbnRlbnRfVHlwZXNd LnhtbFBLAQIUAAoAAAAAAIdO4kAAAAAAAAAAAAAAAAAGAAAAAAAAAAAAEAAAAIADAABfcmVscy9Q SwECFAAUAAAACACHTuJAihRmPNEAAACUAQAACwAAAAAAAAABACAAAACkAwAAX3JlbHMvLnJlbHNQ SwECFAAKAAAAAACHTuJAAAAAAAAAAAAAAAAABAAAAAAAAAAAABAAAAAAAAAAZHJzL1BLAQIUABQA AAAIAIdO4kAJV+P30QAAAAMBAAAPAAAAAAAAAAEAIAAAACIAAABkcnMvZG93bnJldi54bWxQSwEC FAAUAAAACACHTuJAHFhuHjQCAABhBAAADgAAAAAAAAABACAAAAAgAQAAZHJzL2Uyb0RvYy54bWxQ SwUGAAAAAAYABgBZAQAAxgUAAAAA ">
              <v:fill on="f" focussize="0,0"/>
              <v:stroke on="f" weight="0.5pt"/>
              <v:imagedata o:title=""/>
              <o:lock v:ext="edit" aspectratio="f"/>
              <v:textbox inset="0mm,0mm,0mm,0mm" style="mso-fit-shape-to-text:t;">
                <w:txbxContent>
                  <w:p>
                    <w:pPr>
                      <w:pStyle w:val="32"/>
                      <w:jc w:val="right"/>
                    </w:pPr>
                    <w:r>
                      <w:fldChar w:fldCharType="begin"/>
                    </w:r>
                    <w:r>
                      <w:instrText xml:space="preserve"> PAGE  \* MERGEFORMAT </w:instrText>
                    </w:r>
                    <w:r>
                      <w:fldChar w:fldCharType="separate"/>
                    </w:r>
                    <w:r>
                      <w:t>1</w:t>
                    </w:r>
                    <w:r>
                      <w:fldChar w:fldCharType="end"/>
                    </w:r>
                  </w:p>
                </w:txbxContent>
              </v:textbox>
            </v:shape>
          </w:pict>
        </mc:Fallback>
      </mc:AlternateContent>
    </w:r>
  </w:p>
  <w:p>
    <w:pPr>
      <w:pStyle w:val="32"/>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ind w:firstLine="360"/>
      <w:jc w:val="cente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CMFE50yAgAAYwQAAA4AAABkcnMvZTJvRG9jLnhtbK1UzY7TMBC+I/EO lu80aYFVVTVdla2KkCp2pQVxdh2nseQ/2W6T8gDwBpy4cN/n6nPwOWm6aOGwBy7O2DP+xt83M5lf t1qRg/BBWlPQ8SinRBhuS2l2Bf38af1qSkmIzJRMWSMKehSBXi9evpg3biYmtraqFJ4AxIRZ4wpa x+hmWRZ4LTQLI+uEgbOyXrOIrd9lpWcN0LXKJnl+lTXWl85bLkLA6ap30jOifw6grSrJxcryvRYm 9qheKBZBKdTSBbroXltVgsfbqgoiElVQMI3diiSwt2nNFnM223nmasnPT2DPecITTppJg6QXqBWL jOy9/AtKS+5tsFUccauznkinCFiM8yfa3NfMiY4LpA7uInr4f7D84+HOE1miE95QYphGxU8/vp9+ Ppx+fSM4g0CNCzPE3TtExvadbRE8nAccJt5t5XX6ghGBH/IeL/KKNhKeLk0n02kOF4dv2AA/e7zu fIjvhdUkGQX1qF8nKztsQuxDh5CUzdi1VKqroTKkKejV67d5d+HiAbgyyJFI9I9NVmy37ZnZ1pZH EPO2743g+Foi+YaFeMc8mgEPxrjEWyyVskhizxYltfVf/3We4lEjeClp0FwFNZglStQHg9oBMA6G H4ztYJi9vrHo1jHG0PHOxAUf1WBW3uovmKFlygEXMxyZChoH8yb2DY4Z5GK57IL2zstd3V9A5zkW N+be8ZQmCRncch8hZqdxEqhX5awbeq+r0nlOUnP/ue+iHv8Ni99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CzSVju0AAAAAUBAAAPAAAAAAAAAAEAIAAAACIAAABkcnMvZG93bnJldi54bWxQSwECFAAU AAAACACHTuJAIwUTnTICAABjBAAADgAAAAAAAAABACAAAAAfAQAAZHJzL2Uyb0RvYy54bWxQSwUG AAAAAAYABgBZAQAAwwUAAAAA ">
              <v:fill on="f" focussize="0,0"/>
              <v:stroke on="f" weight="0.5pt"/>
              <v:imagedata o:title=""/>
              <o:lock v:ext="edit" aspectratio="f"/>
              <v:textbox inset="0mm,0mm,0mm,0mm" style="mso-fit-shape-to-text:t;">
                <w:txbxContent>
                  <w:p>
                    <w:pPr>
                      <w:pStyle w:val="32"/>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2"/>
                            <w:ind w:firstLine="360"/>
                            <w:jc w:val="center"/>
                          </w:pPr>
                        </w:p>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PWLh2QyAgAAYQQAAA4AAABkcnMvZTJvRG9jLnhtbK1UzY7TMBC+I/EO lu80aRG7VdV0VbYqQqrYlRbE2XWcJpL/ZLtNygPAG3Diwp3n6nPw2Wm6aOGwBy7O2DP+xt83M5nf dEqSg3C+Mbqg41FOidDclI3eFfTTx/WrKSU+MF0yabQo6FF4erN4+WLe2pmYmNrIUjgCEO1nrS1o HYKdZZnntVDMj4wVGs7KOMUCtm6XlY61QFcym+T5VdYaV1pnuPAep6veSc+I7jmApqoaLlaG75XQ oUd1QrIASr5urKeL9NqqEjzcVZUXgciCgmlIK5LA3sY1W8zZbOeYrRt+fgJ7zhOecFKs0Uh6gVqx wMjeNX9BqYY7400VRtyorCeSFAGLcf5Em4eaWZG4QGpvL6L7/wfLPxzuHWnKgl5ToplCwU/fv51+ /Dr9/Equozyt9TNEPVjEhe6t6dA0w7nHYWTdVU7FL/gQ+CHu8SKu6ALh8dJ0Mp3mcHH4hg3ws8fr 1vnwThhFolFQh+olUdlh40MfOoTEbNqsGylTBaUmbUGvXr/J04WLB+BSI0ck0T82WqHbdmdmW1Me QcyZvjO85esGyTfMh3vm0Ap4MIYl3GGppEESc7YoqY378q/zGI8KwUtJi9YqqMYkUSLfa1QOgGEw 3GBsB0Pv1a1Br44xhJYnExdckINZOaM+Y4KWMQdcTHNkKmgYzNvQtzcmkIvlMgXtrWt2dX8BfWdZ 2OgHy2OaKKS3y32AmEnjKFCvylk3dF6q0nlKYmv/uU9Rj3+GxW9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CzSVju0AAAAAUBAAAPAAAAAAAAAAEAIAAAACIAAABkcnMvZG93bnJldi54bWxQSwECFAAU AAAACACHTuJA9YuHZDICAABhBAAADgAAAAAAAAABACAAAAAfAQAAZHJzL2Uyb0RvYy54bWxQSwUG AAAAAAYABgBZAQAAwwUAAAAA ">
              <v:fill on="f" focussize="0,0"/>
              <v:stroke on="f" weight="0.5pt"/>
              <v:imagedata o:title=""/>
              <o:lock v:ext="edit" aspectratio="f"/>
              <v:textbox inset="0mm,0mm,0mm,0mm" style="mso-fit-shape-to-text:t;">
                <w:txbxContent>
                  <w:p>
                    <w:pPr>
                      <w:pStyle w:val="32"/>
                      <w:ind w:firstLine="360"/>
                      <w:jc w:val="center"/>
                    </w:pPr>
                  </w:p>
                  <w:p/>
                </w:txbxContent>
              </v:textbox>
            </v:shape>
          </w:pict>
        </mc:Fallback>
      </mc:AlternateContent>
    </w:r>
  </w:p>
  <w:p>
    <w:pPr>
      <w:pStyle w:val="32"/>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jc w:val="left"/>
      <w:rPr>
        <w:b/>
        <w:bCs/>
        <w:color w:val="000000"/>
        <w:sz w:val="10"/>
        <w:szCs w:val="10"/>
        <w:u w:val="single"/>
      </w:rPr>
    </w:pPr>
    <w:r>
      <w:rPr>
        <w:rFonts w:hint="eastAsia" w:ascii="宋体" w:hAnsi="宋体" w:cs="微软雅黑"/>
        <w:kern w:val="0"/>
        <w:sz w:val="18"/>
        <w:szCs w:val="18"/>
        <w:u w:val="single"/>
      </w:rPr>
      <w:t>中冠工程管理咨询有限公司</w:t>
    </w:r>
  </w:p>
  <w:p>
    <w:pPr>
      <w:pStyle w:val="3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A069F1E"/>
    <w:multiLevelType w:val="singleLevel"/>
    <w:tmpl w:val="DA069F1E"/>
    <w:lvl w:ilvl="0" w:tentative="0">
      <w:start w:val="1"/>
      <w:numFmt w:val="decimal"/>
      <w:pStyle w:val="12"/>
      <w:lvlText w:val="%1."/>
      <w:lvlJc w:val="left"/>
      <w:pPr>
        <w:tabs>
          <w:tab w:val="left" w:pos="780"/>
        </w:tabs>
        <w:ind w:left="780" w:hanging="360"/>
      </w:pPr>
    </w:lvl>
  </w:abstractNum>
  <w:abstractNum w:abstractNumId="1">
    <w:nsid w:val="520C8405"/>
    <w:multiLevelType w:val="singleLevel"/>
    <w:tmpl w:val="520C8405"/>
    <w:lvl w:ilvl="0" w:tentative="0">
      <w:start w:val="1"/>
      <w:numFmt w:val="chineseCounting"/>
      <w:suff w:val="nothing"/>
      <w:lvlText w:val="%1、"/>
      <w:lvlJc w:val="left"/>
      <w:rPr>
        <w:rFonts w:hint="eastAsia"/>
      </w:rPr>
    </w:lvl>
  </w:abstractNum>
  <w:abstractNum w:abstractNumId="2">
    <w:nsid w:val="54F403B5"/>
    <w:multiLevelType w:val="singleLevel"/>
    <w:tmpl w:val="54F403B5"/>
    <w:lvl w:ilvl="0" w:tentative="0">
      <w:start w:val="1"/>
      <w:numFmt w:val="chineseCounting"/>
      <w:suff w:val="nothing"/>
      <w:lvlText w:val="%1、"/>
      <w:lvlJc w:val="left"/>
    </w:lvl>
  </w:abstractNum>
  <w:abstractNum w:abstractNumId="3">
    <w:nsid w:val="557FD3DA"/>
    <w:multiLevelType w:val="singleLevel"/>
    <w:tmpl w:val="557FD3DA"/>
    <w:lvl w:ilvl="0" w:tentative="0">
      <w:start w:val="3"/>
      <w:numFmt w:val="chineseCounting"/>
      <w:suff w:val="nothing"/>
      <w:lvlText w:val="%1、"/>
      <w:lvlJc w:val="left"/>
    </w:lvl>
  </w:abstractNum>
  <w:abstractNum w:abstractNumId="4">
    <w:nsid w:val="55DC2298"/>
    <w:multiLevelType w:val="multilevel"/>
    <w:tmpl w:val="55DC2298"/>
    <w:lvl w:ilvl="0" w:tentative="0">
      <w:start w:val="1"/>
      <w:numFmt w:val="chineseCountingThousand"/>
      <w:pStyle w:val="43"/>
      <w:lvlText w:val="第%1章"/>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5">
    <w:nsid w:val="77D156C9"/>
    <w:multiLevelType w:val="multilevel"/>
    <w:tmpl w:val="77D156C9"/>
    <w:lvl w:ilvl="0" w:tentative="0">
      <w:start w:val="1"/>
      <w:numFmt w:val="chineseCounting"/>
      <w:lvlText w:val="%1、"/>
      <w:lvlJc w:val="left"/>
      <w:pPr>
        <w:ind w:left="4106" w:hanging="420"/>
      </w:pPr>
      <w:rPr>
        <w:rFonts w:hint="eastAsia"/>
      </w:rPr>
    </w:lvl>
    <w:lvl w:ilvl="1" w:tentative="0">
      <w:start w:val="1"/>
      <w:numFmt w:val="lowerLetter"/>
      <w:lvlText w:val="%2)"/>
      <w:lvlJc w:val="left"/>
      <w:pPr>
        <w:ind w:left="1680" w:hanging="420"/>
      </w:p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6">
    <w:nsid w:val="7CA93F89"/>
    <w:multiLevelType w:val="multilevel"/>
    <w:tmpl w:val="7CA93F89"/>
    <w:lvl w:ilvl="0" w:tentative="0">
      <w:start w:val="1"/>
      <w:numFmt w:val="japaneseCounting"/>
      <w:lvlText w:val="%1、"/>
      <w:lvlJc w:val="left"/>
      <w:pPr>
        <w:ind w:left="660" w:hanging="6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4"/>
  </w:num>
  <w:num w:numId="3">
    <w:abstractNumId w:val="1"/>
  </w:num>
  <w:num w:numId="4">
    <w:abstractNumId w:val="5"/>
  </w:num>
  <w:num w:numId="5">
    <w:abstractNumId w:val="6"/>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revisionView w:markup="0"/>
  <w:trackRevisions w:val="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YzMDc3NGU4NWVlMjI1YjU1NmFlOGJmNDYzYTNkNmUifQ=="/>
  </w:docVars>
  <w:rsids>
    <w:rsidRoot w:val="00550EDC"/>
    <w:rsid w:val="000002F4"/>
    <w:rsid w:val="000008E6"/>
    <w:rsid w:val="00000BA2"/>
    <w:rsid w:val="00000C95"/>
    <w:rsid w:val="000011FD"/>
    <w:rsid w:val="000021EF"/>
    <w:rsid w:val="000026F0"/>
    <w:rsid w:val="00003509"/>
    <w:rsid w:val="00003E34"/>
    <w:rsid w:val="0000467B"/>
    <w:rsid w:val="00005569"/>
    <w:rsid w:val="00010163"/>
    <w:rsid w:val="00016068"/>
    <w:rsid w:val="000202E3"/>
    <w:rsid w:val="000205FC"/>
    <w:rsid w:val="000207E5"/>
    <w:rsid w:val="00020F87"/>
    <w:rsid w:val="0002114E"/>
    <w:rsid w:val="00021C01"/>
    <w:rsid w:val="00021C96"/>
    <w:rsid w:val="00021CA9"/>
    <w:rsid w:val="000234FE"/>
    <w:rsid w:val="00023687"/>
    <w:rsid w:val="00023E2F"/>
    <w:rsid w:val="000243B6"/>
    <w:rsid w:val="00025F9C"/>
    <w:rsid w:val="00026A1E"/>
    <w:rsid w:val="0002714F"/>
    <w:rsid w:val="0002753A"/>
    <w:rsid w:val="00030B79"/>
    <w:rsid w:val="0004111C"/>
    <w:rsid w:val="0004137B"/>
    <w:rsid w:val="00041A00"/>
    <w:rsid w:val="000421C3"/>
    <w:rsid w:val="000433E7"/>
    <w:rsid w:val="00043FE0"/>
    <w:rsid w:val="00044786"/>
    <w:rsid w:val="00046DA7"/>
    <w:rsid w:val="00047D36"/>
    <w:rsid w:val="00047D43"/>
    <w:rsid w:val="0005063D"/>
    <w:rsid w:val="00051277"/>
    <w:rsid w:val="00052312"/>
    <w:rsid w:val="000537CB"/>
    <w:rsid w:val="00054194"/>
    <w:rsid w:val="000541BB"/>
    <w:rsid w:val="0005474B"/>
    <w:rsid w:val="00061751"/>
    <w:rsid w:val="000617E4"/>
    <w:rsid w:val="00061F12"/>
    <w:rsid w:val="0006233E"/>
    <w:rsid w:val="0006261B"/>
    <w:rsid w:val="00065EEE"/>
    <w:rsid w:val="00066C16"/>
    <w:rsid w:val="00070B1E"/>
    <w:rsid w:val="0007139C"/>
    <w:rsid w:val="00072848"/>
    <w:rsid w:val="000738C3"/>
    <w:rsid w:val="00073C0C"/>
    <w:rsid w:val="00077AA7"/>
    <w:rsid w:val="000846C5"/>
    <w:rsid w:val="00084EA4"/>
    <w:rsid w:val="000851A3"/>
    <w:rsid w:val="00085754"/>
    <w:rsid w:val="00085894"/>
    <w:rsid w:val="0008629B"/>
    <w:rsid w:val="00087AB6"/>
    <w:rsid w:val="00090898"/>
    <w:rsid w:val="0009212B"/>
    <w:rsid w:val="00094BD1"/>
    <w:rsid w:val="00097C9E"/>
    <w:rsid w:val="000A079E"/>
    <w:rsid w:val="000A0850"/>
    <w:rsid w:val="000A19FF"/>
    <w:rsid w:val="000A27B9"/>
    <w:rsid w:val="000A28C0"/>
    <w:rsid w:val="000A2FEA"/>
    <w:rsid w:val="000A31D3"/>
    <w:rsid w:val="000A3243"/>
    <w:rsid w:val="000A4176"/>
    <w:rsid w:val="000A6424"/>
    <w:rsid w:val="000A7DD3"/>
    <w:rsid w:val="000A7DF8"/>
    <w:rsid w:val="000B10EC"/>
    <w:rsid w:val="000B2AD9"/>
    <w:rsid w:val="000B2C8D"/>
    <w:rsid w:val="000B45A6"/>
    <w:rsid w:val="000B78D7"/>
    <w:rsid w:val="000C08B1"/>
    <w:rsid w:val="000C0A87"/>
    <w:rsid w:val="000C14FB"/>
    <w:rsid w:val="000C31AD"/>
    <w:rsid w:val="000C3E2F"/>
    <w:rsid w:val="000C40EE"/>
    <w:rsid w:val="000C44E8"/>
    <w:rsid w:val="000C5016"/>
    <w:rsid w:val="000C5021"/>
    <w:rsid w:val="000C564B"/>
    <w:rsid w:val="000C6EE0"/>
    <w:rsid w:val="000D02D6"/>
    <w:rsid w:val="000D0BBD"/>
    <w:rsid w:val="000D1354"/>
    <w:rsid w:val="000D224F"/>
    <w:rsid w:val="000D271B"/>
    <w:rsid w:val="000D382F"/>
    <w:rsid w:val="000D5051"/>
    <w:rsid w:val="000D7071"/>
    <w:rsid w:val="000D7703"/>
    <w:rsid w:val="000D784E"/>
    <w:rsid w:val="000E023A"/>
    <w:rsid w:val="000E0798"/>
    <w:rsid w:val="000E1AA4"/>
    <w:rsid w:val="000E24B7"/>
    <w:rsid w:val="000E25D3"/>
    <w:rsid w:val="000E3F2B"/>
    <w:rsid w:val="000E4695"/>
    <w:rsid w:val="000E4C37"/>
    <w:rsid w:val="000E61D6"/>
    <w:rsid w:val="000E729A"/>
    <w:rsid w:val="000E7639"/>
    <w:rsid w:val="000E7BF3"/>
    <w:rsid w:val="000F55A4"/>
    <w:rsid w:val="0010100A"/>
    <w:rsid w:val="00101208"/>
    <w:rsid w:val="00101367"/>
    <w:rsid w:val="00102D8B"/>
    <w:rsid w:val="0010427B"/>
    <w:rsid w:val="0010431E"/>
    <w:rsid w:val="001053B9"/>
    <w:rsid w:val="0010614A"/>
    <w:rsid w:val="00106565"/>
    <w:rsid w:val="00106596"/>
    <w:rsid w:val="00106C5D"/>
    <w:rsid w:val="001078DE"/>
    <w:rsid w:val="00107E16"/>
    <w:rsid w:val="00111735"/>
    <w:rsid w:val="00113BE1"/>
    <w:rsid w:val="001148B5"/>
    <w:rsid w:val="00120918"/>
    <w:rsid w:val="001218D7"/>
    <w:rsid w:val="00122029"/>
    <w:rsid w:val="00123435"/>
    <w:rsid w:val="00125456"/>
    <w:rsid w:val="0012661F"/>
    <w:rsid w:val="001271B3"/>
    <w:rsid w:val="00131133"/>
    <w:rsid w:val="0013231D"/>
    <w:rsid w:val="001332FC"/>
    <w:rsid w:val="0013352D"/>
    <w:rsid w:val="00133E66"/>
    <w:rsid w:val="001374BD"/>
    <w:rsid w:val="00137F72"/>
    <w:rsid w:val="001402B8"/>
    <w:rsid w:val="001406B1"/>
    <w:rsid w:val="00140840"/>
    <w:rsid w:val="00141238"/>
    <w:rsid w:val="001413C6"/>
    <w:rsid w:val="00142A80"/>
    <w:rsid w:val="00144F9C"/>
    <w:rsid w:val="00145BE3"/>
    <w:rsid w:val="0014656E"/>
    <w:rsid w:val="00146C43"/>
    <w:rsid w:val="00152A7F"/>
    <w:rsid w:val="00152C3B"/>
    <w:rsid w:val="00152D9A"/>
    <w:rsid w:val="0015441E"/>
    <w:rsid w:val="00154BEF"/>
    <w:rsid w:val="00154DC9"/>
    <w:rsid w:val="001555E1"/>
    <w:rsid w:val="001568B7"/>
    <w:rsid w:val="00157A38"/>
    <w:rsid w:val="001609F8"/>
    <w:rsid w:val="001621A4"/>
    <w:rsid w:val="001630CC"/>
    <w:rsid w:val="00164EE0"/>
    <w:rsid w:val="00165EC5"/>
    <w:rsid w:val="001666AE"/>
    <w:rsid w:val="00167DA3"/>
    <w:rsid w:val="001739B5"/>
    <w:rsid w:val="00175232"/>
    <w:rsid w:val="00175D7F"/>
    <w:rsid w:val="00177ACD"/>
    <w:rsid w:val="00180A15"/>
    <w:rsid w:val="0018141C"/>
    <w:rsid w:val="00182D46"/>
    <w:rsid w:val="00183294"/>
    <w:rsid w:val="0018441B"/>
    <w:rsid w:val="0018478B"/>
    <w:rsid w:val="00186E45"/>
    <w:rsid w:val="00186EDC"/>
    <w:rsid w:val="0019075B"/>
    <w:rsid w:val="0019154B"/>
    <w:rsid w:val="001919DA"/>
    <w:rsid w:val="00191E62"/>
    <w:rsid w:val="0019337E"/>
    <w:rsid w:val="00194892"/>
    <w:rsid w:val="00194FE8"/>
    <w:rsid w:val="001956D0"/>
    <w:rsid w:val="0019719D"/>
    <w:rsid w:val="001A088D"/>
    <w:rsid w:val="001A2154"/>
    <w:rsid w:val="001A3C7F"/>
    <w:rsid w:val="001A5287"/>
    <w:rsid w:val="001A67E1"/>
    <w:rsid w:val="001A6C23"/>
    <w:rsid w:val="001A7005"/>
    <w:rsid w:val="001B0419"/>
    <w:rsid w:val="001B4B77"/>
    <w:rsid w:val="001B4D2D"/>
    <w:rsid w:val="001B4FD5"/>
    <w:rsid w:val="001B5A9A"/>
    <w:rsid w:val="001B74EC"/>
    <w:rsid w:val="001C0F36"/>
    <w:rsid w:val="001C31EF"/>
    <w:rsid w:val="001C3C4B"/>
    <w:rsid w:val="001C6345"/>
    <w:rsid w:val="001C640F"/>
    <w:rsid w:val="001D100C"/>
    <w:rsid w:val="001D186C"/>
    <w:rsid w:val="001D2768"/>
    <w:rsid w:val="001D50F4"/>
    <w:rsid w:val="001D5926"/>
    <w:rsid w:val="001D6382"/>
    <w:rsid w:val="001E0743"/>
    <w:rsid w:val="001E1B23"/>
    <w:rsid w:val="001E3431"/>
    <w:rsid w:val="001E47D8"/>
    <w:rsid w:val="001E4F66"/>
    <w:rsid w:val="001E5BDF"/>
    <w:rsid w:val="001F18AF"/>
    <w:rsid w:val="001F3499"/>
    <w:rsid w:val="001F3966"/>
    <w:rsid w:val="001F52A2"/>
    <w:rsid w:val="001F71D6"/>
    <w:rsid w:val="001F7618"/>
    <w:rsid w:val="001F7F95"/>
    <w:rsid w:val="00202F80"/>
    <w:rsid w:val="00203BE2"/>
    <w:rsid w:val="002059E0"/>
    <w:rsid w:val="00205B6E"/>
    <w:rsid w:val="00205FF3"/>
    <w:rsid w:val="002071D8"/>
    <w:rsid w:val="00210161"/>
    <w:rsid w:val="00210533"/>
    <w:rsid w:val="00210B3C"/>
    <w:rsid w:val="00211BE5"/>
    <w:rsid w:val="00213265"/>
    <w:rsid w:val="00213B42"/>
    <w:rsid w:val="00213BF5"/>
    <w:rsid w:val="00215F80"/>
    <w:rsid w:val="00217135"/>
    <w:rsid w:val="0022062D"/>
    <w:rsid w:val="00221D22"/>
    <w:rsid w:val="002228A3"/>
    <w:rsid w:val="00222DE4"/>
    <w:rsid w:val="00224A2E"/>
    <w:rsid w:val="00226C1A"/>
    <w:rsid w:val="0023117F"/>
    <w:rsid w:val="00241322"/>
    <w:rsid w:val="00241936"/>
    <w:rsid w:val="002419C9"/>
    <w:rsid w:val="00241FE2"/>
    <w:rsid w:val="00242066"/>
    <w:rsid w:val="0024286D"/>
    <w:rsid w:val="00243AA5"/>
    <w:rsid w:val="00244AE7"/>
    <w:rsid w:val="00244DA3"/>
    <w:rsid w:val="00247D2A"/>
    <w:rsid w:val="0025020C"/>
    <w:rsid w:val="00252E86"/>
    <w:rsid w:val="00260037"/>
    <w:rsid w:val="00261898"/>
    <w:rsid w:val="00262A86"/>
    <w:rsid w:val="00263EBD"/>
    <w:rsid w:val="00264A8C"/>
    <w:rsid w:val="00264C2F"/>
    <w:rsid w:val="0026551B"/>
    <w:rsid w:val="00265AC0"/>
    <w:rsid w:val="002667EF"/>
    <w:rsid w:val="00267E10"/>
    <w:rsid w:val="002714D1"/>
    <w:rsid w:val="002726B6"/>
    <w:rsid w:val="00277BC8"/>
    <w:rsid w:val="002803C2"/>
    <w:rsid w:val="00280E2A"/>
    <w:rsid w:val="00280F8F"/>
    <w:rsid w:val="00281286"/>
    <w:rsid w:val="002820E2"/>
    <w:rsid w:val="00283A33"/>
    <w:rsid w:val="002852E0"/>
    <w:rsid w:val="002859CA"/>
    <w:rsid w:val="00287E9A"/>
    <w:rsid w:val="002903D3"/>
    <w:rsid w:val="0029167F"/>
    <w:rsid w:val="00292B27"/>
    <w:rsid w:val="00292B38"/>
    <w:rsid w:val="002932CF"/>
    <w:rsid w:val="002934B2"/>
    <w:rsid w:val="002970FE"/>
    <w:rsid w:val="002A0E95"/>
    <w:rsid w:val="002A2876"/>
    <w:rsid w:val="002A29D7"/>
    <w:rsid w:val="002A2C99"/>
    <w:rsid w:val="002A34F7"/>
    <w:rsid w:val="002A3AF0"/>
    <w:rsid w:val="002A473C"/>
    <w:rsid w:val="002A4F39"/>
    <w:rsid w:val="002A5A1A"/>
    <w:rsid w:val="002A609F"/>
    <w:rsid w:val="002A61CA"/>
    <w:rsid w:val="002A663D"/>
    <w:rsid w:val="002B1652"/>
    <w:rsid w:val="002B1F5F"/>
    <w:rsid w:val="002B20DB"/>
    <w:rsid w:val="002B2FA7"/>
    <w:rsid w:val="002B364D"/>
    <w:rsid w:val="002B537A"/>
    <w:rsid w:val="002B5BBE"/>
    <w:rsid w:val="002B6356"/>
    <w:rsid w:val="002B6CF7"/>
    <w:rsid w:val="002B7A6B"/>
    <w:rsid w:val="002C0BED"/>
    <w:rsid w:val="002C4A94"/>
    <w:rsid w:val="002C4F7D"/>
    <w:rsid w:val="002C5B0B"/>
    <w:rsid w:val="002C6C4F"/>
    <w:rsid w:val="002C7213"/>
    <w:rsid w:val="002D0A61"/>
    <w:rsid w:val="002D0CE8"/>
    <w:rsid w:val="002D0E19"/>
    <w:rsid w:val="002D321C"/>
    <w:rsid w:val="002D3368"/>
    <w:rsid w:val="002D424E"/>
    <w:rsid w:val="002D4FE6"/>
    <w:rsid w:val="002D50B8"/>
    <w:rsid w:val="002D52DD"/>
    <w:rsid w:val="002D5510"/>
    <w:rsid w:val="002D5A36"/>
    <w:rsid w:val="002D6B58"/>
    <w:rsid w:val="002E01C2"/>
    <w:rsid w:val="002E25A6"/>
    <w:rsid w:val="002E2985"/>
    <w:rsid w:val="002E368D"/>
    <w:rsid w:val="002E3C37"/>
    <w:rsid w:val="002E428C"/>
    <w:rsid w:val="002E4736"/>
    <w:rsid w:val="002E501E"/>
    <w:rsid w:val="002E5946"/>
    <w:rsid w:val="002E5B26"/>
    <w:rsid w:val="002F40A2"/>
    <w:rsid w:val="002F46F3"/>
    <w:rsid w:val="002F55F0"/>
    <w:rsid w:val="002F5643"/>
    <w:rsid w:val="002F5795"/>
    <w:rsid w:val="002F5D89"/>
    <w:rsid w:val="002F68E8"/>
    <w:rsid w:val="002F7285"/>
    <w:rsid w:val="0030099A"/>
    <w:rsid w:val="00302172"/>
    <w:rsid w:val="00303C4C"/>
    <w:rsid w:val="00303EFA"/>
    <w:rsid w:val="00304CFD"/>
    <w:rsid w:val="00307D0D"/>
    <w:rsid w:val="0031032D"/>
    <w:rsid w:val="003106F1"/>
    <w:rsid w:val="00310B51"/>
    <w:rsid w:val="00310B8C"/>
    <w:rsid w:val="00310E77"/>
    <w:rsid w:val="003115BC"/>
    <w:rsid w:val="0031166A"/>
    <w:rsid w:val="003118D6"/>
    <w:rsid w:val="00311FE1"/>
    <w:rsid w:val="00312358"/>
    <w:rsid w:val="003131B4"/>
    <w:rsid w:val="00313582"/>
    <w:rsid w:val="00314EA4"/>
    <w:rsid w:val="00315C9B"/>
    <w:rsid w:val="00316980"/>
    <w:rsid w:val="00316B67"/>
    <w:rsid w:val="003179C8"/>
    <w:rsid w:val="00320013"/>
    <w:rsid w:val="0032181D"/>
    <w:rsid w:val="00321982"/>
    <w:rsid w:val="00321B1E"/>
    <w:rsid w:val="00321B5A"/>
    <w:rsid w:val="0032274A"/>
    <w:rsid w:val="00323210"/>
    <w:rsid w:val="003245CB"/>
    <w:rsid w:val="00326D75"/>
    <w:rsid w:val="003273F1"/>
    <w:rsid w:val="0033180C"/>
    <w:rsid w:val="00331FFA"/>
    <w:rsid w:val="003338E6"/>
    <w:rsid w:val="0033396A"/>
    <w:rsid w:val="003345F4"/>
    <w:rsid w:val="003352D7"/>
    <w:rsid w:val="00336084"/>
    <w:rsid w:val="00336BD5"/>
    <w:rsid w:val="00337892"/>
    <w:rsid w:val="00341B31"/>
    <w:rsid w:val="003457D7"/>
    <w:rsid w:val="00350F7A"/>
    <w:rsid w:val="00351449"/>
    <w:rsid w:val="00353854"/>
    <w:rsid w:val="00353B0A"/>
    <w:rsid w:val="00354825"/>
    <w:rsid w:val="00354F59"/>
    <w:rsid w:val="0035756F"/>
    <w:rsid w:val="0036107A"/>
    <w:rsid w:val="00362881"/>
    <w:rsid w:val="00362AD1"/>
    <w:rsid w:val="00363317"/>
    <w:rsid w:val="00366D82"/>
    <w:rsid w:val="003673DC"/>
    <w:rsid w:val="00371561"/>
    <w:rsid w:val="00372CCF"/>
    <w:rsid w:val="00373A84"/>
    <w:rsid w:val="0037455A"/>
    <w:rsid w:val="0037461A"/>
    <w:rsid w:val="00374F2B"/>
    <w:rsid w:val="003751C0"/>
    <w:rsid w:val="00377399"/>
    <w:rsid w:val="00380424"/>
    <w:rsid w:val="00380567"/>
    <w:rsid w:val="003832B6"/>
    <w:rsid w:val="0038384D"/>
    <w:rsid w:val="003844D8"/>
    <w:rsid w:val="00384845"/>
    <w:rsid w:val="00385317"/>
    <w:rsid w:val="00385C97"/>
    <w:rsid w:val="0039001D"/>
    <w:rsid w:val="00390077"/>
    <w:rsid w:val="0039196A"/>
    <w:rsid w:val="0039202F"/>
    <w:rsid w:val="003923D2"/>
    <w:rsid w:val="003928E9"/>
    <w:rsid w:val="00393452"/>
    <w:rsid w:val="003961F3"/>
    <w:rsid w:val="00396434"/>
    <w:rsid w:val="00397189"/>
    <w:rsid w:val="00397298"/>
    <w:rsid w:val="003A155D"/>
    <w:rsid w:val="003A1736"/>
    <w:rsid w:val="003A1B64"/>
    <w:rsid w:val="003A21CE"/>
    <w:rsid w:val="003A3079"/>
    <w:rsid w:val="003A58E7"/>
    <w:rsid w:val="003A79CA"/>
    <w:rsid w:val="003B189E"/>
    <w:rsid w:val="003B3B98"/>
    <w:rsid w:val="003B541D"/>
    <w:rsid w:val="003B57E1"/>
    <w:rsid w:val="003B730C"/>
    <w:rsid w:val="003B793C"/>
    <w:rsid w:val="003B7D13"/>
    <w:rsid w:val="003C0583"/>
    <w:rsid w:val="003C206F"/>
    <w:rsid w:val="003C2E15"/>
    <w:rsid w:val="003C2F84"/>
    <w:rsid w:val="003C31BF"/>
    <w:rsid w:val="003C32B0"/>
    <w:rsid w:val="003C36A0"/>
    <w:rsid w:val="003C37F5"/>
    <w:rsid w:val="003C43FD"/>
    <w:rsid w:val="003C453F"/>
    <w:rsid w:val="003C4C15"/>
    <w:rsid w:val="003C6E43"/>
    <w:rsid w:val="003D0C6A"/>
    <w:rsid w:val="003D0FAC"/>
    <w:rsid w:val="003D2016"/>
    <w:rsid w:val="003D2A79"/>
    <w:rsid w:val="003D2BFE"/>
    <w:rsid w:val="003D2C1B"/>
    <w:rsid w:val="003D3D10"/>
    <w:rsid w:val="003D5296"/>
    <w:rsid w:val="003D6175"/>
    <w:rsid w:val="003D695E"/>
    <w:rsid w:val="003E1462"/>
    <w:rsid w:val="003E370D"/>
    <w:rsid w:val="003E3B37"/>
    <w:rsid w:val="003E6B05"/>
    <w:rsid w:val="003E6F89"/>
    <w:rsid w:val="003E76F4"/>
    <w:rsid w:val="003E77AF"/>
    <w:rsid w:val="003F2753"/>
    <w:rsid w:val="003F4C88"/>
    <w:rsid w:val="003F54E5"/>
    <w:rsid w:val="003F5810"/>
    <w:rsid w:val="003F769A"/>
    <w:rsid w:val="004007AE"/>
    <w:rsid w:val="004008BA"/>
    <w:rsid w:val="004009F8"/>
    <w:rsid w:val="00400B5B"/>
    <w:rsid w:val="004013D3"/>
    <w:rsid w:val="00401A13"/>
    <w:rsid w:val="00401A18"/>
    <w:rsid w:val="00404937"/>
    <w:rsid w:val="00405338"/>
    <w:rsid w:val="004053DE"/>
    <w:rsid w:val="00406A2A"/>
    <w:rsid w:val="00407187"/>
    <w:rsid w:val="0041055D"/>
    <w:rsid w:val="00412240"/>
    <w:rsid w:val="00413725"/>
    <w:rsid w:val="00414CC1"/>
    <w:rsid w:val="00416C46"/>
    <w:rsid w:val="00420172"/>
    <w:rsid w:val="004211A5"/>
    <w:rsid w:val="004221B2"/>
    <w:rsid w:val="004230AE"/>
    <w:rsid w:val="00423A8A"/>
    <w:rsid w:val="004250E8"/>
    <w:rsid w:val="004252E1"/>
    <w:rsid w:val="004276A1"/>
    <w:rsid w:val="004332EE"/>
    <w:rsid w:val="00433FB8"/>
    <w:rsid w:val="0043451D"/>
    <w:rsid w:val="00434B66"/>
    <w:rsid w:val="00440486"/>
    <w:rsid w:val="004426D3"/>
    <w:rsid w:val="00444BB1"/>
    <w:rsid w:val="00444D0B"/>
    <w:rsid w:val="004455DD"/>
    <w:rsid w:val="0044579F"/>
    <w:rsid w:val="00445CA4"/>
    <w:rsid w:val="00450C6F"/>
    <w:rsid w:val="00450E73"/>
    <w:rsid w:val="00451BB6"/>
    <w:rsid w:val="00453C13"/>
    <w:rsid w:val="004555A0"/>
    <w:rsid w:val="004556D8"/>
    <w:rsid w:val="00455972"/>
    <w:rsid w:val="00455C61"/>
    <w:rsid w:val="00455F51"/>
    <w:rsid w:val="00455FD6"/>
    <w:rsid w:val="00456EF2"/>
    <w:rsid w:val="004574FE"/>
    <w:rsid w:val="00460858"/>
    <w:rsid w:val="00463435"/>
    <w:rsid w:val="004634E1"/>
    <w:rsid w:val="004636B0"/>
    <w:rsid w:val="00463C92"/>
    <w:rsid w:val="00464DD7"/>
    <w:rsid w:val="004661B6"/>
    <w:rsid w:val="0046646C"/>
    <w:rsid w:val="00466B9D"/>
    <w:rsid w:val="00467AEB"/>
    <w:rsid w:val="00471961"/>
    <w:rsid w:val="00471A6E"/>
    <w:rsid w:val="00475047"/>
    <w:rsid w:val="004754D5"/>
    <w:rsid w:val="00476B47"/>
    <w:rsid w:val="00476BB3"/>
    <w:rsid w:val="004819BA"/>
    <w:rsid w:val="0048514A"/>
    <w:rsid w:val="0048657F"/>
    <w:rsid w:val="0049208C"/>
    <w:rsid w:val="0049363B"/>
    <w:rsid w:val="00493D6E"/>
    <w:rsid w:val="00493E2E"/>
    <w:rsid w:val="00494D3A"/>
    <w:rsid w:val="00497FC6"/>
    <w:rsid w:val="004A0EDE"/>
    <w:rsid w:val="004A0FC7"/>
    <w:rsid w:val="004A1F25"/>
    <w:rsid w:val="004A437C"/>
    <w:rsid w:val="004A6D5E"/>
    <w:rsid w:val="004A7FEC"/>
    <w:rsid w:val="004B062D"/>
    <w:rsid w:val="004B2299"/>
    <w:rsid w:val="004B4D52"/>
    <w:rsid w:val="004B5AEE"/>
    <w:rsid w:val="004B7C22"/>
    <w:rsid w:val="004C008B"/>
    <w:rsid w:val="004C095C"/>
    <w:rsid w:val="004C0CC7"/>
    <w:rsid w:val="004C3E51"/>
    <w:rsid w:val="004C476C"/>
    <w:rsid w:val="004C4C67"/>
    <w:rsid w:val="004C6333"/>
    <w:rsid w:val="004C6612"/>
    <w:rsid w:val="004D01D1"/>
    <w:rsid w:val="004D06FF"/>
    <w:rsid w:val="004D0A7E"/>
    <w:rsid w:val="004D0AB5"/>
    <w:rsid w:val="004D0FA5"/>
    <w:rsid w:val="004D1F4F"/>
    <w:rsid w:val="004D2098"/>
    <w:rsid w:val="004D4CF0"/>
    <w:rsid w:val="004D7F94"/>
    <w:rsid w:val="004E00AD"/>
    <w:rsid w:val="004E386C"/>
    <w:rsid w:val="004E6571"/>
    <w:rsid w:val="004E672E"/>
    <w:rsid w:val="004E6C49"/>
    <w:rsid w:val="004E7762"/>
    <w:rsid w:val="004E7CAD"/>
    <w:rsid w:val="004F26F5"/>
    <w:rsid w:val="004F5405"/>
    <w:rsid w:val="004F5ED8"/>
    <w:rsid w:val="004F66EF"/>
    <w:rsid w:val="0050070D"/>
    <w:rsid w:val="005017C3"/>
    <w:rsid w:val="00502622"/>
    <w:rsid w:val="00502C38"/>
    <w:rsid w:val="00502EBF"/>
    <w:rsid w:val="00504049"/>
    <w:rsid w:val="00504DB4"/>
    <w:rsid w:val="00504E21"/>
    <w:rsid w:val="00504E77"/>
    <w:rsid w:val="00505AC3"/>
    <w:rsid w:val="00506007"/>
    <w:rsid w:val="00510CCB"/>
    <w:rsid w:val="00514C08"/>
    <w:rsid w:val="005151FB"/>
    <w:rsid w:val="00515E20"/>
    <w:rsid w:val="00516BE3"/>
    <w:rsid w:val="005203EC"/>
    <w:rsid w:val="005205BC"/>
    <w:rsid w:val="0052066B"/>
    <w:rsid w:val="005216F8"/>
    <w:rsid w:val="0052511B"/>
    <w:rsid w:val="00526854"/>
    <w:rsid w:val="00530EA5"/>
    <w:rsid w:val="0053189F"/>
    <w:rsid w:val="0053257C"/>
    <w:rsid w:val="00534A71"/>
    <w:rsid w:val="00536D2C"/>
    <w:rsid w:val="00537FF6"/>
    <w:rsid w:val="00540D6C"/>
    <w:rsid w:val="00541873"/>
    <w:rsid w:val="00541EA3"/>
    <w:rsid w:val="00546A3D"/>
    <w:rsid w:val="00547C0E"/>
    <w:rsid w:val="00550EDC"/>
    <w:rsid w:val="005514E9"/>
    <w:rsid w:val="00551BAC"/>
    <w:rsid w:val="005520EE"/>
    <w:rsid w:val="00554CC6"/>
    <w:rsid w:val="00555B0B"/>
    <w:rsid w:val="00556BD3"/>
    <w:rsid w:val="005571CF"/>
    <w:rsid w:val="00557D4D"/>
    <w:rsid w:val="005625A8"/>
    <w:rsid w:val="00563A3E"/>
    <w:rsid w:val="00565535"/>
    <w:rsid w:val="00565962"/>
    <w:rsid w:val="00566089"/>
    <w:rsid w:val="00567FFB"/>
    <w:rsid w:val="005709E8"/>
    <w:rsid w:val="0057151C"/>
    <w:rsid w:val="00572987"/>
    <w:rsid w:val="005734C9"/>
    <w:rsid w:val="005742F2"/>
    <w:rsid w:val="00575472"/>
    <w:rsid w:val="005800E8"/>
    <w:rsid w:val="005810A8"/>
    <w:rsid w:val="00581843"/>
    <w:rsid w:val="00581DF4"/>
    <w:rsid w:val="0058252B"/>
    <w:rsid w:val="00584160"/>
    <w:rsid w:val="0058653E"/>
    <w:rsid w:val="00590BB4"/>
    <w:rsid w:val="00591E33"/>
    <w:rsid w:val="00592B86"/>
    <w:rsid w:val="0059334E"/>
    <w:rsid w:val="00593696"/>
    <w:rsid w:val="005937B7"/>
    <w:rsid w:val="00593BE2"/>
    <w:rsid w:val="00593D28"/>
    <w:rsid w:val="0059408B"/>
    <w:rsid w:val="00594229"/>
    <w:rsid w:val="005945AD"/>
    <w:rsid w:val="005956A9"/>
    <w:rsid w:val="005A0543"/>
    <w:rsid w:val="005A3D8E"/>
    <w:rsid w:val="005A5AD4"/>
    <w:rsid w:val="005A5F62"/>
    <w:rsid w:val="005B0259"/>
    <w:rsid w:val="005B0537"/>
    <w:rsid w:val="005B2335"/>
    <w:rsid w:val="005B2679"/>
    <w:rsid w:val="005B4B80"/>
    <w:rsid w:val="005B5DC8"/>
    <w:rsid w:val="005B6CB6"/>
    <w:rsid w:val="005C0D22"/>
    <w:rsid w:val="005C12A5"/>
    <w:rsid w:val="005C27AE"/>
    <w:rsid w:val="005C29E2"/>
    <w:rsid w:val="005C41D0"/>
    <w:rsid w:val="005C62C5"/>
    <w:rsid w:val="005D223F"/>
    <w:rsid w:val="005D2345"/>
    <w:rsid w:val="005D2758"/>
    <w:rsid w:val="005D2F5D"/>
    <w:rsid w:val="005D4B99"/>
    <w:rsid w:val="005D531E"/>
    <w:rsid w:val="005D6133"/>
    <w:rsid w:val="005D786A"/>
    <w:rsid w:val="005D7BC1"/>
    <w:rsid w:val="005E0790"/>
    <w:rsid w:val="005E49AE"/>
    <w:rsid w:val="005E5717"/>
    <w:rsid w:val="005E5FD4"/>
    <w:rsid w:val="005E68AC"/>
    <w:rsid w:val="005F00C4"/>
    <w:rsid w:val="005F3E58"/>
    <w:rsid w:val="005F5350"/>
    <w:rsid w:val="005F7AFF"/>
    <w:rsid w:val="006012C9"/>
    <w:rsid w:val="00603117"/>
    <w:rsid w:val="00604126"/>
    <w:rsid w:val="00604B39"/>
    <w:rsid w:val="006062F0"/>
    <w:rsid w:val="00606821"/>
    <w:rsid w:val="00606838"/>
    <w:rsid w:val="00607947"/>
    <w:rsid w:val="006106DF"/>
    <w:rsid w:val="00611F71"/>
    <w:rsid w:val="006136D3"/>
    <w:rsid w:val="00613D9C"/>
    <w:rsid w:val="00614A26"/>
    <w:rsid w:val="0061571C"/>
    <w:rsid w:val="0062052C"/>
    <w:rsid w:val="0062110C"/>
    <w:rsid w:val="00621D05"/>
    <w:rsid w:val="0062465C"/>
    <w:rsid w:val="00624D63"/>
    <w:rsid w:val="0062562B"/>
    <w:rsid w:val="00625C27"/>
    <w:rsid w:val="0062672D"/>
    <w:rsid w:val="00630614"/>
    <w:rsid w:val="006307DB"/>
    <w:rsid w:val="00630C42"/>
    <w:rsid w:val="006310A1"/>
    <w:rsid w:val="00635327"/>
    <w:rsid w:val="00635D37"/>
    <w:rsid w:val="00636208"/>
    <w:rsid w:val="0063692B"/>
    <w:rsid w:val="00636D45"/>
    <w:rsid w:val="0064038F"/>
    <w:rsid w:val="00640FB2"/>
    <w:rsid w:val="006413CA"/>
    <w:rsid w:val="00641A4E"/>
    <w:rsid w:val="006435DC"/>
    <w:rsid w:val="0064409E"/>
    <w:rsid w:val="006466A1"/>
    <w:rsid w:val="006504B1"/>
    <w:rsid w:val="00650502"/>
    <w:rsid w:val="006508D8"/>
    <w:rsid w:val="0065100C"/>
    <w:rsid w:val="00651723"/>
    <w:rsid w:val="0065383F"/>
    <w:rsid w:val="006538CD"/>
    <w:rsid w:val="00654FEE"/>
    <w:rsid w:val="006562F2"/>
    <w:rsid w:val="00660482"/>
    <w:rsid w:val="00662384"/>
    <w:rsid w:val="00662CBF"/>
    <w:rsid w:val="00664796"/>
    <w:rsid w:val="00664B94"/>
    <w:rsid w:val="00664BF0"/>
    <w:rsid w:val="00665210"/>
    <w:rsid w:val="00665FBB"/>
    <w:rsid w:val="00666736"/>
    <w:rsid w:val="00670041"/>
    <w:rsid w:val="00670601"/>
    <w:rsid w:val="00671512"/>
    <w:rsid w:val="0067353E"/>
    <w:rsid w:val="006735A0"/>
    <w:rsid w:val="00673B09"/>
    <w:rsid w:val="006741BF"/>
    <w:rsid w:val="006745AB"/>
    <w:rsid w:val="0067488E"/>
    <w:rsid w:val="0067564A"/>
    <w:rsid w:val="00684621"/>
    <w:rsid w:val="00686827"/>
    <w:rsid w:val="00687FC1"/>
    <w:rsid w:val="00690064"/>
    <w:rsid w:val="00691C2A"/>
    <w:rsid w:val="0069264E"/>
    <w:rsid w:val="00693773"/>
    <w:rsid w:val="00694E2C"/>
    <w:rsid w:val="00694EA3"/>
    <w:rsid w:val="006952CA"/>
    <w:rsid w:val="00695FA1"/>
    <w:rsid w:val="00696099"/>
    <w:rsid w:val="00696C78"/>
    <w:rsid w:val="00696F3B"/>
    <w:rsid w:val="00697EEA"/>
    <w:rsid w:val="006A1A4E"/>
    <w:rsid w:val="006A1D01"/>
    <w:rsid w:val="006A21FB"/>
    <w:rsid w:val="006A232C"/>
    <w:rsid w:val="006A27E8"/>
    <w:rsid w:val="006A3ACB"/>
    <w:rsid w:val="006A41A5"/>
    <w:rsid w:val="006A4F35"/>
    <w:rsid w:val="006A586C"/>
    <w:rsid w:val="006A5F81"/>
    <w:rsid w:val="006B13B7"/>
    <w:rsid w:val="006B22B7"/>
    <w:rsid w:val="006B251C"/>
    <w:rsid w:val="006B25DB"/>
    <w:rsid w:val="006B34A8"/>
    <w:rsid w:val="006B375B"/>
    <w:rsid w:val="006B3914"/>
    <w:rsid w:val="006B4DB2"/>
    <w:rsid w:val="006B5A1F"/>
    <w:rsid w:val="006B716D"/>
    <w:rsid w:val="006B7516"/>
    <w:rsid w:val="006C05CE"/>
    <w:rsid w:val="006C16AE"/>
    <w:rsid w:val="006C1F97"/>
    <w:rsid w:val="006C2092"/>
    <w:rsid w:val="006C24FD"/>
    <w:rsid w:val="006C2A0C"/>
    <w:rsid w:val="006C2E99"/>
    <w:rsid w:val="006C4B92"/>
    <w:rsid w:val="006C4C1C"/>
    <w:rsid w:val="006C4CC7"/>
    <w:rsid w:val="006C4FDC"/>
    <w:rsid w:val="006C50A6"/>
    <w:rsid w:val="006C637F"/>
    <w:rsid w:val="006D1EF7"/>
    <w:rsid w:val="006D25B9"/>
    <w:rsid w:val="006D3971"/>
    <w:rsid w:val="006D3B78"/>
    <w:rsid w:val="006D5EB9"/>
    <w:rsid w:val="006D6ABF"/>
    <w:rsid w:val="006D6B1B"/>
    <w:rsid w:val="006E0568"/>
    <w:rsid w:val="006E1286"/>
    <w:rsid w:val="006E2436"/>
    <w:rsid w:val="006E48FF"/>
    <w:rsid w:val="006E791C"/>
    <w:rsid w:val="006F1033"/>
    <w:rsid w:val="006F1263"/>
    <w:rsid w:val="006F1A59"/>
    <w:rsid w:val="006F3C08"/>
    <w:rsid w:val="006F4C40"/>
    <w:rsid w:val="006F544E"/>
    <w:rsid w:val="006F5816"/>
    <w:rsid w:val="006F58D2"/>
    <w:rsid w:val="007033A1"/>
    <w:rsid w:val="0070459E"/>
    <w:rsid w:val="00706393"/>
    <w:rsid w:val="00706FAC"/>
    <w:rsid w:val="0071035D"/>
    <w:rsid w:val="00711AA7"/>
    <w:rsid w:val="00711CDE"/>
    <w:rsid w:val="00711F76"/>
    <w:rsid w:val="007140B6"/>
    <w:rsid w:val="00714F46"/>
    <w:rsid w:val="0071647D"/>
    <w:rsid w:val="007165D3"/>
    <w:rsid w:val="00716D2C"/>
    <w:rsid w:val="00720C2D"/>
    <w:rsid w:val="00720F28"/>
    <w:rsid w:val="007225A6"/>
    <w:rsid w:val="007231A6"/>
    <w:rsid w:val="007231B5"/>
    <w:rsid w:val="00723E3C"/>
    <w:rsid w:val="007240A2"/>
    <w:rsid w:val="00724795"/>
    <w:rsid w:val="007250E3"/>
    <w:rsid w:val="007264C3"/>
    <w:rsid w:val="0072661C"/>
    <w:rsid w:val="00726ED6"/>
    <w:rsid w:val="00726EF2"/>
    <w:rsid w:val="00727803"/>
    <w:rsid w:val="00727CE1"/>
    <w:rsid w:val="007301E6"/>
    <w:rsid w:val="00730698"/>
    <w:rsid w:val="00730A55"/>
    <w:rsid w:val="00731086"/>
    <w:rsid w:val="00732312"/>
    <w:rsid w:val="00733A79"/>
    <w:rsid w:val="00734F78"/>
    <w:rsid w:val="00737D8C"/>
    <w:rsid w:val="00740A1C"/>
    <w:rsid w:val="00740E63"/>
    <w:rsid w:val="00745443"/>
    <w:rsid w:val="0075062B"/>
    <w:rsid w:val="0075263F"/>
    <w:rsid w:val="00753BFC"/>
    <w:rsid w:val="007545F3"/>
    <w:rsid w:val="00756154"/>
    <w:rsid w:val="0075738C"/>
    <w:rsid w:val="00757AF7"/>
    <w:rsid w:val="00757FAE"/>
    <w:rsid w:val="00761838"/>
    <w:rsid w:val="00762063"/>
    <w:rsid w:val="00762C61"/>
    <w:rsid w:val="00767091"/>
    <w:rsid w:val="00767BC8"/>
    <w:rsid w:val="00767E92"/>
    <w:rsid w:val="0077099D"/>
    <w:rsid w:val="00770C51"/>
    <w:rsid w:val="007715C0"/>
    <w:rsid w:val="00772018"/>
    <w:rsid w:val="00772B06"/>
    <w:rsid w:val="00772E17"/>
    <w:rsid w:val="00773184"/>
    <w:rsid w:val="00776CE4"/>
    <w:rsid w:val="007774CE"/>
    <w:rsid w:val="00782258"/>
    <w:rsid w:val="00782AC4"/>
    <w:rsid w:val="00783A13"/>
    <w:rsid w:val="00783E6D"/>
    <w:rsid w:val="007866E3"/>
    <w:rsid w:val="00787F82"/>
    <w:rsid w:val="0079321E"/>
    <w:rsid w:val="00796A35"/>
    <w:rsid w:val="00796F34"/>
    <w:rsid w:val="0079786B"/>
    <w:rsid w:val="007A18A6"/>
    <w:rsid w:val="007A7BCB"/>
    <w:rsid w:val="007B05FE"/>
    <w:rsid w:val="007B1DD1"/>
    <w:rsid w:val="007B2851"/>
    <w:rsid w:val="007B3A3D"/>
    <w:rsid w:val="007B61AB"/>
    <w:rsid w:val="007B6510"/>
    <w:rsid w:val="007B664A"/>
    <w:rsid w:val="007B6F75"/>
    <w:rsid w:val="007B7D5B"/>
    <w:rsid w:val="007C12C5"/>
    <w:rsid w:val="007C3F3B"/>
    <w:rsid w:val="007C51E8"/>
    <w:rsid w:val="007C78AF"/>
    <w:rsid w:val="007D15DA"/>
    <w:rsid w:val="007D609C"/>
    <w:rsid w:val="007D6AC7"/>
    <w:rsid w:val="007D7B65"/>
    <w:rsid w:val="007D7F79"/>
    <w:rsid w:val="007E038B"/>
    <w:rsid w:val="007E3216"/>
    <w:rsid w:val="007E3C15"/>
    <w:rsid w:val="007E3C7B"/>
    <w:rsid w:val="007E4C16"/>
    <w:rsid w:val="007E5C85"/>
    <w:rsid w:val="007F0557"/>
    <w:rsid w:val="007F1F43"/>
    <w:rsid w:val="007F2D7E"/>
    <w:rsid w:val="007F4B19"/>
    <w:rsid w:val="007F4CF2"/>
    <w:rsid w:val="007F51D7"/>
    <w:rsid w:val="007F5707"/>
    <w:rsid w:val="007F614D"/>
    <w:rsid w:val="007F6BAC"/>
    <w:rsid w:val="007F7240"/>
    <w:rsid w:val="007F73AE"/>
    <w:rsid w:val="007F77B5"/>
    <w:rsid w:val="00800AB3"/>
    <w:rsid w:val="00800E68"/>
    <w:rsid w:val="008014EA"/>
    <w:rsid w:val="0080173B"/>
    <w:rsid w:val="00801F16"/>
    <w:rsid w:val="00804C89"/>
    <w:rsid w:val="00804E41"/>
    <w:rsid w:val="00806887"/>
    <w:rsid w:val="00807B85"/>
    <w:rsid w:val="00810407"/>
    <w:rsid w:val="00813846"/>
    <w:rsid w:val="00813AA2"/>
    <w:rsid w:val="008157A8"/>
    <w:rsid w:val="00816F37"/>
    <w:rsid w:val="00817420"/>
    <w:rsid w:val="00820603"/>
    <w:rsid w:val="00821C71"/>
    <w:rsid w:val="00824E36"/>
    <w:rsid w:val="00825D3A"/>
    <w:rsid w:val="008260E1"/>
    <w:rsid w:val="00826C89"/>
    <w:rsid w:val="0082745F"/>
    <w:rsid w:val="00827536"/>
    <w:rsid w:val="00830122"/>
    <w:rsid w:val="008321FE"/>
    <w:rsid w:val="00833A7B"/>
    <w:rsid w:val="00833F5F"/>
    <w:rsid w:val="008341E7"/>
    <w:rsid w:val="00834811"/>
    <w:rsid w:val="00834EA7"/>
    <w:rsid w:val="00835C51"/>
    <w:rsid w:val="00836D91"/>
    <w:rsid w:val="00837601"/>
    <w:rsid w:val="008379C0"/>
    <w:rsid w:val="00840485"/>
    <w:rsid w:val="00840960"/>
    <w:rsid w:val="00840CBF"/>
    <w:rsid w:val="00842BF0"/>
    <w:rsid w:val="0084461A"/>
    <w:rsid w:val="00846E57"/>
    <w:rsid w:val="008505B2"/>
    <w:rsid w:val="00850A6D"/>
    <w:rsid w:val="00851796"/>
    <w:rsid w:val="00852AA7"/>
    <w:rsid w:val="008534DD"/>
    <w:rsid w:val="00857F66"/>
    <w:rsid w:val="00861190"/>
    <w:rsid w:val="00862F6A"/>
    <w:rsid w:val="008631EB"/>
    <w:rsid w:val="00864AA8"/>
    <w:rsid w:val="008661CB"/>
    <w:rsid w:val="00866526"/>
    <w:rsid w:val="008675E9"/>
    <w:rsid w:val="0087009E"/>
    <w:rsid w:val="008715D8"/>
    <w:rsid w:val="00872C80"/>
    <w:rsid w:val="0087368C"/>
    <w:rsid w:val="00874A6A"/>
    <w:rsid w:val="0087683A"/>
    <w:rsid w:val="008818B9"/>
    <w:rsid w:val="008821A1"/>
    <w:rsid w:val="008823A4"/>
    <w:rsid w:val="00884EC1"/>
    <w:rsid w:val="008857B5"/>
    <w:rsid w:val="00890042"/>
    <w:rsid w:val="0089285A"/>
    <w:rsid w:val="00892A4A"/>
    <w:rsid w:val="00892C4E"/>
    <w:rsid w:val="00893B70"/>
    <w:rsid w:val="00893F6E"/>
    <w:rsid w:val="00894728"/>
    <w:rsid w:val="008957D1"/>
    <w:rsid w:val="008976DE"/>
    <w:rsid w:val="00897D06"/>
    <w:rsid w:val="008A05EF"/>
    <w:rsid w:val="008A2FDB"/>
    <w:rsid w:val="008A3046"/>
    <w:rsid w:val="008A4ADA"/>
    <w:rsid w:val="008A5404"/>
    <w:rsid w:val="008A5FB6"/>
    <w:rsid w:val="008B1307"/>
    <w:rsid w:val="008B2921"/>
    <w:rsid w:val="008B302E"/>
    <w:rsid w:val="008B3D83"/>
    <w:rsid w:val="008B3E66"/>
    <w:rsid w:val="008B4F49"/>
    <w:rsid w:val="008B5B51"/>
    <w:rsid w:val="008B6194"/>
    <w:rsid w:val="008B6BF8"/>
    <w:rsid w:val="008B764E"/>
    <w:rsid w:val="008B7FED"/>
    <w:rsid w:val="008C1170"/>
    <w:rsid w:val="008C18E3"/>
    <w:rsid w:val="008C3CE7"/>
    <w:rsid w:val="008C3E73"/>
    <w:rsid w:val="008C46C7"/>
    <w:rsid w:val="008C5596"/>
    <w:rsid w:val="008C66CE"/>
    <w:rsid w:val="008D071F"/>
    <w:rsid w:val="008D300C"/>
    <w:rsid w:val="008D4776"/>
    <w:rsid w:val="008E3CF8"/>
    <w:rsid w:val="008E3EEC"/>
    <w:rsid w:val="008E4F50"/>
    <w:rsid w:val="008E6B22"/>
    <w:rsid w:val="008E79C8"/>
    <w:rsid w:val="008F3A95"/>
    <w:rsid w:val="008F4D05"/>
    <w:rsid w:val="008F5F24"/>
    <w:rsid w:val="00900AA9"/>
    <w:rsid w:val="0090195B"/>
    <w:rsid w:val="00901A0C"/>
    <w:rsid w:val="00901CAE"/>
    <w:rsid w:val="0090491A"/>
    <w:rsid w:val="00905091"/>
    <w:rsid w:val="00905544"/>
    <w:rsid w:val="009055E5"/>
    <w:rsid w:val="009057B3"/>
    <w:rsid w:val="009120CE"/>
    <w:rsid w:val="00912435"/>
    <w:rsid w:val="00912AFF"/>
    <w:rsid w:val="00916629"/>
    <w:rsid w:val="00917113"/>
    <w:rsid w:val="00921D3C"/>
    <w:rsid w:val="009222E6"/>
    <w:rsid w:val="00922FC4"/>
    <w:rsid w:val="00923D63"/>
    <w:rsid w:val="0092463D"/>
    <w:rsid w:val="00926526"/>
    <w:rsid w:val="00926D8B"/>
    <w:rsid w:val="00926EA2"/>
    <w:rsid w:val="00926F3F"/>
    <w:rsid w:val="009272E7"/>
    <w:rsid w:val="00927E05"/>
    <w:rsid w:val="00927FF1"/>
    <w:rsid w:val="00930276"/>
    <w:rsid w:val="009303FF"/>
    <w:rsid w:val="00932365"/>
    <w:rsid w:val="009327B5"/>
    <w:rsid w:val="0093370F"/>
    <w:rsid w:val="0093453B"/>
    <w:rsid w:val="0093504D"/>
    <w:rsid w:val="00935B27"/>
    <w:rsid w:val="009375CD"/>
    <w:rsid w:val="00940F52"/>
    <w:rsid w:val="00941416"/>
    <w:rsid w:val="00941661"/>
    <w:rsid w:val="009420FA"/>
    <w:rsid w:val="00944136"/>
    <w:rsid w:val="00944699"/>
    <w:rsid w:val="00944E98"/>
    <w:rsid w:val="00944F3C"/>
    <w:rsid w:val="009473E6"/>
    <w:rsid w:val="0095237D"/>
    <w:rsid w:val="00954EA8"/>
    <w:rsid w:val="009553E9"/>
    <w:rsid w:val="00955B20"/>
    <w:rsid w:val="009608C5"/>
    <w:rsid w:val="00960E06"/>
    <w:rsid w:val="009627D2"/>
    <w:rsid w:val="00962D77"/>
    <w:rsid w:val="00963DD3"/>
    <w:rsid w:val="0096462F"/>
    <w:rsid w:val="00964B48"/>
    <w:rsid w:val="00966A92"/>
    <w:rsid w:val="00966E89"/>
    <w:rsid w:val="009676BB"/>
    <w:rsid w:val="009678BB"/>
    <w:rsid w:val="00971B84"/>
    <w:rsid w:val="009729C0"/>
    <w:rsid w:val="00973358"/>
    <w:rsid w:val="00974094"/>
    <w:rsid w:val="00974225"/>
    <w:rsid w:val="00974C59"/>
    <w:rsid w:val="00981DFC"/>
    <w:rsid w:val="00983048"/>
    <w:rsid w:val="00984DDF"/>
    <w:rsid w:val="00986EE3"/>
    <w:rsid w:val="00990206"/>
    <w:rsid w:val="0099217E"/>
    <w:rsid w:val="0099285E"/>
    <w:rsid w:val="009937FF"/>
    <w:rsid w:val="00995A2C"/>
    <w:rsid w:val="009974FE"/>
    <w:rsid w:val="009A09D4"/>
    <w:rsid w:val="009A1142"/>
    <w:rsid w:val="009A30EB"/>
    <w:rsid w:val="009A3522"/>
    <w:rsid w:val="009A3BD9"/>
    <w:rsid w:val="009A41A2"/>
    <w:rsid w:val="009A5C0F"/>
    <w:rsid w:val="009A5C16"/>
    <w:rsid w:val="009B0734"/>
    <w:rsid w:val="009B2013"/>
    <w:rsid w:val="009B2516"/>
    <w:rsid w:val="009B3001"/>
    <w:rsid w:val="009B616E"/>
    <w:rsid w:val="009B676D"/>
    <w:rsid w:val="009B77B5"/>
    <w:rsid w:val="009C1103"/>
    <w:rsid w:val="009C1442"/>
    <w:rsid w:val="009C24FB"/>
    <w:rsid w:val="009C31E4"/>
    <w:rsid w:val="009C4D00"/>
    <w:rsid w:val="009C5D20"/>
    <w:rsid w:val="009D0350"/>
    <w:rsid w:val="009D2CD7"/>
    <w:rsid w:val="009D3400"/>
    <w:rsid w:val="009D5FE8"/>
    <w:rsid w:val="009D68D6"/>
    <w:rsid w:val="009D6AA5"/>
    <w:rsid w:val="009D6EF1"/>
    <w:rsid w:val="009E097A"/>
    <w:rsid w:val="009E2063"/>
    <w:rsid w:val="009E3FA7"/>
    <w:rsid w:val="009E4654"/>
    <w:rsid w:val="009E5B18"/>
    <w:rsid w:val="009E5D34"/>
    <w:rsid w:val="009E5D3B"/>
    <w:rsid w:val="009E7198"/>
    <w:rsid w:val="009E727D"/>
    <w:rsid w:val="009F1243"/>
    <w:rsid w:val="009F467E"/>
    <w:rsid w:val="009F76A6"/>
    <w:rsid w:val="009F7FC8"/>
    <w:rsid w:val="00A00F0C"/>
    <w:rsid w:val="00A01050"/>
    <w:rsid w:val="00A018DE"/>
    <w:rsid w:val="00A02C1B"/>
    <w:rsid w:val="00A051D1"/>
    <w:rsid w:val="00A07804"/>
    <w:rsid w:val="00A11E14"/>
    <w:rsid w:val="00A125A7"/>
    <w:rsid w:val="00A1285E"/>
    <w:rsid w:val="00A129D5"/>
    <w:rsid w:val="00A143AB"/>
    <w:rsid w:val="00A1558F"/>
    <w:rsid w:val="00A17F27"/>
    <w:rsid w:val="00A21B31"/>
    <w:rsid w:val="00A2208A"/>
    <w:rsid w:val="00A23159"/>
    <w:rsid w:val="00A231B9"/>
    <w:rsid w:val="00A24229"/>
    <w:rsid w:val="00A24C5E"/>
    <w:rsid w:val="00A24E13"/>
    <w:rsid w:val="00A256BC"/>
    <w:rsid w:val="00A304AC"/>
    <w:rsid w:val="00A30D63"/>
    <w:rsid w:val="00A31526"/>
    <w:rsid w:val="00A321B3"/>
    <w:rsid w:val="00A3241F"/>
    <w:rsid w:val="00A331E2"/>
    <w:rsid w:val="00A33DF6"/>
    <w:rsid w:val="00A34626"/>
    <w:rsid w:val="00A36595"/>
    <w:rsid w:val="00A407B8"/>
    <w:rsid w:val="00A42609"/>
    <w:rsid w:val="00A435CB"/>
    <w:rsid w:val="00A44B46"/>
    <w:rsid w:val="00A473CB"/>
    <w:rsid w:val="00A5096B"/>
    <w:rsid w:val="00A50A50"/>
    <w:rsid w:val="00A50DA3"/>
    <w:rsid w:val="00A53159"/>
    <w:rsid w:val="00A5369B"/>
    <w:rsid w:val="00A5381F"/>
    <w:rsid w:val="00A538D2"/>
    <w:rsid w:val="00A551B6"/>
    <w:rsid w:val="00A60521"/>
    <w:rsid w:val="00A626C8"/>
    <w:rsid w:val="00A64358"/>
    <w:rsid w:val="00A64B3F"/>
    <w:rsid w:val="00A65FD1"/>
    <w:rsid w:val="00A661F3"/>
    <w:rsid w:val="00A66844"/>
    <w:rsid w:val="00A70074"/>
    <w:rsid w:val="00A711D7"/>
    <w:rsid w:val="00A71852"/>
    <w:rsid w:val="00A722AE"/>
    <w:rsid w:val="00A72816"/>
    <w:rsid w:val="00A74828"/>
    <w:rsid w:val="00A74E62"/>
    <w:rsid w:val="00A753A5"/>
    <w:rsid w:val="00A84E04"/>
    <w:rsid w:val="00A8664B"/>
    <w:rsid w:val="00A86A48"/>
    <w:rsid w:val="00A86ADE"/>
    <w:rsid w:val="00A874A6"/>
    <w:rsid w:val="00A8762F"/>
    <w:rsid w:val="00A91149"/>
    <w:rsid w:val="00A9149A"/>
    <w:rsid w:val="00A920F7"/>
    <w:rsid w:val="00A923B9"/>
    <w:rsid w:val="00A92AB3"/>
    <w:rsid w:val="00A9594F"/>
    <w:rsid w:val="00A97282"/>
    <w:rsid w:val="00A977B2"/>
    <w:rsid w:val="00A97C9A"/>
    <w:rsid w:val="00AA0559"/>
    <w:rsid w:val="00AA1EE0"/>
    <w:rsid w:val="00AA2451"/>
    <w:rsid w:val="00AA2BC2"/>
    <w:rsid w:val="00AA402C"/>
    <w:rsid w:val="00AA421C"/>
    <w:rsid w:val="00AA5423"/>
    <w:rsid w:val="00AA5500"/>
    <w:rsid w:val="00AA5C37"/>
    <w:rsid w:val="00AA6A66"/>
    <w:rsid w:val="00AB20A3"/>
    <w:rsid w:val="00AB3580"/>
    <w:rsid w:val="00AB3EE6"/>
    <w:rsid w:val="00AB42ED"/>
    <w:rsid w:val="00AB504D"/>
    <w:rsid w:val="00AB50A1"/>
    <w:rsid w:val="00AB5747"/>
    <w:rsid w:val="00AB5CA4"/>
    <w:rsid w:val="00AB709C"/>
    <w:rsid w:val="00AB7F33"/>
    <w:rsid w:val="00AC17D0"/>
    <w:rsid w:val="00AC1B93"/>
    <w:rsid w:val="00AC355F"/>
    <w:rsid w:val="00AC3EA4"/>
    <w:rsid w:val="00AC45DB"/>
    <w:rsid w:val="00AC4FCF"/>
    <w:rsid w:val="00AC5921"/>
    <w:rsid w:val="00AC6985"/>
    <w:rsid w:val="00AC735B"/>
    <w:rsid w:val="00AD5873"/>
    <w:rsid w:val="00AD76BC"/>
    <w:rsid w:val="00AE0D12"/>
    <w:rsid w:val="00AE0D4F"/>
    <w:rsid w:val="00AE2B0A"/>
    <w:rsid w:val="00AE45C5"/>
    <w:rsid w:val="00AE741C"/>
    <w:rsid w:val="00AF4085"/>
    <w:rsid w:val="00AF4864"/>
    <w:rsid w:val="00AF72B9"/>
    <w:rsid w:val="00AF7512"/>
    <w:rsid w:val="00AF7EA9"/>
    <w:rsid w:val="00B05505"/>
    <w:rsid w:val="00B05558"/>
    <w:rsid w:val="00B055E8"/>
    <w:rsid w:val="00B100D7"/>
    <w:rsid w:val="00B12779"/>
    <w:rsid w:val="00B130E8"/>
    <w:rsid w:val="00B155DB"/>
    <w:rsid w:val="00B162CE"/>
    <w:rsid w:val="00B17402"/>
    <w:rsid w:val="00B176C5"/>
    <w:rsid w:val="00B20A46"/>
    <w:rsid w:val="00B21713"/>
    <w:rsid w:val="00B2233C"/>
    <w:rsid w:val="00B2327B"/>
    <w:rsid w:val="00B2357A"/>
    <w:rsid w:val="00B24149"/>
    <w:rsid w:val="00B27440"/>
    <w:rsid w:val="00B303F4"/>
    <w:rsid w:val="00B3131D"/>
    <w:rsid w:val="00B31B2C"/>
    <w:rsid w:val="00B331DF"/>
    <w:rsid w:val="00B341CB"/>
    <w:rsid w:val="00B34308"/>
    <w:rsid w:val="00B36B35"/>
    <w:rsid w:val="00B41567"/>
    <w:rsid w:val="00B4427B"/>
    <w:rsid w:val="00B51712"/>
    <w:rsid w:val="00B62A09"/>
    <w:rsid w:val="00B64A0B"/>
    <w:rsid w:val="00B65609"/>
    <w:rsid w:val="00B6678A"/>
    <w:rsid w:val="00B66EDE"/>
    <w:rsid w:val="00B66EF6"/>
    <w:rsid w:val="00B704EB"/>
    <w:rsid w:val="00B70E1B"/>
    <w:rsid w:val="00B71DE4"/>
    <w:rsid w:val="00B72FEF"/>
    <w:rsid w:val="00B73073"/>
    <w:rsid w:val="00B735D6"/>
    <w:rsid w:val="00B7446B"/>
    <w:rsid w:val="00B753A6"/>
    <w:rsid w:val="00B75516"/>
    <w:rsid w:val="00B7567A"/>
    <w:rsid w:val="00B75D2A"/>
    <w:rsid w:val="00B76BE9"/>
    <w:rsid w:val="00B76CB1"/>
    <w:rsid w:val="00B76E43"/>
    <w:rsid w:val="00B80A54"/>
    <w:rsid w:val="00B81AC7"/>
    <w:rsid w:val="00B82C47"/>
    <w:rsid w:val="00B8308A"/>
    <w:rsid w:val="00B83771"/>
    <w:rsid w:val="00B839C0"/>
    <w:rsid w:val="00B83CA8"/>
    <w:rsid w:val="00B849B3"/>
    <w:rsid w:val="00B863C2"/>
    <w:rsid w:val="00B87580"/>
    <w:rsid w:val="00B9192F"/>
    <w:rsid w:val="00B91D53"/>
    <w:rsid w:val="00B968EC"/>
    <w:rsid w:val="00B96C36"/>
    <w:rsid w:val="00B96D95"/>
    <w:rsid w:val="00B97D2D"/>
    <w:rsid w:val="00BA00E3"/>
    <w:rsid w:val="00BA082F"/>
    <w:rsid w:val="00BA176E"/>
    <w:rsid w:val="00BA1E89"/>
    <w:rsid w:val="00BA33F0"/>
    <w:rsid w:val="00BA3C6C"/>
    <w:rsid w:val="00BA7141"/>
    <w:rsid w:val="00BA7B03"/>
    <w:rsid w:val="00BA7C2E"/>
    <w:rsid w:val="00BB0DE8"/>
    <w:rsid w:val="00BB4001"/>
    <w:rsid w:val="00BB7C61"/>
    <w:rsid w:val="00BC0351"/>
    <w:rsid w:val="00BC1EBC"/>
    <w:rsid w:val="00BC26E0"/>
    <w:rsid w:val="00BC2B37"/>
    <w:rsid w:val="00BC3BE3"/>
    <w:rsid w:val="00BC472B"/>
    <w:rsid w:val="00BC4AF7"/>
    <w:rsid w:val="00BC4B42"/>
    <w:rsid w:val="00BC4E73"/>
    <w:rsid w:val="00BC56A8"/>
    <w:rsid w:val="00BC7BAF"/>
    <w:rsid w:val="00BD041D"/>
    <w:rsid w:val="00BD0837"/>
    <w:rsid w:val="00BD0FFD"/>
    <w:rsid w:val="00BD1191"/>
    <w:rsid w:val="00BD1CFA"/>
    <w:rsid w:val="00BD1F69"/>
    <w:rsid w:val="00BD3313"/>
    <w:rsid w:val="00BD3DF0"/>
    <w:rsid w:val="00BD57D5"/>
    <w:rsid w:val="00BD5B06"/>
    <w:rsid w:val="00BD6472"/>
    <w:rsid w:val="00BD687D"/>
    <w:rsid w:val="00BD6E8B"/>
    <w:rsid w:val="00BE0998"/>
    <w:rsid w:val="00BE0EB0"/>
    <w:rsid w:val="00BE0FEF"/>
    <w:rsid w:val="00BE1119"/>
    <w:rsid w:val="00BE4742"/>
    <w:rsid w:val="00BE47CE"/>
    <w:rsid w:val="00BE6381"/>
    <w:rsid w:val="00BE7334"/>
    <w:rsid w:val="00BE74AF"/>
    <w:rsid w:val="00BE773D"/>
    <w:rsid w:val="00BE7F41"/>
    <w:rsid w:val="00BF126B"/>
    <w:rsid w:val="00BF2CBB"/>
    <w:rsid w:val="00BF3253"/>
    <w:rsid w:val="00BF33C2"/>
    <w:rsid w:val="00BF3AA2"/>
    <w:rsid w:val="00BF485A"/>
    <w:rsid w:val="00BF4A31"/>
    <w:rsid w:val="00BF572B"/>
    <w:rsid w:val="00BF6B98"/>
    <w:rsid w:val="00BF6BBA"/>
    <w:rsid w:val="00C00209"/>
    <w:rsid w:val="00C01719"/>
    <w:rsid w:val="00C02461"/>
    <w:rsid w:val="00C0352A"/>
    <w:rsid w:val="00C03EBA"/>
    <w:rsid w:val="00C04922"/>
    <w:rsid w:val="00C05887"/>
    <w:rsid w:val="00C060E7"/>
    <w:rsid w:val="00C06192"/>
    <w:rsid w:val="00C07E77"/>
    <w:rsid w:val="00C12A79"/>
    <w:rsid w:val="00C131D8"/>
    <w:rsid w:val="00C14F59"/>
    <w:rsid w:val="00C151BC"/>
    <w:rsid w:val="00C159D7"/>
    <w:rsid w:val="00C20263"/>
    <w:rsid w:val="00C20C72"/>
    <w:rsid w:val="00C23E3A"/>
    <w:rsid w:val="00C24CE9"/>
    <w:rsid w:val="00C278C1"/>
    <w:rsid w:val="00C278F8"/>
    <w:rsid w:val="00C27D5F"/>
    <w:rsid w:val="00C30606"/>
    <w:rsid w:val="00C3196A"/>
    <w:rsid w:val="00C32768"/>
    <w:rsid w:val="00C33A18"/>
    <w:rsid w:val="00C35675"/>
    <w:rsid w:val="00C364DE"/>
    <w:rsid w:val="00C4265D"/>
    <w:rsid w:val="00C43429"/>
    <w:rsid w:val="00C43B3E"/>
    <w:rsid w:val="00C44909"/>
    <w:rsid w:val="00C449F9"/>
    <w:rsid w:val="00C44B58"/>
    <w:rsid w:val="00C44B9D"/>
    <w:rsid w:val="00C44E4C"/>
    <w:rsid w:val="00C45354"/>
    <w:rsid w:val="00C45534"/>
    <w:rsid w:val="00C461E9"/>
    <w:rsid w:val="00C46BA5"/>
    <w:rsid w:val="00C476BF"/>
    <w:rsid w:val="00C47AC1"/>
    <w:rsid w:val="00C51013"/>
    <w:rsid w:val="00C51082"/>
    <w:rsid w:val="00C523CF"/>
    <w:rsid w:val="00C525B2"/>
    <w:rsid w:val="00C534EE"/>
    <w:rsid w:val="00C5484B"/>
    <w:rsid w:val="00C5612B"/>
    <w:rsid w:val="00C577A9"/>
    <w:rsid w:val="00C611A5"/>
    <w:rsid w:val="00C6145B"/>
    <w:rsid w:val="00C61B7C"/>
    <w:rsid w:val="00C621A6"/>
    <w:rsid w:val="00C62690"/>
    <w:rsid w:val="00C632A4"/>
    <w:rsid w:val="00C64572"/>
    <w:rsid w:val="00C65E20"/>
    <w:rsid w:val="00C6664C"/>
    <w:rsid w:val="00C71310"/>
    <w:rsid w:val="00C7138D"/>
    <w:rsid w:val="00C71609"/>
    <w:rsid w:val="00C717C4"/>
    <w:rsid w:val="00C71DB6"/>
    <w:rsid w:val="00C7432E"/>
    <w:rsid w:val="00C74C7D"/>
    <w:rsid w:val="00C74D4E"/>
    <w:rsid w:val="00C76485"/>
    <w:rsid w:val="00C81337"/>
    <w:rsid w:val="00C81343"/>
    <w:rsid w:val="00C8137D"/>
    <w:rsid w:val="00C82631"/>
    <w:rsid w:val="00C82839"/>
    <w:rsid w:val="00C8410E"/>
    <w:rsid w:val="00C85270"/>
    <w:rsid w:val="00C8697D"/>
    <w:rsid w:val="00C876D7"/>
    <w:rsid w:val="00C87DBA"/>
    <w:rsid w:val="00C90795"/>
    <w:rsid w:val="00C9085D"/>
    <w:rsid w:val="00C92E2B"/>
    <w:rsid w:val="00C93017"/>
    <w:rsid w:val="00C949D4"/>
    <w:rsid w:val="00C96290"/>
    <w:rsid w:val="00C96C5B"/>
    <w:rsid w:val="00C97C90"/>
    <w:rsid w:val="00CA0522"/>
    <w:rsid w:val="00CA0F92"/>
    <w:rsid w:val="00CA154F"/>
    <w:rsid w:val="00CA1931"/>
    <w:rsid w:val="00CA2B39"/>
    <w:rsid w:val="00CA36B0"/>
    <w:rsid w:val="00CA45AD"/>
    <w:rsid w:val="00CA57C5"/>
    <w:rsid w:val="00CA5CA7"/>
    <w:rsid w:val="00CA7CF5"/>
    <w:rsid w:val="00CB0B31"/>
    <w:rsid w:val="00CB1892"/>
    <w:rsid w:val="00CB1E02"/>
    <w:rsid w:val="00CB373D"/>
    <w:rsid w:val="00CB4631"/>
    <w:rsid w:val="00CC05A5"/>
    <w:rsid w:val="00CC0DBE"/>
    <w:rsid w:val="00CC1F2A"/>
    <w:rsid w:val="00CC3E32"/>
    <w:rsid w:val="00CC7EA3"/>
    <w:rsid w:val="00CD09F7"/>
    <w:rsid w:val="00CD347C"/>
    <w:rsid w:val="00CD4E50"/>
    <w:rsid w:val="00CD760F"/>
    <w:rsid w:val="00CE0380"/>
    <w:rsid w:val="00CE0FA5"/>
    <w:rsid w:val="00CE2298"/>
    <w:rsid w:val="00CE5413"/>
    <w:rsid w:val="00CE5FB0"/>
    <w:rsid w:val="00CE62A9"/>
    <w:rsid w:val="00CE6A52"/>
    <w:rsid w:val="00CE7BB4"/>
    <w:rsid w:val="00CF1065"/>
    <w:rsid w:val="00CF15F8"/>
    <w:rsid w:val="00CF37E2"/>
    <w:rsid w:val="00CF681D"/>
    <w:rsid w:val="00CF6AE2"/>
    <w:rsid w:val="00CF77DA"/>
    <w:rsid w:val="00D01CA2"/>
    <w:rsid w:val="00D04443"/>
    <w:rsid w:val="00D05B88"/>
    <w:rsid w:val="00D063BB"/>
    <w:rsid w:val="00D071A5"/>
    <w:rsid w:val="00D104D4"/>
    <w:rsid w:val="00D10777"/>
    <w:rsid w:val="00D112FB"/>
    <w:rsid w:val="00D11D4E"/>
    <w:rsid w:val="00D1217D"/>
    <w:rsid w:val="00D12424"/>
    <w:rsid w:val="00D13EAA"/>
    <w:rsid w:val="00D14A1E"/>
    <w:rsid w:val="00D16443"/>
    <w:rsid w:val="00D179FC"/>
    <w:rsid w:val="00D22074"/>
    <w:rsid w:val="00D23304"/>
    <w:rsid w:val="00D235CD"/>
    <w:rsid w:val="00D23B0A"/>
    <w:rsid w:val="00D24695"/>
    <w:rsid w:val="00D2480D"/>
    <w:rsid w:val="00D24865"/>
    <w:rsid w:val="00D275E8"/>
    <w:rsid w:val="00D27AA8"/>
    <w:rsid w:val="00D325B4"/>
    <w:rsid w:val="00D32C0C"/>
    <w:rsid w:val="00D34228"/>
    <w:rsid w:val="00D35B47"/>
    <w:rsid w:val="00D36349"/>
    <w:rsid w:val="00D37B77"/>
    <w:rsid w:val="00D4078C"/>
    <w:rsid w:val="00D41272"/>
    <w:rsid w:val="00D4155E"/>
    <w:rsid w:val="00D41B11"/>
    <w:rsid w:val="00D41D50"/>
    <w:rsid w:val="00D422F4"/>
    <w:rsid w:val="00D42B40"/>
    <w:rsid w:val="00D430C8"/>
    <w:rsid w:val="00D4420D"/>
    <w:rsid w:val="00D44E5E"/>
    <w:rsid w:val="00D46994"/>
    <w:rsid w:val="00D527B1"/>
    <w:rsid w:val="00D55E31"/>
    <w:rsid w:val="00D57DB0"/>
    <w:rsid w:val="00D60EA2"/>
    <w:rsid w:val="00D61EAF"/>
    <w:rsid w:val="00D630CC"/>
    <w:rsid w:val="00D64A82"/>
    <w:rsid w:val="00D65990"/>
    <w:rsid w:val="00D65ADD"/>
    <w:rsid w:val="00D66326"/>
    <w:rsid w:val="00D719F0"/>
    <w:rsid w:val="00D731F3"/>
    <w:rsid w:val="00D73835"/>
    <w:rsid w:val="00D73B38"/>
    <w:rsid w:val="00D75841"/>
    <w:rsid w:val="00D81E21"/>
    <w:rsid w:val="00D81F64"/>
    <w:rsid w:val="00D90724"/>
    <w:rsid w:val="00D94909"/>
    <w:rsid w:val="00D95352"/>
    <w:rsid w:val="00D959C4"/>
    <w:rsid w:val="00D96652"/>
    <w:rsid w:val="00D96D4F"/>
    <w:rsid w:val="00D97503"/>
    <w:rsid w:val="00DA1C78"/>
    <w:rsid w:val="00DA1E0D"/>
    <w:rsid w:val="00DA51B7"/>
    <w:rsid w:val="00DA5448"/>
    <w:rsid w:val="00DA63EB"/>
    <w:rsid w:val="00DA68AB"/>
    <w:rsid w:val="00DB1772"/>
    <w:rsid w:val="00DB3BF9"/>
    <w:rsid w:val="00DB53DF"/>
    <w:rsid w:val="00DB5C3A"/>
    <w:rsid w:val="00DB7C5F"/>
    <w:rsid w:val="00DC0E22"/>
    <w:rsid w:val="00DC12CB"/>
    <w:rsid w:val="00DC13C7"/>
    <w:rsid w:val="00DC30D2"/>
    <w:rsid w:val="00DC4F5A"/>
    <w:rsid w:val="00DC5146"/>
    <w:rsid w:val="00DC567E"/>
    <w:rsid w:val="00DC5DB2"/>
    <w:rsid w:val="00DC66FB"/>
    <w:rsid w:val="00DC7E50"/>
    <w:rsid w:val="00DD069E"/>
    <w:rsid w:val="00DD096B"/>
    <w:rsid w:val="00DD22FC"/>
    <w:rsid w:val="00DD296E"/>
    <w:rsid w:val="00DD41A4"/>
    <w:rsid w:val="00DD41D0"/>
    <w:rsid w:val="00DD4399"/>
    <w:rsid w:val="00DD4941"/>
    <w:rsid w:val="00DD6C88"/>
    <w:rsid w:val="00DE037E"/>
    <w:rsid w:val="00DE136E"/>
    <w:rsid w:val="00DE2403"/>
    <w:rsid w:val="00DE2F03"/>
    <w:rsid w:val="00DE32B4"/>
    <w:rsid w:val="00DE33F4"/>
    <w:rsid w:val="00DE38ED"/>
    <w:rsid w:val="00DE39DC"/>
    <w:rsid w:val="00DE3A99"/>
    <w:rsid w:val="00DE3D2D"/>
    <w:rsid w:val="00DE547E"/>
    <w:rsid w:val="00DE7DAD"/>
    <w:rsid w:val="00DF014F"/>
    <w:rsid w:val="00DF04A9"/>
    <w:rsid w:val="00DF209E"/>
    <w:rsid w:val="00DF21F6"/>
    <w:rsid w:val="00DF4073"/>
    <w:rsid w:val="00DF40AF"/>
    <w:rsid w:val="00DF4B93"/>
    <w:rsid w:val="00DF6A3F"/>
    <w:rsid w:val="00E010EB"/>
    <w:rsid w:val="00E014A3"/>
    <w:rsid w:val="00E0268B"/>
    <w:rsid w:val="00E02CEC"/>
    <w:rsid w:val="00E04200"/>
    <w:rsid w:val="00E07C62"/>
    <w:rsid w:val="00E116C5"/>
    <w:rsid w:val="00E119B5"/>
    <w:rsid w:val="00E11ADA"/>
    <w:rsid w:val="00E15A47"/>
    <w:rsid w:val="00E15B4F"/>
    <w:rsid w:val="00E168F2"/>
    <w:rsid w:val="00E17F75"/>
    <w:rsid w:val="00E2089C"/>
    <w:rsid w:val="00E22922"/>
    <w:rsid w:val="00E252AD"/>
    <w:rsid w:val="00E27262"/>
    <w:rsid w:val="00E27F9C"/>
    <w:rsid w:val="00E3183C"/>
    <w:rsid w:val="00E32077"/>
    <w:rsid w:val="00E3578E"/>
    <w:rsid w:val="00E36B33"/>
    <w:rsid w:val="00E42E6D"/>
    <w:rsid w:val="00E442DB"/>
    <w:rsid w:val="00E44EA0"/>
    <w:rsid w:val="00E455B0"/>
    <w:rsid w:val="00E46425"/>
    <w:rsid w:val="00E46FEA"/>
    <w:rsid w:val="00E50511"/>
    <w:rsid w:val="00E50B13"/>
    <w:rsid w:val="00E5230D"/>
    <w:rsid w:val="00E536C9"/>
    <w:rsid w:val="00E53D46"/>
    <w:rsid w:val="00E54914"/>
    <w:rsid w:val="00E54BF6"/>
    <w:rsid w:val="00E56F78"/>
    <w:rsid w:val="00E57A11"/>
    <w:rsid w:val="00E60AD9"/>
    <w:rsid w:val="00E629D0"/>
    <w:rsid w:val="00E62A25"/>
    <w:rsid w:val="00E62FCC"/>
    <w:rsid w:val="00E64760"/>
    <w:rsid w:val="00E66976"/>
    <w:rsid w:val="00E70022"/>
    <w:rsid w:val="00E71245"/>
    <w:rsid w:val="00E7258C"/>
    <w:rsid w:val="00E7298A"/>
    <w:rsid w:val="00E72A91"/>
    <w:rsid w:val="00E75A49"/>
    <w:rsid w:val="00E7645C"/>
    <w:rsid w:val="00E764C3"/>
    <w:rsid w:val="00E76672"/>
    <w:rsid w:val="00E7760C"/>
    <w:rsid w:val="00E81D45"/>
    <w:rsid w:val="00E8229F"/>
    <w:rsid w:val="00E82FCE"/>
    <w:rsid w:val="00E84CE8"/>
    <w:rsid w:val="00E84F4A"/>
    <w:rsid w:val="00E90A09"/>
    <w:rsid w:val="00E90BB3"/>
    <w:rsid w:val="00E90F36"/>
    <w:rsid w:val="00E919D5"/>
    <w:rsid w:val="00E91FDB"/>
    <w:rsid w:val="00E943F1"/>
    <w:rsid w:val="00E9488A"/>
    <w:rsid w:val="00E94C6A"/>
    <w:rsid w:val="00E97D20"/>
    <w:rsid w:val="00E97DDF"/>
    <w:rsid w:val="00EA69CF"/>
    <w:rsid w:val="00EA6B51"/>
    <w:rsid w:val="00EA7DAB"/>
    <w:rsid w:val="00EB0DF6"/>
    <w:rsid w:val="00EB2AFD"/>
    <w:rsid w:val="00EB38A5"/>
    <w:rsid w:val="00EB492D"/>
    <w:rsid w:val="00EB4A9A"/>
    <w:rsid w:val="00EB4B5B"/>
    <w:rsid w:val="00EB63C9"/>
    <w:rsid w:val="00EB65C3"/>
    <w:rsid w:val="00EB7DF2"/>
    <w:rsid w:val="00EC1B07"/>
    <w:rsid w:val="00EC3495"/>
    <w:rsid w:val="00EC4A8B"/>
    <w:rsid w:val="00EC6D58"/>
    <w:rsid w:val="00EC7783"/>
    <w:rsid w:val="00EC779A"/>
    <w:rsid w:val="00ED04AE"/>
    <w:rsid w:val="00ED13E0"/>
    <w:rsid w:val="00ED3EBF"/>
    <w:rsid w:val="00ED41CC"/>
    <w:rsid w:val="00EE1161"/>
    <w:rsid w:val="00EE11F1"/>
    <w:rsid w:val="00EE14EC"/>
    <w:rsid w:val="00EE363A"/>
    <w:rsid w:val="00EE5B45"/>
    <w:rsid w:val="00EF1ACA"/>
    <w:rsid w:val="00EF3C21"/>
    <w:rsid w:val="00EF3D80"/>
    <w:rsid w:val="00EF4CB7"/>
    <w:rsid w:val="00EF4E3A"/>
    <w:rsid w:val="00EF51C1"/>
    <w:rsid w:val="00EF7695"/>
    <w:rsid w:val="00F00048"/>
    <w:rsid w:val="00F016B3"/>
    <w:rsid w:val="00F02113"/>
    <w:rsid w:val="00F021B9"/>
    <w:rsid w:val="00F024D6"/>
    <w:rsid w:val="00F0297F"/>
    <w:rsid w:val="00F03C13"/>
    <w:rsid w:val="00F0434B"/>
    <w:rsid w:val="00F05289"/>
    <w:rsid w:val="00F054E1"/>
    <w:rsid w:val="00F077EF"/>
    <w:rsid w:val="00F11A16"/>
    <w:rsid w:val="00F12DB9"/>
    <w:rsid w:val="00F13D7F"/>
    <w:rsid w:val="00F13FBF"/>
    <w:rsid w:val="00F146AE"/>
    <w:rsid w:val="00F14B22"/>
    <w:rsid w:val="00F153CF"/>
    <w:rsid w:val="00F16188"/>
    <w:rsid w:val="00F21770"/>
    <w:rsid w:val="00F21D76"/>
    <w:rsid w:val="00F240D5"/>
    <w:rsid w:val="00F247B8"/>
    <w:rsid w:val="00F24F0E"/>
    <w:rsid w:val="00F25993"/>
    <w:rsid w:val="00F27024"/>
    <w:rsid w:val="00F27E45"/>
    <w:rsid w:val="00F30227"/>
    <w:rsid w:val="00F33213"/>
    <w:rsid w:val="00F34957"/>
    <w:rsid w:val="00F3529C"/>
    <w:rsid w:val="00F356E1"/>
    <w:rsid w:val="00F368B1"/>
    <w:rsid w:val="00F40320"/>
    <w:rsid w:val="00F40CDA"/>
    <w:rsid w:val="00F424A6"/>
    <w:rsid w:val="00F425E7"/>
    <w:rsid w:val="00F44098"/>
    <w:rsid w:val="00F44304"/>
    <w:rsid w:val="00F46B69"/>
    <w:rsid w:val="00F50135"/>
    <w:rsid w:val="00F509FA"/>
    <w:rsid w:val="00F519BF"/>
    <w:rsid w:val="00F54275"/>
    <w:rsid w:val="00F54284"/>
    <w:rsid w:val="00F54EDB"/>
    <w:rsid w:val="00F55F67"/>
    <w:rsid w:val="00F56022"/>
    <w:rsid w:val="00F56054"/>
    <w:rsid w:val="00F56A6C"/>
    <w:rsid w:val="00F61D05"/>
    <w:rsid w:val="00F62BB6"/>
    <w:rsid w:val="00F630BB"/>
    <w:rsid w:val="00F653A8"/>
    <w:rsid w:val="00F66F59"/>
    <w:rsid w:val="00F67507"/>
    <w:rsid w:val="00F7008B"/>
    <w:rsid w:val="00F70D72"/>
    <w:rsid w:val="00F71A90"/>
    <w:rsid w:val="00F73D8D"/>
    <w:rsid w:val="00F74343"/>
    <w:rsid w:val="00F74BF3"/>
    <w:rsid w:val="00F754D6"/>
    <w:rsid w:val="00F76094"/>
    <w:rsid w:val="00F770D3"/>
    <w:rsid w:val="00F77A67"/>
    <w:rsid w:val="00F8076A"/>
    <w:rsid w:val="00F814B9"/>
    <w:rsid w:val="00F81A66"/>
    <w:rsid w:val="00F81F1F"/>
    <w:rsid w:val="00F824C1"/>
    <w:rsid w:val="00F85502"/>
    <w:rsid w:val="00F86141"/>
    <w:rsid w:val="00F87367"/>
    <w:rsid w:val="00F87684"/>
    <w:rsid w:val="00F91853"/>
    <w:rsid w:val="00F934F0"/>
    <w:rsid w:val="00F93AF5"/>
    <w:rsid w:val="00F965D1"/>
    <w:rsid w:val="00FA0EFB"/>
    <w:rsid w:val="00FA24FF"/>
    <w:rsid w:val="00FA2D79"/>
    <w:rsid w:val="00FA3D8D"/>
    <w:rsid w:val="00FA4E5B"/>
    <w:rsid w:val="00FA605B"/>
    <w:rsid w:val="00FB10A4"/>
    <w:rsid w:val="00FB10B8"/>
    <w:rsid w:val="00FB1562"/>
    <w:rsid w:val="00FB1641"/>
    <w:rsid w:val="00FB167A"/>
    <w:rsid w:val="00FB24DD"/>
    <w:rsid w:val="00FB407C"/>
    <w:rsid w:val="00FB498F"/>
    <w:rsid w:val="00FB49E9"/>
    <w:rsid w:val="00FB7EC7"/>
    <w:rsid w:val="00FC1C13"/>
    <w:rsid w:val="00FC2071"/>
    <w:rsid w:val="00FC4B87"/>
    <w:rsid w:val="00FC50FD"/>
    <w:rsid w:val="00FC5C1F"/>
    <w:rsid w:val="00FC5D47"/>
    <w:rsid w:val="00FC63F4"/>
    <w:rsid w:val="00FC6467"/>
    <w:rsid w:val="00FC64C0"/>
    <w:rsid w:val="00FD040C"/>
    <w:rsid w:val="00FD1D71"/>
    <w:rsid w:val="00FD2A83"/>
    <w:rsid w:val="00FD3107"/>
    <w:rsid w:val="00FD48E0"/>
    <w:rsid w:val="00FD55E6"/>
    <w:rsid w:val="00FD5EE2"/>
    <w:rsid w:val="00FE0544"/>
    <w:rsid w:val="00FE0887"/>
    <w:rsid w:val="00FE0BAB"/>
    <w:rsid w:val="00FE109A"/>
    <w:rsid w:val="00FE121B"/>
    <w:rsid w:val="00FE3542"/>
    <w:rsid w:val="00FE475A"/>
    <w:rsid w:val="00FE5616"/>
    <w:rsid w:val="00FE5E5F"/>
    <w:rsid w:val="00FE6A82"/>
    <w:rsid w:val="00FE7237"/>
    <w:rsid w:val="00FE736A"/>
    <w:rsid w:val="00FE7790"/>
    <w:rsid w:val="00FE7F0E"/>
    <w:rsid w:val="00FF1378"/>
    <w:rsid w:val="00FF1B91"/>
    <w:rsid w:val="00FF26F4"/>
    <w:rsid w:val="00FF2B75"/>
    <w:rsid w:val="00FF2BA8"/>
    <w:rsid w:val="00FF35AB"/>
    <w:rsid w:val="00FF397B"/>
    <w:rsid w:val="00FF467C"/>
    <w:rsid w:val="00FF7FA0"/>
    <w:rsid w:val="011529E5"/>
    <w:rsid w:val="013644AB"/>
    <w:rsid w:val="014535E3"/>
    <w:rsid w:val="01503F16"/>
    <w:rsid w:val="015C7A60"/>
    <w:rsid w:val="018E1EA2"/>
    <w:rsid w:val="01CD15AA"/>
    <w:rsid w:val="01D152A8"/>
    <w:rsid w:val="01FF7EC8"/>
    <w:rsid w:val="02356294"/>
    <w:rsid w:val="025F5E28"/>
    <w:rsid w:val="02646F24"/>
    <w:rsid w:val="028762B9"/>
    <w:rsid w:val="02C30B0F"/>
    <w:rsid w:val="02E02151"/>
    <w:rsid w:val="03224716"/>
    <w:rsid w:val="0325425A"/>
    <w:rsid w:val="032816F8"/>
    <w:rsid w:val="034356F2"/>
    <w:rsid w:val="037A526E"/>
    <w:rsid w:val="039A3363"/>
    <w:rsid w:val="03C214B3"/>
    <w:rsid w:val="03F12FA0"/>
    <w:rsid w:val="03F725C5"/>
    <w:rsid w:val="043F0BEF"/>
    <w:rsid w:val="04527B99"/>
    <w:rsid w:val="04814E01"/>
    <w:rsid w:val="04B424A1"/>
    <w:rsid w:val="04B4578A"/>
    <w:rsid w:val="04BF73E3"/>
    <w:rsid w:val="04E86AF7"/>
    <w:rsid w:val="05211ACA"/>
    <w:rsid w:val="053D41D7"/>
    <w:rsid w:val="05725443"/>
    <w:rsid w:val="05844037"/>
    <w:rsid w:val="059F1A90"/>
    <w:rsid w:val="05AA29E2"/>
    <w:rsid w:val="05AB0075"/>
    <w:rsid w:val="05D42C32"/>
    <w:rsid w:val="05D713D6"/>
    <w:rsid w:val="05DB70B6"/>
    <w:rsid w:val="062005AC"/>
    <w:rsid w:val="06526638"/>
    <w:rsid w:val="065747F2"/>
    <w:rsid w:val="067A5606"/>
    <w:rsid w:val="06A438EA"/>
    <w:rsid w:val="06D500ED"/>
    <w:rsid w:val="06D73C87"/>
    <w:rsid w:val="06DD3CD1"/>
    <w:rsid w:val="07143A98"/>
    <w:rsid w:val="07275EB7"/>
    <w:rsid w:val="072A62F5"/>
    <w:rsid w:val="073C2FA8"/>
    <w:rsid w:val="07580994"/>
    <w:rsid w:val="07B14B60"/>
    <w:rsid w:val="07C73F40"/>
    <w:rsid w:val="07CA638C"/>
    <w:rsid w:val="07CE655E"/>
    <w:rsid w:val="07E145CB"/>
    <w:rsid w:val="07E16340"/>
    <w:rsid w:val="07F10377"/>
    <w:rsid w:val="080B5354"/>
    <w:rsid w:val="0821276F"/>
    <w:rsid w:val="08400A92"/>
    <w:rsid w:val="084B265F"/>
    <w:rsid w:val="085C59D9"/>
    <w:rsid w:val="08874912"/>
    <w:rsid w:val="08AE6A66"/>
    <w:rsid w:val="08FF4428"/>
    <w:rsid w:val="09191048"/>
    <w:rsid w:val="092B06B1"/>
    <w:rsid w:val="09444EB6"/>
    <w:rsid w:val="09647778"/>
    <w:rsid w:val="09A666D6"/>
    <w:rsid w:val="09AD7835"/>
    <w:rsid w:val="09B96D4E"/>
    <w:rsid w:val="09BA521C"/>
    <w:rsid w:val="09BC6CAB"/>
    <w:rsid w:val="09DE0562"/>
    <w:rsid w:val="0A303EC4"/>
    <w:rsid w:val="0A5D5F89"/>
    <w:rsid w:val="0A6C3171"/>
    <w:rsid w:val="0A6E2833"/>
    <w:rsid w:val="0A921D15"/>
    <w:rsid w:val="0A97600F"/>
    <w:rsid w:val="0A9A710B"/>
    <w:rsid w:val="0AB56F7B"/>
    <w:rsid w:val="0AC800E5"/>
    <w:rsid w:val="0AD54327"/>
    <w:rsid w:val="0B517F78"/>
    <w:rsid w:val="0B5C2866"/>
    <w:rsid w:val="0B620BA6"/>
    <w:rsid w:val="0B6B051B"/>
    <w:rsid w:val="0BE372E0"/>
    <w:rsid w:val="0C05142A"/>
    <w:rsid w:val="0C064E72"/>
    <w:rsid w:val="0C14764B"/>
    <w:rsid w:val="0C2464AE"/>
    <w:rsid w:val="0C332703"/>
    <w:rsid w:val="0C5C3189"/>
    <w:rsid w:val="0C5C4137"/>
    <w:rsid w:val="0C6C3113"/>
    <w:rsid w:val="0C8C45E7"/>
    <w:rsid w:val="0CA7153F"/>
    <w:rsid w:val="0CAA5073"/>
    <w:rsid w:val="0CC050CA"/>
    <w:rsid w:val="0CE62F8F"/>
    <w:rsid w:val="0D0A5EE1"/>
    <w:rsid w:val="0D30649E"/>
    <w:rsid w:val="0D8047D7"/>
    <w:rsid w:val="0D857C1F"/>
    <w:rsid w:val="0DD176F0"/>
    <w:rsid w:val="0DE8311F"/>
    <w:rsid w:val="0DF27EB8"/>
    <w:rsid w:val="0DFB5BD1"/>
    <w:rsid w:val="0E045853"/>
    <w:rsid w:val="0E051B09"/>
    <w:rsid w:val="0E080DD9"/>
    <w:rsid w:val="0E154644"/>
    <w:rsid w:val="0E365433"/>
    <w:rsid w:val="0E3F0022"/>
    <w:rsid w:val="0E465454"/>
    <w:rsid w:val="0E5E0A66"/>
    <w:rsid w:val="0EA34E2E"/>
    <w:rsid w:val="0ED033DD"/>
    <w:rsid w:val="0EE43EF1"/>
    <w:rsid w:val="0EF6753A"/>
    <w:rsid w:val="0EF95E60"/>
    <w:rsid w:val="0EFB1754"/>
    <w:rsid w:val="0F212B5D"/>
    <w:rsid w:val="0F734FAB"/>
    <w:rsid w:val="0F7B4AE0"/>
    <w:rsid w:val="0F8377B6"/>
    <w:rsid w:val="0F853109"/>
    <w:rsid w:val="0FA77858"/>
    <w:rsid w:val="0FA95904"/>
    <w:rsid w:val="0FDC220E"/>
    <w:rsid w:val="0FE9739B"/>
    <w:rsid w:val="0FFE115F"/>
    <w:rsid w:val="104028F5"/>
    <w:rsid w:val="10494BC0"/>
    <w:rsid w:val="10BE7A39"/>
    <w:rsid w:val="10F02214"/>
    <w:rsid w:val="10F878B6"/>
    <w:rsid w:val="110647F4"/>
    <w:rsid w:val="11170CB0"/>
    <w:rsid w:val="11533960"/>
    <w:rsid w:val="11605D45"/>
    <w:rsid w:val="11E75EBE"/>
    <w:rsid w:val="11E9786D"/>
    <w:rsid w:val="12512B2A"/>
    <w:rsid w:val="12667412"/>
    <w:rsid w:val="126875A9"/>
    <w:rsid w:val="12883B8B"/>
    <w:rsid w:val="129D5403"/>
    <w:rsid w:val="129F0D8C"/>
    <w:rsid w:val="12A80DCE"/>
    <w:rsid w:val="12B83B26"/>
    <w:rsid w:val="12B93117"/>
    <w:rsid w:val="12CA24DF"/>
    <w:rsid w:val="12F22B2A"/>
    <w:rsid w:val="12FD747B"/>
    <w:rsid w:val="13250A64"/>
    <w:rsid w:val="132657F1"/>
    <w:rsid w:val="13373B0D"/>
    <w:rsid w:val="135D29BC"/>
    <w:rsid w:val="136A1608"/>
    <w:rsid w:val="137D7348"/>
    <w:rsid w:val="13823F55"/>
    <w:rsid w:val="13871A94"/>
    <w:rsid w:val="139B4CED"/>
    <w:rsid w:val="13A25594"/>
    <w:rsid w:val="13A722A3"/>
    <w:rsid w:val="13AD0CFD"/>
    <w:rsid w:val="13B87D00"/>
    <w:rsid w:val="13C609E5"/>
    <w:rsid w:val="13D4752F"/>
    <w:rsid w:val="13EC5F71"/>
    <w:rsid w:val="13F8069E"/>
    <w:rsid w:val="14470412"/>
    <w:rsid w:val="14622725"/>
    <w:rsid w:val="14672114"/>
    <w:rsid w:val="14733CAD"/>
    <w:rsid w:val="14CC409F"/>
    <w:rsid w:val="14D42B90"/>
    <w:rsid w:val="14DF1C1E"/>
    <w:rsid w:val="15034956"/>
    <w:rsid w:val="153F2D66"/>
    <w:rsid w:val="16032B05"/>
    <w:rsid w:val="1607487D"/>
    <w:rsid w:val="16174491"/>
    <w:rsid w:val="162004E7"/>
    <w:rsid w:val="1657448D"/>
    <w:rsid w:val="16C00340"/>
    <w:rsid w:val="16C86B75"/>
    <w:rsid w:val="16E336E3"/>
    <w:rsid w:val="171670FC"/>
    <w:rsid w:val="17167BFD"/>
    <w:rsid w:val="176512E9"/>
    <w:rsid w:val="176B42E1"/>
    <w:rsid w:val="17733569"/>
    <w:rsid w:val="17D4125E"/>
    <w:rsid w:val="17EF49C1"/>
    <w:rsid w:val="17F51C86"/>
    <w:rsid w:val="17F713B1"/>
    <w:rsid w:val="18190040"/>
    <w:rsid w:val="18422698"/>
    <w:rsid w:val="184C30ED"/>
    <w:rsid w:val="18603EA3"/>
    <w:rsid w:val="18C133C1"/>
    <w:rsid w:val="18EA5114"/>
    <w:rsid w:val="18F36009"/>
    <w:rsid w:val="18F51424"/>
    <w:rsid w:val="18F54B2A"/>
    <w:rsid w:val="190028AB"/>
    <w:rsid w:val="191044B0"/>
    <w:rsid w:val="19476EDA"/>
    <w:rsid w:val="19513A0A"/>
    <w:rsid w:val="19542257"/>
    <w:rsid w:val="1968767F"/>
    <w:rsid w:val="1982341F"/>
    <w:rsid w:val="198C5A4D"/>
    <w:rsid w:val="19911223"/>
    <w:rsid w:val="19A85E08"/>
    <w:rsid w:val="19C156B5"/>
    <w:rsid w:val="19D07B9C"/>
    <w:rsid w:val="1A0541D0"/>
    <w:rsid w:val="1A146D7D"/>
    <w:rsid w:val="1A1642F4"/>
    <w:rsid w:val="1A1C152B"/>
    <w:rsid w:val="1A3C2DC1"/>
    <w:rsid w:val="1A561EEB"/>
    <w:rsid w:val="1A6D5B61"/>
    <w:rsid w:val="1A7C24D9"/>
    <w:rsid w:val="1A7F4B27"/>
    <w:rsid w:val="1A885004"/>
    <w:rsid w:val="1AA015CB"/>
    <w:rsid w:val="1AE04B87"/>
    <w:rsid w:val="1B180F63"/>
    <w:rsid w:val="1B6B1E72"/>
    <w:rsid w:val="1B7954AA"/>
    <w:rsid w:val="1B7D5ECD"/>
    <w:rsid w:val="1B833E7E"/>
    <w:rsid w:val="1BC72F1A"/>
    <w:rsid w:val="1BEC03BA"/>
    <w:rsid w:val="1C1239C7"/>
    <w:rsid w:val="1C3A0A3A"/>
    <w:rsid w:val="1C577A7E"/>
    <w:rsid w:val="1C5F4558"/>
    <w:rsid w:val="1C6C7415"/>
    <w:rsid w:val="1C7159AF"/>
    <w:rsid w:val="1CA515EC"/>
    <w:rsid w:val="1CF72474"/>
    <w:rsid w:val="1CF840D4"/>
    <w:rsid w:val="1D3D3517"/>
    <w:rsid w:val="1DC54CFB"/>
    <w:rsid w:val="1DE740D0"/>
    <w:rsid w:val="1E1032E1"/>
    <w:rsid w:val="1E2D5FFF"/>
    <w:rsid w:val="1E4A0BE2"/>
    <w:rsid w:val="1E967498"/>
    <w:rsid w:val="1F024696"/>
    <w:rsid w:val="1F063499"/>
    <w:rsid w:val="1F28033B"/>
    <w:rsid w:val="1F372FB7"/>
    <w:rsid w:val="1F3D0B8F"/>
    <w:rsid w:val="1F402835"/>
    <w:rsid w:val="1F61262D"/>
    <w:rsid w:val="1F6449CF"/>
    <w:rsid w:val="1F8F1E68"/>
    <w:rsid w:val="1FA457C8"/>
    <w:rsid w:val="1FBD613B"/>
    <w:rsid w:val="1FBE3423"/>
    <w:rsid w:val="1FDB151A"/>
    <w:rsid w:val="200F60FF"/>
    <w:rsid w:val="202023D1"/>
    <w:rsid w:val="2021587D"/>
    <w:rsid w:val="202922C8"/>
    <w:rsid w:val="204D3DA5"/>
    <w:rsid w:val="204F2FFB"/>
    <w:rsid w:val="20831422"/>
    <w:rsid w:val="20B50A19"/>
    <w:rsid w:val="210C6563"/>
    <w:rsid w:val="211C5821"/>
    <w:rsid w:val="2130731B"/>
    <w:rsid w:val="214143A3"/>
    <w:rsid w:val="215238B8"/>
    <w:rsid w:val="21A040E6"/>
    <w:rsid w:val="21C577E0"/>
    <w:rsid w:val="224E454C"/>
    <w:rsid w:val="22871BED"/>
    <w:rsid w:val="22BF0648"/>
    <w:rsid w:val="22CB00D8"/>
    <w:rsid w:val="23172224"/>
    <w:rsid w:val="2347717C"/>
    <w:rsid w:val="234A60E7"/>
    <w:rsid w:val="23AB64C4"/>
    <w:rsid w:val="23B47A40"/>
    <w:rsid w:val="23E862A6"/>
    <w:rsid w:val="23F41BF5"/>
    <w:rsid w:val="23F92D0C"/>
    <w:rsid w:val="24013ABE"/>
    <w:rsid w:val="24112E4F"/>
    <w:rsid w:val="245031B3"/>
    <w:rsid w:val="24700087"/>
    <w:rsid w:val="2474187B"/>
    <w:rsid w:val="249E2203"/>
    <w:rsid w:val="24D623A5"/>
    <w:rsid w:val="24EC05B7"/>
    <w:rsid w:val="24F03635"/>
    <w:rsid w:val="250D1033"/>
    <w:rsid w:val="25131D1E"/>
    <w:rsid w:val="255455C9"/>
    <w:rsid w:val="25A2260D"/>
    <w:rsid w:val="25AD5526"/>
    <w:rsid w:val="25AF4943"/>
    <w:rsid w:val="25B939C1"/>
    <w:rsid w:val="25D1115A"/>
    <w:rsid w:val="25F27BDA"/>
    <w:rsid w:val="25F60B64"/>
    <w:rsid w:val="26066DFF"/>
    <w:rsid w:val="2616107F"/>
    <w:rsid w:val="261A65BF"/>
    <w:rsid w:val="264643CF"/>
    <w:rsid w:val="264B4B31"/>
    <w:rsid w:val="26571453"/>
    <w:rsid w:val="267E77CB"/>
    <w:rsid w:val="269A6448"/>
    <w:rsid w:val="26C279D4"/>
    <w:rsid w:val="26EF09DC"/>
    <w:rsid w:val="27034E6F"/>
    <w:rsid w:val="2727372C"/>
    <w:rsid w:val="273B4D05"/>
    <w:rsid w:val="27740F2F"/>
    <w:rsid w:val="278700F4"/>
    <w:rsid w:val="279664C8"/>
    <w:rsid w:val="27A035A7"/>
    <w:rsid w:val="27A61E6A"/>
    <w:rsid w:val="27BC7B9A"/>
    <w:rsid w:val="28502B30"/>
    <w:rsid w:val="287B026D"/>
    <w:rsid w:val="28A07B19"/>
    <w:rsid w:val="28AF2283"/>
    <w:rsid w:val="28D45E75"/>
    <w:rsid w:val="28DD3C7A"/>
    <w:rsid w:val="28E5367B"/>
    <w:rsid w:val="28F17AA8"/>
    <w:rsid w:val="29C46A54"/>
    <w:rsid w:val="29D568DB"/>
    <w:rsid w:val="29E371C3"/>
    <w:rsid w:val="2A116DDF"/>
    <w:rsid w:val="2A1363C0"/>
    <w:rsid w:val="2A357145"/>
    <w:rsid w:val="2A446E13"/>
    <w:rsid w:val="2A677080"/>
    <w:rsid w:val="2A811EE6"/>
    <w:rsid w:val="2A8639B6"/>
    <w:rsid w:val="2AAA326A"/>
    <w:rsid w:val="2ADF6315"/>
    <w:rsid w:val="2AEF5617"/>
    <w:rsid w:val="2B120D3B"/>
    <w:rsid w:val="2B1F66C5"/>
    <w:rsid w:val="2B566A7B"/>
    <w:rsid w:val="2B6658C0"/>
    <w:rsid w:val="2B6A26C5"/>
    <w:rsid w:val="2B716426"/>
    <w:rsid w:val="2B8C1F06"/>
    <w:rsid w:val="2B8F5708"/>
    <w:rsid w:val="2BAA0794"/>
    <w:rsid w:val="2BC64C59"/>
    <w:rsid w:val="2BD2518F"/>
    <w:rsid w:val="2BDB4C71"/>
    <w:rsid w:val="2C543CB7"/>
    <w:rsid w:val="2C5C1AB1"/>
    <w:rsid w:val="2C6E48E2"/>
    <w:rsid w:val="2C736DD8"/>
    <w:rsid w:val="2C970155"/>
    <w:rsid w:val="2CBA5851"/>
    <w:rsid w:val="2CC55886"/>
    <w:rsid w:val="2CC77F77"/>
    <w:rsid w:val="2D00377A"/>
    <w:rsid w:val="2D114397"/>
    <w:rsid w:val="2D1A4CC5"/>
    <w:rsid w:val="2D5731F3"/>
    <w:rsid w:val="2D5846C4"/>
    <w:rsid w:val="2D5B09D9"/>
    <w:rsid w:val="2D627FA9"/>
    <w:rsid w:val="2D7A34D7"/>
    <w:rsid w:val="2D7F0141"/>
    <w:rsid w:val="2D900004"/>
    <w:rsid w:val="2D956CAC"/>
    <w:rsid w:val="2D9D7EC6"/>
    <w:rsid w:val="2DA54856"/>
    <w:rsid w:val="2DEC5B70"/>
    <w:rsid w:val="2E042697"/>
    <w:rsid w:val="2E056E5F"/>
    <w:rsid w:val="2E140D85"/>
    <w:rsid w:val="2E207DF5"/>
    <w:rsid w:val="2E284768"/>
    <w:rsid w:val="2E4D109C"/>
    <w:rsid w:val="2E5327CA"/>
    <w:rsid w:val="2E6824DD"/>
    <w:rsid w:val="2E7437C4"/>
    <w:rsid w:val="2E9B0469"/>
    <w:rsid w:val="2EA12542"/>
    <w:rsid w:val="2EC708C1"/>
    <w:rsid w:val="2ECF3EF9"/>
    <w:rsid w:val="2ED86B2D"/>
    <w:rsid w:val="2EEA0A76"/>
    <w:rsid w:val="2F0A2A46"/>
    <w:rsid w:val="2F0B35D4"/>
    <w:rsid w:val="2F0F2975"/>
    <w:rsid w:val="2F277AB8"/>
    <w:rsid w:val="2F4062D9"/>
    <w:rsid w:val="2F534F14"/>
    <w:rsid w:val="2F5E71C5"/>
    <w:rsid w:val="2F8A7CE5"/>
    <w:rsid w:val="2FA23C5C"/>
    <w:rsid w:val="2FE723EC"/>
    <w:rsid w:val="2FE9710D"/>
    <w:rsid w:val="2FFC51D4"/>
    <w:rsid w:val="300E7171"/>
    <w:rsid w:val="30373FA2"/>
    <w:rsid w:val="306313A5"/>
    <w:rsid w:val="30A031FF"/>
    <w:rsid w:val="30DA3A28"/>
    <w:rsid w:val="3105004B"/>
    <w:rsid w:val="3128579E"/>
    <w:rsid w:val="313A51D1"/>
    <w:rsid w:val="31691EB4"/>
    <w:rsid w:val="317F570C"/>
    <w:rsid w:val="31896F96"/>
    <w:rsid w:val="31B42BB0"/>
    <w:rsid w:val="31F3301E"/>
    <w:rsid w:val="31F50D74"/>
    <w:rsid w:val="32017FF9"/>
    <w:rsid w:val="321D6DCD"/>
    <w:rsid w:val="322572BA"/>
    <w:rsid w:val="3248389B"/>
    <w:rsid w:val="32485B7B"/>
    <w:rsid w:val="324B136D"/>
    <w:rsid w:val="329D4BAF"/>
    <w:rsid w:val="32BF0B2E"/>
    <w:rsid w:val="32EB0B33"/>
    <w:rsid w:val="32F248BA"/>
    <w:rsid w:val="33016F2B"/>
    <w:rsid w:val="33127FD6"/>
    <w:rsid w:val="3318522D"/>
    <w:rsid w:val="334F6EBD"/>
    <w:rsid w:val="33650E57"/>
    <w:rsid w:val="336716E7"/>
    <w:rsid w:val="339A30ED"/>
    <w:rsid w:val="33C25D04"/>
    <w:rsid w:val="33EC3C85"/>
    <w:rsid w:val="341C682C"/>
    <w:rsid w:val="344F09CB"/>
    <w:rsid w:val="34590013"/>
    <w:rsid w:val="345A07AC"/>
    <w:rsid w:val="3473415E"/>
    <w:rsid w:val="34AF7D1F"/>
    <w:rsid w:val="34F32D38"/>
    <w:rsid w:val="34FC79E1"/>
    <w:rsid w:val="350B7254"/>
    <w:rsid w:val="35223EF5"/>
    <w:rsid w:val="352477CA"/>
    <w:rsid w:val="352F21DB"/>
    <w:rsid w:val="354218CE"/>
    <w:rsid w:val="35C00350"/>
    <w:rsid w:val="35C55B41"/>
    <w:rsid w:val="361C2D4F"/>
    <w:rsid w:val="363116A8"/>
    <w:rsid w:val="36642387"/>
    <w:rsid w:val="36B503D2"/>
    <w:rsid w:val="36DA1EF4"/>
    <w:rsid w:val="36FC7953"/>
    <w:rsid w:val="370A5728"/>
    <w:rsid w:val="370E75E1"/>
    <w:rsid w:val="372427E7"/>
    <w:rsid w:val="37444748"/>
    <w:rsid w:val="3746562F"/>
    <w:rsid w:val="37556AE5"/>
    <w:rsid w:val="375B7F03"/>
    <w:rsid w:val="375D2904"/>
    <w:rsid w:val="37C4060C"/>
    <w:rsid w:val="37CC615A"/>
    <w:rsid w:val="37E65E01"/>
    <w:rsid w:val="37EB07F9"/>
    <w:rsid w:val="37F0231C"/>
    <w:rsid w:val="37F12134"/>
    <w:rsid w:val="37F544D5"/>
    <w:rsid w:val="37FC40FC"/>
    <w:rsid w:val="37FD07EF"/>
    <w:rsid w:val="380248DE"/>
    <w:rsid w:val="38115F87"/>
    <w:rsid w:val="38331574"/>
    <w:rsid w:val="385847C4"/>
    <w:rsid w:val="38634A46"/>
    <w:rsid w:val="389C0E74"/>
    <w:rsid w:val="38A9402B"/>
    <w:rsid w:val="38C7274D"/>
    <w:rsid w:val="38D14BD6"/>
    <w:rsid w:val="39013389"/>
    <w:rsid w:val="39242643"/>
    <w:rsid w:val="39B14E8E"/>
    <w:rsid w:val="39D31479"/>
    <w:rsid w:val="39DD07C8"/>
    <w:rsid w:val="39F778EE"/>
    <w:rsid w:val="3A01296B"/>
    <w:rsid w:val="3A1C224C"/>
    <w:rsid w:val="3A1F5EA9"/>
    <w:rsid w:val="3A3B464D"/>
    <w:rsid w:val="3A6A16A8"/>
    <w:rsid w:val="3AA24E77"/>
    <w:rsid w:val="3AC235AC"/>
    <w:rsid w:val="3ADE69BF"/>
    <w:rsid w:val="3AE0249F"/>
    <w:rsid w:val="3B007A89"/>
    <w:rsid w:val="3B5A09D1"/>
    <w:rsid w:val="3B702BEC"/>
    <w:rsid w:val="3B8F037E"/>
    <w:rsid w:val="3BA30CE9"/>
    <w:rsid w:val="3BC80806"/>
    <w:rsid w:val="3C1E5C51"/>
    <w:rsid w:val="3C3C23D9"/>
    <w:rsid w:val="3C44068C"/>
    <w:rsid w:val="3C500C7A"/>
    <w:rsid w:val="3C727B66"/>
    <w:rsid w:val="3C7C23E5"/>
    <w:rsid w:val="3C8449A9"/>
    <w:rsid w:val="3C9A79A4"/>
    <w:rsid w:val="3C9E712D"/>
    <w:rsid w:val="3CD949E1"/>
    <w:rsid w:val="3CEC0633"/>
    <w:rsid w:val="3D2F2584"/>
    <w:rsid w:val="3D5B2496"/>
    <w:rsid w:val="3D662A10"/>
    <w:rsid w:val="3D744FD5"/>
    <w:rsid w:val="3DA6701F"/>
    <w:rsid w:val="3DB33075"/>
    <w:rsid w:val="3DED496A"/>
    <w:rsid w:val="3DF0666C"/>
    <w:rsid w:val="3DF27CB6"/>
    <w:rsid w:val="3DFA50DF"/>
    <w:rsid w:val="3E224530"/>
    <w:rsid w:val="3E396EC7"/>
    <w:rsid w:val="3EB918DF"/>
    <w:rsid w:val="3EC657AA"/>
    <w:rsid w:val="3EFA22C9"/>
    <w:rsid w:val="3F014B53"/>
    <w:rsid w:val="3F0C6B9C"/>
    <w:rsid w:val="3F0E4B81"/>
    <w:rsid w:val="3F284560"/>
    <w:rsid w:val="3F3945F5"/>
    <w:rsid w:val="3F432020"/>
    <w:rsid w:val="3F484513"/>
    <w:rsid w:val="3F4A74CC"/>
    <w:rsid w:val="3F4F62BB"/>
    <w:rsid w:val="3F5E0432"/>
    <w:rsid w:val="3F5E2C06"/>
    <w:rsid w:val="3F6820A1"/>
    <w:rsid w:val="3FA53AC1"/>
    <w:rsid w:val="3FCD0796"/>
    <w:rsid w:val="3FE60099"/>
    <w:rsid w:val="3FED60F9"/>
    <w:rsid w:val="400C65F9"/>
    <w:rsid w:val="402406F2"/>
    <w:rsid w:val="403D2E0B"/>
    <w:rsid w:val="40432950"/>
    <w:rsid w:val="406E5F25"/>
    <w:rsid w:val="40875CC8"/>
    <w:rsid w:val="40B3128E"/>
    <w:rsid w:val="40EF7AEE"/>
    <w:rsid w:val="412E7723"/>
    <w:rsid w:val="4138578F"/>
    <w:rsid w:val="41502112"/>
    <w:rsid w:val="417F10FD"/>
    <w:rsid w:val="4227231A"/>
    <w:rsid w:val="42370AF4"/>
    <w:rsid w:val="423A367D"/>
    <w:rsid w:val="4256513F"/>
    <w:rsid w:val="426C6859"/>
    <w:rsid w:val="42792BAB"/>
    <w:rsid w:val="42A854B7"/>
    <w:rsid w:val="42BB1435"/>
    <w:rsid w:val="42C31A7C"/>
    <w:rsid w:val="42F96687"/>
    <w:rsid w:val="430931FE"/>
    <w:rsid w:val="43161F4F"/>
    <w:rsid w:val="4334568B"/>
    <w:rsid w:val="436D3950"/>
    <w:rsid w:val="437D4684"/>
    <w:rsid w:val="43863828"/>
    <w:rsid w:val="43FD50C4"/>
    <w:rsid w:val="440619D3"/>
    <w:rsid w:val="44392EA7"/>
    <w:rsid w:val="44495886"/>
    <w:rsid w:val="44632C09"/>
    <w:rsid w:val="44791079"/>
    <w:rsid w:val="4497306B"/>
    <w:rsid w:val="44AF4570"/>
    <w:rsid w:val="44CF3DDD"/>
    <w:rsid w:val="44D823F5"/>
    <w:rsid w:val="44F628AA"/>
    <w:rsid w:val="45144612"/>
    <w:rsid w:val="452101A1"/>
    <w:rsid w:val="45832C53"/>
    <w:rsid w:val="45A538E7"/>
    <w:rsid w:val="462E7FDC"/>
    <w:rsid w:val="46350501"/>
    <w:rsid w:val="46A81705"/>
    <w:rsid w:val="46F661E4"/>
    <w:rsid w:val="46FB74CE"/>
    <w:rsid w:val="470030B5"/>
    <w:rsid w:val="470C413E"/>
    <w:rsid w:val="47154F5D"/>
    <w:rsid w:val="47ED5839"/>
    <w:rsid w:val="48676115"/>
    <w:rsid w:val="488464A0"/>
    <w:rsid w:val="488C768C"/>
    <w:rsid w:val="48B00D40"/>
    <w:rsid w:val="48B553FF"/>
    <w:rsid w:val="48BD3A0C"/>
    <w:rsid w:val="48CA7A79"/>
    <w:rsid w:val="48E559B9"/>
    <w:rsid w:val="48E91676"/>
    <w:rsid w:val="48EF28D1"/>
    <w:rsid w:val="49137521"/>
    <w:rsid w:val="493D3689"/>
    <w:rsid w:val="4965470B"/>
    <w:rsid w:val="49857DF6"/>
    <w:rsid w:val="498C4FF1"/>
    <w:rsid w:val="499E503D"/>
    <w:rsid w:val="49BB2F00"/>
    <w:rsid w:val="49C91148"/>
    <w:rsid w:val="49D74BF9"/>
    <w:rsid w:val="4A7E6C1C"/>
    <w:rsid w:val="4A8440C0"/>
    <w:rsid w:val="4AA4240C"/>
    <w:rsid w:val="4AC96651"/>
    <w:rsid w:val="4ACC5549"/>
    <w:rsid w:val="4AD865D0"/>
    <w:rsid w:val="4ADB1C38"/>
    <w:rsid w:val="4AE620B3"/>
    <w:rsid w:val="4B0B268F"/>
    <w:rsid w:val="4B162340"/>
    <w:rsid w:val="4B262E80"/>
    <w:rsid w:val="4B4277BB"/>
    <w:rsid w:val="4B520F6D"/>
    <w:rsid w:val="4B5631D2"/>
    <w:rsid w:val="4B7F59A5"/>
    <w:rsid w:val="4B86217C"/>
    <w:rsid w:val="4B973009"/>
    <w:rsid w:val="4BA51ED9"/>
    <w:rsid w:val="4BEF19F7"/>
    <w:rsid w:val="4BFB0184"/>
    <w:rsid w:val="4C095EEF"/>
    <w:rsid w:val="4C195BD9"/>
    <w:rsid w:val="4C2E075A"/>
    <w:rsid w:val="4C623A4B"/>
    <w:rsid w:val="4C952618"/>
    <w:rsid w:val="4CA45B19"/>
    <w:rsid w:val="4CAA3335"/>
    <w:rsid w:val="4CAF57B3"/>
    <w:rsid w:val="4CC26C66"/>
    <w:rsid w:val="4CD6160C"/>
    <w:rsid w:val="4CE5668C"/>
    <w:rsid w:val="4CED2E52"/>
    <w:rsid w:val="4CEE2B8B"/>
    <w:rsid w:val="4D203FBB"/>
    <w:rsid w:val="4D345471"/>
    <w:rsid w:val="4D347E49"/>
    <w:rsid w:val="4D363610"/>
    <w:rsid w:val="4D9C1F83"/>
    <w:rsid w:val="4DCD551A"/>
    <w:rsid w:val="4DCF503F"/>
    <w:rsid w:val="4DD34ED4"/>
    <w:rsid w:val="4DE80EDC"/>
    <w:rsid w:val="4E0C164B"/>
    <w:rsid w:val="4E1F2EAD"/>
    <w:rsid w:val="4E2C2FD0"/>
    <w:rsid w:val="4E6D0619"/>
    <w:rsid w:val="4E6E2889"/>
    <w:rsid w:val="4EB10A79"/>
    <w:rsid w:val="4EC42C0B"/>
    <w:rsid w:val="4EEB4B78"/>
    <w:rsid w:val="4F0F4ACB"/>
    <w:rsid w:val="4F272CA6"/>
    <w:rsid w:val="4F2E05EB"/>
    <w:rsid w:val="4F3D5C97"/>
    <w:rsid w:val="4F4F196B"/>
    <w:rsid w:val="4F686CF4"/>
    <w:rsid w:val="4F6F7718"/>
    <w:rsid w:val="4F72325C"/>
    <w:rsid w:val="4FA5109A"/>
    <w:rsid w:val="500F6990"/>
    <w:rsid w:val="503C1A4C"/>
    <w:rsid w:val="504674E2"/>
    <w:rsid w:val="50CE6BBC"/>
    <w:rsid w:val="50EB6AE9"/>
    <w:rsid w:val="51636607"/>
    <w:rsid w:val="51BA0750"/>
    <w:rsid w:val="51D800AE"/>
    <w:rsid w:val="51F85D06"/>
    <w:rsid w:val="51F87B10"/>
    <w:rsid w:val="5200370C"/>
    <w:rsid w:val="527C4BAF"/>
    <w:rsid w:val="52863B01"/>
    <w:rsid w:val="528730E5"/>
    <w:rsid w:val="52A21BF2"/>
    <w:rsid w:val="52A311F0"/>
    <w:rsid w:val="52AC3C85"/>
    <w:rsid w:val="52C82864"/>
    <w:rsid w:val="52C933E5"/>
    <w:rsid w:val="52FB6B59"/>
    <w:rsid w:val="531225F7"/>
    <w:rsid w:val="53153414"/>
    <w:rsid w:val="531541C6"/>
    <w:rsid w:val="53281F35"/>
    <w:rsid w:val="533C245B"/>
    <w:rsid w:val="533F7689"/>
    <w:rsid w:val="53665EAB"/>
    <w:rsid w:val="539B715A"/>
    <w:rsid w:val="53D40412"/>
    <w:rsid w:val="54093C40"/>
    <w:rsid w:val="541A0B1A"/>
    <w:rsid w:val="54355E99"/>
    <w:rsid w:val="54400A61"/>
    <w:rsid w:val="546477E0"/>
    <w:rsid w:val="546E7093"/>
    <w:rsid w:val="547325DA"/>
    <w:rsid w:val="5497751F"/>
    <w:rsid w:val="54D118EE"/>
    <w:rsid w:val="54DA7731"/>
    <w:rsid w:val="54EC1FA9"/>
    <w:rsid w:val="54F93CB9"/>
    <w:rsid w:val="5514079F"/>
    <w:rsid w:val="555C392D"/>
    <w:rsid w:val="55635ABB"/>
    <w:rsid w:val="55761F35"/>
    <w:rsid w:val="55765D93"/>
    <w:rsid w:val="559135AA"/>
    <w:rsid w:val="55C87B72"/>
    <w:rsid w:val="55E069DD"/>
    <w:rsid w:val="55E821D1"/>
    <w:rsid w:val="55EA508A"/>
    <w:rsid w:val="5609357E"/>
    <w:rsid w:val="56152060"/>
    <w:rsid w:val="56247AF4"/>
    <w:rsid w:val="564B2AB6"/>
    <w:rsid w:val="5660365A"/>
    <w:rsid w:val="569D43EF"/>
    <w:rsid w:val="57145637"/>
    <w:rsid w:val="57207F9A"/>
    <w:rsid w:val="573467B9"/>
    <w:rsid w:val="57360C4E"/>
    <w:rsid w:val="573D6B55"/>
    <w:rsid w:val="57733C15"/>
    <w:rsid w:val="577F5D1B"/>
    <w:rsid w:val="579E7DD7"/>
    <w:rsid w:val="57C107D4"/>
    <w:rsid w:val="57DD1426"/>
    <w:rsid w:val="57E207EA"/>
    <w:rsid w:val="57EB672F"/>
    <w:rsid w:val="58606031"/>
    <w:rsid w:val="587A2B55"/>
    <w:rsid w:val="589B7ED6"/>
    <w:rsid w:val="58BB4C02"/>
    <w:rsid w:val="58C63A18"/>
    <w:rsid w:val="58C70B5B"/>
    <w:rsid w:val="58E10142"/>
    <w:rsid w:val="58FF165C"/>
    <w:rsid w:val="59096D71"/>
    <w:rsid w:val="596111F7"/>
    <w:rsid w:val="596320D7"/>
    <w:rsid w:val="59AD356D"/>
    <w:rsid w:val="59AF41DB"/>
    <w:rsid w:val="59BE59D0"/>
    <w:rsid w:val="59C17C26"/>
    <w:rsid w:val="59D53B4F"/>
    <w:rsid w:val="5A4807D7"/>
    <w:rsid w:val="5A687B89"/>
    <w:rsid w:val="5A765D43"/>
    <w:rsid w:val="5A7A24AF"/>
    <w:rsid w:val="5A874264"/>
    <w:rsid w:val="5AAD5BA9"/>
    <w:rsid w:val="5AC357F6"/>
    <w:rsid w:val="5AD84EF9"/>
    <w:rsid w:val="5AE37E81"/>
    <w:rsid w:val="5AEE715B"/>
    <w:rsid w:val="5AFA1D21"/>
    <w:rsid w:val="5B00671E"/>
    <w:rsid w:val="5B2744BA"/>
    <w:rsid w:val="5B6A55C6"/>
    <w:rsid w:val="5B946BFE"/>
    <w:rsid w:val="5BAE39F5"/>
    <w:rsid w:val="5BCC5A39"/>
    <w:rsid w:val="5BD21546"/>
    <w:rsid w:val="5BD45F7F"/>
    <w:rsid w:val="5BE13BB4"/>
    <w:rsid w:val="5C0A2D03"/>
    <w:rsid w:val="5C225050"/>
    <w:rsid w:val="5C2C297C"/>
    <w:rsid w:val="5C337880"/>
    <w:rsid w:val="5C471E1E"/>
    <w:rsid w:val="5C590070"/>
    <w:rsid w:val="5C6F129F"/>
    <w:rsid w:val="5C762C72"/>
    <w:rsid w:val="5CB36216"/>
    <w:rsid w:val="5CC21154"/>
    <w:rsid w:val="5D08634F"/>
    <w:rsid w:val="5D2B0E7E"/>
    <w:rsid w:val="5D38253D"/>
    <w:rsid w:val="5D386BD3"/>
    <w:rsid w:val="5D5B0DCC"/>
    <w:rsid w:val="5D7C0D8C"/>
    <w:rsid w:val="5DC13D9F"/>
    <w:rsid w:val="5DFD4839"/>
    <w:rsid w:val="5E040CED"/>
    <w:rsid w:val="5E221CB5"/>
    <w:rsid w:val="5E5670AD"/>
    <w:rsid w:val="5E672899"/>
    <w:rsid w:val="5E953B45"/>
    <w:rsid w:val="5EA42C9D"/>
    <w:rsid w:val="5EDB3AA1"/>
    <w:rsid w:val="5EFA642D"/>
    <w:rsid w:val="5EFE5FEE"/>
    <w:rsid w:val="5EFF1F4A"/>
    <w:rsid w:val="5F0F2ED4"/>
    <w:rsid w:val="5F160BC8"/>
    <w:rsid w:val="5F2C7355"/>
    <w:rsid w:val="5F3C1128"/>
    <w:rsid w:val="5F49165D"/>
    <w:rsid w:val="5F7553BF"/>
    <w:rsid w:val="5F7B46FE"/>
    <w:rsid w:val="5FB02A2B"/>
    <w:rsid w:val="5FC04E63"/>
    <w:rsid w:val="603F6CFB"/>
    <w:rsid w:val="607E06FA"/>
    <w:rsid w:val="60932566"/>
    <w:rsid w:val="60AD2E82"/>
    <w:rsid w:val="60CA07F7"/>
    <w:rsid w:val="60CB50A4"/>
    <w:rsid w:val="60F8563D"/>
    <w:rsid w:val="612033E1"/>
    <w:rsid w:val="61350EEA"/>
    <w:rsid w:val="6135612F"/>
    <w:rsid w:val="613A66D2"/>
    <w:rsid w:val="6154759F"/>
    <w:rsid w:val="617C70AC"/>
    <w:rsid w:val="61821815"/>
    <w:rsid w:val="61897A06"/>
    <w:rsid w:val="619D0881"/>
    <w:rsid w:val="61A303B8"/>
    <w:rsid w:val="61A51342"/>
    <w:rsid w:val="61CA1237"/>
    <w:rsid w:val="61FF7047"/>
    <w:rsid w:val="620B1CF2"/>
    <w:rsid w:val="622870D0"/>
    <w:rsid w:val="623B0996"/>
    <w:rsid w:val="624B709B"/>
    <w:rsid w:val="62732F54"/>
    <w:rsid w:val="6274151C"/>
    <w:rsid w:val="627568EC"/>
    <w:rsid w:val="6284768B"/>
    <w:rsid w:val="628E39F6"/>
    <w:rsid w:val="629045D5"/>
    <w:rsid w:val="62A95944"/>
    <w:rsid w:val="62B05028"/>
    <w:rsid w:val="62D5356D"/>
    <w:rsid w:val="62F44EF8"/>
    <w:rsid w:val="631D2D11"/>
    <w:rsid w:val="63460564"/>
    <w:rsid w:val="637348C5"/>
    <w:rsid w:val="63AB2F42"/>
    <w:rsid w:val="63C832BC"/>
    <w:rsid w:val="63C95C66"/>
    <w:rsid w:val="64233142"/>
    <w:rsid w:val="64525573"/>
    <w:rsid w:val="648710DF"/>
    <w:rsid w:val="64D841CA"/>
    <w:rsid w:val="64F65B8B"/>
    <w:rsid w:val="65322BD4"/>
    <w:rsid w:val="6537043F"/>
    <w:rsid w:val="65526A5E"/>
    <w:rsid w:val="65626ADC"/>
    <w:rsid w:val="657876EC"/>
    <w:rsid w:val="65945FB9"/>
    <w:rsid w:val="65A417D5"/>
    <w:rsid w:val="65C84D87"/>
    <w:rsid w:val="65FD09F5"/>
    <w:rsid w:val="65FE0AED"/>
    <w:rsid w:val="660A5A81"/>
    <w:rsid w:val="660C07FE"/>
    <w:rsid w:val="661B7594"/>
    <w:rsid w:val="66261D9A"/>
    <w:rsid w:val="66292DDB"/>
    <w:rsid w:val="662C3A46"/>
    <w:rsid w:val="662D5EDD"/>
    <w:rsid w:val="66372649"/>
    <w:rsid w:val="664051F5"/>
    <w:rsid w:val="664E52E2"/>
    <w:rsid w:val="66536DCA"/>
    <w:rsid w:val="665857FD"/>
    <w:rsid w:val="66AF0173"/>
    <w:rsid w:val="66AF1AF5"/>
    <w:rsid w:val="66C76528"/>
    <w:rsid w:val="66ED26F8"/>
    <w:rsid w:val="66F03BC6"/>
    <w:rsid w:val="67016196"/>
    <w:rsid w:val="670B1760"/>
    <w:rsid w:val="671E3D4C"/>
    <w:rsid w:val="67330BD1"/>
    <w:rsid w:val="673D6450"/>
    <w:rsid w:val="674268BF"/>
    <w:rsid w:val="674D49A8"/>
    <w:rsid w:val="676547CB"/>
    <w:rsid w:val="676B1F9D"/>
    <w:rsid w:val="67875AA3"/>
    <w:rsid w:val="678C078B"/>
    <w:rsid w:val="6791712C"/>
    <w:rsid w:val="67A97094"/>
    <w:rsid w:val="67AB1634"/>
    <w:rsid w:val="67C920A6"/>
    <w:rsid w:val="67F34D8B"/>
    <w:rsid w:val="67FE7010"/>
    <w:rsid w:val="680C7F3B"/>
    <w:rsid w:val="68174668"/>
    <w:rsid w:val="6849012C"/>
    <w:rsid w:val="6861368D"/>
    <w:rsid w:val="68620D43"/>
    <w:rsid w:val="686C275B"/>
    <w:rsid w:val="689E2861"/>
    <w:rsid w:val="690D0FE9"/>
    <w:rsid w:val="694C54AD"/>
    <w:rsid w:val="694F6229"/>
    <w:rsid w:val="6A0337DA"/>
    <w:rsid w:val="6A4112B4"/>
    <w:rsid w:val="6A551F62"/>
    <w:rsid w:val="6AB054AD"/>
    <w:rsid w:val="6AE50649"/>
    <w:rsid w:val="6AE80E2E"/>
    <w:rsid w:val="6AFF1E19"/>
    <w:rsid w:val="6B034D9F"/>
    <w:rsid w:val="6B570959"/>
    <w:rsid w:val="6BA46436"/>
    <w:rsid w:val="6BAB1843"/>
    <w:rsid w:val="6BB85DC0"/>
    <w:rsid w:val="6BFD4AF0"/>
    <w:rsid w:val="6C327FF5"/>
    <w:rsid w:val="6C421550"/>
    <w:rsid w:val="6C6D00B0"/>
    <w:rsid w:val="6CB23F7C"/>
    <w:rsid w:val="6CB275FF"/>
    <w:rsid w:val="6CFE2E19"/>
    <w:rsid w:val="6D2A219D"/>
    <w:rsid w:val="6D3E68C5"/>
    <w:rsid w:val="6D3F62E6"/>
    <w:rsid w:val="6D526A7E"/>
    <w:rsid w:val="6D6B4D5A"/>
    <w:rsid w:val="6D6C2C03"/>
    <w:rsid w:val="6D993562"/>
    <w:rsid w:val="6DA44405"/>
    <w:rsid w:val="6DAB1030"/>
    <w:rsid w:val="6DD265A6"/>
    <w:rsid w:val="6DE757B4"/>
    <w:rsid w:val="6DFF44E6"/>
    <w:rsid w:val="6E112C54"/>
    <w:rsid w:val="6E226315"/>
    <w:rsid w:val="6E8123AE"/>
    <w:rsid w:val="6E9C410D"/>
    <w:rsid w:val="6EB61BC3"/>
    <w:rsid w:val="6EEC17A1"/>
    <w:rsid w:val="6EF6669C"/>
    <w:rsid w:val="6F392598"/>
    <w:rsid w:val="6F735639"/>
    <w:rsid w:val="6F7713ED"/>
    <w:rsid w:val="6F844C78"/>
    <w:rsid w:val="6FA30BBD"/>
    <w:rsid w:val="6FEA28EE"/>
    <w:rsid w:val="6FF044FF"/>
    <w:rsid w:val="700607A3"/>
    <w:rsid w:val="70333E81"/>
    <w:rsid w:val="703D5A6A"/>
    <w:rsid w:val="70416BA8"/>
    <w:rsid w:val="704E4054"/>
    <w:rsid w:val="70780083"/>
    <w:rsid w:val="70A04E42"/>
    <w:rsid w:val="70A36790"/>
    <w:rsid w:val="70C26FB3"/>
    <w:rsid w:val="70E77A98"/>
    <w:rsid w:val="70EF7D90"/>
    <w:rsid w:val="70FD1B3E"/>
    <w:rsid w:val="71097D20"/>
    <w:rsid w:val="717A232A"/>
    <w:rsid w:val="71A85E07"/>
    <w:rsid w:val="71CC7264"/>
    <w:rsid w:val="71F32CC1"/>
    <w:rsid w:val="720A6E8F"/>
    <w:rsid w:val="7214112F"/>
    <w:rsid w:val="722B451D"/>
    <w:rsid w:val="726D7DC7"/>
    <w:rsid w:val="727B18EA"/>
    <w:rsid w:val="72811B3E"/>
    <w:rsid w:val="72B276F2"/>
    <w:rsid w:val="72BD6B84"/>
    <w:rsid w:val="72BF24E5"/>
    <w:rsid w:val="72C36BBB"/>
    <w:rsid w:val="72F55E0B"/>
    <w:rsid w:val="731A302E"/>
    <w:rsid w:val="731D3ECB"/>
    <w:rsid w:val="73263DF5"/>
    <w:rsid w:val="73305D96"/>
    <w:rsid w:val="73721D96"/>
    <w:rsid w:val="73921353"/>
    <w:rsid w:val="73AF3E07"/>
    <w:rsid w:val="73B97732"/>
    <w:rsid w:val="73BA7BBF"/>
    <w:rsid w:val="74596161"/>
    <w:rsid w:val="746E4A25"/>
    <w:rsid w:val="748F563F"/>
    <w:rsid w:val="74D36750"/>
    <w:rsid w:val="74FB6E82"/>
    <w:rsid w:val="74FC0CE6"/>
    <w:rsid w:val="750B7F14"/>
    <w:rsid w:val="7535244A"/>
    <w:rsid w:val="753C35EF"/>
    <w:rsid w:val="754730D2"/>
    <w:rsid w:val="755635A0"/>
    <w:rsid w:val="755E6D11"/>
    <w:rsid w:val="756379BC"/>
    <w:rsid w:val="75737F96"/>
    <w:rsid w:val="759665D7"/>
    <w:rsid w:val="759E11BE"/>
    <w:rsid w:val="75A40754"/>
    <w:rsid w:val="75CB16A5"/>
    <w:rsid w:val="75EE440E"/>
    <w:rsid w:val="76147D55"/>
    <w:rsid w:val="762143EC"/>
    <w:rsid w:val="765D7305"/>
    <w:rsid w:val="76671DF5"/>
    <w:rsid w:val="7681579B"/>
    <w:rsid w:val="768B11A8"/>
    <w:rsid w:val="769A0E9C"/>
    <w:rsid w:val="76F7263E"/>
    <w:rsid w:val="76FE22C7"/>
    <w:rsid w:val="77173E2C"/>
    <w:rsid w:val="77265D19"/>
    <w:rsid w:val="774C75D7"/>
    <w:rsid w:val="775F730A"/>
    <w:rsid w:val="776D0E44"/>
    <w:rsid w:val="7797248B"/>
    <w:rsid w:val="77BB7119"/>
    <w:rsid w:val="77C253AA"/>
    <w:rsid w:val="77FF1357"/>
    <w:rsid w:val="783E2256"/>
    <w:rsid w:val="78585597"/>
    <w:rsid w:val="785E530C"/>
    <w:rsid w:val="78751916"/>
    <w:rsid w:val="78B9471A"/>
    <w:rsid w:val="78E17CAC"/>
    <w:rsid w:val="78E20481"/>
    <w:rsid w:val="790C34C1"/>
    <w:rsid w:val="79212066"/>
    <w:rsid w:val="79217713"/>
    <w:rsid w:val="79494F50"/>
    <w:rsid w:val="794E61DD"/>
    <w:rsid w:val="79767A30"/>
    <w:rsid w:val="798E24F3"/>
    <w:rsid w:val="79CB0989"/>
    <w:rsid w:val="7A146968"/>
    <w:rsid w:val="7A253135"/>
    <w:rsid w:val="7A7B2F22"/>
    <w:rsid w:val="7A810ED3"/>
    <w:rsid w:val="7A8E406E"/>
    <w:rsid w:val="7AC80456"/>
    <w:rsid w:val="7ACA5E81"/>
    <w:rsid w:val="7ADD7EB1"/>
    <w:rsid w:val="7AFB6371"/>
    <w:rsid w:val="7B395E13"/>
    <w:rsid w:val="7B5D3931"/>
    <w:rsid w:val="7B656A86"/>
    <w:rsid w:val="7B736A72"/>
    <w:rsid w:val="7B9A0E53"/>
    <w:rsid w:val="7B9E2A44"/>
    <w:rsid w:val="7BE14791"/>
    <w:rsid w:val="7BE34468"/>
    <w:rsid w:val="7C1B6324"/>
    <w:rsid w:val="7C332B9B"/>
    <w:rsid w:val="7C3669A1"/>
    <w:rsid w:val="7C5E72D0"/>
    <w:rsid w:val="7C5F7237"/>
    <w:rsid w:val="7C67359A"/>
    <w:rsid w:val="7C675001"/>
    <w:rsid w:val="7C684EB3"/>
    <w:rsid w:val="7C722E5E"/>
    <w:rsid w:val="7C80570F"/>
    <w:rsid w:val="7C910602"/>
    <w:rsid w:val="7CB01B9E"/>
    <w:rsid w:val="7CBE47A8"/>
    <w:rsid w:val="7CBE6679"/>
    <w:rsid w:val="7CC57256"/>
    <w:rsid w:val="7CC77AC6"/>
    <w:rsid w:val="7CEE2E8B"/>
    <w:rsid w:val="7CFE3671"/>
    <w:rsid w:val="7D306901"/>
    <w:rsid w:val="7D713F64"/>
    <w:rsid w:val="7DDB1977"/>
    <w:rsid w:val="7DEB332A"/>
    <w:rsid w:val="7E033120"/>
    <w:rsid w:val="7E2865B9"/>
    <w:rsid w:val="7E487F46"/>
    <w:rsid w:val="7E5520FD"/>
    <w:rsid w:val="7E7F5426"/>
    <w:rsid w:val="7E9B5F01"/>
    <w:rsid w:val="7EA928E2"/>
    <w:rsid w:val="7EC30AC6"/>
    <w:rsid w:val="7EFC54F2"/>
    <w:rsid w:val="7F1833C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qFormat="1" w:unhideWhenUsed="0" w:uiPriority="0" w:semiHidden="0" w:name="toc 5"/>
    <w:lsdException w:qFormat="1" w:unhideWhenUsed="0" w:uiPriority="0" w:name="toc 6"/>
    <w:lsdException w:uiPriority="39" w:name="toc 7"/>
    <w:lsdException w:qFormat="1" w:unhideWhenUsed="0" w:uiPriority="0" w:semiHidden="0" w:name="toc 8"/>
    <w:lsdException w:uiPriority="39" w:name="toc 9"/>
    <w:lsdException w:qFormat="1" w:unhideWhenUsed="0" w:uiPriority="0" w:semiHidden="0" w:name="Normal Indent"/>
    <w:lsdException w:qFormat="1" w:unhideWhenUsed="0"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99"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iPriority="99" w:semiHidden="0" w:name="Body Text First Indent"/>
    <w:lsdException w:qFormat="1"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等线" w:eastAsia="宋体" w:cs="Times New Roman"/>
      <w:kern w:val="2"/>
      <w:sz w:val="21"/>
      <w:szCs w:val="24"/>
      <w:lang w:val="en-US" w:eastAsia="zh-CN" w:bidi="ar-SA"/>
    </w:rPr>
  </w:style>
  <w:style w:type="paragraph" w:styleId="3">
    <w:name w:val="heading 1"/>
    <w:basedOn w:val="1"/>
    <w:next w:val="1"/>
    <w:link w:val="72"/>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57"/>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66"/>
    <w:qFormat/>
    <w:uiPriority w:val="9"/>
    <w:pPr>
      <w:keepNext/>
      <w:keepLines/>
      <w:widowControl/>
      <w:tabs>
        <w:tab w:val="left" w:pos="720"/>
      </w:tabs>
      <w:spacing w:before="120" w:after="120" w:line="360" w:lineRule="auto"/>
      <w:jc w:val="center"/>
      <w:outlineLvl w:val="2"/>
    </w:pPr>
    <w:rPr>
      <w:rFonts w:ascii="Times New Roman" w:hAnsi="Times New Roman" w:eastAsia="??"/>
      <w:b/>
      <w:kern w:val="0"/>
      <w:sz w:val="32"/>
      <w:szCs w:val="28"/>
    </w:rPr>
  </w:style>
  <w:style w:type="paragraph" w:styleId="6">
    <w:name w:val="heading 4"/>
    <w:basedOn w:val="1"/>
    <w:next w:val="1"/>
    <w:link w:val="99"/>
    <w:qFormat/>
    <w:uiPriority w:val="0"/>
    <w:pPr>
      <w:keepNext/>
      <w:keepLines/>
      <w:spacing w:before="280" w:after="290" w:line="376" w:lineRule="auto"/>
      <w:outlineLvl w:val="3"/>
    </w:pPr>
    <w:rPr>
      <w:rFonts w:ascii="Cambria" w:hAnsi="Cambria"/>
      <w:b/>
      <w:bCs/>
      <w:sz w:val="28"/>
      <w:szCs w:val="28"/>
    </w:rPr>
  </w:style>
  <w:style w:type="paragraph" w:styleId="7">
    <w:name w:val="heading 5"/>
    <w:basedOn w:val="1"/>
    <w:next w:val="1"/>
    <w:link w:val="177"/>
    <w:qFormat/>
    <w:uiPriority w:val="0"/>
    <w:pPr>
      <w:keepNext/>
      <w:keepLines/>
      <w:widowControl/>
      <w:tabs>
        <w:tab w:val="left" w:pos="1008"/>
      </w:tabs>
      <w:spacing w:before="280" w:after="290" w:line="376" w:lineRule="auto"/>
      <w:ind w:left="1008" w:hanging="1008"/>
      <w:jc w:val="left"/>
      <w:outlineLvl w:val="4"/>
    </w:pPr>
    <w:rPr>
      <w:rFonts w:ascii="Times New Roman" w:hAnsi="Times New Roman"/>
      <w:b/>
      <w:bCs/>
      <w:kern w:val="0"/>
      <w:sz w:val="28"/>
      <w:szCs w:val="28"/>
    </w:rPr>
  </w:style>
  <w:style w:type="paragraph" w:styleId="8">
    <w:name w:val="heading 6"/>
    <w:basedOn w:val="1"/>
    <w:next w:val="1"/>
    <w:link w:val="178"/>
    <w:qFormat/>
    <w:uiPriority w:val="0"/>
    <w:pPr>
      <w:keepNext/>
      <w:keepLines/>
      <w:widowControl/>
      <w:tabs>
        <w:tab w:val="left" w:pos="1440"/>
      </w:tabs>
      <w:spacing w:before="240" w:after="64" w:line="320" w:lineRule="auto"/>
      <w:ind w:left="1152" w:hanging="1152"/>
      <w:jc w:val="left"/>
      <w:outlineLvl w:val="5"/>
    </w:pPr>
    <w:rPr>
      <w:rFonts w:ascii="Arial" w:hAnsi="Arial" w:eastAsia="黑体"/>
      <w:b/>
      <w:bCs/>
      <w:kern w:val="0"/>
      <w:sz w:val="24"/>
    </w:rPr>
  </w:style>
  <w:style w:type="paragraph" w:styleId="9">
    <w:name w:val="heading 7"/>
    <w:basedOn w:val="1"/>
    <w:next w:val="1"/>
    <w:link w:val="179"/>
    <w:qFormat/>
    <w:uiPriority w:val="0"/>
    <w:pPr>
      <w:keepNext/>
      <w:keepLines/>
      <w:widowControl/>
      <w:tabs>
        <w:tab w:val="left" w:pos="2520"/>
      </w:tabs>
      <w:spacing w:before="240" w:after="64" w:line="320" w:lineRule="auto"/>
      <w:ind w:left="1296" w:hanging="1296"/>
      <w:jc w:val="left"/>
      <w:outlineLvl w:val="6"/>
    </w:pPr>
    <w:rPr>
      <w:rFonts w:ascii="Times New Roman" w:hAnsi="Times New Roman"/>
      <w:b/>
      <w:bCs/>
      <w:kern w:val="0"/>
      <w:sz w:val="24"/>
    </w:rPr>
  </w:style>
  <w:style w:type="paragraph" w:styleId="10">
    <w:name w:val="heading 8"/>
    <w:basedOn w:val="1"/>
    <w:next w:val="1"/>
    <w:link w:val="180"/>
    <w:qFormat/>
    <w:uiPriority w:val="0"/>
    <w:pPr>
      <w:keepNext/>
      <w:keepLines/>
      <w:widowControl/>
      <w:tabs>
        <w:tab w:val="left" w:pos="1440"/>
      </w:tabs>
      <w:spacing w:before="240" w:after="64" w:line="320" w:lineRule="auto"/>
      <w:ind w:left="1440" w:hanging="1440"/>
      <w:jc w:val="left"/>
      <w:outlineLvl w:val="7"/>
    </w:pPr>
    <w:rPr>
      <w:rFonts w:ascii="Arial" w:hAnsi="Arial" w:eastAsia="黑体"/>
      <w:kern w:val="0"/>
      <w:sz w:val="24"/>
    </w:rPr>
  </w:style>
  <w:style w:type="paragraph" w:styleId="11">
    <w:name w:val="heading 9"/>
    <w:basedOn w:val="1"/>
    <w:next w:val="1"/>
    <w:link w:val="181"/>
    <w:qFormat/>
    <w:uiPriority w:val="0"/>
    <w:pPr>
      <w:keepNext/>
      <w:keepLines/>
      <w:widowControl/>
      <w:tabs>
        <w:tab w:val="left" w:pos="1584"/>
      </w:tabs>
      <w:spacing w:before="240" w:after="64" w:line="320" w:lineRule="auto"/>
      <w:ind w:left="1584" w:hanging="1584"/>
      <w:jc w:val="left"/>
      <w:outlineLvl w:val="8"/>
    </w:pPr>
    <w:rPr>
      <w:rFonts w:ascii="Arial" w:hAnsi="Arial" w:eastAsia="黑体"/>
      <w:kern w:val="0"/>
      <w:szCs w:val="21"/>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customStyle="1" w:styleId="2">
    <w:name w:val="无间隔1"/>
    <w:qFormat/>
    <w:uiPriority w:val="0"/>
    <w:pPr>
      <w:adjustRightInd w:val="0"/>
      <w:snapToGrid w:val="0"/>
    </w:pPr>
    <w:rPr>
      <w:rFonts w:ascii="Tahoma" w:hAnsi="Tahoma" w:eastAsia="微软雅黑" w:cstheme="minorBidi"/>
      <w:sz w:val="22"/>
      <w:szCs w:val="22"/>
      <w:lang w:val="en-US" w:eastAsia="zh-CN" w:bidi="ar-SA"/>
    </w:rPr>
  </w:style>
  <w:style w:type="paragraph" w:styleId="12">
    <w:name w:val="List Number 2"/>
    <w:basedOn w:val="1"/>
    <w:semiHidden/>
    <w:unhideWhenUsed/>
    <w:qFormat/>
    <w:uiPriority w:val="99"/>
    <w:pPr>
      <w:numPr>
        <w:ilvl w:val="0"/>
        <w:numId w:val="1"/>
      </w:numPr>
    </w:pPr>
  </w:style>
  <w:style w:type="paragraph" w:styleId="13">
    <w:name w:val="List Number"/>
    <w:basedOn w:val="1"/>
    <w:link w:val="186"/>
    <w:qFormat/>
    <w:uiPriority w:val="0"/>
    <w:pPr>
      <w:tabs>
        <w:tab w:val="left" w:pos="360"/>
      </w:tabs>
      <w:spacing w:line="360" w:lineRule="auto"/>
      <w:ind w:left="360" w:hanging="360" w:hangingChars="200"/>
    </w:pPr>
    <w:rPr>
      <w:rFonts w:eastAsia="楷体_GB2312"/>
      <w:sz w:val="24"/>
    </w:rPr>
  </w:style>
  <w:style w:type="paragraph" w:styleId="14">
    <w:name w:val="Normal Indent"/>
    <w:basedOn w:val="1"/>
    <w:next w:val="1"/>
    <w:link w:val="111"/>
    <w:qFormat/>
    <w:uiPriority w:val="0"/>
    <w:pPr>
      <w:ind w:firstLine="420" w:firstLineChars="200"/>
    </w:pPr>
  </w:style>
  <w:style w:type="paragraph" w:styleId="15">
    <w:name w:val="caption"/>
    <w:basedOn w:val="1"/>
    <w:next w:val="1"/>
    <w:qFormat/>
    <w:uiPriority w:val="0"/>
    <w:pPr>
      <w:spacing w:before="152" w:after="160"/>
    </w:pPr>
    <w:rPr>
      <w:rFonts w:ascii="Arial" w:hAnsi="Arial" w:eastAsia="黑体" w:cs="Arial"/>
      <w:sz w:val="20"/>
      <w:szCs w:val="20"/>
    </w:rPr>
  </w:style>
  <w:style w:type="paragraph" w:styleId="16">
    <w:name w:val="Document Map"/>
    <w:basedOn w:val="1"/>
    <w:link w:val="140"/>
    <w:qFormat/>
    <w:uiPriority w:val="0"/>
    <w:rPr>
      <w:rFonts w:ascii="宋体" w:hAnsi="Calibri" w:eastAsiaTheme="minorEastAsia" w:cstheme="minorBidi"/>
      <w:sz w:val="18"/>
      <w:szCs w:val="18"/>
    </w:rPr>
  </w:style>
  <w:style w:type="paragraph" w:styleId="17">
    <w:name w:val="annotation text"/>
    <w:basedOn w:val="1"/>
    <w:link w:val="68"/>
    <w:qFormat/>
    <w:uiPriority w:val="99"/>
    <w:pPr>
      <w:jc w:val="left"/>
    </w:pPr>
    <w:rPr>
      <w:rFonts w:cs="Lucida Sans" w:asciiTheme="minorHAnsi" w:hAnsiTheme="minorHAnsi"/>
      <w:szCs w:val="22"/>
    </w:rPr>
  </w:style>
  <w:style w:type="paragraph" w:styleId="18">
    <w:name w:val="Body Text 3"/>
    <w:basedOn w:val="1"/>
    <w:link w:val="146"/>
    <w:qFormat/>
    <w:uiPriority w:val="0"/>
    <w:pPr>
      <w:spacing w:after="120"/>
    </w:pPr>
    <w:rPr>
      <w:rFonts w:asciiTheme="minorHAnsi" w:hAnsiTheme="minorHAnsi" w:eastAsiaTheme="minorEastAsia" w:cstheme="minorBidi"/>
      <w:sz w:val="16"/>
      <w:szCs w:val="16"/>
    </w:rPr>
  </w:style>
  <w:style w:type="paragraph" w:styleId="19">
    <w:name w:val="Body Text"/>
    <w:basedOn w:val="1"/>
    <w:next w:val="20"/>
    <w:link w:val="76"/>
    <w:qFormat/>
    <w:uiPriority w:val="0"/>
    <w:pPr>
      <w:spacing w:line="360" w:lineRule="exact"/>
    </w:pPr>
    <w:rPr>
      <w:rFonts w:ascii="Times New Roman" w:hAnsi="Times New Roman"/>
      <w:sz w:val="24"/>
    </w:rPr>
  </w:style>
  <w:style w:type="paragraph" w:styleId="20">
    <w:name w:val="Body Text First Indent"/>
    <w:basedOn w:val="19"/>
    <w:next w:val="21"/>
    <w:link w:val="144"/>
    <w:unhideWhenUsed/>
    <w:qFormat/>
    <w:uiPriority w:val="99"/>
    <w:pPr>
      <w:spacing w:after="120" w:line="240" w:lineRule="auto"/>
      <w:ind w:firstLine="420" w:firstLineChars="100"/>
    </w:pPr>
    <w:rPr>
      <w:rFonts w:ascii="Calibri" w:hAnsi="Calibri" w:eastAsia="Times New Roman" w:cs="黑体"/>
      <w:sz w:val="21"/>
      <w:szCs w:val="22"/>
    </w:rPr>
  </w:style>
  <w:style w:type="paragraph" w:styleId="21">
    <w:name w:val="toc 6"/>
    <w:basedOn w:val="1"/>
    <w:next w:val="1"/>
    <w:semiHidden/>
    <w:qFormat/>
    <w:uiPriority w:val="0"/>
    <w:pPr>
      <w:ind w:left="1050"/>
      <w:jc w:val="left"/>
    </w:pPr>
    <w:rPr>
      <w:sz w:val="18"/>
      <w:szCs w:val="18"/>
    </w:rPr>
  </w:style>
  <w:style w:type="paragraph" w:styleId="22">
    <w:name w:val="Body Text Indent"/>
    <w:basedOn w:val="1"/>
    <w:next w:val="1"/>
    <w:link w:val="59"/>
    <w:qFormat/>
    <w:uiPriority w:val="0"/>
    <w:pPr>
      <w:spacing w:line="480" w:lineRule="atLeast"/>
      <w:ind w:firstLine="570"/>
    </w:pPr>
    <w:rPr>
      <w:rFonts w:ascii="??" w:hAnsi="??" w:eastAsia="??" w:cs="宋体"/>
      <w:sz w:val="28"/>
      <w:szCs w:val="28"/>
    </w:rPr>
  </w:style>
  <w:style w:type="paragraph" w:styleId="23">
    <w:name w:val="List 2"/>
    <w:basedOn w:val="1"/>
    <w:unhideWhenUsed/>
    <w:qFormat/>
    <w:uiPriority w:val="0"/>
    <w:pPr>
      <w:ind w:left="100" w:leftChars="200" w:hanging="200" w:hangingChars="200"/>
      <w:contextualSpacing/>
    </w:pPr>
  </w:style>
  <w:style w:type="paragraph" w:styleId="24">
    <w:name w:val="Block Text"/>
    <w:basedOn w:val="1"/>
    <w:qFormat/>
    <w:uiPriority w:val="0"/>
    <w:pPr>
      <w:autoSpaceDE w:val="0"/>
      <w:autoSpaceDN w:val="0"/>
      <w:adjustRightInd w:val="0"/>
      <w:spacing w:line="240" w:lineRule="atLeast"/>
      <w:ind w:left="1797" w:right="857" w:rightChars="857" w:firstLine="542" w:firstLineChars="226"/>
      <w:jc w:val="left"/>
    </w:pPr>
    <w:rPr>
      <w:rFonts w:hint="eastAsia" w:ascii="宋体" w:hAnsi="Times New Roman"/>
      <w:color w:val="000000"/>
      <w:kern w:val="0"/>
      <w:sz w:val="24"/>
    </w:rPr>
  </w:style>
  <w:style w:type="paragraph" w:styleId="25">
    <w:name w:val="toc 5"/>
    <w:basedOn w:val="1"/>
    <w:next w:val="1"/>
    <w:qFormat/>
    <w:uiPriority w:val="0"/>
    <w:pPr>
      <w:ind w:left="840"/>
      <w:jc w:val="left"/>
    </w:pPr>
    <w:rPr>
      <w:rFonts w:ascii="Times New Roman" w:hAnsi="Times New Roman"/>
      <w:sz w:val="18"/>
      <w:szCs w:val="18"/>
    </w:rPr>
  </w:style>
  <w:style w:type="paragraph" w:styleId="26">
    <w:name w:val="toc 3"/>
    <w:basedOn w:val="1"/>
    <w:next w:val="1"/>
    <w:qFormat/>
    <w:uiPriority w:val="39"/>
    <w:pPr>
      <w:tabs>
        <w:tab w:val="left" w:pos="1440"/>
        <w:tab w:val="right" w:leader="dot" w:pos="8302"/>
      </w:tabs>
      <w:ind w:left="718" w:leftChars="342" w:firstLine="120" w:firstLineChars="60"/>
    </w:pPr>
    <w:rPr>
      <w:rFonts w:ascii="Arial" w:hAnsi="Arial"/>
      <w:smallCaps/>
      <w:sz w:val="20"/>
    </w:rPr>
  </w:style>
  <w:style w:type="paragraph" w:styleId="27">
    <w:name w:val="Plain Text"/>
    <w:basedOn w:val="1"/>
    <w:next w:val="28"/>
    <w:link w:val="67"/>
    <w:qFormat/>
    <w:uiPriority w:val="0"/>
    <w:rPr>
      <w:rFonts w:ascii="??" w:hAnsi="??" w:eastAsia="??" w:cs="宋体"/>
      <w:szCs w:val="21"/>
    </w:rPr>
  </w:style>
  <w:style w:type="paragraph" w:styleId="28">
    <w:name w:val="Date"/>
    <w:basedOn w:val="1"/>
    <w:next w:val="1"/>
    <w:link w:val="77"/>
    <w:qFormat/>
    <w:uiPriority w:val="0"/>
    <w:pPr>
      <w:ind w:left="2500" w:leftChars="2500"/>
    </w:pPr>
    <w:rPr>
      <w:rFonts w:eastAsia="楷体_GB2312" w:asciiTheme="minorHAnsi" w:hAnsiTheme="minorHAnsi" w:cstheme="minorBidi"/>
      <w:sz w:val="32"/>
      <w:szCs w:val="22"/>
    </w:rPr>
  </w:style>
  <w:style w:type="paragraph" w:styleId="29">
    <w:name w:val="toc 8"/>
    <w:basedOn w:val="1"/>
    <w:next w:val="1"/>
    <w:qFormat/>
    <w:uiPriority w:val="0"/>
    <w:pPr>
      <w:widowControl/>
      <w:ind w:left="1400"/>
      <w:jc w:val="left"/>
    </w:pPr>
    <w:rPr>
      <w:kern w:val="0"/>
      <w:sz w:val="18"/>
      <w:szCs w:val="20"/>
    </w:rPr>
  </w:style>
  <w:style w:type="paragraph" w:styleId="30">
    <w:name w:val="Body Text Indent 2"/>
    <w:basedOn w:val="1"/>
    <w:link w:val="139"/>
    <w:qFormat/>
    <w:uiPriority w:val="0"/>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right="25" w:rightChars="12" w:firstLine="360" w:firstLineChars="150"/>
      <w:jc w:val="left"/>
    </w:pPr>
    <w:rPr>
      <w:rFonts w:ascii="宋体" w:hAnsiTheme="minorHAnsi" w:eastAsiaTheme="minorEastAsia" w:cstheme="minorBidi"/>
      <w:color w:val="000000"/>
      <w:kern w:val="0"/>
      <w:sz w:val="24"/>
      <w:szCs w:val="20"/>
    </w:rPr>
  </w:style>
  <w:style w:type="paragraph" w:styleId="31">
    <w:name w:val="Balloon Text"/>
    <w:basedOn w:val="1"/>
    <w:link w:val="74"/>
    <w:unhideWhenUsed/>
    <w:qFormat/>
    <w:uiPriority w:val="0"/>
    <w:rPr>
      <w:sz w:val="18"/>
      <w:szCs w:val="18"/>
    </w:rPr>
  </w:style>
  <w:style w:type="paragraph" w:styleId="32">
    <w:name w:val="footer"/>
    <w:basedOn w:val="1"/>
    <w:next w:val="33"/>
    <w:link w:val="63"/>
    <w:unhideWhenUsed/>
    <w:qFormat/>
    <w:uiPriority w:val="99"/>
    <w:pPr>
      <w:tabs>
        <w:tab w:val="center" w:pos="4153"/>
        <w:tab w:val="right" w:pos="8306"/>
      </w:tabs>
      <w:snapToGrid w:val="0"/>
      <w:jc w:val="left"/>
    </w:pPr>
    <w:rPr>
      <w:sz w:val="18"/>
      <w:szCs w:val="18"/>
    </w:rPr>
  </w:style>
  <w:style w:type="paragraph" w:styleId="33">
    <w:name w:val="toc 2"/>
    <w:basedOn w:val="1"/>
    <w:next w:val="1"/>
    <w:qFormat/>
    <w:uiPriority w:val="39"/>
    <w:pPr>
      <w:tabs>
        <w:tab w:val="right" w:leader="middleDot" w:pos="8948"/>
      </w:tabs>
      <w:spacing w:before="60" w:after="60"/>
      <w:ind w:left="210"/>
    </w:pPr>
    <w:rPr>
      <w:smallCaps/>
    </w:rPr>
  </w:style>
  <w:style w:type="paragraph" w:styleId="34">
    <w:name w:val="header"/>
    <w:basedOn w:val="1"/>
    <w:link w:val="62"/>
    <w:unhideWhenUsed/>
    <w:qFormat/>
    <w:uiPriority w:val="99"/>
    <w:pPr>
      <w:pBdr>
        <w:bottom w:val="single" w:color="auto" w:sz="6" w:space="1"/>
      </w:pBdr>
      <w:tabs>
        <w:tab w:val="center" w:pos="4153"/>
        <w:tab w:val="right" w:pos="8306"/>
      </w:tabs>
      <w:snapToGrid w:val="0"/>
      <w:jc w:val="center"/>
    </w:pPr>
    <w:rPr>
      <w:sz w:val="18"/>
      <w:szCs w:val="18"/>
    </w:rPr>
  </w:style>
  <w:style w:type="paragraph" w:styleId="35">
    <w:name w:val="toc 1"/>
    <w:basedOn w:val="1"/>
    <w:next w:val="1"/>
    <w:qFormat/>
    <w:uiPriority w:val="39"/>
    <w:pPr>
      <w:tabs>
        <w:tab w:val="right" w:leader="middleDot" w:pos="8789"/>
      </w:tabs>
      <w:spacing w:line="360" w:lineRule="auto"/>
    </w:pPr>
    <w:rPr>
      <w:rFonts w:ascii="Times New Roman" w:hAnsi="Times New Roman"/>
      <w:sz w:val="24"/>
      <w:szCs w:val="20"/>
    </w:rPr>
  </w:style>
  <w:style w:type="paragraph" w:styleId="36">
    <w:name w:val="Subtitle"/>
    <w:basedOn w:val="1"/>
    <w:next w:val="1"/>
    <w:link w:val="182"/>
    <w:qFormat/>
    <w:uiPriority w:val="0"/>
    <w:pPr>
      <w:spacing w:before="240" w:after="60" w:line="312" w:lineRule="auto"/>
      <w:jc w:val="center"/>
      <w:outlineLvl w:val="1"/>
    </w:pPr>
    <w:rPr>
      <w:rFonts w:ascii="Cambria" w:hAnsi="Cambria"/>
      <w:b/>
      <w:bCs/>
      <w:kern w:val="28"/>
      <w:sz w:val="32"/>
      <w:szCs w:val="32"/>
    </w:rPr>
  </w:style>
  <w:style w:type="paragraph" w:styleId="37">
    <w:name w:val="List"/>
    <w:basedOn w:val="1"/>
    <w:qFormat/>
    <w:uiPriority w:val="0"/>
    <w:pPr>
      <w:ind w:left="200" w:hanging="200" w:hangingChars="200"/>
    </w:pPr>
    <w:rPr>
      <w:rFonts w:ascii="Times New Roman" w:hAnsi="Times New Roman"/>
      <w:sz w:val="28"/>
    </w:rPr>
  </w:style>
  <w:style w:type="paragraph" w:styleId="38">
    <w:name w:val="footnote text"/>
    <w:basedOn w:val="1"/>
    <w:link w:val="183"/>
    <w:semiHidden/>
    <w:qFormat/>
    <w:uiPriority w:val="99"/>
    <w:pPr>
      <w:snapToGrid w:val="0"/>
      <w:jc w:val="left"/>
    </w:pPr>
    <w:rPr>
      <w:rFonts w:ascii="Times New Roman" w:hAnsi="Times New Roman" w:eastAsia="仿宋_GB2312"/>
      <w:sz w:val="18"/>
      <w:szCs w:val="20"/>
    </w:rPr>
  </w:style>
  <w:style w:type="paragraph" w:styleId="39">
    <w:name w:val="Body Text Indent 3"/>
    <w:basedOn w:val="1"/>
    <w:link w:val="149"/>
    <w:qFormat/>
    <w:uiPriority w:val="0"/>
    <w:pPr>
      <w:autoSpaceDE w:val="0"/>
      <w:autoSpaceDN w:val="0"/>
      <w:adjustRightInd w:val="0"/>
      <w:spacing w:line="360" w:lineRule="atLeast"/>
      <w:ind w:left="1853"/>
      <w:jc w:val="center"/>
    </w:pPr>
    <w:rPr>
      <w:rFonts w:ascii="宋体" w:hAnsiTheme="minorHAnsi" w:eastAsiaTheme="minorEastAsia" w:cstheme="minorBidi"/>
      <w:b/>
      <w:color w:val="000000"/>
      <w:kern w:val="0"/>
      <w:sz w:val="36"/>
    </w:rPr>
  </w:style>
  <w:style w:type="paragraph" w:styleId="40">
    <w:name w:val="Body Text 2"/>
    <w:basedOn w:val="1"/>
    <w:link w:val="145"/>
    <w:qFormat/>
    <w:uiPriority w:val="0"/>
    <w:pPr>
      <w:autoSpaceDE w:val="0"/>
      <w:autoSpaceDN w:val="0"/>
      <w:adjustRightInd w:val="0"/>
      <w:spacing w:line="360" w:lineRule="auto"/>
    </w:pPr>
    <w:rPr>
      <w:rFonts w:ascii="宋体" w:hAnsiTheme="minorHAnsi" w:eastAsiaTheme="minorEastAsia" w:cstheme="minorBidi"/>
      <w:color w:val="000000"/>
      <w:kern w:val="0"/>
      <w:sz w:val="24"/>
    </w:rPr>
  </w:style>
  <w:style w:type="paragraph" w:styleId="41">
    <w:name w:val="HTML Preformatted"/>
    <w:basedOn w:val="1"/>
    <w:link w:val="18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42">
    <w:name w:val="Normal (Web)"/>
    <w:basedOn w:val="1"/>
    <w:next w:val="33"/>
    <w:qFormat/>
    <w:uiPriority w:val="0"/>
    <w:pPr>
      <w:widowControl/>
      <w:spacing w:before="100" w:beforeAutospacing="1" w:after="100" w:afterAutospacing="1"/>
      <w:jc w:val="left"/>
    </w:pPr>
    <w:rPr>
      <w:rFonts w:ascii="??" w:hAnsi="??" w:eastAsia="??" w:cs="宋体"/>
      <w:kern w:val="0"/>
      <w:sz w:val="24"/>
    </w:rPr>
  </w:style>
  <w:style w:type="paragraph" w:styleId="43">
    <w:name w:val="Title"/>
    <w:basedOn w:val="1"/>
    <w:next w:val="1"/>
    <w:link w:val="78"/>
    <w:qFormat/>
    <w:uiPriority w:val="0"/>
    <w:pPr>
      <w:numPr>
        <w:ilvl w:val="0"/>
        <w:numId w:val="2"/>
      </w:numPr>
      <w:spacing w:before="240" w:after="60"/>
      <w:jc w:val="center"/>
      <w:outlineLvl w:val="0"/>
    </w:pPr>
    <w:rPr>
      <w:rFonts w:asciiTheme="majorHAnsi" w:hAnsiTheme="majorHAnsi" w:cstheme="majorBidi"/>
      <w:b/>
      <w:bCs/>
      <w:sz w:val="36"/>
      <w:szCs w:val="32"/>
    </w:rPr>
  </w:style>
  <w:style w:type="paragraph" w:styleId="44">
    <w:name w:val="annotation subject"/>
    <w:basedOn w:val="17"/>
    <w:next w:val="17"/>
    <w:link w:val="79"/>
    <w:qFormat/>
    <w:uiPriority w:val="0"/>
    <w:rPr>
      <w:rFonts w:ascii="Times New Roman" w:hAnsi="Times New Roman" w:cs="Times New Roman"/>
      <w:b/>
      <w:bCs/>
      <w:szCs w:val="24"/>
    </w:rPr>
  </w:style>
  <w:style w:type="paragraph" w:styleId="45">
    <w:name w:val="Body Text First Indent 2"/>
    <w:basedOn w:val="22"/>
    <w:next w:val="46"/>
    <w:link w:val="142"/>
    <w:unhideWhenUsed/>
    <w:qFormat/>
    <w:uiPriority w:val="0"/>
    <w:pPr>
      <w:spacing w:after="120" w:line="240" w:lineRule="auto"/>
      <w:ind w:left="420" w:leftChars="200" w:firstLine="420" w:firstLineChars="200"/>
    </w:pPr>
    <w:rPr>
      <w:rFonts w:ascii="Calibri" w:hAnsi="Calibri" w:eastAsia="方正书宋简体" w:cs="黑体"/>
      <w:sz w:val="21"/>
      <w:szCs w:val="22"/>
    </w:rPr>
  </w:style>
  <w:style w:type="paragraph" w:customStyle="1" w:styleId="46">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table" w:styleId="48">
    <w:name w:val="Table Grid"/>
    <w:basedOn w:val="4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0">
    <w:name w:val="Strong"/>
    <w:basedOn w:val="49"/>
    <w:qFormat/>
    <w:uiPriority w:val="0"/>
    <w:rPr>
      <w:b/>
    </w:rPr>
  </w:style>
  <w:style w:type="character" w:styleId="51">
    <w:name w:val="page number"/>
    <w:basedOn w:val="49"/>
    <w:qFormat/>
    <w:uiPriority w:val="0"/>
  </w:style>
  <w:style w:type="character" w:styleId="52">
    <w:name w:val="FollowedHyperlink"/>
    <w:basedOn w:val="49"/>
    <w:qFormat/>
    <w:uiPriority w:val="0"/>
    <w:rPr>
      <w:color w:val="800080" w:themeColor="followedHyperlink"/>
      <w:u w:val="single"/>
      <w14:textFill>
        <w14:solidFill>
          <w14:schemeClr w14:val="folHlink"/>
        </w14:solidFill>
      </w14:textFill>
    </w:rPr>
  </w:style>
  <w:style w:type="character" w:styleId="53">
    <w:name w:val="Emphasis"/>
    <w:qFormat/>
    <w:uiPriority w:val="20"/>
    <w:rPr>
      <w:i/>
      <w:iCs/>
    </w:rPr>
  </w:style>
  <w:style w:type="character" w:styleId="54">
    <w:name w:val="Hyperlink"/>
    <w:qFormat/>
    <w:uiPriority w:val="99"/>
    <w:rPr>
      <w:color w:val="0000FF"/>
      <w:u w:val="single"/>
    </w:rPr>
  </w:style>
  <w:style w:type="character" w:styleId="55">
    <w:name w:val="annotation reference"/>
    <w:basedOn w:val="49"/>
    <w:qFormat/>
    <w:uiPriority w:val="0"/>
    <w:rPr>
      <w:sz w:val="21"/>
      <w:szCs w:val="21"/>
    </w:rPr>
  </w:style>
  <w:style w:type="character" w:styleId="56">
    <w:name w:val="footnote reference"/>
    <w:qFormat/>
    <w:uiPriority w:val="99"/>
    <w:rPr>
      <w:vertAlign w:val="superscript"/>
    </w:rPr>
  </w:style>
  <w:style w:type="character" w:customStyle="1" w:styleId="57">
    <w:name w:val="标题 2 Char"/>
    <w:basedOn w:val="49"/>
    <w:link w:val="4"/>
    <w:qFormat/>
    <w:uiPriority w:val="0"/>
    <w:rPr>
      <w:rFonts w:asciiTheme="majorHAnsi" w:hAnsiTheme="majorHAnsi" w:eastAsiaTheme="majorEastAsia" w:cstheme="majorBidi"/>
      <w:b/>
      <w:bCs/>
      <w:kern w:val="2"/>
      <w:sz w:val="32"/>
      <w:szCs w:val="32"/>
    </w:rPr>
  </w:style>
  <w:style w:type="paragraph" w:customStyle="1" w:styleId="58">
    <w:name w:val="Default"/>
    <w:next w:val="32"/>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9">
    <w:name w:val="正文文本缩进 Char"/>
    <w:link w:val="22"/>
    <w:qFormat/>
    <w:uiPriority w:val="0"/>
    <w:rPr>
      <w:rFonts w:ascii="??" w:hAnsi="??" w:eastAsia="??" w:cs="宋体"/>
      <w:sz w:val="28"/>
      <w:szCs w:val="28"/>
    </w:rPr>
  </w:style>
  <w:style w:type="character" w:customStyle="1" w:styleId="60">
    <w:name w:val="正文文本缩进 Char1"/>
    <w:basedOn w:val="49"/>
    <w:qFormat/>
    <w:uiPriority w:val="99"/>
    <w:rPr>
      <w:rFonts w:ascii="等线" w:hAnsi="等线" w:eastAsia="宋体" w:cs="Times New Roman"/>
      <w:szCs w:val="24"/>
    </w:rPr>
  </w:style>
  <w:style w:type="paragraph" w:customStyle="1" w:styleId="61">
    <w:name w:val="WPSOffice手动目录 1"/>
    <w:qFormat/>
    <w:uiPriority w:val="0"/>
    <w:rPr>
      <w:rFonts w:ascii="Times New Roman" w:hAnsi="Times New Roman" w:eastAsia="宋体" w:cs="Times New Roman"/>
      <w:lang w:val="en-US" w:eastAsia="zh-CN" w:bidi="ar-SA"/>
    </w:rPr>
  </w:style>
  <w:style w:type="character" w:customStyle="1" w:styleId="62">
    <w:name w:val="页眉 Char"/>
    <w:basedOn w:val="49"/>
    <w:link w:val="34"/>
    <w:qFormat/>
    <w:uiPriority w:val="99"/>
    <w:rPr>
      <w:rFonts w:ascii="等线" w:hAnsi="等线" w:eastAsia="宋体" w:cs="Times New Roman"/>
      <w:sz w:val="18"/>
      <w:szCs w:val="18"/>
    </w:rPr>
  </w:style>
  <w:style w:type="character" w:customStyle="1" w:styleId="63">
    <w:name w:val="页脚 Char"/>
    <w:basedOn w:val="49"/>
    <w:link w:val="32"/>
    <w:qFormat/>
    <w:uiPriority w:val="99"/>
    <w:rPr>
      <w:rFonts w:ascii="等线" w:hAnsi="等线" w:eastAsia="宋体" w:cs="Times New Roman"/>
      <w:sz w:val="18"/>
      <w:szCs w:val="18"/>
    </w:rPr>
  </w:style>
  <w:style w:type="character" w:customStyle="1" w:styleId="64">
    <w:name w:val="正文2 Char"/>
    <w:link w:val="65"/>
    <w:qFormat/>
    <w:locked/>
    <w:uiPriority w:val="0"/>
    <w:rPr>
      <w:rFonts w:eastAsia="??"/>
      <w:sz w:val="24"/>
      <w:szCs w:val="28"/>
    </w:rPr>
  </w:style>
  <w:style w:type="paragraph" w:customStyle="1" w:styleId="65">
    <w:name w:val="正文2"/>
    <w:basedOn w:val="1"/>
    <w:link w:val="64"/>
    <w:qFormat/>
    <w:uiPriority w:val="0"/>
    <w:pPr>
      <w:spacing w:before="156" w:line="360" w:lineRule="auto"/>
      <w:ind w:firstLine="200" w:firstLineChars="200"/>
    </w:pPr>
    <w:rPr>
      <w:rFonts w:eastAsia="??" w:asciiTheme="minorHAnsi" w:hAnsiTheme="minorHAnsi" w:cstheme="minorBidi"/>
      <w:sz w:val="24"/>
      <w:szCs w:val="28"/>
    </w:rPr>
  </w:style>
  <w:style w:type="character" w:customStyle="1" w:styleId="66">
    <w:name w:val="标题 3 Char"/>
    <w:basedOn w:val="49"/>
    <w:link w:val="5"/>
    <w:qFormat/>
    <w:uiPriority w:val="9"/>
    <w:rPr>
      <w:rFonts w:ascii="Times New Roman" w:hAnsi="Times New Roman" w:eastAsia="??" w:cs="Times New Roman"/>
      <w:b/>
      <w:kern w:val="0"/>
      <w:sz w:val="32"/>
      <w:szCs w:val="28"/>
    </w:rPr>
  </w:style>
  <w:style w:type="character" w:customStyle="1" w:styleId="67">
    <w:name w:val="纯文本 Char1"/>
    <w:link w:val="27"/>
    <w:qFormat/>
    <w:uiPriority w:val="0"/>
    <w:rPr>
      <w:rFonts w:ascii="??" w:hAnsi="??" w:eastAsia="??" w:cs="宋体"/>
      <w:szCs w:val="21"/>
    </w:rPr>
  </w:style>
  <w:style w:type="character" w:customStyle="1" w:styleId="68">
    <w:name w:val="批注文字 Char"/>
    <w:link w:val="17"/>
    <w:qFormat/>
    <w:uiPriority w:val="99"/>
    <w:rPr>
      <w:rFonts w:eastAsia="宋体" w:cs="Lucida Sans"/>
    </w:rPr>
  </w:style>
  <w:style w:type="character" w:customStyle="1" w:styleId="69">
    <w:name w:val="纯文本 Char"/>
    <w:basedOn w:val="49"/>
    <w:qFormat/>
    <w:uiPriority w:val="0"/>
    <w:rPr>
      <w:rFonts w:ascii="宋体" w:hAnsi="Courier New" w:eastAsia="宋体" w:cs="Courier New"/>
      <w:szCs w:val="21"/>
    </w:rPr>
  </w:style>
  <w:style w:type="character" w:customStyle="1" w:styleId="70">
    <w:name w:val="批注文字 Char1"/>
    <w:basedOn w:val="49"/>
    <w:semiHidden/>
    <w:qFormat/>
    <w:uiPriority w:val="99"/>
    <w:rPr>
      <w:rFonts w:ascii="等线" w:hAnsi="等线" w:eastAsia="宋体" w:cs="Times New Roman"/>
      <w:szCs w:val="24"/>
    </w:rPr>
  </w:style>
  <w:style w:type="paragraph" w:styleId="71">
    <w:name w:val="List Paragraph"/>
    <w:basedOn w:val="1"/>
    <w:link w:val="106"/>
    <w:qFormat/>
    <w:uiPriority w:val="34"/>
    <w:pPr>
      <w:widowControl/>
      <w:ind w:firstLine="200" w:firstLineChars="200"/>
      <w:jc w:val="left"/>
    </w:pPr>
    <w:rPr>
      <w:rFonts w:ascii="??" w:hAnsi="??" w:eastAsia="??" w:cs="??"/>
      <w:kern w:val="0"/>
      <w:sz w:val="24"/>
    </w:rPr>
  </w:style>
  <w:style w:type="character" w:customStyle="1" w:styleId="72">
    <w:name w:val="标题 1 Char"/>
    <w:basedOn w:val="49"/>
    <w:link w:val="3"/>
    <w:qFormat/>
    <w:uiPriority w:val="0"/>
    <w:rPr>
      <w:rFonts w:ascii="等线" w:hAnsi="等线" w:eastAsia="宋体" w:cs="Times New Roman"/>
      <w:b/>
      <w:bCs/>
      <w:kern w:val="44"/>
      <w:sz w:val="44"/>
      <w:szCs w:val="44"/>
    </w:rPr>
  </w:style>
  <w:style w:type="paragraph" w:customStyle="1" w:styleId="73">
    <w:name w:val="列出段落1"/>
    <w:basedOn w:val="1"/>
    <w:qFormat/>
    <w:uiPriority w:val="34"/>
    <w:pPr>
      <w:snapToGrid w:val="0"/>
      <w:spacing w:line="276" w:lineRule="auto"/>
      <w:ind w:firstLine="420" w:firstLineChars="200"/>
    </w:pPr>
    <w:rPr>
      <w:rFonts w:ascii="Calibri" w:hAnsi="Calibri" w:eastAsia="微软雅黑"/>
      <w:sz w:val="24"/>
      <w:szCs w:val="21"/>
    </w:rPr>
  </w:style>
  <w:style w:type="character" w:customStyle="1" w:styleId="74">
    <w:name w:val="批注框文本 Char"/>
    <w:basedOn w:val="49"/>
    <w:link w:val="31"/>
    <w:qFormat/>
    <w:uiPriority w:val="99"/>
    <w:rPr>
      <w:rFonts w:ascii="等线" w:hAnsi="等线" w:eastAsia="宋体" w:cs="Times New Roman"/>
      <w:kern w:val="2"/>
      <w:sz w:val="18"/>
      <w:szCs w:val="18"/>
    </w:rPr>
  </w:style>
  <w:style w:type="paragraph" w:customStyle="1" w:styleId="75">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76">
    <w:name w:val="正文文本 Char"/>
    <w:basedOn w:val="49"/>
    <w:link w:val="19"/>
    <w:qFormat/>
    <w:uiPriority w:val="0"/>
    <w:rPr>
      <w:rFonts w:ascii="Times New Roman" w:hAnsi="Times New Roman" w:cs="Times New Roman"/>
      <w:kern w:val="2"/>
      <w:sz w:val="24"/>
      <w:szCs w:val="24"/>
    </w:rPr>
  </w:style>
  <w:style w:type="character" w:customStyle="1" w:styleId="77">
    <w:name w:val="日期 Char"/>
    <w:basedOn w:val="49"/>
    <w:link w:val="28"/>
    <w:qFormat/>
    <w:uiPriority w:val="0"/>
    <w:rPr>
      <w:rFonts w:eastAsia="楷体_GB2312" w:asciiTheme="minorHAnsi" w:hAnsiTheme="minorHAnsi" w:cstheme="minorBidi"/>
      <w:kern w:val="2"/>
      <w:sz w:val="32"/>
      <w:szCs w:val="22"/>
    </w:rPr>
  </w:style>
  <w:style w:type="character" w:customStyle="1" w:styleId="78">
    <w:name w:val="标题 Char"/>
    <w:basedOn w:val="49"/>
    <w:link w:val="43"/>
    <w:qFormat/>
    <w:uiPriority w:val="0"/>
    <w:rPr>
      <w:rFonts w:asciiTheme="majorHAnsi" w:hAnsiTheme="majorHAnsi" w:cstheme="majorBidi"/>
      <w:b/>
      <w:bCs/>
      <w:kern w:val="2"/>
      <w:sz w:val="36"/>
      <w:szCs w:val="32"/>
    </w:rPr>
  </w:style>
  <w:style w:type="character" w:customStyle="1" w:styleId="79">
    <w:name w:val="批注主题 Char"/>
    <w:basedOn w:val="68"/>
    <w:link w:val="44"/>
    <w:qFormat/>
    <w:uiPriority w:val="0"/>
    <w:rPr>
      <w:rFonts w:ascii="Times New Roman" w:hAnsi="Times New Roman" w:eastAsia="宋体" w:cs="Times New Roman"/>
      <w:b/>
      <w:bCs/>
      <w:kern w:val="2"/>
      <w:sz w:val="21"/>
      <w:szCs w:val="24"/>
    </w:rPr>
  </w:style>
  <w:style w:type="paragraph" w:customStyle="1" w:styleId="80">
    <w:name w:val="zw"/>
    <w:basedOn w:val="1"/>
    <w:qFormat/>
    <w:uiPriority w:val="0"/>
    <w:pPr>
      <w:widowControl/>
      <w:spacing w:before="30"/>
      <w:ind w:left="100" w:right="100"/>
    </w:pPr>
    <w:rPr>
      <w:rFonts w:ascii="方正书宋简体" w:hAnsi="宋体" w:eastAsia="方正书宋简体"/>
      <w:color w:val="000000"/>
      <w:kern w:val="0"/>
      <w:szCs w:val="21"/>
    </w:rPr>
  </w:style>
  <w:style w:type="paragraph" w:customStyle="1" w:styleId="81">
    <w:name w:val="无间隔11"/>
    <w:qFormat/>
    <w:uiPriority w:val="0"/>
    <w:pPr>
      <w:adjustRightInd w:val="0"/>
      <w:snapToGrid w:val="0"/>
    </w:pPr>
    <w:rPr>
      <w:rFonts w:ascii="Tahoma" w:hAnsi="Tahoma" w:eastAsia="微软雅黑" w:cstheme="minorBidi"/>
      <w:sz w:val="22"/>
      <w:szCs w:val="22"/>
      <w:lang w:val="en-US" w:eastAsia="zh-CN" w:bidi="ar-SA"/>
    </w:rPr>
  </w:style>
  <w:style w:type="paragraph" w:customStyle="1" w:styleId="82">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83">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
    <w:name w:val="正文_14"/>
    <w:qFormat/>
    <w:uiPriority w:val="0"/>
    <w:rPr>
      <w:rFonts w:ascii="Times New Roman" w:hAnsi="Times New Roman" w:eastAsia="宋体" w:cs="Times New Roman"/>
      <w:sz w:val="21"/>
      <w:szCs w:val="22"/>
      <w:lang w:val="en-US" w:eastAsia="zh-CN" w:bidi="ar-SA"/>
    </w:rPr>
  </w:style>
  <w:style w:type="paragraph" w:customStyle="1" w:styleId="85">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6">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7">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8">
    <w:name w:val="纯文本_3"/>
    <w:basedOn w:val="87"/>
    <w:link w:val="117"/>
    <w:qFormat/>
    <w:uiPriority w:val="0"/>
    <w:pPr>
      <w:widowControl/>
      <w:jc w:val="left"/>
    </w:pPr>
    <w:rPr>
      <w:rFonts w:ascii="宋体" w:hAnsi="Courier New" w:eastAsiaTheme="minorEastAsia" w:cstheme="minorBidi"/>
      <w:szCs w:val="21"/>
    </w:rPr>
  </w:style>
  <w:style w:type="paragraph" w:customStyle="1" w:styleId="89">
    <w:name w:val="纯文本_0_1"/>
    <w:basedOn w:val="1"/>
    <w:link w:val="126"/>
    <w:qFormat/>
    <w:uiPriority w:val="0"/>
    <w:pPr>
      <w:widowControl/>
      <w:jc w:val="left"/>
    </w:pPr>
    <w:rPr>
      <w:rFonts w:ascii="宋体" w:hAnsi="Courier New" w:eastAsiaTheme="minorEastAsia" w:cstheme="minorBidi"/>
      <w:szCs w:val="21"/>
    </w:rPr>
  </w:style>
  <w:style w:type="paragraph" w:customStyle="1" w:styleId="90">
    <w:name w:val="正文_2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91">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2">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93">
    <w:name w:val="纯文本 Char_1"/>
    <w:link w:val="94"/>
    <w:qFormat/>
    <w:uiPriority w:val="0"/>
    <w:rPr>
      <w:rFonts w:ascii="宋体" w:hAnsi="Courier New"/>
      <w:szCs w:val="21"/>
    </w:rPr>
  </w:style>
  <w:style w:type="paragraph" w:customStyle="1" w:styleId="94">
    <w:name w:val="纯文本_1"/>
    <w:basedOn w:val="1"/>
    <w:link w:val="93"/>
    <w:qFormat/>
    <w:uiPriority w:val="0"/>
    <w:pPr>
      <w:widowControl/>
      <w:jc w:val="left"/>
    </w:pPr>
    <w:rPr>
      <w:rFonts w:ascii="宋体" w:hAnsi="Courier New" w:cs="宋体"/>
      <w:kern w:val="0"/>
      <w:sz w:val="20"/>
      <w:szCs w:val="21"/>
    </w:rPr>
  </w:style>
  <w:style w:type="paragraph" w:customStyle="1" w:styleId="95">
    <w:name w:val="纯文本1"/>
    <w:basedOn w:val="96"/>
    <w:qFormat/>
    <w:uiPriority w:val="0"/>
    <w:pPr>
      <w:widowControl/>
      <w:jc w:val="left"/>
    </w:pPr>
    <w:rPr>
      <w:rFonts w:ascii="宋体" w:hAnsi="Courier New"/>
    </w:rPr>
  </w:style>
  <w:style w:type="paragraph" w:customStyle="1" w:styleId="96">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7">
    <w:name w:val="p0"/>
    <w:basedOn w:val="1"/>
    <w:qFormat/>
    <w:uiPriority w:val="0"/>
    <w:pPr>
      <w:widowControl/>
    </w:pPr>
    <w:rPr>
      <w:rFonts w:ascii="宋体" w:hAnsi="宋体" w:cs="宋体"/>
      <w:kern w:val="0"/>
      <w:szCs w:val="21"/>
    </w:rPr>
  </w:style>
  <w:style w:type="paragraph" w:customStyle="1" w:styleId="98">
    <w:name w:val="_Style 2"/>
    <w:qFormat/>
    <w:uiPriority w:val="0"/>
    <w:pPr>
      <w:adjustRightInd w:val="0"/>
      <w:snapToGrid w:val="0"/>
    </w:pPr>
    <w:rPr>
      <w:rFonts w:ascii="Tahoma" w:hAnsi="Tahoma" w:eastAsia="微软雅黑" w:cs="Tahoma"/>
      <w:sz w:val="22"/>
      <w:szCs w:val="22"/>
      <w:lang w:val="en-US" w:eastAsia="zh-CN" w:bidi="ar-SA"/>
    </w:rPr>
  </w:style>
  <w:style w:type="character" w:customStyle="1" w:styleId="99">
    <w:name w:val="标题 4 Char"/>
    <w:basedOn w:val="49"/>
    <w:link w:val="6"/>
    <w:qFormat/>
    <w:uiPriority w:val="0"/>
    <w:rPr>
      <w:rFonts w:ascii="Cambria" w:hAnsi="Cambria" w:eastAsia="宋体" w:cs="Times New Roman"/>
      <w:b/>
      <w:bCs/>
      <w:kern w:val="2"/>
      <w:sz w:val="28"/>
      <w:szCs w:val="28"/>
    </w:rPr>
  </w:style>
  <w:style w:type="character" w:customStyle="1" w:styleId="100">
    <w:name w:val="内容文本 Char"/>
    <w:link w:val="101"/>
    <w:qFormat/>
    <w:uiPriority w:val="0"/>
    <w:rPr>
      <w:rFonts w:ascii="宋体" w:hAnsi="宋体"/>
      <w:sz w:val="24"/>
      <w:szCs w:val="24"/>
      <w:lang w:eastAsia="en-US" w:bidi="en-US"/>
    </w:rPr>
  </w:style>
  <w:style w:type="paragraph" w:customStyle="1" w:styleId="101">
    <w:name w:val="内容文本"/>
    <w:basedOn w:val="1"/>
    <w:link w:val="100"/>
    <w:qFormat/>
    <w:uiPriority w:val="0"/>
    <w:pPr>
      <w:spacing w:line="360" w:lineRule="auto"/>
      <w:ind w:firstLine="200" w:firstLineChars="200"/>
      <w:contextualSpacing/>
      <w:jc w:val="left"/>
    </w:pPr>
    <w:rPr>
      <w:rFonts w:ascii="宋体" w:hAnsi="宋体" w:eastAsiaTheme="minorEastAsia" w:cstheme="minorBidi"/>
      <w:kern w:val="0"/>
      <w:sz w:val="24"/>
      <w:lang w:eastAsia="en-US" w:bidi="en-US"/>
    </w:rPr>
  </w:style>
  <w:style w:type="character" w:customStyle="1" w:styleId="102">
    <w:name w:val="样式1 Char_1"/>
    <w:link w:val="103"/>
    <w:qFormat/>
    <w:uiPriority w:val="0"/>
    <w:rPr>
      <w:rFonts w:ascii="宋体" w:hAnsi="Arial"/>
      <w:b/>
      <w:sz w:val="32"/>
    </w:rPr>
  </w:style>
  <w:style w:type="paragraph" w:customStyle="1" w:styleId="103">
    <w:name w:val="样式1_1"/>
    <w:basedOn w:val="1"/>
    <w:link w:val="102"/>
    <w:qFormat/>
    <w:uiPriority w:val="0"/>
    <w:pPr>
      <w:keepNext/>
      <w:keepLines/>
      <w:widowControl/>
      <w:tabs>
        <w:tab w:val="left" w:pos="420"/>
      </w:tabs>
      <w:adjustRightInd w:val="0"/>
      <w:snapToGrid w:val="0"/>
      <w:spacing w:line="360" w:lineRule="auto"/>
      <w:ind w:left="420" w:hanging="420"/>
      <w:jc w:val="center"/>
      <w:outlineLvl w:val="1"/>
    </w:pPr>
    <w:rPr>
      <w:rFonts w:ascii="宋体" w:hAnsi="Arial" w:eastAsiaTheme="minorEastAsia" w:cstheme="minorBidi"/>
      <w:b/>
      <w:kern w:val="0"/>
      <w:sz w:val="32"/>
      <w:szCs w:val="20"/>
    </w:rPr>
  </w:style>
  <w:style w:type="character" w:customStyle="1" w:styleId="104">
    <w:name w:val="列出段落 Char1"/>
    <w:basedOn w:val="49"/>
    <w:qFormat/>
    <w:uiPriority w:val="34"/>
  </w:style>
  <w:style w:type="character" w:customStyle="1" w:styleId="105">
    <w:name w:val="标题 4 Char1"/>
    <w:qFormat/>
    <w:uiPriority w:val="0"/>
    <w:rPr>
      <w:rFonts w:ascii="Cambria" w:hAnsi="Cambria" w:eastAsia="宋体" w:cs="Times New Roman"/>
      <w:b/>
      <w:bCs/>
      <w:sz w:val="28"/>
      <w:szCs w:val="28"/>
    </w:rPr>
  </w:style>
  <w:style w:type="character" w:customStyle="1" w:styleId="106">
    <w:name w:val="列出段落 Char"/>
    <w:link w:val="71"/>
    <w:qFormat/>
    <w:uiPriority w:val="34"/>
    <w:rPr>
      <w:rFonts w:ascii="??" w:hAnsi="??" w:eastAsia="??" w:cs="??"/>
      <w:sz w:val="24"/>
      <w:szCs w:val="24"/>
    </w:rPr>
  </w:style>
  <w:style w:type="character" w:customStyle="1" w:styleId="107">
    <w:name w:val="p141"/>
    <w:qFormat/>
    <w:uiPriority w:val="0"/>
    <w:rPr>
      <w:sz w:val="21"/>
      <w:szCs w:val="21"/>
    </w:rPr>
  </w:style>
  <w:style w:type="character" w:customStyle="1" w:styleId="108">
    <w:name w:val="正文文本缩进 2 Char"/>
    <w:qFormat/>
    <w:uiPriority w:val="0"/>
    <w:rPr>
      <w:rFonts w:ascii="宋体"/>
      <w:color w:val="000000"/>
      <w:sz w:val="24"/>
    </w:rPr>
  </w:style>
  <w:style w:type="character" w:customStyle="1" w:styleId="109">
    <w:name w:val="样式5 Char"/>
    <w:link w:val="110"/>
    <w:qFormat/>
    <w:uiPriority w:val="0"/>
    <w:rPr>
      <w:rFonts w:ascii="方正书宋简体" w:hAnsi="Calibri" w:eastAsia="方正书宋简体" w:cs="黑体"/>
    </w:rPr>
  </w:style>
  <w:style w:type="paragraph" w:customStyle="1" w:styleId="110">
    <w:name w:val="样式5"/>
    <w:basedOn w:val="1"/>
    <w:link w:val="109"/>
    <w:qFormat/>
    <w:uiPriority w:val="0"/>
    <w:pPr>
      <w:spacing w:line="340" w:lineRule="exact"/>
      <w:ind w:firstLine="420" w:firstLineChars="200"/>
    </w:pPr>
    <w:rPr>
      <w:rFonts w:ascii="方正书宋简体" w:hAnsi="Calibri" w:eastAsia="方正书宋简体" w:cs="黑体"/>
      <w:kern w:val="0"/>
      <w:sz w:val="20"/>
      <w:szCs w:val="20"/>
    </w:rPr>
  </w:style>
  <w:style w:type="character" w:customStyle="1" w:styleId="111">
    <w:name w:val="正文缩进 Char"/>
    <w:link w:val="14"/>
    <w:qFormat/>
    <w:uiPriority w:val="0"/>
    <w:rPr>
      <w:rFonts w:ascii="等线" w:hAnsi="等线" w:eastAsia="宋体" w:cs="Times New Roman"/>
      <w:kern w:val="2"/>
      <w:sz w:val="21"/>
      <w:szCs w:val="24"/>
    </w:rPr>
  </w:style>
  <w:style w:type="character" w:customStyle="1" w:styleId="112">
    <w:name w:val="正文文本 2 Char"/>
    <w:qFormat/>
    <w:uiPriority w:val="0"/>
    <w:rPr>
      <w:rFonts w:ascii="宋体"/>
      <w:color w:val="000000"/>
      <w:sz w:val="24"/>
      <w:szCs w:val="24"/>
    </w:rPr>
  </w:style>
  <w:style w:type="character" w:customStyle="1" w:styleId="113">
    <w:name w:val="正文文本 Char1"/>
    <w:qFormat/>
    <w:uiPriority w:val="99"/>
    <w:rPr>
      <w:rFonts w:eastAsia="Times New Roman"/>
      <w:kern w:val="2"/>
      <w:sz w:val="24"/>
      <w:szCs w:val="24"/>
    </w:rPr>
  </w:style>
  <w:style w:type="character" w:customStyle="1" w:styleId="114">
    <w:name w:val="日期 Char1"/>
    <w:qFormat/>
    <w:uiPriority w:val="99"/>
    <w:rPr>
      <w:rFonts w:ascii="Calibri" w:hAnsi="Calibri" w:eastAsia="楷体_GB2312"/>
      <w:kern w:val="2"/>
      <w:sz w:val="32"/>
      <w:szCs w:val="22"/>
    </w:rPr>
  </w:style>
  <w:style w:type="character" w:customStyle="1" w:styleId="115">
    <w:name w:val="*正文 Char"/>
    <w:link w:val="116"/>
    <w:qFormat/>
    <w:uiPriority w:val="0"/>
    <w:rPr>
      <w:rFonts w:ascii="宋体" w:hAnsi="宋体"/>
      <w:sz w:val="22"/>
    </w:rPr>
  </w:style>
  <w:style w:type="paragraph" w:customStyle="1" w:styleId="116">
    <w:name w:val="*正文"/>
    <w:basedOn w:val="1"/>
    <w:link w:val="115"/>
    <w:qFormat/>
    <w:uiPriority w:val="0"/>
    <w:pPr>
      <w:spacing w:line="360" w:lineRule="auto"/>
      <w:ind w:left="420" w:leftChars="200" w:firstLine="200" w:firstLineChars="200"/>
    </w:pPr>
    <w:rPr>
      <w:rFonts w:ascii="宋体" w:hAnsi="宋体" w:eastAsiaTheme="minorEastAsia" w:cstheme="minorBidi"/>
      <w:kern w:val="0"/>
      <w:sz w:val="22"/>
      <w:szCs w:val="20"/>
    </w:rPr>
  </w:style>
  <w:style w:type="character" w:customStyle="1" w:styleId="117">
    <w:name w:val="纯文本 Char_3"/>
    <w:link w:val="88"/>
    <w:qFormat/>
    <w:uiPriority w:val="0"/>
    <w:rPr>
      <w:rFonts w:ascii="宋体" w:hAnsi="Courier New"/>
      <w:kern w:val="2"/>
      <w:sz w:val="21"/>
      <w:szCs w:val="21"/>
    </w:rPr>
  </w:style>
  <w:style w:type="character" w:customStyle="1" w:styleId="118">
    <w:name w:val="正文文本 3 Char"/>
    <w:qFormat/>
    <w:uiPriority w:val="0"/>
    <w:rPr>
      <w:kern w:val="2"/>
      <w:sz w:val="16"/>
      <w:szCs w:val="16"/>
    </w:rPr>
  </w:style>
  <w:style w:type="character" w:customStyle="1" w:styleId="119">
    <w:name w:val="正文文本缩进 3 Char"/>
    <w:qFormat/>
    <w:uiPriority w:val="0"/>
    <w:rPr>
      <w:rFonts w:ascii="宋体"/>
      <w:b/>
      <w:color w:val="000000"/>
      <w:sz w:val="36"/>
      <w:szCs w:val="24"/>
    </w:rPr>
  </w:style>
  <w:style w:type="character" w:customStyle="1" w:styleId="120">
    <w:name w:val="正文首行缩进 2 Char"/>
    <w:qFormat/>
    <w:uiPriority w:val="0"/>
    <w:rPr>
      <w:rFonts w:ascii="Calibri" w:hAnsi="Calibri" w:eastAsia="方正书宋简体" w:cs="黑体"/>
      <w:kern w:val="2"/>
      <w:sz w:val="21"/>
      <w:szCs w:val="22"/>
    </w:rPr>
  </w:style>
  <w:style w:type="character" w:customStyle="1" w:styleId="121">
    <w:name w:val="标题 Char1"/>
    <w:qFormat/>
    <w:uiPriority w:val="10"/>
    <w:rPr>
      <w:rFonts w:ascii="Cambria" w:hAnsi="Cambria" w:eastAsia="Times New Roman"/>
      <w:b/>
      <w:bCs/>
      <w:kern w:val="2"/>
      <w:sz w:val="32"/>
      <w:szCs w:val="32"/>
    </w:rPr>
  </w:style>
  <w:style w:type="character" w:customStyle="1" w:styleId="122">
    <w:name w:val="标题 3 Char1"/>
    <w:qFormat/>
    <w:uiPriority w:val="9"/>
    <w:rPr>
      <w:b/>
      <w:bCs/>
      <w:sz w:val="32"/>
      <w:szCs w:val="32"/>
    </w:rPr>
  </w:style>
  <w:style w:type="character" w:customStyle="1" w:styleId="123">
    <w:name w:val="文档结构图 Char"/>
    <w:qFormat/>
    <w:uiPriority w:val="0"/>
    <w:rPr>
      <w:rFonts w:ascii="宋体"/>
      <w:kern w:val="2"/>
      <w:sz w:val="18"/>
      <w:szCs w:val="18"/>
    </w:rPr>
  </w:style>
  <w:style w:type="character" w:customStyle="1" w:styleId="124">
    <w:name w:val="正文首行缩进 Char"/>
    <w:link w:val="125"/>
    <w:qFormat/>
    <w:uiPriority w:val="0"/>
    <w:rPr>
      <w:rFonts w:ascii="Calibri" w:hAnsi="Calibri" w:eastAsia="Times New Roman" w:cs="黑体"/>
      <w:kern w:val="2"/>
      <w:sz w:val="21"/>
      <w:szCs w:val="22"/>
    </w:rPr>
  </w:style>
  <w:style w:type="paragraph" w:customStyle="1" w:styleId="125">
    <w:name w:val="正文首行缩进1"/>
    <w:basedOn w:val="19"/>
    <w:next w:val="1"/>
    <w:link w:val="124"/>
    <w:qFormat/>
    <w:uiPriority w:val="0"/>
    <w:pPr>
      <w:widowControl/>
      <w:spacing w:after="120" w:line="240" w:lineRule="auto"/>
      <w:ind w:firstLine="420" w:firstLineChars="100"/>
      <w:jc w:val="left"/>
    </w:pPr>
    <w:rPr>
      <w:rFonts w:ascii="Calibri" w:hAnsi="Calibri" w:eastAsia="Times New Roman" w:cs="黑体"/>
      <w:sz w:val="21"/>
      <w:szCs w:val="22"/>
    </w:rPr>
  </w:style>
  <w:style w:type="character" w:customStyle="1" w:styleId="126">
    <w:name w:val="纯文本 Char_1_0"/>
    <w:link w:val="89"/>
    <w:qFormat/>
    <w:uiPriority w:val="0"/>
    <w:rPr>
      <w:rFonts w:ascii="宋体" w:hAnsi="Courier New"/>
      <w:kern w:val="2"/>
      <w:sz w:val="21"/>
      <w:szCs w:val="21"/>
    </w:rPr>
  </w:style>
  <w:style w:type="character" w:customStyle="1" w:styleId="127">
    <w:name w:val="样式1 Char"/>
    <w:link w:val="128"/>
    <w:qFormat/>
    <w:uiPriority w:val="0"/>
    <w:rPr>
      <w:rFonts w:ascii="宋体" w:hAnsi="Arial"/>
      <w:b/>
      <w:sz w:val="32"/>
    </w:rPr>
  </w:style>
  <w:style w:type="paragraph" w:customStyle="1" w:styleId="128">
    <w:name w:val="样式1_0"/>
    <w:basedOn w:val="1"/>
    <w:link w:val="127"/>
    <w:qFormat/>
    <w:uiPriority w:val="0"/>
    <w:pPr>
      <w:keepNext/>
      <w:keepLines/>
      <w:widowControl/>
      <w:tabs>
        <w:tab w:val="left" w:pos="420"/>
      </w:tabs>
      <w:adjustRightInd w:val="0"/>
      <w:snapToGrid w:val="0"/>
      <w:spacing w:line="360" w:lineRule="auto"/>
      <w:ind w:left="420" w:hanging="420"/>
      <w:jc w:val="center"/>
      <w:outlineLvl w:val="1"/>
    </w:pPr>
    <w:rPr>
      <w:rFonts w:ascii="宋体" w:hAnsi="Arial" w:eastAsiaTheme="minorEastAsia" w:cstheme="minorBidi"/>
      <w:b/>
      <w:kern w:val="0"/>
      <w:sz w:val="32"/>
      <w:szCs w:val="20"/>
    </w:rPr>
  </w:style>
  <w:style w:type="character" w:customStyle="1" w:styleId="129">
    <w:name w:val="样式44 Char"/>
    <w:basedOn w:val="99"/>
    <w:link w:val="130"/>
    <w:qFormat/>
    <w:uiPriority w:val="0"/>
    <w:rPr>
      <w:rFonts w:ascii="Cambria" w:hAnsi="Cambria" w:eastAsia="宋体" w:cs="Times New Roman"/>
      <w:kern w:val="2"/>
      <w:sz w:val="28"/>
      <w:szCs w:val="28"/>
    </w:rPr>
  </w:style>
  <w:style w:type="paragraph" w:customStyle="1" w:styleId="130">
    <w:name w:val="样式44"/>
    <w:basedOn w:val="6"/>
    <w:link w:val="129"/>
    <w:qFormat/>
    <w:uiPriority w:val="0"/>
  </w:style>
  <w:style w:type="character" w:customStyle="1" w:styleId="131">
    <w:name w:val="apple-converted-space"/>
    <w:basedOn w:val="49"/>
    <w:qFormat/>
    <w:uiPriority w:val="0"/>
  </w:style>
  <w:style w:type="character" w:customStyle="1" w:styleId="132">
    <w:name w:val="纯文本 Char_0_0"/>
    <w:link w:val="133"/>
    <w:qFormat/>
    <w:locked/>
    <w:uiPriority w:val="0"/>
    <w:rPr>
      <w:rFonts w:ascii="宋体" w:hAnsi="Courier New"/>
      <w:szCs w:val="21"/>
    </w:rPr>
  </w:style>
  <w:style w:type="paragraph" w:customStyle="1" w:styleId="133">
    <w:name w:val="纯文本_0"/>
    <w:basedOn w:val="1"/>
    <w:link w:val="132"/>
    <w:unhideWhenUsed/>
    <w:qFormat/>
    <w:uiPriority w:val="0"/>
    <w:pPr>
      <w:widowControl/>
      <w:jc w:val="left"/>
    </w:pPr>
    <w:rPr>
      <w:rFonts w:ascii="宋体" w:hAnsi="Courier New" w:eastAsiaTheme="minorEastAsia" w:cstheme="minorBidi"/>
      <w:kern w:val="0"/>
      <w:sz w:val="20"/>
      <w:szCs w:val="21"/>
    </w:rPr>
  </w:style>
  <w:style w:type="character" w:customStyle="1" w:styleId="134">
    <w:name w:val="文档结构图 Char1"/>
    <w:qFormat/>
    <w:uiPriority w:val="99"/>
    <w:rPr>
      <w:rFonts w:ascii="宋体" w:hAnsi="Calibri"/>
      <w:kern w:val="2"/>
      <w:sz w:val="18"/>
      <w:szCs w:val="18"/>
    </w:rPr>
  </w:style>
  <w:style w:type="character" w:styleId="135">
    <w:name w:val="Placeholder Text"/>
    <w:semiHidden/>
    <w:qFormat/>
    <w:uiPriority w:val="99"/>
    <w:rPr>
      <w:color w:val="808080"/>
    </w:rPr>
  </w:style>
  <w:style w:type="character" w:customStyle="1" w:styleId="136">
    <w:name w:val="日期 Char2"/>
    <w:basedOn w:val="49"/>
    <w:semiHidden/>
    <w:qFormat/>
    <w:uiPriority w:val="99"/>
    <w:rPr>
      <w:kern w:val="2"/>
      <w:sz w:val="21"/>
    </w:rPr>
  </w:style>
  <w:style w:type="character" w:customStyle="1" w:styleId="137">
    <w:name w:val="批注文字 Char2"/>
    <w:basedOn w:val="49"/>
    <w:qFormat/>
    <w:uiPriority w:val="0"/>
    <w:rPr>
      <w:kern w:val="2"/>
      <w:sz w:val="21"/>
    </w:rPr>
  </w:style>
  <w:style w:type="character" w:customStyle="1" w:styleId="138">
    <w:name w:val="批注主题 Char1"/>
    <w:basedOn w:val="137"/>
    <w:semiHidden/>
    <w:qFormat/>
    <w:uiPriority w:val="99"/>
    <w:rPr>
      <w:b/>
      <w:bCs/>
      <w:kern w:val="2"/>
      <w:sz w:val="21"/>
    </w:rPr>
  </w:style>
  <w:style w:type="character" w:customStyle="1" w:styleId="139">
    <w:name w:val="正文文本缩进 2 Char1"/>
    <w:basedOn w:val="49"/>
    <w:link w:val="30"/>
    <w:semiHidden/>
    <w:qFormat/>
    <w:uiPriority w:val="99"/>
    <w:rPr>
      <w:rFonts w:ascii="等线" w:hAnsi="等线" w:eastAsia="宋体" w:cs="Times New Roman"/>
      <w:kern w:val="2"/>
      <w:sz w:val="21"/>
      <w:szCs w:val="24"/>
    </w:rPr>
  </w:style>
  <w:style w:type="character" w:customStyle="1" w:styleId="140">
    <w:name w:val="文档结构图 Char2"/>
    <w:basedOn w:val="49"/>
    <w:link w:val="16"/>
    <w:semiHidden/>
    <w:qFormat/>
    <w:uiPriority w:val="99"/>
    <w:rPr>
      <w:rFonts w:ascii="宋体" w:hAnsi="等线" w:eastAsia="宋体" w:cs="Times New Roman"/>
      <w:kern w:val="2"/>
      <w:sz w:val="18"/>
      <w:szCs w:val="18"/>
    </w:rPr>
  </w:style>
  <w:style w:type="character" w:customStyle="1" w:styleId="141">
    <w:name w:val="正文文本缩进 Char2"/>
    <w:basedOn w:val="49"/>
    <w:qFormat/>
    <w:uiPriority w:val="0"/>
    <w:rPr>
      <w:kern w:val="2"/>
      <w:sz w:val="21"/>
    </w:rPr>
  </w:style>
  <w:style w:type="character" w:customStyle="1" w:styleId="142">
    <w:name w:val="正文首行缩进 2 Char1"/>
    <w:basedOn w:val="59"/>
    <w:link w:val="45"/>
    <w:semiHidden/>
    <w:qFormat/>
    <w:uiPriority w:val="99"/>
    <w:rPr>
      <w:rFonts w:ascii="等线" w:hAnsi="等线" w:eastAsia="宋体" w:cs="Times New Roman"/>
      <w:kern w:val="2"/>
      <w:sz w:val="21"/>
      <w:szCs w:val="24"/>
    </w:rPr>
  </w:style>
  <w:style w:type="character" w:customStyle="1" w:styleId="143">
    <w:name w:val="页脚 Char1"/>
    <w:basedOn w:val="49"/>
    <w:semiHidden/>
    <w:qFormat/>
    <w:uiPriority w:val="99"/>
    <w:rPr>
      <w:kern w:val="2"/>
      <w:sz w:val="18"/>
      <w:szCs w:val="18"/>
    </w:rPr>
  </w:style>
  <w:style w:type="character" w:customStyle="1" w:styleId="144">
    <w:name w:val="正文首行缩进 Char1"/>
    <w:basedOn w:val="76"/>
    <w:link w:val="20"/>
    <w:semiHidden/>
    <w:qFormat/>
    <w:uiPriority w:val="99"/>
    <w:rPr>
      <w:rFonts w:ascii="等线" w:hAnsi="等线" w:eastAsia="宋体" w:cs="Times New Roman"/>
      <w:kern w:val="2"/>
      <w:sz w:val="21"/>
      <w:szCs w:val="24"/>
    </w:rPr>
  </w:style>
  <w:style w:type="character" w:customStyle="1" w:styleId="145">
    <w:name w:val="正文文本 2 Char1"/>
    <w:basedOn w:val="49"/>
    <w:link w:val="40"/>
    <w:semiHidden/>
    <w:qFormat/>
    <w:uiPriority w:val="99"/>
    <w:rPr>
      <w:rFonts w:ascii="等线" w:hAnsi="等线" w:eastAsia="宋体" w:cs="Times New Roman"/>
      <w:kern w:val="2"/>
      <w:sz w:val="21"/>
      <w:szCs w:val="24"/>
    </w:rPr>
  </w:style>
  <w:style w:type="character" w:customStyle="1" w:styleId="146">
    <w:name w:val="正文文本 3 Char1"/>
    <w:basedOn w:val="49"/>
    <w:link w:val="18"/>
    <w:semiHidden/>
    <w:qFormat/>
    <w:uiPriority w:val="99"/>
    <w:rPr>
      <w:rFonts w:ascii="等线" w:hAnsi="等线" w:eastAsia="宋体" w:cs="Times New Roman"/>
      <w:kern w:val="2"/>
      <w:sz w:val="16"/>
      <w:szCs w:val="16"/>
    </w:rPr>
  </w:style>
  <w:style w:type="character" w:customStyle="1" w:styleId="147">
    <w:name w:val="页眉 Char1"/>
    <w:basedOn w:val="49"/>
    <w:qFormat/>
    <w:uiPriority w:val="0"/>
    <w:rPr>
      <w:kern w:val="2"/>
      <w:sz w:val="18"/>
      <w:szCs w:val="18"/>
    </w:rPr>
  </w:style>
  <w:style w:type="character" w:customStyle="1" w:styleId="148">
    <w:name w:val="标题 Char2"/>
    <w:basedOn w:val="49"/>
    <w:qFormat/>
    <w:uiPriority w:val="10"/>
    <w:rPr>
      <w:rFonts w:asciiTheme="majorHAnsi" w:hAnsiTheme="majorHAnsi" w:cstheme="majorBidi"/>
      <w:b/>
      <w:bCs/>
      <w:kern w:val="2"/>
      <w:sz w:val="32"/>
      <w:szCs w:val="32"/>
    </w:rPr>
  </w:style>
  <w:style w:type="character" w:customStyle="1" w:styleId="149">
    <w:name w:val="正文文本缩进 3 Char1"/>
    <w:basedOn w:val="49"/>
    <w:link w:val="39"/>
    <w:semiHidden/>
    <w:qFormat/>
    <w:uiPriority w:val="99"/>
    <w:rPr>
      <w:rFonts w:ascii="等线" w:hAnsi="等线" w:eastAsia="宋体" w:cs="Times New Roman"/>
      <w:kern w:val="2"/>
      <w:sz w:val="16"/>
      <w:szCs w:val="16"/>
    </w:rPr>
  </w:style>
  <w:style w:type="character" w:customStyle="1" w:styleId="150">
    <w:name w:val="批注框文本 Char1"/>
    <w:basedOn w:val="49"/>
    <w:semiHidden/>
    <w:qFormat/>
    <w:uiPriority w:val="99"/>
    <w:rPr>
      <w:kern w:val="2"/>
      <w:sz w:val="18"/>
      <w:szCs w:val="18"/>
    </w:rPr>
  </w:style>
  <w:style w:type="character" w:customStyle="1" w:styleId="151">
    <w:name w:val="纯文本 Char2"/>
    <w:basedOn w:val="49"/>
    <w:semiHidden/>
    <w:qFormat/>
    <w:uiPriority w:val="99"/>
    <w:rPr>
      <w:rFonts w:ascii="宋体" w:hAnsi="Courier New" w:cs="Courier New"/>
      <w:kern w:val="2"/>
      <w:sz w:val="21"/>
      <w:szCs w:val="21"/>
    </w:rPr>
  </w:style>
  <w:style w:type="paragraph" w:customStyle="1" w:styleId="152">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153">
    <w:name w:val="默认段落字体 Para Char Char Char Char Char Char Char Char Char1 Char Char Char Char"/>
    <w:basedOn w:val="1"/>
    <w:qFormat/>
    <w:uiPriority w:val="0"/>
    <w:rPr>
      <w:rFonts w:ascii="Tahoma" w:hAnsi="Tahoma"/>
      <w:sz w:val="24"/>
      <w:szCs w:val="20"/>
    </w:rPr>
  </w:style>
  <w:style w:type="paragraph" w:customStyle="1" w:styleId="154">
    <w:name w:val="Char Char1 Char Char Char Char Char Char Char Char"/>
    <w:basedOn w:val="1"/>
    <w:qFormat/>
    <w:uiPriority w:val="0"/>
    <w:pPr>
      <w:widowControl/>
      <w:spacing w:after="160" w:line="240" w:lineRule="exact"/>
      <w:jc w:val="left"/>
    </w:pPr>
    <w:rPr>
      <w:rFonts w:ascii="Times New Roman" w:hAnsi="Times New Roman"/>
      <w:szCs w:val="20"/>
    </w:rPr>
  </w:style>
  <w:style w:type="paragraph" w:customStyle="1" w:styleId="155">
    <w:name w:val="1"/>
    <w:basedOn w:val="1"/>
    <w:next w:val="27"/>
    <w:qFormat/>
    <w:uiPriority w:val="0"/>
    <w:rPr>
      <w:rFonts w:ascii="宋体" w:hAnsi="Courier New"/>
      <w:szCs w:val="22"/>
    </w:rPr>
  </w:style>
  <w:style w:type="paragraph" w:customStyle="1" w:styleId="156">
    <w:name w:val="正文_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7">
    <w:name w:val=".正文"/>
    <w:basedOn w:val="1"/>
    <w:qFormat/>
    <w:uiPriority w:val="99"/>
    <w:pPr>
      <w:spacing w:beforeLines="50" w:afterLines="50"/>
      <w:ind w:firstLine="200" w:firstLineChars="200"/>
    </w:pPr>
    <w:rPr>
      <w:rFonts w:ascii="Calibri" w:hAnsi="Calibri"/>
      <w:szCs w:val="22"/>
    </w:rPr>
  </w:style>
  <w:style w:type="paragraph" w:customStyle="1" w:styleId="158">
    <w:name w:val="列出段落3"/>
    <w:basedOn w:val="1"/>
    <w:qFormat/>
    <w:uiPriority w:val="99"/>
    <w:pPr>
      <w:ind w:firstLine="420" w:firstLineChars="200"/>
    </w:pPr>
    <w:rPr>
      <w:rFonts w:ascii="Calibri" w:hAnsi="Calibri"/>
      <w:szCs w:val="22"/>
    </w:rPr>
  </w:style>
  <w:style w:type="paragraph" w:customStyle="1" w:styleId="159">
    <w:name w:val="_Style 22"/>
    <w:basedOn w:val="1"/>
    <w:qFormat/>
    <w:uiPriority w:val="0"/>
    <w:rPr>
      <w:rFonts w:ascii="Times New Roman" w:hAnsi="Times New Roman"/>
    </w:rPr>
  </w:style>
  <w:style w:type="paragraph" w:customStyle="1" w:styleId="160">
    <w:name w:val="自定义正文"/>
    <w:basedOn w:val="1"/>
    <w:qFormat/>
    <w:uiPriority w:val="0"/>
    <w:pPr>
      <w:spacing w:before="120" w:after="60" w:line="400" w:lineRule="exact"/>
      <w:ind w:firstLine="200" w:firstLineChars="200"/>
    </w:pPr>
    <w:rPr>
      <w:rFonts w:ascii="仿宋_GB2312" w:hAnsi="Times New Roman" w:eastAsia="仿宋_GB2312"/>
    </w:rPr>
  </w:style>
  <w:style w:type="paragraph" w:customStyle="1" w:styleId="161">
    <w:name w:val="DAS正文"/>
    <w:basedOn w:val="1"/>
    <w:qFormat/>
    <w:uiPriority w:val="0"/>
    <w:pPr>
      <w:spacing w:line="360" w:lineRule="auto"/>
      <w:ind w:right="181" w:firstLine="480" w:firstLineChars="200"/>
    </w:pPr>
    <w:rPr>
      <w:rFonts w:ascii="Verdana" w:hAnsi="Verdana"/>
      <w:sz w:val="24"/>
      <w:szCs w:val="21"/>
    </w:rPr>
  </w:style>
  <w:style w:type="paragraph" w:customStyle="1" w:styleId="16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3">
    <w:name w:val="Char1"/>
    <w:basedOn w:val="1"/>
    <w:qFormat/>
    <w:uiPriority w:val="0"/>
    <w:rPr>
      <w:rFonts w:ascii="Tahoma" w:hAnsi="Tahoma"/>
      <w:sz w:val="24"/>
      <w:szCs w:val="20"/>
    </w:rPr>
  </w:style>
  <w:style w:type="paragraph" w:customStyle="1" w:styleId="164">
    <w:name w:val="列出段落11"/>
    <w:basedOn w:val="1"/>
    <w:qFormat/>
    <w:uiPriority w:val="99"/>
    <w:pPr>
      <w:ind w:firstLine="200" w:firstLineChars="200"/>
    </w:pPr>
    <w:rPr>
      <w:rFonts w:ascii="Calibri" w:hAnsi="Calibri"/>
    </w:rPr>
  </w:style>
  <w:style w:type="paragraph" w:customStyle="1" w:styleId="165">
    <w:name w:val="Char"/>
    <w:basedOn w:val="1"/>
    <w:qFormat/>
    <w:uiPriority w:val="0"/>
    <w:rPr>
      <w:rFonts w:ascii="Times New Roman" w:hAnsi="Times New Roman"/>
    </w:rPr>
  </w:style>
  <w:style w:type="paragraph" w:customStyle="1" w:styleId="166">
    <w:name w:val="WW-正文文字缩进 2"/>
    <w:basedOn w:val="1"/>
    <w:qFormat/>
    <w:uiPriority w:val="0"/>
    <w:pPr>
      <w:suppressAutoHyphens/>
      <w:ind w:firstLine="420"/>
    </w:pPr>
    <w:rPr>
      <w:rFonts w:ascii="Times New Roman" w:hAnsi="Times New Roman"/>
      <w:kern w:val="1"/>
      <w:szCs w:val="20"/>
    </w:rPr>
  </w:style>
  <w:style w:type="paragraph" w:customStyle="1" w:styleId="167">
    <w:name w:val="列出段落2"/>
    <w:qFormat/>
    <w:uiPriority w:val="34"/>
    <w:pPr>
      <w:ind w:firstLine="420" w:firstLineChars="200"/>
    </w:pPr>
    <w:rPr>
      <w:rFonts w:ascii="Times New Roman" w:hAnsi="Times New Roman" w:eastAsia="宋体" w:cs="Times New Roman"/>
      <w:lang w:val="en-US" w:eastAsia="zh-CN" w:bidi="ar-SA"/>
    </w:rPr>
  </w:style>
  <w:style w:type="paragraph" w:customStyle="1" w:styleId="168">
    <w:name w:val="此正文"/>
    <w:basedOn w:val="1"/>
    <w:qFormat/>
    <w:uiPriority w:val="99"/>
    <w:pPr>
      <w:spacing w:line="360" w:lineRule="auto"/>
      <w:ind w:firstLine="200" w:firstLineChars="200"/>
    </w:pPr>
    <w:rPr>
      <w:rFonts w:ascii="Times New Roman" w:hAnsi="Times New Roman"/>
      <w:sz w:val="24"/>
    </w:rPr>
  </w:style>
  <w:style w:type="paragraph" w:customStyle="1" w:styleId="169">
    <w:name w:val="标题 41"/>
    <w:basedOn w:val="1"/>
    <w:next w:val="1"/>
    <w:unhideWhenUsed/>
    <w:qFormat/>
    <w:uiPriority w:val="9"/>
    <w:pPr>
      <w:keepNext/>
      <w:keepLines/>
      <w:spacing w:before="280" w:after="290" w:line="376" w:lineRule="auto"/>
      <w:outlineLvl w:val="3"/>
    </w:pPr>
    <w:rPr>
      <w:rFonts w:ascii="Cambria" w:hAnsi="Cambria"/>
      <w:b/>
      <w:bCs/>
      <w:sz w:val="28"/>
      <w:szCs w:val="28"/>
    </w:rPr>
  </w:style>
  <w:style w:type="paragraph" w:customStyle="1" w:styleId="170">
    <w:name w:val="TOC 标题1"/>
    <w:basedOn w:val="3"/>
    <w:next w:val="1"/>
    <w:unhideWhenUsed/>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171">
    <w:name w:val="列出段落61"/>
    <w:basedOn w:val="1"/>
    <w:unhideWhenUsed/>
    <w:qFormat/>
    <w:uiPriority w:val="0"/>
    <w:pPr>
      <w:ind w:firstLine="420" w:firstLineChars="200"/>
    </w:pPr>
    <w:rPr>
      <w:rFonts w:ascii="Calibri" w:hAnsi="Calibri" w:cs="黑体"/>
      <w:szCs w:val="22"/>
    </w:rPr>
  </w:style>
  <w:style w:type="table" w:customStyle="1" w:styleId="172">
    <w:name w:val="网格型1"/>
    <w:basedOn w:val="47"/>
    <w:qFormat/>
    <w:uiPriority w:val="9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73">
    <w:name w:val="font11"/>
    <w:qFormat/>
    <w:uiPriority w:val="0"/>
    <w:rPr>
      <w:rFonts w:hint="eastAsia" w:ascii="宋体" w:hAnsi="宋体" w:eastAsia="宋体" w:cs="宋体"/>
      <w:color w:val="000000"/>
      <w:sz w:val="24"/>
      <w:szCs w:val="24"/>
      <w:u w:val="none"/>
    </w:rPr>
  </w:style>
  <w:style w:type="character" w:customStyle="1" w:styleId="174">
    <w:name w:val="无间隔 Char"/>
    <w:link w:val="175"/>
    <w:qFormat/>
    <w:uiPriority w:val="1"/>
    <w:rPr>
      <w:sz w:val="21"/>
    </w:rPr>
  </w:style>
  <w:style w:type="paragraph" w:styleId="175">
    <w:name w:val="No Spacing"/>
    <w:link w:val="174"/>
    <w:qFormat/>
    <w:uiPriority w:val="1"/>
    <w:pPr>
      <w:widowControl w:val="0"/>
      <w:autoSpaceDE w:val="0"/>
      <w:autoSpaceDN w:val="0"/>
      <w:adjustRightInd w:val="0"/>
      <w:jc w:val="both"/>
      <w:textAlignment w:val="baseline"/>
    </w:pPr>
    <w:rPr>
      <w:rFonts w:asciiTheme="minorHAnsi" w:hAnsiTheme="minorHAnsi" w:eastAsiaTheme="minorEastAsia" w:cstheme="minorBidi"/>
      <w:sz w:val="21"/>
      <w:lang w:val="en-US" w:eastAsia="zh-CN" w:bidi="ar-SA"/>
    </w:rPr>
  </w:style>
  <w:style w:type="paragraph" w:customStyle="1" w:styleId="176">
    <w:name w:val="_Style 3"/>
    <w:qFormat/>
    <w:uiPriority w:val="1"/>
    <w:pPr>
      <w:widowControl w:val="0"/>
      <w:jc w:val="both"/>
    </w:pPr>
    <w:rPr>
      <w:rFonts w:ascii="Calibri" w:hAnsi="Calibri" w:eastAsia="宋体" w:cs="Times New Roman"/>
      <w:kern w:val="2"/>
      <w:sz w:val="21"/>
      <w:szCs w:val="22"/>
      <w:lang w:val="en-US" w:eastAsia="zh-CN" w:bidi="ar-SA"/>
    </w:rPr>
  </w:style>
  <w:style w:type="character" w:customStyle="1" w:styleId="177">
    <w:name w:val="标题 5 Char"/>
    <w:basedOn w:val="49"/>
    <w:link w:val="7"/>
    <w:qFormat/>
    <w:uiPriority w:val="0"/>
    <w:rPr>
      <w:b/>
      <w:bCs/>
      <w:sz w:val="28"/>
      <w:szCs w:val="28"/>
    </w:rPr>
  </w:style>
  <w:style w:type="character" w:customStyle="1" w:styleId="178">
    <w:name w:val="标题 6 Char"/>
    <w:basedOn w:val="49"/>
    <w:link w:val="8"/>
    <w:qFormat/>
    <w:uiPriority w:val="0"/>
    <w:rPr>
      <w:rFonts w:ascii="Arial" w:hAnsi="Arial" w:eastAsia="黑体"/>
      <w:b/>
      <w:bCs/>
      <w:sz w:val="24"/>
      <w:szCs w:val="24"/>
    </w:rPr>
  </w:style>
  <w:style w:type="character" w:customStyle="1" w:styleId="179">
    <w:name w:val="标题 7 Char"/>
    <w:basedOn w:val="49"/>
    <w:link w:val="9"/>
    <w:qFormat/>
    <w:uiPriority w:val="0"/>
    <w:rPr>
      <w:b/>
      <w:bCs/>
      <w:sz w:val="24"/>
      <w:szCs w:val="24"/>
    </w:rPr>
  </w:style>
  <w:style w:type="character" w:customStyle="1" w:styleId="180">
    <w:name w:val="标题 8 Char"/>
    <w:basedOn w:val="49"/>
    <w:link w:val="10"/>
    <w:qFormat/>
    <w:uiPriority w:val="0"/>
    <w:rPr>
      <w:rFonts w:ascii="Arial" w:hAnsi="Arial" w:eastAsia="黑体"/>
      <w:sz w:val="24"/>
      <w:szCs w:val="24"/>
    </w:rPr>
  </w:style>
  <w:style w:type="character" w:customStyle="1" w:styleId="181">
    <w:name w:val="标题 9 Char"/>
    <w:basedOn w:val="49"/>
    <w:link w:val="11"/>
    <w:qFormat/>
    <w:uiPriority w:val="0"/>
    <w:rPr>
      <w:rFonts w:ascii="Arial" w:hAnsi="Arial" w:eastAsia="黑体"/>
      <w:sz w:val="21"/>
      <w:szCs w:val="21"/>
    </w:rPr>
  </w:style>
  <w:style w:type="character" w:customStyle="1" w:styleId="182">
    <w:name w:val="副标题 Char"/>
    <w:basedOn w:val="49"/>
    <w:link w:val="36"/>
    <w:qFormat/>
    <w:uiPriority w:val="0"/>
    <w:rPr>
      <w:rFonts w:ascii="Cambria" w:hAnsi="Cambria"/>
      <w:b/>
      <w:bCs/>
      <w:kern w:val="28"/>
      <w:sz w:val="32"/>
      <w:szCs w:val="32"/>
    </w:rPr>
  </w:style>
  <w:style w:type="character" w:customStyle="1" w:styleId="183">
    <w:name w:val="脚注文本 Char"/>
    <w:basedOn w:val="49"/>
    <w:link w:val="38"/>
    <w:semiHidden/>
    <w:qFormat/>
    <w:uiPriority w:val="99"/>
    <w:rPr>
      <w:rFonts w:eastAsia="仿宋_GB2312"/>
      <w:kern w:val="2"/>
      <w:sz w:val="18"/>
    </w:rPr>
  </w:style>
  <w:style w:type="character" w:customStyle="1" w:styleId="184">
    <w:name w:val="HTML 预设格式 Char"/>
    <w:basedOn w:val="49"/>
    <w:link w:val="41"/>
    <w:qFormat/>
    <w:uiPriority w:val="0"/>
    <w:rPr>
      <w:rFonts w:ascii="宋体" w:hAnsi="宋体" w:cs="宋体"/>
      <w:sz w:val="24"/>
      <w:szCs w:val="24"/>
    </w:rPr>
  </w:style>
  <w:style w:type="paragraph" w:customStyle="1" w:styleId="185">
    <w:name w:val="表格文字"/>
    <w:basedOn w:val="27"/>
    <w:next w:val="19"/>
    <w:qFormat/>
    <w:uiPriority w:val="0"/>
    <w:pPr>
      <w:adjustRightInd w:val="0"/>
      <w:spacing w:line="420" w:lineRule="atLeast"/>
      <w:jc w:val="left"/>
      <w:textAlignment w:val="baseline"/>
    </w:pPr>
    <w:rPr>
      <w:rFonts w:ascii="Times New Roman" w:hAnsi="Times New Roman"/>
      <w:kern w:val="0"/>
      <w:szCs w:val="20"/>
    </w:rPr>
  </w:style>
  <w:style w:type="character" w:customStyle="1" w:styleId="186">
    <w:name w:val="列表编号 Char"/>
    <w:link w:val="13"/>
    <w:qFormat/>
    <w:uiPriority w:val="0"/>
    <w:rPr>
      <w:rFonts w:ascii="等线" w:hAnsi="等线" w:eastAsia="楷体_GB2312"/>
      <w:kern w:val="2"/>
      <w:sz w:val="24"/>
      <w:szCs w:val="24"/>
    </w:rPr>
  </w:style>
  <w:style w:type="paragraph" w:customStyle="1" w:styleId="187">
    <w:name w:val="￥正文"/>
    <w:basedOn w:val="1"/>
    <w:qFormat/>
    <w:uiPriority w:val="0"/>
    <w:pPr>
      <w:spacing w:line="360" w:lineRule="auto"/>
      <w:ind w:firstLine="200" w:firstLineChars="200"/>
    </w:pPr>
    <w:rPr>
      <w:rFonts w:ascii="Calibri" w:hAnsi="Calibri"/>
    </w:rPr>
  </w:style>
  <w:style w:type="paragraph" w:customStyle="1" w:styleId="188">
    <w:name w:val="正文空格"/>
    <w:basedOn w:val="1"/>
    <w:next w:val="1"/>
    <w:qFormat/>
    <w:uiPriority w:val="0"/>
    <w:pPr>
      <w:spacing w:line="400" w:lineRule="exact"/>
      <w:ind w:firstLine="200" w:firstLineChars="200"/>
    </w:pPr>
    <w:rPr>
      <w:sz w:val="24"/>
      <w:szCs w:val="22"/>
    </w:rPr>
  </w:style>
  <w:style w:type="paragraph" w:customStyle="1" w:styleId="189">
    <w:name w:val="_Style 116"/>
    <w:qFormat/>
    <w:uiPriority w:val="99"/>
    <w:rPr>
      <w:rFonts w:ascii="Times New Roman" w:hAnsi="Times New Roman" w:eastAsia="宋体" w:cs="Times New Roman"/>
      <w:sz w:val="24"/>
      <w:szCs w:val="22"/>
      <w:lang w:val="en-US" w:eastAsia="zh-CN" w:bidi="ar-SA"/>
    </w:rPr>
  </w:style>
  <w:style w:type="paragraph" w:customStyle="1" w:styleId="190">
    <w:name w:val="样式 首行缩进:  0 字符"/>
    <w:basedOn w:val="1"/>
    <w:qFormat/>
    <w:uiPriority w:val="0"/>
    <w:rPr>
      <w:rFonts w:ascii="Times New Roman" w:hAnsi="Times New Roman"/>
    </w:rPr>
  </w:style>
  <w:style w:type="paragraph" w:customStyle="1" w:styleId="191">
    <w:name w:val="表格内正文"/>
    <w:basedOn w:val="19"/>
    <w:qFormat/>
    <w:uiPriority w:val="0"/>
    <w:pPr>
      <w:spacing w:after="120" w:line="240" w:lineRule="auto"/>
    </w:pPr>
    <w:rPr>
      <w:sz w:val="21"/>
    </w:rPr>
  </w:style>
  <w:style w:type="paragraph" w:customStyle="1" w:styleId="192">
    <w:name w:val="标题1"/>
    <w:basedOn w:val="1"/>
    <w:next w:val="1"/>
    <w:qFormat/>
    <w:uiPriority w:val="0"/>
    <w:pPr>
      <w:adjustRightInd w:val="0"/>
      <w:spacing w:before="240" w:after="60" w:line="420" w:lineRule="atLeast"/>
      <w:jc w:val="center"/>
      <w:textAlignment w:val="baseline"/>
      <w:outlineLvl w:val="0"/>
    </w:pPr>
    <w:rPr>
      <w:rFonts w:ascii="Arial" w:hAnsi="Arial"/>
      <w:b/>
      <w:sz w:val="32"/>
    </w:rPr>
  </w:style>
  <w:style w:type="paragraph" w:customStyle="1" w:styleId="193">
    <w:name w:val="正文格式（小四）"/>
    <w:basedOn w:val="1"/>
    <w:qFormat/>
    <w:uiPriority w:val="0"/>
    <w:pPr>
      <w:widowControl/>
      <w:adjustRightInd w:val="0"/>
      <w:snapToGrid w:val="0"/>
      <w:ind w:firstLine="482"/>
      <w:jc w:val="left"/>
      <w:textAlignment w:val="baseline"/>
    </w:pPr>
    <w:rPr>
      <w:rFonts w:ascii="Times New Roman" w:hAnsi="Times New Roman"/>
      <w:kern w:val="24"/>
    </w:rPr>
  </w:style>
  <w:style w:type="character" w:customStyle="1" w:styleId="194">
    <w:name w:val="明显引用 Char"/>
    <w:qFormat/>
    <w:uiPriority w:val="0"/>
    <w:rPr>
      <w:b/>
      <w:bCs/>
      <w:i/>
      <w:iCs/>
      <w:color w:val="4F81BD"/>
      <w:kern w:val="2"/>
      <w:sz w:val="21"/>
      <w:szCs w:val="22"/>
    </w:rPr>
  </w:style>
  <w:style w:type="paragraph" w:styleId="195">
    <w:name w:val="Intense Quote"/>
    <w:basedOn w:val="1"/>
    <w:next w:val="1"/>
    <w:link w:val="196"/>
    <w:qFormat/>
    <w:uiPriority w:val="0"/>
    <w:pPr>
      <w:pBdr>
        <w:bottom w:val="single" w:color="4F81BD" w:sz="4" w:space="4"/>
      </w:pBdr>
      <w:spacing w:before="200" w:after="280"/>
      <w:ind w:left="936" w:right="936"/>
    </w:pPr>
    <w:rPr>
      <w:rFonts w:ascii="Calibri" w:hAnsi="Calibri"/>
      <w:b/>
      <w:bCs/>
      <w:i/>
      <w:iCs/>
      <w:color w:val="4F81BD"/>
      <w:szCs w:val="22"/>
    </w:rPr>
  </w:style>
  <w:style w:type="character" w:customStyle="1" w:styleId="196">
    <w:name w:val="明显引用 Char1"/>
    <w:basedOn w:val="49"/>
    <w:link w:val="195"/>
    <w:qFormat/>
    <w:uiPriority w:val="30"/>
    <w:rPr>
      <w:rFonts w:ascii="Calibri" w:hAnsi="Calibri"/>
      <w:b/>
      <w:bCs/>
      <w:i/>
      <w:iCs/>
      <w:color w:val="4F81BD"/>
      <w:kern w:val="2"/>
      <w:sz w:val="21"/>
      <w:szCs w:val="22"/>
    </w:rPr>
  </w:style>
  <w:style w:type="character" w:customStyle="1" w:styleId="197">
    <w:name w:val="标题5 Char Char"/>
    <w:link w:val="198"/>
    <w:qFormat/>
    <w:uiPriority w:val="0"/>
    <w:rPr>
      <w:rFonts w:ascii="Arial" w:hAnsi="Arial"/>
      <w:b/>
      <w:bCs/>
      <w:sz w:val="24"/>
      <w:szCs w:val="32"/>
    </w:rPr>
  </w:style>
  <w:style w:type="paragraph" w:customStyle="1" w:styleId="198">
    <w:name w:val="标题5"/>
    <w:basedOn w:val="5"/>
    <w:link w:val="197"/>
    <w:qFormat/>
    <w:uiPriority w:val="0"/>
    <w:pPr>
      <w:widowControl w:val="0"/>
      <w:tabs>
        <w:tab w:val="clear" w:pos="720"/>
      </w:tabs>
      <w:spacing w:before="260" w:after="260" w:line="413" w:lineRule="auto"/>
      <w:jc w:val="both"/>
    </w:pPr>
    <w:rPr>
      <w:rFonts w:ascii="Arial" w:hAnsi="Arial" w:eastAsia="宋体"/>
      <w:bCs/>
      <w:sz w:val="24"/>
      <w:szCs w:val="32"/>
    </w:rPr>
  </w:style>
  <w:style w:type="character" w:customStyle="1" w:styleId="199">
    <w:name w:val="普通文字 Char1"/>
    <w:basedOn w:val="49"/>
    <w:qFormat/>
    <w:uiPriority w:val="0"/>
    <w:rPr>
      <w:rFonts w:ascii="宋体" w:hAnsi="Courier New" w:eastAsia="宋体"/>
      <w:kern w:val="2"/>
      <w:sz w:val="21"/>
      <w:szCs w:val="24"/>
      <w:lang w:val="en-US" w:eastAsia="zh-CN" w:bidi="ar-SA"/>
    </w:rPr>
  </w:style>
  <w:style w:type="character" w:customStyle="1" w:styleId="200">
    <w:name w:val="二 Char1"/>
    <w:qFormat/>
    <w:uiPriority w:val="0"/>
    <w:rPr>
      <w:rFonts w:eastAsia="宋体"/>
      <w:kern w:val="2"/>
      <w:sz w:val="21"/>
      <w:szCs w:val="24"/>
      <w:lang w:val="en-US" w:eastAsia="zh-CN" w:bidi="ar-SA"/>
    </w:rPr>
  </w:style>
  <w:style w:type="character" w:customStyle="1" w:styleId="201">
    <w:name w:val="二 Char11"/>
    <w:qFormat/>
    <w:uiPriority w:val="0"/>
    <w:rPr>
      <w:rFonts w:eastAsia="宋体"/>
      <w:kern w:val="2"/>
      <w:sz w:val="21"/>
      <w:szCs w:val="24"/>
      <w:lang w:val="en-US" w:eastAsia="zh-CN" w:bidi="ar-SA"/>
    </w:rPr>
  </w:style>
  <w:style w:type="character" w:customStyle="1" w:styleId="202">
    <w:name w:val="Char Char1"/>
    <w:basedOn w:val="49"/>
    <w:qFormat/>
    <w:uiPriority w:val="0"/>
    <w:rPr>
      <w:rFonts w:ascii="Arial" w:hAnsi="Arial" w:eastAsia="黑体"/>
      <w:b/>
      <w:bCs/>
      <w:kern w:val="2"/>
      <w:sz w:val="32"/>
      <w:szCs w:val="32"/>
      <w:lang w:val="en-US" w:eastAsia="zh-CN" w:bidi="ar-SA"/>
    </w:rPr>
  </w:style>
  <w:style w:type="character" w:customStyle="1" w:styleId="203">
    <w:name w:val="引用 Char"/>
    <w:qFormat/>
    <w:uiPriority w:val="0"/>
    <w:rPr>
      <w:i/>
      <w:iCs/>
      <w:color w:val="000000"/>
      <w:kern w:val="2"/>
      <w:sz w:val="21"/>
      <w:szCs w:val="22"/>
    </w:rPr>
  </w:style>
  <w:style w:type="paragraph" w:styleId="204">
    <w:name w:val="Quote"/>
    <w:basedOn w:val="1"/>
    <w:next w:val="1"/>
    <w:link w:val="205"/>
    <w:qFormat/>
    <w:uiPriority w:val="0"/>
    <w:rPr>
      <w:rFonts w:ascii="Calibri" w:hAnsi="Calibri"/>
      <w:i/>
      <w:iCs/>
      <w:color w:val="000000"/>
      <w:szCs w:val="22"/>
    </w:rPr>
  </w:style>
  <w:style w:type="character" w:customStyle="1" w:styleId="205">
    <w:name w:val="引用 Char1"/>
    <w:basedOn w:val="49"/>
    <w:link w:val="204"/>
    <w:qFormat/>
    <w:uiPriority w:val="29"/>
    <w:rPr>
      <w:rFonts w:ascii="Calibri" w:hAnsi="Calibri"/>
      <w:i/>
      <w:iCs/>
      <w:color w:val="000000"/>
      <w:kern w:val="2"/>
      <w:sz w:val="21"/>
      <w:szCs w:val="22"/>
    </w:rPr>
  </w:style>
  <w:style w:type="character" w:customStyle="1" w:styleId="206">
    <w:name w:val="font161"/>
    <w:basedOn w:val="49"/>
    <w:qFormat/>
    <w:uiPriority w:val="0"/>
    <w:rPr>
      <w:b/>
      <w:bCs/>
      <w:sz w:val="32"/>
      <w:szCs w:val="32"/>
    </w:rPr>
  </w:style>
  <w:style w:type="character" w:customStyle="1" w:styleId="207">
    <w:name w:val="fx_label"/>
    <w:basedOn w:val="49"/>
    <w:qFormat/>
    <w:uiPriority w:val="0"/>
  </w:style>
  <w:style w:type="character" w:customStyle="1" w:styleId="208">
    <w:name w:val="正文文字4 Char Char"/>
    <w:qFormat/>
    <w:uiPriority w:val="0"/>
    <w:rPr>
      <w:rFonts w:eastAsia="宋体"/>
      <w:kern w:val="2"/>
      <w:sz w:val="21"/>
      <w:szCs w:val="24"/>
      <w:lang w:val="en-US" w:eastAsia="zh-CN" w:bidi="ar-SA"/>
    </w:rPr>
  </w:style>
  <w:style w:type="character" w:customStyle="1" w:styleId="209">
    <w:name w:val="htd01"/>
    <w:basedOn w:val="49"/>
    <w:qFormat/>
    <w:uiPriority w:val="0"/>
  </w:style>
  <w:style w:type="character" w:customStyle="1" w:styleId="210">
    <w:name w:val="标题4 Char Char"/>
    <w:link w:val="211"/>
    <w:qFormat/>
    <w:uiPriority w:val="0"/>
    <w:rPr>
      <w:rFonts w:eastAsia="仿宋_GB2312"/>
      <w:kern w:val="2"/>
      <w:sz w:val="32"/>
    </w:rPr>
  </w:style>
  <w:style w:type="paragraph" w:customStyle="1" w:styleId="211">
    <w:name w:val="标题4"/>
    <w:basedOn w:val="1"/>
    <w:link w:val="210"/>
    <w:qFormat/>
    <w:uiPriority w:val="0"/>
    <w:rPr>
      <w:rFonts w:ascii="Times New Roman" w:hAnsi="Times New Roman" w:eastAsia="仿宋_GB2312"/>
      <w:sz w:val="32"/>
      <w:szCs w:val="20"/>
    </w:rPr>
  </w:style>
  <w:style w:type="character" w:customStyle="1" w:styleId="212">
    <w:name w:val="副标题 Char1"/>
    <w:basedOn w:val="49"/>
    <w:qFormat/>
    <w:uiPriority w:val="11"/>
    <w:rPr>
      <w:rFonts w:ascii="Cambria" w:hAnsi="Cambria" w:eastAsia="宋体" w:cs="Times New Roman"/>
      <w:b/>
      <w:bCs/>
      <w:kern w:val="28"/>
      <w:sz w:val="32"/>
      <w:szCs w:val="32"/>
    </w:rPr>
  </w:style>
  <w:style w:type="character" w:customStyle="1" w:styleId="213">
    <w:name w:val="Char Char28"/>
    <w:qFormat/>
    <w:uiPriority w:val="0"/>
    <w:rPr>
      <w:rFonts w:ascii="Arial" w:hAnsi="Arial" w:eastAsia="黑体"/>
      <w:b/>
      <w:bCs/>
      <w:sz w:val="32"/>
      <w:szCs w:val="32"/>
      <w:lang w:val="en-US" w:eastAsia="zh-CN" w:bidi="ar-SA"/>
    </w:rPr>
  </w:style>
  <w:style w:type="paragraph" w:customStyle="1" w:styleId="214">
    <w:name w:val="正文 + 宋体"/>
    <w:basedOn w:val="1"/>
    <w:qFormat/>
    <w:uiPriority w:val="0"/>
    <w:pPr>
      <w:spacing w:line="360" w:lineRule="auto"/>
    </w:pPr>
    <w:rPr>
      <w:rFonts w:ascii="宋体" w:hAnsi="宋体"/>
      <w:kern w:val="0"/>
      <w:sz w:val="28"/>
      <w:szCs w:val="28"/>
    </w:rPr>
  </w:style>
  <w:style w:type="paragraph" w:customStyle="1" w:styleId="215">
    <w:name w:val="_Style 164"/>
    <w:basedOn w:val="1"/>
    <w:qFormat/>
    <w:uiPriority w:val="0"/>
    <w:pPr>
      <w:widowControl/>
      <w:spacing w:line="360" w:lineRule="auto"/>
      <w:ind w:firstLine="200" w:firstLineChars="200"/>
    </w:pPr>
    <w:rPr>
      <w:rFonts w:ascii="Tahoma" w:hAnsi="Tahoma" w:cs="Arial"/>
      <w:sz w:val="24"/>
      <w:szCs w:val="20"/>
    </w:rPr>
  </w:style>
  <w:style w:type="paragraph" w:customStyle="1" w:styleId="216">
    <w:name w:val="样式 样式1 + 首行缩进:  2 字符"/>
    <w:basedOn w:val="1"/>
    <w:qFormat/>
    <w:uiPriority w:val="0"/>
    <w:pPr>
      <w:spacing w:line="360" w:lineRule="exact"/>
      <w:ind w:firstLine="420" w:firstLineChars="200"/>
    </w:pPr>
    <w:rPr>
      <w:rFonts w:ascii="Arial" w:hAnsi="Arial" w:cs="宋体"/>
      <w:szCs w:val="20"/>
    </w:rPr>
  </w:style>
  <w:style w:type="paragraph" w:customStyle="1" w:styleId="217">
    <w:name w:val="样式 标题 3 + 段前: 7.8 磅"/>
    <w:basedOn w:val="5"/>
    <w:qFormat/>
    <w:uiPriority w:val="0"/>
    <w:pPr>
      <w:keepNext w:val="0"/>
      <w:keepLines w:val="0"/>
      <w:widowControl w:val="0"/>
      <w:tabs>
        <w:tab w:val="clear" w:pos="720"/>
      </w:tabs>
      <w:spacing w:before="156" w:after="0"/>
      <w:ind w:left="2220" w:hanging="420"/>
      <w:jc w:val="both"/>
    </w:pPr>
    <w:rPr>
      <w:rFonts w:eastAsia="宋体" w:cs="宋体"/>
      <w:b w:val="0"/>
      <w:kern w:val="2"/>
      <w:sz w:val="24"/>
      <w:szCs w:val="20"/>
    </w:rPr>
  </w:style>
  <w:style w:type="paragraph" w:customStyle="1" w:styleId="218">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219">
    <w:name w:val="样式 标题 2 + Times New Roman 四号 非加粗 段前: 5 磅 段后: 0 磅 行距: 固定值 20..."/>
    <w:basedOn w:val="4"/>
    <w:qFormat/>
    <w:uiPriority w:val="0"/>
    <w:pPr>
      <w:spacing w:before="100" w:after="0" w:line="400" w:lineRule="exact"/>
    </w:pPr>
    <w:rPr>
      <w:rFonts w:ascii="Times New Roman" w:hAnsi="Times New Roman" w:eastAsia="黑体" w:cs="宋体"/>
      <w:b w:val="0"/>
      <w:bCs w:val="0"/>
      <w:sz w:val="28"/>
      <w:szCs w:val="20"/>
    </w:rPr>
  </w:style>
  <w:style w:type="paragraph" w:customStyle="1" w:styleId="220">
    <w:name w:val="样式 正文文本"/>
    <w:basedOn w:val="1"/>
    <w:qFormat/>
    <w:uiPriority w:val="0"/>
    <w:pPr>
      <w:adjustRightInd w:val="0"/>
      <w:snapToGrid w:val="0"/>
      <w:spacing w:line="400" w:lineRule="exact"/>
      <w:ind w:firstLine="200" w:firstLineChars="200"/>
    </w:pPr>
    <w:rPr>
      <w:rFonts w:ascii="Arial" w:hAnsi="Arial" w:cs="宋体"/>
      <w:color w:val="000000"/>
      <w:szCs w:val="20"/>
    </w:rPr>
  </w:style>
  <w:style w:type="paragraph" w:customStyle="1" w:styleId="221">
    <w:name w:val="样式 标题 3 + Arial"/>
    <w:basedOn w:val="5"/>
    <w:qFormat/>
    <w:uiPriority w:val="0"/>
    <w:pPr>
      <w:widowControl w:val="0"/>
      <w:tabs>
        <w:tab w:val="clear" w:pos="720"/>
      </w:tabs>
      <w:spacing w:beforeLines="100" w:after="0"/>
      <w:jc w:val="both"/>
    </w:pPr>
    <w:rPr>
      <w:rFonts w:ascii="Arial" w:hAnsi="Arial" w:eastAsia="宋体"/>
      <w:bCs/>
      <w:kern w:val="2"/>
      <w:sz w:val="24"/>
      <w:szCs w:val="32"/>
    </w:rPr>
  </w:style>
  <w:style w:type="paragraph" w:customStyle="1" w:styleId="222">
    <w:name w:val="样式 标题 3 + (中文) 黑体 小四 非加粗 段前: 7.8 磅 段后: 0 磅 行距: 固定值 20 磅"/>
    <w:basedOn w:val="5"/>
    <w:qFormat/>
    <w:uiPriority w:val="0"/>
    <w:pPr>
      <w:widowControl w:val="0"/>
      <w:tabs>
        <w:tab w:val="clear" w:pos="720"/>
      </w:tabs>
      <w:spacing w:before="0" w:after="0" w:line="400" w:lineRule="exact"/>
      <w:jc w:val="both"/>
    </w:pPr>
    <w:rPr>
      <w:rFonts w:eastAsia="黑体" w:cs="宋体"/>
      <w:b w:val="0"/>
      <w:kern w:val="2"/>
      <w:sz w:val="24"/>
      <w:szCs w:val="20"/>
    </w:rPr>
  </w:style>
  <w:style w:type="paragraph" w:customStyle="1" w:styleId="223">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224">
    <w:name w:val="表格"/>
    <w:basedOn w:val="1"/>
    <w:qFormat/>
    <w:uiPriority w:val="0"/>
    <w:pPr>
      <w:jc w:val="center"/>
      <w:textAlignment w:val="center"/>
    </w:pPr>
    <w:rPr>
      <w:rFonts w:ascii="华文细黑" w:hAnsi="华文细黑"/>
      <w:kern w:val="0"/>
      <w:szCs w:val="20"/>
    </w:rPr>
  </w:style>
  <w:style w:type="paragraph" w:customStyle="1" w:styleId="225">
    <w:name w:val="样式 样式 样式1 + 首行缩进:  2 字符 + 左侧:  0.74 厘米"/>
    <w:basedOn w:val="216"/>
    <w:qFormat/>
    <w:uiPriority w:val="0"/>
    <w:pPr>
      <w:ind w:firstLine="200"/>
    </w:pPr>
  </w:style>
  <w:style w:type="paragraph" w:customStyle="1" w:styleId="226">
    <w:name w:val="6'"/>
    <w:basedOn w:val="1"/>
    <w:qFormat/>
    <w:uiPriority w:val="0"/>
    <w:pPr>
      <w:autoSpaceDE w:val="0"/>
      <w:autoSpaceDN w:val="0"/>
      <w:adjustRightInd w:val="0"/>
      <w:snapToGrid w:val="0"/>
      <w:spacing w:line="320" w:lineRule="exact"/>
      <w:jc w:val="center"/>
      <w:textAlignment w:val="baseline"/>
    </w:pPr>
    <w:rPr>
      <w:rFonts w:ascii="Times New Roman" w:hAnsi="Times New Roman"/>
      <w:spacing w:val="20"/>
      <w:kern w:val="28"/>
      <w:szCs w:val="20"/>
    </w:rPr>
  </w:style>
  <w:style w:type="paragraph" w:customStyle="1" w:styleId="227">
    <w:name w:val="Blockquote"/>
    <w:basedOn w:val="1"/>
    <w:qFormat/>
    <w:uiPriority w:val="0"/>
    <w:pPr>
      <w:autoSpaceDE w:val="0"/>
      <w:autoSpaceDN w:val="0"/>
      <w:adjustRightInd w:val="0"/>
      <w:spacing w:before="100" w:after="100"/>
      <w:ind w:left="360" w:right="360"/>
      <w:jc w:val="left"/>
    </w:pPr>
    <w:rPr>
      <w:rFonts w:ascii="Times New Roman" w:hAnsi="Times New Roman"/>
      <w:kern w:val="0"/>
      <w:sz w:val="24"/>
      <w:szCs w:val="20"/>
    </w:rPr>
  </w:style>
  <w:style w:type="paragraph" w:customStyle="1" w:styleId="228">
    <w:name w:val="Char2"/>
    <w:basedOn w:val="1"/>
    <w:qFormat/>
    <w:uiPriority w:val="0"/>
    <w:rPr>
      <w:rFonts w:ascii="仿宋_GB2312" w:hAnsi="Times New Roman" w:eastAsia="仿宋_GB2312"/>
      <w:b/>
      <w:sz w:val="32"/>
      <w:szCs w:val="32"/>
    </w:rPr>
  </w:style>
  <w:style w:type="paragraph" w:customStyle="1" w:styleId="229">
    <w:name w:val="列出段落4"/>
    <w:basedOn w:val="1"/>
    <w:qFormat/>
    <w:uiPriority w:val="99"/>
    <w:pPr>
      <w:ind w:firstLine="420" w:firstLineChars="200"/>
    </w:pPr>
    <w:rPr>
      <w:rFonts w:ascii="Times New Roman" w:hAnsi="Times New Roman"/>
    </w:rPr>
  </w:style>
  <w:style w:type="character" w:customStyle="1" w:styleId="230">
    <w:name w:val="font31"/>
    <w:basedOn w:val="49"/>
    <w:qFormat/>
    <w:uiPriority w:val="0"/>
    <w:rPr>
      <w:rFonts w:hint="eastAsia" w:ascii="宋体" w:hAnsi="宋体" w:eastAsia="宋体" w:cs="宋体"/>
      <w:color w:val="000000"/>
      <w:sz w:val="20"/>
      <w:szCs w:val="20"/>
      <w:u w:val="none"/>
    </w:rPr>
  </w:style>
  <w:style w:type="character" w:customStyle="1" w:styleId="231">
    <w:name w:val="font41"/>
    <w:basedOn w:val="49"/>
    <w:qFormat/>
    <w:uiPriority w:val="0"/>
    <w:rPr>
      <w:rFonts w:ascii="宋体" w:hAnsi="宋体" w:eastAsia="宋体" w:cs="宋体"/>
      <w:color w:val="000000"/>
      <w:sz w:val="20"/>
      <w:szCs w:val="20"/>
      <w:u w:val="none"/>
    </w:rPr>
  </w:style>
  <w:style w:type="character" w:customStyle="1" w:styleId="232">
    <w:name w:val="font51"/>
    <w:basedOn w:val="49"/>
    <w:qFormat/>
    <w:uiPriority w:val="0"/>
    <w:rPr>
      <w:rFonts w:hint="default" w:ascii="Times New Roman" w:hAnsi="Times New Roman" w:cs="Times New Roman"/>
      <w:color w:val="000000"/>
      <w:sz w:val="21"/>
      <w:szCs w:val="21"/>
      <w:u w:val="none"/>
    </w:rPr>
  </w:style>
  <w:style w:type="character" w:customStyle="1" w:styleId="233">
    <w:name w:val="font71"/>
    <w:basedOn w:val="49"/>
    <w:qFormat/>
    <w:uiPriority w:val="0"/>
    <w:rPr>
      <w:rFonts w:ascii="宋体" w:hAnsi="宋体" w:eastAsia="宋体" w:cs="宋体"/>
      <w:color w:val="000000"/>
      <w:sz w:val="21"/>
      <w:szCs w:val="21"/>
      <w:u w:val="none"/>
    </w:rPr>
  </w:style>
  <w:style w:type="character" w:customStyle="1" w:styleId="234">
    <w:name w:val="font61"/>
    <w:basedOn w:val="49"/>
    <w:qFormat/>
    <w:uiPriority w:val="0"/>
    <w:rPr>
      <w:rFonts w:ascii="宋体" w:hAnsi="宋体" w:eastAsia="宋体" w:cs="宋体"/>
      <w:color w:val="000000"/>
      <w:sz w:val="20"/>
      <w:szCs w:val="20"/>
      <w:u w:val="none"/>
    </w:rPr>
  </w:style>
  <w:style w:type="character" w:customStyle="1" w:styleId="235">
    <w:name w:val="font21"/>
    <w:basedOn w:val="49"/>
    <w:qFormat/>
    <w:uiPriority w:val="0"/>
    <w:rPr>
      <w:rFonts w:hint="default" w:ascii="Times New Roman" w:hAnsi="Times New Roman" w:cs="Times New Roman"/>
      <w:color w:val="000000"/>
      <w:sz w:val="21"/>
      <w:szCs w:val="21"/>
      <w:u w:val="none"/>
    </w:rPr>
  </w:style>
  <w:style w:type="character" w:customStyle="1" w:styleId="236">
    <w:name w:val="NormalCharacter"/>
    <w:qFormat/>
    <w:uiPriority w:val="0"/>
    <w:rPr>
      <w:rFonts w:ascii="Calibri" w:hAnsi="Calibri" w:eastAsia="宋体" w:cs="Times New Roman"/>
      <w:kern w:val="2"/>
      <w:sz w:val="21"/>
      <w:szCs w:val="24"/>
      <w:lang w:val="en-US" w:eastAsia="zh-CN" w:bidi="ar-SA"/>
    </w:rPr>
  </w:style>
  <w:style w:type="paragraph" w:customStyle="1" w:styleId="237">
    <w:name w:val="Table Paragraph"/>
    <w:basedOn w:val="1"/>
    <w:qFormat/>
    <w:uiPriority w:val="1"/>
    <w:rPr>
      <w:rFonts w:ascii="Times New Roman" w:hAnsi="Times New Roman"/>
      <w:szCs w:val="21"/>
    </w:rPr>
  </w:style>
  <w:style w:type="paragraph" w:customStyle="1" w:styleId="238">
    <w:name w:val="正文-MINE"/>
    <w:basedOn w:val="1"/>
    <w:qFormat/>
    <w:uiPriority w:val="0"/>
    <w:pPr>
      <w:adjustRightInd w:val="0"/>
      <w:snapToGrid w:val="0"/>
      <w:spacing w:beforeLines="50" w:afterLines="50"/>
      <w:ind w:firstLine="482"/>
    </w:pPr>
    <w:rPr>
      <w:rFonts w:ascii="微软雅黑" w:hAnsi="微软雅黑" w:eastAsia="微软雅黑"/>
      <w:szCs w:val="21"/>
    </w:rPr>
  </w:style>
  <w:style w:type="character" w:customStyle="1" w:styleId="239">
    <w:name w:val="Page Number1"/>
    <w:qFormat/>
    <w:uiPriority w:val="99"/>
    <w:rPr>
      <w:rFonts w:ascii="仿宋_GB2312" w:cs="Times New Roman"/>
      <w:b/>
      <w:kern w:val="0"/>
      <w:sz w:val="32"/>
      <w:szCs w:val="32"/>
    </w:rPr>
  </w:style>
  <w:style w:type="paragraph" w:customStyle="1" w:styleId="240">
    <w:name w:val="Char Char Char Char Char Char Char"/>
    <w:basedOn w:val="1"/>
    <w:qFormat/>
    <w:uiPriority w:val="0"/>
    <w:rPr>
      <w:szCs w:val="20"/>
    </w:rPr>
  </w:style>
  <w:style w:type="character" w:customStyle="1" w:styleId="241">
    <w:name w:val="正文文本缩进 2 字符"/>
    <w:qFormat/>
    <w:uiPriority w:val="0"/>
    <w:rPr>
      <w:rFonts w:ascii="宋体"/>
      <w:sz w:val="24"/>
    </w:rPr>
  </w:style>
  <w:style w:type="character" w:customStyle="1" w:styleId="242">
    <w:name w:val="列表段落 字符2"/>
    <w:link w:val="243"/>
    <w:qFormat/>
    <w:uiPriority w:val="34"/>
    <w:rPr>
      <w:kern w:val="2"/>
      <w:sz w:val="21"/>
      <w:szCs w:val="24"/>
    </w:rPr>
  </w:style>
  <w:style w:type="paragraph" w:customStyle="1" w:styleId="243">
    <w:name w:val="_Style 240"/>
    <w:basedOn w:val="1"/>
    <w:next w:val="71"/>
    <w:link w:val="242"/>
    <w:qFormat/>
    <w:uiPriority w:val="34"/>
    <w:pPr>
      <w:ind w:firstLine="420" w:firstLineChars="200"/>
    </w:pPr>
    <w:rPr>
      <w:rFonts w:asciiTheme="minorHAnsi" w:hAnsiTheme="minorHAnsi" w:eastAsiaTheme="minorEastAsia" w:cstheme="minorBidi"/>
    </w:rPr>
  </w:style>
  <w:style w:type="paragraph" w:customStyle="1" w:styleId="244">
    <w:name w:val="缩进"/>
    <w:basedOn w:val="1"/>
    <w:next w:val="1"/>
    <w:qFormat/>
    <w:uiPriority w:val="0"/>
    <w:pPr>
      <w:autoSpaceDE w:val="0"/>
      <w:autoSpaceDN w:val="0"/>
      <w:adjustRightInd w:val="0"/>
      <w:snapToGrid w:val="0"/>
      <w:spacing w:line="360" w:lineRule="auto"/>
      <w:ind w:firstLine="200" w:firstLineChars="200"/>
      <w:jc w:val="left"/>
    </w:pPr>
    <w:rPr>
      <w:rFonts w:ascii="Calibri" w:hAnsi="Calibri"/>
      <w:snapToGrid w:val="0"/>
      <w:kern w:val="0"/>
      <w:sz w:val="24"/>
      <w:szCs w:val="21"/>
    </w:rPr>
  </w:style>
  <w:style w:type="paragraph" w:customStyle="1" w:styleId="245">
    <w:name w:val="列出段落6"/>
    <w:basedOn w:val="1"/>
    <w:unhideWhenUsed/>
    <w:qFormat/>
    <w:uiPriority w:val="99"/>
    <w:pPr>
      <w:autoSpaceDE w:val="0"/>
      <w:autoSpaceDN w:val="0"/>
      <w:adjustRightInd w:val="0"/>
      <w:snapToGrid w:val="0"/>
      <w:spacing w:line="360" w:lineRule="auto"/>
      <w:ind w:firstLine="420" w:firstLineChars="200"/>
      <w:jc w:val="left"/>
    </w:pPr>
    <w:rPr>
      <w:rFonts w:ascii="Calibri" w:hAnsi="Calibri"/>
      <w:snapToGrid w:val="0"/>
      <w:kern w:val="0"/>
      <w:sz w:val="24"/>
      <w:szCs w:val="21"/>
    </w:rPr>
  </w:style>
  <w:style w:type="paragraph" w:customStyle="1" w:styleId="246">
    <w:name w:val="Char Char11"/>
    <w:basedOn w:val="1"/>
    <w:qFormat/>
    <w:uiPriority w:val="0"/>
    <w:rPr>
      <w:rFonts w:ascii="Tahoma" w:hAnsi="Tahoma"/>
      <w:kern w:val="0"/>
      <w:sz w:val="24"/>
      <w:szCs w:val="20"/>
    </w:rPr>
  </w:style>
  <w:style w:type="paragraph" w:customStyle="1" w:styleId="247">
    <w:name w:val="表格用"/>
    <w:basedOn w:val="1"/>
    <w:qFormat/>
    <w:uiPriority w:val="0"/>
    <w:rPr>
      <w:kern w:val="0"/>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header3.xml" Type="http://schemas.openxmlformats.org/officeDocument/2006/relationships/header"/><Relationship Id="rId11" Target="footer6.xml" Type="http://schemas.openxmlformats.org/officeDocument/2006/relationships/footer"/><Relationship Id="rId12" Target="footer7.xml" Type="http://schemas.openxmlformats.org/officeDocument/2006/relationships/footer"/><Relationship Id="rId13" Target="footer8.xml" Type="http://schemas.openxmlformats.org/officeDocument/2006/relationships/footer"/><Relationship Id="rId14" Target="theme/theme1.xml" Type="http://schemas.openxmlformats.org/officeDocument/2006/relationships/theme"/><Relationship Id="rId15" Target="media/image1.jpeg" Type="http://schemas.openxmlformats.org/officeDocument/2006/relationships/image"/><Relationship Id="rId16" Target="../customXml/item1.xml" Type="http://schemas.openxmlformats.org/officeDocument/2006/relationships/customXml"/><Relationship Id="rId17" Target="numbering.xml" Type="http://schemas.openxmlformats.org/officeDocument/2006/relationships/numbering"/><Relationship Id="rId18" Target="../customXml/item2.xml" Type="http://schemas.openxmlformats.org/officeDocument/2006/relationships/customXml"/><Relationship Id="rId19" Target="fontTable.xml" Type="http://schemas.openxmlformats.org/officeDocument/2006/relationships/fontTable"/><Relationship Id="rId2" Target="settings.xml" Type="http://schemas.openxmlformats.org/officeDocument/2006/relationships/settings"/><Relationship Id="rId3" Target="footer1.xml" Type="http://schemas.openxmlformats.org/officeDocument/2006/relationships/footer"/><Relationship Id="rId4" Target="footer2.xml" Type="http://schemas.openxmlformats.org/officeDocument/2006/relationships/footer"/><Relationship Id="rId5" Target="footer3.xml" Type="http://schemas.openxmlformats.org/officeDocument/2006/relationships/footer"/><Relationship Id="rId6" Target="footer4.xml" Type="http://schemas.openxmlformats.org/officeDocument/2006/relationships/footer"/><Relationship Id="rId7" Target="footer5.xml" Type="http://schemas.openxmlformats.org/officeDocument/2006/relationships/footer"/><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F9C4CDF-6087-4C64-B4A0-CAF1A4F8766B}">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63</Pages>
  <Words>31811</Words>
  <Characters>34604</Characters>
  <Lines>316</Lines>
  <Paragraphs>89</Paragraphs>
  <TotalTime>37</TotalTime>
  <ScaleCrop>false</ScaleCrop>
  <LinksUpToDate>false</LinksUpToDate>
  <CharactersWithSpaces>41430</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2022-06-22T08:56:00Z</dcterms:created>
  <dc:creator>戴艳燕</dc:creator>
  <cp:lastModifiedBy>Administrator</cp:lastModifiedBy>
  <cp:lastPrinted>2022-04-22T06:45:00Z</cp:lastPrinted>
  <dcterms:modified xsi:type="dcterms:W3CDTF">2022-07-25T06:38:15Z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34B87B8E925E44ABBFC0FC2E095D0026</vt:lpwstr>
  </property>
</Properties>
</file>