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900" w:lineRule="exact"/>
        <w:jc w:val="center"/>
        <w:rPr>
          <w:rFonts w:ascii="宋体" w:hAnsi="宋体"/>
          <w:b/>
          <w:color w:val="auto"/>
          <w:sz w:val="44"/>
          <w:szCs w:val="50"/>
          <w:highlight w:val="none"/>
        </w:rPr>
      </w:pPr>
    </w:p>
    <w:p>
      <w:pPr>
        <w:spacing w:after="120" w:line="900" w:lineRule="exact"/>
        <w:jc w:val="center"/>
        <w:rPr>
          <w:rFonts w:hint="eastAsia" w:ascii="宋体" w:hAnsi="宋体" w:eastAsia="宋体"/>
          <w:b/>
          <w:color w:val="auto"/>
          <w:sz w:val="44"/>
          <w:szCs w:val="50"/>
          <w:highlight w:val="none"/>
          <w:lang w:eastAsia="zh-CN"/>
        </w:rPr>
      </w:pPr>
      <w:r>
        <w:rPr>
          <w:rFonts w:hint="eastAsia" w:ascii="宋体" w:hAnsi="宋体"/>
          <w:b/>
          <w:color w:val="auto"/>
          <w:sz w:val="44"/>
          <w:szCs w:val="50"/>
          <w:highlight w:val="none"/>
          <w:lang w:eastAsia="zh-CN"/>
        </w:rPr>
        <w:t>宁波大学附属第一医院外滩院区安保服务（含停车场保安）项目</w:t>
      </w:r>
    </w:p>
    <w:p>
      <w:pPr>
        <w:spacing w:after="120" w:line="900" w:lineRule="exact"/>
        <w:jc w:val="center"/>
        <w:rPr>
          <w:rFonts w:ascii="宋体" w:hAnsi="宋体"/>
          <w:b/>
          <w:color w:val="auto"/>
          <w:sz w:val="46"/>
          <w:szCs w:val="50"/>
          <w:highlight w:val="none"/>
        </w:rPr>
      </w:pPr>
      <w:r>
        <w:rPr>
          <w:rFonts w:hint="eastAsia" w:ascii="宋体" w:hAnsi="宋体"/>
          <w:b/>
          <w:color w:val="auto"/>
          <w:sz w:val="46"/>
          <w:szCs w:val="50"/>
          <w:highlight w:val="none"/>
        </w:rPr>
        <w:t>政府采购</w:t>
      </w:r>
    </w:p>
    <w:p>
      <w:pPr>
        <w:spacing w:after="120" w:line="800" w:lineRule="exact"/>
        <w:jc w:val="center"/>
        <w:rPr>
          <w:rFonts w:hint="eastAsia" w:ascii="宋体" w:hAnsi="宋体"/>
          <w:b/>
          <w:color w:val="auto"/>
          <w:sz w:val="48"/>
          <w:szCs w:val="48"/>
          <w:highlight w:val="none"/>
        </w:rPr>
      </w:pPr>
    </w:p>
    <w:p>
      <w:pPr>
        <w:spacing w:after="120" w:line="800" w:lineRule="exact"/>
        <w:jc w:val="center"/>
        <w:rPr>
          <w:rFonts w:ascii="宋体" w:hAnsi="宋体"/>
          <w:b/>
          <w:color w:val="auto"/>
          <w:sz w:val="48"/>
          <w:szCs w:val="48"/>
          <w:highlight w:val="none"/>
        </w:rPr>
      </w:pPr>
      <w:r>
        <w:rPr>
          <w:rFonts w:hint="eastAsia" w:ascii="宋体" w:hAnsi="宋体"/>
          <w:b/>
          <w:color w:val="auto"/>
          <w:sz w:val="48"/>
          <w:szCs w:val="48"/>
          <w:highlight w:val="none"/>
        </w:rPr>
        <w:t>公</w:t>
      </w:r>
    </w:p>
    <w:p>
      <w:pPr>
        <w:spacing w:after="120" w:line="800" w:lineRule="exact"/>
        <w:jc w:val="center"/>
        <w:rPr>
          <w:rFonts w:ascii="宋体" w:hAnsi="宋体"/>
          <w:b/>
          <w:color w:val="auto"/>
          <w:sz w:val="48"/>
          <w:szCs w:val="48"/>
          <w:highlight w:val="none"/>
        </w:rPr>
      </w:pPr>
      <w:r>
        <w:rPr>
          <w:rFonts w:hint="eastAsia" w:ascii="宋体" w:hAnsi="宋体"/>
          <w:b/>
          <w:color w:val="auto"/>
          <w:sz w:val="48"/>
          <w:szCs w:val="48"/>
          <w:highlight w:val="none"/>
        </w:rPr>
        <w:t xml:space="preserve">开   </w:t>
      </w:r>
    </w:p>
    <w:p>
      <w:pPr>
        <w:spacing w:after="120" w:line="800" w:lineRule="exact"/>
        <w:jc w:val="center"/>
        <w:rPr>
          <w:rFonts w:ascii="宋体" w:hAnsi="宋体"/>
          <w:b/>
          <w:color w:val="auto"/>
          <w:sz w:val="48"/>
          <w:szCs w:val="48"/>
          <w:highlight w:val="none"/>
        </w:rPr>
      </w:pPr>
      <w:r>
        <w:rPr>
          <w:rFonts w:hint="eastAsia" w:ascii="宋体" w:hAnsi="宋体"/>
          <w:b/>
          <w:color w:val="auto"/>
          <w:sz w:val="48"/>
          <w:szCs w:val="48"/>
          <w:highlight w:val="none"/>
        </w:rPr>
        <w:t>招</w:t>
      </w:r>
    </w:p>
    <w:p>
      <w:pPr>
        <w:spacing w:after="120" w:line="800" w:lineRule="exact"/>
        <w:jc w:val="center"/>
        <w:rPr>
          <w:rFonts w:ascii="宋体" w:hAnsi="宋体"/>
          <w:b/>
          <w:color w:val="auto"/>
          <w:sz w:val="48"/>
          <w:szCs w:val="48"/>
          <w:highlight w:val="none"/>
        </w:rPr>
      </w:pPr>
      <w:r>
        <w:rPr>
          <w:rFonts w:hint="eastAsia" w:ascii="宋体" w:hAnsi="宋体"/>
          <w:b/>
          <w:color w:val="auto"/>
          <w:sz w:val="48"/>
          <w:szCs w:val="48"/>
          <w:highlight w:val="none"/>
        </w:rPr>
        <w:t>标</w:t>
      </w:r>
    </w:p>
    <w:p>
      <w:pPr>
        <w:spacing w:after="120" w:line="800" w:lineRule="exact"/>
        <w:jc w:val="center"/>
        <w:rPr>
          <w:rFonts w:ascii="宋体" w:hAnsi="宋体"/>
          <w:b/>
          <w:color w:val="auto"/>
          <w:sz w:val="48"/>
          <w:szCs w:val="48"/>
          <w:highlight w:val="none"/>
        </w:rPr>
      </w:pPr>
      <w:r>
        <w:rPr>
          <w:rFonts w:hint="eastAsia" w:ascii="宋体" w:hAnsi="宋体"/>
          <w:b/>
          <w:color w:val="auto"/>
          <w:sz w:val="48"/>
          <w:szCs w:val="48"/>
          <w:highlight w:val="none"/>
        </w:rPr>
        <w:t>文</w:t>
      </w:r>
    </w:p>
    <w:p>
      <w:pPr>
        <w:spacing w:after="120" w:line="800" w:lineRule="exact"/>
        <w:jc w:val="center"/>
        <w:rPr>
          <w:rFonts w:ascii="宋体" w:hAnsi="宋体"/>
          <w:b/>
          <w:color w:val="auto"/>
          <w:sz w:val="48"/>
          <w:szCs w:val="48"/>
          <w:highlight w:val="none"/>
        </w:rPr>
      </w:pPr>
      <w:r>
        <w:rPr>
          <w:rFonts w:hint="eastAsia" w:ascii="宋体" w:hAnsi="宋体"/>
          <w:b/>
          <w:color w:val="auto"/>
          <w:sz w:val="48"/>
          <w:szCs w:val="48"/>
          <w:highlight w:val="none"/>
        </w:rPr>
        <w:t>件</w:t>
      </w:r>
    </w:p>
    <w:p>
      <w:pPr>
        <w:spacing w:line="600" w:lineRule="exact"/>
        <w:rPr>
          <w:rFonts w:hint="eastAsia" w:ascii="宋体" w:hAnsi="宋体"/>
          <w:b/>
          <w:color w:val="auto"/>
          <w:sz w:val="28"/>
          <w:szCs w:val="28"/>
          <w:highlight w:val="none"/>
        </w:rPr>
      </w:pPr>
    </w:p>
    <w:p>
      <w:pPr>
        <w:spacing w:line="600" w:lineRule="exact"/>
        <w:rPr>
          <w:rFonts w:ascii="宋体" w:hAnsi="宋体"/>
          <w:b/>
          <w:color w:val="auto"/>
          <w:sz w:val="28"/>
          <w:szCs w:val="28"/>
          <w:highlight w:val="none"/>
        </w:rPr>
      </w:pPr>
      <w:r>
        <w:rPr>
          <w:rFonts w:hint="eastAsia" w:ascii="宋体" w:hAnsi="宋体"/>
          <w:b/>
          <w:color w:val="auto"/>
          <w:sz w:val="28"/>
          <w:szCs w:val="28"/>
          <w:highlight w:val="none"/>
        </w:rPr>
        <w:t>采购编号：NBITC-202311410G</w:t>
      </w:r>
    </w:p>
    <w:p>
      <w:pPr>
        <w:spacing w:line="600" w:lineRule="exact"/>
        <w:ind w:left="1405" w:hanging="1405" w:hangingChars="500"/>
        <w:rPr>
          <w:rFonts w:ascii="宋体" w:hAnsi="宋体"/>
          <w:b/>
          <w:color w:val="auto"/>
          <w:sz w:val="28"/>
          <w:szCs w:val="28"/>
          <w:highlight w:val="none"/>
        </w:rPr>
      </w:pPr>
      <w:r>
        <w:rPr>
          <w:rFonts w:hint="eastAsia" w:ascii="宋体" w:hAnsi="宋体"/>
          <w:b/>
          <w:color w:val="auto"/>
          <w:sz w:val="28"/>
          <w:szCs w:val="28"/>
          <w:highlight w:val="none"/>
        </w:rPr>
        <w:t>采购人：宁波大学附属第一医院</w:t>
      </w:r>
    </w:p>
    <w:p>
      <w:pPr>
        <w:spacing w:line="600" w:lineRule="exact"/>
        <w:rPr>
          <w:rFonts w:ascii="宋体" w:hAnsi="宋体"/>
          <w:b/>
          <w:color w:val="auto"/>
          <w:sz w:val="28"/>
          <w:szCs w:val="28"/>
          <w:highlight w:val="none"/>
        </w:rPr>
      </w:pPr>
      <w:r>
        <w:rPr>
          <w:rFonts w:hint="eastAsia" w:ascii="宋体" w:hAnsi="宋体"/>
          <w:b/>
          <w:color w:val="auto"/>
          <w:sz w:val="28"/>
          <w:szCs w:val="28"/>
          <w:highlight w:val="none"/>
        </w:rPr>
        <w:t>代理机构：宁波市国际招标有限公司</w:t>
      </w:r>
    </w:p>
    <w:p>
      <w:pPr>
        <w:spacing w:line="600" w:lineRule="exact"/>
        <w:rPr>
          <w:rFonts w:ascii="宋体" w:hAnsi="宋体"/>
          <w:b/>
          <w:color w:val="auto"/>
          <w:sz w:val="28"/>
          <w:szCs w:val="28"/>
          <w:highlight w:val="none"/>
        </w:rPr>
      </w:pPr>
      <w:r>
        <w:rPr>
          <w:rFonts w:hint="eastAsia" w:ascii="宋体" w:hAnsi="宋体"/>
          <w:b/>
          <w:color w:val="auto"/>
          <w:sz w:val="28"/>
          <w:szCs w:val="28"/>
          <w:highlight w:val="none"/>
        </w:rPr>
        <w:t>编制日期：2023年0</w:t>
      </w:r>
      <w:r>
        <w:rPr>
          <w:rFonts w:hint="eastAsia" w:ascii="宋体" w:hAnsi="宋体"/>
          <w:b/>
          <w:color w:val="auto"/>
          <w:sz w:val="28"/>
          <w:szCs w:val="28"/>
          <w:highlight w:val="none"/>
          <w:lang w:val="en-US" w:eastAsia="zh-CN"/>
        </w:rPr>
        <w:t>9</w:t>
      </w:r>
      <w:r>
        <w:rPr>
          <w:rFonts w:hint="eastAsia" w:ascii="宋体" w:hAnsi="宋体"/>
          <w:b/>
          <w:color w:val="auto"/>
          <w:sz w:val="28"/>
          <w:szCs w:val="28"/>
          <w:highlight w:val="none"/>
        </w:rPr>
        <w:t>月</w:t>
      </w:r>
    </w:p>
    <w:p>
      <w:pPr>
        <w:spacing w:line="600" w:lineRule="exact"/>
        <w:rPr>
          <w:rFonts w:ascii="宋体" w:hAnsi="宋体"/>
          <w:b/>
          <w:color w:val="auto"/>
          <w:sz w:val="28"/>
          <w:szCs w:val="28"/>
          <w:highlight w:val="none"/>
        </w:rPr>
      </w:pPr>
    </w:p>
    <w:p>
      <w:pPr>
        <w:spacing w:line="400" w:lineRule="exact"/>
        <w:jc w:val="center"/>
        <w:rPr>
          <w:rFonts w:ascii="宋体" w:hAnsi="宋体"/>
          <w:b/>
          <w:color w:val="auto"/>
          <w:sz w:val="28"/>
          <w:szCs w:val="28"/>
          <w:highlight w:val="none"/>
        </w:rPr>
        <w:sectPr>
          <w:headerReference r:id="rId3" w:type="default"/>
          <w:footerReference r:id="rId4" w:type="default"/>
          <w:footerReference r:id="rId5" w:type="even"/>
          <w:type w:val="nextColumn"/>
          <w:pgSz w:w="11907" w:h="16840"/>
          <w:pgMar w:top="993" w:right="850" w:bottom="1440" w:left="1301" w:header="720" w:footer="0" w:gutter="0"/>
          <w:pgNumType w:start="1"/>
          <w:cols w:space="720" w:num="1"/>
          <w:docGrid w:type="lines" w:linePitch="285" w:charSpace="0"/>
        </w:sectPr>
      </w:pPr>
    </w:p>
    <w:p>
      <w:pPr>
        <w:spacing w:line="480" w:lineRule="auto"/>
        <w:jc w:val="center"/>
        <w:rPr>
          <w:rFonts w:ascii="宋体" w:hAnsi="宋体"/>
          <w:b/>
          <w:color w:val="auto"/>
          <w:sz w:val="52"/>
          <w:szCs w:val="52"/>
          <w:highlight w:val="none"/>
        </w:rPr>
      </w:pPr>
    </w:p>
    <w:p>
      <w:pPr>
        <w:spacing w:line="1200" w:lineRule="exact"/>
        <w:jc w:val="center"/>
        <w:rPr>
          <w:rFonts w:ascii="宋体" w:hAnsi="宋体"/>
          <w:b/>
          <w:color w:val="auto"/>
          <w:sz w:val="72"/>
          <w:szCs w:val="72"/>
          <w:highlight w:val="none"/>
        </w:rPr>
      </w:pPr>
      <w:r>
        <w:rPr>
          <w:rFonts w:hint="eastAsia" w:ascii="宋体" w:hAnsi="宋体"/>
          <w:b/>
          <w:color w:val="auto"/>
          <w:sz w:val="72"/>
          <w:szCs w:val="72"/>
          <w:highlight w:val="none"/>
        </w:rPr>
        <w:t>温馨提醒</w:t>
      </w:r>
    </w:p>
    <w:p>
      <w:pPr>
        <w:spacing w:line="1200" w:lineRule="exact"/>
        <w:jc w:val="center"/>
        <w:rPr>
          <w:rFonts w:ascii="宋体" w:hAnsi="宋体"/>
          <w:b/>
          <w:color w:val="auto"/>
          <w:sz w:val="52"/>
          <w:szCs w:val="52"/>
          <w:highlight w:val="none"/>
        </w:rPr>
      </w:pPr>
    </w:p>
    <w:p>
      <w:pPr>
        <w:spacing w:line="1000" w:lineRule="exact"/>
        <w:jc w:val="left"/>
        <w:rPr>
          <w:rFonts w:ascii="宋体" w:hAnsi="宋体"/>
          <w:b/>
          <w:color w:val="auto"/>
          <w:sz w:val="30"/>
          <w:szCs w:val="30"/>
          <w:highlight w:val="none"/>
        </w:rPr>
      </w:pPr>
      <w:r>
        <w:rPr>
          <w:rFonts w:ascii="宋体" w:hAnsi="宋体"/>
          <w:b/>
          <w:color w:val="auto"/>
          <w:sz w:val="30"/>
          <w:szCs w:val="30"/>
          <w:highlight w:val="none"/>
        </w:rPr>
        <w:t>1</w:t>
      </w:r>
      <w:r>
        <w:rPr>
          <w:rFonts w:hint="eastAsia" w:ascii="宋体" w:hAnsi="宋体"/>
          <w:b/>
          <w:color w:val="auto"/>
          <w:sz w:val="30"/>
          <w:szCs w:val="30"/>
          <w:highlight w:val="none"/>
        </w:rPr>
        <w:t>、投标文件应按招标文件要求将“资格文件”、“商务和技术文件”、“报价文件”分别编制。</w:t>
      </w:r>
    </w:p>
    <w:p>
      <w:pPr>
        <w:spacing w:line="1000" w:lineRule="exact"/>
        <w:jc w:val="left"/>
        <w:rPr>
          <w:rFonts w:ascii="宋体" w:hAnsi="宋体"/>
          <w:b/>
          <w:color w:val="auto"/>
          <w:sz w:val="30"/>
          <w:szCs w:val="30"/>
          <w:highlight w:val="none"/>
        </w:rPr>
      </w:pPr>
      <w:r>
        <w:rPr>
          <w:rFonts w:hint="eastAsia" w:ascii="宋体" w:hAnsi="宋体"/>
          <w:b/>
          <w:color w:val="auto"/>
          <w:sz w:val="30"/>
          <w:szCs w:val="30"/>
          <w:highlight w:val="none"/>
        </w:rPr>
        <w:t>2、采购人可以对已发出的招标文件进行必要的澄清或者修改，将以“更正公告”的形式发布在政采云平台，供应商应及时登录政采云平台，进行浏览并下载，未及时浏览下载的责任自负。</w:t>
      </w:r>
    </w:p>
    <w:p>
      <w:pPr>
        <w:spacing w:line="1000" w:lineRule="exact"/>
        <w:jc w:val="left"/>
        <w:rPr>
          <w:rFonts w:ascii="宋体" w:hAnsi="宋体"/>
          <w:b/>
          <w:color w:val="auto"/>
          <w:sz w:val="30"/>
          <w:szCs w:val="30"/>
          <w:highlight w:val="none"/>
        </w:rPr>
      </w:pPr>
      <w:r>
        <w:rPr>
          <w:rFonts w:hint="eastAsia" w:ascii="宋体" w:hAnsi="宋体"/>
          <w:b/>
          <w:color w:val="auto"/>
          <w:sz w:val="30"/>
          <w:szCs w:val="30"/>
          <w:highlight w:val="none"/>
        </w:rPr>
        <w:t>3、如至开标现场，建议供应商自带电脑，以便于开标现场解密投标文件。</w:t>
      </w:r>
    </w:p>
    <w:p>
      <w:pPr>
        <w:spacing w:line="400" w:lineRule="exact"/>
        <w:ind w:left="420" w:leftChars="200"/>
        <w:jc w:val="left"/>
        <w:rPr>
          <w:rFonts w:ascii="宋体" w:hAnsi="宋体"/>
          <w:color w:val="auto"/>
          <w:szCs w:val="21"/>
          <w:highlight w:val="none"/>
        </w:rPr>
      </w:pPr>
    </w:p>
    <w:p>
      <w:pPr>
        <w:pStyle w:val="18"/>
        <w:rPr>
          <w:color w:val="auto"/>
          <w:highlight w:val="none"/>
        </w:rPr>
      </w:pPr>
    </w:p>
    <w:p>
      <w:pPr>
        <w:pStyle w:val="2"/>
        <w:ind w:firstLine="240"/>
        <w:rPr>
          <w:color w:val="auto"/>
          <w:highlight w:val="none"/>
        </w:rPr>
      </w:pPr>
    </w:p>
    <w:p>
      <w:pPr>
        <w:tabs>
          <w:tab w:val="center" w:pos="4365"/>
        </w:tabs>
        <w:spacing w:line="480" w:lineRule="auto"/>
        <w:jc w:val="center"/>
        <w:rPr>
          <w:rFonts w:ascii="宋体" w:hAnsi="宋体"/>
          <w:b/>
          <w:bCs/>
          <w:color w:val="auto"/>
          <w:sz w:val="32"/>
          <w:szCs w:val="32"/>
          <w:highlight w:val="none"/>
        </w:rPr>
      </w:pPr>
      <w:r>
        <w:rPr>
          <w:rFonts w:ascii="宋体" w:hAnsi="宋体"/>
          <w:b/>
          <w:bCs/>
          <w:color w:val="auto"/>
          <w:sz w:val="32"/>
          <w:szCs w:val="32"/>
          <w:highlight w:val="none"/>
        </w:rPr>
        <w:br w:type="page"/>
      </w:r>
    </w:p>
    <w:p>
      <w:pPr>
        <w:tabs>
          <w:tab w:val="center" w:pos="4365"/>
        </w:tabs>
        <w:spacing w:line="480" w:lineRule="auto"/>
        <w:jc w:val="center"/>
        <w:rPr>
          <w:rFonts w:ascii="宋体" w:hAnsi="宋体"/>
          <w:b/>
          <w:color w:val="auto"/>
          <w:sz w:val="52"/>
          <w:szCs w:val="52"/>
          <w:highlight w:val="none"/>
        </w:rPr>
      </w:pPr>
      <w:r>
        <w:rPr>
          <w:rFonts w:hint="eastAsia" w:ascii="宋体" w:hAnsi="宋体"/>
          <w:b/>
          <w:color w:val="auto"/>
          <w:sz w:val="52"/>
          <w:szCs w:val="52"/>
          <w:highlight w:val="none"/>
        </w:rPr>
        <w:t>目录</w:t>
      </w:r>
    </w:p>
    <w:p>
      <w:pPr>
        <w:pStyle w:val="34"/>
        <w:spacing w:line="900" w:lineRule="exact"/>
        <w:rPr>
          <w:rFonts w:ascii="Times New Roman" w:hAnsi="Times New Roman"/>
          <w:color w:val="auto"/>
          <w:sz w:val="21"/>
          <w:szCs w:val="24"/>
          <w:highlight w:val="none"/>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color w:val="auto"/>
          <w:highlight w:val="none"/>
        </w:rPr>
        <w:instrText xml:space="preserve"> HYPERLINK \l "_Toc44162138" </w:instrText>
      </w:r>
      <w:r>
        <w:rPr>
          <w:color w:val="auto"/>
          <w:highlight w:val="none"/>
        </w:rPr>
        <w:fldChar w:fldCharType="separate"/>
      </w:r>
      <w:r>
        <w:rPr>
          <w:rStyle w:val="58"/>
          <w:rFonts w:hint="eastAsia"/>
          <w:b/>
          <w:color w:val="auto"/>
          <w:highlight w:val="none"/>
        </w:rPr>
        <w:t>第一章 招标公告</w:t>
      </w:r>
      <w:r>
        <w:rPr>
          <w:color w:val="auto"/>
          <w:highlight w:val="none"/>
        </w:rPr>
        <w:tab/>
      </w:r>
      <w:r>
        <w:rPr>
          <w:color w:val="auto"/>
          <w:highlight w:val="none"/>
        </w:rPr>
        <w:fldChar w:fldCharType="begin"/>
      </w:r>
      <w:r>
        <w:rPr>
          <w:color w:val="auto"/>
          <w:highlight w:val="none"/>
        </w:rPr>
        <w:instrText xml:space="preserve"> PAGEREF _Toc44162138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34"/>
        <w:spacing w:line="900" w:lineRule="exact"/>
        <w:rPr>
          <w:rFonts w:ascii="Times New Roman" w:hAnsi="Times New Roman"/>
          <w:color w:val="auto"/>
          <w:sz w:val="21"/>
          <w:szCs w:val="24"/>
          <w:highlight w:val="none"/>
        </w:rPr>
      </w:pPr>
      <w:r>
        <w:rPr>
          <w:color w:val="auto"/>
          <w:highlight w:val="none"/>
        </w:rPr>
        <w:fldChar w:fldCharType="begin"/>
      </w:r>
      <w:r>
        <w:rPr>
          <w:color w:val="auto"/>
          <w:highlight w:val="none"/>
        </w:rPr>
        <w:instrText xml:space="preserve"> HYPERLINK \l "_Toc44162139" </w:instrText>
      </w:r>
      <w:r>
        <w:rPr>
          <w:color w:val="auto"/>
          <w:highlight w:val="none"/>
        </w:rPr>
        <w:fldChar w:fldCharType="separate"/>
      </w:r>
      <w:r>
        <w:rPr>
          <w:rStyle w:val="58"/>
          <w:rFonts w:hint="eastAsia"/>
          <w:b/>
          <w:color w:val="auto"/>
          <w:highlight w:val="none"/>
        </w:rPr>
        <w:t>第二章 投标须知</w:t>
      </w:r>
      <w:r>
        <w:rPr>
          <w:color w:val="auto"/>
          <w:highlight w:val="none"/>
        </w:rPr>
        <w:tab/>
      </w:r>
      <w:r>
        <w:rPr>
          <w:rFonts w:hint="eastAsia"/>
          <w:color w:val="auto"/>
          <w:highlight w:val="none"/>
        </w:rPr>
        <w:t>4</w:t>
      </w:r>
      <w:r>
        <w:rPr>
          <w:rFonts w:hint="eastAsia"/>
          <w:color w:val="auto"/>
          <w:highlight w:val="none"/>
        </w:rPr>
        <w:fldChar w:fldCharType="end"/>
      </w:r>
    </w:p>
    <w:p>
      <w:pPr>
        <w:pStyle w:val="34"/>
        <w:spacing w:line="900" w:lineRule="exact"/>
        <w:rPr>
          <w:rFonts w:ascii="Times New Roman" w:hAnsi="Times New Roman"/>
          <w:color w:val="auto"/>
          <w:sz w:val="21"/>
          <w:szCs w:val="24"/>
          <w:highlight w:val="none"/>
        </w:rPr>
      </w:pPr>
      <w:r>
        <w:rPr>
          <w:color w:val="auto"/>
          <w:highlight w:val="none"/>
        </w:rPr>
        <w:fldChar w:fldCharType="begin"/>
      </w:r>
      <w:r>
        <w:rPr>
          <w:color w:val="auto"/>
          <w:highlight w:val="none"/>
        </w:rPr>
        <w:instrText xml:space="preserve"> HYPERLINK \l "_Toc44162152" </w:instrText>
      </w:r>
      <w:r>
        <w:rPr>
          <w:color w:val="auto"/>
          <w:highlight w:val="none"/>
        </w:rPr>
        <w:fldChar w:fldCharType="separate"/>
      </w:r>
      <w:r>
        <w:rPr>
          <w:rStyle w:val="58"/>
          <w:rFonts w:hint="eastAsia"/>
          <w:b/>
          <w:color w:val="auto"/>
          <w:highlight w:val="none"/>
        </w:rPr>
        <w:t>第三章 招标内容与技术需求</w:t>
      </w:r>
      <w:r>
        <w:rPr>
          <w:color w:val="auto"/>
          <w:highlight w:val="none"/>
        </w:rPr>
        <w:tab/>
      </w:r>
      <w:r>
        <w:rPr>
          <w:color w:val="auto"/>
          <w:highlight w:val="none"/>
        </w:rPr>
        <w:fldChar w:fldCharType="begin"/>
      </w:r>
      <w:r>
        <w:rPr>
          <w:color w:val="auto"/>
          <w:highlight w:val="none"/>
        </w:rPr>
        <w:instrText xml:space="preserve"> PAGEREF _Toc44162152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34"/>
        <w:spacing w:line="900" w:lineRule="exact"/>
        <w:rPr>
          <w:rFonts w:ascii="Times New Roman" w:hAnsi="Times New Roman"/>
          <w:color w:val="auto"/>
          <w:sz w:val="21"/>
          <w:szCs w:val="24"/>
          <w:highlight w:val="none"/>
        </w:rPr>
      </w:pPr>
      <w:r>
        <w:rPr>
          <w:color w:val="auto"/>
          <w:highlight w:val="none"/>
        </w:rPr>
        <w:fldChar w:fldCharType="begin"/>
      </w:r>
      <w:r>
        <w:rPr>
          <w:color w:val="auto"/>
          <w:highlight w:val="none"/>
        </w:rPr>
        <w:instrText xml:space="preserve"> HYPERLINK \l "_Toc44162153" </w:instrText>
      </w:r>
      <w:r>
        <w:rPr>
          <w:color w:val="auto"/>
          <w:highlight w:val="none"/>
        </w:rPr>
        <w:fldChar w:fldCharType="separate"/>
      </w:r>
      <w:r>
        <w:rPr>
          <w:rStyle w:val="58"/>
          <w:rFonts w:hint="eastAsia"/>
          <w:b/>
          <w:color w:val="auto"/>
          <w:highlight w:val="none"/>
        </w:rPr>
        <w:t>第四章 商务条款</w:t>
      </w:r>
      <w:r>
        <w:rPr>
          <w:color w:val="auto"/>
          <w:highlight w:val="none"/>
        </w:rPr>
        <w:tab/>
      </w:r>
      <w:r>
        <w:rPr>
          <w:rFonts w:hint="eastAsia"/>
          <w:color w:val="auto"/>
          <w:highlight w:val="none"/>
          <w:lang w:val="en-US" w:eastAsia="zh-CN"/>
        </w:rPr>
        <w:t>3</w:t>
      </w:r>
      <w:r>
        <w:rPr>
          <w:rFonts w:hint="eastAsia"/>
          <w:color w:val="auto"/>
          <w:highlight w:val="none"/>
        </w:rPr>
        <w:fldChar w:fldCharType="end"/>
      </w:r>
      <w:r>
        <w:rPr>
          <w:rFonts w:hint="eastAsia"/>
          <w:color w:val="auto"/>
          <w:highlight w:val="none"/>
          <w:lang w:val="en-US" w:eastAsia="zh-CN"/>
        </w:rPr>
        <w:t>0</w:t>
      </w:r>
    </w:p>
    <w:p>
      <w:pPr>
        <w:pStyle w:val="34"/>
        <w:spacing w:line="900" w:lineRule="exact"/>
        <w:rPr>
          <w:rFonts w:ascii="Times New Roman" w:hAnsi="Times New Roman"/>
          <w:color w:val="auto"/>
          <w:sz w:val="21"/>
          <w:szCs w:val="24"/>
          <w:highlight w:val="none"/>
        </w:rPr>
      </w:pPr>
      <w:r>
        <w:rPr>
          <w:color w:val="auto"/>
          <w:highlight w:val="none"/>
        </w:rPr>
        <w:fldChar w:fldCharType="begin"/>
      </w:r>
      <w:r>
        <w:rPr>
          <w:color w:val="auto"/>
          <w:highlight w:val="none"/>
        </w:rPr>
        <w:instrText xml:space="preserve"> HYPERLINK \l "_Toc44162154" </w:instrText>
      </w:r>
      <w:r>
        <w:rPr>
          <w:color w:val="auto"/>
          <w:highlight w:val="none"/>
        </w:rPr>
        <w:fldChar w:fldCharType="separate"/>
      </w:r>
      <w:r>
        <w:rPr>
          <w:rStyle w:val="58"/>
          <w:rFonts w:hint="eastAsia"/>
          <w:b/>
          <w:color w:val="auto"/>
          <w:highlight w:val="none"/>
        </w:rPr>
        <w:t>第五章 评标办法及标准</w:t>
      </w:r>
      <w:r>
        <w:rPr>
          <w:color w:val="auto"/>
          <w:highlight w:val="none"/>
        </w:rPr>
        <w:tab/>
      </w:r>
      <w:r>
        <w:rPr>
          <w:color w:val="auto"/>
          <w:highlight w:val="none"/>
        </w:rPr>
        <w:fldChar w:fldCharType="begin"/>
      </w:r>
      <w:r>
        <w:rPr>
          <w:color w:val="auto"/>
          <w:highlight w:val="none"/>
        </w:rPr>
        <w:instrText xml:space="preserve"> PAGEREF _Toc44162154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34"/>
        <w:spacing w:line="900" w:lineRule="exact"/>
        <w:rPr>
          <w:rFonts w:ascii="Times New Roman" w:hAnsi="Times New Roman"/>
          <w:color w:val="auto"/>
          <w:sz w:val="21"/>
          <w:szCs w:val="24"/>
          <w:highlight w:val="none"/>
        </w:rPr>
      </w:pPr>
      <w:r>
        <w:rPr>
          <w:color w:val="auto"/>
          <w:highlight w:val="none"/>
        </w:rPr>
        <w:fldChar w:fldCharType="begin"/>
      </w:r>
      <w:r>
        <w:rPr>
          <w:color w:val="auto"/>
          <w:highlight w:val="none"/>
        </w:rPr>
        <w:instrText xml:space="preserve"> HYPERLINK \l "_Toc44162155" </w:instrText>
      </w:r>
      <w:r>
        <w:rPr>
          <w:color w:val="auto"/>
          <w:highlight w:val="none"/>
        </w:rPr>
        <w:fldChar w:fldCharType="separate"/>
      </w:r>
      <w:r>
        <w:rPr>
          <w:rStyle w:val="58"/>
          <w:rFonts w:hint="eastAsia"/>
          <w:b/>
          <w:color w:val="auto"/>
          <w:highlight w:val="none"/>
        </w:rPr>
        <w:t>第六章 采购合同样本</w:t>
      </w:r>
      <w:r>
        <w:rPr>
          <w:color w:val="auto"/>
          <w:highlight w:val="none"/>
        </w:rPr>
        <w:tab/>
      </w:r>
      <w:r>
        <w:rPr>
          <w:color w:val="auto"/>
          <w:highlight w:val="none"/>
        </w:rPr>
        <w:fldChar w:fldCharType="begin"/>
      </w:r>
      <w:r>
        <w:rPr>
          <w:color w:val="auto"/>
          <w:highlight w:val="none"/>
        </w:rPr>
        <w:instrText xml:space="preserve"> PAGEREF _Toc44162155 \h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34"/>
        <w:spacing w:line="900" w:lineRule="exact"/>
        <w:rPr>
          <w:rFonts w:ascii="Times New Roman" w:hAnsi="Times New Roman"/>
          <w:color w:val="auto"/>
          <w:sz w:val="21"/>
          <w:szCs w:val="24"/>
          <w:highlight w:val="none"/>
        </w:rPr>
      </w:pPr>
      <w:r>
        <w:rPr>
          <w:color w:val="auto"/>
          <w:highlight w:val="none"/>
        </w:rPr>
        <w:fldChar w:fldCharType="begin"/>
      </w:r>
      <w:r>
        <w:rPr>
          <w:color w:val="auto"/>
          <w:highlight w:val="none"/>
        </w:rPr>
        <w:instrText xml:space="preserve"> HYPERLINK \l "_Toc44162156" </w:instrText>
      </w:r>
      <w:r>
        <w:rPr>
          <w:color w:val="auto"/>
          <w:highlight w:val="none"/>
        </w:rPr>
        <w:fldChar w:fldCharType="separate"/>
      </w:r>
      <w:r>
        <w:rPr>
          <w:rStyle w:val="58"/>
          <w:rFonts w:hint="eastAsia"/>
          <w:b/>
          <w:color w:val="auto"/>
          <w:highlight w:val="none"/>
        </w:rPr>
        <w:t>第七章 附件</w:t>
      </w:r>
      <w:r>
        <w:rPr>
          <w:color w:val="auto"/>
          <w:highlight w:val="none"/>
        </w:rPr>
        <w:tab/>
      </w:r>
      <w:r>
        <w:rPr>
          <w:color w:val="auto"/>
          <w:highlight w:val="none"/>
        </w:rPr>
        <w:fldChar w:fldCharType="begin"/>
      </w:r>
      <w:r>
        <w:rPr>
          <w:color w:val="auto"/>
          <w:highlight w:val="none"/>
        </w:rPr>
        <w:instrText xml:space="preserve"> PAGEREF _Toc44162156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spacing w:line="900" w:lineRule="exact"/>
        <w:jc w:val="center"/>
        <w:rPr>
          <w:rFonts w:ascii="宋体" w:hAnsi="宋体"/>
          <w:b/>
          <w:color w:val="auto"/>
          <w:sz w:val="32"/>
          <w:highlight w:val="none"/>
        </w:rPr>
      </w:pPr>
      <w:r>
        <w:rPr>
          <w:rFonts w:ascii="宋体" w:hAnsi="宋体"/>
          <w:color w:val="auto"/>
          <w:highlight w:val="none"/>
        </w:rPr>
        <w:fldChar w:fldCharType="end"/>
      </w:r>
    </w:p>
    <w:p>
      <w:pPr>
        <w:spacing w:line="400" w:lineRule="exact"/>
        <w:jc w:val="center"/>
        <w:rPr>
          <w:rFonts w:ascii="宋体" w:hAnsi="宋体"/>
          <w:b/>
          <w:color w:val="auto"/>
          <w:sz w:val="32"/>
          <w:highlight w:val="none"/>
        </w:rPr>
        <w:sectPr>
          <w:headerReference r:id="rId6" w:type="default"/>
          <w:type w:val="nextColumn"/>
          <w:pgSz w:w="11907" w:h="16840"/>
          <w:pgMar w:top="1135" w:right="1588" w:bottom="854" w:left="1588" w:header="569" w:footer="700" w:gutter="0"/>
          <w:cols w:space="720" w:num="1"/>
          <w:docGrid w:linePitch="285" w:charSpace="0"/>
        </w:sectPr>
      </w:pPr>
    </w:p>
    <w:p>
      <w:pPr>
        <w:spacing w:line="400" w:lineRule="exact"/>
        <w:jc w:val="center"/>
        <w:outlineLvl w:val="0"/>
        <w:rPr>
          <w:rFonts w:ascii="宋体" w:hAnsi="宋体"/>
          <w:b/>
          <w:color w:val="auto"/>
          <w:sz w:val="32"/>
          <w:highlight w:val="none"/>
        </w:rPr>
      </w:pPr>
      <w:bookmarkStart w:id="0" w:name="_Toc44162138"/>
      <w:r>
        <w:rPr>
          <w:rFonts w:hint="eastAsia" w:ascii="宋体" w:hAnsi="宋体"/>
          <w:b/>
          <w:color w:val="auto"/>
          <w:sz w:val="32"/>
          <w:highlight w:val="none"/>
        </w:rPr>
        <w:t xml:space="preserve">第一章  </w:t>
      </w:r>
      <w:bookmarkStart w:id="68" w:name="_GoBack"/>
      <w:r>
        <w:rPr>
          <w:rFonts w:hint="eastAsia" w:ascii="宋体" w:hAnsi="宋体"/>
          <w:b/>
          <w:color w:val="auto"/>
          <w:sz w:val="32"/>
          <w:highlight w:val="none"/>
        </w:rPr>
        <w:t>招标公告</w:t>
      </w:r>
      <w:bookmarkEnd w:id="0"/>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发布日期：2023年0</w:t>
      </w:r>
      <w:r>
        <w:rPr>
          <w:rFonts w:hint="eastAsia"/>
          <w:color w:val="auto"/>
          <w:sz w:val="21"/>
          <w:szCs w:val="21"/>
          <w:highlight w:val="none"/>
          <w:lang w:val="en-US" w:eastAsia="zh-CN"/>
        </w:rPr>
        <w:t>9</w:t>
      </w:r>
      <w:r>
        <w:rPr>
          <w:rFonts w:hint="eastAsia"/>
          <w:color w:val="auto"/>
          <w:sz w:val="21"/>
          <w:szCs w:val="21"/>
          <w:highlight w:val="none"/>
        </w:rPr>
        <w:t>月</w:t>
      </w:r>
      <w:r>
        <w:rPr>
          <w:rFonts w:hint="eastAsia"/>
          <w:color w:val="auto"/>
          <w:sz w:val="21"/>
          <w:szCs w:val="21"/>
          <w:highlight w:val="none"/>
          <w:lang w:val="en-US" w:eastAsia="zh-CN"/>
        </w:rPr>
        <w:t>18</w:t>
      </w:r>
      <w:r>
        <w:rPr>
          <w:rFonts w:hint="eastAsia"/>
          <w:color w:val="auto"/>
          <w:sz w:val="21"/>
          <w:szCs w:val="21"/>
          <w:highlight w:val="none"/>
        </w:rPr>
        <w:t>日</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项目概况</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lang w:eastAsia="zh-CN"/>
        </w:rPr>
        <w:t>宁波大学附属第一医院外滩院区安保服务（含停车场保安）项目</w:t>
      </w:r>
      <w:r>
        <w:rPr>
          <w:rFonts w:hint="eastAsia"/>
          <w:color w:val="auto"/>
          <w:sz w:val="21"/>
          <w:szCs w:val="21"/>
          <w:highlight w:val="none"/>
        </w:rPr>
        <w:t>招标项目的潜在投标人应在政采云平台线上获取（下载）招标文件，并于2023年</w:t>
      </w:r>
      <w:r>
        <w:rPr>
          <w:rFonts w:hint="eastAsia"/>
          <w:color w:val="auto"/>
          <w:sz w:val="21"/>
          <w:szCs w:val="21"/>
          <w:highlight w:val="none"/>
          <w:lang w:val="en-US" w:eastAsia="zh-CN"/>
        </w:rPr>
        <w:t>10</w:t>
      </w:r>
      <w:r>
        <w:rPr>
          <w:rFonts w:hint="eastAsia"/>
          <w:color w:val="auto"/>
          <w:sz w:val="21"/>
          <w:szCs w:val="21"/>
          <w:highlight w:val="none"/>
        </w:rPr>
        <w:t>月</w:t>
      </w:r>
      <w:r>
        <w:rPr>
          <w:rFonts w:hint="eastAsia"/>
          <w:color w:val="auto"/>
          <w:sz w:val="21"/>
          <w:szCs w:val="21"/>
          <w:highlight w:val="none"/>
          <w:lang w:val="en-US" w:eastAsia="zh-CN"/>
        </w:rPr>
        <w:t>08</w:t>
      </w:r>
      <w:r>
        <w:rPr>
          <w:rFonts w:hint="eastAsia"/>
          <w:color w:val="auto"/>
          <w:sz w:val="21"/>
          <w:szCs w:val="21"/>
          <w:highlight w:val="none"/>
        </w:rPr>
        <w:t>日</w:t>
      </w:r>
      <w:r>
        <w:rPr>
          <w:rFonts w:hint="eastAsia"/>
          <w:color w:val="auto"/>
          <w:sz w:val="21"/>
          <w:szCs w:val="21"/>
          <w:highlight w:val="none"/>
          <w:lang w:val="en-US" w:eastAsia="zh-CN"/>
        </w:rPr>
        <w:t>09</w:t>
      </w:r>
      <w:r>
        <w:rPr>
          <w:rFonts w:hint="eastAsia"/>
          <w:color w:val="auto"/>
          <w:sz w:val="21"/>
          <w:szCs w:val="21"/>
          <w:highlight w:val="none"/>
        </w:rPr>
        <w:t>:</w:t>
      </w:r>
      <w:r>
        <w:rPr>
          <w:rFonts w:hint="eastAsia"/>
          <w:color w:val="auto"/>
          <w:sz w:val="21"/>
          <w:szCs w:val="21"/>
          <w:highlight w:val="none"/>
          <w:lang w:val="en-US" w:eastAsia="zh-CN"/>
        </w:rPr>
        <w:t>30</w:t>
      </w:r>
      <w:r>
        <w:rPr>
          <w:rFonts w:hint="eastAsia"/>
          <w:color w:val="auto"/>
          <w:sz w:val="21"/>
          <w:szCs w:val="21"/>
          <w:highlight w:val="none"/>
        </w:rPr>
        <w:t>（北京时间）前递交（上传）投标文件。</w:t>
      </w:r>
    </w:p>
    <w:p>
      <w:pPr>
        <w:pStyle w:val="45"/>
        <w:spacing w:before="0" w:beforeAutospacing="0" w:after="0" w:afterAutospacing="0" w:line="400" w:lineRule="exact"/>
        <w:jc w:val="both"/>
        <w:rPr>
          <w:color w:val="auto"/>
          <w:sz w:val="21"/>
          <w:szCs w:val="21"/>
          <w:highlight w:val="none"/>
        </w:rPr>
      </w:pPr>
      <w:r>
        <w:rPr>
          <w:rStyle w:val="53"/>
          <w:rFonts w:hint="eastAsia"/>
          <w:color w:val="auto"/>
          <w:sz w:val="21"/>
          <w:szCs w:val="21"/>
          <w:highlight w:val="none"/>
        </w:rPr>
        <w:t>一、项目基本情况</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项目编号：NBITC-202311410G</w:t>
      </w:r>
    </w:p>
    <w:p>
      <w:pPr>
        <w:pStyle w:val="45"/>
        <w:spacing w:before="0" w:beforeAutospacing="0" w:after="0" w:afterAutospacing="0" w:line="400" w:lineRule="exact"/>
        <w:rPr>
          <w:rFonts w:hint="eastAsia" w:eastAsia="宋体"/>
          <w:color w:val="auto"/>
          <w:sz w:val="21"/>
          <w:szCs w:val="21"/>
          <w:highlight w:val="none"/>
          <w:lang w:eastAsia="zh-CN"/>
        </w:rPr>
      </w:pPr>
      <w:r>
        <w:rPr>
          <w:rFonts w:hint="eastAsia"/>
          <w:color w:val="auto"/>
          <w:sz w:val="21"/>
          <w:szCs w:val="21"/>
          <w:highlight w:val="none"/>
        </w:rPr>
        <w:t>项目名称：</w:t>
      </w:r>
      <w:r>
        <w:rPr>
          <w:rFonts w:hint="eastAsia"/>
          <w:color w:val="auto"/>
          <w:sz w:val="21"/>
          <w:szCs w:val="21"/>
          <w:highlight w:val="none"/>
          <w:lang w:eastAsia="zh-CN"/>
        </w:rPr>
        <w:t>宁波大学附属第一医院外滩院区安保服务（含停车场保安）项目</w:t>
      </w:r>
    </w:p>
    <w:p>
      <w:pPr>
        <w:pStyle w:val="45"/>
        <w:spacing w:before="0" w:beforeAutospacing="0" w:after="0" w:afterAutospacing="0" w:line="400" w:lineRule="exact"/>
        <w:rPr>
          <w:rFonts w:hint="eastAsia" w:eastAsia="宋体"/>
          <w:color w:val="auto"/>
          <w:sz w:val="21"/>
          <w:szCs w:val="21"/>
          <w:highlight w:val="none"/>
          <w:lang w:val="en-US" w:eastAsia="zh-CN"/>
        </w:rPr>
      </w:pPr>
      <w:r>
        <w:rPr>
          <w:rFonts w:hint="eastAsia"/>
          <w:color w:val="auto"/>
          <w:sz w:val="21"/>
          <w:szCs w:val="21"/>
          <w:highlight w:val="none"/>
        </w:rPr>
        <w:t>预算金额（元）：</w:t>
      </w:r>
      <w:r>
        <w:rPr>
          <w:rFonts w:hint="eastAsia"/>
          <w:color w:val="auto"/>
          <w:sz w:val="21"/>
          <w:szCs w:val="21"/>
          <w:highlight w:val="none"/>
          <w:lang w:eastAsia="zh-CN"/>
        </w:rPr>
        <w:t>6300000</w:t>
      </w:r>
    </w:p>
    <w:p>
      <w:pPr>
        <w:pStyle w:val="45"/>
        <w:spacing w:before="0" w:beforeAutospacing="0" w:after="0" w:afterAutospacing="0" w:line="400" w:lineRule="exact"/>
        <w:rPr>
          <w:rFonts w:hint="eastAsia" w:eastAsia="宋体"/>
          <w:color w:val="auto"/>
          <w:sz w:val="21"/>
          <w:szCs w:val="21"/>
          <w:highlight w:val="none"/>
          <w:lang w:eastAsia="zh-CN"/>
        </w:rPr>
      </w:pPr>
      <w:r>
        <w:rPr>
          <w:rFonts w:hint="eastAsia"/>
          <w:color w:val="auto"/>
          <w:sz w:val="21"/>
          <w:szCs w:val="21"/>
          <w:highlight w:val="none"/>
        </w:rPr>
        <w:t>最高限价（元）：</w:t>
      </w:r>
      <w:r>
        <w:rPr>
          <w:rFonts w:hint="eastAsia"/>
          <w:color w:val="auto"/>
          <w:sz w:val="21"/>
          <w:szCs w:val="21"/>
          <w:highlight w:val="none"/>
          <w:lang w:val="en-US" w:eastAsia="zh-CN"/>
        </w:rPr>
        <w:t>/</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采购需求：</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标项名称:</w:t>
      </w:r>
      <w:r>
        <w:rPr>
          <w:rFonts w:hint="eastAsia"/>
          <w:color w:val="auto"/>
          <w:sz w:val="21"/>
          <w:szCs w:val="21"/>
          <w:highlight w:val="none"/>
          <w:lang w:eastAsia="zh-CN"/>
        </w:rPr>
        <w:t>外滩院区安保服务（含停车场保安）</w:t>
      </w:r>
      <w:r>
        <w:rPr>
          <w:rFonts w:hint="eastAsia"/>
          <w:color w:val="auto"/>
          <w:sz w:val="21"/>
          <w:szCs w:val="21"/>
          <w:highlight w:val="none"/>
        </w:rPr>
        <w:br w:type="textWrapping"/>
      </w:r>
      <w:r>
        <w:rPr>
          <w:rFonts w:hint="eastAsia"/>
          <w:color w:val="auto"/>
          <w:sz w:val="21"/>
          <w:szCs w:val="21"/>
          <w:highlight w:val="none"/>
        </w:rPr>
        <w:t>数量:1</w:t>
      </w:r>
      <w:r>
        <w:rPr>
          <w:rFonts w:hint="eastAsia"/>
          <w:color w:val="auto"/>
          <w:sz w:val="21"/>
          <w:szCs w:val="21"/>
          <w:highlight w:val="none"/>
        </w:rPr>
        <w:br w:type="textWrapping"/>
      </w:r>
      <w:r>
        <w:rPr>
          <w:rFonts w:hint="eastAsia"/>
          <w:color w:val="auto"/>
          <w:sz w:val="21"/>
          <w:szCs w:val="21"/>
          <w:highlight w:val="none"/>
        </w:rPr>
        <w:t>预算金额（元）:</w:t>
      </w:r>
      <w:r>
        <w:rPr>
          <w:rFonts w:hint="eastAsia"/>
          <w:color w:val="auto"/>
          <w:sz w:val="21"/>
          <w:szCs w:val="21"/>
          <w:highlight w:val="none"/>
          <w:lang w:eastAsia="zh-CN"/>
        </w:rPr>
        <w:t>6300000</w:t>
      </w:r>
      <w:r>
        <w:rPr>
          <w:rFonts w:hint="eastAsia"/>
          <w:color w:val="auto"/>
          <w:sz w:val="21"/>
          <w:szCs w:val="21"/>
          <w:highlight w:val="none"/>
        </w:rPr>
        <w:br w:type="textWrapping"/>
      </w:r>
      <w:r>
        <w:rPr>
          <w:rFonts w:hint="eastAsia"/>
          <w:color w:val="auto"/>
          <w:sz w:val="21"/>
          <w:szCs w:val="21"/>
          <w:highlight w:val="none"/>
        </w:rPr>
        <w:t>简要规格描述或项目基本概况介绍、用途：提供外滩院区医疗秩序维护、治安防范、消防安全以及院内人员、设备设施的安全保卫服务</w:t>
      </w:r>
      <w:r>
        <w:rPr>
          <w:rFonts w:hint="eastAsia"/>
          <w:color w:val="auto"/>
          <w:sz w:val="21"/>
          <w:szCs w:val="21"/>
          <w:highlight w:val="none"/>
          <w:lang w:eastAsia="zh-CN"/>
        </w:rPr>
        <w:t>、</w:t>
      </w:r>
      <w:r>
        <w:rPr>
          <w:rFonts w:hint="eastAsia"/>
          <w:color w:val="auto"/>
          <w:sz w:val="21"/>
          <w:szCs w:val="21"/>
          <w:highlight w:val="none"/>
        </w:rPr>
        <w:t>停车场管理</w:t>
      </w:r>
      <w:r>
        <w:rPr>
          <w:rFonts w:hint="eastAsia"/>
          <w:color w:val="auto"/>
          <w:sz w:val="21"/>
          <w:szCs w:val="21"/>
          <w:highlight w:val="none"/>
          <w:lang w:eastAsia="zh-CN"/>
        </w:rPr>
        <w:t>（</w:t>
      </w:r>
      <w:r>
        <w:rPr>
          <w:rFonts w:hint="eastAsia"/>
          <w:color w:val="auto"/>
          <w:sz w:val="21"/>
          <w:szCs w:val="21"/>
          <w:highlight w:val="none"/>
        </w:rPr>
        <w:t>供应商</w:t>
      </w:r>
      <w:r>
        <w:rPr>
          <w:rFonts w:hint="eastAsia"/>
          <w:color w:val="auto"/>
          <w:sz w:val="21"/>
          <w:szCs w:val="21"/>
          <w:highlight w:val="none"/>
          <w:lang w:eastAsia="zh-CN"/>
        </w:rPr>
        <w:t>按月</w:t>
      </w:r>
      <w:r>
        <w:rPr>
          <w:rFonts w:hint="eastAsia"/>
          <w:color w:val="auto"/>
          <w:sz w:val="21"/>
          <w:szCs w:val="21"/>
          <w:highlight w:val="none"/>
        </w:rPr>
        <w:t>支付</w:t>
      </w:r>
      <w:r>
        <w:rPr>
          <w:rFonts w:hint="eastAsia"/>
          <w:color w:val="auto"/>
          <w:sz w:val="21"/>
          <w:szCs w:val="21"/>
          <w:highlight w:val="none"/>
          <w:lang w:eastAsia="zh-CN"/>
        </w:rPr>
        <w:t>给采购人的交纳比例不低于停车收入的</w:t>
      </w:r>
      <w:r>
        <w:rPr>
          <w:rFonts w:hint="eastAsia"/>
          <w:color w:val="auto"/>
          <w:sz w:val="21"/>
          <w:szCs w:val="21"/>
          <w:highlight w:val="none"/>
          <w:lang w:val="en-US" w:eastAsia="zh-CN"/>
        </w:rPr>
        <w:t>80%（含）</w:t>
      </w:r>
      <w:r>
        <w:rPr>
          <w:rFonts w:hint="eastAsia"/>
          <w:color w:val="auto"/>
          <w:sz w:val="21"/>
          <w:szCs w:val="21"/>
          <w:highlight w:val="none"/>
          <w:lang w:eastAsia="zh-CN"/>
        </w:rPr>
        <w:t>）</w:t>
      </w:r>
      <w:r>
        <w:rPr>
          <w:rFonts w:hint="eastAsia"/>
          <w:color w:val="auto"/>
          <w:sz w:val="21"/>
          <w:szCs w:val="21"/>
          <w:highlight w:val="none"/>
        </w:rPr>
        <w:t>；</w:t>
      </w:r>
      <w:r>
        <w:rPr>
          <w:rFonts w:hint="eastAsia"/>
          <w:color w:val="auto"/>
          <w:sz w:val="21"/>
          <w:szCs w:val="21"/>
          <w:highlight w:val="none"/>
          <w:lang w:eastAsia="zh-CN"/>
        </w:rPr>
        <w:t>供应商须同时对保安服务及</w:t>
      </w:r>
      <w:r>
        <w:rPr>
          <w:rFonts w:hint="eastAsia"/>
          <w:color w:val="auto"/>
          <w:sz w:val="21"/>
          <w:szCs w:val="21"/>
          <w:highlight w:val="none"/>
        </w:rPr>
        <w:t>停车收费</w:t>
      </w:r>
      <w:r>
        <w:rPr>
          <w:rFonts w:hint="eastAsia"/>
          <w:color w:val="auto"/>
          <w:sz w:val="21"/>
          <w:szCs w:val="21"/>
          <w:highlight w:val="none"/>
          <w:lang w:eastAsia="zh-CN"/>
        </w:rPr>
        <w:t>交纳</w:t>
      </w:r>
      <w:r>
        <w:rPr>
          <w:rFonts w:hint="eastAsia"/>
          <w:color w:val="auto"/>
          <w:sz w:val="21"/>
          <w:szCs w:val="21"/>
          <w:highlight w:val="none"/>
        </w:rPr>
        <w:t>比例</w:t>
      </w:r>
      <w:r>
        <w:rPr>
          <w:rFonts w:hint="eastAsia"/>
          <w:color w:val="auto"/>
          <w:sz w:val="21"/>
          <w:szCs w:val="21"/>
          <w:highlight w:val="none"/>
          <w:lang w:eastAsia="zh-CN"/>
        </w:rPr>
        <w:t>进行报价，否则作无效投标处理：</w:t>
      </w:r>
      <w:r>
        <w:rPr>
          <w:rFonts w:hint="eastAsia"/>
          <w:color w:val="auto"/>
          <w:sz w:val="21"/>
          <w:szCs w:val="21"/>
          <w:highlight w:val="none"/>
        </w:rPr>
        <w:t>具体详见招标文件第三章招标内容与技术需求。</w:t>
      </w:r>
      <w:r>
        <w:rPr>
          <w:rFonts w:hint="eastAsia"/>
          <w:color w:val="auto"/>
          <w:sz w:val="21"/>
          <w:szCs w:val="21"/>
          <w:highlight w:val="none"/>
        </w:rPr>
        <w:br w:type="textWrapping"/>
      </w:r>
      <w:r>
        <w:rPr>
          <w:rFonts w:hint="eastAsia"/>
          <w:color w:val="auto"/>
          <w:sz w:val="21"/>
          <w:szCs w:val="21"/>
          <w:highlight w:val="none"/>
        </w:rPr>
        <w:t>备注：详细采购需求见本公告附件。</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合同履约期限：标项1，合同签订生效之日起暂定三年，合同一年一签，经双方同意，并经采购人考核合格，报宁波市政府采购管理办公室备案后，可续订下一年度的合同。</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本项目（否）接受联合体投标。</w:t>
      </w:r>
    </w:p>
    <w:p>
      <w:pPr>
        <w:pStyle w:val="45"/>
        <w:spacing w:before="0" w:beforeAutospacing="0" w:after="0" w:afterAutospacing="0" w:line="400" w:lineRule="exact"/>
        <w:rPr>
          <w:color w:val="auto"/>
          <w:sz w:val="21"/>
          <w:szCs w:val="21"/>
          <w:highlight w:val="none"/>
        </w:rPr>
      </w:pPr>
      <w:r>
        <w:rPr>
          <w:rStyle w:val="53"/>
          <w:rFonts w:hint="eastAsia"/>
          <w:color w:val="auto"/>
          <w:sz w:val="21"/>
          <w:szCs w:val="21"/>
          <w:highlight w:val="none"/>
        </w:rPr>
        <w:t>二、申请人的资格要求：</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400" w:lineRule="exact"/>
        <w:jc w:val="left"/>
        <w:rPr>
          <w:rFonts w:ascii="宋体" w:hAnsi="宋体" w:cs="宋体"/>
          <w:color w:val="auto"/>
          <w:szCs w:val="21"/>
          <w:highlight w:val="none"/>
        </w:rPr>
      </w:pPr>
      <w:r>
        <w:rPr>
          <w:rFonts w:hint="eastAsia" w:ascii="宋体" w:hAnsi="宋体" w:cs="宋体"/>
          <w:color w:val="auto"/>
          <w:szCs w:val="21"/>
          <w:highlight w:val="none"/>
        </w:rPr>
        <w:t>2.落实政府采购政策需满足的资格要求：本项目为专门面向中小企业采购：服务全部由符合政策要求的中型、小型或微型企业承接，提供中小企业声明函。（残疾人福利性企业、监狱企业视同小微企业）。</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3.本项目的特定资格要求：供应商须具有公安机关核发的保安服务许可证；</w:t>
      </w:r>
    </w:p>
    <w:p>
      <w:pPr>
        <w:pStyle w:val="45"/>
        <w:spacing w:before="0" w:beforeAutospacing="0" w:after="0" w:afterAutospacing="0" w:line="400" w:lineRule="exact"/>
        <w:jc w:val="both"/>
        <w:rPr>
          <w:color w:val="auto"/>
          <w:sz w:val="21"/>
          <w:szCs w:val="21"/>
          <w:highlight w:val="none"/>
        </w:rPr>
      </w:pPr>
      <w:r>
        <w:rPr>
          <w:rStyle w:val="53"/>
          <w:rFonts w:hint="eastAsia"/>
          <w:color w:val="auto"/>
          <w:sz w:val="21"/>
          <w:szCs w:val="21"/>
          <w:highlight w:val="none"/>
        </w:rPr>
        <w:t>三、获取招标文件</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时间：2023年0</w:t>
      </w:r>
      <w:r>
        <w:rPr>
          <w:rFonts w:hint="eastAsia"/>
          <w:color w:val="auto"/>
          <w:sz w:val="21"/>
          <w:szCs w:val="21"/>
          <w:highlight w:val="none"/>
          <w:lang w:val="en-US" w:eastAsia="zh-CN"/>
        </w:rPr>
        <w:t>9</w:t>
      </w:r>
      <w:r>
        <w:rPr>
          <w:rFonts w:hint="eastAsia"/>
          <w:color w:val="auto"/>
          <w:sz w:val="21"/>
          <w:szCs w:val="21"/>
          <w:highlight w:val="none"/>
        </w:rPr>
        <w:t>月</w:t>
      </w:r>
      <w:r>
        <w:rPr>
          <w:rFonts w:hint="eastAsia"/>
          <w:color w:val="auto"/>
          <w:sz w:val="21"/>
          <w:szCs w:val="21"/>
          <w:highlight w:val="none"/>
          <w:lang w:val="en-US" w:eastAsia="zh-CN"/>
        </w:rPr>
        <w:t>18</w:t>
      </w:r>
      <w:r>
        <w:rPr>
          <w:rFonts w:hint="eastAsia"/>
          <w:color w:val="auto"/>
          <w:sz w:val="21"/>
          <w:szCs w:val="21"/>
          <w:highlight w:val="none"/>
        </w:rPr>
        <w:t>日至2023年0</w:t>
      </w:r>
      <w:r>
        <w:rPr>
          <w:rFonts w:hint="eastAsia"/>
          <w:color w:val="auto"/>
          <w:sz w:val="21"/>
          <w:szCs w:val="21"/>
          <w:highlight w:val="none"/>
          <w:lang w:val="en-US" w:eastAsia="zh-CN"/>
        </w:rPr>
        <w:t>9</w:t>
      </w:r>
      <w:r>
        <w:rPr>
          <w:rFonts w:hint="eastAsia"/>
          <w:color w:val="auto"/>
          <w:sz w:val="21"/>
          <w:szCs w:val="21"/>
          <w:highlight w:val="none"/>
        </w:rPr>
        <w:t>月</w:t>
      </w:r>
      <w:r>
        <w:rPr>
          <w:rFonts w:hint="eastAsia"/>
          <w:color w:val="auto"/>
          <w:sz w:val="21"/>
          <w:szCs w:val="21"/>
          <w:highlight w:val="none"/>
          <w:lang w:val="en-US" w:eastAsia="zh-CN"/>
        </w:rPr>
        <w:t>25</w:t>
      </w:r>
      <w:r>
        <w:rPr>
          <w:rFonts w:hint="eastAsia"/>
          <w:color w:val="auto"/>
          <w:sz w:val="21"/>
          <w:szCs w:val="21"/>
          <w:highlight w:val="none"/>
        </w:rPr>
        <w:t>日，每天上午00:00至12:00，下午12:00至23:59（北京时间，线上获取法定节假日均可，线下获取文件法定节假日除外）</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地点（网址）：政采云平台线上获取</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方式：1、供应商登录政府采购云平台（www.zcygov.cn）的注册账号后，进入政采云系统“项目采购”模块“获取采购文件”菜单，进行网上获取招标文件。如有疑问请及时咨询网站客服，咨询电话：95763。2、获取招标文件前，供应商应在“浙江政府采购网（zfcg.czt.zj.gov.cn）”上进行供应商注册申请，并通过财政部门的终审后登记加入到“浙江省政府采购供应商库”。中标供应商必须注册并登记加入“浙江省政府采购供应商库”。具体要求及注册申请流程详见浙江政府采购网“网上办事指南”的“供应商注册申请”。注册咨询电话：95763，如未注册的供应商，请注意注册所需时间。本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售价（元）：0</w:t>
      </w:r>
    </w:p>
    <w:p>
      <w:pPr>
        <w:pStyle w:val="45"/>
        <w:spacing w:before="0" w:beforeAutospacing="0" w:after="0" w:afterAutospacing="0" w:line="400" w:lineRule="exact"/>
        <w:jc w:val="both"/>
        <w:rPr>
          <w:color w:val="auto"/>
          <w:sz w:val="21"/>
          <w:szCs w:val="21"/>
          <w:highlight w:val="none"/>
        </w:rPr>
      </w:pPr>
      <w:r>
        <w:rPr>
          <w:rStyle w:val="53"/>
          <w:rFonts w:hint="eastAsia"/>
          <w:color w:val="auto"/>
          <w:sz w:val="21"/>
          <w:szCs w:val="21"/>
          <w:highlight w:val="none"/>
        </w:rPr>
        <w:t>四、提交投标文件截止时间、开标时间和地点</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提交投标文件截止时间：2023年</w:t>
      </w:r>
      <w:r>
        <w:rPr>
          <w:rFonts w:hint="eastAsia"/>
          <w:color w:val="auto"/>
          <w:sz w:val="21"/>
          <w:szCs w:val="21"/>
          <w:highlight w:val="none"/>
          <w:lang w:val="en-US" w:eastAsia="zh-CN"/>
        </w:rPr>
        <w:t>10</w:t>
      </w:r>
      <w:r>
        <w:rPr>
          <w:rFonts w:hint="eastAsia"/>
          <w:color w:val="auto"/>
          <w:sz w:val="21"/>
          <w:szCs w:val="21"/>
          <w:highlight w:val="none"/>
        </w:rPr>
        <w:t>月</w:t>
      </w:r>
      <w:r>
        <w:rPr>
          <w:rFonts w:hint="eastAsia"/>
          <w:color w:val="auto"/>
          <w:sz w:val="21"/>
          <w:szCs w:val="21"/>
          <w:highlight w:val="none"/>
          <w:lang w:val="en-US" w:eastAsia="zh-CN"/>
        </w:rPr>
        <w:t>08</w:t>
      </w:r>
      <w:r>
        <w:rPr>
          <w:rFonts w:hint="eastAsia"/>
          <w:color w:val="auto"/>
          <w:sz w:val="21"/>
          <w:szCs w:val="21"/>
          <w:highlight w:val="none"/>
        </w:rPr>
        <w:t>日</w:t>
      </w:r>
      <w:r>
        <w:rPr>
          <w:rFonts w:hint="eastAsia"/>
          <w:color w:val="auto"/>
          <w:sz w:val="21"/>
          <w:szCs w:val="21"/>
          <w:highlight w:val="none"/>
          <w:lang w:val="en-US" w:eastAsia="zh-CN"/>
        </w:rPr>
        <w:t>09</w:t>
      </w:r>
      <w:r>
        <w:rPr>
          <w:rFonts w:hint="eastAsia"/>
          <w:color w:val="auto"/>
          <w:sz w:val="21"/>
          <w:szCs w:val="21"/>
          <w:highlight w:val="none"/>
        </w:rPr>
        <w:t>:</w:t>
      </w:r>
      <w:r>
        <w:rPr>
          <w:rFonts w:hint="eastAsia"/>
          <w:color w:val="auto"/>
          <w:sz w:val="21"/>
          <w:szCs w:val="21"/>
          <w:highlight w:val="none"/>
          <w:lang w:val="en-US" w:eastAsia="zh-CN"/>
        </w:rPr>
        <w:t>30</w:t>
      </w:r>
      <w:r>
        <w:rPr>
          <w:rFonts w:hint="eastAsia"/>
          <w:color w:val="auto"/>
          <w:sz w:val="21"/>
          <w:szCs w:val="21"/>
          <w:highlight w:val="none"/>
        </w:rPr>
        <w:t>（北京时间）</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投标地点（网址）：宁波市国际招标有限公司开标大厅（二）（宁波市江北区环城北路西段207弄19号世茂茂悦商业中心1号楼七楼招投标会议中心）政府采购云平台（www.zcygov.cn）</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开标时间：2023年</w:t>
      </w:r>
      <w:r>
        <w:rPr>
          <w:rFonts w:hint="eastAsia"/>
          <w:color w:val="auto"/>
          <w:sz w:val="21"/>
          <w:szCs w:val="21"/>
          <w:highlight w:val="none"/>
          <w:lang w:val="en-US" w:eastAsia="zh-CN"/>
        </w:rPr>
        <w:t>10</w:t>
      </w:r>
      <w:r>
        <w:rPr>
          <w:rFonts w:hint="eastAsia"/>
          <w:color w:val="auto"/>
          <w:sz w:val="21"/>
          <w:szCs w:val="21"/>
          <w:highlight w:val="none"/>
        </w:rPr>
        <w:t>月</w:t>
      </w:r>
      <w:r>
        <w:rPr>
          <w:rFonts w:hint="eastAsia"/>
          <w:color w:val="auto"/>
          <w:sz w:val="21"/>
          <w:szCs w:val="21"/>
          <w:highlight w:val="none"/>
          <w:lang w:val="en-US" w:eastAsia="zh-CN"/>
        </w:rPr>
        <w:t>08</w:t>
      </w:r>
      <w:r>
        <w:rPr>
          <w:rFonts w:hint="eastAsia"/>
          <w:color w:val="auto"/>
          <w:sz w:val="21"/>
          <w:szCs w:val="21"/>
          <w:highlight w:val="none"/>
        </w:rPr>
        <w:t>日</w:t>
      </w:r>
      <w:r>
        <w:rPr>
          <w:rFonts w:hint="eastAsia"/>
          <w:color w:val="auto"/>
          <w:sz w:val="21"/>
          <w:szCs w:val="21"/>
          <w:highlight w:val="none"/>
          <w:lang w:val="en-US" w:eastAsia="zh-CN"/>
        </w:rPr>
        <w:t>09</w:t>
      </w:r>
      <w:r>
        <w:rPr>
          <w:rFonts w:hint="eastAsia"/>
          <w:color w:val="auto"/>
          <w:sz w:val="21"/>
          <w:szCs w:val="21"/>
          <w:highlight w:val="none"/>
        </w:rPr>
        <w:t>:</w:t>
      </w:r>
      <w:r>
        <w:rPr>
          <w:rFonts w:hint="eastAsia"/>
          <w:color w:val="auto"/>
          <w:sz w:val="21"/>
          <w:szCs w:val="21"/>
          <w:highlight w:val="none"/>
          <w:lang w:val="en-US" w:eastAsia="zh-CN"/>
        </w:rPr>
        <w:t>30</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开标地点（网址）：宁波市国际招标有限公司开标大厅（二）（宁波市江北区环城北路西段207弄19号世茂茂悦商业中心1号楼七楼招投标会议中心）政府采购云平台（www.zcygov.cn）</w:t>
      </w:r>
    </w:p>
    <w:p>
      <w:pPr>
        <w:pStyle w:val="45"/>
        <w:spacing w:before="0" w:beforeAutospacing="0" w:after="0" w:afterAutospacing="0" w:line="400" w:lineRule="exact"/>
        <w:jc w:val="both"/>
        <w:rPr>
          <w:color w:val="auto"/>
          <w:sz w:val="21"/>
          <w:szCs w:val="21"/>
          <w:highlight w:val="none"/>
        </w:rPr>
      </w:pPr>
      <w:r>
        <w:rPr>
          <w:rStyle w:val="53"/>
          <w:rFonts w:hint="eastAsia"/>
          <w:color w:val="auto"/>
          <w:sz w:val="21"/>
          <w:szCs w:val="21"/>
          <w:highlight w:val="none"/>
        </w:rPr>
        <w:t>五、公告期限</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自本公告发布之日起5个工作日。</w:t>
      </w:r>
    </w:p>
    <w:p>
      <w:pPr>
        <w:pStyle w:val="45"/>
        <w:spacing w:before="0" w:beforeAutospacing="0" w:after="0" w:afterAutospacing="0" w:line="400" w:lineRule="exact"/>
        <w:jc w:val="both"/>
        <w:rPr>
          <w:color w:val="auto"/>
          <w:sz w:val="21"/>
          <w:szCs w:val="21"/>
          <w:highlight w:val="none"/>
        </w:rPr>
      </w:pPr>
      <w:r>
        <w:rPr>
          <w:rStyle w:val="53"/>
          <w:rFonts w:hint="eastAsia"/>
          <w:color w:val="auto"/>
          <w:sz w:val="21"/>
          <w:szCs w:val="21"/>
          <w:highlight w:val="none"/>
        </w:rPr>
        <w:t>六、其他补充事宜</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color w:val="auto"/>
          <w:sz w:val="21"/>
          <w:szCs w:val="21"/>
          <w:highlight w:val="none"/>
        </w:rPr>
        <w:br w:type="textWrapping"/>
      </w:r>
      <w:r>
        <w:rPr>
          <w:rFonts w:hint="eastAsia"/>
          <w:color w:val="auto"/>
          <w:sz w:val="21"/>
          <w:szCs w:val="21"/>
          <w:highlight w:val="none"/>
        </w:rPr>
        <w:t>2.其他事项：（1）本项目实行网上投标，采用电子投标文件。若供应商参与投标，自行承担投标一切费用。（2）标前准备：各供应商应在投标截止时间前确保成为浙江政府采购网正式注册入库供应商，并完成CA数字证书办理。因未注册入库、未办理CA数字证书等原因造成无法投标或投标失败等后果由供应商自行承担。（供应商CA申领操作指南：https://help.zcygov.cn/web/site_2/2018/11-29/2452.html，完成CA数字证书办理预计一周左右，请供应商自行把握时间）（3）单位负责人为同一人或者存在直接控股、管理关系的不同供应商，不得参加同一标项号的投标。（4）为本项目提供整体设计、规范编制或者项目管理、监理、检测等服务的供应商，不得再参加本项目的投标。（5）落实的政策：《政府采购促进中小企业发展管理办法》（财库〔2020〕46号）、《关于促进残疾人就业政府采购政策的通知》（财库[2017]141号）、《关于政府采购支持监狱企业发展有关问题的通知》(财库[2014]68号)、《关于环境标志产品政府采购实施的意见》（财库〔2006〕90号、《节能产品政府采购实施意见》的通知（财库〔2004〕185号）。</w:t>
      </w:r>
    </w:p>
    <w:p>
      <w:pPr>
        <w:pStyle w:val="45"/>
        <w:spacing w:before="0" w:beforeAutospacing="0" w:after="0" w:afterAutospacing="0" w:line="400" w:lineRule="exact"/>
        <w:jc w:val="both"/>
        <w:rPr>
          <w:color w:val="auto"/>
          <w:sz w:val="21"/>
          <w:szCs w:val="21"/>
          <w:highlight w:val="none"/>
        </w:rPr>
      </w:pPr>
      <w:r>
        <w:rPr>
          <w:rStyle w:val="53"/>
          <w:rFonts w:hint="eastAsia"/>
          <w:color w:val="auto"/>
          <w:sz w:val="21"/>
          <w:szCs w:val="21"/>
          <w:highlight w:val="none"/>
        </w:rPr>
        <w:t>七、对本次采购提出询问、质疑、投诉，请按以下方式联系</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1.采购人信息</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名称：宁波大学附属第一医院</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地址：宁波市海曙区广济街31号建行大厦</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传真：/</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项目联系人（询问）：毛老师</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项目联系方式（询问）：0574-87085013</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质疑联系人：陈老师</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质疑联系方式：0574-87085029</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2.采购代理机构信息</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名称：宁波市国际招标有限公司</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地址：宁波市江北区环城北路西段207弄19号世茂茂悦商业中心1号楼八楼</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传真：/</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项目联系人（询问）：王媛</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项目联系方式（询问）：0574-87356230</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质疑联系人：姜春辉</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质疑联系方式：0574-87307605</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3.</w:t>
      </w:r>
      <w:r>
        <w:rPr>
          <w:rStyle w:val="61"/>
          <w:rFonts w:hint="eastAsia" w:ascii="宋体" w:hAnsi="宋体"/>
          <w:color w:val="auto"/>
          <w:sz w:val="21"/>
          <w:szCs w:val="21"/>
          <w:highlight w:val="none"/>
        </w:rPr>
        <w:t>同级政府采购监督管理部门</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名称：宁波市政府采购管理办公室</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地址：/</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传真：/</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联系人：李老师</w:t>
      </w:r>
    </w:p>
    <w:p>
      <w:pPr>
        <w:pStyle w:val="45"/>
        <w:spacing w:before="0" w:beforeAutospacing="0" w:after="0" w:afterAutospacing="0" w:line="400" w:lineRule="exact"/>
        <w:rPr>
          <w:color w:val="auto"/>
          <w:sz w:val="21"/>
          <w:szCs w:val="21"/>
          <w:highlight w:val="none"/>
        </w:rPr>
      </w:pPr>
      <w:r>
        <w:rPr>
          <w:rFonts w:hint="eastAsia"/>
          <w:color w:val="auto"/>
          <w:sz w:val="21"/>
          <w:szCs w:val="21"/>
          <w:highlight w:val="none"/>
        </w:rPr>
        <w:t>监督投诉电话：0574-89388042</w:t>
      </w:r>
    </w:p>
    <w:p>
      <w:pPr>
        <w:pStyle w:val="45"/>
        <w:spacing w:before="0" w:beforeAutospacing="0" w:after="0" w:afterAutospacing="0" w:line="400" w:lineRule="exact"/>
        <w:rPr>
          <w:color w:val="auto"/>
          <w:sz w:val="21"/>
          <w:szCs w:val="21"/>
          <w:highlight w:val="none"/>
        </w:rPr>
      </w:pPr>
    </w:p>
    <w:p>
      <w:pPr>
        <w:widowControl/>
        <w:spacing w:line="400" w:lineRule="exact"/>
        <w:jc w:val="left"/>
        <w:rPr>
          <w:rFonts w:ascii="宋体" w:hAnsi="宋体" w:cs="宋体"/>
          <w:color w:val="auto"/>
          <w:szCs w:val="21"/>
          <w:highlight w:val="none"/>
        </w:rPr>
      </w:pPr>
      <w:r>
        <w:rPr>
          <w:rFonts w:hint="eastAsia" w:ascii="宋体" w:hAnsi="宋体" w:cs="宋体"/>
          <w:color w:val="auto"/>
          <w:kern w:val="0"/>
          <w:szCs w:val="21"/>
          <w:highlight w:val="none"/>
        </w:rPr>
        <w:t>若对项目采购电子交易系统操作有疑问，可登录政采云（https://www.zcygov.cn/），点击右侧咨询小采，获取采小蜜智能服务管家帮助，或拨打政采云服务热线95763获取热线服务帮助。</w:t>
      </w:r>
    </w:p>
    <w:p>
      <w:pPr>
        <w:widowControl/>
        <w:spacing w:line="400" w:lineRule="exact"/>
        <w:jc w:val="left"/>
        <w:rPr>
          <w:rFonts w:ascii="宋体" w:hAnsi="宋体" w:cs="宋体"/>
          <w:color w:val="auto"/>
          <w:szCs w:val="21"/>
          <w:highlight w:val="none"/>
        </w:rPr>
      </w:pPr>
      <w:r>
        <w:rPr>
          <w:rFonts w:hint="eastAsia" w:ascii="宋体" w:hAnsi="宋体" w:cs="宋体"/>
          <w:color w:val="auto"/>
          <w:kern w:val="0"/>
          <w:szCs w:val="21"/>
          <w:highlight w:val="none"/>
        </w:rPr>
        <w:t>CA问题联系电话（人工）：汇信CA400-888-4636；天谷CA400-087-8198。</w:t>
      </w:r>
    </w:p>
    <w:bookmarkEnd w:id="68"/>
    <w:p>
      <w:pPr>
        <w:widowControl/>
        <w:spacing w:line="400" w:lineRule="exact"/>
        <w:jc w:val="left"/>
        <w:rPr>
          <w:rFonts w:ascii="宋体" w:hAnsi="宋体" w:cs="宋体"/>
          <w:color w:val="auto"/>
          <w:szCs w:val="21"/>
          <w:highlight w:val="none"/>
        </w:rPr>
      </w:pPr>
    </w:p>
    <w:p>
      <w:pPr>
        <w:widowControl/>
        <w:spacing w:line="400" w:lineRule="exact"/>
        <w:jc w:val="left"/>
        <w:rPr>
          <w:rFonts w:ascii="宋体" w:hAnsi="宋体" w:cs="宋体"/>
          <w:color w:val="auto"/>
          <w:szCs w:val="21"/>
          <w:highlight w:val="none"/>
        </w:rPr>
      </w:pPr>
    </w:p>
    <w:p>
      <w:pPr>
        <w:widowControl/>
        <w:spacing w:line="400" w:lineRule="exact"/>
        <w:jc w:val="left"/>
        <w:rPr>
          <w:rFonts w:ascii="宋体" w:hAnsi="宋体" w:cs="宋体"/>
          <w:color w:val="auto"/>
          <w:szCs w:val="21"/>
          <w:highlight w:val="none"/>
        </w:rPr>
      </w:pPr>
    </w:p>
    <w:p>
      <w:pPr>
        <w:widowControl/>
        <w:spacing w:line="400" w:lineRule="exact"/>
        <w:ind w:firstLine="420" w:firstLineChars="200"/>
        <w:rPr>
          <w:rFonts w:ascii="宋体" w:hAnsi="宋体" w:cs="宋体"/>
          <w:color w:val="auto"/>
          <w:kern w:val="0"/>
          <w:szCs w:val="21"/>
          <w:highlight w:val="none"/>
        </w:rPr>
      </w:pPr>
    </w:p>
    <w:p>
      <w:pPr>
        <w:widowControl/>
        <w:spacing w:line="400" w:lineRule="exact"/>
        <w:ind w:firstLine="420" w:firstLineChars="200"/>
        <w:rPr>
          <w:rFonts w:ascii="宋体" w:hAnsi="宋体" w:cs="宋体"/>
          <w:color w:val="auto"/>
          <w:kern w:val="0"/>
          <w:szCs w:val="21"/>
          <w:highlight w:val="none"/>
        </w:rPr>
        <w:sectPr>
          <w:footerReference r:id="rId7" w:type="default"/>
          <w:pgSz w:w="11907" w:h="16840"/>
          <w:pgMar w:top="851" w:right="1134" w:bottom="1134" w:left="1134" w:header="285" w:footer="701" w:gutter="0"/>
          <w:pgNumType w:fmt="decimal" w:start="1"/>
          <w:cols w:space="720" w:num="1"/>
          <w:docGrid w:linePitch="285" w:charSpace="0"/>
        </w:sectPr>
      </w:pPr>
    </w:p>
    <w:p>
      <w:pPr>
        <w:spacing w:line="400" w:lineRule="exact"/>
        <w:jc w:val="center"/>
        <w:outlineLvl w:val="0"/>
        <w:rPr>
          <w:rFonts w:ascii="宋体" w:hAnsi="宋体"/>
          <w:b/>
          <w:color w:val="auto"/>
          <w:sz w:val="32"/>
          <w:highlight w:val="none"/>
        </w:rPr>
      </w:pPr>
      <w:bookmarkStart w:id="1" w:name="_Toc44162139"/>
      <w:r>
        <w:rPr>
          <w:rFonts w:hint="eastAsia" w:ascii="宋体" w:hAnsi="宋体"/>
          <w:b/>
          <w:color w:val="auto"/>
          <w:sz w:val="32"/>
          <w:highlight w:val="none"/>
        </w:rPr>
        <w:t>第二章  投标须知</w:t>
      </w:r>
      <w:bookmarkEnd w:id="1"/>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一、适用范围</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本招标文件仅适用于本采购项目所叙述的货物和服务的招标、评标、定标、验收、合同履约、付款等（法律、法规另有规定的，从其规定）。</w:t>
      </w:r>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二、定义</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、“采购人”系指宁波大学附属第一医院。</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、“代理机构”系指宁波市国际招标有限公司。</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、“供应商”或“投标人”系指向采购人提交投标文件的供应商。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4、“服务”系指招标文件规定供应商须承担的保安服务</w:t>
      </w:r>
      <w:r>
        <w:rPr>
          <w:rFonts w:hint="eastAsia"/>
          <w:color w:val="auto"/>
          <w:szCs w:val="21"/>
          <w:highlight w:val="none"/>
        </w:rPr>
        <w:t>及其他</w:t>
      </w:r>
      <w:r>
        <w:rPr>
          <w:rFonts w:hint="eastAsia" w:ascii="宋体" w:hAnsi="宋体" w:cs="Arial"/>
          <w:color w:val="auto"/>
          <w:highlight w:val="none"/>
        </w:rPr>
        <w:t>类似服务的义务。</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5、“同级政府采购监管部门”系指</w:t>
      </w:r>
      <w:r>
        <w:rPr>
          <w:rFonts w:hint="eastAsia" w:ascii="宋体" w:hAnsi="宋体"/>
          <w:color w:val="auto"/>
          <w:kern w:val="10"/>
          <w:szCs w:val="21"/>
          <w:highlight w:val="none"/>
          <w:lang w:val="zh-CN"/>
        </w:rPr>
        <w:t>宁波市政府采购管理办公室。</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6、“▲”系指实质性响应条款。</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▲7、合格的投标货物或服务：</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7.1应该是中国境内生产的货物或提供的服务。</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若投标货物或服务是国家实行许可证制度或生产注册证制度的产品或服务，则应具备相应有效的证书。</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招标文件允许采购进口产品的，若投标货物是进口产品，供应商应保证所投产品为可履行合法报通关手续进入中国关境内、在中国海关完税的可合法销售的货物。</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7.2国家规定有标准及规范的，投标货物或服务应按有效的标准及规范执行，应符合国家及招标文件提出的有关技术、质量、安全标准。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7.3供应商应保证所提供的产品或服务免受第三方提出侵犯其知识产权（专利权、商标权、工业设计权及使用权等）的索赔或起诉，否则，由此可能产生的一切法律责任和经济责任均由供应商承担。</w:t>
      </w:r>
    </w:p>
    <w:p>
      <w:pPr>
        <w:spacing w:line="400" w:lineRule="exact"/>
        <w:ind w:firstLine="420" w:firstLineChars="200"/>
        <w:jc w:val="left"/>
        <w:rPr>
          <w:rFonts w:ascii="宋体" w:hAnsi="宋体"/>
          <w:b/>
          <w:color w:val="auto"/>
          <w:szCs w:val="21"/>
          <w:highlight w:val="none"/>
        </w:rPr>
      </w:pPr>
      <w:r>
        <w:rPr>
          <w:rFonts w:hint="eastAsia" w:ascii="宋体" w:hAnsi="宋体"/>
          <w:color w:val="auto"/>
          <w:szCs w:val="21"/>
          <w:highlight w:val="none"/>
        </w:rPr>
        <w:t>▲</w:t>
      </w:r>
      <w:r>
        <w:rPr>
          <w:rFonts w:hint="eastAsia" w:ascii="宋体" w:hAnsi="宋体"/>
          <w:b/>
          <w:color w:val="auto"/>
          <w:szCs w:val="21"/>
          <w:highlight w:val="none"/>
        </w:rPr>
        <w:t>三、供应商的资格要求</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详见采购公告。</w:t>
      </w:r>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四、投标费用</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1、无论投标过程和结果如何，供应商自行承担与投标有关的全部费用。</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本项目不统一组织现场勘察，供应商可以自行前往现场踏勘。现场勘察所发生的费用由供应商自己承担。不论何种原因所造成，在勘察过程中，供应商自行对由此次踏勘现场而造成的死亡、人身伤害、财产损失、损害以及任何其它损失、损害和引起的费用和开支承担责任。</w:t>
      </w:r>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五、投标报价</w:t>
      </w:r>
    </w:p>
    <w:p>
      <w:pPr>
        <w:spacing w:line="400" w:lineRule="exact"/>
        <w:ind w:firstLine="420" w:firstLineChars="200"/>
        <w:jc w:val="left"/>
        <w:rPr>
          <w:rFonts w:hint="eastAsia" w:ascii="宋体" w:hAnsi="宋体"/>
          <w:b/>
          <w:bCs/>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外滩院区安保服务（含停车场保安）：</w:t>
      </w:r>
      <w:r>
        <w:rPr>
          <w:rFonts w:hint="eastAsia" w:ascii="宋体" w:hAnsi="宋体"/>
          <w:bCs/>
          <w:color w:val="auto"/>
          <w:kern w:val="0"/>
          <w:szCs w:val="21"/>
          <w:highlight w:val="none"/>
          <w:lang w:eastAsia="zh-CN"/>
        </w:rPr>
        <w:t>投标报价</w:t>
      </w:r>
      <w:r>
        <w:rPr>
          <w:rFonts w:hint="eastAsia" w:ascii="宋体" w:hAnsi="宋体"/>
          <w:color w:val="auto"/>
          <w:szCs w:val="21"/>
          <w:highlight w:val="none"/>
        </w:rPr>
        <w:t>包括但不仅限于完成医院安全保卫服务所需的人工成本（人员标准工资、考核金、伙食费、防暑降温费用等），安保装备费用（含维修费）、工作需要的各种耗材及其他需要的材料、各种税费、各种管理费用、员工体检费、服装费、员工住宿、办公设备和设施费用及各种专业、专项劳保用品、安全防护用具、安全措施等费用，其他相关费用（通讯补贴、食宿与交通费，仓储、运输费等）</w:t>
      </w:r>
      <w:r>
        <w:rPr>
          <w:rFonts w:hint="eastAsia" w:ascii="宋体" w:hAnsi="宋体"/>
          <w:color w:val="auto"/>
          <w:szCs w:val="21"/>
          <w:highlight w:val="none"/>
          <w:lang w:eastAsia="zh-CN"/>
        </w:rPr>
        <w:t>，停车场设备设施投入、管理费、税金、保险等费用，</w:t>
      </w:r>
      <w:r>
        <w:rPr>
          <w:rFonts w:hint="eastAsia" w:ascii="宋体" w:hAnsi="宋体"/>
          <w:color w:val="auto"/>
          <w:szCs w:val="21"/>
          <w:highlight w:val="none"/>
        </w:rPr>
        <w:t>技术支持与培训及相关劳务支出等完成本项目服务所发生的全部费用，供应商企业利润、税金和政策性文件规定、合同包含的所有风险、责任等各项应有费用以及中标后向采购代理机构支付的代理服务费等所需的全部费用。投标报价为最终报价，除非因特殊原因并经双方协商同意，供应商不得再要求追加任何费用。同时，除非合同条款中另有规定，否则，供应商所报价格在合同实施期间不因市场变化和政策因素而变动。</w:t>
      </w:r>
      <w:r>
        <w:rPr>
          <w:rFonts w:hint="eastAsia" w:ascii="宋体" w:hAnsi="宋体"/>
          <w:b/>
          <w:bCs/>
          <w:color w:val="auto"/>
          <w:szCs w:val="21"/>
          <w:highlight w:val="none"/>
        </w:rPr>
        <w:t>凡影响投标报价的所有相关费用应列入本次报价中。中标后，不得以不完全了解招标文件、建设现场和周围环境等情况为借口，而提出额外补偿或降低服务质量等的要求。</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注：</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（1）人工成本</w:t>
      </w:r>
      <w:r>
        <w:rPr>
          <w:rFonts w:hint="eastAsia" w:ascii="宋体" w:hAnsi="宋体"/>
          <w:color w:val="auto"/>
          <w:szCs w:val="21"/>
          <w:highlight w:val="none"/>
        </w:rPr>
        <w:t>：</w:t>
      </w:r>
      <w:r>
        <w:rPr>
          <w:rFonts w:ascii="宋体" w:hAnsi="宋体"/>
          <w:color w:val="auto"/>
          <w:szCs w:val="21"/>
          <w:highlight w:val="none"/>
        </w:rPr>
        <w:t>含国家和地方相关政府主管部门规定的工资组成费用和各种保险费用。</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（2）安保装备费用</w:t>
      </w:r>
      <w:r>
        <w:rPr>
          <w:rFonts w:hint="eastAsia" w:ascii="宋体" w:hAnsi="宋体"/>
          <w:color w:val="auto"/>
          <w:szCs w:val="21"/>
          <w:highlight w:val="none"/>
        </w:rPr>
        <w:t>：</w:t>
      </w:r>
      <w:r>
        <w:rPr>
          <w:rFonts w:ascii="宋体" w:hAnsi="宋体"/>
          <w:color w:val="auto"/>
          <w:szCs w:val="21"/>
          <w:highlight w:val="none"/>
        </w:rPr>
        <w:t>含维修费</w:t>
      </w:r>
      <w:r>
        <w:rPr>
          <w:rFonts w:hint="eastAsia" w:ascii="宋体" w:hAnsi="宋体"/>
          <w:color w:val="auto"/>
          <w:szCs w:val="21"/>
          <w:highlight w:val="none"/>
        </w:rPr>
        <w:t>、</w:t>
      </w:r>
      <w:r>
        <w:rPr>
          <w:rFonts w:ascii="宋体" w:hAnsi="宋体"/>
          <w:color w:val="auto"/>
          <w:szCs w:val="21"/>
          <w:highlight w:val="none"/>
        </w:rPr>
        <w:t xml:space="preserve">完成本招项目下服务工作需要的各种装备、设备、机械、工具、器具等，包括通讯工具、巡检器材、交通工具等。 </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2、服务期内员工工资不得低于宁波市政府规定的当年最低工资标准、社会保障资金（所有人员必须交纳包括养老、工伤、失业、生育、医疗、工会大病保险等在内的社会保障资金，服务期内不得低于宁波市政府规定的当年社保基数）等各项应有费用。如有漏项，视同已包含在其它项目中。</w:t>
      </w:r>
      <w:r>
        <w:rPr>
          <w:rFonts w:hint="eastAsia" w:ascii="宋体" w:hAnsi="宋体"/>
          <w:b/>
          <w:bCs/>
          <w:color w:val="auto"/>
          <w:szCs w:val="21"/>
          <w:highlight w:val="none"/>
        </w:rPr>
        <w:t>合同执行期间如宁波市社会平均最低工资调整、社保基数调整，包括税金及社会保障金等其它费用调整时所有费用由中标人负责。</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3、采购人根据实际服务质量，认为按招标文件人员配置不能达到“招标内容与技术需求”质量要求的，采购人有权要求供应商增派工作人员以确保服务质量，但费用不另行增加。如果由于采购人要求增加或减少工作内容而导致工作人员的增加或减少的，合同金额采购人将按实际人数根据综合单价调整相应费用，调整范围不超过10%（含10%）。</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4、供应商应详细列明各分项工作相关报价及依据，未列明的相关报价应视为已包含在已列明费用的报价中，采购人将不予单独支付。</w:t>
      </w:r>
    </w:p>
    <w:p>
      <w:pPr>
        <w:spacing w:line="400" w:lineRule="exact"/>
        <w:ind w:firstLine="420" w:firstLineChars="200"/>
        <w:jc w:val="left"/>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2、停车收费交纳比例报价，供应商按月将不低于80%（含）的停车收入支付给采购人。</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、供应商应根据本招标文件规定的工作内容和计划工作量，结合市场及自身情况自行报价。</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、供应商应按招标文件要求认真填写《开标一览表》和《分项报价表》。</w:t>
      </w:r>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六、投标有效期</w:t>
      </w:r>
    </w:p>
    <w:p>
      <w:pPr>
        <w:spacing w:line="400" w:lineRule="exact"/>
        <w:ind w:firstLine="210" w:firstLineChars="100"/>
        <w:jc w:val="left"/>
        <w:rPr>
          <w:rFonts w:ascii="宋体" w:hAnsi="宋体"/>
          <w:b/>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、投标文件从开标之日起，投标有效期为</w:t>
      </w:r>
      <w:r>
        <w:rPr>
          <w:rFonts w:ascii="宋体" w:hAnsi="宋体"/>
          <w:color w:val="auto"/>
          <w:szCs w:val="21"/>
          <w:highlight w:val="none"/>
        </w:rPr>
        <w:t>90</w:t>
      </w:r>
      <w:r>
        <w:rPr>
          <w:rFonts w:hint="eastAsia" w:ascii="宋体" w:hAnsi="宋体"/>
          <w:color w:val="auto"/>
          <w:szCs w:val="21"/>
          <w:highlight w:val="none"/>
        </w:rPr>
        <w:t>个日历日。投标有效期不能小于招标文件的要求。</w:t>
      </w:r>
    </w:p>
    <w:p>
      <w:pPr>
        <w:spacing w:line="400" w:lineRule="exact"/>
        <w:ind w:firstLine="420" w:firstLineChars="200"/>
        <w:jc w:val="left"/>
        <w:rPr>
          <w:rFonts w:ascii="宋体" w:hAnsi="宋体"/>
          <w:b/>
          <w:color w:val="auto"/>
          <w:szCs w:val="21"/>
          <w:highlight w:val="none"/>
        </w:rPr>
      </w:pPr>
      <w:r>
        <w:rPr>
          <w:rFonts w:ascii="宋体" w:hAnsi="宋体"/>
          <w:color w:val="auto"/>
          <w:szCs w:val="21"/>
          <w:highlight w:val="none"/>
        </w:rPr>
        <w:t>2</w:t>
      </w:r>
      <w:r>
        <w:rPr>
          <w:rFonts w:hint="eastAsia" w:ascii="宋体" w:hAnsi="宋体"/>
          <w:color w:val="auto"/>
          <w:szCs w:val="21"/>
          <w:highlight w:val="none"/>
        </w:rPr>
        <w:t>、特殊情况下，采购人可与供应商协商延缓投标文件的有效期，这种要求和答复均以书面形式进行。</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、供应商可拒绝接受延期要求。同意延长有效期的供应商不能修改投标文件。</w:t>
      </w:r>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七、投标文件的形式和效力</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、投标文件分为电子投标文件以及备份投标文件，备份投标文件分为以</w:t>
      </w:r>
      <w:r>
        <w:rPr>
          <w:rFonts w:hint="eastAsia" w:ascii="宋体" w:hAnsi="宋体" w:cs="宋体"/>
          <w:color w:val="auto"/>
          <w:kern w:val="0"/>
          <w:szCs w:val="21"/>
          <w:highlight w:val="none"/>
        </w:rPr>
        <w:t>U盘或光盘存储的电子</w:t>
      </w:r>
      <w:r>
        <w:rPr>
          <w:rFonts w:hint="eastAsia" w:ascii="宋体" w:hAnsi="宋体"/>
          <w:color w:val="auto"/>
          <w:szCs w:val="21"/>
          <w:highlight w:val="none"/>
        </w:rPr>
        <w:t>备份投标文件备份投标文件。</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、电子投标文件，按“项目采购-电子招投标操作指南”及本招标文件要求制作，并加密。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投标文件制作说明：</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（1）应按照本项目招标文件和政府采购云平台的要求编制、加密并递交投标文件。供应商在使用系统进行投标的过程中遇到涉及平台使用的任何问题，可致电政府采购云平台技术支持热线咨询，联系方式：95763。</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（2）供应商通过政府采购云平台电子投标工具制作投标文件。电子投标工具请供应商自行前往浙江政府采购网下载并安装。</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（3）以U盘或光盘存储的电子备份投标文件1份，即按“项目采购-电子招投标操作指南”制作的电子备份文件，以用于异常情况处理。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3、以U盘或光盘存储的电子备份投标文件，按“项目采购-电子招投标操作指南”制作的电子备份文件。</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4、投标文件填写字迹必须清楚、工整，对不同文字文本投标文件的解释发生异议的，以中文文本为准。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5、投标文件的效力</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投标文件的启用，按先后顺位分别为电子投标文件、以U盘或光盘存储的电子备份投标文件。在下一顺位的投标文件启用时，前一顺位的投标文件自动失效。</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电子投标文件未能按时解密，供应商提供了电子备份投标文件的，以电子备份投标文件作为依据，否则视为投标文件撤回。电子投标文件已按时解密的，电子备份投标文件自动失效。</w:t>
      </w:r>
    </w:p>
    <w:p>
      <w:pPr>
        <w:spacing w:line="400" w:lineRule="exact"/>
        <w:ind w:firstLine="422" w:firstLineChars="200"/>
        <w:jc w:val="left"/>
        <w:rPr>
          <w:rFonts w:ascii="宋体" w:hAnsi="宋体"/>
          <w:b/>
          <w:bCs/>
          <w:color w:val="auto"/>
          <w:szCs w:val="21"/>
          <w:highlight w:val="none"/>
        </w:rPr>
      </w:pPr>
      <w:bookmarkStart w:id="2" w:name="_Hlk23147633"/>
      <w:bookmarkStart w:id="3" w:name="_Hlk23150950"/>
      <w:r>
        <w:rPr>
          <w:rFonts w:hint="eastAsia" w:ascii="宋体" w:hAnsi="宋体"/>
          <w:b/>
          <w:bCs/>
          <w:color w:val="auto"/>
          <w:szCs w:val="21"/>
          <w:highlight w:val="none"/>
        </w:rPr>
        <w:t>八、投标文件的组成和份数</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1、投标文件的组成：</w:t>
      </w:r>
    </w:p>
    <w:p>
      <w:pPr>
        <w:spacing w:line="400" w:lineRule="exact"/>
        <w:ind w:firstLine="422" w:firstLineChars="200"/>
        <w:jc w:val="left"/>
        <w:rPr>
          <w:rFonts w:ascii="宋体" w:hAnsi="宋体"/>
          <w:b/>
          <w:bCs/>
          <w:color w:val="auto"/>
          <w:szCs w:val="21"/>
          <w:highlight w:val="none"/>
        </w:rPr>
      </w:pPr>
      <w:r>
        <w:rPr>
          <w:rFonts w:hint="eastAsia" w:ascii="宋体" w:hAnsi="宋体"/>
          <w:b/>
          <w:bCs/>
          <w:color w:val="auto"/>
          <w:szCs w:val="21"/>
          <w:highlight w:val="none"/>
        </w:rPr>
        <w:t>A、第一册：资格文件</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A1、关于资格的承诺函（</w:t>
      </w:r>
      <w:r>
        <w:rPr>
          <w:rFonts w:hint="eastAsia" w:ascii="宋体"/>
          <w:color w:val="auto"/>
          <w:szCs w:val="21"/>
          <w:highlight w:val="none"/>
        </w:rPr>
        <w:t>格式见附件</w:t>
      </w:r>
      <w:r>
        <w:rPr>
          <w:rFonts w:hint="eastAsia" w:ascii="宋体" w:hAnsi="宋体"/>
          <w:color w:val="auto"/>
          <w:szCs w:val="21"/>
          <w:highlight w:val="none"/>
        </w:rPr>
        <w:t>）；</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A</w:t>
      </w:r>
      <w:r>
        <w:rPr>
          <w:rFonts w:hint="eastAsia" w:ascii="宋体" w:hAnsi="宋体"/>
          <w:color w:val="auto"/>
          <w:szCs w:val="21"/>
          <w:highlight w:val="none"/>
        </w:rPr>
        <w:t>2、营业执照副本（或事业法人登记证副本或其他登记证明材料）扫描件加盖供应商公章（供应商如果有名称变更的，应提供由行政主管部门出具的变更证明文件扫描件加盖供应商公章）；</w:t>
      </w:r>
    </w:p>
    <w:p>
      <w:pPr>
        <w:spacing w:line="400" w:lineRule="exact"/>
        <w:ind w:firstLine="420" w:firstLineChars="200"/>
        <w:jc w:val="left"/>
        <w:rPr>
          <w:rFonts w:ascii="宋体" w:hAnsi="宋体"/>
          <w:b/>
          <w:bCs/>
          <w:color w:val="auto"/>
          <w:szCs w:val="21"/>
          <w:highlight w:val="none"/>
        </w:rPr>
      </w:pPr>
      <w:r>
        <w:rPr>
          <w:rFonts w:ascii="宋体" w:hAnsi="宋体"/>
          <w:color w:val="auto"/>
          <w:szCs w:val="21"/>
          <w:highlight w:val="none"/>
        </w:rPr>
        <w:t>A</w:t>
      </w:r>
      <w:r>
        <w:rPr>
          <w:rFonts w:hint="eastAsia" w:ascii="宋体" w:hAnsi="宋体"/>
          <w:color w:val="auto"/>
          <w:szCs w:val="21"/>
          <w:highlight w:val="none"/>
        </w:rPr>
        <w:t>3、</w:t>
      </w:r>
      <w:r>
        <w:rPr>
          <w:rFonts w:hint="eastAsia" w:ascii="宋体" w:hAnsi="宋体" w:cs="宋体"/>
          <w:color w:val="auto"/>
          <w:szCs w:val="21"/>
          <w:highlight w:val="none"/>
        </w:rPr>
        <w:t>公安机关核发的保安服务许可证</w:t>
      </w:r>
      <w:r>
        <w:rPr>
          <w:rFonts w:hint="eastAsia" w:ascii="宋体" w:hAnsi="宋体"/>
          <w:color w:val="auto"/>
          <w:szCs w:val="21"/>
          <w:highlight w:val="none"/>
        </w:rPr>
        <w:t>扫描件加盖供应商公章</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A4、</w:t>
      </w:r>
      <w:r>
        <w:rPr>
          <w:rFonts w:hint="eastAsia" w:ascii="方正书宋简体" w:hAnsi="方正书宋简体"/>
          <w:color w:val="auto"/>
          <w:szCs w:val="21"/>
          <w:highlight w:val="none"/>
        </w:rPr>
        <w:t>中小企业声明函（详见附件）</w:t>
      </w:r>
      <w:r>
        <w:rPr>
          <w:rFonts w:hint="eastAsia" w:ascii="宋体" w:hAnsi="宋体"/>
          <w:color w:val="auto"/>
          <w:szCs w:val="21"/>
          <w:highlight w:val="none"/>
        </w:rPr>
        <w:t>；</w:t>
      </w:r>
    </w:p>
    <w:p>
      <w:pPr>
        <w:spacing w:line="400" w:lineRule="exact"/>
        <w:ind w:firstLine="420" w:firstLineChars="200"/>
        <w:jc w:val="left"/>
        <w:rPr>
          <w:rFonts w:ascii="方正书宋简体" w:hAnsi="方正书宋简体"/>
          <w:color w:val="auto"/>
          <w:szCs w:val="21"/>
          <w:highlight w:val="none"/>
        </w:rPr>
      </w:pPr>
      <w:r>
        <w:rPr>
          <w:rFonts w:hint="eastAsia" w:ascii="方正书宋简体" w:hAnsi="方正书宋简体"/>
          <w:color w:val="auto"/>
          <w:szCs w:val="21"/>
          <w:highlight w:val="none"/>
        </w:rPr>
        <w:t>A5、残疾人福利性单位声明函（详见附件）；</w:t>
      </w:r>
    </w:p>
    <w:p>
      <w:pPr>
        <w:spacing w:line="400" w:lineRule="exact"/>
        <w:ind w:firstLine="420" w:firstLineChars="200"/>
        <w:jc w:val="left"/>
        <w:rPr>
          <w:rFonts w:ascii="方正书宋简体" w:hAnsi="方正书宋简体"/>
          <w:color w:val="auto"/>
          <w:szCs w:val="21"/>
          <w:highlight w:val="none"/>
        </w:rPr>
      </w:pPr>
      <w:r>
        <w:rPr>
          <w:rFonts w:hint="eastAsia" w:ascii="方正书宋简体" w:hAnsi="方正书宋简体"/>
          <w:color w:val="auto"/>
          <w:szCs w:val="21"/>
          <w:highlight w:val="none"/>
        </w:rPr>
        <w:t>A6、供应商认为需要的其他资料（如有需提供）；</w:t>
      </w:r>
    </w:p>
    <w:p>
      <w:pPr>
        <w:spacing w:line="400" w:lineRule="exact"/>
        <w:ind w:firstLine="422" w:firstLineChars="200"/>
        <w:jc w:val="left"/>
        <w:rPr>
          <w:rFonts w:ascii="宋体" w:hAnsi="宋体"/>
          <w:b/>
          <w:bCs/>
          <w:color w:val="auto"/>
          <w:szCs w:val="21"/>
          <w:highlight w:val="none"/>
        </w:rPr>
      </w:pPr>
      <w:r>
        <w:rPr>
          <w:rFonts w:hint="eastAsia" w:ascii="宋体" w:hAnsi="宋体"/>
          <w:b/>
          <w:bCs/>
          <w:color w:val="auto"/>
          <w:szCs w:val="21"/>
          <w:highlight w:val="none"/>
        </w:rPr>
        <w:t>B、第二册：商务和技术文件</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B1、投标书；</w:t>
      </w:r>
      <w:r>
        <w:rPr>
          <w:rFonts w:hint="eastAsia" w:ascii="宋体"/>
          <w:color w:val="auto"/>
          <w:szCs w:val="21"/>
          <w:highlight w:val="none"/>
        </w:rPr>
        <w:t>（格式见附件）</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B2、法定代表人身份证明；</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B3、法定代表人授权书（投标文件由授权代表签字的须提供）；</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B4、供应商一般情况表；</w:t>
      </w:r>
      <w:r>
        <w:rPr>
          <w:rFonts w:hint="eastAsia" w:ascii="宋体"/>
          <w:color w:val="auto"/>
          <w:szCs w:val="21"/>
          <w:highlight w:val="none"/>
        </w:rPr>
        <w:t>（格式见附件）</w:t>
      </w:r>
    </w:p>
    <w:p>
      <w:pPr>
        <w:spacing w:line="400" w:lineRule="exact"/>
        <w:ind w:firstLine="420" w:firstLineChars="200"/>
        <w:jc w:val="left"/>
        <w:rPr>
          <w:rFonts w:ascii="宋体"/>
          <w:color w:val="auto"/>
          <w:szCs w:val="21"/>
          <w:highlight w:val="none"/>
        </w:rPr>
      </w:pPr>
      <w:r>
        <w:rPr>
          <w:rFonts w:hint="eastAsia" w:ascii="宋体" w:hAnsi="宋体"/>
          <w:color w:val="auto"/>
          <w:szCs w:val="21"/>
          <w:highlight w:val="none"/>
        </w:rPr>
        <w:t>B5、</w:t>
      </w:r>
      <w:r>
        <w:rPr>
          <w:rFonts w:hint="eastAsia" w:ascii="宋体"/>
          <w:color w:val="auto"/>
          <w:szCs w:val="21"/>
          <w:highlight w:val="none"/>
        </w:rPr>
        <w:t>招标需求响应表；（格式见附件）</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B6、商务条款响应表；</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B7、第五章“评标办法及标准”中评分标准（兼评委打分表）要求提供的资料（如有需提供）；</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整体服务方案；</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治安维稳方案（包括策划思路、服务目标、服务内容、工作计划）；</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消控管理方案、巡查方案，包括不仅限于各环节管理方案，管理运作流程设计；</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重点区域、重点时段巡逻安保方案，包括不仅限于巡逻区域设置、巡逻时间安排、工作职责；</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lang w:eastAsia="zh-CN"/>
        </w:rPr>
        <w:t>停车场管理</w:t>
      </w:r>
      <w:r>
        <w:rPr>
          <w:rFonts w:hint="eastAsia" w:ascii="宋体" w:hAnsi="宋体"/>
          <w:color w:val="auto"/>
          <w:szCs w:val="21"/>
          <w:highlight w:val="none"/>
        </w:rPr>
        <w:t>方案，管理目标、停车引导、针对不同停车区域设置管理方案；</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重点难点问题的分析准确程度、解决方案及对本项目的合理化建议；</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7）</w:t>
      </w:r>
      <w:r>
        <w:rPr>
          <w:rFonts w:hint="eastAsia" w:ascii="宋体" w:hAnsi="宋体"/>
          <w:color w:val="auto"/>
          <w:szCs w:val="21"/>
          <w:highlight w:val="none"/>
        </w:rPr>
        <w:t>保安装备、办公设备、耗材、用品等配置情况及管理方案(提供设备器材清单一览表，并且注明品牌型号等信息)；</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8）</w:t>
      </w:r>
      <w:r>
        <w:rPr>
          <w:rFonts w:hint="eastAsia" w:ascii="宋体" w:hAnsi="宋体"/>
          <w:color w:val="auto"/>
          <w:szCs w:val="21"/>
          <w:highlight w:val="none"/>
        </w:rPr>
        <w:t>针对本项目人员管理及内部组织管理制度（工作考勤、监督管理机制及奖罚管理等）；</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9）</w:t>
      </w:r>
      <w:r>
        <w:rPr>
          <w:rFonts w:hint="eastAsia" w:ascii="宋体" w:hAnsi="宋体"/>
          <w:color w:val="auto"/>
          <w:szCs w:val="21"/>
          <w:highlight w:val="none"/>
        </w:rPr>
        <w:t>针对本项目现状的理解和服务能力分析情况；</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突发事件的响应时间及处理办法的响应承诺情况；</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11）</w:t>
      </w:r>
      <w:r>
        <w:rPr>
          <w:rFonts w:hint="eastAsia" w:ascii="宋体" w:hAnsi="宋体"/>
          <w:color w:val="auto"/>
          <w:szCs w:val="21"/>
          <w:highlight w:val="none"/>
        </w:rPr>
        <w:t>对突发性公共卫生事件（如针对传染性疾病的防控）的应急预案及相应的措施；</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12）</w:t>
      </w:r>
      <w:r>
        <w:rPr>
          <w:rFonts w:hint="eastAsia" w:ascii="宋体" w:hAnsi="宋体"/>
          <w:color w:val="auto"/>
          <w:szCs w:val="21"/>
          <w:highlight w:val="none"/>
        </w:rPr>
        <w:t>对保安服务区域内的防盗、防火的安全防范巡查、群体性事件、暴恐事件等应急预案及相应的措施；</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13）</w:t>
      </w:r>
      <w:r>
        <w:rPr>
          <w:rFonts w:hint="eastAsia" w:ascii="宋体" w:hAnsi="宋体"/>
          <w:color w:val="auto"/>
          <w:szCs w:val="21"/>
          <w:highlight w:val="none"/>
        </w:rPr>
        <w:t>处理极端天气（台风、暴雨、冻雪）应急预案及相应的措施；</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14）</w:t>
      </w:r>
      <w:r>
        <w:rPr>
          <w:rFonts w:hint="eastAsia" w:ascii="宋体" w:hAnsi="宋体"/>
          <w:color w:val="auto"/>
          <w:szCs w:val="21"/>
          <w:highlight w:val="none"/>
        </w:rPr>
        <w:t>服务支撑能力；</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 xml:space="preserve">15) </w:t>
      </w:r>
      <w:r>
        <w:rPr>
          <w:rFonts w:hint="eastAsia" w:ascii="宋体" w:hAnsi="宋体"/>
          <w:color w:val="auto"/>
          <w:szCs w:val="21"/>
          <w:highlight w:val="none"/>
        </w:rPr>
        <w:t>人员配备情况；</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 xml:space="preserve">16) </w:t>
      </w:r>
      <w:r>
        <w:rPr>
          <w:rFonts w:hint="eastAsia" w:ascii="宋体" w:hAnsi="宋体"/>
          <w:color w:val="auto"/>
          <w:szCs w:val="21"/>
          <w:highlight w:val="none"/>
        </w:rPr>
        <w:t>员工工资福利、人员稳定及人员变动应急方案；</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17）</w:t>
      </w:r>
      <w:r>
        <w:rPr>
          <w:rFonts w:hint="eastAsia" w:ascii="宋体" w:hAnsi="宋体"/>
          <w:color w:val="auto"/>
          <w:szCs w:val="21"/>
          <w:highlight w:val="none"/>
        </w:rPr>
        <w:t>人员培训方案，包括不仅限于培训目标、培训内容、培训方式等；</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B8、供应商认为需要的其他资料（如有需提供）。</w:t>
      </w:r>
    </w:p>
    <w:bookmarkEnd w:id="2"/>
    <w:p>
      <w:pPr>
        <w:spacing w:line="400" w:lineRule="exact"/>
        <w:ind w:firstLine="422" w:firstLineChars="200"/>
        <w:jc w:val="left"/>
        <w:rPr>
          <w:rFonts w:ascii="宋体" w:hAnsi="宋体"/>
          <w:b/>
          <w:color w:val="auto"/>
          <w:szCs w:val="21"/>
          <w:highlight w:val="none"/>
        </w:rPr>
      </w:pPr>
      <w:r>
        <w:rPr>
          <w:rFonts w:ascii="宋体" w:hAnsi="宋体"/>
          <w:b/>
          <w:color w:val="auto"/>
          <w:szCs w:val="21"/>
          <w:highlight w:val="none"/>
        </w:rPr>
        <w:t>C</w:t>
      </w:r>
      <w:r>
        <w:rPr>
          <w:rFonts w:hint="eastAsia" w:ascii="宋体" w:hAnsi="宋体"/>
          <w:b/>
          <w:color w:val="auto"/>
          <w:szCs w:val="21"/>
          <w:highlight w:val="none"/>
        </w:rPr>
        <w:t>、第三册：报价文件</w:t>
      </w:r>
    </w:p>
    <w:bookmarkEnd w:id="3"/>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C1</w:t>
      </w:r>
      <w:r>
        <w:rPr>
          <w:rFonts w:hint="eastAsia" w:ascii="宋体" w:hAnsi="宋体"/>
          <w:color w:val="auto"/>
          <w:szCs w:val="21"/>
          <w:highlight w:val="none"/>
        </w:rPr>
        <w:t>、开标一览表（详见附件）；</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C2、分项报价表（详见附件）；</w:t>
      </w:r>
    </w:p>
    <w:p>
      <w:pPr>
        <w:spacing w:line="400" w:lineRule="exact"/>
        <w:ind w:firstLine="420" w:firstLineChars="200"/>
        <w:jc w:val="left"/>
        <w:rPr>
          <w:rFonts w:ascii="方正书宋简体" w:hAnsi="方正书宋简体"/>
          <w:color w:val="auto"/>
          <w:szCs w:val="21"/>
          <w:highlight w:val="none"/>
        </w:rPr>
      </w:pPr>
      <w:r>
        <w:rPr>
          <w:rFonts w:hint="eastAsia" w:ascii="方正书宋简体" w:hAnsi="方正书宋简体"/>
          <w:color w:val="auto"/>
          <w:szCs w:val="21"/>
          <w:highlight w:val="none"/>
        </w:rPr>
        <w:t>C3、供应商认为需要的其他资料（如有需提供）；</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2、投标文件的份数：</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本项目实行网上投标，供应商应准备以下投标文件：（备份投标文件不强制要求提交，但因电子投标文件未能按时解密或解密失败，供应商又未提交备份投标文件的，将被视为投标文件撤回，投标无效。）</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2.1上传到政府采购云平台的电子投标文件（含资格文件、商务和技术文件、报价文件）1份。</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2.2以U盘或光盘存储的电子备份投标文件（含资格文件、商务和技术文件、报价文件）1份。</w:t>
      </w:r>
    </w:p>
    <w:p>
      <w:pPr>
        <w:spacing w:line="400" w:lineRule="exact"/>
        <w:ind w:firstLine="420" w:firstLineChars="200"/>
        <w:jc w:val="left"/>
        <w:rPr>
          <w:rFonts w:ascii="宋体" w:hAnsi="宋体"/>
          <w:b/>
          <w:bCs/>
          <w:color w:val="auto"/>
          <w:szCs w:val="21"/>
          <w:highlight w:val="none"/>
        </w:rPr>
      </w:pPr>
      <w:r>
        <w:rPr>
          <w:rFonts w:ascii="宋体" w:hAnsi="宋体"/>
          <w:color w:val="auto"/>
          <w:szCs w:val="21"/>
          <w:highlight w:val="none"/>
        </w:rPr>
        <w:t>▲</w:t>
      </w:r>
      <w:r>
        <w:rPr>
          <w:rFonts w:hint="eastAsia" w:ascii="宋体" w:hAnsi="宋体"/>
          <w:b/>
          <w:bCs/>
          <w:color w:val="auto"/>
          <w:szCs w:val="21"/>
          <w:highlight w:val="none"/>
        </w:rPr>
        <w:t>九、投标文件的签署盖章</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1、招标文件第七章“附件”中标明加盖公章或签字的，加盖公章部分采用CA签章，签字部分由法定代表人或授权代表签字后扫描上传或盖电子签章。授权代表签字的，还应附法定代表人签署的法定代表人授权书。</w:t>
      </w:r>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十、投标文件的密封和标记</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1、电子投标文件：供应商应根据“项目采购-电子招投标操作指南”及本招标文件规定的格式和顺序编制电子投标文件并进行关联定位。</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s="宋体"/>
          <w:color w:val="auto"/>
          <w:kern w:val="0"/>
          <w:szCs w:val="21"/>
          <w:highlight w:val="none"/>
        </w:rPr>
        <w:t>以U盘或光盘存储的电子备份投标文件</w:t>
      </w:r>
      <w:r>
        <w:rPr>
          <w:rFonts w:hint="eastAsia" w:ascii="宋体" w:hAnsi="宋体"/>
          <w:b/>
          <w:color w:val="auto"/>
          <w:szCs w:val="21"/>
          <w:highlight w:val="none"/>
        </w:rPr>
        <w:t>用封袋密封后递交。</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hint="eastAsia" w:ascii="宋体" w:hAnsi="宋体" w:cs="宋体"/>
          <w:color w:val="auto"/>
          <w:kern w:val="0"/>
          <w:szCs w:val="21"/>
          <w:highlight w:val="none"/>
        </w:rPr>
        <w:t>电子备份投标文件须在</w:t>
      </w:r>
      <w:r>
        <w:rPr>
          <w:rFonts w:hint="eastAsia" w:ascii="宋体" w:hAnsi="宋体"/>
          <w:color w:val="auto"/>
          <w:szCs w:val="21"/>
          <w:highlight w:val="none"/>
        </w:rPr>
        <w:t>封袋上注明：</w:t>
      </w:r>
    </w:p>
    <w:p>
      <w:pPr>
        <w:tabs>
          <w:tab w:val="left" w:pos="900"/>
        </w:tabs>
        <w:spacing w:line="400" w:lineRule="exact"/>
        <w:ind w:firstLine="420" w:firstLineChars="200"/>
        <w:jc w:val="left"/>
        <w:rPr>
          <w:rFonts w:ascii="宋体" w:hAnsi="宋体"/>
          <w:color w:val="auto"/>
          <w:szCs w:val="21"/>
          <w:highlight w:val="none"/>
          <w:u w:val="singl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）注    明：</w:t>
      </w:r>
      <w:r>
        <w:rPr>
          <w:rFonts w:hint="eastAsia" w:ascii="宋体" w:hAnsi="宋体"/>
          <w:color w:val="auto"/>
          <w:szCs w:val="21"/>
          <w:highlight w:val="none"/>
          <w:u w:val="single"/>
        </w:rPr>
        <w:t xml:space="preserve">    “电子备份投标文件”            </w:t>
      </w:r>
      <w:r>
        <w:rPr>
          <w:rFonts w:hint="eastAsia" w:ascii="宋体" w:hAnsi="宋体"/>
          <w:color w:val="auto"/>
          <w:szCs w:val="21"/>
          <w:highlight w:val="none"/>
        </w:rPr>
        <w:t>；</w:t>
      </w:r>
    </w:p>
    <w:p>
      <w:pPr>
        <w:tabs>
          <w:tab w:val="left" w:pos="900"/>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）采购编号：</w:t>
      </w:r>
      <w:r>
        <w:rPr>
          <w:rFonts w:hint="eastAsia" w:ascii="宋体" w:hAnsi="宋体"/>
          <w:color w:val="auto"/>
          <w:szCs w:val="21"/>
          <w:highlight w:val="none"/>
          <w:u w:val="single"/>
        </w:rPr>
        <w:t>NBITC-202311410G</w:t>
      </w:r>
      <w:r>
        <w:rPr>
          <w:rFonts w:hint="eastAsia" w:ascii="宋体" w:hAnsi="宋体"/>
          <w:color w:val="auto"/>
          <w:szCs w:val="21"/>
          <w:highlight w:val="none"/>
        </w:rPr>
        <w:t>；</w:t>
      </w:r>
    </w:p>
    <w:p>
      <w:pPr>
        <w:tabs>
          <w:tab w:val="left" w:pos="900"/>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）项目名称：</w:t>
      </w:r>
      <w:r>
        <w:rPr>
          <w:rFonts w:hint="eastAsia" w:ascii="宋体" w:hAnsi="宋体"/>
          <w:color w:val="auto"/>
          <w:szCs w:val="21"/>
          <w:highlight w:val="none"/>
          <w:u w:val="single"/>
          <w:lang w:eastAsia="zh-CN"/>
        </w:rPr>
        <w:t>宁波大学附属第一医院外滩院区安保服务（含停车场保安）项目</w:t>
      </w:r>
      <w:r>
        <w:rPr>
          <w:rFonts w:hint="eastAsia" w:ascii="宋体" w:hAnsi="宋体"/>
          <w:color w:val="auto"/>
          <w:szCs w:val="21"/>
          <w:highlight w:val="none"/>
        </w:rPr>
        <w:t>；</w:t>
      </w:r>
    </w:p>
    <w:p>
      <w:pPr>
        <w:tabs>
          <w:tab w:val="left" w:pos="900"/>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）所投标项（如有多个标项须填写）：；</w:t>
      </w:r>
    </w:p>
    <w:p>
      <w:pPr>
        <w:tabs>
          <w:tab w:val="left" w:pos="900"/>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）在  年  月  日（规定的开标日期和时间）前不准启封；</w:t>
      </w:r>
    </w:p>
    <w:p>
      <w:pPr>
        <w:tabs>
          <w:tab w:val="left" w:pos="900"/>
        </w:tabs>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）供应商的名称：。</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供应商须在包封上加盖供应商公章或由其法定代表人（或授权代表）签字。</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供应商未按上述要求标记的，采购人（代理机构）不承担错放或提前开封的责任。</w:t>
      </w:r>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十一、投标文件的递交</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1、投标文件递交的具体要求：</w:t>
      </w:r>
    </w:p>
    <w:p>
      <w:pPr>
        <w:snapToGrid w:val="0"/>
        <w:spacing w:line="40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供应商应当于提交投标文件截止时间前将电子投标文件上传到政府采购云平台（https://www.zcygov.cn/），并应于提交投标文件截止时间前，将以U盘或光盘存储的电子备份投标文件密封，采用现场递交或邮寄送达方式递交。</w:t>
      </w:r>
    </w:p>
    <w:p>
      <w:pPr>
        <w:snapToGrid w:val="0"/>
        <w:spacing w:line="40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方式一：现场递交方式，供应商可安排一名授权代表在投标截止时间前将投标文件送至开标地点：宁波市国际招标有限公司开标大厅（二）（宁波市江北区环城北路西段207弄19号世茂茂悦商业中心1号楼七楼招投标会议中心）。投标文件递交时须同时递交供应商的法定代表人（或其授权代表）联系方式，并保证投标期间联系方式畅通。</w:t>
      </w:r>
    </w:p>
    <w:p>
      <w:pPr>
        <w:snapToGrid w:val="0"/>
        <w:spacing w:line="40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方式二：邮寄送达，送达地址：宁波市国际招标有限公司（宁波市江北区环城北路西段207弄19号世茂茂悦商业中心1号楼八楼015室），联系方式：王媛 0574-87307605。供应商邮寄后须将邮件单号发送至代理机构电子邮箱（电子邮箱：51518128@qq.com），并致电采购代理机构，以便采购代理机构查询物流记录。各供应商应当确保电子备份投标文件的密封包装在邮寄过程保持完好，并在邮寄包裹上注明项目名称、采购编号，因邮寄造成电子备份投标文件密封破损而不符合竞争性招标文件对投标文件的密封要求、或邮寄过程中导致电子备份投标文件未在投标截止时间前送达的，代理机构将拒绝其投标文件。各供应商自行考虑邮寄在途时间，投标文件送达时间以代理机构工作人员实际签收时间为准。</w:t>
      </w:r>
    </w:p>
    <w:p>
      <w:pPr>
        <w:snapToGrid w:val="0"/>
        <w:spacing w:line="40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开标时间后半小时内供应商可以登录政府采购云平台https://www.zcygov.cn/，用“项目采购-开标评标”功能进行解密投标文件。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w:t>
      </w:r>
      <w:r>
        <w:rPr>
          <w:rFonts w:hint="eastAsia"/>
          <w:color w:val="auto"/>
          <w:highlight w:val="none"/>
        </w:rPr>
        <w:t>视为投标文件撤回</w:t>
      </w:r>
      <w:r>
        <w:rPr>
          <w:rFonts w:hint="eastAsia" w:ascii="宋体" w:hAnsi="宋体" w:cs="宋体"/>
          <w:color w:val="auto"/>
          <w:kern w:val="0"/>
          <w:szCs w:val="21"/>
          <w:highlight w:val="none"/>
        </w:rPr>
        <w:t>）。无论是否启用备份电子投标文件，备份电子投标文件均不退还供应商。若供应商在规定时间内无法解密或解密失败且未提供备份电子投标文件或所提供的备份电子投标文件无法读取的，视为投标文件撤回。</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2、供应商未按上述要求密封的电子备份投标文件，代理机构不予受理。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逾期送达的或者未送达指定地点的，</w:t>
      </w:r>
      <w:r>
        <w:rPr>
          <w:rFonts w:hint="eastAsia" w:ascii="宋体" w:hAnsi="宋体"/>
          <w:color w:val="auto"/>
          <w:szCs w:val="21"/>
          <w:highlight w:val="none"/>
        </w:rPr>
        <w:t>代理机构</w:t>
      </w:r>
      <w:r>
        <w:rPr>
          <w:rFonts w:ascii="宋体" w:hAnsi="宋体"/>
          <w:color w:val="auto"/>
          <w:szCs w:val="21"/>
          <w:highlight w:val="none"/>
        </w:rPr>
        <w:t>不予受理。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4、投标文件的补充、修改</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投标截止时间前，供应商可以对递交的投标文件进行补充、修改，</w:t>
      </w:r>
      <w:r>
        <w:rPr>
          <w:rFonts w:hint="eastAsia"/>
          <w:color w:val="auto"/>
          <w:szCs w:val="21"/>
          <w:highlight w:val="none"/>
        </w:rPr>
        <w:t>补充、修改电子投标文件的，应当先行撤回原文件，补充、修改后重新上传，电子备份投标文件也应重新制作。</w:t>
      </w:r>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十二、开标</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代理机构在招标文件规定的时间和地点在公开开标（或在政采云网站开启投标文件），并邀请所有供应商的法定代表人（或授权代表）准时参加。供应商的法定代表人（或授权代表）不参加开标的或迟到参加开标的，视同该供应商默认开标记录，不得事后对开标过程提出任何异议。</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、电子投标开标及评审程序：一阶段开标。</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（1）宣布开标；</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本项目实行网上投标，采用电子投标文件。投标截止时间后，供应商登录政府采购云平台，用“项目采购-开标评标”功能对电子投标文件进行在线解密，在线解密电子投标文件时间为开标时间后半小时内。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视为撤回）。无论是否启用备份电子投标文件，备份电子投标文件均不退还供应商。若供应商在规定时间内无法解密或解密失败且未提供备份电子投标文件或所提供的备份电子投标文件无法读取的，视为投标文件撤回。</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（3）以下流程针对到达开标现场的供应商（未到现场供应商按政采云流程参与网上开标）</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3.1介绍开标现场的人员情况；</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3.2宣读递交投标文件的供应商名单、开标纪律、应当回避的情形等注意事项；</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3.3供应商签署不存在影响公平竞争的《政府采购活动现场确认声明书》；</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（4）在政府采购云平台开启供应商解密后的“资格文件”、“商务和技术文件”、“报价文件”，宣读供应商名称、报价文件中“开标一览表”内容，以及采购人认为必要的其他内容与记录，并做开标记录；</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（5）开标记录在政采云网站确认；</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（6）开标结束。休会，评标委员会对“资格文件”、“商务和技术文件”、“报价文件”进行评审；</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（7）在政府采购云平台公布中标候选人名单及采购人最终确定中标供应商名单的时间和公告方式等。</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3、特别说明：政府采购云平台如对电子化开标及评审程序有调整的，按调整后的程序操作。</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本项目原则上采用政采云电子投标开标及评审程序，但有下情形之一的，按以下情况处理：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（1）若供应商在规定时间内无法解密或解密失败，代理机构将开启上述供应商递交的以U盘存储的电子备份投标文件，上传至政采云平台项目采购模块，以完成开标，电子投标文件自动失效。</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2.1电子交易平台发生故障而无法登录访问的；</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2.2电子交易平台应用或数据库出现错误，不能进行正常操作的；</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2.3电子交易平台发现严重安全漏洞，有潜在泄密危险的；</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 xml:space="preserve">2.4病毒发作导致不能进行正常操作的； </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2.5其他无法保证电子交易的公平、公正和安全的情况。</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出现前款规定情形，不影响采购公平、公正性的，采购人（或代理机构）可以待上述情形消除后继续组织电子交易活动。</w:t>
      </w:r>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十三、评标</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、采购人依据《中华人民共和国政府采购法》、《中华人民共和国政府采购法实施条例》等有关规定组建评标委员会。评标委员会由采购人代表和专家组成，负责本项目的评标工作。</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、评标活动遵循公开、公平、公正、科学和择优的原则。</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、评标委员会按照第五章“评标办法及标准”对投标文件进行评审。第五章“评标办法及标准”没有规定的方法、评审因素和标准，不作为评标依据。</w:t>
      </w:r>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十四、招标文件的澄清和修改</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ascii="宋体" w:hAnsi="宋体"/>
          <w:b/>
          <w:color w:val="auto"/>
          <w:szCs w:val="21"/>
          <w:highlight w:val="none"/>
        </w:rPr>
        <w:t>采购人可以对已发出的招标文件进行必要的澄清或者修改，将以“更正公告”的形式发布在政采云平台，供应商应及时登录政采云平台，进行浏览并下载，未及时浏览下载的责任自负。</w:t>
      </w:r>
      <w:r>
        <w:rPr>
          <w:rFonts w:hint="eastAsia" w:ascii="宋体" w:hAnsi="宋体"/>
          <w:color w:val="auto"/>
          <w:szCs w:val="21"/>
          <w:highlight w:val="none"/>
        </w:rPr>
        <w:t>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招标文件的组成部分，对所有供应商具有约束力。</w:t>
      </w:r>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十五、质疑与投诉</w:t>
      </w:r>
    </w:p>
    <w:p>
      <w:pPr>
        <w:spacing w:line="40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供应商认为采购文件、采购过程、中标或者成交结果使自己的权益受到损害的，可以在知道或者应知其权益受到损害之日起7个工作日内，以书面形式向采购人、代理机构提出质疑。供应商应当在法定质疑期内一次性提出针对采购公告、采购文件、开标评标、采购结果等同一采购程序环节的质疑，第二次提出的质疑视为质疑无效，采购人、代理机构将不予受理（对于采购人、代理机构作出的澄清或者修改的内容提出质疑的除外）。</w:t>
      </w:r>
    </w:p>
    <w:p>
      <w:pPr>
        <w:spacing w:line="400" w:lineRule="exact"/>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400" w:lineRule="exact"/>
        <w:ind w:firstLine="420" w:firstLineChars="2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、供应商提出质疑应当提交质疑函和必要的证明材料，质疑函应当以书面形式提出，质疑函格式和内容须符合财政部《质疑函范本》、《</w:t>
      </w:r>
      <w:r>
        <w:rPr>
          <w:rFonts w:hint="eastAsia"/>
          <w:color w:val="auto"/>
          <w:szCs w:val="21"/>
          <w:highlight w:val="none"/>
        </w:rPr>
        <w:t>投诉书范本》</w:t>
      </w:r>
      <w:r>
        <w:rPr>
          <w:rFonts w:hint="eastAsia" w:ascii="宋体" w:hAnsi="宋体"/>
          <w:color w:val="auto"/>
          <w:szCs w:val="21"/>
          <w:highlight w:val="none"/>
        </w:rPr>
        <w:t>要求，供应商可到中国政府采购网自行下载财政部《质疑函范本》、《</w:t>
      </w:r>
      <w:r>
        <w:rPr>
          <w:rFonts w:hint="eastAsia"/>
          <w:color w:val="auto"/>
          <w:szCs w:val="21"/>
          <w:highlight w:val="none"/>
        </w:rPr>
        <w:t>投诉书范本》</w:t>
      </w:r>
      <w:r>
        <w:rPr>
          <w:rFonts w:hint="eastAsia" w:ascii="宋体" w:hAnsi="宋体"/>
          <w:color w:val="auto"/>
          <w:szCs w:val="21"/>
          <w:highlight w:val="none"/>
        </w:rPr>
        <w:t>。</w:t>
      </w:r>
    </w:p>
    <w:p>
      <w:pPr>
        <w:spacing w:line="400" w:lineRule="exact"/>
        <w:ind w:firstLine="420" w:firstLineChars="200"/>
        <w:rPr>
          <w:rFonts w:asci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供应商质疑实行实名制，质疑函应当署名，供应商为自然人的，应当由本人签字；供应商为法人或者其他组织的，应当由法定代表人、主要负责人，或者其授权代表（指代理人）签字或者盖章，并加盖供应商公章；代理人提出质疑的，应当提交供应商签署的授权委托书；以联合体形式参加政府采购活动的，其质疑应当由组成联合体的所有供应商共同提出。</w:t>
      </w:r>
    </w:p>
    <w:p>
      <w:pPr>
        <w:spacing w:line="400" w:lineRule="exact"/>
        <w:ind w:firstLine="420" w:firstLineChars="200"/>
        <w:rPr>
          <w:rFonts w:asci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、采购人、代理机构接收质疑函的方式：只接收供应商以当面递交、邮寄、传真或电子邮件方式提出的质疑函，以其他方式提出的质疑不予接收。</w:t>
      </w:r>
    </w:p>
    <w:p>
      <w:pPr>
        <w:spacing w:line="400" w:lineRule="exact"/>
        <w:ind w:firstLine="420" w:firstLineChars="200"/>
        <w:rPr>
          <w:rFonts w:ascii="宋体"/>
          <w:color w:val="auto"/>
          <w:szCs w:val="21"/>
          <w:highlight w:val="none"/>
        </w:rPr>
      </w:pPr>
      <w:r>
        <w:rPr>
          <w:rFonts w:hint="eastAsia" w:ascii="宋体" w:hAnsi="宋体"/>
          <w:color w:val="auto"/>
          <w:szCs w:val="21"/>
          <w:highlight w:val="none"/>
        </w:rPr>
        <w:t>采取邮寄方式的，提出质疑的时间为质疑函原件交邮的时间（以邮戳时间或快递收件时间为准）。</w:t>
      </w:r>
    </w:p>
    <w:p>
      <w:pPr>
        <w:spacing w:line="400" w:lineRule="exact"/>
        <w:ind w:firstLine="420" w:firstLineChars="200"/>
        <w:rPr>
          <w:rFonts w:ascii="宋体"/>
          <w:color w:val="auto"/>
          <w:szCs w:val="21"/>
          <w:highlight w:val="none"/>
        </w:rPr>
      </w:pPr>
      <w:r>
        <w:rPr>
          <w:rFonts w:hint="eastAsia" w:ascii="宋体" w:hAnsi="宋体"/>
          <w:color w:val="auto"/>
          <w:szCs w:val="21"/>
          <w:highlight w:val="none"/>
        </w:rPr>
        <w:t>采取传真、电子邮件方式的，供应商应当在传真、电子邮件发出后将质疑函原件邮寄给被质疑人，提出质疑的时间为质疑函原件交邮的时间（以邮戳时间或快递收件时间为准）。</w:t>
      </w:r>
    </w:p>
    <w:p>
      <w:pPr>
        <w:spacing w:line="400" w:lineRule="exact"/>
        <w:ind w:firstLine="420" w:firstLineChars="200"/>
        <w:rPr>
          <w:rFonts w:asci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、采购人、代理机构以实际收到质疑函原件之日作为收到质疑函的日期，将在收到质疑函后</w:t>
      </w:r>
      <w:r>
        <w:rPr>
          <w:rFonts w:ascii="宋体" w:hAnsi="宋体"/>
          <w:color w:val="auto"/>
          <w:szCs w:val="21"/>
          <w:highlight w:val="none"/>
        </w:rPr>
        <w:t>7</w:t>
      </w:r>
      <w:r>
        <w:rPr>
          <w:rFonts w:hint="eastAsia" w:ascii="宋体" w:hAnsi="宋体"/>
          <w:color w:val="auto"/>
          <w:szCs w:val="21"/>
          <w:highlight w:val="none"/>
        </w:rPr>
        <w:t>个工作日内作出答复。</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、采购人、代理机构接收质疑函的联系人、联系电话和通讯地址等信息详见采购公告。</w:t>
      </w:r>
    </w:p>
    <w:p>
      <w:pPr>
        <w:spacing w:line="400" w:lineRule="exact"/>
        <w:ind w:firstLine="422" w:firstLineChars="200"/>
        <w:jc w:val="left"/>
        <w:rPr>
          <w:rFonts w:ascii="宋体" w:hAnsi="宋体"/>
          <w:color w:val="auto"/>
          <w:szCs w:val="21"/>
          <w:highlight w:val="none"/>
        </w:rPr>
      </w:pPr>
      <w:r>
        <w:rPr>
          <w:rFonts w:ascii="宋体" w:hAnsi="宋体"/>
          <w:b/>
          <w:color w:val="auto"/>
          <w:szCs w:val="21"/>
          <w:highlight w:val="none"/>
        </w:rPr>
        <w:t>▲</w:t>
      </w:r>
      <w:r>
        <w:rPr>
          <w:rFonts w:hint="eastAsia" w:ascii="宋体" w:hAnsi="宋体"/>
          <w:b/>
          <w:color w:val="auto"/>
          <w:szCs w:val="21"/>
          <w:highlight w:val="none"/>
        </w:rPr>
        <w:t>十六、预算金额</w:t>
      </w:r>
    </w:p>
    <w:p>
      <w:pPr>
        <w:spacing w:line="400" w:lineRule="exact"/>
        <w:ind w:firstLine="420" w:firstLineChars="200"/>
        <w:jc w:val="left"/>
        <w:rPr>
          <w:rFonts w:ascii="宋体" w:hAnsi="宋体"/>
          <w:color w:val="auto"/>
          <w:szCs w:val="21"/>
          <w:highlight w:val="none"/>
        </w:rPr>
      </w:pPr>
      <w:bookmarkStart w:id="4" w:name="_Hlk37142004"/>
      <w:r>
        <w:rPr>
          <w:rFonts w:hint="eastAsia" w:ascii="宋体" w:hAnsi="宋体"/>
          <w:color w:val="auto"/>
          <w:szCs w:val="21"/>
          <w:highlight w:val="none"/>
          <w:lang w:val="en-US" w:eastAsia="zh-CN"/>
        </w:rPr>
        <w:t>1、</w:t>
      </w:r>
      <w:r>
        <w:rPr>
          <w:rFonts w:hint="eastAsia" w:ascii="宋体" w:hAnsi="宋体"/>
          <w:color w:val="auto"/>
          <w:szCs w:val="21"/>
          <w:highlight w:val="none"/>
        </w:rPr>
        <w:t>本次公开招标</w:t>
      </w:r>
      <w:r>
        <w:rPr>
          <w:rFonts w:hint="eastAsia" w:ascii="宋体" w:hAnsi="宋体"/>
          <w:color w:val="auto"/>
          <w:szCs w:val="21"/>
          <w:highlight w:val="none"/>
          <w:lang w:eastAsia="zh-CN"/>
        </w:rPr>
        <w:t>外滩院区安保服务（含停车场保安）</w:t>
      </w:r>
      <w:r>
        <w:rPr>
          <w:rFonts w:hint="eastAsia" w:ascii="宋体" w:hAnsi="宋体"/>
          <w:color w:val="auto"/>
          <w:szCs w:val="21"/>
          <w:highlight w:val="none"/>
        </w:rPr>
        <w:t>设有预算价：</w:t>
      </w:r>
      <w:r>
        <w:rPr>
          <w:rFonts w:hint="eastAsia" w:ascii="宋体" w:hAnsi="宋体"/>
          <w:color w:val="auto"/>
          <w:szCs w:val="21"/>
          <w:highlight w:val="none"/>
          <w:lang w:eastAsia="zh-CN"/>
        </w:rPr>
        <w:t>630</w:t>
      </w:r>
      <w:r>
        <w:rPr>
          <w:rFonts w:hint="eastAsia" w:ascii="宋体" w:hAnsi="宋体"/>
          <w:color w:val="auto"/>
          <w:szCs w:val="21"/>
          <w:highlight w:val="none"/>
        </w:rPr>
        <w:t>万元/年；</w:t>
      </w:r>
      <w:r>
        <w:rPr>
          <w:rFonts w:hint="eastAsia" w:ascii="宋体" w:hAnsi="宋体"/>
          <w:color w:val="auto"/>
          <w:szCs w:val="21"/>
          <w:highlight w:val="none"/>
          <w:lang w:eastAsia="zh-CN"/>
        </w:rPr>
        <w:t>1890</w:t>
      </w:r>
      <w:r>
        <w:rPr>
          <w:rFonts w:hint="eastAsia" w:ascii="宋体" w:hAnsi="宋体"/>
          <w:color w:val="auto"/>
          <w:szCs w:val="21"/>
          <w:highlight w:val="none"/>
        </w:rPr>
        <w:t>万元/3年；投标报价超出预算金额视为无效报价，将作无效标处理。</w:t>
      </w:r>
    </w:p>
    <w:p>
      <w:pPr>
        <w:spacing w:line="40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color w:val="auto"/>
          <w:szCs w:val="21"/>
          <w:highlight w:val="none"/>
          <w:lang w:val="en-US" w:eastAsia="zh-CN"/>
        </w:rPr>
        <w:t>2、</w:t>
      </w:r>
      <w:r>
        <w:rPr>
          <w:rFonts w:hint="eastAsia" w:ascii="宋体" w:hAnsi="宋体" w:eastAsia="宋体" w:cs="宋体"/>
          <w:b/>
          <w:bCs/>
          <w:color w:val="auto"/>
          <w:szCs w:val="21"/>
          <w:highlight w:val="none"/>
        </w:rPr>
        <w:t>停车收费</w:t>
      </w:r>
      <w:r>
        <w:rPr>
          <w:rFonts w:hint="eastAsia" w:ascii="宋体" w:hAnsi="宋体" w:cs="宋体"/>
          <w:b/>
          <w:bCs/>
          <w:color w:val="auto"/>
          <w:szCs w:val="21"/>
          <w:highlight w:val="none"/>
          <w:lang w:eastAsia="zh-CN"/>
        </w:rPr>
        <w:t>交纳</w:t>
      </w:r>
      <w:r>
        <w:rPr>
          <w:rFonts w:hint="eastAsia" w:ascii="宋体" w:hAnsi="宋体" w:eastAsia="宋体" w:cs="宋体"/>
          <w:b/>
          <w:bCs/>
          <w:color w:val="auto"/>
          <w:szCs w:val="21"/>
          <w:highlight w:val="none"/>
        </w:rPr>
        <w:t>比例</w:t>
      </w:r>
      <w:r>
        <w:rPr>
          <w:rFonts w:hint="eastAsia" w:ascii="宋体" w:hAnsi="宋体" w:eastAsia="宋体" w:cs="宋体"/>
          <w:b/>
          <w:bCs/>
          <w:color w:val="auto"/>
          <w:szCs w:val="21"/>
          <w:highlight w:val="none"/>
          <w:lang w:eastAsia="zh-CN"/>
        </w:rPr>
        <w:t>限价：</w:t>
      </w:r>
      <w:r>
        <w:rPr>
          <w:rFonts w:hint="eastAsia" w:ascii="宋体" w:hAnsi="宋体" w:eastAsia="宋体" w:cs="宋体"/>
          <w:color w:val="auto"/>
          <w:szCs w:val="21"/>
          <w:highlight w:val="none"/>
        </w:rPr>
        <w:t>供应商</w:t>
      </w:r>
      <w:r>
        <w:rPr>
          <w:rFonts w:hint="eastAsia" w:ascii="宋体" w:hAnsi="宋体" w:eastAsia="宋体" w:cs="宋体"/>
          <w:color w:val="auto"/>
          <w:szCs w:val="21"/>
          <w:highlight w:val="none"/>
          <w:lang w:eastAsia="zh-CN"/>
        </w:rPr>
        <w:t>按</w:t>
      </w:r>
      <w:r>
        <w:rPr>
          <w:rFonts w:hint="eastAsia" w:ascii="宋体" w:hAnsi="宋体" w:eastAsia="宋体" w:cs="宋体"/>
          <w:color w:val="auto"/>
          <w:szCs w:val="21"/>
          <w:highlight w:val="none"/>
        </w:rPr>
        <w:t>月支付给采购人</w:t>
      </w:r>
      <w:r>
        <w:rPr>
          <w:rFonts w:hint="eastAsia" w:ascii="宋体" w:hAnsi="宋体" w:eastAsia="宋体" w:cs="宋体"/>
          <w:color w:val="auto"/>
          <w:szCs w:val="21"/>
          <w:highlight w:val="none"/>
          <w:lang w:eastAsia="zh-CN"/>
        </w:rPr>
        <w:t>的停车收入不得低于</w:t>
      </w:r>
      <w:r>
        <w:rPr>
          <w:rFonts w:hint="eastAsia" w:ascii="宋体" w:hAnsi="宋体" w:eastAsia="宋体" w:cs="宋体"/>
          <w:color w:val="auto"/>
          <w:szCs w:val="21"/>
          <w:highlight w:val="none"/>
          <w:lang w:val="en-US" w:eastAsia="zh-CN"/>
        </w:rPr>
        <w:t>80%（含）</w:t>
      </w:r>
      <w:r>
        <w:rPr>
          <w:rFonts w:hint="eastAsia" w:ascii="宋体" w:hAnsi="宋体" w:eastAsia="宋体" w:cs="宋体"/>
          <w:color w:val="auto"/>
          <w:szCs w:val="21"/>
          <w:highlight w:val="none"/>
        </w:rPr>
        <w:t>（扣除医院规定的减免收项目</w:t>
      </w:r>
      <w:r>
        <w:rPr>
          <w:rFonts w:hint="eastAsia" w:ascii="宋体" w:hAnsi="宋体" w:eastAsia="宋体" w:cs="宋体"/>
          <w:color w:val="auto"/>
          <w:szCs w:val="21"/>
          <w:highlight w:val="none"/>
          <w:lang w:eastAsia="zh-CN"/>
        </w:rPr>
        <w:t>后</w:t>
      </w:r>
      <w:r>
        <w:rPr>
          <w:rFonts w:hint="eastAsia" w:ascii="宋体" w:hAnsi="宋体" w:eastAsia="宋体" w:cs="宋体"/>
          <w:color w:val="auto"/>
          <w:szCs w:val="21"/>
          <w:highlight w:val="none"/>
        </w:rPr>
        <w:t>所产生的费用）。投标报价</w:t>
      </w:r>
      <w:r>
        <w:rPr>
          <w:rFonts w:hint="eastAsia" w:ascii="宋体" w:hAnsi="宋体" w:eastAsia="宋体" w:cs="宋体"/>
          <w:color w:val="auto"/>
          <w:szCs w:val="21"/>
          <w:highlight w:val="none"/>
          <w:lang w:eastAsia="zh-CN"/>
        </w:rPr>
        <w:t>低于限价的</w:t>
      </w:r>
      <w:r>
        <w:rPr>
          <w:rFonts w:hint="eastAsia" w:ascii="宋体" w:hAnsi="宋体" w:eastAsia="宋体" w:cs="宋体"/>
          <w:color w:val="auto"/>
          <w:szCs w:val="21"/>
          <w:highlight w:val="none"/>
        </w:rPr>
        <w:t>视为无效报价，将作无效标处理。</w:t>
      </w:r>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十七、招标代理服务费</w:t>
      </w:r>
    </w:p>
    <w:p>
      <w:pPr>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1、本采购代理机构参照国家发改委发改办价格[2003]857号通知和原国家计委计价格[2002]1980号文件规定的招标代理服务收费标准，按照中标通知书确定的保安服务中标总金额，向中标供应商收取招标服务费。</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2、中标供应商应在代理机构发出中标通知书5个工作日内向本代理机构支付招标代理服务费。</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3、招标代理服务费收取银行票汇款、电汇款。</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账户名称：宁波市国际招标有限公司</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开户银行：上海浦东发展银行宁波分行江北支行</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银行账号：9409015</w:t>
      </w:r>
      <w:r>
        <w:rPr>
          <w:rFonts w:hint="eastAsia" w:ascii="宋体" w:hAnsi="宋体"/>
          <w:color w:val="auto"/>
          <w:szCs w:val="21"/>
          <w:highlight w:val="none"/>
          <w:lang w:eastAsia="zh-CN"/>
        </w:rPr>
        <w:t>6300000</w:t>
      </w:r>
      <w:r>
        <w:rPr>
          <w:rFonts w:hint="eastAsia" w:ascii="宋体" w:hAnsi="宋体"/>
          <w:color w:val="auto"/>
          <w:szCs w:val="21"/>
          <w:highlight w:val="none"/>
        </w:rPr>
        <w:t>191</w:t>
      </w:r>
    </w:p>
    <w:bookmarkEnd w:id="4"/>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十八、特别说明</w:t>
      </w:r>
    </w:p>
    <w:p>
      <w:pPr>
        <w:spacing w:line="400" w:lineRule="exact"/>
        <w:ind w:firstLine="420" w:firstLineChars="200"/>
        <w:outlineLvl w:val="0"/>
        <w:rPr>
          <w:rFonts w:ascii="宋体" w:hAnsi="宋体"/>
          <w:color w:val="auto"/>
          <w:szCs w:val="21"/>
          <w:highlight w:val="none"/>
        </w:rPr>
      </w:pPr>
      <w:bookmarkStart w:id="5" w:name="_Toc44162140"/>
      <w:bookmarkStart w:id="6" w:name="_Toc441316546"/>
      <w:bookmarkStart w:id="7" w:name="_Toc21541007"/>
      <w:bookmarkStart w:id="8" w:name="_Toc25472"/>
      <w:bookmarkStart w:id="9" w:name="_Toc436408700"/>
      <w:bookmarkStart w:id="10" w:name="_Toc419729150"/>
      <w:r>
        <w:rPr>
          <w:rFonts w:ascii="宋体" w:hAnsi="宋体"/>
          <w:color w:val="auto"/>
          <w:szCs w:val="21"/>
          <w:highlight w:val="none"/>
        </w:rPr>
        <w:t>1</w:t>
      </w:r>
      <w:r>
        <w:rPr>
          <w:rFonts w:hint="eastAsia" w:ascii="宋体" w:hAnsi="宋体"/>
          <w:color w:val="auto"/>
          <w:szCs w:val="21"/>
          <w:highlight w:val="none"/>
        </w:rPr>
        <w:t>、政府采购活动中有关中小企业的相关规定（采购进口产品的项目不适用）：</w:t>
      </w:r>
      <w:bookmarkEnd w:id="5"/>
      <w:bookmarkEnd w:id="6"/>
      <w:bookmarkEnd w:id="7"/>
      <w:bookmarkEnd w:id="8"/>
      <w:bookmarkEnd w:id="9"/>
      <w:bookmarkEnd w:id="10"/>
    </w:p>
    <w:p>
      <w:pPr>
        <w:spacing w:line="400" w:lineRule="exact"/>
        <w:ind w:firstLine="420" w:firstLineChars="200"/>
        <w:outlineLvl w:val="0"/>
        <w:rPr>
          <w:rFonts w:ascii="宋体" w:hAnsi="宋体"/>
          <w:color w:val="auto"/>
          <w:szCs w:val="21"/>
          <w:highlight w:val="none"/>
        </w:rPr>
      </w:pPr>
      <w:r>
        <w:rPr>
          <w:rFonts w:hint="eastAsia" w:ascii="宋体" w:hAnsi="宋体"/>
          <w:color w:val="auto"/>
          <w:szCs w:val="21"/>
          <w:highlight w:val="none"/>
        </w:rPr>
        <w:t>（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00" w:lineRule="exact"/>
        <w:ind w:firstLine="420" w:firstLineChars="200"/>
        <w:outlineLvl w:val="0"/>
        <w:rPr>
          <w:rFonts w:ascii="宋体" w:hAnsi="宋体"/>
          <w:color w:val="auto"/>
          <w:szCs w:val="21"/>
          <w:highlight w:val="none"/>
        </w:rPr>
      </w:pPr>
      <w:r>
        <w:rPr>
          <w:rFonts w:hint="eastAsia" w:ascii="宋体" w:hAnsi="宋体"/>
          <w:color w:val="auto"/>
          <w:szCs w:val="21"/>
          <w:highlight w:val="none"/>
        </w:rPr>
        <w:t>符合中小企业划分标准的个体工商户，在政府采购活动中视同中小企业。</w:t>
      </w:r>
    </w:p>
    <w:p>
      <w:pPr>
        <w:spacing w:line="400" w:lineRule="exact"/>
        <w:ind w:firstLine="420" w:firstLineChars="200"/>
        <w:outlineLvl w:val="0"/>
        <w:rPr>
          <w:rFonts w:ascii="宋体" w:hAnsi="宋体"/>
          <w:color w:val="auto"/>
          <w:szCs w:val="21"/>
          <w:highlight w:val="none"/>
        </w:rPr>
      </w:pPr>
      <w:r>
        <w:rPr>
          <w:rFonts w:hint="eastAsia" w:ascii="宋体" w:hAnsi="宋体"/>
          <w:color w:val="auto"/>
          <w:szCs w:val="21"/>
          <w:highlight w:val="none"/>
        </w:rPr>
        <w:t>（2）在政府采购活动中，供应商提供的货物、工程或者服务符合下列情形的，享受《政府采购促进中小企业发展管理办法》规定的中小企业扶持政策：</w:t>
      </w:r>
    </w:p>
    <w:p>
      <w:pPr>
        <w:spacing w:line="400" w:lineRule="exact"/>
        <w:ind w:firstLine="420" w:firstLineChars="200"/>
        <w:outlineLvl w:val="0"/>
        <w:rPr>
          <w:rFonts w:ascii="宋体" w:hAnsi="宋体"/>
          <w:color w:val="auto"/>
          <w:szCs w:val="21"/>
          <w:highlight w:val="none"/>
        </w:rPr>
      </w:pPr>
      <w:r>
        <w:rPr>
          <w:rFonts w:hint="eastAsia" w:ascii="宋体" w:hAnsi="宋体"/>
          <w:color w:val="auto"/>
          <w:szCs w:val="21"/>
          <w:highlight w:val="none"/>
        </w:rPr>
        <w:t>2.1在货物采购项目中，货物由中小企业制造，即货物由中小企业生产且使用该中小企业商号或者注册商标；</w:t>
      </w:r>
    </w:p>
    <w:p>
      <w:pPr>
        <w:spacing w:line="400" w:lineRule="exact"/>
        <w:ind w:firstLine="420" w:firstLineChars="200"/>
        <w:outlineLvl w:val="0"/>
        <w:rPr>
          <w:rFonts w:ascii="宋体" w:hAnsi="宋体"/>
          <w:color w:val="auto"/>
          <w:szCs w:val="21"/>
          <w:highlight w:val="none"/>
        </w:rPr>
      </w:pPr>
      <w:r>
        <w:rPr>
          <w:rFonts w:hint="eastAsia" w:ascii="宋体" w:hAnsi="宋体"/>
          <w:color w:val="auto"/>
          <w:szCs w:val="21"/>
          <w:highlight w:val="none"/>
        </w:rPr>
        <w:t>2.2在工程采购项目中，工程由中小企业承建，即工程施工单位为中小企业；</w:t>
      </w:r>
    </w:p>
    <w:p>
      <w:pPr>
        <w:spacing w:line="400" w:lineRule="exact"/>
        <w:ind w:firstLine="420" w:firstLineChars="200"/>
        <w:outlineLvl w:val="0"/>
        <w:rPr>
          <w:rFonts w:ascii="宋体" w:hAnsi="宋体"/>
          <w:color w:val="auto"/>
          <w:szCs w:val="21"/>
          <w:highlight w:val="none"/>
        </w:rPr>
      </w:pPr>
      <w:r>
        <w:rPr>
          <w:rFonts w:hint="eastAsia" w:ascii="宋体" w:hAnsi="宋体"/>
          <w:color w:val="auto"/>
          <w:szCs w:val="21"/>
          <w:highlight w:val="none"/>
        </w:rPr>
        <w:t>2.3在服务采购项目中，服务由中小企业承接，即提供服务的人员为中小企业依照《中华人民共和国劳动民法典》订立劳动合同的从业人员。</w:t>
      </w:r>
    </w:p>
    <w:p>
      <w:pPr>
        <w:spacing w:line="400" w:lineRule="exact"/>
        <w:ind w:firstLine="420" w:firstLineChars="200"/>
        <w:outlineLvl w:val="0"/>
        <w:rPr>
          <w:rFonts w:ascii="宋体" w:hAnsi="宋体"/>
          <w:color w:val="auto"/>
          <w:szCs w:val="21"/>
          <w:highlight w:val="none"/>
        </w:rPr>
      </w:pPr>
      <w:r>
        <w:rPr>
          <w:rFonts w:hint="eastAsia" w:ascii="宋体" w:hAnsi="宋体"/>
          <w:color w:val="auto"/>
          <w:szCs w:val="21"/>
          <w:highlight w:val="none"/>
        </w:rPr>
        <w:t>在货物采购项目中，供应商提供的货物既有中小企业制造货物，也有大型企业制造货物的，不享受《政府采购促进中小企业发展管理办法》规定的中小企业扶持政策。</w:t>
      </w:r>
    </w:p>
    <w:p>
      <w:pPr>
        <w:spacing w:line="400" w:lineRule="exact"/>
        <w:ind w:firstLine="420" w:firstLineChars="200"/>
        <w:outlineLvl w:val="0"/>
        <w:rPr>
          <w:rFonts w:ascii="宋体" w:hAnsi="宋体"/>
          <w:color w:val="auto"/>
          <w:szCs w:val="21"/>
          <w:highlight w:val="none"/>
        </w:rPr>
      </w:pPr>
      <w:r>
        <w:rPr>
          <w:rFonts w:hint="eastAsia" w:ascii="宋体" w:hAnsi="宋体"/>
          <w:color w:val="auto"/>
          <w:szCs w:val="21"/>
          <w:highlight w:val="none"/>
        </w:rPr>
        <w:t>以联合体形式参加政府采购活动，联合体各方均为中小企业的，联合体视同中小企业。其中，联合体各方均为小微企业的，联合体视同小微企业。</w:t>
      </w:r>
    </w:p>
    <w:p>
      <w:pPr>
        <w:spacing w:line="400" w:lineRule="exact"/>
        <w:ind w:firstLine="420" w:firstLineChars="200"/>
        <w:outlineLvl w:val="0"/>
        <w:rPr>
          <w:rFonts w:ascii="宋体" w:hAnsi="宋体"/>
          <w:color w:val="auto"/>
          <w:szCs w:val="21"/>
          <w:highlight w:val="none"/>
        </w:rPr>
      </w:pPr>
      <w:r>
        <w:rPr>
          <w:rFonts w:hint="eastAsia" w:ascii="宋体" w:hAnsi="宋体"/>
          <w:color w:val="auto"/>
          <w:szCs w:val="21"/>
          <w:highlight w:val="none"/>
        </w:rPr>
        <w:t>2.4中小企业参加政府采购活动，应当出具《政府采购促进中小企业发展管理办法》规定的《中小企业声明函》（格式见本采购文件附件），否则不得享受相关中小企业扶持政策。</w:t>
      </w:r>
    </w:p>
    <w:p>
      <w:pPr>
        <w:spacing w:line="400" w:lineRule="exact"/>
        <w:ind w:firstLine="420" w:firstLineChars="200"/>
        <w:outlineLvl w:val="0"/>
        <w:rPr>
          <w:rFonts w:ascii="宋体" w:hAnsi="宋体"/>
          <w:color w:val="auto"/>
          <w:szCs w:val="21"/>
          <w:highlight w:val="none"/>
        </w:rPr>
      </w:pPr>
      <w:r>
        <w:rPr>
          <w:rFonts w:hint="eastAsia" w:ascii="宋体" w:hAnsi="宋体"/>
          <w:color w:val="auto"/>
          <w:szCs w:val="21"/>
          <w:highlight w:val="none"/>
        </w:rPr>
        <w:t>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400" w:lineRule="exact"/>
        <w:ind w:firstLine="420" w:firstLineChars="200"/>
        <w:outlineLvl w:val="0"/>
        <w:rPr>
          <w:rFonts w:ascii="宋体" w:hAnsi="宋体"/>
          <w:color w:val="auto"/>
          <w:szCs w:val="21"/>
          <w:highlight w:val="none"/>
        </w:rPr>
      </w:pPr>
      <w:r>
        <w:rPr>
          <w:rFonts w:hint="eastAsia" w:ascii="宋体" w:hAnsi="宋体"/>
          <w:color w:val="auto"/>
          <w:szCs w:val="21"/>
          <w:highlight w:val="none"/>
        </w:rPr>
        <w:t>供应商提供声明函内容不实的，属于提供虚假材料谋取中标、成交，依照《中华人民共和国政府采购法》等国家有关规定追究相应责任。</w:t>
      </w:r>
    </w:p>
    <w:p>
      <w:pPr>
        <w:spacing w:line="400" w:lineRule="exact"/>
        <w:ind w:firstLine="420" w:firstLineChars="200"/>
        <w:outlineLvl w:val="0"/>
        <w:rPr>
          <w:rFonts w:ascii="宋体" w:hAnsi="宋体"/>
          <w:color w:val="auto"/>
          <w:szCs w:val="21"/>
          <w:highlight w:val="none"/>
        </w:rPr>
      </w:pPr>
      <w:r>
        <w:rPr>
          <w:rFonts w:hint="eastAsia" w:ascii="宋体" w:hAnsi="宋体"/>
          <w:color w:val="auto"/>
          <w:szCs w:val="21"/>
          <w:highlight w:val="none"/>
        </w:rPr>
        <w:t>适用招标投标法的政府采购工程建设项目，供应商提供声明函内容不实的，属于弄虚作假骗取中标，依照《中华人民共和国招标投标法》等国家有关规定追究相应责任。</w:t>
      </w:r>
    </w:p>
    <w:p>
      <w:pPr>
        <w:spacing w:line="400" w:lineRule="exact"/>
        <w:ind w:firstLine="420" w:firstLineChars="200"/>
        <w:outlineLvl w:val="0"/>
        <w:rPr>
          <w:rFonts w:ascii="宋体" w:hAnsi="宋体"/>
          <w:color w:val="auto"/>
          <w:szCs w:val="21"/>
          <w:highlight w:val="none"/>
        </w:rPr>
      </w:pPr>
      <w:r>
        <w:rPr>
          <w:rFonts w:hint="eastAsia" w:ascii="宋体" w:hAnsi="宋体"/>
          <w:color w:val="auto"/>
          <w:szCs w:val="21"/>
          <w:highlight w:val="none"/>
        </w:rPr>
        <w:t>2.5《中小企业声明函》由参加投标的供应商提交，如供应商为代理商，须自行采集制造商的中小企业划分类型信息填入相应栏目并对其真实性负责。</w:t>
      </w:r>
    </w:p>
    <w:p>
      <w:pPr>
        <w:spacing w:line="400" w:lineRule="exact"/>
        <w:ind w:firstLine="420" w:firstLineChars="200"/>
        <w:outlineLvl w:val="0"/>
        <w:rPr>
          <w:rFonts w:ascii="宋体" w:hAnsi="宋体"/>
          <w:color w:val="auto"/>
          <w:szCs w:val="21"/>
          <w:highlight w:val="none"/>
        </w:rPr>
      </w:pPr>
      <w:bookmarkStart w:id="11" w:name="_Toc44162148"/>
      <w:bookmarkStart w:id="12" w:name="_Toc495244277"/>
      <w:bookmarkStart w:id="13" w:name="_Toc21541015"/>
      <w:bookmarkStart w:id="14" w:name="_Toc26428"/>
      <w:r>
        <w:rPr>
          <w:rFonts w:ascii="宋体" w:hAnsi="宋体"/>
          <w:color w:val="auto"/>
          <w:szCs w:val="21"/>
          <w:highlight w:val="none"/>
        </w:rPr>
        <w:t>2</w:t>
      </w:r>
      <w:r>
        <w:rPr>
          <w:rFonts w:hint="eastAsia" w:ascii="宋体" w:hAnsi="宋体"/>
          <w:color w:val="auto"/>
          <w:szCs w:val="21"/>
          <w:highlight w:val="none"/>
        </w:rPr>
        <w:t>、执行财政部、司法部《关于政府采购支持监狱企业发展有关问题的通知》。监狱企业（监狱和戒毒企业）提供自己企业的产品（服务）参加投标视同小型、微型企业，享受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11"/>
      <w:bookmarkEnd w:id="12"/>
      <w:bookmarkEnd w:id="13"/>
      <w:bookmarkEnd w:id="14"/>
    </w:p>
    <w:p>
      <w:pPr>
        <w:spacing w:line="400" w:lineRule="exact"/>
        <w:ind w:firstLine="420" w:firstLineChars="200"/>
        <w:outlineLvl w:val="0"/>
        <w:rPr>
          <w:rFonts w:ascii="宋体" w:hAnsi="宋体"/>
          <w:color w:val="auto"/>
          <w:szCs w:val="21"/>
          <w:highlight w:val="none"/>
        </w:rPr>
      </w:pPr>
      <w:bookmarkStart w:id="15" w:name="_Toc44162149"/>
      <w:bookmarkStart w:id="16" w:name="_Toc21541016"/>
      <w:bookmarkStart w:id="17" w:name="_Toc22421"/>
      <w:r>
        <w:rPr>
          <w:rFonts w:ascii="宋体" w:hAnsi="宋体"/>
          <w:color w:val="auto"/>
          <w:szCs w:val="21"/>
          <w:highlight w:val="none"/>
        </w:rPr>
        <w:t>3</w:t>
      </w:r>
      <w:r>
        <w:rPr>
          <w:rFonts w:hint="eastAsia" w:ascii="宋体" w:hAnsi="宋体"/>
          <w:color w:val="auto"/>
          <w:szCs w:val="21"/>
          <w:highlight w:val="none"/>
        </w:rPr>
        <w:t>、执行《三部门联合发布关于促进残疾人就业政府采购政策的通知》，在政府采购活动中，残疾人福利性单位视同小型、微型企业，享受政府采购促进中小企业发展的政府采购政策，残疾人福利性单位参加政府采购活动时，应当提供《残疾人福利性单位声明函》（格式见第七章附件），并对声明的真实性负责，未能提供的不予认可。</w:t>
      </w:r>
      <w:bookmarkEnd w:id="15"/>
      <w:bookmarkEnd w:id="16"/>
      <w:bookmarkEnd w:id="17"/>
    </w:p>
    <w:p>
      <w:pPr>
        <w:spacing w:line="400" w:lineRule="exact"/>
        <w:ind w:firstLine="420" w:firstLineChars="200"/>
        <w:outlineLvl w:val="0"/>
        <w:rPr>
          <w:rFonts w:ascii="宋体" w:hAnsi="宋体"/>
          <w:color w:val="auto"/>
          <w:szCs w:val="21"/>
          <w:highlight w:val="none"/>
        </w:rPr>
      </w:pPr>
      <w:bookmarkStart w:id="18" w:name="_Toc44162150"/>
      <w:bookmarkStart w:id="19" w:name="_Toc21541017"/>
      <w:bookmarkStart w:id="20" w:name="_Toc14131"/>
      <w:bookmarkStart w:id="21" w:name="_Toc419729158"/>
      <w:r>
        <w:rPr>
          <w:rFonts w:ascii="宋体" w:hAnsi="宋体"/>
          <w:color w:val="auto"/>
          <w:szCs w:val="21"/>
          <w:highlight w:val="none"/>
        </w:rPr>
        <w:t>4</w:t>
      </w:r>
      <w:r>
        <w:rPr>
          <w:rFonts w:hint="eastAsia" w:ascii="宋体" w:hAnsi="宋体"/>
          <w:color w:val="auto"/>
          <w:szCs w:val="21"/>
          <w:highlight w:val="none"/>
        </w:rPr>
        <w:t>、本项目不组织潜在供应商现场考察或者召开开标前答疑。</w:t>
      </w:r>
      <w:bookmarkEnd w:id="18"/>
      <w:bookmarkEnd w:id="19"/>
      <w:bookmarkEnd w:id="20"/>
    </w:p>
    <w:p>
      <w:pPr>
        <w:spacing w:line="400" w:lineRule="exact"/>
        <w:ind w:firstLine="420" w:firstLineChars="200"/>
        <w:outlineLvl w:val="0"/>
        <w:rPr>
          <w:rFonts w:ascii="宋体" w:hAnsi="宋体"/>
          <w:color w:val="auto"/>
          <w:szCs w:val="21"/>
          <w:highlight w:val="none"/>
        </w:rPr>
      </w:pPr>
      <w:bookmarkStart w:id="22" w:name="_Toc44162151"/>
      <w:bookmarkStart w:id="23" w:name="_Toc21897"/>
      <w:bookmarkStart w:id="24" w:name="_Toc21541018"/>
      <w:r>
        <w:rPr>
          <w:rFonts w:ascii="宋体" w:hAnsi="宋体"/>
          <w:color w:val="auto"/>
          <w:szCs w:val="21"/>
          <w:highlight w:val="none"/>
        </w:rPr>
        <w:t>5</w:t>
      </w:r>
      <w:r>
        <w:rPr>
          <w:rFonts w:hint="eastAsia" w:ascii="宋体" w:hAnsi="宋体"/>
          <w:color w:val="auto"/>
          <w:szCs w:val="21"/>
          <w:highlight w:val="none"/>
        </w:rPr>
        <w:t>、本文件未及事项，在签订合同时供需及使用方友好商定。</w:t>
      </w:r>
      <w:bookmarkEnd w:id="21"/>
      <w:bookmarkEnd w:id="22"/>
      <w:bookmarkEnd w:id="23"/>
      <w:bookmarkEnd w:id="24"/>
    </w:p>
    <w:p>
      <w:pPr>
        <w:spacing w:line="400" w:lineRule="exact"/>
        <w:ind w:firstLine="420" w:firstLineChars="200"/>
        <w:outlineLvl w:val="0"/>
        <w:rPr>
          <w:rFonts w:ascii="宋体" w:hAnsi="宋体"/>
          <w:color w:val="auto"/>
          <w:szCs w:val="21"/>
          <w:highlight w:val="none"/>
        </w:rPr>
      </w:pPr>
      <w:bookmarkStart w:id="25" w:name="_Toc419729159"/>
      <w:r>
        <w:rPr>
          <w:rFonts w:hint="eastAsia" w:ascii="宋体" w:hAnsi="宋体"/>
          <w:color w:val="auto"/>
          <w:szCs w:val="21"/>
          <w:highlight w:val="none"/>
        </w:rPr>
        <w:t>6、本招标文件解释权归采购人。</w:t>
      </w:r>
      <w:bookmarkEnd w:id="25"/>
    </w:p>
    <w:p>
      <w:pPr>
        <w:spacing w:line="400" w:lineRule="exact"/>
        <w:rPr>
          <w:rFonts w:ascii="宋体" w:hAnsi="宋体"/>
          <w:color w:val="auto"/>
          <w:szCs w:val="21"/>
          <w:highlight w:val="none"/>
        </w:rPr>
      </w:pPr>
    </w:p>
    <w:p>
      <w:pPr>
        <w:spacing w:line="400" w:lineRule="exact"/>
        <w:jc w:val="center"/>
        <w:outlineLvl w:val="0"/>
        <w:rPr>
          <w:rFonts w:ascii="宋体" w:hAnsi="宋体"/>
          <w:b/>
          <w:color w:val="auto"/>
          <w:sz w:val="32"/>
          <w:highlight w:val="none"/>
        </w:rPr>
      </w:pPr>
      <w:r>
        <w:rPr>
          <w:rFonts w:hint="eastAsia" w:ascii="宋体" w:hAnsi="宋体"/>
          <w:b/>
          <w:color w:val="auto"/>
          <w:sz w:val="32"/>
          <w:highlight w:val="none"/>
        </w:rPr>
        <w:br w:type="page"/>
      </w:r>
      <w:bookmarkStart w:id="26" w:name="_Toc44162152"/>
      <w:r>
        <w:rPr>
          <w:rFonts w:hint="eastAsia" w:ascii="宋体" w:hAnsi="宋体"/>
          <w:b/>
          <w:color w:val="auto"/>
          <w:sz w:val="32"/>
          <w:highlight w:val="none"/>
        </w:rPr>
        <w:t>第三章  招标内容与技术需求</w:t>
      </w:r>
      <w:bookmarkEnd w:id="26"/>
    </w:p>
    <w:p>
      <w:pPr>
        <w:spacing w:line="700" w:lineRule="exact"/>
        <w:jc w:val="center"/>
        <w:rPr>
          <w:rFonts w:ascii="宋体" w:hAnsi="宋体"/>
          <w:color w:val="auto"/>
          <w:szCs w:val="21"/>
          <w:highlight w:val="none"/>
        </w:rPr>
      </w:pPr>
      <w:r>
        <w:rPr>
          <w:rFonts w:hint="eastAsia" w:ascii="宋体" w:hAnsi="宋体"/>
          <w:b/>
          <w:color w:val="auto"/>
          <w:sz w:val="28"/>
          <w:highlight w:val="none"/>
        </w:rPr>
        <w:t>一、招标项目清单</w:t>
      </w:r>
    </w:p>
    <w:tbl>
      <w:tblPr>
        <w:tblStyle w:val="50"/>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695"/>
        <w:gridCol w:w="3433"/>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6"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序号</w:t>
            </w:r>
          </w:p>
        </w:tc>
        <w:tc>
          <w:tcPr>
            <w:tcW w:w="1695"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服务名称</w:t>
            </w:r>
          </w:p>
        </w:tc>
        <w:tc>
          <w:tcPr>
            <w:tcW w:w="3433"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服务期限</w:t>
            </w:r>
          </w:p>
        </w:tc>
        <w:tc>
          <w:tcPr>
            <w:tcW w:w="3453"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6"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w:t>
            </w:r>
          </w:p>
        </w:tc>
        <w:tc>
          <w:tcPr>
            <w:tcW w:w="1695" w:type="dxa"/>
            <w:vAlign w:val="center"/>
          </w:tcPr>
          <w:p>
            <w:pPr>
              <w:spacing w:line="320" w:lineRule="exact"/>
              <w:jc w:val="center"/>
              <w:rPr>
                <w:rFonts w:hint="eastAsia" w:ascii="宋体" w:hAnsi="宋体" w:eastAsia="宋体"/>
                <w:color w:val="auto"/>
                <w:szCs w:val="21"/>
                <w:highlight w:val="none"/>
                <w:lang w:eastAsia="zh-CN"/>
              </w:rPr>
            </w:pPr>
            <w:r>
              <w:rPr>
                <w:rFonts w:hint="eastAsia" w:ascii="宋体" w:hAnsi="宋体"/>
                <w:color w:val="auto"/>
                <w:spacing w:val="10"/>
                <w:szCs w:val="21"/>
                <w:highlight w:val="none"/>
                <w:lang w:eastAsia="zh-CN"/>
              </w:rPr>
              <w:t>外滩院区安保服务（含停车场保安）</w:t>
            </w:r>
          </w:p>
        </w:tc>
        <w:tc>
          <w:tcPr>
            <w:tcW w:w="3433" w:type="dxa"/>
            <w:vAlign w:val="center"/>
          </w:tcPr>
          <w:p>
            <w:pPr>
              <w:spacing w:line="320" w:lineRule="exact"/>
              <w:rPr>
                <w:color w:val="auto"/>
                <w:highlight w:val="none"/>
              </w:rPr>
            </w:pPr>
            <w:r>
              <w:rPr>
                <w:rFonts w:hint="eastAsia"/>
                <w:color w:val="auto"/>
                <w:highlight w:val="none"/>
              </w:rPr>
              <w:t>三年</w:t>
            </w:r>
          </w:p>
          <w:p>
            <w:pPr>
              <w:spacing w:line="320" w:lineRule="exact"/>
              <w:ind w:firstLine="420" w:firstLineChars="200"/>
              <w:rPr>
                <w:color w:val="auto"/>
                <w:highlight w:val="none"/>
              </w:rPr>
            </w:pPr>
            <w:r>
              <w:rPr>
                <w:rFonts w:hint="eastAsia" w:ascii="宋体" w:hAnsi="宋体" w:cs="宋体"/>
                <w:color w:val="auto"/>
                <w:szCs w:val="21"/>
                <w:highlight w:val="none"/>
              </w:rPr>
              <w:t>合同签订生效之日起暂定三年，合同一年一签，经双方同意，并经采购人考核合格，报宁波市政府采购管理办公室备案后，可续订下一年度的合同。</w:t>
            </w:r>
          </w:p>
        </w:tc>
        <w:tc>
          <w:tcPr>
            <w:tcW w:w="3453" w:type="dxa"/>
            <w:vAlign w:val="center"/>
          </w:tcPr>
          <w:p>
            <w:pPr>
              <w:widowControl/>
              <w:spacing w:line="400" w:lineRule="exact"/>
              <w:ind w:firstLine="420" w:firstLineChars="200"/>
              <w:rPr>
                <w:rFonts w:ascii="宋体" w:hAnsi="宋体"/>
                <w:color w:val="auto"/>
                <w:szCs w:val="21"/>
                <w:highlight w:val="none"/>
              </w:rPr>
            </w:pPr>
            <w:r>
              <w:rPr>
                <w:rFonts w:hint="eastAsia"/>
                <w:color w:val="auto"/>
                <w:szCs w:val="21"/>
                <w:highlight w:val="none"/>
              </w:rPr>
              <w:t>宁波大学附属第一医院所属区域的医疗秩序维护、治安防范、消防安全以及院内人员、设备设施的安全保卫服务</w:t>
            </w:r>
            <w:r>
              <w:rPr>
                <w:rFonts w:hint="eastAsia"/>
                <w:color w:val="auto"/>
                <w:sz w:val="21"/>
                <w:szCs w:val="21"/>
                <w:highlight w:val="none"/>
                <w:lang w:eastAsia="zh-CN"/>
              </w:rPr>
              <w:t>、</w:t>
            </w:r>
            <w:r>
              <w:rPr>
                <w:rFonts w:hint="eastAsia"/>
                <w:color w:val="auto"/>
                <w:sz w:val="21"/>
                <w:szCs w:val="21"/>
                <w:highlight w:val="none"/>
              </w:rPr>
              <w:t>停车场管理</w:t>
            </w:r>
            <w:r>
              <w:rPr>
                <w:rFonts w:hint="eastAsia"/>
                <w:color w:val="auto"/>
                <w:szCs w:val="21"/>
                <w:highlight w:val="none"/>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487" w:type="dxa"/>
            <w:gridSpan w:val="4"/>
            <w:vAlign w:val="center"/>
          </w:tcPr>
          <w:p>
            <w:pPr>
              <w:spacing w:line="320" w:lineRule="exact"/>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本次公开招标</w:t>
            </w:r>
            <w:r>
              <w:rPr>
                <w:rFonts w:hint="eastAsia" w:ascii="宋体" w:hAnsi="宋体"/>
                <w:color w:val="auto"/>
                <w:szCs w:val="21"/>
                <w:highlight w:val="none"/>
                <w:lang w:eastAsia="zh-CN"/>
              </w:rPr>
              <w:t>外滩院区安保服务（含停车场保安）</w:t>
            </w:r>
            <w:r>
              <w:rPr>
                <w:rFonts w:hint="eastAsia" w:ascii="宋体" w:hAnsi="宋体"/>
                <w:color w:val="auto"/>
                <w:szCs w:val="21"/>
                <w:highlight w:val="none"/>
              </w:rPr>
              <w:t>设有预算价：</w:t>
            </w:r>
            <w:r>
              <w:rPr>
                <w:rFonts w:hint="eastAsia" w:ascii="宋体" w:hAnsi="宋体"/>
                <w:color w:val="auto"/>
                <w:szCs w:val="21"/>
                <w:highlight w:val="none"/>
                <w:lang w:eastAsia="zh-CN"/>
              </w:rPr>
              <w:t>630</w:t>
            </w:r>
            <w:r>
              <w:rPr>
                <w:rFonts w:hint="eastAsia" w:ascii="宋体" w:hAnsi="宋体"/>
                <w:color w:val="auto"/>
                <w:szCs w:val="21"/>
                <w:highlight w:val="none"/>
              </w:rPr>
              <w:t>万元/年；</w:t>
            </w:r>
            <w:r>
              <w:rPr>
                <w:rFonts w:hint="eastAsia" w:ascii="宋体" w:hAnsi="宋体"/>
                <w:color w:val="auto"/>
                <w:szCs w:val="21"/>
                <w:highlight w:val="none"/>
                <w:lang w:eastAsia="zh-CN"/>
              </w:rPr>
              <w:t>1890</w:t>
            </w:r>
            <w:r>
              <w:rPr>
                <w:rFonts w:hint="eastAsia" w:ascii="宋体" w:hAnsi="宋体"/>
                <w:color w:val="auto"/>
                <w:szCs w:val="21"/>
                <w:highlight w:val="none"/>
              </w:rPr>
              <w:t>万元/3年；投标报价超出预算金额视为无效报价，将作无效标处理。</w:t>
            </w:r>
          </w:p>
          <w:p>
            <w:pPr>
              <w:spacing w:line="320" w:lineRule="exact"/>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停车收费</w:t>
            </w:r>
            <w:r>
              <w:rPr>
                <w:rFonts w:hint="eastAsia" w:ascii="宋体" w:hAnsi="宋体"/>
                <w:color w:val="auto"/>
                <w:szCs w:val="21"/>
                <w:highlight w:val="none"/>
                <w:lang w:eastAsia="zh-CN"/>
              </w:rPr>
              <w:t>交纳</w:t>
            </w:r>
            <w:r>
              <w:rPr>
                <w:rFonts w:hint="eastAsia" w:ascii="宋体" w:hAnsi="宋体"/>
                <w:color w:val="auto"/>
                <w:szCs w:val="21"/>
                <w:highlight w:val="none"/>
              </w:rPr>
              <w:t>比例</w:t>
            </w:r>
            <w:r>
              <w:rPr>
                <w:rFonts w:hint="eastAsia" w:ascii="宋体" w:hAnsi="宋体"/>
                <w:color w:val="auto"/>
                <w:szCs w:val="21"/>
                <w:highlight w:val="none"/>
                <w:lang w:eastAsia="zh-CN"/>
              </w:rPr>
              <w:t>限价：</w:t>
            </w:r>
            <w:r>
              <w:rPr>
                <w:rFonts w:hint="eastAsia" w:ascii="宋体" w:hAnsi="宋体"/>
                <w:color w:val="auto"/>
                <w:szCs w:val="21"/>
                <w:highlight w:val="none"/>
              </w:rPr>
              <w:t>供应商</w:t>
            </w:r>
            <w:r>
              <w:rPr>
                <w:rFonts w:hint="eastAsia" w:ascii="宋体" w:hAnsi="宋体"/>
                <w:color w:val="auto"/>
                <w:szCs w:val="21"/>
                <w:highlight w:val="none"/>
                <w:lang w:eastAsia="zh-CN"/>
              </w:rPr>
              <w:t>按</w:t>
            </w:r>
            <w:r>
              <w:rPr>
                <w:rFonts w:hint="eastAsia" w:ascii="宋体" w:hAnsi="宋体"/>
                <w:color w:val="auto"/>
                <w:szCs w:val="21"/>
                <w:highlight w:val="none"/>
              </w:rPr>
              <w:t>月支付给采购人</w:t>
            </w:r>
            <w:r>
              <w:rPr>
                <w:rFonts w:hint="eastAsia" w:ascii="宋体" w:hAnsi="宋体"/>
                <w:color w:val="auto"/>
                <w:szCs w:val="21"/>
                <w:highlight w:val="none"/>
                <w:lang w:eastAsia="zh-CN"/>
              </w:rPr>
              <w:t>的停车收入不得低于</w:t>
            </w:r>
            <w:r>
              <w:rPr>
                <w:rFonts w:hint="eastAsia" w:ascii="宋体" w:hAnsi="宋体"/>
                <w:color w:val="auto"/>
                <w:szCs w:val="21"/>
                <w:highlight w:val="none"/>
                <w:lang w:val="en-US" w:eastAsia="zh-CN"/>
              </w:rPr>
              <w:t>80%（含）</w:t>
            </w:r>
            <w:r>
              <w:rPr>
                <w:rFonts w:hint="eastAsia" w:ascii="宋体" w:hAnsi="宋体"/>
                <w:color w:val="auto"/>
                <w:szCs w:val="21"/>
                <w:highlight w:val="none"/>
              </w:rPr>
              <w:t>（扣除医院规定的减免收项目</w:t>
            </w:r>
            <w:r>
              <w:rPr>
                <w:rFonts w:hint="eastAsia" w:ascii="宋体" w:hAnsi="宋体"/>
                <w:color w:val="auto"/>
                <w:szCs w:val="21"/>
                <w:highlight w:val="none"/>
                <w:lang w:eastAsia="zh-CN"/>
              </w:rPr>
              <w:t>后</w:t>
            </w:r>
            <w:r>
              <w:rPr>
                <w:rFonts w:hint="eastAsia" w:ascii="宋体" w:hAnsi="宋体"/>
                <w:color w:val="auto"/>
                <w:szCs w:val="21"/>
                <w:highlight w:val="none"/>
              </w:rPr>
              <w:t>所产生的费用）。投标报价</w:t>
            </w:r>
            <w:r>
              <w:rPr>
                <w:rFonts w:hint="eastAsia" w:ascii="宋体" w:hAnsi="宋体"/>
                <w:color w:val="auto"/>
                <w:szCs w:val="21"/>
                <w:highlight w:val="none"/>
                <w:lang w:eastAsia="zh-CN"/>
              </w:rPr>
              <w:t>低于限价的</w:t>
            </w:r>
            <w:r>
              <w:rPr>
                <w:rFonts w:hint="eastAsia" w:ascii="宋体" w:hAnsi="宋体"/>
                <w:color w:val="auto"/>
                <w:szCs w:val="21"/>
                <w:highlight w:val="none"/>
              </w:rPr>
              <w:t>视为无效报价，将作无效标处理。</w:t>
            </w:r>
          </w:p>
        </w:tc>
      </w:tr>
    </w:tbl>
    <w:p>
      <w:pPr>
        <w:pStyle w:val="174"/>
        <w:ind w:firstLine="0" w:firstLineChars="0"/>
        <w:jc w:val="center"/>
        <w:rPr>
          <w:rFonts w:ascii="宋体"/>
          <w:b/>
          <w:color w:val="auto"/>
          <w:sz w:val="28"/>
          <w:highlight w:val="none"/>
        </w:rPr>
      </w:pPr>
    </w:p>
    <w:p>
      <w:pPr>
        <w:pStyle w:val="174"/>
        <w:spacing w:line="700" w:lineRule="exact"/>
        <w:ind w:firstLine="0" w:firstLineChars="0"/>
        <w:jc w:val="center"/>
        <w:rPr>
          <w:rFonts w:ascii="宋体"/>
          <w:b/>
          <w:color w:val="auto"/>
          <w:sz w:val="28"/>
          <w:highlight w:val="none"/>
        </w:rPr>
      </w:pPr>
      <w:r>
        <w:rPr>
          <w:rFonts w:hint="eastAsia" w:ascii="宋体" w:hAnsi="宋体"/>
          <w:b/>
          <w:color w:val="auto"/>
          <w:sz w:val="28"/>
          <w:highlight w:val="none"/>
        </w:rPr>
        <w:t>二、</w:t>
      </w:r>
      <w:r>
        <w:rPr>
          <w:rFonts w:hint="eastAsia" w:eastAsia="黑体"/>
          <w:b/>
          <w:color w:val="auto"/>
          <w:sz w:val="32"/>
          <w:szCs w:val="22"/>
          <w:highlight w:val="none"/>
        </w:rPr>
        <w:t>招标内容及用户需求</w:t>
      </w:r>
    </w:p>
    <w:p>
      <w:pPr>
        <w:widowControl/>
        <w:tabs>
          <w:tab w:val="left" w:pos="0"/>
        </w:tabs>
        <w:spacing w:line="600" w:lineRule="exact"/>
        <w:ind w:firstLine="482" w:firstLineChars="200"/>
        <w:rPr>
          <w:rFonts w:ascii="宋体" w:hAnsi="宋体" w:cs="宋体"/>
          <w:color w:val="auto"/>
          <w:kern w:val="0"/>
          <w:sz w:val="24"/>
          <w:highlight w:val="none"/>
        </w:rPr>
      </w:pPr>
      <w:bookmarkStart w:id="27" w:name="_Toc44162153"/>
      <w:r>
        <w:rPr>
          <w:rFonts w:hint="eastAsia" w:ascii="宋体" w:hAnsi="宋体" w:cs="宋体"/>
          <w:b/>
          <w:color w:val="auto"/>
          <w:kern w:val="0"/>
          <w:sz w:val="24"/>
          <w:highlight w:val="none"/>
        </w:rPr>
        <w:t>一、项目概况</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医院概况：宁波大学附属第一医院为24小时无假日医院，为市三级甲等综合性医院，为保证医院外滩院区安全稳定的运作，为病人、医护人员创造良好的就医和工作环境，提供医院</w:t>
      </w:r>
      <w:r>
        <w:rPr>
          <w:rFonts w:hint="eastAsia" w:ascii="宋体" w:hAnsi="宋体"/>
          <w:color w:val="auto"/>
          <w:szCs w:val="21"/>
          <w:highlight w:val="none"/>
        </w:rPr>
        <w:t>全方位的消防、**、危化品、综治等方面安全管理</w:t>
      </w:r>
      <w:r>
        <w:rPr>
          <w:rFonts w:hint="eastAsia" w:ascii="宋体" w:hAnsi="宋体" w:cs="宋体"/>
          <w:color w:val="auto"/>
          <w:kern w:val="0"/>
          <w:szCs w:val="21"/>
          <w:highlight w:val="none"/>
        </w:rPr>
        <w:t>。</w:t>
      </w:r>
    </w:p>
    <w:p>
      <w:pPr>
        <w:widowControl/>
        <w:spacing w:line="500" w:lineRule="exact"/>
        <w:ind w:firstLine="420" w:firstLineChars="200"/>
        <w:rPr>
          <w:rFonts w:ascii="宋体" w:cs="宋体"/>
          <w:color w:val="auto"/>
          <w:kern w:val="0"/>
          <w:szCs w:val="21"/>
          <w:highlight w:val="none"/>
        </w:rPr>
      </w:pPr>
      <w:r>
        <w:rPr>
          <w:rFonts w:hint="eastAsia" w:ascii="宋体" w:hAnsi="宋体" w:cs="宋体"/>
          <w:color w:val="auto"/>
          <w:kern w:val="0"/>
          <w:szCs w:val="21"/>
          <w:highlight w:val="none"/>
        </w:rPr>
        <w:t>本项目需要供应商在获取招标文件后自行组织现场踏勘，详细了解医院具体情况：如：建构筑物分布、面积、走向、空间位置；医院各功能区的分布及人员流量、日常工作秩序等。在此基础上，并结合采购人的基本需求，凭借各投标人管理服务的体系和类似服务的经验，构建科学合理、组织结构精简高效、管理手段先进、适合采购人具体情况，并能良好运作的安全保卫服务体系。</w:t>
      </w:r>
    </w:p>
    <w:p>
      <w:pPr>
        <w:widowControl/>
        <w:tabs>
          <w:tab w:val="left" w:pos="0"/>
        </w:tabs>
        <w:spacing w:line="600" w:lineRule="exact"/>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二、委托管理范围</w:t>
      </w:r>
    </w:p>
    <w:p>
      <w:pPr>
        <w:widowControl/>
        <w:spacing w:line="400" w:lineRule="exact"/>
        <w:ind w:firstLine="420" w:firstLineChars="200"/>
        <w:rPr>
          <w:color w:val="auto"/>
          <w:highlight w:val="none"/>
        </w:rPr>
      </w:pPr>
      <w:r>
        <w:rPr>
          <w:rFonts w:hint="eastAsia" w:ascii="宋体" w:hAnsi="宋体" w:cs="宋体"/>
          <w:color w:val="auto"/>
          <w:kern w:val="0"/>
          <w:szCs w:val="21"/>
          <w:highlight w:val="none"/>
        </w:rPr>
        <w:t>服务内容为：</w:t>
      </w:r>
      <w:r>
        <w:rPr>
          <w:rFonts w:hint="eastAsia"/>
          <w:color w:val="auto"/>
          <w:szCs w:val="21"/>
          <w:highlight w:val="none"/>
        </w:rPr>
        <w:t>宁波大学附属第一医院</w:t>
      </w:r>
      <w:r>
        <w:rPr>
          <w:rFonts w:hint="eastAsia"/>
          <w:color w:val="auto"/>
          <w:szCs w:val="21"/>
          <w:highlight w:val="none"/>
          <w:lang w:eastAsia="zh-CN"/>
        </w:rPr>
        <w:t>外滩院区</w:t>
      </w:r>
      <w:r>
        <w:rPr>
          <w:rFonts w:hint="eastAsia"/>
          <w:color w:val="auto"/>
          <w:szCs w:val="21"/>
          <w:highlight w:val="none"/>
        </w:rPr>
        <w:t>所属区域的医疗秩序维护、治安防范、消防安全以及院内人员、设备设施的安全保卫服务</w:t>
      </w:r>
      <w:r>
        <w:rPr>
          <w:rFonts w:hint="eastAsia"/>
          <w:color w:val="auto"/>
          <w:sz w:val="21"/>
          <w:szCs w:val="21"/>
          <w:highlight w:val="none"/>
          <w:lang w:eastAsia="zh-CN"/>
        </w:rPr>
        <w:t>、</w:t>
      </w:r>
      <w:r>
        <w:rPr>
          <w:rFonts w:hint="eastAsia"/>
          <w:color w:val="auto"/>
          <w:sz w:val="21"/>
          <w:szCs w:val="21"/>
          <w:highlight w:val="none"/>
        </w:rPr>
        <w:t>停车场管理</w:t>
      </w:r>
      <w:r>
        <w:rPr>
          <w:rFonts w:hint="eastAsia"/>
          <w:color w:val="auto"/>
          <w:szCs w:val="21"/>
          <w:highlight w:val="none"/>
        </w:rPr>
        <w:t>等。</w:t>
      </w:r>
    </w:p>
    <w:p>
      <w:pPr>
        <w:widowControl/>
        <w:numPr>
          <w:ilvl w:val="0"/>
          <w:numId w:val="2"/>
        </w:numPr>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运作方式：</w:t>
      </w:r>
    </w:p>
    <w:p>
      <w:pPr>
        <w:widowControl/>
        <w:numPr>
          <w:ilvl w:val="0"/>
          <w:numId w:val="0"/>
        </w:numPr>
        <w:spacing w:line="400" w:lineRule="exact"/>
        <w:ind w:firstLine="420" w:firstLineChars="200"/>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val="en-US" w:eastAsia="zh-CN"/>
        </w:rPr>
        <w:t>1.1</w:t>
      </w:r>
      <w:r>
        <w:rPr>
          <w:rFonts w:hint="eastAsia" w:ascii="宋体" w:hAnsi="宋体" w:cs="宋体"/>
          <w:color w:val="auto"/>
          <w:kern w:val="0"/>
          <w:szCs w:val="21"/>
          <w:highlight w:val="none"/>
        </w:rPr>
        <w:t>保安服务采用服务承包，经费核准的运作方式</w:t>
      </w:r>
      <w:r>
        <w:rPr>
          <w:rFonts w:hint="eastAsia" w:ascii="宋体" w:hAnsi="宋体" w:cs="宋体"/>
          <w:color w:val="auto"/>
          <w:kern w:val="0"/>
          <w:szCs w:val="21"/>
          <w:highlight w:val="none"/>
          <w:lang w:eastAsia="zh-CN"/>
        </w:rPr>
        <w:t>；</w:t>
      </w:r>
    </w:p>
    <w:p>
      <w:pPr>
        <w:widowControl/>
        <w:numPr>
          <w:ilvl w:val="0"/>
          <w:numId w:val="0"/>
        </w:num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1.2</w:t>
      </w:r>
      <w:r>
        <w:rPr>
          <w:rFonts w:hint="eastAsia" w:ascii="宋体" w:hAnsi="宋体" w:cs="宋体"/>
          <w:b w:val="0"/>
          <w:bCs w:val="0"/>
          <w:color w:val="auto"/>
          <w:szCs w:val="21"/>
          <w:highlight w:val="none"/>
        </w:rPr>
        <w:t>停车</w:t>
      </w:r>
      <w:r>
        <w:rPr>
          <w:rFonts w:hint="eastAsia" w:ascii="宋体" w:hAnsi="宋体" w:cs="宋体"/>
          <w:b w:val="0"/>
          <w:bCs w:val="0"/>
          <w:color w:val="auto"/>
          <w:szCs w:val="21"/>
          <w:highlight w:val="none"/>
          <w:lang w:eastAsia="zh-CN"/>
        </w:rPr>
        <w:t>管理运作方式为：中标人</w:t>
      </w:r>
      <w:r>
        <w:rPr>
          <w:rFonts w:hint="eastAsia" w:cs="仿宋_GB2312"/>
          <w:color w:val="auto"/>
          <w:szCs w:val="21"/>
          <w:highlight w:val="none"/>
          <w:lang w:eastAsia="zh-CN"/>
        </w:rPr>
        <w:t>按</w:t>
      </w:r>
      <w:r>
        <w:rPr>
          <w:rFonts w:hint="eastAsia" w:cs="仿宋_GB2312"/>
          <w:color w:val="auto"/>
          <w:szCs w:val="21"/>
          <w:highlight w:val="none"/>
        </w:rPr>
        <w:t>月</w:t>
      </w:r>
      <w:r>
        <w:rPr>
          <w:rFonts w:hint="eastAsia" w:cs="仿宋_GB2312"/>
          <w:color w:val="auto"/>
          <w:szCs w:val="21"/>
          <w:highlight w:val="none"/>
          <w:lang w:eastAsia="zh-CN"/>
        </w:rPr>
        <w:t>按比例</w:t>
      </w:r>
      <w:r>
        <w:rPr>
          <w:rFonts w:hint="eastAsia" w:cs="仿宋_GB2312"/>
          <w:color w:val="auto"/>
          <w:szCs w:val="21"/>
          <w:highlight w:val="none"/>
        </w:rPr>
        <w:t>支付给采购人</w:t>
      </w:r>
      <w:r>
        <w:rPr>
          <w:rFonts w:hint="eastAsia" w:cs="仿宋_GB2312"/>
          <w:color w:val="auto"/>
          <w:szCs w:val="21"/>
          <w:highlight w:val="none"/>
          <w:lang w:eastAsia="zh-CN"/>
        </w:rPr>
        <w:t>停车收入</w:t>
      </w:r>
      <w:r>
        <w:rPr>
          <w:rFonts w:hint="eastAsia"/>
          <w:color w:val="auto"/>
          <w:sz w:val="21"/>
          <w:szCs w:val="21"/>
          <w:highlight w:val="none"/>
        </w:rPr>
        <w:t>（扣除医院规定的减免收项目后所产生的费用），具体</w:t>
      </w:r>
      <w:r>
        <w:rPr>
          <w:rFonts w:hint="eastAsia"/>
          <w:color w:val="auto"/>
          <w:sz w:val="21"/>
          <w:szCs w:val="21"/>
          <w:highlight w:val="none"/>
          <w:lang w:eastAsia="zh-CN"/>
        </w:rPr>
        <w:t>交纳</w:t>
      </w:r>
      <w:r>
        <w:rPr>
          <w:rFonts w:hint="eastAsia"/>
          <w:color w:val="auto"/>
          <w:sz w:val="21"/>
          <w:szCs w:val="21"/>
          <w:highlight w:val="none"/>
        </w:rPr>
        <w:t>比例以中标</w:t>
      </w:r>
      <w:r>
        <w:rPr>
          <w:rFonts w:hint="eastAsia"/>
          <w:color w:val="auto"/>
          <w:sz w:val="21"/>
          <w:szCs w:val="21"/>
          <w:highlight w:val="none"/>
          <w:lang w:eastAsia="zh-CN"/>
        </w:rPr>
        <w:t>交纳</w:t>
      </w:r>
      <w:r>
        <w:rPr>
          <w:rFonts w:hint="eastAsia"/>
          <w:color w:val="auto"/>
          <w:sz w:val="21"/>
          <w:szCs w:val="21"/>
          <w:highlight w:val="none"/>
        </w:rPr>
        <w:t>比例为准</w:t>
      </w:r>
      <w:r>
        <w:rPr>
          <w:rFonts w:hint="eastAsia" w:ascii="宋体" w:hAnsi="宋体" w:cs="宋体"/>
          <w:color w:val="auto"/>
          <w:kern w:val="0"/>
          <w:szCs w:val="21"/>
          <w:highlight w:val="none"/>
        </w:rPr>
        <w:t>。</w:t>
      </w:r>
    </w:p>
    <w:p>
      <w:pPr>
        <w:widowControl/>
        <w:tabs>
          <w:tab w:val="left" w:pos="840"/>
        </w:tabs>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2、安全保卫服务报价总费用分为</w:t>
      </w:r>
      <w:r>
        <w:rPr>
          <w:rFonts w:hint="eastAsia" w:ascii="宋体" w:hAnsi="宋体" w:cs="宋体"/>
          <w:b/>
          <w:bCs/>
          <w:color w:val="auto"/>
          <w:kern w:val="0"/>
          <w:szCs w:val="21"/>
          <w:highlight w:val="none"/>
        </w:rPr>
        <w:t>基本服务费</w:t>
      </w:r>
      <w:r>
        <w:rPr>
          <w:rFonts w:hint="eastAsia" w:ascii="宋体" w:hAnsi="宋体" w:cs="宋体"/>
          <w:color w:val="auto"/>
          <w:kern w:val="0"/>
          <w:szCs w:val="21"/>
          <w:highlight w:val="none"/>
        </w:rPr>
        <w:t>和</w:t>
      </w:r>
      <w:r>
        <w:rPr>
          <w:rFonts w:hint="eastAsia" w:ascii="宋体" w:hAnsi="宋体" w:cs="宋体"/>
          <w:b/>
          <w:bCs/>
          <w:color w:val="auto"/>
          <w:kern w:val="0"/>
          <w:szCs w:val="21"/>
          <w:highlight w:val="none"/>
        </w:rPr>
        <w:t>考核金</w:t>
      </w:r>
      <w:r>
        <w:rPr>
          <w:rFonts w:hint="eastAsia" w:ascii="宋体" w:hAnsi="宋体" w:cs="宋体"/>
          <w:color w:val="auto"/>
          <w:kern w:val="0"/>
          <w:szCs w:val="21"/>
          <w:highlight w:val="none"/>
        </w:rPr>
        <w:t>两部分：基本服务费按实际运行岗位到人数核准后一次性付款，考核金按医院考核后确定支付金额。总费用</w:t>
      </w:r>
      <w:r>
        <w:rPr>
          <w:rFonts w:hint="eastAsia" w:ascii="宋体" w:hAnsi="宋体" w:cs="宋体"/>
          <w:color w:val="auto"/>
          <w:szCs w:val="21"/>
          <w:highlight w:val="none"/>
        </w:rPr>
        <w:t>包括不仅限于完成医院安全保卫服务所需的人工成本（人员标准工资、伙食费、防暑降温费用、考核金等），安保装备费用（含维修费）、工作需要的各种耗材及其他需要的材料、各种税费、各种管理费用、员工体检费、服装费、员工住宿、办公设备和设施费用及各种专业、专项劳保用品、安全防护用具、安全措施等费用，其他相关费用（通讯补贴、食宿与交通费，仓储、运输费等），技术支持与培训及相关劳务支出等完成本项目服务所发生的全部费用，供应商企业利润、税金和政策性文件规定、合同包含的所有风险、责任等各项应有费用以及中标后向采购代理机构支付的代理服务费等所需的全部费用。</w:t>
      </w:r>
    </w:p>
    <w:p>
      <w:pPr>
        <w:widowControl/>
        <w:tabs>
          <w:tab w:val="left" w:pos="840"/>
        </w:tabs>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3、保安工作服务承包、经费核准要求：</w:t>
      </w:r>
    </w:p>
    <w:p>
      <w:pPr>
        <w:widowControl/>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3.1、执行考核制度，公司每月将安保工作及经费执行情况汇总报医院，接受采购人的监督考核。采购人组织督查人员对保安公司人员的上岗情况、岗位职责执行情况、服务满意度以及对公司工作的运行情况例行检查考核并进行奖罚，考核标准见表1《保安服务考核表》，采购人将设定不少于合同金额的10%作为考核金，分12个月支付，由保卫科每月末对公司运作及保安人员工作进行考核，医院根据每月考核结果为依据，决定支付每月的考核金。</w:t>
      </w:r>
    </w:p>
    <w:p>
      <w:pPr>
        <w:widowControl/>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采购人每月对中标人的合同履行情况及保安人员提供的服务质量根据医院要求进行考核。考核采取百分制：</w:t>
      </w:r>
    </w:p>
    <w:p>
      <w:pPr>
        <w:widowControl/>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3.1.1考核评分≥95分的为合格，考核合格的，支付全额当月考核金，90-95分为基本合格，每分扣500元;</w:t>
      </w:r>
    </w:p>
    <w:p>
      <w:pPr>
        <w:widowControl/>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3.1.2当95﹥考核评分≥85，每低于合格分(90分）1分扣2000元；</w:t>
      </w:r>
    </w:p>
    <w:p>
      <w:pPr>
        <w:widowControl/>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3.1.3当85﹥考核评分≥80，在第一档的基础上，每低于考核平均分85分1分扣5000元；</w:t>
      </w:r>
    </w:p>
    <w:p>
      <w:pPr>
        <w:widowControl/>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3.1.4考核评分低于80分的为不合格，连续三个月考核不合格的，采购人有权解除合同。</w:t>
      </w:r>
    </w:p>
    <w:p>
      <w:pPr>
        <w:widowControl/>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中标人需对每月的考核评分结果及相关意见、建议及时进行反馈，不断改进服务质量。</w:t>
      </w:r>
    </w:p>
    <w:p>
      <w:pPr>
        <w:widowControl/>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3.2、中标人对派驻的保安管理人员根据公安部及各公安业务部门要求，实行统一领导、统一管理、统一服装、统一调配、统一培训的工作原则。制定员工各岗位职责，报院方备案。员工年龄严格按劳动法规定执行。</w:t>
      </w:r>
    </w:p>
    <w:p>
      <w:pPr>
        <w:widowControl/>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3.3、中标人负责建立本项目员工档案，对员工进行每月、周的岗位培训，公司每月组织1次以上内部保安队员工作自查、召开管理团队月度会议，通报工作情况、分析安全形势及布置工作任务、改善服务态度，提高保安队员素质。并把培训内容和会议精神记录在册，报保卫科建档。</w:t>
      </w:r>
    </w:p>
    <w:p>
      <w:pPr>
        <w:widowControl/>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3.4、中标人的项目员工的工资、业绩考核以及其他行政管理由中标人负责。公司的保安队员工作业绩考核根据公司、采购人月度检查情况实行奖惩措施，中标人必须在年终开展优秀员工评选，并按等级奖励全体员工，考核结果报院方备案、核准。</w:t>
      </w:r>
    </w:p>
    <w:p>
      <w:pPr>
        <w:widowControl/>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3.5、保安队员在院方服务期间服从院方有关部门指定人员管理，在约定的服务范围，工作时间内可随时调整工作岗位和工作时间，但不能超越约定的工作岗位和时间范围，若有变动，必须追补约定内容，对主观上不够努力工作的保安经教育不改的院方有权提出调换，中标人应及时作出调整。</w:t>
      </w:r>
    </w:p>
    <w:p>
      <w:pPr>
        <w:widowControl/>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3.6、中标人</w:t>
      </w:r>
      <w:r>
        <w:rPr>
          <w:rFonts w:hint="eastAsia" w:ascii="宋体" w:hAnsi="宋体"/>
          <w:color w:val="auto"/>
          <w:szCs w:val="21"/>
          <w:highlight w:val="none"/>
        </w:rPr>
        <w:t>所有入院员工都必须体检，合格可上岗（费用中标人负责）。</w:t>
      </w:r>
    </w:p>
    <w:p>
      <w:pPr>
        <w:widowControl/>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3.7、如果在检查或运作中发现中标人给医院在经济、业务、信誉、形象、媒体上造成严重影响及后果的，医院有权单方面解除合同，并予以中标人层面20000-50000元的处罚,并负相关法律责任和其他责任。扣款金额从当月服务费中扣除。</w:t>
      </w:r>
    </w:p>
    <w:p>
      <w:pPr>
        <w:widowControl/>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3.8、全年考核质量指标（每半年考核一次）：</w:t>
      </w:r>
    </w:p>
    <w:p>
      <w:pPr>
        <w:widowControl/>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3.8.1、严格执行国家的法律法规及相应的政策，本项目无重大安全责任事故，无公司员工违法处理。</w:t>
      </w:r>
    </w:p>
    <w:p>
      <w:pPr>
        <w:widowControl/>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3.8.2、满意度测评满意率平均值须达95%以上；</w:t>
      </w:r>
    </w:p>
    <w:p>
      <w:pPr>
        <w:widowControl/>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3.8.3、公司员工培训覆盖率100%，医院安全管理、院感、应急管理等基本知识考核成绩合格率95%以上，补考以后成绩合格率达100%；</w:t>
      </w:r>
    </w:p>
    <w:p>
      <w:pPr>
        <w:widowControl/>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3.8.4、员工上岗率大于98%，2%缺岗率必须在15天完成补充，新增人员适岗率</w:t>
      </w:r>
      <w:r>
        <w:rPr>
          <w:rFonts w:ascii="Arial" w:hAnsi="Arial" w:cs="Arial"/>
          <w:color w:val="auto"/>
          <w:kern w:val="0"/>
          <w:szCs w:val="21"/>
          <w:highlight w:val="none"/>
        </w:rPr>
        <w:t>≥</w:t>
      </w:r>
      <w:r>
        <w:rPr>
          <w:rFonts w:hint="eastAsia" w:ascii="宋体" w:hAnsi="宋体" w:cs="宋体"/>
          <w:color w:val="auto"/>
          <w:kern w:val="0"/>
          <w:szCs w:val="21"/>
          <w:highlight w:val="none"/>
        </w:rPr>
        <w:t>80%。</w:t>
      </w:r>
    </w:p>
    <w:p>
      <w:pPr>
        <w:spacing w:before="240" w:line="400" w:lineRule="exact"/>
        <w:ind w:firstLine="420" w:firstLineChars="200"/>
        <w:rPr>
          <w:rFonts w:ascii="宋体" w:hAnsi="宋体"/>
          <w:color w:val="auto"/>
          <w:szCs w:val="21"/>
          <w:highlight w:val="none"/>
        </w:rPr>
      </w:pPr>
      <w:r>
        <w:rPr>
          <w:rFonts w:hint="eastAsia" w:ascii="宋体" w:hAnsi="宋体"/>
          <w:color w:val="auto"/>
          <w:szCs w:val="21"/>
          <w:highlight w:val="none"/>
        </w:rPr>
        <w:t>以上考核指标中有连续两个月2项以上未达标（含2项），经医院书面（含会议记录）通知，一个月未整改到位的（其中3.8.1条款为一次性否决条款），院方有权单方面解除合同，同时中标人应当支付三个月的等价管理费的违约金。</w:t>
      </w:r>
    </w:p>
    <w:p>
      <w:pPr>
        <w:widowControl/>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3.9、保安队员在执行任务时应尽职尽责维护院方利益不受任何侵犯，保障管理安全。</w:t>
      </w:r>
    </w:p>
    <w:p>
      <w:pPr>
        <w:widowControl/>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3.10、对派驻的保安队员在工作期间失职，造成事故的，中标人要对当班人员由中标人进行必要的相应处罚，违反有关法律、法规的应当移交司法部门追究司法责任。如造成院方损失的，则由中标人赔偿法律规定的相关损失。</w:t>
      </w:r>
    </w:p>
    <w:p>
      <w:pPr>
        <w:widowControl/>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3.11、按照医院要求配置各岗位，严格遵守医院相关管理工作制度和流程。（人员岗位配置由院方提供）。</w:t>
      </w:r>
    </w:p>
    <w:p>
      <w:pPr>
        <w:widowControl/>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w:t>
      </w:r>
      <w:r>
        <w:rPr>
          <w:rFonts w:hint="eastAsia" w:ascii="宋体" w:hAnsi="宋体"/>
          <w:bCs/>
          <w:color w:val="auto"/>
          <w:szCs w:val="21"/>
          <w:highlight w:val="none"/>
        </w:rPr>
        <w:t>3.12、中标人应按照医院岗位工作要求合理安排人员</w:t>
      </w:r>
      <w:r>
        <w:rPr>
          <w:rFonts w:hint="eastAsia" w:ascii="宋体" w:hAnsi="宋体" w:cs="宋体"/>
          <w:bCs/>
          <w:color w:val="auto"/>
          <w:kern w:val="0"/>
          <w:szCs w:val="21"/>
          <w:highlight w:val="none"/>
        </w:rPr>
        <w:t>，共计岗位</w:t>
      </w:r>
      <w:r>
        <w:rPr>
          <w:rFonts w:hint="eastAsia" w:ascii="宋体" w:hAnsi="宋体" w:cs="宋体"/>
          <w:bCs/>
          <w:color w:val="auto"/>
          <w:kern w:val="0"/>
          <w:szCs w:val="21"/>
          <w:highlight w:val="none"/>
          <w:lang w:val="en-US" w:eastAsia="zh-CN"/>
        </w:rPr>
        <w:t>85</w:t>
      </w:r>
      <w:r>
        <w:rPr>
          <w:rFonts w:hint="eastAsia" w:ascii="宋体" w:hAnsi="宋体" w:cs="宋体"/>
          <w:bCs/>
          <w:color w:val="auto"/>
          <w:kern w:val="0"/>
          <w:szCs w:val="21"/>
          <w:highlight w:val="none"/>
        </w:rPr>
        <w:t>个，如</w:t>
      </w:r>
      <w:r>
        <w:rPr>
          <w:rFonts w:hint="eastAsia" w:ascii="宋体" w:hAnsi="宋体" w:cs="宋体"/>
          <w:color w:val="auto"/>
          <w:kern w:val="0"/>
          <w:szCs w:val="21"/>
          <w:highlight w:val="none"/>
        </w:rPr>
        <w:t>按日工作时间8小时“做六休一”排班，</w:t>
      </w:r>
      <w:r>
        <w:rPr>
          <w:rFonts w:hint="eastAsia" w:ascii="宋体" w:hAnsi="宋体"/>
          <w:color w:val="auto"/>
          <w:szCs w:val="21"/>
          <w:highlight w:val="none"/>
        </w:rPr>
        <w:t>至少配置</w:t>
      </w:r>
      <w:r>
        <w:rPr>
          <w:rFonts w:hint="eastAsia" w:ascii="宋体" w:hAnsi="宋体"/>
          <w:color w:val="auto"/>
          <w:szCs w:val="21"/>
          <w:highlight w:val="none"/>
          <w:lang w:val="en-US" w:eastAsia="zh-CN"/>
        </w:rPr>
        <w:t>123</w:t>
      </w:r>
      <w:r>
        <w:rPr>
          <w:rFonts w:hint="eastAsia" w:ascii="宋体" w:hAnsi="宋体"/>
          <w:color w:val="auto"/>
          <w:szCs w:val="21"/>
          <w:highlight w:val="none"/>
        </w:rPr>
        <w:t>。</w:t>
      </w:r>
      <w:r>
        <w:rPr>
          <w:rFonts w:hint="eastAsia" w:ascii="宋体" w:hAnsi="宋体" w:cs="宋体"/>
          <w:bCs/>
          <w:color w:val="auto"/>
          <w:kern w:val="0"/>
          <w:szCs w:val="21"/>
          <w:highlight w:val="none"/>
        </w:rPr>
        <w:t>根据岗位需要，可实行综合工时制，做六休一；其中特勤队员不少7人；消控室值班岗位9人（含顶班人员）；具体岗位详见岗位配置表，投标总价应包含以上人员基本保安服务费、全年节假日加班费、双休日加班费（含做六休一）、队长和班长津贴、</w:t>
      </w:r>
      <w:r>
        <w:rPr>
          <w:rFonts w:hint="eastAsia" w:ascii="宋体" w:hAnsi="宋体"/>
          <w:bCs/>
          <w:color w:val="auto"/>
          <w:highlight w:val="none"/>
        </w:rPr>
        <w:t>考核奖惩经费</w:t>
      </w:r>
      <w:r>
        <w:rPr>
          <w:rFonts w:hint="eastAsia" w:ascii="宋体" w:hAnsi="宋体" w:cs="宋体"/>
          <w:bCs/>
          <w:color w:val="auto"/>
          <w:kern w:val="0"/>
          <w:szCs w:val="21"/>
          <w:highlight w:val="none"/>
        </w:rPr>
        <w:t>，中标人在正常运行期间，每</w:t>
      </w:r>
      <w:r>
        <w:rPr>
          <w:rFonts w:hint="eastAsia" w:ascii="宋体" w:hAnsi="宋体" w:cs="宋体"/>
          <w:bCs/>
          <w:color w:val="auto"/>
          <w:szCs w:val="21"/>
          <w:highlight w:val="none"/>
        </w:rPr>
        <w:t>月更换保安人员不超过总人数的5﹪（含），岗位补充人员需在一周内上岗。</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rPr>
        <w:t>3.12.1岗位配置表</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bCs/>
          <w:color w:val="auto"/>
          <w:szCs w:val="21"/>
          <w:highlight w:val="none"/>
          <w:lang w:eastAsia="zh-CN"/>
        </w:rPr>
      </w:pP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1</w:t>
      </w:r>
      <w:r>
        <w:rPr>
          <w:rFonts w:hint="eastAsia" w:ascii="宋体" w:hAnsi="宋体" w:cs="宋体"/>
          <w:bCs/>
          <w:color w:val="auto"/>
          <w:szCs w:val="21"/>
          <w:highlight w:val="none"/>
          <w:lang w:eastAsia="zh-CN"/>
        </w:rPr>
        <w:t>）保安岗位配置表</w:t>
      </w:r>
    </w:p>
    <w:tbl>
      <w:tblPr>
        <w:tblStyle w:val="50"/>
        <w:tblW w:w="9172" w:type="dxa"/>
        <w:jc w:val="center"/>
        <w:tblLayout w:type="fixed"/>
        <w:tblCellMar>
          <w:top w:w="0" w:type="dxa"/>
          <w:left w:w="108" w:type="dxa"/>
          <w:bottom w:w="0" w:type="dxa"/>
          <w:right w:w="108" w:type="dxa"/>
        </w:tblCellMar>
      </w:tblPr>
      <w:tblGrid>
        <w:gridCol w:w="636"/>
        <w:gridCol w:w="1850"/>
        <w:gridCol w:w="1194"/>
        <w:gridCol w:w="1096"/>
        <w:gridCol w:w="1404"/>
        <w:gridCol w:w="1096"/>
        <w:gridCol w:w="1896"/>
      </w:tblGrid>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序号</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岗位</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工作时间（白班）</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排班岗位（白班）</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工作时间（晚班）</w:t>
            </w: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排班岗位（晚班）</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备注</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项目经理兼大队长</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10</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jc w:val="center"/>
              <w:rPr>
                <w:rFonts w:hint="eastAsia" w:ascii="宋体" w:hAnsi="宋体" w:eastAsia="宋体" w:cs="宋体"/>
                <w:color w:val="auto"/>
                <w:sz w:val="21"/>
                <w:szCs w:val="21"/>
                <w:highlight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副队长</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3</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发热门诊/西门（地铁口）</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4</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小学门诊部</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东门卫</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5</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小学门诊部</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综合大厅</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jc w:val="center"/>
              <w:rPr>
                <w:rFonts w:hint="eastAsia" w:ascii="宋体" w:hAnsi="宋体" w:eastAsia="宋体" w:cs="宋体"/>
                <w:color w:val="auto"/>
                <w:sz w:val="21"/>
                <w:szCs w:val="21"/>
                <w:highlight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6</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1号楼、2号楼</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一楼安检</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3</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7</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急诊</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8</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人民路</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东大门门卫</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9</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外滩大桥下</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非机动车管理</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10</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机动车入口</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jc w:val="center"/>
              <w:rPr>
                <w:rFonts w:hint="eastAsia" w:ascii="宋体" w:hAnsi="宋体" w:eastAsia="宋体" w:cs="宋体"/>
                <w:color w:val="auto"/>
                <w:sz w:val="21"/>
                <w:szCs w:val="21"/>
                <w:highlight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鄞慈镇路</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11</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南大门</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jc w:val="center"/>
              <w:rPr>
                <w:rFonts w:hint="eastAsia" w:ascii="宋体" w:hAnsi="宋体" w:eastAsia="宋体" w:cs="宋体"/>
                <w:color w:val="auto"/>
                <w:sz w:val="21"/>
                <w:szCs w:val="21"/>
                <w:highlight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外滩大桥旁</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6号楼</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其中3名需持</w:t>
            </w:r>
          </w:p>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有消控上岗证</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消控室值班</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需持</w:t>
            </w:r>
          </w:p>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有消控上岗证</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14</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报刊收发</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8</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auto"/>
                <w:sz w:val="21"/>
                <w:szCs w:val="21"/>
                <w:highlight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jc w:val="center"/>
              <w:rPr>
                <w:rFonts w:hint="eastAsia" w:ascii="宋体" w:hAnsi="宋体" w:eastAsia="宋体" w:cs="宋体"/>
                <w:color w:val="auto"/>
                <w:sz w:val="21"/>
                <w:szCs w:val="21"/>
                <w:highlight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早高峰</w:t>
            </w:r>
          </w:p>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顶新马路交通引导</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15</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医患中心</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8</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jc w:val="center"/>
              <w:rPr>
                <w:rFonts w:hint="eastAsia" w:ascii="宋体" w:hAnsi="宋体" w:eastAsia="宋体" w:cs="宋体"/>
                <w:color w:val="auto"/>
                <w:sz w:val="21"/>
                <w:szCs w:val="21"/>
                <w:highlight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16</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巡逻岗</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17</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特勤班长</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jc w:val="center"/>
              <w:rPr>
                <w:rFonts w:hint="eastAsia" w:ascii="宋体" w:hAnsi="宋体" w:eastAsia="宋体" w:cs="宋体"/>
                <w:color w:val="auto"/>
                <w:sz w:val="21"/>
                <w:szCs w:val="21"/>
                <w:highlight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18</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特勤队员</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4</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19</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消防专员</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10</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jc w:val="center"/>
              <w:rPr>
                <w:rFonts w:hint="eastAsia" w:ascii="宋体" w:hAnsi="宋体" w:eastAsia="宋体" w:cs="宋体"/>
                <w:color w:val="auto"/>
                <w:sz w:val="21"/>
                <w:szCs w:val="21"/>
                <w:highlight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20</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内勤</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8</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jc w:val="center"/>
              <w:rPr>
                <w:rFonts w:hint="eastAsia" w:ascii="宋体" w:hAnsi="宋体" w:eastAsia="宋体" w:cs="宋体"/>
                <w:color w:val="auto"/>
                <w:sz w:val="21"/>
                <w:szCs w:val="21"/>
                <w:highlight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21</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门诊</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10</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jc w:val="center"/>
              <w:rPr>
                <w:rFonts w:hint="eastAsia" w:ascii="宋体" w:hAnsi="宋体" w:eastAsia="宋体" w:cs="宋体"/>
                <w:color w:val="auto"/>
                <w:sz w:val="21"/>
                <w:szCs w:val="21"/>
                <w:highlight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22</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门诊楼安检</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10</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jc w:val="center"/>
              <w:rPr>
                <w:rFonts w:hint="eastAsia" w:ascii="宋体" w:hAnsi="宋体" w:eastAsia="宋体" w:cs="宋体"/>
                <w:color w:val="auto"/>
                <w:sz w:val="21"/>
                <w:szCs w:val="21"/>
                <w:highlight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23</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东大门两旁</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10</w:t>
            </w: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FDE9D9"/>
            <w:vAlign w:val="center"/>
          </w:tcPr>
          <w:p>
            <w:pPr>
              <w:jc w:val="center"/>
              <w:rPr>
                <w:rFonts w:hint="eastAsia" w:ascii="宋体" w:hAnsi="宋体" w:eastAsia="宋体" w:cs="宋体"/>
                <w:color w:val="auto"/>
                <w:sz w:val="21"/>
                <w:szCs w:val="21"/>
                <w:highlight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电瓶车</w:t>
            </w:r>
          </w:p>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停放秩序维护</w:t>
            </w: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24</w:t>
            </w:r>
          </w:p>
        </w:tc>
        <w:tc>
          <w:tcPr>
            <w:tcW w:w="1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顶班（轮休）</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DAEEF3"/>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6</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FDE9D9"/>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4</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21"/>
                <w:szCs w:val="21"/>
                <w:highlight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总计</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21"/>
                <w:szCs w:val="21"/>
                <w:highlight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42</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23</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gridAfter w:val="1"/>
          <w:wAfter w:w="1896" w:type="dxa"/>
          <w:trHeight w:val="454" w:hRule="atLeast"/>
          <w:jc w:val="center"/>
        </w:trPr>
        <w:tc>
          <w:tcPr>
            <w:tcW w:w="7276" w:type="dxa"/>
            <w:gridSpan w:val="6"/>
            <w:tcBorders>
              <w:top w:val="nil"/>
              <w:left w:val="nil"/>
              <w:bottom w:val="nil"/>
              <w:right w:val="nil"/>
            </w:tcBorders>
            <w:shd w:val="clear" w:color="auto" w:fill="auto"/>
            <w:noWrap/>
            <w:vAlign w:val="center"/>
          </w:tcPr>
          <w:p>
            <w:pPr>
              <w:widowControl/>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停车场岗位配置表</w:t>
            </w:r>
          </w:p>
        </w:tc>
      </w:tr>
      <w:tr>
        <w:tblPrEx>
          <w:tblCellMar>
            <w:top w:w="0" w:type="dxa"/>
            <w:left w:w="108" w:type="dxa"/>
            <w:bottom w:w="0" w:type="dxa"/>
            <w:right w:w="108" w:type="dxa"/>
          </w:tblCellMar>
        </w:tblPrEx>
        <w:trPr>
          <w:trHeight w:val="454" w:hRule="atLeast"/>
          <w:jc w:val="center"/>
        </w:trPr>
        <w:tc>
          <w:tcPr>
            <w:tcW w:w="6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序号</w:t>
            </w:r>
          </w:p>
        </w:tc>
        <w:tc>
          <w:tcPr>
            <w:tcW w:w="1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岗位</w:t>
            </w:r>
          </w:p>
        </w:tc>
        <w:tc>
          <w:tcPr>
            <w:tcW w:w="11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工作时间（白班）</w:t>
            </w:r>
          </w:p>
        </w:tc>
        <w:tc>
          <w:tcPr>
            <w:tcW w:w="1096" w:type="dxa"/>
            <w:tcBorders>
              <w:top w:val="single" w:color="auto" w:sz="4" w:space="0"/>
              <w:left w:val="nil"/>
              <w:bottom w:val="single" w:color="auto" w:sz="4" w:space="0"/>
              <w:right w:val="single" w:color="auto" w:sz="4" w:space="0"/>
            </w:tcBorders>
            <w:shd w:val="clear" w:color="000000" w:fill="DBEEF3"/>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排班岗位（白班）</w:t>
            </w:r>
          </w:p>
        </w:tc>
        <w:tc>
          <w:tcPr>
            <w:tcW w:w="14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工作时间（晚班）</w:t>
            </w:r>
          </w:p>
        </w:tc>
        <w:tc>
          <w:tcPr>
            <w:tcW w:w="1096" w:type="dxa"/>
            <w:tcBorders>
              <w:top w:val="single" w:color="auto" w:sz="4" w:space="0"/>
              <w:left w:val="nil"/>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排班岗位（晚班）</w:t>
            </w:r>
          </w:p>
        </w:tc>
        <w:tc>
          <w:tcPr>
            <w:tcW w:w="1896" w:type="dxa"/>
            <w:tcBorders>
              <w:top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备注</w:t>
            </w:r>
          </w:p>
        </w:tc>
      </w:tr>
      <w:tr>
        <w:tblPrEx>
          <w:tblCellMar>
            <w:top w:w="0" w:type="dxa"/>
            <w:left w:w="108" w:type="dxa"/>
            <w:bottom w:w="0" w:type="dxa"/>
            <w:right w:w="108" w:type="dxa"/>
          </w:tblCellMar>
        </w:tblPrEx>
        <w:trPr>
          <w:trHeight w:val="454" w:hRule="atLeast"/>
          <w:jc w:val="center"/>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8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队长</w:t>
            </w:r>
          </w:p>
        </w:tc>
        <w:tc>
          <w:tcPr>
            <w:tcW w:w="11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12小时</w:t>
            </w:r>
          </w:p>
        </w:tc>
        <w:tc>
          <w:tcPr>
            <w:tcW w:w="1096" w:type="dxa"/>
            <w:tcBorders>
              <w:top w:val="nil"/>
              <w:left w:val="nil"/>
              <w:bottom w:val="single" w:color="auto" w:sz="4" w:space="0"/>
              <w:right w:val="single" w:color="auto" w:sz="4" w:space="0"/>
            </w:tcBorders>
            <w:shd w:val="clear" w:color="000000" w:fill="DBEEF3"/>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6" w:type="dxa"/>
            <w:tcBorders>
              <w:top w:val="nil"/>
              <w:left w:val="nil"/>
              <w:bottom w:val="single" w:color="auto" w:sz="4" w:space="0"/>
              <w:right w:val="single" w:color="auto" w:sz="4" w:space="0"/>
            </w:tcBorders>
            <w:shd w:val="clear" w:color="000000" w:fill="FDE9D9"/>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896" w:type="dxa"/>
            <w:tcBorders>
              <w:top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8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人民路</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东大门门卫</w:t>
            </w:r>
          </w:p>
        </w:tc>
        <w:tc>
          <w:tcPr>
            <w:tcW w:w="11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12小时</w:t>
            </w:r>
          </w:p>
        </w:tc>
        <w:tc>
          <w:tcPr>
            <w:tcW w:w="1096" w:type="dxa"/>
            <w:tcBorders>
              <w:top w:val="nil"/>
              <w:left w:val="nil"/>
              <w:bottom w:val="single" w:color="auto" w:sz="4" w:space="0"/>
              <w:right w:val="single" w:color="auto" w:sz="4" w:space="0"/>
            </w:tcBorders>
            <w:shd w:val="clear" w:color="000000" w:fill="DBEEF3"/>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1096" w:type="dxa"/>
            <w:tcBorders>
              <w:top w:val="nil"/>
              <w:left w:val="nil"/>
              <w:bottom w:val="single" w:color="auto" w:sz="4" w:space="0"/>
              <w:right w:val="single" w:color="auto" w:sz="4" w:space="0"/>
            </w:tcBorders>
            <w:shd w:val="clear" w:color="000000" w:fill="FDE9D9"/>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896" w:type="dxa"/>
            <w:tcBorders>
              <w:top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p>
        </w:tc>
      </w:tr>
      <w:tr>
        <w:trPr>
          <w:trHeight w:val="454" w:hRule="atLeast"/>
          <w:jc w:val="center"/>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8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门急诊区域</w:t>
            </w:r>
          </w:p>
        </w:tc>
        <w:tc>
          <w:tcPr>
            <w:tcW w:w="11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12小时</w:t>
            </w:r>
          </w:p>
        </w:tc>
        <w:tc>
          <w:tcPr>
            <w:tcW w:w="1096" w:type="dxa"/>
            <w:tcBorders>
              <w:top w:val="nil"/>
              <w:left w:val="nil"/>
              <w:bottom w:val="single" w:color="auto" w:sz="4" w:space="0"/>
              <w:right w:val="single" w:color="auto" w:sz="4" w:space="0"/>
            </w:tcBorders>
            <w:shd w:val="clear" w:color="000000" w:fill="DBEEF3"/>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12小时</w:t>
            </w:r>
          </w:p>
        </w:tc>
        <w:tc>
          <w:tcPr>
            <w:tcW w:w="1096" w:type="dxa"/>
            <w:tcBorders>
              <w:top w:val="nil"/>
              <w:left w:val="nil"/>
              <w:bottom w:val="single" w:color="auto" w:sz="4" w:space="0"/>
              <w:right w:val="single" w:color="auto" w:sz="4" w:space="0"/>
            </w:tcBorders>
            <w:shd w:val="clear" w:color="000000" w:fill="FDE9D9"/>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896" w:type="dxa"/>
            <w:tcBorders>
              <w:top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8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地下室</w:t>
            </w:r>
          </w:p>
        </w:tc>
        <w:tc>
          <w:tcPr>
            <w:tcW w:w="11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12小时</w:t>
            </w:r>
          </w:p>
        </w:tc>
        <w:tc>
          <w:tcPr>
            <w:tcW w:w="1096" w:type="dxa"/>
            <w:tcBorders>
              <w:top w:val="nil"/>
              <w:left w:val="nil"/>
              <w:bottom w:val="single" w:color="auto" w:sz="4" w:space="0"/>
              <w:right w:val="single" w:color="auto" w:sz="4" w:space="0"/>
            </w:tcBorders>
            <w:shd w:val="clear" w:color="000000" w:fill="DBEEF3"/>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6" w:type="dxa"/>
            <w:tcBorders>
              <w:top w:val="nil"/>
              <w:left w:val="nil"/>
              <w:bottom w:val="single" w:color="auto" w:sz="4" w:space="0"/>
              <w:right w:val="single" w:color="auto" w:sz="4" w:space="0"/>
            </w:tcBorders>
            <w:shd w:val="clear" w:color="000000" w:fill="FDE9D9"/>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896" w:type="dxa"/>
            <w:tcBorders>
              <w:top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8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南大门</w:t>
            </w:r>
          </w:p>
        </w:tc>
        <w:tc>
          <w:tcPr>
            <w:tcW w:w="11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12小时</w:t>
            </w:r>
          </w:p>
        </w:tc>
        <w:tc>
          <w:tcPr>
            <w:tcW w:w="1096" w:type="dxa"/>
            <w:tcBorders>
              <w:top w:val="nil"/>
              <w:left w:val="nil"/>
              <w:bottom w:val="single" w:color="auto" w:sz="4" w:space="0"/>
              <w:right w:val="single" w:color="auto" w:sz="4" w:space="0"/>
            </w:tcBorders>
            <w:shd w:val="clear" w:color="000000" w:fill="DBEEF3"/>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6" w:type="dxa"/>
            <w:tcBorders>
              <w:top w:val="nil"/>
              <w:left w:val="nil"/>
              <w:bottom w:val="single" w:color="auto" w:sz="4" w:space="0"/>
              <w:right w:val="single" w:color="auto" w:sz="4" w:space="0"/>
            </w:tcBorders>
            <w:shd w:val="clear" w:color="000000" w:fill="FDE9D9"/>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896" w:type="dxa"/>
            <w:tcBorders>
              <w:top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外滩大桥旁</w:t>
            </w:r>
          </w:p>
        </w:tc>
      </w:tr>
      <w:tr>
        <w:tblPrEx>
          <w:tblCellMar>
            <w:top w:w="0" w:type="dxa"/>
            <w:left w:w="108" w:type="dxa"/>
            <w:bottom w:w="0" w:type="dxa"/>
            <w:right w:w="108" w:type="dxa"/>
          </w:tblCellMar>
        </w:tblPrEx>
        <w:trPr>
          <w:trHeight w:val="454" w:hRule="atLeast"/>
          <w:jc w:val="center"/>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8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青少年宫旁停车区</w:t>
            </w:r>
          </w:p>
        </w:tc>
        <w:tc>
          <w:tcPr>
            <w:tcW w:w="11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12小时</w:t>
            </w:r>
          </w:p>
        </w:tc>
        <w:tc>
          <w:tcPr>
            <w:tcW w:w="1096" w:type="dxa"/>
            <w:tcBorders>
              <w:top w:val="nil"/>
              <w:left w:val="nil"/>
              <w:bottom w:val="single" w:color="auto" w:sz="4" w:space="0"/>
              <w:right w:val="single" w:color="auto" w:sz="4" w:space="0"/>
            </w:tcBorders>
            <w:shd w:val="clear" w:color="000000" w:fill="DBEEF3"/>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6" w:type="dxa"/>
            <w:tcBorders>
              <w:top w:val="nil"/>
              <w:left w:val="nil"/>
              <w:bottom w:val="single" w:color="auto" w:sz="4" w:space="0"/>
              <w:right w:val="single" w:color="auto" w:sz="4" w:space="0"/>
            </w:tcBorders>
            <w:shd w:val="clear" w:color="000000" w:fill="FDE9D9"/>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896" w:type="dxa"/>
            <w:tcBorders>
              <w:top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8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小学门诊部</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kern w:val="0"/>
                <w:sz w:val="21"/>
                <w:szCs w:val="21"/>
                <w:highlight w:val="none"/>
              </w:rPr>
              <w:t>东门卫</w:t>
            </w:r>
          </w:p>
        </w:tc>
        <w:tc>
          <w:tcPr>
            <w:tcW w:w="11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12小时</w:t>
            </w:r>
          </w:p>
        </w:tc>
        <w:tc>
          <w:tcPr>
            <w:tcW w:w="1096" w:type="dxa"/>
            <w:tcBorders>
              <w:top w:val="nil"/>
              <w:left w:val="nil"/>
              <w:bottom w:val="single" w:color="auto" w:sz="4" w:space="0"/>
              <w:right w:val="single" w:color="auto" w:sz="4" w:space="0"/>
            </w:tcBorders>
            <w:shd w:val="clear" w:color="000000" w:fill="DBEEF3"/>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6" w:type="dxa"/>
            <w:tcBorders>
              <w:top w:val="nil"/>
              <w:left w:val="nil"/>
              <w:bottom w:val="single" w:color="auto" w:sz="4" w:space="0"/>
              <w:right w:val="single" w:color="auto" w:sz="4" w:space="0"/>
            </w:tcBorders>
            <w:shd w:val="clear" w:color="000000" w:fill="FDE9D9"/>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896" w:type="dxa"/>
            <w:tcBorders>
              <w:top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8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小学停车区</w:t>
            </w:r>
          </w:p>
        </w:tc>
        <w:tc>
          <w:tcPr>
            <w:tcW w:w="11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12小时</w:t>
            </w:r>
          </w:p>
        </w:tc>
        <w:tc>
          <w:tcPr>
            <w:tcW w:w="1096" w:type="dxa"/>
            <w:tcBorders>
              <w:top w:val="nil"/>
              <w:left w:val="nil"/>
              <w:bottom w:val="single" w:color="auto" w:sz="4" w:space="0"/>
              <w:right w:val="single" w:color="auto" w:sz="4" w:space="0"/>
            </w:tcBorders>
            <w:shd w:val="clear" w:color="000000" w:fill="DBEEF3"/>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6" w:type="dxa"/>
            <w:tcBorders>
              <w:top w:val="nil"/>
              <w:left w:val="nil"/>
              <w:bottom w:val="single" w:color="auto" w:sz="4" w:space="0"/>
              <w:right w:val="single" w:color="auto" w:sz="4" w:space="0"/>
            </w:tcBorders>
            <w:shd w:val="clear" w:color="000000" w:fill="FDE9D9"/>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896" w:type="dxa"/>
            <w:tcBorders>
              <w:top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8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小学停车区出口</w:t>
            </w:r>
          </w:p>
        </w:tc>
        <w:tc>
          <w:tcPr>
            <w:tcW w:w="11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12小时</w:t>
            </w:r>
          </w:p>
        </w:tc>
        <w:tc>
          <w:tcPr>
            <w:tcW w:w="1096" w:type="dxa"/>
            <w:tcBorders>
              <w:top w:val="nil"/>
              <w:left w:val="nil"/>
              <w:bottom w:val="single" w:color="auto" w:sz="4" w:space="0"/>
              <w:right w:val="single" w:color="auto" w:sz="4" w:space="0"/>
            </w:tcBorders>
            <w:shd w:val="clear" w:color="000000" w:fill="DBEEF3"/>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12小时</w:t>
            </w:r>
          </w:p>
        </w:tc>
        <w:tc>
          <w:tcPr>
            <w:tcW w:w="1096" w:type="dxa"/>
            <w:tcBorders>
              <w:top w:val="nil"/>
              <w:left w:val="nil"/>
              <w:bottom w:val="single" w:color="auto" w:sz="4" w:space="0"/>
              <w:right w:val="single" w:color="auto" w:sz="4" w:space="0"/>
            </w:tcBorders>
            <w:shd w:val="clear" w:color="000000" w:fill="FDE9D9"/>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896" w:type="dxa"/>
            <w:tcBorders>
              <w:top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8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机动车入口（鄞慈镇路）</w:t>
            </w:r>
          </w:p>
        </w:tc>
        <w:tc>
          <w:tcPr>
            <w:tcW w:w="119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12小时</w:t>
            </w:r>
          </w:p>
        </w:tc>
        <w:tc>
          <w:tcPr>
            <w:tcW w:w="1096" w:type="dxa"/>
            <w:tcBorders>
              <w:top w:val="nil"/>
              <w:left w:val="nil"/>
              <w:bottom w:val="single" w:color="auto" w:sz="4" w:space="0"/>
              <w:right w:val="single" w:color="auto" w:sz="4" w:space="0"/>
            </w:tcBorders>
            <w:shd w:val="clear" w:color="000000" w:fill="DBEEF3"/>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12小时</w:t>
            </w:r>
          </w:p>
        </w:tc>
        <w:tc>
          <w:tcPr>
            <w:tcW w:w="1096" w:type="dxa"/>
            <w:tcBorders>
              <w:top w:val="nil"/>
              <w:left w:val="nil"/>
              <w:bottom w:val="single" w:color="auto" w:sz="4" w:space="0"/>
              <w:right w:val="single" w:color="auto" w:sz="4" w:space="0"/>
            </w:tcBorders>
            <w:shd w:val="clear" w:color="000000" w:fill="FDE9D9"/>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896" w:type="dxa"/>
            <w:tcBorders>
              <w:top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18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**室以及新大楼北侧通道沿线</w:t>
            </w:r>
          </w:p>
        </w:tc>
        <w:tc>
          <w:tcPr>
            <w:tcW w:w="11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12小时</w:t>
            </w:r>
          </w:p>
        </w:tc>
        <w:tc>
          <w:tcPr>
            <w:tcW w:w="1096" w:type="dxa"/>
            <w:tcBorders>
              <w:top w:val="nil"/>
              <w:left w:val="nil"/>
              <w:bottom w:val="single" w:color="auto" w:sz="4" w:space="0"/>
              <w:right w:val="single" w:color="auto" w:sz="4" w:space="0"/>
            </w:tcBorders>
            <w:shd w:val="clear" w:color="000000" w:fill="DBEEF3"/>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6" w:type="dxa"/>
            <w:tcBorders>
              <w:top w:val="nil"/>
              <w:left w:val="nil"/>
              <w:bottom w:val="single" w:color="auto" w:sz="4" w:space="0"/>
              <w:right w:val="single" w:color="auto" w:sz="4" w:space="0"/>
            </w:tcBorders>
            <w:shd w:val="clear" w:color="000000" w:fill="FDE9D9"/>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896" w:type="dxa"/>
            <w:tcBorders>
              <w:top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8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外滩大桥下人民路东侧停车场</w:t>
            </w:r>
          </w:p>
        </w:tc>
        <w:tc>
          <w:tcPr>
            <w:tcW w:w="11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12小时</w:t>
            </w:r>
          </w:p>
        </w:tc>
        <w:tc>
          <w:tcPr>
            <w:tcW w:w="1096" w:type="dxa"/>
            <w:tcBorders>
              <w:top w:val="nil"/>
              <w:left w:val="nil"/>
              <w:bottom w:val="single" w:color="auto" w:sz="4" w:space="0"/>
              <w:right w:val="single" w:color="auto" w:sz="4" w:space="0"/>
            </w:tcBorders>
            <w:shd w:val="clear" w:color="000000" w:fill="DBEEF3"/>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40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12小时</w:t>
            </w:r>
          </w:p>
        </w:tc>
        <w:tc>
          <w:tcPr>
            <w:tcW w:w="1096" w:type="dxa"/>
            <w:tcBorders>
              <w:top w:val="nil"/>
              <w:left w:val="nil"/>
              <w:bottom w:val="single" w:color="auto" w:sz="4" w:space="0"/>
              <w:right w:val="single" w:color="auto" w:sz="4" w:space="0"/>
            </w:tcBorders>
            <w:shd w:val="clear" w:color="000000" w:fill="FDE9D9"/>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896" w:type="dxa"/>
            <w:tcBorders>
              <w:top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185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轮休</w:t>
            </w:r>
          </w:p>
        </w:tc>
        <w:tc>
          <w:tcPr>
            <w:tcW w:w="11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12小时</w:t>
            </w:r>
          </w:p>
        </w:tc>
        <w:tc>
          <w:tcPr>
            <w:tcW w:w="1096" w:type="dxa"/>
            <w:tcBorders>
              <w:top w:val="nil"/>
              <w:left w:val="nil"/>
              <w:bottom w:val="single" w:color="auto" w:sz="4" w:space="0"/>
              <w:right w:val="single" w:color="auto" w:sz="4" w:space="0"/>
            </w:tcBorders>
            <w:shd w:val="clear" w:color="000000" w:fill="DBEEF3"/>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40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12小时</w:t>
            </w:r>
          </w:p>
        </w:tc>
        <w:tc>
          <w:tcPr>
            <w:tcW w:w="1096" w:type="dxa"/>
            <w:tcBorders>
              <w:top w:val="nil"/>
              <w:left w:val="nil"/>
              <w:bottom w:val="single" w:color="auto" w:sz="4" w:space="0"/>
              <w:right w:val="single" w:color="auto" w:sz="4" w:space="0"/>
            </w:tcBorders>
            <w:shd w:val="clear" w:color="000000" w:fill="FDE9D9"/>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896" w:type="dxa"/>
            <w:tcBorders>
              <w:top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454" w:hRule="atLeast"/>
          <w:jc w:val="center"/>
        </w:trPr>
        <w:tc>
          <w:tcPr>
            <w:tcW w:w="6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w:t>
            </w:r>
          </w:p>
        </w:tc>
        <w:tc>
          <w:tcPr>
            <w:tcW w:w="185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合计</w:t>
            </w:r>
          </w:p>
        </w:tc>
        <w:tc>
          <w:tcPr>
            <w:tcW w:w="11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0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896" w:type="dxa"/>
            <w:tcBorders>
              <w:top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 w:val="21"/>
                <w:szCs w:val="21"/>
                <w:highlight w:val="none"/>
              </w:rPr>
            </w:pPr>
          </w:p>
        </w:tc>
      </w:tr>
    </w:tbl>
    <w:p>
      <w:pPr>
        <w:widowControl/>
        <w:spacing w:line="400" w:lineRule="exact"/>
        <w:ind w:firstLine="413" w:firstLineChars="196"/>
        <w:rPr>
          <w:rFonts w:ascii="宋体" w:hAnsi="宋体" w:cs="宋体"/>
          <w:bCs/>
          <w:color w:val="auto"/>
          <w:szCs w:val="21"/>
          <w:highlight w:val="none"/>
        </w:rPr>
      </w:pPr>
      <w:r>
        <w:rPr>
          <w:rFonts w:hint="eastAsia" w:ascii="宋体" w:hAnsi="宋体" w:cs="宋体"/>
          <w:b/>
          <w:bCs/>
          <w:color w:val="auto"/>
          <w:szCs w:val="21"/>
          <w:highlight w:val="none"/>
        </w:rPr>
        <w:t>备注：</w:t>
      </w:r>
      <w:r>
        <w:rPr>
          <w:rFonts w:hint="eastAsia" w:ascii="宋体" w:hAnsi="宋体" w:cs="宋体"/>
          <w:bCs/>
          <w:color w:val="auto"/>
          <w:szCs w:val="21"/>
          <w:highlight w:val="none"/>
        </w:rPr>
        <w:t>此表为目前医院实行的岗位，各应标单位可作为参考依据，根据医院实际需要运行的岗位可以进行重新编排，但需满足医院岗位85个的总数,用工可执行综合工时制。投标时须以此表为基础配置合适的岗位人数。</w:t>
      </w:r>
    </w:p>
    <w:p>
      <w:pPr>
        <w:widowControl/>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3.12.2、</w:t>
      </w:r>
      <w:r>
        <w:rPr>
          <w:rFonts w:hint="eastAsia" w:ascii="宋体" w:hAnsi="宋体"/>
          <w:color w:val="auto"/>
          <w:szCs w:val="21"/>
          <w:highlight w:val="none"/>
        </w:rPr>
        <w:t>保安员每天工作时间为8小时，</w:t>
      </w:r>
      <w:r>
        <w:rPr>
          <w:rFonts w:hint="eastAsia" w:ascii="宋体" w:hAnsi="宋体" w:cs="宋体"/>
          <w:bCs/>
          <w:color w:val="auto"/>
          <w:szCs w:val="21"/>
          <w:highlight w:val="none"/>
        </w:rPr>
        <w:t>做六休一，根据岗位性质和队员的意愿，</w:t>
      </w:r>
      <w:r>
        <w:rPr>
          <w:rFonts w:hint="eastAsia" w:ascii="宋体" w:hAnsi="宋体" w:cs="宋体"/>
          <w:bCs/>
          <w:color w:val="auto"/>
          <w:kern w:val="0"/>
          <w:szCs w:val="21"/>
          <w:highlight w:val="none"/>
        </w:rPr>
        <w:t>可实行综合工时制，做六休一，</w:t>
      </w:r>
      <w:r>
        <w:rPr>
          <w:rFonts w:hint="eastAsia" w:ascii="宋体" w:hAnsi="宋体" w:cs="宋体"/>
          <w:bCs/>
          <w:color w:val="auto"/>
          <w:szCs w:val="21"/>
          <w:highlight w:val="none"/>
        </w:rPr>
        <w:t>但每天加班时间不高于4小时，</w:t>
      </w:r>
      <w:r>
        <w:rPr>
          <w:rFonts w:hint="eastAsia" w:ascii="宋体" w:hAnsi="宋体"/>
          <w:bCs/>
          <w:color w:val="auto"/>
          <w:highlight w:val="none"/>
        </w:rPr>
        <w:t>周工作时间原则上不超过72小时，在应急事件处理过程中延时加班须经保卫科审批，且符合法律规定</w:t>
      </w:r>
      <w:r>
        <w:rPr>
          <w:rFonts w:hint="eastAsia" w:ascii="宋体" w:hAnsi="宋体" w:cs="宋体"/>
          <w:bCs/>
          <w:color w:val="auto"/>
          <w:szCs w:val="21"/>
          <w:highlight w:val="none"/>
        </w:rPr>
        <w:t>。</w:t>
      </w:r>
    </w:p>
    <w:p>
      <w:pPr>
        <w:widowControl/>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3.12.3、中标人需派驻1名能力较强项目经理从事日常管理工作，需常驻医院。派驻保安班队长须经医院保卫科审核同意，如保安班队长不符医院服务要求，保卫科有权</w:t>
      </w:r>
      <w:r>
        <w:rPr>
          <w:rFonts w:hint="eastAsia" w:ascii="宋体" w:hAnsi="宋体"/>
          <w:bCs/>
          <w:color w:val="auto"/>
          <w:highlight w:val="none"/>
        </w:rPr>
        <w:t>要求服务单位更换保安班队长或自行确立保安班队长</w:t>
      </w:r>
      <w:r>
        <w:rPr>
          <w:rFonts w:hint="eastAsia" w:ascii="宋体" w:hAnsi="宋体" w:cs="宋体"/>
          <w:bCs/>
          <w:color w:val="auto"/>
          <w:szCs w:val="21"/>
          <w:highlight w:val="none"/>
        </w:rPr>
        <w:t>。</w:t>
      </w:r>
    </w:p>
    <w:p>
      <w:pPr>
        <w:widowControl/>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3.12.4、</w:t>
      </w:r>
      <w:r>
        <w:rPr>
          <w:rFonts w:hint="eastAsia" w:ascii="宋体" w:hAnsi="宋体"/>
          <w:b/>
          <w:color w:val="auto"/>
          <w:highlight w:val="none"/>
        </w:rPr>
        <w:t>项目经理兼大队长、副队长、特勤班长</w:t>
      </w:r>
    </w:p>
    <w:p>
      <w:pPr>
        <w:widowControl/>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项目经理兼大队长1人，停车场队长1人，日班副队长2人，晚班副队长2人，特勤班长1人，参照总人数的10%配置保安班长、消控主管。</w:t>
      </w:r>
    </w:p>
    <w:p>
      <w:pPr>
        <w:widowControl/>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3.12.5、中标人须对上述人员要定期考核，专门培训。</w:t>
      </w:r>
    </w:p>
    <w:p>
      <w:pPr>
        <w:widowControl/>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3.12.6、</w:t>
      </w:r>
      <w:r>
        <w:rPr>
          <w:rFonts w:hint="eastAsia" w:ascii="宋体" w:hAnsi="宋体"/>
          <w:bCs/>
          <w:color w:val="auto"/>
          <w:szCs w:val="21"/>
          <w:highlight w:val="none"/>
        </w:rPr>
        <w:t>保安人员必须具备如下条件</w:t>
      </w:r>
      <w:r>
        <w:rPr>
          <w:rFonts w:hint="eastAsia" w:ascii="宋体" w:hAnsi="宋体" w:cs="宋体"/>
          <w:bCs/>
          <w:color w:val="auto"/>
          <w:szCs w:val="21"/>
          <w:highlight w:val="none"/>
        </w:rPr>
        <w:t>：</w:t>
      </w:r>
    </w:p>
    <w:p>
      <w:pPr>
        <w:widowControl/>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3.12.6.1、身体健康，精力充沛；要求本地人员为主。每人每年必须一次体检并提供书面体检合格报告。</w:t>
      </w:r>
    </w:p>
    <w:p>
      <w:pPr>
        <w:widowControl/>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3.12.6.2、年龄在18周岁以上，55周岁以下；因工作需要等特殊情况年龄可适当放宽（且符合国家用工政策）。</w:t>
      </w:r>
    </w:p>
    <w:p>
      <w:pPr>
        <w:widowControl/>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3.12.6.3、全体安保人员必须每年更换一次服装，所有人员装备由中标人承担。</w:t>
      </w:r>
    </w:p>
    <w:p>
      <w:pPr>
        <w:widowControl/>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3.12.6.4、必须通过保安人员上岗资格考试，具有人力资源和社会保障部颁发的保安员职业</w:t>
      </w:r>
      <w:r>
        <w:rPr>
          <w:rFonts w:hint="eastAsia"/>
          <w:color w:val="auto"/>
          <w:highlight w:val="none"/>
        </w:rPr>
        <w:t>资格证书</w:t>
      </w:r>
      <w:r>
        <w:rPr>
          <w:rFonts w:hint="eastAsia" w:ascii="宋体" w:hAnsi="宋体" w:cs="宋体"/>
          <w:bCs/>
          <w:color w:val="auto"/>
          <w:szCs w:val="21"/>
          <w:highlight w:val="none"/>
        </w:rPr>
        <w:t>或公安部颁发的保安员上岗证。</w:t>
      </w:r>
    </w:p>
    <w:p>
      <w:pPr>
        <w:widowControl/>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3.12.6.5、品行端正，未受过刑事处罚或治安处罚。</w:t>
      </w:r>
    </w:p>
    <w:p>
      <w:pPr>
        <w:widowControl/>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3.12.6.6、特勤人员要求：22周岁-35周岁，高中学历，退役武警或军人优先，身体素质较好，专业素养过硬，体检合格，特殊情况经保卫科审批同意，可适当放宽要求，报医院保卫科备案。</w:t>
      </w:r>
    </w:p>
    <w:p>
      <w:pPr>
        <w:widowControl/>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3.12.6.7、全体保安人员实行定岗定责定薪,实行全员奖惩考核,奖惩与医院及公司的规章制度挂钩,每月执行的记录报医院保卫科备案。</w:t>
      </w:r>
    </w:p>
    <w:p>
      <w:pPr>
        <w:widowControl/>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3.12.6.8、项目经理、特勤小队长应具有类似项目经验，有协调能力，能适应医院要求，能进行良好沟通及密切配合。</w:t>
      </w:r>
    </w:p>
    <w:p>
      <w:pPr>
        <w:widowControl/>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3.12.6.9中标后，</w:t>
      </w:r>
      <w:r>
        <w:rPr>
          <w:rFonts w:hint="eastAsia" w:ascii="宋体" w:hAnsi="宋体"/>
          <w:bCs/>
          <w:color w:val="auto"/>
          <w:highlight w:val="none"/>
        </w:rPr>
        <w:t>派驻的项目经理更换必须由采购人同意后方可执行，否则采购人有权在服务费用中扣除50000元。</w:t>
      </w:r>
    </w:p>
    <w:p>
      <w:pPr>
        <w:widowControl/>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3.12.6.10、保安副队长、停车队长、保安班长：有类似工作经验，能承上启下、协调员工、能带教新进院保安人员。</w:t>
      </w:r>
    </w:p>
    <w:p>
      <w:pPr>
        <w:widowControl/>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3.12.6.11、其它保安人员：具备吃苦耐劳、工作认真仔细、能满足医院岗位要求、身体健康，且新入职普通保安人员年龄原则上不高于55周岁，部分条件优秀保安人员经医院保卫科审核同意后其年龄要求可适当放宽。</w:t>
      </w:r>
    </w:p>
    <w:p>
      <w:pPr>
        <w:widowControl/>
        <w:spacing w:line="400" w:lineRule="exact"/>
        <w:ind w:firstLine="420" w:firstLineChars="200"/>
        <w:rPr>
          <w:rFonts w:ascii="宋体" w:hAnsi="宋体" w:cs="宋体"/>
          <w:color w:val="auto"/>
          <w:szCs w:val="21"/>
          <w:highlight w:val="none"/>
        </w:rPr>
      </w:pPr>
      <w:r>
        <w:rPr>
          <w:rFonts w:hint="eastAsia" w:ascii="宋体" w:hAnsi="宋体" w:cs="宋体"/>
          <w:bCs/>
          <w:color w:val="auto"/>
          <w:szCs w:val="21"/>
          <w:highlight w:val="none"/>
        </w:rPr>
        <w:t>3.12.6.12、</w:t>
      </w:r>
      <w:r>
        <w:rPr>
          <w:rFonts w:hint="eastAsia" w:ascii="宋体" w:hAnsi="宋体"/>
          <w:color w:val="auto"/>
          <w:highlight w:val="none"/>
        </w:rPr>
        <w:t>新入职特勤队员要求优秀退伍军人或身高175cm以上，大专以上学历，年龄20-35周岁的男性，录用时必须通过医院考核。</w:t>
      </w:r>
    </w:p>
    <w:p>
      <w:pPr>
        <w:widowControl/>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3.12.7、岗位配置人员均设有标准工资，中标人在履行合同时每个队员结合正常考勤及无扣罚情况发放工资不得低于该标准，如低于此标准，一经查实要求立即补发，并扣罚500-20000元人民币，如无故不及时整改的，医院有权解除合同。</w:t>
      </w:r>
    </w:p>
    <w:p>
      <w:pPr>
        <w:widowControl/>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3.13、中标人必须提供</w:t>
      </w:r>
      <w:r>
        <w:rPr>
          <w:rFonts w:hint="eastAsia" w:ascii="宋体" w:hAnsi="宋体" w:cs="宋体"/>
          <w:color w:val="auto"/>
          <w:kern w:val="0"/>
          <w:szCs w:val="21"/>
          <w:highlight w:val="none"/>
          <w:lang w:eastAsia="zh-CN"/>
        </w:rPr>
        <w:t>停车场管理</w:t>
      </w:r>
      <w:r>
        <w:rPr>
          <w:rFonts w:hint="eastAsia" w:ascii="宋体" w:hAnsi="宋体" w:cs="宋体"/>
          <w:color w:val="auto"/>
          <w:kern w:val="0"/>
          <w:szCs w:val="21"/>
          <w:highlight w:val="none"/>
        </w:rPr>
        <w:t>服务，做好停车场相关管理和有效运行。</w:t>
      </w:r>
    </w:p>
    <w:p>
      <w:pPr>
        <w:widowControl/>
        <w:spacing w:line="400" w:lineRule="exact"/>
        <w:ind w:firstLine="420" w:firstLineChars="200"/>
        <w:rPr>
          <w:rFonts w:ascii="宋体" w:hAnsi="宋体"/>
          <w:color w:val="auto"/>
          <w:szCs w:val="21"/>
          <w:highlight w:val="none"/>
        </w:rPr>
      </w:pPr>
      <w:r>
        <w:rPr>
          <w:rFonts w:hint="eastAsia" w:ascii="宋体" w:hAnsi="宋体" w:cs="宋体"/>
          <w:color w:val="auto"/>
          <w:kern w:val="0"/>
          <w:szCs w:val="21"/>
          <w:highlight w:val="none"/>
        </w:rPr>
        <w:t>3.14、</w:t>
      </w:r>
      <w:r>
        <w:rPr>
          <w:rFonts w:hint="eastAsia" w:ascii="宋体" w:hAnsi="宋体"/>
          <w:color w:val="auto"/>
          <w:szCs w:val="21"/>
          <w:highlight w:val="none"/>
        </w:rPr>
        <w:t>中标人须提交管理制度及工作措施，队员要求本地人员为主，以确保人员的稳定性。</w:t>
      </w:r>
    </w:p>
    <w:p>
      <w:pPr>
        <w:widowControl/>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3.15、中标人履行工作职责将发案率与经济效益挂钩，一般案件以每月二起为控制率。</w:t>
      </w:r>
    </w:p>
    <w:p>
      <w:pPr>
        <w:widowControl/>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3.16、中标人须提供保安人员考核细则，对保安人员实行考核制度。</w:t>
      </w:r>
    </w:p>
    <w:p>
      <w:pPr>
        <w:widowControl/>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3.17、中标人须说明保安的工资待遇，提出年承包总投标费用及违约责任。</w:t>
      </w:r>
    </w:p>
    <w:p>
      <w:pPr>
        <w:widowControl/>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3.18、中标人协助医院做好传染性疾病等管控工作，遵守医院各项管控要求。</w:t>
      </w:r>
    </w:p>
    <w:p>
      <w:pPr>
        <w:widowControl/>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3.19、保安人员须服从医院的监督管理，遵守医院各项规章制度。</w:t>
      </w:r>
    </w:p>
    <w:p>
      <w:pPr>
        <w:widowControl/>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3.20、保安服务内容和质量标准见表3：</w:t>
      </w:r>
    </w:p>
    <w:p>
      <w:pPr>
        <w:widowControl/>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3.21、安保、消防监控服务内容及质量标准见表4</w:t>
      </w:r>
    </w:p>
    <w:p>
      <w:pPr>
        <w:widowControl/>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3.22、中标人每月须提供上一月的员工缴纳税收、社保证明及考勤记录（必要时提供人员工资清单）。</w:t>
      </w:r>
    </w:p>
    <w:p>
      <w:pPr>
        <w:widowControl/>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3.23、未经医院同意，中标人不得在合同期限内将本服务项目转包或分包；</w:t>
      </w:r>
    </w:p>
    <w:p>
      <w:pPr>
        <w:widowControl/>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3.24、中标人须严格按照规定开展工作、完善的培训体系，以保证整个服务系统安全、高效、有序和有计划的进行。</w:t>
      </w:r>
    </w:p>
    <w:p>
      <w:pPr>
        <w:widowControl/>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3.25、中标人有责任配合医院接受上级领导部门的监督、检查，提供必须的资料，中标人重大活动涉及本项目的人、事必须报医院保卫科备案核准；</w:t>
      </w:r>
    </w:p>
    <w:p>
      <w:pPr>
        <w:widowControl/>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3.26、中标人自行负责其招聘员工的一切工资、福利，如发生工伤、疾病乃至死亡的一切责任及费用由中标人全部负责。中标人应严格遵守国家有关的法律、法规要求的标准。如应中标人原因造成第三方损失的，一切责任及费用由中标人负全责。</w:t>
      </w:r>
    </w:p>
    <w:p>
      <w:pPr>
        <w:widowControl/>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3.27、全部服务人员的工作时间应严格按照国家有关法律法规及行业标准执行，因工作原因产生的加班（含节日加班）应严格按国家有关法律、法规要求标准给付员工加班薪资（费用已含在投标总报价中，不得再向采购人索取额外加班薪资，如医院发生医疗纠纷等突发事件经保卫科同意需保安人员</w:t>
      </w:r>
      <w:r>
        <w:rPr>
          <w:rFonts w:hint="eastAsia" w:ascii="宋体" w:hAnsi="宋体"/>
          <w:color w:val="auto"/>
          <w:szCs w:val="21"/>
          <w:highlight w:val="none"/>
          <w:lang w:eastAsia="zh-CN"/>
        </w:rPr>
        <w:t>延时</w:t>
      </w:r>
      <w:r>
        <w:rPr>
          <w:rFonts w:hint="eastAsia" w:ascii="宋体" w:hAnsi="宋体"/>
          <w:color w:val="auto"/>
          <w:szCs w:val="21"/>
          <w:highlight w:val="none"/>
        </w:rPr>
        <w:t>加班，其加班费用按照医院标准由医院负责支付）。</w:t>
      </w:r>
    </w:p>
    <w:p>
      <w:pPr>
        <w:widowControl/>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3.28、因中标人违反《劳动法》等法律法规而造成采购人的连带责任和损失全部由中标人自行承担。</w:t>
      </w:r>
    </w:p>
    <w:p>
      <w:pPr>
        <w:keepNext w:val="0"/>
        <w:keepLines w:val="0"/>
        <w:pageBreakBefore w:val="0"/>
        <w:widowControl/>
        <w:tabs>
          <w:tab w:val="left" w:pos="840"/>
        </w:tabs>
        <w:kinsoku/>
        <w:wordWrap/>
        <w:overflowPunct/>
        <w:topLinePunct w:val="0"/>
        <w:autoSpaceDE/>
        <w:autoSpaceDN/>
        <w:bidi w:val="0"/>
        <w:adjustRightInd/>
        <w:snapToGrid/>
        <w:spacing w:line="40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3.29、中标人须认真履行职责，员工按照服务协议中的质量保证体系做好院内的承包服务工作。确保在岗在位，各尽其职，保证符合医院各项服务要求和服务质量标准。</w:t>
      </w:r>
    </w:p>
    <w:p>
      <w:pPr>
        <w:pStyle w:val="3"/>
        <w:keepNext w:val="0"/>
        <w:keepLines w:val="0"/>
        <w:pageBreakBefore w:val="0"/>
        <w:kinsoku/>
        <w:wordWrap/>
        <w:overflowPunct/>
        <w:topLinePunct w:val="0"/>
        <w:autoSpaceDE/>
        <w:autoSpaceDN/>
        <w:bidi w:val="0"/>
        <w:adjustRightInd/>
        <w:snapToGrid/>
        <w:spacing w:line="400" w:lineRule="exact"/>
        <w:ind w:firstLine="422" w:firstLineChars="200"/>
        <w:textAlignment w:val="auto"/>
        <w:rPr>
          <w:b/>
          <w:color w:val="auto"/>
          <w:sz w:val="21"/>
          <w:szCs w:val="21"/>
          <w:highlight w:val="none"/>
        </w:rPr>
      </w:pPr>
      <w:r>
        <w:rPr>
          <w:rFonts w:hint="eastAsia"/>
          <w:b/>
          <w:color w:val="auto"/>
          <w:sz w:val="21"/>
          <w:szCs w:val="21"/>
          <w:highlight w:val="none"/>
        </w:rPr>
        <w:t>4、停车场管理要求：</w:t>
      </w:r>
    </w:p>
    <w:p>
      <w:pPr>
        <w:pStyle w:val="3"/>
        <w:keepNext w:val="0"/>
        <w:keepLines w:val="0"/>
        <w:pageBreakBefore w:val="0"/>
        <w:kinsoku/>
        <w:wordWrap/>
        <w:overflowPunct/>
        <w:topLinePunct w:val="0"/>
        <w:autoSpaceDE/>
        <w:autoSpaceDN/>
        <w:bidi w:val="0"/>
        <w:adjustRightInd/>
        <w:snapToGrid/>
        <w:spacing w:line="400" w:lineRule="exact"/>
        <w:ind w:firstLine="420" w:firstLineChars="200"/>
        <w:textAlignment w:val="auto"/>
        <w:rPr>
          <w:color w:val="auto"/>
          <w:sz w:val="21"/>
          <w:szCs w:val="21"/>
          <w:highlight w:val="none"/>
        </w:rPr>
      </w:pPr>
      <w:r>
        <w:rPr>
          <w:rFonts w:hint="eastAsia"/>
          <w:color w:val="auto"/>
          <w:sz w:val="21"/>
          <w:szCs w:val="21"/>
          <w:highlight w:val="none"/>
        </w:rPr>
        <w:t>4.1、中标人必须保障院内道路畅通，维护正常的交通秩序，保障车辆安全。</w:t>
      </w:r>
    </w:p>
    <w:p>
      <w:pPr>
        <w:pStyle w:val="3"/>
        <w:keepNext w:val="0"/>
        <w:keepLines w:val="0"/>
        <w:pageBreakBefore w:val="0"/>
        <w:kinsoku/>
        <w:wordWrap/>
        <w:overflowPunct/>
        <w:topLinePunct w:val="0"/>
        <w:autoSpaceDE/>
        <w:autoSpaceDN/>
        <w:bidi w:val="0"/>
        <w:adjustRightInd/>
        <w:snapToGrid/>
        <w:spacing w:line="400" w:lineRule="exact"/>
        <w:ind w:firstLine="420" w:firstLineChars="200"/>
        <w:textAlignment w:val="auto"/>
        <w:rPr>
          <w:color w:val="auto"/>
          <w:sz w:val="21"/>
          <w:szCs w:val="21"/>
          <w:highlight w:val="none"/>
        </w:rPr>
      </w:pPr>
      <w:r>
        <w:rPr>
          <w:rFonts w:hint="eastAsia"/>
          <w:color w:val="auto"/>
          <w:sz w:val="21"/>
          <w:szCs w:val="21"/>
          <w:highlight w:val="none"/>
        </w:rPr>
        <w:t>4.2、停车收费管理人员统一着装，维护医院形象，做到文明服务规范管理。</w:t>
      </w:r>
    </w:p>
    <w:p>
      <w:pPr>
        <w:pStyle w:val="3"/>
        <w:keepNext w:val="0"/>
        <w:keepLines w:val="0"/>
        <w:pageBreakBefore w:val="0"/>
        <w:kinsoku/>
        <w:wordWrap/>
        <w:overflowPunct/>
        <w:topLinePunct w:val="0"/>
        <w:autoSpaceDE/>
        <w:autoSpaceDN/>
        <w:bidi w:val="0"/>
        <w:adjustRightInd/>
        <w:snapToGrid/>
        <w:spacing w:line="400" w:lineRule="exact"/>
        <w:ind w:firstLine="420" w:firstLineChars="200"/>
        <w:textAlignment w:val="auto"/>
        <w:rPr>
          <w:color w:val="auto"/>
          <w:sz w:val="21"/>
          <w:szCs w:val="21"/>
          <w:highlight w:val="none"/>
        </w:rPr>
      </w:pPr>
      <w:r>
        <w:rPr>
          <w:rFonts w:hint="eastAsia"/>
          <w:color w:val="auto"/>
          <w:sz w:val="21"/>
          <w:szCs w:val="21"/>
          <w:highlight w:val="none"/>
        </w:rPr>
        <w:t>4.3、严格执行物价部门审定的停车收费标准，不得乱收费，如有投诉并被物价部门查实的由中标单位承担全部责任。</w:t>
      </w:r>
    </w:p>
    <w:p>
      <w:pPr>
        <w:pStyle w:val="3"/>
        <w:keepNext w:val="0"/>
        <w:keepLines w:val="0"/>
        <w:pageBreakBefore w:val="0"/>
        <w:kinsoku/>
        <w:wordWrap/>
        <w:overflowPunct/>
        <w:topLinePunct w:val="0"/>
        <w:autoSpaceDE/>
        <w:autoSpaceDN/>
        <w:bidi w:val="0"/>
        <w:adjustRightInd/>
        <w:snapToGrid/>
        <w:spacing w:line="400" w:lineRule="exact"/>
        <w:ind w:firstLine="420" w:firstLineChars="200"/>
        <w:textAlignment w:val="auto"/>
        <w:rPr>
          <w:color w:val="auto"/>
          <w:sz w:val="21"/>
          <w:szCs w:val="21"/>
          <w:highlight w:val="none"/>
        </w:rPr>
      </w:pPr>
      <w:r>
        <w:rPr>
          <w:rFonts w:hint="eastAsia"/>
          <w:color w:val="auto"/>
          <w:sz w:val="21"/>
          <w:szCs w:val="21"/>
          <w:highlight w:val="none"/>
        </w:rPr>
        <w:t>4.4、停车收费系统收费情况接受</w:t>
      </w:r>
      <w:r>
        <w:rPr>
          <w:rFonts w:hint="eastAsia"/>
          <w:color w:val="auto"/>
          <w:sz w:val="21"/>
          <w:szCs w:val="21"/>
          <w:highlight w:val="none"/>
          <w:lang w:eastAsia="zh-CN"/>
        </w:rPr>
        <w:t>采购人</w:t>
      </w:r>
      <w:r>
        <w:rPr>
          <w:rFonts w:hint="eastAsia"/>
          <w:color w:val="auto"/>
          <w:sz w:val="21"/>
          <w:szCs w:val="21"/>
          <w:highlight w:val="none"/>
        </w:rPr>
        <w:t>监管，主动上报每月停车收费情况，</w:t>
      </w:r>
      <w:r>
        <w:rPr>
          <w:rFonts w:hint="eastAsia"/>
          <w:color w:val="auto"/>
          <w:sz w:val="21"/>
          <w:szCs w:val="21"/>
          <w:highlight w:val="none"/>
          <w:lang w:eastAsia="zh-CN"/>
        </w:rPr>
        <w:t>采购人</w:t>
      </w:r>
      <w:r>
        <w:rPr>
          <w:rFonts w:hint="eastAsia"/>
          <w:color w:val="auto"/>
          <w:sz w:val="21"/>
          <w:szCs w:val="21"/>
          <w:highlight w:val="none"/>
        </w:rPr>
        <w:t>有权实时查询调阅收费情况。</w:t>
      </w:r>
    </w:p>
    <w:p>
      <w:pPr>
        <w:pStyle w:val="3"/>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eastAsia="宋体"/>
          <w:color w:val="auto"/>
          <w:sz w:val="21"/>
          <w:szCs w:val="21"/>
          <w:highlight w:val="none"/>
          <w:lang w:val="en-US" w:eastAsia="zh-CN"/>
        </w:rPr>
      </w:pPr>
      <w:r>
        <w:rPr>
          <w:rFonts w:hint="eastAsia"/>
          <w:color w:val="auto"/>
          <w:sz w:val="21"/>
          <w:szCs w:val="21"/>
          <w:highlight w:val="none"/>
        </w:rPr>
        <w:t>4.5中标人每月10日前将上个月停车收入不低于80%</w:t>
      </w:r>
      <w:r>
        <w:rPr>
          <w:rFonts w:hint="eastAsia"/>
          <w:color w:val="auto"/>
          <w:sz w:val="21"/>
          <w:szCs w:val="21"/>
          <w:highlight w:val="none"/>
          <w:lang w:eastAsia="zh-CN"/>
        </w:rPr>
        <w:t>（含）</w:t>
      </w:r>
      <w:r>
        <w:rPr>
          <w:rFonts w:hint="eastAsia"/>
          <w:color w:val="auto"/>
          <w:sz w:val="21"/>
          <w:szCs w:val="21"/>
          <w:highlight w:val="none"/>
        </w:rPr>
        <w:t>的金额支付给</w:t>
      </w:r>
      <w:r>
        <w:rPr>
          <w:rFonts w:hint="eastAsia"/>
          <w:color w:val="auto"/>
          <w:sz w:val="21"/>
          <w:szCs w:val="21"/>
          <w:highlight w:val="none"/>
          <w:lang w:eastAsia="zh-CN"/>
        </w:rPr>
        <w:t>采购人</w:t>
      </w:r>
      <w:r>
        <w:rPr>
          <w:rFonts w:hint="eastAsia"/>
          <w:color w:val="auto"/>
          <w:sz w:val="21"/>
          <w:szCs w:val="21"/>
          <w:highlight w:val="none"/>
        </w:rPr>
        <w:t>（扣除医院规定的减免收项目后所产生的费用），具体</w:t>
      </w:r>
      <w:r>
        <w:rPr>
          <w:rFonts w:hint="eastAsia"/>
          <w:color w:val="auto"/>
          <w:sz w:val="21"/>
          <w:szCs w:val="21"/>
          <w:highlight w:val="none"/>
          <w:lang w:eastAsia="zh-CN"/>
        </w:rPr>
        <w:t>交纳</w:t>
      </w:r>
      <w:r>
        <w:rPr>
          <w:rFonts w:hint="eastAsia"/>
          <w:color w:val="auto"/>
          <w:sz w:val="21"/>
          <w:szCs w:val="21"/>
          <w:highlight w:val="none"/>
        </w:rPr>
        <w:t>比例以中标</w:t>
      </w:r>
      <w:r>
        <w:rPr>
          <w:rFonts w:hint="eastAsia"/>
          <w:color w:val="auto"/>
          <w:sz w:val="21"/>
          <w:szCs w:val="21"/>
          <w:highlight w:val="none"/>
          <w:lang w:eastAsia="zh-CN"/>
        </w:rPr>
        <w:t>交纳</w:t>
      </w:r>
      <w:r>
        <w:rPr>
          <w:rFonts w:hint="eastAsia"/>
          <w:color w:val="auto"/>
          <w:sz w:val="21"/>
          <w:szCs w:val="21"/>
          <w:highlight w:val="none"/>
        </w:rPr>
        <w:t>比例为准</w:t>
      </w:r>
      <w:r>
        <w:rPr>
          <w:rFonts w:hint="eastAsia"/>
          <w:color w:val="auto"/>
          <w:sz w:val="21"/>
          <w:szCs w:val="21"/>
          <w:highlight w:val="none"/>
          <w:lang w:val="en-US" w:eastAsia="zh-CN"/>
        </w:rPr>
        <w:t>,供应商可结合自身实力及市场竞争自主报价，</w:t>
      </w:r>
      <w:r>
        <w:rPr>
          <w:rFonts w:hint="eastAsia" w:ascii="宋体" w:hAnsi="宋体" w:cs="宋体"/>
          <w:color w:val="auto"/>
          <w:szCs w:val="21"/>
          <w:highlight w:val="none"/>
          <w:lang w:eastAsia="zh-CN"/>
        </w:rPr>
        <w:t>此费用不</w:t>
      </w:r>
      <w:r>
        <w:rPr>
          <w:rFonts w:hint="eastAsia" w:ascii="宋体" w:hAnsi="宋体" w:cs="宋体"/>
          <w:color w:val="auto"/>
          <w:szCs w:val="21"/>
          <w:highlight w:val="none"/>
        </w:rPr>
        <w:t>含国家政策性税费调整的一切费用、各种相关保险费用、停车场相关配套用具及物品</w:t>
      </w:r>
      <w:r>
        <w:rPr>
          <w:rFonts w:hint="eastAsia"/>
          <w:color w:val="auto"/>
          <w:sz w:val="21"/>
          <w:szCs w:val="21"/>
          <w:highlight w:val="none"/>
          <w:lang w:val="en-US" w:eastAsia="zh-CN"/>
        </w:rPr>
        <w:t>。因目前采购人单位正处于规划整合阶段，报价时应考虑此项因素。</w:t>
      </w:r>
    </w:p>
    <w:p>
      <w:pPr>
        <w:pStyle w:val="3"/>
        <w:keepNext w:val="0"/>
        <w:keepLines w:val="0"/>
        <w:pageBreakBefore w:val="0"/>
        <w:kinsoku/>
        <w:wordWrap/>
        <w:overflowPunct/>
        <w:topLinePunct w:val="0"/>
        <w:autoSpaceDE/>
        <w:autoSpaceDN/>
        <w:bidi w:val="0"/>
        <w:adjustRightInd/>
        <w:snapToGrid/>
        <w:spacing w:line="400" w:lineRule="exact"/>
        <w:ind w:firstLine="420" w:firstLineChars="200"/>
        <w:textAlignment w:val="auto"/>
        <w:rPr>
          <w:color w:val="auto"/>
          <w:sz w:val="21"/>
          <w:szCs w:val="21"/>
          <w:highlight w:val="none"/>
        </w:rPr>
      </w:pPr>
      <w:r>
        <w:rPr>
          <w:rFonts w:hint="eastAsia"/>
          <w:color w:val="auto"/>
          <w:sz w:val="21"/>
          <w:szCs w:val="21"/>
          <w:highlight w:val="none"/>
        </w:rPr>
        <w:t>4.6、车辆停放期间如遇损坏、被盗等情况，由中标人承担全部责任。</w:t>
      </w:r>
    </w:p>
    <w:p>
      <w:pPr>
        <w:pStyle w:val="3"/>
        <w:keepNext w:val="0"/>
        <w:keepLines w:val="0"/>
        <w:pageBreakBefore w:val="0"/>
        <w:kinsoku/>
        <w:wordWrap/>
        <w:overflowPunct/>
        <w:topLinePunct w:val="0"/>
        <w:autoSpaceDE/>
        <w:autoSpaceDN/>
        <w:bidi w:val="0"/>
        <w:adjustRightInd/>
        <w:snapToGrid/>
        <w:spacing w:line="400" w:lineRule="exact"/>
        <w:ind w:firstLine="420" w:firstLineChars="200"/>
        <w:textAlignment w:val="auto"/>
        <w:rPr>
          <w:color w:val="auto"/>
          <w:sz w:val="21"/>
          <w:szCs w:val="21"/>
          <w:highlight w:val="none"/>
        </w:rPr>
      </w:pPr>
      <w:r>
        <w:rPr>
          <w:rFonts w:hint="eastAsia"/>
          <w:color w:val="auto"/>
          <w:sz w:val="21"/>
          <w:szCs w:val="21"/>
          <w:highlight w:val="none"/>
        </w:rPr>
        <w:t>4.7、由中标人按规定向税务部门购买规范的停车收费收据，由此产生的工本费、税金等相关费用，由中标人全额承担。</w:t>
      </w:r>
    </w:p>
    <w:p>
      <w:pPr>
        <w:pStyle w:val="3"/>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color w:val="auto"/>
          <w:sz w:val="21"/>
          <w:szCs w:val="21"/>
          <w:highlight w:val="none"/>
        </w:rPr>
      </w:pPr>
      <w:r>
        <w:rPr>
          <w:rFonts w:hint="eastAsia"/>
          <w:color w:val="auto"/>
          <w:sz w:val="21"/>
          <w:szCs w:val="21"/>
          <w:highlight w:val="none"/>
        </w:rPr>
        <w:t>4.8、停车场（含机械停车库、自动化停车库）日常运行管理费、保险费（含事故保险理赔后的差额部分）由中标人全额承担。</w:t>
      </w:r>
    </w:p>
    <w:p>
      <w:pPr>
        <w:pStyle w:val="2"/>
        <w:keepNext w:val="0"/>
        <w:keepLines w:val="0"/>
        <w:pageBreakBefore w:val="0"/>
        <w:kinsoku/>
        <w:wordWrap/>
        <w:overflowPunct/>
        <w:topLinePunct w:val="0"/>
        <w:autoSpaceDE/>
        <w:autoSpaceDN/>
        <w:bidi w:val="0"/>
        <w:adjustRightInd/>
        <w:snapToGrid/>
        <w:spacing w:after="0" w:line="400" w:lineRule="exact"/>
        <w:ind w:firstLine="210"/>
        <w:textAlignment w:val="auto"/>
        <w:rPr>
          <w:i w:val="0"/>
          <w:color w:val="auto"/>
          <w:sz w:val="21"/>
          <w:szCs w:val="21"/>
          <w:highlight w:val="none"/>
        </w:rPr>
      </w:pPr>
      <w:r>
        <w:rPr>
          <w:rFonts w:hint="eastAsia"/>
          <w:i w:val="0"/>
          <w:color w:val="auto"/>
          <w:sz w:val="21"/>
          <w:szCs w:val="21"/>
          <w:highlight w:val="none"/>
        </w:rPr>
        <w:t xml:space="preserve">  4.9、停车场设备设施的投入，包括但不限于停车收费系统，患者预约就诊车辆诱导的信息化对接，甬城泊车系统的对接等均由中标人提供，且合同期满后，中标人所投设备设施的产权归</w:t>
      </w:r>
      <w:r>
        <w:rPr>
          <w:rFonts w:hint="eastAsia"/>
          <w:i w:val="0"/>
          <w:color w:val="auto"/>
          <w:sz w:val="21"/>
          <w:szCs w:val="21"/>
          <w:highlight w:val="none"/>
          <w:lang w:eastAsia="zh-CN"/>
        </w:rPr>
        <w:t>采购人</w:t>
      </w:r>
      <w:r>
        <w:rPr>
          <w:rFonts w:hint="eastAsia"/>
          <w:i w:val="0"/>
          <w:color w:val="auto"/>
          <w:sz w:val="21"/>
          <w:szCs w:val="21"/>
          <w:highlight w:val="none"/>
        </w:rPr>
        <w:t>所有。</w:t>
      </w:r>
    </w:p>
    <w:p>
      <w:pPr>
        <w:pStyle w:val="3"/>
        <w:keepNext w:val="0"/>
        <w:keepLines w:val="0"/>
        <w:pageBreakBefore w:val="0"/>
        <w:kinsoku/>
        <w:wordWrap/>
        <w:overflowPunct/>
        <w:topLinePunct w:val="0"/>
        <w:autoSpaceDE/>
        <w:autoSpaceDN/>
        <w:bidi w:val="0"/>
        <w:adjustRightInd/>
        <w:snapToGrid/>
        <w:spacing w:line="400" w:lineRule="exact"/>
        <w:ind w:firstLine="420" w:firstLineChars="200"/>
        <w:textAlignment w:val="auto"/>
        <w:rPr>
          <w:color w:val="auto"/>
          <w:szCs w:val="21"/>
          <w:highlight w:val="none"/>
        </w:rPr>
      </w:pPr>
      <w:r>
        <w:rPr>
          <w:rFonts w:hint="eastAsia"/>
          <w:color w:val="auto"/>
          <w:sz w:val="21"/>
          <w:szCs w:val="21"/>
          <w:highlight w:val="none"/>
        </w:rPr>
        <w:t>5、日常管理过程中随着医院的发展提升需不断满足医院要求。</w:t>
      </w:r>
    </w:p>
    <w:p>
      <w:pPr>
        <w:rPr>
          <w:b/>
          <w:color w:val="auto"/>
          <w:sz w:val="32"/>
          <w:highlight w:val="none"/>
        </w:rPr>
      </w:pPr>
      <w:r>
        <w:rPr>
          <w:rFonts w:hint="eastAsia"/>
          <w:b/>
          <w:color w:val="auto"/>
          <w:sz w:val="32"/>
          <w:highlight w:val="none"/>
        </w:rPr>
        <w:br w:type="page"/>
      </w:r>
    </w:p>
    <w:p>
      <w:pPr>
        <w:spacing w:line="360" w:lineRule="auto"/>
        <w:rPr>
          <w:rFonts w:ascii="宋体" w:hAnsi="宋体"/>
          <w:b/>
          <w:color w:val="auto"/>
          <w:szCs w:val="21"/>
          <w:highlight w:val="none"/>
        </w:rPr>
      </w:pPr>
      <w:r>
        <w:rPr>
          <w:rFonts w:hint="eastAsia" w:ascii="宋体" w:hAnsi="宋体"/>
          <w:b/>
          <w:color w:val="auto"/>
          <w:szCs w:val="21"/>
          <w:highlight w:val="none"/>
        </w:rPr>
        <w:t>附件1</w:t>
      </w:r>
    </w:p>
    <w:p>
      <w:pPr>
        <w:spacing w:line="400" w:lineRule="exact"/>
        <w:jc w:val="center"/>
        <w:rPr>
          <w:rFonts w:ascii="宋体" w:hAnsi="宋体"/>
          <w:b/>
          <w:color w:val="auto"/>
          <w:szCs w:val="21"/>
          <w:highlight w:val="none"/>
        </w:rPr>
      </w:pPr>
      <w:r>
        <w:rPr>
          <w:rFonts w:hint="eastAsia" w:ascii="宋体" w:hAnsi="宋体"/>
          <w:b/>
          <w:color w:val="auto"/>
          <w:szCs w:val="21"/>
          <w:highlight w:val="none"/>
        </w:rPr>
        <w:t>院方对保安公司及员工的每月考核内容</w:t>
      </w:r>
    </w:p>
    <w:p>
      <w:pPr>
        <w:spacing w:line="400" w:lineRule="exact"/>
        <w:jc w:val="center"/>
        <w:rPr>
          <w:rFonts w:ascii="宋体" w:hAnsi="宋体"/>
          <w:color w:val="auto"/>
          <w:szCs w:val="21"/>
          <w:highlight w:val="none"/>
        </w:rPr>
      </w:pP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1、对公司考核</w:t>
      </w:r>
    </w:p>
    <w:p>
      <w:pPr>
        <w:spacing w:line="4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以下1-3项未达标，视为中标人服务工作未达标，院方有权单方面解除合同，同时中标人应当支付三个月管理费等价的违约金。</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1.1、制度、职责和应急预案张贴上墙，奖惩制度定时公布，按时开展人员培训、教育和考核。</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1.2、人员岗位职责和人员上岗证齐全。</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1.3、公司开展的培训记录齐全（每人每年1次以上），涉及内容有：监控、巡逻、治安维护、消防知识及操作。</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1.4、各岗位工作内容及设置要紧跟医院发展的需要。</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1.5、保安服务考核表（详见表1），考核评分95分合格，低于80分采购人有权单方面解除合同。</w:t>
      </w:r>
    </w:p>
    <w:p>
      <w:pPr>
        <w:spacing w:line="400" w:lineRule="exact"/>
        <w:rPr>
          <w:rFonts w:ascii="宋体" w:hAnsi="宋体"/>
          <w:b/>
          <w:bCs/>
          <w:color w:val="auto"/>
          <w:szCs w:val="21"/>
          <w:highlight w:val="none"/>
        </w:rPr>
      </w:pPr>
      <w:r>
        <w:rPr>
          <w:rFonts w:hint="eastAsia" w:ascii="宋体" w:hAnsi="宋体"/>
          <w:color w:val="auto"/>
          <w:szCs w:val="21"/>
          <w:highlight w:val="none"/>
        </w:rPr>
        <w:br w:type="page"/>
      </w:r>
      <w:r>
        <w:rPr>
          <w:rFonts w:hint="eastAsia" w:ascii="宋体" w:hAnsi="宋体"/>
          <w:b/>
          <w:bCs/>
          <w:color w:val="auto"/>
          <w:szCs w:val="21"/>
          <w:highlight w:val="none"/>
        </w:rPr>
        <w:t>表1：</w:t>
      </w:r>
    </w:p>
    <w:p>
      <w:pPr>
        <w:pStyle w:val="3"/>
        <w:jc w:val="center"/>
        <w:rPr>
          <w:b/>
          <w:bCs/>
          <w:iCs/>
          <w:color w:val="auto"/>
          <w:szCs w:val="21"/>
          <w:highlight w:val="none"/>
        </w:rPr>
      </w:pPr>
      <w:r>
        <w:rPr>
          <w:rFonts w:hint="eastAsia"/>
          <w:b/>
          <w:bCs/>
          <w:iCs/>
          <w:color w:val="auto"/>
          <w:szCs w:val="21"/>
          <w:highlight w:val="none"/>
        </w:rPr>
        <w:t>保安服务考核表</w:t>
      </w:r>
    </w:p>
    <w:tbl>
      <w:tblPr>
        <w:tblStyle w:val="50"/>
        <w:tblW w:w="9481" w:type="dxa"/>
        <w:jc w:val="center"/>
        <w:tblLayout w:type="autofit"/>
        <w:tblCellMar>
          <w:top w:w="0" w:type="dxa"/>
          <w:left w:w="108" w:type="dxa"/>
          <w:bottom w:w="0" w:type="dxa"/>
          <w:right w:w="108" w:type="dxa"/>
        </w:tblCellMar>
      </w:tblPr>
      <w:tblGrid>
        <w:gridCol w:w="1325"/>
        <w:gridCol w:w="1912"/>
        <w:gridCol w:w="708"/>
        <w:gridCol w:w="3752"/>
        <w:gridCol w:w="688"/>
        <w:gridCol w:w="1096"/>
      </w:tblGrid>
      <w:tr>
        <w:tblPrEx>
          <w:tblCellMar>
            <w:top w:w="0" w:type="dxa"/>
            <w:left w:w="108" w:type="dxa"/>
            <w:bottom w:w="0" w:type="dxa"/>
            <w:right w:w="108" w:type="dxa"/>
          </w:tblCellMar>
        </w:tblPrEx>
        <w:trPr>
          <w:trHeight w:val="436" w:hRule="atLeast"/>
          <w:jc w:val="center"/>
        </w:trPr>
        <w:tc>
          <w:tcPr>
            <w:tcW w:w="132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名称分类</w:t>
            </w:r>
          </w:p>
        </w:tc>
        <w:tc>
          <w:tcPr>
            <w:tcW w:w="191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考核项目</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分值</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考核标准</w:t>
            </w:r>
          </w:p>
        </w:tc>
        <w:tc>
          <w:tcPr>
            <w:tcW w:w="68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考核结果</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扣分说明</w:t>
            </w:r>
          </w:p>
        </w:tc>
      </w:tr>
      <w:tr>
        <w:tblPrEx>
          <w:tblCellMar>
            <w:top w:w="0" w:type="dxa"/>
            <w:left w:w="108" w:type="dxa"/>
            <w:bottom w:w="0" w:type="dxa"/>
            <w:right w:w="108" w:type="dxa"/>
          </w:tblCellMar>
        </w:tblPrEx>
        <w:trPr>
          <w:trHeight w:val="1875" w:hRule="atLeast"/>
          <w:jc w:val="center"/>
        </w:trPr>
        <w:tc>
          <w:tcPr>
            <w:tcW w:w="132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一、保安工作的完成情况       （58分）</w:t>
            </w:r>
          </w:p>
        </w:tc>
        <w:tc>
          <w:tcPr>
            <w:tcW w:w="191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公司员工培训覆盖率100%，核查成绩80分以上合格率达90%以上，补考以后成绩合格率达100%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10</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培训细则：                             1、新员工入职培训                       2、6步洗手法洗手培训及BLS等             </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3、消防基本知识、四联三防培训              </w:t>
            </w:r>
          </w:p>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4、各项医院紧急事件操作流程培训                           5、医院其它培训</w:t>
            </w:r>
          </w:p>
        </w:tc>
        <w:tc>
          <w:tcPr>
            <w:tcW w:w="6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r>
      <w:tr>
        <w:tblPrEx>
          <w:tblCellMar>
            <w:top w:w="0" w:type="dxa"/>
            <w:left w:w="108" w:type="dxa"/>
            <w:bottom w:w="0" w:type="dxa"/>
            <w:right w:w="108" w:type="dxa"/>
          </w:tblCellMar>
        </w:tblPrEx>
        <w:trPr>
          <w:trHeight w:val="7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sz w:val="18"/>
                <w:szCs w:val="18"/>
                <w:highlight w:val="none"/>
              </w:rPr>
            </w:pPr>
          </w:p>
        </w:tc>
        <w:tc>
          <w:tcPr>
            <w:tcW w:w="191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员工上岗率98%，适岗率80%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10</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1、仪容仪表、制服装备、身份牌</w:t>
            </w:r>
          </w:p>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2、按照医院设置岗位人员上岗率达98%及新员工适岗率达80%</w:t>
            </w:r>
          </w:p>
        </w:tc>
        <w:tc>
          <w:tcPr>
            <w:tcW w:w="6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r>
      <w:tr>
        <w:trPr>
          <w:trHeight w:val="93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sz w:val="18"/>
                <w:szCs w:val="18"/>
                <w:highlight w:val="none"/>
              </w:rPr>
            </w:pPr>
          </w:p>
        </w:tc>
        <w:tc>
          <w:tcPr>
            <w:tcW w:w="191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巡查到位率95%以上</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9</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1、责任区的安全巡查                            2、配合消控室报警设施设备的巡查 </w:t>
            </w:r>
          </w:p>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 xml:space="preserve">3、门急诊、病房每日的巡查、宣教                           </w:t>
            </w:r>
          </w:p>
        </w:tc>
        <w:tc>
          <w:tcPr>
            <w:tcW w:w="6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r>
      <w:tr>
        <w:tblPrEx>
          <w:tblCellMar>
            <w:top w:w="0" w:type="dxa"/>
            <w:left w:w="108" w:type="dxa"/>
            <w:bottom w:w="0" w:type="dxa"/>
            <w:right w:w="108" w:type="dxa"/>
          </w:tblCellMar>
        </w:tblPrEx>
        <w:trPr>
          <w:trHeight w:val="53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sz w:val="18"/>
                <w:szCs w:val="18"/>
                <w:highlight w:val="none"/>
              </w:rPr>
            </w:pPr>
          </w:p>
        </w:tc>
        <w:tc>
          <w:tcPr>
            <w:tcW w:w="191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一般案件（如偷盗等）每月不超过2起。</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10</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以***报案为准</w:t>
            </w:r>
          </w:p>
        </w:tc>
        <w:tc>
          <w:tcPr>
            <w:tcW w:w="6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r>
      <w:tr>
        <w:tblPrEx>
          <w:tblCellMar>
            <w:top w:w="0" w:type="dxa"/>
            <w:left w:w="108" w:type="dxa"/>
            <w:bottom w:w="0" w:type="dxa"/>
            <w:right w:w="108" w:type="dxa"/>
          </w:tblCellMar>
        </w:tblPrEx>
        <w:trPr>
          <w:trHeight w:val="87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sz w:val="18"/>
                <w:szCs w:val="18"/>
                <w:highlight w:val="none"/>
              </w:rPr>
            </w:pPr>
          </w:p>
        </w:tc>
        <w:tc>
          <w:tcPr>
            <w:tcW w:w="191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 xml:space="preserve">每批次消防治安设施巡查自检合格率95%以上                 </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9</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1、消防设施设备的巡查</w:t>
            </w:r>
          </w:p>
          <w:p>
            <w:pPr>
              <w:pStyle w:val="3"/>
              <w:rPr>
                <w:color w:val="auto"/>
                <w:sz w:val="18"/>
                <w:szCs w:val="18"/>
                <w:highlight w:val="none"/>
              </w:rPr>
            </w:pPr>
            <w:r>
              <w:rPr>
                <w:color w:val="auto"/>
                <w:sz w:val="18"/>
                <w:szCs w:val="18"/>
                <w:highlight w:val="none"/>
              </w:rPr>
              <w:t>2</w:t>
            </w:r>
            <w:r>
              <w:rPr>
                <w:rFonts w:hint="eastAsia"/>
                <w:color w:val="auto"/>
                <w:sz w:val="18"/>
                <w:szCs w:val="18"/>
                <w:highlight w:val="none"/>
              </w:rPr>
              <w:t>、一键式报警点测试</w:t>
            </w:r>
          </w:p>
          <w:p>
            <w:pPr>
              <w:pStyle w:val="3"/>
              <w:rPr>
                <w:color w:val="auto"/>
                <w:sz w:val="18"/>
                <w:szCs w:val="18"/>
                <w:highlight w:val="none"/>
              </w:rPr>
            </w:pPr>
            <w:r>
              <w:rPr>
                <w:color w:val="auto"/>
                <w:sz w:val="18"/>
                <w:szCs w:val="18"/>
                <w:highlight w:val="none"/>
              </w:rPr>
              <w:t>3</w:t>
            </w:r>
            <w:r>
              <w:rPr>
                <w:rFonts w:hint="eastAsia"/>
                <w:color w:val="auto"/>
                <w:sz w:val="18"/>
                <w:szCs w:val="18"/>
                <w:highlight w:val="none"/>
              </w:rPr>
              <w:t>、</w:t>
            </w:r>
            <w:r>
              <w:rPr>
                <w:color w:val="auto"/>
                <w:sz w:val="18"/>
                <w:szCs w:val="18"/>
                <w:highlight w:val="none"/>
              </w:rPr>
              <w:t>CK</w:t>
            </w:r>
            <w:r>
              <w:rPr>
                <w:rFonts w:hint="eastAsia"/>
                <w:color w:val="auto"/>
                <w:sz w:val="18"/>
                <w:szCs w:val="18"/>
                <w:highlight w:val="none"/>
              </w:rPr>
              <w:t>报警区域测试及登记</w:t>
            </w:r>
          </w:p>
        </w:tc>
        <w:tc>
          <w:tcPr>
            <w:tcW w:w="6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r>
      <w:tr>
        <w:tblPrEx>
          <w:tblCellMar>
            <w:top w:w="0" w:type="dxa"/>
            <w:left w:w="108" w:type="dxa"/>
            <w:bottom w:w="0" w:type="dxa"/>
            <w:right w:w="108" w:type="dxa"/>
          </w:tblCellMar>
        </w:tblPrEx>
        <w:trPr>
          <w:trHeight w:val="52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sz w:val="18"/>
                <w:szCs w:val="18"/>
                <w:highlight w:val="none"/>
              </w:rPr>
            </w:pPr>
          </w:p>
        </w:tc>
        <w:tc>
          <w:tcPr>
            <w:tcW w:w="191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每周、月保安各项工作的完成情况</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10</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医院及保卫科工作布置完成情况，考核汇报</w:t>
            </w:r>
          </w:p>
        </w:tc>
        <w:tc>
          <w:tcPr>
            <w:tcW w:w="6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r>
      <w:tr>
        <w:tblPrEx>
          <w:tblCellMar>
            <w:top w:w="0" w:type="dxa"/>
            <w:left w:w="108" w:type="dxa"/>
            <w:bottom w:w="0" w:type="dxa"/>
            <w:right w:w="108" w:type="dxa"/>
          </w:tblCellMar>
        </w:tblPrEx>
        <w:trPr>
          <w:trHeight w:val="344" w:hRule="atLeast"/>
          <w:jc w:val="center"/>
        </w:trPr>
        <w:tc>
          <w:tcPr>
            <w:tcW w:w="132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二、对突发事件的处理      （10分）</w:t>
            </w:r>
          </w:p>
        </w:tc>
        <w:tc>
          <w:tcPr>
            <w:tcW w:w="1912" w:type="dxa"/>
            <w:vMerge w:val="restart"/>
            <w:tcBorders>
              <w:top w:val="single" w:color="auto" w:sz="4" w:space="0"/>
              <w:left w:val="single" w:color="auto" w:sz="4" w:space="0"/>
              <w:bottom w:val="single" w:color="auto" w:sz="4" w:space="0"/>
              <w:right w:val="single" w:color="auto" w:sz="4" w:space="0"/>
            </w:tcBorders>
            <w:noWrap/>
            <w:vAlign w:val="center"/>
          </w:tcPr>
          <w:p>
            <w:pPr>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各项突发事件的处置情况</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5</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预案的编制及作业流程、器械的准备</w:t>
            </w:r>
          </w:p>
        </w:tc>
        <w:tc>
          <w:tcPr>
            <w:tcW w:w="6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r>
      <w:tr>
        <w:tblPrEx>
          <w:tblCellMar>
            <w:top w:w="0" w:type="dxa"/>
            <w:left w:w="108" w:type="dxa"/>
            <w:bottom w:w="0" w:type="dxa"/>
            <w:right w:w="108" w:type="dxa"/>
          </w:tblCellMar>
        </w:tblPrEx>
        <w:trPr>
          <w:trHeight w:val="63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sz w:val="18"/>
                <w:szCs w:val="18"/>
                <w:highlight w:val="none"/>
              </w:rPr>
            </w:pP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5</w:t>
            </w:r>
          </w:p>
        </w:tc>
        <w:tc>
          <w:tcPr>
            <w:tcW w:w="375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对突发事件的响应及处置流程执行情况</w:t>
            </w:r>
          </w:p>
        </w:tc>
        <w:tc>
          <w:tcPr>
            <w:tcW w:w="6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r>
      <w:tr>
        <w:tblPrEx>
          <w:tblCellMar>
            <w:top w:w="0" w:type="dxa"/>
            <w:left w:w="108" w:type="dxa"/>
            <w:bottom w:w="0" w:type="dxa"/>
            <w:right w:w="108" w:type="dxa"/>
          </w:tblCellMar>
        </w:tblPrEx>
        <w:trPr>
          <w:trHeight w:val="640" w:hRule="atLeast"/>
          <w:jc w:val="center"/>
        </w:trPr>
        <w:tc>
          <w:tcPr>
            <w:tcW w:w="132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三、遵守医院各项管理规定情况     （22分）</w:t>
            </w:r>
          </w:p>
        </w:tc>
        <w:tc>
          <w:tcPr>
            <w:tcW w:w="191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投诉事件</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5</w:t>
            </w:r>
          </w:p>
        </w:tc>
        <w:tc>
          <w:tcPr>
            <w:tcW w:w="3752" w:type="dxa"/>
            <w:tcBorders>
              <w:top w:val="single" w:color="auto" w:sz="4" w:space="0"/>
              <w:left w:val="single" w:color="auto" w:sz="4" w:space="0"/>
              <w:bottom w:val="single" w:color="auto" w:sz="4" w:space="0"/>
              <w:right w:val="single" w:color="auto" w:sz="4" w:space="0"/>
            </w:tcBorders>
            <w:noWrap/>
            <w:vAlign w:val="center"/>
          </w:tcPr>
          <w:p>
            <w:pPr>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 xml:space="preserve">每月投诉到医院的有效事件1起以下，及时处理率达100%。                    </w:t>
            </w:r>
          </w:p>
        </w:tc>
        <w:tc>
          <w:tcPr>
            <w:tcW w:w="6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r>
      <w:tr>
        <w:tblPrEx>
          <w:tblCellMar>
            <w:top w:w="0" w:type="dxa"/>
            <w:left w:w="108" w:type="dxa"/>
            <w:bottom w:w="0" w:type="dxa"/>
            <w:right w:w="108" w:type="dxa"/>
          </w:tblCellMar>
        </w:tblPrEx>
        <w:trPr>
          <w:trHeight w:val="29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sz w:val="18"/>
                <w:szCs w:val="18"/>
                <w:highlight w:val="none"/>
              </w:rPr>
            </w:pPr>
          </w:p>
        </w:tc>
        <w:tc>
          <w:tcPr>
            <w:tcW w:w="1912" w:type="dxa"/>
            <w:tcBorders>
              <w:top w:val="single" w:color="auto" w:sz="4" w:space="0"/>
              <w:left w:val="single" w:color="auto" w:sz="4" w:space="0"/>
              <w:bottom w:val="single" w:color="auto" w:sz="4" w:space="0"/>
              <w:right w:val="single" w:color="auto" w:sz="4" w:space="0"/>
            </w:tcBorders>
            <w:noWrap/>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节能工作</w:t>
            </w: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752" w:type="dxa"/>
            <w:tcBorders>
              <w:top w:val="single" w:color="auto" w:sz="4" w:space="0"/>
              <w:left w:val="single" w:color="auto" w:sz="4" w:space="0"/>
              <w:bottom w:val="single" w:color="auto" w:sz="4" w:space="0"/>
              <w:right w:val="single" w:color="auto" w:sz="4" w:space="0"/>
            </w:tcBorders>
            <w:noWrap/>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公共区域的照明、空调的管控</w:t>
            </w:r>
          </w:p>
        </w:tc>
        <w:tc>
          <w:tcPr>
            <w:tcW w:w="6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r>
      <w:tr>
        <w:tblPrEx>
          <w:tblCellMar>
            <w:top w:w="0" w:type="dxa"/>
            <w:left w:w="108" w:type="dxa"/>
            <w:bottom w:w="0" w:type="dxa"/>
            <w:right w:w="108" w:type="dxa"/>
          </w:tblCellMar>
        </w:tblPrEx>
        <w:trPr>
          <w:trHeight w:val="31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sz w:val="18"/>
                <w:szCs w:val="18"/>
                <w:highlight w:val="none"/>
              </w:rPr>
            </w:pPr>
          </w:p>
        </w:tc>
        <w:tc>
          <w:tcPr>
            <w:tcW w:w="1912" w:type="dxa"/>
            <w:tcBorders>
              <w:top w:val="single" w:color="auto" w:sz="4" w:space="0"/>
              <w:left w:val="single" w:color="auto" w:sz="4" w:space="0"/>
              <w:bottom w:val="single" w:color="auto" w:sz="4" w:space="0"/>
              <w:right w:val="single" w:color="auto" w:sz="4" w:space="0"/>
            </w:tcBorders>
            <w:noWrap/>
            <w:vAlign w:val="center"/>
          </w:tcPr>
          <w:p>
            <w:pPr>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岗亭环境卫生</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3752" w:type="dxa"/>
            <w:tcBorders>
              <w:top w:val="single" w:color="auto" w:sz="4" w:space="0"/>
              <w:left w:val="single" w:color="auto" w:sz="4" w:space="0"/>
              <w:bottom w:val="single" w:color="auto" w:sz="4" w:space="0"/>
              <w:right w:val="single" w:color="auto" w:sz="4" w:space="0"/>
            </w:tcBorders>
            <w:noWrap/>
            <w:vAlign w:val="center"/>
          </w:tcPr>
          <w:p>
            <w:pPr>
              <w:jc w:val="left"/>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整洁、干净、设施设备标识清晰</w:t>
            </w:r>
          </w:p>
        </w:tc>
        <w:tc>
          <w:tcPr>
            <w:tcW w:w="6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r>
      <w:tr>
        <w:tblPrEx>
          <w:tblCellMar>
            <w:top w:w="0" w:type="dxa"/>
            <w:left w:w="108" w:type="dxa"/>
            <w:bottom w:w="0" w:type="dxa"/>
            <w:right w:w="108" w:type="dxa"/>
          </w:tblCellMar>
        </w:tblPrEx>
        <w:trPr>
          <w:trHeight w:val="21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sz w:val="18"/>
                <w:szCs w:val="18"/>
                <w:highlight w:val="none"/>
              </w:rPr>
            </w:pPr>
          </w:p>
        </w:tc>
        <w:tc>
          <w:tcPr>
            <w:tcW w:w="1912" w:type="dxa"/>
            <w:tcBorders>
              <w:top w:val="single" w:color="auto" w:sz="4" w:space="0"/>
              <w:left w:val="single" w:color="auto" w:sz="4" w:space="0"/>
              <w:bottom w:val="single" w:color="auto" w:sz="4" w:space="0"/>
              <w:right w:val="single" w:color="auto" w:sz="4" w:space="0"/>
            </w:tcBorders>
            <w:noWrap/>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控烟劝烟</w:t>
            </w: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3752" w:type="dxa"/>
            <w:tcBorders>
              <w:top w:val="single" w:color="auto" w:sz="4" w:space="0"/>
              <w:left w:val="single" w:color="auto" w:sz="4" w:space="0"/>
              <w:bottom w:val="single" w:color="auto" w:sz="4" w:space="0"/>
              <w:right w:val="single" w:color="auto" w:sz="4" w:space="0"/>
            </w:tcBorders>
            <w:noWrap/>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院区内禁烟劝烟</w:t>
            </w:r>
          </w:p>
        </w:tc>
        <w:tc>
          <w:tcPr>
            <w:tcW w:w="6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r>
      <w:tr>
        <w:tblPrEx>
          <w:tblCellMar>
            <w:top w:w="0" w:type="dxa"/>
            <w:left w:w="108" w:type="dxa"/>
            <w:bottom w:w="0" w:type="dxa"/>
            <w:right w:w="108" w:type="dxa"/>
          </w:tblCellMar>
        </w:tblPrEx>
        <w:trPr>
          <w:trHeight w:val="27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sz w:val="18"/>
                <w:szCs w:val="18"/>
                <w:highlight w:val="none"/>
              </w:rPr>
            </w:pPr>
          </w:p>
        </w:tc>
        <w:tc>
          <w:tcPr>
            <w:tcW w:w="1912" w:type="dxa"/>
            <w:tcBorders>
              <w:top w:val="single" w:color="auto" w:sz="4" w:space="0"/>
              <w:left w:val="single" w:color="auto" w:sz="4" w:space="0"/>
              <w:bottom w:val="single" w:color="auto" w:sz="4" w:space="0"/>
              <w:right w:val="single" w:color="auto" w:sz="4" w:space="0"/>
            </w:tcBorders>
            <w:noWrap/>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医院公共秩序维护</w:t>
            </w: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752" w:type="dxa"/>
            <w:tcBorders>
              <w:top w:val="single" w:color="auto" w:sz="4" w:space="0"/>
              <w:left w:val="single" w:color="auto" w:sz="4" w:space="0"/>
              <w:bottom w:val="single" w:color="auto" w:sz="4" w:space="0"/>
              <w:right w:val="single" w:color="auto" w:sz="4" w:space="0"/>
            </w:tcBorders>
            <w:noWrap/>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严禁院区内乞讨、小广告、摊贩</w:t>
            </w:r>
          </w:p>
        </w:tc>
        <w:tc>
          <w:tcPr>
            <w:tcW w:w="6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r>
      <w:tr>
        <w:tblPrEx>
          <w:tblCellMar>
            <w:top w:w="0" w:type="dxa"/>
            <w:left w:w="108" w:type="dxa"/>
            <w:bottom w:w="0" w:type="dxa"/>
            <w:right w:w="108" w:type="dxa"/>
          </w:tblCellMar>
        </w:tblPrEx>
        <w:trPr>
          <w:trHeight w:val="556" w:hRule="atLeast"/>
          <w:jc w:val="center"/>
        </w:trPr>
        <w:tc>
          <w:tcPr>
            <w:tcW w:w="1325"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四、满意度</w:t>
            </w:r>
          </w:p>
        </w:tc>
        <w:tc>
          <w:tcPr>
            <w:tcW w:w="1912" w:type="dxa"/>
            <w:tcBorders>
              <w:top w:val="single" w:color="auto" w:sz="4" w:space="0"/>
              <w:left w:val="single" w:color="auto" w:sz="4" w:space="0"/>
              <w:bottom w:val="single" w:color="auto" w:sz="4" w:space="0"/>
              <w:right w:val="single" w:color="auto" w:sz="4" w:space="0"/>
            </w:tcBorders>
            <w:noWrap/>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满意度测评</w:t>
            </w: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3752" w:type="dxa"/>
            <w:tcBorders>
              <w:top w:val="single" w:color="auto" w:sz="4" w:space="0"/>
              <w:left w:val="single" w:color="auto" w:sz="4" w:space="0"/>
              <w:bottom w:val="single" w:color="auto" w:sz="4" w:space="0"/>
              <w:right w:val="single" w:color="auto" w:sz="4" w:space="0"/>
            </w:tcBorders>
            <w:noWrap/>
            <w:vAlign w:val="center"/>
          </w:tcPr>
          <w:p>
            <w:pPr>
              <w:pStyle w:val="3"/>
              <w:jc w:val="left"/>
              <w:rPr>
                <w:rFonts w:cs="宋体"/>
                <w:color w:val="auto"/>
                <w:sz w:val="18"/>
                <w:szCs w:val="18"/>
                <w:highlight w:val="none"/>
              </w:rPr>
            </w:pPr>
            <w:r>
              <w:rPr>
                <w:rFonts w:hint="eastAsia" w:cs="宋体"/>
                <w:color w:val="auto"/>
                <w:sz w:val="18"/>
                <w:szCs w:val="18"/>
                <w:highlight w:val="none"/>
              </w:rPr>
              <w:t>每月一次测评，按照测评分值进行考核，详见满意度评定表表2</w:t>
            </w:r>
          </w:p>
        </w:tc>
        <w:tc>
          <w:tcPr>
            <w:tcW w:w="6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r>
      <w:tr>
        <w:tblPrEx>
          <w:tblCellMar>
            <w:top w:w="0" w:type="dxa"/>
            <w:left w:w="108" w:type="dxa"/>
            <w:bottom w:w="0" w:type="dxa"/>
            <w:right w:w="108" w:type="dxa"/>
          </w:tblCellMar>
        </w:tblPrEx>
        <w:trPr>
          <w:trHeight w:val="558" w:hRule="atLeast"/>
          <w:jc w:val="center"/>
        </w:trPr>
        <w:tc>
          <w:tcPr>
            <w:tcW w:w="1325" w:type="dxa"/>
            <w:tcBorders>
              <w:top w:val="single" w:color="auto" w:sz="4" w:space="0"/>
              <w:left w:val="single" w:color="auto" w:sz="4" w:space="0"/>
              <w:bottom w:val="nil"/>
              <w:right w:val="single" w:color="auto" w:sz="4" w:space="0"/>
            </w:tcBorders>
            <w:noWrap/>
            <w:vAlign w:val="center"/>
          </w:tcPr>
          <w:p>
            <w:pP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五、加分项（10分）</w:t>
            </w:r>
          </w:p>
          <w:p>
            <w:pPr>
              <w:jc w:val="center"/>
              <w:textAlignment w:val="center"/>
              <w:rPr>
                <w:rFonts w:ascii="宋体" w:hAnsi="宋体" w:cs="宋体"/>
                <w:color w:val="auto"/>
                <w:sz w:val="18"/>
                <w:szCs w:val="18"/>
                <w:highlight w:val="none"/>
              </w:rPr>
            </w:pPr>
          </w:p>
        </w:tc>
        <w:tc>
          <w:tcPr>
            <w:tcW w:w="1912" w:type="dxa"/>
            <w:tcBorders>
              <w:top w:val="single" w:color="auto" w:sz="4" w:space="0"/>
              <w:left w:val="single" w:color="auto" w:sz="4" w:space="0"/>
              <w:bottom w:val="nil"/>
              <w:right w:val="single" w:color="auto" w:sz="4" w:space="0"/>
            </w:tcBorders>
            <w:noWrap/>
            <w:vAlign w:val="center"/>
          </w:tcPr>
          <w:p>
            <w:pP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受到嘉奖，表扬</w:t>
            </w:r>
          </w:p>
        </w:tc>
        <w:tc>
          <w:tcPr>
            <w:tcW w:w="708" w:type="dxa"/>
            <w:tcBorders>
              <w:top w:val="single" w:color="auto" w:sz="4" w:space="0"/>
              <w:left w:val="single" w:color="auto" w:sz="4" w:space="0"/>
              <w:bottom w:val="nil"/>
              <w:right w:val="single" w:color="auto" w:sz="4" w:space="0"/>
            </w:tcBorders>
            <w:noWrap/>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3752" w:type="dxa"/>
            <w:tcBorders>
              <w:top w:val="single" w:color="auto" w:sz="4" w:space="0"/>
              <w:left w:val="single" w:color="auto" w:sz="4" w:space="0"/>
              <w:bottom w:val="nil"/>
              <w:right w:val="single" w:color="auto" w:sz="4" w:space="0"/>
            </w:tcBorders>
            <w:noWrap/>
            <w:vAlign w:val="center"/>
          </w:tcPr>
          <w:p>
            <w:pPr>
              <w:pStyle w:val="3"/>
              <w:rPr>
                <w:rFonts w:cs="宋体"/>
                <w:color w:val="auto"/>
                <w:sz w:val="18"/>
                <w:szCs w:val="18"/>
                <w:highlight w:val="none"/>
              </w:rPr>
            </w:pPr>
            <w:r>
              <w:rPr>
                <w:rFonts w:hint="eastAsia" w:cs="宋体"/>
                <w:color w:val="auto"/>
                <w:sz w:val="18"/>
                <w:szCs w:val="18"/>
                <w:highlight w:val="none"/>
              </w:rPr>
              <w:t xml:space="preserve">1.拾金不昧，每次0.5分， 1分；                               2.病员感谢信、锦旗：每次0.5分， 2分； </w:t>
            </w:r>
          </w:p>
          <w:p>
            <w:pPr>
              <w:pStyle w:val="3"/>
              <w:rPr>
                <w:rFonts w:cs="宋体"/>
                <w:color w:val="auto"/>
                <w:sz w:val="18"/>
                <w:szCs w:val="18"/>
                <w:highlight w:val="none"/>
              </w:rPr>
            </w:pPr>
            <w:r>
              <w:rPr>
                <w:rFonts w:hint="eastAsia" w:cs="宋体"/>
                <w:color w:val="auto"/>
                <w:sz w:val="18"/>
                <w:szCs w:val="18"/>
                <w:highlight w:val="none"/>
              </w:rPr>
              <w:t>3.受到院总值班、院领导表彰：每次0.5分， 2分；</w:t>
            </w:r>
          </w:p>
          <w:p>
            <w:pPr>
              <w:pStyle w:val="3"/>
              <w:rPr>
                <w:rFonts w:cs="宋体"/>
                <w:color w:val="auto"/>
                <w:sz w:val="18"/>
                <w:szCs w:val="18"/>
                <w:highlight w:val="none"/>
              </w:rPr>
            </w:pPr>
            <w:r>
              <w:rPr>
                <w:rFonts w:hint="eastAsia" w:cs="宋体"/>
                <w:color w:val="auto"/>
                <w:sz w:val="18"/>
                <w:szCs w:val="18"/>
                <w:highlight w:val="none"/>
              </w:rPr>
              <w:t>4.见义勇为或重大安全隐患及时准确处置：  2分/次（书面报告）；</w:t>
            </w:r>
          </w:p>
          <w:p>
            <w:pPr>
              <w:pStyle w:val="3"/>
              <w:rPr>
                <w:color w:val="auto"/>
                <w:sz w:val="18"/>
                <w:szCs w:val="18"/>
                <w:highlight w:val="none"/>
              </w:rPr>
            </w:pPr>
            <w:r>
              <w:rPr>
                <w:rFonts w:hint="eastAsia" w:cs="宋体"/>
                <w:color w:val="auto"/>
                <w:sz w:val="18"/>
                <w:szCs w:val="18"/>
                <w:highlight w:val="none"/>
              </w:rPr>
              <w:t>5.受卫健委、新闻媒体及行业表彰： 3分/次</w:t>
            </w:r>
          </w:p>
        </w:tc>
        <w:tc>
          <w:tcPr>
            <w:tcW w:w="6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c>
          <w:tcPr>
            <w:tcW w:w="109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sz w:val="18"/>
                <w:szCs w:val="18"/>
                <w:highlight w:val="none"/>
              </w:rPr>
            </w:pPr>
          </w:p>
        </w:tc>
      </w:tr>
      <w:tr>
        <w:tblPrEx>
          <w:tblCellMar>
            <w:top w:w="0" w:type="dxa"/>
            <w:left w:w="108" w:type="dxa"/>
            <w:bottom w:w="0" w:type="dxa"/>
            <w:right w:w="108" w:type="dxa"/>
          </w:tblCellMar>
        </w:tblPrEx>
        <w:trPr>
          <w:trHeight w:val="474" w:hRule="atLeast"/>
          <w:jc w:val="center"/>
        </w:trPr>
        <w:tc>
          <w:tcPr>
            <w:tcW w:w="1325" w:type="dxa"/>
            <w:tcBorders>
              <w:top w:val="single" w:color="auto" w:sz="4" w:space="0"/>
              <w:left w:val="single" w:color="auto" w:sz="4" w:space="0"/>
              <w:bottom w:val="single" w:color="auto" w:sz="4" w:space="0"/>
              <w:right w:val="single" w:color="auto" w:sz="4" w:space="0"/>
            </w:tcBorders>
            <w:noWrap/>
            <w:vAlign w:val="bottom"/>
          </w:tcPr>
          <w:p>
            <w:pPr>
              <w:widowControl/>
              <w:jc w:val="left"/>
              <w:textAlignment w:val="bottom"/>
              <w:rPr>
                <w:rFonts w:ascii="宋体" w:hAnsi="宋体" w:cs="宋体"/>
                <w:color w:val="auto"/>
                <w:sz w:val="18"/>
                <w:szCs w:val="18"/>
                <w:highlight w:val="none"/>
              </w:rPr>
            </w:pPr>
            <w:r>
              <w:rPr>
                <w:rFonts w:hint="eastAsia" w:ascii="宋体" w:hAnsi="宋体" w:cs="宋体"/>
                <w:color w:val="auto"/>
                <w:sz w:val="18"/>
                <w:szCs w:val="18"/>
                <w:highlight w:val="none"/>
              </w:rPr>
              <w:t>合计分数</w:t>
            </w:r>
          </w:p>
        </w:tc>
        <w:tc>
          <w:tcPr>
            <w:tcW w:w="8156" w:type="dxa"/>
            <w:gridSpan w:val="5"/>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宋体"/>
                <w:b/>
                <w:color w:val="auto"/>
                <w:sz w:val="18"/>
                <w:szCs w:val="18"/>
                <w:highlight w:val="none"/>
              </w:rPr>
            </w:pPr>
          </w:p>
        </w:tc>
      </w:tr>
      <w:tr>
        <w:tblPrEx>
          <w:tblCellMar>
            <w:top w:w="0" w:type="dxa"/>
            <w:left w:w="108" w:type="dxa"/>
            <w:bottom w:w="0" w:type="dxa"/>
            <w:right w:w="108" w:type="dxa"/>
          </w:tblCellMar>
        </w:tblPrEx>
        <w:trPr>
          <w:trHeight w:val="437" w:hRule="atLeast"/>
          <w:jc w:val="center"/>
        </w:trPr>
        <w:tc>
          <w:tcPr>
            <w:tcW w:w="9481" w:type="dxa"/>
            <w:gridSpan w:val="6"/>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宋体"/>
                <w:b/>
                <w:color w:val="auto"/>
                <w:sz w:val="18"/>
                <w:szCs w:val="18"/>
                <w:highlight w:val="none"/>
              </w:rPr>
            </w:pPr>
            <w:r>
              <w:rPr>
                <w:rFonts w:hint="eastAsia" w:ascii="宋体" w:hAnsi="宋体" w:cs="宋体"/>
                <w:color w:val="auto"/>
                <w:kern w:val="0"/>
                <w:sz w:val="18"/>
                <w:szCs w:val="18"/>
                <w:highlight w:val="none"/>
              </w:rPr>
              <w:t>考核人：</w:t>
            </w:r>
          </w:p>
        </w:tc>
      </w:tr>
    </w:tbl>
    <w:p>
      <w:pPr>
        <w:widowControl/>
        <w:spacing w:line="3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1、考核评分≥95分的为合格，考核合格的，支付全额当月考核金，90-95分为基本合格，扣每分扣500元；</w:t>
      </w:r>
    </w:p>
    <w:p>
      <w:pPr>
        <w:widowControl/>
        <w:spacing w:line="360" w:lineRule="exact"/>
        <w:rPr>
          <w:rFonts w:ascii="宋体" w:hAnsi="宋体" w:cs="宋体"/>
          <w:color w:val="auto"/>
          <w:kern w:val="0"/>
          <w:szCs w:val="21"/>
          <w:highlight w:val="none"/>
        </w:rPr>
      </w:pPr>
      <w:r>
        <w:rPr>
          <w:rFonts w:hint="eastAsia" w:ascii="宋体" w:hAnsi="宋体" w:cs="宋体"/>
          <w:color w:val="auto"/>
          <w:kern w:val="0"/>
          <w:szCs w:val="21"/>
          <w:highlight w:val="none"/>
        </w:rPr>
        <w:t>2、当95﹥考核评分≥85，每低于合格分(90分）1分扣2000元；</w:t>
      </w:r>
    </w:p>
    <w:p>
      <w:pPr>
        <w:widowControl/>
        <w:spacing w:line="360" w:lineRule="exact"/>
        <w:rPr>
          <w:rFonts w:ascii="宋体" w:hAnsi="宋体" w:cs="宋体"/>
          <w:color w:val="auto"/>
          <w:kern w:val="0"/>
          <w:szCs w:val="21"/>
          <w:highlight w:val="none"/>
        </w:rPr>
      </w:pPr>
      <w:r>
        <w:rPr>
          <w:rFonts w:hint="eastAsia" w:ascii="宋体" w:hAnsi="宋体" w:cs="宋体"/>
          <w:color w:val="auto"/>
          <w:kern w:val="0"/>
          <w:szCs w:val="21"/>
          <w:highlight w:val="none"/>
        </w:rPr>
        <w:t>3、当85﹥考核评分≥80，在第一档的基础上，每低于考核平均分85分1分扣5000元；</w:t>
      </w:r>
    </w:p>
    <w:p>
      <w:pPr>
        <w:widowControl/>
        <w:spacing w:line="360" w:lineRule="exact"/>
        <w:rPr>
          <w:rFonts w:ascii="宋体" w:hAnsi="宋体" w:cs="宋体"/>
          <w:color w:val="auto"/>
          <w:kern w:val="0"/>
          <w:szCs w:val="21"/>
          <w:highlight w:val="none"/>
        </w:rPr>
      </w:pPr>
      <w:r>
        <w:rPr>
          <w:rFonts w:hint="eastAsia" w:ascii="宋体" w:hAnsi="宋体" w:cs="宋体"/>
          <w:color w:val="auto"/>
          <w:kern w:val="0"/>
          <w:szCs w:val="21"/>
          <w:highlight w:val="none"/>
        </w:rPr>
        <w:t>4、考核评分低于80分的为不合格，连续三个月考核不合格的，采购人有权单方解除合同。</w:t>
      </w:r>
    </w:p>
    <w:p>
      <w:pPr>
        <w:spacing w:line="400" w:lineRule="exact"/>
        <w:rPr>
          <w:rFonts w:ascii="宋体" w:hAnsi="宋体"/>
          <w:b/>
          <w:color w:val="auto"/>
          <w:szCs w:val="21"/>
          <w:highlight w:val="none"/>
        </w:rPr>
      </w:pPr>
      <w:r>
        <w:rPr>
          <w:rFonts w:hint="eastAsia" w:ascii="宋体" w:hAnsi="宋体"/>
          <w:b/>
          <w:color w:val="auto"/>
          <w:szCs w:val="21"/>
          <w:highlight w:val="none"/>
        </w:rPr>
        <w:t>表2：</w:t>
      </w:r>
    </w:p>
    <w:p>
      <w:pPr>
        <w:spacing w:line="360" w:lineRule="auto"/>
        <w:jc w:val="center"/>
        <w:rPr>
          <w:b/>
          <w:color w:val="auto"/>
          <w:szCs w:val="21"/>
          <w:highlight w:val="none"/>
        </w:rPr>
      </w:pPr>
      <w:r>
        <w:rPr>
          <w:rFonts w:hint="eastAsia"/>
          <w:b/>
          <w:color w:val="auto"/>
          <w:szCs w:val="21"/>
          <w:highlight w:val="none"/>
        </w:rPr>
        <w:t>医院保安人员工作满意度问卷调查</w:t>
      </w:r>
    </w:p>
    <w:p>
      <w:pPr>
        <w:numPr>
          <w:ilvl w:val="0"/>
          <w:numId w:val="3"/>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单选题（100.00分）</w:t>
      </w:r>
    </w:p>
    <w:p>
      <w:pPr>
        <w:numPr>
          <w:ilvl w:val="0"/>
          <w:numId w:val="4"/>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您对我院保安人员在岗时的工作状态、精神面貌是否满意？</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非常满意（10.0分）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满意（9.0分）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一般（8.0分）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不满意（7.0分）</w:t>
      </w:r>
    </w:p>
    <w:p>
      <w:pPr>
        <w:numPr>
          <w:ilvl w:val="0"/>
          <w:numId w:val="4"/>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您对我院保安人员的着装、仪容仪表是否满意？</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非常满意（10.0分）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满意（9.0分）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一般（8.0分）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不满意（7.0分）</w:t>
      </w:r>
    </w:p>
    <w:p>
      <w:pPr>
        <w:numPr>
          <w:ilvl w:val="0"/>
          <w:numId w:val="4"/>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您对我院保安人员的服务态度、礼节礼貌是否满意？</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非常满意（10.0分）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满意（9.0分）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一般（8.0分）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不满意（7.0分）</w:t>
      </w:r>
    </w:p>
    <w:p>
      <w:pPr>
        <w:numPr>
          <w:ilvl w:val="0"/>
          <w:numId w:val="4"/>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您对我院保安人员的安全防范意识是否满意？</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非常满意（10.0分）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满意（9.0分）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一般（8.0分）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不满意（7.0分）</w:t>
      </w:r>
    </w:p>
    <w:p>
      <w:pPr>
        <w:numPr>
          <w:ilvl w:val="0"/>
          <w:numId w:val="4"/>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我院是无烟医院，您对保安人员在院区的控烟、劝烟工作是否满意？</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非常满意（10.0分）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满意（9.0分）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一般（8.0分）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不满意（7.0分）</w:t>
      </w:r>
    </w:p>
    <w:p>
      <w:pPr>
        <w:numPr>
          <w:ilvl w:val="0"/>
          <w:numId w:val="4"/>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您对我院保安人员在处置突发事件（例如999事件）的到场时间是否满意？</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非常满意（10.0分）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满意（9.0分）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一般（8.0分）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不满意（7.0分）</w:t>
      </w:r>
    </w:p>
    <w:p>
      <w:pPr>
        <w:numPr>
          <w:ilvl w:val="0"/>
          <w:numId w:val="4"/>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您认为我院保安人员工作是否尽到职责</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非常尽职（10.0分）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尽职（9.0分）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不太尽职（8.0分）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玩忽职守（7.0分）</w:t>
      </w:r>
    </w:p>
    <w:p>
      <w:pPr>
        <w:numPr>
          <w:ilvl w:val="0"/>
          <w:numId w:val="4"/>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您对院内停车场保安人员的服务态度是否满意？</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非常满意（10.0分）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满意（9.0分）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一般（8.0分）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不满意（7.0分）</w:t>
      </w:r>
    </w:p>
    <w:p>
      <w:p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9.您对院区内的治安环境是否满意</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非常满意（10.0分）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满意（9.0分）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一般（8.0分）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不满意（7.0分）</w:t>
      </w:r>
    </w:p>
    <w:p>
      <w:p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10.您对我院保安人员的日常巡查工作是否满意？</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非常满意（10.0分）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满意（9.0分）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一般（8.0分）</w:t>
      </w:r>
    </w:p>
    <w:p>
      <w:pPr>
        <w:numPr>
          <w:ilvl w:val="0"/>
          <w:numId w:val="5"/>
        </w:numPr>
        <w:spacing w:line="260" w:lineRule="exact"/>
        <w:ind w:left="420" w:leftChars="200"/>
        <w:rPr>
          <w:rFonts w:ascii="宋体" w:hAnsi="宋体" w:cs="宋体"/>
          <w:color w:val="auto"/>
          <w:szCs w:val="21"/>
          <w:highlight w:val="none"/>
        </w:rPr>
      </w:pPr>
      <w:r>
        <w:rPr>
          <w:rFonts w:hint="eastAsia" w:ascii="宋体" w:hAnsi="宋体" w:cs="宋体"/>
          <w:color w:val="auto"/>
          <w:szCs w:val="21"/>
          <w:highlight w:val="none"/>
        </w:rPr>
        <w:t>不满意（7.0分）</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br w:type="page"/>
      </w:r>
      <w:r>
        <w:rPr>
          <w:rFonts w:hint="eastAsia" w:ascii="宋体" w:hAnsi="宋体"/>
          <w:b/>
          <w:color w:val="auto"/>
          <w:szCs w:val="21"/>
          <w:highlight w:val="none"/>
        </w:rPr>
        <w:t>2、院方对公司人员工作考核内容：</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2.1、人员精神状况。</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2.2、劳动纪律严格遵守。</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2.3、不能擅自离岗，特殊情况提供相关资料证明供院方审阅。</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2.4、部门环境卫生有每日清扫制度，定期清扫，保持门卫、岗亭、监控室等工作场所的环境整洁、卫生，整个环境布置要符合保安、监控工作的需要。工作场所内物品摆放整齐，并要阻止外来人员随便进出及乱放杂物。停车场各类车辆停放整齐。门卫保安要协助做好收发工作。发现不符规定的上述现象，每次每项扣20-200元。</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2.5、各类登记本记录齐全：</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2.5.1巡检记录 </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2.5.2月度会议记录 </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2.5.3每月消防设施查核记录 </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2.5.4器材配置及完好情况检查记录 </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2.5.5 每半月一次检测消防监控报警系统设施 </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2.6、配合医院的禁烟工作：配合无烟医院创建，禁止医院内吸烟，并按规定进行劝烟，按医院禁烟制度落实。</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2.7、消防工作：做好安全用电、用火等消防工作，严格管理电瓶车充电，保证专门充电地点有保安人员24小时监管。禁止中标人员工在门卫、监控室等医院非规定地方进行电瓶车充电，同时要监督并阻止院内其他人员违规充电，不执行上述规定或未尽到劝阻责任的，每发现一次扣20-50元。发生不安全用电和用火等不良事件由中标人全权负责。    </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2.8、治安防盗工作：中标人员工要教育群众（所有在院人员）遵守医院规章制度，严查吸烟、违规使用电器、野蛮施工等违反消防规定现象，严查违反节能规定、偷盗、抢劫、医托、破坏公共财产等情况，发现破坏行为和违反规定行为而未及时阻止的，要照价赔偿；院内每发生财产被盗事件扣被盗财产的10%费用。</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2.9、对于中标人人员在检查中表现优秀者予以奖励，对于被查出违反法律法规、医院制度规定、合同规定内容而未造成医院严重影响的行为，扣50-100元/人次,如果是给医院在经济、业务、形象、媒体上造成严重影响及后果的，给予中标人5000-20000元扣款的处罚,并负相关法律责任。 </w:t>
      </w:r>
    </w:p>
    <w:p>
      <w:pPr>
        <w:spacing w:line="400" w:lineRule="exact"/>
        <w:ind w:left="29" w:leftChars="14" w:right="-153" w:rightChars="-73"/>
        <w:rPr>
          <w:rFonts w:ascii="宋体" w:hAnsi="宋体"/>
          <w:color w:val="auto"/>
          <w:szCs w:val="21"/>
          <w:highlight w:val="none"/>
        </w:rPr>
      </w:pPr>
    </w:p>
    <w:p>
      <w:pPr>
        <w:spacing w:line="360" w:lineRule="auto"/>
        <w:rPr>
          <w:rFonts w:ascii="宋体" w:hAnsi="宋体"/>
          <w:b/>
          <w:color w:val="auto"/>
          <w:szCs w:val="21"/>
          <w:highlight w:val="none"/>
        </w:rPr>
      </w:pPr>
      <w:r>
        <w:rPr>
          <w:rFonts w:hint="eastAsia" w:ascii="宋体" w:hAnsi="宋体"/>
          <w:b/>
          <w:color w:val="auto"/>
          <w:szCs w:val="21"/>
          <w:highlight w:val="none"/>
        </w:rPr>
        <w:br w:type="page"/>
      </w:r>
      <w:r>
        <w:rPr>
          <w:rFonts w:hint="eastAsia" w:ascii="宋体" w:hAnsi="宋体"/>
          <w:b/>
          <w:color w:val="auto"/>
          <w:szCs w:val="21"/>
          <w:highlight w:val="none"/>
        </w:rPr>
        <w:t>表3：</w:t>
      </w:r>
    </w:p>
    <w:p>
      <w:pPr>
        <w:tabs>
          <w:tab w:val="left" w:pos="840"/>
          <w:tab w:val="left" w:pos="900"/>
        </w:tabs>
        <w:spacing w:line="400" w:lineRule="exact"/>
        <w:ind w:firstLine="422" w:firstLineChars="200"/>
        <w:jc w:val="center"/>
        <w:rPr>
          <w:rFonts w:ascii="宋体" w:hAnsi="宋体"/>
          <w:b/>
          <w:color w:val="auto"/>
          <w:szCs w:val="21"/>
          <w:highlight w:val="none"/>
        </w:rPr>
      </w:pPr>
      <w:r>
        <w:rPr>
          <w:rFonts w:hint="eastAsia" w:ascii="宋体" w:hAnsi="宋体"/>
          <w:b/>
          <w:color w:val="auto"/>
          <w:szCs w:val="21"/>
          <w:highlight w:val="none"/>
        </w:rPr>
        <w:t>保安服务内容和质量标准</w:t>
      </w:r>
    </w:p>
    <w:p>
      <w:pPr>
        <w:tabs>
          <w:tab w:val="left" w:pos="840"/>
          <w:tab w:val="left" w:pos="108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1.建立健全安保组织机构。制订和完善各项治安安保岗位责任制。完善医院内的安全防范措施。根据医院的实际情况和目前的治安情况配备规定数量的安保人员实行24小时值班制。</w:t>
      </w:r>
    </w:p>
    <w:p>
      <w:pPr>
        <w:tabs>
          <w:tab w:val="left" w:pos="840"/>
          <w:tab w:val="left" w:pos="108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保安人员身体健康，无明显的外观缺陷，初中以上文化程度，能熟练使用普通话表达沟通，由保安公司委派或与保安公司签订合同及责任承诺书并经培训合格持证上岗。并负责定期对安保人员进行职业道德教育和业务培训。</w:t>
      </w:r>
    </w:p>
    <w:p>
      <w:pPr>
        <w:tabs>
          <w:tab w:val="left" w:pos="540"/>
          <w:tab w:val="left" w:pos="840"/>
          <w:tab w:val="left" w:pos="108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3负责全院24小时的安全巡逻保卫工作，保证本院内的人员及财产安全，并有相关的值班记录。建立正常的巡视制度并明确重点保护目标，做到点、面结合。巡逻务求实效，记录真实，决不允许弄虚作假。</w:t>
      </w:r>
    </w:p>
    <w:p>
      <w:pPr>
        <w:tabs>
          <w:tab w:val="left" w:pos="540"/>
          <w:tab w:val="left" w:pos="840"/>
          <w:tab w:val="left" w:pos="108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加强院内车辆的安全管理。指挥引导进出车辆严格按照院内交通标志行驶，保证车辆进出、停放有序，道路畅通，院内车速限制在5公里/小时以下，对乱停乱放车辆及时处理。120通道禁止一切未经许可的车辆停放，以保证救护车及急诊病人直达急诊科。关注车辆停放情况，提醒司机关好车辆的门窗，发现未关的及时通知车主并采取相应措施。</w:t>
      </w:r>
    </w:p>
    <w:p>
      <w:pPr>
        <w:tabs>
          <w:tab w:val="left" w:pos="840"/>
          <w:tab w:val="left" w:pos="108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5.每日24小时负责医院内非机动车的停放管理，保持车辆停放整齐有序、地面整洁，防止非机动车丢失。</w:t>
      </w:r>
    </w:p>
    <w:p>
      <w:pPr>
        <w:tabs>
          <w:tab w:val="left" w:pos="840"/>
          <w:tab w:val="left" w:pos="108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6.协助电梯公司处理因电梯故障而人员被困的解救工作，必要时及时向有关部门报告情况。</w:t>
      </w:r>
    </w:p>
    <w:p>
      <w:pPr>
        <w:tabs>
          <w:tab w:val="left" w:pos="840"/>
          <w:tab w:val="left" w:pos="108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7.服务意识强，工作主动、积极、配合，在确保完成本职工作的前提下，协助院方做好临时调配的工作任务。</w:t>
      </w:r>
    </w:p>
    <w:p>
      <w:pPr>
        <w:tabs>
          <w:tab w:val="left" w:pos="840"/>
          <w:tab w:val="left" w:pos="108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8.协同管理门、窗、水、电、空调等的使用，尤其是职工下班后，对未关闭的门、窗、水、电、空调等及时关闭。</w:t>
      </w:r>
    </w:p>
    <w:p>
      <w:pPr>
        <w:tabs>
          <w:tab w:val="left" w:pos="840"/>
          <w:tab w:val="left" w:pos="108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9.负责院内各项治安安全保卫工作，安全防范工作有措施并落实，治安工作达标。</w:t>
      </w:r>
    </w:p>
    <w:p>
      <w:pPr>
        <w:tabs>
          <w:tab w:val="left" w:pos="840"/>
          <w:tab w:val="left" w:pos="1080"/>
          <w:tab w:val="left" w:pos="156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10.接报警后，五分钟内调集保安人员赶往现场，特别是当发生医疗纠纷和其它破坏性行为时，保安应在第一时间赶到现场，尽力保护医务人员不受伤害（做好登记记录），维护公共医疗区域的治安秩序。制订治安突发事件应急预案，协助医院做好紧急事件的处理。</w:t>
      </w:r>
    </w:p>
    <w:p>
      <w:pPr>
        <w:tabs>
          <w:tab w:val="left" w:pos="840"/>
          <w:tab w:val="left" w:pos="1080"/>
          <w:tab w:val="left" w:pos="156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11.实行24小时的门卫值班制，门诊及住院部一楼大厅白天做好导向服务。</w:t>
      </w:r>
    </w:p>
    <w:p>
      <w:pPr>
        <w:tabs>
          <w:tab w:val="left" w:pos="840"/>
          <w:tab w:val="left" w:pos="1080"/>
          <w:tab w:val="left" w:pos="156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12.严查、禁止非法刊物、医托进入医院扰乱正常的医疗秩序，做到定时巡逻、严密监控、及时驱赶制止，必要时协同保卫科将疑犯扭送公安机关，并做好登记记录工作。</w:t>
      </w:r>
    </w:p>
    <w:p>
      <w:pPr>
        <w:tabs>
          <w:tab w:val="left" w:pos="840"/>
          <w:tab w:val="left" w:pos="1080"/>
          <w:tab w:val="left" w:pos="156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13.密切联系医院各部门，共同搞好治安管理。与周边单位建立联防联保制度，并与当地***建立良好的工作关系。</w:t>
      </w:r>
    </w:p>
    <w:p>
      <w:pPr>
        <w:tabs>
          <w:tab w:val="left" w:pos="840"/>
          <w:tab w:val="left" w:pos="1080"/>
          <w:tab w:val="left" w:pos="11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14.纪律标准</w:t>
      </w:r>
    </w:p>
    <w:p>
      <w:pPr>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14.1保安人员统一着装（冬夏装），服装整洁无破损，佩证上岗，文明礼貌，精神饱满，仪表整洁、言谈举止文明，符合医院规定。</w:t>
      </w:r>
    </w:p>
    <w:p>
      <w:pPr>
        <w:tabs>
          <w:tab w:val="left" w:pos="840"/>
          <w:tab w:val="left" w:pos="1140"/>
          <w:tab w:val="left" w:pos="156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14.2严格遵守医院的各项规章制度，按时上下班，接班到位，严禁迟到、早退、离岗、脱岗、窜岗、会客接友、打电话、看书看报、吸烟喝酒、打瞌睡、吃零食。</w:t>
      </w:r>
    </w:p>
    <w:p>
      <w:pPr>
        <w:tabs>
          <w:tab w:val="left" w:pos="840"/>
          <w:tab w:val="left" w:pos="1140"/>
          <w:tab w:val="left" w:pos="156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14.3严禁与不法分子窜通，收取贿赂，损害医院及病人的利益。</w:t>
      </w:r>
    </w:p>
    <w:p>
      <w:pPr>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15.各岗位操作规范</w:t>
      </w:r>
    </w:p>
    <w:p>
      <w:pPr>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15.1精神饱满，仪容仪表整洁，言行规范。 </w:t>
      </w:r>
    </w:p>
    <w:p>
      <w:pPr>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15.2对进入医院的客人要有识别能力，主动询问客人来医院的目的。 </w:t>
      </w:r>
    </w:p>
    <w:p>
      <w:pPr>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15.3维持医院秩序，保证门口畅通无阻，劝告来人没事不要在门口逗留。每日随时清理大门两侧摊贩及车辆，禁止商贩和推销人员进入医院。接到停车场车位停满信息后，礼貌劝阻车辆进入并疏散等候的车辆。 </w:t>
      </w:r>
    </w:p>
    <w:p>
      <w:pPr>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15.4当出入门岗人员（职工、访客、病人及家属等）带出大件物品时须主动询问，如果病人出院，需验证出院结帐单及出院证明，必要时打电话确认。 </w:t>
      </w:r>
    </w:p>
    <w:p>
      <w:pPr>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15.5对行动不便或携物过多主动帮忙，让病人及家属满意。</w:t>
      </w:r>
    </w:p>
    <w:p>
      <w:pPr>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15.6接受病人及家属投诉时要冷静，迅速汇报，妥善处理， 严禁与病人及家属发生争吵现象。 </w:t>
      </w:r>
    </w:p>
    <w:p>
      <w:pPr>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15.7如遇特殊情况，应及时向病人及家属做好解释工作。</w:t>
      </w:r>
    </w:p>
    <w:p>
      <w:pPr>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15.8巡逻时做到耳听、鼻闻、眼看、手动、嘴问，发现问题及时妥善处理。</w:t>
      </w:r>
    </w:p>
    <w:p>
      <w:pPr>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16.协助医院制订并完善各类突发性事件应急处置预案。</w:t>
      </w:r>
    </w:p>
    <w:p>
      <w:pPr>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17.负责处理由于失窃及维护秩序所引起的纠纷。对每起失窃事件，均应按程序处理，做好调查、备案记录、并分析原因，落实相应防范措施。医院公共财产等失窃后，根据责任程度，保安公司需给予一定比例的赔偿。</w:t>
      </w:r>
    </w:p>
    <w:p>
      <w:pPr>
        <w:tabs>
          <w:tab w:val="left" w:pos="840"/>
        </w:tabs>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18.管理目标：安保覆盖及时率：100%。监控、消防等设备日常检查发现问题，汇报及时率达98%。</w:t>
      </w:r>
    </w:p>
    <w:p>
      <w:pPr>
        <w:spacing w:line="360" w:lineRule="auto"/>
        <w:rPr>
          <w:rFonts w:ascii="宋体" w:hAnsi="宋体"/>
          <w:b/>
          <w:color w:val="auto"/>
          <w:szCs w:val="21"/>
          <w:highlight w:val="none"/>
        </w:rPr>
      </w:pPr>
      <w:r>
        <w:rPr>
          <w:rFonts w:hint="eastAsia" w:ascii="宋体" w:hAnsi="宋体"/>
          <w:b/>
          <w:color w:val="auto"/>
          <w:szCs w:val="21"/>
          <w:highlight w:val="none"/>
          <w:u w:val="single"/>
        </w:rPr>
        <w:br w:type="page"/>
      </w:r>
      <w:r>
        <w:rPr>
          <w:rFonts w:hint="eastAsia" w:ascii="宋体" w:hAnsi="宋体"/>
          <w:b/>
          <w:color w:val="auto"/>
          <w:szCs w:val="21"/>
          <w:highlight w:val="none"/>
        </w:rPr>
        <w:t>表4：</w:t>
      </w:r>
    </w:p>
    <w:p>
      <w:pPr>
        <w:tabs>
          <w:tab w:val="left" w:pos="1080"/>
        </w:tabs>
        <w:spacing w:line="400" w:lineRule="exact"/>
        <w:ind w:firstLine="422" w:firstLineChars="200"/>
        <w:jc w:val="center"/>
        <w:rPr>
          <w:rFonts w:ascii="宋体" w:hAnsi="宋体"/>
          <w:color w:val="auto"/>
          <w:szCs w:val="21"/>
          <w:highlight w:val="none"/>
        </w:rPr>
      </w:pPr>
      <w:r>
        <w:rPr>
          <w:rFonts w:hint="eastAsia" w:ascii="宋体" w:hAnsi="宋体"/>
          <w:b/>
          <w:color w:val="auto"/>
          <w:szCs w:val="21"/>
          <w:highlight w:val="none"/>
        </w:rPr>
        <w:t>安保、消防监控服务内容及质量标准</w:t>
      </w:r>
    </w:p>
    <w:p>
      <w:pPr>
        <w:spacing w:line="400" w:lineRule="exact"/>
        <w:rPr>
          <w:rFonts w:ascii="宋体" w:hAnsi="宋体"/>
          <w:b/>
          <w:color w:val="auto"/>
          <w:szCs w:val="21"/>
          <w:highlight w:val="none"/>
        </w:rPr>
      </w:pPr>
      <w:r>
        <w:rPr>
          <w:rFonts w:hint="eastAsia" w:ascii="宋体" w:hAnsi="宋体"/>
          <w:b/>
          <w:color w:val="auto"/>
          <w:szCs w:val="21"/>
          <w:highlight w:val="none"/>
        </w:rPr>
        <w:t>1.安保监控系统服务内容及质量标准：</w:t>
      </w:r>
    </w:p>
    <w:p>
      <w:pPr>
        <w:spacing w:line="400" w:lineRule="exact"/>
        <w:ind w:left="420" w:leftChars="100" w:hanging="210" w:hangingChars="100"/>
        <w:rPr>
          <w:rFonts w:ascii="宋体" w:hAnsi="宋体"/>
          <w:color w:val="auto"/>
          <w:szCs w:val="21"/>
          <w:highlight w:val="none"/>
        </w:rPr>
      </w:pPr>
      <w:r>
        <w:rPr>
          <w:rFonts w:hint="eastAsia" w:ascii="宋体" w:hAnsi="宋体"/>
          <w:color w:val="auto"/>
          <w:szCs w:val="21"/>
          <w:highlight w:val="none"/>
        </w:rPr>
        <w:t>1.1安保监控人员身体健康，无明显的外观缺陷，初中以上文化程度，须参加岗位技术培训，持证上岗，熟知操作程序。</w:t>
      </w:r>
    </w:p>
    <w:p>
      <w:pPr>
        <w:spacing w:line="400" w:lineRule="exact"/>
        <w:ind w:left="420" w:leftChars="100" w:hanging="210" w:hangingChars="100"/>
        <w:rPr>
          <w:rFonts w:ascii="宋体" w:hAnsi="宋体"/>
          <w:color w:val="auto"/>
          <w:szCs w:val="21"/>
          <w:highlight w:val="none"/>
        </w:rPr>
      </w:pPr>
      <w:r>
        <w:rPr>
          <w:rFonts w:hint="eastAsia" w:ascii="宋体" w:hAnsi="宋体"/>
          <w:color w:val="auto"/>
          <w:szCs w:val="21"/>
          <w:highlight w:val="none"/>
        </w:rPr>
        <w:t>1.2确保监控系统的设备正常运行，做好记录工作。</w:t>
      </w:r>
    </w:p>
    <w:p>
      <w:pPr>
        <w:spacing w:line="400" w:lineRule="exact"/>
        <w:ind w:left="420" w:leftChars="100" w:hanging="210" w:hangingChars="100"/>
        <w:rPr>
          <w:rFonts w:ascii="宋体" w:hAnsi="宋体"/>
          <w:color w:val="auto"/>
          <w:szCs w:val="21"/>
          <w:highlight w:val="none"/>
        </w:rPr>
      </w:pPr>
      <w:r>
        <w:rPr>
          <w:rFonts w:hint="eastAsia" w:ascii="宋体" w:hAnsi="宋体"/>
          <w:color w:val="auto"/>
          <w:szCs w:val="21"/>
          <w:highlight w:val="none"/>
        </w:rPr>
        <w:t>1.3系统运行时，值班人应细心观察，做好巡检登记，发现问题应及时报告。</w:t>
      </w:r>
    </w:p>
    <w:p>
      <w:pPr>
        <w:spacing w:line="400" w:lineRule="exact"/>
        <w:ind w:left="420" w:leftChars="100" w:hanging="210" w:hangingChars="100"/>
        <w:rPr>
          <w:rFonts w:ascii="宋体" w:hAnsi="宋体"/>
          <w:color w:val="auto"/>
          <w:szCs w:val="21"/>
          <w:highlight w:val="none"/>
        </w:rPr>
      </w:pPr>
      <w:r>
        <w:rPr>
          <w:rFonts w:hint="eastAsia" w:ascii="宋体" w:hAnsi="宋体"/>
          <w:color w:val="auto"/>
          <w:szCs w:val="21"/>
          <w:highlight w:val="none"/>
        </w:rPr>
        <w:t>1.4公司对在岗员工进行每年一次以上的相关人员操作培训，新员工要予以上岗前培训。</w:t>
      </w:r>
    </w:p>
    <w:p>
      <w:pPr>
        <w:spacing w:line="400" w:lineRule="exact"/>
        <w:ind w:left="420" w:leftChars="100" w:hanging="210" w:hangingChars="100"/>
        <w:rPr>
          <w:rFonts w:ascii="宋体" w:hAnsi="宋体"/>
          <w:color w:val="auto"/>
          <w:szCs w:val="21"/>
          <w:highlight w:val="none"/>
        </w:rPr>
      </w:pPr>
      <w:r>
        <w:rPr>
          <w:rFonts w:hint="eastAsia" w:ascii="宋体" w:hAnsi="宋体"/>
          <w:color w:val="auto"/>
          <w:szCs w:val="21"/>
          <w:highlight w:val="none"/>
        </w:rPr>
        <w:t>1.5负责定期向直接上级汇报工作，接受检查和监督</w:t>
      </w:r>
    </w:p>
    <w:p>
      <w:pPr>
        <w:spacing w:line="400" w:lineRule="exact"/>
        <w:ind w:left="420" w:leftChars="100" w:hanging="210" w:hangingChars="100"/>
        <w:rPr>
          <w:rFonts w:ascii="宋体" w:hAnsi="宋体"/>
          <w:color w:val="auto"/>
          <w:szCs w:val="21"/>
          <w:highlight w:val="none"/>
        </w:rPr>
      </w:pPr>
      <w:r>
        <w:rPr>
          <w:rFonts w:hint="eastAsia" w:ascii="宋体" w:hAnsi="宋体"/>
          <w:color w:val="auto"/>
          <w:szCs w:val="21"/>
          <w:highlight w:val="none"/>
        </w:rPr>
        <w:t>1.6负责相关资料信息的收集、汇总和整理，做好相关工作的计划和总结</w:t>
      </w:r>
    </w:p>
    <w:p>
      <w:pPr>
        <w:spacing w:line="400" w:lineRule="exact"/>
        <w:ind w:left="420" w:leftChars="100" w:hanging="210" w:hangingChars="100"/>
        <w:rPr>
          <w:rFonts w:ascii="宋体" w:hAnsi="宋体"/>
          <w:color w:val="auto"/>
          <w:szCs w:val="21"/>
          <w:highlight w:val="none"/>
        </w:rPr>
      </w:pPr>
      <w:r>
        <w:rPr>
          <w:rFonts w:hint="eastAsia" w:ascii="宋体" w:hAnsi="宋体"/>
          <w:color w:val="auto"/>
          <w:szCs w:val="21"/>
          <w:highlight w:val="none"/>
        </w:rPr>
        <w:t>1.7执行岗位职责和规章制度，做好相关记录和接受医院的考核工作。</w:t>
      </w:r>
    </w:p>
    <w:p>
      <w:pPr>
        <w:spacing w:line="400" w:lineRule="exact"/>
        <w:ind w:left="420" w:leftChars="100" w:hanging="210" w:hangingChars="100"/>
        <w:rPr>
          <w:rFonts w:ascii="宋体" w:hAnsi="宋体"/>
          <w:color w:val="auto"/>
          <w:szCs w:val="21"/>
          <w:highlight w:val="none"/>
        </w:rPr>
      </w:pPr>
      <w:r>
        <w:rPr>
          <w:rFonts w:hint="eastAsia" w:ascii="宋体" w:hAnsi="宋体"/>
          <w:color w:val="auto"/>
          <w:szCs w:val="21"/>
          <w:highlight w:val="none"/>
        </w:rPr>
        <w:t xml:space="preserve">1.7.1做好监控系统设备的日常运行操作，24小时专人值班监控，及时发现和处理监控中发生应急和潜在的问题，按相关《应急预案》规定处理应急事件。潜在问题则作好相应的记录并及时跟进。 </w:t>
      </w:r>
    </w:p>
    <w:p>
      <w:pPr>
        <w:spacing w:line="400" w:lineRule="exact"/>
        <w:ind w:left="420" w:leftChars="100" w:hanging="210" w:hangingChars="100"/>
        <w:rPr>
          <w:rFonts w:ascii="宋体" w:hAnsi="宋体"/>
          <w:color w:val="auto"/>
          <w:szCs w:val="21"/>
          <w:highlight w:val="none"/>
        </w:rPr>
      </w:pPr>
      <w:r>
        <w:rPr>
          <w:rFonts w:hint="eastAsia" w:ascii="宋体" w:hAnsi="宋体"/>
          <w:color w:val="auto"/>
          <w:szCs w:val="21"/>
          <w:highlight w:val="none"/>
        </w:rPr>
        <w:t xml:space="preserve">1.7.2做到摄像机、录像机、各控制器件运行正常，操作键盘灵活、可靠。 </w:t>
      </w:r>
    </w:p>
    <w:p>
      <w:pPr>
        <w:spacing w:line="400" w:lineRule="exact"/>
        <w:ind w:left="420" w:leftChars="100" w:hanging="210" w:hangingChars="100"/>
        <w:rPr>
          <w:rFonts w:ascii="宋体" w:hAnsi="宋体"/>
          <w:color w:val="auto"/>
          <w:szCs w:val="21"/>
          <w:highlight w:val="none"/>
        </w:rPr>
      </w:pPr>
      <w:r>
        <w:rPr>
          <w:rFonts w:hint="eastAsia" w:ascii="宋体" w:hAnsi="宋体"/>
          <w:color w:val="auto"/>
          <w:szCs w:val="21"/>
          <w:highlight w:val="none"/>
        </w:rPr>
        <w:t xml:space="preserve">1.7.3对监控系统运行状况进行全面检查，提交维护或改造/完善报告，充分发挥监控的技术保障及智能监督作用. </w:t>
      </w:r>
    </w:p>
    <w:p>
      <w:pPr>
        <w:spacing w:line="400" w:lineRule="exact"/>
        <w:ind w:left="420" w:leftChars="100" w:hanging="210" w:hangingChars="100"/>
        <w:rPr>
          <w:rFonts w:ascii="宋体" w:hAnsi="宋体"/>
          <w:color w:val="auto"/>
          <w:szCs w:val="21"/>
          <w:highlight w:val="none"/>
        </w:rPr>
      </w:pPr>
      <w:r>
        <w:rPr>
          <w:rFonts w:hint="eastAsia" w:ascii="宋体" w:hAnsi="宋体"/>
          <w:color w:val="auto"/>
          <w:szCs w:val="21"/>
          <w:highlight w:val="none"/>
        </w:rPr>
        <w:t>1.8制订并完善安保消防监控系统应急预案。</w:t>
      </w:r>
    </w:p>
    <w:p>
      <w:pPr>
        <w:spacing w:line="400" w:lineRule="exact"/>
        <w:ind w:left="420" w:leftChars="100" w:hanging="210" w:hangingChars="100"/>
        <w:rPr>
          <w:rFonts w:ascii="宋体" w:hAnsi="宋体"/>
          <w:color w:val="auto"/>
          <w:szCs w:val="21"/>
          <w:highlight w:val="none"/>
        </w:rPr>
      </w:pPr>
      <w:r>
        <w:rPr>
          <w:rFonts w:hint="eastAsia" w:ascii="宋体" w:hAnsi="宋体"/>
          <w:color w:val="auto"/>
          <w:szCs w:val="21"/>
          <w:highlight w:val="none"/>
        </w:rPr>
        <w:t>1.9做好监控、办公设备的资产登记管理工作。</w:t>
      </w:r>
    </w:p>
    <w:p>
      <w:pPr>
        <w:spacing w:line="400" w:lineRule="exact"/>
        <w:ind w:left="420" w:leftChars="100" w:hanging="210" w:hangingChars="100"/>
        <w:rPr>
          <w:rFonts w:ascii="宋体" w:hAnsi="宋体"/>
          <w:color w:val="auto"/>
          <w:szCs w:val="21"/>
          <w:highlight w:val="none"/>
        </w:rPr>
      </w:pPr>
      <w:r>
        <w:rPr>
          <w:rFonts w:hint="eastAsia" w:ascii="宋体" w:hAnsi="宋体"/>
          <w:color w:val="auto"/>
          <w:szCs w:val="21"/>
          <w:highlight w:val="none"/>
        </w:rPr>
        <w:t xml:space="preserve">1.10管理目标：通过管理维护，达到设备完好率98%以上，设备可运转率100%，以确保系统整体运行的安全可靠。 </w:t>
      </w:r>
    </w:p>
    <w:p>
      <w:pPr>
        <w:spacing w:line="400" w:lineRule="exact"/>
        <w:rPr>
          <w:rFonts w:ascii="宋体" w:hAnsi="宋体"/>
          <w:b/>
          <w:bCs/>
          <w:color w:val="auto"/>
          <w:szCs w:val="21"/>
          <w:highlight w:val="none"/>
        </w:rPr>
      </w:pPr>
      <w:r>
        <w:rPr>
          <w:rFonts w:hint="eastAsia" w:ascii="宋体" w:hAnsi="宋体"/>
          <w:b/>
          <w:color w:val="auto"/>
          <w:szCs w:val="21"/>
          <w:highlight w:val="none"/>
        </w:rPr>
        <w:t>2.</w:t>
      </w:r>
      <w:r>
        <w:rPr>
          <w:rFonts w:hint="eastAsia" w:ascii="宋体" w:hAnsi="宋体"/>
          <w:b/>
          <w:bCs/>
          <w:color w:val="auto"/>
          <w:szCs w:val="21"/>
          <w:highlight w:val="none"/>
        </w:rPr>
        <w:t>消防监控系统服务内容及质量标准</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2.1消防监控人员身体健康，无明显的外观缺陷，高中以上文化程度，</w:t>
      </w:r>
      <w:r>
        <w:rPr>
          <w:rFonts w:hint="eastAsia" w:ascii="宋体" w:hAnsi="宋体"/>
          <w:color w:val="auto"/>
          <w:kern w:val="0"/>
          <w:szCs w:val="21"/>
          <w:highlight w:val="none"/>
        </w:rPr>
        <w:t>须参加岗位技术培训，</w:t>
      </w:r>
      <w:r>
        <w:rPr>
          <w:rFonts w:hint="eastAsia" w:ascii="宋体" w:hAnsi="宋体"/>
          <w:color w:val="auto"/>
          <w:szCs w:val="21"/>
          <w:highlight w:val="none"/>
        </w:rPr>
        <w:t>持证上岗，熟知操作程序。</w:t>
      </w:r>
    </w:p>
    <w:p>
      <w:pPr>
        <w:widowControl/>
        <w:snapToGrid w:val="0"/>
        <w:spacing w:line="400" w:lineRule="exact"/>
        <w:ind w:left="315" w:hanging="315" w:hangingChars="150"/>
        <w:jc w:val="left"/>
        <w:rPr>
          <w:rFonts w:ascii="宋体" w:hAnsi="宋体"/>
          <w:color w:val="auto"/>
          <w:kern w:val="0"/>
          <w:szCs w:val="21"/>
          <w:highlight w:val="none"/>
        </w:rPr>
      </w:pPr>
      <w:r>
        <w:rPr>
          <w:rFonts w:hint="eastAsia" w:ascii="宋体" w:hAnsi="宋体"/>
          <w:color w:val="auto"/>
          <w:szCs w:val="21"/>
          <w:highlight w:val="none"/>
        </w:rPr>
        <w:t>2.2</w:t>
      </w:r>
      <w:r>
        <w:rPr>
          <w:rFonts w:hint="eastAsia" w:ascii="宋体" w:hAnsi="宋体"/>
          <w:color w:val="auto"/>
          <w:kern w:val="0"/>
          <w:szCs w:val="21"/>
          <w:highlight w:val="none"/>
        </w:rPr>
        <w:t>负责医院的消防报警及火灾灭火系统正常运行，使系统处于准工作状态，能够随时发现灾情，及时控制联动系统动作，并迅速将灭火系统投入运行并控制灾情，制定维护维修细则，以使整套消防系统正常发挥作用。</w:t>
      </w:r>
    </w:p>
    <w:p>
      <w:pPr>
        <w:widowControl/>
        <w:snapToGrid w:val="0"/>
        <w:spacing w:line="400" w:lineRule="exact"/>
        <w:ind w:left="315" w:hanging="315" w:hangingChars="150"/>
        <w:jc w:val="left"/>
        <w:rPr>
          <w:rFonts w:ascii="宋体" w:hAnsi="宋体"/>
          <w:color w:val="auto"/>
          <w:kern w:val="0"/>
          <w:szCs w:val="21"/>
          <w:highlight w:val="none"/>
        </w:rPr>
      </w:pPr>
      <w:r>
        <w:rPr>
          <w:rFonts w:hint="eastAsia" w:ascii="宋体" w:hAnsi="宋体"/>
          <w:color w:val="auto"/>
          <w:kern w:val="0"/>
          <w:szCs w:val="21"/>
          <w:highlight w:val="none"/>
        </w:rPr>
        <w:t>2.3系统日常运行期间，值班人应细心观察，做好巡检登记，发现问题应及时报告。地下室消防泵压力表每日有人记录，发现异常及时汇报。</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2.4建立本系统的巡检制度，使巡检工作有据可依。</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2.5负责每年两次的相关人员操作培训。</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2.6负责定期向直接上级汇报工作，接受检查和监督</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2.7负责相关资料信息的收集、汇总和整理，做好相关工作的计划和总结</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2.8执行岗位职责和规章制度，做好相关记录和接受医院的考核工作。</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2.9建立达到“低故障”目标措施：</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2.9.1模拟测试：协助并监督消防维保公司每月一次对消防系统进行有效模拟检查，包括所有的应急照灯、烟感、消防卷帘门、水压测试、手动报警按纽测试等开关运作。</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2.9.2日巡查：每天巡检排查安防设施，检查灭火器、消防栓等设备设施是否齐全，紧急疏散通道是否通畅，并做好登记记录 。</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2.9.3公司协助医院监督年底专业消防设施的检测保养工作。负责平时消防设施的登记和核对工作。</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 xml:space="preserve">2.9.4公司员工要参与院方组织的常规性的院内消防培训工作。 </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2.10 执行消防监控运行和维保岗位职责:</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 xml:space="preserve">2.10.1做好对消防法规宣传，增强消防意识。 </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 xml:space="preserve">2.10.2建立专群结合的消防队伍，每年2次进行消防培训，每年举行一次消防人员紧急疏散演习。 </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2.10.3建立消防24小时值班制度，制定消防岗位责任制,建立消防档案管理制度。</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2.10.4建立各种消防设施、设备的检查和养护制度。</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 xml:space="preserve">2.10.5协助医院制订有效的突发火灾的应急预案，确保消防疏散示意图，照明设施、指示标志完好，应急疏散通道畅通无阻。 </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 xml:space="preserve">2.10.6建立消防培训制度，每季度协助保卫科组织开展消防会议及培训，使安保员熟悉灭火器、消火栓的使用方法，熟悉灭火预案及人员疏散方案。 </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 xml:space="preserve">2.10.7建立防火检查制度，每月组织人员对消防设施、重点部位进行防火检查，发现隐患及时落实整改措施。 </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2.11制订并完善消防系统应急预案。</w:t>
      </w:r>
    </w:p>
    <w:p>
      <w:pPr>
        <w:spacing w:line="400" w:lineRule="exact"/>
        <w:ind w:left="315" w:hanging="315" w:hangingChars="150"/>
        <w:rPr>
          <w:rFonts w:ascii="宋体" w:hAnsi="宋体"/>
          <w:color w:val="auto"/>
          <w:szCs w:val="21"/>
          <w:highlight w:val="none"/>
        </w:rPr>
      </w:pPr>
      <w:r>
        <w:rPr>
          <w:rFonts w:hint="eastAsia" w:ascii="宋体" w:hAnsi="宋体"/>
          <w:color w:val="auto"/>
          <w:szCs w:val="21"/>
          <w:highlight w:val="none"/>
        </w:rPr>
        <w:t xml:space="preserve">2.12管理目标：通过管理维护，达到设备完好率98%以上，设备可运转率100%，以确保系统整体运行的安全可靠。 </w:t>
      </w:r>
    </w:p>
    <w:p>
      <w:pPr>
        <w:spacing w:line="360" w:lineRule="auto"/>
        <w:rPr>
          <w:rFonts w:ascii="宋体" w:hAnsi="宋体"/>
          <w:b/>
          <w:color w:val="auto"/>
          <w:szCs w:val="21"/>
          <w:highlight w:val="none"/>
        </w:rPr>
      </w:pPr>
    </w:p>
    <w:p>
      <w:pPr>
        <w:snapToGrid w:val="0"/>
        <w:spacing w:line="400" w:lineRule="exact"/>
        <w:ind w:firstLine="420" w:firstLineChars="200"/>
        <w:rPr>
          <w:rFonts w:ascii="宋体" w:hAnsi="宋体"/>
          <w:color w:val="auto"/>
          <w:szCs w:val="21"/>
          <w:highlight w:val="none"/>
        </w:rPr>
      </w:pPr>
    </w:p>
    <w:p>
      <w:pPr>
        <w:rPr>
          <w:color w:val="auto"/>
          <w:highlight w:val="none"/>
        </w:rPr>
      </w:pPr>
    </w:p>
    <w:p>
      <w:pPr>
        <w:rPr>
          <w:b/>
          <w:color w:val="auto"/>
          <w:sz w:val="32"/>
          <w:highlight w:val="none"/>
        </w:rPr>
      </w:pPr>
      <w:r>
        <w:rPr>
          <w:rFonts w:hint="eastAsia"/>
          <w:b/>
          <w:color w:val="auto"/>
          <w:sz w:val="32"/>
          <w:highlight w:val="none"/>
        </w:rPr>
        <w:br w:type="page"/>
      </w:r>
    </w:p>
    <w:p>
      <w:pPr>
        <w:pStyle w:val="14"/>
        <w:ind w:firstLine="698"/>
        <w:jc w:val="center"/>
        <w:rPr>
          <w:b/>
          <w:color w:val="auto"/>
          <w:highlight w:val="none"/>
        </w:rPr>
      </w:pPr>
      <w:r>
        <w:rPr>
          <w:rFonts w:hint="eastAsia"/>
          <w:b/>
          <w:color w:val="auto"/>
          <w:sz w:val="32"/>
          <w:highlight w:val="none"/>
        </w:rPr>
        <w:t>第四章  商务条款</w:t>
      </w:r>
    </w:p>
    <w:tbl>
      <w:tblPr>
        <w:tblStyle w:val="50"/>
        <w:tblW w:w="9354" w:type="dxa"/>
        <w:jc w:val="center"/>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918"/>
        <w:gridCol w:w="8436"/>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156" w:hRule="atLeast"/>
          <w:jc w:val="center"/>
        </w:trPr>
        <w:tc>
          <w:tcPr>
            <w:tcW w:w="918" w:type="dxa"/>
            <w:vAlign w:val="center"/>
          </w:tcPr>
          <w:p>
            <w:pPr>
              <w:autoSpaceDE w:val="0"/>
              <w:autoSpaceDN w:val="0"/>
              <w:adjustRightInd w:val="0"/>
              <w:spacing w:line="400" w:lineRule="exact"/>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8436" w:type="dxa"/>
            <w:vAlign w:val="center"/>
          </w:tcPr>
          <w:p>
            <w:pPr>
              <w:autoSpaceDE w:val="0"/>
              <w:autoSpaceDN w:val="0"/>
              <w:adjustRightInd w:val="0"/>
              <w:spacing w:line="400" w:lineRule="exact"/>
              <w:jc w:val="center"/>
              <w:rPr>
                <w:rFonts w:ascii="宋体" w:hAnsi="宋体" w:cs="宋体"/>
                <w:b/>
                <w:bCs/>
                <w:color w:val="auto"/>
                <w:szCs w:val="21"/>
                <w:highlight w:val="none"/>
              </w:rPr>
            </w:pPr>
            <w:r>
              <w:rPr>
                <w:rFonts w:hint="eastAsia" w:ascii="宋体" w:hAnsi="宋体" w:cs="宋体"/>
                <w:b/>
                <w:bCs/>
                <w:color w:val="auto"/>
                <w:szCs w:val="21"/>
                <w:highlight w:val="none"/>
              </w:rPr>
              <w:t>内      容</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8" w:type="dxa"/>
            <w:vAlign w:val="center"/>
          </w:tcPr>
          <w:p>
            <w:pPr>
              <w:autoSpaceDE w:val="0"/>
              <w:autoSpaceDN w:val="0"/>
              <w:adjustRightInd w:val="0"/>
              <w:spacing w:line="400" w:lineRule="exact"/>
              <w:jc w:val="center"/>
              <w:rPr>
                <w:rFonts w:ascii="宋体" w:hAnsi="宋体" w:cs="宋体"/>
                <w:bCs/>
                <w:color w:val="auto"/>
                <w:szCs w:val="21"/>
                <w:highlight w:val="none"/>
              </w:rPr>
            </w:pPr>
            <w:r>
              <w:rPr>
                <w:rFonts w:hint="eastAsia" w:ascii="宋体" w:hAnsi="宋体" w:cs="宋体"/>
                <w:bCs/>
                <w:color w:val="auto"/>
                <w:szCs w:val="21"/>
                <w:highlight w:val="none"/>
              </w:rPr>
              <w:t>1</w:t>
            </w:r>
          </w:p>
        </w:tc>
        <w:tc>
          <w:tcPr>
            <w:tcW w:w="8436"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服务地点：采购人指定地点  </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8" w:type="dxa"/>
            <w:vAlign w:val="center"/>
          </w:tcPr>
          <w:p>
            <w:pPr>
              <w:autoSpaceDE w:val="0"/>
              <w:autoSpaceDN w:val="0"/>
              <w:adjustRightInd w:val="0"/>
              <w:spacing w:line="400" w:lineRule="exact"/>
              <w:jc w:val="center"/>
              <w:rPr>
                <w:rFonts w:ascii="宋体" w:hAnsi="宋体" w:cs="宋体"/>
                <w:bCs/>
                <w:color w:val="auto"/>
                <w:szCs w:val="21"/>
                <w:highlight w:val="none"/>
              </w:rPr>
            </w:pPr>
            <w:r>
              <w:rPr>
                <w:rFonts w:hint="eastAsia" w:ascii="宋体" w:hAnsi="宋体" w:cs="宋体"/>
                <w:bCs/>
                <w:color w:val="auto"/>
                <w:szCs w:val="21"/>
                <w:highlight w:val="none"/>
              </w:rPr>
              <w:t>2</w:t>
            </w:r>
          </w:p>
        </w:tc>
        <w:tc>
          <w:tcPr>
            <w:tcW w:w="8436"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服务期限：</w:t>
            </w:r>
            <w:r>
              <w:rPr>
                <w:rFonts w:hint="eastAsia" w:ascii="宋体" w:hAnsi="宋体"/>
                <w:color w:val="auto"/>
                <w:highlight w:val="none"/>
              </w:rPr>
              <w:t>合同签订生效之日起暂定三年，</w:t>
            </w:r>
            <w:r>
              <w:rPr>
                <w:rFonts w:hint="eastAsia" w:ascii="宋体" w:hAnsi="宋体" w:cs="宋体"/>
                <w:color w:val="auto"/>
                <w:szCs w:val="21"/>
                <w:highlight w:val="none"/>
              </w:rPr>
              <w:t>合同一年一签，经双方同意，并经采购人考核合格，报宁波市政府采购管理办公室备案后，可续订下一年度的合同。</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8" w:type="dxa"/>
            <w:vAlign w:val="center"/>
          </w:tcPr>
          <w:p>
            <w:pPr>
              <w:autoSpaceDE w:val="0"/>
              <w:autoSpaceDN w:val="0"/>
              <w:adjustRightInd w:val="0"/>
              <w:spacing w:line="400" w:lineRule="exact"/>
              <w:jc w:val="center"/>
              <w:rPr>
                <w:rFonts w:ascii="宋体" w:hAnsi="宋体" w:cs="宋体"/>
                <w:color w:val="auto"/>
                <w:szCs w:val="21"/>
                <w:highlight w:val="none"/>
              </w:rPr>
            </w:pPr>
            <w:r>
              <w:rPr>
                <w:rFonts w:hint="eastAsia" w:ascii="宋体" w:hAnsi="宋体" w:cs="宋体"/>
                <w:b/>
                <w:color w:val="auto"/>
                <w:szCs w:val="21"/>
                <w:highlight w:val="none"/>
              </w:rPr>
              <w:t>▲</w:t>
            </w:r>
            <w:r>
              <w:rPr>
                <w:rFonts w:hint="eastAsia" w:ascii="宋体" w:hAnsi="宋体" w:cs="宋体"/>
                <w:color w:val="auto"/>
                <w:szCs w:val="21"/>
                <w:highlight w:val="none"/>
              </w:rPr>
              <w:t>3</w:t>
            </w:r>
          </w:p>
        </w:tc>
        <w:tc>
          <w:tcPr>
            <w:tcW w:w="8436" w:type="dxa"/>
            <w:vAlign w:val="center"/>
          </w:tcPr>
          <w:p>
            <w:pPr>
              <w:spacing w:line="400" w:lineRule="exact"/>
              <w:rPr>
                <w:rFonts w:ascii="宋体" w:hAnsi="宋体" w:cs="宋体"/>
                <w:color w:val="auto"/>
                <w:szCs w:val="21"/>
                <w:highlight w:val="none"/>
                <w:lang w:val="zh-CN"/>
              </w:rPr>
            </w:pPr>
            <w:r>
              <w:rPr>
                <w:rFonts w:hint="eastAsia" w:ascii="宋体" w:hAnsi="宋体" w:cs="宋体"/>
                <w:color w:val="auto"/>
                <w:szCs w:val="21"/>
                <w:highlight w:val="none"/>
                <w:lang w:val="zh-CN"/>
              </w:rPr>
              <w:t>付款方法和条件：</w:t>
            </w:r>
          </w:p>
          <w:p>
            <w:pPr>
              <w:spacing w:line="400" w:lineRule="exact"/>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）外滩院区安保服务（含停车场保安）费：</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1、按月结算（根据实际进驻人数计算），经采购人审核无误后，中标供应商提交</w:t>
            </w:r>
            <w:r>
              <w:rPr>
                <w:rFonts w:hint="eastAsia" w:ascii="宋体" w:hAnsi="宋体"/>
                <w:color w:val="auto"/>
                <w:highlight w:val="none"/>
              </w:rPr>
              <w:t>结算提交考核报告。</w:t>
            </w:r>
            <w:r>
              <w:rPr>
                <w:rFonts w:hint="eastAsia" w:ascii="宋体" w:hAnsi="宋体" w:cs="宋体"/>
                <w:color w:val="auto"/>
                <w:szCs w:val="21"/>
                <w:highlight w:val="none"/>
              </w:rPr>
              <w:t>并提供有效正规增值税专用发票给招标人作为付款凭据予以支付，支付时扣除招标人按照合同内容进行质量监管考核应扣罚的款项和当月中标人应支付的违约金、应承担的赔偿款等。</w:t>
            </w:r>
          </w:p>
          <w:p>
            <w:pPr>
              <w:spacing w:line="400" w:lineRule="exact"/>
              <w:rPr>
                <w:rFonts w:hint="eastAsia" w:ascii="宋体" w:hAnsi="宋体" w:cs="宋体"/>
                <w:color w:val="auto"/>
                <w:highlight w:val="none"/>
                <w:lang w:val="zh-CN"/>
              </w:rPr>
            </w:pPr>
            <w:r>
              <w:rPr>
                <w:rFonts w:hint="eastAsia" w:ascii="宋体" w:hAnsi="宋体" w:cs="宋体"/>
                <w:color w:val="auto"/>
                <w:highlight w:val="none"/>
              </w:rPr>
              <w:t>2、</w:t>
            </w:r>
            <w:r>
              <w:rPr>
                <w:rFonts w:hint="eastAsia" w:ascii="宋体" w:hAnsi="宋体" w:cs="宋体"/>
                <w:color w:val="auto"/>
                <w:highlight w:val="none"/>
                <w:lang w:val="zh-CN"/>
              </w:rPr>
              <w:t>结算费用=（∑综合单价×配置人数）－当次乙方应支付的违约金和应承担的赔偿金额。</w:t>
            </w:r>
          </w:p>
          <w:p>
            <w:pPr>
              <w:spacing w:line="400" w:lineRule="exact"/>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）停车场管理支付费用：</w:t>
            </w:r>
          </w:p>
          <w:p>
            <w:pPr>
              <w:spacing w:line="400" w:lineRule="exact"/>
              <w:rPr>
                <w:color w:val="auto"/>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中标人每月10日前将上个月停车收入</w:t>
            </w:r>
            <w:r>
              <w:rPr>
                <w:rFonts w:hint="eastAsia" w:ascii="宋体" w:hAnsi="宋体" w:cs="宋体"/>
                <w:color w:val="auto"/>
                <w:szCs w:val="21"/>
                <w:highlight w:val="none"/>
                <w:lang w:eastAsia="zh-CN"/>
              </w:rPr>
              <w:t>按中标交纳比例</w:t>
            </w:r>
            <w:r>
              <w:rPr>
                <w:rFonts w:hint="eastAsia" w:ascii="宋体" w:hAnsi="宋体" w:cs="宋体"/>
                <w:color w:val="auto"/>
                <w:szCs w:val="21"/>
                <w:highlight w:val="none"/>
              </w:rPr>
              <w:t>支付给</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（扣除医院规定的减免收项目</w:t>
            </w:r>
            <w:r>
              <w:rPr>
                <w:rFonts w:hint="eastAsia" w:ascii="宋体" w:hAnsi="宋体" w:cs="宋体"/>
                <w:color w:val="auto"/>
                <w:szCs w:val="21"/>
                <w:highlight w:val="none"/>
                <w:lang w:eastAsia="zh-CN"/>
              </w:rPr>
              <w:t>后</w:t>
            </w:r>
            <w:r>
              <w:rPr>
                <w:rFonts w:hint="eastAsia" w:ascii="宋体" w:hAnsi="宋体" w:cs="宋体"/>
                <w:color w:val="auto"/>
                <w:szCs w:val="21"/>
                <w:highlight w:val="none"/>
              </w:rPr>
              <w:t>所产生的费用）</w:t>
            </w:r>
            <w:r>
              <w:rPr>
                <w:rFonts w:hint="eastAsia" w:ascii="宋体" w:hAnsi="宋体" w:cs="宋体"/>
                <w:color w:val="auto"/>
                <w:szCs w:val="21"/>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8" w:type="dxa"/>
            <w:vAlign w:val="center"/>
          </w:tcPr>
          <w:p>
            <w:pPr>
              <w:autoSpaceDE w:val="0"/>
              <w:autoSpaceDN w:val="0"/>
              <w:adjustRightIn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8436"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服务质量要求：符合国家规范、规程和地方法规及“招标内容与服务需求”等规定。</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8" w:type="dxa"/>
            <w:vAlign w:val="center"/>
          </w:tcPr>
          <w:p>
            <w:pPr>
              <w:autoSpaceDE w:val="0"/>
              <w:autoSpaceDN w:val="0"/>
              <w:adjustRightInd w:val="0"/>
              <w:spacing w:line="400" w:lineRule="exact"/>
              <w:jc w:val="center"/>
              <w:rPr>
                <w:rFonts w:ascii="宋体" w:hAnsi="宋体" w:cs="宋体"/>
                <w:color w:val="auto"/>
                <w:szCs w:val="21"/>
                <w:highlight w:val="none"/>
              </w:rPr>
            </w:pPr>
            <w:r>
              <w:rPr>
                <w:rFonts w:hint="eastAsia" w:ascii="宋体" w:hAnsi="宋体"/>
                <w:bCs/>
                <w:color w:val="auto"/>
                <w:szCs w:val="21"/>
                <w:highlight w:val="none"/>
              </w:rPr>
              <w:t>▲</w:t>
            </w:r>
            <w:r>
              <w:rPr>
                <w:rFonts w:hint="eastAsia" w:ascii="宋体" w:hAnsi="宋体" w:cs="宋体"/>
                <w:color w:val="auto"/>
                <w:szCs w:val="21"/>
                <w:highlight w:val="none"/>
              </w:rPr>
              <w:t>5</w:t>
            </w:r>
          </w:p>
        </w:tc>
        <w:tc>
          <w:tcPr>
            <w:tcW w:w="8436" w:type="dxa"/>
            <w:vAlign w:val="center"/>
          </w:tcPr>
          <w:p>
            <w:pPr>
              <w:spacing w:line="400" w:lineRule="exact"/>
              <w:rPr>
                <w:rFonts w:ascii="宋体" w:hAnsi="宋体" w:cs="宋体"/>
                <w:color w:val="auto"/>
                <w:szCs w:val="21"/>
                <w:highlight w:val="none"/>
              </w:rPr>
            </w:pPr>
            <w:bookmarkStart w:id="28" w:name="_Toc213"/>
            <w:bookmarkStart w:id="29" w:name="_Toc514908197"/>
            <w:r>
              <w:rPr>
                <w:rFonts w:hint="eastAsia" w:ascii="宋体" w:hAnsi="宋体" w:cs="宋体"/>
                <w:color w:val="auto"/>
                <w:szCs w:val="21"/>
                <w:highlight w:val="none"/>
              </w:rPr>
              <w:t>履约保证金金额：</w:t>
            </w:r>
            <w:bookmarkEnd w:id="28"/>
            <w:r>
              <w:rPr>
                <w:rFonts w:hint="eastAsia" w:ascii="宋体" w:hAnsi="宋体" w:cs="宋体"/>
                <w:color w:val="auto"/>
                <w:szCs w:val="21"/>
                <w:highlight w:val="none"/>
                <w:lang w:eastAsia="zh-CN"/>
              </w:rPr>
              <w:t>（本项目不适用）</w:t>
            </w:r>
            <w:bookmarkEnd w:id="29"/>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8" w:type="dxa"/>
            <w:vAlign w:val="center"/>
          </w:tcPr>
          <w:p>
            <w:pPr>
              <w:autoSpaceDE w:val="0"/>
              <w:autoSpaceDN w:val="0"/>
              <w:adjustRightInd w:val="0"/>
              <w:spacing w:line="400" w:lineRule="exact"/>
              <w:jc w:val="center"/>
              <w:rPr>
                <w:rFonts w:ascii="宋体" w:hAnsi="宋体" w:cs="宋体"/>
                <w:color w:val="auto"/>
                <w:szCs w:val="21"/>
                <w:highlight w:val="none"/>
              </w:rPr>
            </w:pPr>
            <w:r>
              <w:rPr>
                <w:rFonts w:hint="eastAsia" w:ascii="宋体" w:hAnsi="宋体"/>
                <w:bCs/>
                <w:color w:val="auto"/>
                <w:szCs w:val="21"/>
                <w:highlight w:val="none"/>
              </w:rPr>
              <w:t>▲</w:t>
            </w:r>
            <w:r>
              <w:rPr>
                <w:rFonts w:hint="eastAsia" w:ascii="宋体" w:hAnsi="宋体" w:cs="宋体"/>
                <w:color w:val="auto"/>
                <w:szCs w:val="21"/>
                <w:highlight w:val="none"/>
              </w:rPr>
              <w:t>6</w:t>
            </w:r>
          </w:p>
        </w:tc>
        <w:tc>
          <w:tcPr>
            <w:tcW w:w="8436" w:type="dxa"/>
            <w:vAlign w:val="center"/>
          </w:tcPr>
          <w:p>
            <w:pPr>
              <w:spacing w:line="400" w:lineRule="exact"/>
              <w:outlineLvl w:val="0"/>
              <w:rPr>
                <w:rFonts w:ascii="宋体" w:hAnsi="宋体"/>
                <w:color w:val="auto"/>
                <w:szCs w:val="21"/>
                <w:highlight w:val="none"/>
              </w:rPr>
            </w:pPr>
            <w:r>
              <w:rPr>
                <w:rFonts w:hint="eastAsia" w:ascii="宋体" w:hAnsi="宋体"/>
                <w:color w:val="auto"/>
                <w:szCs w:val="21"/>
                <w:highlight w:val="none"/>
              </w:rPr>
              <w:t>本项目岗位人头数按实际结算，每月由院方开具监管函后再结算服务费，缺编人员根据相应的岗位工资扣除服务用费。</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8" w:type="dxa"/>
            <w:vAlign w:val="center"/>
          </w:tcPr>
          <w:p>
            <w:pPr>
              <w:autoSpaceDE w:val="0"/>
              <w:autoSpaceDN w:val="0"/>
              <w:adjustRightInd w:val="0"/>
              <w:spacing w:line="400" w:lineRule="exact"/>
              <w:jc w:val="center"/>
              <w:rPr>
                <w:rFonts w:ascii="宋体" w:hAnsi="宋体" w:cs="宋体"/>
                <w:color w:val="auto"/>
                <w:szCs w:val="21"/>
                <w:highlight w:val="none"/>
              </w:rPr>
            </w:pPr>
            <w:r>
              <w:rPr>
                <w:rFonts w:hint="eastAsia" w:ascii="宋体" w:hAnsi="宋体"/>
                <w:bCs/>
                <w:color w:val="auto"/>
                <w:szCs w:val="21"/>
                <w:highlight w:val="none"/>
              </w:rPr>
              <w:t>▲</w:t>
            </w:r>
            <w:r>
              <w:rPr>
                <w:rFonts w:hint="eastAsia" w:ascii="宋体" w:hAnsi="宋体" w:cs="宋体"/>
                <w:color w:val="auto"/>
                <w:szCs w:val="21"/>
                <w:highlight w:val="none"/>
              </w:rPr>
              <w:t>7</w:t>
            </w:r>
          </w:p>
        </w:tc>
        <w:tc>
          <w:tcPr>
            <w:tcW w:w="8436" w:type="dxa"/>
            <w:vAlign w:val="center"/>
          </w:tcPr>
          <w:p>
            <w:pPr>
              <w:spacing w:line="400" w:lineRule="exact"/>
              <w:outlineLvl w:val="0"/>
              <w:rPr>
                <w:rFonts w:ascii="宋体" w:hAnsi="宋体"/>
                <w:color w:val="auto"/>
                <w:szCs w:val="21"/>
                <w:highlight w:val="none"/>
              </w:rPr>
            </w:pPr>
            <w:r>
              <w:rPr>
                <w:rFonts w:hint="eastAsia" w:ascii="宋体" w:hAnsi="宋体"/>
                <w:color w:val="auto"/>
                <w:szCs w:val="21"/>
                <w:highlight w:val="none"/>
              </w:rPr>
              <w:t>中标供应商必须每月向</w:t>
            </w:r>
            <w:r>
              <w:rPr>
                <w:rFonts w:hint="eastAsia" w:ascii="宋体" w:hAnsi="宋体"/>
                <w:color w:val="auto"/>
                <w:szCs w:val="21"/>
                <w:highlight w:val="none"/>
                <w:lang w:eastAsia="zh-CN"/>
              </w:rPr>
              <w:t>采购人</w:t>
            </w:r>
            <w:r>
              <w:rPr>
                <w:rFonts w:hint="eastAsia" w:ascii="宋体" w:hAnsi="宋体"/>
                <w:color w:val="auto"/>
                <w:szCs w:val="21"/>
                <w:highlight w:val="none"/>
              </w:rPr>
              <w:t>提供人员岗位表、考勤记录、发放工资的银行流水、社会交纳的票据等相关财务记录。</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8" w:type="dxa"/>
            <w:vAlign w:val="center"/>
          </w:tcPr>
          <w:p>
            <w:pPr>
              <w:autoSpaceDE w:val="0"/>
              <w:autoSpaceDN w:val="0"/>
              <w:adjustRightIn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8</w:t>
            </w:r>
          </w:p>
        </w:tc>
        <w:tc>
          <w:tcPr>
            <w:tcW w:w="8436" w:type="dxa"/>
            <w:vAlign w:val="center"/>
          </w:tcPr>
          <w:p>
            <w:pPr>
              <w:spacing w:line="400" w:lineRule="exact"/>
              <w:outlineLvl w:val="0"/>
              <w:rPr>
                <w:rFonts w:ascii="宋体" w:hAnsi="宋体"/>
                <w:color w:val="auto"/>
                <w:szCs w:val="21"/>
                <w:highlight w:val="none"/>
              </w:rPr>
            </w:pPr>
            <w:r>
              <w:rPr>
                <w:rFonts w:hint="eastAsia" w:ascii="宋体" w:hAnsi="宋体"/>
                <w:color w:val="auto"/>
                <w:szCs w:val="21"/>
                <w:highlight w:val="none"/>
              </w:rPr>
              <w:t>授予合同：按照招标文件的规定、中标供应商的投标响应及中标通知书确定的金额签订合同。</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18" w:type="dxa"/>
            <w:vAlign w:val="center"/>
          </w:tcPr>
          <w:p>
            <w:pPr>
              <w:autoSpaceDE w:val="0"/>
              <w:autoSpaceDN w:val="0"/>
              <w:adjustRightIn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9</w:t>
            </w:r>
          </w:p>
        </w:tc>
        <w:tc>
          <w:tcPr>
            <w:tcW w:w="8436" w:type="dxa"/>
            <w:vAlign w:val="center"/>
          </w:tcPr>
          <w:p>
            <w:pPr>
              <w:autoSpaceDE w:val="0"/>
              <w:autoSpaceDN w:val="0"/>
              <w:adjustRightInd w:val="0"/>
              <w:spacing w:line="400" w:lineRule="exact"/>
              <w:rPr>
                <w:rFonts w:ascii="宋体" w:hAnsi="宋体" w:cs="宋体"/>
                <w:color w:val="auto"/>
                <w:szCs w:val="21"/>
                <w:highlight w:val="none"/>
              </w:rPr>
            </w:pPr>
            <w:r>
              <w:rPr>
                <w:rFonts w:hint="eastAsia" w:ascii="宋体" w:hAnsi="宋体" w:cs="宋体"/>
                <w:color w:val="auto"/>
                <w:szCs w:val="21"/>
                <w:highlight w:val="none"/>
              </w:rPr>
              <w:t>合同签订时间：中标通知书发出之日起30天内签订合同</w:t>
            </w:r>
          </w:p>
        </w:tc>
      </w:tr>
    </w:tbl>
    <w:p>
      <w:pPr>
        <w:spacing w:line="440" w:lineRule="exact"/>
        <w:rPr>
          <w:rFonts w:ascii="宋体" w:hAnsi="宋体"/>
          <w:color w:val="auto"/>
          <w:szCs w:val="21"/>
          <w:highlight w:val="none"/>
        </w:rPr>
      </w:pPr>
      <w:r>
        <w:rPr>
          <w:rFonts w:hint="eastAsia" w:ascii="宋体" w:hAnsi="宋体"/>
          <w:color w:val="auto"/>
          <w:szCs w:val="21"/>
          <w:highlight w:val="none"/>
        </w:rPr>
        <w:t>编制说明：</w:t>
      </w:r>
    </w:p>
    <w:p>
      <w:pPr>
        <w:widowControl/>
        <w:textAlignment w:val="center"/>
        <w:rPr>
          <w:rFonts w:ascii="宋体" w:hAnsi="宋体" w:cs="宋体"/>
          <w:color w:val="auto"/>
          <w:kern w:val="0"/>
          <w:szCs w:val="21"/>
          <w:highlight w:val="none"/>
        </w:rPr>
      </w:pPr>
      <w:r>
        <w:rPr>
          <w:rFonts w:hint="eastAsia" w:ascii="宋体" w:hAnsi="宋体"/>
          <w:b/>
          <w:color w:val="auto"/>
          <w:szCs w:val="21"/>
          <w:highlight w:val="none"/>
        </w:rPr>
        <w:t>本表内标有“</w:t>
      </w:r>
      <w:r>
        <w:rPr>
          <w:rFonts w:hint="eastAsia" w:ascii="宋体" w:hAnsi="宋体" w:cs="宋体"/>
          <w:b/>
          <w:color w:val="auto"/>
          <w:szCs w:val="21"/>
          <w:highlight w:val="none"/>
        </w:rPr>
        <w:t>▲</w:t>
      </w:r>
      <w:r>
        <w:rPr>
          <w:rFonts w:hint="eastAsia" w:ascii="宋体" w:hAnsi="宋体"/>
          <w:b/>
          <w:color w:val="auto"/>
          <w:szCs w:val="21"/>
          <w:highlight w:val="none"/>
        </w:rPr>
        <w:t>”的条款为“实质性要求”条款，对这些条款的任何负偏离都作无效投标处理。</w:t>
      </w:r>
      <w:bookmarkEnd w:id="27"/>
      <w:r>
        <w:rPr>
          <w:rFonts w:hint="eastAsia" w:ascii="宋体" w:hAnsi="宋体" w:cs="宋体"/>
          <w:color w:val="auto"/>
          <w:kern w:val="0"/>
          <w:szCs w:val="21"/>
          <w:highlight w:val="none"/>
        </w:rPr>
        <w:br w:type="page"/>
      </w:r>
    </w:p>
    <w:p>
      <w:pPr>
        <w:spacing w:line="360" w:lineRule="auto"/>
        <w:rPr>
          <w:color w:val="auto"/>
          <w:highlight w:val="none"/>
        </w:rPr>
        <w:sectPr>
          <w:pgSz w:w="11907" w:h="16840"/>
          <w:pgMar w:top="1083" w:right="1406" w:bottom="1138" w:left="1545" w:header="284" w:footer="989" w:gutter="0"/>
          <w:pgNumType w:fmt="decimal"/>
          <w:cols w:space="720" w:num="1"/>
          <w:docGrid w:linePitch="285" w:charSpace="0"/>
        </w:sectPr>
      </w:pPr>
    </w:p>
    <w:p>
      <w:pPr>
        <w:spacing w:line="360" w:lineRule="auto"/>
        <w:jc w:val="center"/>
        <w:outlineLvl w:val="0"/>
        <w:rPr>
          <w:rFonts w:ascii="宋体" w:hAnsi="宋体"/>
          <w:b/>
          <w:color w:val="auto"/>
          <w:sz w:val="32"/>
          <w:highlight w:val="none"/>
        </w:rPr>
      </w:pPr>
      <w:bookmarkStart w:id="30" w:name="_Toc44162154"/>
      <w:bookmarkStart w:id="31" w:name="_Toc216662965"/>
      <w:r>
        <w:rPr>
          <w:rFonts w:hint="eastAsia" w:ascii="宋体" w:hAnsi="宋体"/>
          <w:b/>
          <w:color w:val="auto"/>
          <w:sz w:val="32"/>
          <w:highlight w:val="none"/>
        </w:rPr>
        <w:t>第五章  评标办法及标准</w:t>
      </w:r>
      <w:bookmarkEnd w:id="30"/>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一、评标办法</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本项目评标采用综合评分法。</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1.2</w:t>
      </w:r>
      <w:r>
        <w:rPr>
          <w:rFonts w:hint="eastAsia" w:ascii="宋体" w:hAnsi="宋体"/>
          <w:color w:val="auto"/>
          <w:szCs w:val="21"/>
          <w:highlight w:val="none"/>
        </w:rPr>
        <w:t>综合评分法：采用百分制，总分</w:t>
      </w:r>
      <w:r>
        <w:rPr>
          <w:rFonts w:ascii="宋体" w:hAnsi="宋体"/>
          <w:color w:val="auto"/>
          <w:szCs w:val="21"/>
          <w:highlight w:val="none"/>
        </w:rPr>
        <w:t>100</w:t>
      </w:r>
      <w:r>
        <w:rPr>
          <w:rFonts w:hint="eastAsia" w:ascii="宋体" w:hAnsi="宋体"/>
          <w:color w:val="auto"/>
          <w:szCs w:val="21"/>
          <w:highlight w:val="none"/>
        </w:rPr>
        <w:t>分。供应商的综合得分为商务和技术得分与报价得分之和。按综合得分由高到低的顺序排序，推荐中标候选人。若供应商的综合得分相等，则投标报价低者列前；若投标报价也相同时，采取随机抽签的方式确定排序。</w:t>
      </w:r>
    </w:p>
    <w:p>
      <w:pPr>
        <w:spacing w:line="440" w:lineRule="exact"/>
        <w:ind w:firstLine="420" w:firstLineChars="200"/>
        <w:jc w:val="left"/>
        <w:rPr>
          <w:rFonts w:ascii="宋体" w:hAnsi="宋体"/>
          <w:color w:val="auto"/>
          <w:szCs w:val="21"/>
          <w:highlight w:val="none"/>
        </w:rPr>
      </w:pPr>
      <w:r>
        <w:rPr>
          <w:rFonts w:ascii="宋体" w:hAnsi="宋体"/>
          <w:color w:val="auto"/>
          <w:szCs w:val="21"/>
          <w:highlight w:val="none"/>
        </w:rPr>
        <w:t>1.3</w:t>
      </w:r>
      <w:r>
        <w:rPr>
          <w:rFonts w:hint="eastAsia" w:ascii="宋体" w:hAnsi="宋体" w:cs="宋体"/>
          <w:color w:val="auto"/>
          <w:highlight w:val="none"/>
        </w:rPr>
        <w:t>本项目需要落实的政府采购政策：《关于促进残疾人就业政府采购政策的通知》（财库[2017]141号）、《政府采购促进中小企业发展管理办法》（财库〔2020〕46号）、《关于政府采购支持监狱企业发展有关问题的通知》（财库[2014]68号）</w:t>
      </w:r>
    </w:p>
    <w:p>
      <w:pPr>
        <w:tabs>
          <w:tab w:val="left" w:pos="7350"/>
        </w:tabs>
        <w:spacing w:line="440" w:lineRule="exact"/>
        <w:ind w:firstLine="420" w:firstLineChars="200"/>
        <w:jc w:val="left"/>
        <w:rPr>
          <w:rFonts w:ascii="宋体" w:hAnsi="宋体" w:cs="宋体"/>
          <w:color w:val="auto"/>
          <w:highlight w:val="none"/>
        </w:rPr>
      </w:pPr>
      <w:r>
        <w:rPr>
          <w:rFonts w:hint="eastAsia" w:ascii="宋体" w:hAnsi="宋体" w:cs="宋体"/>
          <w:color w:val="auto"/>
          <w:highlight w:val="none"/>
        </w:rPr>
        <w:t>1.4本次采购为专门面向中小企业，采购标的对应的中小企业划分标准所属行业为</w:t>
      </w:r>
      <w:r>
        <w:rPr>
          <w:rFonts w:hint="eastAsia" w:ascii="宋体" w:hAnsi="宋体" w:cs="宋体"/>
          <w:b/>
          <w:bCs/>
          <w:color w:val="auto"/>
          <w:kern w:val="0"/>
          <w:sz w:val="20"/>
          <w:highlight w:val="none"/>
        </w:rPr>
        <w:t>租赁和商务服务业</w:t>
      </w:r>
      <w:r>
        <w:rPr>
          <w:rFonts w:hint="eastAsia" w:ascii="宋体" w:hAnsi="宋体" w:cs="宋体"/>
          <w:color w:val="auto"/>
          <w:highlight w:val="none"/>
        </w:rPr>
        <w:t>。</w:t>
      </w:r>
    </w:p>
    <w:p>
      <w:pPr>
        <w:tabs>
          <w:tab w:val="left" w:pos="7350"/>
        </w:tabs>
        <w:spacing w:line="440" w:lineRule="exact"/>
        <w:ind w:firstLine="420" w:firstLineChars="200"/>
        <w:jc w:val="left"/>
        <w:rPr>
          <w:rFonts w:ascii="宋体" w:hAnsi="宋体" w:cs="宋体"/>
          <w:color w:val="auto"/>
          <w:highlight w:val="none"/>
        </w:rPr>
      </w:pPr>
      <w:r>
        <w:rPr>
          <w:rFonts w:hint="eastAsia" w:ascii="宋体" w:hAnsi="宋体" w:cs="宋体"/>
          <w:color w:val="auto"/>
          <w:highlight w:val="none"/>
        </w:rPr>
        <w:t>1.5评标委员会成员对需要共同认定的事项存在争议的，应当按照少数服从多数的原则作出结论。</w:t>
      </w:r>
    </w:p>
    <w:p>
      <w:pPr>
        <w:spacing w:line="400" w:lineRule="exact"/>
        <w:ind w:firstLine="420" w:firstLineChars="200"/>
        <w:jc w:val="left"/>
        <w:rPr>
          <w:rFonts w:ascii="宋体" w:hAnsi="宋体"/>
          <w:b/>
          <w:bCs/>
          <w:color w:val="auto"/>
          <w:szCs w:val="21"/>
          <w:highlight w:val="none"/>
        </w:rPr>
      </w:pPr>
      <w:r>
        <w:rPr>
          <w:rFonts w:hint="eastAsia" w:ascii="宋体" w:hAnsi="宋体"/>
          <w:color w:val="auto"/>
          <w:szCs w:val="21"/>
          <w:highlight w:val="none"/>
        </w:rPr>
        <w:t>二、</w:t>
      </w:r>
      <w:r>
        <w:rPr>
          <w:rFonts w:hint="eastAsia" w:ascii="宋体" w:hAnsi="宋体"/>
          <w:b/>
          <w:bCs/>
          <w:color w:val="auto"/>
          <w:szCs w:val="21"/>
          <w:highlight w:val="none"/>
        </w:rPr>
        <w:t>评标程序</w:t>
      </w:r>
    </w:p>
    <w:p>
      <w:pPr>
        <w:spacing w:line="400" w:lineRule="exact"/>
        <w:ind w:firstLine="420" w:firstLineChars="200"/>
        <w:rPr>
          <w:rFonts w:ascii="宋体" w:hAnsi="宋体"/>
          <w:b/>
          <w:color w:val="auto"/>
          <w:szCs w:val="21"/>
          <w:highlight w:val="none"/>
        </w:rPr>
      </w:pPr>
      <w:r>
        <w:rPr>
          <w:rFonts w:ascii="宋体" w:hAnsi="宋体"/>
          <w:color w:val="auto"/>
          <w:szCs w:val="21"/>
          <w:highlight w:val="none"/>
        </w:rPr>
        <w:t>2.1</w:t>
      </w:r>
      <w:r>
        <w:rPr>
          <w:rFonts w:hint="eastAsia" w:ascii="宋体" w:hAnsi="宋体"/>
          <w:color w:val="auto"/>
          <w:szCs w:val="21"/>
          <w:highlight w:val="none"/>
        </w:rPr>
        <w:t>初步审查：包含资格性审查和符合性审查。资格性审查是指采购人或代理机构根据“附表</w:t>
      </w:r>
      <w:r>
        <w:rPr>
          <w:rFonts w:ascii="宋体" w:hAnsi="宋体"/>
          <w:color w:val="auto"/>
          <w:szCs w:val="21"/>
          <w:highlight w:val="none"/>
        </w:rPr>
        <w:t>1</w:t>
      </w:r>
      <w:r>
        <w:rPr>
          <w:rFonts w:hint="eastAsia" w:ascii="宋体" w:hAnsi="宋体"/>
          <w:color w:val="auto"/>
          <w:szCs w:val="21"/>
          <w:highlight w:val="none"/>
        </w:rPr>
        <w:t>资格性审查表”的要求对投标文件逐一进行评审。符合性审查是指评标委员会根据“附表</w:t>
      </w:r>
      <w:r>
        <w:rPr>
          <w:rFonts w:ascii="宋体" w:hAnsi="宋体"/>
          <w:color w:val="auto"/>
          <w:szCs w:val="21"/>
          <w:highlight w:val="none"/>
        </w:rPr>
        <w:t>2</w:t>
      </w:r>
      <w:r>
        <w:rPr>
          <w:rFonts w:hint="eastAsia" w:ascii="宋体" w:hAnsi="宋体"/>
          <w:color w:val="auto"/>
          <w:szCs w:val="21"/>
          <w:highlight w:val="none"/>
        </w:rPr>
        <w:t>符合性审查表”的要求对投标文件逐一进行评审。</w:t>
      </w:r>
      <w:r>
        <w:rPr>
          <w:rFonts w:hint="eastAsia" w:ascii="宋体" w:hAnsi="宋体"/>
          <w:b/>
          <w:color w:val="auto"/>
          <w:szCs w:val="21"/>
          <w:highlight w:val="none"/>
        </w:rPr>
        <w:t>资格性审查和符合性审查中，有任意一项审查结论不合格的，作无效标处理。</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2.2</w:t>
      </w:r>
      <w:r>
        <w:rPr>
          <w:rFonts w:hint="eastAsia" w:ascii="宋体" w:hAnsi="宋体"/>
          <w:color w:val="auto"/>
          <w:szCs w:val="21"/>
          <w:highlight w:val="none"/>
          <w:lang w:val="zh-CN"/>
        </w:rPr>
        <w:t>比较与评价：</w:t>
      </w:r>
      <w:r>
        <w:rPr>
          <w:rFonts w:hint="eastAsia" w:ascii="宋体" w:hAnsi="宋体"/>
          <w:color w:val="auto"/>
          <w:szCs w:val="21"/>
          <w:highlight w:val="none"/>
        </w:rPr>
        <w:t>评标委员会根据“附表</w:t>
      </w:r>
      <w:r>
        <w:rPr>
          <w:rFonts w:ascii="宋体" w:hAnsi="宋体"/>
          <w:color w:val="auto"/>
          <w:szCs w:val="21"/>
          <w:highlight w:val="none"/>
        </w:rPr>
        <w:t>3</w:t>
      </w:r>
      <w:r>
        <w:rPr>
          <w:rFonts w:hint="eastAsia" w:ascii="宋体" w:hAnsi="宋体"/>
          <w:color w:val="auto"/>
          <w:szCs w:val="21"/>
          <w:highlight w:val="none"/>
        </w:rPr>
        <w:t>评分标准（兼评委打分表）”的要求，</w:t>
      </w:r>
      <w:r>
        <w:rPr>
          <w:rFonts w:hint="eastAsia" w:ascii="宋体" w:hAnsi="宋体"/>
          <w:color w:val="auto"/>
          <w:szCs w:val="21"/>
          <w:highlight w:val="none"/>
          <w:lang w:val="zh-CN"/>
        </w:rPr>
        <w:t>对照投标文件的应答进行比较，判定其偏差性质和程度，</w:t>
      </w:r>
      <w:r>
        <w:rPr>
          <w:rFonts w:hint="eastAsia" w:ascii="宋体" w:hAnsi="宋体"/>
          <w:color w:val="auto"/>
          <w:szCs w:val="21"/>
          <w:highlight w:val="none"/>
        </w:rPr>
        <w:t>由评标委员会成员在分值范围内自行评分。供应商商务和技术得分为各评标委员会成员有效评分的算术平均值（小数点后保留二位数）。</w:t>
      </w:r>
    </w:p>
    <w:p>
      <w:pPr>
        <w:spacing w:line="44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3在评标过程中，发现的价格计算错误按下述原则修正：</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（1）投标文件中开标一览表内容与投标文件中相应内容不一致的，以开标一览表为准；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（2）大写金额和小写金额不一致的，以大写金额为准；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（3）单价金额小数点或者百分比有明显错位的，以开标一览表的总价为准，并修改单价；</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（4）总价金额与按单价汇总金额不一致的，以单价金额计算结果为准。</w:t>
      </w:r>
    </w:p>
    <w:p>
      <w:pPr>
        <w:spacing w:line="400" w:lineRule="exact"/>
        <w:ind w:firstLine="420" w:firstLineChars="200"/>
        <w:jc w:val="left"/>
        <w:rPr>
          <w:rFonts w:ascii="宋体" w:hAnsi="宋体"/>
          <w:color w:val="auto"/>
          <w:highlight w:val="none"/>
        </w:rPr>
      </w:pPr>
      <w:r>
        <w:rPr>
          <w:rFonts w:hint="eastAsia" w:ascii="宋体" w:hAnsi="宋体"/>
          <w:color w:val="auto"/>
          <w:szCs w:val="21"/>
          <w:highlight w:val="none"/>
        </w:rPr>
        <w:t>同时出现两种以上不一致的，按照前款规定的顺序修正。修正后的报价经供应商确认后产生约束力，供应商不确认的，其投标无效。</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2.2.</w:t>
      </w:r>
      <w:r>
        <w:rPr>
          <w:rFonts w:hint="eastAsia" w:ascii="宋体" w:hAnsi="宋体"/>
          <w:color w:val="auto"/>
          <w:szCs w:val="21"/>
          <w:highlight w:val="none"/>
        </w:rPr>
        <w:t>3综合评估：经过初步审查、比较，评标委员会成员按照评分标准（兼评委打分表）规定的内容和分值设置以记名方式独立评定打分，汇总各评委对各供应商的评分，取算术平均值（小数点后保留二位数）即为各供应商的综合得分。</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2.2.</w:t>
      </w:r>
      <w:r>
        <w:rPr>
          <w:rFonts w:hint="eastAsia" w:ascii="宋体" w:hAnsi="宋体"/>
          <w:color w:val="auto"/>
          <w:szCs w:val="21"/>
          <w:highlight w:val="none"/>
        </w:rPr>
        <w:t>4推荐中标候选人：按综合得分由高到低的排序，推荐中标候选人。若供应商的综合得分相等，则投标报价低者列前；若投标报价也相同时，采取随机抽签的方式确定排序。</w:t>
      </w:r>
    </w:p>
    <w:p>
      <w:pPr>
        <w:spacing w:line="400" w:lineRule="exact"/>
        <w:ind w:firstLine="422" w:firstLineChars="200"/>
        <w:jc w:val="left"/>
        <w:rPr>
          <w:rFonts w:ascii="宋体" w:hAnsi="宋体"/>
          <w:b/>
          <w:color w:val="auto"/>
          <w:szCs w:val="21"/>
          <w:highlight w:val="none"/>
        </w:rPr>
      </w:pPr>
      <w:r>
        <w:rPr>
          <w:rFonts w:ascii="宋体" w:hAnsi="宋体"/>
          <w:b/>
          <w:color w:val="auto"/>
          <w:szCs w:val="21"/>
          <w:highlight w:val="none"/>
        </w:rPr>
        <w:t>2.3</w:t>
      </w:r>
      <w:r>
        <w:rPr>
          <w:rFonts w:hint="eastAsia" w:ascii="宋体" w:hAnsi="宋体"/>
          <w:b/>
          <w:color w:val="auto"/>
          <w:szCs w:val="21"/>
          <w:highlight w:val="none"/>
        </w:rPr>
        <w:t>确定中标供应商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评标委员会按综合得分由高到低的排序，向采购人推荐中标候选人。代理机构应当自评审结束之日起</w:t>
      </w:r>
      <w:r>
        <w:rPr>
          <w:rFonts w:ascii="宋体" w:hAnsi="宋体"/>
          <w:color w:val="auto"/>
          <w:szCs w:val="21"/>
          <w:highlight w:val="none"/>
        </w:rPr>
        <w:t>2</w:t>
      </w:r>
      <w:r>
        <w:rPr>
          <w:rFonts w:hint="eastAsia" w:ascii="宋体" w:hAnsi="宋体"/>
          <w:color w:val="auto"/>
          <w:szCs w:val="21"/>
          <w:highlight w:val="none"/>
        </w:rPr>
        <w:t>个工作日内将评审报告送交采购人。采购人应当自收到评审报告之日起</w:t>
      </w:r>
      <w:r>
        <w:rPr>
          <w:rFonts w:ascii="宋体" w:hAnsi="宋体"/>
          <w:color w:val="auto"/>
          <w:szCs w:val="21"/>
          <w:highlight w:val="none"/>
        </w:rPr>
        <w:t>5</w:t>
      </w:r>
      <w:r>
        <w:rPr>
          <w:rFonts w:hint="eastAsia" w:ascii="宋体" w:hAnsi="宋体"/>
          <w:color w:val="auto"/>
          <w:szCs w:val="21"/>
          <w:highlight w:val="none"/>
        </w:rPr>
        <w:t>个工作日内在评审报告推荐的中标候选人中按顺序确定1名中标供应商。</w:t>
      </w:r>
      <w:r>
        <w:rPr>
          <w:rFonts w:hint="eastAsia"/>
          <w:color w:val="auto"/>
          <w:highlight w:val="none"/>
        </w:rPr>
        <w:t>中标</w:t>
      </w:r>
      <w:r>
        <w:rPr>
          <w:rFonts w:hint="eastAsia"/>
          <w:color w:val="auto"/>
          <w:highlight w:val="none"/>
          <w:lang w:eastAsia="zh-CN"/>
        </w:rPr>
        <w:t>供应商</w:t>
      </w:r>
      <w:r>
        <w:rPr>
          <w:rFonts w:hint="eastAsia"/>
          <w:color w:val="auto"/>
          <w:highlight w:val="none"/>
        </w:rPr>
        <w:t>拒绝与采购人签订合同的，采购人可以按照评审报告推荐的中标候选人名单排序，确定下一候选人为中标供应商，也可以重新开展政府采购活动</w:t>
      </w:r>
      <w:r>
        <w:rPr>
          <w:rFonts w:hint="eastAsia" w:ascii="宋体" w:hAnsi="宋体"/>
          <w:color w:val="auto"/>
          <w:szCs w:val="21"/>
          <w:highlight w:val="none"/>
        </w:rPr>
        <w:t>。</w:t>
      </w:r>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三、投标的澄清</w:t>
      </w:r>
    </w:p>
    <w:p>
      <w:pPr>
        <w:spacing w:line="400" w:lineRule="exact"/>
        <w:ind w:firstLine="420" w:firstLineChars="200"/>
        <w:rPr>
          <w:rFonts w:ascii="宋体" w:hAnsi="宋体" w:cs="宋体"/>
          <w:color w:val="auto"/>
          <w:highlight w:val="none"/>
        </w:rPr>
      </w:pPr>
      <w:r>
        <w:rPr>
          <w:rFonts w:ascii="宋体" w:hAnsi="宋体" w:cs="宋体"/>
          <w:color w:val="auto"/>
          <w:highlight w:val="none"/>
        </w:rPr>
        <w:t>3.1</w:t>
      </w:r>
      <w:r>
        <w:rPr>
          <w:rFonts w:hint="eastAsia" w:ascii="宋体" w:hAnsi="宋体" w:cs="宋体"/>
          <w:color w:val="auto"/>
          <w:highlight w:val="none"/>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pPr>
        <w:spacing w:line="400" w:lineRule="exact"/>
        <w:ind w:firstLine="420" w:firstLineChars="200"/>
        <w:rPr>
          <w:rFonts w:ascii="宋体" w:hAnsi="宋体" w:cs="宋体"/>
          <w:color w:val="auto"/>
          <w:highlight w:val="none"/>
        </w:rPr>
      </w:pPr>
      <w:r>
        <w:rPr>
          <w:rFonts w:ascii="宋体" w:hAnsi="宋体" w:cs="宋体"/>
          <w:color w:val="auto"/>
          <w:highlight w:val="none"/>
        </w:rPr>
        <w:t>3.2</w:t>
      </w:r>
      <w:r>
        <w:rPr>
          <w:rFonts w:hint="eastAsia" w:ascii="宋体" w:hAnsi="宋体" w:cs="宋体"/>
          <w:color w:val="auto"/>
          <w:highlight w:val="none"/>
        </w:rPr>
        <w:t>政采云具体操作如下：</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路径：用户中心—项目采购—询标澄清</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（1）政采云平台通过待办事项和短信提醒供应商在截止时间前完成澄清。</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（2）供应商在“询标澄清-待办理”标签页下选择状态为“待澄清”的项目，点击操作栏【澄清】。</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（3）查看函内容，在澄清截止时间前上传澄清文件并对澄清文件进行签章。（注：澄清文件必须以PDF格式上传，文件大小：50M）</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（4）签章完成，文件名称处显示“已签章”，供应商可“撤回签章”修改澄清函和“查看文件”。</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（6）完成状态：供应商澄清文件提交成功后，在“询标澄清-全部”标签页下显示状态为“已澄清”。</w:t>
      </w:r>
    </w:p>
    <w:p>
      <w:pPr>
        <w:spacing w:line="400" w:lineRule="exact"/>
        <w:ind w:firstLine="420" w:firstLineChars="200"/>
        <w:rPr>
          <w:rFonts w:ascii="宋体" w:hAnsi="宋体" w:cs="宋体"/>
          <w:color w:val="auto"/>
          <w:highlight w:val="none"/>
        </w:rPr>
      </w:pPr>
      <w:r>
        <w:rPr>
          <w:rFonts w:ascii="宋体" w:hAnsi="宋体" w:cs="宋体"/>
          <w:color w:val="auto"/>
          <w:highlight w:val="none"/>
        </w:rPr>
        <w:t>3.3</w:t>
      </w:r>
      <w:r>
        <w:rPr>
          <w:rFonts w:hint="eastAsia" w:ascii="宋体" w:hAnsi="宋体" w:cs="宋体"/>
          <w:color w:val="auto"/>
          <w:highlight w:val="none"/>
        </w:rPr>
        <w:t>开标现场，供应商安排</w:t>
      </w:r>
      <w:r>
        <w:rPr>
          <w:rFonts w:hint="eastAsia" w:ascii="宋体" w:hAnsi="宋体"/>
          <w:color w:val="auto"/>
          <w:szCs w:val="21"/>
          <w:highlight w:val="none"/>
        </w:rPr>
        <w:t>法定代表人或授权代表到场的，则由</w:t>
      </w:r>
      <w:r>
        <w:rPr>
          <w:rFonts w:hint="eastAsia" w:ascii="宋体" w:hAnsi="宋体" w:cs="宋体"/>
          <w:color w:val="auto"/>
          <w:highlight w:val="none"/>
        </w:rPr>
        <w:t>评标委员会组长将问题汇总后向供应商发出书面“采购响应文件问题澄清通知”，供应商应对需要澄清的问题作书面回答，该书面澄清应当由</w:t>
      </w:r>
      <w:r>
        <w:rPr>
          <w:rFonts w:hint="eastAsia" w:ascii="宋体" w:hAnsi="宋体"/>
          <w:color w:val="auto"/>
          <w:szCs w:val="21"/>
          <w:highlight w:val="none"/>
        </w:rPr>
        <w:t>供应商的法定代表人或授权代表签字</w:t>
      </w:r>
      <w:r>
        <w:rPr>
          <w:rFonts w:hint="eastAsia" w:ascii="宋体" w:hAnsi="宋体" w:cs="宋体"/>
          <w:color w:val="auto"/>
          <w:highlight w:val="none"/>
        </w:rPr>
        <w:t>或者加盖供应商公章。书面澄清将作为投标文件内容的一部分，具有相应的法律效力。</w:t>
      </w:r>
    </w:p>
    <w:p>
      <w:pPr>
        <w:spacing w:line="400" w:lineRule="exact"/>
        <w:ind w:firstLine="420" w:firstLineChars="200"/>
        <w:jc w:val="left"/>
        <w:rPr>
          <w:rFonts w:ascii="宋体" w:hAnsi="宋体" w:cs="宋体"/>
          <w:color w:val="auto"/>
          <w:highlight w:val="none"/>
        </w:rPr>
      </w:pPr>
      <w:r>
        <w:rPr>
          <w:rFonts w:ascii="宋体" w:hAnsi="宋体" w:cs="宋体"/>
          <w:color w:val="auto"/>
          <w:highlight w:val="none"/>
        </w:rPr>
        <w:t>3.4</w:t>
      </w:r>
      <w:r>
        <w:rPr>
          <w:rFonts w:hint="eastAsia" w:ascii="宋体" w:hAnsi="宋体" w:cs="宋体"/>
          <w:color w:val="auto"/>
          <w:highlight w:val="none"/>
        </w:rPr>
        <w:t>供应商未在截止时间前完成澄清，将被视作自动放弃。</w:t>
      </w:r>
    </w:p>
    <w:p>
      <w:pPr>
        <w:spacing w:line="400" w:lineRule="exact"/>
        <w:ind w:firstLine="422" w:firstLineChars="200"/>
        <w:jc w:val="left"/>
        <w:rPr>
          <w:rFonts w:ascii="宋体" w:hAnsi="宋体"/>
          <w:color w:val="auto"/>
          <w:szCs w:val="21"/>
          <w:highlight w:val="none"/>
        </w:rPr>
      </w:pPr>
      <w:r>
        <w:rPr>
          <w:rFonts w:hint="eastAsia" w:ascii="宋体" w:hAnsi="宋体"/>
          <w:b/>
          <w:color w:val="auto"/>
          <w:szCs w:val="21"/>
          <w:highlight w:val="none"/>
        </w:rPr>
        <w:t>四、特别声明：价格是评标的重要因素之一，但最低价不是中标的唯一依据。</w:t>
      </w:r>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五、重新招标</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有下列情形之一的，采购人将重新招标：</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5.1</w:t>
      </w:r>
      <w:r>
        <w:rPr>
          <w:rFonts w:hint="eastAsia" w:ascii="宋体" w:hAnsi="宋体"/>
          <w:color w:val="auto"/>
          <w:szCs w:val="21"/>
          <w:highlight w:val="none"/>
        </w:rPr>
        <w:t>投标截止时间止，供应商少于:3个的；</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5.2</w:t>
      </w:r>
      <w:r>
        <w:rPr>
          <w:rFonts w:hint="eastAsia" w:ascii="宋体" w:hAnsi="宋体"/>
          <w:color w:val="auto"/>
          <w:szCs w:val="21"/>
          <w:highlight w:val="none"/>
        </w:rPr>
        <w:t>评标委员会评标过程中，有效供应商少于3个的；</w:t>
      </w:r>
    </w:p>
    <w:p>
      <w:pPr>
        <w:widowControl/>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5.3</w:t>
      </w:r>
      <w:r>
        <w:rPr>
          <w:rFonts w:hint="eastAsia" w:ascii="宋体" w:hAnsi="宋体"/>
          <w:color w:val="auto"/>
          <w:szCs w:val="21"/>
          <w:highlight w:val="none"/>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pPr>
        <w:spacing w:line="400" w:lineRule="exact"/>
        <w:rPr>
          <w:rFonts w:ascii="宋体" w:hAnsi="宋体"/>
          <w:color w:val="auto"/>
          <w:szCs w:val="21"/>
          <w:highlight w:val="none"/>
        </w:rPr>
      </w:pPr>
      <w:r>
        <w:rPr>
          <w:rFonts w:ascii="宋体" w:hAnsi="宋体"/>
          <w:color w:val="auto"/>
          <w:sz w:val="24"/>
          <w:szCs w:val="24"/>
          <w:highlight w:val="none"/>
        </w:rPr>
        <w:br w:type="page"/>
      </w:r>
      <w:r>
        <w:rPr>
          <w:rFonts w:hint="eastAsia" w:ascii="宋体" w:hAnsi="宋体"/>
          <w:color w:val="auto"/>
          <w:szCs w:val="21"/>
          <w:highlight w:val="none"/>
        </w:rPr>
        <w:t>附表</w:t>
      </w:r>
      <w:r>
        <w:rPr>
          <w:rFonts w:ascii="宋体" w:hAnsi="宋体"/>
          <w:color w:val="auto"/>
          <w:szCs w:val="21"/>
          <w:highlight w:val="none"/>
        </w:rPr>
        <w:t>1</w:t>
      </w:r>
      <w:r>
        <w:rPr>
          <w:rFonts w:hint="eastAsia" w:ascii="宋体" w:hAnsi="宋体"/>
          <w:color w:val="auto"/>
          <w:szCs w:val="21"/>
          <w:highlight w:val="none"/>
        </w:rPr>
        <w:t xml:space="preserve">：                           </w:t>
      </w:r>
    </w:p>
    <w:p>
      <w:pPr>
        <w:spacing w:line="400" w:lineRule="exact"/>
        <w:jc w:val="center"/>
        <w:rPr>
          <w:rFonts w:ascii="宋体" w:hAnsi="宋体"/>
          <w:b/>
          <w:color w:val="auto"/>
          <w:szCs w:val="21"/>
          <w:highlight w:val="none"/>
        </w:rPr>
      </w:pPr>
      <w:r>
        <w:rPr>
          <w:rFonts w:hint="eastAsia" w:ascii="宋体" w:hAnsi="宋体"/>
          <w:b/>
          <w:color w:val="auto"/>
          <w:szCs w:val="21"/>
          <w:highlight w:val="none"/>
        </w:rPr>
        <w:t>资格性审查表</w:t>
      </w:r>
    </w:p>
    <w:tbl>
      <w:tblPr>
        <w:tblStyle w:val="50"/>
        <w:tblW w:w="957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3056"/>
        <w:gridCol w:w="582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3056" w:type="dxa"/>
            <w:noWrap/>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要求说明</w:t>
            </w:r>
          </w:p>
        </w:tc>
        <w:tc>
          <w:tcPr>
            <w:tcW w:w="5824" w:type="dxa"/>
            <w:noWrap/>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692" w:type="dxa"/>
            <w:noWrap/>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w:t>
            </w:r>
          </w:p>
        </w:tc>
        <w:tc>
          <w:tcPr>
            <w:tcW w:w="3056" w:type="dxa"/>
            <w:noWrap/>
            <w:vAlign w:val="center"/>
          </w:tcPr>
          <w:p>
            <w:pPr>
              <w:spacing w:line="360" w:lineRule="exact"/>
              <w:rPr>
                <w:rFonts w:ascii="宋体" w:hAnsi="宋体"/>
                <w:color w:val="auto"/>
                <w:szCs w:val="21"/>
                <w:highlight w:val="none"/>
              </w:rPr>
            </w:pPr>
            <w:r>
              <w:rPr>
                <w:rFonts w:hint="eastAsia" w:ascii="宋体" w:hAnsi="宋体" w:cs="仿宋"/>
                <w:color w:val="auto"/>
                <w:szCs w:val="21"/>
                <w:highlight w:val="none"/>
              </w:rPr>
              <w:t>满足《中华人民共和国政府采购法》第二十二条规定；未被“信用中国”（</w:t>
            </w:r>
            <w:r>
              <w:rPr>
                <w:rFonts w:ascii="宋体" w:hAnsi="宋体" w:cs="仿宋"/>
                <w:color w:val="auto"/>
                <w:szCs w:val="21"/>
                <w:highlight w:val="none"/>
              </w:rPr>
              <w:t>www.creditchina.gov.cn)</w:t>
            </w:r>
            <w:r>
              <w:rPr>
                <w:rFonts w:hint="eastAsia" w:ascii="宋体" w:hAnsi="宋体" w:cs="仿宋"/>
                <w:color w:val="auto"/>
                <w:szCs w:val="21"/>
                <w:highlight w:val="none"/>
              </w:rPr>
              <w:t>、中国政府采购网（</w:t>
            </w:r>
            <w:r>
              <w:rPr>
                <w:rFonts w:ascii="宋体" w:hAnsi="宋体" w:cs="仿宋"/>
                <w:color w:val="auto"/>
                <w:szCs w:val="21"/>
                <w:highlight w:val="none"/>
              </w:rPr>
              <w:t>www.ccgp.gov.cn</w:t>
            </w:r>
            <w:r>
              <w:rPr>
                <w:rFonts w:hint="eastAsia" w:ascii="宋体" w:hAnsi="宋体" w:cs="仿宋"/>
                <w:color w:val="auto"/>
                <w:szCs w:val="21"/>
                <w:highlight w:val="none"/>
              </w:rPr>
              <w:t>）列入失信被执行人、重大税收违法案件当事人名单（重大税收违法失信主体）、政府采购严重违法失信行为记录名单。</w:t>
            </w:r>
          </w:p>
        </w:tc>
        <w:tc>
          <w:tcPr>
            <w:tcW w:w="5824" w:type="dxa"/>
            <w:noWrap/>
            <w:vAlign w:val="center"/>
          </w:tcPr>
          <w:p>
            <w:pPr>
              <w:spacing w:line="400" w:lineRule="exact"/>
              <w:jc w:val="left"/>
              <w:rPr>
                <w:rFonts w:ascii="宋体" w:hAnsi="宋体"/>
                <w:color w:val="auto"/>
                <w:szCs w:val="21"/>
                <w:highlight w:val="none"/>
              </w:rPr>
            </w:pPr>
            <w:r>
              <w:rPr>
                <w:rFonts w:hint="eastAsia" w:ascii="宋体" w:hAnsi="宋体"/>
                <w:color w:val="auto"/>
                <w:szCs w:val="21"/>
                <w:highlight w:val="none"/>
              </w:rPr>
              <w:t>A1、关于资格的承诺函（附件一）；</w:t>
            </w:r>
          </w:p>
          <w:p>
            <w:pPr>
              <w:spacing w:line="400" w:lineRule="exact"/>
              <w:jc w:val="left"/>
              <w:rPr>
                <w:rFonts w:ascii="宋体" w:hAnsi="宋体"/>
                <w:color w:val="auto"/>
                <w:szCs w:val="21"/>
                <w:highlight w:val="none"/>
              </w:rPr>
            </w:pPr>
            <w:r>
              <w:rPr>
                <w:rFonts w:ascii="宋体" w:hAnsi="宋体"/>
                <w:color w:val="auto"/>
                <w:szCs w:val="21"/>
                <w:highlight w:val="none"/>
              </w:rPr>
              <w:t>A</w:t>
            </w:r>
            <w:r>
              <w:rPr>
                <w:rFonts w:hint="eastAsia" w:ascii="宋体" w:hAnsi="宋体"/>
                <w:color w:val="auto"/>
                <w:szCs w:val="21"/>
                <w:highlight w:val="none"/>
              </w:rPr>
              <w:t>2、营业执照副本（或事业法人登记证副本或其他登记证明材料）扫描件加盖供应商公章（供应商如果有名称变更的，应提供由行政主管部门出具的变更证明文件扫描件加盖供应商公章）；</w:t>
            </w:r>
          </w:p>
          <w:p>
            <w:pPr>
              <w:spacing w:line="400" w:lineRule="exact"/>
              <w:jc w:val="left"/>
              <w:rPr>
                <w:rFonts w:ascii="宋体" w:hAnsi="宋体"/>
                <w:b/>
                <w:bCs/>
                <w:color w:val="auto"/>
                <w:szCs w:val="21"/>
                <w:highlight w:val="none"/>
              </w:rPr>
            </w:pPr>
            <w:r>
              <w:rPr>
                <w:rFonts w:hint="eastAsia" w:ascii="宋体" w:hAnsi="宋体"/>
                <w:b/>
                <w:bCs/>
                <w:color w:val="auto"/>
                <w:szCs w:val="21"/>
                <w:highlight w:val="none"/>
              </w:rPr>
              <w:t>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重大税收违法失信主体）、政府采购严重违法失信行为记录名单，其资格审查为不合格，其投标将被认定为无效投标。</w:t>
            </w:r>
          </w:p>
          <w:p>
            <w:pPr>
              <w:spacing w:line="400" w:lineRule="exact"/>
              <w:jc w:val="left"/>
              <w:rPr>
                <w:rFonts w:ascii="宋体" w:hAnsi="宋体"/>
                <w:color w:val="auto"/>
                <w:szCs w:val="21"/>
                <w:highlight w:val="none"/>
              </w:rPr>
            </w:pPr>
            <w:r>
              <w:rPr>
                <w:rFonts w:hint="eastAsia" w:ascii="宋体" w:hAnsi="宋体"/>
                <w:b/>
                <w:bCs/>
                <w:color w:val="auto"/>
                <w:szCs w:val="21"/>
                <w:highlight w:val="none"/>
              </w:rPr>
              <w:t>若在开标当天因不可抗力事件导致无法查询且一时无法恢复查询的，可在中标公示期间对中标候选人进行事后查询。中标候选人被列入失信被执行人、重大税收违法案件当事人名单（重大税收违法失信主体）、政府采购严重违法失信行为记录名单的，采购人将依法取消其中标资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692" w:type="dxa"/>
            <w:noWrap/>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w:t>
            </w:r>
          </w:p>
        </w:tc>
        <w:tc>
          <w:tcPr>
            <w:tcW w:w="3056" w:type="dxa"/>
            <w:noWrap/>
            <w:vAlign w:val="center"/>
          </w:tcPr>
          <w:p>
            <w:pPr>
              <w:pStyle w:val="45"/>
              <w:spacing w:line="400" w:lineRule="exact"/>
              <w:jc w:val="both"/>
              <w:rPr>
                <w:color w:val="auto"/>
                <w:sz w:val="21"/>
                <w:szCs w:val="21"/>
                <w:highlight w:val="none"/>
              </w:rPr>
            </w:pPr>
            <w:r>
              <w:rPr>
                <w:rFonts w:hint="eastAsia"/>
                <w:color w:val="auto"/>
                <w:sz w:val="21"/>
                <w:szCs w:val="21"/>
                <w:highlight w:val="none"/>
              </w:rPr>
              <w:t>本项目为专门面向中小企业采购：服务全部由符合政策要求的中型、小型或微型企业承接，提供中小企业声明函。（残疾人福利性企业、监狱企业视同小微企业）。</w:t>
            </w:r>
          </w:p>
        </w:tc>
        <w:tc>
          <w:tcPr>
            <w:tcW w:w="5824" w:type="dxa"/>
            <w:noWrap/>
            <w:vAlign w:val="center"/>
          </w:tcPr>
          <w:p>
            <w:pPr>
              <w:spacing w:line="360" w:lineRule="exact"/>
              <w:jc w:val="left"/>
              <w:rPr>
                <w:rFonts w:ascii="宋体" w:hAnsi="宋体"/>
                <w:color w:val="auto"/>
                <w:szCs w:val="21"/>
                <w:highlight w:val="none"/>
              </w:rPr>
            </w:pPr>
            <w:r>
              <w:rPr>
                <w:rFonts w:ascii="宋体" w:hAnsi="宋体"/>
                <w:color w:val="auto"/>
                <w:szCs w:val="21"/>
                <w:highlight w:val="none"/>
              </w:rPr>
              <w:t>A3</w:t>
            </w:r>
            <w:r>
              <w:rPr>
                <w:rFonts w:hint="eastAsia" w:ascii="宋体" w:hAnsi="宋体"/>
                <w:color w:val="auto"/>
                <w:szCs w:val="21"/>
                <w:highlight w:val="none"/>
              </w:rPr>
              <w:t>、中小企业声明函；</w:t>
            </w:r>
          </w:p>
          <w:p>
            <w:pPr>
              <w:spacing w:line="400" w:lineRule="exact"/>
              <w:jc w:val="left"/>
              <w:rPr>
                <w:rFonts w:ascii="宋体" w:hAnsi="宋体"/>
                <w:b/>
                <w:bCs/>
                <w:color w:val="auto"/>
                <w:szCs w:val="21"/>
                <w:highlight w:val="none"/>
              </w:rPr>
            </w:pPr>
            <w:r>
              <w:rPr>
                <w:rFonts w:ascii="宋体" w:hAnsi="宋体"/>
                <w:color w:val="auto"/>
                <w:szCs w:val="21"/>
                <w:highlight w:val="none"/>
              </w:rPr>
              <w:t>A4</w:t>
            </w:r>
            <w:r>
              <w:rPr>
                <w:rFonts w:hint="eastAsia" w:ascii="宋体" w:hAnsi="宋体"/>
                <w:color w:val="auto"/>
                <w:szCs w:val="21"/>
                <w:highlight w:val="none"/>
              </w:rPr>
              <w:t>、残疾人福利性单位声明函（如有需提供）；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692" w:type="dxa"/>
            <w:noWrap/>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w:t>
            </w:r>
          </w:p>
        </w:tc>
        <w:tc>
          <w:tcPr>
            <w:tcW w:w="3056" w:type="dxa"/>
            <w:noWrap/>
            <w:vAlign w:val="center"/>
          </w:tcPr>
          <w:p>
            <w:pPr>
              <w:spacing w:line="400" w:lineRule="exact"/>
              <w:rPr>
                <w:rFonts w:ascii="宋体" w:hAnsi="宋体"/>
                <w:color w:val="auto"/>
                <w:szCs w:val="21"/>
                <w:highlight w:val="none"/>
              </w:rPr>
            </w:pPr>
            <w:r>
              <w:rPr>
                <w:rFonts w:hint="eastAsia" w:ascii="宋体" w:hAnsi="宋体"/>
                <w:color w:val="auto"/>
                <w:szCs w:val="21"/>
                <w:highlight w:val="none"/>
              </w:rPr>
              <w:t>供应商须具有公安机关核发的保安服务许可证。</w:t>
            </w:r>
          </w:p>
        </w:tc>
        <w:tc>
          <w:tcPr>
            <w:tcW w:w="5824" w:type="dxa"/>
            <w:noWrap/>
            <w:vAlign w:val="center"/>
          </w:tcPr>
          <w:p>
            <w:pPr>
              <w:spacing w:line="400" w:lineRule="exact"/>
              <w:rPr>
                <w:rFonts w:ascii="宋体" w:hAnsi="宋体"/>
                <w:color w:val="auto"/>
                <w:szCs w:val="21"/>
                <w:highlight w:val="none"/>
              </w:rPr>
            </w:pPr>
            <w:r>
              <w:rPr>
                <w:rFonts w:hint="eastAsia" w:ascii="宋体" w:hAnsi="宋体"/>
                <w:color w:val="auto"/>
                <w:szCs w:val="21"/>
                <w:highlight w:val="none"/>
              </w:rPr>
              <w:t>公安机关核发的保安服务许可证复印件加盖供应商公章。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8" w:type="dxa"/>
            <w:gridSpan w:val="2"/>
            <w:noWrap/>
            <w:vAlign w:val="center"/>
          </w:tcPr>
          <w:p>
            <w:pPr>
              <w:spacing w:line="400" w:lineRule="exact"/>
              <w:jc w:val="center"/>
              <w:rPr>
                <w:rFonts w:ascii="宋体" w:hAnsi="宋体"/>
                <w:color w:val="auto"/>
                <w:highlight w:val="none"/>
              </w:rPr>
            </w:pPr>
            <w:r>
              <w:rPr>
                <w:rFonts w:hint="eastAsia" w:ascii="宋体" w:hAnsi="宋体"/>
                <w:b/>
                <w:color w:val="auto"/>
                <w:szCs w:val="21"/>
                <w:highlight w:val="none"/>
              </w:rPr>
              <w:t>资格性审查结论</w:t>
            </w:r>
          </w:p>
        </w:tc>
        <w:tc>
          <w:tcPr>
            <w:tcW w:w="5824" w:type="dxa"/>
            <w:noWrap/>
            <w:vAlign w:val="center"/>
          </w:tcPr>
          <w:p>
            <w:pPr>
              <w:spacing w:line="400" w:lineRule="exact"/>
              <w:jc w:val="center"/>
              <w:rPr>
                <w:rFonts w:ascii="宋体" w:hAnsi="宋体"/>
                <w:color w:val="auto"/>
                <w:szCs w:val="21"/>
                <w:highlight w:val="none"/>
              </w:rPr>
            </w:pPr>
          </w:p>
        </w:tc>
      </w:tr>
    </w:tbl>
    <w:p>
      <w:pPr>
        <w:spacing w:line="340" w:lineRule="exact"/>
        <w:rPr>
          <w:rFonts w:ascii="宋体" w:hAnsi="宋体"/>
          <w:b/>
          <w:color w:val="auto"/>
          <w:highlight w:val="none"/>
        </w:rPr>
      </w:pPr>
      <w:r>
        <w:rPr>
          <w:rFonts w:hint="eastAsia" w:ascii="宋体" w:hAnsi="宋体"/>
          <w:b/>
          <w:color w:val="auto"/>
          <w:highlight w:val="none"/>
        </w:rPr>
        <w:t>注：</w:t>
      </w:r>
      <w:r>
        <w:rPr>
          <w:rFonts w:ascii="宋体" w:hAnsi="宋体"/>
          <w:b/>
          <w:color w:val="auto"/>
          <w:highlight w:val="none"/>
        </w:rPr>
        <w:t>1</w:t>
      </w:r>
      <w:r>
        <w:rPr>
          <w:rFonts w:hint="eastAsia" w:ascii="宋体" w:hAnsi="宋体"/>
          <w:b/>
          <w:color w:val="auto"/>
          <w:highlight w:val="none"/>
        </w:rPr>
        <w:t>、上述资格证明文件未按招标文件要求附入投标文件中的，资格性审查不合格。</w:t>
      </w:r>
    </w:p>
    <w:p>
      <w:pPr>
        <w:spacing w:line="340" w:lineRule="exact"/>
        <w:ind w:firstLine="517" w:firstLineChars="245"/>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、上述审查项目中，任意一项不符合的，资格性审查不合格。</w:t>
      </w:r>
    </w:p>
    <w:p>
      <w:pPr>
        <w:spacing w:line="400" w:lineRule="exact"/>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附表</w:t>
      </w:r>
      <w:r>
        <w:rPr>
          <w:rFonts w:ascii="宋体" w:hAnsi="宋体"/>
          <w:color w:val="auto"/>
          <w:szCs w:val="21"/>
          <w:highlight w:val="none"/>
        </w:rPr>
        <w:t>2</w:t>
      </w:r>
      <w:r>
        <w:rPr>
          <w:rFonts w:hint="eastAsia" w:ascii="宋体" w:hAnsi="宋体"/>
          <w:color w:val="auto"/>
          <w:szCs w:val="21"/>
          <w:highlight w:val="none"/>
        </w:rPr>
        <w:t>：</w:t>
      </w:r>
    </w:p>
    <w:p>
      <w:pPr>
        <w:widowControl/>
        <w:snapToGrid w:val="0"/>
        <w:spacing w:line="560" w:lineRule="exact"/>
        <w:jc w:val="center"/>
        <w:rPr>
          <w:rFonts w:ascii="宋体" w:hAnsi="宋体"/>
          <w:b/>
          <w:color w:val="auto"/>
          <w:szCs w:val="21"/>
          <w:highlight w:val="none"/>
        </w:rPr>
      </w:pPr>
      <w:r>
        <w:rPr>
          <w:rFonts w:hint="eastAsia" w:ascii="宋体" w:hAnsi="宋体"/>
          <w:b/>
          <w:color w:val="auto"/>
          <w:szCs w:val="21"/>
          <w:highlight w:val="none"/>
        </w:rPr>
        <w:t>符合性审查表</w:t>
      </w:r>
    </w:p>
    <w:tbl>
      <w:tblPr>
        <w:tblStyle w:val="50"/>
        <w:tblW w:w="941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245"/>
        <w:gridCol w:w="445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tcPr>
          <w:p>
            <w:pPr>
              <w:snapToGrid w:val="0"/>
              <w:spacing w:line="40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4245" w:type="dxa"/>
            <w:noWrap/>
            <w:vAlign w:val="center"/>
          </w:tcPr>
          <w:p>
            <w:pPr>
              <w:snapToGrid w:val="0"/>
              <w:spacing w:line="400" w:lineRule="exact"/>
              <w:jc w:val="center"/>
              <w:rPr>
                <w:rFonts w:ascii="宋体" w:hAnsi="宋体"/>
                <w:b/>
                <w:color w:val="auto"/>
                <w:szCs w:val="21"/>
                <w:highlight w:val="none"/>
              </w:rPr>
            </w:pPr>
            <w:r>
              <w:rPr>
                <w:rFonts w:hint="eastAsia" w:ascii="宋体" w:hAnsi="宋体"/>
                <w:b/>
                <w:color w:val="auto"/>
                <w:szCs w:val="21"/>
                <w:highlight w:val="none"/>
              </w:rPr>
              <w:t>要求说明</w:t>
            </w:r>
          </w:p>
        </w:tc>
        <w:tc>
          <w:tcPr>
            <w:tcW w:w="4450" w:type="dxa"/>
            <w:noWrap/>
            <w:vAlign w:val="center"/>
          </w:tcPr>
          <w:p>
            <w:pPr>
              <w:snapToGrid w:val="0"/>
              <w:spacing w:line="400" w:lineRule="exact"/>
              <w:jc w:val="center"/>
              <w:rPr>
                <w:rFonts w:ascii="宋体" w:hAnsi="宋体"/>
                <w:b/>
                <w:color w:val="auto"/>
                <w:szCs w:val="21"/>
                <w:highlight w:val="none"/>
              </w:rPr>
            </w:pPr>
            <w:r>
              <w:rPr>
                <w:rFonts w:hint="eastAsia" w:ascii="宋体" w:hAnsi="宋体"/>
                <w:b/>
                <w:color w:val="auto"/>
                <w:szCs w:val="21"/>
                <w:highlight w:val="none"/>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auto"/>
                <w:szCs w:val="21"/>
                <w:highlight w:val="none"/>
              </w:rPr>
            </w:pPr>
            <w:r>
              <w:rPr>
                <w:rFonts w:ascii="宋体" w:hAnsi="宋体"/>
                <w:color w:val="auto"/>
                <w:szCs w:val="21"/>
                <w:highlight w:val="none"/>
              </w:rPr>
              <w:t>1</w:t>
            </w:r>
          </w:p>
        </w:tc>
        <w:tc>
          <w:tcPr>
            <w:tcW w:w="4245" w:type="dxa"/>
            <w:noWrap/>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投标有效期：符合第二章“投标须知”第六、</w:t>
            </w:r>
            <w:r>
              <w:rPr>
                <w:rFonts w:ascii="宋体" w:hAnsi="宋体"/>
                <w:color w:val="auto"/>
                <w:szCs w:val="21"/>
                <w:highlight w:val="none"/>
              </w:rPr>
              <w:t>1</w:t>
            </w:r>
            <w:r>
              <w:rPr>
                <w:rFonts w:hint="eastAsia" w:ascii="宋体" w:hAnsi="宋体"/>
                <w:color w:val="auto"/>
                <w:szCs w:val="21"/>
                <w:highlight w:val="none"/>
              </w:rPr>
              <w:t>条的要求。</w:t>
            </w:r>
          </w:p>
        </w:tc>
        <w:tc>
          <w:tcPr>
            <w:tcW w:w="4450" w:type="dxa"/>
            <w:noWrap/>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提供“投标书”</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auto"/>
                <w:szCs w:val="21"/>
                <w:highlight w:val="none"/>
              </w:rPr>
            </w:pPr>
            <w:r>
              <w:rPr>
                <w:rFonts w:ascii="宋体" w:hAnsi="宋体"/>
                <w:color w:val="auto"/>
                <w:szCs w:val="21"/>
                <w:highlight w:val="none"/>
              </w:rPr>
              <w:t>2</w:t>
            </w:r>
          </w:p>
        </w:tc>
        <w:tc>
          <w:tcPr>
            <w:tcW w:w="4245" w:type="dxa"/>
            <w:noWrap/>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法定代表人身份证明、法定代表人授权书。</w:t>
            </w:r>
          </w:p>
        </w:tc>
        <w:tc>
          <w:tcPr>
            <w:tcW w:w="4450" w:type="dxa"/>
            <w:noWrap/>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（1）投标文件由法定代表人签字的，提供“法定代表人身份证明”。</w:t>
            </w:r>
          </w:p>
          <w:p>
            <w:pPr>
              <w:snapToGrid w:val="0"/>
              <w:spacing w:line="400" w:lineRule="exact"/>
              <w:rPr>
                <w:rFonts w:ascii="宋体" w:hAnsi="宋体"/>
                <w:color w:val="auto"/>
                <w:szCs w:val="21"/>
                <w:highlight w:val="none"/>
              </w:rPr>
            </w:pPr>
            <w:r>
              <w:rPr>
                <w:rFonts w:hint="eastAsia" w:ascii="宋体" w:hAnsi="宋体" w:cs="宋体"/>
                <w:color w:val="auto"/>
                <w:szCs w:val="21"/>
                <w:highlight w:val="none"/>
              </w:rPr>
              <w:t>（2）投标文件由授权代表签字的，提供“法定代表人身份证明”和“法定代表人授权书”。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3</w:t>
            </w:r>
          </w:p>
        </w:tc>
        <w:tc>
          <w:tcPr>
            <w:tcW w:w="4245" w:type="dxa"/>
            <w:noWrap/>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符合第二章“投标须知”第九、</w:t>
            </w:r>
            <w:r>
              <w:rPr>
                <w:rFonts w:ascii="宋体" w:hAnsi="宋体"/>
                <w:color w:val="auto"/>
                <w:szCs w:val="21"/>
                <w:highlight w:val="none"/>
              </w:rPr>
              <w:t>1</w:t>
            </w:r>
            <w:r>
              <w:rPr>
                <w:rFonts w:hint="eastAsia" w:ascii="宋体" w:hAnsi="宋体"/>
                <w:color w:val="auto"/>
                <w:szCs w:val="21"/>
                <w:highlight w:val="none"/>
              </w:rPr>
              <w:t>条的要求。</w:t>
            </w:r>
          </w:p>
        </w:tc>
        <w:tc>
          <w:tcPr>
            <w:tcW w:w="4450" w:type="dxa"/>
            <w:noWrap/>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投标文件的签署盖章。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4</w:t>
            </w:r>
          </w:p>
        </w:tc>
        <w:tc>
          <w:tcPr>
            <w:tcW w:w="4245" w:type="dxa"/>
            <w:noWrap/>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对同个标项不允许提供两个投标方案。</w:t>
            </w:r>
          </w:p>
        </w:tc>
        <w:tc>
          <w:tcPr>
            <w:tcW w:w="4450" w:type="dxa"/>
            <w:noWrap/>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是否有两个投标方案。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5</w:t>
            </w:r>
          </w:p>
        </w:tc>
        <w:tc>
          <w:tcPr>
            <w:tcW w:w="4245" w:type="dxa"/>
            <w:noWrap/>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供应商不得在投标活动中提供任何虚假材料或从事其他违法活动的。</w:t>
            </w:r>
          </w:p>
        </w:tc>
        <w:tc>
          <w:tcPr>
            <w:tcW w:w="4450" w:type="dxa"/>
            <w:noWrap/>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不得提供任何虚假材料或从事其他违法活动。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6</w:t>
            </w:r>
          </w:p>
        </w:tc>
        <w:tc>
          <w:tcPr>
            <w:tcW w:w="4245" w:type="dxa"/>
            <w:noWrap/>
            <w:vAlign w:val="center"/>
          </w:tcPr>
          <w:p>
            <w:pPr>
              <w:snapToGrid w:val="0"/>
              <w:spacing w:line="400" w:lineRule="exact"/>
              <w:rPr>
                <w:color w:val="auto"/>
                <w:highlight w:val="none"/>
              </w:rPr>
            </w:pPr>
            <w:r>
              <w:rPr>
                <w:rFonts w:hint="eastAsia"/>
                <w:color w:val="auto"/>
                <w:highlight w:val="none"/>
              </w:rPr>
              <w:t>评标委员会经过审查，认定供应商虚假应标、串通投标的，有下列情形之一的，视为供应商串通投标：</w:t>
            </w:r>
          </w:p>
          <w:p>
            <w:pPr>
              <w:widowControl/>
              <w:snapToGrid w:val="0"/>
              <w:spacing w:line="400" w:lineRule="exact"/>
              <w:jc w:val="left"/>
              <w:rPr>
                <w:color w:val="auto"/>
                <w:highlight w:val="none"/>
              </w:rPr>
            </w:pPr>
            <w:r>
              <w:rPr>
                <w:rFonts w:hint="eastAsia"/>
                <w:color w:val="auto"/>
                <w:highlight w:val="none"/>
              </w:rPr>
              <w:t>（</w:t>
            </w:r>
            <w:r>
              <w:rPr>
                <w:color w:val="auto"/>
                <w:highlight w:val="none"/>
              </w:rPr>
              <w:t>1</w:t>
            </w:r>
            <w:r>
              <w:rPr>
                <w:rFonts w:hint="eastAsia"/>
                <w:color w:val="auto"/>
                <w:highlight w:val="none"/>
              </w:rPr>
              <w:t>）不同供应商的投标文件由同一单位或者个人编制；</w:t>
            </w:r>
          </w:p>
          <w:p>
            <w:pPr>
              <w:widowControl/>
              <w:snapToGrid w:val="0"/>
              <w:spacing w:line="400" w:lineRule="exact"/>
              <w:jc w:val="left"/>
              <w:rPr>
                <w:color w:val="auto"/>
                <w:highlight w:val="none"/>
              </w:rPr>
            </w:pPr>
            <w:r>
              <w:rPr>
                <w:rFonts w:hint="eastAsia"/>
                <w:color w:val="auto"/>
                <w:highlight w:val="none"/>
              </w:rPr>
              <w:t>（</w:t>
            </w:r>
            <w:r>
              <w:rPr>
                <w:color w:val="auto"/>
                <w:highlight w:val="none"/>
              </w:rPr>
              <w:t>2</w:t>
            </w:r>
            <w:r>
              <w:rPr>
                <w:rFonts w:hint="eastAsia"/>
                <w:color w:val="auto"/>
                <w:highlight w:val="none"/>
              </w:rPr>
              <w:t>）不同供应商委托同一单位或者个人办理投标事宜；</w:t>
            </w:r>
          </w:p>
          <w:p>
            <w:pPr>
              <w:widowControl/>
              <w:snapToGrid w:val="0"/>
              <w:spacing w:line="400" w:lineRule="exact"/>
              <w:jc w:val="left"/>
              <w:rPr>
                <w:color w:val="auto"/>
                <w:highlight w:val="none"/>
              </w:rPr>
            </w:pPr>
            <w:r>
              <w:rPr>
                <w:rFonts w:hint="eastAsia"/>
                <w:color w:val="auto"/>
                <w:highlight w:val="none"/>
              </w:rPr>
              <w:t>（</w:t>
            </w:r>
            <w:r>
              <w:rPr>
                <w:color w:val="auto"/>
                <w:highlight w:val="none"/>
              </w:rPr>
              <w:t>3</w:t>
            </w:r>
            <w:r>
              <w:rPr>
                <w:rFonts w:hint="eastAsia"/>
                <w:color w:val="auto"/>
                <w:highlight w:val="none"/>
              </w:rPr>
              <w:t>）不同供应商的投标文件载明的项目管理成员或者联系人员为同一人；</w:t>
            </w:r>
          </w:p>
          <w:p>
            <w:pPr>
              <w:widowControl/>
              <w:snapToGrid w:val="0"/>
              <w:spacing w:line="400" w:lineRule="exact"/>
              <w:jc w:val="left"/>
              <w:rPr>
                <w:color w:val="auto"/>
                <w:highlight w:val="none"/>
              </w:rPr>
            </w:pPr>
            <w:r>
              <w:rPr>
                <w:rFonts w:hint="eastAsia"/>
                <w:color w:val="auto"/>
                <w:highlight w:val="none"/>
              </w:rPr>
              <w:t>（</w:t>
            </w:r>
            <w:r>
              <w:rPr>
                <w:color w:val="auto"/>
                <w:highlight w:val="none"/>
              </w:rPr>
              <w:t>4</w:t>
            </w:r>
            <w:r>
              <w:rPr>
                <w:rFonts w:hint="eastAsia"/>
                <w:color w:val="auto"/>
                <w:highlight w:val="none"/>
              </w:rPr>
              <w:t>）不同供应商的投标文件异常一致或者投标报价呈规律性差异；</w:t>
            </w:r>
          </w:p>
          <w:p>
            <w:pPr>
              <w:widowControl/>
              <w:snapToGrid w:val="0"/>
              <w:spacing w:line="400" w:lineRule="exact"/>
              <w:jc w:val="left"/>
              <w:rPr>
                <w:color w:val="auto"/>
                <w:highlight w:val="none"/>
              </w:rPr>
            </w:pPr>
            <w:r>
              <w:rPr>
                <w:rFonts w:hint="eastAsia"/>
                <w:color w:val="auto"/>
                <w:highlight w:val="none"/>
              </w:rPr>
              <w:t>（</w:t>
            </w:r>
            <w:r>
              <w:rPr>
                <w:color w:val="auto"/>
                <w:highlight w:val="none"/>
              </w:rPr>
              <w:t>5</w:t>
            </w:r>
            <w:r>
              <w:rPr>
                <w:rFonts w:hint="eastAsia"/>
                <w:color w:val="auto"/>
                <w:highlight w:val="none"/>
              </w:rPr>
              <w:t>）不同供应商的投标文件相互混装；</w:t>
            </w:r>
          </w:p>
        </w:tc>
        <w:tc>
          <w:tcPr>
            <w:tcW w:w="4450" w:type="dxa"/>
            <w:noWrap/>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不得有所述情形。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7</w:t>
            </w:r>
          </w:p>
        </w:tc>
        <w:tc>
          <w:tcPr>
            <w:tcW w:w="4245" w:type="dxa"/>
            <w:noWrap/>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符合法律、法规和招标文件中规定的其他实质性要求（实质性要求招标文件中“</w:t>
            </w:r>
            <w:r>
              <w:rPr>
                <w:rFonts w:hint="eastAsia" w:ascii="宋体" w:hAnsi="宋体"/>
                <w:b/>
                <w:color w:val="auto"/>
                <w:sz w:val="24"/>
                <w:highlight w:val="none"/>
              </w:rPr>
              <w:t>▲</w:t>
            </w:r>
            <w:r>
              <w:rPr>
                <w:rFonts w:hint="eastAsia" w:ascii="宋体" w:hAnsi="宋体"/>
                <w:color w:val="auto"/>
                <w:szCs w:val="21"/>
                <w:highlight w:val="none"/>
              </w:rPr>
              <w:t>”标记）</w:t>
            </w:r>
          </w:p>
        </w:tc>
        <w:tc>
          <w:tcPr>
            <w:tcW w:w="4450" w:type="dxa"/>
            <w:noWrap/>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8</w:t>
            </w:r>
          </w:p>
        </w:tc>
        <w:tc>
          <w:tcPr>
            <w:tcW w:w="4245" w:type="dxa"/>
            <w:noWrap/>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本项目不接受联合体投标。</w:t>
            </w:r>
          </w:p>
        </w:tc>
        <w:tc>
          <w:tcPr>
            <w:tcW w:w="4450" w:type="dxa"/>
            <w:noWrap/>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供应商非联合体。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9</w:t>
            </w:r>
          </w:p>
        </w:tc>
        <w:tc>
          <w:tcPr>
            <w:tcW w:w="4245" w:type="dxa"/>
            <w:noWrap/>
            <w:vAlign w:val="center"/>
          </w:tcPr>
          <w:p>
            <w:pPr>
              <w:spacing w:line="400" w:lineRule="exact"/>
              <w:jc w:val="left"/>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本次公开招标</w:t>
            </w:r>
            <w:r>
              <w:rPr>
                <w:rFonts w:hint="eastAsia" w:ascii="宋体" w:hAnsi="宋体"/>
                <w:color w:val="auto"/>
                <w:szCs w:val="21"/>
                <w:highlight w:val="none"/>
                <w:lang w:eastAsia="zh-CN"/>
              </w:rPr>
              <w:t>外滩院区安保服务（含停车场保安）</w:t>
            </w:r>
            <w:r>
              <w:rPr>
                <w:rFonts w:hint="eastAsia" w:ascii="宋体" w:hAnsi="宋体"/>
                <w:color w:val="auto"/>
                <w:szCs w:val="21"/>
                <w:highlight w:val="none"/>
              </w:rPr>
              <w:t>设有预算价：</w:t>
            </w:r>
            <w:r>
              <w:rPr>
                <w:rFonts w:hint="eastAsia" w:ascii="宋体" w:hAnsi="宋体"/>
                <w:color w:val="auto"/>
                <w:szCs w:val="21"/>
                <w:highlight w:val="none"/>
                <w:lang w:eastAsia="zh-CN"/>
              </w:rPr>
              <w:t>630</w:t>
            </w:r>
            <w:r>
              <w:rPr>
                <w:rFonts w:hint="eastAsia" w:ascii="宋体" w:hAnsi="宋体"/>
                <w:color w:val="auto"/>
                <w:szCs w:val="21"/>
                <w:highlight w:val="none"/>
              </w:rPr>
              <w:t>万元/年；</w:t>
            </w:r>
            <w:r>
              <w:rPr>
                <w:rFonts w:hint="eastAsia" w:ascii="宋体" w:hAnsi="宋体"/>
                <w:color w:val="auto"/>
                <w:szCs w:val="21"/>
                <w:highlight w:val="none"/>
                <w:lang w:eastAsia="zh-CN"/>
              </w:rPr>
              <w:t>1890</w:t>
            </w:r>
            <w:r>
              <w:rPr>
                <w:rFonts w:hint="eastAsia" w:ascii="宋体" w:hAnsi="宋体"/>
                <w:color w:val="auto"/>
                <w:szCs w:val="21"/>
                <w:highlight w:val="none"/>
              </w:rPr>
              <w:t>万元/3年；投标报价超出预算金额视为无效报价，将作无效标处理。</w:t>
            </w:r>
          </w:p>
          <w:p>
            <w:pPr>
              <w:spacing w:line="400" w:lineRule="exact"/>
              <w:jc w:val="left"/>
              <w:rPr>
                <w:color w:val="auto"/>
                <w:highlight w:val="none"/>
              </w:rPr>
            </w:pP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停车收费</w:t>
            </w:r>
            <w:r>
              <w:rPr>
                <w:rFonts w:hint="eastAsia" w:ascii="宋体" w:hAnsi="宋体" w:cs="宋体"/>
                <w:b/>
                <w:bCs/>
                <w:color w:val="auto"/>
                <w:szCs w:val="21"/>
                <w:highlight w:val="none"/>
                <w:lang w:eastAsia="zh-CN"/>
              </w:rPr>
              <w:t>交纳</w:t>
            </w:r>
            <w:r>
              <w:rPr>
                <w:rFonts w:hint="eastAsia" w:ascii="宋体" w:hAnsi="宋体" w:cs="宋体"/>
                <w:b/>
                <w:bCs/>
                <w:color w:val="auto"/>
                <w:szCs w:val="21"/>
                <w:highlight w:val="none"/>
              </w:rPr>
              <w:t>比例</w:t>
            </w:r>
            <w:r>
              <w:rPr>
                <w:rFonts w:hint="eastAsia" w:ascii="宋体" w:hAnsi="宋体" w:cs="宋体"/>
                <w:b/>
                <w:bCs/>
                <w:color w:val="auto"/>
                <w:szCs w:val="21"/>
                <w:highlight w:val="none"/>
                <w:lang w:eastAsia="zh-CN"/>
              </w:rPr>
              <w:t>限价：</w:t>
            </w:r>
            <w:r>
              <w:rPr>
                <w:rFonts w:hint="eastAsia" w:cs="仿宋_GB2312"/>
                <w:color w:val="auto"/>
                <w:szCs w:val="21"/>
                <w:highlight w:val="none"/>
              </w:rPr>
              <w:t>供应商</w:t>
            </w:r>
            <w:r>
              <w:rPr>
                <w:rFonts w:hint="eastAsia" w:cs="仿宋_GB2312"/>
                <w:color w:val="auto"/>
                <w:szCs w:val="21"/>
                <w:highlight w:val="none"/>
                <w:lang w:eastAsia="zh-CN"/>
              </w:rPr>
              <w:t>按</w:t>
            </w:r>
            <w:r>
              <w:rPr>
                <w:rFonts w:hint="eastAsia" w:cs="仿宋_GB2312"/>
                <w:color w:val="auto"/>
                <w:szCs w:val="21"/>
                <w:highlight w:val="none"/>
              </w:rPr>
              <w:t>月支付给采购人</w:t>
            </w:r>
            <w:r>
              <w:rPr>
                <w:rFonts w:hint="eastAsia" w:cs="仿宋_GB2312"/>
                <w:color w:val="auto"/>
                <w:szCs w:val="21"/>
                <w:highlight w:val="none"/>
                <w:lang w:eastAsia="zh-CN"/>
              </w:rPr>
              <w:t>的停车收入不得低于</w:t>
            </w:r>
            <w:r>
              <w:rPr>
                <w:rFonts w:hint="eastAsia" w:cs="仿宋_GB2312"/>
                <w:color w:val="auto"/>
                <w:szCs w:val="21"/>
                <w:highlight w:val="none"/>
                <w:lang w:val="en-US" w:eastAsia="zh-CN"/>
              </w:rPr>
              <w:t>80%（含）</w:t>
            </w:r>
            <w:r>
              <w:rPr>
                <w:rFonts w:hint="eastAsia" w:cs="仿宋_GB2312"/>
                <w:color w:val="auto"/>
                <w:szCs w:val="21"/>
                <w:highlight w:val="none"/>
              </w:rPr>
              <w:t>（扣除医院规定的减免收项目后所产生的费用）。</w:t>
            </w:r>
            <w:r>
              <w:rPr>
                <w:rFonts w:hint="eastAsia" w:ascii="宋体" w:hAnsi="宋体"/>
                <w:color w:val="auto"/>
                <w:szCs w:val="21"/>
                <w:highlight w:val="none"/>
              </w:rPr>
              <w:t>投标报价</w:t>
            </w:r>
            <w:r>
              <w:rPr>
                <w:rFonts w:hint="eastAsia" w:ascii="宋体" w:hAnsi="宋体"/>
                <w:color w:val="auto"/>
                <w:szCs w:val="21"/>
                <w:highlight w:val="none"/>
                <w:lang w:eastAsia="zh-CN"/>
              </w:rPr>
              <w:t>低于限价的</w:t>
            </w:r>
            <w:r>
              <w:rPr>
                <w:rFonts w:hint="eastAsia" w:ascii="宋体" w:hAnsi="宋体"/>
                <w:color w:val="auto"/>
                <w:szCs w:val="21"/>
                <w:highlight w:val="none"/>
              </w:rPr>
              <w:t>视为无效报价，将作无效标处理。</w:t>
            </w:r>
          </w:p>
        </w:tc>
        <w:tc>
          <w:tcPr>
            <w:tcW w:w="4450" w:type="dxa"/>
            <w:noWrap/>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提供“开标一览表”。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10</w:t>
            </w:r>
          </w:p>
        </w:tc>
        <w:tc>
          <w:tcPr>
            <w:tcW w:w="4245" w:type="dxa"/>
            <w:noWrap/>
            <w:vAlign w:val="center"/>
          </w:tcPr>
          <w:p>
            <w:pPr>
              <w:spacing w:line="400" w:lineRule="exact"/>
              <w:rPr>
                <w:rFonts w:ascii="宋体" w:hAnsi="宋体"/>
                <w:color w:val="auto"/>
                <w:szCs w:val="21"/>
                <w:highlight w:val="none"/>
              </w:rPr>
            </w:pPr>
            <w:r>
              <w:rPr>
                <w:rFonts w:hint="eastAsia" w:ascii="宋体" w:hAnsi="宋体"/>
                <w:color w:val="auto"/>
                <w:szCs w:val="21"/>
                <w:highlight w:val="none"/>
              </w:rPr>
              <w:t>评标委员会认为供应商的报价明显低于其他通过初步审查的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4450" w:type="dxa"/>
            <w:noWrap/>
            <w:vAlign w:val="center"/>
          </w:tcPr>
          <w:p>
            <w:pPr>
              <w:spacing w:line="400" w:lineRule="exact"/>
              <w:rPr>
                <w:rFonts w:ascii="宋体" w:hAnsi="宋体"/>
                <w:color w:val="auto"/>
                <w:szCs w:val="21"/>
                <w:highlight w:val="none"/>
              </w:rPr>
            </w:pPr>
            <w:r>
              <w:rPr>
                <w:rFonts w:hint="eastAsia" w:ascii="宋体" w:hAnsi="宋体"/>
                <w:color w:val="auto"/>
                <w:szCs w:val="21"/>
                <w:highlight w:val="none"/>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65" w:type="dxa"/>
            <w:gridSpan w:val="2"/>
            <w:noWrap/>
            <w:vAlign w:val="center"/>
          </w:tcPr>
          <w:p>
            <w:pPr>
              <w:snapToGrid w:val="0"/>
              <w:spacing w:line="400" w:lineRule="exact"/>
              <w:jc w:val="center"/>
              <w:rPr>
                <w:rFonts w:ascii="宋体" w:hAnsi="宋体"/>
                <w:color w:val="auto"/>
                <w:szCs w:val="21"/>
                <w:highlight w:val="none"/>
              </w:rPr>
            </w:pPr>
            <w:r>
              <w:rPr>
                <w:rFonts w:hint="eastAsia" w:ascii="宋体" w:hAnsi="宋体"/>
                <w:b/>
                <w:color w:val="auto"/>
                <w:szCs w:val="21"/>
                <w:highlight w:val="none"/>
              </w:rPr>
              <w:t>符合性审查结论</w:t>
            </w:r>
          </w:p>
        </w:tc>
        <w:tc>
          <w:tcPr>
            <w:tcW w:w="4450" w:type="dxa"/>
            <w:noWrap/>
            <w:vAlign w:val="center"/>
          </w:tcPr>
          <w:p>
            <w:pPr>
              <w:snapToGrid w:val="0"/>
              <w:spacing w:line="400" w:lineRule="exact"/>
              <w:rPr>
                <w:rFonts w:ascii="宋体" w:hAnsi="宋体"/>
                <w:color w:val="auto"/>
                <w:szCs w:val="21"/>
                <w:highlight w:val="none"/>
              </w:rPr>
            </w:pPr>
          </w:p>
        </w:tc>
      </w:tr>
    </w:tbl>
    <w:p>
      <w:pPr>
        <w:spacing w:line="400" w:lineRule="exact"/>
        <w:rPr>
          <w:rFonts w:ascii="宋体" w:hAnsi="宋体"/>
          <w:b/>
          <w:color w:val="auto"/>
          <w:highlight w:val="none"/>
        </w:rPr>
      </w:pPr>
      <w:r>
        <w:rPr>
          <w:rFonts w:hint="eastAsia" w:ascii="宋体" w:hAnsi="宋体"/>
          <w:b/>
          <w:color w:val="auto"/>
          <w:highlight w:val="none"/>
        </w:rPr>
        <w:t>注：</w:t>
      </w:r>
      <w:r>
        <w:rPr>
          <w:rFonts w:ascii="宋体" w:hAnsi="宋体"/>
          <w:b/>
          <w:color w:val="auto"/>
          <w:highlight w:val="none"/>
        </w:rPr>
        <w:t>1</w:t>
      </w:r>
      <w:r>
        <w:rPr>
          <w:rFonts w:hint="eastAsia" w:ascii="宋体" w:hAnsi="宋体"/>
          <w:b/>
          <w:color w:val="auto"/>
          <w:highlight w:val="none"/>
        </w:rPr>
        <w:t>、上述审查项目中，任意一项不符合的，符合性审查不合格。</w:t>
      </w:r>
    </w:p>
    <w:p>
      <w:pPr>
        <w:spacing w:line="400" w:lineRule="exact"/>
        <w:ind w:firstLine="413" w:firstLineChars="196"/>
        <w:rPr>
          <w:rFonts w:ascii="宋体" w:hAnsi="宋体"/>
          <w:color w:val="auto"/>
          <w:szCs w:val="21"/>
          <w:highlight w:val="none"/>
        </w:rPr>
      </w:pPr>
      <w:r>
        <w:rPr>
          <w:rFonts w:hint="eastAsia" w:ascii="宋体" w:hAnsi="宋体"/>
          <w:b/>
          <w:color w:val="auto"/>
          <w:highlight w:val="none"/>
        </w:rPr>
        <w:t>2、序号3-序号8、序号10在政采云上无须添加关联点。</w:t>
      </w:r>
    </w:p>
    <w:p>
      <w:pPr>
        <w:spacing w:line="400" w:lineRule="exact"/>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附表</w:t>
      </w:r>
      <w:r>
        <w:rPr>
          <w:rFonts w:ascii="宋体" w:hAnsi="宋体"/>
          <w:color w:val="auto"/>
          <w:szCs w:val="21"/>
          <w:highlight w:val="none"/>
        </w:rPr>
        <w:t>3</w:t>
      </w:r>
      <w:r>
        <w:rPr>
          <w:rFonts w:hint="eastAsia" w:ascii="宋体" w:hAnsi="宋体"/>
          <w:color w:val="auto"/>
          <w:szCs w:val="21"/>
          <w:highlight w:val="none"/>
        </w:rPr>
        <w:t>：</w:t>
      </w:r>
    </w:p>
    <w:p>
      <w:pPr>
        <w:spacing w:line="400" w:lineRule="exact"/>
        <w:jc w:val="center"/>
        <w:rPr>
          <w:rFonts w:ascii="宋体" w:hAnsi="宋体"/>
          <w:color w:val="auto"/>
          <w:szCs w:val="21"/>
          <w:highlight w:val="none"/>
        </w:rPr>
      </w:pPr>
      <w:r>
        <w:rPr>
          <w:rFonts w:hint="eastAsia" w:ascii="宋体" w:hAnsi="宋体"/>
          <w:b/>
          <w:color w:val="auto"/>
          <w:szCs w:val="21"/>
          <w:highlight w:val="none"/>
        </w:rPr>
        <w:t>评分标准（兼评委打分表）</w:t>
      </w:r>
    </w:p>
    <w:p>
      <w:pPr>
        <w:spacing w:line="400" w:lineRule="exact"/>
        <w:rPr>
          <w:rFonts w:ascii="宋体" w:hAnsi="宋体"/>
          <w:b/>
          <w:color w:val="auto"/>
          <w:szCs w:val="21"/>
          <w:highlight w:val="none"/>
        </w:rPr>
      </w:pPr>
      <w:r>
        <w:rPr>
          <w:rFonts w:hint="eastAsia" w:ascii="宋体" w:hAnsi="宋体"/>
          <w:b/>
          <w:color w:val="auto"/>
          <w:szCs w:val="21"/>
          <w:highlight w:val="none"/>
        </w:rPr>
        <w:t>采购编号：NBITC-202311410G                                            适用于标项1</w:t>
      </w:r>
    </w:p>
    <w:tbl>
      <w:tblPr>
        <w:tblStyle w:val="50"/>
        <w:tblW w:w="9354"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7808"/>
        <w:gridCol w:w="8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7808" w:type="dxa"/>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b/>
                <w:bCs/>
                <w:color w:val="auto"/>
                <w:szCs w:val="21"/>
                <w:highlight w:val="none"/>
              </w:rPr>
            </w:pPr>
            <w:r>
              <w:rPr>
                <w:rFonts w:hint="eastAsia" w:ascii="宋体" w:hAnsi="宋体" w:cs="宋体"/>
                <w:b/>
                <w:bCs/>
                <w:color w:val="auto"/>
                <w:szCs w:val="21"/>
                <w:highlight w:val="none"/>
              </w:rPr>
              <w:t>内   容</w:t>
            </w:r>
          </w:p>
        </w:tc>
        <w:tc>
          <w:tcPr>
            <w:tcW w:w="800" w:type="dxa"/>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b/>
                <w:bCs/>
                <w:color w:val="auto"/>
                <w:szCs w:val="21"/>
                <w:highlight w:val="none"/>
              </w:rPr>
            </w:pPr>
            <w:r>
              <w:rPr>
                <w:rFonts w:hint="eastAsia" w:ascii="宋体" w:hAnsi="宋体" w:cs="宋体"/>
                <w:b/>
                <w:bCs/>
                <w:color w:val="auto"/>
                <w:szCs w:val="21"/>
                <w:highlight w:val="none"/>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827" w:hRule="atLeast"/>
        </w:trPr>
        <w:tc>
          <w:tcPr>
            <w:tcW w:w="746" w:type="dxa"/>
            <w:vMerge w:val="restart"/>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商务技术分</w:t>
            </w:r>
            <w:r>
              <w:rPr>
                <w:rFonts w:hint="eastAsia" w:ascii="宋体" w:hAnsi="宋体" w:cs="宋体"/>
                <w:color w:val="auto"/>
                <w:szCs w:val="21"/>
                <w:highlight w:val="none"/>
                <w:lang w:val="en-US" w:eastAsia="zh-CN"/>
              </w:rPr>
              <w:t>80</w:t>
            </w:r>
            <w:r>
              <w:rPr>
                <w:rFonts w:hint="eastAsia" w:ascii="宋体" w:hAnsi="宋体" w:cs="宋体"/>
                <w:color w:val="auto"/>
                <w:szCs w:val="21"/>
                <w:highlight w:val="none"/>
              </w:rPr>
              <w:t>分</w:t>
            </w:r>
          </w:p>
        </w:tc>
        <w:tc>
          <w:tcPr>
            <w:tcW w:w="7808" w:type="dxa"/>
            <w:vAlign w:val="center"/>
          </w:tcPr>
          <w:p>
            <w:pPr>
              <w:keepNext w:val="0"/>
              <w:keepLines w:val="0"/>
              <w:pageBreakBefore w:val="0"/>
              <w:kinsoku/>
              <w:wordWrap/>
              <w:overflowPunct/>
              <w:topLinePunct w:val="0"/>
              <w:bidi w:val="0"/>
              <w:spacing w:line="360" w:lineRule="exact"/>
              <w:ind w:left="0"/>
              <w:rPr>
                <w:rFonts w:ascii="宋体" w:hAnsi="宋体" w:cs="宋体"/>
                <w:b/>
                <w:bCs/>
                <w:color w:val="auto"/>
                <w:szCs w:val="21"/>
                <w:highlight w:val="none"/>
              </w:rPr>
            </w:pPr>
            <w:r>
              <w:rPr>
                <w:rFonts w:hint="eastAsia" w:ascii="宋体" w:hAnsi="宋体" w:cs="宋体"/>
                <w:b/>
                <w:bCs/>
                <w:color w:val="auto"/>
                <w:szCs w:val="21"/>
                <w:highlight w:val="none"/>
              </w:rPr>
              <w:t>1、“招标内容及用户需求”响应情况（10分）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投标文件对招标文件“第三章 招标内容与技术需求 ”招标需求的响应情况：全部满足招标文件要求的得10分。一般技术条款要求（无任何标记符号），每负偏离一项扣1分。允许偏离的技术条款偏离项达到11项的投标无效。</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标志“▲”的实质性条款不允许任何负偏离，否则投标无效。</w:t>
            </w:r>
          </w:p>
        </w:tc>
        <w:tc>
          <w:tcPr>
            <w:tcW w:w="800" w:type="dxa"/>
            <w:vAlign w:val="center"/>
          </w:tcPr>
          <w:p>
            <w:pPr>
              <w:keepNext w:val="0"/>
              <w:keepLines w:val="0"/>
              <w:pageBreakBefore w:val="0"/>
              <w:kinsoku/>
              <w:wordWrap/>
              <w:overflowPunct/>
              <w:topLinePunct w:val="0"/>
              <w:bidi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vAlign w:val="center"/>
          </w:tcPr>
          <w:p>
            <w:pPr>
              <w:keepNext w:val="0"/>
              <w:keepLines w:val="0"/>
              <w:pageBreakBefore w:val="0"/>
              <w:tabs>
                <w:tab w:val="left" w:pos="0"/>
              </w:tabs>
              <w:kinsoku/>
              <w:wordWrap/>
              <w:overflowPunct/>
              <w:topLinePunct w:val="0"/>
              <w:bidi w:val="0"/>
              <w:spacing w:line="360" w:lineRule="exact"/>
              <w:ind w:left="0"/>
              <w:jc w:val="left"/>
              <w:rPr>
                <w:rFonts w:ascii="宋体" w:hAnsi="宋体" w:cs="宋体"/>
                <w:b/>
                <w:bCs/>
                <w:color w:val="auto"/>
                <w:szCs w:val="21"/>
                <w:highlight w:val="none"/>
              </w:rPr>
            </w:pPr>
            <w:r>
              <w:rPr>
                <w:rFonts w:hint="eastAsia" w:ascii="宋体" w:hAnsi="宋体" w:cs="宋体"/>
                <w:b/>
                <w:bCs/>
                <w:color w:val="auto"/>
                <w:szCs w:val="21"/>
                <w:highlight w:val="none"/>
              </w:rPr>
              <w:t>2、本项目项目经理（4分）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项目经理必须为供应商单位在职员工，在职员工认定标准：</w:t>
            </w:r>
          </w:p>
          <w:p>
            <w:pPr>
              <w:keepNext w:val="0"/>
              <w:keepLines w:val="0"/>
              <w:pageBreakBefore w:val="0"/>
              <w:kinsoku/>
              <w:wordWrap/>
              <w:overflowPunct/>
              <w:topLinePunct w:val="0"/>
              <w:bidi w:val="0"/>
              <w:spacing w:line="360" w:lineRule="exact"/>
              <w:ind w:left="0" w:firstLine="420" w:firstLineChars="200"/>
              <w:rPr>
                <w:rFonts w:ascii="宋体" w:hAnsi="宋体" w:cs="宋体"/>
                <w:color w:val="auto"/>
                <w:szCs w:val="21"/>
                <w:highlight w:val="none"/>
              </w:rPr>
            </w:pPr>
            <w:r>
              <w:rPr>
                <w:rFonts w:hint="eastAsia" w:ascii="宋体" w:hAnsi="宋体" w:cs="宋体"/>
                <w:color w:val="auto"/>
                <w:szCs w:val="21"/>
                <w:highlight w:val="none"/>
              </w:rPr>
              <w:t>投标文件中须同时提供①劳动合同复印件加盖供应商公章；②提供2023年6月-8月由社保部门出具的供应商为该项目经理缴纳的社保证明复印件加盖供应商公章；</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 3 \* GB3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③</w:t>
            </w:r>
            <w:r>
              <w:rPr>
                <w:rFonts w:hint="eastAsia" w:ascii="宋体" w:hAnsi="宋体" w:cs="宋体"/>
                <w:color w:val="auto"/>
                <w:szCs w:val="21"/>
                <w:highlight w:val="none"/>
              </w:rPr>
              <w:fldChar w:fldCharType="end"/>
            </w:r>
            <w:r>
              <w:rPr>
                <w:rFonts w:hint="eastAsia" w:ascii="宋体" w:hAnsi="宋体" w:cs="宋体"/>
                <w:color w:val="auto"/>
                <w:szCs w:val="21"/>
                <w:highlight w:val="none"/>
              </w:rPr>
              <w:t>身份证复印件加盖供应商公章；</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 4 \* GB3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④</w:t>
            </w:r>
            <w:r>
              <w:rPr>
                <w:rFonts w:hint="eastAsia" w:ascii="宋体" w:hAnsi="宋体" w:cs="宋体"/>
                <w:color w:val="auto"/>
                <w:szCs w:val="21"/>
                <w:highlight w:val="none"/>
              </w:rPr>
              <w:fldChar w:fldCharType="end"/>
            </w:r>
            <w:r>
              <w:rPr>
                <w:rFonts w:hint="eastAsia" w:ascii="宋体" w:hAnsi="宋体" w:cs="宋体"/>
                <w:color w:val="auto"/>
                <w:szCs w:val="21"/>
                <w:highlight w:val="none"/>
              </w:rPr>
              <w:t>投标文件须提供有效期内的相关证书或证明材料的复印件，未按上述要求提供资料的均不得分。非在职员工的以下各项均不得分。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①年龄均在35-50周岁（含）之间且大专及以上学历的得1分，否则不得分；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②</w:t>
            </w:r>
            <w:r>
              <w:rPr>
                <w:rFonts w:hint="eastAsia" w:ascii="宋体" w:hAnsi="宋体" w:cs="宋体"/>
                <w:color w:val="auto"/>
                <w:szCs w:val="21"/>
                <w:highlight w:val="none"/>
                <w:lang w:eastAsia="zh-CN"/>
              </w:rPr>
              <w:t>能出具</w:t>
            </w:r>
            <w:r>
              <w:rPr>
                <w:rFonts w:hint="eastAsia" w:ascii="宋体" w:hAnsi="宋体" w:cs="宋体"/>
                <w:bCs/>
                <w:color w:val="auto"/>
                <w:szCs w:val="21"/>
                <w:highlight w:val="none"/>
              </w:rPr>
              <w:t>部队(</w:t>
            </w:r>
            <w:r>
              <w:rPr>
                <w:rFonts w:hint="eastAsia" w:ascii="宋体" w:hAnsi="宋体" w:cs="宋体"/>
                <w:bCs/>
                <w:color w:val="auto"/>
                <w:szCs w:val="21"/>
                <w:highlight w:val="none"/>
                <w:lang w:eastAsia="zh-CN"/>
              </w:rPr>
              <w:t>或</w:t>
            </w:r>
            <w:r>
              <w:rPr>
                <w:rFonts w:hint="eastAsia" w:ascii="宋体" w:hAnsi="宋体" w:cs="宋体"/>
                <w:bCs/>
                <w:color w:val="auto"/>
                <w:szCs w:val="21"/>
                <w:highlight w:val="none"/>
              </w:rPr>
              <w:t>消防)转业或退伍证明的</w:t>
            </w:r>
            <w:r>
              <w:rPr>
                <w:rFonts w:hint="eastAsia" w:ascii="宋体" w:hAnsi="宋体" w:cs="宋体"/>
                <w:color w:val="auto"/>
                <w:szCs w:val="21"/>
                <w:highlight w:val="none"/>
              </w:rPr>
              <w:t>得1分，否则不得分；</w:t>
            </w:r>
          </w:p>
          <w:p>
            <w:pPr>
              <w:keepNext w:val="0"/>
              <w:keepLines w:val="0"/>
              <w:pageBreakBefore w:val="0"/>
              <w:tabs>
                <w:tab w:val="left" w:pos="3780"/>
              </w:tabs>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b/>
                <w:bCs/>
                <w:color w:val="auto"/>
                <w:szCs w:val="21"/>
                <w:highlight w:val="none"/>
              </w:rPr>
              <w:t>投标文件中提供证明材料身份证、学历证书、转业或退伍证明书复印件盖单位公章，上述资料不全，此项不得分</w:t>
            </w:r>
            <w:r>
              <w:rPr>
                <w:rFonts w:hint="eastAsia" w:ascii="宋体" w:hAnsi="宋体" w:cs="宋体"/>
                <w:color w:val="auto"/>
                <w:szCs w:val="21"/>
                <w:highlight w:val="none"/>
              </w:rPr>
              <w:t>）</w:t>
            </w:r>
          </w:p>
          <w:p>
            <w:pPr>
              <w:keepNext w:val="0"/>
              <w:keepLines w:val="0"/>
              <w:pageBreakBefore w:val="0"/>
              <w:tabs>
                <w:tab w:val="left" w:pos="3780"/>
              </w:tabs>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③具有人力资源和社会保障部门颁发的二级保安职业资格证书及以上，同时具有（物业类管理经验除外）保安项目管理经验（投标文件中提供合同及该单位的用户证明书（格式详见附件）复印件），同时满足得2分，否则不得分；</w:t>
            </w:r>
          </w:p>
        </w:tc>
        <w:tc>
          <w:tcPr>
            <w:tcW w:w="800" w:type="dxa"/>
            <w:vAlign w:val="center"/>
          </w:tcPr>
          <w:p>
            <w:pPr>
              <w:keepNext w:val="0"/>
              <w:keepLines w:val="0"/>
              <w:pageBreakBefore w:val="0"/>
              <w:kinsoku/>
              <w:wordWrap/>
              <w:overflowPunct/>
              <w:topLinePunct w:val="0"/>
              <w:bidi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vAlign w:val="center"/>
          </w:tcPr>
          <w:p>
            <w:pPr>
              <w:keepNext w:val="0"/>
              <w:keepLines w:val="0"/>
              <w:pageBreakBefore w:val="0"/>
              <w:kinsoku/>
              <w:wordWrap/>
              <w:overflowPunct/>
              <w:topLinePunct w:val="0"/>
              <w:autoSpaceDE w:val="0"/>
              <w:autoSpaceDN w:val="0"/>
              <w:bidi w:val="0"/>
              <w:spacing w:line="360" w:lineRule="exact"/>
              <w:ind w:left="0"/>
              <w:rPr>
                <w:rFonts w:ascii="宋体" w:hAnsi="宋体" w:cs="宋体"/>
                <w:b/>
                <w:bCs/>
                <w:color w:val="auto"/>
                <w:szCs w:val="21"/>
                <w:highlight w:val="none"/>
              </w:rPr>
            </w:pPr>
            <w:r>
              <w:rPr>
                <w:rFonts w:hint="eastAsia" w:ascii="宋体" w:hAnsi="宋体" w:cs="宋体"/>
                <w:b/>
                <w:bCs/>
                <w:color w:val="auto"/>
                <w:szCs w:val="21"/>
                <w:highlight w:val="none"/>
              </w:rPr>
              <w:t>3、供应商单位体系认证证书（4分）</w:t>
            </w:r>
          </w:p>
          <w:p>
            <w:pPr>
              <w:keepNext w:val="0"/>
              <w:keepLines w:val="0"/>
              <w:pageBreakBefore w:val="0"/>
              <w:kinsoku/>
              <w:wordWrap/>
              <w:overflowPunct/>
              <w:topLinePunct w:val="0"/>
              <w:autoSpaceDE w:val="0"/>
              <w:autoSpaceDN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①供应商具有质量管理认证体系证书，得1分；</w:t>
            </w:r>
          </w:p>
          <w:p>
            <w:pPr>
              <w:keepNext w:val="0"/>
              <w:keepLines w:val="0"/>
              <w:pageBreakBefore w:val="0"/>
              <w:kinsoku/>
              <w:wordWrap/>
              <w:overflowPunct/>
              <w:topLinePunct w:val="0"/>
              <w:autoSpaceDE w:val="0"/>
              <w:autoSpaceDN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②供应商具有环境管理认证体系证书，得1分；</w:t>
            </w:r>
          </w:p>
          <w:p>
            <w:pPr>
              <w:keepNext w:val="0"/>
              <w:keepLines w:val="0"/>
              <w:pageBreakBefore w:val="0"/>
              <w:kinsoku/>
              <w:wordWrap/>
              <w:overflowPunct/>
              <w:topLinePunct w:val="0"/>
              <w:autoSpaceDE w:val="0"/>
              <w:autoSpaceDN w:val="0"/>
              <w:bidi w:val="0"/>
              <w:spacing w:line="360" w:lineRule="exact"/>
              <w:ind w:left="0"/>
              <w:rPr>
                <w:rFonts w:hint="eastAsia" w:ascii="宋体" w:hAnsi="宋体" w:cs="宋体"/>
                <w:color w:val="auto"/>
                <w:szCs w:val="21"/>
                <w:highlight w:val="none"/>
              </w:rPr>
            </w:pPr>
            <w:r>
              <w:rPr>
                <w:rFonts w:hint="eastAsia" w:ascii="宋体" w:hAnsi="宋体" w:cs="宋体"/>
                <w:color w:val="auto"/>
                <w:szCs w:val="21"/>
                <w:highlight w:val="none"/>
              </w:rPr>
              <w:t>③供应商具有职业健康安全管理认证体系证书，得1分；</w:t>
            </w:r>
          </w:p>
          <w:p>
            <w:pPr>
              <w:keepNext w:val="0"/>
              <w:keepLines w:val="0"/>
              <w:pageBreakBefore w:val="0"/>
              <w:kinsoku/>
              <w:wordWrap/>
              <w:overflowPunct/>
              <w:topLinePunct w:val="0"/>
              <w:autoSpaceDE w:val="0"/>
              <w:autoSpaceDN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④供应商具有公安部门颁发的保安培训许可证或公安部门指定</w:t>
            </w:r>
            <w:r>
              <w:rPr>
                <w:rFonts w:hint="eastAsia" w:ascii="宋体" w:hAnsi="宋体" w:cs="宋体"/>
                <w:color w:val="auto"/>
                <w:szCs w:val="21"/>
                <w:highlight w:val="none"/>
                <w:lang w:eastAsia="zh-CN"/>
              </w:rPr>
              <w:t>的</w:t>
            </w:r>
            <w:r>
              <w:rPr>
                <w:rFonts w:hint="eastAsia" w:ascii="宋体" w:hAnsi="宋体" w:cs="宋体"/>
                <w:color w:val="auto"/>
                <w:szCs w:val="21"/>
                <w:highlight w:val="none"/>
              </w:rPr>
              <w:t>保安员上岗证培训考核点</w:t>
            </w:r>
            <w:r>
              <w:rPr>
                <w:rFonts w:hint="eastAsia" w:ascii="宋体" w:hAnsi="宋体" w:cs="宋体"/>
                <w:color w:val="auto"/>
                <w:szCs w:val="21"/>
                <w:highlight w:val="none"/>
                <w:lang w:eastAsia="zh-CN"/>
              </w:rPr>
              <w:t>的</w:t>
            </w:r>
            <w:r>
              <w:rPr>
                <w:rFonts w:hint="eastAsia" w:ascii="宋体" w:hAnsi="宋体" w:cs="宋体"/>
                <w:color w:val="auto"/>
                <w:szCs w:val="21"/>
                <w:highlight w:val="none"/>
              </w:rPr>
              <w:t>得1分。</w:t>
            </w:r>
          </w:p>
          <w:p>
            <w:pPr>
              <w:keepNext w:val="0"/>
              <w:keepLines w:val="0"/>
              <w:pageBreakBefore w:val="0"/>
              <w:kinsoku/>
              <w:wordWrap/>
              <w:overflowPunct/>
              <w:topLinePunct w:val="0"/>
              <w:bidi w:val="0"/>
              <w:spacing w:line="360" w:lineRule="exact"/>
              <w:ind w:left="0"/>
              <w:jc w:val="left"/>
              <w:rPr>
                <w:rFonts w:ascii="宋体" w:hAnsi="宋体" w:cs="宋体"/>
                <w:color w:val="auto"/>
                <w:szCs w:val="21"/>
                <w:highlight w:val="none"/>
              </w:rPr>
            </w:pPr>
            <w:r>
              <w:rPr>
                <w:rFonts w:hint="eastAsia" w:ascii="宋体" w:hAnsi="宋体" w:cs="宋体"/>
                <w:color w:val="auto"/>
                <w:szCs w:val="21"/>
                <w:highlight w:val="none"/>
              </w:rPr>
              <w:t>（①</w:t>
            </w:r>
            <w:r>
              <w:rPr>
                <w:rFonts w:hint="eastAsia" w:ascii="宋体" w:hAnsi="宋体" w:cs="宋体"/>
                <w:color w:val="auto"/>
                <w:szCs w:val="21"/>
                <w:highlight w:val="none"/>
                <w:lang w:eastAsia="zh-CN"/>
              </w:rPr>
              <w:t>、</w:t>
            </w:r>
            <w:r>
              <w:rPr>
                <w:rFonts w:hint="eastAsia" w:ascii="宋体" w:hAnsi="宋体" w:cs="宋体"/>
                <w:color w:val="auto"/>
                <w:szCs w:val="21"/>
                <w:highlight w:val="none"/>
              </w:rPr>
              <w:t>②</w:t>
            </w:r>
            <w:r>
              <w:rPr>
                <w:rFonts w:hint="eastAsia" w:ascii="宋体" w:hAnsi="宋体" w:cs="宋体"/>
                <w:color w:val="auto"/>
                <w:szCs w:val="21"/>
                <w:highlight w:val="none"/>
                <w:lang w:eastAsia="zh-CN"/>
              </w:rPr>
              <w:t>、</w:t>
            </w:r>
            <w:r>
              <w:rPr>
                <w:rFonts w:hint="eastAsia" w:ascii="宋体" w:hAnsi="宋体" w:cs="宋体"/>
                <w:color w:val="auto"/>
                <w:szCs w:val="21"/>
                <w:highlight w:val="none"/>
              </w:rPr>
              <w:t>③提供投标截止时间前认证并在有效期内的证书扫描件加盖供应商公章，全国认证认可信息公共服务平台可查</w:t>
            </w:r>
            <w:r>
              <w:rPr>
                <w:rFonts w:hint="eastAsia" w:ascii="宋体" w:hAnsi="宋体" w:cs="宋体"/>
                <w:b w:val="0"/>
                <w:bCs w:val="0"/>
                <w:color w:val="auto"/>
                <w:szCs w:val="21"/>
                <w:highlight w:val="none"/>
              </w:rPr>
              <w:t>，提供查询截图</w:t>
            </w:r>
            <w:r>
              <w:rPr>
                <w:rFonts w:hint="eastAsia" w:ascii="宋体" w:hAnsi="宋体" w:cs="宋体"/>
                <w:b/>
                <w:bCs/>
                <w:color w:val="auto"/>
                <w:szCs w:val="21"/>
                <w:highlight w:val="none"/>
                <w:lang w:eastAsia="zh-CN"/>
              </w:rPr>
              <w:t>；</w:t>
            </w:r>
            <w:r>
              <w:rPr>
                <w:rFonts w:hint="eastAsia" w:ascii="宋体" w:hAnsi="宋体" w:cs="宋体"/>
                <w:color w:val="auto"/>
                <w:szCs w:val="21"/>
                <w:highlight w:val="none"/>
              </w:rPr>
              <w:t>④</w:t>
            </w:r>
            <w:r>
              <w:rPr>
                <w:rFonts w:hint="eastAsia" w:ascii="宋体" w:hAnsi="宋体" w:cs="宋体"/>
                <w:color w:val="auto"/>
                <w:szCs w:val="21"/>
                <w:highlight w:val="none"/>
                <w:lang w:eastAsia="zh-CN"/>
              </w:rPr>
              <w:t>提供</w:t>
            </w:r>
            <w:r>
              <w:rPr>
                <w:rFonts w:hint="eastAsia" w:ascii="宋体" w:hAnsi="宋体" w:cs="宋体"/>
                <w:color w:val="auto"/>
                <w:szCs w:val="21"/>
                <w:highlight w:val="none"/>
              </w:rPr>
              <w:t>公安部门颁发</w:t>
            </w:r>
            <w:r>
              <w:rPr>
                <w:rFonts w:hint="eastAsia" w:ascii="宋体" w:hAnsi="宋体" w:cs="宋体"/>
                <w:color w:val="auto"/>
                <w:szCs w:val="21"/>
                <w:highlight w:val="none"/>
                <w:lang w:eastAsia="zh-CN"/>
              </w:rPr>
              <w:t>（指定考核点）</w:t>
            </w:r>
            <w:r>
              <w:rPr>
                <w:rFonts w:hint="eastAsia" w:ascii="宋体" w:hAnsi="宋体" w:cs="宋体"/>
                <w:color w:val="auto"/>
                <w:szCs w:val="21"/>
                <w:highlight w:val="none"/>
              </w:rPr>
              <w:t>的</w:t>
            </w:r>
            <w:r>
              <w:rPr>
                <w:rFonts w:hint="eastAsia" w:ascii="宋体" w:hAnsi="宋体" w:cs="宋体"/>
                <w:color w:val="auto"/>
                <w:szCs w:val="21"/>
                <w:highlight w:val="none"/>
                <w:lang w:eastAsia="zh-CN"/>
              </w:rPr>
              <w:t>相关</w:t>
            </w:r>
            <w:r>
              <w:rPr>
                <w:rFonts w:hint="eastAsia" w:ascii="宋体" w:hAnsi="宋体" w:cs="宋体"/>
                <w:b w:val="0"/>
                <w:bCs w:val="0"/>
                <w:color w:val="auto"/>
                <w:szCs w:val="21"/>
                <w:highlight w:val="none"/>
              </w:rPr>
              <w:t>证明</w:t>
            </w:r>
            <w:r>
              <w:rPr>
                <w:rFonts w:hint="eastAsia" w:ascii="宋体" w:hAnsi="宋体" w:cs="宋体"/>
                <w:b w:val="0"/>
                <w:bCs w:val="0"/>
                <w:color w:val="auto"/>
                <w:szCs w:val="21"/>
                <w:highlight w:val="none"/>
                <w:lang w:eastAsia="zh-CN"/>
              </w:rPr>
              <w:t>资料加盖供应商公章</w:t>
            </w:r>
            <w:r>
              <w:rPr>
                <w:rFonts w:hint="eastAsia" w:ascii="宋体" w:hAnsi="宋体" w:cs="宋体"/>
                <w:b w:val="0"/>
                <w:bCs w:val="0"/>
                <w:color w:val="auto"/>
                <w:szCs w:val="21"/>
                <w:highlight w:val="none"/>
              </w:rPr>
              <w:t>，未按</w:t>
            </w:r>
            <w:r>
              <w:rPr>
                <w:rFonts w:hint="eastAsia" w:ascii="宋体" w:hAnsi="宋体" w:cs="宋体"/>
                <w:color w:val="auto"/>
                <w:szCs w:val="21"/>
                <w:highlight w:val="none"/>
              </w:rPr>
              <w:t>上述要求提供资料的均不得分。）</w:t>
            </w:r>
          </w:p>
        </w:tc>
        <w:tc>
          <w:tcPr>
            <w:tcW w:w="800" w:type="dxa"/>
            <w:vAlign w:val="center"/>
          </w:tcPr>
          <w:p>
            <w:pPr>
              <w:keepNext w:val="0"/>
              <w:keepLines w:val="0"/>
              <w:pageBreakBefore w:val="0"/>
              <w:kinsoku/>
              <w:wordWrap/>
              <w:overflowPunct/>
              <w:topLinePunct w:val="0"/>
              <w:bidi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vAlign w:val="center"/>
          </w:tcPr>
          <w:p>
            <w:pPr>
              <w:pStyle w:val="3"/>
              <w:keepNext w:val="0"/>
              <w:keepLines w:val="0"/>
              <w:pageBreakBefore w:val="0"/>
              <w:kinsoku/>
              <w:wordWrap/>
              <w:overflowPunct/>
              <w:topLinePunct w:val="0"/>
              <w:bidi w:val="0"/>
              <w:spacing w:line="360" w:lineRule="exact"/>
              <w:ind w:left="0"/>
              <w:rPr>
                <w:rFonts w:cs="宋体"/>
                <w:b/>
                <w:bCs/>
                <w:color w:val="auto"/>
                <w:sz w:val="21"/>
                <w:szCs w:val="21"/>
                <w:highlight w:val="none"/>
              </w:rPr>
            </w:pPr>
            <w:r>
              <w:rPr>
                <w:rFonts w:hint="eastAsia" w:cs="宋体"/>
                <w:b/>
                <w:bCs/>
                <w:color w:val="auto"/>
                <w:sz w:val="21"/>
                <w:szCs w:val="21"/>
                <w:highlight w:val="none"/>
              </w:rPr>
              <w:t>4、人员证书（2分）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拟派消控中心人员持有有效的国家人力资源与社会劳动保障部颁发的消防设施操作员（旧称全国《建（构）筑物消防员》）职业资格证书，满足招标文件需求</w:t>
            </w:r>
            <w:r>
              <w:rPr>
                <w:rFonts w:hint="eastAsia" w:ascii="宋体" w:hAnsi="宋体" w:cs="宋体"/>
                <w:color w:val="auto"/>
                <w:szCs w:val="21"/>
                <w:highlight w:val="none"/>
                <w:lang w:eastAsia="zh-CN"/>
              </w:rPr>
              <w:t>（提供</w:t>
            </w:r>
            <w:r>
              <w:rPr>
                <w:rFonts w:hint="eastAsia" w:ascii="宋体" w:hAnsi="宋体" w:cs="宋体"/>
                <w:color w:val="auto"/>
                <w:szCs w:val="21"/>
                <w:highlight w:val="none"/>
                <w:lang w:val="en-US" w:eastAsia="zh-CN"/>
              </w:rPr>
              <w:t>9本此项证书</w:t>
            </w:r>
            <w:r>
              <w:rPr>
                <w:rFonts w:hint="eastAsia" w:ascii="宋体" w:hAnsi="宋体" w:cs="宋体"/>
                <w:color w:val="auto"/>
                <w:szCs w:val="21"/>
                <w:highlight w:val="none"/>
                <w:lang w:eastAsia="zh-CN"/>
              </w:rPr>
              <w:t>）</w:t>
            </w:r>
            <w:r>
              <w:rPr>
                <w:rFonts w:hint="eastAsia" w:ascii="宋体" w:hAnsi="宋体" w:cs="宋体"/>
                <w:color w:val="auto"/>
                <w:szCs w:val="21"/>
                <w:highlight w:val="none"/>
              </w:rPr>
              <w:t>的不得分，每增加1名持证人员得1分，本项最高得2分。</w:t>
            </w:r>
          </w:p>
          <w:p>
            <w:pPr>
              <w:keepNext w:val="0"/>
              <w:keepLines w:val="0"/>
              <w:pageBreakBefore w:val="0"/>
              <w:tabs>
                <w:tab w:val="left" w:pos="0"/>
              </w:tabs>
              <w:kinsoku/>
              <w:wordWrap/>
              <w:overflowPunct/>
              <w:topLinePunct w:val="0"/>
              <w:bidi w:val="0"/>
              <w:spacing w:line="360" w:lineRule="exact"/>
              <w:ind w:left="0"/>
              <w:jc w:val="left"/>
              <w:rPr>
                <w:rFonts w:ascii="宋体" w:hAnsi="宋体" w:cs="宋体"/>
                <w:color w:val="auto"/>
                <w:szCs w:val="21"/>
                <w:highlight w:val="none"/>
              </w:rPr>
            </w:pPr>
            <w:r>
              <w:rPr>
                <w:rFonts w:hint="eastAsia" w:ascii="宋体" w:hAnsi="宋体" w:cs="宋体"/>
                <w:color w:val="auto"/>
                <w:kern w:val="0"/>
                <w:szCs w:val="21"/>
                <w:highlight w:val="none"/>
              </w:rPr>
              <w:t>（上述人员资料须提供证书复印件（或提供职业技能鉴定指导中心政府网职业资格查询截图），且须</w:t>
            </w:r>
            <w:r>
              <w:rPr>
                <w:rFonts w:hint="eastAsia" w:ascii="宋体" w:hAnsi="宋体" w:cs="宋体"/>
                <w:color w:val="auto"/>
                <w:szCs w:val="21"/>
                <w:highlight w:val="none"/>
              </w:rPr>
              <w:t>提供2023年6月-8月</w:t>
            </w:r>
            <w:r>
              <w:rPr>
                <w:rFonts w:hint="eastAsia" w:ascii="宋体" w:hAnsi="宋体" w:cs="宋体"/>
                <w:color w:val="auto"/>
                <w:kern w:val="0"/>
                <w:szCs w:val="21"/>
                <w:highlight w:val="none"/>
              </w:rPr>
              <w:t>供应商为其缴纳的社保证明资料，未提供的不得分。）</w:t>
            </w:r>
          </w:p>
        </w:tc>
        <w:tc>
          <w:tcPr>
            <w:tcW w:w="800" w:type="dxa"/>
            <w:vAlign w:val="center"/>
          </w:tcPr>
          <w:p>
            <w:pPr>
              <w:keepNext w:val="0"/>
              <w:keepLines w:val="0"/>
              <w:pageBreakBefore w:val="0"/>
              <w:kinsoku/>
              <w:wordWrap/>
              <w:overflowPunct/>
              <w:topLinePunct w:val="0"/>
              <w:bidi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vAlign w:val="center"/>
          </w:tcPr>
          <w:p>
            <w:pPr>
              <w:keepNext w:val="0"/>
              <w:keepLines w:val="0"/>
              <w:pageBreakBefore w:val="0"/>
              <w:kinsoku/>
              <w:wordWrap/>
              <w:overflowPunct/>
              <w:topLinePunct w:val="0"/>
              <w:autoSpaceDE w:val="0"/>
              <w:autoSpaceDN w:val="0"/>
              <w:bidi w:val="0"/>
              <w:spacing w:line="360" w:lineRule="exact"/>
              <w:ind w:left="0"/>
              <w:rPr>
                <w:rFonts w:ascii="宋体" w:hAnsi="宋体" w:cs="宋体"/>
                <w:b/>
                <w:bCs/>
                <w:color w:val="auto"/>
                <w:kern w:val="0"/>
                <w:szCs w:val="21"/>
                <w:highlight w:val="none"/>
              </w:rPr>
            </w:pPr>
            <w:r>
              <w:rPr>
                <w:rFonts w:hint="eastAsia" w:ascii="宋体" w:hAnsi="宋体" w:cs="宋体"/>
                <w:b/>
                <w:bCs/>
                <w:color w:val="auto"/>
                <w:kern w:val="0"/>
                <w:szCs w:val="21"/>
                <w:highlight w:val="none"/>
              </w:rPr>
              <w:t>5、业绩（1分）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自20</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rPr>
              <w:t>年1月1日至今（以合同签订日期为准）</w:t>
            </w:r>
            <w:r>
              <w:rPr>
                <w:rFonts w:hint="eastAsia" w:ascii="宋体" w:hAnsi="宋体" w:eastAsia="宋体" w:cs="宋体"/>
                <w:color w:val="auto"/>
                <w:sz w:val="21"/>
                <w:szCs w:val="21"/>
                <w:highlight w:val="none"/>
                <w:lang w:eastAsia="zh-CN"/>
              </w:rPr>
              <w:t>，</w:t>
            </w:r>
            <w:r>
              <w:rPr>
                <w:rFonts w:hint="eastAsia" w:ascii="宋体" w:hAnsi="宋体" w:cs="宋体"/>
                <w:color w:val="auto"/>
                <w:szCs w:val="21"/>
                <w:highlight w:val="none"/>
              </w:rPr>
              <w:t>具有</w:t>
            </w:r>
            <w:r>
              <w:rPr>
                <w:rFonts w:hint="eastAsia" w:ascii="宋体" w:hAnsi="宋体" w:eastAsia="宋体" w:cs="宋体"/>
                <w:color w:val="auto"/>
                <w:sz w:val="21"/>
                <w:szCs w:val="21"/>
                <w:highlight w:val="none"/>
              </w:rPr>
              <w:t>（住宅类小区、商务楼、工业园区除外）</w:t>
            </w:r>
            <w:r>
              <w:rPr>
                <w:rFonts w:hint="eastAsia" w:ascii="宋体" w:hAnsi="宋体" w:cs="宋体"/>
                <w:color w:val="auto"/>
                <w:szCs w:val="21"/>
                <w:highlight w:val="none"/>
              </w:rPr>
              <w:t>保安服务业绩的，每提供一份合同的得1分。</w:t>
            </w:r>
          </w:p>
          <w:p>
            <w:pPr>
              <w:keepNext w:val="0"/>
              <w:keepLines w:val="0"/>
              <w:pageBreakBefore w:val="0"/>
              <w:kinsoku/>
              <w:wordWrap/>
              <w:overflowPunct/>
              <w:topLinePunct w:val="0"/>
              <w:bidi w:val="0"/>
              <w:spacing w:line="360" w:lineRule="exact"/>
              <w:ind w:left="0" w:hanging="630" w:hangingChars="300"/>
              <w:rPr>
                <w:rFonts w:ascii="宋体" w:hAnsi="宋体" w:cs="宋体"/>
                <w:color w:val="auto"/>
                <w:szCs w:val="21"/>
                <w:highlight w:val="none"/>
              </w:rPr>
            </w:pPr>
            <w:r>
              <w:rPr>
                <w:rFonts w:hint="eastAsia" w:ascii="宋体" w:hAnsi="宋体" w:cs="宋体"/>
                <w:color w:val="auto"/>
                <w:szCs w:val="21"/>
                <w:highlight w:val="none"/>
              </w:rPr>
              <w:t>备注：投标文件中须提供合同复印件；</w:t>
            </w:r>
          </w:p>
        </w:tc>
        <w:tc>
          <w:tcPr>
            <w:tcW w:w="800" w:type="dxa"/>
            <w:vAlign w:val="center"/>
          </w:tcPr>
          <w:p>
            <w:pPr>
              <w:keepNext w:val="0"/>
              <w:keepLines w:val="0"/>
              <w:pageBreakBefore w:val="0"/>
              <w:kinsoku/>
              <w:wordWrap/>
              <w:overflowPunct/>
              <w:topLinePunct w:val="0"/>
              <w:bidi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vAlign w:val="center"/>
          </w:tcPr>
          <w:p>
            <w:pPr>
              <w:keepNext w:val="0"/>
              <w:keepLines w:val="0"/>
              <w:pageBreakBefore w:val="0"/>
              <w:kinsoku/>
              <w:wordWrap/>
              <w:overflowPunct/>
              <w:topLinePunct w:val="0"/>
              <w:bidi w:val="0"/>
              <w:spacing w:line="360" w:lineRule="exact"/>
              <w:ind w:left="0"/>
              <w:rPr>
                <w:rFonts w:ascii="宋体" w:hAnsi="宋体" w:cs="宋体"/>
                <w:b/>
                <w:bCs/>
                <w:color w:val="auto"/>
                <w:szCs w:val="21"/>
                <w:highlight w:val="none"/>
              </w:rPr>
            </w:pPr>
            <w:r>
              <w:rPr>
                <w:rFonts w:hint="eastAsia" w:ascii="宋体" w:hAnsi="宋体" w:cs="宋体"/>
                <w:b/>
                <w:bCs/>
                <w:color w:val="auto"/>
                <w:szCs w:val="21"/>
                <w:highlight w:val="none"/>
              </w:rPr>
              <w:t>6、整体服务方案，包括不仅限于服务范围涉及区域制定的方案是否全面、详尽、是否能提供有针对性的方案、日常服务标准设计与采购人的各项医务工作管理要求及医院业务流程的适应性及符合性进行评议（</w:t>
            </w:r>
            <w:r>
              <w:rPr>
                <w:rFonts w:hint="eastAsia" w:ascii="宋体" w:hAnsi="宋体" w:cs="宋体"/>
                <w:b/>
                <w:bCs/>
                <w:color w:val="auto"/>
                <w:szCs w:val="21"/>
                <w:highlight w:val="none"/>
                <w:lang w:val="en-US" w:eastAsia="zh-CN"/>
              </w:rPr>
              <w:t>4</w:t>
            </w:r>
            <w:r>
              <w:rPr>
                <w:rFonts w:hint="eastAsia" w:ascii="宋体" w:hAnsi="宋体" w:cs="宋体"/>
                <w:b/>
                <w:bCs/>
                <w:color w:val="auto"/>
                <w:szCs w:val="21"/>
                <w:highlight w:val="none"/>
              </w:rPr>
              <w:t>分）</w:t>
            </w:r>
          </w:p>
          <w:p>
            <w:pPr>
              <w:keepNext w:val="0"/>
              <w:keepLines w:val="0"/>
              <w:pageBreakBefore w:val="0"/>
              <w:kinsoku/>
              <w:wordWrap/>
              <w:overflowPunct/>
              <w:topLinePunct w:val="0"/>
              <w:bidi w:val="0"/>
              <w:spacing w:line="360" w:lineRule="exact"/>
              <w:ind w:left="0"/>
              <w:rPr>
                <w:rFonts w:ascii="宋体" w:hAnsi="宋体" w:cs="宋体"/>
                <w:color w:val="auto"/>
                <w:kern w:val="0"/>
                <w:szCs w:val="21"/>
                <w:highlight w:val="none"/>
              </w:rPr>
            </w:pPr>
            <w:r>
              <w:rPr>
                <w:rFonts w:hint="eastAsia" w:ascii="宋体" w:hAnsi="宋体" w:cs="宋体"/>
                <w:color w:val="auto"/>
                <w:szCs w:val="21"/>
                <w:highlight w:val="none"/>
              </w:rPr>
              <w:t>①方案与服务需求的贴切，能提供有针对性的方案和具体措施、方案策划思路新、针对性强、标准设计清晰、完善，</w:t>
            </w:r>
            <w:r>
              <w:rPr>
                <w:rFonts w:hint="eastAsia" w:ascii="宋体" w:hAnsi="宋体" w:cs="宋体"/>
                <w:color w:val="auto"/>
                <w:kern w:val="0"/>
                <w:szCs w:val="21"/>
                <w:highlight w:val="none"/>
              </w:rPr>
              <w:t>编排是否符合与采购人的各项医务工作管理要求及医院业务流程，具有前瞻性</w:t>
            </w:r>
            <w:r>
              <w:rPr>
                <w:rFonts w:hint="eastAsia" w:ascii="宋体" w:hAnsi="宋体" w:cs="宋体"/>
                <w:color w:val="auto"/>
                <w:szCs w:val="21"/>
                <w:highlight w:val="none"/>
              </w:rPr>
              <w:t>的得</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w:t>
            </w:r>
          </w:p>
          <w:p>
            <w:pPr>
              <w:pStyle w:val="3"/>
              <w:keepNext w:val="0"/>
              <w:keepLines w:val="0"/>
              <w:pageBreakBefore w:val="0"/>
              <w:kinsoku/>
              <w:wordWrap/>
              <w:overflowPunct/>
              <w:topLinePunct w:val="0"/>
              <w:bidi w:val="0"/>
              <w:spacing w:line="360" w:lineRule="exact"/>
              <w:ind w:left="0"/>
              <w:rPr>
                <w:rFonts w:cs="宋体"/>
                <w:color w:val="auto"/>
                <w:sz w:val="21"/>
                <w:szCs w:val="21"/>
                <w:highlight w:val="none"/>
              </w:rPr>
            </w:pPr>
            <w:r>
              <w:rPr>
                <w:rFonts w:hint="eastAsia" w:cs="宋体"/>
                <w:color w:val="auto"/>
                <w:sz w:val="21"/>
                <w:szCs w:val="21"/>
                <w:highlight w:val="none"/>
              </w:rPr>
              <w:t>②方案与服务需求满足采购人的各项医务工作管理要求及医院业务流程管理的得</w:t>
            </w:r>
            <w:r>
              <w:rPr>
                <w:rFonts w:hint="eastAsia" w:cs="宋体"/>
                <w:color w:val="auto"/>
                <w:sz w:val="21"/>
                <w:szCs w:val="21"/>
                <w:highlight w:val="none"/>
                <w:lang w:val="en-US" w:eastAsia="zh-CN"/>
              </w:rPr>
              <w:t>3</w:t>
            </w:r>
            <w:r>
              <w:rPr>
                <w:rFonts w:hint="eastAsia" w:cs="宋体"/>
                <w:color w:val="auto"/>
                <w:sz w:val="21"/>
                <w:szCs w:val="21"/>
                <w:highlight w:val="none"/>
              </w:rPr>
              <w:t>分；</w:t>
            </w:r>
          </w:p>
          <w:p>
            <w:pPr>
              <w:pStyle w:val="3"/>
              <w:keepNext w:val="0"/>
              <w:keepLines w:val="0"/>
              <w:pageBreakBefore w:val="0"/>
              <w:kinsoku/>
              <w:wordWrap/>
              <w:overflowPunct/>
              <w:topLinePunct w:val="0"/>
              <w:bidi w:val="0"/>
              <w:spacing w:line="360" w:lineRule="exact"/>
              <w:ind w:left="0"/>
              <w:rPr>
                <w:rFonts w:cs="宋体"/>
                <w:color w:val="auto"/>
                <w:sz w:val="21"/>
                <w:szCs w:val="21"/>
                <w:highlight w:val="none"/>
              </w:rPr>
            </w:pPr>
            <w:r>
              <w:rPr>
                <w:rFonts w:hint="eastAsia" w:cs="宋体"/>
                <w:color w:val="auto"/>
                <w:sz w:val="21"/>
                <w:szCs w:val="21"/>
                <w:highlight w:val="none"/>
              </w:rPr>
              <w:t>③方案内容基本符合医院实际需求，日常服务标准设计模糊有待改进，管理目标架构松散，针对性不强，部分内容阐述模糊，有待完善的得2分；</w:t>
            </w:r>
          </w:p>
          <w:p>
            <w:pPr>
              <w:keepNext w:val="0"/>
              <w:keepLines w:val="0"/>
              <w:pageBreakBefore w:val="0"/>
              <w:tabs>
                <w:tab w:val="left" w:pos="4915"/>
              </w:tabs>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 4 \* GB3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④</w:t>
            </w:r>
            <w:r>
              <w:rPr>
                <w:rFonts w:hint="eastAsia" w:ascii="宋体" w:hAnsi="宋体" w:cs="宋体"/>
                <w:color w:val="auto"/>
                <w:szCs w:val="21"/>
                <w:highlight w:val="none"/>
              </w:rPr>
              <w:fldChar w:fldCharType="end"/>
            </w:r>
            <w:r>
              <w:rPr>
                <w:rFonts w:hint="eastAsia" w:ascii="宋体" w:hAnsi="宋体" w:cs="宋体"/>
                <w:color w:val="auto"/>
                <w:szCs w:val="21"/>
                <w:highlight w:val="none"/>
              </w:rPr>
              <w:t>方案不完整、或错漏比较多、或过于笼统，无法满足项目要求的得1分。</w:t>
            </w:r>
          </w:p>
        </w:tc>
        <w:tc>
          <w:tcPr>
            <w:tcW w:w="800" w:type="dxa"/>
            <w:vAlign w:val="center"/>
          </w:tcPr>
          <w:p>
            <w:pPr>
              <w:keepNext w:val="0"/>
              <w:keepLines w:val="0"/>
              <w:pageBreakBefore w:val="0"/>
              <w:widowControl/>
              <w:kinsoku/>
              <w:wordWrap/>
              <w:overflowPunct/>
              <w:topLinePunct w:val="0"/>
              <w:bidi w:val="0"/>
              <w:spacing w:line="360" w:lineRule="exact"/>
              <w:ind w:left="0"/>
              <w:jc w:val="center"/>
              <w:textAlignment w:val="bottom"/>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vAlign w:val="center"/>
          </w:tcPr>
          <w:p>
            <w:pPr>
              <w:pStyle w:val="14"/>
              <w:keepNext w:val="0"/>
              <w:keepLines w:val="0"/>
              <w:pageBreakBefore w:val="0"/>
              <w:kinsoku/>
              <w:wordWrap/>
              <w:overflowPunct/>
              <w:topLinePunct w:val="0"/>
              <w:bidi w:val="0"/>
              <w:spacing w:line="360" w:lineRule="exact"/>
              <w:ind w:left="0" w:firstLine="0" w:firstLineChars="0"/>
              <w:rPr>
                <w:rFonts w:cs="宋体"/>
                <w:b/>
                <w:bCs/>
                <w:color w:val="auto"/>
                <w:sz w:val="21"/>
                <w:szCs w:val="21"/>
                <w:highlight w:val="none"/>
              </w:rPr>
            </w:pPr>
            <w:r>
              <w:rPr>
                <w:rFonts w:hint="eastAsia" w:cs="宋体"/>
                <w:b/>
                <w:bCs/>
                <w:color w:val="auto"/>
                <w:sz w:val="21"/>
                <w:szCs w:val="21"/>
                <w:highlight w:val="none"/>
              </w:rPr>
              <w:t>7、供应商提供外滩院区详细的治安维稳方案（包括策划思路、服务目标、服务内容、工作计划），符合采购人维稳要求等进行评议（</w:t>
            </w:r>
            <w:r>
              <w:rPr>
                <w:rFonts w:hint="eastAsia" w:cs="宋体"/>
                <w:b/>
                <w:bCs/>
                <w:color w:val="auto"/>
                <w:sz w:val="21"/>
                <w:szCs w:val="21"/>
                <w:highlight w:val="none"/>
                <w:lang w:val="en-US" w:eastAsia="zh-CN"/>
              </w:rPr>
              <w:t>4</w:t>
            </w:r>
            <w:r>
              <w:rPr>
                <w:rFonts w:hint="eastAsia" w:cs="宋体"/>
                <w:b/>
                <w:bCs/>
                <w:color w:val="auto"/>
                <w:sz w:val="21"/>
                <w:szCs w:val="21"/>
                <w:highlight w:val="none"/>
              </w:rPr>
              <w:t>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①方案内容完全结合医院实际情况，重点突出，分工分项明确，管理运作流程设计在此要求基础上有拓展，能充分发挥医院安保职能作用的得</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②方案内容符合医院实际情况，服务标准规范，各环节能提供有针对性维稳方案、工作计划及对应措施的得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p>
            <w:pPr>
              <w:keepNext w:val="0"/>
              <w:keepLines w:val="0"/>
              <w:pageBreakBefore w:val="0"/>
              <w:tabs>
                <w:tab w:val="left" w:pos="4915"/>
              </w:tabs>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③内容简单，管理运作流程设计模糊有待改进，管理目标架构松散，针对性不强，与本项目实际需求存在差距的得2分；</w:t>
            </w:r>
          </w:p>
          <w:p>
            <w:pPr>
              <w:keepNext w:val="0"/>
              <w:keepLines w:val="0"/>
              <w:pageBreakBefore w:val="0"/>
              <w:tabs>
                <w:tab w:val="left" w:pos="4915"/>
              </w:tabs>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 4 \* GB3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④</w:t>
            </w:r>
            <w:r>
              <w:rPr>
                <w:rFonts w:hint="eastAsia" w:ascii="宋体" w:hAnsi="宋体" w:cs="宋体"/>
                <w:color w:val="auto"/>
                <w:szCs w:val="21"/>
                <w:highlight w:val="none"/>
              </w:rPr>
              <w:fldChar w:fldCharType="end"/>
            </w:r>
            <w:r>
              <w:rPr>
                <w:rFonts w:hint="eastAsia" w:ascii="宋体" w:hAnsi="宋体" w:cs="宋体"/>
                <w:color w:val="auto"/>
                <w:szCs w:val="21"/>
                <w:highlight w:val="none"/>
              </w:rPr>
              <w:t>方案不完整、或错漏比较多、或过于笼统，无法保障项目顺利实施的得1分。</w:t>
            </w:r>
          </w:p>
        </w:tc>
        <w:tc>
          <w:tcPr>
            <w:tcW w:w="800" w:type="dxa"/>
            <w:vAlign w:val="center"/>
          </w:tcPr>
          <w:p>
            <w:pPr>
              <w:keepNext w:val="0"/>
              <w:keepLines w:val="0"/>
              <w:pageBreakBefore w:val="0"/>
              <w:widowControl/>
              <w:kinsoku/>
              <w:wordWrap/>
              <w:overflowPunct/>
              <w:topLinePunct w:val="0"/>
              <w:bidi w:val="0"/>
              <w:spacing w:line="360" w:lineRule="exact"/>
              <w:ind w:left="0"/>
              <w:jc w:val="center"/>
              <w:textAlignment w:val="bottom"/>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val="en-US" w:eastAsia="zh-CN"/>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vAlign w:val="center"/>
          </w:tcPr>
          <w:p>
            <w:pPr>
              <w:pStyle w:val="14"/>
              <w:keepNext w:val="0"/>
              <w:keepLines w:val="0"/>
              <w:pageBreakBefore w:val="0"/>
              <w:kinsoku/>
              <w:wordWrap/>
              <w:overflowPunct/>
              <w:topLinePunct w:val="0"/>
              <w:bidi w:val="0"/>
              <w:spacing w:line="360" w:lineRule="exact"/>
              <w:ind w:left="0" w:firstLine="0" w:firstLineChars="0"/>
              <w:rPr>
                <w:rFonts w:cs="宋体"/>
                <w:b/>
                <w:bCs/>
                <w:color w:val="auto"/>
                <w:sz w:val="21"/>
                <w:szCs w:val="21"/>
                <w:highlight w:val="none"/>
              </w:rPr>
            </w:pPr>
            <w:r>
              <w:rPr>
                <w:rFonts w:hint="eastAsia" w:cs="宋体"/>
                <w:b/>
                <w:bCs/>
                <w:color w:val="auto"/>
                <w:sz w:val="21"/>
                <w:szCs w:val="21"/>
                <w:highlight w:val="none"/>
              </w:rPr>
              <w:t>8、供应商提供详细的消控管理方案、巡查方案，包括不仅限于各环节管理方案具体、明确，管理运作流程设计是否结合医院实际情况等内容进行评议（</w:t>
            </w:r>
            <w:r>
              <w:rPr>
                <w:rFonts w:hint="eastAsia" w:cs="宋体"/>
                <w:b/>
                <w:bCs/>
                <w:color w:val="auto"/>
                <w:sz w:val="21"/>
                <w:szCs w:val="21"/>
                <w:highlight w:val="none"/>
                <w:lang w:val="en-US" w:eastAsia="zh-CN"/>
              </w:rPr>
              <w:t>4</w:t>
            </w:r>
            <w:r>
              <w:rPr>
                <w:rFonts w:hint="eastAsia" w:cs="宋体"/>
                <w:b/>
                <w:bCs/>
                <w:color w:val="auto"/>
                <w:sz w:val="21"/>
                <w:szCs w:val="21"/>
                <w:highlight w:val="none"/>
              </w:rPr>
              <w:t>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①方案内容完全结合医院实际情况，各环节有明确的管理方案与工作计划，重点突出，分工分项明确，管理运作流程设计在此要求基础上有拓展，能确保医院的安全和稳定的得</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②方案内容符合医院实际情况，各环节能提供有针对性消控管理方案、巡查方案及对应措施的得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③内容简单，管理运作流程设计模糊有待改进，管理目标架构松散，针对性不强，与本项目实际需求存在差距的得2分；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 4 \* GB3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④</w:t>
            </w:r>
            <w:r>
              <w:rPr>
                <w:rFonts w:hint="eastAsia" w:ascii="宋体" w:hAnsi="宋体" w:cs="宋体"/>
                <w:color w:val="auto"/>
                <w:szCs w:val="21"/>
                <w:highlight w:val="none"/>
              </w:rPr>
              <w:fldChar w:fldCharType="end"/>
            </w:r>
            <w:r>
              <w:rPr>
                <w:rFonts w:hint="eastAsia" w:ascii="宋体" w:hAnsi="宋体" w:cs="宋体"/>
                <w:color w:val="auto"/>
                <w:szCs w:val="21"/>
                <w:highlight w:val="none"/>
              </w:rPr>
              <w:t>方案不完整、或错漏比较多、或过于笼统，无法保障项目顺利实施的得1分。</w:t>
            </w:r>
          </w:p>
        </w:tc>
        <w:tc>
          <w:tcPr>
            <w:tcW w:w="800" w:type="dxa"/>
            <w:vAlign w:val="center"/>
          </w:tcPr>
          <w:p>
            <w:pPr>
              <w:keepNext w:val="0"/>
              <w:keepLines w:val="0"/>
              <w:pageBreakBefore w:val="0"/>
              <w:widowControl/>
              <w:kinsoku/>
              <w:wordWrap/>
              <w:overflowPunct/>
              <w:topLinePunct w:val="0"/>
              <w:bidi w:val="0"/>
              <w:spacing w:line="360" w:lineRule="exact"/>
              <w:ind w:left="0"/>
              <w:jc w:val="center"/>
              <w:textAlignment w:val="bottom"/>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val="en-US" w:eastAsia="zh-CN"/>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46"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tcPr>
          <w:p>
            <w:pPr>
              <w:pStyle w:val="14"/>
              <w:keepNext w:val="0"/>
              <w:keepLines w:val="0"/>
              <w:pageBreakBefore w:val="0"/>
              <w:kinsoku/>
              <w:wordWrap/>
              <w:overflowPunct/>
              <w:topLinePunct w:val="0"/>
              <w:bidi w:val="0"/>
              <w:spacing w:line="360" w:lineRule="exact"/>
              <w:ind w:left="0" w:firstLine="0" w:firstLineChars="0"/>
              <w:rPr>
                <w:rFonts w:cs="宋体"/>
                <w:b/>
                <w:bCs/>
                <w:color w:val="auto"/>
                <w:sz w:val="21"/>
                <w:szCs w:val="21"/>
                <w:highlight w:val="none"/>
              </w:rPr>
            </w:pPr>
            <w:r>
              <w:rPr>
                <w:rFonts w:hint="eastAsia" w:cs="宋体"/>
                <w:b/>
                <w:bCs/>
                <w:color w:val="auto"/>
                <w:sz w:val="21"/>
                <w:szCs w:val="21"/>
                <w:highlight w:val="none"/>
              </w:rPr>
              <w:t>9、根据供应商提供的详细的重点区域、重点时段巡逻安保方案，包括不仅限于巡逻区域设置、巡逻时间安排、工作职责明确等进行评议（</w:t>
            </w:r>
            <w:r>
              <w:rPr>
                <w:rFonts w:hint="eastAsia" w:cs="宋体"/>
                <w:b/>
                <w:bCs/>
                <w:color w:val="auto"/>
                <w:sz w:val="21"/>
                <w:szCs w:val="21"/>
                <w:highlight w:val="none"/>
                <w:lang w:val="en-US" w:eastAsia="zh-CN"/>
              </w:rPr>
              <w:t>3</w:t>
            </w:r>
            <w:r>
              <w:rPr>
                <w:rFonts w:hint="eastAsia" w:cs="宋体"/>
                <w:b/>
                <w:bCs/>
                <w:color w:val="auto"/>
                <w:sz w:val="21"/>
                <w:szCs w:val="21"/>
                <w:highlight w:val="none"/>
              </w:rPr>
              <w:t>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①能结合自身特点,明确巡逻区域、巡逻路段，合理安排巡逻时间、责任区域明确、运行机制合理的得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②方案内容符合要求，内容完整，细节有待补充完善，基本符合本项目采购需求的得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③方案符合要求，但内容不完整，与本项目实际需求有差距的得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p>
        </w:tc>
        <w:tc>
          <w:tcPr>
            <w:tcW w:w="800" w:type="dxa"/>
            <w:vAlign w:val="center"/>
          </w:tcPr>
          <w:p>
            <w:pPr>
              <w:keepNext w:val="0"/>
              <w:keepLines w:val="0"/>
              <w:pageBreakBefore w:val="0"/>
              <w:widowControl/>
              <w:kinsoku/>
              <w:wordWrap/>
              <w:overflowPunct/>
              <w:topLinePunct w:val="0"/>
              <w:bidi w:val="0"/>
              <w:spacing w:line="360" w:lineRule="exact"/>
              <w:ind w:left="0"/>
              <w:jc w:val="center"/>
              <w:textAlignment w:val="bottom"/>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val="en-US" w:eastAsia="zh-CN"/>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vAlign w:val="center"/>
          </w:tcPr>
          <w:p>
            <w:pPr>
              <w:keepNext w:val="0"/>
              <w:keepLines w:val="0"/>
              <w:pageBreakBefore w:val="0"/>
              <w:kinsoku/>
              <w:wordWrap/>
              <w:overflowPunct/>
              <w:topLinePunct w:val="0"/>
              <w:bidi w:val="0"/>
              <w:spacing w:line="360" w:lineRule="exact"/>
              <w:ind w:left="0"/>
              <w:rPr>
                <w:rFonts w:ascii="宋体" w:cs="宋体"/>
                <w:b/>
                <w:bCs/>
                <w:color w:val="auto"/>
                <w:szCs w:val="21"/>
                <w:highlight w:val="none"/>
              </w:rPr>
            </w:pPr>
            <w:r>
              <w:rPr>
                <w:rFonts w:hint="eastAsia" w:ascii="宋体" w:hAnsi="宋体" w:cs="宋体"/>
                <w:b/>
                <w:bCs/>
                <w:color w:val="auto"/>
                <w:szCs w:val="21"/>
                <w:highlight w:val="none"/>
              </w:rPr>
              <w:t>10、根据供应商提供的停车</w:t>
            </w:r>
            <w:r>
              <w:rPr>
                <w:rFonts w:hint="eastAsia" w:ascii="宋体" w:hAnsi="宋体" w:cs="宋体"/>
                <w:b/>
                <w:bCs/>
                <w:color w:val="auto"/>
                <w:szCs w:val="21"/>
                <w:highlight w:val="none"/>
                <w:lang w:eastAsia="zh-CN"/>
              </w:rPr>
              <w:t>场</w:t>
            </w:r>
            <w:r>
              <w:rPr>
                <w:rFonts w:hint="eastAsia" w:ascii="宋体" w:hAnsi="宋体" w:cs="宋体"/>
                <w:b/>
                <w:bCs/>
                <w:color w:val="auto"/>
                <w:szCs w:val="21"/>
                <w:highlight w:val="none"/>
              </w:rPr>
              <w:t>管理方案，管理目标、停车引导、针对不同停车区域设置管理方案进行评议（3分）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①符合本项目实际、内容完整、充实，能有效解决停车问题的得3分；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②符合要求，内容完整，但有所欠缺的得2分；</w:t>
            </w:r>
          </w:p>
          <w:p>
            <w:pPr>
              <w:keepNext w:val="0"/>
              <w:keepLines w:val="0"/>
              <w:pageBreakBefore w:val="0"/>
              <w:kinsoku/>
              <w:wordWrap/>
              <w:overflowPunct/>
              <w:topLinePunct w:val="0"/>
              <w:bidi w:val="0"/>
              <w:spacing w:line="360" w:lineRule="exact"/>
              <w:ind w:left="0"/>
              <w:rPr>
                <w:rFonts w:ascii="宋体" w:cs="宋体"/>
                <w:color w:val="auto"/>
                <w:szCs w:val="21"/>
                <w:highlight w:val="none"/>
              </w:rPr>
            </w:pPr>
            <w:r>
              <w:rPr>
                <w:rFonts w:hint="eastAsia" w:ascii="宋体" w:hAnsi="宋体" w:cs="宋体"/>
                <w:color w:val="auto"/>
                <w:szCs w:val="21"/>
                <w:highlight w:val="none"/>
              </w:rPr>
              <w:t>③分析及对策存在缺陷，建议符合要求，但内容不完整的得1分。</w:t>
            </w:r>
          </w:p>
        </w:tc>
        <w:tc>
          <w:tcPr>
            <w:tcW w:w="800" w:type="dxa"/>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cs="宋体"/>
                <w:color w:val="auto"/>
                <w:szCs w:val="21"/>
                <w:highlight w:val="none"/>
              </w:rPr>
            </w:pPr>
            <w:r>
              <w:rPr>
                <w:rFonts w:hint="eastAsia" w:ascii="宋体" w:hAnsi="宋体" w:cs="宋体"/>
                <w:color w:val="auto"/>
                <w:szCs w:val="21"/>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vAlign w:val="center"/>
          </w:tcPr>
          <w:p>
            <w:pPr>
              <w:keepNext w:val="0"/>
              <w:keepLines w:val="0"/>
              <w:pageBreakBefore w:val="0"/>
              <w:kinsoku/>
              <w:wordWrap/>
              <w:overflowPunct/>
              <w:topLinePunct w:val="0"/>
              <w:bidi w:val="0"/>
              <w:spacing w:line="360" w:lineRule="exact"/>
              <w:ind w:left="0"/>
              <w:rPr>
                <w:rFonts w:ascii="宋体" w:hAnsi="宋体" w:cs="宋体"/>
                <w:b/>
                <w:bCs/>
                <w:color w:val="auto"/>
                <w:szCs w:val="21"/>
                <w:highlight w:val="none"/>
              </w:rPr>
            </w:pPr>
            <w:r>
              <w:rPr>
                <w:rFonts w:hint="eastAsia" w:ascii="宋体" w:hAnsi="宋体" w:cs="宋体"/>
                <w:b/>
                <w:bCs/>
                <w:color w:val="auto"/>
                <w:szCs w:val="21"/>
                <w:highlight w:val="none"/>
              </w:rPr>
              <w:t>11、根据供应商提供的针对本项目服务过程中的重点难点问题的分析准确程度、解决方案及对本项目的合理化建议进行评议（3分）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①分析到位，对策科学、合理、可行，建议切实可行、符合本项目实际、内容完整、充实的得3分；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②分析及对策可行，建议符合要求，内容完整，但有所欠缺的得2分；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③分析及对策存在缺陷，建议符合要求，但内容不完整的得1分。</w:t>
            </w:r>
          </w:p>
        </w:tc>
        <w:tc>
          <w:tcPr>
            <w:tcW w:w="800" w:type="dxa"/>
            <w:vAlign w:val="center"/>
          </w:tcPr>
          <w:p>
            <w:pPr>
              <w:keepNext w:val="0"/>
              <w:keepLines w:val="0"/>
              <w:pageBreakBefore w:val="0"/>
              <w:kinsoku/>
              <w:wordWrap/>
              <w:overflowPunct/>
              <w:topLinePunct w:val="0"/>
              <w:bidi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vAlign w:val="center"/>
          </w:tcPr>
          <w:p>
            <w:pPr>
              <w:keepNext w:val="0"/>
              <w:keepLines w:val="0"/>
              <w:pageBreakBefore w:val="0"/>
              <w:kinsoku/>
              <w:wordWrap/>
              <w:overflowPunct/>
              <w:topLinePunct w:val="0"/>
              <w:bidi w:val="0"/>
              <w:spacing w:line="360" w:lineRule="exact"/>
              <w:ind w:left="0"/>
              <w:rPr>
                <w:rFonts w:ascii="宋体" w:hAnsi="宋体" w:cs="宋体"/>
                <w:b/>
                <w:bCs/>
                <w:color w:val="auto"/>
                <w:szCs w:val="21"/>
                <w:highlight w:val="none"/>
              </w:rPr>
            </w:pPr>
            <w:r>
              <w:rPr>
                <w:rFonts w:ascii="宋体" w:hAnsi="宋体" w:cs="宋体"/>
                <w:b/>
                <w:bCs/>
                <w:color w:val="auto"/>
                <w:szCs w:val="21"/>
                <w:highlight w:val="none"/>
              </w:rPr>
              <w:t>1</w:t>
            </w:r>
            <w:r>
              <w:rPr>
                <w:rFonts w:hint="eastAsia" w:ascii="宋体" w:hAnsi="宋体" w:cs="宋体"/>
                <w:b/>
                <w:bCs/>
                <w:color w:val="auto"/>
                <w:szCs w:val="21"/>
                <w:highlight w:val="none"/>
              </w:rPr>
              <w:t>2</w:t>
            </w:r>
            <w:r>
              <w:rPr>
                <w:rFonts w:ascii="宋体" w:hAnsi="宋体" w:cs="宋体"/>
                <w:b/>
                <w:bCs/>
                <w:color w:val="auto"/>
                <w:szCs w:val="21"/>
                <w:highlight w:val="none"/>
              </w:rPr>
              <w:t>、</w:t>
            </w:r>
            <w:r>
              <w:rPr>
                <w:rFonts w:hint="eastAsia" w:ascii="宋体" w:hAnsi="宋体" w:cs="宋体"/>
                <w:b/>
                <w:bCs/>
                <w:color w:val="auto"/>
                <w:szCs w:val="21"/>
                <w:highlight w:val="none"/>
              </w:rPr>
              <w:t>保安装备、办公设备、耗材、用品等配置情况及管理方案(提供设备器材清单一览表，并且注明品牌型号等信息)进行评议（3分）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①提供的装备用品等种类齐全、数量充足，并满足项目实际需求的得3分；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②提供的装备用品等种类、数量基本能满足项目要求，略有欠缺但尚不影响履约的得2分；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③提供的装备用品等种类不全、或数量不足、难以满足项目需求的得1分。</w:t>
            </w:r>
          </w:p>
        </w:tc>
        <w:tc>
          <w:tcPr>
            <w:tcW w:w="800" w:type="dxa"/>
            <w:vAlign w:val="center"/>
          </w:tcPr>
          <w:p>
            <w:pPr>
              <w:keepNext w:val="0"/>
              <w:keepLines w:val="0"/>
              <w:pageBreakBefore w:val="0"/>
              <w:kinsoku/>
              <w:wordWrap/>
              <w:overflowPunct/>
              <w:topLinePunct w:val="0"/>
              <w:bidi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vAlign w:val="center"/>
          </w:tcPr>
          <w:p>
            <w:pPr>
              <w:keepNext w:val="0"/>
              <w:keepLines w:val="0"/>
              <w:pageBreakBefore w:val="0"/>
              <w:kinsoku/>
              <w:wordWrap/>
              <w:overflowPunct/>
              <w:topLinePunct w:val="0"/>
              <w:bidi w:val="0"/>
              <w:spacing w:line="360" w:lineRule="exact"/>
              <w:ind w:left="0"/>
              <w:rPr>
                <w:rFonts w:ascii="宋体" w:hAnsi="宋体" w:cs="宋体"/>
                <w:b/>
                <w:bCs/>
                <w:color w:val="auto"/>
                <w:szCs w:val="21"/>
                <w:highlight w:val="none"/>
              </w:rPr>
            </w:pPr>
            <w:r>
              <w:rPr>
                <w:rFonts w:hint="eastAsia" w:ascii="宋体" w:hAnsi="宋体" w:cs="宋体"/>
                <w:b/>
                <w:bCs/>
                <w:color w:val="auto"/>
                <w:szCs w:val="21"/>
                <w:highlight w:val="none"/>
              </w:rPr>
              <w:t>13、根据供应商提供的针对本项目人员管理及内部组织管理制度（工作考勤、监督管理机制及奖罚管理等）进行评议（3分）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①规章制度完整、详细、切合本项目实际情况的得3分；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②规章制度基本完整，内容略有瑕疵的得2分；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③规章制度不完整，或有明显不合理之处的得1分。</w:t>
            </w:r>
          </w:p>
        </w:tc>
        <w:tc>
          <w:tcPr>
            <w:tcW w:w="800" w:type="dxa"/>
            <w:vAlign w:val="center"/>
          </w:tcPr>
          <w:p>
            <w:pPr>
              <w:keepNext w:val="0"/>
              <w:keepLines w:val="0"/>
              <w:pageBreakBefore w:val="0"/>
              <w:kinsoku/>
              <w:wordWrap/>
              <w:overflowPunct/>
              <w:topLinePunct w:val="0"/>
              <w:bidi w:val="0"/>
              <w:spacing w:line="360" w:lineRule="exact"/>
              <w:ind w:left="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vAlign w:val="center"/>
          </w:tcPr>
          <w:p>
            <w:pPr>
              <w:keepNext w:val="0"/>
              <w:keepLines w:val="0"/>
              <w:pageBreakBefore w:val="0"/>
              <w:kinsoku/>
              <w:wordWrap/>
              <w:overflowPunct/>
              <w:topLinePunct w:val="0"/>
              <w:bidi w:val="0"/>
              <w:spacing w:line="360" w:lineRule="exact"/>
              <w:ind w:left="0"/>
              <w:rPr>
                <w:rFonts w:ascii="宋体" w:hAnsi="宋体" w:cs="宋体"/>
                <w:b/>
                <w:bCs/>
                <w:color w:val="auto"/>
                <w:szCs w:val="21"/>
                <w:highlight w:val="none"/>
              </w:rPr>
            </w:pPr>
            <w:r>
              <w:rPr>
                <w:rFonts w:hint="eastAsia" w:ascii="宋体" w:hAnsi="宋体" w:cs="宋体"/>
                <w:b/>
                <w:bCs/>
                <w:color w:val="auto"/>
                <w:szCs w:val="21"/>
                <w:highlight w:val="none"/>
              </w:rPr>
              <w:t>14、根据供应商提供的针对本项目现状的理解和服务能力分析情况等进行评议（4分）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①能紧扣服务区域情况、地理特点、安全现状等进行分析，并有直观的服务能力展示说明的得4分；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②能把握项目要求，提出配套服务方案和联动预案的得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③内容过于简单，缺乏针对性的得1分。</w:t>
            </w:r>
          </w:p>
        </w:tc>
        <w:tc>
          <w:tcPr>
            <w:tcW w:w="800" w:type="dxa"/>
            <w:vAlign w:val="center"/>
          </w:tcPr>
          <w:p>
            <w:pPr>
              <w:keepNext w:val="0"/>
              <w:keepLines w:val="0"/>
              <w:pageBreakBefore w:val="0"/>
              <w:kinsoku/>
              <w:wordWrap/>
              <w:overflowPunct/>
              <w:topLinePunct w:val="0"/>
              <w:bidi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vAlign w:val="center"/>
          </w:tcPr>
          <w:p>
            <w:pPr>
              <w:keepNext w:val="0"/>
              <w:keepLines w:val="0"/>
              <w:pageBreakBefore w:val="0"/>
              <w:kinsoku/>
              <w:wordWrap/>
              <w:overflowPunct/>
              <w:topLinePunct w:val="0"/>
              <w:bidi w:val="0"/>
              <w:spacing w:line="360" w:lineRule="exact"/>
              <w:ind w:left="0"/>
              <w:rPr>
                <w:rFonts w:ascii="宋体" w:hAnsi="宋体" w:cs="宋体"/>
                <w:b/>
                <w:bCs/>
                <w:color w:val="auto"/>
                <w:szCs w:val="21"/>
                <w:highlight w:val="none"/>
              </w:rPr>
            </w:pPr>
            <w:r>
              <w:rPr>
                <w:rFonts w:hint="eastAsia" w:ascii="宋体" w:hAnsi="宋体" w:cs="宋体"/>
                <w:b/>
                <w:bCs/>
                <w:color w:val="auto"/>
                <w:szCs w:val="21"/>
                <w:highlight w:val="none"/>
              </w:rPr>
              <w:t>15、对于突发事件的响应时间及处理办法的响应承诺情况进行评议（3分）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①响应及时迅速、处理办法专业、应对措施的合理性、完整符合采购人实际需求的得3分；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②响应速度基本满足采购人要求，但处理措施有效性略有不足，无明显优势的得2分；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③响应及时性不足以满足采购人要求或承诺及措施存在缺陷或不能满足采购需求的的得1分。</w:t>
            </w:r>
          </w:p>
        </w:tc>
        <w:tc>
          <w:tcPr>
            <w:tcW w:w="800" w:type="dxa"/>
            <w:vAlign w:val="center"/>
          </w:tcPr>
          <w:p>
            <w:pPr>
              <w:keepNext w:val="0"/>
              <w:keepLines w:val="0"/>
              <w:pageBreakBefore w:val="0"/>
              <w:kinsoku/>
              <w:wordWrap/>
              <w:overflowPunct/>
              <w:topLinePunct w:val="0"/>
              <w:bidi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vAlign w:val="center"/>
          </w:tcPr>
          <w:p>
            <w:pPr>
              <w:keepNext w:val="0"/>
              <w:keepLines w:val="0"/>
              <w:pageBreakBefore w:val="0"/>
              <w:kinsoku/>
              <w:wordWrap/>
              <w:overflowPunct/>
              <w:topLinePunct w:val="0"/>
              <w:bidi w:val="0"/>
              <w:spacing w:line="360" w:lineRule="exact"/>
              <w:ind w:left="0"/>
              <w:rPr>
                <w:rFonts w:ascii="宋体" w:hAnsi="宋体" w:cs="宋体"/>
                <w:b/>
                <w:bCs/>
                <w:color w:val="auto"/>
                <w:szCs w:val="21"/>
                <w:highlight w:val="none"/>
              </w:rPr>
            </w:pPr>
            <w:r>
              <w:rPr>
                <w:rFonts w:hint="eastAsia" w:ascii="宋体" w:hAnsi="宋体" w:cs="宋体"/>
                <w:b/>
                <w:bCs/>
                <w:color w:val="auto"/>
                <w:szCs w:val="21"/>
                <w:highlight w:val="none"/>
              </w:rPr>
              <w:t>16、对突发性公共卫生事件（如针对传染性疾病的防控）的应急预案及相应的措施进行评议：（3分）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①有详尽的应急预案、能解决特殊时期的实际问题，并把特殊事件对于本项目的不利影响降到最低得3分；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②有应急预案，能解决特殊时期的部分问题的得2分；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③应急预案没有针对性、或不能解决实际问题的得1分。</w:t>
            </w:r>
          </w:p>
        </w:tc>
        <w:tc>
          <w:tcPr>
            <w:tcW w:w="800" w:type="dxa"/>
            <w:vAlign w:val="center"/>
          </w:tcPr>
          <w:p>
            <w:pPr>
              <w:keepNext w:val="0"/>
              <w:keepLines w:val="0"/>
              <w:pageBreakBefore w:val="0"/>
              <w:kinsoku/>
              <w:wordWrap/>
              <w:overflowPunct/>
              <w:topLinePunct w:val="0"/>
              <w:bidi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vAlign w:val="center"/>
          </w:tcPr>
          <w:p>
            <w:pPr>
              <w:keepNext w:val="0"/>
              <w:keepLines w:val="0"/>
              <w:pageBreakBefore w:val="0"/>
              <w:kinsoku/>
              <w:wordWrap/>
              <w:overflowPunct/>
              <w:topLinePunct w:val="0"/>
              <w:bidi w:val="0"/>
              <w:spacing w:line="360" w:lineRule="exact"/>
              <w:ind w:left="0"/>
              <w:rPr>
                <w:rFonts w:ascii="宋体" w:hAnsi="宋体" w:cs="宋体"/>
                <w:b/>
                <w:bCs/>
                <w:color w:val="auto"/>
                <w:szCs w:val="21"/>
                <w:highlight w:val="none"/>
              </w:rPr>
            </w:pPr>
            <w:r>
              <w:rPr>
                <w:rFonts w:hint="eastAsia" w:ascii="宋体" w:hAnsi="宋体" w:cs="宋体"/>
                <w:b/>
                <w:bCs/>
                <w:color w:val="auto"/>
                <w:szCs w:val="21"/>
                <w:highlight w:val="none"/>
              </w:rPr>
              <w:t>17、对保安服务区域内的防盗、防火的安全防范巡查、群体性事件、暴恐事件等应急预案及相应的措施进行评议（3分）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①有详尽的应急预案、能解决特殊时期的实际问题，并把特殊事件对于本项目的不利影响降到最低得3分；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②有应急预案，能解决特殊时期的部分问题的得2分；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③应急预案没有针对性或不能解决实际问题的得1分。</w:t>
            </w:r>
          </w:p>
        </w:tc>
        <w:tc>
          <w:tcPr>
            <w:tcW w:w="800" w:type="dxa"/>
            <w:vAlign w:val="center"/>
          </w:tcPr>
          <w:p>
            <w:pPr>
              <w:keepNext w:val="0"/>
              <w:keepLines w:val="0"/>
              <w:pageBreakBefore w:val="0"/>
              <w:kinsoku/>
              <w:wordWrap/>
              <w:overflowPunct/>
              <w:topLinePunct w:val="0"/>
              <w:bidi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tcPr>
          <w:p>
            <w:pPr>
              <w:keepNext w:val="0"/>
              <w:keepLines w:val="0"/>
              <w:pageBreakBefore w:val="0"/>
              <w:kinsoku/>
              <w:wordWrap/>
              <w:overflowPunct/>
              <w:topLinePunct w:val="0"/>
              <w:bidi w:val="0"/>
              <w:spacing w:line="360" w:lineRule="exact"/>
              <w:ind w:left="0"/>
              <w:rPr>
                <w:rFonts w:ascii="宋体" w:hAnsi="宋体" w:cs="宋体"/>
                <w:b/>
                <w:bCs/>
                <w:color w:val="auto"/>
                <w:szCs w:val="21"/>
                <w:highlight w:val="none"/>
              </w:rPr>
            </w:pPr>
            <w:r>
              <w:rPr>
                <w:rFonts w:hint="eastAsia" w:ascii="宋体" w:hAnsi="宋体" w:cs="宋体"/>
                <w:b/>
                <w:bCs/>
                <w:color w:val="auto"/>
                <w:szCs w:val="21"/>
                <w:highlight w:val="none"/>
              </w:rPr>
              <w:t>18、根据供应商提供的处理极端天气（台风、暴雨、冻雪）应急预案及相应的措施进行评议（3分）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①有详尽的应急预案、能解决特殊时期的实际问题，并把特殊事件对于本项目的不利影响降到最低得3分；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②有应急预案，能解决特殊时期的部分问题的得2分；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③应急预案没有针对性、或不能解决实际问题的得1分。</w:t>
            </w:r>
          </w:p>
        </w:tc>
        <w:tc>
          <w:tcPr>
            <w:tcW w:w="800" w:type="dxa"/>
            <w:vAlign w:val="center"/>
          </w:tcPr>
          <w:p>
            <w:pPr>
              <w:keepNext w:val="0"/>
              <w:keepLines w:val="0"/>
              <w:pageBreakBefore w:val="0"/>
              <w:kinsoku/>
              <w:wordWrap/>
              <w:overflowPunct/>
              <w:topLinePunct w:val="0"/>
              <w:bidi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vAlign w:val="center"/>
          </w:tcPr>
          <w:p>
            <w:pPr>
              <w:keepNext w:val="0"/>
              <w:keepLines w:val="0"/>
              <w:pageBreakBefore w:val="0"/>
              <w:kinsoku/>
              <w:wordWrap/>
              <w:overflowPunct/>
              <w:topLinePunct w:val="0"/>
              <w:bidi w:val="0"/>
              <w:spacing w:line="360" w:lineRule="exact"/>
              <w:ind w:left="0"/>
              <w:rPr>
                <w:rFonts w:ascii="宋体" w:hAnsi="宋体" w:cs="宋体"/>
                <w:b/>
                <w:bCs/>
                <w:color w:val="auto"/>
                <w:szCs w:val="21"/>
                <w:highlight w:val="none"/>
              </w:rPr>
            </w:pPr>
            <w:r>
              <w:rPr>
                <w:rFonts w:hint="eastAsia" w:ascii="宋体" w:hAnsi="宋体" w:cs="宋体"/>
                <w:b/>
                <w:bCs/>
                <w:color w:val="auto"/>
                <w:szCs w:val="21"/>
                <w:highlight w:val="none"/>
              </w:rPr>
              <w:t>19、供应商的服务支撑能力，除派驻本院的服务团队外，投标人在特殊安保需要时迅速派出足够数量的增援人员，投标人对具体方案进行阐述和承诺，由评标委员会进行评议：（</w:t>
            </w:r>
            <w:r>
              <w:rPr>
                <w:rFonts w:hint="eastAsia" w:ascii="宋体" w:hAnsi="宋体" w:cs="宋体"/>
                <w:b/>
                <w:bCs/>
                <w:color w:val="auto"/>
                <w:szCs w:val="21"/>
                <w:highlight w:val="none"/>
                <w:lang w:val="en-US" w:eastAsia="zh-CN"/>
              </w:rPr>
              <w:t>3</w:t>
            </w:r>
            <w:r>
              <w:rPr>
                <w:rFonts w:hint="eastAsia" w:ascii="宋体" w:hAnsi="宋体" w:cs="宋体"/>
                <w:b/>
                <w:bCs/>
                <w:color w:val="auto"/>
                <w:szCs w:val="21"/>
                <w:highlight w:val="none"/>
              </w:rPr>
              <w:t>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①方案详细完整，能迅速派出增援人员，后备力量强大，完全符合或优于采购人要求的得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②能配备增援人员，方案基本符合采购人要求的得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③配备增援人员数量不足或方案存在不足或缺陷的得1分。</w:t>
            </w:r>
          </w:p>
        </w:tc>
        <w:tc>
          <w:tcPr>
            <w:tcW w:w="800" w:type="dxa"/>
            <w:vAlign w:val="center"/>
          </w:tcPr>
          <w:p>
            <w:pPr>
              <w:keepNext w:val="0"/>
              <w:keepLines w:val="0"/>
              <w:pageBreakBefore w:val="0"/>
              <w:kinsoku/>
              <w:wordWrap/>
              <w:overflowPunct/>
              <w:topLinePunct w:val="0"/>
              <w:bidi w:val="0"/>
              <w:spacing w:line="360" w:lineRule="exact"/>
              <w:ind w:left="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tcPr>
          <w:p>
            <w:pPr>
              <w:keepNext w:val="0"/>
              <w:keepLines w:val="0"/>
              <w:pageBreakBefore w:val="0"/>
              <w:kinsoku/>
              <w:wordWrap/>
              <w:overflowPunct/>
              <w:topLinePunct w:val="0"/>
              <w:bidi w:val="0"/>
              <w:spacing w:line="360" w:lineRule="exact"/>
              <w:ind w:left="0"/>
              <w:rPr>
                <w:rFonts w:ascii="宋体" w:hAnsi="宋体" w:cs="宋体"/>
                <w:b/>
                <w:bCs/>
                <w:color w:val="auto"/>
                <w:szCs w:val="21"/>
                <w:highlight w:val="none"/>
              </w:rPr>
            </w:pPr>
            <w:r>
              <w:rPr>
                <w:rFonts w:hint="eastAsia" w:ascii="宋体" w:hAnsi="宋体" w:cs="宋体"/>
                <w:b/>
                <w:bCs/>
                <w:color w:val="auto"/>
                <w:szCs w:val="21"/>
                <w:highlight w:val="none"/>
              </w:rPr>
              <w:t>20、根据“第三章招标内容与技术需求”中人员配备要求，主要考核相关人员的组成、根据岗位数配置人员、总岗位人数是否符合采购需求，拟投入人员具有安保的经验、资质和实力并提供现有团队的人员名单，同时承诺录用人员具有人力资源和社会保障部门颁发的保安员职业资格证书或公安部门颁发的保安员上岗证等进行评议（6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①岗位的配备在数量上满足本项目的实际需求，各种技术人员配备完整，排班计划明确合理，人员经验丰富且人员整体素质良好，合同期间能顺利完成任务的得6分；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②岗位的配备及排班计划能满足本项目的实际需求运营要求，但部分有待完善补充的，各种技术人员配备基本符合采购人需求的得4分；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③人员的配备、排班计划及各种技术力量配备存在缺漏项的得2分。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（提供人员清单、技术人员证书及2023年0</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月-2023年0</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月为以上人员缴纳社保证明）</w:t>
            </w:r>
          </w:p>
        </w:tc>
        <w:tc>
          <w:tcPr>
            <w:tcW w:w="800" w:type="dxa"/>
            <w:vAlign w:val="center"/>
          </w:tcPr>
          <w:p>
            <w:pPr>
              <w:keepNext w:val="0"/>
              <w:keepLines w:val="0"/>
              <w:pageBreakBefore w:val="0"/>
              <w:kinsoku/>
              <w:wordWrap/>
              <w:overflowPunct/>
              <w:topLinePunct w:val="0"/>
              <w:bidi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vAlign w:val="center"/>
          </w:tcPr>
          <w:p>
            <w:pPr>
              <w:keepNext w:val="0"/>
              <w:keepLines w:val="0"/>
              <w:pageBreakBefore w:val="0"/>
              <w:kinsoku/>
              <w:wordWrap/>
              <w:overflowPunct/>
              <w:topLinePunct w:val="0"/>
              <w:bidi w:val="0"/>
              <w:spacing w:line="360" w:lineRule="exact"/>
              <w:ind w:left="0"/>
              <w:rPr>
                <w:rFonts w:ascii="宋体" w:hAnsi="宋体" w:cs="宋体"/>
                <w:b/>
                <w:bCs/>
                <w:color w:val="auto"/>
                <w:szCs w:val="21"/>
                <w:highlight w:val="none"/>
              </w:rPr>
            </w:pPr>
            <w:r>
              <w:rPr>
                <w:rFonts w:hint="eastAsia" w:ascii="宋体" w:hAnsi="宋体" w:cs="宋体"/>
                <w:b/>
                <w:bCs/>
                <w:color w:val="auto"/>
                <w:szCs w:val="21"/>
                <w:highlight w:val="none"/>
              </w:rPr>
              <w:t>21、根据供应商提供的确保本项目员工工资福利、人员稳定及人员变动应急方案进行评议（</w:t>
            </w:r>
            <w:r>
              <w:rPr>
                <w:rFonts w:hint="eastAsia" w:ascii="宋体" w:hAnsi="宋体" w:cs="宋体"/>
                <w:b/>
                <w:bCs/>
                <w:color w:val="auto"/>
                <w:szCs w:val="21"/>
                <w:highlight w:val="none"/>
                <w:lang w:val="en-US" w:eastAsia="zh-CN"/>
              </w:rPr>
              <w:t>4</w:t>
            </w:r>
            <w:r>
              <w:rPr>
                <w:rFonts w:hint="eastAsia" w:ascii="宋体" w:hAnsi="宋体" w:cs="宋体"/>
                <w:b/>
                <w:bCs/>
                <w:color w:val="auto"/>
                <w:szCs w:val="21"/>
                <w:highlight w:val="none"/>
              </w:rPr>
              <w:t>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 xml:space="preserve">①方案完整合理，为本项目人员提供的工资福利等有利于维持本项目人员稳定、减少人员频繁流动的风险的得4分； </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②方案基本完整，为本项目人员提供的工资福利对维持人员稳定有一定作用的得3分；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③方案不完整、为本项目人员提供的工资福利不能维持人员稳定、存在较大风险的得1分。</w:t>
            </w:r>
          </w:p>
        </w:tc>
        <w:tc>
          <w:tcPr>
            <w:tcW w:w="800" w:type="dxa"/>
            <w:vAlign w:val="center"/>
          </w:tcPr>
          <w:p>
            <w:pPr>
              <w:keepNext w:val="0"/>
              <w:keepLines w:val="0"/>
              <w:pageBreakBefore w:val="0"/>
              <w:kinsoku/>
              <w:wordWrap/>
              <w:overflowPunct/>
              <w:topLinePunct w:val="0"/>
              <w:bidi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adjustRightInd w:val="0"/>
              <w:snapToGrid w:val="0"/>
              <w:spacing w:line="360" w:lineRule="exact"/>
              <w:ind w:left="0"/>
              <w:jc w:val="center"/>
              <w:rPr>
                <w:rFonts w:ascii="宋体" w:hAnsi="宋体" w:cs="宋体"/>
                <w:color w:val="auto"/>
                <w:szCs w:val="21"/>
                <w:highlight w:val="none"/>
              </w:rPr>
            </w:pPr>
          </w:p>
        </w:tc>
        <w:tc>
          <w:tcPr>
            <w:tcW w:w="7808" w:type="dxa"/>
          </w:tcPr>
          <w:p>
            <w:pPr>
              <w:keepNext w:val="0"/>
              <w:keepLines w:val="0"/>
              <w:pageBreakBefore w:val="0"/>
              <w:kinsoku/>
              <w:wordWrap/>
              <w:overflowPunct/>
              <w:topLinePunct w:val="0"/>
              <w:bidi w:val="0"/>
              <w:spacing w:line="360" w:lineRule="exact"/>
              <w:ind w:left="0"/>
              <w:jc w:val="left"/>
              <w:rPr>
                <w:rFonts w:ascii="宋体" w:hAnsi="宋体" w:cs="宋体"/>
                <w:b/>
                <w:bCs/>
                <w:color w:val="auto"/>
                <w:szCs w:val="21"/>
                <w:highlight w:val="none"/>
              </w:rPr>
            </w:pPr>
            <w:r>
              <w:rPr>
                <w:rFonts w:hint="eastAsia" w:ascii="宋体" w:hAnsi="宋体" w:cs="宋体"/>
                <w:b/>
                <w:bCs/>
                <w:color w:val="auto"/>
                <w:szCs w:val="21"/>
                <w:highlight w:val="none"/>
              </w:rPr>
              <w:t>22、根据供应商提供的人员培训方案，包括不仅限于培训目标、培训内容、培训方式等内容进行评议（3分）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①培训方案完整，培训内容与本项目契合，培训方式具有多样性的得3分；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②培训方案基本到位，培训内容与本项目相关的得2分；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③培训方案有缺陷，培训内容与本项目无关的得1分；</w:t>
            </w:r>
          </w:p>
        </w:tc>
        <w:tc>
          <w:tcPr>
            <w:tcW w:w="800" w:type="dxa"/>
            <w:vAlign w:val="center"/>
          </w:tcPr>
          <w:p>
            <w:pPr>
              <w:keepNext w:val="0"/>
              <w:keepLines w:val="0"/>
              <w:pageBreakBefore w:val="0"/>
              <w:kinsoku/>
              <w:wordWrap/>
              <w:overflowPunct/>
              <w:topLinePunct w:val="0"/>
              <w:bidi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restart"/>
            <w:vAlign w:val="center"/>
          </w:tcPr>
          <w:p>
            <w:pPr>
              <w:keepNext w:val="0"/>
              <w:keepLines w:val="0"/>
              <w:pageBreakBefore w:val="0"/>
              <w:kinsoku/>
              <w:wordWrap/>
              <w:overflowPunct/>
              <w:topLinePunct w:val="0"/>
              <w:bidi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价格分</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分</w:t>
            </w:r>
          </w:p>
        </w:tc>
        <w:tc>
          <w:tcPr>
            <w:tcW w:w="7808" w:type="dxa"/>
            <w:vAlign w:val="center"/>
          </w:tcPr>
          <w:p>
            <w:pPr>
              <w:keepNext w:val="0"/>
              <w:keepLines w:val="0"/>
              <w:pageBreakBefore w:val="0"/>
              <w:kinsoku/>
              <w:wordWrap/>
              <w:overflowPunct/>
              <w:topLinePunct w:val="0"/>
              <w:bidi w:val="0"/>
              <w:spacing w:line="360" w:lineRule="exact"/>
              <w:ind w:left="0"/>
              <w:rPr>
                <w:rFonts w:ascii="宋体" w:hAnsi="宋体" w:cs="宋体"/>
                <w:b/>
                <w:bCs/>
                <w:color w:val="auto"/>
                <w:szCs w:val="21"/>
                <w:highlight w:val="none"/>
              </w:rPr>
            </w:pPr>
            <w:r>
              <w:rPr>
                <w:rFonts w:hint="eastAsia" w:ascii="宋体" w:hAnsi="宋体" w:cs="宋体"/>
                <w:b/>
                <w:bCs/>
                <w:color w:val="auto"/>
                <w:szCs w:val="21"/>
                <w:highlight w:val="none"/>
              </w:rPr>
              <w:t>23、</w:t>
            </w:r>
            <w:r>
              <w:rPr>
                <w:rFonts w:hint="eastAsia" w:ascii="宋体" w:hAnsi="宋体" w:cs="宋体"/>
                <w:b/>
                <w:bCs/>
                <w:color w:val="auto"/>
                <w:szCs w:val="21"/>
                <w:highlight w:val="none"/>
                <w:lang w:eastAsia="zh-CN"/>
              </w:rPr>
              <w:t>外滩院区安保服务（含停车场保安）费投标报价</w:t>
            </w: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15</w:t>
            </w:r>
            <w:r>
              <w:rPr>
                <w:rFonts w:hint="eastAsia" w:ascii="宋体" w:hAnsi="宋体" w:cs="宋体"/>
                <w:b/>
                <w:bCs/>
                <w:color w:val="auto"/>
                <w:szCs w:val="21"/>
                <w:highlight w:val="none"/>
              </w:rPr>
              <w:t>分）</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参与评审的价格=评标价</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评标基准价=满足招标文件要求且“参与评审的价格”中最低的价格</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基准价得分为满分15分，其他投标报价得分计算公式如下：</w:t>
            </w:r>
          </w:p>
          <w:p>
            <w:pPr>
              <w:keepNext w:val="0"/>
              <w:keepLines w:val="0"/>
              <w:pageBreakBefore w:val="0"/>
              <w:kinsoku/>
              <w:wordWrap/>
              <w:overflowPunct/>
              <w:topLinePunct w:val="0"/>
              <w:bidi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投标报价得分=（评标基准价/参与评审的价格）×15%×100</w:t>
            </w:r>
          </w:p>
        </w:tc>
        <w:tc>
          <w:tcPr>
            <w:tcW w:w="800" w:type="dxa"/>
            <w:vAlign w:val="center"/>
          </w:tcPr>
          <w:p>
            <w:pPr>
              <w:keepNext w:val="0"/>
              <w:keepLines w:val="0"/>
              <w:pageBreakBefore w:val="0"/>
              <w:widowControl/>
              <w:kinsoku/>
              <w:wordWrap/>
              <w:overflowPunct/>
              <w:topLinePunct w:val="0"/>
              <w:bidi w:val="0"/>
              <w:spacing w:line="360" w:lineRule="exact"/>
              <w:ind w:left="0"/>
              <w:jc w:val="center"/>
              <w:textAlignment w:val="bottom"/>
              <w:rPr>
                <w:rFonts w:hint="default" w:ascii="宋体" w:hAnsi="宋体" w:eastAsia="宋体" w:cs="宋体"/>
                <w:b/>
                <w:color w:val="auto"/>
                <w:szCs w:val="21"/>
                <w:highlight w:val="none"/>
                <w:lang w:val="en-US" w:eastAsia="zh-CN"/>
              </w:rPr>
            </w:pPr>
            <w:r>
              <w:rPr>
                <w:rFonts w:hint="eastAsia" w:ascii="宋体" w:hAnsi="宋体" w:cs="宋体"/>
                <w:color w:val="auto"/>
                <w:szCs w:val="21"/>
                <w:highlight w:val="none"/>
                <w:lang w:val="en-US" w:eastAsia="zh-CN"/>
              </w:rPr>
              <w:t>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6" w:type="dxa"/>
            <w:vMerge w:val="continue"/>
            <w:vAlign w:val="center"/>
          </w:tcPr>
          <w:p>
            <w:pPr>
              <w:keepNext w:val="0"/>
              <w:keepLines w:val="0"/>
              <w:pageBreakBefore w:val="0"/>
              <w:kinsoku/>
              <w:wordWrap/>
              <w:overflowPunct/>
              <w:topLinePunct w:val="0"/>
              <w:bidi w:val="0"/>
              <w:spacing w:line="360" w:lineRule="exact"/>
              <w:ind w:left="0"/>
              <w:jc w:val="center"/>
              <w:rPr>
                <w:rFonts w:hint="eastAsia" w:ascii="宋体" w:hAnsi="宋体" w:cs="宋体"/>
                <w:color w:val="auto"/>
                <w:szCs w:val="21"/>
                <w:highlight w:val="none"/>
              </w:rPr>
            </w:pPr>
          </w:p>
        </w:tc>
        <w:tc>
          <w:tcPr>
            <w:tcW w:w="7808" w:type="dxa"/>
            <w:vAlign w:val="center"/>
          </w:tcPr>
          <w:p>
            <w:pPr>
              <w:keepNext w:val="0"/>
              <w:keepLines w:val="0"/>
              <w:pageBreakBefore w:val="0"/>
              <w:kinsoku/>
              <w:wordWrap/>
              <w:overflowPunct/>
              <w:topLinePunct w:val="0"/>
              <w:bidi w:val="0"/>
              <w:spacing w:line="360" w:lineRule="exact"/>
              <w:ind w:left="0"/>
              <w:rPr>
                <w:rFonts w:hint="eastAsia" w:ascii="宋体" w:hAnsi="宋体" w:cs="宋体"/>
                <w:b/>
                <w:bCs/>
                <w:color w:val="auto"/>
                <w:szCs w:val="21"/>
                <w:highlight w:val="none"/>
                <w:lang w:eastAsia="zh-CN"/>
              </w:rPr>
            </w:pPr>
            <w:r>
              <w:rPr>
                <w:rFonts w:hint="eastAsia" w:ascii="宋体" w:hAnsi="宋体" w:cs="宋体"/>
                <w:b/>
                <w:bCs/>
                <w:color w:val="auto"/>
                <w:szCs w:val="21"/>
                <w:highlight w:val="none"/>
                <w:lang w:val="en-US" w:eastAsia="zh-CN"/>
              </w:rPr>
              <w:t>24、</w:t>
            </w:r>
            <w:r>
              <w:rPr>
                <w:rFonts w:hint="eastAsia" w:ascii="宋体" w:hAnsi="宋体" w:cs="宋体"/>
                <w:b/>
                <w:bCs/>
                <w:color w:val="auto"/>
                <w:szCs w:val="21"/>
                <w:highlight w:val="none"/>
                <w:lang w:eastAsia="zh-CN"/>
              </w:rPr>
              <w:t>停车收费交纳比例（</w:t>
            </w:r>
            <w:r>
              <w:rPr>
                <w:rFonts w:hint="eastAsia" w:ascii="宋体" w:hAnsi="宋体" w:cs="宋体"/>
                <w:b/>
                <w:bCs/>
                <w:color w:val="auto"/>
                <w:szCs w:val="21"/>
                <w:highlight w:val="none"/>
                <w:lang w:val="en-US" w:eastAsia="zh-CN"/>
              </w:rPr>
              <w:t>5分</w:t>
            </w:r>
            <w:r>
              <w:rPr>
                <w:rFonts w:hint="eastAsia" w:ascii="宋体" w:hAnsi="宋体" w:cs="宋体"/>
                <w:b/>
                <w:bCs/>
                <w:color w:val="auto"/>
                <w:szCs w:val="21"/>
                <w:highlight w:val="none"/>
                <w:lang w:eastAsia="zh-CN"/>
              </w:rPr>
              <w:t>）</w:t>
            </w:r>
          </w:p>
          <w:p>
            <w:pPr>
              <w:keepNext w:val="0"/>
              <w:keepLines w:val="0"/>
              <w:pageBreakBefore w:val="0"/>
              <w:kinsoku/>
              <w:wordWrap/>
              <w:overflowPunct/>
              <w:topLinePunct w:val="0"/>
              <w:bidi w:val="0"/>
              <w:spacing w:line="360" w:lineRule="exact"/>
              <w:ind w:left="0"/>
              <w:rPr>
                <w:rFonts w:hint="eastAsia" w:ascii="宋体" w:hAnsi="宋体" w:cs="宋体"/>
                <w:color w:val="auto"/>
                <w:szCs w:val="21"/>
                <w:highlight w:val="none"/>
              </w:rPr>
            </w:pPr>
            <w:r>
              <w:rPr>
                <w:rFonts w:hint="eastAsia" w:ascii="宋体" w:hAnsi="宋体" w:cs="宋体"/>
                <w:color w:val="auto"/>
                <w:szCs w:val="21"/>
                <w:highlight w:val="none"/>
              </w:rPr>
              <w:t>参与评审的价格=评标价</w:t>
            </w:r>
          </w:p>
          <w:p>
            <w:pPr>
              <w:keepNext w:val="0"/>
              <w:keepLines w:val="0"/>
              <w:pageBreakBefore w:val="0"/>
              <w:kinsoku/>
              <w:wordWrap/>
              <w:overflowPunct/>
              <w:topLinePunct w:val="0"/>
              <w:bidi w:val="0"/>
              <w:spacing w:line="360" w:lineRule="exact"/>
              <w:ind w:left="0"/>
              <w:rPr>
                <w:rFonts w:hint="eastAsia" w:ascii="宋体" w:hAnsi="宋体" w:cs="宋体"/>
                <w:color w:val="auto"/>
                <w:szCs w:val="21"/>
                <w:highlight w:val="none"/>
              </w:rPr>
            </w:pPr>
            <w:r>
              <w:rPr>
                <w:rFonts w:hint="eastAsia" w:ascii="宋体" w:hAnsi="宋体" w:cs="宋体"/>
                <w:color w:val="auto"/>
                <w:szCs w:val="21"/>
                <w:highlight w:val="none"/>
              </w:rPr>
              <w:t>评标基准价=满足招标文件要求且“参与评审的价格”中</w:t>
            </w:r>
            <w:r>
              <w:rPr>
                <w:rFonts w:hint="eastAsia" w:ascii="宋体" w:hAnsi="宋体" w:cs="宋体"/>
                <w:b/>
                <w:bCs/>
                <w:color w:val="auto"/>
                <w:szCs w:val="21"/>
                <w:highlight w:val="none"/>
              </w:rPr>
              <w:t>最</w:t>
            </w:r>
            <w:r>
              <w:rPr>
                <w:rFonts w:hint="eastAsia" w:ascii="宋体" w:hAnsi="宋体" w:cs="宋体"/>
                <w:b/>
                <w:bCs/>
                <w:color w:val="auto"/>
                <w:szCs w:val="21"/>
                <w:highlight w:val="none"/>
                <w:lang w:eastAsia="zh-CN"/>
              </w:rPr>
              <w:t>高</w:t>
            </w:r>
            <w:r>
              <w:rPr>
                <w:rFonts w:hint="eastAsia" w:ascii="宋体" w:hAnsi="宋体" w:cs="宋体"/>
                <w:color w:val="auto"/>
                <w:szCs w:val="21"/>
                <w:highlight w:val="none"/>
              </w:rPr>
              <w:t>的价格</w:t>
            </w:r>
          </w:p>
          <w:p>
            <w:pPr>
              <w:keepNext w:val="0"/>
              <w:keepLines w:val="0"/>
              <w:pageBreakBefore w:val="0"/>
              <w:kinsoku/>
              <w:wordWrap/>
              <w:overflowPunct/>
              <w:topLinePunct w:val="0"/>
              <w:bidi w:val="0"/>
              <w:spacing w:line="360" w:lineRule="exact"/>
              <w:ind w:left="0"/>
              <w:rPr>
                <w:rFonts w:hint="eastAsia" w:ascii="宋体" w:hAnsi="宋体" w:cs="宋体"/>
                <w:color w:val="auto"/>
                <w:szCs w:val="21"/>
                <w:highlight w:val="none"/>
              </w:rPr>
            </w:pPr>
            <w:r>
              <w:rPr>
                <w:rFonts w:hint="eastAsia" w:ascii="宋体" w:hAnsi="宋体" w:cs="宋体"/>
                <w:color w:val="auto"/>
                <w:szCs w:val="21"/>
                <w:highlight w:val="none"/>
              </w:rPr>
              <w:t>基准价得分为满分</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分，其他投标报价得分计算公式如下：</w:t>
            </w:r>
          </w:p>
          <w:p>
            <w:pPr>
              <w:keepNext w:val="0"/>
              <w:keepLines w:val="0"/>
              <w:pageBreakBefore w:val="0"/>
              <w:kinsoku/>
              <w:wordWrap/>
              <w:overflowPunct/>
              <w:topLinePunct w:val="0"/>
              <w:bidi w:val="0"/>
              <w:spacing w:line="360" w:lineRule="exact"/>
              <w:ind w:left="0"/>
              <w:rPr>
                <w:rFonts w:hint="default" w:eastAsia="宋体"/>
                <w:color w:val="auto"/>
                <w:highlight w:val="none"/>
                <w:lang w:val="en-US" w:eastAsia="zh-CN"/>
              </w:rPr>
            </w:pPr>
            <w:r>
              <w:rPr>
                <w:rFonts w:hint="eastAsia" w:ascii="宋体" w:hAnsi="宋体" w:cs="宋体"/>
                <w:color w:val="auto"/>
                <w:szCs w:val="21"/>
                <w:highlight w:val="none"/>
              </w:rPr>
              <w:t>投标报价得分=</w:t>
            </w:r>
            <w:r>
              <w:rPr>
                <w:rFonts w:hint="eastAsia" w:ascii="宋体" w:hAnsi="宋体" w:cs="宋体"/>
                <w:color w:val="auto"/>
                <w:szCs w:val="21"/>
                <w:highlight w:val="none"/>
                <w:lang w:eastAsia="zh-CN"/>
              </w:rPr>
              <w:t>（</w:t>
            </w:r>
            <w:r>
              <w:rPr>
                <w:rFonts w:hint="eastAsia" w:ascii="宋体" w:hAnsi="宋体" w:cs="宋体"/>
                <w:color w:val="auto"/>
                <w:szCs w:val="21"/>
                <w:highlight w:val="none"/>
              </w:rPr>
              <w:t>参与评审的价格/评标基准价</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%×100</w:t>
            </w:r>
          </w:p>
        </w:tc>
        <w:tc>
          <w:tcPr>
            <w:tcW w:w="800" w:type="dxa"/>
            <w:vAlign w:val="center"/>
          </w:tcPr>
          <w:p>
            <w:pPr>
              <w:keepNext w:val="0"/>
              <w:keepLines w:val="0"/>
              <w:pageBreakBefore w:val="0"/>
              <w:widowControl/>
              <w:kinsoku/>
              <w:wordWrap/>
              <w:overflowPunct/>
              <w:topLinePunct w:val="0"/>
              <w:bidi w:val="0"/>
              <w:spacing w:line="360" w:lineRule="exact"/>
              <w:ind w:left="0"/>
              <w:jc w:val="center"/>
              <w:textAlignment w:val="bottom"/>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54" w:type="dxa"/>
            <w:gridSpan w:val="2"/>
            <w:vAlign w:val="center"/>
          </w:tcPr>
          <w:p>
            <w:pPr>
              <w:keepNext w:val="0"/>
              <w:keepLines w:val="0"/>
              <w:pageBreakBefore w:val="0"/>
              <w:kinsoku/>
              <w:wordWrap/>
              <w:overflowPunct/>
              <w:topLinePunct w:val="0"/>
              <w:bidi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合计</w:t>
            </w:r>
          </w:p>
        </w:tc>
        <w:tc>
          <w:tcPr>
            <w:tcW w:w="800" w:type="dxa"/>
            <w:vAlign w:val="center"/>
          </w:tcPr>
          <w:p>
            <w:pPr>
              <w:keepNext w:val="0"/>
              <w:keepLines w:val="0"/>
              <w:pageBreakBefore w:val="0"/>
              <w:kinsoku/>
              <w:wordWrap/>
              <w:overflowPunct/>
              <w:topLinePunct w:val="0"/>
              <w:bidi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100</w:t>
            </w:r>
          </w:p>
        </w:tc>
      </w:tr>
    </w:tbl>
    <w:p>
      <w:pPr>
        <w:spacing w:line="400" w:lineRule="exact"/>
        <w:rPr>
          <w:rFonts w:ascii="宋体" w:hAnsi="宋体"/>
          <w:color w:val="auto"/>
          <w:szCs w:val="21"/>
          <w:highlight w:val="none"/>
        </w:rPr>
      </w:pPr>
      <w:r>
        <w:rPr>
          <w:rFonts w:hint="eastAsia" w:ascii="宋体" w:hAnsi="宋体"/>
          <w:color w:val="auto"/>
          <w:szCs w:val="21"/>
          <w:highlight w:val="none"/>
        </w:rPr>
        <w:t>注：</w:t>
      </w:r>
      <w:r>
        <w:rPr>
          <w:rFonts w:ascii="宋体" w:hAnsi="宋体"/>
          <w:color w:val="auto"/>
          <w:szCs w:val="21"/>
          <w:highlight w:val="none"/>
        </w:rPr>
        <w:t>1</w:t>
      </w:r>
      <w:r>
        <w:rPr>
          <w:rFonts w:hint="eastAsia" w:ascii="宋体" w:hAnsi="宋体"/>
          <w:color w:val="auto"/>
          <w:szCs w:val="21"/>
          <w:highlight w:val="none"/>
        </w:rPr>
        <w:t>、各评委成员自行按以上参考分值评分，评分小数点后保留一位数。</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2、表内要求提供的资料，未按要求提供的均不得分。</w:t>
      </w:r>
    </w:p>
    <w:p>
      <w:pPr>
        <w:widowControl/>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评委签名：                                                         年  月  日</w:t>
      </w:r>
    </w:p>
    <w:p>
      <w:pPr>
        <w:rPr>
          <w:color w:val="auto"/>
          <w:highlight w:val="none"/>
        </w:rPr>
      </w:pPr>
      <w:r>
        <w:rPr>
          <w:rFonts w:hint="eastAsia" w:asciiTheme="minorEastAsia" w:hAnsiTheme="minorEastAsia" w:eastAsiaTheme="minorEastAsia" w:cstheme="minorEastAsia"/>
          <w:b/>
          <w:bCs/>
          <w:color w:val="auto"/>
          <w:kern w:val="0"/>
          <w:szCs w:val="21"/>
          <w:highlight w:val="none"/>
        </w:rPr>
        <w:br w:type="page"/>
      </w:r>
    </w:p>
    <w:p>
      <w:pPr>
        <w:pStyle w:val="2"/>
        <w:ind w:firstLine="240"/>
        <w:rPr>
          <w:color w:val="auto"/>
          <w:highlight w:val="none"/>
        </w:rPr>
        <w:sectPr>
          <w:headerReference r:id="rId8" w:type="default"/>
          <w:footerReference r:id="rId9" w:type="default"/>
          <w:pgSz w:w="11907" w:h="16840"/>
          <w:pgMar w:top="851" w:right="1275" w:bottom="1134" w:left="1276" w:header="285" w:footer="418" w:gutter="0"/>
          <w:pgNumType w:fmt="decimal"/>
          <w:cols w:space="720" w:num="1"/>
          <w:docGrid w:linePitch="285" w:charSpace="0"/>
        </w:sectPr>
      </w:pPr>
    </w:p>
    <w:p>
      <w:pPr>
        <w:jc w:val="center"/>
        <w:rPr>
          <w:rFonts w:ascii="宋体" w:hAnsi="宋体"/>
          <w:b/>
          <w:color w:val="auto"/>
          <w:sz w:val="32"/>
          <w:highlight w:val="none"/>
        </w:rPr>
      </w:pPr>
      <w:bookmarkStart w:id="32" w:name="_Toc44162155"/>
      <w:r>
        <w:rPr>
          <w:rFonts w:hint="eastAsia" w:ascii="宋体" w:hAnsi="宋体"/>
          <w:b/>
          <w:color w:val="auto"/>
          <w:sz w:val="32"/>
          <w:highlight w:val="none"/>
        </w:rPr>
        <w:t>第六章  采购合同样本</w:t>
      </w:r>
    </w:p>
    <w:bookmarkEnd w:id="32"/>
    <w:p>
      <w:pPr>
        <w:pStyle w:val="27"/>
        <w:snapToGrid w:val="0"/>
        <w:spacing w:line="400" w:lineRule="exact"/>
        <w:jc w:val="center"/>
        <w:rPr>
          <w:b/>
          <w:color w:val="auto"/>
          <w:sz w:val="21"/>
          <w:szCs w:val="21"/>
          <w:highlight w:val="none"/>
        </w:rPr>
      </w:pPr>
      <w:r>
        <w:rPr>
          <w:rFonts w:hint="eastAsia"/>
          <w:b/>
          <w:color w:val="auto"/>
          <w:sz w:val="21"/>
          <w:szCs w:val="21"/>
          <w:highlight w:val="none"/>
        </w:rPr>
        <w:t>（本合同为合同样稿，最终稿由甲乙双方协商后确定）</w:t>
      </w:r>
    </w:p>
    <w:p>
      <w:pPr>
        <w:ind w:firstLine="161" w:firstLineChars="50"/>
        <w:jc w:val="center"/>
        <w:rPr>
          <w:b/>
          <w:color w:val="auto"/>
          <w:sz w:val="36"/>
          <w:szCs w:val="36"/>
          <w:highlight w:val="none"/>
        </w:rPr>
      </w:pPr>
      <w:bookmarkStart w:id="33" w:name="_Toc216662968"/>
      <w:bookmarkStart w:id="34" w:name="_Toc20389071"/>
      <w:r>
        <w:rPr>
          <w:rFonts w:hint="eastAsia"/>
          <w:b/>
          <w:color w:val="auto"/>
          <w:sz w:val="32"/>
          <w:szCs w:val="32"/>
          <w:highlight w:val="none"/>
        </w:rPr>
        <w:t>政府采购合同（签约参考）</w:t>
      </w:r>
    </w:p>
    <w:p>
      <w:pPr>
        <w:ind w:firstLine="181" w:firstLineChars="50"/>
        <w:jc w:val="center"/>
        <w:rPr>
          <w:b/>
          <w:color w:val="auto"/>
          <w:sz w:val="36"/>
          <w:szCs w:val="36"/>
          <w:highlight w:val="none"/>
        </w:rPr>
      </w:pPr>
    </w:p>
    <w:p>
      <w:pPr>
        <w:pStyle w:val="27"/>
        <w:snapToGrid w:val="0"/>
        <w:spacing w:line="400" w:lineRule="exact"/>
        <w:rPr>
          <w:color w:val="auto"/>
          <w:sz w:val="21"/>
          <w:szCs w:val="21"/>
          <w:highlight w:val="none"/>
        </w:rPr>
      </w:pPr>
      <w:r>
        <w:rPr>
          <w:color w:val="auto"/>
          <w:sz w:val="21"/>
          <w:szCs w:val="21"/>
          <w:highlight w:val="none"/>
        </w:rPr>
        <w:t xml:space="preserve">项目名称：                                     </w:t>
      </w:r>
      <w:r>
        <w:rPr>
          <w:rFonts w:hint="eastAsia"/>
          <w:color w:val="auto"/>
          <w:sz w:val="21"/>
          <w:szCs w:val="21"/>
          <w:highlight w:val="none"/>
        </w:rPr>
        <w:t>项目编号</w:t>
      </w:r>
      <w:r>
        <w:rPr>
          <w:color w:val="auto"/>
          <w:sz w:val="21"/>
          <w:szCs w:val="21"/>
          <w:highlight w:val="none"/>
        </w:rPr>
        <w:t>：</w:t>
      </w:r>
    </w:p>
    <w:p>
      <w:pPr>
        <w:widowControl/>
        <w:snapToGrid w:val="0"/>
        <w:spacing w:line="400" w:lineRule="exact"/>
        <w:jc w:val="left"/>
        <w:rPr>
          <w:rFonts w:ascii="宋体" w:hAnsi="宋体" w:cs="宋体"/>
          <w:color w:val="auto"/>
          <w:kern w:val="0"/>
          <w:szCs w:val="21"/>
          <w:highlight w:val="none"/>
        </w:rPr>
      </w:pPr>
      <w:r>
        <w:rPr>
          <w:rFonts w:ascii="宋体" w:hAnsi="宋体" w:cs="宋体"/>
          <w:color w:val="auto"/>
          <w:kern w:val="0"/>
          <w:szCs w:val="21"/>
          <w:highlight w:val="none"/>
        </w:rPr>
        <w:t>甲方：（买方）</w:t>
      </w:r>
    </w:p>
    <w:p>
      <w:pPr>
        <w:widowControl/>
        <w:snapToGrid w:val="0"/>
        <w:spacing w:line="400" w:lineRule="exact"/>
        <w:jc w:val="left"/>
        <w:rPr>
          <w:rFonts w:ascii="宋体" w:hAnsi="宋体" w:cs="宋体"/>
          <w:color w:val="auto"/>
          <w:kern w:val="0"/>
          <w:szCs w:val="21"/>
          <w:highlight w:val="none"/>
        </w:rPr>
      </w:pPr>
      <w:r>
        <w:rPr>
          <w:rFonts w:ascii="宋体" w:hAnsi="宋体" w:cs="宋体"/>
          <w:color w:val="auto"/>
          <w:kern w:val="0"/>
          <w:szCs w:val="21"/>
          <w:highlight w:val="none"/>
        </w:rPr>
        <w:t>乙方：（卖方）</w:t>
      </w:r>
    </w:p>
    <w:p>
      <w:pPr>
        <w:keepNext w:val="0"/>
        <w:keepLines w:val="0"/>
        <w:pageBreakBefore w:val="0"/>
        <w:widowControl/>
        <w:kinsoku/>
        <w:wordWrap/>
        <w:overflowPunct/>
        <w:topLinePunct w:val="0"/>
        <w:autoSpaceDE/>
        <w:autoSpaceDN/>
        <w:bidi w:val="0"/>
        <w:adjustRightInd/>
        <w:snapToGrid w:val="0"/>
        <w:spacing w:line="40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根据年月日宁波大学附属第一医院等相关服务项目（项目编号：）招标结果和招标文件的要求，并依照《中华人民共和国民法典》等有关法律、行政法规的规定，同时在平等、公平、诚实和信用的原则下，经双方协商一致，订立本合同，乙方根据甲方委托派出保安人员，负责甲方所指定区域、部位的安全防范工作，不承担甲方指定区域、部位以外的安全责任，不干涉甲方内部管理和内部行政事务及纠纷。如有重大变更或要求，甲方必须事先和乙方直属部门取得联系，达成一致协议，作为合同之补充。根据实施共同管理，分头负责的原则，经双方协商，特签订以下具体条款：</w:t>
      </w:r>
    </w:p>
    <w:p>
      <w:pPr>
        <w:spacing w:beforeLines="50" w:afterLines="50" w:line="400" w:lineRule="exact"/>
        <w:ind w:firstLine="420" w:firstLineChars="200"/>
        <w:rPr>
          <w:rFonts w:ascii="宋体" w:hAnsi="宋体"/>
          <w:color w:val="auto"/>
          <w:szCs w:val="21"/>
          <w:highlight w:val="none"/>
        </w:rPr>
      </w:pPr>
      <w:r>
        <w:rPr>
          <w:rFonts w:hint="eastAsia" w:ascii="宋体" w:hAnsi="宋体"/>
          <w:color w:val="auto"/>
          <w:szCs w:val="21"/>
          <w:highlight w:val="none"/>
        </w:rPr>
        <w:t>一、服务范围</w:t>
      </w:r>
    </w:p>
    <w:p>
      <w:pPr>
        <w:spacing w:beforeLines="50" w:afterLines="50" w:line="400" w:lineRule="exact"/>
        <w:ind w:firstLine="420" w:firstLineChars="200"/>
        <w:rPr>
          <w:rFonts w:ascii="宋体" w:hAnsi="宋体"/>
          <w:color w:val="auto"/>
          <w:szCs w:val="21"/>
          <w:highlight w:val="none"/>
        </w:rPr>
      </w:pPr>
      <w:r>
        <w:rPr>
          <w:rFonts w:ascii="宋体" w:hAnsi="宋体"/>
          <w:color w:val="auto"/>
          <w:szCs w:val="21"/>
          <w:highlight w:val="none"/>
        </w:rPr>
        <w:t xml:space="preserve">1.1 </w:t>
      </w:r>
      <w:r>
        <w:rPr>
          <w:rFonts w:hint="eastAsia" w:ascii="宋体" w:hAnsi="宋体"/>
          <w:color w:val="auto"/>
          <w:szCs w:val="21"/>
          <w:highlight w:val="none"/>
        </w:rPr>
        <w:t>乙方向甲方提供甲方所属区域</w:t>
      </w:r>
      <w:r>
        <w:rPr>
          <w:rFonts w:hint="eastAsia"/>
          <w:color w:val="auto"/>
          <w:szCs w:val="21"/>
          <w:highlight w:val="none"/>
        </w:rPr>
        <w:t>医疗秩序的维护、治安防范、消防安全以及院内人员、设备设施的安全保卫服务</w:t>
      </w:r>
      <w:r>
        <w:rPr>
          <w:rFonts w:hint="eastAsia"/>
          <w:color w:val="auto"/>
          <w:szCs w:val="21"/>
          <w:highlight w:val="none"/>
          <w:lang w:val="en-US" w:eastAsia="zh-CN"/>
        </w:rPr>
        <w:t>、停车场管理</w:t>
      </w:r>
      <w:r>
        <w:rPr>
          <w:rFonts w:hint="eastAsia"/>
          <w:color w:val="auto"/>
          <w:szCs w:val="21"/>
          <w:highlight w:val="none"/>
        </w:rPr>
        <w:t>等。</w:t>
      </w:r>
    </w:p>
    <w:p>
      <w:pPr>
        <w:spacing w:beforeLines="50" w:afterLines="50" w:line="400" w:lineRule="exact"/>
        <w:ind w:firstLine="420" w:firstLineChars="200"/>
        <w:rPr>
          <w:rFonts w:ascii="宋体" w:hAnsi="宋体"/>
          <w:color w:val="auto"/>
          <w:szCs w:val="21"/>
          <w:highlight w:val="none"/>
        </w:rPr>
      </w:pPr>
      <w:r>
        <w:rPr>
          <w:rFonts w:ascii="宋体" w:hAnsi="宋体"/>
          <w:color w:val="auto"/>
          <w:szCs w:val="21"/>
          <w:highlight w:val="none"/>
        </w:rPr>
        <w:t xml:space="preserve">1.2 </w:t>
      </w:r>
      <w:r>
        <w:rPr>
          <w:rFonts w:hint="eastAsia" w:ascii="宋体" w:hAnsi="宋体"/>
          <w:color w:val="auto"/>
          <w:szCs w:val="21"/>
          <w:highlight w:val="none"/>
        </w:rPr>
        <w:t>乙方按甲方的要求提供与保卫、安全相关的其他服务。</w:t>
      </w:r>
    </w:p>
    <w:p>
      <w:pPr>
        <w:spacing w:beforeLines="50" w:afterLines="50" w:line="400" w:lineRule="exact"/>
        <w:ind w:firstLine="420" w:firstLineChars="200"/>
        <w:rPr>
          <w:rFonts w:ascii="宋体" w:hAnsi="宋体"/>
          <w:color w:val="auto"/>
          <w:szCs w:val="21"/>
          <w:highlight w:val="none"/>
        </w:rPr>
      </w:pPr>
      <w:r>
        <w:rPr>
          <w:rFonts w:ascii="宋体" w:hAnsi="宋体"/>
          <w:color w:val="auto"/>
          <w:szCs w:val="21"/>
          <w:highlight w:val="none"/>
        </w:rPr>
        <w:t>1.3</w:t>
      </w:r>
      <w:r>
        <w:rPr>
          <w:rFonts w:hint="eastAsia" w:ascii="宋体" w:hAnsi="宋体"/>
          <w:color w:val="auto"/>
          <w:szCs w:val="21"/>
          <w:highlight w:val="none"/>
        </w:rPr>
        <w:t>未尽之处按招标文件要求。</w:t>
      </w:r>
    </w:p>
    <w:p>
      <w:pPr>
        <w:spacing w:beforeLines="50" w:afterLines="50" w:line="400" w:lineRule="exact"/>
        <w:ind w:firstLine="420" w:firstLineChars="200"/>
        <w:rPr>
          <w:rFonts w:ascii="宋体" w:hAnsi="宋体"/>
          <w:color w:val="auto"/>
          <w:szCs w:val="21"/>
          <w:highlight w:val="none"/>
        </w:rPr>
      </w:pPr>
      <w:r>
        <w:rPr>
          <w:rFonts w:hint="eastAsia" w:ascii="宋体" w:hAnsi="宋体"/>
          <w:color w:val="auto"/>
          <w:szCs w:val="21"/>
          <w:highlight w:val="none"/>
        </w:rPr>
        <w:t>二、运行方式</w:t>
      </w:r>
    </w:p>
    <w:p>
      <w:pPr>
        <w:spacing w:beforeLines="50" w:afterLines="50" w:line="400" w:lineRule="exact"/>
        <w:ind w:firstLine="420" w:firstLineChars="200"/>
        <w:rPr>
          <w:rFonts w:ascii="宋体" w:hAnsi="宋体"/>
          <w:color w:val="auto"/>
          <w:szCs w:val="21"/>
          <w:highlight w:val="none"/>
        </w:rPr>
      </w:pPr>
      <w:r>
        <w:rPr>
          <w:rFonts w:ascii="宋体" w:hAnsi="宋体"/>
          <w:color w:val="auto"/>
          <w:szCs w:val="21"/>
          <w:highlight w:val="none"/>
        </w:rPr>
        <w:t xml:space="preserve">2.1 </w:t>
      </w:r>
      <w:r>
        <w:rPr>
          <w:rFonts w:hint="eastAsia" w:ascii="宋体" w:hAnsi="宋体"/>
          <w:color w:val="auto"/>
          <w:szCs w:val="21"/>
          <w:highlight w:val="none"/>
        </w:rPr>
        <w:t>受甲方的委托乙方全权负责甲方安全保卫工作，并对甲方负责。乙方向甲方派驻保安人员，派驻的保安人员由甲乙双方共同管理。</w:t>
      </w:r>
    </w:p>
    <w:p>
      <w:pPr>
        <w:spacing w:beforeLines="50" w:afterLines="50" w:line="400" w:lineRule="exact"/>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2服务人数：</w:t>
      </w:r>
    </w:p>
    <w:p>
      <w:pPr>
        <w:spacing w:beforeLines="50" w:afterLines="50" w:line="400" w:lineRule="exact"/>
        <w:ind w:firstLine="420" w:firstLineChars="200"/>
        <w:rPr>
          <w:rFonts w:ascii="宋体" w:hAnsi="宋体"/>
          <w:color w:val="auto"/>
          <w:szCs w:val="21"/>
          <w:highlight w:val="none"/>
          <w:u w:val="none"/>
        </w:rPr>
      </w:pPr>
      <w:r>
        <w:rPr>
          <w:rFonts w:hint="eastAsia" w:ascii="宋体" w:hAnsi="宋体"/>
          <w:color w:val="auto"/>
          <w:szCs w:val="21"/>
          <w:highlight w:val="none"/>
          <w:u w:val="none"/>
        </w:rPr>
        <w:t>共计服务人数名，其中项目经理兼大队长</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rPr>
        <w:t>名，</w:t>
      </w:r>
      <w:r>
        <w:rPr>
          <w:rFonts w:hint="eastAsia" w:ascii="宋体" w:hAnsi="宋体"/>
          <w:color w:val="auto"/>
          <w:szCs w:val="21"/>
          <w:highlight w:val="none"/>
          <w:u w:val="none"/>
          <w:lang w:eastAsia="zh-CN"/>
        </w:rPr>
        <w:t>停车场队长</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名，</w:t>
      </w:r>
      <w:r>
        <w:rPr>
          <w:rFonts w:hint="eastAsia" w:ascii="宋体" w:hAnsi="宋体" w:cs="宋体"/>
          <w:bCs/>
          <w:color w:val="auto"/>
          <w:szCs w:val="21"/>
          <w:highlight w:val="none"/>
          <w:u w:val="none"/>
        </w:rPr>
        <w:t>特勤班长</w:t>
      </w:r>
      <w:r>
        <w:rPr>
          <w:rFonts w:hint="eastAsia" w:ascii="宋体" w:hAnsi="宋体" w:cs="宋体"/>
          <w:bCs/>
          <w:color w:val="auto"/>
          <w:szCs w:val="21"/>
          <w:highlight w:val="none"/>
          <w:u w:val="single"/>
          <w:lang w:val="en-US" w:eastAsia="zh-CN"/>
        </w:rPr>
        <w:t xml:space="preserve">  </w:t>
      </w:r>
      <w:r>
        <w:rPr>
          <w:rFonts w:hint="eastAsia" w:ascii="宋体" w:hAnsi="宋体"/>
          <w:color w:val="auto"/>
          <w:szCs w:val="21"/>
          <w:highlight w:val="none"/>
          <w:u w:val="none"/>
        </w:rPr>
        <w:t>名，普通保安</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rPr>
        <w:t>名（包括</w:t>
      </w:r>
      <w:r>
        <w:rPr>
          <w:rFonts w:hint="eastAsia"/>
          <w:bCs/>
          <w:color w:val="auto"/>
          <w:highlight w:val="none"/>
          <w:u w:val="none"/>
        </w:rPr>
        <w:t>日班副队长</w:t>
      </w:r>
      <w:r>
        <w:rPr>
          <w:rFonts w:hint="eastAsia"/>
          <w:bCs/>
          <w:color w:val="auto"/>
          <w:highlight w:val="none"/>
          <w:u w:val="none"/>
          <w:lang w:val="en-US" w:eastAsia="zh-CN"/>
        </w:rPr>
        <w:t xml:space="preserve">  </w:t>
      </w:r>
      <w:r>
        <w:rPr>
          <w:rFonts w:hint="eastAsia"/>
          <w:bCs/>
          <w:color w:val="auto"/>
          <w:highlight w:val="none"/>
          <w:u w:val="none"/>
        </w:rPr>
        <w:t>名，晚班副队长</w:t>
      </w:r>
      <w:r>
        <w:rPr>
          <w:rFonts w:hint="eastAsia"/>
          <w:bCs/>
          <w:color w:val="auto"/>
          <w:highlight w:val="none"/>
          <w:u w:val="none"/>
          <w:lang w:val="en-US" w:eastAsia="zh-CN"/>
        </w:rPr>
        <w:t xml:space="preserve">  </w:t>
      </w:r>
      <w:r>
        <w:rPr>
          <w:rFonts w:hint="eastAsia"/>
          <w:bCs/>
          <w:color w:val="auto"/>
          <w:highlight w:val="none"/>
          <w:u w:val="none"/>
        </w:rPr>
        <w:t>名</w:t>
      </w:r>
      <w:r>
        <w:rPr>
          <w:rFonts w:hint="eastAsia" w:ascii="宋体" w:hAnsi="宋体"/>
          <w:color w:val="auto"/>
          <w:szCs w:val="21"/>
          <w:highlight w:val="none"/>
          <w:u w:val="none"/>
        </w:rPr>
        <w:t>），消控岗位</w:t>
      </w:r>
      <w:r>
        <w:rPr>
          <w:rFonts w:hint="eastAsia" w:ascii="宋体" w:hAnsi="宋体"/>
          <w:color w:val="auto"/>
          <w:szCs w:val="21"/>
          <w:highlight w:val="none"/>
          <w:u w:val="none"/>
          <w:lang w:val="en-US" w:eastAsia="zh-CN"/>
        </w:rPr>
        <w:t xml:space="preserve">  </w:t>
      </w:r>
      <w:r>
        <w:rPr>
          <w:rFonts w:hint="eastAsia" w:ascii="宋体" w:hAnsi="宋体"/>
          <w:color w:val="auto"/>
          <w:szCs w:val="21"/>
          <w:highlight w:val="none"/>
          <w:u w:val="none"/>
        </w:rPr>
        <w:t>名，新入职特勤队员要求优秀退伍军人或身高175cm以上，大专以上学历，年龄20-35周岁的男性，录用时必须通过医院考核。普通保安人员年龄原则上不高于 55 周岁，部分条件优秀保安人员经医院保卫科审核同意后其年龄要求可适当放宽。</w:t>
      </w:r>
    </w:p>
    <w:p>
      <w:pPr>
        <w:spacing w:beforeLines="50" w:afterLines="50" w:line="400" w:lineRule="exact"/>
        <w:ind w:firstLine="420" w:firstLineChars="200"/>
        <w:rPr>
          <w:rFonts w:ascii="宋体" w:hAnsi="宋体"/>
          <w:color w:val="auto"/>
          <w:szCs w:val="21"/>
          <w:highlight w:val="none"/>
          <w:u w:val="none"/>
        </w:rPr>
      </w:pPr>
      <w:r>
        <w:rPr>
          <w:rFonts w:ascii="宋体" w:hAnsi="宋体"/>
          <w:color w:val="auto"/>
          <w:szCs w:val="21"/>
          <w:highlight w:val="none"/>
          <w:u w:val="none"/>
        </w:rPr>
        <w:t>2.</w:t>
      </w:r>
      <w:r>
        <w:rPr>
          <w:rFonts w:hint="eastAsia" w:ascii="宋体" w:hAnsi="宋体"/>
          <w:color w:val="auto"/>
          <w:szCs w:val="21"/>
          <w:highlight w:val="none"/>
          <w:u w:val="none"/>
        </w:rPr>
        <w:t>3执勤时间：</w:t>
      </w:r>
    </w:p>
    <w:p>
      <w:pPr>
        <w:spacing w:beforeLines="50" w:afterLines="50" w:line="400" w:lineRule="exact"/>
        <w:ind w:firstLine="420" w:firstLineChars="200"/>
        <w:rPr>
          <w:rFonts w:ascii="宋体" w:hAnsi="宋体" w:cs="宋体"/>
          <w:bCs/>
          <w:color w:val="auto"/>
          <w:kern w:val="0"/>
          <w:szCs w:val="21"/>
          <w:highlight w:val="none"/>
          <w:u w:val="none"/>
        </w:rPr>
      </w:pPr>
      <w:r>
        <w:rPr>
          <w:rFonts w:hint="eastAsia" w:ascii="宋体" w:hAnsi="宋体"/>
          <w:color w:val="auto"/>
          <w:szCs w:val="21"/>
          <w:highlight w:val="none"/>
          <w:u w:val="none"/>
        </w:rPr>
        <w:t>（</w:t>
      </w:r>
      <w:r>
        <w:rPr>
          <w:rFonts w:ascii="宋体" w:hAnsi="宋体"/>
          <w:color w:val="auto"/>
          <w:szCs w:val="21"/>
          <w:highlight w:val="none"/>
          <w:u w:val="none"/>
        </w:rPr>
        <w:t>1</w:t>
      </w:r>
      <w:r>
        <w:rPr>
          <w:rFonts w:hint="eastAsia" w:ascii="宋体" w:hAnsi="宋体"/>
          <w:color w:val="auto"/>
          <w:szCs w:val="21"/>
          <w:highlight w:val="none"/>
          <w:u w:val="none"/>
        </w:rPr>
        <w:t>）保安员每天工作时间为8小时，</w:t>
      </w:r>
      <w:r>
        <w:rPr>
          <w:rFonts w:hint="eastAsia" w:ascii="宋体" w:hAnsi="宋体" w:cs="宋体"/>
          <w:bCs/>
          <w:color w:val="auto"/>
          <w:szCs w:val="21"/>
          <w:highlight w:val="none"/>
          <w:u w:val="none"/>
        </w:rPr>
        <w:t>做六休一，根据岗位性质和队员的意愿，</w:t>
      </w:r>
      <w:r>
        <w:rPr>
          <w:rFonts w:hint="eastAsia" w:ascii="宋体" w:hAnsi="宋体" w:cs="宋体"/>
          <w:bCs/>
          <w:color w:val="auto"/>
          <w:kern w:val="0"/>
          <w:szCs w:val="21"/>
          <w:highlight w:val="none"/>
          <w:u w:val="none"/>
        </w:rPr>
        <w:t>可实行综合工时制，做六休一，</w:t>
      </w:r>
      <w:r>
        <w:rPr>
          <w:rFonts w:hint="eastAsia" w:ascii="宋体" w:hAnsi="宋体" w:cs="宋体"/>
          <w:bCs/>
          <w:color w:val="auto"/>
          <w:szCs w:val="21"/>
          <w:highlight w:val="none"/>
          <w:u w:val="none"/>
        </w:rPr>
        <w:t>但每天加班时间不高于4小时，</w:t>
      </w:r>
      <w:r>
        <w:rPr>
          <w:rFonts w:hint="eastAsia" w:ascii="宋体" w:hAnsi="宋体"/>
          <w:bCs/>
          <w:color w:val="auto"/>
          <w:highlight w:val="none"/>
          <w:u w:val="none"/>
        </w:rPr>
        <w:t>周工作时间原则上不超过72小时，在应急事件处理过程中延时加班须经保卫科审批，且符合法律规定</w:t>
      </w:r>
      <w:r>
        <w:rPr>
          <w:rFonts w:hint="eastAsia" w:ascii="宋体" w:hAnsi="宋体" w:cs="宋体"/>
          <w:bCs/>
          <w:color w:val="auto"/>
          <w:szCs w:val="21"/>
          <w:highlight w:val="none"/>
          <w:u w:val="none"/>
        </w:rPr>
        <w:t>。</w:t>
      </w:r>
    </w:p>
    <w:p>
      <w:pPr>
        <w:spacing w:beforeLines="50" w:afterLines="50" w:line="400" w:lineRule="exact"/>
        <w:ind w:firstLine="420" w:firstLineChars="200"/>
        <w:rPr>
          <w:rFonts w:ascii="宋体" w:hAnsi="宋体" w:cs="宋体"/>
          <w:bCs/>
          <w:color w:val="auto"/>
          <w:kern w:val="0"/>
          <w:szCs w:val="21"/>
          <w:highlight w:val="none"/>
        </w:rPr>
      </w:pPr>
      <w:r>
        <w:rPr>
          <w:rFonts w:hint="eastAsia" w:ascii="宋体" w:hAnsi="宋体"/>
          <w:color w:val="auto"/>
          <w:szCs w:val="21"/>
          <w:highlight w:val="none"/>
        </w:rPr>
        <w:t>（2）以上内容费用均包含在合同总价中。</w:t>
      </w:r>
    </w:p>
    <w:p>
      <w:pPr>
        <w:spacing w:beforeLines="50" w:afterLines="50" w:line="400" w:lineRule="exact"/>
        <w:ind w:firstLine="420" w:firstLineChars="200"/>
        <w:rPr>
          <w:rFonts w:ascii="宋体" w:hAnsi="宋体"/>
          <w:color w:val="auto"/>
          <w:szCs w:val="21"/>
          <w:highlight w:val="none"/>
        </w:rPr>
      </w:pPr>
      <w:r>
        <w:rPr>
          <w:rFonts w:ascii="宋体" w:hAnsi="宋体"/>
          <w:color w:val="auto"/>
          <w:szCs w:val="21"/>
          <w:highlight w:val="none"/>
        </w:rPr>
        <w:t xml:space="preserve">2.5 </w:t>
      </w:r>
      <w:r>
        <w:rPr>
          <w:rFonts w:hint="eastAsia" w:ascii="宋体" w:hAnsi="宋体"/>
          <w:color w:val="auto"/>
          <w:szCs w:val="21"/>
          <w:highlight w:val="none"/>
        </w:rPr>
        <w:t>保安人员在甲方因特殊工作需要或突发事件需增加保安执勤时间，其加班费用按照中标价格/12个月/</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人/208小时的价格（签订合同时附后）</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元/小时由甲方支付给乙方。</w:t>
      </w:r>
    </w:p>
    <w:p>
      <w:pPr>
        <w:spacing w:beforeLines="50" w:afterLines="50" w:line="400" w:lineRule="exact"/>
        <w:ind w:firstLine="420" w:firstLineChars="200"/>
        <w:rPr>
          <w:rFonts w:ascii="宋体" w:hAnsi="宋体"/>
          <w:color w:val="auto"/>
          <w:szCs w:val="21"/>
          <w:highlight w:val="none"/>
        </w:rPr>
      </w:pPr>
      <w:r>
        <w:rPr>
          <w:rFonts w:ascii="宋体" w:hAnsi="宋体"/>
          <w:color w:val="auto"/>
          <w:szCs w:val="21"/>
          <w:highlight w:val="none"/>
        </w:rPr>
        <w:t xml:space="preserve">2.6 </w:t>
      </w:r>
      <w:r>
        <w:rPr>
          <w:rFonts w:hint="eastAsia" w:ascii="宋体" w:hAnsi="宋体"/>
          <w:color w:val="auto"/>
          <w:szCs w:val="21"/>
          <w:highlight w:val="none"/>
        </w:rPr>
        <w:t>服务费用及支付</w:t>
      </w:r>
    </w:p>
    <w:p>
      <w:pPr>
        <w:spacing w:beforeLines="50" w:afterLines="50" w:line="400" w:lineRule="exact"/>
        <w:ind w:firstLine="422" w:firstLineChars="200"/>
        <w:rPr>
          <w:rFonts w:ascii="宋体" w:hAnsi="宋体"/>
          <w:b/>
          <w:color w:val="auto"/>
          <w:szCs w:val="21"/>
          <w:highlight w:val="none"/>
          <w:u w:val="none"/>
        </w:rPr>
      </w:pPr>
      <w:bookmarkStart w:id="35" w:name="_1560771972"/>
      <w:bookmarkEnd w:id="35"/>
      <w:bookmarkStart w:id="36" w:name="_1560772353"/>
      <w:bookmarkEnd w:id="36"/>
      <w:bookmarkStart w:id="37" w:name="_1560772587"/>
      <w:bookmarkEnd w:id="37"/>
      <w:bookmarkStart w:id="38" w:name="_1560771931"/>
      <w:bookmarkEnd w:id="38"/>
      <w:bookmarkStart w:id="39" w:name="_1560772003"/>
      <w:bookmarkEnd w:id="39"/>
      <w:bookmarkStart w:id="40" w:name="_1560771956"/>
      <w:bookmarkEnd w:id="40"/>
      <w:r>
        <w:rPr>
          <w:rFonts w:hint="eastAsia" w:ascii="宋体" w:hAnsi="宋体"/>
          <w:b/>
          <w:color w:val="auto"/>
          <w:szCs w:val="21"/>
          <w:highlight w:val="none"/>
          <w:u w:val="none"/>
        </w:rPr>
        <w:t>（1）合同总价：（签订合同时附后）；</w:t>
      </w:r>
    </w:p>
    <w:p>
      <w:pPr>
        <w:spacing w:beforeLines="50" w:afterLines="50" w:line="400" w:lineRule="exact"/>
        <w:ind w:firstLine="422" w:firstLineChars="200"/>
        <w:rPr>
          <w:rFonts w:ascii="宋体" w:hAnsi="宋体"/>
          <w:b/>
          <w:color w:val="auto"/>
          <w:szCs w:val="21"/>
          <w:highlight w:val="none"/>
          <w:u w:val="none"/>
        </w:rPr>
      </w:pPr>
      <w:r>
        <w:rPr>
          <w:rFonts w:hint="eastAsia" w:ascii="宋体" w:hAnsi="宋体"/>
          <w:b/>
          <w:color w:val="auto"/>
          <w:szCs w:val="21"/>
          <w:highlight w:val="none"/>
          <w:u w:val="none"/>
        </w:rPr>
        <w:t>（2）甲方支付乙方保安费：每月总计</w:t>
      </w:r>
      <w:r>
        <w:rPr>
          <w:rFonts w:hint="eastAsia" w:ascii="宋体" w:hAnsi="宋体"/>
          <w:b/>
          <w:color w:val="auto"/>
          <w:szCs w:val="21"/>
          <w:highlight w:val="none"/>
          <w:u w:val="single"/>
        </w:rPr>
        <w:t xml:space="preserve">           </w:t>
      </w:r>
      <w:r>
        <w:rPr>
          <w:rFonts w:hint="eastAsia" w:ascii="宋体" w:hAnsi="宋体"/>
          <w:b/>
          <w:color w:val="auto"/>
          <w:szCs w:val="21"/>
          <w:highlight w:val="none"/>
          <w:u w:val="none"/>
        </w:rPr>
        <w:t>元</w:t>
      </w:r>
    </w:p>
    <w:p>
      <w:pPr>
        <w:spacing w:beforeLines="50" w:afterLines="50" w:line="400" w:lineRule="exact"/>
        <w:ind w:firstLine="422" w:firstLineChars="200"/>
        <w:rPr>
          <w:rFonts w:ascii="宋体" w:hAnsi="宋体"/>
          <w:b/>
          <w:color w:val="auto"/>
          <w:szCs w:val="21"/>
          <w:highlight w:val="none"/>
          <w:u w:val="none"/>
        </w:rPr>
      </w:pPr>
      <w:r>
        <w:rPr>
          <w:rFonts w:hint="eastAsia" w:ascii="宋体" w:hAnsi="宋体"/>
          <w:b/>
          <w:color w:val="auto"/>
          <w:szCs w:val="21"/>
          <w:highlight w:val="none"/>
          <w:u w:val="none"/>
        </w:rPr>
        <w:t>（3）支付方式：</w:t>
      </w:r>
    </w:p>
    <w:p>
      <w:pPr>
        <w:spacing w:beforeLines="50" w:afterLines="50" w:line="400" w:lineRule="exact"/>
        <w:ind w:firstLine="422" w:firstLineChars="200"/>
        <w:rPr>
          <w:rFonts w:ascii="宋体" w:hAnsi="宋体"/>
          <w:b/>
          <w:color w:val="auto"/>
          <w:szCs w:val="21"/>
          <w:highlight w:val="none"/>
        </w:rPr>
      </w:pPr>
      <w:r>
        <w:rPr>
          <w:rFonts w:hint="eastAsia" w:ascii="宋体" w:hAnsi="宋体"/>
          <w:b/>
          <w:color w:val="auto"/>
          <w:szCs w:val="21"/>
          <w:highlight w:val="none"/>
        </w:rPr>
        <w:t>（4）付款时间：按月支付。</w:t>
      </w:r>
    </w:p>
    <w:p>
      <w:pPr>
        <w:spacing w:beforeLines="50" w:afterLines="50" w:line="400" w:lineRule="exact"/>
        <w:ind w:firstLine="420" w:firstLineChars="200"/>
        <w:rPr>
          <w:rFonts w:ascii="宋体" w:hAnsi="宋体"/>
          <w:color w:val="auto"/>
          <w:szCs w:val="21"/>
          <w:highlight w:val="none"/>
        </w:rPr>
      </w:pPr>
      <w:r>
        <w:rPr>
          <w:rFonts w:ascii="宋体" w:hAnsi="宋体"/>
          <w:color w:val="auto"/>
          <w:szCs w:val="21"/>
          <w:highlight w:val="none"/>
        </w:rPr>
        <w:t>2.6.</w:t>
      </w:r>
      <w:r>
        <w:rPr>
          <w:rFonts w:hint="eastAsia" w:ascii="宋体" w:hAnsi="宋体"/>
          <w:color w:val="auto"/>
          <w:szCs w:val="21"/>
          <w:highlight w:val="none"/>
        </w:rPr>
        <w:t>1甲方将设定不少于合同金额的</w:t>
      </w:r>
      <w:r>
        <w:rPr>
          <w:rFonts w:hint="eastAsia" w:ascii="宋体" w:hAnsi="宋体"/>
          <w:b/>
          <w:color w:val="auto"/>
          <w:szCs w:val="21"/>
          <w:highlight w:val="none"/>
        </w:rPr>
        <w:t>10%</w:t>
      </w:r>
      <w:r>
        <w:rPr>
          <w:rFonts w:hint="eastAsia" w:ascii="宋体" w:hAnsi="宋体"/>
          <w:color w:val="auto"/>
          <w:szCs w:val="21"/>
          <w:highlight w:val="none"/>
        </w:rPr>
        <w:t>作为考核金，由保卫科每月通过考核结果为依据，决定支付每月的考核金。</w:t>
      </w:r>
    </w:p>
    <w:p>
      <w:pPr>
        <w:spacing w:beforeLines="50" w:afterLines="50" w:line="400" w:lineRule="exact"/>
        <w:ind w:firstLine="420" w:firstLineChars="200"/>
        <w:rPr>
          <w:rFonts w:ascii="宋体" w:hAnsi="宋体"/>
          <w:color w:val="auto"/>
          <w:szCs w:val="21"/>
          <w:highlight w:val="none"/>
        </w:rPr>
      </w:pPr>
      <w:r>
        <w:rPr>
          <w:rFonts w:hint="eastAsia" w:ascii="宋体" w:hAnsi="宋体"/>
          <w:color w:val="auto"/>
          <w:szCs w:val="21"/>
          <w:highlight w:val="none"/>
        </w:rPr>
        <w:t>2.6.2采购人每月对中标人的合同履行情况及保安人员提供的服务质量根据医院要求进行考核。考核采取百分制：</w:t>
      </w:r>
    </w:p>
    <w:p>
      <w:pPr>
        <w:widowControl/>
        <w:spacing w:line="400" w:lineRule="exact"/>
        <w:jc w:val="left"/>
        <w:rPr>
          <w:rFonts w:ascii="宋体" w:hAnsi="宋体" w:cs="宋体"/>
          <w:b/>
          <w:color w:val="auto"/>
          <w:kern w:val="0"/>
          <w:szCs w:val="21"/>
          <w:highlight w:val="none"/>
        </w:rPr>
      </w:pPr>
      <w:r>
        <w:rPr>
          <w:rFonts w:hint="eastAsia" w:ascii="宋体" w:hAnsi="宋体" w:cs="宋体"/>
          <w:b/>
          <w:color w:val="auto"/>
          <w:highlight w:val="none"/>
        </w:rPr>
        <w:t>（</w:t>
      </w:r>
      <w:r>
        <w:rPr>
          <w:rFonts w:hint="eastAsia" w:ascii="宋体" w:hAnsi="宋体" w:cs="宋体"/>
          <w:b/>
          <w:color w:val="auto"/>
          <w:kern w:val="0"/>
          <w:szCs w:val="21"/>
          <w:highlight w:val="none"/>
        </w:rPr>
        <w:t>1）考核评分≥95分的为合格，考核合格的，支付全额当月考核金，90-95分为基本合格，扣每分扣500元；</w:t>
      </w:r>
    </w:p>
    <w:p>
      <w:pPr>
        <w:widowControl/>
        <w:spacing w:line="400" w:lineRule="exact"/>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（2）当95﹥考核评分≥85，每低于合格分(90分）1分扣2000元；</w:t>
      </w:r>
    </w:p>
    <w:p>
      <w:pPr>
        <w:widowControl/>
        <w:spacing w:line="400" w:lineRule="exact"/>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（3）当85﹥考核评分≥80，在第一档的基础上，每低于考核平均分85分1分扣5000元；</w:t>
      </w:r>
    </w:p>
    <w:p>
      <w:pPr>
        <w:widowControl/>
        <w:spacing w:line="400" w:lineRule="exact"/>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（4）考核评分低于80分的为不合格，连续三个月考核不合格的，采购人有权单方解除合同。</w:t>
      </w:r>
    </w:p>
    <w:p>
      <w:pPr>
        <w:spacing w:beforeLines="50" w:afterLines="50" w:line="400" w:lineRule="exact"/>
        <w:ind w:firstLine="525" w:firstLineChars="250"/>
        <w:rPr>
          <w:rFonts w:ascii="宋体" w:hAnsi="宋体"/>
          <w:color w:val="auto"/>
          <w:szCs w:val="21"/>
          <w:highlight w:val="none"/>
        </w:rPr>
      </w:pPr>
      <w:r>
        <w:rPr>
          <w:rFonts w:hint="eastAsia" w:ascii="宋体" w:hAnsi="宋体"/>
          <w:color w:val="auto"/>
          <w:szCs w:val="21"/>
          <w:highlight w:val="none"/>
        </w:rPr>
        <w:t>中标人需对每月的考核评分结果及相关意见、建议及时进行反馈，不断改进服务质量。</w:t>
      </w:r>
    </w:p>
    <w:p>
      <w:pPr>
        <w:spacing w:beforeLines="50" w:afterLines="50" w:line="400" w:lineRule="exact"/>
        <w:ind w:firstLine="420" w:firstLineChars="200"/>
        <w:rPr>
          <w:rFonts w:ascii="宋体" w:hAnsi="宋体"/>
          <w:color w:val="auto"/>
          <w:szCs w:val="21"/>
          <w:highlight w:val="none"/>
        </w:rPr>
      </w:pPr>
      <w:r>
        <w:rPr>
          <w:rFonts w:ascii="宋体" w:hAnsi="宋体"/>
          <w:color w:val="auto"/>
          <w:szCs w:val="21"/>
          <w:highlight w:val="none"/>
        </w:rPr>
        <w:t xml:space="preserve">2.7 </w:t>
      </w:r>
      <w:r>
        <w:rPr>
          <w:rFonts w:hint="eastAsia" w:ascii="宋体" w:hAnsi="宋体"/>
          <w:color w:val="auto"/>
          <w:szCs w:val="21"/>
          <w:highlight w:val="none"/>
        </w:rPr>
        <w:t>甲方支付乙方每人每月的保安费中含工资、奖金、法律法规规定各种社会保险费、公积金、节假日加班费、双休日加班费、交通住宿费、餐费、服装费、高温费、培训体检费、管理费、税金等费用。</w:t>
      </w:r>
    </w:p>
    <w:p>
      <w:pPr>
        <w:spacing w:line="400" w:lineRule="exact"/>
        <w:ind w:firstLine="420" w:firstLineChars="200"/>
        <w:rPr>
          <w:rFonts w:ascii="宋体"/>
          <w:color w:val="auto"/>
          <w:szCs w:val="21"/>
          <w:highlight w:val="none"/>
        </w:rPr>
      </w:pPr>
      <w:r>
        <w:rPr>
          <w:rFonts w:hint="eastAsia" w:ascii="宋体" w:hAnsi="宋体"/>
          <w:color w:val="auto"/>
          <w:szCs w:val="21"/>
          <w:highlight w:val="none"/>
        </w:rPr>
        <w:t>三、</w:t>
      </w:r>
      <w:r>
        <w:rPr>
          <w:rFonts w:hint="eastAsia" w:ascii="宋体" w:hAnsi="宋体"/>
          <w:color w:val="auto"/>
          <w:szCs w:val="21"/>
          <w:highlight w:val="none"/>
          <w:lang w:eastAsia="zh-CN"/>
        </w:rPr>
        <w:t>保安服务</w:t>
      </w:r>
      <w:r>
        <w:rPr>
          <w:rFonts w:hint="eastAsia" w:ascii="宋体" w:hAnsi="宋体"/>
          <w:color w:val="auto"/>
          <w:szCs w:val="21"/>
          <w:highlight w:val="none"/>
        </w:rPr>
        <w:t>管理</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3.1 乙方保安人员上岗必须着装（着保安服、系武装带、配警棍，关键</w:t>
      </w:r>
      <w:r>
        <w:rPr>
          <w:rFonts w:hint="eastAsia" w:ascii="宋体" w:hAnsi="宋体"/>
          <w:color w:val="auto"/>
          <w:szCs w:val="21"/>
          <w:highlight w:val="none"/>
        </w:rPr>
        <w:t>岗位</w:t>
      </w:r>
      <w:r>
        <w:rPr>
          <w:rFonts w:ascii="宋体" w:hAnsi="宋体"/>
          <w:color w:val="auto"/>
          <w:szCs w:val="21"/>
          <w:highlight w:val="none"/>
        </w:rPr>
        <w:t>和巡逻人员配对讲机），坚守岗位、履行职责、文明执勤、保守机密。</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3.2 乙方保安人员要遵守并严格执行甲方制定的所有规章制度，接受甲方的统一管理，维护甲方的利益，保障甲方的生命财产安全。</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3.3 乙方必须严格管理，制定内部规章及考核处罚规定，并严格检查考核，按月将检查考核情况报甲方管理人员。</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3.4 甲方有权随时对乙方保安人员进行检查，有权对违规或不称职保安人员提出处罚、调换的要求，乙方必须接受。</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3.5乙方对其人员须进行必要的业务培训和素质教育，做好培训记录，相关业务培训所发生的费用由乙方承担。因管理不善，保安员内部所发生的一切问题，全部责任由乙方承担。同时，保安人员在执勤期间发生致残、人身伤亡等事故，均与甲方无关，由乙方全权负责。</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3.6 保安员执勤期间由于工作失职造成甲方损失的，</w:t>
      </w:r>
      <w:r>
        <w:rPr>
          <w:rFonts w:hint="eastAsia" w:ascii="宋体" w:hAnsi="宋体"/>
          <w:color w:val="auto"/>
          <w:szCs w:val="21"/>
          <w:highlight w:val="none"/>
        </w:rPr>
        <w:t>乙方应承担相应的经济赔偿，最高不超过当月服务费的5%。</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3.7保安人员在履行合同时，在非执勤期间（指住在甲方单位）纳入属地管理，保安员不得擅自挪用甲方的公物和财产，非执勤期间发生致残、人身伤亡等事故，均与甲方无关，由乙方全权负责。</w:t>
      </w:r>
    </w:p>
    <w:p>
      <w:pPr>
        <w:pStyle w:val="3"/>
        <w:spacing w:line="400" w:lineRule="exact"/>
        <w:ind w:firstLine="400" w:firstLineChars="200"/>
        <w:rPr>
          <w:b/>
          <w:color w:val="auto"/>
          <w:sz w:val="21"/>
          <w:szCs w:val="21"/>
          <w:highlight w:val="none"/>
        </w:rPr>
      </w:pPr>
      <w:r>
        <w:rPr>
          <w:rFonts w:hint="eastAsia"/>
          <w:color w:val="auto"/>
          <w:szCs w:val="21"/>
          <w:highlight w:val="none"/>
        </w:rPr>
        <w:t>四、</w:t>
      </w:r>
      <w:r>
        <w:rPr>
          <w:rFonts w:hint="eastAsia"/>
          <w:color w:val="auto"/>
          <w:sz w:val="21"/>
          <w:szCs w:val="21"/>
          <w:highlight w:val="none"/>
        </w:rPr>
        <w:t>停车场管理：</w:t>
      </w:r>
    </w:p>
    <w:p>
      <w:pPr>
        <w:pStyle w:val="3"/>
        <w:spacing w:line="400" w:lineRule="exact"/>
        <w:ind w:firstLine="420" w:firstLineChars="200"/>
        <w:rPr>
          <w:color w:val="auto"/>
          <w:sz w:val="21"/>
          <w:szCs w:val="21"/>
          <w:highlight w:val="none"/>
        </w:rPr>
      </w:pPr>
      <w:r>
        <w:rPr>
          <w:rFonts w:hint="eastAsia"/>
          <w:color w:val="auto"/>
          <w:sz w:val="21"/>
          <w:szCs w:val="21"/>
          <w:highlight w:val="none"/>
        </w:rPr>
        <w:t>4.1、乙方必须保障院内道路畅通，维护正常的交通秩序，保障车辆安全。</w:t>
      </w:r>
    </w:p>
    <w:p>
      <w:pPr>
        <w:pStyle w:val="3"/>
        <w:spacing w:line="400" w:lineRule="exact"/>
        <w:ind w:firstLine="420" w:firstLineChars="200"/>
        <w:rPr>
          <w:color w:val="auto"/>
          <w:sz w:val="21"/>
          <w:szCs w:val="21"/>
          <w:highlight w:val="none"/>
        </w:rPr>
      </w:pPr>
      <w:r>
        <w:rPr>
          <w:rFonts w:hint="eastAsia"/>
          <w:color w:val="auto"/>
          <w:sz w:val="21"/>
          <w:szCs w:val="21"/>
          <w:highlight w:val="none"/>
        </w:rPr>
        <w:t>4.2、停车收费管理人员统一着装，维护医院形象，做到文明服务规范管理。</w:t>
      </w:r>
    </w:p>
    <w:p>
      <w:pPr>
        <w:pStyle w:val="3"/>
        <w:spacing w:line="400" w:lineRule="exact"/>
        <w:ind w:firstLine="420" w:firstLineChars="200"/>
        <w:rPr>
          <w:color w:val="auto"/>
          <w:sz w:val="21"/>
          <w:szCs w:val="21"/>
          <w:highlight w:val="none"/>
        </w:rPr>
      </w:pPr>
      <w:r>
        <w:rPr>
          <w:rFonts w:hint="eastAsia"/>
          <w:color w:val="auto"/>
          <w:sz w:val="21"/>
          <w:szCs w:val="21"/>
          <w:highlight w:val="none"/>
        </w:rPr>
        <w:t>4.3、严格执行物价部门审定的停车收费标准，不得乱收费，如有投诉并被物价部门查实的由乙方承担全部责任。</w:t>
      </w:r>
    </w:p>
    <w:p>
      <w:pPr>
        <w:pStyle w:val="3"/>
        <w:spacing w:line="400" w:lineRule="exact"/>
        <w:ind w:firstLine="420" w:firstLineChars="200"/>
        <w:rPr>
          <w:color w:val="auto"/>
          <w:sz w:val="21"/>
          <w:szCs w:val="21"/>
          <w:highlight w:val="none"/>
        </w:rPr>
      </w:pPr>
      <w:r>
        <w:rPr>
          <w:rFonts w:hint="eastAsia"/>
          <w:color w:val="auto"/>
          <w:sz w:val="21"/>
          <w:szCs w:val="21"/>
          <w:highlight w:val="none"/>
        </w:rPr>
        <w:t>4.4、停车收费系统收费情况接受甲方监管，主动上报每月停车收费情况，甲方有权实时查询调阅收费情况。</w:t>
      </w:r>
    </w:p>
    <w:p>
      <w:pPr>
        <w:pStyle w:val="3"/>
        <w:spacing w:line="400" w:lineRule="exact"/>
        <w:ind w:firstLine="420" w:firstLineChars="200"/>
        <w:rPr>
          <w:color w:val="auto"/>
          <w:sz w:val="21"/>
          <w:szCs w:val="21"/>
          <w:highlight w:val="none"/>
        </w:rPr>
      </w:pPr>
      <w:r>
        <w:rPr>
          <w:rFonts w:hint="eastAsia"/>
          <w:color w:val="auto"/>
          <w:sz w:val="21"/>
          <w:szCs w:val="21"/>
          <w:highlight w:val="none"/>
        </w:rPr>
        <w:t>4.5乙方每月10日前将上个月停车收入</w:t>
      </w:r>
      <w:r>
        <w:rPr>
          <w:rFonts w:hint="eastAsia"/>
          <w:color w:val="auto"/>
          <w:sz w:val="21"/>
          <w:szCs w:val="21"/>
          <w:highlight w:val="none"/>
          <w:u w:val="single"/>
        </w:rPr>
        <w:t xml:space="preserve">     %</w:t>
      </w:r>
      <w:r>
        <w:rPr>
          <w:rFonts w:hint="eastAsia"/>
          <w:color w:val="auto"/>
          <w:sz w:val="21"/>
          <w:szCs w:val="21"/>
          <w:highlight w:val="none"/>
        </w:rPr>
        <w:t>的金额支付给甲方（扣除医院规定的减免收项目所产生的费用后）。</w:t>
      </w:r>
    </w:p>
    <w:p>
      <w:pPr>
        <w:pStyle w:val="3"/>
        <w:spacing w:line="400" w:lineRule="exact"/>
        <w:ind w:firstLine="420" w:firstLineChars="200"/>
        <w:rPr>
          <w:color w:val="auto"/>
          <w:sz w:val="21"/>
          <w:szCs w:val="21"/>
          <w:highlight w:val="none"/>
        </w:rPr>
      </w:pPr>
      <w:r>
        <w:rPr>
          <w:rFonts w:hint="eastAsia"/>
          <w:color w:val="auto"/>
          <w:sz w:val="21"/>
          <w:szCs w:val="21"/>
          <w:highlight w:val="none"/>
        </w:rPr>
        <w:t>4.6、车辆停放期间如遇损坏、被盗等情况，由乙方承担全部责任。</w:t>
      </w:r>
    </w:p>
    <w:p>
      <w:pPr>
        <w:pStyle w:val="3"/>
        <w:spacing w:line="400" w:lineRule="exact"/>
        <w:ind w:firstLine="420" w:firstLineChars="200"/>
        <w:rPr>
          <w:color w:val="auto"/>
          <w:sz w:val="21"/>
          <w:szCs w:val="21"/>
          <w:highlight w:val="none"/>
        </w:rPr>
      </w:pPr>
      <w:r>
        <w:rPr>
          <w:rFonts w:hint="eastAsia"/>
          <w:color w:val="auto"/>
          <w:sz w:val="21"/>
          <w:szCs w:val="21"/>
          <w:highlight w:val="none"/>
        </w:rPr>
        <w:t>4.7、由乙方按规定向税务部门购买规范的停车收费收据，由此产生的工本费、税金等相关费用，由乙方全额承担。</w:t>
      </w:r>
    </w:p>
    <w:p>
      <w:pPr>
        <w:pStyle w:val="3"/>
        <w:spacing w:line="400" w:lineRule="exact"/>
        <w:ind w:firstLine="420" w:firstLineChars="200"/>
        <w:rPr>
          <w:rFonts w:hint="eastAsia"/>
          <w:color w:val="auto"/>
          <w:sz w:val="21"/>
          <w:szCs w:val="21"/>
          <w:highlight w:val="none"/>
        </w:rPr>
      </w:pPr>
      <w:r>
        <w:rPr>
          <w:rFonts w:hint="eastAsia"/>
          <w:color w:val="auto"/>
          <w:sz w:val="21"/>
          <w:szCs w:val="21"/>
          <w:highlight w:val="none"/>
        </w:rPr>
        <w:t>4.8、停车场（含机械停车库、自动化停车库）日常运行管理费、保险费（含事故保险理赔后的差额部分）由乙方全额承担。</w:t>
      </w:r>
    </w:p>
    <w:p>
      <w:pPr>
        <w:pStyle w:val="2"/>
        <w:spacing w:line="400" w:lineRule="exact"/>
        <w:ind w:firstLine="210"/>
        <w:rPr>
          <w:i w:val="0"/>
          <w:color w:val="auto"/>
          <w:sz w:val="21"/>
          <w:szCs w:val="21"/>
          <w:highlight w:val="none"/>
        </w:rPr>
      </w:pPr>
      <w:r>
        <w:rPr>
          <w:rFonts w:hint="eastAsia"/>
          <w:i w:val="0"/>
          <w:color w:val="auto"/>
          <w:sz w:val="21"/>
          <w:szCs w:val="21"/>
          <w:highlight w:val="none"/>
        </w:rPr>
        <w:t xml:space="preserve">  4.9、停车场设备设施的投入，包括但不限于停车收费系统，患者预约就诊车辆诱导的信息化对接，甬城泊车系统的对接等均由乙方提供，且合同期满后，乙方所投设备设施的产权归甲方所有。</w:t>
      </w:r>
    </w:p>
    <w:p>
      <w:pPr>
        <w:spacing w:line="400" w:lineRule="exact"/>
        <w:ind w:firstLine="420" w:firstLineChars="200"/>
        <w:rPr>
          <w:rFonts w:ascii="宋体"/>
          <w:color w:val="auto"/>
          <w:szCs w:val="21"/>
          <w:highlight w:val="none"/>
        </w:rPr>
      </w:pPr>
      <w:r>
        <w:rPr>
          <w:rFonts w:hint="eastAsia" w:ascii="宋体" w:hAnsi="宋体"/>
          <w:color w:val="auto"/>
          <w:szCs w:val="21"/>
          <w:highlight w:val="none"/>
          <w:lang w:eastAsia="zh-CN"/>
        </w:rPr>
        <w:t>五</w:t>
      </w:r>
      <w:r>
        <w:rPr>
          <w:rFonts w:hint="eastAsia" w:ascii="宋体" w:hAnsi="宋体"/>
          <w:color w:val="auto"/>
          <w:szCs w:val="21"/>
          <w:highlight w:val="none"/>
        </w:rPr>
        <w:t>、本合同如需延长或终止，双方必须提前壹个月通知对方，经双方协商确定。如单方擅自终止合同，应支付对方违约金元（月服务费）。</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六</w:t>
      </w:r>
      <w:r>
        <w:rPr>
          <w:rFonts w:hint="eastAsia" w:ascii="宋体" w:hAnsi="宋体"/>
          <w:color w:val="auto"/>
          <w:szCs w:val="21"/>
          <w:highlight w:val="none"/>
        </w:rPr>
        <w:t>、合同期内每人每月的保安服务费原则上不进行调整，如遇政府部门最低工资或个人保险调整，所有相关费用均由乙方自行承担。</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七</w:t>
      </w:r>
      <w:r>
        <w:rPr>
          <w:rFonts w:hint="eastAsia" w:ascii="宋体" w:hAnsi="宋体"/>
          <w:color w:val="auto"/>
          <w:szCs w:val="21"/>
          <w:highlight w:val="none"/>
        </w:rPr>
        <w:t>、未尽事宜，由双方协商解决，并以补充合同的方式加以确认，如协商不成，向甲方所在地人民法院提起诉讼。</w:t>
      </w:r>
    </w:p>
    <w:p>
      <w:pPr>
        <w:pStyle w:val="2"/>
        <w:spacing w:line="400" w:lineRule="exact"/>
        <w:ind w:firstLineChars="200"/>
        <w:rPr>
          <w:i w:val="0"/>
          <w:color w:val="auto"/>
          <w:sz w:val="21"/>
          <w:szCs w:val="21"/>
          <w:highlight w:val="none"/>
        </w:rPr>
      </w:pPr>
      <w:r>
        <w:rPr>
          <w:rFonts w:hint="eastAsia"/>
          <w:bCs/>
          <w:i w:val="0"/>
          <w:color w:val="auto"/>
          <w:sz w:val="21"/>
          <w:szCs w:val="21"/>
          <w:highlight w:val="none"/>
          <w:lang w:eastAsia="zh-CN"/>
        </w:rPr>
        <w:t>八</w:t>
      </w:r>
      <w:r>
        <w:rPr>
          <w:bCs/>
          <w:i w:val="0"/>
          <w:color w:val="auto"/>
          <w:sz w:val="21"/>
          <w:szCs w:val="21"/>
          <w:highlight w:val="none"/>
        </w:rPr>
        <w:t>、</w:t>
      </w:r>
      <w:r>
        <w:rPr>
          <w:i w:val="0"/>
          <w:color w:val="auto"/>
          <w:sz w:val="21"/>
          <w:szCs w:val="21"/>
          <w:highlight w:val="none"/>
        </w:rPr>
        <w:t>与本项目招标工作相关的文件资料（招标文件、投标文件、中标通知书、承诺书等）以及本合同附件均为合同的组成部分。以上文件资料如与本合同约定有出入，以本合同为准。</w:t>
      </w:r>
    </w:p>
    <w:p>
      <w:pPr>
        <w:pStyle w:val="2"/>
        <w:spacing w:line="400" w:lineRule="exact"/>
        <w:ind w:firstLineChars="200"/>
        <w:rPr>
          <w:i w:val="0"/>
          <w:color w:val="auto"/>
          <w:sz w:val="21"/>
          <w:szCs w:val="21"/>
          <w:highlight w:val="none"/>
        </w:rPr>
      </w:pPr>
      <w:r>
        <w:rPr>
          <w:rFonts w:hint="eastAsia"/>
          <w:bCs/>
          <w:i w:val="0"/>
          <w:color w:val="auto"/>
          <w:sz w:val="21"/>
          <w:szCs w:val="21"/>
          <w:highlight w:val="none"/>
          <w:lang w:eastAsia="zh-CN"/>
        </w:rPr>
        <w:t>九</w:t>
      </w:r>
      <w:r>
        <w:rPr>
          <w:bCs/>
          <w:i w:val="0"/>
          <w:color w:val="auto"/>
          <w:sz w:val="21"/>
          <w:szCs w:val="21"/>
          <w:highlight w:val="none"/>
        </w:rPr>
        <w:t>、</w:t>
      </w:r>
      <w:r>
        <w:rPr>
          <w:i w:val="0"/>
          <w:color w:val="auto"/>
          <w:sz w:val="21"/>
          <w:szCs w:val="21"/>
          <w:highlight w:val="none"/>
        </w:rPr>
        <w:t>本合同一年一签。合同期满后，经甲方考核合格，方可续订下一年合同。本协议书一式</w:t>
      </w:r>
      <w:r>
        <w:rPr>
          <w:rFonts w:hint="eastAsia"/>
          <w:i w:val="0"/>
          <w:color w:val="auto"/>
          <w:sz w:val="21"/>
          <w:szCs w:val="21"/>
          <w:highlight w:val="none"/>
          <w:u w:val="single"/>
        </w:rPr>
        <w:t xml:space="preserve"> </w:t>
      </w:r>
      <w:r>
        <w:rPr>
          <w:i w:val="0"/>
          <w:color w:val="auto"/>
          <w:sz w:val="21"/>
          <w:szCs w:val="21"/>
          <w:highlight w:val="none"/>
          <w:u w:val="single"/>
        </w:rPr>
        <w:t>肆</w:t>
      </w:r>
      <w:r>
        <w:rPr>
          <w:rFonts w:hint="eastAsia"/>
          <w:i w:val="0"/>
          <w:color w:val="auto"/>
          <w:sz w:val="21"/>
          <w:szCs w:val="21"/>
          <w:highlight w:val="none"/>
          <w:u w:val="single"/>
        </w:rPr>
        <w:t xml:space="preserve"> </w:t>
      </w:r>
      <w:r>
        <w:rPr>
          <w:i w:val="0"/>
          <w:color w:val="auto"/>
          <w:sz w:val="21"/>
          <w:szCs w:val="21"/>
          <w:highlight w:val="none"/>
        </w:rPr>
        <w:t>份，双方各执</w:t>
      </w:r>
      <w:r>
        <w:rPr>
          <w:rFonts w:hint="eastAsia"/>
          <w:i w:val="0"/>
          <w:color w:val="auto"/>
          <w:sz w:val="21"/>
          <w:szCs w:val="21"/>
          <w:highlight w:val="none"/>
          <w:u w:val="single"/>
        </w:rPr>
        <w:t xml:space="preserve"> </w:t>
      </w:r>
      <w:r>
        <w:rPr>
          <w:i w:val="0"/>
          <w:color w:val="auto"/>
          <w:sz w:val="21"/>
          <w:szCs w:val="21"/>
          <w:highlight w:val="none"/>
          <w:u w:val="single"/>
        </w:rPr>
        <w:t>贰</w:t>
      </w:r>
      <w:r>
        <w:rPr>
          <w:rFonts w:hint="eastAsia"/>
          <w:i w:val="0"/>
          <w:color w:val="auto"/>
          <w:sz w:val="21"/>
          <w:szCs w:val="21"/>
          <w:highlight w:val="none"/>
          <w:u w:val="single"/>
        </w:rPr>
        <w:t xml:space="preserve"> </w:t>
      </w:r>
      <w:r>
        <w:rPr>
          <w:i w:val="0"/>
          <w:color w:val="auto"/>
          <w:sz w:val="21"/>
          <w:szCs w:val="21"/>
          <w:highlight w:val="none"/>
        </w:rPr>
        <w:t>份，自双方签字</w:t>
      </w:r>
      <w:r>
        <w:rPr>
          <w:rFonts w:hint="eastAsia"/>
          <w:i w:val="0"/>
          <w:color w:val="auto"/>
          <w:sz w:val="21"/>
          <w:szCs w:val="21"/>
          <w:highlight w:val="none"/>
        </w:rPr>
        <w:t>、</w:t>
      </w:r>
      <w:r>
        <w:rPr>
          <w:i w:val="0"/>
          <w:color w:val="auto"/>
          <w:sz w:val="21"/>
          <w:szCs w:val="21"/>
          <w:highlight w:val="none"/>
        </w:rPr>
        <w:t>盖章之日起生效。</w:t>
      </w:r>
    </w:p>
    <w:p>
      <w:pPr>
        <w:pStyle w:val="2"/>
        <w:spacing w:line="400" w:lineRule="exact"/>
        <w:ind w:firstLine="210"/>
        <w:rPr>
          <w:i w:val="0"/>
          <w:color w:val="auto"/>
          <w:sz w:val="21"/>
          <w:szCs w:val="21"/>
          <w:highlight w:val="none"/>
        </w:rPr>
      </w:pPr>
      <w:r>
        <w:rPr>
          <w:rFonts w:hint="eastAsia"/>
          <w:i w:val="0"/>
          <w:color w:val="auto"/>
          <w:sz w:val="21"/>
          <w:szCs w:val="21"/>
          <w:highlight w:val="none"/>
          <w:lang w:eastAsia="zh-CN"/>
        </w:rPr>
        <w:t>十</w:t>
      </w:r>
      <w:r>
        <w:rPr>
          <w:i w:val="0"/>
          <w:color w:val="auto"/>
          <w:sz w:val="21"/>
          <w:szCs w:val="21"/>
          <w:highlight w:val="none"/>
        </w:rPr>
        <w:t>、附件：1</w:t>
      </w:r>
      <w:r>
        <w:rPr>
          <w:rFonts w:hint="eastAsia"/>
          <w:i w:val="0"/>
          <w:color w:val="auto"/>
          <w:sz w:val="21"/>
          <w:szCs w:val="21"/>
          <w:highlight w:val="none"/>
        </w:rPr>
        <w:t>.</w:t>
      </w:r>
      <w:r>
        <w:rPr>
          <w:i w:val="0"/>
          <w:color w:val="auto"/>
          <w:sz w:val="21"/>
          <w:szCs w:val="21"/>
          <w:highlight w:val="none"/>
        </w:rPr>
        <w:t>宁波大学附属第一医院外滩院区保安岗位设置表</w:t>
      </w:r>
    </w:p>
    <w:p>
      <w:pPr>
        <w:pStyle w:val="2"/>
        <w:spacing w:line="400" w:lineRule="exact"/>
        <w:ind w:firstLine="1260" w:firstLineChars="600"/>
        <w:rPr>
          <w:b/>
          <w:i w:val="0"/>
          <w:color w:val="auto"/>
          <w:sz w:val="21"/>
          <w:szCs w:val="21"/>
          <w:highlight w:val="none"/>
        </w:rPr>
      </w:pPr>
      <w:r>
        <w:rPr>
          <w:i w:val="0"/>
          <w:color w:val="auto"/>
          <w:sz w:val="21"/>
          <w:szCs w:val="21"/>
          <w:highlight w:val="none"/>
        </w:rPr>
        <w:t>2</w:t>
      </w:r>
      <w:r>
        <w:rPr>
          <w:rFonts w:hint="eastAsia"/>
          <w:i w:val="0"/>
          <w:color w:val="auto"/>
          <w:sz w:val="21"/>
          <w:szCs w:val="21"/>
          <w:highlight w:val="none"/>
        </w:rPr>
        <w:t>.</w:t>
      </w:r>
      <w:r>
        <w:rPr>
          <w:i w:val="0"/>
          <w:color w:val="auto"/>
          <w:sz w:val="21"/>
          <w:szCs w:val="21"/>
          <w:highlight w:val="none"/>
        </w:rPr>
        <w:t>宁波大学附属第一医院外滩院区保安服务质量考核表</w:t>
      </w:r>
    </w:p>
    <w:p>
      <w:pPr>
        <w:pStyle w:val="2"/>
        <w:spacing w:line="400" w:lineRule="exact"/>
        <w:ind w:firstLine="1260" w:firstLineChars="600"/>
        <w:rPr>
          <w:i w:val="0"/>
          <w:color w:val="auto"/>
          <w:sz w:val="21"/>
          <w:szCs w:val="21"/>
          <w:highlight w:val="none"/>
        </w:rPr>
      </w:pPr>
      <w:r>
        <w:rPr>
          <w:i w:val="0"/>
          <w:color w:val="auto"/>
          <w:sz w:val="21"/>
          <w:szCs w:val="21"/>
          <w:highlight w:val="none"/>
        </w:rPr>
        <w:t>3</w:t>
      </w:r>
      <w:r>
        <w:rPr>
          <w:rFonts w:hint="eastAsia"/>
          <w:i w:val="0"/>
          <w:color w:val="auto"/>
          <w:sz w:val="21"/>
          <w:szCs w:val="21"/>
          <w:highlight w:val="none"/>
        </w:rPr>
        <w:t>.</w:t>
      </w:r>
      <w:r>
        <w:rPr>
          <w:i w:val="0"/>
          <w:color w:val="auto"/>
          <w:sz w:val="21"/>
          <w:szCs w:val="21"/>
          <w:highlight w:val="none"/>
        </w:rPr>
        <w:t>宁波大学附属第一医院外滩院区保安服务满意度调查表</w:t>
      </w:r>
    </w:p>
    <w:p>
      <w:pPr>
        <w:spacing w:line="400" w:lineRule="exact"/>
        <w:ind w:firstLine="420" w:firstLineChars="200"/>
        <w:rPr>
          <w:rFonts w:ascii="宋体"/>
          <w:color w:val="auto"/>
          <w:szCs w:val="21"/>
          <w:highlight w:val="none"/>
        </w:rPr>
      </w:pPr>
    </w:p>
    <w:p>
      <w:pPr>
        <w:spacing w:line="400" w:lineRule="exact"/>
        <w:ind w:firstLine="420" w:firstLineChars="200"/>
        <w:rPr>
          <w:rFonts w:ascii="宋体"/>
          <w:color w:val="auto"/>
          <w:szCs w:val="21"/>
          <w:highlight w:val="none"/>
        </w:rPr>
      </w:pPr>
    </w:p>
    <w:p>
      <w:pPr>
        <w:spacing w:line="400" w:lineRule="exact"/>
        <w:ind w:firstLine="420" w:firstLineChars="200"/>
        <w:rPr>
          <w:rFonts w:ascii="宋体"/>
          <w:color w:val="auto"/>
          <w:szCs w:val="21"/>
          <w:highlight w:val="none"/>
        </w:rPr>
      </w:pPr>
      <w:r>
        <w:rPr>
          <w:rFonts w:hint="eastAsia" w:ascii="宋体"/>
          <w:color w:val="auto"/>
          <w:szCs w:val="21"/>
          <w:highlight w:val="none"/>
        </w:rPr>
        <w:t>甲方：宁波大学附属第一医院            乙方：</w:t>
      </w:r>
    </w:p>
    <w:p>
      <w:pPr>
        <w:spacing w:line="400" w:lineRule="exact"/>
        <w:ind w:firstLine="420" w:firstLineChars="200"/>
        <w:rPr>
          <w:rFonts w:ascii="宋体"/>
          <w:color w:val="auto"/>
          <w:szCs w:val="21"/>
          <w:highlight w:val="none"/>
        </w:rPr>
      </w:pPr>
      <w:r>
        <w:rPr>
          <w:rFonts w:hint="eastAsia" w:ascii="宋体"/>
          <w:color w:val="auto"/>
          <w:szCs w:val="21"/>
          <w:highlight w:val="none"/>
        </w:rPr>
        <w:t>（签章）                             （签章）</w:t>
      </w:r>
    </w:p>
    <w:p>
      <w:pPr>
        <w:spacing w:line="400" w:lineRule="exact"/>
        <w:ind w:firstLine="420" w:firstLineChars="200"/>
        <w:rPr>
          <w:rFonts w:ascii="宋体"/>
          <w:color w:val="auto"/>
          <w:szCs w:val="21"/>
          <w:highlight w:val="none"/>
        </w:rPr>
      </w:pPr>
      <w:r>
        <w:rPr>
          <w:rFonts w:hint="eastAsia" w:ascii="宋体"/>
          <w:color w:val="auto"/>
          <w:szCs w:val="21"/>
          <w:highlight w:val="none"/>
        </w:rPr>
        <w:t>法人代表或其授权代理人</w:t>
      </w:r>
      <w:r>
        <w:rPr>
          <w:rFonts w:hint="eastAsia" w:ascii="宋体"/>
          <w:color w:val="auto"/>
          <w:szCs w:val="21"/>
          <w:highlight w:val="none"/>
        </w:rPr>
        <w:tab/>
      </w:r>
      <w:r>
        <w:rPr>
          <w:rFonts w:hint="eastAsia" w:ascii="宋体"/>
          <w:color w:val="auto"/>
          <w:szCs w:val="21"/>
          <w:highlight w:val="none"/>
        </w:rPr>
        <w:t xml:space="preserve">             法人代表或其授权代理人</w:t>
      </w:r>
    </w:p>
    <w:p>
      <w:pPr>
        <w:spacing w:line="400" w:lineRule="exact"/>
        <w:ind w:firstLine="420" w:firstLineChars="200"/>
        <w:rPr>
          <w:rFonts w:ascii="宋体"/>
          <w:color w:val="auto"/>
          <w:szCs w:val="21"/>
          <w:highlight w:val="none"/>
        </w:rPr>
      </w:pPr>
      <w:r>
        <w:rPr>
          <w:rFonts w:hint="eastAsia" w:ascii="宋体"/>
          <w:color w:val="auto"/>
          <w:szCs w:val="21"/>
          <w:highlight w:val="none"/>
        </w:rPr>
        <w:t xml:space="preserve">年    月    日                      </w:t>
      </w:r>
      <w:r>
        <w:rPr>
          <w:rFonts w:hint="eastAsia" w:ascii="宋体"/>
          <w:color w:val="auto"/>
          <w:szCs w:val="21"/>
          <w:highlight w:val="none"/>
          <w:lang w:val="en-US" w:eastAsia="zh-CN"/>
        </w:rPr>
        <w:t xml:space="preserve">  </w:t>
      </w:r>
      <w:r>
        <w:rPr>
          <w:rFonts w:hint="eastAsia" w:ascii="宋体"/>
          <w:color w:val="auto"/>
          <w:szCs w:val="21"/>
          <w:highlight w:val="none"/>
        </w:rPr>
        <w:t>年    月   日</w:t>
      </w:r>
    </w:p>
    <w:p>
      <w:pPr>
        <w:spacing w:line="400" w:lineRule="exact"/>
        <w:jc w:val="center"/>
        <w:outlineLvl w:val="0"/>
        <w:rPr>
          <w:rFonts w:ascii="宋体" w:hAnsi="宋体"/>
          <w:color w:val="auto"/>
          <w:szCs w:val="21"/>
          <w:highlight w:val="none"/>
        </w:rPr>
      </w:pPr>
    </w:p>
    <w:p>
      <w:pPr>
        <w:widowControl/>
        <w:jc w:val="left"/>
        <w:rPr>
          <w:rFonts w:ascii="宋体" w:hAnsi="宋体" w:cs="宋体"/>
          <w:color w:val="auto"/>
          <w:szCs w:val="21"/>
          <w:highlight w:val="none"/>
        </w:rPr>
      </w:pPr>
    </w:p>
    <w:p>
      <w:pPr>
        <w:spacing w:line="400" w:lineRule="exact"/>
        <w:rPr>
          <w:rFonts w:ascii="宋体" w:hAnsi="宋体" w:cs="宋体"/>
          <w:color w:val="auto"/>
          <w:szCs w:val="21"/>
          <w:highlight w:val="none"/>
        </w:rPr>
      </w:pPr>
    </w:p>
    <w:bookmarkEnd w:id="33"/>
    <w:bookmarkEnd w:id="34"/>
    <w:p>
      <w:pPr>
        <w:spacing w:line="400" w:lineRule="exact"/>
        <w:jc w:val="center"/>
        <w:outlineLvl w:val="0"/>
        <w:rPr>
          <w:b/>
          <w:color w:val="auto"/>
          <w:sz w:val="32"/>
          <w:highlight w:val="none"/>
        </w:rPr>
      </w:pPr>
    </w:p>
    <w:p>
      <w:pPr>
        <w:spacing w:line="400" w:lineRule="exact"/>
        <w:jc w:val="center"/>
        <w:rPr>
          <w:rFonts w:ascii="宋体" w:hAnsi="宋体"/>
          <w:b/>
          <w:color w:val="auto"/>
          <w:sz w:val="32"/>
          <w:highlight w:val="none"/>
        </w:rPr>
        <w:sectPr>
          <w:pgSz w:w="11907" w:h="16840"/>
          <w:pgMar w:top="851" w:right="1275" w:bottom="1134" w:left="1276" w:header="285" w:footer="418" w:gutter="0"/>
          <w:pgNumType w:fmt="decimal"/>
          <w:cols w:space="720" w:num="1"/>
          <w:docGrid w:linePitch="285" w:charSpace="0"/>
        </w:sectPr>
      </w:pPr>
    </w:p>
    <w:bookmarkEnd w:id="31"/>
    <w:p>
      <w:pPr>
        <w:spacing w:line="400" w:lineRule="exact"/>
        <w:jc w:val="center"/>
        <w:outlineLvl w:val="0"/>
        <w:rPr>
          <w:rFonts w:ascii="宋体" w:hAnsi="宋体"/>
          <w:b/>
          <w:color w:val="auto"/>
          <w:sz w:val="32"/>
          <w:highlight w:val="none"/>
        </w:rPr>
      </w:pPr>
      <w:bookmarkStart w:id="41" w:name="_Toc44162156"/>
      <w:r>
        <w:rPr>
          <w:rFonts w:hint="eastAsia" w:ascii="宋体" w:hAnsi="宋体"/>
          <w:b/>
          <w:color w:val="auto"/>
          <w:sz w:val="32"/>
          <w:highlight w:val="none"/>
        </w:rPr>
        <w:t>第七章  附件</w:t>
      </w:r>
      <w:bookmarkEnd w:id="41"/>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1、投标文件的组成：</w:t>
      </w:r>
    </w:p>
    <w:p>
      <w:pPr>
        <w:spacing w:line="400" w:lineRule="exact"/>
        <w:ind w:firstLine="422" w:firstLineChars="200"/>
        <w:jc w:val="left"/>
        <w:rPr>
          <w:rFonts w:ascii="宋体" w:hAnsi="宋体"/>
          <w:b/>
          <w:bCs/>
          <w:color w:val="auto"/>
          <w:szCs w:val="21"/>
          <w:highlight w:val="none"/>
        </w:rPr>
      </w:pPr>
      <w:r>
        <w:rPr>
          <w:rFonts w:hint="eastAsia" w:ascii="宋体" w:hAnsi="宋体"/>
          <w:b/>
          <w:bCs/>
          <w:color w:val="auto"/>
          <w:szCs w:val="21"/>
          <w:highlight w:val="none"/>
        </w:rPr>
        <w:t>A、第一册：资格文件</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A1、关于资格的承诺函（</w:t>
      </w:r>
      <w:r>
        <w:rPr>
          <w:rFonts w:hint="eastAsia" w:ascii="宋体"/>
          <w:color w:val="auto"/>
          <w:szCs w:val="21"/>
          <w:highlight w:val="none"/>
        </w:rPr>
        <w:t>格式见附件</w:t>
      </w:r>
      <w:r>
        <w:rPr>
          <w:rFonts w:hint="eastAsia" w:ascii="宋体" w:hAnsi="宋体"/>
          <w:color w:val="auto"/>
          <w:szCs w:val="21"/>
          <w:highlight w:val="none"/>
        </w:rPr>
        <w:t>）；</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A</w:t>
      </w:r>
      <w:r>
        <w:rPr>
          <w:rFonts w:hint="eastAsia" w:ascii="宋体" w:hAnsi="宋体"/>
          <w:color w:val="auto"/>
          <w:szCs w:val="21"/>
          <w:highlight w:val="none"/>
        </w:rPr>
        <w:t>2、营业执照副本（或事业法人登记证副本或其他登记证明材料）扫描件加盖供应商公章（供应商如果有名称变更的，应提供由行政主管部门出具的变更证明文件扫描件加盖供应商公章）；</w:t>
      </w:r>
    </w:p>
    <w:p>
      <w:pPr>
        <w:spacing w:line="400" w:lineRule="exact"/>
        <w:ind w:firstLine="420" w:firstLineChars="200"/>
        <w:jc w:val="left"/>
        <w:rPr>
          <w:rFonts w:ascii="宋体" w:hAnsi="宋体"/>
          <w:b/>
          <w:bCs/>
          <w:color w:val="auto"/>
          <w:szCs w:val="21"/>
          <w:highlight w:val="none"/>
        </w:rPr>
      </w:pPr>
      <w:r>
        <w:rPr>
          <w:rFonts w:ascii="宋体" w:hAnsi="宋体"/>
          <w:color w:val="auto"/>
          <w:szCs w:val="21"/>
          <w:highlight w:val="none"/>
        </w:rPr>
        <w:t>A</w:t>
      </w:r>
      <w:r>
        <w:rPr>
          <w:rFonts w:hint="eastAsia" w:ascii="宋体" w:hAnsi="宋体"/>
          <w:color w:val="auto"/>
          <w:szCs w:val="21"/>
          <w:highlight w:val="none"/>
        </w:rPr>
        <w:t>3、</w:t>
      </w:r>
      <w:r>
        <w:rPr>
          <w:rFonts w:hint="eastAsia" w:ascii="宋体" w:hAnsi="宋体" w:cs="宋体"/>
          <w:color w:val="auto"/>
          <w:szCs w:val="21"/>
          <w:highlight w:val="none"/>
        </w:rPr>
        <w:t>公安机关核发的保安服务许可证</w:t>
      </w:r>
      <w:r>
        <w:rPr>
          <w:rFonts w:hint="eastAsia" w:ascii="宋体" w:hAnsi="宋体"/>
          <w:color w:val="auto"/>
          <w:szCs w:val="21"/>
          <w:highlight w:val="none"/>
        </w:rPr>
        <w:t>扫描件加盖供应商公章</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A4、</w:t>
      </w:r>
      <w:r>
        <w:rPr>
          <w:rFonts w:hint="eastAsia" w:ascii="方正书宋简体" w:hAnsi="方正书宋简体"/>
          <w:color w:val="auto"/>
          <w:szCs w:val="21"/>
          <w:highlight w:val="none"/>
        </w:rPr>
        <w:t>中小企业声明函（详见附件）</w:t>
      </w:r>
      <w:r>
        <w:rPr>
          <w:rFonts w:hint="eastAsia" w:ascii="宋体" w:hAnsi="宋体"/>
          <w:color w:val="auto"/>
          <w:szCs w:val="21"/>
          <w:highlight w:val="none"/>
        </w:rPr>
        <w:t>；</w:t>
      </w:r>
    </w:p>
    <w:p>
      <w:pPr>
        <w:spacing w:line="400" w:lineRule="exact"/>
        <w:ind w:firstLine="420" w:firstLineChars="200"/>
        <w:jc w:val="left"/>
        <w:rPr>
          <w:rFonts w:ascii="方正书宋简体" w:hAnsi="方正书宋简体"/>
          <w:color w:val="auto"/>
          <w:szCs w:val="21"/>
          <w:highlight w:val="none"/>
        </w:rPr>
      </w:pPr>
      <w:r>
        <w:rPr>
          <w:rFonts w:hint="eastAsia" w:ascii="方正书宋简体" w:hAnsi="方正书宋简体"/>
          <w:color w:val="auto"/>
          <w:szCs w:val="21"/>
          <w:highlight w:val="none"/>
        </w:rPr>
        <w:t>A5、残疾人福利性单位声明函（详见附件）；</w:t>
      </w:r>
    </w:p>
    <w:p>
      <w:pPr>
        <w:spacing w:line="400" w:lineRule="exact"/>
        <w:ind w:firstLine="420" w:firstLineChars="200"/>
        <w:jc w:val="left"/>
        <w:rPr>
          <w:rFonts w:ascii="方正书宋简体" w:hAnsi="方正书宋简体"/>
          <w:color w:val="auto"/>
          <w:szCs w:val="21"/>
          <w:highlight w:val="none"/>
        </w:rPr>
      </w:pPr>
      <w:r>
        <w:rPr>
          <w:rFonts w:hint="eastAsia" w:ascii="方正书宋简体" w:hAnsi="方正书宋简体"/>
          <w:color w:val="auto"/>
          <w:szCs w:val="21"/>
          <w:highlight w:val="none"/>
        </w:rPr>
        <w:t>A6、供应商认为需要的其他资料（如有需提供）；</w:t>
      </w:r>
    </w:p>
    <w:p>
      <w:pPr>
        <w:spacing w:line="400" w:lineRule="exact"/>
        <w:ind w:firstLine="422" w:firstLineChars="200"/>
        <w:jc w:val="left"/>
        <w:rPr>
          <w:rFonts w:ascii="宋体" w:hAnsi="宋体"/>
          <w:b/>
          <w:bCs/>
          <w:color w:val="auto"/>
          <w:szCs w:val="21"/>
          <w:highlight w:val="none"/>
        </w:rPr>
      </w:pPr>
      <w:r>
        <w:rPr>
          <w:rFonts w:hint="eastAsia" w:ascii="宋体" w:hAnsi="宋体"/>
          <w:b/>
          <w:bCs/>
          <w:color w:val="auto"/>
          <w:szCs w:val="21"/>
          <w:highlight w:val="none"/>
        </w:rPr>
        <w:t>B、第二册：商务和技术文件</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B1、投标书；</w:t>
      </w:r>
      <w:r>
        <w:rPr>
          <w:rFonts w:hint="eastAsia" w:ascii="宋体"/>
          <w:color w:val="auto"/>
          <w:szCs w:val="21"/>
          <w:highlight w:val="none"/>
        </w:rPr>
        <w:t>（格式见附件）</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B2、法定代表人身份证明；</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B3、法定代表人授权书（投标文件由授权代表签字的须提供）；</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B4、供应商一般情况表；</w:t>
      </w:r>
      <w:r>
        <w:rPr>
          <w:rFonts w:hint="eastAsia" w:ascii="宋体"/>
          <w:color w:val="auto"/>
          <w:szCs w:val="21"/>
          <w:highlight w:val="none"/>
        </w:rPr>
        <w:t>（格式见附件）</w:t>
      </w:r>
    </w:p>
    <w:p>
      <w:pPr>
        <w:spacing w:line="400" w:lineRule="exact"/>
        <w:ind w:firstLine="420" w:firstLineChars="200"/>
        <w:jc w:val="left"/>
        <w:rPr>
          <w:rFonts w:ascii="宋体"/>
          <w:color w:val="auto"/>
          <w:szCs w:val="21"/>
          <w:highlight w:val="none"/>
        </w:rPr>
      </w:pPr>
      <w:r>
        <w:rPr>
          <w:rFonts w:hint="eastAsia" w:ascii="宋体" w:hAnsi="宋体"/>
          <w:color w:val="auto"/>
          <w:szCs w:val="21"/>
          <w:highlight w:val="none"/>
        </w:rPr>
        <w:t>B5、</w:t>
      </w:r>
      <w:r>
        <w:rPr>
          <w:rFonts w:hint="eastAsia" w:ascii="宋体"/>
          <w:color w:val="auto"/>
          <w:szCs w:val="21"/>
          <w:highlight w:val="none"/>
        </w:rPr>
        <w:t>招标需求响应表；（格式见附件）</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B6、商务条款响应表；</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B7、第五章“评标办法及标准”中评分标准（兼评委打分表）要求提供的资料（如有需提供）；</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整体服务方案；</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治安维稳方案（包括策划思路、服务目标、服务内容、工作计划）；</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消控管理方案、巡查方案，包括不仅限于各环节管理方案，管理运作流程设计；</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重点区域、重点时段巡逻安保方案，包括不仅限于巡逻区域设置、巡逻时间安排、工作职责；</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lang w:eastAsia="zh-CN"/>
        </w:rPr>
        <w:t>停车场管理</w:t>
      </w:r>
      <w:r>
        <w:rPr>
          <w:rFonts w:hint="eastAsia" w:ascii="宋体" w:hAnsi="宋体"/>
          <w:color w:val="auto"/>
          <w:szCs w:val="21"/>
          <w:highlight w:val="none"/>
        </w:rPr>
        <w:t>方案，管理目标、停车引导、针对不同停车区域设置管理方案；</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重点难点问题的分析准确程度、解决方案及对本项目的合理化建议；</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7）</w:t>
      </w:r>
      <w:r>
        <w:rPr>
          <w:rFonts w:hint="eastAsia" w:ascii="宋体" w:hAnsi="宋体"/>
          <w:color w:val="auto"/>
          <w:szCs w:val="21"/>
          <w:highlight w:val="none"/>
        </w:rPr>
        <w:t>保安装备、办公设备、耗材、用品等配置情况及管理方案(提供设备器材清单一览表，并且注明品牌型号等信息)；</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8）</w:t>
      </w:r>
      <w:r>
        <w:rPr>
          <w:rFonts w:hint="eastAsia" w:ascii="宋体" w:hAnsi="宋体"/>
          <w:color w:val="auto"/>
          <w:szCs w:val="21"/>
          <w:highlight w:val="none"/>
        </w:rPr>
        <w:t>针对本项目人员管理及内部组织管理制度（工作考勤、监督管理机制及奖罚管理等）；</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9）</w:t>
      </w:r>
      <w:r>
        <w:rPr>
          <w:rFonts w:hint="eastAsia" w:ascii="宋体" w:hAnsi="宋体"/>
          <w:color w:val="auto"/>
          <w:szCs w:val="21"/>
          <w:highlight w:val="none"/>
        </w:rPr>
        <w:t>针对本项目现状的理解和服务能力分析情况；</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突发事件的响应时间及处理办法的响应承诺情况；</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11）</w:t>
      </w:r>
      <w:r>
        <w:rPr>
          <w:rFonts w:hint="eastAsia" w:ascii="宋体" w:hAnsi="宋体"/>
          <w:color w:val="auto"/>
          <w:szCs w:val="21"/>
          <w:highlight w:val="none"/>
        </w:rPr>
        <w:t>对突发性公共卫生事件（如针对传染性疾病的防控）的应急预案及相应的措施；</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12）</w:t>
      </w:r>
      <w:r>
        <w:rPr>
          <w:rFonts w:hint="eastAsia" w:ascii="宋体" w:hAnsi="宋体"/>
          <w:color w:val="auto"/>
          <w:szCs w:val="21"/>
          <w:highlight w:val="none"/>
        </w:rPr>
        <w:t>对保安服务区域内的防盗、防火的安全防范巡查、群体性事件、暴恐事件等应急预案及相应的措施；</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13）</w:t>
      </w:r>
      <w:r>
        <w:rPr>
          <w:rFonts w:hint="eastAsia" w:ascii="宋体" w:hAnsi="宋体"/>
          <w:color w:val="auto"/>
          <w:szCs w:val="21"/>
          <w:highlight w:val="none"/>
        </w:rPr>
        <w:t>处理极端天气（台风、暴雨、冻雪）应急预案及相应的措施；</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14）</w:t>
      </w:r>
      <w:r>
        <w:rPr>
          <w:rFonts w:hint="eastAsia" w:ascii="宋体" w:hAnsi="宋体"/>
          <w:color w:val="auto"/>
          <w:szCs w:val="21"/>
          <w:highlight w:val="none"/>
        </w:rPr>
        <w:t>服务支撑能力；</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 xml:space="preserve">15) </w:t>
      </w:r>
      <w:r>
        <w:rPr>
          <w:rFonts w:hint="eastAsia" w:ascii="宋体" w:hAnsi="宋体"/>
          <w:color w:val="auto"/>
          <w:szCs w:val="21"/>
          <w:highlight w:val="none"/>
        </w:rPr>
        <w:t>人员配备情况；</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 xml:space="preserve">16) </w:t>
      </w:r>
      <w:r>
        <w:rPr>
          <w:rFonts w:hint="eastAsia" w:ascii="宋体" w:hAnsi="宋体"/>
          <w:color w:val="auto"/>
          <w:szCs w:val="21"/>
          <w:highlight w:val="none"/>
        </w:rPr>
        <w:t>员工工资福利、人员稳定及人员变动应急方案；</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17）</w:t>
      </w:r>
      <w:r>
        <w:rPr>
          <w:rFonts w:hint="eastAsia" w:ascii="宋体" w:hAnsi="宋体"/>
          <w:color w:val="auto"/>
          <w:szCs w:val="21"/>
          <w:highlight w:val="none"/>
        </w:rPr>
        <w:t>人员培训方案，包括不仅限于培训目标、培训内容、培训方式等；</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B8、供应商认为需要的其他资料（如有需提供）。</w:t>
      </w:r>
    </w:p>
    <w:p>
      <w:pPr>
        <w:spacing w:line="400" w:lineRule="exact"/>
        <w:ind w:firstLine="422" w:firstLineChars="200"/>
        <w:jc w:val="left"/>
        <w:rPr>
          <w:rFonts w:ascii="宋体" w:hAnsi="宋体"/>
          <w:b/>
          <w:color w:val="auto"/>
          <w:szCs w:val="21"/>
          <w:highlight w:val="none"/>
        </w:rPr>
      </w:pPr>
      <w:r>
        <w:rPr>
          <w:rFonts w:ascii="宋体" w:hAnsi="宋体"/>
          <w:b/>
          <w:color w:val="auto"/>
          <w:szCs w:val="21"/>
          <w:highlight w:val="none"/>
        </w:rPr>
        <w:t>C</w:t>
      </w:r>
      <w:r>
        <w:rPr>
          <w:rFonts w:hint="eastAsia" w:ascii="宋体" w:hAnsi="宋体"/>
          <w:b/>
          <w:color w:val="auto"/>
          <w:szCs w:val="21"/>
          <w:highlight w:val="none"/>
        </w:rPr>
        <w:t>、第三册：报价文件</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C1</w:t>
      </w:r>
      <w:r>
        <w:rPr>
          <w:rFonts w:hint="eastAsia" w:ascii="宋体" w:hAnsi="宋体"/>
          <w:color w:val="auto"/>
          <w:szCs w:val="21"/>
          <w:highlight w:val="none"/>
        </w:rPr>
        <w:t>、开标一览表（详见附件）；</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C2、分项报价表（详见附件）；</w:t>
      </w:r>
    </w:p>
    <w:p>
      <w:pPr>
        <w:spacing w:line="400" w:lineRule="exact"/>
        <w:ind w:firstLine="420" w:firstLineChars="200"/>
        <w:jc w:val="left"/>
        <w:rPr>
          <w:rFonts w:ascii="方正书宋简体" w:hAnsi="方正书宋简体"/>
          <w:color w:val="auto"/>
          <w:szCs w:val="21"/>
          <w:highlight w:val="none"/>
        </w:rPr>
      </w:pPr>
      <w:r>
        <w:rPr>
          <w:rFonts w:hint="eastAsia" w:ascii="方正书宋简体" w:hAnsi="方正书宋简体"/>
          <w:color w:val="auto"/>
          <w:szCs w:val="21"/>
          <w:highlight w:val="none"/>
        </w:rPr>
        <w:t>C3、供应商认为需要的其他资料（如有需提供）；</w:t>
      </w:r>
    </w:p>
    <w:p>
      <w:pPr>
        <w:spacing w:line="400" w:lineRule="exact"/>
        <w:ind w:firstLine="420" w:firstLineChars="200"/>
        <w:jc w:val="left"/>
        <w:rPr>
          <w:rFonts w:ascii="方正书宋简体" w:hAnsi="方正书宋简体"/>
          <w:color w:val="auto"/>
          <w:szCs w:val="21"/>
          <w:highlight w:val="none"/>
        </w:rPr>
      </w:pPr>
    </w:p>
    <w:p>
      <w:pPr>
        <w:rPr>
          <w:rStyle w:val="138"/>
          <w:rFonts w:ascii="宋体" w:hAnsi="宋体"/>
          <w:color w:val="auto"/>
          <w:sz w:val="32"/>
          <w:szCs w:val="32"/>
          <w:highlight w:val="none"/>
        </w:rPr>
      </w:pPr>
      <w:r>
        <w:rPr>
          <w:rStyle w:val="138"/>
          <w:rFonts w:ascii="宋体" w:hAnsi="宋体"/>
          <w:color w:val="auto"/>
          <w:sz w:val="32"/>
          <w:szCs w:val="32"/>
          <w:highlight w:val="none"/>
        </w:rPr>
        <w:br w:type="page"/>
      </w:r>
    </w:p>
    <w:p>
      <w:pPr>
        <w:autoSpaceDE w:val="0"/>
        <w:autoSpaceDN w:val="0"/>
        <w:adjustRightInd w:val="0"/>
        <w:spacing w:beforeLines="400" w:line="420" w:lineRule="exact"/>
        <w:jc w:val="center"/>
        <w:rPr>
          <w:rStyle w:val="138"/>
          <w:rFonts w:ascii="宋体" w:hAnsi="宋体"/>
          <w:color w:val="auto"/>
          <w:sz w:val="32"/>
          <w:szCs w:val="32"/>
          <w:highlight w:val="none"/>
        </w:rPr>
      </w:pPr>
      <w:r>
        <w:rPr>
          <w:rStyle w:val="138"/>
          <w:rFonts w:ascii="宋体" w:hAnsi="宋体"/>
          <w:color w:val="auto"/>
          <w:sz w:val="32"/>
          <w:szCs w:val="32"/>
          <w:highlight w:val="none"/>
        </w:rPr>
        <w:t>A.</w:t>
      </w:r>
      <w:r>
        <w:rPr>
          <w:rStyle w:val="138"/>
          <w:rFonts w:hint="eastAsia" w:ascii="宋体" w:hAnsi="宋体"/>
          <w:color w:val="auto"/>
          <w:sz w:val="32"/>
          <w:szCs w:val="32"/>
          <w:highlight w:val="none"/>
        </w:rPr>
        <w:t>资格文件</w:t>
      </w:r>
    </w:p>
    <w:p>
      <w:pPr>
        <w:spacing w:line="360" w:lineRule="auto"/>
        <w:ind w:firstLine="1120" w:firstLineChars="400"/>
        <w:rPr>
          <w:rFonts w:ascii="宋体" w:hAnsi="宋体"/>
          <w:color w:val="auto"/>
          <w:sz w:val="28"/>
          <w:highlight w:val="none"/>
        </w:rPr>
      </w:pPr>
    </w:p>
    <w:p>
      <w:pPr>
        <w:spacing w:line="360" w:lineRule="auto"/>
        <w:rPr>
          <w:rFonts w:ascii="宋体" w:hAnsi="宋体"/>
          <w:b/>
          <w:color w:val="auto"/>
          <w:sz w:val="32"/>
          <w:szCs w:val="32"/>
          <w:highlight w:val="none"/>
        </w:rPr>
      </w:pPr>
      <w:r>
        <w:rPr>
          <w:rFonts w:ascii="宋体" w:hAnsi="宋体"/>
          <w:color w:val="auto"/>
          <w:sz w:val="28"/>
          <w:highlight w:val="none"/>
        </w:rPr>
        <w:br w:type="page"/>
      </w:r>
      <w:r>
        <w:rPr>
          <w:rFonts w:hint="eastAsia" w:ascii="宋体" w:hAnsi="宋体"/>
          <w:b/>
          <w:color w:val="auto"/>
          <w:sz w:val="32"/>
          <w:szCs w:val="32"/>
          <w:highlight w:val="none"/>
        </w:rPr>
        <w:t>封面</w:t>
      </w:r>
    </w:p>
    <w:p>
      <w:pPr>
        <w:spacing w:line="360" w:lineRule="auto"/>
        <w:jc w:val="right"/>
        <w:rPr>
          <w:rFonts w:ascii="宋体" w:hAnsi="宋体"/>
          <w:b/>
          <w:color w:val="auto"/>
          <w:sz w:val="32"/>
          <w:szCs w:val="32"/>
          <w:highlight w:val="none"/>
        </w:rPr>
      </w:pPr>
      <w:r>
        <w:rPr>
          <w:rFonts w:hint="eastAsia" w:ascii="宋体" w:hAnsi="宋体"/>
          <w:b/>
          <w:color w:val="auto"/>
          <w:sz w:val="32"/>
          <w:szCs w:val="32"/>
          <w:highlight w:val="none"/>
        </w:rPr>
        <w:t>正（副）本</w:t>
      </w:r>
    </w:p>
    <w:p>
      <w:pPr>
        <w:spacing w:line="360" w:lineRule="auto"/>
        <w:rPr>
          <w:rFonts w:ascii="宋体" w:hAnsi="宋体"/>
          <w:color w:val="auto"/>
          <w:sz w:val="28"/>
          <w:szCs w:val="28"/>
          <w:highlight w:val="none"/>
        </w:rPr>
      </w:pPr>
    </w:p>
    <w:p>
      <w:pPr>
        <w:spacing w:line="360" w:lineRule="auto"/>
        <w:jc w:val="center"/>
        <w:rPr>
          <w:rFonts w:hint="eastAsia" w:ascii="宋体" w:hAnsi="宋体" w:eastAsia="宋体"/>
          <w:color w:val="auto"/>
          <w:sz w:val="42"/>
          <w:szCs w:val="52"/>
          <w:highlight w:val="none"/>
          <w:lang w:eastAsia="zh-CN"/>
        </w:rPr>
      </w:pPr>
      <w:r>
        <w:rPr>
          <w:rFonts w:hint="eastAsia" w:ascii="宋体" w:hAnsi="宋体"/>
          <w:b/>
          <w:color w:val="auto"/>
          <w:sz w:val="42"/>
          <w:szCs w:val="52"/>
          <w:highlight w:val="none"/>
          <w:lang w:eastAsia="zh-CN"/>
        </w:rPr>
        <w:t>宁波大学附属第一医院外滩院区安保服务（含停车场保安）项目</w:t>
      </w:r>
    </w:p>
    <w:p>
      <w:pPr>
        <w:spacing w:line="360" w:lineRule="auto"/>
        <w:jc w:val="center"/>
        <w:rPr>
          <w:rFonts w:ascii="宋体" w:hAnsi="宋体"/>
          <w:color w:val="auto"/>
          <w:sz w:val="36"/>
          <w:szCs w:val="36"/>
          <w:highlight w:val="none"/>
          <w:u w:val="single"/>
        </w:rPr>
      </w:pPr>
      <w:r>
        <w:rPr>
          <w:rFonts w:hint="eastAsia" w:ascii="宋体" w:hAnsi="宋体"/>
          <w:color w:val="auto"/>
          <w:sz w:val="36"/>
          <w:szCs w:val="36"/>
          <w:highlight w:val="none"/>
        </w:rPr>
        <w:t>采购编号：</w:t>
      </w:r>
      <w:r>
        <w:rPr>
          <w:rFonts w:hint="eastAsia" w:ascii="宋体" w:hAnsi="宋体"/>
          <w:color w:val="auto"/>
          <w:sz w:val="36"/>
          <w:szCs w:val="36"/>
          <w:highlight w:val="none"/>
          <w:u w:val="single"/>
        </w:rPr>
        <w:t>NBITC-202311410G</w:t>
      </w:r>
    </w:p>
    <w:p>
      <w:pP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标项号：</w:t>
      </w:r>
      <w:r>
        <w:rPr>
          <w:rFonts w:hint="eastAsia" w:ascii="宋体" w:hAnsi="宋体"/>
          <w:color w:val="auto"/>
          <w:sz w:val="36"/>
          <w:szCs w:val="36"/>
          <w:highlight w:val="none"/>
          <w:u w:val="single"/>
        </w:rPr>
        <w:t>（如有多个标项）</w:t>
      </w:r>
    </w:p>
    <w:p>
      <w:pPr>
        <w:rPr>
          <w:rFonts w:ascii="宋体" w:hAnsi="宋体"/>
          <w:color w:val="auto"/>
          <w:sz w:val="28"/>
          <w:szCs w:val="28"/>
          <w:highlight w:val="none"/>
        </w:rPr>
      </w:pPr>
    </w:p>
    <w:p>
      <w:pP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（资格文件）</w:t>
      </w:r>
    </w:p>
    <w:p>
      <w:pPr>
        <w:jc w:val="center"/>
        <w:rPr>
          <w:rFonts w:ascii="宋体" w:hAnsi="宋体"/>
          <w:color w:val="auto"/>
          <w:sz w:val="28"/>
          <w:szCs w:val="28"/>
          <w:highlight w:val="none"/>
        </w:rPr>
      </w:pPr>
    </w:p>
    <w:p>
      <w:pPr>
        <w:spacing w:line="360" w:lineRule="auto"/>
        <w:jc w:val="center"/>
        <w:rPr>
          <w:rFonts w:ascii="宋体" w:hAnsi="宋体"/>
          <w:b/>
          <w:color w:val="auto"/>
          <w:sz w:val="72"/>
          <w:szCs w:val="72"/>
          <w:highlight w:val="none"/>
        </w:rPr>
      </w:pPr>
      <w:r>
        <w:rPr>
          <w:rFonts w:hint="eastAsia" w:ascii="宋体" w:hAnsi="宋体"/>
          <w:b/>
          <w:color w:val="auto"/>
          <w:sz w:val="72"/>
          <w:szCs w:val="72"/>
          <w:highlight w:val="none"/>
        </w:rPr>
        <w:t>投标文件</w:t>
      </w: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u w:val="single"/>
        </w:rPr>
      </w:pPr>
      <w:r>
        <w:rPr>
          <w:rFonts w:hint="eastAsia" w:ascii="宋体" w:hAnsi="宋体"/>
          <w:color w:val="auto"/>
          <w:sz w:val="36"/>
          <w:szCs w:val="36"/>
          <w:highlight w:val="none"/>
        </w:rPr>
        <w:t>供应商全称：</w:t>
      </w:r>
      <w:r>
        <w:rPr>
          <w:rFonts w:hint="eastAsia" w:ascii="宋体" w:hAnsi="宋体"/>
          <w:color w:val="auto"/>
          <w:sz w:val="36"/>
          <w:szCs w:val="36"/>
          <w:highlight w:val="none"/>
          <w:u w:val="single"/>
        </w:rPr>
        <w:t>（加盖单位公章）</w:t>
      </w:r>
    </w:p>
    <w:p>
      <w:pPr>
        <w:pStyle w:val="29"/>
        <w:ind w:left="101" w:leftChars="48" w:firstLine="1920" w:firstLineChars="800"/>
        <w:jc w:val="left"/>
        <w:rPr>
          <w:rFonts w:hAnsi="宋体"/>
          <w:color w:val="auto"/>
          <w:kern w:val="2"/>
          <w:szCs w:val="28"/>
          <w:highlight w:val="none"/>
          <w:u w:val="single"/>
        </w:rPr>
      </w:pPr>
    </w:p>
    <w:p>
      <w:pP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年</w:t>
      </w:r>
      <w:r>
        <w:rPr>
          <w:rFonts w:hint="eastAsia" w:ascii="宋体" w:hAnsi="宋体"/>
          <w:color w:val="auto"/>
          <w:sz w:val="36"/>
          <w:szCs w:val="36"/>
          <w:highlight w:val="none"/>
          <w:lang w:val="en-US" w:eastAsia="zh-CN"/>
        </w:rPr>
        <w:t xml:space="preserve">  </w:t>
      </w:r>
      <w:r>
        <w:rPr>
          <w:rFonts w:hint="eastAsia" w:ascii="宋体" w:hAnsi="宋体"/>
          <w:color w:val="auto"/>
          <w:sz w:val="36"/>
          <w:szCs w:val="36"/>
          <w:highlight w:val="none"/>
        </w:rPr>
        <w:t>月</w:t>
      </w:r>
      <w:r>
        <w:rPr>
          <w:rFonts w:hint="eastAsia" w:ascii="宋体" w:hAnsi="宋体"/>
          <w:color w:val="auto"/>
          <w:sz w:val="36"/>
          <w:szCs w:val="36"/>
          <w:highlight w:val="none"/>
          <w:lang w:val="en-US" w:eastAsia="zh-CN"/>
        </w:rPr>
        <w:t xml:space="preserve">  </w:t>
      </w:r>
      <w:r>
        <w:rPr>
          <w:rFonts w:hint="eastAsia" w:ascii="宋体" w:hAnsi="宋体"/>
          <w:color w:val="auto"/>
          <w:sz w:val="36"/>
          <w:szCs w:val="36"/>
          <w:highlight w:val="none"/>
        </w:rPr>
        <w:t>日</w:t>
      </w:r>
    </w:p>
    <w:p>
      <w:pPr>
        <w:spacing w:line="360" w:lineRule="auto"/>
        <w:rPr>
          <w:rStyle w:val="138"/>
          <w:rFonts w:ascii="宋体" w:hAnsi="宋体"/>
          <w:color w:val="auto"/>
          <w:szCs w:val="21"/>
          <w:highlight w:val="none"/>
        </w:rPr>
      </w:pPr>
      <w:r>
        <w:rPr>
          <w:rStyle w:val="138"/>
          <w:rFonts w:ascii="宋体" w:hAnsi="宋体"/>
          <w:color w:val="auto"/>
          <w:szCs w:val="21"/>
          <w:highlight w:val="none"/>
        </w:rPr>
        <w:br w:type="page"/>
      </w:r>
    </w:p>
    <w:p>
      <w:pPr>
        <w:spacing w:line="400" w:lineRule="exact"/>
        <w:jc w:val="center"/>
        <w:rPr>
          <w:rFonts w:ascii="宋体" w:hAnsi="宋体"/>
          <w:b/>
          <w:color w:val="auto"/>
          <w:szCs w:val="21"/>
          <w:highlight w:val="none"/>
        </w:rPr>
      </w:pPr>
      <w:r>
        <w:rPr>
          <w:rFonts w:ascii="宋体" w:hAnsi="宋体"/>
          <w:b/>
          <w:color w:val="auto"/>
          <w:szCs w:val="21"/>
          <w:highlight w:val="none"/>
        </w:rPr>
        <w:t>A1</w:t>
      </w:r>
      <w:r>
        <w:rPr>
          <w:rFonts w:hint="eastAsia" w:ascii="宋体" w:hAnsi="宋体"/>
          <w:b/>
          <w:color w:val="auto"/>
          <w:szCs w:val="21"/>
          <w:highlight w:val="none"/>
        </w:rPr>
        <w:t>、</w:t>
      </w:r>
      <w:r>
        <w:rPr>
          <w:rStyle w:val="138"/>
          <w:rFonts w:hint="eastAsia" w:ascii="宋体" w:hAnsi="宋体"/>
          <w:color w:val="auto"/>
          <w:sz w:val="21"/>
          <w:szCs w:val="21"/>
          <w:highlight w:val="none"/>
        </w:rPr>
        <w:t>关于</w:t>
      </w:r>
      <w:r>
        <w:rPr>
          <w:rFonts w:hint="eastAsia" w:ascii="宋体" w:hAnsi="宋体"/>
          <w:b/>
          <w:color w:val="auto"/>
          <w:szCs w:val="21"/>
          <w:highlight w:val="none"/>
        </w:rPr>
        <w:t>资格的承诺函</w:t>
      </w:r>
    </w:p>
    <w:p>
      <w:pPr>
        <w:spacing w:line="400" w:lineRule="exact"/>
        <w:rPr>
          <w:rFonts w:ascii="宋体" w:hAnsi="宋体"/>
          <w:b/>
          <w:color w:val="auto"/>
          <w:szCs w:val="21"/>
          <w:highlight w:val="none"/>
        </w:rPr>
      </w:pPr>
      <w:r>
        <w:rPr>
          <w:rFonts w:hint="eastAsia" w:ascii="宋体" w:hAnsi="宋体"/>
          <w:color w:val="auto"/>
          <w:szCs w:val="21"/>
          <w:highlight w:val="none"/>
        </w:rPr>
        <w:t>致：采购人</w:t>
      </w:r>
    </w:p>
    <w:p>
      <w:pPr>
        <w:spacing w:line="400" w:lineRule="exact"/>
        <w:ind w:firstLine="420" w:firstLineChars="200"/>
        <w:rPr>
          <w:rFonts w:ascii="宋体" w:hAnsi="宋体"/>
          <w:color w:val="auto"/>
          <w:szCs w:val="21"/>
          <w:highlight w:val="none"/>
        </w:rPr>
      </w:pPr>
      <w:r>
        <w:rPr>
          <w:rFonts w:hint="eastAsia" w:ascii="宋体" w:hAnsi="宋体"/>
          <w:bCs/>
          <w:color w:val="auto"/>
          <w:szCs w:val="21"/>
          <w:highlight w:val="none"/>
        </w:rPr>
        <w:t>我单位承诺：</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我单位满足《中华人民共和国政府采购法》第二十二条 供应商参加政府采购活动应当具备的下列条件：</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（一）具有独立承担民事责任的能力；</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（二）具有良好的商业信誉和健全的财务会计制度；</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（三）具有履行合同所必需的设备和专业技术能力；</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（四）有依法缴纳税收和社会保障资金的良好记录；</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（五）参加政府采购活动前三年内，在经营活动中没有重大违法记录；</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（六）法律、行政法规规定的其他条件。</w:t>
      </w:r>
    </w:p>
    <w:p>
      <w:pPr>
        <w:spacing w:line="400" w:lineRule="exact"/>
        <w:ind w:firstLine="420" w:firstLineChars="200"/>
        <w:rPr>
          <w:rFonts w:ascii="宋体" w:hAnsi="宋体"/>
          <w:color w:val="auto"/>
          <w:szCs w:val="21"/>
          <w:highlight w:val="none"/>
        </w:rPr>
      </w:pP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特此承诺。</w:t>
      </w:r>
    </w:p>
    <w:p>
      <w:pPr>
        <w:spacing w:line="400" w:lineRule="exact"/>
        <w:ind w:firstLine="420" w:firstLineChars="200"/>
        <w:rPr>
          <w:rFonts w:ascii="宋体" w:hAnsi="宋体"/>
          <w:color w:val="auto"/>
          <w:szCs w:val="21"/>
          <w:highlight w:val="none"/>
        </w:rPr>
      </w:pPr>
    </w:p>
    <w:p>
      <w:pPr>
        <w:spacing w:line="400" w:lineRule="exact"/>
        <w:ind w:firstLine="420" w:firstLineChars="200"/>
        <w:rPr>
          <w:rFonts w:ascii="宋体" w:hAnsi="宋体"/>
          <w:color w:val="auto"/>
          <w:szCs w:val="21"/>
          <w:highlight w:val="none"/>
        </w:rPr>
      </w:pPr>
    </w:p>
    <w:p>
      <w:pPr>
        <w:spacing w:line="400" w:lineRule="exact"/>
        <w:ind w:firstLine="420" w:firstLineChars="200"/>
        <w:rPr>
          <w:rFonts w:ascii="宋体" w:hAnsi="宋体"/>
          <w:color w:val="auto"/>
          <w:szCs w:val="21"/>
          <w:highlight w:val="none"/>
        </w:rPr>
      </w:pPr>
    </w:p>
    <w:p>
      <w:pPr>
        <w:spacing w:line="400" w:lineRule="exact"/>
        <w:ind w:firstLine="420" w:firstLineChars="200"/>
        <w:rPr>
          <w:rFonts w:ascii="宋体" w:hAnsi="宋体"/>
          <w:color w:val="auto"/>
          <w:szCs w:val="21"/>
          <w:highlight w:val="none"/>
        </w:rPr>
      </w:pPr>
    </w:p>
    <w:p>
      <w:pPr>
        <w:spacing w:line="400" w:lineRule="exact"/>
        <w:ind w:firstLine="420" w:firstLineChars="200"/>
        <w:rPr>
          <w:rFonts w:ascii="宋体" w:hAnsi="宋体"/>
          <w:color w:val="auto"/>
          <w:szCs w:val="21"/>
          <w:highlight w:val="none"/>
        </w:rPr>
      </w:pP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供应商（盖章）：</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日</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期：</w:t>
      </w:r>
    </w:p>
    <w:p>
      <w:pPr>
        <w:spacing w:line="400" w:lineRule="exact"/>
        <w:rPr>
          <w:rFonts w:ascii="宋体" w:hAnsi="宋体"/>
          <w:b/>
          <w:color w:val="auto"/>
          <w:szCs w:val="21"/>
          <w:highlight w:val="none"/>
        </w:rPr>
      </w:pPr>
    </w:p>
    <w:p>
      <w:pPr>
        <w:spacing w:line="400" w:lineRule="exact"/>
        <w:jc w:val="center"/>
        <w:rPr>
          <w:rFonts w:ascii="宋体" w:hAnsi="宋体"/>
          <w:b/>
          <w:color w:val="auto"/>
          <w:szCs w:val="21"/>
          <w:highlight w:val="none"/>
        </w:rPr>
      </w:pPr>
    </w:p>
    <w:p>
      <w:pPr>
        <w:spacing w:line="400" w:lineRule="exact"/>
        <w:ind w:firstLine="474" w:firstLineChars="200"/>
        <w:jc w:val="left"/>
        <w:rPr>
          <w:rFonts w:ascii="宋体" w:hAnsi="宋体"/>
          <w:b/>
          <w:bCs/>
          <w:color w:val="auto"/>
          <w:szCs w:val="21"/>
          <w:highlight w:val="none"/>
        </w:rPr>
      </w:pPr>
      <w:r>
        <w:rPr>
          <w:rStyle w:val="138"/>
          <w:rFonts w:ascii="宋体" w:hAnsi="宋体"/>
          <w:color w:val="auto"/>
          <w:szCs w:val="21"/>
          <w:highlight w:val="none"/>
        </w:rPr>
        <w:br w:type="page"/>
      </w:r>
      <w:r>
        <w:rPr>
          <w:rFonts w:ascii="宋体" w:hAnsi="宋体"/>
          <w:b/>
          <w:bCs/>
          <w:color w:val="auto"/>
          <w:szCs w:val="21"/>
          <w:highlight w:val="none"/>
        </w:rPr>
        <w:t>A</w:t>
      </w:r>
      <w:r>
        <w:rPr>
          <w:rFonts w:hint="eastAsia" w:ascii="宋体" w:hAnsi="宋体"/>
          <w:b/>
          <w:bCs/>
          <w:color w:val="auto"/>
          <w:szCs w:val="21"/>
          <w:highlight w:val="none"/>
        </w:rPr>
        <w:t>2、营业执照副本（或事业法人登记证副本或其他登记证明材料）扫描件加盖供应商公章（供应商如果有名称变更的，应提供由行政主管部门出具的变更证明文件扫描件加盖供应商公章）；</w:t>
      </w:r>
    </w:p>
    <w:p>
      <w:pPr>
        <w:spacing w:line="400" w:lineRule="exact"/>
        <w:ind w:firstLine="422" w:firstLineChars="200"/>
        <w:jc w:val="left"/>
        <w:rPr>
          <w:rFonts w:ascii="宋体" w:hAnsi="宋体"/>
          <w:b/>
          <w:bCs/>
          <w:color w:val="auto"/>
          <w:szCs w:val="21"/>
          <w:highlight w:val="none"/>
        </w:rPr>
      </w:pPr>
    </w:p>
    <w:p>
      <w:pPr>
        <w:spacing w:line="400" w:lineRule="exact"/>
        <w:ind w:firstLine="422" w:firstLineChars="200"/>
        <w:jc w:val="left"/>
        <w:rPr>
          <w:rFonts w:ascii="宋体" w:hAnsi="宋体"/>
          <w:b/>
          <w:bCs/>
          <w:color w:val="auto"/>
          <w:szCs w:val="21"/>
          <w:highlight w:val="none"/>
        </w:rPr>
      </w:pPr>
      <w:r>
        <w:rPr>
          <w:rFonts w:ascii="宋体" w:hAnsi="宋体"/>
          <w:b/>
          <w:bCs/>
          <w:color w:val="auto"/>
          <w:szCs w:val="21"/>
          <w:highlight w:val="none"/>
        </w:rPr>
        <w:t>A</w:t>
      </w:r>
      <w:r>
        <w:rPr>
          <w:rFonts w:hint="eastAsia" w:ascii="宋体" w:hAnsi="宋体"/>
          <w:b/>
          <w:bCs/>
          <w:color w:val="auto"/>
          <w:szCs w:val="21"/>
          <w:highlight w:val="none"/>
        </w:rPr>
        <w:t>3、</w:t>
      </w:r>
      <w:r>
        <w:rPr>
          <w:rFonts w:hint="eastAsia" w:ascii="宋体" w:hAnsi="宋体" w:cs="宋体"/>
          <w:b/>
          <w:bCs/>
          <w:color w:val="auto"/>
          <w:szCs w:val="21"/>
          <w:highlight w:val="none"/>
        </w:rPr>
        <w:t>公安机关核发的保安服务许可证</w:t>
      </w:r>
      <w:r>
        <w:rPr>
          <w:rFonts w:hint="eastAsia" w:ascii="宋体" w:hAnsi="宋体"/>
          <w:b/>
          <w:bCs/>
          <w:color w:val="auto"/>
          <w:szCs w:val="21"/>
          <w:highlight w:val="none"/>
        </w:rPr>
        <w:t>扫描件加盖供应商公章</w:t>
      </w:r>
    </w:p>
    <w:p>
      <w:pPr>
        <w:rPr>
          <w:rStyle w:val="138"/>
          <w:rFonts w:ascii="宋体" w:hAnsi="宋体"/>
          <w:color w:val="auto"/>
          <w:szCs w:val="21"/>
          <w:highlight w:val="none"/>
        </w:rPr>
      </w:pPr>
      <w:r>
        <w:rPr>
          <w:rStyle w:val="138"/>
          <w:rFonts w:ascii="宋体" w:hAnsi="宋体"/>
          <w:color w:val="auto"/>
          <w:szCs w:val="21"/>
          <w:highlight w:val="none"/>
        </w:rPr>
        <w:br w:type="page"/>
      </w:r>
    </w:p>
    <w:p>
      <w:pPr>
        <w:spacing w:line="400" w:lineRule="exact"/>
        <w:jc w:val="center"/>
        <w:rPr>
          <w:rFonts w:ascii="宋体" w:hAnsi="宋体"/>
          <w:b/>
          <w:color w:val="auto"/>
          <w:szCs w:val="21"/>
          <w:highlight w:val="none"/>
        </w:rPr>
      </w:pPr>
      <w:r>
        <w:rPr>
          <w:rFonts w:hint="eastAsia" w:ascii="方正书宋简体" w:hAnsi="方正书宋简体"/>
          <w:b/>
          <w:bCs/>
          <w:color w:val="auto"/>
          <w:szCs w:val="21"/>
          <w:highlight w:val="none"/>
        </w:rPr>
        <w:t>A4</w:t>
      </w:r>
      <w:r>
        <w:rPr>
          <w:rFonts w:hint="eastAsia" w:ascii="宋体" w:hAnsi="宋体"/>
          <w:b/>
          <w:color w:val="auto"/>
          <w:szCs w:val="21"/>
          <w:highlight w:val="none"/>
        </w:rPr>
        <w:t>中小企业声明函</w:t>
      </w:r>
    </w:p>
    <w:p>
      <w:pPr>
        <w:spacing w:line="400" w:lineRule="exact"/>
        <w:rPr>
          <w:rFonts w:ascii="宋体" w:hAnsi="宋体"/>
          <w:b/>
          <w:color w:val="auto"/>
          <w:szCs w:val="21"/>
          <w:highlight w:val="none"/>
        </w:rPr>
      </w:pPr>
    </w:p>
    <w:p>
      <w:pPr>
        <w:spacing w:line="440" w:lineRule="exact"/>
        <w:jc w:val="center"/>
        <w:rPr>
          <w:rFonts w:ascii="宋体" w:hAnsi="宋体"/>
          <w:b/>
          <w:color w:val="auto"/>
          <w:szCs w:val="21"/>
          <w:highlight w:val="none"/>
        </w:rPr>
      </w:pPr>
      <w:r>
        <w:rPr>
          <w:rFonts w:hint="eastAsia" w:ascii="宋体" w:hAnsi="宋体"/>
          <w:b/>
          <w:color w:val="auto"/>
          <w:highlight w:val="none"/>
        </w:rPr>
        <w:t>中小企业声明函（服务）</w:t>
      </w:r>
    </w:p>
    <w:p>
      <w:pPr>
        <w:spacing w:line="400" w:lineRule="exact"/>
        <w:rPr>
          <w:rFonts w:ascii="宋体" w:hAnsi="宋体"/>
          <w:b/>
          <w:color w:val="auto"/>
          <w:szCs w:val="21"/>
          <w:highlight w:val="none"/>
        </w:rPr>
      </w:pPr>
    </w:p>
    <w:p>
      <w:pPr>
        <w:pStyle w:val="3"/>
        <w:spacing w:line="400" w:lineRule="exact"/>
        <w:ind w:firstLine="420" w:firstLineChars="200"/>
        <w:jc w:val="left"/>
        <w:rPr>
          <w:rFonts w:cs="宋体"/>
          <w:color w:val="auto"/>
          <w:sz w:val="21"/>
          <w:szCs w:val="21"/>
          <w:highlight w:val="none"/>
        </w:rPr>
      </w:pPr>
      <w:r>
        <w:rPr>
          <w:rFonts w:hint="eastAsia" w:cs="宋体"/>
          <w:color w:val="auto"/>
          <w:sz w:val="21"/>
          <w:szCs w:val="21"/>
          <w:highlight w:val="none"/>
        </w:rPr>
        <w:t>本公司（联合体）郑重声明，根据《政府采购促进中小企业发展管理办法》（财库﹝2020﹞46 号）的规定，本公司（联合体）参加</w:t>
      </w:r>
      <w:r>
        <w:rPr>
          <w:rFonts w:hint="eastAsia" w:cs="宋体"/>
          <w:i/>
          <w:iCs/>
          <w:color w:val="auto"/>
          <w:sz w:val="21"/>
          <w:szCs w:val="21"/>
          <w:highlight w:val="none"/>
          <w:u w:val="single"/>
        </w:rPr>
        <w:t>（单位名称）</w:t>
      </w:r>
      <w:r>
        <w:rPr>
          <w:rFonts w:hint="eastAsia" w:cs="宋体"/>
          <w:color w:val="auto"/>
          <w:sz w:val="21"/>
          <w:szCs w:val="21"/>
          <w:highlight w:val="none"/>
        </w:rPr>
        <w:t>的</w:t>
      </w:r>
      <w:r>
        <w:rPr>
          <w:rFonts w:hint="eastAsia" w:cs="宋体"/>
          <w:i/>
          <w:iCs/>
          <w:color w:val="auto"/>
          <w:sz w:val="21"/>
          <w:szCs w:val="21"/>
          <w:highlight w:val="none"/>
          <w:u w:val="single"/>
        </w:rPr>
        <w:t>（项目名称）</w:t>
      </w:r>
      <w:r>
        <w:rPr>
          <w:rFonts w:hint="eastAsia" w:cs="宋体"/>
          <w:color w:val="auto"/>
          <w:sz w:val="21"/>
          <w:szCs w:val="21"/>
          <w:highlight w:val="none"/>
        </w:rPr>
        <w:t>采购活动，服务全部由符合政策要求的中小企业承接。相关企业（含联合体中的中小企业、签订分包意向协议的中小企业）的具体情况如下：</w:t>
      </w:r>
    </w:p>
    <w:p>
      <w:pPr>
        <w:pStyle w:val="3"/>
        <w:spacing w:line="400" w:lineRule="exact"/>
        <w:ind w:firstLine="420" w:firstLineChars="200"/>
        <w:rPr>
          <w:rFonts w:cs="宋体"/>
          <w:color w:val="auto"/>
          <w:sz w:val="21"/>
          <w:szCs w:val="21"/>
          <w:highlight w:val="none"/>
        </w:rPr>
      </w:pPr>
      <w:r>
        <w:rPr>
          <w:rFonts w:hint="eastAsia" w:cs="宋体"/>
          <w:color w:val="auto"/>
          <w:sz w:val="21"/>
          <w:szCs w:val="21"/>
          <w:highlight w:val="none"/>
        </w:rPr>
        <w:t>1.</w:t>
      </w:r>
      <w:r>
        <w:rPr>
          <w:rFonts w:hint="eastAsia" w:cs="宋体"/>
          <w:color w:val="auto"/>
          <w:sz w:val="21"/>
          <w:szCs w:val="21"/>
          <w:highlight w:val="none"/>
          <w:u w:val="single"/>
        </w:rPr>
        <w:t>（</w:t>
      </w:r>
      <w:r>
        <w:rPr>
          <w:rFonts w:hint="eastAsia" w:cs="宋体"/>
          <w:color w:val="auto"/>
          <w:sz w:val="21"/>
          <w:szCs w:val="21"/>
          <w:highlight w:val="none"/>
          <w:u w:val="single"/>
          <w:lang w:eastAsia="zh-CN"/>
        </w:rPr>
        <w:t>外滩院区安保服务（含停车场保安）</w:t>
      </w:r>
      <w:r>
        <w:rPr>
          <w:rFonts w:hint="eastAsia" w:cs="宋体"/>
          <w:color w:val="auto"/>
          <w:sz w:val="21"/>
          <w:szCs w:val="21"/>
          <w:highlight w:val="none"/>
          <w:u w:val="single"/>
        </w:rPr>
        <w:t>）</w:t>
      </w:r>
      <w:r>
        <w:rPr>
          <w:rFonts w:hint="eastAsia" w:cs="宋体"/>
          <w:color w:val="auto"/>
          <w:sz w:val="21"/>
          <w:szCs w:val="21"/>
          <w:highlight w:val="none"/>
        </w:rPr>
        <w:t>，属于</w:t>
      </w:r>
      <w:r>
        <w:rPr>
          <w:rFonts w:hint="eastAsia" w:cs="宋体"/>
          <w:color w:val="auto"/>
          <w:sz w:val="21"/>
          <w:szCs w:val="21"/>
          <w:highlight w:val="none"/>
          <w:u w:val="single"/>
        </w:rPr>
        <w:t>（</w:t>
      </w:r>
      <w:r>
        <w:rPr>
          <w:rFonts w:hint="eastAsia" w:ascii="宋体" w:hAnsi="宋体" w:eastAsia="宋体" w:cs="宋体"/>
          <w:i/>
          <w:iCs/>
          <w:color w:val="auto"/>
          <w:sz w:val="21"/>
          <w:szCs w:val="21"/>
          <w:highlight w:val="none"/>
          <w:u w:val="single"/>
        </w:rPr>
        <w:t>租赁和商务服务业）</w:t>
      </w:r>
      <w:r>
        <w:rPr>
          <w:rFonts w:hint="eastAsia" w:cs="宋体"/>
          <w:color w:val="auto"/>
          <w:sz w:val="21"/>
          <w:szCs w:val="21"/>
          <w:highlight w:val="none"/>
        </w:rPr>
        <w:t>；承建（承接）企业为</w:t>
      </w:r>
      <w:r>
        <w:rPr>
          <w:rFonts w:hint="eastAsia" w:cs="宋体"/>
          <w:i/>
          <w:iCs/>
          <w:color w:val="auto"/>
          <w:sz w:val="21"/>
          <w:szCs w:val="21"/>
          <w:highlight w:val="none"/>
          <w:u w:val="single"/>
        </w:rPr>
        <w:t>（企业名称）</w:t>
      </w:r>
      <w:r>
        <w:rPr>
          <w:rFonts w:hint="eastAsia" w:cs="宋体"/>
          <w:color w:val="auto"/>
          <w:sz w:val="21"/>
          <w:szCs w:val="21"/>
          <w:highlight w:val="none"/>
        </w:rPr>
        <w:t>，从业人员人，营业收入为 万元，资产总额为万元</w:t>
      </w:r>
      <w:r>
        <w:rPr>
          <w:rFonts w:hint="eastAsia" w:cs="宋体"/>
          <w:color w:val="auto"/>
          <w:sz w:val="21"/>
          <w:szCs w:val="21"/>
          <w:highlight w:val="none"/>
          <w:vertAlign w:val="superscript"/>
        </w:rPr>
        <w:t>1</w:t>
      </w:r>
      <w:r>
        <w:rPr>
          <w:rFonts w:hint="eastAsia" w:cs="宋体"/>
          <w:color w:val="auto"/>
          <w:sz w:val="21"/>
          <w:szCs w:val="21"/>
          <w:highlight w:val="none"/>
        </w:rPr>
        <w:t>，属于</w:t>
      </w:r>
      <w:r>
        <w:rPr>
          <w:rFonts w:hint="eastAsia" w:cs="宋体"/>
          <w:i/>
          <w:iCs/>
          <w:color w:val="auto"/>
          <w:sz w:val="21"/>
          <w:szCs w:val="21"/>
          <w:highlight w:val="none"/>
          <w:u w:val="single"/>
        </w:rPr>
        <w:t>（中型企业、小型企业、微型企业）</w:t>
      </w:r>
      <w:r>
        <w:rPr>
          <w:rFonts w:hint="eastAsia" w:cs="宋体"/>
          <w:color w:val="auto"/>
          <w:sz w:val="21"/>
          <w:szCs w:val="21"/>
          <w:highlight w:val="none"/>
        </w:rPr>
        <w:t>；</w:t>
      </w:r>
    </w:p>
    <w:p>
      <w:pPr>
        <w:pStyle w:val="3"/>
        <w:spacing w:line="400" w:lineRule="exact"/>
        <w:ind w:firstLine="420" w:firstLineChars="200"/>
        <w:rPr>
          <w:rFonts w:cs="宋体"/>
          <w:color w:val="auto"/>
          <w:sz w:val="21"/>
          <w:szCs w:val="21"/>
          <w:highlight w:val="none"/>
        </w:rPr>
      </w:pPr>
      <w:r>
        <w:rPr>
          <w:rFonts w:hint="eastAsia" w:cs="宋体"/>
          <w:color w:val="auto"/>
          <w:sz w:val="21"/>
          <w:szCs w:val="21"/>
          <w:highlight w:val="none"/>
        </w:rPr>
        <w:t>2.</w:t>
      </w:r>
      <w:r>
        <w:rPr>
          <w:rFonts w:hint="eastAsia" w:cs="宋体"/>
          <w:i/>
          <w:iCs/>
          <w:color w:val="auto"/>
          <w:sz w:val="21"/>
          <w:szCs w:val="21"/>
          <w:highlight w:val="none"/>
          <w:u w:val="single"/>
        </w:rPr>
        <w:t>（标的名称）</w:t>
      </w:r>
      <w:r>
        <w:rPr>
          <w:rFonts w:hint="eastAsia" w:cs="宋体"/>
          <w:color w:val="auto"/>
          <w:sz w:val="21"/>
          <w:szCs w:val="21"/>
          <w:highlight w:val="none"/>
        </w:rPr>
        <w:t>，属于</w:t>
      </w:r>
      <w:r>
        <w:rPr>
          <w:rFonts w:hint="eastAsia" w:cs="宋体"/>
          <w:i/>
          <w:iCs/>
          <w:color w:val="auto"/>
          <w:sz w:val="21"/>
          <w:szCs w:val="21"/>
          <w:highlight w:val="none"/>
          <w:u w:val="single"/>
        </w:rPr>
        <w:t>（租赁和商务服务业）</w:t>
      </w:r>
      <w:r>
        <w:rPr>
          <w:rFonts w:hint="eastAsia" w:cs="宋体"/>
          <w:color w:val="auto"/>
          <w:sz w:val="21"/>
          <w:szCs w:val="21"/>
          <w:highlight w:val="none"/>
        </w:rPr>
        <w:t>；承建（承接）企业为</w:t>
      </w:r>
      <w:r>
        <w:rPr>
          <w:rFonts w:hint="eastAsia" w:cs="宋体"/>
          <w:i/>
          <w:iCs/>
          <w:color w:val="auto"/>
          <w:sz w:val="21"/>
          <w:szCs w:val="21"/>
          <w:highlight w:val="none"/>
          <w:u w:val="single"/>
        </w:rPr>
        <w:t>（企业名称）</w:t>
      </w:r>
      <w:r>
        <w:rPr>
          <w:rFonts w:hint="eastAsia" w:cs="宋体"/>
          <w:color w:val="auto"/>
          <w:sz w:val="21"/>
          <w:szCs w:val="21"/>
          <w:highlight w:val="none"/>
        </w:rPr>
        <w:t>，从业人员人，营业收入为万元，资产总额为 万元，属于</w:t>
      </w:r>
      <w:r>
        <w:rPr>
          <w:rFonts w:hint="eastAsia" w:cs="宋体"/>
          <w:i/>
          <w:iCs/>
          <w:color w:val="auto"/>
          <w:sz w:val="21"/>
          <w:szCs w:val="21"/>
          <w:highlight w:val="none"/>
          <w:u w:val="single"/>
        </w:rPr>
        <w:t>（中型企业、小型企业、微型企业）</w:t>
      </w:r>
      <w:r>
        <w:rPr>
          <w:rFonts w:hint="eastAsia" w:cs="宋体"/>
          <w:color w:val="auto"/>
          <w:sz w:val="21"/>
          <w:szCs w:val="21"/>
          <w:highlight w:val="none"/>
        </w:rPr>
        <w:t>；</w:t>
      </w:r>
    </w:p>
    <w:p>
      <w:pPr>
        <w:pStyle w:val="3"/>
        <w:spacing w:line="400" w:lineRule="exact"/>
        <w:ind w:firstLine="420" w:firstLineChars="200"/>
        <w:rPr>
          <w:rFonts w:cs="宋体"/>
          <w:color w:val="auto"/>
          <w:sz w:val="21"/>
          <w:szCs w:val="21"/>
          <w:highlight w:val="none"/>
        </w:rPr>
      </w:pPr>
      <w:r>
        <w:rPr>
          <w:rFonts w:hint="eastAsia" w:cs="宋体"/>
          <w:color w:val="auto"/>
          <w:sz w:val="21"/>
          <w:szCs w:val="21"/>
          <w:highlight w:val="none"/>
        </w:rPr>
        <w:t xml:space="preserve">…… </w:t>
      </w:r>
    </w:p>
    <w:p>
      <w:pPr>
        <w:pStyle w:val="3"/>
        <w:spacing w:line="400" w:lineRule="exact"/>
        <w:ind w:firstLine="422" w:firstLineChars="200"/>
        <w:jc w:val="left"/>
        <w:rPr>
          <w:rFonts w:cs="宋体"/>
          <w:b/>
          <w:bCs/>
          <w:color w:val="auto"/>
          <w:sz w:val="21"/>
          <w:szCs w:val="21"/>
          <w:highlight w:val="none"/>
        </w:rPr>
      </w:pPr>
      <w:r>
        <w:rPr>
          <w:rFonts w:hint="eastAsia" w:cs="宋体"/>
          <w:b/>
          <w:bCs/>
          <w:color w:val="auto"/>
          <w:sz w:val="21"/>
          <w:szCs w:val="21"/>
          <w:highlight w:val="none"/>
        </w:rPr>
        <w:t>以上企业，不属于大企业的分支机构，不存在控股股东为大企业的情形，也不存在与大企业的负责人为同一人的情形。</w:t>
      </w:r>
    </w:p>
    <w:p>
      <w:pPr>
        <w:pStyle w:val="3"/>
        <w:spacing w:line="400" w:lineRule="exact"/>
        <w:ind w:firstLine="420" w:firstLineChars="200"/>
        <w:jc w:val="left"/>
        <w:rPr>
          <w:rFonts w:cs="宋体"/>
          <w:color w:val="auto"/>
          <w:sz w:val="21"/>
          <w:szCs w:val="21"/>
          <w:highlight w:val="none"/>
        </w:rPr>
      </w:pPr>
      <w:r>
        <w:rPr>
          <w:rFonts w:hint="eastAsia" w:cs="宋体"/>
          <w:color w:val="auto"/>
          <w:sz w:val="21"/>
          <w:szCs w:val="21"/>
          <w:highlight w:val="none"/>
        </w:rPr>
        <w:t>本企业对上述声明内容的真实性负责。如有虚假，将依法承担相应责任。</w:t>
      </w:r>
    </w:p>
    <w:p>
      <w:pPr>
        <w:pStyle w:val="3"/>
        <w:spacing w:line="400" w:lineRule="exact"/>
        <w:ind w:firstLine="3360" w:firstLineChars="1600"/>
        <w:jc w:val="left"/>
        <w:rPr>
          <w:rFonts w:cs="宋体"/>
          <w:color w:val="auto"/>
          <w:sz w:val="21"/>
          <w:szCs w:val="21"/>
          <w:highlight w:val="none"/>
        </w:rPr>
      </w:pPr>
    </w:p>
    <w:p>
      <w:pPr>
        <w:spacing w:line="400" w:lineRule="exact"/>
        <w:ind w:firstLine="630" w:firstLineChars="300"/>
        <w:rPr>
          <w:rFonts w:ascii="宋体" w:hAnsi="宋体" w:cs="宋体"/>
          <w:color w:val="auto"/>
          <w:szCs w:val="21"/>
          <w:highlight w:val="none"/>
        </w:rPr>
      </w:pPr>
      <w:r>
        <w:rPr>
          <w:rFonts w:hint="eastAsia" w:ascii="宋体" w:hAnsi="宋体" w:cs="宋体"/>
          <w:color w:val="auto"/>
          <w:szCs w:val="21"/>
          <w:highlight w:val="none"/>
        </w:rPr>
        <w:t>1.从业人员、营业收入、资产总额填报上一年度数据，无上一年度数据的新成立企业可不填报。</w:t>
      </w:r>
    </w:p>
    <w:p>
      <w:pPr>
        <w:spacing w:line="400" w:lineRule="exact"/>
        <w:rPr>
          <w:rFonts w:ascii="宋体" w:hAnsi="宋体" w:cs="宋体"/>
          <w:color w:val="auto"/>
          <w:kern w:val="0"/>
          <w:szCs w:val="21"/>
          <w:highlight w:val="none"/>
        </w:rPr>
      </w:pPr>
    </w:p>
    <w:p>
      <w:pPr>
        <w:spacing w:line="400" w:lineRule="exact"/>
        <w:rPr>
          <w:rFonts w:ascii="宋体" w:hAnsi="宋体" w:cs="宋体"/>
          <w:color w:val="auto"/>
          <w:kern w:val="0"/>
          <w:szCs w:val="21"/>
          <w:highlight w:val="none"/>
        </w:rPr>
      </w:pPr>
    </w:p>
    <w:p>
      <w:pPr>
        <w:spacing w:line="400" w:lineRule="exact"/>
        <w:rPr>
          <w:rFonts w:ascii="宋体" w:hAnsi="宋体"/>
          <w:color w:val="auto"/>
          <w:kern w:val="0"/>
          <w:szCs w:val="21"/>
          <w:highlight w:val="none"/>
        </w:rPr>
      </w:pPr>
      <w:r>
        <w:rPr>
          <w:rFonts w:ascii="宋体" w:hAnsi="宋体"/>
          <w:color w:val="auto"/>
          <w:kern w:val="0"/>
          <w:szCs w:val="21"/>
          <w:highlight w:val="none"/>
        </w:rPr>
        <w:t>供应商：（盖单位公章）</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r>
        <w:rPr>
          <w:rFonts w:ascii="宋体" w:hAnsi="宋体"/>
          <w:color w:val="auto"/>
          <w:szCs w:val="21"/>
          <w:highlight w:val="none"/>
        </w:rPr>
        <w:t xml:space="preserve">日期：    年    月  </w:t>
      </w:r>
      <w:r>
        <w:rPr>
          <w:rFonts w:hint="eastAsia" w:ascii="宋体" w:hAnsi="宋体"/>
          <w:color w:val="auto"/>
          <w:szCs w:val="21"/>
          <w:highlight w:val="none"/>
        </w:rPr>
        <w:t xml:space="preserve">  日</w:t>
      </w:r>
    </w:p>
    <w:p>
      <w:pPr>
        <w:spacing w:line="400" w:lineRule="exact"/>
        <w:jc w:val="center"/>
        <w:rPr>
          <w:rFonts w:ascii="宋体" w:hAnsi="宋体"/>
          <w:b/>
          <w:color w:val="auto"/>
          <w:szCs w:val="21"/>
          <w:highlight w:val="none"/>
        </w:rPr>
      </w:pPr>
      <w:r>
        <w:rPr>
          <w:rFonts w:ascii="宋体" w:hAnsi="宋体"/>
          <w:color w:val="auto"/>
          <w:szCs w:val="21"/>
          <w:highlight w:val="none"/>
        </w:rPr>
        <w:br w:type="page"/>
      </w:r>
      <w:r>
        <w:rPr>
          <w:rFonts w:hint="eastAsia" w:ascii="方正书宋简体" w:hAnsi="方正书宋简体"/>
          <w:b/>
          <w:bCs/>
          <w:color w:val="auto"/>
          <w:szCs w:val="21"/>
          <w:highlight w:val="none"/>
        </w:rPr>
        <w:t>A5</w:t>
      </w:r>
      <w:r>
        <w:rPr>
          <w:rFonts w:hint="eastAsia" w:ascii="宋体" w:hAnsi="宋体"/>
          <w:b/>
          <w:color w:val="auto"/>
          <w:szCs w:val="21"/>
          <w:highlight w:val="none"/>
        </w:rPr>
        <w:t>残疾人福利性单位声明函（如有需提供）</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本单位郑重声明，根据《财政部民政部中国残疾人联合会关于促进残疾人就业政府采购政策的通知》（财库〔</w:t>
      </w:r>
      <w:r>
        <w:rPr>
          <w:rFonts w:ascii="宋体" w:hAnsi="宋体"/>
          <w:color w:val="auto"/>
          <w:szCs w:val="21"/>
          <w:highlight w:val="none"/>
        </w:rPr>
        <w:t>2017</w:t>
      </w:r>
      <w:r>
        <w:rPr>
          <w:rFonts w:hint="eastAsia" w:ascii="宋体" w:hAnsi="宋体"/>
          <w:color w:val="auto"/>
          <w:szCs w:val="21"/>
          <w:highlight w:val="none"/>
        </w:rPr>
        <w:t>〕</w:t>
      </w:r>
      <w:r>
        <w:rPr>
          <w:rFonts w:ascii="宋体" w:hAnsi="宋体"/>
          <w:color w:val="auto"/>
          <w:szCs w:val="21"/>
          <w:highlight w:val="none"/>
        </w:rPr>
        <w:t>141</w:t>
      </w:r>
      <w:r>
        <w:rPr>
          <w:rFonts w:hint="eastAsia" w:ascii="宋体" w:hAnsi="宋体"/>
          <w:color w:val="auto"/>
          <w:szCs w:val="21"/>
          <w:highlight w:val="none"/>
        </w:rPr>
        <w:t>号）的规定，本单位为符合条件的残疾人福利性单位，且本单位参加</w:t>
      </w:r>
      <w:r>
        <w:rPr>
          <w:rFonts w:ascii="宋体" w:hAnsi="宋体"/>
          <w:color w:val="auto"/>
          <w:szCs w:val="21"/>
          <w:highlight w:val="none"/>
        </w:rPr>
        <w:t>______</w:t>
      </w:r>
      <w:r>
        <w:rPr>
          <w:rFonts w:hint="eastAsia" w:ascii="宋体" w:hAnsi="宋体"/>
          <w:color w:val="auto"/>
          <w:szCs w:val="21"/>
          <w:highlight w:val="none"/>
        </w:rPr>
        <w:t>单位的</w:t>
      </w:r>
      <w:r>
        <w:rPr>
          <w:rFonts w:ascii="宋体" w:hAnsi="宋体"/>
          <w:color w:val="auto"/>
          <w:szCs w:val="21"/>
          <w:highlight w:val="none"/>
        </w:rPr>
        <w:t>______</w:t>
      </w:r>
      <w:r>
        <w:rPr>
          <w:rFonts w:hint="eastAsia" w:ascii="宋体" w:hAnsi="宋体"/>
          <w:color w:val="auto"/>
          <w:szCs w:val="21"/>
          <w:highlight w:val="none"/>
        </w:rPr>
        <w:t>项目采购活动提供本单位制造的货物（由本单位承担工程</w:t>
      </w:r>
      <w:r>
        <w:rPr>
          <w:rFonts w:ascii="宋体" w:hAnsi="宋体"/>
          <w:color w:val="auto"/>
          <w:szCs w:val="21"/>
          <w:highlight w:val="none"/>
        </w:rPr>
        <w:t>/</w:t>
      </w:r>
      <w:r>
        <w:rPr>
          <w:rFonts w:hint="eastAsia" w:ascii="宋体" w:hAnsi="宋体"/>
          <w:color w:val="auto"/>
          <w:szCs w:val="21"/>
          <w:highlight w:val="none"/>
        </w:rPr>
        <w:t>提供服务），或者提供其他残疾人福利性单位制造的货物（不包括使用非残疾人福利性单位注册商标的货物）。</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本单位对上述声明的真实性负责。如有虚假，将依法承担相应责任。</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r>
        <w:rPr>
          <w:rFonts w:hint="eastAsia" w:ascii="宋体" w:hAnsi="宋体"/>
          <w:color w:val="auto"/>
          <w:szCs w:val="21"/>
          <w:highlight w:val="none"/>
        </w:rPr>
        <w:t>单位名称（盖章）：</w:t>
      </w:r>
    </w:p>
    <w:p>
      <w:pPr>
        <w:spacing w:line="400" w:lineRule="exact"/>
        <w:rPr>
          <w:rFonts w:ascii="宋体" w:hAnsi="宋体"/>
          <w:color w:val="auto"/>
          <w:szCs w:val="21"/>
          <w:highlight w:val="none"/>
        </w:rPr>
      </w:pPr>
      <w:r>
        <w:rPr>
          <w:rFonts w:hint="eastAsia" w:ascii="宋体" w:hAnsi="宋体"/>
          <w:color w:val="auto"/>
          <w:szCs w:val="21"/>
          <w:highlight w:val="none"/>
        </w:rPr>
        <w:t>日</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期：</w:t>
      </w:r>
    </w:p>
    <w:p>
      <w:pPr>
        <w:spacing w:line="400" w:lineRule="exact"/>
        <w:rPr>
          <w:rFonts w:ascii="宋体" w:hAnsi="宋体"/>
          <w:b/>
          <w:color w:val="auto"/>
          <w:szCs w:val="21"/>
          <w:highlight w:val="none"/>
        </w:rPr>
      </w:pPr>
    </w:p>
    <w:p>
      <w:pPr>
        <w:pStyle w:val="7"/>
        <w:rPr>
          <w:rFonts w:eastAsia="等线"/>
          <w:color w:val="auto"/>
          <w:highlight w:val="none"/>
        </w:rPr>
      </w:pPr>
    </w:p>
    <w:p>
      <w:pPr>
        <w:rPr>
          <w:color w:val="auto"/>
          <w:highlight w:val="none"/>
        </w:rPr>
      </w:pPr>
    </w:p>
    <w:p>
      <w:pPr>
        <w:spacing w:line="400" w:lineRule="exact"/>
        <w:rPr>
          <w:rFonts w:ascii="宋体" w:hAnsi="宋体"/>
          <w:color w:val="auto"/>
          <w:szCs w:val="21"/>
          <w:highlight w:val="none"/>
        </w:rPr>
      </w:pPr>
      <w:r>
        <w:rPr>
          <w:rFonts w:hint="eastAsia" w:ascii="宋体" w:hAnsi="宋体"/>
          <w:color w:val="auto"/>
          <w:szCs w:val="21"/>
          <w:highlight w:val="none"/>
        </w:rPr>
        <w:t>注：</w:t>
      </w:r>
    </w:p>
    <w:p>
      <w:pPr>
        <w:spacing w:line="400" w:lineRule="exact"/>
        <w:rPr>
          <w:rFonts w:ascii="宋体" w:hAnsi="宋体"/>
          <w:color w:val="auto"/>
          <w:szCs w:val="21"/>
          <w:highlight w:val="none"/>
        </w:rPr>
      </w:pPr>
      <w:r>
        <w:rPr>
          <w:rFonts w:hint="eastAsia" w:ascii="宋体" w:hAnsi="宋体"/>
          <w:color w:val="auto"/>
          <w:szCs w:val="21"/>
          <w:highlight w:val="none"/>
        </w:rPr>
        <w:t>享受政府采购支持政策的残疾人福利性单位应当同时满足以下条件：</w:t>
      </w:r>
    </w:p>
    <w:p>
      <w:pPr>
        <w:spacing w:line="400" w:lineRule="exact"/>
        <w:rPr>
          <w:rFonts w:ascii="宋体" w:hAnsi="宋体"/>
          <w:color w:val="auto"/>
          <w:szCs w:val="21"/>
          <w:highlight w:val="none"/>
        </w:rPr>
      </w:pPr>
      <w:r>
        <w:rPr>
          <w:rFonts w:hint="eastAsia" w:ascii="宋体" w:hAnsi="宋体"/>
          <w:color w:val="auto"/>
          <w:szCs w:val="21"/>
          <w:highlight w:val="none"/>
        </w:rPr>
        <w:t>（一）安置的残疾人占本单位在职职工人数的比例不低于</w:t>
      </w:r>
      <w:r>
        <w:rPr>
          <w:rFonts w:ascii="宋体" w:hAnsi="宋体"/>
          <w:color w:val="auto"/>
          <w:szCs w:val="21"/>
          <w:highlight w:val="none"/>
        </w:rPr>
        <w:t>25%</w:t>
      </w:r>
      <w:r>
        <w:rPr>
          <w:rFonts w:hint="eastAsia" w:ascii="宋体" w:hAnsi="宋体"/>
          <w:color w:val="auto"/>
          <w:szCs w:val="21"/>
          <w:highlight w:val="none"/>
        </w:rPr>
        <w:t>（含</w:t>
      </w:r>
      <w:r>
        <w:rPr>
          <w:rFonts w:ascii="宋体" w:hAnsi="宋体"/>
          <w:color w:val="auto"/>
          <w:szCs w:val="21"/>
          <w:highlight w:val="none"/>
        </w:rPr>
        <w:t>25%</w:t>
      </w:r>
      <w:r>
        <w:rPr>
          <w:rFonts w:hint="eastAsia" w:ascii="宋体" w:hAnsi="宋体"/>
          <w:color w:val="auto"/>
          <w:szCs w:val="21"/>
          <w:highlight w:val="none"/>
        </w:rPr>
        <w:t>），并且安置的残疾人人数不少于</w:t>
      </w:r>
      <w:r>
        <w:rPr>
          <w:rFonts w:ascii="宋体" w:hAnsi="宋体"/>
          <w:color w:val="auto"/>
          <w:szCs w:val="21"/>
          <w:highlight w:val="none"/>
        </w:rPr>
        <w:t>10</w:t>
      </w:r>
      <w:r>
        <w:rPr>
          <w:rFonts w:hint="eastAsia" w:ascii="宋体" w:hAnsi="宋体"/>
          <w:color w:val="auto"/>
          <w:szCs w:val="21"/>
          <w:highlight w:val="none"/>
        </w:rPr>
        <w:t>人（含</w:t>
      </w:r>
      <w:r>
        <w:rPr>
          <w:rFonts w:ascii="宋体" w:hAnsi="宋体"/>
          <w:color w:val="auto"/>
          <w:szCs w:val="21"/>
          <w:highlight w:val="none"/>
        </w:rPr>
        <w:t>10</w:t>
      </w:r>
      <w:r>
        <w:rPr>
          <w:rFonts w:hint="eastAsia" w:ascii="宋体" w:hAnsi="宋体"/>
          <w:color w:val="auto"/>
          <w:szCs w:val="21"/>
          <w:highlight w:val="none"/>
        </w:rPr>
        <w:t>人）；</w:t>
      </w:r>
    </w:p>
    <w:p>
      <w:pPr>
        <w:spacing w:line="400" w:lineRule="exact"/>
        <w:rPr>
          <w:rFonts w:ascii="宋体" w:hAnsi="宋体"/>
          <w:color w:val="auto"/>
          <w:szCs w:val="21"/>
          <w:highlight w:val="none"/>
        </w:rPr>
      </w:pPr>
      <w:r>
        <w:rPr>
          <w:rFonts w:hint="eastAsia" w:ascii="宋体" w:hAnsi="宋体"/>
          <w:color w:val="auto"/>
          <w:szCs w:val="21"/>
          <w:highlight w:val="none"/>
        </w:rPr>
        <w:t>（二）依法与安置的每位残疾人签订了一年以上（含一年）的劳动合同或服务协议；</w:t>
      </w:r>
    </w:p>
    <w:p>
      <w:pPr>
        <w:spacing w:line="400" w:lineRule="exact"/>
        <w:rPr>
          <w:rFonts w:ascii="宋体" w:hAnsi="宋体"/>
          <w:color w:val="auto"/>
          <w:szCs w:val="21"/>
          <w:highlight w:val="none"/>
        </w:rPr>
      </w:pPr>
      <w:r>
        <w:rPr>
          <w:rFonts w:hint="eastAsia" w:ascii="宋体" w:hAnsi="宋体"/>
          <w:color w:val="auto"/>
          <w:szCs w:val="21"/>
          <w:highlight w:val="none"/>
        </w:rPr>
        <w:t>（三）为安置的每位残疾人按月足额缴纳了基本养老保险、基本医疗保险、失业保险、工伤保险和生育保险等社会保险费；</w:t>
      </w:r>
    </w:p>
    <w:p>
      <w:pPr>
        <w:spacing w:line="400" w:lineRule="exact"/>
        <w:rPr>
          <w:rFonts w:ascii="宋体" w:hAnsi="宋体"/>
          <w:color w:val="auto"/>
          <w:szCs w:val="21"/>
          <w:highlight w:val="none"/>
        </w:rPr>
      </w:pPr>
      <w:r>
        <w:rPr>
          <w:rFonts w:hint="eastAsia" w:ascii="宋体" w:hAnsi="宋体"/>
          <w:color w:val="auto"/>
          <w:szCs w:val="21"/>
          <w:highlight w:val="none"/>
        </w:rPr>
        <w:t>（四）通过银行等金融机构向安置的每位残疾人，按月支付了不低于单位所在区县适用的经省级人民政府批准的月最低工资标准的工资；</w:t>
      </w:r>
    </w:p>
    <w:p>
      <w:pPr>
        <w:spacing w:line="400" w:lineRule="exact"/>
        <w:rPr>
          <w:rFonts w:ascii="宋体" w:hAnsi="宋体"/>
          <w:color w:val="auto"/>
          <w:szCs w:val="21"/>
          <w:highlight w:val="none"/>
        </w:rPr>
      </w:pPr>
      <w:r>
        <w:rPr>
          <w:rFonts w:hint="eastAsia" w:ascii="宋体" w:hAnsi="宋体"/>
          <w:color w:val="auto"/>
          <w:szCs w:val="21"/>
          <w:highlight w:val="none"/>
        </w:rPr>
        <w:t>（五）提供本单位制造的货物、承担的工程或者服务（以下简称产品），或者提供其他残疾人福利性单位制造的货物（不包括使用非残疾人福利性单位注册商标的货物）。</w:t>
      </w:r>
    </w:p>
    <w:p>
      <w:pPr>
        <w:spacing w:line="400" w:lineRule="exact"/>
        <w:rPr>
          <w:rFonts w:ascii="宋体" w:hAnsi="宋体"/>
          <w:color w:val="auto"/>
          <w:szCs w:val="21"/>
          <w:highlight w:val="none"/>
        </w:rPr>
      </w:pPr>
      <w:r>
        <w:rPr>
          <w:rFonts w:hint="eastAsia" w:ascii="宋体" w:hAnsi="宋体"/>
          <w:color w:val="auto"/>
          <w:szCs w:val="21"/>
          <w:highlight w:val="none"/>
        </w:rPr>
        <w:t>前款所称残疾人是指法定劳动年龄内，持有《中华人民共和国残疾人证》或者《中华人民共和国残疾军人证（</w:t>
      </w:r>
      <w:r>
        <w:rPr>
          <w:rFonts w:ascii="宋体" w:hAnsi="宋体"/>
          <w:color w:val="auto"/>
          <w:szCs w:val="21"/>
          <w:highlight w:val="none"/>
        </w:rPr>
        <w:t>1</w:t>
      </w:r>
      <w:r>
        <w:rPr>
          <w:rFonts w:hint="eastAsia" w:ascii="宋体" w:hAnsi="宋体"/>
          <w:color w:val="auto"/>
          <w:szCs w:val="21"/>
          <w:highlight w:val="none"/>
        </w:rPr>
        <w:t>至</w:t>
      </w:r>
      <w:r>
        <w:rPr>
          <w:rFonts w:ascii="宋体" w:hAnsi="宋体"/>
          <w:color w:val="auto"/>
          <w:szCs w:val="21"/>
          <w:highlight w:val="none"/>
        </w:rPr>
        <w:t>8</w:t>
      </w:r>
      <w:r>
        <w:rPr>
          <w:rFonts w:hint="eastAsia" w:ascii="宋体" w:hAnsi="宋体"/>
          <w:color w:val="auto"/>
          <w:szCs w:val="21"/>
          <w:highlight w:val="none"/>
        </w:rPr>
        <w:t>级）》的自然人，包括具有劳动条件和劳动意愿的精神残疾人。在职职工人数是指与残疾人福利性单位建立劳动关系并依法签订劳动合同或者服务协议的雇员人数。</w:t>
      </w:r>
    </w:p>
    <w:p>
      <w:pPr>
        <w:spacing w:line="400" w:lineRule="exact"/>
        <w:rPr>
          <w:rFonts w:ascii="宋体" w:hAnsi="宋体"/>
          <w:color w:val="auto"/>
          <w:szCs w:val="21"/>
          <w:highlight w:val="none"/>
        </w:rPr>
      </w:pPr>
    </w:p>
    <w:p>
      <w:pPr>
        <w:rPr>
          <w:rStyle w:val="138"/>
          <w:rFonts w:ascii="宋体" w:hAnsi="宋体"/>
          <w:color w:val="auto"/>
          <w:szCs w:val="21"/>
          <w:highlight w:val="none"/>
        </w:rPr>
      </w:pPr>
      <w:r>
        <w:rPr>
          <w:rStyle w:val="138"/>
          <w:rFonts w:ascii="宋体" w:hAnsi="宋体"/>
          <w:color w:val="auto"/>
          <w:szCs w:val="21"/>
          <w:highlight w:val="none"/>
        </w:rPr>
        <w:br w:type="page"/>
      </w:r>
    </w:p>
    <w:p>
      <w:pPr>
        <w:rPr>
          <w:rStyle w:val="138"/>
          <w:rFonts w:ascii="宋体" w:hAnsi="宋体"/>
          <w:color w:val="auto"/>
          <w:szCs w:val="21"/>
          <w:highlight w:val="none"/>
        </w:rPr>
      </w:pPr>
    </w:p>
    <w:p>
      <w:pPr>
        <w:autoSpaceDE w:val="0"/>
        <w:autoSpaceDN w:val="0"/>
        <w:adjustRightInd w:val="0"/>
        <w:spacing w:line="400" w:lineRule="exact"/>
        <w:outlineLvl w:val="0"/>
        <w:rPr>
          <w:rFonts w:ascii="宋体" w:hAnsi="宋体"/>
          <w:color w:val="auto"/>
          <w:sz w:val="44"/>
          <w:szCs w:val="44"/>
          <w:highlight w:val="none"/>
        </w:rPr>
      </w:pPr>
    </w:p>
    <w:p>
      <w:pPr>
        <w:spacing w:line="440" w:lineRule="exact"/>
        <w:jc w:val="center"/>
        <w:rPr>
          <w:rStyle w:val="138"/>
          <w:rFonts w:ascii="宋体" w:hAnsi="宋体"/>
          <w:color w:val="auto"/>
          <w:szCs w:val="21"/>
          <w:highlight w:val="none"/>
        </w:rPr>
      </w:pPr>
    </w:p>
    <w:p>
      <w:pPr>
        <w:spacing w:line="400" w:lineRule="exact"/>
        <w:jc w:val="left"/>
        <w:rPr>
          <w:rStyle w:val="138"/>
          <w:rFonts w:ascii="宋体" w:hAnsi="宋体"/>
          <w:color w:val="auto"/>
          <w:sz w:val="28"/>
          <w:szCs w:val="28"/>
          <w:highlight w:val="none"/>
        </w:rPr>
      </w:pPr>
    </w:p>
    <w:p>
      <w:pPr>
        <w:autoSpaceDE w:val="0"/>
        <w:autoSpaceDN w:val="0"/>
        <w:adjustRightInd w:val="0"/>
        <w:spacing w:beforeLines="100" w:line="400" w:lineRule="exact"/>
        <w:jc w:val="center"/>
        <w:outlineLvl w:val="0"/>
        <w:rPr>
          <w:rStyle w:val="138"/>
          <w:rFonts w:ascii="宋体" w:hAnsi="宋体"/>
          <w:color w:val="auto"/>
          <w:sz w:val="32"/>
          <w:szCs w:val="32"/>
          <w:highlight w:val="none"/>
        </w:rPr>
      </w:pPr>
      <w:bookmarkStart w:id="42" w:name="_Toc44162157"/>
      <w:bookmarkStart w:id="43" w:name="_Toc16913"/>
      <w:bookmarkStart w:id="44" w:name="_Toc21541026"/>
      <w:r>
        <w:rPr>
          <w:rStyle w:val="138"/>
          <w:rFonts w:ascii="宋体" w:hAnsi="宋体"/>
          <w:color w:val="auto"/>
          <w:sz w:val="32"/>
          <w:szCs w:val="32"/>
          <w:highlight w:val="none"/>
        </w:rPr>
        <w:t>B.</w:t>
      </w:r>
      <w:r>
        <w:rPr>
          <w:rStyle w:val="138"/>
          <w:rFonts w:hint="eastAsia" w:ascii="宋体" w:hAnsi="宋体"/>
          <w:color w:val="auto"/>
          <w:sz w:val="32"/>
          <w:szCs w:val="32"/>
          <w:highlight w:val="none"/>
        </w:rPr>
        <w:t>商务和技术文件</w:t>
      </w:r>
      <w:bookmarkEnd w:id="42"/>
      <w:bookmarkEnd w:id="43"/>
      <w:bookmarkEnd w:id="44"/>
    </w:p>
    <w:p>
      <w:pPr>
        <w:autoSpaceDE w:val="0"/>
        <w:autoSpaceDN w:val="0"/>
        <w:adjustRightInd w:val="0"/>
        <w:spacing w:line="420" w:lineRule="exact"/>
        <w:rPr>
          <w:rStyle w:val="138"/>
          <w:rFonts w:ascii="宋体" w:hAnsi="宋体"/>
          <w:b w:val="0"/>
          <w:color w:val="auto"/>
          <w:highlight w:val="none"/>
          <w:lang w:val="zh-CN"/>
        </w:rPr>
      </w:pPr>
      <w:r>
        <w:rPr>
          <w:rStyle w:val="138"/>
          <w:rFonts w:ascii="宋体" w:hAnsi="宋体"/>
          <w:color w:val="auto"/>
          <w:sz w:val="32"/>
          <w:szCs w:val="32"/>
          <w:highlight w:val="none"/>
        </w:rPr>
        <w:br w:type="page"/>
      </w:r>
      <w:r>
        <w:rPr>
          <w:rStyle w:val="138"/>
          <w:rFonts w:hint="eastAsia" w:ascii="宋体" w:hAnsi="宋体"/>
          <w:color w:val="auto"/>
          <w:szCs w:val="21"/>
          <w:highlight w:val="none"/>
        </w:rPr>
        <w:t>封面</w:t>
      </w:r>
    </w:p>
    <w:p>
      <w:pPr>
        <w:spacing w:line="360" w:lineRule="auto"/>
        <w:ind w:firstLine="1285" w:firstLineChars="400"/>
        <w:jc w:val="right"/>
        <w:rPr>
          <w:rFonts w:ascii="宋体" w:hAnsi="宋体"/>
          <w:b/>
          <w:color w:val="auto"/>
          <w:sz w:val="32"/>
          <w:szCs w:val="32"/>
          <w:highlight w:val="none"/>
        </w:rPr>
      </w:pPr>
      <w:r>
        <w:rPr>
          <w:rFonts w:hint="eastAsia" w:ascii="宋体" w:hAnsi="宋体"/>
          <w:b/>
          <w:color w:val="auto"/>
          <w:sz w:val="32"/>
          <w:szCs w:val="32"/>
          <w:highlight w:val="none"/>
        </w:rPr>
        <w:t>正本</w:t>
      </w:r>
    </w:p>
    <w:p>
      <w:pPr>
        <w:spacing w:line="360" w:lineRule="auto"/>
        <w:rPr>
          <w:rFonts w:ascii="宋体" w:hAnsi="宋体"/>
          <w:color w:val="auto"/>
          <w:sz w:val="28"/>
          <w:szCs w:val="28"/>
          <w:highlight w:val="none"/>
        </w:rPr>
      </w:pPr>
    </w:p>
    <w:p>
      <w:pPr>
        <w:spacing w:after="120" w:line="900" w:lineRule="exact"/>
        <w:jc w:val="center"/>
        <w:rPr>
          <w:rFonts w:hint="eastAsia" w:ascii="宋体" w:hAnsi="宋体" w:eastAsia="宋体"/>
          <w:b/>
          <w:color w:val="auto"/>
          <w:sz w:val="44"/>
          <w:szCs w:val="50"/>
          <w:highlight w:val="none"/>
          <w:lang w:eastAsia="zh-CN"/>
        </w:rPr>
      </w:pPr>
      <w:r>
        <w:rPr>
          <w:rFonts w:hint="eastAsia" w:ascii="宋体" w:hAnsi="宋体"/>
          <w:b/>
          <w:color w:val="auto"/>
          <w:sz w:val="44"/>
          <w:szCs w:val="50"/>
          <w:highlight w:val="none"/>
          <w:lang w:eastAsia="zh-CN"/>
        </w:rPr>
        <w:t>宁波大学附属第一医院外滩院区安保服务（含停车场保安）项目</w:t>
      </w:r>
    </w:p>
    <w:p>
      <w:pPr>
        <w:spacing w:line="360" w:lineRule="auto"/>
        <w:jc w:val="center"/>
        <w:rPr>
          <w:rFonts w:ascii="宋体" w:hAnsi="宋体"/>
          <w:color w:val="auto"/>
          <w:sz w:val="36"/>
          <w:szCs w:val="36"/>
          <w:highlight w:val="none"/>
          <w:u w:val="single"/>
        </w:rPr>
      </w:pPr>
      <w:r>
        <w:rPr>
          <w:rFonts w:hint="eastAsia" w:ascii="宋体" w:hAnsi="宋体"/>
          <w:color w:val="auto"/>
          <w:sz w:val="36"/>
          <w:szCs w:val="36"/>
          <w:highlight w:val="none"/>
          <w:u w:val="single"/>
        </w:rPr>
        <w:t>采购编号：NBITC-202311410G</w:t>
      </w:r>
    </w:p>
    <w:p>
      <w:pPr>
        <w:spacing w:line="360" w:lineRule="auto"/>
        <w:ind w:firstLine="2340" w:firstLineChars="650"/>
        <w:rPr>
          <w:rFonts w:ascii="宋体" w:hAnsi="宋体"/>
          <w:color w:val="auto"/>
          <w:sz w:val="36"/>
          <w:szCs w:val="36"/>
          <w:highlight w:val="none"/>
        </w:rPr>
      </w:pPr>
      <w:r>
        <w:rPr>
          <w:rFonts w:hint="eastAsia" w:ascii="宋体" w:hAnsi="宋体"/>
          <w:color w:val="auto"/>
          <w:sz w:val="36"/>
          <w:szCs w:val="36"/>
          <w:highlight w:val="none"/>
          <w:u w:val="single"/>
        </w:rPr>
        <w:t>标项号：（如有多个标项）</w:t>
      </w:r>
    </w:p>
    <w:p>
      <w:pPr>
        <w:rPr>
          <w:rFonts w:ascii="宋体" w:hAnsi="宋体"/>
          <w:color w:val="auto"/>
          <w:sz w:val="28"/>
          <w:szCs w:val="28"/>
          <w:highlight w:val="none"/>
        </w:rPr>
      </w:pPr>
    </w:p>
    <w:p>
      <w:pP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（商务和技术文件）</w:t>
      </w:r>
    </w:p>
    <w:p>
      <w:pPr>
        <w:jc w:val="center"/>
        <w:rPr>
          <w:rFonts w:ascii="宋体" w:hAnsi="宋体"/>
          <w:color w:val="auto"/>
          <w:sz w:val="28"/>
          <w:szCs w:val="28"/>
          <w:highlight w:val="none"/>
        </w:rPr>
      </w:pPr>
    </w:p>
    <w:p>
      <w:pPr>
        <w:spacing w:line="360" w:lineRule="auto"/>
        <w:jc w:val="center"/>
        <w:rPr>
          <w:rFonts w:ascii="宋体" w:hAnsi="宋体"/>
          <w:b/>
          <w:color w:val="auto"/>
          <w:sz w:val="72"/>
          <w:szCs w:val="72"/>
          <w:highlight w:val="none"/>
        </w:rPr>
      </w:pPr>
    </w:p>
    <w:p>
      <w:pPr>
        <w:spacing w:line="360" w:lineRule="auto"/>
        <w:jc w:val="center"/>
        <w:rPr>
          <w:rFonts w:ascii="宋体" w:hAnsi="宋体"/>
          <w:b/>
          <w:color w:val="auto"/>
          <w:sz w:val="72"/>
          <w:szCs w:val="72"/>
          <w:highlight w:val="none"/>
        </w:rPr>
      </w:pPr>
      <w:r>
        <w:rPr>
          <w:rFonts w:hint="eastAsia" w:ascii="宋体" w:hAnsi="宋体"/>
          <w:b/>
          <w:color w:val="auto"/>
          <w:sz w:val="72"/>
          <w:szCs w:val="72"/>
          <w:highlight w:val="none"/>
        </w:rPr>
        <w:t>投标文件</w:t>
      </w: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u w:val="single"/>
        </w:rPr>
      </w:pPr>
      <w:r>
        <w:rPr>
          <w:rFonts w:hint="eastAsia" w:ascii="宋体" w:hAnsi="宋体"/>
          <w:color w:val="auto"/>
          <w:sz w:val="36"/>
          <w:szCs w:val="36"/>
          <w:highlight w:val="none"/>
        </w:rPr>
        <w:t>供应商全称：</w:t>
      </w:r>
      <w:r>
        <w:rPr>
          <w:rFonts w:hint="eastAsia" w:ascii="宋体" w:hAnsi="宋体"/>
          <w:color w:val="auto"/>
          <w:sz w:val="36"/>
          <w:szCs w:val="36"/>
          <w:highlight w:val="none"/>
          <w:u w:val="single"/>
        </w:rPr>
        <w:t>（加盖单位公章）</w:t>
      </w:r>
    </w:p>
    <w:p>
      <w:pPr>
        <w:pStyle w:val="29"/>
        <w:ind w:left="101" w:leftChars="48" w:firstLine="1920" w:firstLineChars="800"/>
        <w:jc w:val="left"/>
        <w:rPr>
          <w:rFonts w:hAnsi="宋体"/>
          <w:color w:val="auto"/>
          <w:kern w:val="2"/>
          <w:szCs w:val="28"/>
          <w:highlight w:val="none"/>
          <w:u w:val="single"/>
        </w:rPr>
      </w:pPr>
    </w:p>
    <w:p>
      <w:pPr>
        <w:autoSpaceDE w:val="0"/>
        <w:autoSpaceDN w:val="0"/>
        <w:adjustRightInd w:val="0"/>
        <w:spacing w:line="400" w:lineRule="exact"/>
        <w:jc w:val="center"/>
        <w:outlineLvl w:val="0"/>
        <w:rPr>
          <w:rStyle w:val="138"/>
          <w:rFonts w:ascii="宋体" w:hAnsi="宋体"/>
          <w:color w:val="auto"/>
          <w:sz w:val="28"/>
          <w:szCs w:val="28"/>
          <w:highlight w:val="none"/>
        </w:rPr>
      </w:pPr>
      <w:bookmarkStart w:id="45" w:name="_Toc21541027"/>
      <w:bookmarkStart w:id="46" w:name="_Toc44162158"/>
      <w:bookmarkStart w:id="47" w:name="_Toc12534"/>
      <w:r>
        <w:rPr>
          <w:rFonts w:hint="eastAsia" w:ascii="宋体" w:hAnsi="宋体"/>
          <w:color w:val="auto"/>
          <w:sz w:val="36"/>
          <w:szCs w:val="36"/>
          <w:highlight w:val="none"/>
        </w:rPr>
        <w:t>年  月  日</w:t>
      </w:r>
      <w:bookmarkEnd w:id="45"/>
      <w:bookmarkEnd w:id="46"/>
      <w:bookmarkEnd w:id="47"/>
    </w:p>
    <w:p>
      <w:pPr>
        <w:spacing w:line="360" w:lineRule="auto"/>
        <w:ind w:firstLine="4200" w:firstLineChars="2000"/>
        <w:jc w:val="left"/>
        <w:rPr>
          <w:rFonts w:ascii="宋体" w:hAnsi="宋体"/>
          <w:color w:val="auto"/>
          <w:szCs w:val="21"/>
          <w:highlight w:val="none"/>
        </w:rPr>
      </w:pPr>
    </w:p>
    <w:p>
      <w:pPr>
        <w:spacing w:line="360" w:lineRule="auto"/>
        <w:jc w:val="center"/>
        <w:rPr>
          <w:rFonts w:ascii="宋体" w:hAnsi="宋体"/>
          <w:b/>
          <w:color w:val="auto"/>
          <w:szCs w:val="21"/>
          <w:highlight w:val="none"/>
        </w:rPr>
      </w:pPr>
      <w:r>
        <w:rPr>
          <w:rStyle w:val="138"/>
          <w:rFonts w:ascii="宋体" w:hAnsi="宋体"/>
          <w:color w:val="auto"/>
          <w:szCs w:val="21"/>
          <w:highlight w:val="none"/>
        </w:rPr>
        <w:br w:type="page"/>
      </w:r>
      <w:r>
        <w:rPr>
          <w:rFonts w:hint="eastAsia" w:ascii="宋体" w:hAnsi="宋体"/>
          <w:b/>
          <w:color w:val="auto"/>
          <w:szCs w:val="21"/>
          <w:highlight w:val="none"/>
        </w:rPr>
        <w:t>B1投标书</w:t>
      </w:r>
    </w:p>
    <w:p>
      <w:pPr>
        <w:spacing w:line="400" w:lineRule="exact"/>
        <w:rPr>
          <w:rFonts w:ascii="宋体" w:hAnsi="宋体"/>
          <w:color w:val="auto"/>
          <w:szCs w:val="21"/>
          <w:highlight w:val="none"/>
        </w:rPr>
      </w:pPr>
      <w:r>
        <w:rPr>
          <w:rFonts w:hint="eastAsia" w:ascii="宋体" w:hAnsi="宋体"/>
          <w:color w:val="auto"/>
          <w:szCs w:val="21"/>
          <w:highlight w:val="none"/>
        </w:rPr>
        <w:t>致：宁波市国际招标有限公司</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u w:val="single"/>
        </w:rPr>
        <w:t>（供应商全称）　</w:t>
      </w:r>
      <w:r>
        <w:rPr>
          <w:rFonts w:hint="eastAsia" w:ascii="宋体" w:hAnsi="宋体"/>
          <w:color w:val="auto"/>
          <w:szCs w:val="21"/>
          <w:highlight w:val="none"/>
        </w:rPr>
        <w:t>授权</w:t>
      </w:r>
      <w:r>
        <w:rPr>
          <w:rFonts w:hint="eastAsia" w:ascii="宋体" w:hAnsi="宋体"/>
          <w:color w:val="auto"/>
          <w:szCs w:val="21"/>
          <w:highlight w:val="none"/>
          <w:u w:val="single"/>
        </w:rPr>
        <w:t xml:space="preserve">  （全名、职务）  </w:t>
      </w:r>
      <w:r>
        <w:rPr>
          <w:rFonts w:hint="eastAsia" w:ascii="宋体" w:hAnsi="宋体"/>
          <w:color w:val="auto"/>
          <w:szCs w:val="21"/>
          <w:highlight w:val="none"/>
        </w:rPr>
        <w:t>为全权代表，参加贵方组织的</w:t>
      </w:r>
      <w:r>
        <w:rPr>
          <w:rFonts w:hint="eastAsia" w:ascii="宋体" w:hAnsi="宋体"/>
          <w:color w:val="auto"/>
          <w:szCs w:val="21"/>
          <w:highlight w:val="none"/>
          <w:u w:val="single"/>
          <w:lang w:eastAsia="zh-CN"/>
        </w:rPr>
        <w:t>宁波大学附属第一医院外滩院区安保服务（含停车场保安）项目</w:t>
      </w:r>
      <w:r>
        <w:rPr>
          <w:rFonts w:hint="eastAsia" w:ascii="宋体" w:hAnsi="宋体"/>
          <w:color w:val="auto"/>
          <w:szCs w:val="21"/>
          <w:highlight w:val="none"/>
        </w:rPr>
        <w:t>（采购编号：</w:t>
      </w:r>
      <w:r>
        <w:rPr>
          <w:rFonts w:hint="eastAsia" w:ascii="宋体" w:hAnsi="宋体"/>
          <w:color w:val="auto"/>
          <w:szCs w:val="21"/>
          <w:highlight w:val="none"/>
          <w:u w:val="single"/>
        </w:rPr>
        <w:t>NBITC-202311410G</w:t>
      </w:r>
      <w:r>
        <w:rPr>
          <w:rFonts w:hint="eastAsia" w:ascii="宋体" w:hAnsi="宋体"/>
          <w:color w:val="auto"/>
          <w:szCs w:val="21"/>
          <w:highlight w:val="none"/>
        </w:rPr>
        <w:t>）招标活动并投标，为便于采购人公正、择优地确定中标供应商及其服务，采购人就本次投标有关事项郑重声明如下：</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1、采购人提交的所有投标文件、资料都是准确的和真实的。如有虚假或隐瞒，采购人愿意承担一切后果，并不再寻求任何旨在减轻或免除法律责任的辩解。</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2、采购人不是为本项目提供整体设计、规范编制或者项目管理、监理、检测等服务的供应商。</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3、我们已详细审查全部招标文件及有关的澄清/修改文件（若有），我们完全理解并同意放弃对这方面提出任何异议的权利。</w:t>
      </w:r>
    </w:p>
    <w:p>
      <w:pPr>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hint="eastAsia" w:ascii="宋体"/>
          <w:color w:val="auto"/>
          <w:highlight w:val="none"/>
        </w:rPr>
        <w:t>保证遵守招标文件有关条款规定。</w:t>
      </w:r>
    </w:p>
    <w:p>
      <w:pPr>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、本项目的投标报价详见“开标一览表”。</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、投标文件有效期为自开标之日起</w:t>
      </w:r>
      <w:r>
        <w:rPr>
          <w:rFonts w:hint="eastAsia" w:ascii="宋体" w:hAnsi="宋体"/>
          <w:color w:val="auto"/>
          <w:szCs w:val="21"/>
          <w:highlight w:val="none"/>
          <w:u w:val="single"/>
        </w:rPr>
        <w:t xml:space="preserve"> 90 </w:t>
      </w:r>
      <w:r>
        <w:rPr>
          <w:rFonts w:hint="eastAsia" w:ascii="宋体" w:hAnsi="宋体"/>
          <w:color w:val="auto"/>
          <w:szCs w:val="21"/>
          <w:highlight w:val="none"/>
        </w:rPr>
        <w:t>个日历日。</w:t>
      </w:r>
    </w:p>
    <w:p>
      <w:pPr>
        <w:spacing w:line="400" w:lineRule="exact"/>
        <w:ind w:firstLine="420" w:firstLineChars="200"/>
        <w:jc w:val="left"/>
        <w:rPr>
          <w:rFonts w:ascii="宋体"/>
          <w:color w:val="auto"/>
          <w:highlight w:val="none"/>
        </w:rPr>
      </w:pPr>
      <w:r>
        <w:rPr>
          <w:rFonts w:ascii="宋体" w:hAnsi="宋体"/>
          <w:color w:val="auto"/>
          <w:szCs w:val="21"/>
          <w:highlight w:val="none"/>
        </w:rPr>
        <w:t>7</w:t>
      </w:r>
      <w:r>
        <w:rPr>
          <w:rFonts w:hint="eastAsia" w:ascii="宋体" w:hAnsi="宋体"/>
          <w:color w:val="auto"/>
          <w:szCs w:val="21"/>
          <w:highlight w:val="none"/>
        </w:rPr>
        <w:t>、</w:t>
      </w:r>
      <w:r>
        <w:rPr>
          <w:rFonts w:hint="eastAsia" w:ascii="宋体"/>
          <w:color w:val="auto"/>
          <w:highlight w:val="none"/>
        </w:rPr>
        <w:t>保证在中标后忠实地执行与采购人所签署的合同，并承担合同规定的责任义务。</w:t>
      </w:r>
    </w:p>
    <w:p>
      <w:pPr>
        <w:spacing w:line="400" w:lineRule="exact"/>
        <w:ind w:firstLine="420" w:firstLineChars="200"/>
        <w:jc w:val="left"/>
        <w:rPr>
          <w:rFonts w:ascii="宋体" w:hAnsi="宋体"/>
          <w:color w:val="auto"/>
          <w:szCs w:val="21"/>
          <w:highlight w:val="none"/>
        </w:rPr>
      </w:pPr>
      <w:r>
        <w:rPr>
          <w:rFonts w:hint="eastAsia" w:ascii="宋体"/>
          <w:color w:val="auto"/>
          <w:highlight w:val="none"/>
        </w:rPr>
        <w:t>8、完全同意招标文件中有关招标代理服务费的条款，保证在中标后按照招标文件规定的金额、时间和方式，向贵方一次性交纳招标代理服务费。采购人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9</w:t>
      </w:r>
      <w:r>
        <w:rPr>
          <w:rFonts w:hint="eastAsia" w:ascii="宋体" w:hAnsi="宋体"/>
          <w:color w:val="auto"/>
          <w:szCs w:val="21"/>
          <w:highlight w:val="none"/>
        </w:rPr>
        <w:t>、与本投标有关的一切正式来往通讯请寄：</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地址：            邮编：</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电话：            传真：</w:t>
      </w:r>
    </w:p>
    <w:p>
      <w:pPr>
        <w:spacing w:line="400" w:lineRule="exact"/>
        <w:ind w:left="540" w:firstLine="30"/>
        <w:jc w:val="left"/>
        <w:rPr>
          <w:rFonts w:ascii="宋体" w:hAnsi="宋体"/>
          <w:color w:val="auto"/>
          <w:szCs w:val="21"/>
          <w:highlight w:val="none"/>
        </w:rPr>
      </w:pPr>
    </w:p>
    <w:p>
      <w:pPr>
        <w:spacing w:line="400" w:lineRule="exact"/>
        <w:jc w:val="left"/>
        <w:rPr>
          <w:rFonts w:ascii="宋体" w:hAnsi="宋体"/>
          <w:color w:val="auto"/>
          <w:szCs w:val="21"/>
          <w:highlight w:val="none"/>
        </w:rPr>
      </w:pPr>
    </w:p>
    <w:p>
      <w:pPr>
        <w:spacing w:line="400" w:lineRule="exact"/>
        <w:jc w:val="left"/>
        <w:rPr>
          <w:rFonts w:ascii="宋体" w:hAnsi="宋体"/>
          <w:color w:val="auto"/>
          <w:szCs w:val="21"/>
          <w:highlight w:val="none"/>
        </w:rPr>
      </w:pPr>
      <w:r>
        <w:rPr>
          <w:rFonts w:hint="eastAsia" w:ascii="宋体" w:hAnsi="宋体"/>
          <w:color w:val="auto"/>
          <w:szCs w:val="21"/>
          <w:highlight w:val="none"/>
        </w:rPr>
        <w:t>供应商（盖章）：</w:t>
      </w:r>
    </w:p>
    <w:p>
      <w:pPr>
        <w:spacing w:line="400" w:lineRule="exact"/>
        <w:rPr>
          <w:rFonts w:ascii="宋体" w:hAnsi="宋体"/>
          <w:b/>
          <w:bCs/>
          <w:color w:val="auto"/>
          <w:kern w:val="0"/>
          <w:szCs w:val="21"/>
          <w:highlight w:val="none"/>
        </w:rPr>
      </w:pPr>
    </w:p>
    <w:p>
      <w:pPr>
        <w:spacing w:line="400" w:lineRule="exact"/>
        <w:rPr>
          <w:rFonts w:ascii="宋体" w:hAnsi="宋体"/>
          <w:b/>
          <w:bCs/>
          <w:color w:val="auto"/>
          <w:szCs w:val="21"/>
          <w:highlight w:val="none"/>
        </w:rPr>
      </w:pPr>
      <w:r>
        <w:rPr>
          <w:rFonts w:ascii="宋体" w:hAnsi="宋体"/>
          <w:b/>
          <w:bCs/>
          <w:color w:val="auto"/>
          <w:kern w:val="0"/>
          <w:szCs w:val="21"/>
          <w:highlight w:val="none"/>
        </w:rPr>
        <w:t>法定代表人或其委托代理人：（签字</w:t>
      </w:r>
      <w:r>
        <w:rPr>
          <w:rFonts w:hint="eastAsia" w:ascii="宋体" w:hAnsi="宋体"/>
          <w:b/>
          <w:bCs/>
          <w:color w:val="auto"/>
          <w:kern w:val="0"/>
          <w:szCs w:val="21"/>
          <w:highlight w:val="none"/>
        </w:rPr>
        <w:t>或盖章</w:t>
      </w:r>
      <w:r>
        <w:rPr>
          <w:rFonts w:ascii="宋体" w:hAnsi="宋体"/>
          <w:b/>
          <w:bCs/>
          <w:color w:val="auto"/>
          <w:kern w:val="0"/>
          <w:szCs w:val="21"/>
          <w:highlight w:val="none"/>
        </w:rPr>
        <w:t xml:space="preserve">）    </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u w:val="single"/>
        </w:rPr>
      </w:pPr>
      <w:r>
        <w:rPr>
          <w:rFonts w:hint="eastAsia" w:ascii="宋体" w:hAnsi="宋体"/>
          <w:color w:val="auto"/>
          <w:szCs w:val="21"/>
          <w:highlight w:val="none"/>
        </w:rPr>
        <w:t>日  期：</w:t>
      </w:r>
    </w:p>
    <w:p>
      <w:pPr>
        <w:spacing w:line="360" w:lineRule="auto"/>
        <w:jc w:val="center"/>
        <w:rPr>
          <w:rFonts w:ascii="宋体" w:hAnsi="宋体"/>
          <w:b/>
          <w:bCs/>
          <w:color w:val="auto"/>
          <w:szCs w:val="21"/>
          <w:highlight w:val="none"/>
        </w:rPr>
      </w:pPr>
      <w:r>
        <w:rPr>
          <w:rStyle w:val="138"/>
          <w:rFonts w:ascii="宋体" w:hAnsi="宋体"/>
          <w:color w:val="auto"/>
          <w:szCs w:val="21"/>
          <w:highlight w:val="none"/>
        </w:rPr>
        <w:br w:type="page"/>
      </w:r>
      <w:r>
        <w:rPr>
          <w:rFonts w:hint="eastAsia" w:ascii="宋体" w:hAnsi="宋体"/>
          <w:b/>
          <w:bCs/>
          <w:color w:val="auto"/>
          <w:highlight w:val="none"/>
        </w:rPr>
        <w:t>B</w:t>
      </w:r>
      <w:r>
        <w:rPr>
          <w:rFonts w:ascii="宋体" w:hAnsi="宋体"/>
          <w:b/>
          <w:bCs/>
          <w:color w:val="auto"/>
          <w:szCs w:val="21"/>
          <w:highlight w:val="none"/>
        </w:rPr>
        <w:t>2</w:t>
      </w:r>
      <w:r>
        <w:rPr>
          <w:rFonts w:hint="eastAsia" w:ascii="宋体" w:hAnsi="宋体"/>
          <w:b/>
          <w:bCs/>
          <w:color w:val="auto"/>
          <w:szCs w:val="21"/>
          <w:highlight w:val="none"/>
        </w:rPr>
        <w:t>法定代表人身份证明</w:t>
      </w:r>
    </w:p>
    <w:p>
      <w:pPr>
        <w:spacing w:afterLines="50" w:line="400" w:lineRule="exact"/>
        <w:rPr>
          <w:rFonts w:ascii="宋体" w:hAnsi="宋体"/>
          <w:color w:val="auto"/>
          <w:szCs w:val="21"/>
          <w:highlight w:val="none"/>
          <w:u w:val="single"/>
        </w:rPr>
      </w:pPr>
      <w:r>
        <w:rPr>
          <w:rFonts w:hint="eastAsia" w:ascii="宋体" w:hAnsi="宋体"/>
          <w:color w:val="auto"/>
          <w:szCs w:val="21"/>
          <w:highlight w:val="none"/>
        </w:rPr>
        <w:t>供应商名称：</w:t>
      </w:r>
    </w:p>
    <w:p>
      <w:pPr>
        <w:spacing w:afterLines="50" w:line="400" w:lineRule="exact"/>
        <w:rPr>
          <w:rFonts w:ascii="宋体" w:hAnsi="宋体"/>
          <w:color w:val="auto"/>
          <w:szCs w:val="21"/>
          <w:highlight w:val="none"/>
          <w:u w:val="single"/>
        </w:rPr>
      </w:pPr>
      <w:r>
        <w:rPr>
          <w:rFonts w:hint="eastAsia" w:ascii="宋体" w:hAnsi="宋体"/>
          <w:color w:val="auto"/>
          <w:szCs w:val="21"/>
          <w:highlight w:val="none"/>
        </w:rPr>
        <w:t>单位性质：</w:t>
      </w:r>
    </w:p>
    <w:p>
      <w:pPr>
        <w:spacing w:afterLines="50" w:line="400" w:lineRule="exact"/>
        <w:rPr>
          <w:rFonts w:ascii="宋体" w:hAnsi="宋体"/>
          <w:color w:val="auto"/>
          <w:szCs w:val="21"/>
          <w:highlight w:val="none"/>
          <w:u w:val="single"/>
        </w:rPr>
      </w:pPr>
      <w:r>
        <w:rPr>
          <w:rFonts w:hint="eastAsia" w:ascii="宋体" w:hAnsi="宋体"/>
          <w:color w:val="auto"/>
          <w:szCs w:val="21"/>
          <w:highlight w:val="none"/>
        </w:rPr>
        <w:t>地址：</w:t>
      </w:r>
    </w:p>
    <w:p>
      <w:pPr>
        <w:spacing w:afterLines="50" w:line="400" w:lineRule="exact"/>
        <w:rPr>
          <w:rFonts w:ascii="宋体" w:hAnsi="宋体"/>
          <w:color w:val="auto"/>
          <w:szCs w:val="21"/>
          <w:highlight w:val="none"/>
          <w:u w:val="single"/>
        </w:rPr>
      </w:pPr>
      <w:r>
        <w:rPr>
          <w:rFonts w:hint="eastAsia" w:ascii="宋体" w:hAnsi="宋体"/>
          <w:color w:val="auto"/>
          <w:szCs w:val="21"/>
          <w:highlight w:val="none"/>
        </w:rPr>
        <w:t>成立时间：年月日</w:t>
      </w:r>
    </w:p>
    <w:p>
      <w:pPr>
        <w:spacing w:afterLines="50" w:line="400" w:lineRule="exact"/>
        <w:rPr>
          <w:rFonts w:ascii="宋体" w:hAnsi="宋体"/>
          <w:color w:val="auto"/>
          <w:szCs w:val="21"/>
          <w:highlight w:val="none"/>
          <w:u w:val="single"/>
        </w:rPr>
      </w:pPr>
      <w:r>
        <w:rPr>
          <w:rFonts w:hint="eastAsia" w:ascii="宋体" w:hAnsi="宋体"/>
          <w:color w:val="auto"/>
          <w:szCs w:val="21"/>
          <w:highlight w:val="none"/>
        </w:rPr>
        <w:t>经营期限：</w:t>
      </w:r>
    </w:p>
    <w:p>
      <w:pPr>
        <w:spacing w:afterLines="50" w:line="400" w:lineRule="exact"/>
        <w:rPr>
          <w:rFonts w:ascii="宋体" w:hAnsi="宋体"/>
          <w:color w:val="auto"/>
          <w:szCs w:val="21"/>
          <w:highlight w:val="none"/>
          <w:u w:val="single"/>
        </w:rPr>
      </w:pPr>
      <w:r>
        <w:rPr>
          <w:rFonts w:hint="eastAsia" w:ascii="宋体" w:hAnsi="宋体"/>
          <w:color w:val="auto"/>
          <w:szCs w:val="21"/>
          <w:highlight w:val="none"/>
        </w:rPr>
        <w:t>姓名：性别：年龄：职务：</w:t>
      </w:r>
    </w:p>
    <w:p>
      <w:pPr>
        <w:spacing w:afterLines="50" w:line="400" w:lineRule="exact"/>
        <w:rPr>
          <w:rFonts w:ascii="宋体" w:hAnsi="宋体"/>
          <w:color w:val="auto"/>
          <w:szCs w:val="21"/>
          <w:highlight w:val="none"/>
          <w:u w:val="single"/>
        </w:rPr>
      </w:pPr>
      <w:r>
        <w:rPr>
          <w:rFonts w:hint="eastAsia" w:ascii="宋体" w:hAnsi="宋体"/>
          <w:color w:val="auto"/>
          <w:szCs w:val="21"/>
          <w:highlight w:val="none"/>
        </w:rPr>
        <w:t>身份证号码：</w:t>
      </w:r>
    </w:p>
    <w:p>
      <w:pPr>
        <w:spacing w:line="400" w:lineRule="exact"/>
        <w:ind w:firstLine="560"/>
        <w:rPr>
          <w:rFonts w:ascii="宋体" w:hAnsi="宋体"/>
          <w:color w:val="auto"/>
          <w:szCs w:val="21"/>
          <w:highlight w:val="none"/>
        </w:rPr>
      </w:pPr>
    </w:p>
    <w:p>
      <w:pPr>
        <w:spacing w:line="400" w:lineRule="exact"/>
        <w:rPr>
          <w:rFonts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（供应商名称）</w:t>
      </w:r>
      <w:r>
        <w:rPr>
          <w:rFonts w:hint="eastAsia" w:ascii="宋体" w:hAnsi="宋体"/>
          <w:color w:val="auto"/>
          <w:szCs w:val="21"/>
          <w:highlight w:val="none"/>
        </w:rPr>
        <w:t>的法定代表人。</w:t>
      </w:r>
    </w:p>
    <w:p>
      <w:pPr>
        <w:spacing w:line="400" w:lineRule="exact"/>
        <w:ind w:firstLine="560"/>
        <w:rPr>
          <w:rFonts w:ascii="宋体" w:hAnsi="宋体"/>
          <w:color w:val="auto"/>
          <w:szCs w:val="21"/>
          <w:highlight w:val="none"/>
        </w:rPr>
      </w:pPr>
    </w:p>
    <w:p>
      <w:pPr>
        <w:spacing w:line="400" w:lineRule="exact"/>
        <w:rPr>
          <w:rFonts w:ascii="宋体" w:hAnsi="宋体"/>
          <w:color w:val="auto"/>
          <w:szCs w:val="21"/>
          <w:highlight w:val="none"/>
        </w:rPr>
      </w:pPr>
      <w:r>
        <w:rPr>
          <w:rFonts w:hint="eastAsia" w:ascii="宋体" w:hAnsi="宋体"/>
          <w:color w:val="auto"/>
          <w:szCs w:val="21"/>
          <w:highlight w:val="none"/>
        </w:rPr>
        <w:t>特此证明。</w:t>
      </w:r>
    </w:p>
    <w:p>
      <w:pPr>
        <w:spacing w:line="400" w:lineRule="atLeast"/>
        <w:rPr>
          <w:rFonts w:ascii="宋体" w:hAnsi="宋体"/>
          <w:color w:val="auto"/>
          <w:szCs w:val="21"/>
          <w:highlight w:val="none"/>
          <w:u w:val="single"/>
        </w:rPr>
      </w:pPr>
    </w:p>
    <w:p>
      <w:pPr>
        <w:spacing w:line="400" w:lineRule="atLeast"/>
        <w:jc w:val="left"/>
        <w:rPr>
          <w:rFonts w:ascii="宋体" w:hAnsi="宋体"/>
          <w:color w:val="auto"/>
          <w:szCs w:val="21"/>
          <w:highlight w:val="none"/>
        </w:rPr>
      </w:pPr>
      <w:r>
        <w:rPr>
          <w:rFonts w:hint="eastAsia" w:ascii="宋体" w:hAnsi="宋体"/>
          <w:color w:val="auto"/>
          <w:szCs w:val="21"/>
          <w:highlight w:val="none"/>
        </w:rPr>
        <w:t>供应商（盖章）：</w:t>
      </w:r>
    </w:p>
    <w:p>
      <w:pPr>
        <w:spacing w:line="400" w:lineRule="atLeast"/>
        <w:rPr>
          <w:rFonts w:ascii="宋体" w:hAnsi="宋体"/>
          <w:color w:val="auto"/>
          <w:szCs w:val="21"/>
          <w:highlight w:val="none"/>
        </w:rPr>
      </w:pPr>
    </w:p>
    <w:p>
      <w:pPr>
        <w:spacing w:line="400" w:lineRule="atLeast"/>
        <w:rPr>
          <w:rFonts w:ascii="宋体" w:hAnsi="宋体"/>
          <w:color w:val="auto"/>
          <w:szCs w:val="21"/>
          <w:highlight w:val="none"/>
          <w:u w:val="single"/>
        </w:rPr>
      </w:pPr>
      <w:r>
        <w:rPr>
          <w:rFonts w:hint="eastAsia" w:ascii="宋体" w:hAnsi="宋体"/>
          <w:color w:val="auto"/>
          <w:szCs w:val="21"/>
          <w:highlight w:val="none"/>
        </w:rPr>
        <w:t>日</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期：</w:t>
      </w:r>
    </w:p>
    <w:p>
      <w:pPr>
        <w:spacing w:line="400" w:lineRule="atLeast"/>
        <w:rPr>
          <w:rFonts w:ascii="宋体" w:hAnsi="宋体"/>
          <w:color w:val="auto"/>
          <w:szCs w:val="21"/>
          <w:highlight w:val="none"/>
          <w:u w:val="single"/>
        </w:rPr>
      </w:pPr>
    </w:p>
    <w:p>
      <w:pPr>
        <w:spacing w:line="400" w:lineRule="atLeast"/>
        <w:rPr>
          <w:rFonts w:ascii="宋体" w:hAnsi="宋体"/>
          <w:color w:val="auto"/>
          <w:szCs w:val="21"/>
          <w:highlight w:val="none"/>
          <w:u w:val="single"/>
        </w:rPr>
      </w:pPr>
    </w:p>
    <w:p>
      <w:pPr>
        <w:spacing w:line="360" w:lineRule="auto"/>
        <w:rPr>
          <w:rFonts w:ascii="宋体" w:hAnsi="宋体"/>
          <w:color w:val="auto"/>
          <w:szCs w:val="21"/>
          <w:highlight w:val="none"/>
        </w:rPr>
      </w:pPr>
    </w:p>
    <w:p>
      <w:pPr>
        <w:spacing w:line="400" w:lineRule="atLeast"/>
        <w:rPr>
          <w:rFonts w:ascii="宋体" w:hAnsi="宋体"/>
          <w:color w:val="auto"/>
          <w:szCs w:val="21"/>
          <w:highlight w:val="none"/>
          <w:u w:val="singl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后附：</w:t>
      </w:r>
      <w:r>
        <w:rPr>
          <w:rFonts w:hint="eastAsia" w:ascii="宋体" w:hAnsi="宋体"/>
          <w:b/>
          <w:bCs/>
          <w:color w:val="auto"/>
          <w:szCs w:val="21"/>
          <w:highlight w:val="none"/>
        </w:rPr>
        <w:t>法定代表人身份证复印件加盖供应商公章。</w:t>
      </w:r>
    </w:p>
    <w:p>
      <w:pPr>
        <w:spacing w:line="400" w:lineRule="atLeast"/>
        <w:rPr>
          <w:rFonts w:ascii="宋体" w:hAnsi="宋体"/>
          <w:color w:val="auto"/>
          <w:szCs w:val="21"/>
          <w:highlight w:val="none"/>
          <w:u w:val="single"/>
        </w:rPr>
      </w:pPr>
    </w:p>
    <w:p>
      <w:pPr>
        <w:spacing w:line="400" w:lineRule="exact"/>
        <w:jc w:val="center"/>
        <w:rPr>
          <w:rFonts w:ascii="宋体" w:hAnsi="宋体"/>
          <w:b/>
          <w:color w:val="auto"/>
          <w:szCs w:val="21"/>
          <w:highlight w:val="none"/>
        </w:rPr>
      </w:pPr>
      <w:r>
        <w:rPr>
          <w:rStyle w:val="138"/>
          <w:rFonts w:ascii="宋体" w:hAnsi="宋体"/>
          <w:color w:val="auto"/>
          <w:szCs w:val="21"/>
          <w:highlight w:val="none"/>
        </w:rPr>
        <w:br w:type="page"/>
      </w:r>
      <w:r>
        <w:rPr>
          <w:rFonts w:hint="eastAsia" w:ascii="宋体" w:hAnsi="宋体"/>
          <w:b/>
          <w:color w:val="auto"/>
          <w:szCs w:val="21"/>
          <w:highlight w:val="none"/>
        </w:rPr>
        <w:t>B</w:t>
      </w:r>
      <w:r>
        <w:rPr>
          <w:rFonts w:ascii="宋体" w:hAnsi="宋体"/>
          <w:b/>
          <w:color w:val="auto"/>
          <w:szCs w:val="21"/>
          <w:highlight w:val="none"/>
        </w:rPr>
        <w:t>3</w:t>
      </w:r>
      <w:r>
        <w:rPr>
          <w:rFonts w:hint="eastAsia" w:ascii="宋体" w:hAnsi="宋体"/>
          <w:b/>
          <w:color w:val="auto"/>
          <w:szCs w:val="21"/>
          <w:highlight w:val="none"/>
        </w:rPr>
        <w:t>法定代表人授权书</w:t>
      </w:r>
    </w:p>
    <w:p>
      <w:pPr>
        <w:spacing w:line="400" w:lineRule="exact"/>
        <w:jc w:val="center"/>
        <w:rPr>
          <w:rFonts w:ascii="宋体" w:hAnsi="宋体"/>
          <w:b/>
          <w:color w:val="auto"/>
          <w:szCs w:val="21"/>
          <w:highlight w:val="none"/>
        </w:rPr>
      </w:pPr>
      <w:r>
        <w:rPr>
          <w:rFonts w:hint="eastAsia" w:ascii="宋体" w:hAnsi="宋体"/>
          <w:b/>
          <w:color w:val="auto"/>
          <w:szCs w:val="21"/>
          <w:highlight w:val="none"/>
        </w:rPr>
        <w:t>（投标文件由授权代表签字的须提供）</w:t>
      </w:r>
    </w:p>
    <w:p>
      <w:pPr>
        <w:spacing w:line="360" w:lineRule="auto"/>
        <w:rPr>
          <w:rFonts w:ascii="宋体" w:hAnsi="宋体"/>
          <w:color w:val="auto"/>
          <w:szCs w:val="21"/>
          <w:highlight w:val="none"/>
        </w:rPr>
      </w:pPr>
      <w:r>
        <w:rPr>
          <w:rFonts w:hint="eastAsia" w:ascii="宋体" w:hAnsi="宋体"/>
          <w:color w:val="auto"/>
          <w:szCs w:val="21"/>
          <w:highlight w:val="none"/>
        </w:rPr>
        <w:t>致：采购人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single"/>
        </w:rPr>
        <w:t>（供应商全称）</w:t>
      </w:r>
      <w:r>
        <w:rPr>
          <w:rFonts w:hint="eastAsia" w:ascii="宋体" w:hAnsi="宋体"/>
          <w:color w:val="auto"/>
          <w:szCs w:val="21"/>
          <w:highlight w:val="none"/>
        </w:rPr>
        <w:t>法定代表人</w:t>
      </w:r>
      <w:r>
        <w:rPr>
          <w:rFonts w:hint="eastAsia" w:ascii="宋体" w:hAnsi="宋体"/>
          <w:color w:val="auto"/>
          <w:szCs w:val="21"/>
          <w:highlight w:val="none"/>
          <w:u w:val="single"/>
        </w:rPr>
        <w:t>（法定代表人姓名）</w:t>
      </w:r>
      <w:r>
        <w:rPr>
          <w:rFonts w:hint="eastAsia" w:ascii="宋体" w:hAnsi="宋体"/>
          <w:color w:val="auto"/>
          <w:szCs w:val="21"/>
          <w:highlight w:val="none"/>
        </w:rPr>
        <w:t>授权</w:t>
      </w:r>
      <w:r>
        <w:rPr>
          <w:rFonts w:hint="eastAsia" w:ascii="宋体" w:hAnsi="宋体"/>
          <w:color w:val="auto"/>
          <w:szCs w:val="21"/>
          <w:highlight w:val="none"/>
          <w:u w:val="single"/>
        </w:rPr>
        <w:t>（授权代表姓名）</w:t>
      </w:r>
      <w:r>
        <w:rPr>
          <w:rFonts w:hint="eastAsia" w:ascii="宋体" w:hAnsi="宋体"/>
          <w:color w:val="auto"/>
          <w:szCs w:val="21"/>
          <w:highlight w:val="none"/>
        </w:rPr>
        <w:t>为授权代表，参加</w:t>
      </w:r>
      <w:r>
        <w:rPr>
          <w:rFonts w:hint="eastAsia" w:ascii="宋体" w:hAnsi="宋体"/>
          <w:color w:val="auto"/>
          <w:szCs w:val="21"/>
          <w:highlight w:val="none"/>
          <w:u w:val="single"/>
          <w:lang w:eastAsia="zh-CN"/>
        </w:rPr>
        <w:t>宁波大学附属第一医院外滩院区安保服务（含停车场保安）项目</w:t>
      </w:r>
      <w:r>
        <w:rPr>
          <w:rFonts w:hint="eastAsia" w:ascii="宋体" w:hAnsi="宋体"/>
          <w:color w:val="auto"/>
          <w:szCs w:val="21"/>
          <w:highlight w:val="none"/>
        </w:rPr>
        <w:t>，采购编号为</w:t>
      </w:r>
      <w:r>
        <w:rPr>
          <w:rFonts w:hint="eastAsia" w:ascii="宋体" w:hAnsi="宋体"/>
          <w:color w:val="auto"/>
          <w:szCs w:val="21"/>
          <w:highlight w:val="none"/>
          <w:u w:val="single"/>
        </w:rPr>
        <w:t>NBITC-202311410G</w:t>
      </w:r>
      <w:r>
        <w:rPr>
          <w:rFonts w:hint="eastAsia" w:ascii="宋体" w:hAnsi="宋体"/>
          <w:color w:val="auto"/>
          <w:szCs w:val="21"/>
          <w:highlight w:val="none"/>
        </w:rPr>
        <w:t>，其在招投标活动中的一切活动本公司均予承认。</w:t>
      </w:r>
    </w:p>
    <w:p>
      <w:pPr>
        <w:spacing w:line="400" w:lineRule="atLeast"/>
        <w:jc w:val="left"/>
        <w:rPr>
          <w:rFonts w:ascii="宋体" w:hAnsi="宋体"/>
          <w:color w:val="auto"/>
          <w:szCs w:val="21"/>
          <w:highlight w:val="none"/>
        </w:rPr>
      </w:pPr>
    </w:p>
    <w:p>
      <w:pPr>
        <w:spacing w:line="400" w:lineRule="atLeast"/>
        <w:jc w:val="left"/>
        <w:rPr>
          <w:rFonts w:ascii="宋体" w:hAnsi="宋体"/>
          <w:color w:val="auto"/>
          <w:szCs w:val="21"/>
          <w:highlight w:val="none"/>
        </w:rPr>
      </w:pPr>
      <w:r>
        <w:rPr>
          <w:rFonts w:hint="eastAsia" w:ascii="宋体" w:hAnsi="宋体"/>
          <w:color w:val="auto"/>
          <w:szCs w:val="21"/>
          <w:highlight w:val="none"/>
        </w:rPr>
        <w:t>供应商（盖章）：</w:t>
      </w:r>
    </w:p>
    <w:p>
      <w:pPr>
        <w:spacing w:line="400" w:lineRule="atLeast"/>
        <w:jc w:val="left"/>
        <w:rPr>
          <w:rFonts w:ascii="宋体" w:hAnsi="宋体"/>
          <w:b/>
          <w:bCs/>
          <w:color w:val="auto"/>
          <w:szCs w:val="21"/>
          <w:highlight w:val="none"/>
        </w:rPr>
      </w:pPr>
      <w:r>
        <w:rPr>
          <w:rFonts w:hint="eastAsia" w:ascii="宋体" w:hAnsi="宋体"/>
          <w:b/>
          <w:bCs/>
          <w:color w:val="auto"/>
          <w:szCs w:val="21"/>
          <w:highlight w:val="none"/>
        </w:rPr>
        <w:t>法定代表人（签字或盖章）：</w:t>
      </w:r>
    </w:p>
    <w:p>
      <w:pPr>
        <w:spacing w:line="400" w:lineRule="atLeast"/>
        <w:rPr>
          <w:rFonts w:ascii="宋体" w:hAnsi="宋体"/>
          <w:color w:val="auto"/>
          <w:szCs w:val="21"/>
          <w:highlight w:val="none"/>
          <w:u w:val="single"/>
        </w:rPr>
      </w:pPr>
      <w:r>
        <w:rPr>
          <w:rFonts w:hint="eastAsia" w:ascii="宋体" w:hAnsi="宋体"/>
          <w:color w:val="auto"/>
          <w:szCs w:val="21"/>
          <w:highlight w:val="none"/>
        </w:rPr>
        <w:t>日  期：</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附：</w:t>
      </w:r>
    </w:p>
    <w:p>
      <w:pPr>
        <w:spacing w:line="360" w:lineRule="auto"/>
        <w:ind w:firstLine="555"/>
        <w:rPr>
          <w:rFonts w:ascii="宋体" w:hAnsi="宋体"/>
          <w:color w:val="auto"/>
          <w:szCs w:val="21"/>
          <w:highlight w:val="none"/>
          <w:u w:val="single"/>
        </w:rPr>
      </w:pPr>
      <w:r>
        <w:rPr>
          <w:rFonts w:hint="eastAsia" w:ascii="宋体" w:hAnsi="宋体"/>
          <w:color w:val="auto"/>
          <w:szCs w:val="21"/>
          <w:highlight w:val="none"/>
        </w:rPr>
        <w:t>授权代表姓名：</w:t>
      </w:r>
    </w:p>
    <w:p>
      <w:pPr>
        <w:spacing w:line="360" w:lineRule="auto"/>
        <w:ind w:firstLine="555"/>
        <w:rPr>
          <w:rFonts w:ascii="宋体" w:hAnsi="宋体"/>
          <w:color w:val="auto"/>
          <w:szCs w:val="21"/>
          <w:highlight w:val="none"/>
          <w:u w:val="single"/>
        </w:rPr>
      </w:pPr>
      <w:r>
        <w:rPr>
          <w:rFonts w:hint="eastAsia" w:ascii="宋体" w:hAnsi="宋体"/>
          <w:color w:val="auto"/>
          <w:szCs w:val="21"/>
          <w:highlight w:val="none"/>
        </w:rPr>
        <w:t>授权代表身份证号码：</w:t>
      </w:r>
    </w:p>
    <w:p>
      <w:pPr>
        <w:spacing w:line="360" w:lineRule="auto"/>
        <w:ind w:firstLine="555"/>
        <w:rPr>
          <w:rFonts w:ascii="宋体" w:hAnsi="宋体"/>
          <w:color w:val="auto"/>
          <w:szCs w:val="21"/>
          <w:highlight w:val="none"/>
          <w:u w:val="single"/>
        </w:rPr>
      </w:pPr>
      <w:r>
        <w:rPr>
          <w:rFonts w:hint="eastAsia" w:ascii="宋体" w:hAnsi="宋体"/>
          <w:color w:val="auto"/>
          <w:szCs w:val="21"/>
          <w:highlight w:val="none"/>
        </w:rPr>
        <w:t>职务：</w:t>
      </w:r>
    </w:p>
    <w:p>
      <w:pPr>
        <w:spacing w:line="360" w:lineRule="auto"/>
        <w:ind w:firstLine="555"/>
        <w:rPr>
          <w:rFonts w:ascii="宋体" w:hAnsi="宋体"/>
          <w:color w:val="auto"/>
          <w:szCs w:val="21"/>
          <w:highlight w:val="none"/>
          <w:u w:val="single"/>
        </w:rPr>
      </w:pPr>
      <w:r>
        <w:rPr>
          <w:rFonts w:hint="eastAsia" w:ascii="宋体" w:hAnsi="宋体"/>
          <w:color w:val="auto"/>
          <w:szCs w:val="21"/>
          <w:highlight w:val="none"/>
        </w:rPr>
        <w:t>详细通讯地址：</w:t>
      </w:r>
    </w:p>
    <w:p>
      <w:pPr>
        <w:spacing w:line="360" w:lineRule="auto"/>
        <w:ind w:firstLine="555"/>
        <w:rPr>
          <w:rFonts w:ascii="宋体" w:hAnsi="宋体"/>
          <w:color w:val="auto"/>
          <w:szCs w:val="21"/>
          <w:highlight w:val="none"/>
        </w:rPr>
      </w:pPr>
      <w:r>
        <w:rPr>
          <w:rFonts w:hint="eastAsia" w:ascii="宋体" w:hAnsi="宋体"/>
          <w:color w:val="auto"/>
          <w:szCs w:val="21"/>
          <w:highlight w:val="none"/>
        </w:rPr>
        <w:t>电话：</w:t>
      </w:r>
    </w:p>
    <w:p>
      <w:pPr>
        <w:spacing w:line="360" w:lineRule="auto"/>
        <w:ind w:firstLine="555"/>
        <w:rPr>
          <w:rFonts w:ascii="宋体" w:hAnsi="宋体"/>
          <w:color w:val="auto"/>
          <w:szCs w:val="21"/>
          <w:highlight w:val="none"/>
          <w:u w:val="single"/>
        </w:rPr>
      </w:pPr>
      <w:r>
        <w:rPr>
          <w:rFonts w:hint="eastAsia" w:ascii="宋体" w:hAnsi="宋体"/>
          <w:color w:val="auto"/>
          <w:szCs w:val="21"/>
          <w:highlight w:val="none"/>
        </w:rPr>
        <w:t>传真：</w:t>
      </w:r>
    </w:p>
    <w:p>
      <w:pPr>
        <w:spacing w:line="360" w:lineRule="auto"/>
        <w:ind w:firstLine="555"/>
        <w:rPr>
          <w:rFonts w:ascii="宋体" w:hAnsi="宋体"/>
          <w:color w:val="auto"/>
          <w:szCs w:val="21"/>
          <w:highlight w:val="none"/>
          <w:u w:val="single"/>
        </w:rPr>
      </w:pPr>
    </w:p>
    <w:p>
      <w:pPr>
        <w:spacing w:line="360" w:lineRule="auto"/>
        <w:ind w:firstLine="525" w:firstLineChars="250"/>
        <w:rPr>
          <w:rFonts w:ascii="宋体" w:hAnsi="宋体"/>
          <w:color w:val="auto"/>
          <w:szCs w:val="21"/>
          <w:highlight w:val="none"/>
          <w:u w:val="single"/>
        </w:rPr>
      </w:pPr>
    </w:p>
    <w:p>
      <w:pPr>
        <w:spacing w:line="360" w:lineRule="auto"/>
        <w:ind w:firstLine="525" w:firstLineChars="250"/>
        <w:rPr>
          <w:rFonts w:ascii="宋体" w:hAnsi="宋体"/>
          <w:color w:val="auto"/>
          <w:szCs w:val="21"/>
          <w:highlight w:val="none"/>
          <w:u w:val="single"/>
        </w:rPr>
      </w:pPr>
    </w:p>
    <w:p>
      <w:pPr>
        <w:spacing w:line="360" w:lineRule="auto"/>
        <w:ind w:firstLine="525" w:firstLineChars="250"/>
        <w:rPr>
          <w:rFonts w:ascii="宋体" w:hAnsi="宋体"/>
          <w:color w:val="auto"/>
          <w:szCs w:val="21"/>
          <w:highlight w:val="none"/>
          <w:u w:val="single"/>
        </w:rPr>
      </w:pP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后附：</w:t>
      </w:r>
    </w:p>
    <w:p>
      <w:pPr>
        <w:spacing w:line="360" w:lineRule="auto"/>
        <w:ind w:firstLine="527" w:firstLineChars="250"/>
        <w:rPr>
          <w:rFonts w:ascii="宋体" w:hAnsi="宋体"/>
          <w:b/>
          <w:bCs/>
          <w:color w:val="auto"/>
          <w:szCs w:val="21"/>
          <w:highlight w:val="none"/>
        </w:rPr>
      </w:pPr>
      <w:r>
        <w:rPr>
          <w:rFonts w:ascii="宋体" w:hAnsi="宋体"/>
          <w:b/>
          <w:bCs/>
          <w:color w:val="auto"/>
          <w:szCs w:val="21"/>
          <w:highlight w:val="none"/>
        </w:rPr>
        <w:t>1</w:t>
      </w:r>
      <w:r>
        <w:rPr>
          <w:rFonts w:hint="eastAsia" w:ascii="宋体" w:hAnsi="宋体"/>
          <w:b/>
          <w:bCs/>
          <w:color w:val="auto"/>
          <w:szCs w:val="21"/>
          <w:highlight w:val="none"/>
        </w:rPr>
        <w:t>、授权代表身份证复印件加盖供应商公章；</w:t>
      </w:r>
    </w:p>
    <w:p>
      <w:pPr>
        <w:spacing w:line="360" w:lineRule="auto"/>
        <w:ind w:firstLine="592" w:firstLineChars="250"/>
        <w:rPr>
          <w:rFonts w:ascii="宋体" w:hAnsi="宋体"/>
          <w:b/>
          <w:color w:val="auto"/>
          <w:szCs w:val="21"/>
          <w:highlight w:val="none"/>
        </w:rPr>
      </w:pPr>
      <w:r>
        <w:rPr>
          <w:rStyle w:val="138"/>
          <w:rFonts w:ascii="宋体" w:hAnsi="宋体"/>
          <w:color w:val="auto"/>
          <w:szCs w:val="21"/>
          <w:highlight w:val="none"/>
        </w:rPr>
        <w:br w:type="page"/>
      </w:r>
    </w:p>
    <w:p>
      <w:pPr>
        <w:spacing w:line="440" w:lineRule="exact"/>
        <w:jc w:val="center"/>
        <w:rPr>
          <w:rFonts w:ascii="宋体" w:hAnsi="宋体"/>
          <w:b/>
          <w:color w:val="auto"/>
          <w:szCs w:val="21"/>
          <w:highlight w:val="none"/>
        </w:rPr>
      </w:pPr>
      <w:r>
        <w:rPr>
          <w:rFonts w:hint="eastAsia" w:ascii="宋体" w:hAnsi="宋体"/>
          <w:b/>
          <w:color w:val="auto"/>
          <w:szCs w:val="21"/>
          <w:highlight w:val="none"/>
        </w:rPr>
        <w:t>B</w:t>
      </w:r>
      <w:r>
        <w:rPr>
          <w:rFonts w:ascii="宋体" w:hAnsi="宋体"/>
          <w:b/>
          <w:color w:val="auto"/>
          <w:szCs w:val="21"/>
          <w:highlight w:val="none"/>
        </w:rPr>
        <w:t>4</w:t>
      </w:r>
      <w:r>
        <w:rPr>
          <w:rFonts w:hint="eastAsia" w:ascii="宋体" w:hAnsi="宋体"/>
          <w:b/>
          <w:color w:val="auto"/>
          <w:szCs w:val="21"/>
          <w:highlight w:val="none"/>
        </w:rPr>
        <w:t>供应商一般情况表</w:t>
      </w:r>
    </w:p>
    <w:tbl>
      <w:tblPr>
        <w:tblStyle w:val="50"/>
        <w:tblW w:w="935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4588"/>
        <w:gridCol w:w="10"/>
        <w:gridCol w:w="40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 w:type="dxa"/>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1</w:t>
            </w:r>
          </w:p>
        </w:tc>
        <w:tc>
          <w:tcPr>
            <w:tcW w:w="8683" w:type="dxa"/>
            <w:gridSpan w:val="3"/>
            <w:noWrap/>
            <w:vAlign w:val="center"/>
          </w:tcPr>
          <w:p>
            <w:pPr>
              <w:spacing w:line="400" w:lineRule="exact"/>
              <w:rPr>
                <w:rFonts w:ascii="宋体" w:hAnsi="宋体"/>
                <w:color w:val="auto"/>
                <w:szCs w:val="21"/>
                <w:highlight w:val="none"/>
              </w:rPr>
            </w:pPr>
            <w:r>
              <w:rPr>
                <w:rFonts w:hint="eastAsia" w:ascii="宋体" w:hAnsi="宋体"/>
                <w:color w:val="auto"/>
                <w:szCs w:val="21"/>
                <w:highlight w:val="none"/>
              </w:rPr>
              <w:t>单位名称：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 w:type="dxa"/>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2</w:t>
            </w:r>
          </w:p>
        </w:tc>
        <w:tc>
          <w:tcPr>
            <w:tcW w:w="8683" w:type="dxa"/>
            <w:gridSpan w:val="3"/>
            <w:noWrap/>
            <w:vAlign w:val="center"/>
          </w:tcPr>
          <w:p>
            <w:pPr>
              <w:spacing w:line="400" w:lineRule="exact"/>
              <w:rPr>
                <w:rFonts w:ascii="宋体" w:hAnsi="宋体"/>
                <w:color w:val="auto"/>
                <w:szCs w:val="21"/>
                <w:highlight w:val="none"/>
              </w:rPr>
            </w:pPr>
            <w:r>
              <w:rPr>
                <w:rFonts w:hint="eastAsia" w:ascii="宋体" w:hAnsi="宋体"/>
                <w:color w:val="auto"/>
                <w:szCs w:val="21"/>
                <w:highlight w:val="none"/>
              </w:rPr>
              <w:t>总部地址：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 w:type="dxa"/>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3</w:t>
            </w:r>
          </w:p>
        </w:tc>
        <w:tc>
          <w:tcPr>
            <w:tcW w:w="8683" w:type="dxa"/>
            <w:gridSpan w:val="3"/>
            <w:noWrap/>
            <w:vAlign w:val="center"/>
          </w:tcPr>
          <w:p>
            <w:pPr>
              <w:spacing w:line="400" w:lineRule="exact"/>
              <w:rPr>
                <w:rFonts w:ascii="宋体" w:hAnsi="宋体"/>
                <w:color w:val="auto"/>
                <w:szCs w:val="21"/>
                <w:highlight w:val="none"/>
              </w:rPr>
            </w:pPr>
            <w:r>
              <w:rPr>
                <w:rFonts w:hint="eastAsia" w:ascii="宋体" w:hAnsi="宋体"/>
                <w:color w:val="auto"/>
                <w:szCs w:val="21"/>
                <w:highlight w:val="none"/>
              </w:rPr>
              <w:t>当地代表处地址：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 w:type="dxa"/>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4</w:t>
            </w:r>
          </w:p>
        </w:tc>
        <w:tc>
          <w:tcPr>
            <w:tcW w:w="4588" w:type="dxa"/>
            <w:noWrap/>
            <w:vAlign w:val="center"/>
          </w:tcPr>
          <w:p>
            <w:pPr>
              <w:spacing w:line="400" w:lineRule="exact"/>
              <w:rPr>
                <w:rFonts w:ascii="宋体" w:hAnsi="宋体"/>
                <w:color w:val="auto"/>
                <w:szCs w:val="21"/>
                <w:highlight w:val="none"/>
              </w:rPr>
            </w:pPr>
            <w:r>
              <w:rPr>
                <w:rFonts w:hint="eastAsia" w:ascii="宋体" w:hAnsi="宋体"/>
                <w:color w:val="auto"/>
                <w:szCs w:val="21"/>
                <w:highlight w:val="none"/>
              </w:rPr>
              <w:t>电话：</w:t>
            </w:r>
          </w:p>
        </w:tc>
        <w:tc>
          <w:tcPr>
            <w:tcW w:w="4095" w:type="dxa"/>
            <w:gridSpan w:val="2"/>
            <w:noWrap/>
            <w:vAlign w:val="center"/>
          </w:tcPr>
          <w:p>
            <w:pPr>
              <w:spacing w:line="400" w:lineRule="exact"/>
              <w:rPr>
                <w:rFonts w:ascii="宋体" w:hAnsi="宋体"/>
                <w:color w:val="auto"/>
                <w:szCs w:val="21"/>
                <w:highlight w:val="none"/>
              </w:rPr>
            </w:pPr>
            <w:r>
              <w:rPr>
                <w:rFonts w:hint="eastAsia" w:ascii="宋体" w:hAnsi="宋体"/>
                <w:color w:val="auto"/>
                <w:szCs w:val="21"/>
                <w:highlight w:val="none"/>
              </w:rPr>
              <w:t>联系人：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 w:type="dxa"/>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5</w:t>
            </w:r>
          </w:p>
        </w:tc>
        <w:tc>
          <w:tcPr>
            <w:tcW w:w="4588" w:type="dxa"/>
            <w:noWrap/>
            <w:vAlign w:val="center"/>
          </w:tcPr>
          <w:p>
            <w:pPr>
              <w:spacing w:line="400" w:lineRule="exact"/>
              <w:rPr>
                <w:rFonts w:ascii="宋体" w:hAnsi="宋体"/>
                <w:color w:val="auto"/>
                <w:szCs w:val="21"/>
                <w:highlight w:val="none"/>
              </w:rPr>
            </w:pPr>
            <w:r>
              <w:rPr>
                <w:rFonts w:hint="eastAsia" w:ascii="宋体" w:hAnsi="宋体"/>
                <w:color w:val="auto"/>
                <w:szCs w:val="21"/>
                <w:highlight w:val="none"/>
              </w:rPr>
              <w:t>传真：</w:t>
            </w:r>
          </w:p>
        </w:tc>
        <w:tc>
          <w:tcPr>
            <w:tcW w:w="4095" w:type="dxa"/>
            <w:gridSpan w:val="2"/>
            <w:noWrap/>
            <w:vAlign w:val="center"/>
          </w:tcPr>
          <w:p>
            <w:pPr>
              <w:spacing w:line="400" w:lineRule="exact"/>
              <w:rPr>
                <w:rFonts w:ascii="宋体" w:hAnsi="宋体"/>
                <w:color w:val="auto"/>
                <w:szCs w:val="21"/>
                <w:highlight w:val="none"/>
              </w:rPr>
            </w:pPr>
            <w:r>
              <w:rPr>
                <w:rFonts w:hint="eastAsia" w:ascii="宋体" w:hAnsi="宋体"/>
                <w:color w:val="auto"/>
                <w:szCs w:val="21"/>
                <w:highlight w:val="none"/>
              </w:rPr>
              <w:t>电子信箱：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 w:type="dxa"/>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6</w:t>
            </w:r>
          </w:p>
        </w:tc>
        <w:tc>
          <w:tcPr>
            <w:tcW w:w="4588" w:type="dxa"/>
            <w:noWrap/>
            <w:vAlign w:val="center"/>
          </w:tcPr>
          <w:p>
            <w:pPr>
              <w:spacing w:line="400" w:lineRule="exact"/>
              <w:rPr>
                <w:rFonts w:ascii="宋体" w:hAnsi="宋体"/>
                <w:color w:val="auto"/>
                <w:szCs w:val="21"/>
                <w:highlight w:val="none"/>
              </w:rPr>
            </w:pPr>
            <w:r>
              <w:rPr>
                <w:rFonts w:hint="eastAsia" w:ascii="宋体" w:hAnsi="宋体"/>
                <w:color w:val="auto"/>
                <w:szCs w:val="21"/>
                <w:highlight w:val="none"/>
              </w:rPr>
              <w:t>注册地：</w:t>
            </w:r>
          </w:p>
        </w:tc>
        <w:tc>
          <w:tcPr>
            <w:tcW w:w="4095" w:type="dxa"/>
            <w:gridSpan w:val="2"/>
            <w:noWrap/>
            <w:vAlign w:val="center"/>
          </w:tcPr>
          <w:p>
            <w:pPr>
              <w:spacing w:line="400" w:lineRule="exact"/>
              <w:rPr>
                <w:rFonts w:ascii="宋体" w:hAnsi="宋体"/>
                <w:color w:val="auto"/>
                <w:szCs w:val="21"/>
                <w:highlight w:val="none"/>
              </w:rPr>
            </w:pPr>
            <w:r>
              <w:rPr>
                <w:rFonts w:hint="eastAsia" w:ascii="宋体" w:hAnsi="宋体"/>
                <w:color w:val="auto"/>
                <w:szCs w:val="21"/>
                <w:highlight w:val="none"/>
              </w:rPr>
              <w:t>注册年份：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 w:type="dxa"/>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7</w:t>
            </w:r>
          </w:p>
        </w:tc>
        <w:tc>
          <w:tcPr>
            <w:tcW w:w="8683" w:type="dxa"/>
            <w:gridSpan w:val="3"/>
            <w:noWrap/>
            <w:vAlign w:val="center"/>
          </w:tcPr>
          <w:p>
            <w:pPr>
              <w:spacing w:line="400" w:lineRule="exact"/>
              <w:rPr>
                <w:rFonts w:ascii="宋体" w:hAnsi="宋体"/>
                <w:color w:val="auto"/>
                <w:szCs w:val="21"/>
                <w:highlight w:val="none"/>
              </w:rPr>
            </w:pPr>
            <w:r>
              <w:rPr>
                <w:rFonts w:hint="eastAsia" w:ascii="宋体" w:hAnsi="宋体"/>
                <w:color w:val="auto"/>
                <w:szCs w:val="21"/>
                <w:highlight w:val="none"/>
              </w:rPr>
              <w:t>公司的资质等级（请附上有关证书的复印件）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 w:type="dxa"/>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8</w:t>
            </w:r>
          </w:p>
        </w:tc>
        <w:tc>
          <w:tcPr>
            <w:tcW w:w="8683" w:type="dxa"/>
            <w:gridSpan w:val="3"/>
            <w:noWrap/>
            <w:vAlign w:val="center"/>
          </w:tcPr>
          <w:p>
            <w:pPr>
              <w:spacing w:line="400" w:lineRule="exact"/>
              <w:rPr>
                <w:rFonts w:ascii="宋体" w:hAnsi="宋体"/>
                <w:color w:val="auto"/>
                <w:szCs w:val="21"/>
                <w:highlight w:val="none"/>
              </w:rPr>
            </w:pPr>
            <w:r>
              <w:rPr>
                <w:rFonts w:hint="eastAsia" w:ascii="宋体" w:hAnsi="宋体"/>
                <w:color w:val="auto"/>
                <w:szCs w:val="21"/>
                <w:highlight w:val="none"/>
              </w:rPr>
              <w:t>公司（是否通过，何种）质量保证体系认证（如通过请附相关证书复印件，提供认证机构年审监督报告）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 w:type="dxa"/>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9</w:t>
            </w:r>
          </w:p>
        </w:tc>
        <w:tc>
          <w:tcPr>
            <w:tcW w:w="4598" w:type="dxa"/>
            <w:gridSpan w:val="2"/>
            <w:noWrap/>
            <w:vAlign w:val="center"/>
          </w:tcPr>
          <w:p>
            <w:pPr>
              <w:spacing w:line="400" w:lineRule="exact"/>
              <w:rPr>
                <w:rFonts w:ascii="宋体" w:hAnsi="宋体"/>
                <w:color w:val="auto"/>
                <w:szCs w:val="21"/>
                <w:highlight w:val="none"/>
              </w:rPr>
            </w:pPr>
            <w:r>
              <w:rPr>
                <w:rFonts w:hint="eastAsia" w:ascii="宋体" w:hAnsi="宋体"/>
                <w:color w:val="auto"/>
                <w:szCs w:val="21"/>
                <w:highlight w:val="none"/>
              </w:rPr>
              <w:t>从业人员数量</w:t>
            </w:r>
          </w:p>
        </w:tc>
        <w:tc>
          <w:tcPr>
            <w:tcW w:w="4085" w:type="dxa"/>
            <w:noWrap/>
            <w:vAlign w:val="center"/>
          </w:tcPr>
          <w:p>
            <w:pPr>
              <w:spacing w:line="400" w:lineRule="exact"/>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 w:type="dxa"/>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10</w:t>
            </w:r>
          </w:p>
        </w:tc>
        <w:tc>
          <w:tcPr>
            <w:tcW w:w="4598" w:type="dxa"/>
            <w:gridSpan w:val="2"/>
            <w:noWrap/>
            <w:vAlign w:val="center"/>
          </w:tcPr>
          <w:p>
            <w:pPr>
              <w:spacing w:line="400" w:lineRule="exact"/>
              <w:rPr>
                <w:rFonts w:ascii="宋体" w:hAnsi="宋体"/>
                <w:color w:val="auto"/>
                <w:szCs w:val="21"/>
                <w:highlight w:val="none"/>
              </w:rPr>
            </w:pPr>
            <w:r>
              <w:rPr>
                <w:rFonts w:hint="eastAsia" w:ascii="宋体" w:hAnsi="宋体"/>
                <w:color w:val="auto"/>
                <w:szCs w:val="21"/>
                <w:highlight w:val="none"/>
              </w:rPr>
              <w:t>营业收入</w:t>
            </w:r>
          </w:p>
        </w:tc>
        <w:tc>
          <w:tcPr>
            <w:tcW w:w="4085" w:type="dxa"/>
            <w:noWrap/>
            <w:vAlign w:val="center"/>
          </w:tcPr>
          <w:p>
            <w:pPr>
              <w:spacing w:line="400" w:lineRule="exact"/>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 w:type="dxa"/>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11</w:t>
            </w:r>
          </w:p>
        </w:tc>
        <w:tc>
          <w:tcPr>
            <w:tcW w:w="4598" w:type="dxa"/>
            <w:gridSpan w:val="2"/>
            <w:noWrap/>
            <w:vAlign w:val="center"/>
          </w:tcPr>
          <w:p>
            <w:pPr>
              <w:spacing w:line="400" w:lineRule="exact"/>
              <w:rPr>
                <w:rFonts w:ascii="宋体" w:hAnsi="宋体"/>
                <w:color w:val="auto"/>
                <w:szCs w:val="21"/>
                <w:highlight w:val="none"/>
              </w:rPr>
            </w:pPr>
            <w:r>
              <w:rPr>
                <w:rFonts w:hint="eastAsia" w:ascii="宋体" w:hAnsi="宋体"/>
                <w:color w:val="auto"/>
                <w:szCs w:val="21"/>
                <w:highlight w:val="none"/>
              </w:rPr>
              <w:t>其他需要说明的情况</w:t>
            </w:r>
          </w:p>
        </w:tc>
        <w:tc>
          <w:tcPr>
            <w:tcW w:w="4085" w:type="dxa"/>
            <w:noWrap/>
            <w:vAlign w:val="center"/>
          </w:tcPr>
          <w:p>
            <w:pPr>
              <w:spacing w:line="400" w:lineRule="exact"/>
              <w:rPr>
                <w:rFonts w:ascii="宋体" w:hAnsi="宋体"/>
                <w:color w:val="auto"/>
                <w:szCs w:val="21"/>
                <w:highlight w:val="none"/>
              </w:rPr>
            </w:pPr>
          </w:p>
        </w:tc>
      </w:tr>
    </w:tbl>
    <w:p>
      <w:pPr>
        <w:spacing w:line="400" w:lineRule="atLeast"/>
        <w:jc w:val="left"/>
        <w:rPr>
          <w:rFonts w:ascii="宋体" w:hAnsi="宋体"/>
          <w:color w:val="auto"/>
          <w:szCs w:val="21"/>
          <w:highlight w:val="none"/>
        </w:rPr>
      </w:pPr>
    </w:p>
    <w:p>
      <w:pPr>
        <w:spacing w:line="400" w:lineRule="atLeast"/>
        <w:jc w:val="left"/>
        <w:rPr>
          <w:rFonts w:ascii="宋体" w:hAnsi="宋体"/>
          <w:color w:val="auto"/>
          <w:szCs w:val="21"/>
          <w:highlight w:val="none"/>
        </w:rPr>
      </w:pPr>
    </w:p>
    <w:p>
      <w:pPr>
        <w:spacing w:line="400" w:lineRule="atLeast"/>
        <w:jc w:val="left"/>
        <w:rPr>
          <w:rFonts w:ascii="宋体" w:hAnsi="宋体"/>
          <w:color w:val="auto"/>
          <w:szCs w:val="21"/>
          <w:highlight w:val="none"/>
        </w:rPr>
      </w:pPr>
      <w:r>
        <w:rPr>
          <w:rFonts w:hint="eastAsia" w:ascii="宋体" w:hAnsi="宋体"/>
          <w:color w:val="auto"/>
          <w:szCs w:val="21"/>
          <w:highlight w:val="none"/>
        </w:rPr>
        <w:t>供应商（盖章）：</w:t>
      </w:r>
    </w:p>
    <w:p>
      <w:pPr>
        <w:spacing w:line="400" w:lineRule="atLeast"/>
        <w:rPr>
          <w:rFonts w:ascii="宋体" w:hAnsi="宋体"/>
          <w:color w:val="auto"/>
          <w:szCs w:val="21"/>
          <w:highlight w:val="none"/>
        </w:rPr>
      </w:pPr>
    </w:p>
    <w:p>
      <w:pPr>
        <w:spacing w:line="400" w:lineRule="atLeast"/>
        <w:rPr>
          <w:rFonts w:ascii="宋体" w:hAnsi="宋体"/>
          <w:color w:val="auto"/>
          <w:szCs w:val="21"/>
          <w:highlight w:val="none"/>
          <w:u w:val="single"/>
        </w:rPr>
      </w:pPr>
      <w:r>
        <w:rPr>
          <w:rFonts w:hint="eastAsia" w:ascii="宋体" w:hAnsi="宋体"/>
          <w:color w:val="auto"/>
          <w:szCs w:val="21"/>
          <w:highlight w:val="none"/>
        </w:rPr>
        <w:t>日  期：</w:t>
      </w:r>
    </w:p>
    <w:p>
      <w:pPr>
        <w:spacing w:line="360" w:lineRule="auto"/>
        <w:rPr>
          <w:rFonts w:ascii="宋体" w:hAnsi="宋体"/>
          <w:color w:val="auto"/>
          <w:szCs w:val="21"/>
          <w:highlight w:val="none"/>
        </w:rPr>
      </w:pPr>
      <w:r>
        <w:rPr>
          <w:rFonts w:ascii="宋体" w:hAnsi="宋体"/>
          <w:color w:val="auto"/>
          <w:szCs w:val="21"/>
          <w:highlight w:val="none"/>
        </w:rPr>
        <w:br w:type="page"/>
      </w:r>
    </w:p>
    <w:p>
      <w:pPr>
        <w:spacing w:line="400" w:lineRule="exact"/>
        <w:jc w:val="center"/>
        <w:rPr>
          <w:rFonts w:ascii="宋体"/>
          <w:b/>
          <w:color w:val="auto"/>
          <w:szCs w:val="21"/>
          <w:highlight w:val="none"/>
        </w:rPr>
      </w:pPr>
      <w:bookmarkStart w:id="48" w:name="_Toc10852"/>
      <w:r>
        <w:rPr>
          <w:rFonts w:hint="eastAsia" w:ascii="宋体" w:hAnsi="宋体"/>
          <w:b/>
          <w:color w:val="auto"/>
          <w:szCs w:val="21"/>
          <w:highlight w:val="none"/>
        </w:rPr>
        <w:t>B5</w:t>
      </w:r>
      <w:r>
        <w:rPr>
          <w:rFonts w:hint="eastAsia" w:ascii="宋体"/>
          <w:b/>
          <w:color w:val="auto"/>
          <w:szCs w:val="21"/>
          <w:highlight w:val="none"/>
        </w:rPr>
        <w:t>招标需求响应表</w:t>
      </w:r>
      <w:bookmarkEnd w:id="48"/>
    </w:p>
    <w:p>
      <w:pPr>
        <w:adjustRightInd w:val="0"/>
        <w:snapToGrid w:val="0"/>
        <w:spacing w:line="400" w:lineRule="exact"/>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u w:val="single"/>
          <w:lang w:eastAsia="zh-CN"/>
        </w:rPr>
        <w:t>宁波大学附属第一医院外滩院区安保服务（含停车场保安）项目</w:t>
      </w:r>
    </w:p>
    <w:p>
      <w:pPr>
        <w:adjustRightInd w:val="0"/>
        <w:snapToGrid w:val="0"/>
        <w:spacing w:line="400" w:lineRule="exact"/>
        <w:rPr>
          <w:rFonts w:ascii="宋体" w:hAnsi="宋体"/>
          <w:color w:val="auto"/>
          <w:szCs w:val="21"/>
          <w:highlight w:val="none"/>
          <w:u w:val="single"/>
        </w:rPr>
      </w:pPr>
      <w:r>
        <w:rPr>
          <w:rFonts w:hint="eastAsia" w:ascii="宋体" w:hAnsi="宋体"/>
          <w:color w:val="auto"/>
          <w:szCs w:val="21"/>
          <w:highlight w:val="none"/>
        </w:rPr>
        <w:t>项目编号：</w:t>
      </w:r>
      <w:r>
        <w:rPr>
          <w:rFonts w:hint="eastAsia" w:ascii="宋体" w:hAnsi="宋体"/>
          <w:color w:val="auto"/>
          <w:szCs w:val="21"/>
          <w:highlight w:val="none"/>
          <w:u w:val="single"/>
        </w:rPr>
        <w:t>NBITC-202311410G</w:t>
      </w:r>
    </w:p>
    <w:p>
      <w:pPr>
        <w:adjustRightInd w:val="0"/>
        <w:snapToGrid w:val="0"/>
        <w:spacing w:line="400" w:lineRule="exact"/>
        <w:rPr>
          <w:rFonts w:ascii="宋体" w:hAnsi="宋体"/>
          <w:color w:val="auto"/>
          <w:szCs w:val="21"/>
          <w:highlight w:val="none"/>
          <w:u w:val="single"/>
        </w:rPr>
      </w:pPr>
      <w:r>
        <w:rPr>
          <w:rFonts w:hint="eastAsia" w:ascii="宋体" w:hAnsi="宋体"/>
          <w:color w:val="auto"/>
          <w:szCs w:val="21"/>
          <w:highlight w:val="none"/>
        </w:rPr>
        <w:t>标项号：</w:t>
      </w:r>
    </w:p>
    <w:tbl>
      <w:tblPr>
        <w:tblStyle w:val="50"/>
        <w:tblW w:w="9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717"/>
        <w:gridCol w:w="1794"/>
        <w:gridCol w:w="4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6" w:type="dxa"/>
            <w:tcBorders>
              <w:top w:val="double" w:color="auto" w:sz="4" w:space="0"/>
              <w:left w:val="double" w:color="auto" w:sz="4" w:space="0"/>
            </w:tcBorders>
            <w:noWrap/>
            <w:vAlign w:val="center"/>
          </w:tcPr>
          <w:p>
            <w:pPr>
              <w:adjustRightInd w:val="0"/>
              <w:snapToGrid w:val="0"/>
              <w:spacing w:line="400" w:lineRule="exact"/>
              <w:jc w:val="center"/>
              <w:rPr>
                <w:rFonts w:ascii="宋体"/>
                <w:color w:val="auto"/>
                <w:spacing w:val="20"/>
                <w:szCs w:val="21"/>
                <w:highlight w:val="none"/>
              </w:rPr>
            </w:pPr>
            <w:r>
              <w:rPr>
                <w:rFonts w:hint="eastAsia" w:ascii="宋体"/>
                <w:color w:val="auto"/>
                <w:spacing w:val="20"/>
                <w:szCs w:val="21"/>
                <w:highlight w:val="none"/>
              </w:rPr>
              <w:t>序号</w:t>
            </w:r>
          </w:p>
        </w:tc>
        <w:tc>
          <w:tcPr>
            <w:tcW w:w="1717" w:type="dxa"/>
            <w:tcBorders>
              <w:top w:val="double" w:color="auto" w:sz="4" w:space="0"/>
            </w:tcBorders>
            <w:noWrap/>
            <w:vAlign w:val="center"/>
          </w:tcPr>
          <w:p>
            <w:pPr>
              <w:adjustRightInd w:val="0"/>
              <w:snapToGrid w:val="0"/>
              <w:spacing w:line="400" w:lineRule="exact"/>
              <w:jc w:val="center"/>
              <w:rPr>
                <w:rFonts w:ascii="宋体"/>
                <w:color w:val="auto"/>
                <w:spacing w:val="20"/>
                <w:szCs w:val="21"/>
                <w:highlight w:val="none"/>
              </w:rPr>
            </w:pPr>
            <w:r>
              <w:rPr>
                <w:rFonts w:hint="eastAsia" w:ascii="宋体"/>
                <w:color w:val="auto"/>
                <w:spacing w:val="20"/>
                <w:szCs w:val="21"/>
                <w:highlight w:val="none"/>
              </w:rPr>
              <w:t>招标要求</w:t>
            </w:r>
          </w:p>
        </w:tc>
        <w:tc>
          <w:tcPr>
            <w:tcW w:w="1794" w:type="dxa"/>
            <w:tcBorders>
              <w:top w:val="double" w:color="auto" w:sz="4" w:space="0"/>
            </w:tcBorders>
            <w:noWrap/>
            <w:vAlign w:val="center"/>
          </w:tcPr>
          <w:p>
            <w:pPr>
              <w:adjustRightInd w:val="0"/>
              <w:snapToGrid w:val="0"/>
              <w:spacing w:line="400" w:lineRule="exact"/>
              <w:jc w:val="center"/>
              <w:rPr>
                <w:rFonts w:ascii="宋体"/>
                <w:color w:val="auto"/>
                <w:spacing w:val="20"/>
                <w:szCs w:val="21"/>
                <w:highlight w:val="none"/>
              </w:rPr>
            </w:pPr>
            <w:r>
              <w:rPr>
                <w:rFonts w:hint="eastAsia" w:ascii="宋体"/>
                <w:color w:val="auto"/>
                <w:spacing w:val="20"/>
                <w:szCs w:val="21"/>
                <w:highlight w:val="none"/>
              </w:rPr>
              <w:t>投标响应</w:t>
            </w:r>
          </w:p>
        </w:tc>
        <w:tc>
          <w:tcPr>
            <w:tcW w:w="4694" w:type="dxa"/>
            <w:tcBorders>
              <w:top w:val="double" w:color="auto" w:sz="4" w:space="0"/>
              <w:right w:val="double" w:color="auto" w:sz="4" w:space="0"/>
            </w:tcBorders>
            <w:noWrap/>
            <w:vAlign w:val="center"/>
          </w:tcPr>
          <w:p>
            <w:pPr>
              <w:adjustRightInd w:val="0"/>
              <w:snapToGrid w:val="0"/>
              <w:spacing w:line="400" w:lineRule="exact"/>
              <w:jc w:val="center"/>
              <w:rPr>
                <w:rFonts w:ascii="宋体"/>
                <w:color w:val="auto"/>
                <w:spacing w:val="20"/>
                <w:szCs w:val="21"/>
                <w:highlight w:val="none"/>
              </w:rPr>
            </w:pPr>
            <w:r>
              <w:rPr>
                <w:rFonts w:hint="eastAsia" w:ascii="宋体"/>
                <w:color w:val="auto"/>
                <w:spacing w:val="20"/>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6" w:type="dxa"/>
            <w:tcBorders>
              <w:left w:val="double" w:color="auto" w:sz="4" w:space="0"/>
            </w:tcBorders>
            <w:noWrap/>
            <w:vAlign w:val="center"/>
          </w:tcPr>
          <w:p>
            <w:pPr>
              <w:adjustRightInd w:val="0"/>
              <w:snapToGrid w:val="0"/>
              <w:spacing w:line="400" w:lineRule="exact"/>
              <w:jc w:val="center"/>
              <w:rPr>
                <w:rFonts w:ascii="宋体"/>
                <w:color w:val="auto"/>
                <w:spacing w:val="20"/>
                <w:szCs w:val="21"/>
                <w:highlight w:val="none"/>
              </w:rPr>
            </w:pPr>
          </w:p>
        </w:tc>
        <w:tc>
          <w:tcPr>
            <w:tcW w:w="1717" w:type="dxa"/>
            <w:noWrap/>
            <w:vAlign w:val="center"/>
          </w:tcPr>
          <w:p>
            <w:pPr>
              <w:adjustRightInd w:val="0"/>
              <w:snapToGrid w:val="0"/>
              <w:spacing w:line="400" w:lineRule="exact"/>
              <w:jc w:val="center"/>
              <w:rPr>
                <w:rFonts w:ascii="宋体"/>
                <w:color w:val="auto"/>
                <w:spacing w:val="20"/>
                <w:szCs w:val="21"/>
                <w:highlight w:val="none"/>
              </w:rPr>
            </w:pPr>
          </w:p>
        </w:tc>
        <w:tc>
          <w:tcPr>
            <w:tcW w:w="1794" w:type="dxa"/>
            <w:noWrap/>
            <w:vAlign w:val="center"/>
          </w:tcPr>
          <w:p>
            <w:pPr>
              <w:adjustRightInd w:val="0"/>
              <w:snapToGrid w:val="0"/>
              <w:spacing w:line="400" w:lineRule="exact"/>
              <w:jc w:val="center"/>
              <w:rPr>
                <w:rFonts w:ascii="宋体"/>
                <w:color w:val="auto"/>
                <w:spacing w:val="20"/>
                <w:szCs w:val="21"/>
                <w:highlight w:val="none"/>
              </w:rPr>
            </w:pPr>
          </w:p>
        </w:tc>
        <w:tc>
          <w:tcPr>
            <w:tcW w:w="4694" w:type="dxa"/>
            <w:tcBorders>
              <w:right w:val="double" w:color="auto" w:sz="4" w:space="0"/>
            </w:tcBorders>
            <w:noWrap/>
            <w:vAlign w:val="center"/>
          </w:tcPr>
          <w:p>
            <w:pPr>
              <w:adjustRightInd w:val="0"/>
              <w:snapToGrid w:val="0"/>
              <w:spacing w:line="400" w:lineRule="exact"/>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6" w:type="dxa"/>
            <w:tcBorders>
              <w:left w:val="double" w:color="auto" w:sz="4" w:space="0"/>
            </w:tcBorders>
            <w:noWrap/>
            <w:vAlign w:val="center"/>
          </w:tcPr>
          <w:p>
            <w:pPr>
              <w:adjustRightInd w:val="0"/>
              <w:snapToGrid w:val="0"/>
              <w:spacing w:line="400" w:lineRule="exact"/>
              <w:jc w:val="center"/>
              <w:rPr>
                <w:rFonts w:ascii="宋体"/>
                <w:color w:val="auto"/>
                <w:spacing w:val="20"/>
                <w:szCs w:val="21"/>
                <w:highlight w:val="none"/>
              </w:rPr>
            </w:pPr>
          </w:p>
        </w:tc>
        <w:tc>
          <w:tcPr>
            <w:tcW w:w="1717" w:type="dxa"/>
            <w:noWrap/>
            <w:vAlign w:val="center"/>
          </w:tcPr>
          <w:p>
            <w:pPr>
              <w:adjustRightInd w:val="0"/>
              <w:snapToGrid w:val="0"/>
              <w:spacing w:line="400" w:lineRule="exact"/>
              <w:jc w:val="center"/>
              <w:rPr>
                <w:rFonts w:ascii="宋体"/>
                <w:color w:val="auto"/>
                <w:spacing w:val="20"/>
                <w:szCs w:val="21"/>
                <w:highlight w:val="none"/>
              </w:rPr>
            </w:pPr>
          </w:p>
        </w:tc>
        <w:tc>
          <w:tcPr>
            <w:tcW w:w="1794" w:type="dxa"/>
            <w:noWrap/>
            <w:vAlign w:val="center"/>
          </w:tcPr>
          <w:p>
            <w:pPr>
              <w:adjustRightInd w:val="0"/>
              <w:snapToGrid w:val="0"/>
              <w:spacing w:line="400" w:lineRule="exact"/>
              <w:jc w:val="center"/>
              <w:rPr>
                <w:rFonts w:ascii="宋体"/>
                <w:color w:val="auto"/>
                <w:spacing w:val="20"/>
                <w:szCs w:val="21"/>
                <w:highlight w:val="none"/>
              </w:rPr>
            </w:pPr>
          </w:p>
        </w:tc>
        <w:tc>
          <w:tcPr>
            <w:tcW w:w="4694" w:type="dxa"/>
            <w:tcBorders>
              <w:right w:val="double" w:color="auto" w:sz="4" w:space="0"/>
            </w:tcBorders>
            <w:noWrap/>
            <w:vAlign w:val="center"/>
          </w:tcPr>
          <w:p>
            <w:pPr>
              <w:adjustRightInd w:val="0"/>
              <w:snapToGrid w:val="0"/>
              <w:spacing w:line="400" w:lineRule="exact"/>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6" w:type="dxa"/>
            <w:tcBorders>
              <w:left w:val="double" w:color="auto" w:sz="4" w:space="0"/>
            </w:tcBorders>
            <w:noWrap/>
            <w:vAlign w:val="center"/>
          </w:tcPr>
          <w:p>
            <w:pPr>
              <w:adjustRightInd w:val="0"/>
              <w:snapToGrid w:val="0"/>
              <w:spacing w:line="400" w:lineRule="exact"/>
              <w:jc w:val="center"/>
              <w:rPr>
                <w:rFonts w:ascii="宋体"/>
                <w:color w:val="auto"/>
                <w:spacing w:val="20"/>
                <w:szCs w:val="21"/>
                <w:highlight w:val="none"/>
              </w:rPr>
            </w:pPr>
          </w:p>
        </w:tc>
        <w:tc>
          <w:tcPr>
            <w:tcW w:w="1717" w:type="dxa"/>
            <w:noWrap/>
            <w:vAlign w:val="center"/>
          </w:tcPr>
          <w:p>
            <w:pPr>
              <w:adjustRightInd w:val="0"/>
              <w:snapToGrid w:val="0"/>
              <w:spacing w:line="400" w:lineRule="exact"/>
              <w:jc w:val="center"/>
              <w:rPr>
                <w:rFonts w:ascii="宋体"/>
                <w:color w:val="auto"/>
                <w:spacing w:val="20"/>
                <w:szCs w:val="21"/>
                <w:highlight w:val="none"/>
              </w:rPr>
            </w:pPr>
          </w:p>
        </w:tc>
        <w:tc>
          <w:tcPr>
            <w:tcW w:w="1794" w:type="dxa"/>
            <w:noWrap/>
            <w:vAlign w:val="center"/>
          </w:tcPr>
          <w:p>
            <w:pPr>
              <w:adjustRightInd w:val="0"/>
              <w:snapToGrid w:val="0"/>
              <w:spacing w:line="400" w:lineRule="exact"/>
              <w:jc w:val="center"/>
              <w:rPr>
                <w:rFonts w:ascii="宋体"/>
                <w:color w:val="auto"/>
                <w:spacing w:val="20"/>
                <w:szCs w:val="21"/>
                <w:highlight w:val="none"/>
              </w:rPr>
            </w:pPr>
          </w:p>
        </w:tc>
        <w:tc>
          <w:tcPr>
            <w:tcW w:w="4694" w:type="dxa"/>
            <w:tcBorders>
              <w:right w:val="double" w:color="auto" w:sz="4" w:space="0"/>
            </w:tcBorders>
            <w:noWrap/>
            <w:vAlign w:val="center"/>
          </w:tcPr>
          <w:p>
            <w:pPr>
              <w:adjustRightInd w:val="0"/>
              <w:snapToGrid w:val="0"/>
              <w:spacing w:line="400" w:lineRule="exact"/>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6" w:type="dxa"/>
            <w:tcBorders>
              <w:left w:val="double" w:color="auto" w:sz="4" w:space="0"/>
            </w:tcBorders>
            <w:noWrap/>
            <w:vAlign w:val="center"/>
          </w:tcPr>
          <w:p>
            <w:pPr>
              <w:adjustRightInd w:val="0"/>
              <w:snapToGrid w:val="0"/>
              <w:spacing w:line="400" w:lineRule="exact"/>
              <w:jc w:val="center"/>
              <w:rPr>
                <w:rFonts w:ascii="宋体"/>
                <w:color w:val="auto"/>
                <w:spacing w:val="20"/>
                <w:szCs w:val="21"/>
                <w:highlight w:val="none"/>
              </w:rPr>
            </w:pPr>
          </w:p>
        </w:tc>
        <w:tc>
          <w:tcPr>
            <w:tcW w:w="1717" w:type="dxa"/>
            <w:noWrap/>
            <w:vAlign w:val="center"/>
          </w:tcPr>
          <w:p>
            <w:pPr>
              <w:adjustRightInd w:val="0"/>
              <w:snapToGrid w:val="0"/>
              <w:spacing w:line="400" w:lineRule="exact"/>
              <w:jc w:val="center"/>
              <w:rPr>
                <w:rFonts w:ascii="宋体"/>
                <w:color w:val="auto"/>
                <w:spacing w:val="20"/>
                <w:szCs w:val="21"/>
                <w:highlight w:val="none"/>
              </w:rPr>
            </w:pPr>
          </w:p>
        </w:tc>
        <w:tc>
          <w:tcPr>
            <w:tcW w:w="1794" w:type="dxa"/>
            <w:noWrap/>
            <w:vAlign w:val="center"/>
          </w:tcPr>
          <w:p>
            <w:pPr>
              <w:adjustRightInd w:val="0"/>
              <w:snapToGrid w:val="0"/>
              <w:spacing w:line="400" w:lineRule="exact"/>
              <w:jc w:val="center"/>
              <w:rPr>
                <w:rFonts w:ascii="宋体"/>
                <w:color w:val="auto"/>
                <w:spacing w:val="20"/>
                <w:szCs w:val="21"/>
                <w:highlight w:val="none"/>
              </w:rPr>
            </w:pPr>
          </w:p>
        </w:tc>
        <w:tc>
          <w:tcPr>
            <w:tcW w:w="4694" w:type="dxa"/>
            <w:tcBorders>
              <w:right w:val="double" w:color="auto" w:sz="4" w:space="0"/>
            </w:tcBorders>
            <w:noWrap/>
            <w:vAlign w:val="center"/>
          </w:tcPr>
          <w:p>
            <w:pPr>
              <w:adjustRightInd w:val="0"/>
              <w:snapToGrid w:val="0"/>
              <w:spacing w:line="400" w:lineRule="exact"/>
              <w:jc w:val="center"/>
              <w:rPr>
                <w:rFonts w:ascii="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6" w:type="dxa"/>
            <w:tcBorders>
              <w:left w:val="double" w:color="auto" w:sz="4" w:space="0"/>
              <w:bottom w:val="double" w:color="auto" w:sz="4" w:space="0"/>
            </w:tcBorders>
            <w:noWrap/>
            <w:vAlign w:val="center"/>
          </w:tcPr>
          <w:p>
            <w:pPr>
              <w:adjustRightInd w:val="0"/>
              <w:snapToGrid w:val="0"/>
              <w:spacing w:line="400" w:lineRule="exact"/>
              <w:jc w:val="center"/>
              <w:rPr>
                <w:rFonts w:ascii="宋体"/>
                <w:color w:val="auto"/>
                <w:spacing w:val="20"/>
                <w:szCs w:val="21"/>
                <w:highlight w:val="none"/>
              </w:rPr>
            </w:pPr>
          </w:p>
        </w:tc>
        <w:tc>
          <w:tcPr>
            <w:tcW w:w="1717" w:type="dxa"/>
            <w:tcBorders>
              <w:bottom w:val="double" w:color="auto" w:sz="4" w:space="0"/>
            </w:tcBorders>
            <w:noWrap/>
            <w:vAlign w:val="center"/>
          </w:tcPr>
          <w:p>
            <w:pPr>
              <w:adjustRightInd w:val="0"/>
              <w:snapToGrid w:val="0"/>
              <w:spacing w:line="400" w:lineRule="exact"/>
              <w:jc w:val="center"/>
              <w:rPr>
                <w:rFonts w:ascii="宋体"/>
                <w:color w:val="auto"/>
                <w:spacing w:val="20"/>
                <w:szCs w:val="21"/>
                <w:highlight w:val="none"/>
              </w:rPr>
            </w:pPr>
          </w:p>
        </w:tc>
        <w:tc>
          <w:tcPr>
            <w:tcW w:w="1794" w:type="dxa"/>
            <w:tcBorders>
              <w:bottom w:val="double" w:color="auto" w:sz="4" w:space="0"/>
            </w:tcBorders>
            <w:noWrap/>
            <w:vAlign w:val="center"/>
          </w:tcPr>
          <w:p>
            <w:pPr>
              <w:adjustRightInd w:val="0"/>
              <w:snapToGrid w:val="0"/>
              <w:spacing w:line="400" w:lineRule="exact"/>
              <w:jc w:val="center"/>
              <w:rPr>
                <w:rFonts w:ascii="宋体"/>
                <w:color w:val="auto"/>
                <w:spacing w:val="20"/>
                <w:szCs w:val="21"/>
                <w:highlight w:val="none"/>
              </w:rPr>
            </w:pPr>
          </w:p>
        </w:tc>
        <w:tc>
          <w:tcPr>
            <w:tcW w:w="4694" w:type="dxa"/>
            <w:tcBorders>
              <w:bottom w:val="double" w:color="auto" w:sz="4" w:space="0"/>
              <w:right w:val="double" w:color="auto" w:sz="4" w:space="0"/>
            </w:tcBorders>
            <w:noWrap/>
            <w:vAlign w:val="center"/>
          </w:tcPr>
          <w:p>
            <w:pPr>
              <w:adjustRightInd w:val="0"/>
              <w:snapToGrid w:val="0"/>
              <w:spacing w:line="400" w:lineRule="exact"/>
              <w:jc w:val="center"/>
              <w:rPr>
                <w:rFonts w:ascii="宋体"/>
                <w:color w:val="auto"/>
                <w:spacing w:val="20"/>
                <w:szCs w:val="21"/>
                <w:highlight w:val="none"/>
              </w:rPr>
            </w:pPr>
          </w:p>
        </w:tc>
      </w:tr>
    </w:tbl>
    <w:p>
      <w:pPr>
        <w:adjustRightInd w:val="0"/>
        <w:snapToGrid w:val="0"/>
        <w:spacing w:line="400" w:lineRule="exact"/>
        <w:rPr>
          <w:rFonts w:ascii="宋体"/>
          <w:color w:val="auto"/>
          <w:spacing w:val="20"/>
          <w:szCs w:val="21"/>
          <w:highlight w:val="none"/>
        </w:rPr>
      </w:pPr>
      <w:r>
        <w:rPr>
          <w:rFonts w:hint="eastAsia" w:ascii="宋体" w:hAnsi="宋体"/>
          <w:color w:val="auto"/>
          <w:szCs w:val="21"/>
          <w:highlight w:val="none"/>
        </w:rPr>
        <w:t>注：须与“第三章招标内容与技术需求”中招标需求逐项比较，如有偏离的，须在本表中列明，并提供详细的偏离说明。如供应商未在本表中列出偏离说明，即使其在投标文件的其他部分说明与采购文件要求有所不同或回避不答，亦视为完全符合采购文件中所要求的最佳值并写入合同。若中标供应商在定标及合同签订前，以上述事项为借口而不履行合同签订手续及执行合同，则视作其放弃中标资格。</w:t>
      </w:r>
    </w:p>
    <w:p>
      <w:pPr>
        <w:adjustRightInd w:val="0"/>
        <w:snapToGrid w:val="0"/>
        <w:spacing w:line="400" w:lineRule="exact"/>
        <w:rPr>
          <w:rFonts w:ascii="宋体"/>
          <w:color w:val="auto"/>
          <w:spacing w:val="20"/>
          <w:szCs w:val="21"/>
          <w:highlight w:val="none"/>
        </w:rPr>
      </w:pPr>
    </w:p>
    <w:p>
      <w:pPr>
        <w:spacing w:line="400" w:lineRule="atLeast"/>
        <w:jc w:val="left"/>
        <w:rPr>
          <w:rFonts w:ascii="宋体" w:hAnsi="宋体"/>
          <w:color w:val="auto"/>
          <w:szCs w:val="21"/>
          <w:highlight w:val="none"/>
        </w:rPr>
      </w:pPr>
      <w:r>
        <w:rPr>
          <w:rFonts w:hint="eastAsia" w:ascii="宋体" w:hAnsi="宋体"/>
          <w:color w:val="auto"/>
          <w:szCs w:val="21"/>
          <w:highlight w:val="none"/>
        </w:rPr>
        <w:t>供应商（盖章）：</w:t>
      </w:r>
    </w:p>
    <w:p>
      <w:pPr>
        <w:spacing w:line="400" w:lineRule="atLeast"/>
        <w:rPr>
          <w:rFonts w:ascii="宋体" w:hAnsi="宋体"/>
          <w:color w:val="auto"/>
          <w:szCs w:val="21"/>
          <w:highlight w:val="none"/>
        </w:rPr>
      </w:pPr>
    </w:p>
    <w:p>
      <w:pPr>
        <w:spacing w:line="400" w:lineRule="atLeast"/>
        <w:rPr>
          <w:rFonts w:ascii="宋体" w:hAnsi="宋体"/>
          <w:color w:val="auto"/>
          <w:szCs w:val="21"/>
          <w:highlight w:val="none"/>
        </w:rPr>
      </w:pPr>
      <w:r>
        <w:rPr>
          <w:rFonts w:hint="eastAsia" w:ascii="宋体" w:hAnsi="宋体"/>
          <w:color w:val="auto"/>
          <w:szCs w:val="21"/>
          <w:highlight w:val="none"/>
        </w:rPr>
        <w:t>日</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期：</w:t>
      </w:r>
    </w:p>
    <w:p>
      <w:pPr>
        <w:snapToGrid w:val="0"/>
        <w:spacing w:line="400" w:lineRule="exact"/>
        <w:ind w:firstLine="4095" w:firstLineChars="1950"/>
        <w:jc w:val="left"/>
        <w:rPr>
          <w:rFonts w:ascii="宋体"/>
          <w:color w:val="auto"/>
          <w:szCs w:val="21"/>
          <w:highlight w:val="none"/>
        </w:rPr>
      </w:pPr>
    </w:p>
    <w:p>
      <w:pPr>
        <w:spacing w:line="400" w:lineRule="exact"/>
        <w:ind w:firstLine="4095" w:firstLineChars="1950"/>
        <w:jc w:val="left"/>
        <w:rPr>
          <w:rFonts w:ascii="宋体"/>
          <w:color w:val="auto"/>
          <w:szCs w:val="21"/>
          <w:highlight w:val="none"/>
        </w:rPr>
      </w:pPr>
    </w:p>
    <w:p>
      <w:pPr>
        <w:snapToGrid w:val="0"/>
        <w:spacing w:line="400" w:lineRule="exact"/>
        <w:jc w:val="left"/>
        <w:rPr>
          <w:rFonts w:ascii="宋体"/>
          <w:color w:val="auto"/>
          <w:szCs w:val="21"/>
          <w:highlight w:val="none"/>
          <w:u w:val="singl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Style w:val="138"/>
          <w:rFonts w:ascii="宋体" w:hAnsi="宋体"/>
          <w:color w:val="auto"/>
          <w:szCs w:val="21"/>
          <w:highlight w:val="none"/>
        </w:rPr>
      </w:pPr>
      <w:r>
        <w:rPr>
          <w:rFonts w:ascii="宋体" w:hAnsi="宋体"/>
          <w:color w:val="auto"/>
          <w:szCs w:val="21"/>
          <w:highlight w:val="none"/>
        </w:rPr>
        <w:br w:type="page"/>
      </w:r>
    </w:p>
    <w:p>
      <w:pPr>
        <w:spacing w:line="400" w:lineRule="exact"/>
        <w:jc w:val="center"/>
        <w:rPr>
          <w:rFonts w:ascii="宋体" w:hAnsi="宋体"/>
          <w:b/>
          <w:color w:val="auto"/>
          <w:szCs w:val="21"/>
          <w:highlight w:val="none"/>
        </w:rPr>
      </w:pPr>
      <w:r>
        <w:rPr>
          <w:rFonts w:ascii="宋体" w:hAnsi="宋体"/>
          <w:b/>
          <w:color w:val="auto"/>
          <w:szCs w:val="21"/>
          <w:highlight w:val="none"/>
        </w:rPr>
        <w:t>B</w:t>
      </w:r>
      <w:r>
        <w:rPr>
          <w:rFonts w:hint="eastAsia" w:ascii="宋体" w:hAnsi="宋体"/>
          <w:b/>
          <w:color w:val="auto"/>
          <w:szCs w:val="21"/>
          <w:highlight w:val="none"/>
        </w:rPr>
        <w:t>6商务条款响应表</w:t>
      </w:r>
    </w:p>
    <w:p>
      <w:pPr>
        <w:spacing w:line="360" w:lineRule="auto"/>
        <w:ind w:left="540"/>
        <w:jc w:val="center"/>
        <w:rPr>
          <w:rFonts w:ascii="宋体" w:hAnsi="宋体"/>
          <w:b/>
          <w:color w:val="auto"/>
          <w:szCs w:val="21"/>
          <w:highlight w:val="none"/>
        </w:rPr>
      </w:pPr>
    </w:p>
    <w:p>
      <w:pPr>
        <w:adjustRightInd w:val="0"/>
        <w:snapToGrid w:val="0"/>
        <w:spacing w:line="400" w:lineRule="exact"/>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u w:val="single"/>
          <w:lang w:eastAsia="zh-CN"/>
        </w:rPr>
        <w:t>宁波大学附属第一医院外滩院区安保服务（含停车场保安）项目</w:t>
      </w:r>
    </w:p>
    <w:p>
      <w:pPr>
        <w:adjustRightInd w:val="0"/>
        <w:snapToGrid w:val="0"/>
        <w:spacing w:line="400" w:lineRule="exact"/>
        <w:rPr>
          <w:rFonts w:ascii="宋体" w:hAnsi="宋体"/>
          <w:color w:val="auto"/>
          <w:szCs w:val="21"/>
          <w:highlight w:val="none"/>
          <w:u w:val="single"/>
        </w:rPr>
      </w:pPr>
      <w:r>
        <w:rPr>
          <w:rFonts w:hint="eastAsia" w:ascii="宋体" w:hAnsi="宋体"/>
          <w:color w:val="auto"/>
          <w:szCs w:val="21"/>
          <w:highlight w:val="none"/>
        </w:rPr>
        <w:t>项目编号：</w:t>
      </w:r>
      <w:r>
        <w:rPr>
          <w:rFonts w:hint="eastAsia" w:ascii="宋体" w:hAnsi="宋体"/>
          <w:color w:val="auto"/>
          <w:szCs w:val="21"/>
          <w:highlight w:val="none"/>
          <w:u w:val="single"/>
        </w:rPr>
        <w:t>NBITC-202311410G</w:t>
      </w:r>
    </w:p>
    <w:p>
      <w:pPr>
        <w:adjustRightInd w:val="0"/>
        <w:snapToGrid w:val="0"/>
        <w:spacing w:line="400" w:lineRule="exact"/>
        <w:rPr>
          <w:rFonts w:ascii="宋体" w:hAnsi="宋体"/>
          <w:color w:val="auto"/>
          <w:szCs w:val="21"/>
          <w:highlight w:val="none"/>
          <w:u w:val="single"/>
        </w:rPr>
      </w:pPr>
      <w:r>
        <w:rPr>
          <w:rFonts w:hint="eastAsia" w:ascii="宋体" w:hAnsi="宋体"/>
          <w:color w:val="auto"/>
          <w:szCs w:val="21"/>
          <w:highlight w:val="none"/>
        </w:rPr>
        <w:t>标项号：</w:t>
      </w:r>
    </w:p>
    <w:tbl>
      <w:tblPr>
        <w:tblStyle w:val="50"/>
        <w:tblW w:w="9315"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60"/>
        <w:gridCol w:w="2693"/>
        <w:gridCol w:w="236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序号</w:t>
            </w:r>
          </w:p>
        </w:tc>
        <w:tc>
          <w:tcPr>
            <w:tcW w:w="3260" w:type="dxa"/>
            <w:noWrap/>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招标要求</w:t>
            </w:r>
          </w:p>
        </w:tc>
        <w:tc>
          <w:tcPr>
            <w:tcW w:w="2693" w:type="dxa"/>
            <w:noWrap/>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投标响应</w:t>
            </w:r>
          </w:p>
        </w:tc>
        <w:tc>
          <w:tcPr>
            <w:tcW w:w="2369" w:type="dxa"/>
            <w:noWrap/>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bCs/>
                <w:color w:val="auto"/>
                <w:szCs w:val="21"/>
                <w:highlight w:val="none"/>
              </w:rPr>
            </w:pPr>
            <w:r>
              <w:rPr>
                <w:rFonts w:hint="eastAsia" w:ascii="宋体"/>
                <w:bCs/>
                <w:color w:val="auto"/>
                <w:szCs w:val="21"/>
                <w:highlight w:val="none"/>
              </w:rPr>
              <w:t>1</w:t>
            </w:r>
          </w:p>
        </w:tc>
        <w:tc>
          <w:tcPr>
            <w:tcW w:w="3260" w:type="dxa"/>
            <w:noWrap/>
            <w:vAlign w:val="center"/>
          </w:tcPr>
          <w:p>
            <w:pPr>
              <w:autoSpaceDE w:val="0"/>
              <w:autoSpaceDN w:val="0"/>
              <w:adjustRightInd w:val="0"/>
              <w:spacing w:line="400" w:lineRule="exact"/>
              <w:rPr>
                <w:rFonts w:ascii="宋体" w:hAnsi="宋体" w:cs="Arial"/>
                <w:color w:val="auto"/>
                <w:szCs w:val="21"/>
                <w:highlight w:val="none"/>
              </w:rPr>
            </w:pPr>
          </w:p>
        </w:tc>
        <w:tc>
          <w:tcPr>
            <w:tcW w:w="2693" w:type="dxa"/>
            <w:noWrap/>
            <w:vAlign w:val="center"/>
          </w:tcPr>
          <w:p>
            <w:pPr>
              <w:adjustRightInd w:val="0"/>
              <w:snapToGrid w:val="0"/>
              <w:spacing w:line="400" w:lineRule="exact"/>
              <w:jc w:val="center"/>
              <w:rPr>
                <w:rFonts w:ascii="宋体" w:hAnsi="宋体"/>
                <w:color w:val="auto"/>
                <w:szCs w:val="21"/>
                <w:highlight w:val="none"/>
              </w:rPr>
            </w:pPr>
          </w:p>
        </w:tc>
        <w:tc>
          <w:tcPr>
            <w:tcW w:w="2369" w:type="dxa"/>
            <w:noWrap/>
            <w:vAlign w:val="center"/>
          </w:tcPr>
          <w:p>
            <w:pPr>
              <w:adjustRightInd w:val="0"/>
              <w:snapToGri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hAnsi="宋体" w:cs="Arial"/>
                <w:color w:val="auto"/>
                <w:szCs w:val="21"/>
                <w:highlight w:val="none"/>
              </w:rPr>
            </w:pPr>
            <w:r>
              <w:rPr>
                <w:rFonts w:hint="eastAsia" w:ascii="宋体" w:hAnsi="宋体" w:cs="Arial"/>
                <w:color w:val="auto"/>
                <w:szCs w:val="21"/>
                <w:highlight w:val="none"/>
              </w:rPr>
              <w:t>2</w:t>
            </w:r>
          </w:p>
        </w:tc>
        <w:tc>
          <w:tcPr>
            <w:tcW w:w="3260" w:type="dxa"/>
            <w:noWrap/>
            <w:vAlign w:val="center"/>
          </w:tcPr>
          <w:p>
            <w:pPr>
              <w:autoSpaceDE w:val="0"/>
              <w:autoSpaceDN w:val="0"/>
              <w:adjustRightInd w:val="0"/>
              <w:spacing w:line="400" w:lineRule="exact"/>
              <w:rPr>
                <w:rFonts w:ascii="宋体" w:hAnsi="宋体" w:cs="Arial"/>
                <w:color w:val="auto"/>
                <w:szCs w:val="21"/>
                <w:highlight w:val="none"/>
              </w:rPr>
            </w:pPr>
          </w:p>
        </w:tc>
        <w:tc>
          <w:tcPr>
            <w:tcW w:w="2693" w:type="dxa"/>
            <w:noWrap/>
            <w:vAlign w:val="center"/>
          </w:tcPr>
          <w:p>
            <w:pPr>
              <w:adjustRightInd w:val="0"/>
              <w:snapToGrid w:val="0"/>
              <w:spacing w:line="400" w:lineRule="exact"/>
              <w:jc w:val="center"/>
              <w:rPr>
                <w:rFonts w:ascii="宋体" w:hAnsi="宋体"/>
                <w:color w:val="auto"/>
                <w:szCs w:val="21"/>
                <w:highlight w:val="none"/>
              </w:rPr>
            </w:pPr>
          </w:p>
        </w:tc>
        <w:tc>
          <w:tcPr>
            <w:tcW w:w="2369" w:type="dxa"/>
            <w:noWrap/>
            <w:vAlign w:val="center"/>
          </w:tcPr>
          <w:p>
            <w:pPr>
              <w:adjustRightInd w:val="0"/>
              <w:snapToGri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hAnsi="宋体" w:cs="Arial"/>
                <w:color w:val="auto"/>
                <w:szCs w:val="21"/>
                <w:highlight w:val="none"/>
              </w:rPr>
            </w:pPr>
            <w:r>
              <w:rPr>
                <w:rFonts w:hint="eastAsia" w:ascii="宋体" w:hAnsi="宋体" w:cs="Arial"/>
                <w:color w:val="auto"/>
                <w:szCs w:val="21"/>
                <w:highlight w:val="none"/>
              </w:rPr>
              <w:t>3</w:t>
            </w:r>
          </w:p>
        </w:tc>
        <w:tc>
          <w:tcPr>
            <w:tcW w:w="3260" w:type="dxa"/>
            <w:noWrap/>
            <w:vAlign w:val="center"/>
          </w:tcPr>
          <w:p>
            <w:pPr>
              <w:autoSpaceDE w:val="0"/>
              <w:autoSpaceDN w:val="0"/>
              <w:adjustRightInd w:val="0"/>
              <w:spacing w:line="400" w:lineRule="exact"/>
              <w:rPr>
                <w:rFonts w:ascii="宋体" w:hAnsi="宋体" w:cs="Arial"/>
                <w:color w:val="auto"/>
                <w:szCs w:val="21"/>
                <w:highlight w:val="none"/>
              </w:rPr>
            </w:pPr>
          </w:p>
        </w:tc>
        <w:tc>
          <w:tcPr>
            <w:tcW w:w="2693" w:type="dxa"/>
            <w:noWrap/>
            <w:vAlign w:val="center"/>
          </w:tcPr>
          <w:p>
            <w:pPr>
              <w:adjustRightInd w:val="0"/>
              <w:snapToGrid w:val="0"/>
              <w:spacing w:line="400" w:lineRule="exact"/>
              <w:jc w:val="center"/>
              <w:rPr>
                <w:rFonts w:ascii="宋体" w:hAnsi="宋体"/>
                <w:color w:val="auto"/>
                <w:szCs w:val="21"/>
                <w:highlight w:val="none"/>
              </w:rPr>
            </w:pPr>
          </w:p>
        </w:tc>
        <w:tc>
          <w:tcPr>
            <w:tcW w:w="2369" w:type="dxa"/>
            <w:noWrap/>
            <w:vAlign w:val="center"/>
          </w:tcPr>
          <w:p>
            <w:pPr>
              <w:adjustRightInd w:val="0"/>
              <w:snapToGri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color w:val="auto"/>
                <w:szCs w:val="21"/>
                <w:highlight w:val="none"/>
                <w:lang w:val="zh-CN"/>
              </w:rPr>
            </w:pPr>
            <w:r>
              <w:rPr>
                <w:rFonts w:hint="eastAsia" w:ascii="宋体" w:hAnsi="宋体" w:cs="Arial"/>
                <w:color w:val="auto"/>
                <w:szCs w:val="21"/>
                <w:highlight w:val="none"/>
              </w:rPr>
              <w:t>4</w:t>
            </w:r>
          </w:p>
        </w:tc>
        <w:tc>
          <w:tcPr>
            <w:tcW w:w="3260" w:type="dxa"/>
            <w:noWrap/>
            <w:vAlign w:val="center"/>
          </w:tcPr>
          <w:p>
            <w:pPr>
              <w:autoSpaceDE w:val="0"/>
              <w:autoSpaceDN w:val="0"/>
              <w:adjustRightInd w:val="0"/>
              <w:spacing w:line="400" w:lineRule="exact"/>
              <w:rPr>
                <w:rFonts w:ascii="宋体" w:hAnsi="宋体" w:cs="Arial"/>
                <w:color w:val="auto"/>
                <w:szCs w:val="21"/>
                <w:highlight w:val="none"/>
              </w:rPr>
            </w:pPr>
          </w:p>
        </w:tc>
        <w:tc>
          <w:tcPr>
            <w:tcW w:w="2693" w:type="dxa"/>
            <w:noWrap/>
            <w:vAlign w:val="center"/>
          </w:tcPr>
          <w:p>
            <w:pPr>
              <w:adjustRightInd w:val="0"/>
              <w:snapToGrid w:val="0"/>
              <w:spacing w:line="400" w:lineRule="exact"/>
              <w:jc w:val="center"/>
              <w:rPr>
                <w:rFonts w:ascii="宋体" w:hAnsi="宋体"/>
                <w:color w:val="auto"/>
                <w:szCs w:val="21"/>
                <w:highlight w:val="none"/>
              </w:rPr>
            </w:pPr>
          </w:p>
        </w:tc>
        <w:tc>
          <w:tcPr>
            <w:tcW w:w="2369" w:type="dxa"/>
            <w:noWrap/>
            <w:vAlign w:val="center"/>
          </w:tcPr>
          <w:p>
            <w:pPr>
              <w:adjustRightInd w:val="0"/>
              <w:snapToGri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color w:val="auto"/>
                <w:szCs w:val="21"/>
                <w:highlight w:val="none"/>
                <w:lang w:val="zh-CN"/>
              </w:rPr>
            </w:pPr>
            <w:r>
              <w:rPr>
                <w:rFonts w:hint="eastAsia" w:ascii="宋体" w:hAnsi="宋体" w:cs="Arial"/>
                <w:color w:val="auto"/>
                <w:szCs w:val="21"/>
                <w:highlight w:val="none"/>
              </w:rPr>
              <w:t>5</w:t>
            </w:r>
          </w:p>
        </w:tc>
        <w:tc>
          <w:tcPr>
            <w:tcW w:w="3260" w:type="dxa"/>
            <w:noWrap/>
            <w:vAlign w:val="center"/>
          </w:tcPr>
          <w:p>
            <w:pPr>
              <w:autoSpaceDE w:val="0"/>
              <w:autoSpaceDN w:val="0"/>
              <w:adjustRightInd w:val="0"/>
              <w:spacing w:line="400" w:lineRule="exact"/>
              <w:rPr>
                <w:rFonts w:ascii="宋体" w:hAnsi="宋体" w:cs="Arial"/>
                <w:color w:val="auto"/>
                <w:szCs w:val="21"/>
                <w:highlight w:val="none"/>
              </w:rPr>
            </w:pPr>
          </w:p>
        </w:tc>
        <w:tc>
          <w:tcPr>
            <w:tcW w:w="2693" w:type="dxa"/>
            <w:noWrap/>
            <w:vAlign w:val="center"/>
          </w:tcPr>
          <w:p>
            <w:pPr>
              <w:adjustRightInd w:val="0"/>
              <w:snapToGrid w:val="0"/>
              <w:spacing w:line="400" w:lineRule="exact"/>
              <w:jc w:val="center"/>
              <w:rPr>
                <w:rFonts w:ascii="宋体" w:hAnsi="宋体"/>
                <w:color w:val="auto"/>
                <w:szCs w:val="21"/>
                <w:highlight w:val="none"/>
              </w:rPr>
            </w:pPr>
          </w:p>
        </w:tc>
        <w:tc>
          <w:tcPr>
            <w:tcW w:w="2369" w:type="dxa"/>
            <w:noWrap/>
            <w:vAlign w:val="center"/>
          </w:tcPr>
          <w:p>
            <w:pPr>
              <w:adjustRightInd w:val="0"/>
              <w:snapToGri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color w:val="auto"/>
                <w:szCs w:val="21"/>
                <w:highlight w:val="none"/>
                <w:lang w:val="zh-CN"/>
              </w:rPr>
            </w:pPr>
            <w:r>
              <w:rPr>
                <w:rFonts w:hint="eastAsia" w:ascii="宋体"/>
                <w:color w:val="auto"/>
                <w:szCs w:val="21"/>
                <w:highlight w:val="none"/>
              </w:rPr>
              <w:t>6</w:t>
            </w:r>
          </w:p>
        </w:tc>
        <w:tc>
          <w:tcPr>
            <w:tcW w:w="3260" w:type="dxa"/>
            <w:noWrap/>
            <w:vAlign w:val="center"/>
          </w:tcPr>
          <w:p>
            <w:pPr>
              <w:autoSpaceDE w:val="0"/>
              <w:autoSpaceDN w:val="0"/>
              <w:adjustRightInd w:val="0"/>
              <w:spacing w:line="400" w:lineRule="exact"/>
              <w:rPr>
                <w:rFonts w:ascii="宋体" w:hAnsi="宋体" w:cs="Arial"/>
                <w:color w:val="auto"/>
                <w:szCs w:val="21"/>
                <w:highlight w:val="none"/>
              </w:rPr>
            </w:pPr>
          </w:p>
        </w:tc>
        <w:tc>
          <w:tcPr>
            <w:tcW w:w="2693" w:type="dxa"/>
            <w:noWrap/>
            <w:vAlign w:val="center"/>
          </w:tcPr>
          <w:p>
            <w:pPr>
              <w:adjustRightInd w:val="0"/>
              <w:snapToGrid w:val="0"/>
              <w:spacing w:line="400" w:lineRule="exact"/>
              <w:jc w:val="center"/>
              <w:rPr>
                <w:rFonts w:ascii="宋体" w:hAnsi="宋体"/>
                <w:color w:val="auto"/>
                <w:szCs w:val="21"/>
                <w:highlight w:val="none"/>
              </w:rPr>
            </w:pPr>
          </w:p>
        </w:tc>
        <w:tc>
          <w:tcPr>
            <w:tcW w:w="2369" w:type="dxa"/>
            <w:noWrap/>
            <w:vAlign w:val="center"/>
          </w:tcPr>
          <w:p>
            <w:pPr>
              <w:adjustRightInd w:val="0"/>
              <w:snapToGri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color w:val="auto"/>
                <w:szCs w:val="21"/>
                <w:highlight w:val="none"/>
                <w:lang w:val="zh-CN"/>
              </w:rPr>
            </w:pPr>
            <w:r>
              <w:rPr>
                <w:rFonts w:hint="eastAsia" w:ascii="宋体"/>
                <w:color w:val="auto"/>
                <w:szCs w:val="21"/>
                <w:highlight w:val="none"/>
              </w:rPr>
              <w:t>7</w:t>
            </w:r>
          </w:p>
        </w:tc>
        <w:tc>
          <w:tcPr>
            <w:tcW w:w="3260" w:type="dxa"/>
            <w:noWrap/>
            <w:vAlign w:val="center"/>
          </w:tcPr>
          <w:p>
            <w:pPr>
              <w:autoSpaceDE w:val="0"/>
              <w:autoSpaceDN w:val="0"/>
              <w:adjustRightInd w:val="0"/>
              <w:spacing w:line="400" w:lineRule="exact"/>
              <w:rPr>
                <w:rFonts w:ascii="宋体" w:hAnsi="宋体" w:cs="Arial"/>
                <w:color w:val="auto"/>
                <w:szCs w:val="21"/>
                <w:highlight w:val="none"/>
              </w:rPr>
            </w:pPr>
          </w:p>
        </w:tc>
        <w:tc>
          <w:tcPr>
            <w:tcW w:w="2693" w:type="dxa"/>
            <w:noWrap/>
            <w:vAlign w:val="center"/>
          </w:tcPr>
          <w:p>
            <w:pPr>
              <w:adjustRightInd w:val="0"/>
              <w:snapToGrid w:val="0"/>
              <w:spacing w:line="400" w:lineRule="exact"/>
              <w:jc w:val="center"/>
              <w:rPr>
                <w:rFonts w:ascii="宋体" w:hAnsi="宋体"/>
                <w:color w:val="auto"/>
                <w:szCs w:val="21"/>
                <w:highlight w:val="none"/>
              </w:rPr>
            </w:pPr>
          </w:p>
        </w:tc>
        <w:tc>
          <w:tcPr>
            <w:tcW w:w="2369" w:type="dxa"/>
            <w:noWrap/>
            <w:vAlign w:val="center"/>
          </w:tcPr>
          <w:p>
            <w:pPr>
              <w:adjustRightInd w:val="0"/>
              <w:snapToGri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ign w:val="center"/>
          </w:tcPr>
          <w:p>
            <w:pPr>
              <w:autoSpaceDE w:val="0"/>
              <w:autoSpaceDN w:val="0"/>
              <w:adjustRightInd w:val="0"/>
              <w:spacing w:line="400" w:lineRule="exact"/>
              <w:jc w:val="center"/>
              <w:rPr>
                <w:rFonts w:ascii="宋体"/>
                <w:color w:val="auto"/>
                <w:szCs w:val="21"/>
                <w:highlight w:val="none"/>
              </w:rPr>
            </w:pPr>
            <w:r>
              <w:rPr>
                <w:rFonts w:hint="eastAsia" w:ascii="宋体"/>
                <w:color w:val="auto"/>
                <w:szCs w:val="21"/>
                <w:highlight w:val="none"/>
              </w:rPr>
              <w:t>8</w:t>
            </w:r>
          </w:p>
        </w:tc>
        <w:tc>
          <w:tcPr>
            <w:tcW w:w="3260" w:type="dxa"/>
            <w:noWrap/>
            <w:vAlign w:val="center"/>
          </w:tcPr>
          <w:p>
            <w:pPr>
              <w:autoSpaceDE w:val="0"/>
              <w:autoSpaceDN w:val="0"/>
              <w:adjustRightInd w:val="0"/>
              <w:spacing w:line="400" w:lineRule="exact"/>
              <w:rPr>
                <w:rFonts w:ascii="宋体" w:hAnsi="宋体" w:cs="Arial"/>
                <w:color w:val="auto"/>
                <w:szCs w:val="21"/>
                <w:highlight w:val="none"/>
              </w:rPr>
            </w:pPr>
          </w:p>
        </w:tc>
        <w:tc>
          <w:tcPr>
            <w:tcW w:w="2693" w:type="dxa"/>
            <w:noWrap/>
            <w:vAlign w:val="center"/>
          </w:tcPr>
          <w:p>
            <w:pPr>
              <w:adjustRightInd w:val="0"/>
              <w:snapToGrid w:val="0"/>
              <w:spacing w:line="400" w:lineRule="exact"/>
              <w:jc w:val="center"/>
              <w:rPr>
                <w:rFonts w:ascii="宋体" w:hAnsi="宋体"/>
                <w:color w:val="auto"/>
                <w:szCs w:val="21"/>
                <w:highlight w:val="none"/>
              </w:rPr>
            </w:pPr>
          </w:p>
        </w:tc>
        <w:tc>
          <w:tcPr>
            <w:tcW w:w="2369" w:type="dxa"/>
            <w:noWrap/>
            <w:vAlign w:val="center"/>
          </w:tcPr>
          <w:p>
            <w:pPr>
              <w:adjustRightInd w:val="0"/>
              <w:snapToGrid w:val="0"/>
              <w:spacing w:line="400" w:lineRule="exact"/>
              <w:jc w:val="center"/>
              <w:rPr>
                <w:rFonts w:ascii="宋体" w:hAnsi="宋体"/>
                <w:color w:val="auto"/>
                <w:szCs w:val="21"/>
                <w:highlight w:val="none"/>
              </w:rPr>
            </w:pPr>
          </w:p>
        </w:tc>
      </w:tr>
    </w:tbl>
    <w:p>
      <w:pPr>
        <w:adjustRightInd w:val="0"/>
        <w:snapToGrid w:val="0"/>
        <w:spacing w:line="360" w:lineRule="auto"/>
        <w:ind w:left="250" w:hanging="250" w:hangingChars="100"/>
        <w:rPr>
          <w:rFonts w:ascii="宋体" w:hAnsi="宋体"/>
          <w:color w:val="auto"/>
          <w:szCs w:val="21"/>
          <w:highlight w:val="none"/>
        </w:rPr>
      </w:pPr>
      <w:r>
        <w:rPr>
          <w:rFonts w:hint="eastAsia" w:ascii="宋体" w:hAnsi="宋体"/>
          <w:color w:val="auto"/>
          <w:spacing w:val="20"/>
          <w:szCs w:val="21"/>
          <w:highlight w:val="none"/>
        </w:rPr>
        <w:t>注：</w:t>
      </w:r>
      <w:r>
        <w:rPr>
          <w:rFonts w:ascii="宋体" w:hAnsi="宋体"/>
          <w:color w:val="auto"/>
          <w:spacing w:val="20"/>
          <w:szCs w:val="21"/>
          <w:highlight w:val="none"/>
        </w:rPr>
        <w:t>1</w:t>
      </w:r>
      <w:r>
        <w:rPr>
          <w:rFonts w:hint="eastAsia" w:ascii="宋体" w:hAnsi="宋体"/>
          <w:color w:val="auto"/>
          <w:spacing w:val="20"/>
          <w:szCs w:val="21"/>
          <w:highlight w:val="none"/>
        </w:rPr>
        <w:t>、</w:t>
      </w:r>
      <w:r>
        <w:rPr>
          <w:rFonts w:hint="eastAsia" w:ascii="宋体" w:hAnsi="宋体"/>
          <w:color w:val="auto"/>
          <w:szCs w:val="21"/>
          <w:highlight w:val="none"/>
        </w:rPr>
        <w:t>须与“第四章商务条款”逐项比较，如有偏离的，须在本表中列明，并提供详细的偏离说明。如供应商未在本表中列出偏离说明，即使其在投标文件的其他部分说明与采购文件要求有所不同或回避不答，亦视为完全符合采购文件中所要求的最佳值并写入合同。若中标供应商在定标及合同签订前，以上述事项为借口而不履行合同签订手续及执行合同，则视作其放弃中标资格。</w:t>
      </w:r>
    </w:p>
    <w:p>
      <w:pPr>
        <w:adjustRightInd w:val="0"/>
        <w:snapToGrid w:val="0"/>
        <w:spacing w:line="360" w:lineRule="auto"/>
        <w:rPr>
          <w:rFonts w:ascii="宋体" w:hAnsi="宋体"/>
          <w:color w:val="auto"/>
          <w:szCs w:val="21"/>
          <w:highlight w:val="none"/>
        </w:rPr>
      </w:pPr>
    </w:p>
    <w:p>
      <w:pPr>
        <w:spacing w:line="400" w:lineRule="atLeast"/>
        <w:jc w:val="left"/>
        <w:rPr>
          <w:rFonts w:ascii="宋体" w:hAnsi="宋体"/>
          <w:color w:val="auto"/>
          <w:szCs w:val="21"/>
          <w:highlight w:val="none"/>
        </w:rPr>
      </w:pPr>
      <w:bookmarkStart w:id="49" w:name="_Toc436408720"/>
      <w:bookmarkStart w:id="50" w:name="_Toc441316563"/>
      <w:r>
        <w:rPr>
          <w:rFonts w:hint="eastAsia" w:ascii="宋体" w:hAnsi="宋体"/>
          <w:color w:val="auto"/>
          <w:szCs w:val="21"/>
          <w:highlight w:val="none"/>
        </w:rPr>
        <w:t>供应商（盖章）：</w:t>
      </w:r>
    </w:p>
    <w:p>
      <w:pPr>
        <w:spacing w:line="400" w:lineRule="atLeast"/>
        <w:rPr>
          <w:rFonts w:ascii="宋体" w:hAnsi="宋体"/>
          <w:color w:val="auto"/>
          <w:szCs w:val="21"/>
          <w:highlight w:val="none"/>
        </w:rPr>
      </w:pPr>
    </w:p>
    <w:p>
      <w:pPr>
        <w:spacing w:line="400" w:lineRule="atLeast"/>
        <w:rPr>
          <w:rFonts w:ascii="宋体" w:hAnsi="宋体"/>
          <w:color w:val="auto"/>
          <w:szCs w:val="21"/>
          <w:highlight w:val="none"/>
        </w:rPr>
      </w:pPr>
      <w:r>
        <w:rPr>
          <w:rFonts w:hint="eastAsia" w:ascii="宋体" w:hAnsi="宋体"/>
          <w:color w:val="auto"/>
          <w:szCs w:val="21"/>
          <w:highlight w:val="none"/>
        </w:rPr>
        <w:t>日</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期：</w:t>
      </w:r>
    </w:p>
    <w:p>
      <w:pPr>
        <w:spacing w:line="400" w:lineRule="exact"/>
        <w:jc w:val="left"/>
        <w:rPr>
          <w:rFonts w:ascii="宋体" w:hAnsi="宋体"/>
          <w:b/>
          <w:color w:val="auto"/>
          <w:highlight w:val="none"/>
        </w:rPr>
      </w:pPr>
      <w:r>
        <w:rPr>
          <w:rFonts w:ascii="宋体" w:hAnsi="宋体"/>
          <w:color w:val="auto"/>
          <w:szCs w:val="21"/>
          <w:highlight w:val="none"/>
        </w:rPr>
        <w:br w:type="page"/>
      </w:r>
      <w:bookmarkEnd w:id="49"/>
      <w:bookmarkStart w:id="51" w:name="_Toc441316564"/>
      <w:r>
        <w:rPr>
          <w:rFonts w:hint="eastAsia" w:ascii="宋体" w:hAnsi="宋体"/>
          <w:b/>
          <w:color w:val="auto"/>
          <w:highlight w:val="none"/>
        </w:rPr>
        <w:t>B7、</w:t>
      </w:r>
      <w:r>
        <w:rPr>
          <w:rFonts w:hint="eastAsia" w:ascii="宋体" w:hAnsi="宋体"/>
          <w:b/>
          <w:color w:val="auto"/>
          <w:szCs w:val="21"/>
          <w:highlight w:val="none"/>
        </w:rPr>
        <w:t>第五章“评标办法及标准”中评分标准（兼评委打分表）</w:t>
      </w:r>
      <w:r>
        <w:rPr>
          <w:rFonts w:hint="eastAsia" w:ascii="宋体" w:hAnsi="宋体"/>
          <w:b/>
          <w:color w:val="auto"/>
          <w:highlight w:val="none"/>
        </w:rPr>
        <w:t>要求提供的资料（如有需提供）；</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整体服务方案；</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治安维稳方案（包括策划思路、服务目标、服务内容、工作计划）；</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消控管理方案、巡查方案，包括不仅限于各环节管理方案，管理运作流程设计；</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重点区域、重点时段巡逻安保方案，包括不仅限于巡逻区域设置、巡逻时间安排、工作职责；</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lang w:eastAsia="zh-CN"/>
        </w:rPr>
        <w:t>停车场管理</w:t>
      </w:r>
      <w:r>
        <w:rPr>
          <w:rFonts w:hint="eastAsia" w:ascii="宋体" w:hAnsi="宋体"/>
          <w:color w:val="auto"/>
          <w:szCs w:val="21"/>
          <w:highlight w:val="none"/>
        </w:rPr>
        <w:t>方案，管理目标、停车引导、针对不同停车区域设置管理方案；</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重点难点问题的分析准确程度、解决方案及对本项目的合理化建议；</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7）</w:t>
      </w:r>
      <w:r>
        <w:rPr>
          <w:rFonts w:hint="eastAsia" w:ascii="宋体" w:hAnsi="宋体"/>
          <w:color w:val="auto"/>
          <w:szCs w:val="21"/>
          <w:highlight w:val="none"/>
        </w:rPr>
        <w:t>保安装备、办公设备、耗材、用品等配置情况及管理方案(提供设备器材清单一览表，并且注明品牌型号等信息)；</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8）</w:t>
      </w:r>
      <w:r>
        <w:rPr>
          <w:rFonts w:hint="eastAsia" w:ascii="宋体" w:hAnsi="宋体"/>
          <w:color w:val="auto"/>
          <w:szCs w:val="21"/>
          <w:highlight w:val="none"/>
        </w:rPr>
        <w:t>针对本项目人员管理及内部组织管理制度（工作考勤、监督管理机制及奖罚管理等）；</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9）</w:t>
      </w:r>
      <w:r>
        <w:rPr>
          <w:rFonts w:hint="eastAsia" w:ascii="宋体" w:hAnsi="宋体"/>
          <w:color w:val="auto"/>
          <w:szCs w:val="21"/>
          <w:highlight w:val="none"/>
        </w:rPr>
        <w:t>针对本项目现状的理解和服务能力分析情况；</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突发事件的响应时间及处理办法的响应承诺情况；</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11）</w:t>
      </w:r>
      <w:r>
        <w:rPr>
          <w:rFonts w:hint="eastAsia" w:ascii="宋体" w:hAnsi="宋体"/>
          <w:color w:val="auto"/>
          <w:szCs w:val="21"/>
          <w:highlight w:val="none"/>
        </w:rPr>
        <w:t>对突发性公共卫生事件（如针对传染性疾病的防控）的应急预案及相应的措施；</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12）</w:t>
      </w:r>
      <w:r>
        <w:rPr>
          <w:rFonts w:hint="eastAsia" w:ascii="宋体" w:hAnsi="宋体"/>
          <w:color w:val="auto"/>
          <w:szCs w:val="21"/>
          <w:highlight w:val="none"/>
        </w:rPr>
        <w:t>对保安服务区域内的防盗、防火的安全防范巡查、群体性事件、暴恐事件等应急预案及相应的措施；</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13）</w:t>
      </w:r>
      <w:r>
        <w:rPr>
          <w:rFonts w:hint="eastAsia" w:ascii="宋体" w:hAnsi="宋体"/>
          <w:color w:val="auto"/>
          <w:szCs w:val="21"/>
          <w:highlight w:val="none"/>
        </w:rPr>
        <w:t>处理极端天气（台风、暴雨、冻雪）应急预案及相应的措施；</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14）</w:t>
      </w:r>
      <w:r>
        <w:rPr>
          <w:rFonts w:hint="eastAsia" w:ascii="宋体" w:hAnsi="宋体"/>
          <w:color w:val="auto"/>
          <w:szCs w:val="21"/>
          <w:highlight w:val="none"/>
        </w:rPr>
        <w:t>服务支撑能力；</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 xml:space="preserve">15) </w:t>
      </w:r>
      <w:r>
        <w:rPr>
          <w:rFonts w:hint="eastAsia" w:ascii="宋体" w:hAnsi="宋体"/>
          <w:color w:val="auto"/>
          <w:szCs w:val="21"/>
          <w:highlight w:val="none"/>
        </w:rPr>
        <w:t>人员配备情况；</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 xml:space="preserve">16) </w:t>
      </w:r>
      <w:r>
        <w:rPr>
          <w:rFonts w:hint="eastAsia" w:ascii="宋体" w:hAnsi="宋体"/>
          <w:color w:val="auto"/>
          <w:szCs w:val="21"/>
          <w:highlight w:val="none"/>
        </w:rPr>
        <w:t>员工工资福利、人员稳定及人员变动应急方案；</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17）</w:t>
      </w:r>
      <w:r>
        <w:rPr>
          <w:rFonts w:hint="eastAsia" w:ascii="宋体" w:hAnsi="宋体"/>
          <w:color w:val="auto"/>
          <w:szCs w:val="21"/>
          <w:highlight w:val="none"/>
        </w:rPr>
        <w:t>人员培训方案，包括不仅限于培训目标、培训内容、培训方式等；</w:t>
      </w:r>
    </w:p>
    <w:p>
      <w:pPr>
        <w:spacing w:line="400" w:lineRule="exact"/>
        <w:ind w:firstLine="422" w:firstLineChars="200"/>
        <w:jc w:val="left"/>
        <w:rPr>
          <w:rFonts w:ascii="宋体" w:hAnsi="宋体"/>
          <w:b/>
          <w:color w:val="auto"/>
          <w:highlight w:val="none"/>
        </w:rPr>
      </w:pPr>
    </w:p>
    <w:p>
      <w:pPr>
        <w:spacing w:line="400" w:lineRule="exact"/>
        <w:ind w:firstLine="422" w:firstLineChars="200"/>
        <w:jc w:val="left"/>
        <w:rPr>
          <w:rFonts w:ascii="宋体" w:hAnsi="宋体"/>
          <w:b/>
          <w:color w:val="auto"/>
          <w:highlight w:val="none"/>
        </w:rPr>
      </w:pPr>
    </w:p>
    <w:p>
      <w:pPr>
        <w:spacing w:line="400" w:lineRule="exact"/>
        <w:ind w:firstLine="420" w:firstLineChars="200"/>
        <w:jc w:val="left"/>
        <w:rPr>
          <w:rFonts w:ascii="宋体" w:hAnsi="宋体"/>
          <w:color w:val="auto"/>
          <w:szCs w:val="21"/>
          <w:highlight w:val="none"/>
        </w:rPr>
      </w:pPr>
    </w:p>
    <w:p>
      <w:pPr>
        <w:rPr>
          <w:rFonts w:ascii="宋体" w:hAnsi="宋体"/>
          <w:b/>
          <w:color w:val="auto"/>
          <w:highlight w:val="none"/>
        </w:rPr>
      </w:pPr>
      <w:r>
        <w:rPr>
          <w:rFonts w:hint="eastAsia" w:ascii="宋体" w:hAnsi="宋体"/>
          <w:b/>
          <w:color w:val="auto"/>
          <w:highlight w:val="none"/>
        </w:rPr>
        <w:br w:type="page"/>
      </w:r>
    </w:p>
    <w:p>
      <w:pPr>
        <w:spacing w:line="400" w:lineRule="exact"/>
        <w:jc w:val="left"/>
        <w:rPr>
          <w:rFonts w:ascii="宋体" w:hAnsi="宋体"/>
          <w:b/>
          <w:color w:val="auto"/>
          <w:highlight w:val="none"/>
        </w:rPr>
      </w:pPr>
      <w:r>
        <w:rPr>
          <w:rFonts w:hint="eastAsia" w:ascii="宋体" w:hAnsi="宋体"/>
          <w:b/>
          <w:color w:val="auto"/>
          <w:highlight w:val="none"/>
        </w:rPr>
        <w:t>B8、供应商认为需要的其他资料（如有需提供）。</w:t>
      </w:r>
    </w:p>
    <w:p>
      <w:pPr>
        <w:spacing w:line="400" w:lineRule="exact"/>
        <w:jc w:val="left"/>
        <w:rPr>
          <w:rFonts w:ascii="宋体" w:hAnsi="宋体"/>
          <w:b/>
          <w:color w:val="auto"/>
          <w:highlight w:val="none"/>
        </w:rPr>
      </w:pPr>
    </w:p>
    <w:p>
      <w:pPr>
        <w:spacing w:line="400" w:lineRule="exact"/>
        <w:jc w:val="center"/>
        <w:rPr>
          <w:rFonts w:ascii="宋体" w:hAnsi="宋体"/>
          <w:b/>
          <w:color w:val="auto"/>
          <w:highlight w:val="none"/>
        </w:rPr>
      </w:pPr>
      <w:r>
        <w:rPr>
          <w:rFonts w:hint="eastAsia" w:ascii="宋体" w:hAnsi="宋体"/>
          <w:b/>
          <w:color w:val="auto"/>
          <w:highlight w:val="none"/>
        </w:rPr>
        <w:br w:type="page"/>
      </w:r>
    </w:p>
    <w:p>
      <w:pPr>
        <w:spacing w:line="400" w:lineRule="exact"/>
        <w:jc w:val="left"/>
        <w:rPr>
          <w:rFonts w:ascii="宋体" w:hAnsi="宋体"/>
          <w:b/>
          <w:color w:val="auto"/>
          <w:sz w:val="28"/>
          <w:szCs w:val="28"/>
          <w:highlight w:val="none"/>
        </w:rPr>
      </w:pPr>
      <w:r>
        <w:rPr>
          <w:rFonts w:hint="eastAsia" w:ascii="宋体" w:hAnsi="宋体"/>
          <w:b/>
          <w:color w:val="auto"/>
          <w:sz w:val="28"/>
          <w:szCs w:val="28"/>
          <w:highlight w:val="none"/>
        </w:rPr>
        <w:t>部分格式如下：</w:t>
      </w:r>
    </w:p>
    <w:p>
      <w:pPr>
        <w:spacing w:line="400" w:lineRule="exact"/>
        <w:jc w:val="center"/>
        <w:rPr>
          <w:rFonts w:ascii="宋体" w:hAnsi="宋体"/>
          <w:b/>
          <w:color w:val="auto"/>
          <w:szCs w:val="21"/>
          <w:highlight w:val="none"/>
        </w:rPr>
      </w:pPr>
      <w:r>
        <w:rPr>
          <w:rFonts w:hint="eastAsia" w:ascii="宋体" w:hAnsi="宋体"/>
          <w:b/>
          <w:color w:val="auto"/>
          <w:szCs w:val="21"/>
          <w:highlight w:val="none"/>
        </w:rPr>
        <w:t>拟投入本项目管理团队名单</w:t>
      </w:r>
    </w:p>
    <w:p>
      <w:pPr>
        <w:pStyle w:val="3"/>
        <w:rPr>
          <w:color w:val="auto"/>
          <w:highlight w:val="none"/>
        </w:rPr>
      </w:pPr>
    </w:p>
    <w:p>
      <w:pPr>
        <w:spacing w:line="400" w:lineRule="exact"/>
        <w:ind w:left="540"/>
        <w:jc w:val="center"/>
        <w:rPr>
          <w:rFonts w:ascii="宋体" w:hAnsi="宋体"/>
          <w:b/>
          <w:color w:val="auto"/>
          <w:szCs w:val="21"/>
          <w:highlight w:val="none"/>
        </w:rPr>
      </w:pPr>
    </w:p>
    <w:p>
      <w:pPr>
        <w:adjustRightInd w:val="0"/>
        <w:snapToGrid w:val="0"/>
        <w:spacing w:line="400" w:lineRule="exact"/>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u w:val="single"/>
          <w:lang w:eastAsia="zh-CN"/>
        </w:rPr>
        <w:t>宁波大学附属第一医院外滩院区安保服务（含停车场保安）项目</w:t>
      </w:r>
    </w:p>
    <w:p>
      <w:pPr>
        <w:adjustRightInd w:val="0"/>
        <w:snapToGrid w:val="0"/>
        <w:spacing w:line="400" w:lineRule="exact"/>
        <w:rPr>
          <w:rFonts w:ascii="宋体" w:hAnsi="宋体"/>
          <w:color w:val="auto"/>
          <w:szCs w:val="21"/>
          <w:highlight w:val="none"/>
          <w:u w:val="single"/>
        </w:rPr>
      </w:pPr>
      <w:r>
        <w:rPr>
          <w:rFonts w:hint="eastAsia" w:ascii="宋体" w:hAnsi="宋体"/>
          <w:color w:val="auto"/>
          <w:szCs w:val="21"/>
          <w:highlight w:val="none"/>
        </w:rPr>
        <w:t>项目编号：</w:t>
      </w:r>
      <w:r>
        <w:rPr>
          <w:rFonts w:hint="eastAsia" w:ascii="宋体" w:hAnsi="宋体"/>
          <w:color w:val="auto"/>
          <w:szCs w:val="21"/>
          <w:highlight w:val="none"/>
          <w:u w:val="single"/>
        </w:rPr>
        <w:t>NBITC-202311410G</w:t>
      </w:r>
    </w:p>
    <w:p>
      <w:pPr>
        <w:adjustRightInd w:val="0"/>
        <w:snapToGrid w:val="0"/>
        <w:spacing w:line="400" w:lineRule="exact"/>
        <w:rPr>
          <w:rFonts w:ascii="宋体" w:hAnsi="宋体"/>
          <w:color w:val="auto"/>
          <w:szCs w:val="21"/>
          <w:highlight w:val="none"/>
          <w:u w:val="single"/>
        </w:rPr>
      </w:pPr>
      <w:r>
        <w:rPr>
          <w:rFonts w:hint="eastAsia" w:ascii="宋体" w:hAnsi="宋体"/>
          <w:color w:val="auto"/>
          <w:szCs w:val="21"/>
          <w:highlight w:val="none"/>
        </w:rPr>
        <w:t>标项号：</w:t>
      </w:r>
    </w:p>
    <w:tbl>
      <w:tblPr>
        <w:tblStyle w:val="50"/>
        <w:tblW w:w="9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217"/>
        <w:gridCol w:w="740"/>
        <w:gridCol w:w="740"/>
        <w:gridCol w:w="740"/>
        <w:gridCol w:w="740"/>
        <w:gridCol w:w="842"/>
        <w:gridCol w:w="694"/>
        <w:gridCol w:w="1039"/>
        <w:gridCol w:w="1359"/>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928" w:type="dxa"/>
            <w:noWrap/>
            <w:vAlign w:val="center"/>
          </w:tcPr>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姓名</w:t>
            </w:r>
          </w:p>
        </w:tc>
        <w:tc>
          <w:tcPr>
            <w:tcW w:w="1217" w:type="dxa"/>
            <w:noWrap/>
            <w:vAlign w:val="center"/>
          </w:tcPr>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本项目拟任岗位</w:t>
            </w:r>
          </w:p>
        </w:tc>
        <w:tc>
          <w:tcPr>
            <w:tcW w:w="740" w:type="dxa"/>
            <w:noWrap/>
            <w:vAlign w:val="center"/>
          </w:tcPr>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性别</w:t>
            </w:r>
          </w:p>
        </w:tc>
        <w:tc>
          <w:tcPr>
            <w:tcW w:w="740" w:type="dxa"/>
            <w:noWrap/>
            <w:vAlign w:val="center"/>
          </w:tcPr>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年龄</w:t>
            </w:r>
          </w:p>
        </w:tc>
        <w:tc>
          <w:tcPr>
            <w:tcW w:w="740" w:type="dxa"/>
            <w:noWrap/>
            <w:vAlign w:val="center"/>
          </w:tcPr>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学历</w:t>
            </w:r>
          </w:p>
        </w:tc>
        <w:tc>
          <w:tcPr>
            <w:tcW w:w="740" w:type="dxa"/>
            <w:noWrap/>
            <w:vAlign w:val="center"/>
          </w:tcPr>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专业</w:t>
            </w:r>
          </w:p>
        </w:tc>
        <w:tc>
          <w:tcPr>
            <w:tcW w:w="842" w:type="dxa"/>
            <w:noWrap/>
            <w:vAlign w:val="center"/>
          </w:tcPr>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职务</w:t>
            </w:r>
          </w:p>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/职称</w:t>
            </w:r>
          </w:p>
        </w:tc>
        <w:tc>
          <w:tcPr>
            <w:tcW w:w="694" w:type="dxa"/>
            <w:noWrap/>
            <w:vAlign w:val="center"/>
          </w:tcPr>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工作年限</w:t>
            </w:r>
          </w:p>
        </w:tc>
        <w:tc>
          <w:tcPr>
            <w:tcW w:w="1039" w:type="dxa"/>
            <w:noWrap/>
            <w:vAlign w:val="center"/>
          </w:tcPr>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经验及业绩</w:t>
            </w:r>
          </w:p>
        </w:tc>
        <w:tc>
          <w:tcPr>
            <w:tcW w:w="1359" w:type="dxa"/>
            <w:noWrap/>
            <w:vAlign w:val="center"/>
          </w:tcPr>
          <w:p>
            <w:pPr>
              <w:spacing w:line="400" w:lineRule="exact"/>
              <w:jc w:val="center"/>
              <w:rPr>
                <w:rFonts w:ascii="宋体" w:hAnsi="宋体"/>
                <w:b/>
                <w:bCs/>
                <w:color w:val="auto"/>
                <w:szCs w:val="21"/>
                <w:highlight w:val="none"/>
              </w:rPr>
            </w:pPr>
            <w:r>
              <w:rPr>
                <w:rFonts w:hint="eastAsia" w:ascii="宋体" w:hAnsi="宋体" w:cs="Arial"/>
                <w:b/>
                <w:color w:val="auto"/>
                <w:kern w:val="0"/>
                <w:szCs w:val="21"/>
                <w:highlight w:val="none"/>
              </w:rPr>
              <w:t>从业资格证书编号或上岗证编号</w:t>
            </w:r>
          </w:p>
        </w:tc>
        <w:tc>
          <w:tcPr>
            <w:tcW w:w="577" w:type="dxa"/>
            <w:noWrap/>
            <w:vAlign w:val="center"/>
          </w:tcPr>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28" w:type="dxa"/>
            <w:noWrap/>
            <w:vAlign w:val="center"/>
          </w:tcPr>
          <w:p>
            <w:pPr>
              <w:spacing w:line="400" w:lineRule="exact"/>
              <w:jc w:val="center"/>
              <w:rPr>
                <w:rFonts w:ascii="宋体" w:hAnsi="宋体"/>
                <w:bCs/>
                <w:color w:val="auto"/>
                <w:szCs w:val="21"/>
                <w:highlight w:val="none"/>
              </w:rPr>
            </w:pPr>
          </w:p>
        </w:tc>
        <w:tc>
          <w:tcPr>
            <w:tcW w:w="1217"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842" w:type="dxa"/>
            <w:noWrap/>
            <w:vAlign w:val="center"/>
          </w:tcPr>
          <w:p>
            <w:pPr>
              <w:spacing w:line="400" w:lineRule="exact"/>
              <w:jc w:val="center"/>
              <w:rPr>
                <w:rFonts w:ascii="宋体" w:hAnsi="宋体"/>
                <w:bCs/>
                <w:color w:val="auto"/>
                <w:szCs w:val="21"/>
                <w:highlight w:val="none"/>
              </w:rPr>
            </w:pPr>
          </w:p>
        </w:tc>
        <w:tc>
          <w:tcPr>
            <w:tcW w:w="694" w:type="dxa"/>
            <w:noWrap/>
          </w:tcPr>
          <w:p>
            <w:pPr>
              <w:spacing w:line="400" w:lineRule="exact"/>
              <w:jc w:val="center"/>
              <w:rPr>
                <w:rFonts w:ascii="宋体" w:hAnsi="宋体"/>
                <w:color w:val="auto"/>
                <w:szCs w:val="21"/>
                <w:highlight w:val="none"/>
              </w:rPr>
            </w:pPr>
          </w:p>
        </w:tc>
        <w:tc>
          <w:tcPr>
            <w:tcW w:w="1039" w:type="dxa"/>
            <w:noWrap/>
          </w:tcPr>
          <w:p>
            <w:pPr>
              <w:spacing w:line="400" w:lineRule="exact"/>
              <w:jc w:val="center"/>
              <w:rPr>
                <w:rFonts w:ascii="宋体" w:hAnsi="宋体"/>
                <w:color w:val="auto"/>
                <w:szCs w:val="21"/>
                <w:highlight w:val="none"/>
              </w:rPr>
            </w:pPr>
          </w:p>
        </w:tc>
        <w:tc>
          <w:tcPr>
            <w:tcW w:w="1359" w:type="dxa"/>
            <w:noWrap/>
            <w:vAlign w:val="center"/>
          </w:tcPr>
          <w:p>
            <w:pPr>
              <w:spacing w:line="400" w:lineRule="exact"/>
              <w:jc w:val="center"/>
              <w:rPr>
                <w:rFonts w:ascii="宋体" w:hAnsi="宋体"/>
                <w:color w:val="auto"/>
                <w:szCs w:val="21"/>
                <w:highlight w:val="none"/>
              </w:rPr>
            </w:pPr>
          </w:p>
        </w:tc>
        <w:tc>
          <w:tcPr>
            <w:tcW w:w="577" w:type="dxa"/>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28" w:type="dxa"/>
            <w:noWrap/>
            <w:vAlign w:val="center"/>
          </w:tcPr>
          <w:p>
            <w:pPr>
              <w:spacing w:line="400" w:lineRule="exact"/>
              <w:jc w:val="center"/>
              <w:rPr>
                <w:rFonts w:ascii="宋体" w:hAnsi="宋体"/>
                <w:bCs/>
                <w:color w:val="auto"/>
                <w:szCs w:val="21"/>
                <w:highlight w:val="none"/>
              </w:rPr>
            </w:pPr>
          </w:p>
        </w:tc>
        <w:tc>
          <w:tcPr>
            <w:tcW w:w="1217"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842" w:type="dxa"/>
            <w:noWrap/>
            <w:vAlign w:val="center"/>
          </w:tcPr>
          <w:p>
            <w:pPr>
              <w:spacing w:line="400" w:lineRule="exact"/>
              <w:jc w:val="center"/>
              <w:rPr>
                <w:rFonts w:ascii="宋体" w:hAnsi="宋体"/>
                <w:bCs/>
                <w:color w:val="auto"/>
                <w:szCs w:val="21"/>
                <w:highlight w:val="none"/>
              </w:rPr>
            </w:pPr>
          </w:p>
        </w:tc>
        <w:tc>
          <w:tcPr>
            <w:tcW w:w="694" w:type="dxa"/>
            <w:noWrap/>
          </w:tcPr>
          <w:p>
            <w:pPr>
              <w:spacing w:line="400" w:lineRule="exact"/>
              <w:jc w:val="center"/>
              <w:rPr>
                <w:rFonts w:ascii="宋体" w:hAnsi="宋体"/>
                <w:color w:val="auto"/>
                <w:szCs w:val="21"/>
                <w:highlight w:val="none"/>
              </w:rPr>
            </w:pPr>
          </w:p>
        </w:tc>
        <w:tc>
          <w:tcPr>
            <w:tcW w:w="1039" w:type="dxa"/>
            <w:noWrap/>
          </w:tcPr>
          <w:p>
            <w:pPr>
              <w:spacing w:line="400" w:lineRule="exact"/>
              <w:jc w:val="center"/>
              <w:rPr>
                <w:rFonts w:ascii="宋体" w:hAnsi="宋体"/>
                <w:color w:val="auto"/>
                <w:szCs w:val="21"/>
                <w:highlight w:val="none"/>
              </w:rPr>
            </w:pPr>
          </w:p>
        </w:tc>
        <w:tc>
          <w:tcPr>
            <w:tcW w:w="1359" w:type="dxa"/>
            <w:noWrap/>
            <w:vAlign w:val="center"/>
          </w:tcPr>
          <w:p>
            <w:pPr>
              <w:spacing w:line="400" w:lineRule="exact"/>
              <w:jc w:val="center"/>
              <w:rPr>
                <w:rFonts w:ascii="宋体" w:hAnsi="宋体"/>
                <w:color w:val="auto"/>
                <w:szCs w:val="21"/>
                <w:highlight w:val="none"/>
              </w:rPr>
            </w:pPr>
          </w:p>
        </w:tc>
        <w:tc>
          <w:tcPr>
            <w:tcW w:w="577" w:type="dxa"/>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28" w:type="dxa"/>
            <w:noWrap/>
            <w:vAlign w:val="center"/>
          </w:tcPr>
          <w:p>
            <w:pPr>
              <w:spacing w:line="400" w:lineRule="exact"/>
              <w:jc w:val="center"/>
              <w:rPr>
                <w:rFonts w:ascii="宋体" w:hAnsi="宋体"/>
                <w:bCs/>
                <w:color w:val="auto"/>
                <w:szCs w:val="21"/>
                <w:highlight w:val="none"/>
              </w:rPr>
            </w:pPr>
          </w:p>
        </w:tc>
        <w:tc>
          <w:tcPr>
            <w:tcW w:w="1217"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842" w:type="dxa"/>
            <w:noWrap/>
            <w:vAlign w:val="center"/>
          </w:tcPr>
          <w:p>
            <w:pPr>
              <w:spacing w:line="400" w:lineRule="exact"/>
              <w:jc w:val="center"/>
              <w:rPr>
                <w:rFonts w:ascii="宋体" w:hAnsi="宋体"/>
                <w:bCs/>
                <w:color w:val="auto"/>
                <w:szCs w:val="21"/>
                <w:highlight w:val="none"/>
              </w:rPr>
            </w:pPr>
          </w:p>
        </w:tc>
        <w:tc>
          <w:tcPr>
            <w:tcW w:w="694" w:type="dxa"/>
            <w:noWrap/>
          </w:tcPr>
          <w:p>
            <w:pPr>
              <w:spacing w:line="400" w:lineRule="exact"/>
              <w:jc w:val="center"/>
              <w:rPr>
                <w:rFonts w:ascii="宋体" w:hAnsi="宋体"/>
                <w:color w:val="auto"/>
                <w:szCs w:val="21"/>
                <w:highlight w:val="none"/>
              </w:rPr>
            </w:pPr>
          </w:p>
        </w:tc>
        <w:tc>
          <w:tcPr>
            <w:tcW w:w="1039" w:type="dxa"/>
            <w:noWrap/>
          </w:tcPr>
          <w:p>
            <w:pPr>
              <w:spacing w:line="400" w:lineRule="exact"/>
              <w:jc w:val="center"/>
              <w:rPr>
                <w:rFonts w:ascii="宋体" w:hAnsi="宋体"/>
                <w:color w:val="auto"/>
                <w:szCs w:val="21"/>
                <w:highlight w:val="none"/>
              </w:rPr>
            </w:pPr>
          </w:p>
        </w:tc>
        <w:tc>
          <w:tcPr>
            <w:tcW w:w="1359" w:type="dxa"/>
            <w:noWrap/>
            <w:vAlign w:val="center"/>
          </w:tcPr>
          <w:p>
            <w:pPr>
              <w:spacing w:line="400" w:lineRule="exact"/>
              <w:jc w:val="center"/>
              <w:rPr>
                <w:rFonts w:ascii="宋体" w:hAnsi="宋体"/>
                <w:color w:val="auto"/>
                <w:szCs w:val="21"/>
                <w:highlight w:val="none"/>
              </w:rPr>
            </w:pPr>
          </w:p>
        </w:tc>
        <w:tc>
          <w:tcPr>
            <w:tcW w:w="577" w:type="dxa"/>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28" w:type="dxa"/>
            <w:noWrap/>
            <w:vAlign w:val="center"/>
          </w:tcPr>
          <w:p>
            <w:pPr>
              <w:spacing w:line="400" w:lineRule="exact"/>
              <w:jc w:val="center"/>
              <w:rPr>
                <w:rFonts w:ascii="宋体" w:hAnsi="宋体"/>
                <w:bCs/>
                <w:color w:val="auto"/>
                <w:szCs w:val="21"/>
                <w:highlight w:val="none"/>
              </w:rPr>
            </w:pPr>
          </w:p>
        </w:tc>
        <w:tc>
          <w:tcPr>
            <w:tcW w:w="1217"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842" w:type="dxa"/>
            <w:noWrap/>
            <w:vAlign w:val="center"/>
          </w:tcPr>
          <w:p>
            <w:pPr>
              <w:spacing w:line="400" w:lineRule="exact"/>
              <w:jc w:val="center"/>
              <w:rPr>
                <w:rFonts w:ascii="宋体" w:hAnsi="宋体"/>
                <w:bCs/>
                <w:color w:val="auto"/>
                <w:szCs w:val="21"/>
                <w:highlight w:val="none"/>
              </w:rPr>
            </w:pPr>
          </w:p>
        </w:tc>
        <w:tc>
          <w:tcPr>
            <w:tcW w:w="694" w:type="dxa"/>
            <w:noWrap/>
          </w:tcPr>
          <w:p>
            <w:pPr>
              <w:spacing w:line="400" w:lineRule="exact"/>
              <w:jc w:val="center"/>
              <w:rPr>
                <w:rFonts w:ascii="宋体" w:hAnsi="宋体"/>
                <w:color w:val="auto"/>
                <w:szCs w:val="21"/>
                <w:highlight w:val="none"/>
              </w:rPr>
            </w:pPr>
          </w:p>
        </w:tc>
        <w:tc>
          <w:tcPr>
            <w:tcW w:w="1039" w:type="dxa"/>
            <w:noWrap/>
          </w:tcPr>
          <w:p>
            <w:pPr>
              <w:spacing w:line="400" w:lineRule="exact"/>
              <w:jc w:val="center"/>
              <w:rPr>
                <w:rFonts w:ascii="宋体" w:hAnsi="宋体"/>
                <w:color w:val="auto"/>
                <w:szCs w:val="21"/>
                <w:highlight w:val="none"/>
              </w:rPr>
            </w:pPr>
          </w:p>
        </w:tc>
        <w:tc>
          <w:tcPr>
            <w:tcW w:w="1359" w:type="dxa"/>
            <w:noWrap/>
            <w:vAlign w:val="center"/>
          </w:tcPr>
          <w:p>
            <w:pPr>
              <w:spacing w:line="400" w:lineRule="exact"/>
              <w:jc w:val="center"/>
              <w:rPr>
                <w:rFonts w:ascii="宋体" w:hAnsi="宋体"/>
                <w:color w:val="auto"/>
                <w:szCs w:val="21"/>
                <w:highlight w:val="none"/>
              </w:rPr>
            </w:pPr>
          </w:p>
        </w:tc>
        <w:tc>
          <w:tcPr>
            <w:tcW w:w="577" w:type="dxa"/>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28" w:type="dxa"/>
            <w:noWrap/>
            <w:vAlign w:val="center"/>
          </w:tcPr>
          <w:p>
            <w:pPr>
              <w:spacing w:line="400" w:lineRule="exact"/>
              <w:jc w:val="center"/>
              <w:rPr>
                <w:rFonts w:ascii="宋体" w:hAnsi="宋体"/>
                <w:bCs/>
                <w:color w:val="auto"/>
                <w:szCs w:val="21"/>
                <w:highlight w:val="none"/>
              </w:rPr>
            </w:pPr>
          </w:p>
        </w:tc>
        <w:tc>
          <w:tcPr>
            <w:tcW w:w="1217"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842" w:type="dxa"/>
            <w:noWrap/>
            <w:vAlign w:val="center"/>
          </w:tcPr>
          <w:p>
            <w:pPr>
              <w:spacing w:line="400" w:lineRule="exact"/>
              <w:jc w:val="center"/>
              <w:rPr>
                <w:rFonts w:ascii="宋体" w:hAnsi="宋体"/>
                <w:bCs/>
                <w:color w:val="auto"/>
                <w:szCs w:val="21"/>
                <w:highlight w:val="none"/>
              </w:rPr>
            </w:pPr>
          </w:p>
        </w:tc>
        <w:tc>
          <w:tcPr>
            <w:tcW w:w="694" w:type="dxa"/>
            <w:noWrap/>
          </w:tcPr>
          <w:p>
            <w:pPr>
              <w:spacing w:line="400" w:lineRule="exact"/>
              <w:jc w:val="center"/>
              <w:rPr>
                <w:rFonts w:ascii="宋体" w:hAnsi="宋体"/>
                <w:color w:val="auto"/>
                <w:szCs w:val="21"/>
                <w:highlight w:val="none"/>
              </w:rPr>
            </w:pPr>
          </w:p>
        </w:tc>
        <w:tc>
          <w:tcPr>
            <w:tcW w:w="1039" w:type="dxa"/>
            <w:noWrap/>
          </w:tcPr>
          <w:p>
            <w:pPr>
              <w:spacing w:line="400" w:lineRule="exact"/>
              <w:jc w:val="center"/>
              <w:rPr>
                <w:rFonts w:ascii="宋体" w:hAnsi="宋体"/>
                <w:color w:val="auto"/>
                <w:szCs w:val="21"/>
                <w:highlight w:val="none"/>
              </w:rPr>
            </w:pPr>
          </w:p>
        </w:tc>
        <w:tc>
          <w:tcPr>
            <w:tcW w:w="1359" w:type="dxa"/>
            <w:noWrap/>
            <w:vAlign w:val="center"/>
          </w:tcPr>
          <w:p>
            <w:pPr>
              <w:spacing w:line="400" w:lineRule="exact"/>
              <w:jc w:val="center"/>
              <w:rPr>
                <w:rFonts w:ascii="宋体" w:hAnsi="宋体"/>
                <w:color w:val="auto"/>
                <w:szCs w:val="21"/>
                <w:highlight w:val="none"/>
              </w:rPr>
            </w:pPr>
          </w:p>
        </w:tc>
        <w:tc>
          <w:tcPr>
            <w:tcW w:w="577" w:type="dxa"/>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28" w:type="dxa"/>
            <w:noWrap/>
            <w:vAlign w:val="center"/>
          </w:tcPr>
          <w:p>
            <w:pPr>
              <w:spacing w:line="400" w:lineRule="exact"/>
              <w:jc w:val="center"/>
              <w:rPr>
                <w:rFonts w:ascii="宋体" w:hAnsi="宋体"/>
                <w:bCs/>
                <w:color w:val="auto"/>
                <w:szCs w:val="21"/>
                <w:highlight w:val="none"/>
              </w:rPr>
            </w:pPr>
          </w:p>
        </w:tc>
        <w:tc>
          <w:tcPr>
            <w:tcW w:w="1217"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740" w:type="dxa"/>
            <w:noWrap/>
            <w:vAlign w:val="center"/>
          </w:tcPr>
          <w:p>
            <w:pPr>
              <w:spacing w:line="400" w:lineRule="exact"/>
              <w:jc w:val="center"/>
              <w:rPr>
                <w:rFonts w:ascii="宋体" w:hAnsi="宋体"/>
                <w:bCs/>
                <w:color w:val="auto"/>
                <w:szCs w:val="21"/>
                <w:highlight w:val="none"/>
              </w:rPr>
            </w:pPr>
          </w:p>
        </w:tc>
        <w:tc>
          <w:tcPr>
            <w:tcW w:w="842" w:type="dxa"/>
            <w:noWrap/>
            <w:vAlign w:val="center"/>
          </w:tcPr>
          <w:p>
            <w:pPr>
              <w:spacing w:line="400" w:lineRule="exact"/>
              <w:jc w:val="center"/>
              <w:rPr>
                <w:rFonts w:ascii="宋体" w:hAnsi="宋体"/>
                <w:bCs/>
                <w:color w:val="auto"/>
                <w:szCs w:val="21"/>
                <w:highlight w:val="none"/>
              </w:rPr>
            </w:pPr>
          </w:p>
        </w:tc>
        <w:tc>
          <w:tcPr>
            <w:tcW w:w="694" w:type="dxa"/>
            <w:noWrap/>
          </w:tcPr>
          <w:p>
            <w:pPr>
              <w:spacing w:line="400" w:lineRule="exact"/>
              <w:jc w:val="center"/>
              <w:rPr>
                <w:rFonts w:ascii="宋体" w:hAnsi="宋体"/>
                <w:color w:val="auto"/>
                <w:szCs w:val="21"/>
                <w:highlight w:val="none"/>
              </w:rPr>
            </w:pPr>
          </w:p>
        </w:tc>
        <w:tc>
          <w:tcPr>
            <w:tcW w:w="1039" w:type="dxa"/>
            <w:noWrap/>
          </w:tcPr>
          <w:p>
            <w:pPr>
              <w:spacing w:line="400" w:lineRule="exact"/>
              <w:jc w:val="center"/>
              <w:rPr>
                <w:rFonts w:ascii="宋体" w:hAnsi="宋体"/>
                <w:color w:val="auto"/>
                <w:szCs w:val="21"/>
                <w:highlight w:val="none"/>
              </w:rPr>
            </w:pPr>
          </w:p>
        </w:tc>
        <w:tc>
          <w:tcPr>
            <w:tcW w:w="1359" w:type="dxa"/>
            <w:noWrap/>
            <w:vAlign w:val="center"/>
          </w:tcPr>
          <w:p>
            <w:pPr>
              <w:spacing w:line="400" w:lineRule="exact"/>
              <w:jc w:val="center"/>
              <w:rPr>
                <w:rFonts w:ascii="宋体" w:hAnsi="宋体"/>
                <w:color w:val="auto"/>
                <w:szCs w:val="21"/>
                <w:highlight w:val="none"/>
              </w:rPr>
            </w:pPr>
          </w:p>
        </w:tc>
        <w:tc>
          <w:tcPr>
            <w:tcW w:w="577" w:type="dxa"/>
            <w:noWrap/>
            <w:vAlign w:val="center"/>
          </w:tcPr>
          <w:p>
            <w:pPr>
              <w:spacing w:line="400" w:lineRule="exact"/>
              <w:jc w:val="center"/>
              <w:rPr>
                <w:rFonts w:ascii="宋体" w:hAnsi="宋体"/>
                <w:color w:val="auto"/>
                <w:szCs w:val="21"/>
                <w:highlight w:val="none"/>
              </w:rPr>
            </w:pPr>
          </w:p>
        </w:tc>
      </w:tr>
    </w:tbl>
    <w:p>
      <w:pPr>
        <w:spacing w:line="400" w:lineRule="exact"/>
        <w:jc w:val="left"/>
        <w:rPr>
          <w:rFonts w:ascii="宋体" w:hAnsi="宋体"/>
          <w:bCs/>
          <w:color w:val="auto"/>
          <w:szCs w:val="21"/>
          <w:highlight w:val="none"/>
        </w:rPr>
      </w:pPr>
      <w:r>
        <w:rPr>
          <w:rFonts w:hint="eastAsia" w:ascii="宋体" w:hAnsi="宋体"/>
          <w:b/>
          <w:color w:val="auto"/>
          <w:szCs w:val="21"/>
          <w:highlight w:val="none"/>
        </w:rPr>
        <w:t>备注：</w:t>
      </w:r>
      <w:r>
        <w:rPr>
          <w:rFonts w:hint="eastAsia" w:ascii="宋体" w:hAnsi="宋体"/>
          <w:color w:val="auto"/>
          <w:szCs w:val="21"/>
          <w:highlight w:val="none"/>
        </w:rPr>
        <w:t>1、</w:t>
      </w:r>
      <w:r>
        <w:rPr>
          <w:rFonts w:hint="eastAsia" w:ascii="宋体" w:hAnsi="宋体"/>
          <w:bCs/>
          <w:color w:val="auto"/>
          <w:szCs w:val="21"/>
          <w:highlight w:val="none"/>
        </w:rPr>
        <w:t>以上人员一经确认，不得随意更换，如需更换，必须征得采购人同意。擅自更换或不到位属违约行为。</w:t>
      </w:r>
    </w:p>
    <w:p>
      <w:pPr>
        <w:spacing w:line="400" w:lineRule="exact"/>
        <w:ind w:firstLine="630" w:firstLineChars="300"/>
        <w:jc w:val="left"/>
        <w:rPr>
          <w:rFonts w:ascii="宋体" w:hAnsi="宋体"/>
          <w:bCs/>
          <w:color w:val="auto"/>
          <w:szCs w:val="21"/>
          <w:highlight w:val="none"/>
        </w:rPr>
      </w:pPr>
      <w:r>
        <w:rPr>
          <w:rFonts w:hint="eastAsia" w:ascii="宋体" w:hAnsi="宋体"/>
          <w:bCs/>
          <w:color w:val="auto"/>
          <w:szCs w:val="21"/>
          <w:highlight w:val="none"/>
        </w:rPr>
        <w:t>2、须提供班长及以上管理团队名单，</w:t>
      </w:r>
      <w:r>
        <w:rPr>
          <w:rFonts w:hint="eastAsia" w:ascii="宋体" w:hAnsi="宋体" w:cs="宋体"/>
          <w:bCs/>
          <w:color w:val="auto"/>
          <w:highlight w:val="none"/>
        </w:rPr>
        <w:t>后附身份证复印件、学历证书复印件、资格证书或上岗证书复印件等资料加盖供应商公章</w:t>
      </w:r>
      <w:r>
        <w:rPr>
          <w:rFonts w:hint="eastAsia" w:ascii="宋体" w:hAnsi="宋体"/>
          <w:bCs/>
          <w:color w:val="auto"/>
          <w:szCs w:val="21"/>
          <w:highlight w:val="none"/>
        </w:rPr>
        <w:t>。</w:t>
      </w:r>
    </w:p>
    <w:p>
      <w:pPr>
        <w:spacing w:line="400" w:lineRule="exact"/>
        <w:ind w:firstLine="735" w:firstLineChars="350"/>
        <w:jc w:val="left"/>
        <w:rPr>
          <w:rFonts w:ascii="宋体" w:hAnsi="宋体"/>
          <w:color w:val="auto"/>
          <w:szCs w:val="21"/>
          <w:highlight w:val="none"/>
        </w:rPr>
      </w:pPr>
    </w:p>
    <w:p>
      <w:pPr>
        <w:spacing w:line="400" w:lineRule="exact"/>
        <w:jc w:val="left"/>
        <w:rPr>
          <w:rFonts w:ascii="宋体" w:hAnsi="宋体"/>
          <w:color w:val="auto"/>
          <w:szCs w:val="21"/>
          <w:highlight w:val="none"/>
        </w:rPr>
      </w:pPr>
    </w:p>
    <w:p>
      <w:pPr>
        <w:spacing w:line="400" w:lineRule="exact"/>
        <w:jc w:val="left"/>
        <w:rPr>
          <w:rFonts w:ascii="宋体" w:hAnsi="宋体"/>
          <w:color w:val="auto"/>
          <w:szCs w:val="21"/>
          <w:highlight w:val="none"/>
        </w:rPr>
      </w:pPr>
      <w:r>
        <w:rPr>
          <w:rFonts w:hint="eastAsia" w:ascii="宋体" w:hAnsi="宋体"/>
          <w:color w:val="auto"/>
          <w:szCs w:val="21"/>
          <w:highlight w:val="none"/>
        </w:rPr>
        <w:t>供应商（盖章）：</w:t>
      </w:r>
    </w:p>
    <w:p>
      <w:pPr>
        <w:spacing w:line="400" w:lineRule="exact"/>
        <w:rPr>
          <w:rFonts w:ascii="宋体" w:hAnsi="宋体"/>
          <w:color w:val="auto"/>
          <w:szCs w:val="21"/>
          <w:highlight w:val="none"/>
        </w:rPr>
      </w:pPr>
    </w:p>
    <w:p>
      <w:pPr>
        <w:pStyle w:val="3"/>
        <w:rPr>
          <w:color w:val="auto"/>
          <w:highlight w:val="none"/>
        </w:rPr>
      </w:pPr>
    </w:p>
    <w:p>
      <w:pPr>
        <w:spacing w:line="400" w:lineRule="exact"/>
        <w:rPr>
          <w:rFonts w:ascii="宋体" w:hAnsi="宋体"/>
          <w:color w:val="auto"/>
          <w:szCs w:val="21"/>
          <w:highlight w:val="none"/>
          <w:u w:val="single"/>
        </w:rPr>
      </w:pPr>
      <w:r>
        <w:rPr>
          <w:rFonts w:hint="eastAsia" w:ascii="宋体" w:hAnsi="宋体"/>
          <w:color w:val="auto"/>
          <w:szCs w:val="21"/>
          <w:highlight w:val="none"/>
        </w:rPr>
        <w:t>日            期：</w:t>
      </w:r>
    </w:p>
    <w:p>
      <w:pPr>
        <w:spacing w:line="400" w:lineRule="exact"/>
        <w:jc w:val="center"/>
        <w:rPr>
          <w:rFonts w:ascii="宋体" w:hAnsi="宋体"/>
          <w:b/>
          <w:color w:val="auto"/>
          <w:spacing w:val="20"/>
          <w:szCs w:val="21"/>
          <w:highlight w:val="none"/>
        </w:rPr>
      </w:pPr>
      <w:r>
        <w:rPr>
          <w:rFonts w:hint="eastAsia" w:ascii="宋体" w:hAnsi="宋体"/>
          <w:color w:val="auto"/>
          <w:szCs w:val="21"/>
          <w:highlight w:val="none"/>
          <w:u w:val="single"/>
        </w:rPr>
        <w:br w:type="page"/>
      </w:r>
      <w:r>
        <w:rPr>
          <w:rFonts w:hint="eastAsia" w:ascii="宋体" w:hAnsi="宋体" w:cs="Arial"/>
          <w:b/>
          <w:color w:val="auto"/>
          <w:kern w:val="0"/>
          <w:szCs w:val="21"/>
          <w:highlight w:val="none"/>
        </w:rPr>
        <w:t>拟派驻技术团队名单</w:t>
      </w:r>
    </w:p>
    <w:p>
      <w:pPr>
        <w:spacing w:line="400" w:lineRule="exact"/>
        <w:ind w:left="540"/>
        <w:jc w:val="center"/>
        <w:rPr>
          <w:rFonts w:ascii="宋体" w:hAnsi="宋体"/>
          <w:b/>
          <w:color w:val="auto"/>
          <w:szCs w:val="21"/>
          <w:highlight w:val="none"/>
        </w:rPr>
      </w:pPr>
    </w:p>
    <w:p>
      <w:pPr>
        <w:adjustRightInd w:val="0"/>
        <w:snapToGrid w:val="0"/>
        <w:spacing w:line="400" w:lineRule="exact"/>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u w:val="single"/>
          <w:lang w:eastAsia="zh-CN"/>
        </w:rPr>
        <w:t>宁波大学附属第一医院外滩院区安保服务（含停车场保安）项目</w:t>
      </w:r>
    </w:p>
    <w:p>
      <w:pPr>
        <w:adjustRightInd w:val="0"/>
        <w:snapToGrid w:val="0"/>
        <w:spacing w:line="400" w:lineRule="exact"/>
        <w:rPr>
          <w:rFonts w:ascii="宋体" w:hAnsi="宋体"/>
          <w:color w:val="auto"/>
          <w:szCs w:val="21"/>
          <w:highlight w:val="none"/>
          <w:u w:val="single"/>
        </w:rPr>
      </w:pPr>
      <w:r>
        <w:rPr>
          <w:rFonts w:hint="eastAsia" w:ascii="宋体" w:hAnsi="宋体"/>
          <w:color w:val="auto"/>
          <w:szCs w:val="21"/>
          <w:highlight w:val="none"/>
        </w:rPr>
        <w:t>项目编号：</w:t>
      </w:r>
      <w:r>
        <w:rPr>
          <w:rFonts w:hint="eastAsia" w:ascii="宋体" w:hAnsi="宋体"/>
          <w:color w:val="auto"/>
          <w:szCs w:val="21"/>
          <w:highlight w:val="none"/>
          <w:u w:val="single"/>
        </w:rPr>
        <w:t>NBITC-202311410G</w:t>
      </w:r>
    </w:p>
    <w:p>
      <w:pPr>
        <w:adjustRightInd w:val="0"/>
        <w:snapToGrid w:val="0"/>
        <w:spacing w:line="400" w:lineRule="exact"/>
        <w:rPr>
          <w:rFonts w:ascii="宋体" w:hAnsi="宋体"/>
          <w:color w:val="auto"/>
          <w:szCs w:val="21"/>
          <w:highlight w:val="none"/>
          <w:u w:val="single"/>
        </w:rPr>
      </w:pPr>
      <w:r>
        <w:rPr>
          <w:rFonts w:hint="eastAsia" w:ascii="宋体" w:hAnsi="宋体"/>
          <w:color w:val="auto"/>
          <w:szCs w:val="21"/>
          <w:highlight w:val="none"/>
        </w:rPr>
        <w:t>标项号：</w:t>
      </w:r>
    </w:p>
    <w:tbl>
      <w:tblPr>
        <w:tblStyle w:val="50"/>
        <w:tblW w:w="9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000"/>
        <w:gridCol w:w="1809"/>
        <w:gridCol w:w="2280"/>
        <w:gridCol w:w="1000"/>
        <w:gridCol w:w="94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33" w:type="dxa"/>
            <w:noWrap/>
            <w:vAlign w:val="center"/>
          </w:tcPr>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序号</w:t>
            </w:r>
          </w:p>
        </w:tc>
        <w:tc>
          <w:tcPr>
            <w:tcW w:w="2000" w:type="dxa"/>
            <w:noWrap/>
            <w:vAlign w:val="center"/>
          </w:tcPr>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姓名</w:t>
            </w:r>
          </w:p>
        </w:tc>
        <w:tc>
          <w:tcPr>
            <w:tcW w:w="1809" w:type="dxa"/>
            <w:noWrap/>
            <w:vAlign w:val="center"/>
          </w:tcPr>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学历</w:t>
            </w:r>
          </w:p>
        </w:tc>
        <w:tc>
          <w:tcPr>
            <w:tcW w:w="2280" w:type="dxa"/>
            <w:noWrap/>
            <w:vAlign w:val="center"/>
          </w:tcPr>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工作经历及业绩</w:t>
            </w:r>
          </w:p>
        </w:tc>
        <w:tc>
          <w:tcPr>
            <w:tcW w:w="1000" w:type="dxa"/>
            <w:noWrap/>
            <w:vAlign w:val="center"/>
          </w:tcPr>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性别</w:t>
            </w:r>
          </w:p>
        </w:tc>
        <w:tc>
          <w:tcPr>
            <w:tcW w:w="945" w:type="dxa"/>
            <w:noWrap/>
            <w:vAlign w:val="center"/>
          </w:tcPr>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年龄</w:t>
            </w:r>
          </w:p>
        </w:tc>
        <w:tc>
          <w:tcPr>
            <w:tcW w:w="1170" w:type="dxa"/>
            <w:noWrap/>
            <w:vAlign w:val="center"/>
          </w:tcPr>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3" w:type="dxa"/>
            <w:noWrap/>
            <w:vAlign w:val="center"/>
          </w:tcPr>
          <w:p>
            <w:pPr>
              <w:spacing w:line="400" w:lineRule="exact"/>
              <w:jc w:val="center"/>
              <w:rPr>
                <w:rFonts w:ascii="宋体" w:hAnsi="宋体"/>
                <w:bCs/>
                <w:color w:val="auto"/>
                <w:szCs w:val="21"/>
                <w:highlight w:val="none"/>
              </w:rPr>
            </w:pPr>
          </w:p>
        </w:tc>
        <w:tc>
          <w:tcPr>
            <w:tcW w:w="2000" w:type="dxa"/>
            <w:noWrap/>
            <w:vAlign w:val="center"/>
          </w:tcPr>
          <w:p>
            <w:pPr>
              <w:spacing w:line="400" w:lineRule="exact"/>
              <w:jc w:val="center"/>
              <w:rPr>
                <w:rFonts w:ascii="宋体" w:hAnsi="宋体"/>
                <w:bCs/>
                <w:color w:val="auto"/>
                <w:szCs w:val="21"/>
                <w:highlight w:val="none"/>
              </w:rPr>
            </w:pPr>
          </w:p>
        </w:tc>
        <w:tc>
          <w:tcPr>
            <w:tcW w:w="1809" w:type="dxa"/>
            <w:noWrap/>
          </w:tcPr>
          <w:p>
            <w:pPr>
              <w:spacing w:line="400" w:lineRule="exact"/>
              <w:jc w:val="center"/>
              <w:rPr>
                <w:rFonts w:ascii="宋体" w:hAnsi="宋体"/>
                <w:color w:val="auto"/>
                <w:szCs w:val="21"/>
                <w:highlight w:val="none"/>
              </w:rPr>
            </w:pPr>
          </w:p>
        </w:tc>
        <w:tc>
          <w:tcPr>
            <w:tcW w:w="2280" w:type="dxa"/>
            <w:noWrap/>
            <w:vAlign w:val="center"/>
          </w:tcPr>
          <w:p>
            <w:pPr>
              <w:spacing w:line="400" w:lineRule="exact"/>
              <w:jc w:val="center"/>
              <w:rPr>
                <w:rFonts w:ascii="宋体" w:hAnsi="宋体"/>
                <w:color w:val="auto"/>
                <w:szCs w:val="21"/>
                <w:highlight w:val="none"/>
              </w:rPr>
            </w:pPr>
          </w:p>
        </w:tc>
        <w:tc>
          <w:tcPr>
            <w:tcW w:w="1000" w:type="dxa"/>
            <w:noWrap/>
            <w:vAlign w:val="center"/>
          </w:tcPr>
          <w:p>
            <w:pPr>
              <w:spacing w:line="400" w:lineRule="exact"/>
              <w:jc w:val="center"/>
              <w:rPr>
                <w:rFonts w:ascii="宋体" w:hAnsi="宋体"/>
                <w:color w:val="auto"/>
                <w:szCs w:val="21"/>
                <w:highlight w:val="none"/>
              </w:rPr>
            </w:pPr>
          </w:p>
        </w:tc>
        <w:tc>
          <w:tcPr>
            <w:tcW w:w="945" w:type="dxa"/>
            <w:noWrap/>
            <w:vAlign w:val="center"/>
          </w:tcPr>
          <w:p>
            <w:pPr>
              <w:spacing w:line="400" w:lineRule="exact"/>
              <w:jc w:val="center"/>
              <w:rPr>
                <w:rFonts w:ascii="宋体" w:hAnsi="宋体"/>
                <w:color w:val="auto"/>
                <w:szCs w:val="21"/>
                <w:highlight w:val="none"/>
              </w:rPr>
            </w:pPr>
          </w:p>
        </w:tc>
        <w:tc>
          <w:tcPr>
            <w:tcW w:w="1170" w:type="dxa"/>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33" w:type="dxa"/>
            <w:noWrap/>
            <w:vAlign w:val="center"/>
          </w:tcPr>
          <w:p>
            <w:pPr>
              <w:spacing w:line="400" w:lineRule="exact"/>
              <w:jc w:val="center"/>
              <w:rPr>
                <w:rFonts w:ascii="宋体" w:hAnsi="宋体"/>
                <w:bCs/>
                <w:color w:val="auto"/>
                <w:szCs w:val="21"/>
                <w:highlight w:val="none"/>
              </w:rPr>
            </w:pPr>
          </w:p>
        </w:tc>
        <w:tc>
          <w:tcPr>
            <w:tcW w:w="2000" w:type="dxa"/>
            <w:noWrap/>
            <w:vAlign w:val="center"/>
          </w:tcPr>
          <w:p>
            <w:pPr>
              <w:spacing w:line="400" w:lineRule="exact"/>
              <w:jc w:val="center"/>
              <w:rPr>
                <w:rFonts w:ascii="宋体" w:hAnsi="宋体"/>
                <w:bCs/>
                <w:color w:val="auto"/>
                <w:szCs w:val="21"/>
                <w:highlight w:val="none"/>
              </w:rPr>
            </w:pPr>
          </w:p>
        </w:tc>
        <w:tc>
          <w:tcPr>
            <w:tcW w:w="1809" w:type="dxa"/>
            <w:noWrap/>
          </w:tcPr>
          <w:p>
            <w:pPr>
              <w:spacing w:line="400" w:lineRule="exact"/>
              <w:jc w:val="center"/>
              <w:rPr>
                <w:rFonts w:ascii="宋体" w:hAnsi="宋体"/>
                <w:color w:val="auto"/>
                <w:szCs w:val="21"/>
                <w:highlight w:val="none"/>
              </w:rPr>
            </w:pPr>
          </w:p>
        </w:tc>
        <w:tc>
          <w:tcPr>
            <w:tcW w:w="2280" w:type="dxa"/>
            <w:noWrap/>
            <w:vAlign w:val="center"/>
          </w:tcPr>
          <w:p>
            <w:pPr>
              <w:spacing w:line="400" w:lineRule="exact"/>
              <w:jc w:val="center"/>
              <w:rPr>
                <w:rFonts w:ascii="宋体" w:hAnsi="宋体"/>
                <w:color w:val="auto"/>
                <w:szCs w:val="21"/>
                <w:highlight w:val="none"/>
              </w:rPr>
            </w:pPr>
          </w:p>
        </w:tc>
        <w:tc>
          <w:tcPr>
            <w:tcW w:w="1000" w:type="dxa"/>
            <w:noWrap/>
            <w:vAlign w:val="center"/>
          </w:tcPr>
          <w:p>
            <w:pPr>
              <w:spacing w:line="400" w:lineRule="exact"/>
              <w:jc w:val="center"/>
              <w:rPr>
                <w:rFonts w:ascii="宋体" w:hAnsi="宋体"/>
                <w:color w:val="auto"/>
                <w:szCs w:val="21"/>
                <w:highlight w:val="none"/>
              </w:rPr>
            </w:pPr>
          </w:p>
        </w:tc>
        <w:tc>
          <w:tcPr>
            <w:tcW w:w="945" w:type="dxa"/>
            <w:noWrap/>
            <w:vAlign w:val="center"/>
          </w:tcPr>
          <w:p>
            <w:pPr>
              <w:spacing w:line="400" w:lineRule="exact"/>
              <w:jc w:val="center"/>
              <w:rPr>
                <w:rFonts w:ascii="宋体" w:hAnsi="宋体"/>
                <w:color w:val="auto"/>
                <w:szCs w:val="21"/>
                <w:highlight w:val="none"/>
              </w:rPr>
            </w:pPr>
          </w:p>
        </w:tc>
        <w:tc>
          <w:tcPr>
            <w:tcW w:w="1170" w:type="dxa"/>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33" w:type="dxa"/>
            <w:noWrap/>
            <w:vAlign w:val="center"/>
          </w:tcPr>
          <w:p>
            <w:pPr>
              <w:spacing w:line="400" w:lineRule="exact"/>
              <w:jc w:val="center"/>
              <w:rPr>
                <w:rFonts w:ascii="宋体" w:hAnsi="宋体"/>
                <w:bCs/>
                <w:color w:val="auto"/>
                <w:szCs w:val="21"/>
                <w:highlight w:val="none"/>
              </w:rPr>
            </w:pPr>
          </w:p>
        </w:tc>
        <w:tc>
          <w:tcPr>
            <w:tcW w:w="2000" w:type="dxa"/>
            <w:noWrap/>
            <w:vAlign w:val="center"/>
          </w:tcPr>
          <w:p>
            <w:pPr>
              <w:spacing w:line="400" w:lineRule="exact"/>
              <w:jc w:val="center"/>
              <w:rPr>
                <w:rFonts w:ascii="宋体" w:hAnsi="宋体"/>
                <w:bCs/>
                <w:color w:val="auto"/>
                <w:szCs w:val="21"/>
                <w:highlight w:val="none"/>
              </w:rPr>
            </w:pPr>
          </w:p>
        </w:tc>
        <w:tc>
          <w:tcPr>
            <w:tcW w:w="1809" w:type="dxa"/>
            <w:noWrap/>
          </w:tcPr>
          <w:p>
            <w:pPr>
              <w:spacing w:line="400" w:lineRule="exact"/>
              <w:jc w:val="center"/>
              <w:rPr>
                <w:rFonts w:ascii="宋体" w:hAnsi="宋体"/>
                <w:color w:val="auto"/>
                <w:szCs w:val="21"/>
                <w:highlight w:val="none"/>
              </w:rPr>
            </w:pPr>
          </w:p>
        </w:tc>
        <w:tc>
          <w:tcPr>
            <w:tcW w:w="2280" w:type="dxa"/>
            <w:noWrap/>
            <w:vAlign w:val="center"/>
          </w:tcPr>
          <w:p>
            <w:pPr>
              <w:spacing w:line="400" w:lineRule="exact"/>
              <w:jc w:val="center"/>
              <w:rPr>
                <w:rFonts w:ascii="宋体" w:hAnsi="宋体"/>
                <w:color w:val="auto"/>
                <w:szCs w:val="21"/>
                <w:highlight w:val="none"/>
              </w:rPr>
            </w:pPr>
          </w:p>
        </w:tc>
        <w:tc>
          <w:tcPr>
            <w:tcW w:w="1000" w:type="dxa"/>
            <w:noWrap/>
            <w:vAlign w:val="center"/>
          </w:tcPr>
          <w:p>
            <w:pPr>
              <w:spacing w:line="400" w:lineRule="exact"/>
              <w:jc w:val="center"/>
              <w:rPr>
                <w:rFonts w:ascii="宋体" w:hAnsi="宋体"/>
                <w:color w:val="auto"/>
                <w:szCs w:val="21"/>
                <w:highlight w:val="none"/>
              </w:rPr>
            </w:pPr>
          </w:p>
        </w:tc>
        <w:tc>
          <w:tcPr>
            <w:tcW w:w="945" w:type="dxa"/>
            <w:noWrap/>
            <w:vAlign w:val="center"/>
          </w:tcPr>
          <w:p>
            <w:pPr>
              <w:spacing w:line="400" w:lineRule="exact"/>
              <w:jc w:val="center"/>
              <w:rPr>
                <w:rFonts w:ascii="宋体" w:hAnsi="宋体"/>
                <w:color w:val="auto"/>
                <w:szCs w:val="21"/>
                <w:highlight w:val="none"/>
              </w:rPr>
            </w:pPr>
          </w:p>
        </w:tc>
        <w:tc>
          <w:tcPr>
            <w:tcW w:w="1170" w:type="dxa"/>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33" w:type="dxa"/>
            <w:noWrap/>
            <w:vAlign w:val="center"/>
          </w:tcPr>
          <w:p>
            <w:pPr>
              <w:spacing w:line="400" w:lineRule="exact"/>
              <w:jc w:val="center"/>
              <w:rPr>
                <w:rFonts w:ascii="宋体" w:hAnsi="宋体"/>
                <w:bCs/>
                <w:color w:val="auto"/>
                <w:szCs w:val="21"/>
                <w:highlight w:val="none"/>
              </w:rPr>
            </w:pPr>
          </w:p>
        </w:tc>
        <w:tc>
          <w:tcPr>
            <w:tcW w:w="2000" w:type="dxa"/>
            <w:noWrap/>
            <w:vAlign w:val="center"/>
          </w:tcPr>
          <w:p>
            <w:pPr>
              <w:spacing w:line="400" w:lineRule="exact"/>
              <w:jc w:val="center"/>
              <w:rPr>
                <w:rFonts w:ascii="宋体" w:hAnsi="宋体"/>
                <w:bCs/>
                <w:color w:val="auto"/>
                <w:szCs w:val="21"/>
                <w:highlight w:val="none"/>
              </w:rPr>
            </w:pPr>
          </w:p>
        </w:tc>
        <w:tc>
          <w:tcPr>
            <w:tcW w:w="1809" w:type="dxa"/>
            <w:noWrap/>
          </w:tcPr>
          <w:p>
            <w:pPr>
              <w:spacing w:line="400" w:lineRule="exact"/>
              <w:jc w:val="center"/>
              <w:rPr>
                <w:rFonts w:ascii="宋体" w:hAnsi="宋体"/>
                <w:color w:val="auto"/>
                <w:szCs w:val="21"/>
                <w:highlight w:val="none"/>
              </w:rPr>
            </w:pPr>
          </w:p>
        </w:tc>
        <w:tc>
          <w:tcPr>
            <w:tcW w:w="2280" w:type="dxa"/>
            <w:noWrap/>
            <w:vAlign w:val="center"/>
          </w:tcPr>
          <w:p>
            <w:pPr>
              <w:spacing w:line="400" w:lineRule="exact"/>
              <w:jc w:val="center"/>
              <w:rPr>
                <w:rFonts w:ascii="宋体" w:hAnsi="宋体"/>
                <w:color w:val="auto"/>
                <w:szCs w:val="21"/>
                <w:highlight w:val="none"/>
              </w:rPr>
            </w:pPr>
          </w:p>
        </w:tc>
        <w:tc>
          <w:tcPr>
            <w:tcW w:w="1000" w:type="dxa"/>
            <w:noWrap/>
            <w:vAlign w:val="center"/>
          </w:tcPr>
          <w:p>
            <w:pPr>
              <w:spacing w:line="400" w:lineRule="exact"/>
              <w:jc w:val="center"/>
              <w:rPr>
                <w:rFonts w:ascii="宋体" w:hAnsi="宋体"/>
                <w:color w:val="auto"/>
                <w:szCs w:val="21"/>
                <w:highlight w:val="none"/>
              </w:rPr>
            </w:pPr>
          </w:p>
        </w:tc>
        <w:tc>
          <w:tcPr>
            <w:tcW w:w="945" w:type="dxa"/>
            <w:noWrap/>
            <w:vAlign w:val="center"/>
          </w:tcPr>
          <w:p>
            <w:pPr>
              <w:spacing w:line="400" w:lineRule="exact"/>
              <w:jc w:val="center"/>
              <w:rPr>
                <w:rFonts w:ascii="宋体" w:hAnsi="宋体"/>
                <w:color w:val="auto"/>
                <w:szCs w:val="21"/>
                <w:highlight w:val="none"/>
              </w:rPr>
            </w:pPr>
          </w:p>
        </w:tc>
        <w:tc>
          <w:tcPr>
            <w:tcW w:w="1170" w:type="dxa"/>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33" w:type="dxa"/>
            <w:noWrap/>
            <w:vAlign w:val="center"/>
          </w:tcPr>
          <w:p>
            <w:pPr>
              <w:spacing w:line="400" w:lineRule="exact"/>
              <w:jc w:val="center"/>
              <w:rPr>
                <w:rFonts w:ascii="宋体" w:hAnsi="宋体"/>
                <w:bCs/>
                <w:color w:val="auto"/>
                <w:szCs w:val="21"/>
                <w:highlight w:val="none"/>
              </w:rPr>
            </w:pPr>
          </w:p>
        </w:tc>
        <w:tc>
          <w:tcPr>
            <w:tcW w:w="2000" w:type="dxa"/>
            <w:noWrap/>
            <w:vAlign w:val="center"/>
          </w:tcPr>
          <w:p>
            <w:pPr>
              <w:spacing w:line="400" w:lineRule="exact"/>
              <w:jc w:val="center"/>
              <w:rPr>
                <w:rFonts w:ascii="宋体" w:hAnsi="宋体"/>
                <w:bCs/>
                <w:color w:val="auto"/>
                <w:szCs w:val="21"/>
                <w:highlight w:val="none"/>
              </w:rPr>
            </w:pPr>
          </w:p>
        </w:tc>
        <w:tc>
          <w:tcPr>
            <w:tcW w:w="1809" w:type="dxa"/>
            <w:noWrap/>
          </w:tcPr>
          <w:p>
            <w:pPr>
              <w:spacing w:line="400" w:lineRule="exact"/>
              <w:jc w:val="center"/>
              <w:rPr>
                <w:rFonts w:ascii="宋体" w:hAnsi="宋体"/>
                <w:color w:val="auto"/>
                <w:szCs w:val="21"/>
                <w:highlight w:val="none"/>
              </w:rPr>
            </w:pPr>
          </w:p>
        </w:tc>
        <w:tc>
          <w:tcPr>
            <w:tcW w:w="2280" w:type="dxa"/>
            <w:noWrap/>
            <w:vAlign w:val="center"/>
          </w:tcPr>
          <w:p>
            <w:pPr>
              <w:spacing w:line="400" w:lineRule="exact"/>
              <w:jc w:val="center"/>
              <w:rPr>
                <w:rFonts w:ascii="宋体" w:hAnsi="宋体"/>
                <w:color w:val="auto"/>
                <w:szCs w:val="21"/>
                <w:highlight w:val="none"/>
              </w:rPr>
            </w:pPr>
          </w:p>
        </w:tc>
        <w:tc>
          <w:tcPr>
            <w:tcW w:w="1000" w:type="dxa"/>
            <w:noWrap/>
            <w:vAlign w:val="center"/>
          </w:tcPr>
          <w:p>
            <w:pPr>
              <w:spacing w:line="400" w:lineRule="exact"/>
              <w:jc w:val="center"/>
              <w:rPr>
                <w:rFonts w:ascii="宋体" w:hAnsi="宋体"/>
                <w:color w:val="auto"/>
                <w:szCs w:val="21"/>
                <w:highlight w:val="none"/>
              </w:rPr>
            </w:pPr>
          </w:p>
        </w:tc>
        <w:tc>
          <w:tcPr>
            <w:tcW w:w="945" w:type="dxa"/>
            <w:noWrap/>
            <w:vAlign w:val="center"/>
          </w:tcPr>
          <w:p>
            <w:pPr>
              <w:spacing w:line="400" w:lineRule="exact"/>
              <w:jc w:val="center"/>
              <w:rPr>
                <w:rFonts w:ascii="宋体" w:hAnsi="宋体"/>
                <w:color w:val="auto"/>
                <w:szCs w:val="21"/>
                <w:highlight w:val="none"/>
              </w:rPr>
            </w:pPr>
          </w:p>
        </w:tc>
        <w:tc>
          <w:tcPr>
            <w:tcW w:w="1170" w:type="dxa"/>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33" w:type="dxa"/>
            <w:noWrap/>
            <w:vAlign w:val="center"/>
          </w:tcPr>
          <w:p>
            <w:pPr>
              <w:spacing w:line="400" w:lineRule="exact"/>
              <w:jc w:val="center"/>
              <w:rPr>
                <w:rFonts w:ascii="宋体" w:hAnsi="宋体"/>
                <w:bCs/>
                <w:color w:val="auto"/>
                <w:szCs w:val="21"/>
                <w:highlight w:val="none"/>
              </w:rPr>
            </w:pPr>
          </w:p>
        </w:tc>
        <w:tc>
          <w:tcPr>
            <w:tcW w:w="2000" w:type="dxa"/>
            <w:noWrap/>
            <w:vAlign w:val="center"/>
          </w:tcPr>
          <w:p>
            <w:pPr>
              <w:spacing w:line="400" w:lineRule="exact"/>
              <w:jc w:val="center"/>
              <w:rPr>
                <w:rFonts w:ascii="宋体" w:hAnsi="宋体"/>
                <w:bCs/>
                <w:color w:val="auto"/>
                <w:szCs w:val="21"/>
                <w:highlight w:val="none"/>
              </w:rPr>
            </w:pPr>
          </w:p>
        </w:tc>
        <w:tc>
          <w:tcPr>
            <w:tcW w:w="1809" w:type="dxa"/>
            <w:noWrap/>
          </w:tcPr>
          <w:p>
            <w:pPr>
              <w:spacing w:line="400" w:lineRule="exact"/>
              <w:jc w:val="center"/>
              <w:rPr>
                <w:rFonts w:ascii="宋体" w:hAnsi="宋体"/>
                <w:color w:val="auto"/>
                <w:szCs w:val="21"/>
                <w:highlight w:val="none"/>
              </w:rPr>
            </w:pPr>
          </w:p>
        </w:tc>
        <w:tc>
          <w:tcPr>
            <w:tcW w:w="2280" w:type="dxa"/>
            <w:noWrap/>
            <w:vAlign w:val="center"/>
          </w:tcPr>
          <w:p>
            <w:pPr>
              <w:spacing w:line="400" w:lineRule="exact"/>
              <w:jc w:val="center"/>
              <w:rPr>
                <w:rFonts w:ascii="宋体" w:hAnsi="宋体"/>
                <w:color w:val="auto"/>
                <w:szCs w:val="21"/>
                <w:highlight w:val="none"/>
              </w:rPr>
            </w:pPr>
          </w:p>
        </w:tc>
        <w:tc>
          <w:tcPr>
            <w:tcW w:w="1000" w:type="dxa"/>
            <w:noWrap/>
            <w:vAlign w:val="center"/>
          </w:tcPr>
          <w:p>
            <w:pPr>
              <w:spacing w:line="400" w:lineRule="exact"/>
              <w:jc w:val="center"/>
              <w:rPr>
                <w:rFonts w:ascii="宋体" w:hAnsi="宋体"/>
                <w:color w:val="auto"/>
                <w:szCs w:val="21"/>
                <w:highlight w:val="none"/>
              </w:rPr>
            </w:pPr>
          </w:p>
        </w:tc>
        <w:tc>
          <w:tcPr>
            <w:tcW w:w="945" w:type="dxa"/>
            <w:noWrap/>
            <w:vAlign w:val="center"/>
          </w:tcPr>
          <w:p>
            <w:pPr>
              <w:spacing w:line="400" w:lineRule="exact"/>
              <w:jc w:val="center"/>
              <w:rPr>
                <w:rFonts w:ascii="宋体" w:hAnsi="宋体"/>
                <w:color w:val="auto"/>
                <w:szCs w:val="21"/>
                <w:highlight w:val="none"/>
              </w:rPr>
            </w:pPr>
          </w:p>
        </w:tc>
        <w:tc>
          <w:tcPr>
            <w:tcW w:w="1170" w:type="dxa"/>
            <w:noWrap/>
            <w:vAlign w:val="center"/>
          </w:tcPr>
          <w:p>
            <w:pPr>
              <w:spacing w:line="400" w:lineRule="exact"/>
              <w:jc w:val="center"/>
              <w:rPr>
                <w:rFonts w:ascii="宋体" w:hAnsi="宋体"/>
                <w:color w:val="auto"/>
                <w:szCs w:val="21"/>
                <w:highlight w:val="none"/>
              </w:rPr>
            </w:pPr>
          </w:p>
        </w:tc>
      </w:tr>
    </w:tbl>
    <w:p>
      <w:pPr>
        <w:spacing w:line="400" w:lineRule="exact"/>
        <w:jc w:val="left"/>
        <w:rPr>
          <w:rFonts w:ascii="宋体" w:hAnsi="宋体"/>
          <w:color w:val="auto"/>
          <w:szCs w:val="21"/>
          <w:highlight w:val="none"/>
        </w:rPr>
      </w:pPr>
      <w:r>
        <w:rPr>
          <w:rFonts w:hint="eastAsia" w:ascii="宋体" w:hAnsi="宋体"/>
          <w:b/>
          <w:color w:val="auto"/>
          <w:szCs w:val="21"/>
          <w:highlight w:val="none"/>
        </w:rPr>
        <w:t>备注：</w:t>
      </w:r>
      <w:r>
        <w:rPr>
          <w:rFonts w:hint="eastAsia" w:ascii="宋体" w:hAnsi="宋体" w:cs="宋体"/>
          <w:bCs/>
          <w:color w:val="auto"/>
          <w:highlight w:val="none"/>
        </w:rPr>
        <w:t>后附身份证复印件、资格证书或上岗证书复印件等资料加盖供应商公章</w:t>
      </w:r>
      <w:r>
        <w:rPr>
          <w:rFonts w:hint="eastAsia" w:ascii="宋体" w:hAnsi="宋体"/>
          <w:bCs/>
          <w:color w:val="auto"/>
          <w:szCs w:val="21"/>
          <w:highlight w:val="none"/>
        </w:rPr>
        <w:t>。</w:t>
      </w:r>
    </w:p>
    <w:p>
      <w:pPr>
        <w:spacing w:line="400" w:lineRule="exact"/>
        <w:jc w:val="left"/>
        <w:rPr>
          <w:rFonts w:ascii="宋体" w:hAnsi="宋体"/>
          <w:color w:val="auto"/>
          <w:szCs w:val="21"/>
          <w:highlight w:val="none"/>
        </w:rPr>
      </w:pPr>
    </w:p>
    <w:p>
      <w:pPr>
        <w:spacing w:line="400" w:lineRule="exact"/>
        <w:jc w:val="left"/>
        <w:rPr>
          <w:rFonts w:ascii="宋体" w:hAnsi="宋体"/>
          <w:color w:val="auto"/>
          <w:szCs w:val="21"/>
          <w:highlight w:val="none"/>
        </w:rPr>
      </w:pPr>
    </w:p>
    <w:p>
      <w:pPr>
        <w:spacing w:line="400" w:lineRule="exact"/>
        <w:jc w:val="left"/>
        <w:rPr>
          <w:rFonts w:ascii="宋体" w:hAnsi="宋体"/>
          <w:color w:val="auto"/>
          <w:szCs w:val="21"/>
          <w:highlight w:val="none"/>
        </w:rPr>
      </w:pPr>
      <w:r>
        <w:rPr>
          <w:rFonts w:hint="eastAsia" w:ascii="宋体" w:hAnsi="宋体"/>
          <w:color w:val="auto"/>
          <w:szCs w:val="21"/>
          <w:highlight w:val="none"/>
        </w:rPr>
        <w:t>供应商（盖章）：</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u w:val="single"/>
        </w:rPr>
      </w:pPr>
      <w:r>
        <w:rPr>
          <w:rFonts w:hint="eastAsia" w:ascii="宋体" w:hAnsi="宋体"/>
          <w:color w:val="auto"/>
          <w:szCs w:val="21"/>
          <w:highlight w:val="none"/>
        </w:rPr>
        <w:t>日            期：</w:t>
      </w:r>
    </w:p>
    <w:p>
      <w:pPr>
        <w:spacing w:line="400" w:lineRule="exact"/>
        <w:jc w:val="left"/>
        <w:rPr>
          <w:rFonts w:ascii="宋体" w:hAnsi="宋体"/>
          <w:color w:val="auto"/>
          <w:szCs w:val="21"/>
          <w:highlight w:val="none"/>
          <w:u w:val="single"/>
        </w:rPr>
      </w:pPr>
    </w:p>
    <w:p>
      <w:pPr>
        <w:spacing w:line="400" w:lineRule="exact"/>
        <w:rPr>
          <w:rFonts w:ascii="宋体" w:hAnsi="宋体"/>
          <w:color w:val="auto"/>
          <w:szCs w:val="21"/>
          <w:highlight w:val="none"/>
          <w:u w:val="single"/>
        </w:rPr>
      </w:pPr>
    </w:p>
    <w:p>
      <w:pPr>
        <w:spacing w:line="400" w:lineRule="exact"/>
        <w:jc w:val="center"/>
        <w:rPr>
          <w:rFonts w:ascii="宋体"/>
          <w:b/>
          <w:bCs/>
          <w:color w:val="auto"/>
          <w:spacing w:val="20"/>
          <w:highlight w:val="none"/>
        </w:rPr>
      </w:pPr>
      <w:r>
        <w:rPr>
          <w:rFonts w:hint="eastAsia" w:ascii="宋体" w:hAnsi="宋体"/>
          <w:b/>
          <w:color w:val="auto"/>
          <w:highlight w:val="none"/>
        </w:rPr>
        <w:br w:type="page"/>
      </w:r>
      <w:r>
        <w:rPr>
          <w:rFonts w:hint="eastAsia" w:ascii="宋体" w:hAnsi="宋体" w:cs="宋体"/>
          <w:b/>
          <w:bCs/>
          <w:color w:val="auto"/>
          <w:spacing w:val="20"/>
          <w:highlight w:val="none"/>
        </w:rPr>
        <w:t>拟派驻本项目的项目经理简历表</w:t>
      </w:r>
    </w:p>
    <w:p>
      <w:pPr>
        <w:spacing w:line="400" w:lineRule="exact"/>
        <w:ind w:left="540"/>
        <w:jc w:val="center"/>
        <w:rPr>
          <w:rFonts w:ascii="宋体"/>
          <w:b/>
          <w:bCs/>
          <w:color w:val="auto"/>
          <w:highlight w:val="none"/>
        </w:rPr>
      </w:pPr>
    </w:p>
    <w:p>
      <w:pPr>
        <w:adjustRightInd w:val="0"/>
        <w:snapToGrid w:val="0"/>
        <w:spacing w:line="400" w:lineRule="exact"/>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u w:val="single"/>
          <w:lang w:eastAsia="zh-CN"/>
        </w:rPr>
        <w:t>宁波大学附属第一医院外滩院区安保服务（含停车场保安）项目</w:t>
      </w:r>
    </w:p>
    <w:p>
      <w:pPr>
        <w:adjustRightInd w:val="0"/>
        <w:snapToGrid w:val="0"/>
        <w:spacing w:line="400" w:lineRule="exact"/>
        <w:rPr>
          <w:rFonts w:ascii="宋体" w:hAnsi="宋体"/>
          <w:color w:val="auto"/>
          <w:szCs w:val="21"/>
          <w:highlight w:val="none"/>
          <w:u w:val="single"/>
        </w:rPr>
      </w:pPr>
      <w:r>
        <w:rPr>
          <w:rFonts w:hint="eastAsia" w:ascii="宋体" w:hAnsi="宋体"/>
          <w:color w:val="auto"/>
          <w:szCs w:val="21"/>
          <w:highlight w:val="none"/>
        </w:rPr>
        <w:t>项目编号：</w:t>
      </w:r>
      <w:r>
        <w:rPr>
          <w:rFonts w:hint="eastAsia" w:ascii="宋体" w:hAnsi="宋体"/>
          <w:color w:val="auto"/>
          <w:szCs w:val="21"/>
          <w:highlight w:val="none"/>
          <w:u w:val="single"/>
        </w:rPr>
        <w:t>NBITC-202311410G</w:t>
      </w:r>
    </w:p>
    <w:p>
      <w:pPr>
        <w:pStyle w:val="3"/>
        <w:rPr>
          <w:color w:val="auto"/>
          <w:highlight w:val="none"/>
        </w:rPr>
      </w:pPr>
      <w:r>
        <w:rPr>
          <w:rFonts w:hint="eastAsia"/>
          <w:color w:val="auto"/>
          <w:szCs w:val="21"/>
          <w:highlight w:val="none"/>
        </w:rPr>
        <w:t>标项号：</w:t>
      </w:r>
    </w:p>
    <w:tbl>
      <w:tblPr>
        <w:tblStyle w:val="50"/>
        <w:tblW w:w="9311" w:type="dxa"/>
        <w:tblInd w:w="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2631"/>
        <w:gridCol w:w="2418"/>
        <w:gridCol w:w="290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vMerge w:val="restart"/>
            <w:tcBorders>
              <w:top w:val="double" w:color="auto" w:sz="4" w:space="0"/>
              <w:left w:val="single" w:color="auto" w:sz="4" w:space="0"/>
            </w:tcBorders>
            <w:noWrap/>
            <w:vAlign w:val="center"/>
          </w:tcPr>
          <w:p>
            <w:pPr>
              <w:spacing w:line="400" w:lineRule="exact"/>
              <w:jc w:val="center"/>
              <w:rPr>
                <w:rFonts w:ascii="宋体"/>
                <w:color w:val="auto"/>
                <w:highlight w:val="none"/>
              </w:rPr>
            </w:pPr>
            <w:r>
              <w:rPr>
                <w:rFonts w:hint="eastAsia" w:ascii="宋体" w:hAnsi="宋体" w:cs="宋体"/>
                <w:color w:val="auto"/>
                <w:highlight w:val="none"/>
              </w:rPr>
              <w:t>人员资料</w:t>
            </w:r>
          </w:p>
        </w:tc>
        <w:tc>
          <w:tcPr>
            <w:tcW w:w="2631" w:type="dxa"/>
            <w:tcBorders>
              <w:top w:val="double" w:color="auto" w:sz="4" w:space="0"/>
            </w:tcBorders>
            <w:noWrap/>
            <w:vAlign w:val="center"/>
          </w:tcPr>
          <w:p>
            <w:pPr>
              <w:spacing w:line="400" w:lineRule="exact"/>
              <w:rPr>
                <w:rFonts w:ascii="宋体"/>
                <w:color w:val="auto"/>
                <w:highlight w:val="none"/>
              </w:rPr>
            </w:pPr>
            <w:r>
              <w:rPr>
                <w:rFonts w:hint="eastAsia" w:ascii="宋体" w:hAnsi="宋体" w:cs="宋体"/>
                <w:color w:val="auto"/>
                <w:highlight w:val="none"/>
              </w:rPr>
              <w:t>姓名：</w:t>
            </w:r>
          </w:p>
        </w:tc>
        <w:tc>
          <w:tcPr>
            <w:tcW w:w="2418" w:type="dxa"/>
            <w:tcBorders>
              <w:top w:val="double" w:color="auto" w:sz="4" w:space="0"/>
            </w:tcBorders>
            <w:noWrap/>
            <w:vAlign w:val="center"/>
          </w:tcPr>
          <w:p>
            <w:pPr>
              <w:spacing w:line="400" w:lineRule="exact"/>
              <w:rPr>
                <w:rFonts w:ascii="宋体"/>
                <w:color w:val="auto"/>
                <w:highlight w:val="none"/>
              </w:rPr>
            </w:pPr>
            <w:r>
              <w:rPr>
                <w:rFonts w:hint="eastAsia" w:ascii="宋体" w:hAnsi="宋体" w:cs="宋体"/>
                <w:color w:val="auto"/>
                <w:highlight w:val="none"/>
              </w:rPr>
              <w:t>出生年月：</w:t>
            </w:r>
          </w:p>
        </w:tc>
        <w:tc>
          <w:tcPr>
            <w:tcW w:w="2902" w:type="dxa"/>
            <w:tcBorders>
              <w:top w:val="double" w:color="auto" w:sz="4" w:space="0"/>
              <w:right w:val="single" w:color="auto" w:sz="4" w:space="0"/>
            </w:tcBorders>
            <w:noWrap/>
            <w:vAlign w:val="center"/>
          </w:tcPr>
          <w:p>
            <w:pPr>
              <w:spacing w:line="400" w:lineRule="exact"/>
              <w:rPr>
                <w:rFonts w:ascii="宋体"/>
                <w:color w:val="auto"/>
                <w:highlight w:val="none"/>
              </w:rPr>
            </w:pPr>
            <w:r>
              <w:rPr>
                <w:rFonts w:hint="eastAsia" w:ascii="宋体" w:hAnsi="宋体" w:cs="宋体"/>
                <w:color w:val="auto"/>
                <w:highlight w:val="none"/>
              </w:rPr>
              <w:t>性别：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vMerge w:val="continue"/>
            <w:tcBorders>
              <w:left w:val="single" w:color="auto" w:sz="4" w:space="0"/>
            </w:tcBorders>
            <w:noWrap/>
            <w:vAlign w:val="center"/>
          </w:tcPr>
          <w:p>
            <w:pPr>
              <w:spacing w:line="400" w:lineRule="exact"/>
              <w:jc w:val="center"/>
              <w:rPr>
                <w:rFonts w:ascii="宋体"/>
                <w:color w:val="auto"/>
                <w:highlight w:val="none"/>
              </w:rPr>
            </w:pPr>
          </w:p>
        </w:tc>
        <w:tc>
          <w:tcPr>
            <w:tcW w:w="7951" w:type="dxa"/>
            <w:gridSpan w:val="3"/>
            <w:tcBorders>
              <w:right w:val="single" w:color="auto" w:sz="4" w:space="0"/>
            </w:tcBorders>
            <w:noWrap/>
            <w:vAlign w:val="center"/>
          </w:tcPr>
          <w:p>
            <w:pPr>
              <w:spacing w:line="400" w:lineRule="exact"/>
              <w:rPr>
                <w:rFonts w:ascii="宋体"/>
                <w:color w:val="auto"/>
                <w:highlight w:val="none"/>
              </w:rPr>
            </w:pPr>
            <w:r>
              <w:rPr>
                <w:rFonts w:hint="eastAsia" w:ascii="宋体" w:hAnsi="宋体" w:cs="宋体"/>
                <w:color w:val="auto"/>
                <w:highlight w:val="none"/>
              </w:rPr>
              <w:t>执业或职业资格：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vMerge w:val="continue"/>
            <w:tcBorders>
              <w:left w:val="single" w:color="auto" w:sz="4" w:space="0"/>
            </w:tcBorders>
            <w:noWrap/>
            <w:vAlign w:val="center"/>
          </w:tcPr>
          <w:p>
            <w:pPr>
              <w:spacing w:line="400" w:lineRule="exact"/>
              <w:jc w:val="center"/>
              <w:rPr>
                <w:rFonts w:ascii="宋体"/>
                <w:color w:val="auto"/>
                <w:highlight w:val="none"/>
              </w:rPr>
            </w:pPr>
          </w:p>
        </w:tc>
        <w:tc>
          <w:tcPr>
            <w:tcW w:w="2631" w:type="dxa"/>
            <w:noWrap/>
            <w:vAlign w:val="center"/>
          </w:tcPr>
          <w:p>
            <w:pPr>
              <w:spacing w:line="400" w:lineRule="exact"/>
              <w:rPr>
                <w:rFonts w:ascii="宋体"/>
                <w:color w:val="auto"/>
                <w:highlight w:val="none"/>
              </w:rPr>
            </w:pPr>
            <w:r>
              <w:rPr>
                <w:rFonts w:hint="eastAsia" w:ascii="宋体" w:hAnsi="宋体" w:cs="宋体"/>
                <w:color w:val="auto"/>
                <w:highlight w:val="none"/>
              </w:rPr>
              <w:t>学历：</w:t>
            </w:r>
          </w:p>
        </w:tc>
        <w:tc>
          <w:tcPr>
            <w:tcW w:w="5320" w:type="dxa"/>
            <w:gridSpan w:val="2"/>
            <w:tcBorders>
              <w:right w:val="single" w:color="auto" w:sz="4" w:space="0"/>
            </w:tcBorders>
            <w:noWrap/>
            <w:vAlign w:val="center"/>
          </w:tcPr>
          <w:p>
            <w:pPr>
              <w:spacing w:line="400" w:lineRule="exact"/>
              <w:rPr>
                <w:rFonts w:ascii="宋体"/>
                <w:color w:val="auto"/>
                <w:highlight w:val="none"/>
              </w:rPr>
            </w:pPr>
            <w:r>
              <w:rPr>
                <w:rFonts w:hint="eastAsia" w:ascii="宋体" w:hAnsi="宋体" w:cs="宋体"/>
                <w:color w:val="auto"/>
                <w:highlight w:val="none"/>
              </w:rPr>
              <w:t>职称：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vMerge w:val="continue"/>
            <w:tcBorders>
              <w:left w:val="single" w:color="auto" w:sz="4" w:space="0"/>
            </w:tcBorders>
            <w:noWrap/>
            <w:vAlign w:val="center"/>
          </w:tcPr>
          <w:p>
            <w:pPr>
              <w:spacing w:line="400" w:lineRule="exact"/>
              <w:jc w:val="center"/>
              <w:rPr>
                <w:rFonts w:ascii="宋体"/>
                <w:color w:val="auto"/>
                <w:highlight w:val="none"/>
              </w:rPr>
            </w:pPr>
          </w:p>
        </w:tc>
        <w:tc>
          <w:tcPr>
            <w:tcW w:w="2631" w:type="dxa"/>
            <w:noWrap/>
            <w:vAlign w:val="center"/>
          </w:tcPr>
          <w:p>
            <w:pPr>
              <w:spacing w:line="400" w:lineRule="exact"/>
              <w:rPr>
                <w:rFonts w:ascii="宋体"/>
                <w:color w:val="auto"/>
                <w:highlight w:val="none"/>
              </w:rPr>
            </w:pPr>
            <w:r>
              <w:rPr>
                <w:rFonts w:hint="eastAsia" w:ascii="宋体" w:hAnsi="宋体" w:cs="宋体"/>
                <w:color w:val="auto"/>
                <w:highlight w:val="none"/>
              </w:rPr>
              <w:t>工作年限：</w:t>
            </w:r>
          </w:p>
        </w:tc>
        <w:tc>
          <w:tcPr>
            <w:tcW w:w="5320" w:type="dxa"/>
            <w:gridSpan w:val="2"/>
            <w:tcBorders>
              <w:right w:val="single" w:color="auto" w:sz="4" w:space="0"/>
            </w:tcBorders>
            <w:noWrap/>
            <w:vAlign w:val="center"/>
          </w:tcPr>
          <w:p>
            <w:pPr>
              <w:spacing w:line="400" w:lineRule="exact"/>
              <w:rPr>
                <w:rFonts w:ascii="宋体"/>
                <w:color w:val="auto"/>
                <w:highlight w:val="none"/>
              </w:rPr>
            </w:pPr>
            <w:r>
              <w:rPr>
                <w:rFonts w:hint="eastAsia" w:ascii="宋体" w:hAnsi="宋体" w:cs="宋体"/>
                <w:color w:val="auto"/>
                <w:highlight w:val="none"/>
              </w:rPr>
              <w:t>其他证书情况：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tcBorders>
              <w:left w:val="single" w:color="auto" w:sz="4" w:space="0"/>
            </w:tcBorders>
            <w:noWrap/>
            <w:vAlign w:val="center"/>
          </w:tcPr>
          <w:p>
            <w:pPr>
              <w:spacing w:line="400" w:lineRule="exact"/>
              <w:jc w:val="center"/>
              <w:rPr>
                <w:rFonts w:ascii="宋体"/>
                <w:b/>
                <w:bCs/>
                <w:color w:val="auto"/>
                <w:highlight w:val="none"/>
              </w:rPr>
            </w:pPr>
            <w:r>
              <w:rPr>
                <w:rFonts w:hint="eastAsia" w:ascii="宋体" w:hAnsi="宋体" w:cs="宋体"/>
                <w:b/>
                <w:bCs/>
                <w:color w:val="auto"/>
                <w:highlight w:val="none"/>
              </w:rPr>
              <w:t>自</w:t>
            </w:r>
          </w:p>
        </w:tc>
        <w:tc>
          <w:tcPr>
            <w:tcW w:w="2631" w:type="dxa"/>
            <w:noWrap/>
            <w:vAlign w:val="center"/>
          </w:tcPr>
          <w:p>
            <w:pPr>
              <w:spacing w:line="400" w:lineRule="exact"/>
              <w:jc w:val="center"/>
              <w:rPr>
                <w:rFonts w:ascii="宋体"/>
                <w:b/>
                <w:bCs/>
                <w:color w:val="auto"/>
                <w:highlight w:val="none"/>
              </w:rPr>
            </w:pPr>
            <w:r>
              <w:rPr>
                <w:rFonts w:hint="eastAsia" w:ascii="宋体" w:hAnsi="宋体" w:cs="宋体"/>
                <w:b/>
                <w:bCs/>
                <w:color w:val="auto"/>
                <w:highlight w:val="none"/>
              </w:rPr>
              <w:t>至</w:t>
            </w:r>
          </w:p>
        </w:tc>
        <w:tc>
          <w:tcPr>
            <w:tcW w:w="5320" w:type="dxa"/>
            <w:gridSpan w:val="2"/>
            <w:tcBorders>
              <w:right w:val="single" w:color="auto" w:sz="4" w:space="0"/>
            </w:tcBorders>
            <w:noWrap/>
            <w:vAlign w:val="center"/>
          </w:tcPr>
          <w:p>
            <w:pPr>
              <w:spacing w:line="400" w:lineRule="exact"/>
              <w:jc w:val="center"/>
              <w:rPr>
                <w:rFonts w:ascii="宋体"/>
                <w:b/>
                <w:bCs/>
                <w:color w:val="auto"/>
                <w:highlight w:val="none"/>
              </w:rPr>
            </w:pPr>
            <w:r>
              <w:rPr>
                <w:rFonts w:hint="eastAsia" w:ascii="宋体" w:hAnsi="宋体" w:cs="宋体"/>
                <w:b/>
                <w:bCs/>
                <w:color w:val="auto"/>
                <w:spacing w:val="20"/>
                <w:highlight w:val="none"/>
              </w:rPr>
              <w:t>项目经理</w:t>
            </w:r>
            <w:r>
              <w:rPr>
                <w:rFonts w:hint="eastAsia" w:ascii="宋体" w:hAnsi="宋体" w:cs="宋体"/>
                <w:b/>
                <w:bCs/>
                <w:color w:val="auto"/>
                <w:highlight w:val="none"/>
              </w:rPr>
              <w:t>经验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tcBorders>
              <w:left w:val="single" w:color="auto" w:sz="4" w:space="0"/>
            </w:tcBorders>
            <w:noWrap/>
            <w:vAlign w:val="center"/>
          </w:tcPr>
          <w:p>
            <w:pPr>
              <w:spacing w:line="400" w:lineRule="exact"/>
              <w:ind w:firstLine="315" w:firstLineChars="150"/>
              <w:jc w:val="center"/>
              <w:rPr>
                <w:rFonts w:ascii="宋体"/>
                <w:color w:val="auto"/>
                <w:highlight w:val="none"/>
              </w:rPr>
            </w:pPr>
            <w:r>
              <w:rPr>
                <w:rFonts w:hint="eastAsia" w:ascii="宋体" w:hAnsi="宋体" w:cs="宋体"/>
                <w:color w:val="auto"/>
                <w:highlight w:val="none"/>
              </w:rPr>
              <w:t>年月</w:t>
            </w:r>
          </w:p>
        </w:tc>
        <w:tc>
          <w:tcPr>
            <w:tcW w:w="2631" w:type="dxa"/>
            <w:noWrap/>
            <w:vAlign w:val="center"/>
          </w:tcPr>
          <w:p>
            <w:pPr>
              <w:spacing w:line="400" w:lineRule="exact"/>
              <w:ind w:firstLine="315" w:firstLineChars="150"/>
              <w:jc w:val="center"/>
              <w:rPr>
                <w:rFonts w:ascii="宋体"/>
                <w:color w:val="auto"/>
                <w:highlight w:val="none"/>
              </w:rPr>
            </w:pPr>
            <w:r>
              <w:rPr>
                <w:rFonts w:hint="eastAsia" w:ascii="宋体" w:hAnsi="宋体" w:cs="宋体"/>
                <w:color w:val="auto"/>
                <w:highlight w:val="none"/>
              </w:rPr>
              <w:t>年月</w:t>
            </w:r>
          </w:p>
        </w:tc>
        <w:tc>
          <w:tcPr>
            <w:tcW w:w="5320" w:type="dxa"/>
            <w:gridSpan w:val="2"/>
            <w:tcBorders>
              <w:right w:val="single" w:color="auto" w:sz="4" w:space="0"/>
            </w:tcBorders>
            <w:noWrap/>
            <w:vAlign w:val="center"/>
          </w:tcPr>
          <w:p>
            <w:pPr>
              <w:spacing w:line="400" w:lineRule="exac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tcBorders>
              <w:left w:val="single" w:color="auto" w:sz="4" w:space="0"/>
            </w:tcBorders>
            <w:noWrap/>
            <w:vAlign w:val="center"/>
          </w:tcPr>
          <w:p>
            <w:pPr>
              <w:spacing w:line="400" w:lineRule="exact"/>
              <w:ind w:firstLine="315" w:firstLineChars="150"/>
              <w:jc w:val="center"/>
              <w:rPr>
                <w:rFonts w:ascii="宋体"/>
                <w:color w:val="auto"/>
                <w:highlight w:val="none"/>
              </w:rPr>
            </w:pPr>
            <w:r>
              <w:rPr>
                <w:rFonts w:hint="eastAsia" w:ascii="宋体" w:hAnsi="宋体" w:cs="宋体"/>
                <w:color w:val="auto"/>
                <w:highlight w:val="none"/>
              </w:rPr>
              <w:t>年月</w:t>
            </w:r>
          </w:p>
        </w:tc>
        <w:tc>
          <w:tcPr>
            <w:tcW w:w="2631" w:type="dxa"/>
            <w:noWrap/>
            <w:vAlign w:val="center"/>
          </w:tcPr>
          <w:p>
            <w:pPr>
              <w:spacing w:line="400" w:lineRule="exact"/>
              <w:ind w:firstLine="315" w:firstLineChars="150"/>
              <w:jc w:val="center"/>
              <w:rPr>
                <w:rFonts w:ascii="宋体"/>
                <w:color w:val="auto"/>
                <w:highlight w:val="none"/>
              </w:rPr>
            </w:pPr>
            <w:r>
              <w:rPr>
                <w:rFonts w:hint="eastAsia" w:ascii="宋体" w:hAnsi="宋体" w:cs="宋体"/>
                <w:color w:val="auto"/>
                <w:highlight w:val="none"/>
              </w:rPr>
              <w:t>年月</w:t>
            </w:r>
          </w:p>
        </w:tc>
        <w:tc>
          <w:tcPr>
            <w:tcW w:w="5320" w:type="dxa"/>
            <w:gridSpan w:val="2"/>
            <w:tcBorders>
              <w:right w:val="single" w:color="auto" w:sz="4" w:space="0"/>
            </w:tcBorders>
            <w:noWrap/>
            <w:vAlign w:val="center"/>
          </w:tcPr>
          <w:p>
            <w:pPr>
              <w:spacing w:line="400" w:lineRule="exac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tcBorders>
              <w:left w:val="single" w:color="auto" w:sz="4" w:space="0"/>
            </w:tcBorders>
            <w:noWrap/>
            <w:vAlign w:val="center"/>
          </w:tcPr>
          <w:p>
            <w:pPr>
              <w:spacing w:line="400" w:lineRule="exact"/>
              <w:ind w:firstLine="315" w:firstLineChars="150"/>
              <w:jc w:val="center"/>
              <w:rPr>
                <w:rFonts w:ascii="宋体"/>
                <w:color w:val="auto"/>
                <w:highlight w:val="none"/>
              </w:rPr>
            </w:pPr>
            <w:r>
              <w:rPr>
                <w:rFonts w:hint="eastAsia" w:ascii="宋体" w:hAnsi="宋体" w:cs="宋体"/>
                <w:color w:val="auto"/>
                <w:highlight w:val="none"/>
              </w:rPr>
              <w:t>年月</w:t>
            </w:r>
          </w:p>
        </w:tc>
        <w:tc>
          <w:tcPr>
            <w:tcW w:w="2631" w:type="dxa"/>
            <w:noWrap/>
            <w:vAlign w:val="center"/>
          </w:tcPr>
          <w:p>
            <w:pPr>
              <w:spacing w:line="400" w:lineRule="exact"/>
              <w:ind w:firstLine="315" w:firstLineChars="150"/>
              <w:jc w:val="center"/>
              <w:rPr>
                <w:rFonts w:ascii="宋体"/>
                <w:color w:val="auto"/>
                <w:highlight w:val="none"/>
              </w:rPr>
            </w:pPr>
            <w:r>
              <w:rPr>
                <w:rFonts w:hint="eastAsia" w:ascii="宋体" w:hAnsi="宋体" w:cs="宋体"/>
                <w:color w:val="auto"/>
                <w:highlight w:val="none"/>
              </w:rPr>
              <w:t>年月</w:t>
            </w:r>
          </w:p>
        </w:tc>
        <w:tc>
          <w:tcPr>
            <w:tcW w:w="5320" w:type="dxa"/>
            <w:gridSpan w:val="2"/>
            <w:tcBorders>
              <w:right w:val="single" w:color="auto" w:sz="4" w:space="0"/>
            </w:tcBorders>
            <w:noWrap/>
            <w:vAlign w:val="center"/>
          </w:tcPr>
          <w:p>
            <w:pPr>
              <w:spacing w:line="400" w:lineRule="exac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tcBorders>
              <w:left w:val="single" w:color="auto" w:sz="4" w:space="0"/>
            </w:tcBorders>
            <w:noWrap/>
            <w:vAlign w:val="center"/>
          </w:tcPr>
          <w:p>
            <w:pPr>
              <w:spacing w:line="400" w:lineRule="exact"/>
              <w:ind w:firstLine="315" w:firstLineChars="150"/>
              <w:jc w:val="center"/>
              <w:rPr>
                <w:rFonts w:ascii="宋体"/>
                <w:color w:val="auto"/>
                <w:highlight w:val="none"/>
              </w:rPr>
            </w:pPr>
            <w:r>
              <w:rPr>
                <w:rFonts w:hint="eastAsia" w:ascii="宋体" w:hAnsi="宋体" w:cs="宋体"/>
                <w:color w:val="auto"/>
                <w:highlight w:val="none"/>
              </w:rPr>
              <w:t>年月</w:t>
            </w:r>
          </w:p>
        </w:tc>
        <w:tc>
          <w:tcPr>
            <w:tcW w:w="2631" w:type="dxa"/>
            <w:noWrap/>
            <w:vAlign w:val="center"/>
          </w:tcPr>
          <w:p>
            <w:pPr>
              <w:spacing w:line="400" w:lineRule="exact"/>
              <w:ind w:firstLine="315" w:firstLineChars="150"/>
              <w:jc w:val="center"/>
              <w:rPr>
                <w:rFonts w:ascii="宋体"/>
                <w:color w:val="auto"/>
                <w:highlight w:val="none"/>
              </w:rPr>
            </w:pPr>
            <w:r>
              <w:rPr>
                <w:rFonts w:hint="eastAsia" w:ascii="宋体" w:hAnsi="宋体" w:cs="宋体"/>
                <w:color w:val="auto"/>
                <w:highlight w:val="none"/>
              </w:rPr>
              <w:t>年月</w:t>
            </w:r>
          </w:p>
        </w:tc>
        <w:tc>
          <w:tcPr>
            <w:tcW w:w="5320" w:type="dxa"/>
            <w:gridSpan w:val="2"/>
            <w:tcBorders>
              <w:right w:val="single" w:color="auto" w:sz="4" w:space="0"/>
            </w:tcBorders>
            <w:noWrap/>
            <w:vAlign w:val="center"/>
          </w:tcPr>
          <w:p>
            <w:pPr>
              <w:spacing w:line="400" w:lineRule="exac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tcBorders>
              <w:left w:val="single" w:color="auto" w:sz="4" w:space="0"/>
            </w:tcBorders>
            <w:noWrap/>
            <w:vAlign w:val="center"/>
          </w:tcPr>
          <w:p>
            <w:pPr>
              <w:spacing w:line="400" w:lineRule="exact"/>
              <w:ind w:firstLine="315" w:firstLineChars="150"/>
              <w:jc w:val="center"/>
              <w:rPr>
                <w:rFonts w:ascii="宋体"/>
                <w:color w:val="auto"/>
                <w:highlight w:val="none"/>
              </w:rPr>
            </w:pPr>
            <w:r>
              <w:rPr>
                <w:rFonts w:hint="eastAsia" w:ascii="宋体" w:hAnsi="宋体" w:cs="宋体"/>
                <w:color w:val="auto"/>
                <w:highlight w:val="none"/>
              </w:rPr>
              <w:t>年月</w:t>
            </w:r>
          </w:p>
        </w:tc>
        <w:tc>
          <w:tcPr>
            <w:tcW w:w="2631" w:type="dxa"/>
            <w:noWrap/>
            <w:vAlign w:val="center"/>
          </w:tcPr>
          <w:p>
            <w:pPr>
              <w:spacing w:line="400" w:lineRule="exact"/>
              <w:ind w:firstLine="315" w:firstLineChars="150"/>
              <w:jc w:val="center"/>
              <w:rPr>
                <w:rFonts w:ascii="宋体"/>
                <w:color w:val="auto"/>
                <w:highlight w:val="none"/>
              </w:rPr>
            </w:pPr>
            <w:r>
              <w:rPr>
                <w:rFonts w:hint="eastAsia" w:ascii="宋体" w:hAnsi="宋体" w:cs="宋体"/>
                <w:color w:val="auto"/>
                <w:highlight w:val="none"/>
              </w:rPr>
              <w:t>年月</w:t>
            </w:r>
          </w:p>
        </w:tc>
        <w:tc>
          <w:tcPr>
            <w:tcW w:w="5320" w:type="dxa"/>
            <w:gridSpan w:val="2"/>
            <w:tcBorders>
              <w:right w:val="single" w:color="auto" w:sz="4" w:space="0"/>
            </w:tcBorders>
            <w:noWrap/>
            <w:vAlign w:val="center"/>
          </w:tcPr>
          <w:p>
            <w:pPr>
              <w:spacing w:line="400" w:lineRule="exac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tcBorders>
              <w:left w:val="single" w:color="auto" w:sz="4" w:space="0"/>
              <w:bottom w:val="double" w:color="auto" w:sz="4" w:space="0"/>
            </w:tcBorders>
            <w:noWrap/>
            <w:vAlign w:val="center"/>
          </w:tcPr>
          <w:p>
            <w:pPr>
              <w:spacing w:line="400" w:lineRule="exact"/>
              <w:ind w:firstLine="315" w:firstLineChars="150"/>
              <w:jc w:val="center"/>
              <w:rPr>
                <w:rFonts w:ascii="宋体"/>
                <w:color w:val="auto"/>
                <w:highlight w:val="none"/>
              </w:rPr>
            </w:pPr>
            <w:r>
              <w:rPr>
                <w:rFonts w:hint="eastAsia" w:ascii="宋体" w:hAnsi="宋体" w:cs="宋体"/>
                <w:color w:val="auto"/>
                <w:highlight w:val="none"/>
              </w:rPr>
              <w:t>年月</w:t>
            </w:r>
          </w:p>
        </w:tc>
        <w:tc>
          <w:tcPr>
            <w:tcW w:w="2631" w:type="dxa"/>
            <w:tcBorders>
              <w:bottom w:val="double" w:color="auto" w:sz="4" w:space="0"/>
            </w:tcBorders>
            <w:noWrap/>
            <w:vAlign w:val="center"/>
          </w:tcPr>
          <w:p>
            <w:pPr>
              <w:spacing w:line="400" w:lineRule="exact"/>
              <w:ind w:firstLine="315" w:firstLineChars="150"/>
              <w:jc w:val="center"/>
              <w:rPr>
                <w:rFonts w:ascii="宋体"/>
                <w:color w:val="auto"/>
                <w:highlight w:val="none"/>
              </w:rPr>
            </w:pPr>
            <w:r>
              <w:rPr>
                <w:rFonts w:hint="eastAsia" w:ascii="宋体" w:hAnsi="宋体" w:cs="宋体"/>
                <w:color w:val="auto"/>
                <w:highlight w:val="none"/>
              </w:rPr>
              <w:t>年月</w:t>
            </w:r>
          </w:p>
        </w:tc>
        <w:tc>
          <w:tcPr>
            <w:tcW w:w="5320" w:type="dxa"/>
            <w:gridSpan w:val="2"/>
            <w:tcBorders>
              <w:bottom w:val="double" w:color="auto" w:sz="4" w:space="0"/>
              <w:right w:val="single" w:color="auto" w:sz="4" w:space="0"/>
            </w:tcBorders>
            <w:noWrap/>
            <w:vAlign w:val="center"/>
          </w:tcPr>
          <w:p>
            <w:pPr>
              <w:spacing w:line="400" w:lineRule="exact"/>
              <w:jc w:val="center"/>
              <w:rPr>
                <w:rFonts w:ascii="宋体"/>
                <w:color w:val="auto"/>
                <w:highlight w:val="none"/>
              </w:rPr>
            </w:pPr>
          </w:p>
        </w:tc>
      </w:tr>
    </w:tbl>
    <w:p>
      <w:pPr>
        <w:spacing w:line="400" w:lineRule="exact"/>
        <w:jc w:val="left"/>
        <w:rPr>
          <w:rFonts w:ascii="宋体"/>
          <w:b/>
          <w:bCs/>
          <w:color w:val="auto"/>
          <w:highlight w:val="none"/>
        </w:rPr>
      </w:pPr>
      <w:r>
        <w:rPr>
          <w:rFonts w:hint="eastAsia" w:ascii="宋体" w:hAnsi="宋体" w:cs="宋体"/>
          <w:b/>
          <w:bCs/>
          <w:color w:val="auto"/>
          <w:highlight w:val="none"/>
        </w:rPr>
        <w:t>备注：</w:t>
      </w:r>
    </w:p>
    <w:p>
      <w:pPr>
        <w:spacing w:line="400" w:lineRule="exact"/>
        <w:ind w:firstLine="420"/>
        <w:jc w:val="left"/>
        <w:rPr>
          <w:rFonts w:ascii="宋体"/>
          <w:b/>
          <w:bCs/>
          <w:color w:val="auto"/>
          <w:highlight w:val="none"/>
        </w:rPr>
      </w:pPr>
      <w:r>
        <w:rPr>
          <w:rFonts w:ascii="宋体" w:hAnsi="宋体" w:cs="宋体"/>
          <w:b/>
          <w:bCs/>
          <w:color w:val="auto"/>
          <w:highlight w:val="none"/>
        </w:rPr>
        <w:t>1</w:t>
      </w:r>
      <w:r>
        <w:rPr>
          <w:rFonts w:hint="eastAsia" w:ascii="宋体" w:hAnsi="宋体" w:cs="宋体"/>
          <w:b/>
          <w:bCs/>
          <w:color w:val="auto"/>
          <w:highlight w:val="none"/>
        </w:rPr>
        <w:t>、项目经理一经确认，不得随意更换，如需更换，必须征得采购人同意。擅自更换或不到位属违约行为。</w:t>
      </w:r>
    </w:p>
    <w:p>
      <w:pPr>
        <w:spacing w:line="400" w:lineRule="exact"/>
        <w:ind w:firstLine="420"/>
        <w:jc w:val="left"/>
        <w:rPr>
          <w:rFonts w:ascii="宋体"/>
          <w:color w:val="auto"/>
          <w:spacing w:val="20"/>
          <w:highlight w:val="none"/>
        </w:rPr>
      </w:pPr>
      <w:r>
        <w:rPr>
          <w:rFonts w:ascii="宋体" w:hAnsi="宋体" w:cs="宋体"/>
          <w:b/>
          <w:bCs/>
          <w:color w:val="auto"/>
          <w:highlight w:val="none"/>
        </w:rPr>
        <w:t>2</w:t>
      </w:r>
      <w:r>
        <w:rPr>
          <w:rFonts w:hint="eastAsia" w:ascii="宋体" w:hAnsi="宋体" w:cs="宋体"/>
          <w:b/>
          <w:bCs/>
          <w:color w:val="auto"/>
          <w:highlight w:val="none"/>
        </w:rPr>
        <w:t>、后附身份证复印件、学历证书复印件、资质证书复印件</w:t>
      </w:r>
      <w:r>
        <w:rPr>
          <w:rFonts w:hint="eastAsia" w:ascii="宋体" w:hAnsi="宋体" w:cs="宋体"/>
          <w:b/>
          <w:bCs/>
          <w:color w:val="auto"/>
          <w:highlight w:val="none"/>
          <w:lang w:eastAsia="zh-CN"/>
        </w:rPr>
        <w:t>、</w:t>
      </w:r>
      <w:r>
        <w:rPr>
          <w:rFonts w:hint="eastAsia" w:ascii="宋体" w:hAnsi="宋体" w:cs="宋体"/>
          <w:b/>
          <w:bCs/>
          <w:color w:val="auto"/>
          <w:highlight w:val="none"/>
        </w:rPr>
        <w:t>用户证明书</w:t>
      </w:r>
      <w:r>
        <w:rPr>
          <w:rFonts w:hint="eastAsia" w:ascii="宋体" w:hAnsi="宋体" w:cs="宋体"/>
          <w:b/>
          <w:bCs/>
          <w:color w:val="auto"/>
          <w:highlight w:val="none"/>
          <w:lang w:eastAsia="zh-CN"/>
        </w:rPr>
        <w:t>及其他相关证明</w:t>
      </w:r>
      <w:r>
        <w:rPr>
          <w:rFonts w:hint="eastAsia" w:ascii="宋体" w:hAnsi="宋体" w:cs="宋体"/>
          <w:b/>
          <w:bCs/>
          <w:color w:val="auto"/>
          <w:highlight w:val="none"/>
        </w:rPr>
        <w:t>等资料加盖供应商公章</w:t>
      </w:r>
      <w:r>
        <w:rPr>
          <w:rFonts w:hint="eastAsia" w:ascii="宋体" w:hAnsi="宋体" w:cs="宋体"/>
          <w:b/>
          <w:bCs/>
          <w:color w:val="auto"/>
          <w:kern w:val="0"/>
          <w:highlight w:val="none"/>
        </w:rPr>
        <w:t>及</w:t>
      </w:r>
      <w:r>
        <w:rPr>
          <w:rFonts w:hint="eastAsia" w:ascii="宋体" w:hAnsi="宋体"/>
          <w:b/>
          <w:color w:val="auto"/>
          <w:szCs w:val="21"/>
          <w:highlight w:val="none"/>
        </w:rPr>
        <w:t>2023年06月-2023年08月</w:t>
      </w:r>
      <w:r>
        <w:rPr>
          <w:rFonts w:hint="eastAsia" w:ascii="宋体" w:hAnsi="宋体" w:cs="宋体"/>
          <w:b/>
          <w:bCs/>
          <w:color w:val="auto"/>
          <w:kern w:val="0"/>
          <w:highlight w:val="none"/>
        </w:rPr>
        <w:t>为项目经理缴纳社保的证明资料复印件并加盖供应商公章</w:t>
      </w:r>
      <w:r>
        <w:rPr>
          <w:rFonts w:hint="eastAsia" w:ascii="宋体" w:hAnsi="宋体" w:cs="宋体"/>
          <w:b/>
          <w:bCs/>
          <w:color w:val="auto"/>
          <w:szCs w:val="21"/>
          <w:highlight w:val="none"/>
        </w:rPr>
        <w:t>。</w:t>
      </w:r>
    </w:p>
    <w:p>
      <w:pPr>
        <w:spacing w:line="400" w:lineRule="exact"/>
        <w:jc w:val="left"/>
        <w:rPr>
          <w:rFonts w:ascii="宋体"/>
          <w:color w:val="auto"/>
          <w:highlight w:val="none"/>
        </w:rPr>
      </w:pPr>
    </w:p>
    <w:p>
      <w:pPr>
        <w:spacing w:line="400" w:lineRule="exact"/>
        <w:jc w:val="left"/>
        <w:rPr>
          <w:rFonts w:ascii="宋体"/>
          <w:color w:val="auto"/>
          <w:highlight w:val="none"/>
        </w:rPr>
      </w:pPr>
      <w:r>
        <w:rPr>
          <w:rFonts w:hint="eastAsia" w:ascii="宋体" w:hAnsi="宋体" w:cs="宋体"/>
          <w:color w:val="auto"/>
          <w:highlight w:val="none"/>
        </w:rPr>
        <w:t>供应商（盖章）：</w:t>
      </w:r>
    </w:p>
    <w:p>
      <w:pPr>
        <w:spacing w:line="400" w:lineRule="exact"/>
        <w:rPr>
          <w:rFonts w:ascii="宋体" w:hAnsi="宋体" w:cs="宋体"/>
          <w:color w:val="auto"/>
          <w:highlight w:val="none"/>
        </w:rPr>
      </w:pPr>
    </w:p>
    <w:p>
      <w:pPr>
        <w:spacing w:line="400" w:lineRule="exact"/>
        <w:rPr>
          <w:rFonts w:ascii="宋体"/>
          <w:color w:val="auto"/>
          <w:highlight w:val="none"/>
          <w:u w:val="single"/>
        </w:rPr>
      </w:pPr>
      <w:r>
        <w:rPr>
          <w:rFonts w:hint="eastAsia" w:ascii="宋体" w:hAnsi="宋体" w:cs="宋体"/>
          <w:color w:val="auto"/>
          <w:highlight w:val="none"/>
        </w:rPr>
        <w:t>日期：</w:t>
      </w:r>
    </w:p>
    <w:p>
      <w:pPr>
        <w:spacing w:line="400" w:lineRule="exact"/>
        <w:jc w:val="left"/>
        <w:rPr>
          <w:rFonts w:ascii="宋体"/>
          <w:color w:val="auto"/>
          <w:highlight w:val="none"/>
          <w:u w:val="single"/>
        </w:rPr>
      </w:pPr>
    </w:p>
    <w:p>
      <w:pPr>
        <w:spacing w:line="400" w:lineRule="exact"/>
        <w:ind w:firstLine="420" w:firstLineChars="200"/>
        <w:rPr>
          <w:rFonts w:ascii="宋体"/>
          <w:color w:val="auto"/>
          <w:highlight w:val="none"/>
        </w:rPr>
      </w:pPr>
    </w:p>
    <w:p>
      <w:pPr>
        <w:pStyle w:val="27"/>
        <w:adjustRightInd w:val="0"/>
        <w:snapToGrid w:val="0"/>
        <w:spacing w:line="400" w:lineRule="exact"/>
        <w:jc w:val="center"/>
        <w:rPr>
          <w:b/>
          <w:color w:val="auto"/>
          <w:sz w:val="21"/>
          <w:szCs w:val="21"/>
          <w:highlight w:val="none"/>
        </w:rPr>
      </w:pPr>
      <w:r>
        <w:rPr>
          <w:rFonts w:hint="eastAsia" w:hAnsi="宋体"/>
          <w:b/>
          <w:color w:val="auto"/>
          <w:szCs w:val="21"/>
          <w:highlight w:val="none"/>
        </w:rPr>
        <w:br w:type="page"/>
      </w:r>
      <w:r>
        <w:rPr>
          <w:rFonts w:hint="eastAsia"/>
          <w:b/>
          <w:color w:val="auto"/>
          <w:sz w:val="21"/>
          <w:szCs w:val="21"/>
          <w:highlight w:val="none"/>
        </w:rPr>
        <w:t>用户证明书</w:t>
      </w:r>
    </w:p>
    <w:p>
      <w:pPr>
        <w:spacing w:line="400" w:lineRule="exact"/>
        <w:jc w:val="center"/>
        <w:rPr>
          <w:rFonts w:ascii="宋体" w:hAnsi="宋体"/>
          <w:color w:val="auto"/>
          <w:szCs w:val="21"/>
          <w:highlight w:val="none"/>
          <w:u w:val="single"/>
        </w:rPr>
      </w:pPr>
      <w:r>
        <w:rPr>
          <w:rFonts w:hint="eastAsia" w:ascii="宋体" w:hAnsi="宋体"/>
          <w:color w:val="auto"/>
          <w:szCs w:val="21"/>
          <w:highlight w:val="none"/>
        </w:rPr>
        <w:t>（格式不允许更改）</w:t>
      </w:r>
    </w:p>
    <w:p>
      <w:pPr>
        <w:spacing w:line="400" w:lineRule="exact"/>
        <w:jc w:val="left"/>
        <w:rPr>
          <w:rFonts w:ascii="宋体" w:hAnsi="宋体"/>
          <w:color w:val="auto"/>
          <w:szCs w:val="21"/>
          <w:highlight w:val="none"/>
        </w:rPr>
      </w:pPr>
    </w:p>
    <w:p>
      <w:pPr>
        <w:spacing w:line="400" w:lineRule="exact"/>
        <w:jc w:val="left"/>
        <w:rPr>
          <w:rFonts w:ascii="宋体" w:hAnsi="宋体"/>
          <w:b/>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采购人</w:t>
      </w:r>
    </w:p>
    <w:p>
      <w:pPr>
        <w:spacing w:line="400" w:lineRule="exact"/>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兹证明</w:t>
      </w:r>
      <w:r>
        <w:rPr>
          <w:rFonts w:hint="eastAsia" w:ascii="宋体" w:hAnsi="宋体" w:cs="Arial"/>
          <w:color w:val="auto"/>
          <w:szCs w:val="21"/>
          <w:highlight w:val="none"/>
          <w:u w:val="single"/>
        </w:rPr>
        <w:t xml:space="preserve">      （供应商全称）      </w:t>
      </w:r>
      <w:r>
        <w:rPr>
          <w:rFonts w:hint="eastAsia" w:ascii="宋体" w:hAnsi="宋体" w:cs="Arial"/>
          <w:color w:val="auto"/>
          <w:szCs w:val="21"/>
          <w:highlight w:val="none"/>
        </w:rPr>
        <w:t>于年月日与我单位签订</w:t>
      </w:r>
      <w:r>
        <w:rPr>
          <w:rFonts w:hint="eastAsia" w:ascii="宋体" w:hAnsi="宋体" w:cs="Arial"/>
          <w:color w:val="auto"/>
          <w:szCs w:val="21"/>
          <w:highlight w:val="none"/>
          <w:u w:val="single"/>
        </w:rPr>
        <w:t xml:space="preserve">   （合同名称）   </w:t>
      </w:r>
      <w:r>
        <w:rPr>
          <w:rFonts w:hint="eastAsia" w:ascii="宋体" w:hAnsi="宋体" w:cs="Arial"/>
          <w:color w:val="auto"/>
          <w:szCs w:val="21"/>
          <w:highlight w:val="none"/>
        </w:rPr>
        <w:t>合同，为该合同的项目负责人，合同内容包括，服务时间自年月日至年月日，本单位为非</w:t>
      </w:r>
      <w:r>
        <w:rPr>
          <w:rFonts w:hint="eastAsia" w:ascii="宋体" w:hAnsi="宋体"/>
          <w:color w:val="auto"/>
          <w:szCs w:val="21"/>
          <w:highlight w:val="none"/>
        </w:rPr>
        <w:t>住宅类小区、商务楼、工业园区，</w:t>
      </w:r>
      <w:r>
        <w:rPr>
          <w:rFonts w:hint="eastAsia" w:ascii="宋体" w:hAnsi="宋体" w:cs="Arial"/>
          <w:color w:val="auto"/>
          <w:szCs w:val="21"/>
          <w:highlight w:val="none"/>
        </w:rPr>
        <w:t>目前服务情况</w:t>
      </w:r>
      <w:r>
        <w:rPr>
          <w:rFonts w:hint="eastAsia" w:ascii="宋体" w:hAnsi="宋体" w:cs="Arial"/>
          <w:color w:val="auto"/>
          <w:szCs w:val="21"/>
          <w:highlight w:val="none"/>
          <w:u w:val="single"/>
        </w:rPr>
        <w:t xml:space="preserve">   （良好/一般/差）   </w:t>
      </w:r>
      <w:r>
        <w:rPr>
          <w:rFonts w:hint="eastAsia" w:ascii="宋体" w:hAnsi="宋体" w:cs="Arial"/>
          <w:color w:val="auto"/>
          <w:szCs w:val="21"/>
          <w:highlight w:val="none"/>
        </w:rPr>
        <w:t>。</w:t>
      </w:r>
    </w:p>
    <w:p>
      <w:pPr>
        <w:spacing w:line="400" w:lineRule="exact"/>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特此证明！</w:t>
      </w:r>
    </w:p>
    <w:p>
      <w:pPr>
        <w:spacing w:line="400" w:lineRule="exact"/>
        <w:rPr>
          <w:rFonts w:ascii="宋体" w:hAnsi="宋体" w:cs="Arial"/>
          <w:color w:val="auto"/>
          <w:szCs w:val="21"/>
          <w:highlight w:val="none"/>
        </w:rPr>
      </w:pPr>
    </w:p>
    <w:p>
      <w:pPr>
        <w:spacing w:line="400" w:lineRule="exact"/>
        <w:ind w:firstLine="472" w:firstLineChars="225"/>
        <w:rPr>
          <w:rFonts w:ascii="宋体" w:hAnsi="宋体"/>
          <w:color w:val="auto"/>
          <w:szCs w:val="21"/>
          <w:highlight w:val="none"/>
        </w:rPr>
      </w:pPr>
      <w:r>
        <w:rPr>
          <w:rFonts w:hint="eastAsia" w:ascii="宋体" w:hAnsi="宋体"/>
          <w:color w:val="auto"/>
          <w:szCs w:val="21"/>
          <w:highlight w:val="none"/>
        </w:rPr>
        <w:t>用户单位（盖章）：</w:t>
      </w:r>
    </w:p>
    <w:p>
      <w:pPr>
        <w:spacing w:line="400" w:lineRule="exact"/>
        <w:ind w:firstLine="472" w:firstLineChars="225"/>
        <w:rPr>
          <w:rFonts w:ascii="宋体" w:hAnsi="宋体"/>
          <w:color w:val="auto"/>
          <w:szCs w:val="21"/>
          <w:highlight w:val="none"/>
        </w:rPr>
      </w:pPr>
      <w:r>
        <w:rPr>
          <w:rFonts w:hint="eastAsia" w:ascii="宋体" w:hAnsi="宋体"/>
          <w:color w:val="auto"/>
          <w:szCs w:val="21"/>
          <w:highlight w:val="none"/>
        </w:rPr>
        <w:t>经办人姓名：（签字）</w:t>
      </w:r>
    </w:p>
    <w:p>
      <w:pPr>
        <w:spacing w:line="400" w:lineRule="exact"/>
        <w:ind w:firstLine="472" w:firstLineChars="225"/>
        <w:rPr>
          <w:rFonts w:ascii="宋体" w:hAnsi="宋体"/>
          <w:color w:val="auto"/>
          <w:szCs w:val="21"/>
          <w:highlight w:val="none"/>
        </w:rPr>
      </w:pPr>
      <w:r>
        <w:rPr>
          <w:rFonts w:hint="eastAsia" w:ascii="宋体" w:hAnsi="宋体"/>
          <w:color w:val="auto"/>
          <w:szCs w:val="21"/>
          <w:highlight w:val="none"/>
        </w:rPr>
        <w:t>经办人联系方式：</w:t>
      </w:r>
    </w:p>
    <w:p>
      <w:pPr>
        <w:spacing w:line="400" w:lineRule="exact"/>
        <w:ind w:firstLine="472" w:firstLineChars="225"/>
        <w:rPr>
          <w:rFonts w:ascii="宋体" w:hAnsi="宋体"/>
          <w:color w:val="auto"/>
          <w:szCs w:val="21"/>
          <w:highlight w:val="none"/>
        </w:rPr>
      </w:pPr>
      <w:r>
        <w:rPr>
          <w:rFonts w:hint="eastAsia" w:ascii="宋体" w:hAnsi="宋体"/>
          <w:color w:val="auto"/>
          <w:szCs w:val="21"/>
          <w:highlight w:val="none"/>
        </w:rPr>
        <w:t>日期：</w:t>
      </w:r>
      <w:r>
        <w:rPr>
          <w:rFonts w:ascii="宋体" w:hAnsi="宋体"/>
          <w:color w:val="auto"/>
          <w:szCs w:val="21"/>
          <w:highlight w:val="none"/>
        </w:rPr>
        <w:t>___</w:t>
      </w:r>
      <w:r>
        <w:rPr>
          <w:rFonts w:hint="eastAsia" w:ascii="宋体" w:hAnsi="宋体"/>
          <w:color w:val="auto"/>
          <w:szCs w:val="21"/>
          <w:highlight w:val="none"/>
        </w:rPr>
        <w:t>年</w:t>
      </w:r>
      <w:r>
        <w:rPr>
          <w:rFonts w:ascii="宋体" w:hAnsi="宋体"/>
          <w:color w:val="auto"/>
          <w:szCs w:val="21"/>
          <w:highlight w:val="none"/>
        </w:rPr>
        <w:t>____</w:t>
      </w:r>
      <w:r>
        <w:rPr>
          <w:rFonts w:hint="eastAsia" w:ascii="宋体" w:hAnsi="宋体"/>
          <w:color w:val="auto"/>
          <w:szCs w:val="21"/>
          <w:highlight w:val="none"/>
        </w:rPr>
        <w:t>月</w:t>
      </w:r>
      <w:r>
        <w:rPr>
          <w:rFonts w:ascii="宋体" w:hAnsi="宋体"/>
          <w:color w:val="auto"/>
          <w:szCs w:val="21"/>
          <w:highlight w:val="none"/>
        </w:rPr>
        <w:t>___</w:t>
      </w:r>
      <w:r>
        <w:rPr>
          <w:rFonts w:hint="eastAsia" w:ascii="宋体" w:hAnsi="宋体"/>
          <w:color w:val="auto"/>
          <w:szCs w:val="21"/>
          <w:highlight w:val="none"/>
        </w:rPr>
        <w:t>日</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jc w:val="left"/>
        <w:rPr>
          <w:rFonts w:ascii="宋体" w:hAnsi="宋体"/>
          <w:b/>
          <w:color w:val="auto"/>
          <w:szCs w:val="21"/>
          <w:highlight w:val="none"/>
        </w:rPr>
      </w:pPr>
      <w:r>
        <w:rPr>
          <w:rFonts w:hint="eastAsia" w:ascii="宋体" w:hAnsi="宋体"/>
          <w:b/>
          <w:bCs/>
          <w:color w:val="auto"/>
          <w:szCs w:val="21"/>
          <w:highlight w:val="none"/>
        </w:rPr>
        <w:t>注：合同内容至少应包括保安服务。</w:t>
      </w:r>
    </w:p>
    <w:p>
      <w:pPr>
        <w:spacing w:line="400" w:lineRule="exact"/>
        <w:rPr>
          <w:rFonts w:ascii="宋体" w:hAnsi="宋体"/>
          <w:color w:val="auto"/>
          <w:szCs w:val="21"/>
          <w:highlight w:val="none"/>
        </w:rPr>
      </w:pPr>
    </w:p>
    <w:p>
      <w:pPr>
        <w:spacing w:line="400" w:lineRule="exact"/>
        <w:jc w:val="center"/>
        <w:rPr>
          <w:rFonts w:ascii="宋体" w:hAnsi="宋体"/>
          <w:b/>
          <w:color w:val="auto"/>
          <w:szCs w:val="21"/>
          <w:highlight w:val="none"/>
        </w:rPr>
      </w:pPr>
      <w:r>
        <w:rPr>
          <w:rFonts w:hint="eastAsia" w:ascii="宋体" w:hAnsi="宋体"/>
          <w:b/>
          <w:color w:val="auto"/>
          <w:highlight w:val="none"/>
        </w:rPr>
        <w:br w:type="page"/>
      </w:r>
      <w:r>
        <w:rPr>
          <w:rFonts w:hint="eastAsia" w:ascii="宋体" w:hAnsi="宋体"/>
          <w:b/>
          <w:color w:val="auto"/>
          <w:szCs w:val="21"/>
          <w:highlight w:val="none"/>
        </w:rPr>
        <w:t>体系认证证书</w:t>
      </w:r>
    </w:p>
    <w:tbl>
      <w:tblPr>
        <w:tblStyle w:val="50"/>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967"/>
        <w:gridCol w:w="1657"/>
        <w:gridCol w:w="1622"/>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noWrap/>
            <w:vAlign w:val="center"/>
          </w:tcPr>
          <w:p>
            <w:pPr>
              <w:adjustRightInd w:val="0"/>
              <w:snapToGrid w:val="0"/>
              <w:spacing w:line="40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1800" w:type="dxa"/>
            <w:noWrap/>
            <w:vAlign w:val="center"/>
          </w:tcPr>
          <w:p>
            <w:pPr>
              <w:adjustRightInd w:val="0"/>
              <w:snapToGrid w:val="0"/>
              <w:spacing w:line="400" w:lineRule="exact"/>
              <w:jc w:val="center"/>
              <w:rPr>
                <w:rFonts w:ascii="宋体" w:hAnsi="宋体"/>
                <w:b/>
                <w:color w:val="auto"/>
                <w:szCs w:val="21"/>
                <w:highlight w:val="none"/>
              </w:rPr>
            </w:pPr>
            <w:r>
              <w:rPr>
                <w:rFonts w:hint="eastAsia" w:ascii="宋体" w:hAnsi="宋体"/>
                <w:b/>
                <w:color w:val="auto"/>
                <w:szCs w:val="21"/>
                <w:highlight w:val="none"/>
              </w:rPr>
              <w:t>证书名称</w:t>
            </w:r>
          </w:p>
        </w:tc>
        <w:tc>
          <w:tcPr>
            <w:tcW w:w="1516" w:type="dxa"/>
            <w:noWrap/>
            <w:vAlign w:val="center"/>
          </w:tcPr>
          <w:p>
            <w:pPr>
              <w:adjustRightInd w:val="0"/>
              <w:snapToGrid w:val="0"/>
              <w:spacing w:line="400" w:lineRule="exact"/>
              <w:jc w:val="center"/>
              <w:rPr>
                <w:rFonts w:ascii="宋体" w:hAnsi="宋体"/>
                <w:b/>
                <w:color w:val="auto"/>
                <w:szCs w:val="21"/>
                <w:highlight w:val="none"/>
              </w:rPr>
            </w:pPr>
            <w:r>
              <w:rPr>
                <w:rFonts w:hint="eastAsia" w:ascii="宋体" w:hAnsi="宋体"/>
                <w:b/>
                <w:color w:val="auto"/>
                <w:szCs w:val="21"/>
                <w:highlight w:val="none"/>
              </w:rPr>
              <w:t>颁证机构</w:t>
            </w:r>
          </w:p>
        </w:tc>
        <w:tc>
          <w:tcPr>
            <w:tcW w:w="1484" w:type="dxa"/>
            <w:noWrap/>
            <w:vAlign w:val="center"/>
          </w:tcPr>
          <w:p>
            <w:pPr>
              <w:adjustRightInd w:val="0"/>
              <w:snapToGrid w:val="0"/>
              <w:spacing w:line="400" w:lineRule="exact"/>
              <w:jc w:val="center"/>
              <w:rPr>
                <w:rFonts w:ascii="宋体" w:hAnsi="宋体"/>
                <w:b/>
                <w:color w:val="auto"/>
                <w:szCs w:val="21"/>
                <w:highlight w:val="none"/>
              </w:rPr>
            </w:pPr>
            <w:r>
              <w:rPr>
                <w:rFonts w:hint="eastAsia" w:ascii="宋体" w:hAnsi="宋体"/>
                <w:b/>
                <w:color w:val="auto"/>
                <w:szCs w:val="21"/>
                <w:highlight w:val="none"/>
              </w:rPr>
              <w:t>证书有效期</w:t>
            </w:r>
          </w:p>
          <w:p>
            <w:pPr>
              <w:adjustRightInd w:val="0"/>
              <w:snapToGrid w:val="0"/>
              <w:spacing w:line="400" w:lineRule="exact"/>
              <w:jc w:val="center"/>
              <w:rPr>
                <w:rFonts w:ascii="宋体" w:hAnsi="宋体"/>
                <w:b/>
                <w:color w:val="auto"/>
                <w:szCs w:val="21"/>
                <w:highlight w:val="none"/>
              </w:rPr>
            </w:pPr>
            <w:r>
              <w:rPr>
                <w:rFonts w:hint="eastAsia" w:ascii="宋体" w:hAnsi="宋体"/>
                <w:b/>
                <w:color w:val="auto"/>
                <w:szCs w:val="21"/>
                <w:highlight w:val="none"/>
              </w:rPr>
              <w:t>（起止年月）</w:t>
            </w:r>
          </w:p>
        </w:tc>
        <w:tc>
          <w:tcPr>
            <w:tcW w:w="1560" w:type="dxa"/>
            <w:noWrap/>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证书扫描件所在页码</w:t>
            </w:r>
          </w:p>
        </w:tc>
        <w:tc>
          <w:tcPr>
            <w:tcW w:w="1560" w:type="dxa"/>
            <w:noWrap/>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noWrap/>
            <w:vAlign w:val="center"/>
          </w:tcPr>
          <w:p>
            <w:pPr>
              <w:adjustRightInd w:val="0"/>
              <w:snapToGrid w:val="0"/>
              <w:spacing w:line="400" w:lineRule="exact"/>
              <w:jc w:val="center"/>
              <w:rPr>
                <w:rFonts w:ascii="宋体" w:hAnsi="宋体"/>
                <w:b/>
                <w:color w:val="auto"/>
                <w:szCs w:val="21"/>
                <w:highlight w:val="none"/>
              </w:rPr>
            </w:pPr>
          </w:p>
        </w:tc>
        <w:tc>
          <w:tcPr>
            <w:tcW w:w="1800" w:type="dxa"/>
            <w:noWrap/>
            <w:vAlign w:val="center"/>
          </w:tcPr>
          <w:p>
            <w:pPr>
              <w:adjustRightInd w:val="0"/>
              <w:snapToGrid w:val="0"/>
              <w:spacing w:line="400" w:lineRule="exact"/>
              <w:jc w:val="center"/>
              <w:rPr>
                <w:rFonts w:ascii="宋体" w:hAnsi="宋体"/>
                <w:b/>
                <w:color w:val="auto"/>
                <w:szCs w:val="21"/>
                <w:highlight w:val="none"/>
              </w:rPr>
            </w:pPr>
          </w:p>
        </w:tc>
        <w:tc>
          <w:tcPr>
            <w:tcW w:w="1516" w:type="dxa"/>
            <w:noWrap/>
            <w:vAlign w:val="center"/>
          </w:tcPr>
          <w:p>
            <w:pPr>
              <w:adjustRightInd w:val="0"/>
              <w:snapToGrid w:val="0"/>
              <w:spacing w:line="400" w:lineRule="exact"/>
              <w:jc w:val="center"/>
              <w:rPr>
                <w:rFonts w:ascii="宋体" w:hAnsi="宋体"/>
                <w:b/>
                <w:color w:val="auto"/>
                <w:szCs w:val="21"/>
                <w:highlight w:val="none"/>
              </w:rPr>
            </w:pPr>
          </w:p>
        </w:tc>
        <w:tc>
          <w:tcPr>
            <w:tcW w:w="1484" w:type="dxa"/>
            <w:noWrap/>
            <w:vAlign w:val="center"/>
          </w:tcPr>
          <w:p>
            <w:pPr>
              <w:adjustRightInd w:val="0"/>
              <w:snapToGrid w:val="0"/>
              <w:spacing w:line="400" w:lineRule="exact"/>
              <w:jc w:val="center"/>
              <w:rPr>
                <w:rFonts w:ascii="宋体" w:hAnsi="宋体"/>
                <w:b/>
                <w:color w:val="auto"/>
                <w:szCs w:val="21"/>
                <w:highlight w:val="none"/>
              </w:rPr>
            </w:pPr>
          </w:p>
        </w:tc>
        <w:tc>
          <w:tcPr>
            <w:tcW w:w="1560" w:type="dxa"/>
            <w:noWrap/>
            <w:vAlign w:val="center"/>
          </w:tcPr>
          <w:p>
            <w:pPr>
              <w:adjustRightInd w:val="0"/>
              <w:snapToGrid w:val="0"/>
              <w:spacing w:line="400" w:lineRule="exact"/>
              <w:jc w:val="center"/>
              <w:rPr>
                <w:rFonts w:ascii="宋体" w:hAnsi="宋体"/>
                <w:b/>
                <w:color w:val="auto"/>
                <w:szCs w:val="21"/>
                <w:highlight w:val="none"/>
              </w:rPr>
            </w:pPr>
          </w:p>
        </w:tc>
        <w:tc>
          <w:tcPr>
            <w:tcW w:w="1560" w:type="dxa"/>
            <w:noWrap/>
            <w:vAlign w:val="center"/>
          </w:tcPr>
          <w:p>
            <w:pPr>
              <w:adjustRightInd w:val="0"/>
              <w:snapToGrid w:val="0"/>
              <w:spacing w:line="400" w:lineRule="exact"/>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noWrap/>
            <w:vAlign w:val="center"/>
          </w:tcPr>
          <w:p>
            <w:pPr>
              <w:adjustRightInd w:val="0"/>
              <w:snapToGrid w:val="0"/>
              <w:spacing w:line="400" w:lineRule="exact"/>
              <w:jc w:val="center"/>
              <w:rPr>
                <w:rFonts w:ascii="宋体" w:hAnsi="宋体"/>
                <w:b/>
                <w:color w:val="auto"/>
                <w:szCs w:val="21"/>
                <w:highlight w:val="none"/>
              </w:rPr>
            </w:pPr>
          </w:p>
        </w:tc>
        <w:tc>
          <w:tcPr>
            <w:tcW w:w="1800" w:type="dxa"/>
            <w:noWrap/>
            <w:vAlign w:val="center"/>
          </w:tcPr>
          <w:p>
            <w:pPr>
              <w:adjustRightInd w:val="0"/>
              <w:snapToGrid w:val="0"/>
              <w:spacing w:line="400" w:lineRule="exact"/>
              <w:jc w:val="center"/>
              <w:rPr>
                <w:rFonts w:ascii="宋体" w:hAnsi="宋体"/>
                <w:b/>
                <w:color w:val="auto"/>
                <w:szCs w:val="21"/>
                <w:highlight w:val="none"/>
              </w:rPr>
            </w:pPr>
          </w:p>
        </w:tc>
        <w:tc>
          <w:tcPr>
            <w:tcW w:w="1516" w:type="dxa"/>
            <w:noWrap/>
            <w:vAlign w:val="center"/>
          </w:tcPr>
          <w:p>
            <w:pPr>
              <w:adjustRightInd w:val="0"/>
              <w:snapToGrid w:val="0"/>
              <w:spacing w:line="400" w:lineRule="exact"/>
              <w:jc w:val="center"/>
              <w:rPr>
                <w:rFonts w:ascii="宋体" w:hAnsi="宋体"/>
                <w:b/>
                <w:color w:val="auto"/>
                <w:szCs w:val="21"/>
                <w:highlight w:val="none"/>
              </w:rPr>
            </w:pPr>
          </w:p>
        </w:tc>
        <w:tc>
          <w:tcPr>
            <w:tcW w:w="1484" w:type="dxa"/>
            <w:noWrap/>
            <w:vAlign w:val="center"/>
          </w:tcPr>
          <w:p>
            <w:pPr>
              <w:adjustRightInd w:val="0"/>
              <w:snapToGrid w:val="0"/>
              <w:spacing w:line="400" w:lineRule="exact"/>
              <w:jc w:val="center"/>
              <w:rPr>
                <w:rFonts w:ascii="宋体" w:hAnsi="宋体"/>
                <w:b/>
                <w:color w:val="auto"/>
                <w:szCs w:val="21"/>
                <w:highlight w:val="none"/>
              </w:rPr>
            </w:pPr>
          </w:p>
        </w:tc>
        <w:tc>
          <w:tcPr>
            <w:tcW w:w="1560" w:type="dxa"/>
            <w:noWrap/>
            <w:vAlign w:val="center"/>
          </w:tcPr>
          <w:p>
            <w:pPr>
              <w:adjustRightInd w:val="0"/>
              <w:snapToGrid w:val="0"/>
              <w:spacing w:line="400" w:lineRule="exact"/>
              <w:jc w:val="center"/>
              <w:rPr>
                <w:rFonts w:ascii="宋体" w:hAnsi="宋体"/>
                <w:b/>
                <w:color w:val="auto"/>
                <w:szCs w:val="21"/>
                <w:highlight w:val="none"/>
              </w:rPr>
            </w:pPr>
          </w:p>
        </w:tc>
        <w:tc>
          <w:tcPr>
            <w:tcW w:w="1560" w:type="dxa"/>
            <w:noWrap/>
            <w:vAlign w:val="center"/>
          </w:tcPr>
          <w:p>
            <w:pPr>
              <w:adjustRightInd w:val="0"/>
              <w:snapToGrid w:val="0"/>
              <w:spacing w:line="400" w:lineRule="exact"/>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noWrap/>
            <w:vAlign w:val="center"/>
          </w:tcPr>
          <w:p>
            <w:pPr>
              <w:adjustRightInd w:val="0"/>
              <w:snapToGrid w:val="0"/>
              <w:spacing w:line="400" w:lineRule="exact"/>
              <w:jc w:val="center"/>
              <w:rPr>
                <w:rFonts w:ascii="宋体" w:hAnsi="宋体"/>
                <w:b/>
                <w:color w:val="auto"/>
                <w:szCs w:val="21"/>
                <w:highlight w:val="none"/>
              </w:rPr>
            </w:pPr>
          </w:p>
        </w:tc>
        <w:tc>
          <w:tcPr>
            <w:tcW w:w="1800" w:type="dxa"/>
            <w:noWrap/>
            <w:vAlign w:val="center"/>
          </w:tcPr>
          <w:p>
            <w:pPr>
              <w:adjustRightInd w:val="0"/>
              <w:snapToGrid w:val="0"/>
              <w:spacing w:line="400" w:lineRule="exact"/>
              <w:jc w:val="center"/>
              <w:rPr>
                <w:rFonts w:ascii="宋体" w:hAnsi="宋体"/>
                <w:b/>
                <w:color w:val="auto"/>
                <w:szCs w:val="21"/>
                <w:highlight w:val="none"/>
              </w:rPr>
            </w:pPr>
          </w:p>
        </w:tc>
        <w:tc>
          <w:tcPr>
            <w:tcW w:w="1516" w:type="dxa"/>
            <w:noWrap/>
            <w:vAlign w:val="center"/>
          </w:tcPr>
          <w:p>
            <w:pPr>
              <w:adjustRightInd w:val="0"/>
              <w:snapToGrid w:val="0"/>
              <w:spacing w:line="400" w:lineRule="exact"/>
              <w:jc w:val="center"/>
              <w:rPr>
                <w:rFonts w:ascii="宋体" w:hAnsi="宋体"/>
                <w:b/>
                <w:color w:val="auto"/>
                <w:szCs w:val="21"/>
                <w:highlight w:val="none"/>
              </w:rPr>
            </w:pPr>
          </w:p>
        </w:tc>
        <w:tc>
          <w:tcPr>
            <w:tcW w:w="1484" w:type="dxa"/>
            <w:noWrap/>
            <w:vAlign w:val="center"/>
          </w:tcPr>
          <w:p>
            <w:pPr>
              <w:adjustRightInd w:val="0"/>
              <w:snapToGrid w:val="0"/>
              <w:spacing w:line="400" w:lineRule="exact"/>
              <w:jc w:val="center"/>
              <w:rPr>
                <w:rFonts w:ascii="宋体" w:hAnsi="宋体"/>
                <w:b/>
                <w:color w:val="auto"/>
                <w:szCs w:val="21"/>
                <w:highlight w:val="none"/>
              </w:rPr>
            </w:pPr>
          </w:p>
        </w:tc>
        <w:tc>
          <w:tcPr>
            <w:tcW w:w="1560" w:type="dxa"/>
            <w:noWrap/>
            <w:vAlign w:val="center"/>
          </w:tcPr>
          <w:p>
            <w:pPr>
              <w:adjustRightInd w:val="0"/>
              <w:snapToGrid w:val="0"/>
              <w:spacing w:line="400" w:lineRule="exact"/>
              <w:jc w:val="center"/>
              <w:rPr>
                <w:rFonts w:ascii="宋体" w:hAnsi="宋体"/>
                <w:b/>
                <w:color w:val="auto"/>
                <w:szCs w:val="21"/>
                <w:highlight w:val="none"/>
              </w:rPr>
            </w:pPr>
          </w:p>
        </w:tc>
        <w:tc>
          <w:tcPr>
            <w:tcW w:w="1560" w:type="dxa"/>
            <w:noWrap/>
            <w:vAlign w:val="center"/>
          </w:tcPr>
          <w:p>
            <w:pPr>
              <w:adjustRightInd w:val="0"/>
              <w:snapToGrid w:val="0"/>
              <w:spacing w:line="400" w:lineRule="exact"/>
              <w:jc w:val="center"/>
              <w:rPr>
                <w:rFonts w:ascii="宋体" w:hAnsi="宋体"/>
                <w:b/>
                <w:color w:val="auto"/>
                <w:szCs w:val="21"/>
                <w:highlight w:val="none"/>
              </w:rPr>
            </w:pPr>
          </w:p>
        </w:tc>
      </w:tr>
    </w:tbl>
    <w:p>
      <w:pPr>
        <w:spacing w:line="400" w:lineRule="exact"/>
        <w:rPr>
          <w:rFonts w:ascii="宋体" w:hAnsi="宋体"/>
          <w:b/>
          <w:bCs/>
          <w:color w:val="auto"/>
          <w:szCs w:val="21"/>
          <w:highlight w:val="none"/>
        </w:rPr>
      </w:pPr>
      <w:r>
        <w:rPr>
          <w:rFonts w:hint="eastAsia" w:ascii="宋体" w:hAnsi="宋体"/>
          <w:b/>
          <w:bCs/>
          <w:color w:val="auto"/>
          <w:szCs w:val="21"/>
          <w:highlight w:val="none"/>
        </w:rPr>
        <w:t>注：后附证书扫描件加盖供应商公章。</w:t>
      </w:r>
    </w:p>
    <w:p>
      <w:pPr>
        <w:spacing w:line="400" w:lineRule="exact"/>
        <w:rPr>
          <w:rFonts w:ascii="宋体" w:hAnsi="宋体"/>
          <w:b/>
          <w:bCs/>
          <w:color w:val="auto"/>
          <w:szCs w:val="21"/>
          <w:highlight w:val="none"/>
        </w:rPr>
      </w:pPr>
    </w:p>
    <w:p>
      <w:pPr>
        <w:spacing w:line="400" w:lineRule="exact"/>
        <w:jc w:val="center"/>
        <w:rPr>
          <w:rFonts w:ascii="宋体" w:hAnsi="宋体"/>
          <w:b/>
          <w:color w:val="auto"/>
          <w:szCs w:val="21"/>
          <w:highlight w:val="none"/>
        </w:rPr>
      </w:pPr>
      <w:r>
        <w:rPr>
          <w:rFonts w:hint="eastAsia" w:ascii="宋体" w:hAnsi="宋体"/>
          <w:b/>
          <w:color w:val="auto"/>
          <w:szCs w:val="21"/>
          <w:highlight w:val="none"/>
        </w:rPr>
        <w:t>业绩表</w:t>
      </w:r>
    </w:p>
    <w:tbl>
      <w:tblPr>
        <w:tblStyle w:val="50"/>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876"/>
        <w:gridCol w:w="1439"/>
        <w:gridCol w:w="1870"/>
        <w:gridCol w:w="1078"/>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069" w:type="dxa"/>
            <w:noWrap/>
            <w:vAlign w:val="center"/>
          </w:tcPr>
          <w:p>
            <w:pPr>
              <w:adjustRightInd w:val="0"/>
              <w:snapToGrid w:val="0"/>
              <w:spacing w:line="40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1786" w:type="dxa"/>
            <w:noWrap/>
            <w:vAlign w:val="center"/>
          </w:tcPr>
          <w:p>
            <w:pPr>
              <w:adjustRightInd w:val="0"/>
              <w:snapToGrid w:val="0"/>
              <w:spacing w:line="400" w:lineRule="exact"/>
              <w:jc w:val="center"/>
              <w:rPr>
                <w:rFonts w:ascii="宋体" w:hAnsi="宋体"/>
                <w:b/>
                <w:color w:val="auto"/>
                <w:szCs w:val="21"/>
                <w:highlight w:val="none"/>
              </w:rPr>
            </w:pPr>
            <w:r>
              <w:rPr>
                <w:rFonts w:hint="eastAsia" w:ascii="宋体" w:hAnsi="宋体"/>
                <w:b/>
                <w:color w:val="auto"/>
                <w:szCs w:val="21"/>
                <w:highlight w:val="none"/>
              </w:rPr>
              <w:t>用户单位</w:t>
            </w:r>
          </w:p>
        </w:tc>
        <w:tc>
          <w:tcPr>
            <w:tcW w:w="1370" w:type="dxa"/>
            <w:noWrap/>
            <w:vAlign w:val="center"/>
          </w:tcPr>
          <w:p>
            <w:pPr>
              <w:adjustRightInd w:val="0"/>
              <w:snapToGrid w:val="0"/>
              <w:spacing w:line="400" w:lineRule="exact"/>
              <w:jc w:val="center"/>
              <w:rPr>
                <w:rFonts w:ascii="宋体" w:hAnsi="宋体"/>
                <w:b/>
                <w:color w:val="auto"/>
                <w:szCs w:val="21"/>
                <w:highlight w:val="none"/>
              </w:rPr>
            </w:pPr>
            <w:r>
              <w:rPr>
                <w:rFonts w:hint="eastAsia" w:ascii="宋体" w:hAnsi="宋体"/>
                <w:b/>
                <w:color w:val="auto"/>
                <w:szCs w:val="21"/>
                <w:highlight w:val="none"/>
              </w:rPr>
              <w:t>合同内容</w:t>
            </w:r>
          </w:p>
        </w:tc>
        <w:tc>
          <w:tcPr>
            <w:tcW w:w="1781" w:type="dxa"/>
            <w:noWrap/>
            <w:vAlign w:val="center"/>
          </w:tcPr>
          <w:p>
            <w:pPr>
              <w:adjustRightInd w:val="0"/>
              <w:snapToGrid w:val="0"/>
              <w:spacing w:line="400" w:lineRule="exact"/>
              <w:jc w:val="center"/>
              <w:rPr>
                <w:rFonts w:ascii="宋体" w:hAnsi="宋体"/>
                <w:b/>
                <w:color w:val="auto"/>
                <w:szCs w:val="21"/>
                <w:highlight w:val="none"/>
              </w:rPr>
            </w:pPr>
            <w:r>
              <w:rPr>
                <w:rFonts w:hint="eastAsia" w:ascii="宋体" w:hAnsi="宋体"/>
                <w:b/>
                <w:color w:val="auto"/>
                <w:szCs w:val="21"/>
                <w:highlight w:val="none"/>
              </w:rPr>
              <w:t>签订合同时间</w:t>
            </w:r>
          </w:p>
        </w:tc>
        <w:tc>
          <w:tcPr>
            <w:tcW w:w="1027" w:type="dxa"/>
            <w:noWrap/>
            <w:vAlign w:val="center"/>
          </w:tcPr>
          <w:p>
            <w:pPr>
              <w:adjustRightInd w:val="0"/>
              <w:snapToGrid w:val="0"/>
              <w:spacing w:line="400" w:lineRule="exact"/>
              <w:jc w:val="center"/>
              <w:rPr>
                <w:rFonts w:ascii="宋体" w:hAnsi="宋体"/>
                <w:b/>
                <w:color w:val="auto"/>
                <w:szCs w:val="21"/>
                <w:highlight w:val="none"/>
              </w:rPr>
            </w:pPr>
            <w:r>
              <w:rPr>
                <w:rFonts w:hint="eastAsia" w:ascii="宋体" w:hAnsi="宋体"/>
                <w:b/>
                <w:color w:val="auto"/>
                <w:szCs w:val="21"/>
                <w:highlight w:val="none"/>
              </w:rPr>
              <w:t>联系人及方式</w:t>
            </w:r>
          </w:p>
        </w:tc>
        <w:tc>
          <w:tcPr>
            <w:tcW w:w="2145" w:type="dxa"/>
            <w:noWrap/>
            <w:vAlign w:val="center"/>
          </w:tcPr>
          <w:p>
            <w:pPr>
              <w:adjustRightInd w:val="0"/>
              <w:snapToGrid w:val="0"/>
              <w:spacing w:line="400" w:lineRule="exact"/>
              <w:jc w:val="center"/>
              <w:rPr>
                <w:rFonts w:ascii="宋体" w:hAnsi="宋体"/>
                <w:b/>
                <w:color w:val="auto"/>
                <w:szCs w:val="21"/>
                <w:highlight w:val="none"/>
              </w:rPr>
            </w:pPr>
            <w:r>
              <w:rPr>
                <w:rFonts w:hint="eastAsia" w:ascii="宋体" w:hAnsi="宋体"/>
                <w:b/>
                <w:color w:val="auto"/>
                <w:szCs w:val="21"/>
                <w:highlight w:val="none"/>
              </w:rPr>
              <w:t>合同扫描件所在页码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069" w:type="dxa"/>
            <w:noWrap/>
            <w:vAlign w:val="center"/>
          </w:tcPr>
          <w:p>
            <w:pPr>
              <w:adjustRightInd w:val="0"/>
              <w:snapToGrid w:val="0"/>
              <w:spacing w:line="400" w:lineRule="exact"/>
              <w:jc w:val="center"/>
              <w:rPr>
                <w:rFonts w:ascii="宋体" w:hAnsi="宋体"/>
                <w:b/>
                <w:color w:val="auto"/>
                <w:szCs w:val="21"/>
                <w:highlight w:val="none"/>
              </w:rPr>
            </w:pPr>
          </w:p>
        </w:tc>
        <w:tc>
          <w:tcPr>
            <w:tcW w:w="1786" w:type="dxa"/>
            <w:noWrap/>
            <w:vAlign w:val="center"/>
          </w:tcPr>
          <w:p>
            <w:pPr>
              <w:adjustRightInd w:val="0"/>
              <w:snapToGrid w:val="0"/>
              <w:spacing w:line="400" w:lineRule="exact"/>
              <w:jc w:val="center"/>
              <w:rPr>
                <w:rFonts w:ascii="宋体" w:hAnsi="宋体"/>
                <w:b/>
                <w:color w:val="auto"/>
                <w:szCs w:val="21"/>
                <w:highlight w:val="none"/>
              </w:rPr>
            </w:pPr>
          </w:p>
        </w:tc>
        <w:tc>
          <w:tcPr>
            <w:tcW w:w="1370" w:type="dxa"/>
            <w:noWrap/>
            <w:vAlign w:val="center"/>
          </w:tcPr>
          <w:p>
            <w:pPr>
              <w:adjustRightInd w:val="0"/>
              <w:snapToGrid w:val="0"/>
              <w:spacing w:line="400" w:lineRule="exact"/>
              <w:jc w:val="center"/>
              <w:rPr>
                <w:rFonts w:ascii="宋体" w:hAnsi="宋体"/>
                <w:b/>
                <w:color w:val="auto"/>
                <w:szCs w:val="21"/>
                <w:highlight w:val="none"/>
              </w:rPr>
            </w:pPr>
          </w:p>
        </w:tc>
        <w:tc>
          <w:tcPr>
            <w:tcW w:w="1781" w:type="dxa"/>
            <w:noWrap/>
            <w:vAlign w:val="center"/>
          </w:tcPr>
          <w:p>
            <w:pPr>
              <w:adjustRightInd w:val="0"/>
              <w:snapToGrid w:val="0"/>
              <w:spacing w:line="400" w:lineRule="exact"/>
              <w:jc w:val="center"/>
              <w:rPr>
                <w:rFonts w:ascii="宋体" w:hAnsi="宋体"/>
                <w:b/>
                <w:color w:val="auto"/>
                <w:szCs w:val="21"/>
                <w:highlight w:val="none"/>
              </w:rPr>
            </w:pPr>
          </w:p>
        </w:tc>
        <w:tc>
          <w:tcPr>
            <w:tcW w:w="1027" w:type="dxa"/>
            <w:noWrap/>
            <w:vAlign w:val="center"/>
          </w:tcPr>
          <w:p>
            <w:pPr>
              <w:adjustRightInd w:val="0"/>
              <w:snapToGrid w:val="0"/>
              <w:spacing w:line="400" w:lineRule="exact"/>
              <w:jc w:val="center"/>
              <w:rPr>
                <w:rFonts w:ascii="宋体" w:hAnsi="宋体"/>
                <w:b/>
                <w:color w:val="auto"/>
                <w:szCs w:val="21"/>
                <w:highlight w:val="none"/>
              </w:rPr>
            </w:pPr>
          </w:p>
        </w:tc>
        <w:tc>
          <w:tcPr>
            <w:tcW w:w="2145" w:type="dxa"/>
            <w:noWrap/>
            <w:vAlign w:val="center"/>
          </w:tcPr>
          <w:p>
            <w:pPr>
              <w:adjustRightInd w:val="0"/>
              <w:snapToGrid w:val="0"/>
              <w:spacing w:line="400" w:lineRule="exact"/>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069" w:type="dxa"/>
            <w:noWrap/>
            <w:vAlign w:val="center"/>
          </w:tcPr>
          <w:p>
            <w:pPr>
              <w:adjustRightInd w:val="0"/>
              <w:snapToGrid w:val="0"/>
              <w:spacing w:line="400" w:lineRule="exact"/>
              <w:jc w:val="center"/>
              <w:rPr>
                <w:rFonts w:ascii="宋体" w:hAnsi="宋体"/>
                <w:b/>
                <w:color w:val="auto"/>
                <w:szCs w:val="21"/>
                <w:highlight w:val="none"/>
              </w:rPr>
            </w:pPr>
          </w:p>
        </w:tc>
        <w:tc>
          <w:tcPr>
            <w:tcW w:w="1786" w:type="dxa"/>
            <w:noWrap/>
            <w:vAlign w:val="center"/>
          </w:tcPr>
          <w:p>
            <w:pPr>
              <w:adjustRightInd w:val="0"/>
              <w:snapToGrid w:val="0"/>
              <w:spacing w:line="400" w:lineRule="exact"/>
              <w:jc w:val="center"/>
              <w:rPr>
                <w:rFonts w:ascii="宋体" w:hAnsi="宋体"/>
                <w:b/>
                <w:color w:val="auto"/>
                <w:szCs w:val="21"/>
                <w:highlight w:val="none"/>
              </w:rPr>
            </w:pPr>
          </w:p>
        </w:tc>
        <w:tc>
          <w:tcPr>
            <w:tcW w:w="1370" w:type="dxa"/>
            <w:noWrap/>
            <w:vAlign w:val="center"/>
          </w:tcPr>
          <w:p>
            <w:pPr>
              <w:adjustRightInd w:val="0"/>
              <w:snapToGrid w:val="0"/>
              <w:spacing w:line="400" w:lineRule="exact"/>
              <w:jc w:val="center"/>
              <w:rPr>
                <w:rFonts w:ascii="宋体" w:hAnsi="宋体"/>
                <w:b/>
                <w:color w:val="auto"/>
                <w:szCs w:val="21"/>
                <w:highlight w:val="none"/>
              </w:rPr>
            </w:pPr>
          </w:p>
        </w:tc>
        <w:tc>
          <w:tcPr>
            <w:tcW w:w="1781" w:type="dxa"/>
            <w:noWrap/>
            <w:vAlign w:val="center"/>
          </w:tcPr>
          <w:p>
            <w:pPr>
              <w:adjustRightInd w:val="0"/>
              <w:snapToGrid w:val="0"/>
              <w:spacing w:line="400" w:lineRule="exact"/>
              <w:jc w:val="center"/>
              <w:rPr>
                <w:rFonts w:ascii="宋体" w:hAnsi="宋体"/>
                <w:b/>
                <w:color w:val="auto"/>
                <w:szCs w:val="21"/>
                <w:highlight w:val="none"/>
              </w:rPr>
            </w:pPr>
          </w:p>
        </w:tc>
        <w:tc>
          <w:tcPr>
            <w:tcW w:w="1027" w:type="dxa"/>
            <w:noWrap/>
            <w:vAlign w:val="center"/>
          </w:tcPr>
          <w:p>
            <w:pPr>
              <w:adjustRightInd w:val="0"/>
              <w:snapToGrid w:val="0"/>
              <w:spacing w:line="400" w:lineRule="exact"/>
              <w:jc w:val="center"/>
              <w:rPr>
                <w:rFonts w:ascii="宋体" w:hAnsi="宋体"/>
                <w:b/>
                <w:color w:val="auto"/>
                <w:szCs w:val="21"/>
                <w:highlight w:val="none"/>
              </w:rPr>
            </w:pPr>
          </w:p>
        </w:tc>
        <w:tc>
          <w:tcPr>
            <w:tcW w:w="2145" w:type="dxa"/>
            <w:noWrap/>
            <w:vAlign w:val="center"/>
          </w:tcPr>
          <w:p>
            <w:pPr>
              <w:adjustRightInd w:val="0"/>
              <w:snapToGrid w:val="0"/>
              <w:spacing w:line="400" w:lineRule="exact"/>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69" w:type="dxa"/>
            <w:noWrap/>
            <w:vAlign w:val="center"/>
          </w:tcPr>
          <w:p>
            <w:pPr>
              <w:adjustRightInd w:val="0"/>
              <w:snapToGrid w:val="0"/>
              <w:spacing w:line="400" w:lineRule="exact"/>
              <w:jc w:val="center"/>
              <w:rPr>
                <w:rFonts w:ascii="宋体" w:hAnsi="宋体"/>
                <w:b/>
                <w:color w:val="auto"/>
                <w:szCs w:val="21"/>
                <w:highlight w:val="none"/>
              </w:rPr>
            </w:pPr>
          </w:p>
        </w:tc>
        <w:tc>
          <w:tcPr>
            <w:tcW w:w="1786" w:type="dxa"/>
            <w:noWrap/>
            <w:vAlign w:val="center"/>
          </w:tcPr>
          <w:p>
            <w:pPr>
              <w:adjustRightInd w:val="0"/>
              <w:snapToGrid w:val="0"/>
              <w:spacing w:line="400" w:lineRule="exact"/>
              <w:jc w:val="center"/>
              <w:rPr>
                <w:rFonts w:ascii="宋体" w:hAnsi="宋体"/>
                <w:b/>
                <w:color w:val="auto"/>
                <w:szCs w:val="21"/>
                <w:highlight w:val="none"/>
              </w:rPr>
            </w:pPr>
          </w:p>
        </w:tc>
        <w:tc>
          <w:tcPr>
            <w:tcW w:w="1370" w:type="dxa"/>
            <w:noWrap/>
            <w:vAlign w:val="center"/>
          </w:tcPr>
          <w:p>
            <w:pPr>
              <w:adjustRightInd w:val="0"/>
              <w:snapToGrid w:val="0"/>
              <w:spacing w:line="400" w:lineRule="exact"/>
              <w:jc w:val="center"/>
              <w:rPr>
                <w:rFonts w:ascii="宋体" w:hAnsi="宋体"/>
                <w:b/>
                <w:color w:val="auto"/>
                <w:szCs w:val="21"/>
                <w:highlight w:val="none"/>
              </w:rPr>
            </w:pPr>
          </w:p>
        </w:tc>
        <w:tc>
          <w:tcPr>
            <w:tcW w:w="1781" w:type="dxa"/>
            <w:noWrap/>
            <w:vAlign w:val="center"/>
          </w:tcPr>
          <w:p>
            <w:pPr>
              <w:adjustRightInd w:val="0"/>
              <w:snapToGrid w:val="0"/>
              <w:spacing w:line="400" w:lineRule="exact"/>
              <w:jc w:val="center"/>
              <w:rPr>
                <w:rFonts w:ascii="宋体" w:hAnsi="宋体"/>
                <w:b/>
                <w:color w:val="auto"/>
                <w:szCs w:val="21"/>
                <w:highlight w:val="none"/>
              </w:rPr>
            </w:pPr>
          </w:p>
        </w:tc>
        <w:tc>
          <w:tcPr>
            <w:tcW w:w="1027" w:type="dxa"/>
            <w:noWrap/>
            <w:vAlign w:val="center"/>
          </w:tcPr>
          <w:p>
            <w:pPr>
              <w:adjustRightInd w:val="0"/>
              <w:snapToGrid w:val="0"/>
              <w:spacing w:line="400" w:lineRule="exact"/>
              <w:jc w:val="center"/>
              <w:rPr>
                <w:rFonts w:ascii="宋体" w:hAnsi="宋体"/>
                <w:b/>
                <w:color w:val="auto"/>
                <w:szCs w:val="21"/>
                <w:highlight w:val="none"/>
              </w:rPr>
            </w:pPr>
          </w:p>
        </w:tc>
        <w:tc>
          <w:tcPr>
            <w:tcW w:w="2145" w:type="dxa"/>
            <w:noWrap/>
            <w:vAlign w:val="center"/>
          </w:tcPr>
          <w:p>
            <w:pPr>
              <w:adjustRightInd w:val="0"/>
              <w:snapToGrid w:val="0"/>
              <w:spacing w:line="400" w:lineRule="exact"/>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69" w:type="dxa"/>
            <w:noWrap/>
            <w:vAlign w:val="center"/>
          </w:tcPr>
          <w:p>
            <w:pPr>
              <w:adjustRightInd w:val="0"/>
              <w:snapToGrid w:val="0"/>
              <w:spacing w:line="400" w:lineRule="exact"/>
              <w:jc w:val="center"/>
              <w:rPr>
                <w:rFonts w:ascii="宋体" w:hAnsi="宋体"/>
                <w:b/>
                <w:color w:val="auto"/>
                <w:szCs w:val="21"/>
                <w:highlight w:val="none"/>
              </w:rPr>
            </w:pPr>
          </w:p>
        </w:tc>
        <w:tc>
          <w:tcPr>
            <w:tcW w:w="1786" w:type="dxa"/>
            <w:noWrap/>
            <w:vAlign w:val="center"/>
          </w:tcPr>
          <w:p>
            <w:pPr>
              <w:adjustRightInd w:val="0"/>
              <w:snapToGrid w:val="0"/>
              <w:spacing w:line="400" w:lineRule="exact"/>
              <w:jc w:val="center"/>
              <w:rPr>
                <w:rFonts w:ascii="宋体" w:hAnsi="宋体"/>
                <w:b/>
                <w:color w:val="auto"/>
                <w:szCs w:val="21"/>
                <w:highlight w:val="none"/>
              </w:rPr>
            </w:pPr>
          </w:p>
        </w:tc>
        <w:tc>
          <w:tcPr>
            <w:tcW w:w="1370" w:type="dxa"/>
            <w:noWrap/>
            <w:vAlign w:val="center"/>
          </w:tcPr>
          <w:p>
            <w:pPr>
              <w:adjustRightInd w:val="0"/>
              <w:snapToGrid w:val="0"/>
              <w:spacing w:line="400" w:lineRule="exact"/>
              <w:jc w:val="center"/>
              <w:rPr>
                <w:rFonts w:ascii="宋体" w:hAnsi="宋体"/>
                <w:b/>
                <w:color w:val="auto"/>
                <w:szCs w:val="21"/>
                <w:highlight w:val="none"/>
              </w:rPr>
            </w:pPr>
          </w:p>
        </w:tc>
        <w:tc>
          <w:tcPr>
            <w:tcW w:w="1781" w:type="dxa"/>
            <w:noWrap/>
            <w:vAlign w:val="center"/>
          </w:tcPr>
          <w:p>
            <w:pPr>
              <w:adjustRightInd w:val="0"/>
              <w:snapToGrid w:val="0"/>
              <w:spacing w:line="400" w:lineRule="exact"/>
              <w:jc w:val="center"/>
              <w:rPr>
                <w:rFonts w:ascii="宋体" w:hAnsi="宋体"/>
                <w:b/>
                <w:color w:val="auto"/>
                <w:szCs w:val="21"/>
                <w:highlight w:val="none"/>
              </w:rPr>
            </w:pPr>
          </w:p>
        </w:tc>
        <w:tc>
          <w:tcPr>
            <w:tcW w:w="1027" w:type="dxa"/>
            <w:noWrap/>
            <w:vAlign w:val="center"/>
          </w:tcPr>
          <w:p>
            <w:pPr>
              <w:adjustRightInd w:val="0"/>
              <w:snapToGrid w:val="0"/>
              <w:spacing w:line="400" w:lineRule="exact"/>
              <w:jc w:val="center"/>
              <w:rPr>
                <w:rFonts w:ascii="宋体" w:hAnsi="宋体"/>
                <w:b/>
                <w:color w:val="auto"/>
                <w:szCs w:val="21"/>
                <w:highlight w:val="none"/>
              </w:rPr>
            </w:pPr>
          </w:p>
        </w:tc>
        <w:tc>
          <w:tcPr>
            <w:tcW w:w="2145" w:type="dxa"/>
            <w:noWrap/>
            <w:vAlign w:val="center"/>
          </w:tcPr>
          <w:p>
            <w:pPr>
              <w:adjustRightInd w:val="0"/>
              <w:snapToGrid w:val="0"/>
              <w:spacing w:line="400" w:lineRule="exact"/>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69" w:type="dxa"/>
            <w:noWrap/>
            <w:vAlign w:val="center"/>
          </w:tcPr>
          <w:p>
            <w:pPr>
              <w:adjustRightInd w:val="0"/>
              <w:snapToGrid w:val="0"/>
              <w:spacing w:line="400" w:lineRule="exact"/>
              <w:jc w:val="center"/>
              <w:rPr>
                <w:rFonts w:ascii="宋体" w:hAnsi="宋体"/>
                <w:b/>
                <w:color w:val="auto"/>
                <w:szCs w:val="21"/>
                <w:highlight w:val="none"/>
              </w:rPr>
            </w:pPr>
          </w:p>
        </w:tc>
        <w:tc>
          <w:tcPr>
            <w:tcW w:w="1786" w:type="dxa"/>
            <w:noWrap/>
            <w:vAlign w:val="center"/>
          </w:tcPr>
          <w:p>
            <w:pPr>
              <w:adjustRightInd w:val="0"/>
              <w:snapToGrid w:val="0"/>
              <w:spacing w:line="400" w:lineRule="exact"/>
              <w:jc w:val="center"/>
              <w:rPr>
                <w:rFonts w:ascii="宋体" w:hAnsi="宋体"/>
                <w:b/>
                <w:color w:val="auto"/>
                <w:szCs w:val="21"/>
                <w:highlight w:val="none"/>
              </w:rPr>
            </w:pPr>
          </w:p>
        </w:tc>
        <w:tc>
          <w:tcPr>
            <w:tcW w:w="1370" w:type="dxa"/>
            <w:noWrap/>
            <w:vAlign w:val="center"/>
          </w:tcPr>
          <w:p>
            <w:pPr>
              <w:adjustRightInd w:val="0"/>
              <w:snapToGrid w:val="0"/>
              <w:spacing w:line="400" w:lineRule="exact"/>
              <w:jc w:val="center"/>
              <w:rPr>
                <w:rFonts w:ascii="宋体" w:hAnsi="宋体"/>
                <w:b/>
                <w:color w:val="auto"/>
                <w:szCs w:val="21"/>
                <w:highlight w:val="none"/>
              </w:rPr>
            </w:pPr>
          </w:p>
        </w:tc>
        <w:tc>
          <w:tcPr>
            <w:tcW w:w="1781" w:type="dxa"/>
            <w:noWrap/>
            <w:vAlign w:val="center"/>
          </w:tcPr>
          <w:p>
            <w:pPr>
              <w:adjustRightInd w:val="0"/>
              <w:snapToGrid w:val="0"/>
              <w:spacing w:line="400" w:lineRule="exact"/>
              <w:jc w:val="center"/>
              <w:rPr>
                <w:rFonts w:ascii="宋体" w:hAnsi="宋体"/>
                <w:b/>
                <w:color w:val="auto"/>
                <w:szCs w:val="21"/>
                <w:highlight w:val="none"/>
              </w:rPr>
            </w:pPr>
          </w:p>
        </w:tc>
        <w:tc>
          <w:tcPr>
            <w:tcW w:w="1027" w:type="dxa"/>
            <w:noWrap/>
            <w:vAlign w:val="center"/>
          </w:tcPr>
          <w:p>
            <w:pPr>
              <w:adjustRightInd w:val="0"/>
              <w:snapToGrid w:val="0"/>
              <w:spacing w:line="400" w:lineRule="exact"/>
              <w:jc w:val="center"/>
              <w:rPr>
                <w:rFonts w:ascii="宋体" w:hAnsi="宋体"/>
                <w:b/>
                <w:color w:val="auto"/>
                <w:szCs w:val="21"/>
                <w:highlight w:val="none"/>
              </w:rPr>
            </w:pPr>
          </w:p>
        </w:tc>
        <w:tc>
          <w:tcPr>
            <w:tcW w:w="2145" w:type="dxa"/>
            <w:noWrap/>
            <w:vAlign w:val="center"/>
          </w:tcPr>
          <w:p>
            <w:pPr>
              <w:adjustRightInd w:val="0"/>
              <w:snapToGrid w:val="0"/>
              <w:spacing w:line="400" w:lineRule="exact"/>
              <w:jc w:val="center"/>
              <w:rPr>
                <w:rFonts w:ascii="宋体" w:hAnsi="宋体"/>
                <w:b/>
                <w:color w:val="auto"/>
                <w:szCs w:val="21"/>
                <w:highlight w:val="none"/>
              </w:rPr>
            </w:pPr>
          </w:p>
        </w:tc>
      </w:tr>
    </w:tbl>
    <w:p>
      <w:pPr>
        <w:spacing w:line="4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注：投标文件中同时提供合同扫描件加盖供应商单位公章</w:t>
      </w:r>
      <w:r>
        <w:rPr>
          <w:rFonts w:hint="eastAsia" w:ascii="宋体" w:hAnsi="宋体" w:cs="宋体"/>
          <w:b/>
          <w:bCs/>
          <w:color w:val="auto"/>
          <w:szCs w:val="21"/>
          <w:highlight w:val="none"/>
        </w:rPr>
        <w:t>。</w:t>
      </w:r>
    </w:p>
    <w:p>
      <w:pPr>
        <w:spacing w:line="400" w:lineRule="exact"/>
        <w:ind w:firstLine="422" w:firstLineChars="200"/>
        <w:rPr>
          <w:rFonts w:ascii="宋体" w:hAnsi="宋体"/>
          <w:b/>
          <w:bCs/>
          <w:color w:val="auto"/>
          <w:szCs w:val="21"/>
          <w:highlight w:val="none"/>
        </w:rPr>
      </w:pPr>
    </w:p>
    <w:p>
      <w:pPr>
        <w:jc w:val="center"/>
        <w:rPr>
          <w:rFonts w:ascii="宋体" w:hAnsi="宋体"/>
          <w:b/>
          <w:color w:val="auto"/>
          <w:szCs w:val="21"/>
          <w:highlight w:val="none"/>
        </w:rPr>
      </w:pPr>
    </w:p>
    <w:p>
      <w:pPr>
        <w:rPr>
          <w:rFonts w:ascii="宋体"/>
          <w:color w:val="auto"/>
          <w:sz w:val="24"/>
          <w:szCs w:val="24"/>
          <w:highlight w:val="none"/>
        </w:rPr>
      </w:pPr>
    </w:p>
    <w:p>
      <w:pPr>
        <w:rPr>
          <w:rFonts w:ascii="宋体" w:hAnsi="宋体"/>
          <w:b/>
          <w:color w:val="auto"/>
          <w:szCs w:val="21"/>
          <w:highlight w:val="none"/>
        </w:rPr>
      </w:pPr>
      <w:r>
        <w:rPr>
          <w:rFonts w:hint="eastAsia" w:ascii="宋体" w:hAnsi="宋体"/>
          <w:b/>
          <w:color w:val="auto"/>
          <w:szCs w:val="21"/>
          <w:highlight w:val="none"/>
        </w:rPr>
        <w:br w:type="page"/>
      </w:r>
    </w:p>
    <w:p>
      <w:pPr>
        <w:pStyle w:val="2"/>
        <w:ind w:firstLine="240"/>
        <w:rPr>
          <w:color w:val="auto"/>
          <w:highlight w:val="none"/>
        </w:rPr>
      </w:pPr>
    </w:p>
    <w:p>
      <w:pPr>
        <w:spacing w:line="400" w:lineRule="exact"/>
        <w:ind w:firstLine="474" w:firstLineChars="200"/>
        <w:jc w:val="left"/>
        <w:rPr>
          <w:rStyle w:val="138"/>
          <w:rFonts w:ascii="宋体" w:hAnsi="宋体"/>
          <w:color w:val="auto"/>
          <w:szCs w:val="21"/>
          <w:highlight w:val="none"/>
        </w:rPr>
      </w:pPr>
    </w:p>
    <w:p>
      <w:pPr>
        <w:spacing w:line="400" w:lineRule="exact"/>
        <w:jc w:val="left"/>
        <w:rPr>
          <w:rStyle w:val="138"/>
          <w:rFonts w:ascii="宋体" w:hAnsi="宋体"/>
          <w:color w:val="auto"/>
          <w:sz w:val="28"/>
          <w:szCs w:val="28"/>
          <w:highlight w:val="none"/>
        </w:rPr>
      </w:pPr>
    </w:p>
    <w:p>
      <w:pPr>
        <w:autoSpaceDE w:val="0"/>
        <w:autoSpaceDN w:val="0"/>
        <w:adjustRightInd w:val="0"/>
        <w:spacing w:beforeLines="100" w:line="400" w:lineRule="exact"/>
        <w:jc w:val="center"/>
        <w:outlineLvl w:val="0"/>
        <w:rPr>
          <w:rStyle w:val="138"/>
          <w:rFonts w:ascii="宋体" w:hAnsi="宋体"/>
          <w:color w:val="auto"/>
          <w:sz w:val="32"/>
          <w:szCs w:val="32"/>
          <w:highlight w:val="none"/>
        </w:rPr>
      </w:pPr>
      <w:bookmarkStart w:id="52" w:name="_Toc21541028"/>
      <w:bookmarkStart w:id="53" w:name="_Toc8677"/>
      <w:bookmarkStart w:id="54" w:name="_Toc443468293"/>
      <w:bookmarkStart w:id="55" w:name="_Toc44162159"/>
      <w:r>
        <w:rPr>
          <w:rStyle w:val="138"/>
          <w:rFonts w:ascii="宋体" w:hAnsi="宋体"/>
          <w:color w:val="auto"/>
          <w:sz w:val="32"/>
          <w:szCs w:val="32"/>
          <w:highlight w:val="none"/>
        </w:rPr>
        <w:t>C.</w:t>
      </w:r>
      <w:r>
        <w:rPr>
          <w:rStyle w:val="138"/>
          <w:rFonts w:hint="eastAsia" w:ascii="宋体" w:hAnsi="宋体"/>
          <w:color w:val="auto"/>
          <w:sz w:val="32"/>
          <w:szCs w:val="32"/>
          <w:highlight w:val="none"/>
        </w:rPr>
        <w:t>报价文件</w:t>
      </w:r>
      <w:bookmarkEnd w:id="52"/>
      <w:bookmarkEnd w:id="53"/>
      <w:bookmarkEnd w:id="54"/>
      <w:bookmarkEnd w:id="55"/>
    </w:p>
    <w:p>
      <w:pPr>
        <w:autoSpaceDE w:val="0"/>
        <w:autoSpaceDN w:val="0"/>
        <w:adjustRightInd w:val="0"/>
        <w:spacing w:line="420" w:lineRule="exact"/>
        <w:rPr>
          <w:rStyle w:val="138"/>
          <w:rFonts w:ascii="宋体" w:hAnsi="宋体"/>
          <w:b w:val="0"/>
          <w:color w:val="auto"/>
          <w:highlight w:val="none"/>
          <w:lang w:val="zh-CN"/>
        </w:rPr>
      </w:pPr>
      <w:r>
        <w:rPr>
          <w:rStyle w:val="138"/>
          <w:rFonts w:ascii="宋体" w:hAnsi="宋体"/>
          <w:color w:val="auto"/>
          <w:sz w:val="32"/>
          <w:szCs w:val="32"/>
          <w:highlight w:val="none"/>
        </w:rPr>
        <w:br w:type="page"/>
      </w:r>
      <w:r>
        <w:rPr>
          <w:rStyle w:val="138"/>
          <w:rFonts w:hint="eastAsia" w:ascii="宋体" w:hAnsi="宋体"/>
          <w:color w:val="auto"/>
          <w:szCs w:val="21"/>
          <w:highlight w:val="none"/>
        </w:rPr>
        <w:t>封面</w:t>
      </w:r>
    </w:p>
    <w:p>
      <w:pPr>
        <w:spacing w:line="360" w:lineRule="auto"/>
        <w:ind w:firstLine="1285" w:firstLineChars="400"/>
        <w:jc w:val="right"/>
        <w:rPr>
          <w:rFonts w:ascii="宋体" w:hAnsi="宋体"/>
          <w:b/>
          <w:color w:val="auto"/>
          <w:sz w:val="32"/>
          <w:szCs w:val="32"/>
          <w:highlight w:val="none"/>
        </w:rPr>
      </w:pPr>
      <w:r>
        <w:rPr>
          <w:rFonts w:hint="eastAsia" w:ascii="宋体" w:hAnsi="宋体"/>
          <w:b/>
          <w:color w:val="auto"/>
          <w:sz w:val="32"/>
          <w:szCs w:val="32"/>
          <w:highlight w:val="none"/>
        </w:rPr>
        <w:t>正（副）本</w:t>
      </w:r>
    </w:p>
    <w:p>
      <w:pPr>
        <w:spacing w:line="360" w:lineRule="auto"/>
        <w:rPr>
          <w:rFonts w:ascii="宋体" w:hAnsi="宋体"/>
          <w:color w:val="auto"/>
          <w:sz w:val="28"/>
          <w:szCs w:val="28"/>
          <w:highlight w:val="none"/>
        </w:rPr>
      </w:pPr>
    </w:p>
    <w:p>
      <w:pPr>
        <w:spacing w:after="120" w:line="900" w:lineRule="exact"/>
        <w:jc w:val="center"/>
        <w:rPr>
          <w:rFonts w:hint="eastAsia" w:ascii="宋体" w:hAnsi="宋体" w:eastAsia="宋体"/>
          <w:b/>
          <w:color w:val="auto"/>
          <w:sz w:val="44"/>
          <w:szCs w:val="50"/>
          <w:highlight w:val="none"/>
          <w:lang w:eastAsia="zh-CN"/>
        </w:rPr>
      </w:pPr>
      <w:r>
        <w:rPr>
          <w:rFonts w:hint="eastAsia" w:ascii="宋体" w:hAnsi="宋体"/>
          <w:b/>
          <w:color w:val="auto"/>
          <w:sz w:val="44"/>
          <w:szCs w:val="50"/>
          <w:highlight w:val="none"/>
          <w:lang w:eastAsia="zh-CN"/>
        </w:rPr>
        <w:t>宁波大学附属第一医院外滩院区安保服务（含停车场保安）项目</w:t>
      </w:r>
    </w:p>
    <w:p>
      <w:pPr>
        <w:spacing w:line="360" w:lineRule="auto"/>
        <w:jc w:val="center"/>
        <w:rPr>
          <w:rFonts w:ascii="宋体" w:hAnsi="宋体"/>
          <w:color w:val="auto"/>
          <w:sz w:val="36"/>
          <w:szCs w:val="36"/>
          <w:highlight w:val="none"/>
          <w:u w:val="single"/>
        </w:rPr>
      </w:pPr>
      <w:r>
        <w:rPr>
          <w:rFonts w:hint="eastAsia" w:ascii="宋体" w:hAnsi="宋体"/>
          <w:color w:val="auto"/>
          <w:sz w:val="36"/>
          <w:szCs w:val="36"/>
          <w:highlight w:val="none"/>
          <w:u w:val="single"/>
        </w:rPr>
        <w:t>采购编号：NBITC-202311410G</w:t>
      </w:r>
    </w:p>
    <w:p>
      <w:pPr>
        <w:spacing w:line="360" w:lineRule="auto"/>
        <w:ind w:firstLine="2340" w:firstLineChars="650"/>
        <w:rPr>
          <w:rFonts w:ascii="宋体" w:hAnsi="宋体"/>
          <w:color w:val="auto"/>
          <w:sz w:val="36"/>
          <w:szCs w:val="36"/>
          <w:highlight w:val="none"/>
        </w:rPr>
      </w:pPr>
      <w:r>
        <w:rPr>
          <w:rFonts w:hint="eastAsia" w:ascii="宋体" w:hAnsi="宋体"/>
          <w:color w:val="auto"/>
          <w:sz w:val="36"/>
          <w:szCs w:val="36"/>
          <w:highlight w:val="none"/>
          <w:u w:val="single"/>
        </w:rPr>
        <w:t>标项号：（如有多个标项）</w:t>
      </w:r>
    </w:p>
    <w:p>
      <w:pPr>
        <w:rPr>
          <w:rFonts w:ascii="宋体" w:hAnsi="宋体"/>
          <w:color w:val="auto"/>
          <w:sz w:val="28"/>
          <w:szCs w:val="28"/>
          <w:highlight w:val="none"/>
        </w:rPr>
      </w:pPr>
    </w:p>
    <w:p>
      <w:pP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（报价文件）</w:t>
      </w:r>
    </w:p>
    <w:p>
      <w:pPr>
        <w:jc w:val="center"/>
        <w:rPr>
          <w:rFonts w:ascii="宋体" w:hAnsi="宋体"/>
          <w:color w:val="auto"/>
          <w:sz w:val="28"/>
          <w:szCs w:val="28"/>
          <w:highlight w:val="none"/>
        </w:rPr>
      </w:pPr>
    </w:p>
    <w:p>
      <w:pPr>
        <w:spacing w:line="360" w:lineRule="auto"/>
        <w:jc w:val="center"/>
        <w:rPr>
          <w:rFonts w:ascii="宋体" w:hAnsi="宋体"/>
          <w:b/>
          <w:color w:val="auto"/>
          <w:sz w:val="72"/>
          <w:szCs w:val="72"/>
          <w:highlight w:val="none"/>
        </w:rPr>
      </w:pPr>
    </w:p>
    <w:p>
      <w:pPr>
        <w:spacing w:line="360" w:lineRule="auto"/>
        <w:jc w:val="center"/>
        <w:rPr>
          <w:rFonts w:ascii="宋体" w:hAnsi="宋体"/>
          <w:b/>
          <w:color w:val="auto"/>
          <w:sz w:val="72"/>
          <w:szCs w:val="72"/>
          <w:highlight w:val="none"/>
        </w:rPr>
      </w:pPr>
      <w:r>
        <w:rPr>
          <w:rFonts w:hint="eastAsia" w:ascii="宋体" w:hAnsi="宋体"/>
          <w:b/>
          <w:color w:val="auto"/>
          <w:sz w:val="72"/>
          <w:szCs w:val="72"/>
          <w:highlight w:val="none"/>
        </w:rPr>
        <w:t>投标文件</w:t>
      </w: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u w:val="single"/>
        </w:rPr>
      </w:pPr>
      <w:r>
        <w:rPr>
          <w:rFonts w:hint="eastAsia" w:ascii="宋体" w:hAnsi="宋体"/>
          <w:color w:val="auto"/>
          <w:sz w:val="36"/>
          <w:szCs w:val="36"/>
          <w:highlight w:val="none"/>
        </w:rPr>
        <w:t>供应商全称：</w:t>
      </w:r>
      <w:r>
        <w:rPr>
          <w:rFonts w:hint="eastAsia" w:ascii="宋体" w:hAnsi="宋体"/>
          <w:color w:val="auto"/>
          <w:sz w:val="36"/>
          <w:szCs w:val="36"/>
          <w:highlight w:val="none"/>
          <w:u w:val="single"/>
        </w:rPr>
        <w:t>（加盖单位公章）</w:t>
      </w:r>
    </w:p>
    <w:p>
      <w:pPr>
        <w:pStyle w:val="29"/>
        <w:ind w:left="101" w:leftChars="48" w:firstLine="1920" w:firstLineChars="800"/>
        <w:jc w:val="left"/>
        <w:rPr>
          <w:rFonts w:hAnsi="宋体"/>
          <w:color w:val="auto"/>
          <w:kern w:val="2"/>
          <w:szCs w:val="28"/>
          <w:highlight w:val="none"/>
          <w:u w:val="single"/>
        </w:rPr>
      </w:pPr>
    </w:p>
    <w:p>
      <w:pPr>
        <w:autoSpaceDE w:val="0"/>
        <w:autoSpaceDN w:val="0"/>
        <w:adjustRightInd w:val="0"/>
        <w:spacing w:line="400" w:lineRule="exact"/>
        <w:jc w:val="center"/>
        <w:outlineLvl w:val="0"/>
        <w:rPr>
          <w:rStyle w:val="138"/>
          <w:rFonts w:ascii="宋体" w:hAnsi="宋体"/>
          <w:color w:val="auto"/>
          <w:sz w:val="28"/>
          <w:szCs w:val="28"/>
          <w:highlight w:val="none"/>
        </w:rPr>
      </w:pPr>
      <w:bookmarkStart w:id="56" w:name="_Toc21541029"/>
      <w:bookmarkStart w:id="57" w:name="_Toc44162160"/>
      <w:bookmarkStart w:id="58" w:name="_Toc4975"/>
      <w:bookmarkStart w:id="59" w:name="_Toc443468294"/>
      <w:r>
        <w:rPr>
          <w:rFonts w:hint="eastAsia" w:ascii="宋体" w:hAnsi="宋体"/>
          <w:color w:val="auto"/>
          <w:sz w:val="36"/>
          <w:szCs w:val="36"/>
          <w:highlight w:val="none"/>
        </w:rPr>
        <w:t>年  月  日</w:t>
      </w:r>
      <w:bookmarkEnd w:id="56"/>
      <w:bookmarkEnd w:id="57"/>
      <w:bookmarkEnd w:id="58"/>
      <w:bookmarkEnd w:id="59"/>
    </w:p>
    <w:p>
      <w:pPr>
        <w:autoSpaceDE w:val="0"/>
        <w:autoSpaceDN w:val="0"/>
        <w:adjustRightInd w:val="0"/>
        <w:spacing w:line="400" w:lineRule="exact"/>
        <w:jc w:val="center"/>
        <w:outlineLvl w:val="0"/>
        <w:rPr>
          <w:rStyle w:val="138"/>
          <w:rFonts w:ascii="宋体" w:hAnsi="宋体"/>
          <w:color w:val="auto"/>
          <w:sz w:val="28"/>
          <w:szCs w:val="28"/>
          <w:highlight w:val="none"/>
        </w:rPr>
      </w:pPr>
    </w:p>
    <w:p>
      <w:pPr>
        <w:autoSpaceDE w:val="0"/>
        <w:autoSpaceDN w:val="0"/>
        <w:adjustRightInd w:val="0"/>
        <w:spacing w:line="400" w:lineRule="exact"/>
        <w:jc w:val="center"/>
        <w:outlineLvl w:val="0"/>
        <w:rPr>
          <w:rStyle w:val="138"/>
          <w:rFonts w:ascii="宋体" w:hAnsi="宋体"/>
          <w:color w:val="auto"/>
          <w:sz w:val="28"/>
          <w:szCs w:val="28"/>
          <w:highlight w:val="none"/>
        </w:rPr>
      </w:pPr>
    </w:p>
    <w:p>
      <w:pPr>
        <w:spacing w:line="400" w:lineRule="exact"/>
        <w:jc w:val="center"/>
        <w:rPr>
          <w:rFonts w:ascii="宋体" w:hAnsi="宋体"/>
          <w:b/>
          <w:color w:val="auto"/>
          <w:szCs w:val="21"/>
          <w:highlight w:val="none"/>
        </w:rPr>
      </w:pPr>
      <w:r>
        <w:rPr>
          <w:rStyle w:val="138"/>
          <w:rFonts w:ascii="宋体" w:hAnsi="宋体"/>
          <w:color w:val="auto"/>
          <w:sz w:val="28"/>
          <w:szCs w:val="28"/>
          <w:highlight w:val="none"/>
        </w:rPr>
        <w:br w:type="page"/>
      </w:r>
      <w:bookmarkEnd w:id="50"/>
      <w:bookmarkEnd w:id="51"/>
      <w:bookmarkStart w:id="60" w:name="_Toc21541030"/>
      <w:bookmarkStart w:id="61" w:name="_Toc44162161"/>
      <w:bookmarkStart w:id="62" w:name="_Toc14907"/>
      <w:r>
        <w:rPr>
          <w:rFonts w:ascii="宋体" w:hAnsi="宋体"/>
          <w:b/>
          <w:color w:val="auto"/>
          <w:szCs w:val="21"/>
          <w:highlight w:val="none"/>
        </w:rPr>
        <w:t>C1</w:t>
      </w:r>
      <w:bookmarkEnd w:id="60"/>
      <w:bookmarkEnd w:id="61"/>
      <w:bookmarkEnd w:id="62"/>
      <w:bookmarkStart w:id="63" w:name="_Toc21541032"/>
      <w:bookmarkStart w:id="64" w:name="_Toc14922"/>
      <w:bookmarkStart w:id="65" w:name="_Toc44162162"/>
      <w:r>
        <w:rPr>
          <w:rFonts w:hint="eastAsia" w:ascii="宋体" w:hAnsi="宋体"/>
          <w:b/>
          <w:color w:val="auto"/>
          <w:szCs w:val="21"/>
          <w:highlight w:val="none"/>
        </w:rPr>
        <w:t>开标一览表</w:t>
      </w:r>
    </w:p>
    <w:p>
      <w:pPr>
        <w:pStyle w:val="20"/>
        <w:spacing w:line="400" w:lineRule="exact"/>
        <w:ind w:firstLine="0"/>
        <w:rPr>
          <w:rFonts w:ascii="宋体" w:hAnsi="宋体" w:eastAsia="宋体"/>
          <w:color w:val="auto"/>
          <w:sz w:val="21"/>
          <w:szCs w:val="21"/>
          <w:highlight w:val="none"/>
        </w:rPr>
      </w:pPr>
    </w:p>
    <w:p>
      <w:pPr>
        <w:pStyle w:val="20"/>
        <w:spacing w:line="400" w:lineRule="exact"/>
        <w:ind w:firstLine="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项目名称：</w:t>
      </w:r>
      <w:r>
        <w:rPr>
          <w:rFonts w:hint="eastAsia" w:ascii="宋体" w:hAnsi="宋体" w:eastAsia="宋体"/>
          <w:color w:val="auto"/>
          <w:sz w:val="21"/>
          <w:szCs w:val="21"/>
          <w:highlight w:val="none"/>
          <w:u w:val="single"/>
          <w:lang w:eastAsia="zh-CN"/>
        </w:rPr>
        <w:t>宁波大学附属第一医院外滩院区安保服务（含停车场保安）项目</w:t>
      </w:r>
    </w:p>
    <w:p>
      <w:pPr>
        <w:pStyle w:val="20"/>
        <w:spacing w:line="400" w:lineRule="exact"/>
        <w:ind w:firstLine="0"/>
        <w:rPr>
          <w:rFonts w:ascii="宋体" w:hAnsi="宋体" w:eastAsia="宋体"/>
          <w:color w:val="auto"/>
          <w:sz w:val="21"/>
          <w:szCs w:val="21"/>
          <w:highlight w:val="none"/>
          <w:u w:val="single"/>
        </w:rPr>
      </w:pPr>
      <w:r>
        <w:rPr>
          <w:rFonts w:hint="eastAsia" w:ascii="宋体" w:hAnsi="宋体" w:eastAsia="宋体"/>
          <w:color w:val="auto"/>
          <w:sz w:val="21"/>
          <w:szCs w:val="21"/>
          <w:highlight w:val="none"/>
        </w:rPr>
        <w:t>项目编号：</w:t>
      </w:r>
      <w:r>
        <w:rPr>
          <w:rFonts w:hint="eastAsia" w:ascii="宋体" w:hAnsi="宋体" w:eastAsia="宋体"/>
          <w:color w:val="auto"/>
          <w:sz w:val="21"/>
          <w:szCs w:val="21"/>
          <w:highlight w:val="none"/>
          <w:u w:val="single"/>
        </w:rPr>
        <w:t>NBITC-202311410G</w:t>
      </w:r>
    </w:p>
    <w:p>
      <w:pPr>
        <w:pStyle w:val="20"/>
        <w:spacing w:line="400" w:lineRule="exact"/>
        <w:ind w:firstLine="0"/>
        <w:rPr>
          <w:rFonts w:ascii="宋体" w:hAnsi="宋体" w:eastAsia="宋体"/>
          <w:color w:val="auto"/>
          <w:sz w:val="21"/>
          <w:szCs w:val="21"/>
          <w:highlight w:val="none"/>
        </w:rPr>
      </w:pPr>
      <w:r>
        <w:rPr>
          <w:rFonts w:hint="eastAsia" w:ascii="宋体" w:hAnsi="宋体" w:eastAsia="宋体"/>
          <w:color w:val="auto"/>
          <w:sz w:val="21"/>
          <w:szCs w:val="21"/>
          <w:highlight w:val="none"/>
        </w:rPr>
        <w:t>标项号：</w:t>
      </w:r>
    </w:p>
    <w:tbl>
      <w:tblPr>
        <w:tblStyle w:val="50"/>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824"/>
        <w:gridCol w:w="2917"/>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34" w:hRule="atLeast"/>
          <w:jc w:val="center"/>
        </w:trPr>
        <w:tc>
          <w:tcPr>
            <w:tcW w:w="1012" w:type="dxa"/>
            <w:vAlign w:val="center"/>
          </w:tcPr>
          <w:p>
            <w:pPr>
              <w:spacing w:line="400" w:lineRule="exact"/>
              <w:ind w:right="25" w:rightChars="12"/>
              <w:jc w:val="center"/>
              <w:rPr>
                <w:rFonts w:ascii="宋体" w:hAnsi="宋体" w:cs="仿宋_GB2312"/>
                <w:b/>
                <w:color w:val="auto"/>
                <w:szCs w:val="21"/>
                <w:highlight w:val="none"/>
              </w:rPr>
            </w:pPr>
            <w:r>
              <w:rPr>
                <w:rFonts w:hint="eastAsia" w:ascii="宋体" w:hAnsi="宋体" w:cs="仿宋_GB2312"/>
                <w:b/>
                <w:color w:val="auto"/>
                <w:szCs w:val="21"/>
                <w:highlight w:val="none"/>
              </w:rPr>
              <w:t>子包</w:t>
            </w:r>
          </w:p>
        </w:tc>
        <w:tc>
          <w:tcPr>
            <w:tcW w:w="2824" w:type="dxa"/>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服务名称</w:t>
            </w:r>
          </w:p>
        </w:tc>
        <w:tc>
          <w:tcPr>
            <w:tcW w:w="2917" w:type="dxa"/>
            <w:vAlign w:val="center"/>
          </w:tcPr>
          <w:p>
            <w:pPr>
              <w:spacing w:line="400" w:lineRule="exact"/>
              <w:ind w:right="25" w:rightChars="12"/>
              <w:jc w:val="center"/>
              <w:rPr>
                <w:rFonts w:ascii="宋体" w:hAnsi="宋体" w:cs="仿宋_GB2312"/>
                <w:b/>
                <w:color w:val="auto"/>
                <w:szCs w:val="21"/>
                <w:highlight w:val="none"/>
              </w:rPr>
            </w:pPr>
            <w:r>
              <w:rPr>
                <w:rFonts w:hint="eastAsia" w:ascii="宋体" w:hAnsi="宋体" w:cs="仿宋_GB2312"/>
                <w:b/>
                <w:color w:val="auto"/>
                <w:szCs w:val="21"/>
                <w:highlight w:val="none"/>
              </w:rPr>
              <w:t>投标报价（元/年）</w:t>
            </w:r>
          </w:p>
        </w:tc>
        <w:tc>
          <w:tcPr>
            <w:tcW w:w="2505" w:type="dxa"/>
            <w:vAlign w:val="center"/>
          </w:tcPr>
          <w:p>
            <w:pPr>
              <w:spacing w:line="400" w:lineRule="exact"/>
              <w:ind w:right="25" w:rightChars="12"/>
              <w:jc w:val="center"/>
              <w:rPr>
                <w:rFonts w:ascii="宋体" w:hAnsi="宋体" w:cs="仿宋_GB2312"/>
                <w:b/>
                <w:color w:val="auto"/>
                <w:szCs w:val="21"/>
                <w:highlight w:val="none"/>
              </w:rPr>
            </w:pPr>
            <w:r>
              <w:rPr>
                <w:rFonts w:hint="eastAsia" w:ascii="宋体" w:hAnsi="宋体" w:cs="仿宋_GB2312"/>
                <w:b/>
                <w:color w:val="auto"/>
                <w:szCs w:val="21"/>
                <w:highlight w:val="none"/>
              </w:rPr>
              <w:t>投标总价（元/3年）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012" w:type="dxa"/>
            <w:vMerge w:val="restart"/>
            <w:vAlign w:val="center"/>
          </w:tcPr>
          <w:p>
            <w:pPr>
              <w:spacing w:line="400" w:lineRule="exact"/>
              <w:ind w:right="25" w:rightChars="12"/>
              <w:jc w:val="center"/>
              <w:rPr>
                <w:rFonts w:ascii="宋体" w:hAnsi="宋体" w:cs="仿宋_GB2312"/>
                <w:color w:val="auto"/>
                <w:szCs w:val="21"/>
                <w:highlight w:val="none"/>
              </w:rPr>
            </w:pPr>
            <w:r>
              <w:rPr>
                <w:rFonts w:hint="eastAsia" w:ascii="宋体" w:hAnsi="宋体" w:cs="仿宋_GB2312"/>
                <w:color w:val="auto"/>
                <w:szCs w:val="21"/>
                <w:highlight w:val="none"/>
              </w:rPr>
              <w:t>1</w:t>
            </w:r>
          </w:p>
        </w:tc>
        <w:tc>
          <w:tcPr>
            <w:tcW w:w="2824" w:type="dxa"/>
            <w:vAlign w:val="center"/>
          </w:tcPr>
          <w:p>
            <w:pPr>
              <w:spacing w:line="400" w:lineRule="exact"/>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外滩院区安保服务（含停车场保安）</w:t>
            </w:r>
          </w:p>
        </w:tc>
        <w:tc>
          <w:tcPr>
            <w:tcW w:w="2917" w:type="dxa"/>
            <w:vAlign w:val="center"/>
          </w:tcPr>
          <w:p>
            <w:pPr>
              <w:spacing w:line="400" w:lineRule="exact"/>
              <w:rPr>
                <w:color w:val="auto"/>
                <w:szCs w:val="21"/>
                <w:highlight w:val="none"/>
              </w:rPr>
            </w:pPr>
            <w:r>
              <w:rPr>
                <w:rFonts w:hint="eastAsia"/>
                <w:color w:val="auto"/>
                <w:szCs w:val="21"/>
                <w:highlight w:val="none"/>
              </w:rPr>
              <w:t>小写：</w:t>
            </w:r>
          </w:p>
          <w:p>
            <w:pPr>
              <w:spacing w:line="400" w:lineRule="exact"/>
              <w:ind w:right="25" w:rightChars="12"/>
              <w:rPr>
                <w:rFonts w:ascii="宋体" w:hAnsi="宋体" w:cs="仿宋_GB2312"/>
                <w:color w:val="auto"/>
                <w:szCs w:val="21"/>
                <w:highlight w:val="none"/>
              </w:rPr>
            </w:pPr>
            <w:r>
              <w:rPr>
                <w:rFonts w:hint="eastAsia" w:cs="仿宋_GB2312"/>
                <w:color w:val="auto"/>
                <w:szCs w:val="21"/>
                <w:highlight w:val="none"/>
              </w:rPr>
              <w:t>大写：</w:t>
            </w:r>
          </w:p>
        </w:tc>
        <w:tc>
          <w:tcPr>
            <w:tcW w:w="2505" w:type="dxa"/>
            <w:vAlign w:val="center"/>
          </w:tcPr>
          <w:p>
            <w:pPr>
              <w:spacing w:line="400" w:lineRule="exact"/>
              <w:rPr>
                <w:color w:val="auto"/>
                <w:szCs w:val="21"/>
                <w:highlight w:val="none"/>
              </w:rPr>
            </w:pPr>
            <w:r>
              <w:rPr>
                <w:rFonts w:hint="eastAsia"/>
                <w:color w:val="auto"/>
                <w:szCs w:val="21"/>
                <w:highlight w:val="none"/>
              </w:rPr>
              <w:t>小写：</w:t>
            </w:r>
          </w:p>
          <w:p>
            <w:pPr>
              <w:spacing w:line="400" w:lineRule="exact"/>
              <w:ind w:right="25" w:rightChars="12"/>
              <w:rPr>
                <w:rFonts w:ascii="宋体" w:hAnsi="宋体" w:cs="仿宋_GB2312"/>
                <w:color w:val="auto"/>
                <w:szCs w:val="21"/>
                <w:highlight w:val="none"/>
              </w:rPr>
            </w:pPr>
            <w:r>
              <w:rPr>
                <w:rFonts w:hint="eastAsia" w:cs="仿宋_GB2312"/>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012" w:type="dxa"/>
            <w:vMerge w:val="continue"/>
            <w:vAlign w:val="center"/>
          </w:tcPr>
          <w:p>
            <w:pPr>
              <w:spacing w:line="400" w:lineRule="exact"/>
              <w:ind w:right="25" w:rightChars="12"/>
              <w:jc w:val="center"/>
              <w:rPr>
                <w:rFonts w:hint="eastAsia" w:ascii="宋体" w:hAnsi="宋体" w:cs="仿宋_GB2312"/>
                <w:color w:val="auto"/>
                <w:szCs w:val="21"/>
                <w:highlight w:val="none"/>
              </w:rPr>
            </w:pPr>
          </w:p>
        </w:tc>
        <w:tc>
          <w:tcPr>
            <w:tcW w:w="2824" w:type="dxa"/>
            <w:vAlign w:val="center"/>
          </w:tcPr>
          <w:p>
            <w:pPr>
              <w:spacing w:line="400" w:lineRule="exact"/>
              <w:jc w:val="center"/>
              <w:rPr>
                <w:rFonts w:hint="default" w:ascii="宋体" w:hAnsi="宋体" w:eastAsia="宋体"/>
                <w:color w:val="auto"/>
                <w:szCs w:val="21"/>
                <w:highlight w:val="none"/>
                <w:lang w:val="en-US" w:eastAsia="zh-CN"/>
              </w:rPr>
            </w:pPr>
            <w:r>
              <w:rPr>
                <w:rFonts w:hint="eastAsia" w:ascii="宋体" w:hAnsi="宋体" w:cs="宋体"/>
                <w:b w:val="0"/>
                <w:bCs w:val="0"/>
                <w:color w:val="auto"/>
                <w:szCs w:val="21"/>
                <w:highlight w:val="none"/>
                <w:lang w:eastAsia="zh-CN"/>
              </w:rPr>
              <w:t>停车收费交纳比例</w:t>
            </w:r>
          </w:p>
        </w:tc>
        <w:tc>
          <w:tcPr>
            <w:tcW w:w="2917" w:type="dxa"/>
            <w:vAlign w:val="center"/>
          </w:tcPr>
          <w:p>
            <w:pPr>
              <w:spacing w:line="400" w:lineRule="exact"/>
              <w:ind w:right="25" w:rightChars="12"/>
              <w:rPr>
                <w:rFonts w:hint="eastAsia" w:cs="仿宋_GB2312"/>
                <w:color w:val="auto"/>
                <w:szCs w:val="21"/>
                <w:highlight w:val="none"/>
              </w:rPr>
            </w:pPr>
            <w:r>
              <w:rPr>
                <w:rFonts w:hint="eastAsia" w:cs="仿宋_GB2312"/>
                <w:color w:val="auto"/>
                <w:szCs w:val="21"/>
                <w:highlight w:val="none"/>
                <w:lang w:val="en-US" w:eastAsia="zh-CN"/>
              </w:rPr>
              <w:t>供应商按月将</w:t>
            </w:r>
            <w:r>
              <w:rPr>
                <w:rFonts w:hint="eastAsia" w:cs="仿宋_GB2312"/>
                <w:color w:val="auto"/>
                <w:szCs w:val="21"/>
                <w:highlight w:val="none"/>
              </w:rPr>
              <w:t>停车收入</w:t>
            </w:r>
            <w:r>
              <w:rPr>
                <w:rFonts w:hint="eastAsia" w:cs="仿宋_GB2312"/>
                <w:color w:val="auto"/>
                <w:szCs w:val="21"/>
                <w:highlight w:val="none"/>
                <w:lang w:eastAsia="zh-CN"/>
              </w:rPr>
              <w:t>的百分之</w:t>
            </w:r>
            <w:r>
              <w:rPr>
                <w:rFonts w:hint="eastAsia" w:cs="仿宋_GB2312"/>
                <w:color w:val="auto"/>
                <w:szCs w:val="21"/>
                <w:highlight w:val="none"/>
                <w:u w:val="single"/>
              </w:rPr>
              <w:t xml:space="preserve">  </w:t>
            </w:r>
            <w:r>
              <w:rPr>
                <w:rFonts w:hint="eastAsia" w:cs="仿宋_GB2312"/>
                <w:color w:val="auto"/>
                <w:szCs w:val="21"/>
                <w:highlight w:val="none"/>
                <w:u w:val="single"/>
                <w:lang w:val="en-US" w:eastAsia="zh-CN"/>
              </w:rPr>
              <w:t xml:space="preserve">   </w:t>
            </w:r>
            <w:r>
              <w:rPr>
                <w:rFonts w:hint="eastAsia" w:cs="仿宋_GB2312"/>
                <w:color w:val="auto"/>
                <w:szCs w:val="21"/>
                <w:highlight w:val="none"/>
                <w:u w:val="single"/>
              </w:rPr>
              <w:t xml:space="preserve">  </w:t>
            </w:r>
            <w:r>
              <w:rPr>
                <w:rFonts w:hint="eastAsia" w:cs="仿宋_GB2312"/>
                <w:color w:val="auto"/>
                <w:szCs w:val="21"/>
                <w:highlight w:val="none"/>
                <w:lang w:eastAsia="zh-CN"/>
              </w:rPr>
              <w:t>（小写：</w:t>
            </w:r>
            <w:r>
              <w:rPr>
                <w:rFonts w:hint="eastAsia" w:cs="仿宋_GB2312"/>
                <w:color w:val="auto"/>
                <w:szCs w:val="21"/>
                <w:highlight w:val="none"/>
                <w:u w:val="single"/>
                <w:lang w:val="en-US" w:eastAsia="zh-CN"/>
              </w:rPr>
              <w:t xml:space="preserve">   </w:t>
            </w:r>
            <w:r>
              <w:rPr>
                <w:rFonts w:hint="eastAsia" w:cs="仿宋_GB2312"/>
                <w:color w:val="auto"/>
                <w:szCs w:val="21"/>
                <w:highlight w:val="none"/>
                <w:lang w:val="en-US" w:eastAsia="zh-CN"/>
              </w:rPr>
              <w:t>%</w:t>
            </w:r>
            <w:r>
              <w:rPr>
                <w:rFonts w:hint="eastAsia" w:cs="仿宋_GB2312"/>
                <w:color w:val="auto"/>
                <w:szCs w:val="21"/>
                <w:highlight w:val="none"/>
                <w:lang w:eastAsia="zh-CN"/>
              </w:rPr>
              <w:t>）</w:t>
            </w:r>
            <w:r>
              <w:rPr>
                <w:rFonts w:hint="eastAsia" w:cs="仿宋_GB2312"/>
                <w:color w:val="auto"/>
                <w:szCs w:val="21"/>
                <w:highlight w:val="none"/>
              </w:rPr>
              <w:t>的金额支付给</w:t>
            </w:r>
            <w:r>
              <w:rPr>
                <w:rFonts w:hint="eastAsia" w:cs="仿宋_GB2312"/>
                <w:color w:val="auto"/>
                <w:szCs w:val="21"/>
                <w:highlight w:val="none"/>
                <w:lang w:eastAsia="zh-CN"/>
              </w:rPr>
              <w:t>采购人</w:t>
            </w:r>
            <w:r>
              <w:rPr>
                <w:rFonts w:hint="eastAsia" w:cs="仿宋_GB2312"/>
                <w:color w:val="auto"/>
                <w:szCs w:val="21"/>
                <w:highlight w:val="none"/>
              </w:rPr>
              <w:t>。</w:t>
            </w:r>
          </w:p>
        </w:tc>
        <w:tc>
          <w:tcPr>
            <w:tcW w:w="2505" w:type="dxa"/>
            <w:vAlign w:val="center"/>
          </w:tcPr>
          <w:p>
            <w:pPr>
              <w:spacing w:line="400" w:lineRule="exact"/>
              <w:ind w:right="25" w:rightChars="12"/>
              <w:jc w:val="center"/>
              <w:rPr>
                <w:rFonts w:hint="eastAsia" w:eastAsia="宋体" w:cs="仿宋_GB2312"/>
                <w:color w:val="auto"/>
                <w:szCs w:val="21"/>
                <w:highlight w:val="none"/>
                <w:lang w:val="en-US" w:eastAsia="zh-CN"/>
              </w:rPr>
            </w:pPr>
            <w:r>
              <w:rPr>
                <w:rFonts w:hint="eastAsia" w:cs="仿宋_GB2312"/>
                <w:b/>
                <w:bCs/>
                <w:color w:val="auto"/>
                <w:szCs w:val="21"/>
                <w:highlight w:val="none"/>
                <w:lang w:val="en-US" w:eastAsia="zh-CN"/>
              </w:rPr>
              <w:t>/</w:t>
            </w:r>
          </w:p>
        </w:tc>
      </w:tr>
    </w:tbl>
    <w:p>
      <w:pPr>
        <w:snapToGrid w:val="0"/>
        <w:spacing w:line="400" w:lineRule="exact"/>
        <w:rPr>
          <w:rFonts w:ascii="宋体" w:hAnsi="宋体" w:cs="宋体"/>
          <w:color w:val="auto"/>
          <w:highlight w:val="none"/>
        </w:rPr>
      </w:pPr>
      <w:r>
        <w:rPr>
          <w:rFonts w:hint="eastAsia" w:ascii="宋体" w:hAnsi="宋体" w:cs="宋体"/>
          <w:color w:val="auto"/>
          <w:highlight w:val="none"/>
        </w:rPr>
        <w:t>注: （1）以上报价合计应与“分项报价表”中的“投标报价”相一致。</w:t>
      </w:r>
    </w:p>
    <w:p>
      <w:pPr>
        <w:snapToGrid w:val="0"/>
        <w:spacing w:line="400" w:lineRule="exact"/>
        <w:ind w:firstLine="420" w:firstLineChars="200"/>
        <w:rPr>
          <w:rFonts w:ascii="宋体" w:hAnsi="宋体" w:cs="宋体"/>
          <w:color w:val="auto"/>
          <w:highlight w:val="none"/>
        </w:rPr>
      </w:pPr>
      <w:r>
        <w:rPr>
          <w:rFonts w:hint="eastAsia" w:ascii="宋体" w:hAnsi="宋体" w:cs="宋体"/>
          <w:color w:val="auto"/>
          <w:highlight w:val="none"/>
        </w:rPr>
        <w:t>（2）投标文件中开标一览表投标报价与政采云系统“开标一览表”中录入的投标报价内容不一致的，以上传的签字盖章版投标文件中开标一览表为准；</w:t>
      </w:r>
    </w:p>
    <w:p>
      <w:pPr>
        <w:spacing w:line="400" w:lineRule="exact"/>
        <w:jc w:val="left"/>
        <w:rPr>
          <w:rFonts w:ascii="宋体" w:hAnsi="宋体"/>
          <w:color w:val="auto"/>
          <w:szCs w:val="21"/>
          <w:highlight w:val="none"/>
        </w:rPr>
      </w:pPr>
    </w:p>
    <w:p>
      <w:pPr>
        <w:spacing w:line="400" w:lineRule="exact"/>
        <w:jc w:val="left"/>
        <w:rPr>
          <w:rFonts w:ascii="宋体" w:hAnsi="宋体"/>
          <w:color w:val="auto"/>
          <w:szCs w:val="21"/>
          <w:highlight w:val="none"/>
        </w:rPr>
      </w:pPr>
      <w:r>
        <w:rPr>
          <w:rFonts w:hint="eastAsia" w:ascii="宋体" w:hAnsi="宋体"/>
          <w:color w:val="auto"/>
          <w:szCs w:val="21"/>
          <w:highlight w:val="none"/>
        </w:rPr>
        <w:t>供应商（盖章）：</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u w:val="single"/>
        </w:rPr>
      </w:pPr>
      <w:r>
        <w:rPr>
          <w:rFonts w:hint="eastAsia" w:ascii="宋体" w:hAnsi="宋体"/>
          <w:color w:val="auto"/>
          <w:szCs w:val="21"/>
          <w:highlight w:val="none"/>
        </w:rPr>
        <w:t>日          期：</w:t>
      </w:r>
    </w:p>
    <w:p>
      <w:pPr>
        <w:rPr>
          <w:rFonts w:ascii="宋体" w:hAnsi="宋体"/>
          <w:b/>
          <w:color w:val="auto"/>
          <w:szCs w:val="21"/>
          <w:highlight w:val="none"/>
        </w:rPr>
      </w:pPr>
      <w:r>
        <w:rPr>
          <w:rFonts w:ascii="宋体" w:hAnsi="宋体"/>
          <w:b/>
          <w:color w:val="auto"/>
          <w:szCs w:val="21"/>
          <w:highlight w:val="none"/>
        </w:rPr>
        <w:br w:type="page"/>
      </w:r>
    </w:p>
    <w:p>
      <w:pPr>
        <w:pStyle w:val="27"/>
        <w:snapToGrid w:val="0"/>
        <w:spacing w:line="400" w:lineRule="exact"/>
        <w:jc w:val="center"/>
        <w:rPr>
          <w:b/>
          <w:color w:val="auto"/>
          <w:kern w:val="2"/>
          <w:sz w:val="21"/>
          <w:szCs w:val="21"/>
          <w:highlight w:val="none"/>
        </w:rPr>
      </w:pPr>
      <w:r>
        <w:rPr>
          <w:rFonts w:hAnsi="宋体"/>
          <w:b/>
          <w:color w:val="auto"/>
          <w:szCs w:val="21"/>
          <w:highlight w:val="none"/>
        </w:rPr>
        <w:t>C</w:t>
      </w:r>
      <w:r>
        <w:rPr>
          <w:rFonts w:hint="eastAsia" w:hAnsi="宋体"/>
          <w:b/>
          <w:color w:val="auto"/>
          <w:szCs w:val="21"/>
          <w:highlight w:val="none"/>
        </w:rPr>
        <w:t>2</w:t>
      </w:r>
      <w:r>
        <w:rPr>
          <w:rFonts w:hint="eastAsia"/>
          <w:b/>
          <w:color w:val="auto"/>
          <w:kern w:val="2"/>
          <w:sz w:val="21"/>
          <w:szCs w:val="21"/>
          <w:highlight w:val="none"/>
        </w:rPr>
        <w:t>分项报价表</w:t>
      </w:r>
    </w:p>
    <w:p>
      <w:pPr>
        <w:pStyle w:val="27"/>
        <w:snapToGrid w:val="0"/>
        <w:spacing w:line="400" w:lineRule="exact"/>
        <w:jc w:val="center"/>
        <w:rPr>
          <w:b/>
          <w:color w:val="auto"/>
          <w:kern w:val="2"/>
          <w:sz w:val="21"/>
          <w:szCs w:val="21"/>
          <w:highlight w:val="none"/>
        </w:rPr>
      </w:pPr>
      <w:r>
        <w:rPr>
          <w:rFonts w:hint="eastAsia"/>
          <w:b/>
          <w:color w:val="auto"/>
          <w:sz w:val="21"/>
          <w:szCs w:val="21"/>
          <w:highlight w:val="none"/>
        </w:rPr>
        <w:t>1、投标报价分析表</w:t>
      </w:r>
    </w:p>
    <w:p>
      <w:pPr>
        <w:pStyle w:val="20"/>
        <w:spacing w:line="400" w:lineRule="exact"/>
        <w:ind w:firstLine="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项目名称：</w:t>
      </w:r>
      <w:r>
        <w:rPr>
          <w:rFonts w:hint="eastAsia" w:ascii="宋体" w:hAnsi="宋体" w:eastAsia="宋体"/>
          <w:color w:val="auto"/>
          <w:sz w:val="21"/>
          <w:szCs w:val="21"/>
          <w:highlight w:val="none"/>
          <w:u w:val="single"/>
          <w:lang w:eastAsia="zh-CN"/>
        </w:rPr>
        <w:t>宁波大学附属第一医院外滩院区安保服务（含停车场保安）项目</w:t>
      </w:r>
    </w:p>
    <w:p>
      <w:pPr>
        <w:pStyle w:val="20"/>
        <w:spacing w:line="400" w:lineRule="exact"/>
        <w:ind w:firstLine="0"/>
        <w:rPr>
          <w:rFonts w:ascii="宋体" w:hAnsi="宋体" w:eastAsia="宋体"/>
          <w:color w:val="auto"/>
          <w:sz w:val="21"/>
          <w:szCs w:val="21"/>
          <w:highlight w:val="none"/>
          <w:u w:val="single"/>
        </w:rPr>
      </w:pPr>
      <w:r>
        <w:rPr>
          <w:rFonts w:hint="eastAsia" w:ascii="宋体" w:hAnsi="宋体" w:eastAsia="宋体"/>
          <w:color w:val="auto"/>
          <w:sz w:val="21"/>
          <w:szCs w:val="21"/>
          <w:highlight w:val="none"/>
        </w:rPr>
        <w:t>项目编号：</w:t>
      </w:r>
      <w:r>
        <w:rPr>
          <w:rFonts w:hint="eastAsia" w:ascii="宋体" w:hAnsi="宋体" w:eastAsia="宋体"/>
          <w:color w:val="auto"/>
          <w:sz w:val="21"/>
          <w:szCs w:val="21"/>
          <w:highlight w:val="none"/>
          <w:u w:val="single"/>
        </w:rPr>
        <w:t>NBITC-202311410G</w:t>
      </w:r>
    </w:p>
    <w:p>
      <w:pPr>
        <w:pStyle w:val="20"/>
        <w:spacing w:line="400" w:lineRule="exact"/>
        <w:ind w:firstLine="0"/>
        <w:rPr>
          <w:rFonts w:ascii="宋体" w:hAnsi="宋体" w:eastAsia="宋体"/>
          <w:color w:val="auto"/>
          <w:sz w:val="21"/>
          <w:szCs w:val="21"/>
          <w:highlight w:val="none"/>
        </w:rPr>
      </w:pPr>
      <w:r>
        <w:rPr>
          <w:rFonts w:hint="eastAsia" w:ascii="宋体" w:hAnsi="宋体" w:eastAsia="宋体"/>
          <w:color w:val="auto"/>
          <w:sz w:val="21"/>
          <w:szCs w:val="21"/>
          <w:highlight w:val="none"/>
        </w:rPr>
        <w:t>标项号：</w:t>
      </w:r>
    </w:p>
    <w:p>
      <w:pPr>
        <w:pStyle w:val="20"/>
        <w:spacing w:line="400" w:lineRule="exact"/>
        <w:ind w:firstLine="0"/>
        <w:rPr>
          <w:rFonts w:ascii="宋体" w:hAnsi="宋体" w:eastAsia="宋体"/>
          <w:color w:val="auto"/>
          <w:sz w:val="21"/>
          <w:szCs w:val="21"/>
          <w:highlight w:val="none"/>
          <w:u w:val="single"/>
        </w:rPr>
      </w:pPr>
      <w:r>
        <w:rPr>
          <w:rFonts w:hint="eastAsia" w:ascii="宋体" w:hAnsi="宋体"/>
          <w:color w:val="auto"/>
          <w:sz w:val="21"/>
          <w:szCs w:val="21"/>
          <w:highlight w:val="none"/>
        </w:rPr>
        <w:t>货币单位：人民币元</w:t>
      </w:r>
    </w:p>
    <w:tbl>
      <w:tblPr>
        <w:tblStyle w:val="50"/>
        <w:tblW w:w="9763" w:type="dxa"/>
        <w:tblInd w:w="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647"/>
        <w:gridCol w:w="1188"/>
        <w:gridCol w:w="1134"/>
        <w:gridCol w:w="2369"/>
        <w:gridCol w:w="24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951" w:type="dxa"/>
            <w:tcBorders>
              <w:top w:val="single" w:color="auto" w:sz="4" w:space="0"/>
              <w:left w:val="single" w:color="auto" w:sz="4" w:space="0"/>
            </w:tcBorders>
            <w:vAlign w:val="center"/>
          </w:tcPr>
          <w:p>
            <w:pPr>
              <w:spacing w:line="240" w:lineRule="exact"/>
              <w:jc w:val="center"/>
              <w:rPr>
                <w:rFonts w:ascii="宋体" w:hAnsi="宋体"/>
                <w:b/>
                <w:bCs/>
                <w:color w:val="auto"/>
                <w:szCs w:val="21"/>
                <w:highlight w:val="none"/>
              </w:rPr>
            </w:pPr>
            <w:r>
              <w:rPr>
                <w:rFonts w:hint="eastAsia" w:ascii="宋体" w:hAnsi="宋体"/>
                <w:b/>
                <w:bCs/>
                <w:color w:val="auto"/>
                <w:szCs w:val="21"/>
                <w:highlight w:val="none"/>
              </w:rPr>
              <w:t>序号</w:t>
            </w:r>
          </w:p>
        </w:tc>
        <w:tc>
          <w:tcPr>
            <w:tcW w:w="1647" w:type="dxa"/>
            <w:tcBorders>
              <w:top w:val="single" w:color="auto" w:sz="4" w:space="0"/>
            </w:tcBorders>
            <w:vAlign w:val="center"/>
          </w:tcPr>
          <w:p>
            <w:pPr>
              <w:spacing w:line="240" w:lineRule="exact"/>
              <w:jc w:val="center"/>
              <w:rPr>
                <w:rFonts w:ascii="宋体" w:hAnsi="宋体"/>
                <w:b/>
                <w:bCs/>
                <w:color w:val="auto"/>
                <w:szCs w:val="21"/>
                <w:highlight w:val="none"/>
              </w:rPr>
            </w:pPr>
            <w:r>
              <w:rPr>
                <w:rFonts w:hint="eastAsia" w:ascii="宋体" w:hAnsi="宋体"/>
                <w:b/>
                <w:bCs/>
                <w:color w:val="auto"/>
                <w:szCs w:val="21"/>
                <w:highlight w:val="none"/>
              </w:rPr>
              <w:t>岗位名称</w:t>
            </w:r>
          </w:p>
        </w:tc>
        <w:tc>
          <w:tcPr>
            <w:tcW w:w="1188" w:type="dxa"/>
            <w:tcBorders>
              <w:top w:val="single" w:color="auto" w:sz="4" w:space="0"/>
            </w:tcBorders>
            <w:vAlign w:val="center"/>
          </w:tcPr>
          <w:p>
            <w:pPr>
              <w:spacing w:line="240" w:lineRule="exact"/>
              <w:jc w:val="center"/>
              <w:rPr>
                <w:rFonts w:ascii="宋体" w:hAnsi="宋体"/>
                <w:b/>
                <w:bCs/>
                <w:color w:val="auto"/>
                <w:szCs w:val="21"/>
                <w:highlight w:val="none"/>
              </w:rPr>
            </w:pPr>
            <w:r>
              <w:rPr>
                <w:rFonts w:hint="eastAsia" w:ascii="宋体" w:hAnsi="宋体"/>
                <w:b/>
                <w:bCs/>
                <w:color w:val="auto"/>
                <w:szCs w:val="21"/>
                <w:highlight w:val="none"/>
              </w:rPr>
              <w:t>配置人数（人）</w:t>
            </w:r>
          </w:p>
        </w:tc>
        <w:tc>
          <w:tcPr>
            <w:tcW w:w="1134" w:type="dxa"/>
            <w:tcBorders>
              <w:top w:val="single" w:color="auto" w:sz="4" w:space="0"/>
            </w:tcBorders>
            <w:vAlign w:val="center"/>
          </w:tcPr>
          <w:p>
            <w:pPr>
              <w:spacing w:line="240" w:lineRule="exact"/>
              <w:jc w:val="center"/>
              <w:rPr>
                <w:rFonts w:ascii="宋体" w:hAnsi="宋体"/>
                <w:b/>
                <w:bCs/>
                <w:color w:val="auto"/>
                <w:szCs w:val="21"/>
                <w:highlight w:val="none"/>
              </w:rPr>
            </w:pPr>
            <w:r>
              <w:rPr>
                <w:rFonts w:hint="eastAsia" w:ascii="宋体" w:hAnsi="宋体"/>
                <w:b/>
                <w:bCs/>
                <w:color w:val="auto"/>
                <w:szCs w:val="21"/>
                <w:highlight w:val="none"/>
              </w:rPr>
              <w:t>服务时间（月）</w:t>
            </w:r>
          </w:p>
        </w:tc>
        <w:tc>
          <w:tcPr>
            <w:tcW w:w="2369" w:type="dxa"/>
            <w:tcBorders>
              <w:top w:val="single" w:color="auto" w:sz="4" w:space="0"/>
              <w:bottom w:val="single" w:color="auto" w:sz="4" w:space="0"/>
              <w:right w:val="single" w:color="auto" w:sz="4" w:space="0"/>
            </w:tcBorders>
            <w:vAlign w:val="center"/>
          </w:tcPr>
          <w:p>
            <w:pPr>
              <w:spacing w:line="240" w:lineRule="exact"/>
              <w:jc w:val="center"/>
              <w:rPr>
                <w:rFonts w:ascii="宋体" w:hAnsi="宋体"/>
                <w:b/>
                <w:bCs/>
                <w:color w:val="auto"/>
                <w:szCs w:val="21"/>
                <w:highlight w:val="none"/>
              </w:rPr>
            </w:pPr>
            <w:r>
              <w:rPr>
                <w:rFonts w:hint="eastAsia" w:ascii="宋体" w:hAnsi="宋体"/>
                <w:b/>
                <w:bCs/>
                <w:color w:val="auto"/>
                <w:szCs w:val="21"/>
                <w:highlight w:val="none"/>
              </w:rPr>
              <w:t>综合单价</w:t>
            </w:r>
          </w:p>
          <w:p>
            <w:pPr>
              <w:spacing w:line="240" w:lineRule="exact"/>
              <w:jc w:val="center"/>
              <w:rPr>
                <w:rFonts w:ascii="宋体" w:hAnsi="宋体"/>
                <w:b/>
                <w:bCs/>
                <w:color w:val="auto"/>
                <w:szCs w:val="21"/>
                <w:highlight w:val="none"/>
              </w:rPr>
            </w:pPr>
            <w:r>
              <w:rPr>
                <w:rFonts w:hint="eastAsia" w:ascii="宋体" w:hAnsi="宋体"/>
                <w:b/>
                <w:bCs/>
                <w:color w:val="auto"/>
                <w:szCs w:val="21"/>
                <w:highlight w:val="none"/>
              </w:rPr>
              <w:t>（元/人·月）</w:t>
            </w:r>
          </w:p>
        </w:tc>
        <w:tc>
          <w:tcPr>
            <w:tcW w:w="2474" w:type="dxa"/>
            <w:tcBorders>
              <w:top w:val="single" w:color="auto" w:sz="4" w:space="0"/>
              <w:right w:val="single" w:color="auto" w:sz="4" w:space="0"/>
            </w:tcBorders>
            <w:vAlign w:val="center"/>
          </w:tcPr>
          <w:p>
            <w:pPr>
              <w:spacing w:line="240" w:lineRule="exact"/>
              <w:jc w:val="center"/>
              <w:rPr>
                <w:rFonts w:ascii="宋体" w:hAnsi="宋体"/>
                <w:b/>
                <w:bCs/>
                <w:color w:val="auto"/>
                <w:szCs w:val="21"/>
                <w:highlight w:val="none"/>
              </w:rPr>
            </w:pPr>
            <w:r>
              <w:rPr>
                <w:rFonts w:hint="eastAsia" w:ascii="宋体" w:hAnsi="宋体"/>
                <w:b/>
                <w:bCs/>
                <w:color w:val="auto"/>
                <w:szCs w:val="21"/>
                <w:highlight w:val="none"/>
              </w:rPr>
              <w:t>合价</w:t>
            </w:r>
          </w:p>
          <w:p>
            <w:pPr>
              <w:spacing w:line="240" w:lineRule="exact"/>
              <w:jc w:val="center"/>
              <w:rPr>
                <w:rFonts w:ascii="宋体" w:hAnsi="宋体"/>
                <w:b/>
                <w:bCs/>
                <w:color w:val="auto"/>
                <w:szCs w:val="21"/>
                <w:highlight w:val="none"/>
              </w:rPr>
            </w:pPr>
            <w:r>
              <w:rPr>
                <w:rFonts w:hint="eastAsia" w:ascii="宋体" w:hAnsi="宋体"/>
                <w:b/>
                <w:bCs/>
                <w:color w:val="auto"/>
                <w:szCs w:val="21"/>
                <w:highlight w:val="none"/>
              </w:rPr>
              <w:t>（配置人数×服务时间×综合单价）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top w:val="single" w:color="auto" w:sz="4" w:space="0"/>
              <w:left w:val="single" w:color="auto" w:sz="4" w:space="0"/>
              <w:bottom w:val="single" w:color="auto" w:sz="4" w:space="0"/>
            </w:tcBorders>
            <w:vAlign w:val="center"/>
          </w:tcPr>
          <w:p>
            <w:pPr>
              <w:spacing w:line="400" w:lineRule="exact"/>
              <w:jc w:val="center"/>
              <w:rPr>
                <w:rFonts w:ascii="宋体" w:hAnsi="宋体"/>
                <w:bCs/>
                <w:color w:val="auto"/>
                <w:szCs w:val="21"/>
                <w:highlight w:val="none"/>
              </w:rPr>
            </w:pPr>
            <w:r>
              <w:rPr>
                <w:rFonts w:hint="eastAsia" w:ascii="宋体" w:hAnsi="宋体"/>
                <w:bCs/>
                <w:color w:val="auto"/>
                <w:szCs w:val="21"/>
                <w:highlight w:val="none"/>
              </w:rPr>
              <w:t>1</w:t>
            </w:r>
          </w:p>
        </w:tc>
        <w:tc>
          <w:tcPr>
            <w:tcW w:w="1647" w:type="dxa"/>
            <w:tcBorders>
              <w:top w:val="single" w:color="auto" w:sz="4" w:space="0"/>
              <w:bottom w:val="single" w:color="auto" w:sz="4" w:space="0"/>
            </w:tcBorders>
            <w:vAlign w:val="center"/>
          </w:tcPr>
          <w:p>
            <w:pPr>
              <w:spacing w:line="400" w:lineRule="exact"/>
              <w:jc w:val="center"/>
              <w:rPr>
                <w:rFonts w:ascii="宋体" w:hAnsi="宋体" w:cs="仿宋_GB2312"/>
                <w:color w:val="auto"/>
                <w:szCs w:val="21"/>
                <w:highlight w:val="none"/>
              </w:rPr>
            </w:pPr>
          </w:p>
        </w:tc>
        <w:tc>
          <w:tcPr>
            <w:tcW w:w="1188" w:type="dxa"/>
            <w:tcBorders>
              <w:top w:val="single" w:color="auto" w:sz="4" w:space="0"/>
              <w:bottom w:val="single" w:color="auto" w:sz="4" w:space="0"/>
            </w:tcBorders>
            <w:vAlign w:val="center"/>
          </w:tcPr>
          <w:p>
            <w:pPr>
              <w:spacing w:line="400" w:lineRule="exact"/>
              <w:jc w:val="center"/>
              <w:rPr>
                <w:rFonts w:ascii="宋体" w:hAnsi="宋体" w:cs="仿宋_GB2312"/>
                <w:color w:val="auto"/>
                <w:szCs w:val="21"/>
                <w:highlight w:val="none"/>
              </w:rPr>
            </w:pPr>
          </w:p>
        </w:tc>
        <w:tc>
          <w:tcPr>
            <w:tcW w:w="1134" w:type="dxa"/>
            <w:tcBorders>
              <w:top w:val="single" w:color="auto" w:sz="4" w:space="0"/>
              <w:bottom w:val="single" w:color="auto" w:sz="4" w:space="0"/>
            </w:tcBorders>
            <w:vAlign w:val="center"/>
          </w:tcPr>
          <w:p>
            <w:pPr>
              <w:spacing w:line="400" w:lineRule="exact"/>
              <w:jc w:val="center"/>
              <w:rPr>
                <w:rFonts w:ascii="宋体" w:hAnsi="宋体"/>
                <w:bCs/>
                <w:color w:val="auto"/>
                <w:szCs w:val="21"/>
                <w:highlight w:val="none"/>
              </w:rPr>
            </w:pPr>
            <w:r>
              <w:rPr>
                <w:rFonts w:hint="eastAsia" w:ascii="宋体" w:hAnsi="宋体"/>
                <w:bCs/>
                <w:color w:val="auto"/>
                <w:szCs w:val="21"/>
                <w:highlight w:val="none"/>
              </w:rPr>
              <w:t>12</w:t>
            </w:r>
          </w:p>
        </w:tc>
        <w:tc>
          <w:tcPr>
            <w:tcW w:w="23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bCs/>
                <w:color w:val="auto"/>
                <w:szCs w:val="21"/>
                <w:highlight w:val="none"/>
              </w:rPr>
            </w:pPr>
          </w:p>
        </w:tc>
        <w:tc>
          <w:tcPr>
            <w:tcW w:w="2474" w:type="dxa"/>
            <w:tcBorders>
              <w:top w:val="single" w:color="auto" w:sz="4" w:space="0"/>
              <w:bottom w:val="single" w:color="auto" w:sz="4" w:space="0"/>
              <w:right w:val="single" w:color="auto" w:sz="4" w:space="0"/>
            </w:tcBorders>
            <w:vAlign w:val="center"/>
          </w:tcPr>
          <w:p>
            <w:pPr>
              <w:tabs>
                <w:tab w:val="left" w:pos="4648"/>
              </w:tabs>
              <w:spacing w:line="400" w:lineRule="exact"/>
              <w:jc w:val="center"/>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top w:val="single" w:color="auto" w:sz="4" w:space="0"/>
              <w:left w:val="single" w:color="auto" w:sz="4" w:space="0"/>
              <w:bottom w:val="single" w:color="auto" w:sz="4" w:space="0"/>
            </w:tcBorders>
            <w:vAlign w:val="center"/>
          </w:tcPr>
          <w:p>
            <w:pPr>
              <w:spacing w:line="400" w:lineRule="exact"/>
              <w:jc w:val="center"/>
              <w:rPr>
                <w:rFonts w:ascii="宋体" w:hAnsi="宋体"/>
                <w:bCs/>
                <w:color w:val="auto"/>
                <w:szCs w:val="21"/>
                <w:highlight w:val="none"/>
              </w:rPr>
            </w:pPr>
            <w:r>
              <w:rPr>
                <w:rFonts w:hint="eastAsia" w:ascii="宋体" w:hAnsi="宋体"/>
                <w:bCs/>
                <w:color w:val="auto"/>
                <w:szCs w:val="21"/>
                <w:highlight w:val="none"/>
              </w:rPr>
              <w:t>2</w:t>
            </w:r>
          </w:p>
        </w:tc>
        <w:tc>
          <w:tcPr>
            <w:tcW w:w="1647" w:type="dxa"/>
            <w:tcBorders>
              <w:top w:val="single" w:color="auto" w:sz="4" w:space="0"/>
              <w:bottom w:val="single" w:color="auto" w:sz="4" w:space="0"/>
            </w:tcBorders>
            <w:vAlign w:val="center"/>
          </w:tcPr>
          <w:p>
            <w:pPr>
              <w:spacing w:line="400" w:lineRule="exact"/>
              <w:jc w:val="center"/>
              <w:rPr>
                <w:rFonts w:ascii="宋体" w:hAnsi="宋体" w:cs="仿宋_GB2312"/>
                <w:color w:val="auto"/>
                <w:szCs w:val="21"/>
                <w:highlight w:val="none"/>
              </w:rPr>
            </w:pPr>
          </w:p>
        </w:tc>
        <w:tc>
          <w:tcPr>
            <w:tcW w:w="1188" w:type="dxa"/>
            <w:tcBorders>
              <w:top w:val="single" w:color="auto" w:sz="4" w:space="0"/>
              <w:bottom w:val="single" w:color="auto" w:sz="4" w:space="0"/>
            </w:tcBorders>
            <w:vAlign w:val="center"/>
          </w:tcPr>
          <w:p>
            <w:pPr>
              <w:spacing w:line="400" w:lineRule="exact"/>
              <w:jc w:val="center"/>
              <w:rPr>
                <w:rFonts w:ascii="宋体" w:hAnsi="宋体" w:cs="仿宋_GB2312"/>
                <w:color w:val="auto"/>
                <w:szCs w:val="21"/>
                <w:highlight w:val="none"/>
              </w:rPr>
            </w:pPr>
          </w:p>
        </w:tc>
        <w:tc>
          <w:tcPr>
            <w:tcW w:w="1134" w:type="dxa"/>
            <w:tcBorders>
              <w:top w:val="single" w:color="auto" w:sz="4" w:space="0"/>
              <w:bottom w:val="single" w:color="auto" w:sz="4" w:space="0"/>
            </w:tcBorders>
            <w:vAlign w:val="center"/>
          </w:tcPr>
          <w:p>
            <w:pPr>
              <w:spacing w:line="400" w:lineRule="exact"/>
              <w:jc w:val="center"/>
              <w:rPr>
                <w:rFonts w:ascii="宋体" w:hAnsi="宋体"/>
                <w:bCs/>
                <w:color w:val="auto"/>
                <w:szCs w:val="21"/>
                <w:highlight w:val="none"/>
              </w:rPr>
            </w:pPr>
            <w:r>
              <w:rPr>
                <w:rFonts w:hint="eastAsia" w:ascii="宋体" w:hAnsi="宋体"/>
                <w:bCs/>
                <w:color w:val="auto"/>
                <w:szCs w:val="21"/>
                <w:highlight w:val="none"/>
              </w:rPr>
              <w:t>12</w:t>
            </w:r>
          </w:p>
        </w:tc>
        <w:tc>
          <w:tcPr>
            <w:tcW w:w="23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bCs/>
                <w:color w:val="auto"/>
                <w:szCs w:val="21"/>
                <w:highlight w:val="none"/>
              </w:rPr>
            </w:pPr>
          </w:p>
        </w:tc>
        <w:tc>
          <w:tcPr>
            <w:tcW w:w="2474" w:type="dxa"/>
            <w:tcBorders>
              <w:top w:val="single" w:color="auto" w:sz="4" w:space="0"/>
              <w:bottom w:val="single" w:color="auto" w:sz="4" w:space="0"/>
              <w:right w:val="single" w:color="auto" w:sz="4" w:space="0"/>
            </w:tcBorders>
            <w:vAlign w:val="center"/>
          </w:tcPr>
          <w:p>
            <w:pPr>
              <w:tabs>
                <w:tab w:val="left" w:pos="4648"/>
              </w:tabs>
              <w:spacing w:line="400" w:lineRule="exact"/>
              <w:jc w:val="center"/>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top w:val="single" w:color="auto" w:sz="4" w:space="0"/>
              <w:left w:val="single" w:color="auto" w:sz="4" w:space="0"/>
              <w:bottom w:val="single" w:color="auto" w:sz="4" w:space="0"/>
            </w:tcBorders>
            <w:vAlign w:val="center"/>
          </w:tcPr>
          <w:p>
            <w:pPr>
              <w:spacing w:line="400" w:lineRule="exact"/>
              <w:jc w:val="center"/>
              <w:rPr>
                <w:rFonts w:ascii="宋体" w:hAnsi="宋体"/>
                <w:bCs/>
                <w:color w:val="auto"/>
                <w:szCs w:val="21"/>
                <w:highlight w:val="none"/>
              </w:rPr>
            </w:pPr>
            <w:r>
              <w:rPr>
                <w:rFonts w:hint="eastAsia" w:ascii="宋体" w:hAnsi="宋体"/>
                <w:bCs/>
                <w:color w:val="auto"/>
                <w:szCs w:val="21"/>
                <w:highlight w:val="none"/>
              </w:rPr>
              <w:t>3</w:t>
            </w:r>
          </w:p>
        </w:tc>
        <w:tc>
          <w:tcPr>
            <w:tcW w:w="1647" w:type="dxa"/>
            <w:tcBorders>
              <w:top w:val="single" w:color="auto" w:sz="4" w:space="0"/>
              <w:bottom w:val="single" w:color="auto" w:sz="4" w:space="0"/>
            </w:tcBorders>
            <w:vAlign w:val="center"/>
          </w:tcPr>
          <w:p>
            <w:pPr>
              <w:spacing w:line="400" w:lineRule="exact"/>
              <w:jc w:val="center"/>
              <w:rPr>
                <w:rFonts w:ascii="宋体" w:hAnsi="宋体"/>
                <w:color w:val="auto"/>
                <w:szCs w:val="21"/>
                <w:highlight w:val="none"/>
              </w:rPr>
            </w:pPr>
          </w:p>
        </w:tc>
        <w:tc>
          <w:tcPr>
            <w:tcW w:w="1188" w:type="dxa"/>
            <w:tcBorders>
              <w:top w:val="single" w:color="auto" w:sz="4" w:space="0"/>
              <w:bottom w:val="single" w:color="auto" w:sz="4" w:space="0"/>
            </w:tcBorders>
            <w:vAlign w:val="center"/>
          </w:tcPr>
          <w:p>
            <w:pPr>
              <w:spacing w:line="400" w:lineRule="exact"/>
              <w:jc w:val="center"/>
              <w:rPr>
                <w:rFonts w:ascii="宋体" w:hAnsi="宋体" w:cs="仿宋_GB2312"/>
                <w:color w:val="auto"/>
                <w:szCs w:val="21"/>
                <w:highlight w:val="none"/>
              </w:rPr>
            </w:pPr>
          </w:p>
        </w:tc>
        <w:tc>
          <w:tcPr>
            <w:tcW w:w="1134" w:type="dxa"/>
            <w:tcBorders>
              <w:top w:val="single" w:color="auto" w:sz="4" w:space="0"/>
              <w:bottom w:val="single" w:color="auto" w:sz="4" w:space="0"/>
            </w:tcBorders>
            <w:vAlign w:val="center"/>
          </w:tcPr>
          <w:p>
            <w:pPr>
              <w:spacing w:line="400" w:lineRule="exact"/>
              <w:jc w:val="center"/>
              <w:rPr>
                <w:rFonts w:ascii="宋体" w:hAnsi="宋体"/>
                <w:bCs/>
                <w:color w:val="auto"/>
                <w:szCs w:val="21"/>
                <w:highlight w:val="none"/>
              </w:rPr>
            </w:pPr>
            <w:r>
              <w:rPr>
                <w:rFonts w:hint="eastAsia" w:ascii="宋体" w:hAnsi="宋体"/>
                <w:bCs/>
                <w:color w:val="auto"/>
                <w:szCs w:val="21"/>
                <w:highlight w:val="none"/>
              </w:rPr>
              <w:t>12</w:t>
            </w:r>
          </w:p>
        </w:tc>
        <w:tc>
          <w:tcPr>
            <w:tcW w:w="23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bCs/>
                <w:color w:val="auto"/>
                <w:szCs w:val="21"/>
                <w:highlight w:val="none"/>
              </w:rPr>
            </w:pPr>
          </w:p>
        </w:tc>
        <w:tc>
          <w:tcPr>
            <w:tcW w:w="2474" w:type="dxa"/>
            <w:tcBorders>
              <w:top w:val="single" w:color="auto" w:sz="4" w:space="0"/>
              <w:bottom w:val="single" w:color="auto" w:sz="4" w:space="0"/>
              <w:right w:val="single" w:color="auto" w:sz="4" w:space="0"/>
            </w:tcBorders>
            <w:vAlign w:val="center"/>
          </w:tcPr>
          <w:p>
            <w:pPr>
              <w:tabs>
                <w:tab w:val="left" w:pos="4648"/>
              </w:tabs>
              <w:spacing w:line="400" w:lineRule="exact"/>
              <w:jc w:val="center"/>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top w:val="single" w:color="auto" w:sz="4" w:space="0"/>
              <w:left w:val="single" w:color="auto" w:sz="4" w:space="0"/>
              <w:bottom w:val="single" w:color="auto" w:sz="4" w:space="0"/>
            </w:tcBorders>
            <w:vAlign w:val="center"/>
          </w:tcPr>
          <w:p>
            <w:pPr>
              <w:spacing w:line="400" w:lineRule="exact"/>
              <w:jc w:val="center"/>
              <w:rPr>
                <w:rFonts w:ascii="宋体" w:hAnsi="宋体"/>
                <w:bCs/>
                <w:color w:val="auto"/>
                <w:szCs w:val="21"/>
                <w:highlight w:val="none"/>
              </w:rPr>
            </w:pPr>
            <w:r>
              <w:rPr>
                <w:rFonts w:hint="eastAsia" w:ascii="宋体" w:hAnsi="宋体"/>
                <w:bCs/>
                <w:color w:val="auto"/>
                <w:szCs w:val="21"/>
                <w:highlight w:val="none"/>
              </w:rPr>
              <w:t>4</w:t>
            </w:r>
          </w:p>
        </w:tc>
        <w:tc>
          <w:tcPr>
            <w:tcW w:w="1647" w:type="dxa"/>
            <w:tcBorders>
              <w:top w:val="single" w:color="auto" w:sz="4" w:space="0"/>
              <w:bottom w:val="single" w:color="auto" w:sz="4" w:space="0"/>
            </w:tcBorders>
            <w:vAlign w:val="center"/>
          </w:tcPr>
          <w:p>
            <w:pPr>
              <w:spacing w:line="400" w:lineRule="exact"/>
              <w:jc w:val="center"/>
              <w:rPr>
                <w:rFonts w:ascii="宋体" w:hAnsi="宋体"/>
                <w:color w:val="auto"/>
                <w:szCs w:val="21"/>
                <w:highlight w:val="none"/>
              </w:rPr>
            </w:pPr>
          </w:p>
        </w:tc>
        <w:tc>
          <w:tcPr>
            <w:tcW w:w="1188" w:type="dxa"/>
            <w:tcBorders>
              <w:top w:val="single" w:color="auto" w:sz="4" w:space="0"/>
              <w:bottom w:val="single" w:color="auto" w:sz="4" w:space="0"/>
            </w:tcBorders>
            <w:vAlign w:val="center"/>
          </w:tcPr>
          <w:p>
            <w:pPr>
              <w:spacing w:line="400" w:lineRule="exact"/>
              <w:jc w:val="center"/>
              <w:rPr>
                <w:rFonts w:ascii="宋体" w:hAnsi="宋体" w:cs="仿宋_GB2312"/>
                <w:color w:val="auto"/>
                <w:szCs w:val="21"/>
                <w:highlight w:val="none"/>
              </w:rPr>
            </w:pPr>
          </w:p>
        </w:tc>
        <w:tc>
          <w:tcPr>
            <w:tcW w:w="1134" w:type="dxa"/>
            <w:tcBorders>
              <w:top w:val="single" w:color="auto" w:sz="4" w:space="0"/>
              <w:bottom w:val="single" w:color="auto" w:sz="4" w:space="0"/>
            </w:tcBorders>
            <w:vAlign w:val="center"/>
          </w:tcPr>
          <w:p>
            <w:pPr>
              <w:spacing w:line="400" w:lineRule="exact"/>
              <w:jc w:val="center"/>
              <w:rPr>
                <w:rFonts w:ascii="宋体" w:hAnsi="宋体"/>
                <w:bCs/>
                <w:color w:val="auto"/>
                <w:szCs w:val="21"/>
                <w:highlight w:val="none"/>
              </w:rPr>
            </w:pPr>
            <w:r>
              <w:rPr>
                <w:rFonts w:hint="eastAsia" w:ascii="宋体" w:hAnsi="宋体"/>
                <w:bCs/>
                <w:color w:val="auto"/>
                <w:szCs w:val="21"/>
                <w:highlight w:val="none"/>
              </w:rPr>
              <w:t>12</w:t>
            </w:r>
          </w:p>
        </w:tc>
        <w:tc>
          <w:tcPr>
            <w:tcW w:w="23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bCs/>
                <w:color w:val="auto"/>
                <w:szCs w:val="21"/>
                <w:highlight w:val="none"/>
              </w:rPr>
            </w:pPr>
          </w:p>
        </w:tc>
        <w:tc>
          <w:tcPr>
            <w:tcW w:w="2474" w:type="dxa"/>
            <w:tcBorders>
              <w:top w:val="single" w:color="auto" w:sz="4" w:space="0"/>
              <w:bottom w:val="single" w:color="auto" w:sz="4" w:space="0"/>
              <w:right w:val="single" w:color="auto" w:sz="4" w:space="0"/>
            </w:tcBorders>
            <w:vAlign w:val="center"/>
          </w:tcPr>
          <w:p>
            <w:pPr>
              <w:tabs>
                <w:tab w:val="left" w:pos="4648"/>
              </w:tabs>
              <w:spacing w:line="400" w:lineRule="exact"/>
              <w:jc w:val="center"/>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top w:val="single" w:color="auto" w:sz="4" w:space="0"/>
              <w:left w:val="single" w:color="auto" w:sz="4" w:space="0"/>
              <w:bottom w:val="single" w:color="auto" w:sz="4" w:space="0"/>
            </w:tcBorders>
            <w:vAlign w:val="center"/>
          </w:tcPr>
          <w:p>
            <w:pPr>
              <w:spacing w:line="400" w:lineRule="exact"/>
              <w:jc w:val="center"/>
              <w:rPr>
                <w:rFonts w:ascii="宋体" w:hAnsi="宋体"/>
                <w:bCs/>
                <w:color w:val="auto"/>
                <w:szCs w:val="21"/>
                <w:highlight w:val="none"/>
              </w:rPr>
            </w:pPr>
            <w:r>
              <w:rPr>
                <w:rFonts w:hint="eastAsia" w:ascii="宋体" w:hAnsi="宋体"/>
                <w:bCs/>
                <w:color w:val="auto"/>
                <w:szCs w:val="21"/>
                <w:highlight w:val="none"/>
              </w:rPr>
              <w:t>5</w:t>
            </w:r>
          </w:p>
        </w:tc>
        <w:tc>
          <w:tcPr>
            <w:tcW w:w="1647" w:type="dxa"/>
            <w:tcBorders>
              <w:top w:val="single" w:color="auto" w:sz="4" w:space="0"/>
              <w:bottom w:val="single" w:color="auto" w:sz="4" w:space="0"/>
            </w:tcBorders>
            <w:vAlign w:val="center"/>
          </w:tcPr>
          <w:p>
            <w:pPr>
              <w:spacing w:line="400" w:lineRule="exact"/>
              <w:jc w:val="center"/>
              <w:rPr>
                <w:rFonts w:ascii="宋体" w:hAnsi="宋体"/>
                <w:color w:val="auto"/>
                <w:szCs w:val="21"/>
                <w:highlight w:val="none"/>
              </w:rPr>
            </w:pPr>
          </w:p>
        </w:tc>
        <w:tc>
          <w:tcPr>
            <w:tcW w:w="1188" w:type="dxa"/>
            <w:tcBorders>
              <w:top w:val="single" w:color="auto" w:sz="4" w:space="0"/>
              <w:bottom w:val="single" w:color="auto" w:sz="4" w:space="0"/>
            </w:tcBorders>
            <w:vAlign w:val="center"/>
          </w:tcPr>
          <w:p>
            <w:pPr>
              <w:spacing w:line="400" w:lineRule="exact"/>
              <w:jc w:val="center"/>
              <w:rPr>
                <w:rFonts w:ascii="宋体" w:hAnsi="宋体" w:cs="仿宋_GB2312"/>
                <w:color w:val="auto"/>
                <w:szCs w:val="21"/>
                <w:highlight w:val="none"/>
              </w:rPr>
            </w:pPr>
          </w:p>
        </w:tc>
        <w:tc>
          <w:tcPr>
            <w:tcW w:w="1134" w:type="dxa"/>
            <w:tcBorders>
              <w:top w:val="single" w:color="auto" w:sz="4" w:space="0"/>
              <w:bottom w:val="single" w:color="auto" w:sz="4" w:space="0"/>
            </w:tcBorders>
            <w:vAlign w:val="center"/>
          </w:tcPr>
          <w:p>
            <w:pPr>
              <w:spacing w:line="400" w:lineRule="exact"/>
              <w:jc w:val="center"/>
              <w:rPr>
                <w:rFonts w:ascii="宋体" w:hAnsi="宋体"/>
                <w:bCs/>
                <w:color w:val="auto"/>
                <w:szCs w:val="21"/>
                <w:highlight w:val="none"/>
              </w:rPr>
            </w:pPr>
            <w:r>
              <w:rPr>
                <w:rFonts w:hint="eastAsia" w:ascii="宋体" w:hAnsi="宋体"/>
                <w:bCs/>
                <w:color w:val="auto"/>
                <w:szCs w:val="21"/>
                <w:highlight w:val="none"/>
              </w:rPr>
              <w:t>12</w:t>
            </w:r>
          </w:p>
        </w:tc>
        <w:tc>
          <w:tcPr>
            <w:tcW w:w="23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bCs/>
                <w:color w:val="auto"/>
                <w:szCs w:val="21"/>
                <w:highlight w:val="none"/>
              </w:rPr>
            </w:pPr>
          </w:p>
        </w:tc>
        <w:tc>
          <w:tcPr>
            <w:tcW w:w="2474" w:type="dxa"/>
            <w:tcBorders>
              <w:top w:val="single" w:color="auto" w:sz="4" w:space="0"/>
              <w:bottom w:val="single" w:color="auto" w:sz="4" w:space="0"/>
              <w:right w:val="single" w:color="auto" w:sz="4" w:space="0"/>
            </w:tcBorders>
            <w:vAlign w:val="center"/>
          </w:tcPr>
          <w:p>
            <w:pPr>
              <w:tabs>
                <w:tab w:val="left" w:pos="4648"/>
              </w:tabs>
              <w:spacing w:line="400" w:lineRule="exact"/>
              <w:jc w:val="center"/>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top w:val="single" w:color="auto" w:sz="4" w:space="0"/>
              <w:left w:val="single" w:color="auto" w:sz="4" w:space="0"/>
              <w:bottom w:val="single" w:color="auto" w:sz="4" w:space="0"/>
            </w:tcBorders>
            <w:vAlign w:val="center"/>
          </w:tcPr>
          <w:p>
            <w:pPr>
              <w:spacing w:line="400" w:lineRule="exact"/>
              <w:jc w:val="center"/>
              <w:rPr>
                <w:rFonts w:ascii="宋体" w:hAnsi="宋体"/>
                <w:bCs/>
                <w:color w:val="auto"/>
                <w:szCs w:val="21"/>
                <w:highlight w:val="none"/>
              </w:rPr>
            </w:pPr>
            <w:r>
              <w:rPr>
                <w:rFonts w:hint="eastAsia" w:ascii="宋体" w:hAnsi="宋体"/>
                <w:bCs/>
                <w:color w:val="auto"/>
                <w:szCs w:val="21"/>
                <w:highlight w:val="none"/>
              </w:rPr>
              <w:t>6</w:t>
            </w:r>
          </w:p>
        </w:tc>
        <w:tc>
          <w:tcPr>
            <w:tcW w:w="1647" w:type="dxa"/>
            <w:tcBorders>
              <w:top w:val="single" w:color="auto" w:sz="4" w:space="0"/>
              <w:bottom w:val="single" w:color="auto" w:sz="4" w:space="0"/>
            </w:tcBorders>
            <w:vAlign w:val="center"/>
          </w:tcPr>
          <w:p>
            <w:pPr>
              <w:spacing w:line="400" w:lineRule="exact"/>
              <w:jc w:val="center"/>
              <w:rPr>
                <w:color w:val="auto"/>
                <w:highlight w:val="none"/>
              </w:rPr>
            </w:pPr>
          </w:p>
        </w:tc>
        <w:tc>
          <w:tcPr>
            <w:tcW w:w="1188" w:type="dxa"/>
            <w:tcBorders>
              <w:top w:val="single" w:color="auto" w:sz="4" w:space="0"/>
              <w:bottom w:val="single" w:color="auto" w:sz="4" w:space="0"/>
            </w:tcBorders>
            <w:vAlign w:val="center"/>
          </w:tcPr>
          <w:p>
            <w:pPr>
              <w:spacing w:line="400" w:lineRule="exact"/>
              <w:jc w:val="center"/>
              <w:rPr>
                <w:rFonts w:ascii="宋体" w:hAnsi="宋体" w:cs="仿宋_GB2312"/>
                <w:color w:val="auto"/>
                <w:szCs w:val="21"/>
                <w:highlight w:val="none"/>
              </w:rPr>
            </w:pPr>
          </w:p>
        </w:tc>
        <w:tc>
          <w:tcPr>
            <w:tcW w:w="1134" w:type="dxa"/>
            <w:tcBorders>
              <w:top w:val="single" w:color="auto" w:sz="4" w:space="0"/>
              <w:bottom w:val="single" w:color="auto" w:sz="4" w:space="0"/>
            </w:tcBorders>
            <w:vAlign w:val="center"/>
          </w:tcPr>
          <w:p>
            <w:pPr>
              <w:spacing w:line="400" w:lineRule="exact"/>
              <w:jc w:val="center"/>
              <w:rPr>
                <w:rFonts w:ascii="宋体" w:hAnsi="宋体"/>
                <w:bCs/>
                <w:color w:val="auto"/>
                <w:szCs w:val="21"/>
                <w:highlight w:val="none"/>
              </w:rPr>
            </w:pPr>
            <w:r>
              <w:rPr>
                <w:rFonts w:hint="eastAsia" w:ascii="宋体" w:hAnsi="宋体"/>
                <w:bCs/>
                <w:color w:val="auto"/>
                <w:szCs w:val="21"/>
                <w:highlight w:val="none"/>
              </w:rPr>
              <w:t>12</w:t>
            </w:r>
          </w:p>
        </w:tc>
        <w:tc>
          <w:tcPr>
            <w:tcW w:w="23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bCs/>
                <w:color w:val="auto"/>
                <w:szCs w:val="21"/>
                <w:highlight w:val="none"/>
              </w:rPr>
            </w:pPr>
          </w:p>
        </w:tc>
        <w:tc>
          <w:tcPr>
            <w:tcW w:w="2474" w:type="dxa"/>
            <w:tcBorders>
              <w:top w:val="single" w:color="auto" w:sz="4" w:space="0"/>
              <w:bottom w:val="single" w:color="auto" w:sz="4" w:space="0"/>
              <w:right w:val="single" w:color="auto" w:sz="4" w:space="0"/>
            </w:tcBorders>
            <w:vAlign w:val="center"/>
          </w:tcPr>
          <w:p>
            <w:pPr>
              <w:tabs>
                <w:tab w:val="left" w:pos="4648"/>
              </w:tabs>
              <w:spacing w:line="400" w:lineRule="exact"/>
              <w:jc w:val="center"/>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top w:val="single" w:color="auto" w:sz="4" w:space="0"/>
              <w:left w:val="single" w:color="auto" w:sz="4" w:space="0"/>
              <w:bottom w:val="single" w:color="auto" w:sz="4" w:space="0"/>
            </w:tcBorders>
            <w:vAlign w:val="center"/>
          </w:tcPr>
          <w:p>
            <w:pPr>
              <w:spacing w:line="400" w:lineRule="exact"/>
              <w:jc w:val="center"/>
              <w:rPr>
                <w:rFonts w:ascii="宋体" w:hAnsi="宋体"/>
                <w:bCs/>
                <w:color w:val="auto"/>
                <w:szCs w:val="21"/>
                <w:highlight w:val="none"/>
              </w:rPr>
            </w:pPr>
            <w:r>
              <w:rPr>
                <w:rFonts w:hint="eastAsia" w:ascii="宋体" w:hAnsi="宋体"/>
                <w:bCs/>
                <w:color w:val="auto"/>
                <w:szCs w:val="21"/>
                <w:highlight w:val="none"/>
              </w:rPr>
              <w:t>7</w:t>
            </w:r>
          </w:p>
        </w:tc>
        <w:tc>
          <w:tcPr>
            <w:tcW w:w="1647" w:type="dxa"/>
            <w:tcBorders>
              <w:top w:val="single" w:color="auto" w:sz="4" w:space="0"/>
              <w:bottom w:val="single" w:color="auto" w:sz="4" w:space="0"/>
            </w:tcBorders>
            <w:vAlign w:val="center"/>
          </w:tcPr>
          <w:p>
            <w:pPr>
              <w:spacing w:line="400" w:lineRule="exact"/>
              <w:jc w:val="center"/>
              <w:rPr>
                <w:rFonts w:ascii="宋体" w:hAnsi="宋体"/>
                <w:b/>
                <w:bCs/>
                <w:color w:val="auto"/>
                <w:szCs w:val="21"/>
                <w:highlight w:val="none"/>
              </w:rPr>
            </w:pPr>
          </w:p>
        </w:tc>
        <w:tc>
          <w:tcPr>
            <w:tcW w:w="1188" w:type="dxa"/>
            <w:tcBorders>
              <w:top w:val="single" w:color="auto" w:sz="4" w:space="0"/>
              <w:bottom w:val="single" w:color="auto" w:sz="4" w:space="0"/>
            </w:tcBorders>
            <w:vAlign w:val="center"/>
          </w:tcPr>
          <w:p>
            <w:pPr>
              <w:spacing w:line="400" w:lineRule="exact"/>
              <w:jc w:val="center"/>
              <w:rPr>
                <w:rFonts w:ascii="宋体" w:hAnsi="宋体" w:cs="仿宋_GB2312"/>
                <w:color w:val="auto"/>
                <w:szCs w:val="21"/>
                <w:highlight w:val="none"/>
              </w:rPr>
            </w:pPr>
          </w:p>
        </w:tc>
        <w:tc>
          <w:tcPr>
            <w:tcW w:w="1134" w:type="dxa"/>
            <w:tcBorders>
              <w:top w:val="single" w:color="auto" w:sz="4" w:space="0"/>
              <w:bottom w:val="single" w:color="auto" w:sz="4" w:space="0"/>
            </w:tcBorders>
            <w:vAlign w:val="center"/>
          </w:tcPr>
          <w:p>
            <w:pPr>
              <w:spacing w:line="400" w:lineRule="exact"/>
              <w:jc w:val="center"/>
              <w:rPr>
                <w:rFonts w:ascii="宋体" w:hAnsi="宋体"/>
                <w:bCs/>
                <w:color w:val="auto"/>
                <w:szCs w:val="21"/>
                <w:highlight w:val="none"/>
              </w:rPr>
            </w:pPr>
            <w:r>
              <w:rPr>
                <w:rFonts w:hint="eastAsia" w:ascii="宋体" w:hAnsi="宋体"/>
                <w:bCs/>
                <w:color w:val="auto"/>
                <w:szCs w:val="21"/>
                <w:highlight w:val="none"/>
              </w:rPr>
              <w:t>12</w:t>
            </w:r>
          </w:p>
        </w:tc>
        <w:tc>
          <w:tcPr>
            <w:tcW w:w="23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bCs/>
                <w:color w:val="auto"/>
                <w:szCs w:val="21"/>
                <w:highlight w:val="none"/>
              </w:rPr>
            </w:pPr>
          </w:p>
        </w:tc>
        <w:tc>
          <w:tcPr>
            <w:tcW w:w="2474" w:type="dxa"/>
            <w:tcBorders>
              <w:top w:val="single" w:color="auto" w:sz="4" w:space="0"/>
              <w:bottom w:val="single" w:color="auto" w:sz="4" w:space="0"/>
              <w:right w:val="single" w:color="auto" w:sz="4" w:space="0"/>
            </w:tcBorders>
            <w:vAlign w:val="center"/>
          </w:tcPr>
          <w:p>
            <w:pPr>
              <w:tabs>
                <w:tab w:val="left" w:pos="4648"/>
              </w:tabs>
              <w:spacing w:line="400" w:lineRule="exact"/>
              <w:jc w:val="center"/>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top w:val="single" w:color="auto" w:sz="4" w:space="0"/>
              <w:left w:val="single" w:color="auto" w:sz="4" w:space="0"/>
              <w:bottom w:val="single" w:color="auto" w:sz="4" w:space="0"/>
            </w:tcBorders>
            <w:vAlign w:val="center"/>
          </w:tcPr>
          <w:p>
            <w:pPr>
              <w:spacing w:line="400" w:lineRule="exact"/>
              <w:jc w:val="center"/>
              <w:rPr>
                <w:rFonts w:ascii="宋体" w:hAnsi="宋体"/>
                <w:bCs/>
                <w:color w:val="auto"/>
                <w:szCs w:val="21"/>
                <w:highlight w:val="none"/>
              </w:rPr>
            </w:pPr>
            <w:r>
              <w:rPr>
                <w:rFonts w:hint="eastAsia" w:ascii="宋体" w:hAnsi="宋体"/>
                <w:bCs/>
                <w:color w:val="auto"/>
                <w:szCs w:val="21"/>
                <w:highlight w:val="none"/>
              </w:rPr>
              <w:t>..</w:t>
            </w:r>
          </w:p>
        </w:tc>
        <w:tc>
          <w:tcPr>
            <w:tcW w:w="1647" w:type="dxa"/>
            <w:tcBorders>
              <w:top w:val="single" w:color="auto" w:sz="4" w:space="0"/>
              <w:bottom w:val="single" w:color="auto" w:sz="4" w:space="0"/>
            </w:tcBorders>
            <w:vAlign w:val="center"/>
          </w:tcPr>
          <w:p>
            <w:pPr>
              <w:spacing w:line="400" w:lineRule="exact"/>
              <w:jc w:val="center"/>
              <w:rPr>
                <w:rFonts w:ascii="宋体" w:hAnsi="宋体"/>
                <w:bCs/>
                <w:color w:val="auto"/>
                <w:szCs w:val="21"/>
                <w:highlight w:val="none"/>
              </w:rPr>
            </w:pPr>
            <w:r>
              <w:rPr>
                <w:rFonts w:hint="eastAsia" w:ascii="宋体" w:hAnsi="宋体"/>
                <w:bCs/>
                <w:color w:val="auto"/>
                <w:szCs w:val="21"/>
                <w:highlight w:val="none"/>
              </w:rPr>
              <w:t>..</w:t>
            </w:r>
          </w:p>
        </w:tc>
        <w:tc>
          <w:tcPr>
            <w:tcW w:w="1188" w:type="dxa"/>
            <w:tcBorders>
              <w:top w:val="single" w:color="auto" w:sz="4" w:space="0"/>
              <w:bottom w:val="single" w:color="auto" w:sz="4" w:space="0"/>
            </w:tcBorders>
            <w:vAlign w:val="center"/>
          </w:tcPr>
          <w:p>
            <w:pPr>
              <w:spacing w:line="400" w:lineRule="exact"/>
              <w:jc w:val="center"/>
              <w:rPr>
                <w:rFonts w:ascii="宋体" w:hAnsi="宋体"/>
                <w:bCs/>
                <w:color w:val="auto"/>
                <w:szCs w:val="21"/>
                <w:highlight w:val="none"/>
              </w:rPr>
            </w:pPr>
          </w:p>
        </w:tc>
        <w:tc>
          <w:tcPr>
            <w:tcW w:w="1134" w:type="dxa"/>
            <w:tcBorders>
              <w:top w:val="single" w:color="auto" w:sz="4" w:space="0"/>
              <w:bottom w:val="single" w:color="auto" w:sz="4" w:space="0"/>
            </w:tcBorders>
            <w:vAlign w:val="center"/>
          </w:tcPr>
          <w:p>
            <w:pPr>
              <w:spacing w:line="400" w:lineRule="exact"/>
              <w:jc w:val="center"/>
              <w:rPr>
                <w:rFonts w:ascii="宋体" w:hAnsi="宋体"/>
                <w:bCs/>
                <w:color w:val="auto"/>
                <w:szCs w:val="21"/>
                <w:highlight w:val="none"/>
              </w:rPr>
            </w:pPr>
          </w:p>
        </w:tc>
        <w:tc>
          <w:tcPr>
            <w:tcW w:w="23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bCs/>
                <w:color w:val="auto"/>
                <w:szCs w:val="21"/>
                <w:highlight w:val="none"/>
              </w:rPr>
            </w:pPr>
          </w:p>
        </w:tc>
        <w:tc>
          <w:tcPr>
            <w:tcW w:w="2474" w:type="dxa"/>
            <w:tcBorders>
              <w:top w:val="single" w:color="auto" w:sz="4" w:space="0"/>
              <w:bottom w:val="single" w:color="auto" w:sz="4" w:space="0"/>
              <w:right w:val="single" w:color="auto" w:sz="4" w:space="0"/>
            </w:tcBorders>
            <w:vAlign w:val="center"/>
          </w:tcPr>
          <w:p>
            <w:pPr>
              <w:tabs>
                <w:tab w:val="left" w:pos="4648"/>
              </w:tabs>
              <w:spacing w:line="400" w:lineRule="exact"/>
              <w:jc w:val="center"/>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8"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bCs/>
                <w:color w:val="auto"/>
                <w:szCs w:val="21"/>
                <w:highlight w:val="none"/>
              </w:rPr>
            </w:pPr>
            <w:r>
              <w:rPr>
                <w:rFonts w:hint="eastAsia" w:ascii="宋体" w:hAnsi="宋体"/>
                <w:bCs/>
                <w:color w:val="auto"/>
                <w:szCs w:val="21"/>
                <w:highlight w:val="none"/>
              </w:rPr>
              <w:t>其他费用</w:t>
            </w:r>
          </w:p>
        </w:tc>
        <w:tc>
          <w:tcPr>
            <w:tcW w:w="1188" w:type="dxa"/>
            <w:tcBorders>
              <w:top w:val="single" w:color="auto" w:sz="4" w:space="0"/>
              <w:bottom w:val="single" w:color="auto" w:sz="4" w:space="0"/>
            </w:tcBorders>
            <w:vAlign w:val="center"/>
          </w:tcPr>
          <w:p>
            <w:pPr>
              <w:spacing w:line="400" w:lineRule="exact"/>
              <w:jc w:val="center"/>
              <w:rPr>
                <w:rFonts w:ascii="宋体" w:hAnsi="宋体"/>
                <w:bCs/>
                <w:color w:val="auto"/>
                <w:szCs w:val="21"/>
                <w:highlight w:val="none"/>
              </w:rPr>
            </w:pPr>
          </w:p>
        </w:tc>
        <w:tc>
          <w:tcPr>
            <w:tcW w:w="1134" w:type="dxa"/>
            <w:tcBorders>
              <w:top w:val="single" w:color="auto" w:sz="4" w:space="0"/>
              <w:bottom w:val="single" w:color="auto" w:sz="4" w:space="0"/>
            </w:tcBorders>
            <w:vAlign w:val="center"/>
          </w:tcPr>
          <w:p>
            <w:pPr>
              <w:spacing w:line="400" w:lineRule="exact"/>
              <w:jc w:val="center"/>
              <w:rPr>
                <w:rFonts w:ascii="宋体" w:hAnsi="宋体"/>
                <w:bCs/>
                <w:color w:val="auto"/>
                <w:szCs w:val="21"/>
                <w:highlight w:val="none"/>
              </w:rPr>
            </w:pPr>
          </w:p>
        </w:tc>
        <w:tc>
          <w:tcPr>
            <w:tcW w:w="23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bCs/>
                <w:color w:val="auto"/>
                <w:szCs w:val="21"/>
                <w:highlight w:val="none"/>
              </w:rPr>
            </w:pPr>
          </w:p>
        </w:tc>
        <w:tc>
          <w:tcPr>
            <w:tcW w:w="2474" w:type="dxa"/>
            <w:tcBorders>
              <w:top w:val="single" w:color="auto" w:sz="4" w:space="0"/>
              <w:bottom w:val="single" w:color="auto" w:sz="4" w:space="0"/>
              <w:right w:val="single" w:color="auto" w:sz="4" w:space="0"/>
            </w:tcBorders>
            <w:vAlign w:val="center"/>
          </w:tcPr>
          <w:p>
            <w:pPr>
              <w:tabs>
                <w:tab w:val="left" w:pos="4648"/>
              </w:tabs>
              <w:spacing w:line="400" w:lineRule="exact"/>
              <w:jc w:val="center"/>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8" w:type="dxa"/>
            <w:gridSpan w:val="2"/>
            <w:tcBorders>
              <w:top w:val="single" w:color="auto" w:sz="4" w:space="0"/>
              <w:left w:val="single" w:color="auto" w:sz="4" w:space="0"/>
              <w:bottom w:val="single" w:color="auto" w:sz="4" w:space="0"/>
            </w:tcBorders>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合计</w:t>
            </w:r>
          </w:p>
        </w:tc>
        <w:tc>
          <w:tcPr>
            <w:tcW w:w="1188" w:type="dxa"/>
            <w:tcBorders>
              <w:top w:val="single" w:color="auto" w:sz="4" w:space="0"/>
              <w:bottom w:val="single" w:color="auto" w:sz="4" w:space="0"/>
            </w:tcBorders>
            <w:vAlign w:val="center"/>
          </w:tcPr>
          <w:p>
            <w:pPr>
              <w:widowControl/>
              <w:spacing w:line="400" w:lineRule="exact"/>
              <w:jc w:val="center"/>
              <w:rPr>
                <w:rFonts w:ascii="宋体" w:hAnsi="宋体" w:cs="宋体"/>
                <w:color w:val="auto"/>
                <w:kern w:val="0"/>
                <w:szCs w:val="21"/>
                <w:highlight w:val="none"/>
              </w:rPr>
            </w:pPr>
          </w:p>
        </w:tc>
        <w:tc>
          <w:tcPr>
            <w:tcW w:w="1134" w:type="dxa"/>
            <w:tcBorders>
              <w:top w:val="single" w:color="auto" w:sz="4" w:space="0"/>
              <w:bottom w:val="single" w:color="auto" w:sz="4" w:space="0"/>
            </w:tcBorders>
            <w:vAlign w:val="center"/>
          </w:tcPr>
          <w:p>
            <w:pPr>
              <w:spacing w:line="400" w:lineRule="exact"/>
              <w:jc w:val="center"/>
              <w:rPr>
                <w:rFonts w:ascii="宋体" w:hAnsi="宋体"/>
                <w:bCs/>
                <w:color w:val="auto"/>
                <w:szCs w:val="21"/>
                <w:highlight w:val="none"/>
              </w:rPr>
            </w:pPr>
          </w:p>
        </w:tc>
        <w:tc>
          <w:tcPr>
            <w:tcW w:w="23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bCs/>
                <w:color w:val="auto"/>
                <w:szCs w:val="21"/>
                <w:highlight w:val="none"/>
              </w:rPr>
            </w:pPr>
          </w:p>
        </w:tc>
        <w:tc>
          <w:tcPr>
            <w:tcW w:w="2474" w:type="dxa"/>
            <w:tcBorders>
              <w:top w:val="single" w:color="auto" w:sz="4" w:space="0"/>
              <w:bottom w:val="single" w:color="auto" w:sz="4" w:space="0"/>
              <w:right w:val="single" w:color="auto" w:sz="4" w:space="0"/>
            </w:tcBorders>
            <w:vAlign w:val="center"/>
          </w:tcPr>
          <w:p>
            <w:pPr>
              <w:tabs>
                <w:tab w:val="left" w:pos="4648"/>
              </w:tabs>
              <w:spacing w:line="400" w:lineRule="exact"/>
              <w:jc w:val="center"/>
              <w:rPr>
                <w:rFonts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2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投标报价（小写）</w:t>
            </w:r>
          </w:p>
        </w:tc>
        <w:tc>
          <w:tcPr>
            <w:tcW w:w="2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w:t>
            </w:r>
          </w:p>
        </w:tc>
        <w:tc>
          <w:tcPr>
            <w:tcW w:w="2474" w:type="dxa"/>
            <w:tcBorders>
              <w:top w:val="single" w:color="auto" w:sz="4" w:space="0"/>
              <w:left w:val="single" w:color="auto" w:sz="4" w:space="0"/>
              <w:bottom w:val="single" w:color="auto" w:sz="4" w:space="0"/>
              <w:right w:val="single" w:color="auto" w:sz="4" w:space="0"/>
            </w:tcBorders>
            <w:vAlign w:val="center"/>
          </w:tcPr>
          <w:p>
            <w:pPr>
              <w:spacing w:line="400" w:lineRule="exact"/>
              <w:ind w:left="184"/>
              <w:jc w:val="center"/>
              <w:rPr>
                <w:rFonts w:ascii="宋体" w:hAnsi="宋体"/>
                <w:color w:val="auto"/>
                <w:szCs w:val="21"/>
                <w:highlight w:val="none"/>
              </w:rPr>
            </w:pPr>
            <w:r>
              <w:rPr>
                <w:rFonts w:hint="eastAsia" w:ascii="宋体" w:hAnsi="宋体"/>
                <w:color w:val="auto"/>
                <w:szCs w:val="21"/>
                <w:highlight w:val="none"/>
              </w:rPr>
              <w:t>￥元/年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2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投标总价（小写）</w:t>
            </w:r>
          </w:p>
        </w:tc>
        <w:tc>
          <w:tcPr>
            <w:tcW w:w="2369" w:type="dxa"/>
            <w:tcBorders>
              <w:top w:val="single" w:color="auto" w:sz="4" w:space="0"/>
              <w:left w:val="single" w:color="auto" w:sz="4" w:space="0"/>
              <w:bottom w:val="single" w:color="auto" w:sz="4" w:space="0"/>
              <w:right w:val="single" w:color="auto" w:sz="4" w:space="0"/>
            </w:tcBorders>
            <w:vAlign w:val="center"/>
          </w:tcPr>
          <w:p>
            <w:pPr>
              <w:spacing w:line="400" w:lineRule="exact"/>
              <w:ind w:left="33"/>
              <w:jc w:val="center"/>
              <w:rPr>
                <w:rFonts w:ascii="宋体" w:hAnsi="宋体"/>
                <w:color w:val="auto"/>
                <w:szCs w:val="21"/>
                <w:highlight w:val="none"/>
              </w:rPr>
            </w:pPr>
            <w:r>
              <w:rPr>
                <w:rFonts w:hint="eastAsia" w:ascii="宋体" w:hAnsi="宋体"/>
                <w:color w:val="auto"/>
                <w:szCs w:val="21"/>
                <w:highlight w:val="none"/>
              </w:rPr>
              <w:t>/</w:t>
            </w:r>
          </w:p>
        </w:tc>
        <w:tc>
          <w:tcPr>
            <w:tcW w:w="2474" w:type="dxa"/>
            <w:tcBorders>
              <w:top w:val="single" w:color="auto" w:sz="4" w:space="0"/>
              <w:left w:val="single" w:color="auto" w:sz="4" w:space="0"/>
              <w:bottom w:val="single" w:color="auto" w:sz="4" w:space="0"/>
              <w:right w:val="single" w:color="auto" w:sz="4" w:space="0"/>
            </w:tcBorders>
            <w:vAlign w:val="center"/>
          </w:tcPr>
          <w:p>
            <w:pPr>
              <w:spacing w:line="400" w:lineRule="exact"/>
              <w:ind w:left="267"/>
              <w:jc w:val="center"/>
              <w:rPr>
                <w:rFonts w:ascii="宋体" w:hAnsi="宋体"/>
                <w:color w:val="auto"/>
                <w:szCs w:val="21"/>
                <w:highlight w:val="none"/>
              </w:rPr>
            </w:pPr>
            <w:r>
              <w:rPr>
                <w:rFonts w:hint="eastAsia" w:ascii="宋体" w:hAnsi="宋体"/>
                <w:color w:val="auto"/>
                <w:szCs w:val="21"/>
                <w:highlight w:val="none"/>
              </w:rPr>
              <w:t>￥元/3年</w:t>
            </w:r>
          </w:p>
        </w:tc>
      </w:tr>
    </w:tbl>
    <w:p>
      <w:pPr>
        <w:pStyle w:val="20"/>
        <w:spacing w:line="400" w:lineRule="exact"/>
        <w:ind w:firstLine="210"/>
        <w:rPr>
          <w:rFonts w:ascii="宋体" w:hAnsi="宋体" w:eastAsia="宋体"/>
          <w:color w:val="auto"/>
          <w:sz w:val="21"/>
          <w:szCs w:val="21"/>
          <w:highlight w:val="none"/>
        </w:rPr>
      </w:pPr>
      <w:r>
        <w:rPr>
          <w:rFonts w:hint="eastAsia" w:ascii="宋体" w:hAnsi="宋体" w:eastAsia="宋体"/>
          <w:color w:val="auto"/>
          <w:sz w:val="21"/>
          <w:szCs w:val="21"/>
          <w:highlight w:val="none"/>
        </w:rPr>
        <w:t>注：1、供应商可根据实际情况自行填写，但必须注明具体的细目内容，栏目不够可自行添加。</w:t>
      </w:r>
    </w:p>
    <w:p>
      <w:pPr>
        <w:pStyle w:val="20"/>
        <w:spacing w:line="400" w:lineRule="exact"/>
        <w:ind w:firstLine="210"/>
        <w:rPr>
          <w:rFonts w:ascii="宋体" w:hAnsi="宋体" w:eastAsia="宋体"/>
          <w:color w:val="auto"/>
          <w:sz w:val="21"/>
          <w:szCs w:val="21"/>
          <w:highlight w:val="none"/>
        </w:rPr>
      </w:pPr>
      <w:r>
        <w:rPr>
          <w:rFonts w:hint="eastAsia" w:ascii="宋体" w:hAnsi="宋体" w:eastAsia="宋体"/>
          <w:color w:val="auto"/>
          <w:sz w:val="21"/>
          <w:szCs w:val="21"/>
          <w:highlight w:val="none"/>
        </w:rPr>
        <w:t>2、附有具体的测算明细单。</w:t>
      </w:r>
    </w:p>
    <w:p>
      <w:pPr>
        <w:spacing w:line="400" w:lineRule="exact"/>
        <w:jc w:val="left"/>
        <w:rPr>
          <w:rFonts w:ascii="宋体" w:hAnsi="宋体"/>
          <w:color w:val="auto"/>
          <w:szCs w:val="21"/>
          <w:highlight w:val="none"/>
        </w:rPr>
      </w:pPr>
    </w:p>
    <w:p>
      <w:pPr>
        <w:spacing w:line="400" w:lineRule="exact"/>
        <w:jc w:val="left"/>
        <w:rPr>
          <w:rFonts w:ascii="宋体" w:hAnsi="宋体"/>
          <w:color w:val="auto"/>
          <w:szCs w:val="21"/>
          <w:highlight w:val="none"/>
        </w:rPr>
      </w:pPr>
    </w:p>
    <w:p>
      <w:pPr>
        <w:spacing w:line="400" w:lineRule="exact"/>
        <w:jc w:val="left"/>
        <w:rPr>
          <w:rFonts w:ascii="宋体" w:hAnsi="宋体"/>
          <w:color w:val="auto"/>
          <w:szCs w:val="21"/>
          <w:highlight w:val="none"/>
        </w:rPr>
      </w:pPr>
    </w:p>
    <w:p>
      <w:pPr>
        <w:spacing w:line="400" w:lineRule="exact"/>
        <w:jc w:val="left"/>
        <w:rPr>
          <w:rFonts w:ascii="宋体" w:hAnsi="宋体"/>
          <w:color w:val="auto"/>
          <w:szCs w:val="21"/>
          <w:highlight w:val="none"/>
        </w:rPr>
      </w:pPr>
      <w:r>
        <w:rPr>
          <w:rFonts w:hint="eastAsia" w:ascii="宋体" w:hAnsi="宋体"/>
          <w:color w:val="auto"/>
          <w:szCs w:val="21"/>
          <w:highlight w:val="none"/>
        </w:rPr>
        <w:t xml:space="preserve">供应商（盖章）：  </w:t>
      </w:r>
    </w:p>
    <w:p>
      <w:pPr>
        <w:spacing w:line="400" w:lineRule="exact"/>
        <w:jc w:val="left"/>
        <w:rPr>
          <w:rFonts w:ascii="宋体" w:hAnsi="宋体"/>
          <w:color w:val="auto"/>
          <w:szCs w:val="21"/>
          <w:highlight w:val="none"/>
        </w:rPr>
      </w:pPr>
    </w:p>
    <w:p>
      <w:pPr>
        <w:spacing w:line="400" w:lineRule="exact"/>
        <w:jc w:val="left"/>
        <w:rPr>
          <w:rFonts w:ascii="宋体" w:hAnsi="宋体"/>
          <w:color w:val="auto"/>
          <w:szCs w:val="21"/>
          <w:highlight w:val="none"/>
        </w:rPr>
      </w:pPr>
      <w:r>
        <w:rPr>
          <w:rFonts w:hint="eastAsia" w:ascii="宋体" w:hAnsi="宋体"/>
          <w:color w:val="auto"/>
          <w:szCs w:val="21"/>
          <w:highlight w:val="none"/>
        </w:rPr>
        <w:t>日          期：</w:t>
      </w:r>
    </w:p>
    <w:p>
      <w:pPr>
        <w:rPr>
          <w:rFonts w:ascii="宋体" w:hAnsi="宋体"/>
          <w:b/>
          <w:color w:val="auto"/>
          <w:szCs w:val="21"/>
          <w:highlight w:val="none"/>
        </w:rPr>
      </w:pPr>
      <w:r>
        <w:rPr>
          <w:rFonts w:hint="eastAsia" w:ascii="宋体" w:hAnsi="宋体"/>
          <w:b/>
          <w:color w:val="auto"/>
          <w:szCs w:val="21"/>
          <w:highlight w:val="none"/>
        </w:rPr>
        <w:br w:type="page"/>
      </w:r>
    </w:p>
    <w:p>
      <w:pPr>
        <w:pStyle w:val="20"/>
        <w:spacing w:line="400" w:lineRule="exact"/>
        <w:ind w:firstLine="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2、综合单价分析表</w:t>
      </w:r>
    </w:p>
    <w:p>
      <w:pPr>
        <w:pStyle w:val="20"/>
        <w:spacing w:line="400" w:lineRule="exact"/>
        <w:ind w:firstLine="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项目名称：</w:t>
      </w:r>
      <w:r>
        <w:rPr>
          <w:rFonts w:hint="eastAsia" w:ascii="宋体" w:hAnsi="宋体" w:eastAsia="宋体"/>
          <w:color w:val="auto"/>
          <w:sz w:val="21"/>
          <w:szCs w:val="21"/>
          <w:highlight w:val="none"/>
          <w:u w:val="single"/>
          <w:lang w:eastAsia="zh-CN"/>
        </w:rPr>
        <w:t>宁波大学附属第一医院外滩院区安保服务（含停车场保安）项目</w:t>
      </w:r>
    </w:p>
    <w:p>
      <w:pPr>
        <w:pStyle w:val="20"/>
        <w:spacing w:line="400" w:lineRule="exact"/>
        <w:ind w:firstLine="0"/>
        <w:rPr>
          <w:rFonts w:ascii="宋体" w:hAnsi="宋体" w:eastAsia="宋体"/>
          <w:color w:val="auto"/>
          <w:sz w:val="21"/>
          <w:szCs w:val="21"/>
          <w:highlight w:val="none"/>
        </w:rPr>
      </w:pPr>
      <w:r>
        <w:rPr>
          <w:rFonts w:hint="eastAsia" w:ascii="宋体" w:hAnsi="宋体" w:eastAsia="宋体"/>
          <w:color w:val="auto"/>
          <w:sz w:val="21"/>
          <w:szCs w:val="21"/>
          <w:highlight w:val="none"/>
        </w:rPr>
        <w:t>项目编号：</w:t>
      </w:r>
      <w:r>
        <w:rPr>
          <w:rFonts w:hint="eastAsia" w:ascii="宋体" w:hAnsi="宋体" w:eastAsia="宋体"/>
          <w:color w:val="auto"/>
          <w:sz w:val="21"/>
          <w:szCs w:val="21"/>
          <w:highlight w:val="none"/>
          <w:u w:val="single"/>
        </w:rPr>
        <w:t>NBITC-202311410G</w:t>
      </w:r>
    </w:p>
    <w:p>
      <w:pPr>
        <w:spacing w:line="400" w:lineRule="exact"/>
        <w:rPr>
          <w:rFonts w:ascii="宋体" w:hAnsi="宋体"/>
          <w:b/>
          <w:color w:val="auto"/>
          <w:szCs w:val="21"/>
          <w:highlight w:val="none"/>
        </w:rPr>
      </w:pPr>
      <w:r>
        <w:rPr>
          <w:rFonts w:hint="eastAsia" w:ascii="宋体" w:hAnsi="宋体"/>
          <w:b/>
          <w:color w:val="auto"/>
          <w:szCs w:val="21"/>
          <w:highlight w:val="none"/>
        </w:rPr>
        <w:t>岗位名称</w:t>
      </w:r>
      <w:r>
        <w:rPr>
          <w:rFonts w:hint="eastAsia" w:ascii="宋体" w:hAnsi="宋体"/>
          <w:bCs/>
          <w:color w:val="auto"/>
          <w:szCs w:val="21"/>
          <w:highlight w:val="none"/>
        </w:rPr>
        <w:t>：</w:t>
      </w:r>
      <w:r>
        <w:rPr>
          <w:rFonts w:hint="eastAsia" w:ascii="宋体" w:hAnsi="宋体"/>
          <w:color w:val="auto"/>
          <w:szCs w:val="21"/>
          <w:highlight w:val="none"/>
        </w:rPr>
        <w:t>货币单位：人民币</w:t>
      </w:r>
    </w:p>
    <w:tbl>
      <w:tblPr>
        <w:tblStyle w:val="5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3"/>
        <w:gridCol w:w="2130"/>
        <w:gridCol w:w="2268"/>
        <w:gridCol w:w="3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序号</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科目</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金额</w:t>
            </w:r>
            <w:r>
              <w:rPr>
                <w:rFonts w:hint="eastAsia" w:ascii="宋体" w:hAnsi="宋体"/>
                <w:b/>
                <w:bCs/>
                <w:color w:val="auto"/>
                <w:szCs w:val="21"/>
                <w:highlight w:val="none"/>
              </w:rPr>
              <w:t>（元/人·月）</w:t>
            </w: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说  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1</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人力成本</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1.1</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月度</w:t>
            </w:r>
            <w:r>
              <w:rPr>
                <w:rFonts w:ascii="宋体" w:hAnsi="宋体"/>
                <w:color w:val="auto"/>
                <w:szCs w:val="21"/>
                <w:highlight w:val="none"/>
              </w:rPr>
              <w:t>工资</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宋体" w:hAnsi="宋体"/>
                <w:b/>
                <w:color w:val="auto"/>
                <w:szCs w:val="21"/>
                <w:highlight w:val="none"/>
              </w:rPr>
            </w:pPr>
            <w:r>
              <w:rPr>
                <w:rFonts w:hint="eastAsia" w:ascii="宋体" w:hAnsi="宋体"/>
                <w:b/>
                <w:color w:val="auto"/>
                <w:szCs w:val="21"/>
                <w:highlight w:val="none"/>
              </w:rPr>
              <w:t>▲员工工资不得低于宁波</w:t>
            </w:r>
            <w:r>
              <w:rPr>
                <w:rFonts w:ascii="宋体" w:hAnsi="宋体"/>
                <w:b/>
                <w:color w:val="auto"/>
                <w:szCs w:val="21"/>
                <w:highlight w:val="none"/>
              </w:rPr>
              <w:t>市</w:t>
            </w:r>
            <w:r>
              <w:rPr>
                <w:rFonts w:hint="eastAsia" w:ascii="宋体" w:hAnsi="宋体"/>
                <w:b/>
                <w:color w:val="auto"/>
                <w:szCs w:val="21"/>
                <w:highlight w:val="none"/>
              </w:rPr>
              <w:t>最低工资标准2280.00元/月，否则作无效标处理。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1.2</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社保及福利</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宋体" w:hAnsi="宋体"/>
                <w:color w:val="auto"/>
                <w:szCs w:val="21"/>
                <w:highlight w:val="none"/>
              </w:rPr>
            </w:pPr>
            <w:r>
              <w:rPr>
                <w:rFonts w:hint="eastAsia" w:ascii="宋体" w:hAnsi="宋体"/>
                <w:b/>
                <w:color w:val="auto"/>
                <w:szCs w:val="21"/>
                <w:highlight w:val="none"/>
              </w:rPr>
              <w:t>▲所有人员社会保险缴费比例与缴费基数应符合</w:t>
            </w:r>
            <w:r>
              <w:rPr>
                <w:rFonts w:ascii="宋体" w:hAnsi="宋体"/>
                <w:b/>
                <w:color w:val="auto"/>
                <w:szCs w:val="21"/>
                <w:highlight w:val="none"/>
              </w:rPr>
              <w:t>宁波市</w:t>
            </w:r>
            <w:r>
              <w:rPr>
                <w:rFonts w:hint="eastAsia" w:ascii="宋体" w:hAnsi="宋体"/>
                <w:b/>
                <w:color w:val="auto"/>
                <w:szCs w:val="21"/>
                <w:highlight w:val="none"/>
              </w:rPr>
              <w:t>市“</w:t>
            </w:r>
            <w:r>
              <w:rPr>
                <w:rFonts w:ascii="宋体" w:hAnsi="宋体"/>
                <w:b/>
                <w:color w:val="auto"/>
                <w:szCs w:val="21"/>
                <w:highlight w:val="none"/>
              </w:rPr>
              <w:t>关于申报202</w:t>
            </w:r>
            <w:r>
              <w:rPr>
                <w:rFonts w:hint="eastAsia" w:ascii="宋体" w:hAnsi="宋体"/>
                <w:b/>
                <w:color w:val="auto"/>
                <w:szCs w:val="21"/>
                <w:highlight w:val="none"/>
              </w:rPr>
              <w:t>3</w:t>
            </w:r>
            <w:r>
              <w:rPr>
                <w:rFonts w:ascii="宋体" w:hAnsi="宋体"/>
                <w:b/>
                <w:color w:val="auto"/>
                <w:szCs w:val="21"/>
                <w:highlight w:val="none"/>
              </w:rPr>
              <w:t>年度社会保险费缴费基数的通告</w:t>
            </w:r>
            <w:r>
              <w:rPr>
                <w:rFonts w:hint="eastAsia" w:ascii="宋体" w:hAnsi="宋体"/>
                <w:b/>
                <w:color w:val="auto"/>
                <w:szCs w:val="21"/>
                <w:highlight w:val="none"/>
              </w:rPr>
              <w:t>”的规定，否则作无效标处理。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1.3</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保险</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4</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节日加班</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hint="eastAsia" w:ascii="宋体" w:hAnsi="宋体"/>
                <w:bCs/>
                <w:color w:val="auto"/>
                <w:szCs w:val="21"/>
                <w:highlight w:val="none"/>
              </w:rPr>
              <w:t>1.5</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hint="eastAsia" w:ascii="宋体" w:hAnsi="宋体"/>
                <w:bCs/>
                <w:color w:val="auto"/>
                <w:szCs w:val="21"/>
                <w:highlight w:val="none"/>
              </w:rPr>
              <w:t>高温费</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ascii="宋体" w:hAnsi="宋体"/>
                <w:color w:val="auto"/>
                <w:szCs w:val="21"/>
                <w:highlight w:val="none"/>
              </w:rPr>
              <w:t>……</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ascii="宋体" w:hAnsi="宋体"/>
                <w:color w:val="auto"/>
                <w:szCs w:val="21"/>
                <w:highlight w:val="none"/>
              </w:rPr>
              <w:t>……</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2</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个人其他综合费用</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2.1</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护卫装备</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2.1.1</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hint="eastAsia" w:ascii="宋体" w:hAnsi="宋体"/>
                <w:color w:val="auto"/>
                <w:szCs w:val="21"/>
                <w:highlight w:val="none"/>
              </w:rPr>
              <w:t>护卫装备</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2.1.2</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ascii="宋体" w:hAnsi="宋体"/>
                <w:color w:val="auto"/>
                <w:szCs w:val="21"/>
                <w:highlight w:val="none"/>
              </w:rPr>
              <w:t>……</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2.3</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管理费用及其它</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2.3</w:t>
            </w:r>
            <w:r>
              <w:rPr>
                <w:rFonts w:ascii="宋体" w:hAnsi="宋体"/>
                <w:color w:val="auto"/>
                <w:szCs w:val="21"/>
                <w:highlight w:val="none"/>
              </w:rPr>
              <w:t>.1</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培训费</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2.3</w:t>
            </w:r>
            <w:r>
              <w:rPr>
                <w:rFonts w:ascii="宋体" w:hAnsi="宋体"/>
                <w:color w:val="auto"/>
                <w:szCs w:val="21"/>
                <w:highlight w:val="none"/>
              </w:rPr>
              <w:t>.</w:t>
            </w:r>
            <w:r>
              <w:rPr>
                <w:rFonts w:hint="eastAsia" w:ascii="宋体" w:hAnsi="宋体"/>
                <w:color w:val="auto"/>
                <w:szCs w:val="21"/>
                <w:highlight w:val="none"/>
              </w:rPr>
              <w:t>2</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管理费</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2.3.3</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服装费</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3</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bCs/>
                <w:color w:val="auto"/>
                <w:szCs w:val="21"/>
                <w:highlight w:val="none"/>
              </w:rPr>
            </w:pPr>
            <w:r>
              <w:rPr>
                <w:rFonts w:hint="eastAsia" w:ascii="宋体" w:hAnsi="宋体"/>
                <w:b/>
                <w:bCs/>
                <w:color w:val="auto"/>
                <w:szCs w:val="21"/>
                <w:highlight w:val="none"/>
              </w:rPr>
              <w:t>考核金</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4</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税金</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5</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利润</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w:t>
            </w: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w:t>
            </w: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0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p>
        </w:tc>
        <w:tc>
          <w:tcPr>
            <w:tcW w:w="213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综合单价（合计）</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r>
              <w:rPr>
                <w:rFonts w:ascii="宋体" w:hAnsi="宋体"/>
                <w:color w:val="auto"/>
                <w:szCs w:val="21"/>
                <w:highlight w:val="none"/>
              </w:rPr>
              <w:t>＝1+2+3</w:t>
            </w:r>
            <w:r>
              <w:rPr>
                <w:rFonts w:hint="eastAsia" w:ascii="宋体" w:hAnsi="宋体"/>
                <w:color w:val="auto"/>
                <w:szCs w:val="21"/>
                <w:highlight w:val="none"/>
              </w:rPr>
              <w:t>+</w:t>
            </w:r>
            <w:r>
              <w:rPr>
                <w:rFonts w:ascii="宋体" w:hAnsi="宋体"/>
                <w:color w:val="auto"/>
                <w:szCs w:val="21"/>
                <w:highlight w:val="none"/>
              </w:rPr>
              <w:t>…</w:t>
            </w:r>
          </w:p>
        </w:tc>
        <w:tc>
          <w:tcPr>
            <w:tcW w:w="342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Cs w:val="21"/>
                <w:highlight w:val="none"/>
              </w:rPr>
            </w:pPr>
          </w:p>
        </w:tc>
      </w:tr>
    </w:tbl>
    <w:p>
      <w:pPr>
        <w:spacing w:line="400" w:lineRule="exact"/>
        <w:ind w:firstLine="420" w:firstLineChars="200"/>
        <w:rPr>
          <w:rFonts w:ascii="宋体" w:hAnsi="宋体"/>
          <w:color w:val="auto"/>
          <w:szCs w:val="21"/>
          <w:highlight w:val="none"/>
        </w:rPr>
      </w:pPr>
      <w:r>
        <w:rPr>
          <w:rFonts w:ascii="宋体" w:hAnsi="宋体"/>
          <w:color w:val="auto"/>
          <w:szCs w:val="21"/>
          <w:highlight w:val="none"/>
        </w:rPr>
        <w:t>注：</w:t>
      </w:r>
      <w:r>
        <w:rPr>
          <w:rFonts w:hint="eastAsia" w:ascii="宋体" w:hAnsi="宋体"/>
          <w:color w:val="auto"/>
          <w:szCs w:val="21"/>
          <w:highlight w:val="none"/>
        </w:rPr>
        <w:t>1、须</w:t>
      </w:r>
      <w:r>
        <w:rPr>
          <w:rFonts w:ascii="宋体" w:hAnsi="宋体"/>
          <w:color w:val="auto"/>
          <w:szCs w:val="21"/>
          <w:highlight w:val="none"/>
        </w:rPr>
        <w:t>附相关的计算过程及计算依据（包括取费依据、相关文件和规定等）</w:t>
      </w:r>
      <w:r>
        <w:rPr>
          <w:rFonts w:hint="eastAsia" w:ascii="宋体" w:hAnsi="宋体"/>
          <w:color w:val="auto"/>
          <w:szCs w:val="21"/>
          <w:highlight w:val="none"/>
        </w:rPr>
        <w:t>。</w:t>
      </w:r>
    </w:p>
    <w:p>
      <w:pPr>
        <w:spacing w:line="400" w:lineRule="exact"/>
        <w:ind w:firstLine="840" w:firstLineChars="4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本表应列出完成</w:t>
      </w:r>
      <w:r>
        <w:rPr>
          <w:rFonts w:hint="eastAsia" w:ascii="宋体" w:hAnsi="宋体"/>
          <w:color w:val="auto"/>
          <w:szCs w:val="21"/>
          <w:highlight w:val="none"/>
        </w:rPr>
        <w:t>招标范围内该部分工作内容的全部组成</w:t>
      </w:r>
      <w:r>
        <w:rPr>
          <w:rFonts w:ascii="宋体" w:hAnsi="宋体"/>
          <w:color w:val="auto"/>
          <w:szCs w:val="21"/>
          <w:highlight w:val="none"/>
        </w:rPr>
        <w:t>费用，凡有遗漏或未考虑周全的均视为已包含在</w:t>
      </w:r>
      <w:r>
        <w:rPr>
          <w:rFonts w:hint="eastAsia" w:ascii="宋体" w:hAnsi="宋体"/>
          <w:color w:val="auto"/>
          <w:szCs w:val="21"/>
          <w:highlight w:val="none"/>
        </w:rPr>
        <w:t>综合单价</w:t>
      </w:r>
      <w:r>
        <w:rPr>
          <w:rFonts w:ascii="宋体" w:hAnsi="宋体"/>
          <w:color w:val="auto"/>
          <w:szCs w:val="21"/>
          <w:highlight w:val="none"/>
        </w:rPr>
        <w:t>内。</w:t>
      </w:r>
    </w:p>
    <w:p>
      <w:pPr>
        <w:spacing w:line="400" w:lineRule="exact"/>
        <w:ind w:firstLine="840" w:firstLineChars="400"/>
        <w:jc w:val="left"/>
        <w:rPr>
          <w:rFonts w:ascii="宋体" w:hAnsi="宋体"/>
          <w:color w:val="auto"/>
          <w:szCs w:val="21"/>
          <w:highlight w:val="none"/>
        </w:rPr>
      </w:pPr>
      <w:r>
        <w:rPr>
          <w:rFonts w:hint="eastAsia" w:ascii="宋体" w:hAnsi="宋体"/>
          <w:color w:val="auto"/>
          <w:szCs w:val="21"/>
          <w:highlight w:val="none"/>
        </w:rPr>
        <w:t>3、须按“第三章 招标内容与技术需求”岗位设置，按岗位名称分别提供。</w:t>
      </w:r>
    </w:p>
    <w:p>
      <w:pPr>
        <w:spacing w:line="400" w:lineRule="exact"/>
        <w:jc w:val="left"/>
        <w:rPr>
          <w:rFonts w:ascii="宋体" w:hAnsi="宋体"/>
          <w:color w:val="auto"/>
          <w:szCs w:val="21"/>
          <w:highlight w:val="none"/>
        </w:rPr>
      </w:pPr>
    </w:p>
    <w:p>
      <w:pPr>
        <w:spacing w:line="400" w:lineRule="exact"/>
        <w:jc w:val="left"/>
        <w:rPr>
          <w:rFonts w:ascii="宋体" w:hAnsi="宋体"/>
          <w:color w:val="auto"/>
          <w:szCs w:val="21"/>
          <w:highlight w:val="none"/>
        </w:rPr>
      </w:pPr>
      <w:r>
        <w:rPr>
          <w:rFonts w:hint="eastAsia" w:ascii="宋体" w:hAnsi="宋体"/>
          <w:color w:val="auto"/>
          <w:szCs w:val="21"/>
          <w:highlight w:val="none"/>
        </w:rPr>
        <w:t>供应商（盖章）：</w:t>
      </w:r>
    </w:p>
    <w:p>
      <w:pPr>
        <w:pStyle w:val="20"/>
        <w:spacing w:line="400" w:lineRule="exact"/>
        <w:ind w:firstLine="0"/>
        <w:rPr>
          <w:rFonts w:ascii="宋体" w:hAnsi="宋体" w:eastAsia="宋体" w:cs="宋体"/>
          <w:color w:val="auto"/>
          <w:sz w:val="21"/>
          <w:szCs w:val="21"/>
          <w:highlight w:val="none"/>
        </w:rPr>
      </w:pPr>
    </w:p>
    <w:p>
      <w:pPr>
        <w:pStyle w:val="20"/>
        <w:spacing w:line="400" w:lineRule="exact"/>
        <w:ind w:firstLine="0"/>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日          期：</w:t>
      </w:r>
    </w:p>
    <w:p>
      <w:pPr>
        <w:rPr>
          <w:rFonts w:hint="eastAsia" w:ascii="方正书宋简体" w:hAnsi="方正书宋简体"/>
          <w:b/>
          <w:bCs/>
          <w:color w:val="auto"/>
          <w:szCs w:val="21"/>
          <w:highlight w:val="none"/>
        </w:rPr>
      </w:pPr>
      <w:r>
        <w:rPr>
          <w:rFonts w:hint="eastAsia" w:ascii="方正书宋简体" w:hAnsi="方正书宋简体"/>
          <w:b/>
          <w:bCs/>
          <w:color w:val="auto"/>
          <w:szCs w:val="21"/>
          <w:highlight w:val="none"/>
        </w:rPr>
        <w:br w:type="page"/>
      </w:r>
    </w:p>
    <w:p>
      <w:pPr>
        <w:spacing w:line="400" w:lineRule="exact"/>
        <w:jc w:val="center"/>
        <w:rPr>
          <w:rFonts w:ascii="宋体" w:hAnsi="宋体"/>
          <w:b/>
          <w:color w:val="auto"/>
          <w:szCs w:val="21"/>
          <w:highlight w:val="none"/>
        </w:rPr>
      </w:pPr>
      <w:r>
        <w:rPr>
          <w:rFonts w:hint="eastAsia" w:ascii="方正书宋简体" w:hAnsi="方正书宋简体"/>
          <w:b/>
          <w:bCs/>
          <w:color w:val="auto"/>
          <w:szCs w:val="21"/>
          <w:highlight w:val="none"/>
        </w:rPr>
        <w:t>C</w:t>
      </w:r>
      <w:r>
        <w:rPr>
          <w:rFonts w:hint="eastAsia" w:ascii="宋体" w:hAnsi="宋体"/>
          <w:b/>
          <w:color w:val="auto"/>
          <w:szCs w:val="21"/>
          <w:highlight w:val="none"/>
        </w:rPr>
        <w:t>3 供应商认为需要的其他资料（如有需提供）</w:t>
      </w:r>
    </w:p>
    <w:p>
      <w:pPr>
        <w:spacing w:line="400" w:lineRule="exact"/>
        <w:ind w:firstLine="474" w:firstLineChars="200"/>
        <w:rPr>
          <w:rFonts w:ascii="宋体" w:hAnsi="宋体"/>
          <w:color w:val="auto"/>
          <w:szCs w:val="21"/>
          <w:highlight w:val="none"/>
        </w:rPr>
      </w:pPr>
      <w:r>
        <w:rPr>
          <w:rStyle w:val="138"/>
          <w:rFonts w:ascii="宋体" w:hAnsi="宋体"/>
          <w:color w:val="auto"/>
          <w:szCs w:val="21"/>
          <w:highlight w:val="none"/>
        </w:rPr>
        <w:br w:type="page"/>
      </w:r>
    </w:p>
    <w:p>
      <w:pPr>
        <w:rPr>
          <w:rFonts w:ascii="宋体" w:hAnsi="宋体"/>
          <w:b/>
          <w:color w:val="auto"/>
          <w:szCs w:val="21"/>
          <w:highlight w:val="none"/>
        </w:rPr>
      </w:pPr>
    </w:p>
    <w:bookmarkEnd w:id="63"/>
    <w:bookmarkEnd w:id="64"/>
    <w:bookmarkEnd w:id="65"/>
    <w:p>
      <w:pPr>
        <w:autoSpaceDE w:val="0"/>
        <w:autoSpaceDN w:val="0"/>
        <w:adjustRightInd w:val="0"/>
        <w:spacing w:line="400" w:lineRule="exact"/>
        <w:jc w:val="center"/>
        <w:outlineLvl w:val="0"/>
        <w:rPr>
          <w:b/>
          <w:color w:val="auto"/>
          <w:highlight w:val="none"/>
        </w:rPr>
      </w:pPr>
      <w:bookmarkStart w:id="66" w:name="_Toc28120"/>
      <w:bookmarkStart w:id="67" w:name="_Toc44162164"/>
      <w:r>
        <w:rPr>
          <w:rFonts w:hint="eastAsia"/>
          <w:b/>
          <w:color w:val="auto"/>
          <w:highlight w:val="none"/>
        </w:rPr>
        <w:t>政府采购活动现场确认声明书</w:t>
      </w:r>
      <w:bookmarkEnd w:id="66"/>
      <w:bookmarkEnd w:id="67"/>
    </w:p>
    <w:p>
      <w:pPr>
        <w:pStyle w:val="154"/>
        <w:snapToGrid w:val="0"/>
        <w:spacing w:line="400" w:lineRule="exact"/>
        <w:rPr>
          <w:rFonts w:hAnsi="宋体"/>
          <w:color w:val="auto"/>
          <w:szCs w:val="21"/>
          <w:highlight w:val="none"/>
        </w:rPr>
      </w:pPr>
      <w:r>
        <w:rPr>
          <w:rFonts w:hint="eastAsia" w:hAnsi="宋体"/>
          <w:color w:val="auto"/>
          <w:szCs w:val="21"/>
          <w:highlight w:val="none"/>
        </w:rPr>
        <w:t>致：采购人</w:t>
      </w:r>
    </w:p>
    <w:p>
      <w:pPr>
        <w:pStyle w:val="154"/>
        <w:snapToGrid w:val="0"/>
        <w:spacing w:line="400" w:lineRule="exact"/>
        <w:ind w:firstLine="420" w:firstLineChars="200"/>
        <w:rPr>
          <w:rFonts w:hAnsi="宋体"/>
          <w:color w:val="auto"/>
          <w:szCs w:val="21"/>
          <w:highlight w:val="none"/>
        </w:rPr>
      </w:pPr>
      <w:r>
        <w:rPr>
          <w:rFonts w:hint="eastAsia" w:hAnsi="宋体"/>
          <w:color w:val="auto"/>
          <w:szCs w:val="21"/>
          <w:highlight w:val="none"/>
        </w:rPr>
        <w:t>本人经由</w:t>
      </w:r>
      <w:r>
        <w:rPr>
          <w:rFonts w:hint="eastAsia" w:hAnsi="宋体" w:cs="宋体"/>
          <w:color w:val="auto"/>
          <w:szCs w:val="21"/>
          <w:highlight w:val="none"/>
          <w:u w:val="single"/>
        </w:rPr>
        <w:t>（供应商名称）</w:t>
      </w:r>
      <w:r>
        <w:rPr>
          <w:rFonts w:hint="eastAsia" w:hAnsi="宋体"/>
          <w:color w:val="auto"/>
          <w:szCs w:val="21"/>
          <w:highlight w:val="none"/>
        </w:rPr>
        <w:t>法人代表（负责人）</w:t>
      </w:r>
      <w:r>
        <w:rPr>
          <w:rFonts w:hint="eastAsia" w:hAnsi="宋体"/>
          <w:color w:val="auto"/>
          <w:szCs w:val="21"/>
          <w:highlight w:val="none"/>
          <w:u w:val="single"/>
        </w:rPr>
        <w:t>（姓名）</w:t>
      </w:r>
      <w:r>
        <w:rPr>
          <w:rFonts w:hint="eastAsia" w:hAnsi="宋体"/>
          <w:color w:val="auto"/>
          <w:szCs w:val="21"/>
          <w:highlight w:val="none"/>
        </w:rPr>
        <w:t>合法授权参加</w:t>
      </w:r>
      <w:r>
        <w:rPr>
          <w:rFonts w:hint="eastAsia" w:hAnsi="宋体"/>
          <w:color w:val="auto"/>
          <w:szCs w:val="21"/>
          <w:highlight w:val="none"/>
          <w:u w:val="single"/>
          <w:lang w:eastAsia="zh-CN"/>
        </w:rPr>
        <w:t>宁波大学附属第一医院外滩院区安保服务（含停车场保安）项目</w:t>
      </w:r>
      <w:r>
        <w:rPr>
          <w:rFonts w:hint="eastAsia" w:hAnsi="宋体"/>
          <w:color w:val="auto"/>
          <w:szCs w:val="21"/>
          <w:highlight w:val="none"/>
        </w:rPr>
        <w:t>（采购编号：</w:t>
      </w:r>
      <w:r>
        <w:rPr>
          <w:rFonts w:hint="eastAsia" w:hAnsi="宋体"/>
          <w:color w:val="auto"/>
          <w:szCs w:val="21"/>
          <w:highlight w:val="none"/>
          <w:u w:val="single"/>
        </w:rPr>
        <w:t>NBITC-202311410G</w:t>
      </w:r>
      <w:r>
        <w:rPr>
          <w:rFonts w:hint="eastAsia" w:hAnsi="宋体"/>
          <w:color w:val="auto"/>
          <w:szCs w:val="21"/>
          <w:highlight w:val="none"/>
        </w:rPr>
        <w:t>）政府采购活动，经与本单位法人代表（负责人）联系确认，现就有关公平竞争事项郑重声明如下：</w:t>
      </w:r>
    </w:p>
    <w:p>
      <w:pPr>
        <w:pStyle w:val="195"/>
        <w:widowControl/>
        <w:numPr>
          <w:ilvl w:val="0"/>
          <w:numId w:val="6"/>
        </w:numPr>
        <w:snapToGrid w:val="0"/>
        <w:spacing w:line="400" w:lineRule="exact"/>
        <w:ind w:firstLine="396" w:firstLineChars="189"/>
        <w:rPr>
          <w:rFonts w:ascii="宋体" w:hAnsi="宋体"/>
          <w:color w:val="auto"/>
          <w:szCs w:val="21"/>
          <w:highlight w:val="none"/>
        </w:rPr>
      </w:pPr>
      <w:r>
        <w:rPr>
          <w:rFonts w:hint="eastAsia" w:ascii="宋体" w:hAnsi="宋体"/>
          <w:color w:val="auto"/>
          <w:szCs w:val="21"/>
          <w:highlight w:val="none"/>
        </w:rPr>
        <w:t>本单位与采购人之间</w:t>
      </w:r>
    </w:p>
    <w:p>
      <w:pPr>
        <w:pStyle w:val="195"/>
        <w:widowControl/>
        <w:snapToGrid w:val="0"/>
        <w:spacing w:line="400" w:lineRule="exact"/>
        <w:ind w:firstLine="425"/>
        <w:rPr>
          <w:rFonts w:ascii="宋体" w:hAnsi="宋体"/>
          <w:color w:val="auto"/>
          <w:szCs w:val="21"/>
          <w:highlight w:val="none"/>
        </w:rPr>
      </w:pPr>
      <w:r>
        <w:rPr>
          <w:rFonts w:hint="eastAsia" w:ascii="宋体" w:hAnsi="宋体" w:cs="宋体"/>
          <w:color w:val="auto"/>
          <w:szCs w:val="21"/>
          <w:highlight w:val="none"/>
        </w:rPr>
        <w:t>□</w:t>
      </w:r>
      <w:r>
        <w:rPr>
          <w:rFonts w:hint="eastAsia" w:ascii="宋体" w:hAnsi="宋体"/>
          <w:color w:val="auto"/>
          <w:szCs w:val="21"/>
          <w:highlight w:val="none"/>
        </w:rPr>
        <w:t>不存在利害关系</w:t>
      </w:r>
    </w:p>
    <w:p>
      <w:pPr>
        <w:pStyle w:val="195"/>
        <w:widowControl/>
        <w:snapToGrid w:val="0"/>
        <w:spacing w:line="400" w:lineRule="exact"/>
        <w:ind w:firstLine="425"/>
        <w:rPr>
          <w:rFonts w:ascii="宋体" w:hAnsi="宋体"/>
          <w:color w:val="auto"/>
          <w:szCs w:val="21"/>
          <w:highlight w:val="none"/>
        </w:rPr>
      </w:pPr>
      <w:r>
        <w:rPr>
          <w:rFonts w:hint="eastAsia" w:ascii="宋体" w:hAnsi="宋体" w:cs="宋体"/>
          <w:color w:val="auto"/>
          <w:szCs w:val="21"/>
          <w:highlight w:val="none"/>
        </w:rPr>
        <w:t>□</w:t>
      </w:r>
      <w:r>
        <w:rPr>
          <w:rFonts w:hint="eastAsia" w:ascii="宋体" w:hAnsi="宋体"/>
          <w:color w:val="auto"/>
          <w:szCs w:val="21"/>
          <w:highlight w:val="none"/>
        </w:rPr>
        <w:t>存在下列利害关系：</w:t>
      </w:r>
    </w:p>
    <w:p>
      <w:pPr>
        <w:pStyle w:val="195"/>
        <w:widowControl/>
        <w:snapToGrid w:val="0"/>
        <w:spacing w:line="400" w:lineRule="exact"/>
        <w:ind w:left="397" w:firstLine="28"/>
        <w:rPr>
          <w:rFonts w:ascii="宋体" w:hAnsi="宋体"/>
          <w:color w:val="auto"/>
          <w:szCs w:val="21"/>
          <w:highlight w:val="none"/>
        </w:rPr>
      </w:pPr>
      <w:r>
        <w:rPr>
          <w:rFonts w:ascii="宋体" w:hAnsi="宋体"/>
          <w:color w:val="auto"/>
          <w:szCs w:val="21"/>
          <w:highlight w:val="none"/>
        </w:rPr>
        <w:t>A.</w:t>
      </w:r>
      <w:r>
        <w:rPr>
          <w:rFonts w:hint="eastAsia" w:ascii="宋体" w:hAnsi="宋体"/>
          <w:color w:val="auto"/>
          <w:szCs w:val="21"/>
          <w:highlight w:val="none"/>
        </w:rPr>
        <w:t>投资关系</w:t>
      </w:r>
      <w:r>
        <w:rPr>
          <w:rFonts w:ascii="宋体" w:hAnsi="宋体"/>
          <w:color w:val="auto"/>
          <w:szCs w:val="21"/>
          <w:highlight w:val="none"/>
        </w:rPr>
        <w:t xml:space="preserve">    B.</w:t>
      </w:r>
      <w:r>
        <w:rPr>
          <w:rFonts w:hint="eastAsia" w:ascii="宋体" w:hAnsi="宋体"/>
          <w:color w:val="auto"/>
          <w:szCs w:val="21"/>
          <w:highlight w:val="none"/>
        </w:rPr>
        <w:t>行政隶属关系</w:t>
      </w:r>
      <w:r>
        <w:rPr>
          <w:rFonts w:ascii="宋体" w:hAnsi="宋体"/>
          <w:color w:val="auto"/>
          <w:szCs w:val="21"/>
          <w:highlight w:val="none"/>
        </w:rPr>
        <w:t xml:space="preserve">    C.</w:t>
      </w:r>
      <w:r>
        <w:rPr>
          <w:rFonts w:hint="eastAsia" w:ascii="宋体" w:hAnsi="宋体"/>
          <w:color w:val="auto"/>
          <w:szCs w:val="21"/>
          <w:highlight w:val="none"/>
        </w:rPr>
        <w:t>业务指导关系</w:t>
      </w:r>
    </w:p>
    <w:p>
      <w:pPr>
        <w:pStyle w:val="195"/>
        <w:widowControl/>
        <w:snapToGrid w:val="0"/>
        <w:spacing w:line="400" w:lineRule="exact"/>
        <w:ind w:left="397" w:firstLine="23"/>
        <w:rPr>
          <w:rFonts w:ascii="宋体" w:hAnsi="宋体"/>
          <w:color w:val="auto"/>
          <w:szCs w:val="21"/>
          <w:highlight w:val="none"/>
        </w:rPr>
      </w:pPr>
      <w:r>
        <w:rPr>
          <w:rFonts w:ascii="宋体" w:hAnsi="宋体"/>
          <w:color w:val="auto"/>
          <w:szCs w:val="21"/>
          <w:highlight w:val="none"/>
        </w:rPr>
        <w:t>D.</w:t>
      </w:r>
      <w:r>
        <w:rPr>
          <w:rFonts w:hint="eastAsia" w:ascii="宋体" w:hAnsi="宋体"/>
          <w:color w:val="auto"/>
          <w:szCs w:val="21"/>
          <w:highlight w:val="none"/>
        </w:rPr>
        <w:t>其他可能影响采购公正的利害关系</w:t>
      </w:r>
      <w:r>
        <w:rPr>
          <w:rFonts w:hint="eastAsia" w:ascii="宋体" w:hAnsi="宋体"/>
          <w:color w:val="auto"/>
          <w:szCs w:val="21"/>
          <w:highlight w:val="none"/>
          <w:u w:val="single"/>
        </w:rPr>
        <w:t>（如有，请如实说明）</w:t>
      </w:r>
      <w:r>
        <w:rPr>
          <w:rFonts w:hint="eastAsia" w:ascii="宋体" w:hAnsi="宋体"/>
          <w:color w:val="auto"/>
          <w:szCs w:val="21"/>
          <w:highlight w:val="none"/>
        </w:rPr>
        <w:t>。</w:t>
      </w:r>
    </w:p>
    <w:p>
      <w:pPr>
        <w:pStyle w:val="195"/>
        <w:widowControl/>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二、现已清楚知道参加本项目采购活动的其他所有供应商名称，本单位</w:t>
      </w:r>
    </w:p>
    <w:p>
      <w:pPr>
        <w:pStyle w:val="195"/>
        <w:widowControl/>
        <w:snapToGrid w:val="0"/>
        <w:spacing w:line="400" w:lineRule="exact"/>
        <w:ind w:firstLine="420" w:firstLineChars="200"/>
        <w:rPr>
          <w:rFonts w:ascii="宋体" w:hAnsi="宋体"/>
          <w:color w:val="auto"/>
          <w:szCs w:val="21"/>
          <w:highlight w:val="none"/>
        </w:rPr>
      </w:pPr>
      <w:r>
        <w:rPr>
          <w:rFonts w:hint="eastAsia" w:ascii="宋体" w:hAnsi="宋体" w:cs="宋体"/>
          <w:color w:val="auto"/>
          <w:szCs w:val="21"/>
          <w:highlight w:val="none"/>
        </w:rPr>
        <w:t>□与其他所有供应商之间均</w:t>
      </w:r>
      <w:r>
        <w:rPr>
          <w:rFonts w:hint="eastAsia" w:ascii="宋体" w:hAnsi="宋体"/>
          <w:color w:val="auto"/>
          <w:szCs w:val="21"/>
          <w:highlight w:val="none"/>
        </w:rPr>
        <w:t>不存在利害关系</w:t>
      </w:r>
    </w:p>
    <w:p>
      <w:pPr>
        <w:pStyle w:val="195"/>
        <w:widowControl/>
        <w:snapToGrid w:val="0"/>
        <w:spacing w:line="400" w:lineRule="exact"/>
        <w:ind w:firstLine="420" w:firstLineChars="200"/>
        <w:rPr>
          <w:rFonts w:ascii="宋体" w:hAnsi="宋体"/>
          <w:color w:val="auto"/>
          <w:szCs w:val="21"/>
          <w:highlight w:val="none"/>
        </w:rPr>
      </w:pPr>
      <w:r>
        <w:rPr>
          <w:rFonts w:hint="eastAsia" w:ascii="宋体" w:hAnsi="宋体" w:cs="宋体"/>
          <w:color w:val="auto"/>
          <w:szCs w:val="21"/>
          <w:highlight w:val="none"/>
        </w:rPr>
        <w:t>□与</w:t>
      </w:r>
      <w:r>
        <w:rPr>
          <w:rFonts w:hint="eastAsia" w:ascii="宋体" w:hAnsi="宋体" w:cs="宋体"/>
          <w:color w:val="auto"/>
          <w:szCs w:val="21"/>
          <w:highlight w:val="none"/>
          <w:u w:val="single"/>
        </w:rPr>
        <w:t>（供应商名称）</w:t>
      </w:r>
      <w:r>
        <w:rPr>
          <w:rFonts w:hint="eastAsia" w:ascii="宋体" w:hAnsi="宋体" w:cs="宋体"/>
          <w:color w:val="auto"/>
          <w:szCs w:val="21"/>
          <w:highlight w:val="none"/>
        </w:rPr>
        <w:t>之间</w:t>
      </w:r>
      <w:r>
        <w:rPr>
          <w:rFonts w:hint="eastAsia" w:ascii="宋体" w:hAnsi="宋体"/>
          <w:color w:val="auto"/>
          <w:szCs w:val="21"/>
          <w:highlight w:val="none"/>
        </w:rPr>
        <w:t>存在下列利害关系：</w:t>
      </w:r>
    </w:p>
    <w:p>
      <w:pPr>
        <w:pStyle w:val="195"/>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A.</w:t>
      </w:r>
      <w:r>
        <w:rPr>
          <w:rFonts w:hint="eastAsia" w:ascii="宋体" w:hAnsi="宋体"/>
          <w:color w:val="auto"/>
          <w:szCs w:val="21"/>
          <w:highlight w:val="none"/>
        </w:rPr>
        <w:t>法定代表人或负责人或实际控制人是同一人</w:t>
      </w:r>
    </w:p>
    <w:p>
      <w:pPr>
        <w:pStyle w:val="195"/>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B.</w:t>
      </w:r>
      <w:r>
        <w:rPr>
          <w:rFonts w:hint="eastAsia" w:ascii="宋体" w:hAnsi="宋体"/>
          <w:color w:val="auto"/>
          <w:szCs w:val="21"/>
          <w:highlight w:val="none"/>
        </w:rPr>
        <w:t>法定代表人或负责人或实际控制人是夫妻关系</w:t>
      </w:r>
    </w:p>
    <w:p>
      <w:pPr>
        <w:pStyle w:val="195"/>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C.</w:t>
      </w:r>
      <w:r>
        <w:rPr>
          <w:rFonts w:hint="eastAsia" w:ascii="宋体" w:hAnsi="宋体"/>
          <w:color w:val="auto"/>
          <w:szCs w:val="21"/>
          <w:highlight w:val="none"/>
        </w:rPr>
        <w:t>法定代表人或负责人或实际控制人是直系血亲关系</w:t>
      </w:r>
    </w:p>
    <w:p>
      <w:pPr>
        <w:pStyle w:val="195"/>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D.</w:t>
      </w:r>
      <w:r>
        <w:rPr>
          <w:rFonts w:hint="eastAsia" w:ascii="宋体" w:hAnsi="宋体"/>
          <w:color w:val="auto"/>
          <w:szCs w:val="21"/>
          <w:highlight w:val="none"/>
        </w:rPr>
        <w:t>法定代表人或负责人或实际控制人存在三代以内旁系血亲关系</w:t>
      </w:r>
    </w:p>
    <w:p>
      <w:pPr>
        <w:pStyle w:val="195"/>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E.</w:t>
      </w:r>
      <w:r>
        <w:rPr>
          <w:rFonts w:hint="eastAsia" w:ascii="宋体" w:hAnsi="宋体"/>
          <w:color w:val="auto"/>
          <w:szCs w:val="21"/>
          <w:highlight w:val="none"/>
        </w:rPr>
        <w:t>法定代表人或负责人或实际控制人存在近姻亲关系</w:t>
      </w:r>
    </w:p>
    <w:p>
      <w:pPr>
        <w:pStyle w:val="195"/>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F.</w:t>
      </w:r>
      <w:r>
        <w:rPr>
          <w:rFonts w:hint="eastAsia" w:ascii="宋体" w:hAnsi="宋体"/>
          <w:color w:val="auto"/>
          <w:szCs w:val="21"/>
          <w:highlight w:val="none"/>
        </w:rPr>
        <w:t>法定代表人或负责人或实际控制人存在股份控制或实际控制关系</w:t>
      </w:r>
    </w:p>
    <w:p>
      <w:pPr>
        <w:pStyle w:val="195"/>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G.</w:t>
      </w:r>
      <w:r>
        <w:rPr>
          <w:rFonts w:hint="eastAsia" w:ascii="宋体" w:hAnsi="宋体"/>
          <w:color w:val="auto"/>
          <w:szCs w:val="21"/>
          <w:highlight w:val="none"/>
        </w:rPr>
        <w:t>存在共同直接或间接投资设立子公司、联营企业和合营企业情况</w:t>
      </w:r>
    </w:p>
    <w:p>
      <w:pPr>
        <w:pStyle w:val="195"/>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H.</w:t>
      </w:r>
      <w:r>
        <w:rPr>
          <w:rFonts w:hint="eastAsia" w:ascii="宋体" w:hAnsi="宋体"/>
          <w:color w:val="auto"/>
          <w:szCs w:val="21"/>
          <w:highlight w:val="none"/>
        </w:rPr>
        <w:t>存在分级代理或代销关系、同一生产制造商关系、管理关系、重要业务（占主营业务收入</w:t>
      </w:r>
      <w:r>
        <w:rPr>
          <w:rFonts w:ascii="宋体" w:hAnsi="宋体"/>
          <w:color w:val="auto"/>
          <w:szCs w:val="21"/>
          <w:highlight w:val="none"/>
        </w:rPr>
        <w:t>50%</w:t>
      </w:r>
      <w:r>
        <w:rPr>
          <w:rFonts w:hint="eastAsia" w:ascii="宋体" w:hAnsi="宋体"/>
          <w:color w:val="auto"/>
          <w:szCs w:val="21"/>
          <w:highlight w:val="none"/>
        </w:rPr>
        <w:t>以上）或重要财务往来关系（如融资）等其他实质性控制关系</w:t>
      </w:r>
    </w:p>
    <w:p>
      <w:pPr>
        <w:pStyle w:val="195"/>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I.</w:t>
      </w:r>
      <w:r>
        <w:rPr>
          <w:rFonts w:hint="eastAsia" w:ascii="宋体" w:hAnsi="宋体"/>
          <w:color w:val="auto"/>
          <w:szCs w:val="21"/>
          <w:highlight w:val="none"/>
        </w:rPr>
        <w:t>其他利害关系情况。</w:t>
      </w:r>
    </w:p>
    <w:p>
      <w:pPr>
        <w:pStyle w:val="195"/>
        <w:widowControl/>
        <w:numPr>
          <w:ilvl w:val="0"/>
          <w:numId w:val="7"/>
        </w:numPr>
        <w:snapToGrid w:val="0"/>
        <w:spacing w:line="400" w:lineRule="exact"/>
        <w:ind w:firstLine="396" w:firstLineChars="189"/>
        <w:rPr>
          <w:rFonts w:ascii="宋体" w:hAnsi="宋体"/>
          <w:color w:val="auto"/>
          <w:szCs w:val="21"/>
          <w:highlight w:val="none"/>
        </w:rPr>
      </w:pPr>
      <w:r>
        <w:rPr>
          <w:rFonts w:hint="eastAsia" w:ascii="宋体" w:hAnsi="宋体"/>
          <w:color w:val="auto"/>
          <w:szCs w:val="21"/>
          <w:highlight w:val="none"/>
        </w:rPr>
        <w:t>现已清楚知道并严格遵守政府采购法律法规和现场纪律。</w:t>
      </w:r>
    </w:p>
    <w:p>
      <w:pPr>
        <w:pStyle w:val="195"/>
        <w:widowControl/>
        <w:numPr>
          <w:ilvl w:val="0"/>
          <w:numId w:val="7"/>
        </w:numPr>
        <w:snapToGrid w:val="0"/>
        <w:spacing w:line="400" w:lineRule="exact"/>
        <w:ind w:firstLine="396" w:firstLineChars="189"/>
        <w:rPr>
          <w:rFonts w:ascii="宋体" w:hAnsi="宋体"/>
          <w:color w:val="auto"/>
          <w:szCs w:val="21"/>
          <w:highlight w:val="none"/>
        </w:rPr>
      </w:pPr>
      <w:r>
        <w:rPr>
          <w:rFonts w:hint="eastAsia" w:ascii="宋体" w:hAnsi="宋体"/>
          <w:color w:val="auto"/>
          <w:szCs w:val="21"/>
          <w:highlight w:val="none"/>
        </w:rPr>
        <w:t>我发现</w:t>
      </w:r>
      <w:r>
        <w:rPr>
          <w:rFonts w:hint="eastAsia" w:ascii="宋体" w:hAnsi="宋体"/>
          <w:color w:val="auto"/>
          <w:szCs w:val="21"/>
          <w:highlight w:val="none"/>
          <w:u w:val="single"/>
        </w:rPr>
        <w:t>供应商</w:t>
      </w:r>
      <w:r>
        <w:rPr>
          <w:rFonts w:hint="eastAsia" w:ascii="宋体" w:hAnsi="宋体"/>
          <w:color w:val="auto"/>
          <w:szCs w:val="21"/>
          <w:highlight w:val="none"/>
        </w:rPr>
        <w:t>之间存在或可能存在上述第二条第项利害关系。</w:t>
      </w:r>
    </w:p>
    <w:p>
      <w:pPr>
        <w:pStyle w:val="154"/>
        <w:snapToGrid w:val="0"/>
        <w:spacing w:line="400" w:lineRule="exact"/>
        <w:ind w:firstLine="420" w:firstLineChars="200"/>
        <w:rPr>
          <w:rFonts w:hAnsi="宋体"/>
          <w:color w:val="auto"/>
          <w:szCs w:val="21"/>
          <w:highlight w:val="none"/>
        </w:rPr>
      </w:pPr>
    </w:p>
    <w:p>
      <w:pPr>
        <w:pStyle w:val="154"/>
        <w:snapToGrid w:val="0"/>
        <w:spacing w:line="400" w:lineRule="exact"/>
        <w:ind w:firstLine="1365" w:firstLineChars="650"/>
        <w:rPr>
          <w:rFonts w:hAnsi="宋体"/>
          <w:color w:val="auto"/>
          <w:szCs w:val="21"/>
          <w:highlight w:val="none"/>
        </w:rPr>
      </w:pPr>
      <w:r>
        <w:rPr>
          <w:rFonts w:hint="eastAsia" w:hAnsi="宋体"/>
          <w:color w:val="auto"/>
          <w:szCs w:val="21"/>
          <w:highlight w:val="none"/>
        </w:rPr>
        <w:t>（供应商代表签名）</w:t>
      </w:r>
    </w:p>
    <w:p>
      <w:pPr>
        <w:spacing w:line="400" w:lineRule="exact"/>
        <w:ind w:firstLine="1318" w:firstLineChars="628"/>
        <w:rPr>
          <w:rFonts w:ascii="宋体" w:hAnsi="宋体"/>
          <w:color w:val="auto"/>
          <w:szCs w:val="21"/>
          <w:highlight w:val="none"/>
        </w:rPr>
      </w:pPr>
      <w:r>
        <w:rPr>
          <w:rFonts w:hint="eastAsia" w:ascii="宋体" w:hAnsi="宋体"/>
          <w:color w:val="auto"/>
          <w:szCs w:val="21"/>
          <w:highlight w:val="none"/>
        </w:rPr>
        <w:t>年月日</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500" w:lineRule="exact"/>
        <w:rPr>
          <w:rFonts w:ascii="宋体" w:hAnsi="宋体"/>
          <w:b/>
          <w:color w:val="auto"/>
          <w:sz w:val="28"/>
          <w:szCs w:val="28"/>
          <w:highlight w:val="none"/>
        </w:rPr>
      </w:pPr>
      <w:r>
        <w:rPr>
          <w:rFonts w:hint="eastAsia" w:ascii="宋体" w:hAnsi="宋体"/>
          <w:b/>
          <w:color w:val="auto"/>
          <w:sz w:val="28"/>
          <w:szCs w:val="28"/>
          <w:highlight w:val="none"/>
        </w:rPr>
        <w:t>注：</w:t>
      </w:r>
      <w:r>
        <w:rPr>
          <w:rFonts w:ascii="宋体" w:hAnsi="宋体"/>
          <w:b/>
          <w:color w:val="auto"/>
          <w:sz w:val="28"/>
          <w:szCs w:val="28"/>
          <w:highlight w:val="none"/>
        </w:rPr>
        <w:t>1</w:t>
      </w:r>
      <w:r>
        <w:rPr>
          <w:rFonts w:hint="eastAsia" w:ascii="宋体" w:hAnsi="宋体"/>
          <w:b/>
          <w:color w:val="auto"/>
          <w:sz w:val="28"/>
          <w:szCs w:val="28"/>
          <w:highlight w:val="none"/>
        </w:rPr>
        <w:t>、本表非投标文件的组成内容，不须在投标文件中提供。</w:t>
      </w:r>
    </w:p>
    <w:p>
      <w:pPr>
        <w:spacing w:line="500" w:lineRule="exact"/>
        <w:ind w:firstLine="548" w:firstLineChars="195"/>
        <w:rPr>
          <w:rFonts w:ascii="宋体" w:hAnsi="宋体"/>
          <w:b/>
          <w:color w:val="auto"/>
          <w:sz w:val="28"/>
          <w:szCs w:val="28"/>
          <w:highlight w:val="none"/>
        </w:rPr>
      </w:pPr>
      <w:r>
        <w:rPr>
          <w:rFonts w:ascii="宋体" w:hAnsi="宋体"/>
          <w:b/>
          <w:color w:val="auto"/>
          <w:sz w:val="28"/>
          <w:szCs w:val="28"/>
          <w:highlight w:val="none"/>
        </w:rPr>
        <w:t>2</w:t>
      </w:r>
      <w:r>
        <w:rPr>
          <w:rFonts w:hint="eastAsia" w:ascii="宋体" w:hAnsi="宋体"/>
          <w:b/>
          <w:color w:val="auto"/>
          <w:sz w:val="28"/>
          <w:szCs w:val="28"/>
          <w:highlight w:val="none"/>
        </w:rPr>
        <w:t>、本表在开标现场由代理机构提供给各供应商，由各供应商签署。</w:t>
      </w:r>
    </w:p>
    <w:p>
      <w:pPr>
        <w:spacing w:line="500" w:lineRule="exact"/>
        <w:ind w:firstLine="548" w:firstLineChars="195"/>
        <w:rPr>
          <w:rFonts w:ascii="宋体" w:hAnsi="宋体"/>
          <w:b/>
          <w:color w:val="auto"/>
          <w:sz w:val="28"/>
          <w:szCs w:val="28"/>
          <w:highlight w:val="none"/>
        </w:rPr>
      </w:pPr>
    </w:p>
    <w:p>
      <w:pPr>
        <w:pStyle w:val="29"/>
        <w:spacing w:line="360" w:lineRule="auto"/>
        <w:ind w:left="101" w:leftChars="48" w:firstLine="2880" w:firstLineChars="800"/>
        <w:jc w:val="left"/>
        <w:rPr>
          <w:rFonts w:hAnsi="宋体"/>
          <w:color w:val="auto"/>
          <w:sz w:val="36"/>
          <w:szCs w:val="36"/>
          <w:highlight w:val="none"/>
        </w:rPr>
        <w:sectPr>
          <w:headerReference r:id="rId10" w:type="default"/>
          <w:footerReference r:id="rId11" w:type="default"/>
          <w:pgSz w:w="11907" w:h="16840"/>
          <w:pgMar w:top="1138" w:right="1588" w:bottom="1423" w:left="1159" w:header="285" w:footer="990" w:gutter="0"/>
          <w:pgNumType w:fmt="decimal"/>
          <w:cols w:space="720" w:num="1"/>
          <w:docGrid w:linePitch="285" w:charSpace="0"/>
        </w:sectPr>
      </w:pPr>
    </w:p>
    <w:tbl>
      <w:tblPr>
        <w:tblStyle w:val="50"/>
        <w:tblW w:w="0" w:type="auto"/>
        <w:tblInd w:w="-176" w:type="dxa"/>
        <w:tblLayout w:type="fixed"/>
        <w:tblCellMar>
          <w:top w:w="0" w:type="dxa"/>
          <w:left w:w="108" w:type="dxa"/>
          <w:bottom w:w="0" w:type="dxa"/>
          <w:right w:w="108" w:type="dxa"/>
        </w:tblCellMar>
      </w:tblPr>
      <w:tblGrid>
        <w:gridCol w:w="2003"/>
        <w:gridCol w:w="1512"/>
        <w:gridCol w:w="1779"/>
        <w:gridCol w:w="1677"/>
        <w:gridCol w:w="1252"/>
        <w:gridCol w:w="1494"/>
        <w:gridCol w:w="1536"/>
        <w:gridCol w:w="1297"/>
        <w:gridCol w:w="1287"/>
        <w:gridCol w:w="1234"/>
        <w:gridCol w:w="6"/>
      </w:tblGrid>
      <w:tr>
        <w:tblPrEx>
          <w:tblCellMar>
            <w:top w:w="0" w:type="dxa"/>
            <w:left w:w="108" w:type="dxa"/>
            <w:bottom w:w="0" w:type="dxa"/>
            <w:right w:w="108" w:type="dxa"/>
          </w:tblCellMar>
        </w:tblPrEx>
        <w:trPr>
          <w:trHeight w:val="148" w:hRule="atLeast"/>
        </w:trPr>
        <w:tc>
          <w:tcPr>
            <w:tcW w:w="15077" w:type="dxa"/>
            <w:gridSpan w:val="11"/>
            <w:tcBorders>
              <w:top w:val="nil"/>
              <w:left w:val="nil"/>
              <w:bottom w:val="nil"/>
              <w:right w:val="nil"/>
            </w:tcBorders>
            <w:noWrap/>
            <w:vAlign w:val="bottom"/>
          </w:tcPr>
          <w:p>
            <w:pPr>
              <w:widowControl/>
              <w:jc w:val="center"/>
              <w:rPr>
                <w:rFonts w:ascii="宋体" w:hAnsi="宋体" w:cs="宋体"/>
                <w:b/>
                <w:bCs/>
                <w:color w:val="auto"/>
                <w:kern w:val="0"/>
                <w:sz w:val="32"/>
                <w:szCs w:val="32"/>
                <w:highlight w:val="none"/>
              </w:rPr>
            </w:pPr>
            <w:r>
              <w:rPr>
                <w:rFonts w:hint="eastAsia" w:ascii="宋体" w:hAnsi="宋体" w:cs="宋体"/>
                <w:b/>
                <w:bCs/>
                <w:color w:val="auto"/>
                <w:kern w:val="0"/>
                <w:sz w:val="24"/>
                <w:highlight w:val="none"/>
              </w:rPr>
              <w:t>中小微行业划型标准规定（根据工信部联企业〔</w:t>
            </w:r>
            <w:r>
              <w:rPr>
                <w:rFonts w:ascii="宋体" w:hAnsi="宋体" w:cs="宋体"/>
                <w:b/>
                <w:bCs/>
                <w:color w:val="auto"/>
                <w:kern w:val="0"/>
                <w:sz w:val="24"/>
                <w:highlight w:val="none"/>
              </w:rPr>
              <w:t>2011</w:t>
            </w:r>
            <w:r>
              <w:rPr>
                <w:rFonts w:hint="eastAsia" w:ascii="宋体" w:hAnsi="宋体" w:cs="宋体"/>
                <w:b/>
                <w:bCs/>
                <w:color w:val="auto"/>
                <w:kern w:val="0"/>
                <w:sz w:val="24"/>
                <w:highlight w:val="none"/>
              </w:rPr>
              <w:t>〕</w:t>
            </w:r>
            <w:r>
              <w:rPr>
                <w:rFonts w:ascii="宋体" w:hAnsi="宋体" w:cs="宋体"/>
                <w:b/>
                <w:bCs/>
                <w:color w:val="auto"/>
                <w:kern w:val="0"/>
                <w:sz w:val="24"/>
                <w:highlight w:val="none"/>
              </w:rPr>
              <w:t>300</w:t>
            </w:r>
            <w:r>
              <w:rPr>
                <w:rFonts w:hint="eastAsia" w:ascii="宋体" w:hAnsi="宋体" w:cs="宋体"/>
                <w:b/>
                <w:bCs/>
                <w:color w:val="auto"/>
                <w:kern w:val="0"/>
                <w:sz w:val="24"/>
                <w:highlight w:val="none"/>
              </w:rPr>
              <w:t>号制定）</w:t>
            </w:r>
          </w:p>
        </w:tc>
      </w:tr>
      <w:tr>
        <w:tblPrEx>
          <w:tblCellMar>
            <w:top w:w="0" w:type="dxa"/>
            <w:left w:w="108" w:type="dxa"/>
            <w:bottom w:w="0" w:type="dxa"/>
            <w:right w:w="108" w:type="dxa"/>
          </w:tblCellMar>
        </w:tblPrEx>
        <w:trPr>
          <w:gridAfter w:val="1"/>
          <w:wAfter w:w="3" w:type="dxa"/>
          <w:trHeight w:val="459" w:hRule="atLeast"/>
        </w:trPr>
        <w:tc>
          <w:tcPr>
            <w:tcW w:w="2003" w:type="dxa"/>
            <w:vMerge w:val="restart"/>
            <w:tcBorders>
              <w:top w:val="single" w:color="auto" w:sz="8" w:space="0"/>
              <w:left w:val="single" w:color="auto" w:sz="8" w:space="0"/>
              <w:bottom w:val="single" w:color="000000" w:sz="4" w:space="0"/>
              <w:right w:val="single" w:color="auto" w:sz="8" w:space="0"/>
            </w:tcBorders>
            <w:noWrap/>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行业</w:t>
            </w:r>
          </w:p>
        </w:tc>
        <w:tc>
          <w:tcPr>
            <w:tcW w:w="4968" w:type="dxa"/>
            <w:gridSpan w:val="3"/>
            <w:tcBorders>
              <w:top w:val="single" w:color="auto" w:sz="8" w:space="0"/>
              <w:left w:val="nil"/>
              <w:bottom w:val="single" w:color="auto" w:sz="4" w:space="0"/>
              <w:right w:val="single" w:color="000000" w:sz="8" w:space="0"/>
            </w:tcBorders>
            <w:noWrap/>
            <w:vAlign w:val="bottom"/>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中型企业</w:t>
            </w:r>
          </w:p>
        </w:tc>
        <w:tc>
          <w:tcPr>
            <w:tcW w:w="4282" w:type="dxa"/>
            <w:gridSpan w:val="3"/>
            <w:tcBorders>
              <w:top w:val="single" w:color="auto" w:sz="8" w:space="0"/>
              <w:left w:val="nil"/>
              <w:bottom w:val="single" w:color="auto" w:sz="4" w:space="0"/>
              <w:right w:val="single" w:color="000000" w:sz="8" w:space="0"/>
            </w:tcBorders>
            <w:noWrap/>
            <w:vAlign w:val="bottom"/>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小型企业</w:t>
            </w:r>
          </w:p>
        </w:tc>
        <w:tc>
          <w:tcPr>
            <w:tcW w:w="3818" w:type="dxa"/>
            <w:gridSpan w:val="3"/>
            <w:tcBorders>
              <w:top w:val="single" w:color="auto" w:sz="8" w:space="0"/>
              <w:left w:val="nil"/>
              <w:bottom w:val="single" w:color="auto" w:sz="4" w:space="0"/>
              <w:right w:val="single" w:color="000000" w:sz="8" w:space="0"/>
            </w:tcBorders>
            <w:noWrap/>
            <w:vAlign w:val="bottom"/>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微型企业</w:t>
            </w:r>
          </w:p>
        </w:tc>
      </w:tr>
      <w:tr>
        <w:tblPrEx>
          <w:tblCellMar>
            <w:top w:w="0" w:type="dxa"/>
            <w:left w:w="108" w:type="dxa"/>
            <w:bottom w:w="0" w:type="dxa"/>
            <w:right w:w="108" w:type="dxa"/>
          </w:tblCellMar>
        </w:tblPrEx>
        <w:trPr>
          <w:gridAfter w:val="1"/>
          <w:wAfter w:w="6" w:type="dxa"/>
          <w:trHeight w:val="518" w:hRule="atLeast"/>
        </w:trPr>
        <w:tc>
          <w:tcPr>
            <w:tcW w:w="2003" w:type="dxa"/>
            <w:vMerge w:val="continue"/>
            <w:tcBorders>
              <w:top w:val="single" w:color="auto" w:sz="8" w:space="0"/>
              <w:left w:val="single" w:color="auto" w:sz="8" w:space="0"/>
              <w:bottom w:val="single" w:color="000000" w:sz="4" w:space="0"/>
              <w:right w:val="single" w:color="auto" w:sz="8" w:space="0"/>
            </w:tcBorders>
            <w:noWrap/>
            <w:vAlign w:val="center"/>
          </w:tcPr>
          <w:p>
            <w:pPr>
              <w:widowControl/>
              <w:jc w:val="left"/>
              <w:rPr>
                <w:rFonts w:ascii="宋体" w:hAnsi="宋体" w:cs="宋体"/>
                <w:b/>
                <w:bCs/>
                <w:color w:val="auto"/>
                <w:kern w:val="0"/>
                <w:sz w:val="24"/>
                <w:highlight w:val="none"/>
              </w:rPr>
            </w:pPr>
          </w:p>
        </w:tc>
        <w:tc>
          <w:tcPr>
            <w:tcW w:w="1512" w:type="dxa"/>
            <w:tcBorders>
              <w:top w:val="nil"/>
              <w:left w:val="nil"/>
              <w:bottom w:val="single" w:color="auto" w:sz="4" w:space="0"/>
              <w:right w:val="single" w:color="auto" w:sz="4" w:space="0"/>
            </w:tcBorders>
            <w:noWrap/>
            <w:vAlign w:val="bottom"/>
          </w:tcPr>
          <w:p>
            <w:pPr>
              <w:widowControl/>
              <w:jc w:val="center"/>
              <w:rPr>
                <w:rFonts w:ascii="宋体" w:hAnsi="宋体" w:cs="宋体"/>
                <w:color w:val="auto"/>
                <w:kern w:val="0"/>
                <w:sz w:val="20"/>
                <w:highlight w:val="none"/>
              </w:rPr>
            </w:pPr>
            <w:r>
              <w:rPr>
                <w:rFonts w:hint="eastAsia" w:ascii="宋体" w:hAnsi="宋体" w:cs="宋体"/>
                <w:color w:val="auto"/>
                <w:kern w:val="0"/>
                <w:sz w:val="20"/>
                <w:highlight w:val="none"/>
              </w:rPr>
              <w:t>从业人员</w:t>
            </w:r>
            <w:r>
              <w:rPr>
                <w:rFonts w:ascii="宋体" w:hAnsi="宋体" w:cs="宋体"/>
                <w:color w:val="auto"/>
                <w:kern w:val="0"/>
                <w:sz w:val="20"/>
                <w:highlight w:val="none"/>
              </w:rPr>
              <w:t>X</w:t>
            </w:r>
            <w:r>
              <w:rPr>
                <w:rFonts w:hint="eastAsia" w:ascii="宋体" w:hAnsi="宋体" w:cs="宋体"/>
                <w:color w:val="auto"/>
                <w:kern w:val="0"/>
                <w:sz w:val="20"/>
                <w:highlight w:val="none"/>
              </w:rPr>
              <w:t>（人）</w:t>
            </w:r>
          </w:p>
        </w:tc>
        <w:tc>
          <w:tcPr>
            <w:tcW w:w="1779" w:type="dxa"/>
            <w:tcBorders>
              <w:top w:val="nil"/>
              <w:left w:val="nil"/>
              <w:bottom w:val="single" w:color="auto" w:sz="4" w:space="0"/>
              <w:right w:val="single" w:color="auto" w:sz="4" w:space="0"/>
            </w:tcBorders>
            <w:noWrap/>
            <w:vAlign w:val="bottom"/>
          </w:tcPr>
          <w:p>
            <w:pPr>
              <w:widowControl/>
              <w:jc w:val="center"/>
              <w:rPr>
                <w:rFonts w:ascii="宋体" w:hAnsi="宋体" w:cs="宋体"/>
                <w:color w:val="auto"/>
                <w:kern w:val="0"/>
                <w:sz w:val="20"/>
                <w:highlight w:val="none"/>
              </w:rPr>
            </w:pPr>
            <w:r>
              <w:rPr>
                <w:rFonts w:hint="eastAsia" w:ascii="宋体" w:hAnsi="宋体" w:cs="宋体"/>
                <w:color w:val="auto"/>
                <w:kern w:val="0"/>
                <w:sz w:val="20"/>
                <w:highlight w:val="none"/>
              </w:rPr>
              <w:t>营业收入</w:t>
            </w:r>
            <w:r>
              <w:rPr>
                <w:rFonts w:ascii="宋体" w:hAnsi="宋体" w:cs="宋体"/>
                <w:color w:val="auto"/>
                <w:kern w:val="0"/>
                <w:sz w:val="20"/>
                <w:highlight w:val="none"/>
              </w:rPr>
              <w:t>Y</w:t>
            </w:r>
          </w:p>
          <w:p>
            <w:pPr>
              <w:widowControl/>
              <w:jc w:val="center"/>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677" w:type="dxa"/>
            <w:tcBorders>
              <w:top w:val="nil"/>
              <w:left w:val="nil"/>
              <w:bottom w:val="single" w:color="auto" w:sz="4" w:space="0"/>
              <w:right w:val="single" w:color="auto" w:sz="8" w:space="0"/>
            </w:tcBorders>
            <w:noWrap/>
            <w:vAlign w:val="bottom"/>
          </w:tcPr>
          <w:p>
            <w:pPr>
              <w:widowControl/>
              <w:jc w:val="center"/>
              <w:rPr>
                <w:rFonts w:ascii="宋体" w:hAnsi="宋体" w:cs="宋体"/>
                <w:color w:val="auto"/>
                <w:kern w:val="0"/>
                <w:sz w:val="20"/>
                <w:highlight w:val="none"/>
              </w:rPr>
            </w:pPr>
            <w:r>
              <w:rPr>
                <w:rFonts w:hint="eastAsia" w:ascii="宋体" w:hAnsi="宋体" w:cs="宋体"/>
                <w:color w:val="auto"/>
                <w:kern w:val="0"/>
                <w:sz w:val="20"/>
                <w:highlight w:val="none"/>
              </w:rPr>
              <w:t>资产总额</w:t>
            </w:r>
            <w:r>
              <w:rPr>
                <w:rFonts w:ascii="宋体" w:hAnsi="宋体" w:cs="宋体"/>
                <w:color w:val="auto"/>
                <w:kern w:val="0"/>
                <w:sz w:val="20"/>
                <w:highlight w:val="none"/>
              </w:rPr>
              <w:t>Z</w:t>
            </w:r>
          </w:p>
          <w:p>
            <w:pPr>
              <w:widowControl/>
              <w:jc w:val="center"/>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252" w:type="dxa"/>
            <w:tcBorders>
              <w:top w:val="nil"/>
              <w:left w:val="nil"/>
              <w:bottom w:val="single" w:color="auto" w:sz="4" w:space="0"/>
              <w:right w:val="single" w:color="auto" w:sz="4" w:space="0"/>
            </w:tcBorders>
            <w:noWrap/>
            <w:vAlign w:val="bottom"/>
          </w:tcPr>
          <w:p>
            <w:pPr>
              <w:widowControl/>
              <w:jc w:val="center"/>
              <w:rPr>
                <w:rFonts w:ascii="宋体" w:hAnsi="宋体" w:cs="宋体"/>
                <w:color w:val="auto"/>
                <w:kern w:val="0"/>
                <w:sz w:val="20"/>
                <w:highlight w:val="none"/>
              </w:rPr>
            </w:pPr>
            <w:r>
              <w:rPr>
                <w:rFonts w:hint="eastAsia" w:ascii="宋体" w:hAnsi="宋体" w:cs="宋体"/>
                <w:color w:val="auto"/>
                <w:kern w:val="0"/>
                <w:sz w:val="20"/>
                <w:highlight w:val="none"/>
              </w:rPr>
              <w:t>从业人员</w:t>
            </w:r>
            <w:r>
              <w:rPr>
                <w:rFonts w:ascii="宋体" w:hAnsi="宋体" w:cs="宋体"/>
                <w:color w:val="auto"/>
                <w:kern w:val="0"/>
                <w:sz w:val="20"/>
                <w:highlight w:val="none"/>
              </w:rPr>
              <w:t>X</w:t>
            </w:r>
            <w:r>
              <w:rPr>
                <w:rFonts w:hint="eastAsia" w:ascii="宋体" w:hAnsi="宋体" w:cs="宋体"/>
                <w:color w:val="auto"/>
                <w:kern w:val="0"/>
                <w:sz w:val="20"/>
                <w:highlight w:val="none"/>
              </w:rPr>
              <w:t>（人）</w:t>
            </w:r>
          </w:p>
        </w:tc>
        <w:tc>
          <w:tcPr>
            <w:tcW w:w="1494" w:type="dxa"/>
            <w:tcBorders>
              <w:top w:val="nil"/>
              <w:left w:val="nil"/>
              <w:bottom w:val="single" w:color="auto" w:sz="4" w:space="0"/>
              <w:right w:val="single" w:color="auto" w:sz="4" w:space="0"/>
            </w:tcBorders>
            <w:noWrap/>
            <w:vAlign w:val="bottom"/>
          </w:tcPr>
          <w:p>
            <w:pPr>
              <w:widowControl/>
              <w:jc w:val="center"/>
              <w:rPr>
                <w:rFonts w:ascii="宋体" w:hAnsi="宋体" w:cs="宋体"/>
                <w:color w:val="auto"/>
                <w:kern w:val="0"/>
                <w:sz w:val="20"/>
                <w:highlight w:val="none"/>
              </w:rPr>
            </w:pPr>
            <w:r>
              <w:rPr>
                <w:rFonts w:hint="eastAsia" w:ascii="宋体" w:hAnsi="宋体" w:cs="宋体"/>
                <w:color w:val="auto"/>
                <w:kern w:val="0"/>
                <w:sz w:val="20"/>
                <w:highlight w:val="none"/>
              </w:rPr>
              <w:t>营业收入</w:t>
            </w:r>
            <w:r>
              <w:rPr>
                <w:rFonts w:ascii="宋体" w:hAnsi="宋体" w:cs="宋体"/>
                <w:color w:val="auto"/>
                <w:kern w:val="0"/>
                <w:sz w:val="20"/>
                <w:highlight w:val="none"/>
              </w:rPr>
              <w:t>Y</w:t>
            </w:r>
          </w:p>
          <w:p>
            <w:pPr>
              <w:widowControl/>
              <w:jc w:val="center"/>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536" w:type="dxa"/>
            <w:tcBorders>
              <w:top w:val="nil"/>
              <w:left w:val="nil"/>
              <w:bottom w:val="single" w:color="auto" w:sz="4" w:space="0"/>
              <w:right w:val="single" w:color="auto" w:sz="8" w:space="0"/>
            </w:tcBorders>
            <w:noWrap/>
            <w:vAlign w:val="bottom"/>
          </w:tcPr>
          <w:p>
            <w:pPr>
              <w:widowControl/>
              <w:jc w:val="center"/>
              <w:rPr>
                <w:rFonts w:ascii="宋体" w:hAnsi="宋体" w:cs="宋体"/>
                <w:color w:val="auto"/>
                <w:kern w:val="0"/>
                <w:sz w:val="20"/>
                <w:highlight w:val="none"/>
              </w:rPr>
            </w:pPr>
            <w:r>
              <w:rPr>
                <w:rFonts w:hint="eastAsia" w:ascii="宋体" w:hAnsi="宋体" w:cs="宋体"/>
                <w:color w:val="auto"/>
                <w:kern w:val="0"/>
                <w:sz w:val="20"/>
                <w:highlight w:val="none"/>
              </w:rPr>
              <w:t>资产总额</w:t>
            </w:r>
            <w:r>
              <w:rPr>
                <w:rFonts w:ascii="宋体" w:hAnsi="宋体" w:cs="宋体"/>
                <w:color w:val="auto"/>
                <w:kern w:val="0"/>
                <w:sz w:val="20"/>
                <w:highlight w:val="none"/>
              </w:rPr>
              <w:t>Z</w:t>
            </w:r>
          </w:p>
          <w:p>
            <w:pPr>
              <w:widowControl/>
              <w:jc w:val="center"/>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297" w:type="dxa"/>
            <w:tcBorders>
              <w:top w:val="nil"/>
              <w:left w:val="nil"/>
              <w:bottom w:val="single" w:color="auto" w:sz="4" w:space="0"/>
              <w:right w:val="single" w:color="auto" w:sz="4" w:space="0"/>
            </w:tcBorders>
            <w:noWrap/>
            <w:vAlign w:val="bottom"/>
          </w:tcPr>
          <w:p>
            <w:pPr>
              <w:widowControl/>
              <w:jc w:val="center"/>
              <w:rPr>
                <w:rFonts w:ascii="宋体" w:hAnsi="宋体" w:cs="宋体"/>
                <w:color w:val="auto"/>
                <w:kern w:val="0"/>
                <w:sz w:val="20"/>
                <w:highlight w:val="none"/>
              </w:rPr>
            </w:pPr>
            <w:r>
              <w:rPr>
                <w:rFonts w:hint="eastAsia" w:ascii="宋体" w:hAnsi="宋体" w:cs="宋体"/>
                <w:color w:val="auto"/>
                <w:kern w:val="0"/>
                <w:sz w:val="20"/>
                <w:highlight w:val="none"/>
              </w:rPr>
              <w:t>从业人员</w:t>
            </w:r>
            <w:r>
              <w:rPr>
                <w:rFonts w:ascii="宋体" w:hAnsi="宋体" w:cs="宋体"/>
                <w:color w:val="auto"/>
                <w:kern w:val="0"/>
                <w:sz w:val="20"/>
                <w:highlight w:val="none"/>
              </w:rPr>
              <w:t>X</w:t>
            </w:r>
            <w:r>
              <w:rPr>
                <w:rFonts w:hint="eastAsia" w:ascii="宋体" w:hAnsi="宋体" w:cs="宋体"/>
                <w:color w:val="auto"/>
                <w:kern w:val="0"/>
                <w:sz w:val="20"/>
                <w:highlight w:val="none"/>
              </w:rPr>
              <w:t>（人）</w:t>
            </w:r>
          </w:p>
        </w:tc>
        <w:tc>
          <w:tcPr>
            <w:tcW w:w="1287" w:type="dxa"/>
            <w:tcBorders>
              <w:top w:val="nil"/>
              <w:left w:val="nil"/>
              <w:bottom w:val="single" w:color="auto" w:sz="4" w:space="0"/>
              <w:right w:val="single" w:color="auto" w:sz="4" w:space="0"/>
            </w:tcBorders>
            <w:noWrap/>
            <w:vAlign w:val="bottom"/>
          </w:tcPr>
          <w:p>
            <w:pPr>
              <w:widowControl/>
              <w:jc w:val="center"/>
              <w:rPr>
                <w:rFonts w:ascii="宋体" w:hAnsi="宋体" w:cs="宋体"/>
                <w:color w:val="auto"/>
                <w:kern w:val="0"/>
                <w:sz w:val="20"/>
                <w:highlight w:val="none"/>
              </w:rPr>
            </w:pPr>
            <w:r>
              <w:rPr>
                <w:rFonts w:hint="eastAsia" w:ascii="宋体" w:hAnsi="宋体" w:cs="宋体"/>
                <w:color w:val="auto"/>
                <w:kern w:val="0"/>
                <w:sz w:val="20"/>
                <w:highlight w:val="none"/>
              </w:rPr>
              <w:t>营业收入</w:t>
            </w:r>
            <w:r>
              <w:rPr>
                <w:rFonts w:ascii="宋体" w:hAnsi="宋体" w:cs="宋体"/>
                <w:color w:val="auto"/>
                <w:kern w:val="0"/>
                <w:sz w:val="20"/>
                <w:highlight w:val="none"/>
              </w:rPr>
              <w:t>Y</w:t>
            </w:r>
            <w:r>
              <w:rPr>
                <w:rFonts w:hint="eastAsia" w:ascii="宋体" w:hAnsi="宋体" w:cs="宋体"/>
                <w:color w:val="auto"/>
                <w:kern w:val="0"/>
                <w:sz w:val="20"/>
                <w:highlight w:val="none"/>
              </w:rPr>
              <w:t>（万元）</w:t>
            </w:r>
          </w:p>
        </w:tc>
        <w:tc>
          <w:tcPr>
            <w:tcW w:w="1234" w:type="dxa"/>
            <w:tcBorders>
              <w:top w:val="nil"/>
              <w:left w:val="nil"/>
              <w:bottom w:val="single" w:color="auto" w:sz="4" w:space="0"/>
              <w:right w:val="single" w:color="auto" w:sz="8" w:space="0"/>
            </w:tcBorders>
            <w:noWrap/>
            <w:vAlign w:val="bottom"/>
          </w:tcPr>
          <w:p>
            <w:pPr>
              <w:widowControl/>
              <w:jc w:val="center"/>
              <w:rPr>
                <w:rFonts w:ascii="宋体" w:hAnsi="宋体" w:cs="宋体"/>
                <w:color w:val="auto"/>
                <w:kern w:val="0"/>
                <w:sz w:val="20"/>
                <w:highlight w:val="none"/>
              </w:rPr>
            </w:pPr>
            <w:r>
              <w:rPr>
                <w:rFonts w:hint="eastAsia" w:ascii="宋体" w:hAnsi="宋体" w:cs="宋体"/>
                <w:color w:val="auto"/>
                <w:kern w:val="0"/>
                <w:sz w:val="20"/>
                <w:highlight w:val="none"/>
              </w:rPr>
              <w:t>资产总额</w:t>
            </w:r>
            <w:r>
              <w:rPr>
                <w:rFonts w:ascii="宋体" w:hAnsi="宋体" w:cs="宋体"/>
                <w:color w:val="auto"/>
                <w:kern w:val="0"/>
                <w:sz w:val="20"/>
                <w:highlight w:val="none"/>
              </w:rPr>
              <w:t>Z</w:t>
            </w:r>
            <w:r>
              <w:rPr>
                <w:rFonts w:hint="eastAsia" w:ascii="宋体" w:hAnsi="宋体" w:cs="宋体"/>
                <w:color w:val="auto"/>
                <w:kern w:val="0"/>
                <w:sz w:val="20"/>
                <w:highlight w:val="none"/>
              </w:rPr>
              <w:t>（万元）</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auto"/>
                <w:kern w:val="0"/>
                <w:sz w:val="20"/>
                <w:highlight w:val="none"/>
              </w:rPr>
            </w:pPr>
            <w:r>
              <w:rPr>
                <w:rFonts w:ascii="宋体" w:hAnsi="宋体" w:cs="宋体"/>
                <w:color w:val="auto"/>
                <w:kern w:val="0"/>
                <w:sz w:val="20"/>
                <w:highlight w:val="none"/>
              </w:rPr>
              <w:t xml:space="preserve"> 1</w:t>
            </w:r>
            <w:r>
              <w:rPr>
                <w:rFonts w:hint="eastAsia" w:ascii="宋体" w:hAnsi="宋体" w:cs="宋体"/>
                <w:color w:val="auto"/>
                <w:kern w:val="0"/>
                <w:sz w:val="20"/>
                <w:highlight w:val="none"/>
              </w:rPr>
              <w:t>、农林牧渔业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 xml:space="preserve"> 500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 xml:space="preserve"> 50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auto"/>
                <w:kern w:val="0"/>
                <w:sz w:val="20"/>
                <w:highlight w:val="none"/>
              </w:rPr>
            </w:pPr>
            <w:r>
              <w:rPr>
                <w:rFonts w:ascii="宋体" w:hAnsi="宋体" w:cs="宋体"/>
                <w:color w:val="auto"/>
                <w:kern w:val="0"/>
                <w:sz w:val="20"/>
                <w:highlight w:val="none"/>
              </w:rPr>
              <w:t xml:space="preserve"> 2</w:t>
            </w:r>
            <w:r>
              <w:rPr>
                <w:rFonts w:hint="eastAsia" w:ascii="宋体" w:hAnsi="宋体" w:cs="宋体"/>
                <w:color w:val="auto"/>
                <w:kern w:val="0"/>
                <w:sz w:val="20"/>
                <w:highlight w:val="none"/>
              </w:rPr>
              <w:t>、工业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40000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auto"/>
                <w:kern w:val="0"/>
                <w:sz w:val="20"/>
                <w:highlight w:val="none"/>
              </w:rPr>
            </w:pPr>
            <w:r>
              <w:rPr>
                <w:rFonts w:ascii="宋体" w:hAnsi="宋体" w:cs="宋体"/>
                <w:color w:val="auto"/>
                <w:kern w:val="0"/>
                <w:sz w:val="20"/>
                <w:highlight w:val="none"/>
              </w:rPr>
              <w:t xml:space="preserve"> 3</w:t>
            </w:r>
            <w:r>
              <w:rPr>
                <w:rFonts w:hint="eastAsia" w:ascii="宋体" w:hAnsi="宋体" w:cs="宋体"/>
                <w:color w:val="auto"/>
                <w:kern w:val="0"/>
                <w:sz w:val="20"/>
                <w:highlight w:val="none"/>
              </w:rPr>
              <w:t>、建筑业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6000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80000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5000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80000</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6000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 xml:space="preserve"> 300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auto"/>
                <w:kern w:val="0"/>
                <w:sz w:val="20"/>
                <w:highlight w:val="none"/>
              </w:rPr>
            </w:pPr>
            <w:r>
              <w:rPr>
                <w:rFonts w:ascii="宋体" w:hAnsi="宋体" w:cs="宋体"/>
                <w:color w:val="auto"/>
                <w:kern w:val="0"/>
                <w:sz w:val="20"/>
                <w:highlight w:val="none"/>
              </w:rPr>
              <w:t xml:space="preserve"> 4</w:t>
            </w:r>
            <w:r>
              <w:rPr>
                <w:rFonts w:hint="eastAsia" w:ascii="宋体" w:hAnsi="宋体" w:cs="宋体"/>
                <w:color w:val="auto"/>
                <w:kern w:val="0"/>
                <w:sz w:val="20"/>
                <w:highlight w:val="none"/>
              </w:rPr>
              <w:t>、批发业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 xml:space="preserve"> 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5000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40000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 xml:space="preserve"> 5</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5</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auto"/>
                <w:kern w:val="0"/>
                <w:sz w:val="20"/>
                <w:highlight w:val="none"/>
              </w:rPr>
            </w:pPr>
            <w:r>
              <w:rPr>
                <w:rFonts w:ascii="宋体" w:hAnsi="宋体" w:cs="宋体"/>
                <w:color w:val="auto"/>
                <w:kern w:val="0"/>
                <w:sz w:val="20"/>
                <w:highlight w:val="none"/>
              </w:rPr>
              <w:t xml:space="preserve"> 5</w:t>
            </w:r>
            <w:r>
              <w:rPr>
                <w:rFonts w:hint="eastAsia" w:ascii="宋体" w:hAnsi="宋体" w:cs="宋体"/>
                <w:color w:val="auto"/>
                <w:kern w:val="0"/>
                <w:sz w:val="20"/>
                <w:highlight w:val="none"/>
              </w:rPr>
              <w:t>、零售业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 xml:space="preserve"> 50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 xml:space="preserve"> 500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50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auto"/>
                <w:kern w:val="0"/>
                <w:sz w:val="20"/>
                <w:highlight w:val="none"/>
              </w:rPr>
            </w:pPr>
            <w:r>
              <w:rPr>
                <w:rFonts w:ascii="宋体" w:hAnsi="宋体" w:cs="宋体"/>
                <w:color w:val="auto"/>
                <w:kern w:val="0"/>
                <w:sz w:val="20"/>
                <w:highlight w:val="none"/>
              </w:rPr>
              <w:t xml:space="preserve"> 6</w:t>
            </w:r>
            <w:r>
              <w:rPr>
                <w:rFonts w:hint="eastAsia" w:ascii="宋体" w:hAnsi="宋体" w:cs="宋体"/>
                <w:color w:val="auto"/>
                <w:kern w:val="0"/>
                <w:sz w:val="20"/>
                <w:highlight w:val="none"/>
              </w:rPr>
              <w:t>、交通运输业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3000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200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V</w:t>
            </w:r>
            <w:r>
              <w:rPr>
                <w:rFonts w:hint="eastAsia" w:ascii="宋体" w:hAnsi="宋体" w:cs="宋体"/>
                <w:color w:val="auto"/>
                <w:kern w:val="0"/>
                <w:sz w:val="20"/>
                <w:highlight w:val="none"/>
              </w:rPr>
              <w:t>＜</w:t>
            </w:r>
            <w:r>
              <w:rPr>
                <w:rFonts w:ascii="宋体" w:hAnsi="宋体" w:cs="宋体"/>
                <w:color w:val="auto"/>
                <w:kern w:val="0"/>
                <w:sz w:val="20"/>
                <w:highlight w:val="none"/>
              </w:rPr>
              <w:t>200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auto"/>
                <w:kern w:val="0"/>
                <w:sz w:val="20"/>
                <w:highlight w:val="none"/>
              </w:rPr>
            </w:pPr>
            <w:r>
              <w:rPr>
                <w:rFonts w:ascii="宋体" w:hAnsi="宋体" w:cs="宋体"/>
                <w:color w:val="auto"/>
                <w:kern w:val="0"/>
                <w:sz w:val="20"/>
                <w:highlight w:val="none"/>
              </w:rPr>
              <w:t xml:space="preserve"> 7</w:t>
            </w:r>
            <w:r>
              <w:rPr>
                <w:rFonts w:hint="eastAsia" w:ascii="宋体" w:hAnsi="宋体" w:cs="宋体"/>
                <w:color w:val="auto"/>
                <w:kern w:val="0"/>
                <w:sz w:val="20"/>
                <w:highlight w:val="none"/>
              </w:rPr>
              <w:t>、仓储业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auto"/>
                <w:kern w:val="0"/>
                <w:sz w:val="20"/>
                <w:highlight w:val="none"/>
              </w:rPr>
            </w:pPr>
            <w:r>
              <w:rPr>
                <w:rFonts w:ascii="宋体" w:hAnsi="宋体" w:cs="宋体"/>
                <w:color w:val="auto"/>
                <w:kern w:val="0"/>
                <w:sz w:val="20"/>
                <w:highlight w:val="none"/>
              </w:rPr>
              <w:t xml:space="preserve"> 8</w:t>
            </w:r>
            <w:r>
              <w:rPr>
                <w:rFonts w:hint="eastAsia" w:ascii="宋体" w:hAnsi="宋体" w:cs="宋体"/>
                <w:color w:val="auto"/>
                <w:kern w:val="0"/>
                <w:sz w:val="20"/>
                <w:highlight w:val="none"/>
              </w:rPr>
              <w:t>、邮政业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auto"/>
                <w:kern w:val="0"/>
                <w:sz w:val="20"/>
                <w:highlight w:val="none"/>
              </w:rPr>
            </w:pPr>
            <w:r>
              <w:rPr>
                <w:rFonts w:ascii="宋体" w:hAnsi="宋体" w:cs="宋体"/>
                <w:color w:val="auto"/>
                <w:kern w:val="0"/>
                <w:sz w:val="20"/>
                <w:highlight w:val="none"/>
              </w:rPr>
              <w:t xml:space="preserve"> 9</w:t>
            </w:r>
            <w:r>
              <w:rPr>
                <w:rFonts w:hint="eastAsia" w:ascii="宋体" w:hAnsi="宋体" w:cs="宋体"/>
                <w:color w:val="auto"/>
                <w:kern w:val="0"/>
                <w:sz w:val="20"/>
                <w:highlight w:val="none"/>
              </w:rPr>
              <w:t>、住宿业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、餐饮业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V</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auto"/>
                <w:kern w:val="0"/>
                <w:sz w:val="20"/>
                <w:highlight w:val="none"/>
              </w:rPr>
            </w:pPr>
            <w:r>
              <w:rPr>
                <w:rFonts w:ascii="宋体" w:hAnsi="宋体" w:cs="宋体"/>
                <w:color w:val="auto"/>
                <w:kern w:val="0"/>
                <w:sz w:val="20"/>
                <w:highlight w:val="none"/>
              </w:rPr>
              <w:t>11</w:t>
            </w:r>
            <w:r>
              <w:rPr>
                <w:rFonts w:hint="eastAsia" w:ascii="宋体" w:hAnsi="宋体" w:cs="宋体"/>
                <w:color w:val="auto"/>
                <w:kern w:val="0"/>
                <w:sz w:val="20"/>
                <w:highlight w:val="none"/>
              </w:rPr>
              <w:t>、信息传输业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auto"/>
                <w:kern w:val="0"/>
                <w:sz w:val="20"/>
                <w:highlight w:val="none"/>
              </w:rPr>
            </w:pPr>
            <w:r>
              <w:rPr>
                <w:rFonts w:ascii="宋体" w:hAnsi="宋体" w:cs="宋体"/>
                <w:color w:val="auto"/>
                <w:kern w:val="0"/>
                <w:sz w:val="20"/>
                <w:highlight w:val="none"/>
              </w:rPr>
              <w:t>12</w:t>
            </w:r>
            <w:r>
              <w:rPr>
                <w:rFonts w:hint="eastAsia" w:ascii="宋体" w:hAnsi="宋体" w:cs="宋体"/>
                <w:color w:val="auto"/>
                <w:kern w:val="0"/>
                <w:sz w:val="20"/>
                <w:highlight w:val="none"/>
              </w:rPr>
              <w:t>、软件和信息技术服务业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 xml:space="preserve"> 50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auto"/>
                <w:kern w:val="0"/>
                <w:sz w:val="20"/>
                <w:highlight w:val="none"/>
              </w:rPr>
            </w:pPr>
            <w:r>
              <w:rPr>
                <w:rFonts w:ascii="宋体" w:hAnsi="宋体" w:cs="宋体"/>
                <w:color w:val="auto"/>
                <w:kern w:val="0"/>
                <w:sz w:val="20"/>
                <w:highlight w:val="none"/>
              </w:rPr>
              <w:t>13</w:t>
            </w:r>
            <w:r>
              <w:rPr>
                <w:rFonts w:hint="eastAsia" w:ascii="宋体" w:hAnsi="宋体" w:cs="宋体"/>
                <w:color w:val="auto"/>
                <w:kern w:val="0"/>
                <w:sz w:val="20"/>
                <w:highlight w:val="none"/>
              </w:rPr>
              <w:t>、房地产开发经营</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5000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auto"/>
                <w:kern w:val="0"/>
                <w:sz w:val="20"/>
                <w:highlight w:val="none"/>
              </w:rPr>
            </w:pPr>
            <w:r>
              <w:rPr>
                <w:rFonts w:ascii="宋体" w:hAnsi="宋体" w:cs="宋体"/>
                <w:color w:val="auto"/>
                <w:kern w:val="0"/>
                <w:sz w:val="20"/>
                <w:highlight w:val="none"/>
              </w:rPr>
              <w:t>14</w:t>
            </w:r>
            <w:r>
              <w:rPr>
                <w:rFonts w:hint="eastAsia" w:ascii="宋体" w:hAnsi="宋体" w:cs="宋体"/>
                <w:color w:val="auto"/>
                <w:kern w:val="0"/>
                <w:sz w:val="20"/>
                <w:highlight w:val="none"/>
              </w:rPr>
              <w:t>、物业管理</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500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ign w:val="bottom"/>
          </w:tcPr>
          <w:p>
            <w:pPr>
              <w:widowControl/>
              <w:jc w:val="left"/>
              <w:rPr>
                <w:rFonts w:ascii="宋体" w:hAnsi="宋体" w:cs="宋体"/>
                <w:color w:val="auto"/>
                <w:kern w:val="0"/>
                <w:sz w:val="20"/>
                <w:highlight w:val="none"/>
              </w:rPr>
            </w:pPr>
            <w:r>
              <w:rPr>
                <w:rFonts w:ascii="宋体" w:hAnsi="宋体" w:cs="宋体"/>
                <w:color w:val="auto"/>
                <w:kern w:val="0"/>
                <w:sz w:val="20"/>
                <w:highlight w:val="none"/>
              </w:rPr>
              <w:t>15</w:t>
            </w:r>
            <w:r>
              <w:rPr>
                <w:rFonts w:hint="eastAsia" w:ascii="宋体" w:hAnsi="宋体" w:cs="宋体"/>
                <w:color w:val="auto"/>
                <w:kern w:val="0"/>
                <w:sz w:val="20"/>
                <w:highlight w:val="none"/>
              </w:rPr>
              <w:t>、租赁和商务服务业</w:t>
            </w:r>
          </w:p>
        </w:tc>
        <w:tc>
          <w:tcPr>
            <w:tcW w:w="151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79"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677"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8000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120000</w:t>
            </w:r>
          </w:p>
        </w:tc>
        <w:tc>
          <w:tcPr>
            <w:tcW w:w="1252"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536"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 xml:space="preserve"> 100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8000</w:t>
            </w:r>
          </w:p>
        </w:tc>
        <w:tc>
          <w:tcPr>
            <w:tcW w:w="129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34" w:type="dxa"/>
            <w:tcBorders>
              <w:top w:val="nil"/>
              <w:left w:val="nil"/>
              <w:bottom w:val="single" w:color="auto" w:sz="4" w:space="0"/>
              <w:right w:val="single" w:color="auto" w:sz="8"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8" w:space="0"/>
              <w:right w:val="single" w:color="auto" w:sz="8" w:space="0"/>
            </w:tcBorders>
            <w:noWrap/>
            <w:vAlign w:val="bottom"/>
          </w:tcPr>
          <w:p>
            <w:pPr>
              <w:widowControl/>
              <w:jc w:val="left"/>
              <w:rPr>
                <w:rFonts w:ascii="宋体" w:hAnsi="宋体" w:cs="宋体"/>
                <w:color w:val="auto"/>
                <w:kern w:val="0"/>
                <w:sz w:val="20"/>
                <w:highlight w:val="none"/>
              </w:rPr>
            </w:pPr>
            <w:r>
              <w:rPr>
                <w:rFonts w:ascii="宋体" w:hAnsi="宋体" w:cs="宋体"/>
                <w:color w:val="auto"/>
                <w:kern w:val="0"/>
                <w:sz w:val="20"/>
                <w:highlight w:val="none"/>
              </w:rPr>
              <w:t>16</w:t>
            </w:r>
            <w:r>
              <w:rPr>
                <w:rFonts w:hint="eastAsia" w:ascii="宋体" w:hAnsi="宋体" w:cs="宋体"/>
                <w:color w:val="auto"/>
                <w:kern w:val="0"/>
                <w:sz w:val="20"/>
                <w:highlight w:val="none"/>
              </w:rPr>
              <w:t>、其他未列明行业</w:t>
            </w:r>
          </w:p>
        </w:tc>
        <w:tc>
          <w:tcPr>
            <w:tcW w:w="1512" w:type="dxa"/>
            <w:tcBorders>
              <w:top w:val="nil"/>
              <w:left w:val="nil"/>
              <w:bottom w:val="single" w:color="auto" w:sz="8"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79" w:type="dxa"/>
            <w:tcBorders>
              <w:top w:val="nil"/>
              <w:left w:val="nil"/>
              <w:bottom w:val="single" w:color="auto" w:sz="8" w:space="0"/>
              <w:right w:val="single" w:color="auto" w:sz="4"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677" w:type="dxa"/>
            <w:tcBorders>
              <w:top w:val="nil"/>
              <w:left w:val="nil"/>
              <w:bottom w:val="single" w:color="auto" w:sz="8"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52" w:type="dxa"/>
            <w:tcBorders>
              <w:top w:val="nil"/>
              <w:left w:val="nil"/>
              <w:bottom w:val="single" w:color="auto" w:sz="8"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8" w:space="0"/>
              <w:right w:val="single" w:color="auto" w:sz="4"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536" w:type="dxa"/>
            <w:tcBorders>
              <w:top w:val="nil"/>
              <w:left w:val="nil"/>
              <w:bottom w:val="single" w:color="auto" w:sz="8"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97" w:type="dxa"/>
            <w:tcBorders>
              <w:top w:val="nil"/>
              <w:left w:val="nil"/>
              <w:bottom w:val="single" w:color="auto" w:sz="8" w:space="0"/>
              <w:right w:val="single" w:color="auto" w:sz="4" w:space="0"/>
            </w:tcBorders>
            <w:noWrap/>
            <w:vAlign w:val="center"/>
          </w:tcPr>
          <w:p>
            <w:pPr>
              <w:widowControl/>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8" w:space="0"/>
              <w:right w:val="single" w:color="auto" w:sz="4"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c>
          <w:tcPr>
            <w:tcW w:w="1234" w:type="dxa"/>
            <w:tcBorders>
              <w:top w:val="nil"/>
              <w:left w:val="nil"/>
              <w:bottom w:val="single" w:color="auto" w:sz="8" w:space="0"/>
              <w:right w:val="single" w:color="auto" w:sz="8" w:space="0"/>
            </w:tcBorders>
            <w:noWrap/>
            <w:vAlign w:val="center"/>
          </w:tcPr>
          <w:p>
            <w:pPr>
              <w:widowControl/>
              <w:rPr>
                <w:rFonts w:ascii="宋体" w:hAnsi="宋体" w:cs="宋体"/>
                <w:color w:val="auto"/>
                <w:kern w:val="0"/>
                <w:sz w:val="20"/>
                <w:highlight w:val="none"/>
              </w:rPr>
            </w:pPr>
            <w:r>
              <w:rPr>
                <w:rFonts w:hint="eastAsia" w:ascii="宋体" w:hAnsi="宋体" w:cs="宋体"/>
                <w:color w:val="auto"/>
                <w:kern w:val="0"/>
                <w:sz w:val="20"/>
                <w:highlight w:val="none"/>
              </w:rPr>
              <w:t>　</w:t>
            </w:r>
          </w:p>
        </w:tc>
      </w:tr>
      <w:tr>
        <w:tblPrEx>
          <w:tblCellMar>
            <w:top w:w="0" w:type="dxa"/>
            <w:left w:w="108" w:type="dxa"/>
            <w:bottom w:w="0" w:type="dxa"/>
            <w:right w:w="108" w:type="dxa"/>
          </w:tblCellMar>
        </w:tblPrEx>
        <w:trPr>
          <w:trHeight w:val="1124" w:hRule="atLeast"/>
        </w:trPr>
        <w:tc>
          <w:tcPr>
            <w:tcW w:w="15077" w:type="dxa"/>
            <w:gridSpan w:val="11"/>
            <w:tcBorders>
              <w:top w:val="nil"/>
              <w:left w:val="nil"/>
              <w:bottom w:val="nil"/>
              <w:right w:val="nil"/>
            </w:tcBorders>
            <w:noWrap/>
            <w:vAlign w:val="bottom"/>
          </w:tcPr>
          <w:p>
            <w:pPr>
              <w:widowControl/>
              <w:jc w:val="left"/>
              <w:rPr>
                <w:rFonts w:ascii="宋体" w:hAnsi="宋体" w:cs="宋体"/>
                <w:color w:val="auto"/>
                <w:kern w:val="0"/>
                <w:sz w:val="20"/>
                <w:highlight w:val="none"/>
              </w:rPr>
            </w:pPr>
            <w:r>
              <w:rPr>
                <w:rFonts w:hint="eastAsia" w:ascii="宋体" w:hAnsi="宋体" w:cs="宋体"/>
                <w:color w:val="auto"/>
                <w:kern w:val="0"/>
                <w:sz w:val="20"/>
                <w:highlight w:val="none"/>
              </w:rPr>
              <w:t>说明　</w:t>
            </w:r>
            <w:r>
              <w:rPr>
                <w:rFonts w:ascii="宋体" w:hAnsi="宋体" w:cs="宋体"/>
                <w:color w:val="auto"/>
                <w:kern w:val="0"/>
                <w:sz w:val="20"/>
                <w:highlight w:val="none"/>
              </w:rPr>
              <w:t>1</w:t>
            </w:r>
            <w:r>
              <w:rPr>
                <w:rFonts w:hint="eastAsia" w:ascii="宋体" w:hAnsi="宋体" w:cs="宋体"/>
                <w:color w:val="auto"/>
                <w:kern w:val="0"/>
                <w:sz w:val="20"/>
                <w:highlight w:val="none"/>
              </w:rPr>
              <w:t>、企业类型的划分以统计部门的统计数据为依据。</w:t>
            </w:r>
          </w:p>
          <w:p>
            <w:pPr>
              <w:widowControl/>
              <w:ind w:firstLine="600" w:firstLineChars="300"/>
              <w:jc w:val="left"/>
              <w:rPr>
                <w:rFonts w:ascii="宋体" w:hAnsi="宋体" w:cs="宋体"/>
                <w:color w:val="auto"/>
                <w:kern w:val="0"/>
                <w:sz w:val="20"/>
                <w:highlight w:val="none"/>
              </w:rPr>
            </w:pPr>
            <w:r>
              <w:rPr>
                <w:rFonts w:ascii="宋体" w:hAnsi="宋体" w:cs="宋体"/>
                <w:color w:val="auto"/>
                <w:kern w:val="0"/>
                <w:sz w:val="20"/>
                <w:highlight w:val="none"/>
              </w:rPr>
              <w:t>2</w:t>
            </w:r>
            <w:r>
              <w:rPr>
                <w:rFonts w:hint="eastAsia" w:ascii="宋体" w:hAnsi="宋体" w:cs="宋体"/>
                <w:color w:val="auto"/>
                <w:kern w:val="0"/>
                <w:sz w:val="20"/>
                <w:highlight w:val="none"/>
              </w:rPr>
              <w:t>、个体工商户和本规定以外的行业，参照本规定进行划型。</w:t>
            </w:r>
          </w:p>
          <w:p>
            <w:pPr>
              <w:widowControl/>
              <w:ind w:firstLine="600" w:firstLineChars="300"/>
              <w:jc w:val="left"/>
              <w:rPr>
                <w:rFonts w:ascii="宋体" w:hAnsi="宋体" w:cs="宋体"/>
                <w:color w:val="auto"/>
                <w:kern w:val="0"/>
                <w:sz w:val="20"/>
                <w:highlight w:val="none"/>
              </w:rPr>
            </w:pPr>
            <w:r>
              <w:rPr>
                <w:rFonts w:ascii="宋体" w:hAnsi="宋体" w:cs="宋体"/>
                <w:color w:val="auto"/>
                <w:kern w:val="0"/>
                <w:sz w:val="20"/>
                <w:highlight w:val="none"/>
              </w:rPr>
              <w:t>3</w:t>
            </w:r>
            <w:r>
              <w:rPr>
                <w:rFonts w:hint="eastAsia" w:ascii="宋体" w:hAnsi="宋体" w:cs="宋体"/>
                <w:color w:val="auto"/>
                <w:kern w:val="0"/>
                <w:sz w:val="20"/>
                <w:highlight w:val="none"/>
              </w:rPr>
              <w:t>、本规定的中型企业标准上限即为大型企业标准的下限。</w:t>
            </w:r>
          </w:p>
        </w:tc>
      </w:tr>
    </w:tbl>
    <w:p>
      <w:pPr>
        <w:pStyle w:val="29"/>
        <w:tabs>
          <w:tab w:val="left" w:pos="3450"/>
        </w:tabs>
        <w:spacing w:line="20" w:lineRule="exact"/>
        <w:jc w:val="left"/>
        <w:rPr>
          <w:rFonts w:hAnsi="宋体"/>
          <w:color w:val="auto"/>
          <w:sz w:val="36"/>
          <w:szCs w:val="36"/>
          <w:highlight w:val="none"/>
        </w:rPr>
      </w:pPr>
    </w:p>
    <w:sectPr>
      <w:pgSz w:w="16838" w:h="11906" w:orient="landscape"/>
      <w:pgMar w:top="526" w:right="1440" w:bottom="568" w:left="1440" w:header="737" w:footer="62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Univers">
    <w:altName w:val="Segoe Print"/>
    <w:panose1 w:val="020B0603020202030204"/>
    <w:charset w:val="00"/>
    <w:family w:val="swiss"/>
    <w:pitch w:val="default"/>
    <w:sig w:usb0="00000000" w:usb1="00000000" w:usb2="00000000" w:usb3="00000000" w:csb0="00000000" w:csb1="00000000"/>
  </w:font>
  <w:font w:name="font-weight : 400">
    <w:altName w:val="微软雅黑"/>
    <w:panose1 w:val="00000000000000000000"/>
    <w:charset w:val="00"/>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长城仿宋">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4"/>
      </w:rPr>
    </w:pPr>
    <w:r>
      <w:fldChar w:fldCharType="begin"/>
    </w:r>
    <w:r>
      <w:rPr>
        <w:rStyle w:val="54"/>
      </w:rPr>
      <w:instrText xml:space="preserve">PAGE  </w:instrText>
    </w:r>
    <w:r>
      <w:fldChar w:fldCharType="end"/>
    </w:r>
  </w:p>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noFill/>
                      </a:ln>
                      <a:effectLst/>
                    </wps:spPr>
                    <wps:txbx>
                      <w:txbxContent>
                        <w:p>
                          <w:pPr>
                            <w:pStyle w:val="3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  \* MERGEFORMAT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30</w:t>
                          </w:r>
                          <w:r>
                            <w:rPr>
                              <w:color w:val="000000" w:themeColor="text1"/>
                              <w:highlight w:val="none"/>
                              <w14:textFill>
                                <w14:solidFill>
                                  <w14:schemeClr w14:val="tx1"/>
                                </w14:solidFill>
                              </w14:textFil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color="#FFFFFF [3212]" filled="t" stroked="f" coordsize="21600,21600" o:gfxdata="UEsDBAoAAAAAAIdO4kAAAAAAAAAAAAAAAAAEAAAAZHJzL1BLAwQUAAAACACHTuJAr7wQHdEAAAAF AQAADwAAAGRycy9kb3ducmV2LnhtbE2PQU/DMAyF70j8h8hI3FjaHaCUppNAmriyDU0ck8a0hcQp SbaOf49BSHCx/PSs5+81q5N34ogxjYEUlIsCBFIX7Ei9gufd+qoCkbImq10gVPCJCVbt+Vmjaxtm 2uBxm3vBIZRqrWDIeaqlTN2AXqdFmJDYew3R68wy9tJGPXO4d3JZFNfS65H4w6AnfBiwe98evALz tns0e7eOL+XtvN/E+5unDzJKXV6UxR2IjKf8dwzf+IwOLTOZcCCbhFPARfLPZG9ZVSzN7yLbRv6n b78AUEsDBBQAAAAIAIdO4kCsNTGeSgIAAJgEAAAOAAAAZHJzL2Uyb0RvYy54bWytVM1uEzEQviPx DpbvdNOgVlGUTRVaBSFVtFJAnB2vN2vJf7Kd7IYHgDfgxIU7z5Xn4LM3m0Dh0AM5OGPP+Bt/38zs 7KbTiuyED9Kakl5ejCgRhttKmk1JP35YvppQEiIzFVPWiJLuRaA385cvZq2birFtrKqEJwAxYdq6 kjYxumlRBN4IzcKFdcLAWVuvWcTWb4rKsxboWhXj0ei6aK2vnLdchIDTu95Jj4j+OYC2riUXd5Zv tTCxR/VCsQhKoZEu0Hl+bV0LHh/qOohIVEnBNOYVSWCv01rMZ2y68cw1kh+fwJ7zhCecNJMGSU9Q dywysvXyLygtubfB1vGCW130RLIiYHE5eqLNqmFOZC6QOriT6OH/wfL3u0dPZFXSK0oM0yj44dvX w/efhx9fyFWSp3VhiqiVQ1zs3tgOTTOcBxwm1l3tdfoHHwI/xN2fxBVdJDxdmownkxFcHL5hA/zi fN35EN8Kq0kySupRvSwq292H2IcOISlbsEpWS6lU3vjN+lZ5smOo9DL/0iuB/keYMqQt6fXrq1FG Njbd7+OUSTgiN80xX+Lec0xW7NYdQpO5ttUeenjbN1RwfCnx5nsW4iPz6CDwxIzFByy1skhpjxYl jfWf/3We4lFYeClp0ZElNRhAStQ7g4IDMA6GH4z1YJitvrUgfonZdTybuOCjGszaW/0Jg7dIOeBi hiNTSeNg3sZ+KjC4XCwWOWjrvNw0/QW0q2Px3qwcT2my5G6xjRAwl+asCkRPGzRslv84XGkift/n qPMHZf4LUEsDBAoAAAAAAIdO4kAAAAAAAAAAAAAAAAAGAAAAX3JlbHMvUEsDBBQAAAAIAIdO4kCK FGY80QAAAJQBAAALAAAAX3JlbHMvLnJlbHOlkMFqwzAMhu+DvYPRfXGawxijTi+j0GvpHsDYimMa W0Yy2fr28w6DZfS2o36h7xP//vCZFrUiS6RsYNf1oDA78jEHA++X49MLKKk2e7tQRgM3FDiMjw/7 My62tiOZYxHVKFkMzLWWV63FzZisdFQwt81EnGxtIwddrLvagHro+2fNvxkwbpjq5A3wyQ+gLrfS zH/YKTomoal2jpKmaYruHlUHtmWO7sg24Ru5RrMcsBrwLBoHalnXfgR9X7/7p97TRz7jutV+h4zr j1dvuhy/AFBLAwQUAAAACACHTuJAfublIPcAAADhAQAAEwAAAFtDb250ZW50X1R5cGVzXS54bWyV kUFOwzAQRfdI3MHyFiVOu0AIJemCtEtAqBxgZE8Si2RseUxob4+TthtEkVjaM/+/J7vcHMZBTBjY OqrkKi+kQNLOWOoq+b7fZQ9ScAQyMDjCSh6R5aa+vSn3R48sUpq4kn2M/lEp1j2OwLnzSGnSujBC TMfQKQ/6AzpU66K4V9pRRIpZnDtkXTbYwucQxfaQrk8mAQeW4um0OLMqCd4PVkNMpmoi84OSnQl5 Si473FvPd0lDql8J8+Q64Jx7SU8TrEHxCiE+w5g0lAmsjPuigFP+d8lsOXLm2tZqzJvATYq94XSx utaOa9c4/d/y7ZK6dKvlg+pvUEsBAhQAFAAAAAgAh07iQH7m5SD3AAAA4QEAABMAAAAAAAAAAQAg AAAAtAQAAFtDb250ZW50X1R5cGVzXS54bWxQSwECFAAKAAAAAACHTuJAAAAAAAAAAAAAAAAABgAA AAAAAAAAABAAAACWAwAAX3JlbHMvUEsBAhQAFAAAAAgAh07iQIoUZjzRAAAAlAEAAAsAAAAAAAAA AQAgAAAAugMAAF9yZWxzLy5yZWxzUEsBAhQACgAAAAAAh07iQAAAAAAAAAAAAAAAAAQAAAAAAAAA AAAQAAAAAAAAAGRycy9QSwECFAAUAAAACACHTuJAr7wQHdEAAAAFAQAADwAAAAAAAAABACAAAAAi AAAAZHJzL2Rvd25yZXYueG1sUEsBAhQAFAAAAAgAh07iQKw1MZ5KAgAAmAQAAA4AAAAAAAAAAQAg AAAAIAEAAGRycy9lMm9Eb2MueG1sUEsFBgAAAAAGAAYAWQEAANwFAAAAAA== ">
              <v:fill on="t" focussize="0,0"/>
              <v:stroke on="f" weight="0.5pt"/>
              <v:imagedata o:title=""/>
              <o:lock v:ext="edit" aspectratio="f"/>
              <v:textbox inset="0mm,0mm,0mm,0mm" style="mso-fit-shape-to-text:t;">
                <w:txbxContent>
                  <w:p>
                    <w:pPr>
                      <w:pStyle w:val="3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  \* MERGEFORMAT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30</w:t>
                    </w:r>
                    <w:r>
                      <w:rPr>
                        <w:color w:val="000000" w:themeColor="text1"/>
                        <w:highlight w:val="none"/>
                        <w14:textFill>
                          <w14:solidFill>
                            <w14:schemeClr w14:val="tx1"/>
                          </w14:solidFill>
                        </w14:textFill>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2"/>
                            <w:rPr>
                              <w:rStyle w:val="54"/>
                            </w:rPr>
                          </w:pPr>
                          <w:r>
                            <w:fldChar w:fldCharType="begin"/>
                          </w:r>
                          <w:r>
                            <w:rPr>
                              <w:rStyle w:val="54"/>
                            </w:rPr>
                            <w:instrText xml:space="preserve">PAGE  </w:instrText>
                          </w:r>
                          <w:r>
                            <w:fldChar w:fldCharType="separate"/>
                          </w:r>
                          <w:r>
                            <w:rPr>
                              <w:rStyle w:val="54"/>
                            </w:rP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F4aj184AgAAbwQAAA4AAABkcnMvZTJvRG9jLnhtbK1UzY7TMBC+I/EO lu80bRGrqmq6KlsVIVXsSgVxdh2nieQ/2W6T8gDwBpy4cOe5+hx8dpIuWjjsgUs69oy/me+bmS5u WyXJSThfG53TyWhMidDcFLU+5PTTx82rGSU+MF0wabTI6Vl4ert8+WLR2LmYmsrIQjgCEO3njc1p FYKdZ5nnlVDMj4wVGs7SOMUCju6QFY41QFcym47HN1ljXGGd4cJ73K47J+0R3XMATVnWXKwNPyqh Q4fqhGQBlHxVW0+XqdqyFDzcl6UXgcicgmlIXySBvY/fbLlg84Njtqp5XwJ7TglPOClWayS9Qq1Z YOTo6r+gVM2d8aYMI25U1hFJioDFZPxEm13FrEhcILW3V9H9/4PlH04PjtRFTqeUaKbQ8Mv3b5cf vy4/v5JplKexfo6onUVcaN+aFkMz3HtcRtZt6VT8BR8CP8Q9X8UVbSA8PppNZ7MxXBy+4QD87PG5 dT68E0aRaOTUoXtJVHba+tCFDiExmzabWsrUQalJk9Ob12/G6cHVA3CpY6xIs9DDREpd6dEK7b7t ee5NcQZNZ7o58ZZvapSyZT48MIfBQPlYnXCPTykNUpreoqQy7su/7mM8+gUvJQ0GLacae0WJfK/R RwCGwXCDsR8MfVR3BpM7wUpankw8cEEOZumM+ox9WsUccDHNkSmnYTDvQjfs2EcuVqsUdLSuPlTd A0yhZWGrd5bHNFEqb1fHAGmT4lGgThV0Kh4wh6ln/c7EQf/znKIe/yeWvwF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zSVju0AAAAAUBAAAPAAAAAAAAAAEAIAAAACIAAABkcnMvZG93bnJldi54bWxQ SwECFAAUAAAACACHTuJAXhqPXzgCAABvBAAADgAAAAAAAAABACAAAAAfAQAAZHJzL2Uyb0RvYy54 bWxQSwUGAAAAAAYABgBZAQAAyQUAAAAA ">
              <v:fill on="f" focussize="0,0"/>
              <v:stroke on="f" weight="0.5pt"/>
              <v:imagedata o:title=""/>
              <o:lock v:ext="edit" aspectratio="f"/>
              <v:textbox inset="0mm,0mm,0mm,0mm" style="mso-fit-shape-to-text:t;">
                <w:txbxContent>
                  <w:p>
                    <w:pPr>
                      <w:pStyle w:val="32"/>
                      <w:rPr>
                        <w:rStyle w:val="54"/>
                      </w:rPr>
                    </w:pPr>
                    <w:r>
                      <w:fldChar w:fldCharType="begin"/>
                    </w:r>
                    <w:r>
                      <w:rPr>
                        <w:rStyle w:val="54"/>
                      </w:rPr>
                      <w:instrText xml:space="preserve">PAGE  </w:instrText>
                    </w:r>
                    <w:r>
                      <w:fldChar w:fldCharType="separate"/>
                    </w:r>
                    <w:r>
                      <w:rPr>
                        <w:rStyle w:val="54"/>
                      </w:rPr>
                      <w:t>36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2"/>
                            <w:jc w:val="center"/>
                            <w:rPr>
                              <w:rStyle w:val="54"/>
                            </w:rPr>
                          </w:pPr>
                          <w:r>
                            <w:fldChar w:fldCharType="begin"/>
                          </w:r>
                          <w:r>
                            <w:rPr>
                              <w:rStyle w:val="54"/>
                            </w:rPr>
                            <w:instrText xml:space="preserve">PAGE  </w:instrText>
                          </w:r>
                          <w:r>
                            <w:fldChar w:fldCharType="separate"/>
                          </w:r>
                          <w:r>
                            <w:rPr>
                              <w:rStyle w:val="54"/>
                            </w:rPr>
                            <w:t>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P8/A0c4AgAAbwQAAA4AAABkcnMvZTJvRG9jLnhtbK1US44TMRDdI3EH y3vS+YhRFKUzChMFIUXMSAGxdtzudEv+yXbSHQ4AN2DFhj3nyjnm2Z3OoIHFLNh0yq7yq3qvqjK/ bZUkR+F8bXROR4MhJUJzU9R6n9PPn9ZvppT4wHTBpNEipyfh6e3i9at5Y2dibCojC+EIQLSfNTan VQh2lmWeV0IxPzBWaDhL4xQLOLp9VjjWAF3JbDwc3mSNcYV1hgvvcbvqnPSC6F4CaMqy5mJl+EEJ HTpUJyQLoOSr2nq6SNWWpeDhviy9CETmFExD+iIJ7F38Zos5m+0ds1XNLyWwl5TwjJNitUbSK9SK BUYOrv4LStXcGW/KMOBGZR2RpAhYjIbPtNlWzIrEBVJ7exXd/z9Y/vH44Ehd5HRCiWYKDT//+H7+ +fv86xuZRHka62eI2lrEhfadaTE0/b3HZWTdlk7FX/Ah8EPc01Vc0QbC46PpeDodwsXh6w/Az56e W+fDe2EUiUZOHbqXRGXHjQ9daB8Ss2mzrqVMHZSaNDm9mbwdpgdXD8CljrEizcIFJlLqSo9WaHft hefOFCfQdKabE2/5ukYpG+bDA3MYDJSP1Qn3+JTSIKW5WJRUxn39132MR7/gpaTBoOVUY68okR80 +gjA0BuuN3a9oQ/qzmByR1hJy5OJBy7I3iydUV+wT8uYAy6mOTLlNPTmXeiGHfvIxXKZgg7W1fuq e4AptCxs9NbymCZK5e3yECBtUjwK1KmCTsUD5jD17LIzcdD/PKeop/+JxSN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zSVju0AAAAAUBAAAPAAAAAAAAAAEAIAAAACIAAABkcnMvZG93bnJldi54bWxQ SwECFAAUAAAACACHTuJA/z8DRzgCAABvBAAADgAAAAAAAAABACAAAAAfAQAAZHJzL2Uyb0RvYy54 bWxQSwUGAAAAAAYABgBZAQAAyQUAAAAA ">
              <v:fill on="f" focussize="0,0"/>
              <v:stroke on="f" weight="0.5pt"/>
              <v:imagedata o:title=""/>
              <o:lock v:ext="edit" aspectratio="f"/>
              <v:textbox inset="0mm,0mm,0mm,0mm" style="mso-fit-shape-to-text:t;">
                <w:txbxContent>
                  <w:p>
                    <w:pPr>
                      <w:pStyle w:val="32"/>
                      <w:jc w:val="center"/>
                      <w:rPr>
                        <w:rStyle w:val="54"/>
                      </w:rPr>
                    </w:pPr>
                    <w:r>
                      <w:fldChar w:fldCharType="begin"/>
                    </w:r>
                    <w:r>
                      <w:rPr>
                        <w:rStyle w:val="54"/>
                      </w:rPr>
                      <w:instrText xml:space="preserve">PAGE  </w:instrText>
                    </w:r>
                    <w:r>
                      <w:fldChar w:fldCharType="separate"/>
                    </w:r>
                    <w:r>
                      <w:rPr>
                        <w:rStyle w:val="54"/>
                      </w:rPr>
                      <w:t>73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4F0AF"/>
    <w:multiLevelType w:val="singleLevel"/>
    <w:tmpl w:val="81D4F0AF"/>
    <w:lvl w:ilvl="0" w:tentative="0">
      <w:start w:val="1"/>
      <w:numFmt w:val="chineseCounting"/>
      <w:suff w:val="nothing"/>
      <w:lvlText w:val="%1、"/>
      <w:lvlJc w:val="left"/>
      <w:pPr>
        <w:ind w:left="0" w:firstLine="0"/>
      </w:pPr>
      <w:rPr>
        <w:rFonts w:cs="Times New Roman"/>
      </w:rPr>
    </w:lvl>
  </w:abstractNum>
  <w:abstractNum w:abstractNumId="1">
    <w:nsid w:val="03B9E4E1"/>
    <w:multiLevelType w:val="singleLevel"/>
    <w:tmpl w:val="03B9E4E1"/>
    <w:lvl w:ilvl="0" w:tentative="0">
      <w:start w:val="1"/>
      <w:numFmt w:val="decimal"/>
      <w:lvlText w:val="%1."/>
      <w:lvlJc w:val="left"/>
      <w:pPr>
        <w:tabs>
          <w:tab w:val="left" w:pos="312"/>
        </w:tabs>
        <w:ind w:left="0" w:firstLine="0"/>
      </w:pPr>
      <w:rPr>
        <w:rFonts w:cs="Times New Roman"/>
      </w:rPr>
    </w:lvl>
  </w:abstractNum>
  <w:abstractNum w:abstractNumId="2">
    <w:nsid w:val="07ACC53E"/>
    <w:multiLevelType w:val="singleLevel"/>
    <w:tmpl w:val="07ACC53E"/>
    <w:lvl w:ilvl="0" w:tentative="0">
      <w:start w:val="1"/>
      <w:numFmt w:val="bullet"/>
      <w:lvlText w:val="○"/>
      <w:lvlJc w:val="left"/>
      <w:pPr>
        <w:ind w:left="420" w:hanging="420"/>
      </w:pPr>
      <w:rPr>
        <w:rFonts w:hint="default" w:ascii="Arial" w:hAnsi="Arial" w:cs="Times New Roman"/>
      </w:rPr>
    </w:lvl>
  </w:abstractNum>
  <w:abstractNum w:abstractNumId="3">
    <w:nsid w:val="4870D82A"/>
    <w:multiLevelType w:val="singleLevel"/>
    <w:tmpl w:val="4870D82A"/>
    <w:lvl w:ilvl="0" w:tentative="0">
      <w:start w:val="1"/>
      <w:numFmt w:val="decimal"/>
      <w:suff w:val="nothing"/>
      <w:lvlText w:val="%1、"/>
      <w:lvlJc w:val="left"/>
    </w:lvl>
  </w:abstractNum>
  <w:abstractNum w:abstractNumId="4">
    <w:nsid w:val="54F403B5"/>
    <w:multiLevelType w:val="singleLevel"/>
    <w:tmpl w:val="54F403B5"/>
    <w:lvl w:ilvl="0" w:tentative="0">
      <w:start w:val="1"/>
      <w:numFmt w:val="chineseCounting"/>
      <w:suff w:val="nothing"/>
      <w:lvlText w:val="%1、"/>
      <w:lvlJc w:val="left"/>
      <w:rPr>
        <w:rFonts w:cs="Times New Roman"/>
      </w:rPr>
    </w:lvl>
  </w:abstractNum>
  <w:abstractNum w:abstractNumId="5">
    <w:nsid w:val="557FD3DA"/>
    <w:multiLevelType w:val="singleLevel"/>
    <w:tmpl w:val="557FD3DA"/>
    <w:lvl w:ilvl="0" w:tentative="0">
      <w:start w:val="3"/>
      <w:numFmt w:val="chineseCounting"/>
      <w:suff w:val="nothing"/>
      <w:lvlText w:val="%1、"/>
      <w:lvlJc w:val="left"/>
      <w:rPr>
        <w:rFonts w:cs="Times New Roman"/>
      </w:rPr>
    </w:lvl>
  </w:abstractNum>
  <w:abstractNum w:abstractNumId="6">
    <w:nsid w:val="57A74C8F"/>
    <w:multiLevelType w:val="singleLevel"/>
    <w:tmpl w:val="57A74C8F"/>
    <w:lvl w:ilvl="0" w:tentative="0">
      <w:start w:val="1"/>
      <w:numFmt w:val="chineseCounting"/>
      <w:pStyle w:val="207"/>
      <w:suff w:val="nothing"/>
      <w:lvlText w:val="%1、"/>
      <w:lvlJc w:val="left"/>
      <w:rPr>
        <w:rFonts w:hint="eastAsia" w:cs="Times New Roman"/>
      </w:rPr>
    </w:lvl>
  </w:abstractNum>
  <w:num w:numId="1">
    <w:abstractNumId w:val="6"/>
  </w:num>
  <w:num w:numId="2">
    <w:abstractNumId w:val="3"/>
  </w:num>
  <w:num w:numId="3">
    <w:abstractNumId w:val="0"/>
    <w:lvlOverride w:ilvl="0">
      <w:startOverride w:val="1"/>
    </w:lvlOverride>
  </w:num>
  <w:num w:numId="4">
    <w:abstractNumId w:val="1"/>
    <w:lvlOverride w:ilvl="0">
      <w:startOverride w:val="1"/>
    </w:lvlOverride>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5"/>
  <w:drawingGridHorizontalSpacing w:val="105"/>
  <w:drawingGridVerticalSpacing w:val="285"/>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MDM5NmJlYWVjMWY4OGVlYzMzNjQ4MWYxODc5MTAifQ=="/>
  </w:docVars>
  <w:rsids>
    <w:rsidRoot w:val="00D719E6"/>
    <w:rsid w:val="00001A82"/>
    <w:rsid w:val="00002288"/>
    <w:rsid w:val="00002B25"/>
    <w:rsid w:val="00003757"/>
    <w:rsid w:val="0000377D"/>
    <w:rsid w:val="000037AD"/>
    <w:rsid w:val="0000380B"/>
    <w:rsid w:val="00003965"/>
    <w:rsid w:val="000039EB"/>
    <w:rsid w:val="00003E11"/>
    <w:rsid w:val="00005AD2"/>
    <w:rsid w:val="00007D74"/>
    <w:rsid w:val="00007FB4"/>
    <w:rsid w:val="00011313"/>
    <w:rsid w:val="00012585"/>
    <w:rsid w:val="00013C9A"/>
    <w:rsid w:val="00013D65"/>
    <w:rsid w:val="0001464E"/>
    <w:rsid w:val="0001475D"/>
    <w:rsid w:val="00014763"/>
    <w:rsid w:val="000147A6"/>
    <w:rsid w:val="000147E2"/>
    <w:rsid w:val="000171FF"/>
    <w:rsid w:val="000212AE"/>
    <w:rsid w:val="000217E4"/>
    <w:rsid w:val="00022DC6"/>
    <w:rsid w:val="00023516"/>
    <w:rsid w:val="00024548"/>
    <w:rsid w:val="00024E7B"/>
    <w:rsid w:val="0002570D"/>
    <w:rsid w:val="00026061"/>
    <w:rsid w:val="0002646B"/>
    <w:rsid w:val="0002795F"/>
    <w:rsid w:val="00030242"/>
    <w:rsid w:val="00031070"/>
    <w:rsid w:val="00031AAB"/>
    <w:rsid w:val="00032452"/>
    <w:rsid w:val="00032826"/>
    <w:rsid w:val="000328FE"/>
    <w:rsid w:val="0003306F"/>
    <w:rsid w:val="00034204"/>
    <w:rsid w:val="000344B9"/>
    <w:rsid w:val="00034745"/>
    <w:rsid w:val="00035959"/>
    <w:rsid w:val="00035A8D"/>
    <w:rsid w:val="000361B2"/>
    <w:rsid w:val="00036CCF"/>
    <w:rsid w:val="000378FE"/>
    <w:rsid w:val="00037CE4"/>
    <w:rsid w:val="0004001F"/>
    <w:rsid w:val="000414C4"/>
    <w:rsid w:val="00041A39"/>
    <w:rsid w:val="00041B3B"/>
    <w:rsid w:val="00043143"/>
    <w:rsid w:val="00043490"/>
    <w:rsid w:val="00043715"/>
    <w:rsid w:val="000437D4"/>
    <w:rsid w:val="00044435"/>
    <w:rsid w:val="00045CE3"/>
    <w:rsid w:val="00046F89"/>
    <w:rsid w:val="00047990"/>
    <w:rsid w:val="00050357"/>
    <w:rsid w:val="00050DE7"/>
    <w:rsid w:val="00050E71"/>
    <w:rsid w:val="000510EC"/>
    <w:rsid w:val="00051226"/>
    <w:rsid w:val="00052035"/>
    <w:rsid w:val="00052187"/>
    <w:rsid w:val="0005467F"/>
    <w:rsid w:val="000546E4"/>
    <w:rsid w:val="00054AD8"/>
    <w:rsid w:val="00054D7E"/>
    <w:rsid w:val="00055A3D"/>
    <w:rsid w:val="000564BB"/>
    <w:rsid w:val="00056B01"/>
    <w:rsid w:val="00056DC8"/>
    <w:rsid w:val="00056E86"/>
    <w:rsid w:val="00056F94"/>
    <w:rsid w:val="00057D5B"/>
    <w:rsid w:val="00060081"/>
    <w:rsid w:val="00060FB1"/>
    <w:rsid w:val="00061094"/>
    <w:rsid w:val="000613FD"/>
    <w:rsid w:val="000617D3"/>
    <w:rsid w:val="00061A87"/>
    <w:rsid w:val="000622A2"/>
    <w:rsid w:val="00063327"/>
    <w:rsid w:val="00064121"/>
    <w:rsid w:val="00065622"/>
    <w:rsid w:val="00067502"/>
    <w:rsid w:val="000675B4"/>
    <w:rsid w:val="0007088F"/>
    <w:rsid w:val="0007129B"/>
    <w:rsid w:val="00071AB2"/>
    <w:rsid w:val="000726A2"/>
    <w:rsid w:val="00074517"/>
    <w:rsid w:val="00074FCC"/>
    <w:rsid w:val="000757E0"/>
    <w:rsid w:val="000766AD"/>
    <w:rsid w:val="00076EAC"/>
    <w:rsid w:val="000770AD"/>
    <w:rsid w:val="000775E3"/>
    <w:rsid w:val="00077864"/>
    <w:rsid w:val="00077F66"/>
    <w:rsid w:val="00077FAF"/>
    <w:rsid w:val="000816EB"/>
    <w:rsid w:val="00081DAC"/>
    <w:rsid w:val="000820CA"/>
    <w:rsid w:val="0008275C"/>
    <w:rsid w:val="00083CA0"/>
    <w:rsid w:val="0008426D"/>
    <w:rsid w:val="000846B2"/>
    <w:rsid w:val="0008644B"/>
    <w:rsid w:val="000871B3"/>
    <w:rsid w:val="000876CB"/>
    <w:rsid w:val="00087E79"/>
    <w:rsid w:val="0009066F"/>
    <w:rsid w:val="00090836"/>
    <w:rsid w:val="000912BA"/>
    <w:rsid w:val="00091A35"/>
    <w:rsid w:val="000945F2"/>
    <w:rsid w:val="000952EC"/>
    <w:rsid w:val="00096587"/>
    <w:rsid w:val="00096C6C"/>
    <w:rsid w:val="000A01C4"/>
    <w:rsid w:val="000A057B"/>
    <w:rsid w:val="000A0A04"/>
    <w:rsid w:val="000A2586"/>
    <w:rsid w:val="000A387A"/>
    <w:rsid w:val="000A3CD8"/>
    <w:rsid w:val="000A5C01"/>
    <w:rsid w:val="000A7D12"/>
    <w:rsid w:val="000B1368"/>
    <w:rsid w:val="000B1619"/>
    <w:rsid w:val="000B1AFE"/>
    <w:rsid w:val="000B1B5F"/>
    <w:rsid w:val="000B2117"/>
    <w:rsid w:val="000B494B"/>
    <w:rsid w:val="000B4B81"/>
    <w:rsid w:val="000B4F6D"/>
    <w:rsid w:val="000B53C9"/>
    <w:rsid w:val="000B5D68"/>
    <w:rsid w:val="000B6717"/>
    <w:rsid w:val="000B7341"/>
    <w:rsid w:val="000B7791"/>
    <w:rsid w:val="000B7A0C"/>
    <w:rsid w:val="000C0F45"/>
    <w:rsid w:val="000C1770"/>
    <w:rsid w:val="000C1A07"/>
    <w:rsid w:val="000C1EB3"/>
    <w:rsid w:val="000C27D4"/>
    <w:rsid w:val="000C28B3"/>
    <w:rsid w:val="000C29B6"/>
    <w:rsid w:val="000C30FE"/>
    <w:rsid w:val="000C3200"/>
    <w:rsid w:val="000C3334"/>
    <w:rsid w:val="000C3E16"/>
    <w:rsid w:val="000C509A"/>
    <w:rsid w:val="000C5943"/>
    <w:rsid w:val="000C596C"/>
    <w:rsid w:val="000C59C2"/>
    <w:rsid w:val="000C7792"/>
    <w:rsid w:val="000D0D7B"/>
    <w:rsid w:val="000D24F3"/>
    <w:rsid w:val="000D2D36"/>
    <w:rsid w:val="000D3064"/>
    <w:rsid w:val="000D5612"/>
    <w:rsid w:val="000D5F1A"/>
    <w:rsid w:val="000D6223"/>
    <w:rsid w:val="000D766C"/>
    <w:rsid w:val="000D7EB0"/>
    <w:rsid w:val="000E07CB"/>
    <w:rsid w:val="000E16EE"/>
    <w:rsid w:val="000E1D05"/>
    <w:rsid w:val="000E2E16"/>
    <w:rsid w:val="000E2FFC"/>
    <w:rsid w:val="000E3656"/>
    <w:rsid w:val="000E3836"/>
    <w:rsid w:val="000E3906"/>
    <w:rsid w:val="000E4D1F"/>
    <w:rsid w:val="000E6DBD"/>
    <w:rsid w:val="000E72B7"/>
    <w:rsid w:val="000E77CE"/>
    <w:rsid w:val="000E7D4D"/>
    <w:rsid w:val="000F03E6"/>
    <w:rsid w:val="000F0DA4"/>
    <w:rsid w:val="000F0F1E"/>
    <w:rsid w:val="000F22BF"/>
    <w:rsid w:val="000F37C0"/>
    <w:rsid w:val="000F4832"/>
    <w:rsid w:val="000F4A28"/>
    <w:rsid w:val="000F52F1"/>
    <w:rsid w:val="000F5C44"/>
    <w:rsid w:val="000F5E59"/>
    <w:rsid w:val="000F5EA9"/>
    <w:rsid w:val="000F635C"/>
    <w:rsid w:val="000F6493"/>
    <w:rsid w:val="000F6CBF"/>
    <w:rsid w:val="000F6E44"/>
    <w:rsid w:val="000F76B2"/>
    <w:rsid w:val="000F7B7C"/>
    <w:rsid w:val="001000D7"/>
    <w:rsid w:val="00100738"/>
    <w:rsid w:val="00100A83"/>
    <w:rsid w:val="00102A0A"/>
    <w:rsid w:val="001049AF"/>
    <w:rsid w:val="00106100"/>
    <w:rsid w:val="001062FF"/>
    <w:rsid w:val="00106308"/>
    <w:rsid w:val="00110454"/>
    <w:rsid w:val="00110480"/>
    <w:rsid w:val="00110FE8"/>
    <w:rsid w:val="001113F5"/>
    <w:rsid w:val="00113033"/>
    <w:rsid w:val="0011397C"/>
    <w:rsid w:val="00113FF0"/>
    <w:rsid w:val="0011637E"/>
    <w:rsid w:val="001178EF"/>
    <w:rsid w:val="00117BF7"/>
    <w:rsid w:val="00117C5C"/>
    <w:rsid w:val="00121861"/>
    <w:rsid w:val="00123213"/>
    <w:rsid w:val="00123DB0"/>
    <w:rsid w:val="00123E67"/>
    <w:rsid w:val="00123F60"/>
    <w:rsid w:val="00124275"/>
    <w:rsid w:val="00124541"/>
    <w:rsid w:val="0012455A"/>
    <w:rsid w:val="00124690"/>
    <w:rsid w:val="001246FC"/>
    <w:rsid w:val="00124F2B"/>
    <w:rsid w:val="00125836"/>
    <w:rsid w:val="00125DA2"/>
    <w:rsid w:val="00125DFE"/>
    <w:rsid w:val="00130106"/>
    <w:rsid w:val="001305AF"/>
    <w:rsid w:val="001310CF"/>
    <w:rsid w:val="0013128B"/>
    <w:rsid w:val="0013209A"/>
    <w:rsid w:val="001321AC"/>
    <w:rsid w:val="0013323D"/>
    <w:rsid w:val="00133AAC"/>
    <w:rsid w:val="00133F6B"/>
    <w:rsid w:val="0013482F"/>
    <w:rsid w:val="001358BE"/>
    <w:rsid w:val="00135D87"/>
    <w:rsid w:val="0013625F"/>
    <w:rsid w:val="00137933"/>
    <w:rsid w:val="0014093D"/>
    <w:rsid w:val="00141A3D"/>
    <w:rsid w:val="00141DA4"/>
    <w:rsid w:val="00141FD2"/>
    <w:rsid w:val="00143987"/>
    <w:rsid w:val="0014627F"/>
    <w:rsid w:val="0014669B"/>
    <w:rsid w:val="0014709C"/>
    <w:rsid w:val="001474EC"/>
    <w:rsid w:val="0015014F"/>
    <w:rsid w:val="001511A8"/>
    <w:rsid w:val="001515A3"/>
    <w:rsid w:val="0015242E"/>
    <w:rsid w:val="00152A25"/>
    <w:rsid w:val="00152D09"/>
    <w:rsid w:val="0015323D"/>
    <w:rsid w:val="00153474"/>
    <w:rsid w:val="00155DD1"/>
    <w:rsid w:val="0015656F"/>
    <w:rsid w:val="001565FC"/>
    <w:rsid w:val="00157340"/>
    <w:rsid w:val="00157814"/>
    <w:rsid w:val="00157AC5"/>
    <w:rsid w:val="00160AEE"/>
    <w:rsid w:val="0016197A"/>
    <w:rsid w:val="00162216"/>
    <w:rsid w:val="00162340"/>
    <w:rsid w:val="00162D8C"/>
    <w:rsid w:val="001635BE"/>
    <w:rsid w:val="00164368"/>
    <w:rsid w:val="0016437F"/>
    <w:rsid w:val="00164884"/>
    <w:rsid w:val="00164BD5"/>
    <w:rsid w:val="00165710"/>
    <w:rsid w:val="001657E4"/>
    <w:rsid w:val="001659BA"/>
    <w:rsid w:val="00165F65"/>
    <w:rsid w:val="001673DA"/>
    <w:rsid w:val="00170FC3"/>
    <w:rsid w:val="0017189E"/>
    <w:rsid w:val="00171CC9"/>
    <w:rsid w:val="00172D38"/>
    <w:rsid w:val="00172D6A"/>
    <w:rsid w:val="00172F64"/>
    <w:rsid w:val="00173821"/>
    <w:rsid w:val="00173A5D"/>
    <w:rsid w:val="00173E29"/>
    <w:rsid w:val="00174277"/>
    <w:rsid w:val="00174EFC"/>
    <w:rsid w:val="0017524D"/>
    <w:rsid w:val="00175A54"/>
    <w:rsid w:val="00175F46"/>
    <w:rsid w:val="00176341"/>
    <w:rsid w:val="00176CA5"/>
    <w:rsid w:val="00176F31"/>
    <w:rsid w:val="00181422"/>
    <w:rsid w:val="00181450"/>
    <w:rsid w:val="00181697"/>
    <w:rsid w:val="001819B0"/>
    <w:rsid w:val="00181B60"/>
    <w:rsid w:val="00182B02"/>
    <w:rsid w:val="00182BB0"/>
    <w:rsid w:val="0018342B"/>
    <w:rsid w:val="001837F7"/>
    <w:rsid w:val="00183839"/>
    <w:rsid w:val="00184312"/>
    <w:rsid w:val="001843A4"/>
    <w:rsid w:val="00184CCA"/>
    <w:rsid w:val="00184DDF"/>
    <w:rsid w:val="0018503F"/>
    <w:rsid w:val="001854F3"/>
    <w:rsid w:val="001854FC"/>
    <w:rsid w:val="00185801"/>
    <w:rsid w:val="0018608B"/>
    <w:rsid w:val="0018614A"/>
    <w:rsid w:val="00186DA3"/>
    <w:rsid w:val="00186F65"/>
    <w:rsid w:val="00187452"/>
    <w:rsid w:val="00187636"/>
    <w:rsid w:val="00187B3F"/>
    <w:rsid w:val="00187BA0"/>
    <w:rsid w:val="00187DE5"/>
    <w:rsid w:val="00191184"/>
    <w:rsid w:val="00191C5D"/>
    <w:rsid w:val="00192116"/>
    <w:rsid w:val="00192C32"/>
    <w:rsid w:val="00193DC1"/>
    <w:rsid w:val="00193EBA"/>
    <w:rsid w:val="001945DD"/>
    <w:rsid w:val="00194FA2"/>
    <w:rsid w:val="00195381"/>
    <w:rsid w:val="00195CDC"/>
    <w:rsid w:val="001967E0"/>
    <w:rsid w:val="00196C38"/>
    <w:rsid w:val="0019734D"/>
    <w:rsid w:val="001A2482"/>
    <w:rsid w:val="001A263B"/>
    <w:rsid w:val="001A2952"/>
    <w:rsid w:val="001A2E73"/>
    <w:rsid w:val="001A3122"/>
    <w:rsid w:val="001A34EA"/>
    <w:rsid w:val="001A4B78"/>
    <w:rsid w:val="001A6DE5"/>
    <w:rsid w:val="001A6EF8"/>
    <w:rsid w:val="001A71F6"/>
    <w:rsid w:val="001A7B64"/>
    <w:rsid w:val="001B0193"/>
    <w:rsid w:val="001B2042"/>
    <w:rsid w:val="001B20C1"/>
    <w:rsid w:val="001B2E12"/>
    <w:rsid w:val="001B4088"/>
    <w:rsid w:val="001B4173"/>
    <w:rsid w:val="001B4592"/>
    <w:rsid w:val="001B4CF7"/>
    <w:rsid w:val="001B543E"/>
    <w:rsid w:val="001B5E56"/>
    <w:rsid w:val="001B6C9B"/>
    <w:rsid w:val="001B6EE2"/>
    <w:rsid w:val="001C0372"/>
    <w:rsid w:val="001C040D"/>
    <w:rsid w:val="001C0919"/>
    <w:rsid w:val="001C0D00"/>
    <w:rsid w:val="001C1322"/>
    <w:rsid w:val="001C1364"/>
    <w:rsid w:val="001C2294"/>
    <w:rsid w:val="001C27EC"/>
    <w:rsid w:val="001C3086"/>
    <w:rsid w:val="001C3F9C"/>
    <w:rsid w:val="001C4710"/>
    <w:rsid w:val="001C4A57"/>
    <w:rsid w:val="001C4FDF"/>
    <w:rsid w:val="001C520B"/>
    <w:rsid w:val="001C5777"/>
    <w:rsid w:val="001C5E59"/>
    <w:rsid w:val="001C66C4"/>
    <w:rsid w:val="001C711E"/>
    <w:rsid w:val="001C775E"/>
    <w:rsid w:val="001C7864"/>
    <w:rsid w:val="001C7BA9"/>
    <w:rsid w:val="001D0098"/>
    <w:rsid w:val="001D00EE"/>
    <w:rsid w:val="001D0795"/>
    <w:rsid w:val="001D08E4"/>
    <w:rsid w:val="001D17B4"/>
    <w:rsid w:val="001D26E1"/>
    <w:rsid w:val="001D2D73"/>
    <w:rsid w:val="001D3990"/>
    <w:rsid w:val="001D4289"/>
    <w:rsid w:val="001D501E"/>
    <w:rsid w:val="001D50A0"/>
    <w:rsid w:val="001D523E"/>
    <w:rsid w:val="001D6DA4"/>
    <w:rsid w:val="001D7120"/>
    <w:rsid w:val="001D799D"/>
    <w:rsid w:val="001D79FA"/>
    <w:rsid w:val="001E1055"/>
    <w:rsid w:val="001E1B7A"/>
    <w:rsid w:val="001E260E"/>
    <w:rsid w:val="001E2F61"/>
    <w:rsid w:val="001E42EE"/>
    <w:rsid w:val="001E4614"/>
    <w:rsid w:val="001E47D7"/>
    <w:rsid w:val="001E4B3F"/>
    <w:rsid w:val="001E4B42"/>
    <w:rsid w:val="001E56B5"/>
    <w:rsid w:val="001E5B5D"/>
    <w:rsid w:val="001E6DA3"/>
    <w:rsid w:val="001E729A"/>
    <w:rsid w:val="001E7BBF"/>
    <w:rsid w:val="001F148C"/>
    <w:rsid w:val="001F17B7"/>
    <w:rsid w:val="001F183C"/>
    <w:rsid w:val="001F216C"/>
    <w:rsid w:val="001F2619"/>
    <w:rsid w:val="001F261C"/>
    <w:rsid w:val="001F3379"/>
    <w:rsid w:val="001F3C7A"/>
    <w:rsid w:val="001F41D3"/>
    <w:rsid w:val="001F44E5"/>
    <w:rsid w:val="001F4815"/>
    <w:rsid w:val="001F4F3B"/>
    <w:rsid w:val="001F50F7"/>
    <w:rsid w:val="001F5D5D"/>
    <w:rsid w:val="001F617B"/>
    <w:rsid w:val="001F6DCC"/>
    <w:rsid w:val="001F708B"/>
    <w:rsid w:val="00201011"/>
    <w:rsid w:val="00201193"/>
    <w:rsid w:val="0020244F"/>
    <w:rsid w:val="00203012"/>
    <w:rsid w:val="00204CB4"/>
    <w:rsid w:val="00205CA2"/>
    <w:rsid w:val="0020679D"/>
    <w:rsid w:val="002069A1"/>
    <w:rsid w:val="00207AD7"/>
    <w:rsid w:val="00210108"/>
    <w:rsid w:val="00210749"/>
    <w:rsid w:val="002110F1"/>
    <w:rsid w:val="002113AD"/>
    <w:rsid w:val="00211476"/>
    <w:rsid w:val="00211625"/>
    <w:rsid w:val="00211AFC"/>
    <w:rsid w:val="00211FB8"/>
    <w:rsid w:val="00212BC1"/>
    <w:rsid w:val="00213B2C"/>
    <w:rsid w:val="0021517E"/>
    <w:rsid w:val="0021580C"/>
    <w:rsid w:val="00215858"/>
    <w:rsid w:val="00216684"/>
    <w:rsid w:val="00216ACC"/>
    <w:rsid w:val="00216D29"/>
    <w:rsid w:val="002170C4"/>
    <w:rsid w:val="00217322"/>
    <w:rsid w:val="002212F0"/>
    <w:rsid w:val="00222606"/>
    <w:rsid w:val="00222719"/>
    <w:rsid w:val="002234A0"/>
    <w:rsid w:val="00223D32"/>
    <w:rsid w:val="00224483"/>
    <w:rsid w:val="00224993"/>
    <w:rsid w:val="00224AE7"/>
    <w:rsid w:val="00225714"/>
    <w:rsid w:val="00227126"/>
    <w:rsid w:val="0022733D"/>
    <w:rsid w:val="00227D69"/>
    <w:rsid w:val="00227DCF"/>
    <w:rsid w:val="002305FF"/>
    <w:rsid w:val="00230F5B"/>
    <w:rsid w:val="00231250"/>
    <w:rsid w:val="00231710"/>
    <w:rsid w:val="002327D0"/>
    <w:rsid w:val="002329AA"/>
    <w:rsid w:val="00233995"/>
    <w:rsid w:val="00234379"/>
    <w:rsid w:val="002347FB"/>
    <w:rsid w:val="00235203"/>
    <w:rsid w:val="00235EBA"/>
    <w:rsid w:val="002361D9"/>
    <w:rsid w:val="0023679F"/>
    <w:rsid w:val="00237752"/>
    <w:rsid w:val="00237F21"/>
    <w:rsid w:val="002430F9"/>
    <w:rsid w:val="002438A9"/>
    <w:rsid w:val="00243AF1"/>
    <w:rsid w:val="00243CA8"/>
    <w:rsid w:val="00244AF8"/>
    <w:rsid w:val="0024539B"/>
    <w:rsid w:val="002457BC"/>
    <w:rsid w:val="00246E6A"/>
    <w:rsid w:val="00247521"/>
    <w:rsid w:val="00247835"/>
    <w:rsid w:val="00250514"/>
    <w:rsid w:val="002506A1"/>
    <w:rsid w:val="0025122B"/>
    <w:rsid w:val="002521E4"/>
    <w:rsid w:val="002529CD"/>
    <w:rsid w:val="00252A15"/>
    <w:rsid w:val="00253440"/>
    <w:rsid w:val="002534DC"/>
    <w:rsid w:val="002535FF"/>
    <w:rsid w:val="002536AF"/>
    <w:rsid w:val="00253BB7"/>
    <w:rsid w:val="0025473D"/>
    <w:rsid w:val="00254784"/>
    <w:rsid w:val="002547F1"/>
    <w:rsid w:val="00254A64"/>
    <w:rsid w:val="00254AB4"/>
    <w:rsid w:val="00254BAC"/>
    <w:rsid w:val="00254C67"/>
    <w:rsid w:val="00255ABD"/>
    <w:rsid w:val="00257B77"/>
    <w:rsid w:val="00257C78"/>
    <w:rsid w:val="00257DA9"/>
    <w:rsid w:val="00260AA1"/>
    <w:rsid w:val="00261030"/>
    <w:rsid w:val="0026256B"/>
    <w:rsid w:val="00263008"/>
    <w:rsid w:val="0026311C"/>
    <w:rsid w:val="0026320F"/>
    <w:rsid w:val="002635B0"/>
    <w:rsid w:val="002638DB"/>
    <w:rsid w:val="002659F2"/>
    <w:rsid w:val="00265A13"/>
    <w:rsid w:val="00265F60"/>
    <w:rsid w:val="00266F35"/>
    <w:rsid w:val="00267A1C"/>
    <w:rsid w:val="00272DD0"/>
    <w:rsid w:val="002739A0"/>
    <w:rsid w:val="00273BF6"/>
    <w:rsid w:val="00273FC8"/>
    <w:rsid w:val="002761E0"/>
    <w:rsid w:val="002779BA"/>
    <w:rsid w:val="00277C3C"/>
    <w:rsid w:val="002804F4"/>
    <w:rsid w:val="002807FE"/>
    <w:rsid w:val="00280BE7"/>
    <w:rsid w:val="00281E7F"/>
    <w:rsid w:val="002823A4"/>
    <w:rsid w:val="00282E77"/>
    <w:rsid w:val="002837B8"/>
    <w:rsid w:val="00285374"/>
    <w:rsid w:val="00285914"/>
    <w:rsid w:val="00286910"/>
    <w:rsid w:val="002878A8"/>
    <w:rsid w:val="00287D44"/>
    <w:rsid w:val="002909BC"/>
    <w:rsid w:val="00291376"/>
    <w:rsid w:val="0029226B"/>
    <w:rsid w:val="00292750"/>
    <w:rsid w:val="00293373"/>
    <w:rsid w:val="002937BE"/>
    <w:rsid w:val="00293C9C"/>
    <w:rsid w:val="0029412D"/>
    <w:rsid w:val="002949ED"/>
    <w:rsid w:val="002951E1"/>
    <w:rsid w:val="0029533D"/>
    <w:rsid w:val="002963A6"/>
    <w:rsid w:val="00297B92"/>
    <w:rsid w:val="002A07FF"/>
    <w:rsid w:val="002A0FC3"/>
    <w:rsid w:val="002A13D8"/>
    <w:rsid w:val="002A1D3C"/>
    <w:rsid w:val="002A5301"/>
    <w:rsid w:val="002A65DA"/>
    <w:rsid w:val="002A74CF"/>
    <w:rsid w:val="002B0267"/>
    <w:rsid w:val="002B2BC5"/>
    <w:rsid w:val="002B37E3"/>
    <w:rsid w:val="002B4DA2"/>
    <w:rsid w:val="002B65D6"/>
    <w:rsid w:val="002B6E8B"/>
    <w:rsid w:val="002B7A93"/>
    <w:rsid w:val="002C00F0"/>
    <w:rsid w:val="002C01B1"/>
    <w:rsid w:val="002C0E7C"/>
    <w:rsid w:val="002C0FEA"/>
    <w:rsid w:val="002C2A7F"/>
    <w:rsid w:val="002C2B1E"/>
    <w:rsid w:val="002C31FB"/>
    <w:rsid w:val="002C3E3D"/>
    <w:rsid w:val="002C480A"/>
    <w:rsid w:val="002C4F35"/>
    <w:rsid w:val="002C5234"/>
    <w:rsid w:val="002C5956"/>
    <w:rsid w:val="002C5EF9"/>
    <w:rsid w:val="002C6C35"/>
    <w:rsid w:val="002C76FC"/>
    <w:rsid w:val="002D0A70"/>
    <w:rsid w:val="002D1C15"/>
    <w:rsid w:val="002D374F"/>
    <w:rsid w:val="002D4657"/>
    <w:rsid w:val="002D4757"/>
    <w:rsid w:val="002D4D0A"/>
    <w:rsid w:val="002D51B6"/>
    <w:rsid w:val="002D5563"/>
    <w:rsid w:val="002D601D"/>
    <w:rsid w:val="002D7543"/>
    <w:rsid w:val="002D7D14"/>
    <w:rsid w:val="002E0904"/>
    <w:rsid w:val="002E0C8C"/>
    <w:rsid w:val="002E0F62"/>
    <w:rsid w:val="002E0F7C"/>
    <w:rsid w:val="002E1645"/>
    <w:rsid w:val="002E1747"/>
    <w:rsid w:val="002E174E"/>
    <w:rsid w:val="002E1BC9"/>
    <w:rsid w:val="002E1CC2"/>
    <w:rsid w:val="002E2D83"/>
    <w:rsid w:val="002E3CA2"/>
    <w:rsid w:val="002E4649"/>
    <w:rsid w:val="002E6A87"/>
    <w:rsid w:val="002E709C"/>
    <w:rsid w:val="002E7CBE"/>
    <w:rsid w:val="002E7DD7"/>
    <w:rsid w:val="002F0A9A"/>
    <w:rsid w:val="002F0C9C"/>
    <w:rsid w:val="002F125E"/>
    <w:rsid w:val="002F12B2"/>
    <w:rsid w:val="002F1CCB"/>
    <w:rsid w:val="002F37D5"/>
    <w:rsid w:val="002F3C6A"/>
    <w:rsid w:val="002F4187"/>
    <w:rsid w:val="002F4337"/>
    <w:rsid w:val="002F46C6"/>
    <w:rsid w:val="002F4E75"/>
    <w:rsid w:val="002F51EC"/>
    <w:rsid w:val="002F5F0F"/>
    <w:rsid w:val="002F62A3"/>
    <w:rsid w:val="00300AA7"/>
    <w:rsid w:val="00300E6D"/>
    <w:rsid w:val="00302055"/>
    <w:rsid w:val="00302955"/>
    <w:rsid w:val="00302C4D"/>
    <w:rsid w:val="003036FD"/>
    <w:rsid w:val="00303BD2"/>
    <w:rsid w:val="00303C59"/>
    <w:rsid w:val="00304CC5"/>
    <w:rsid w:val="00304D6F"/>
    <w:rsid w:val="003071F9"/>
    <w:rsid w:val="003073BF"/>
    <w:rsid w:val="003074F4"/>
    <w:rsid w:val="00307D1F"/>
    <w:rsid w:val="00310DE0"/>
    <w:rsid w:val="0031116B"/>
    <w:rsid w:val="003115CB"/>
    <w:rsid w:val="00312165"/>
    <w:rsid w:val="00312D44"/>
    <w:rsid w:val="00313831"/>
    <w:rsid w:val="00313D22"/>
    <w:rsid w:val="003148A4"/>
    <w:rsid w:val="00315053"/>
    <w:rsid w:val="0031720C"/>
    <w:rsid w:val="0032024A"/>
    <w:rsid w:val="003206D5"/>
    <w:rsid w:val="003214B7"/>
    <w:rsid w:val="00322215"/>
    <w:rsid w:val="00322470"/>
    <w:rsid w:val="00322624"/>
    <w:rsid w:val="003236DB"/>
    <w:rsid w:val="0032410F"/>
    <w:rsid w:val="00324461"/>
    <w:rsid w:val="00324DCC"/>
    <w:rsid w:val="00327F40"/>
    <w:rsid w:val="00331721"/>
    <w:rsid w:val="003317AA"/>
    <w:rsid w:val="00331E6E"/>
    <w:rsid w:val="003320CD"/>
    <w:rsid w:val="0033339D"/>
    <w:rsid w:val="00334479"/>
    <w:rsid w:val="003354C9"/>
    <w:rsid w:val="003361E3"/>
    <w:rsid w:val="003371C1"/>
    <w:rsid w:val="003372D4"/>
    <w:rsid w:val="00337FBC"/>
    <w:rsid w:val="00340418"/>
    <w:rsid w:val="00340E0C"/>
    <w:rsid w:val="003411B4"/>
    <w:rsid w:val="00342002"/>
    <w:rsid w:val="00342220"/>
    <w:rsid w:val="003430BC"/>
    <w:rsid w:val="003431C2"/>
    <w:rsid w:val="00343284"/>
    <w:rsid w:val="00343640"/>
    <w:rsid w:val="00343815"/>
    <w:rsid w:val="00343C82"/>
    <w:rsid w:val="003451DE"/>
    <w:rsid w:val="003453F1"/>
    <w:rsid w:val="00345964"/>
    <w:rsid w:val="00345A89"/>
    <w:rsid w:val="003468ED"/>
    <w:rsid w:val="00351E59"/>
    <w:rsid w:val="00352D19"/>
    <w:rsid w:val="00354A7F"/>
    <w:rsid w:val="00355752"/>
    <w:rsid w:val="00355F9F"/>
    <w:rsid w:val="00356151"/>
    <w:rsid w:val="003563F4"/>
    <w:rsid w:val="003569B8"/>
    <w:rsid w:val="00357508"/>
    <w:rsid w:val="003605F2"/>
    <w:rsid w:val="00360E3C"/>
    <w:rsid w:val="003619CE"/>
    <w:rsid w:val="00361E3B"/>
    <w:rsid w:val="0036202A"/>
    <w:rsid w:val="0036223C"/>
    <w:rsid w:val="00362DE0"/>
    <w:rsid w:val="00363343"/>
    <w:rsid w:val="003634BD"/>
    <w:rsid w:val="00364211"/>
    <w:rsid w:val="00364836"/>
    <w:rsid w:val="003648B6"/>
    <w:rsid w:val="00365395"/>
    <w:rsid w:val="00366A1A"/>
    <w:rsid w:val="00367609"/>
    <w:rsid w:val="00367C97"/>
    <w:rsid w:val="00370043"/>
    <w:rsid w:val="0037007E"/>
    <w:rsid w:val="00370D87"/>
    <w:rsid w:val="00370E83"/>
    <w:rsid w:val="00370F37"/>
    <w:rsid w:val="0037105F"/>
    <w:rsid w:val="00372DB9"/>
    <w:rsid w:val="00373AB6"/>
    <w:rsid w:val="00373C35"/>
    <w:rsid w:val="00374082"/>
    <w:rsid w:val="0037468C"/>
    <w:rsid w:val="00374F02"/>
    <w:rsid w:val="003755D4"/>
    <w:rsid w:val="0037594D"/>
    <w:rsid w:val="00376B09"/>
    <w:rsid w:val="00376F95"/>
    <w:rsid w:val="003777DC"/>
    <w:rsid w:val="003779B8"/>
    <w:rsid w:val="00377C39"/>
    <w:rsid w:val="003806D3"/>
    <w:rsid w:val="00381439"/>
    <w:rsid w:val="00381E97"/>
    <w:rsid w:val="00381ED9"/>
    <w:rsid w:val="00383D15"/>
    <w:rsid w:val="00384555"/>
    <w:rsid w:val="003852D9"/>
    <w:rsid w:val="00385805"/>
    <w:rsid w:val="00385E98"/>
    <w:rsid w:val="0038624A"/>
    <w:rsid w:val="00386529"/>
    <w:rsid w:val="003913E8"/>
    <w:rsid w:val="003914CA"/>
    <w:rsid w:val="003927F9"/>
    <w:rsid w:val="00392FA6"/>
    <w:rsid w:val="00393562"/>
    <w:rsid w:val="0039427A"/>
    <w:rsid w:val="00394ACB"/>
    <w:rsid w:val="00395DF9"/>
    <w:rsid w:val="00396096"/>
    <w:rsid w:val="00396692"/>
    <w:rsid w:val="00396C65"/>
    <w:rsid w:val="003A0A88"/>
    <w:rsid w:val="003A238A"/>
    <w:rsid w:val="003A249A"/>
    <w:rsid w:val="003A2CB3"/>
    <w:rsid w:val="003A435E"/>
    <w:rsid w:val="003A4466"/>
    <w:rsid w:val="003A4734"/>
    <w:rsid w:val="003A64A9"/>
    <w:rsid w:val="003A6B0D"/>
    <w:rsid w:val="003A728C"/>
    <w:rsid w:val="003A7FC2"/>
    <w:rsid w:val="003B06B5"/>
    <w:rsid w:val="003B10C4"/>
    <w:rsid w:val="003B1E93"/>
    <w:rsid w:val="003B26FD"/>
    <w:rsid w:val="003B2DA6"/>
    <w:rsid w:val="003B3E34"/>
    <w:rsid w:val="003B430C"/>
    <w:rsid w:val="003B58C2"/>
    <w:rsid w:val="003B5C8A"/>
    <w:rsid w:val="003B69B9"/>
    <w:rsid w:val="003B6ACF"/>
    <w:rsid w:val="003B6FB3"/>
    <w:rsid w:val="003B7092"/>
    <w:rsid w:val="003B7469"/>
    <w:rsid w:val="003B7869"/>
    <w:rsid w:val="003B7B18"/>
    <w:rsid w:val="003C109F"/>
    <w:rsid w:val="003C1669"/>
    <w:rsid w:val="003C1F05"/>
    <w:rsid w:val="003C221A"/>
    <w:rsid w:val="003C22E8"/>
    <w:rsid w:val="003C23B0"/>
    <w:rsid w:val="003C3C69"/>
    <w:rsid w:val="003C4809"/>
    <w:rsid w:val="003C5618"/>
    <w:rsid w:val="003C5E1D"/>
    <w:rsid w:val="003C68B9"/>
    <w:rsid w:val="003C72D1"/>
    <w:rsid w:val="003D0133"/>
    <w:rsid w:val="003D1B33"/>
    <w:rsid w:val="003D1C4F"/>
    <w:rsid w:val="003D1F62"/>
    <w:rsid w:val="003D26B5"/>
    <w:rsid w:val="003D273C"/>
    <w:rsid w:val="003D2BB6"/>
    <w:rsid w:val="003D4367"/>
    <w:rsid w:val="003D52A8"/>
    <w:rsid w:val="003D5CA9"/>
    <w:rsid w:val="003D7A7A"/>
    <w:rsid w:val="003D7D66"/>
    <w:rsid w:val="003E1590"/>
    <w:rsid w:val="003E1D1E"/>
    <w:rsid w:val="003E1D20"/>
    <w:rsid w:val="003E1E8E"/>
    <w:rsid w:val="003E2CA0"/>
    <w:rsid w:val="003E3062"/>
    <w:rsid w:val="003E32AB"/>
    <w:rsid w:val="003E3731"/>
    <w:rsid w:val="003E419F"/>
    <w:rsid w:val="003E5165"/>
    <w:rsid w:val="003E5461"/>
    <w:rsid w:val="003E5F37"/>
    <w:rsid w:val="003E70F6"/>
    <w:rsid w:val="003F04D7"/>
    <w:rsid w:val="003F05E1"/>
    <w:rsid w:val="003F0AEF"/>
    <w:rsid w:val="003F1088"/>
    <w:rsid w:val="003F21DD"/>
    <w:rsid w:val="003F2594"/>
    <w:rsid w:val="003F25DC"/>
    <w:rsid w:val="003F2D13"/>
    <w:rsid w:val="003F2EB2"/>
    <w:rsid w:val="003F2FB9"/>
    <w:rsid w:val="003F2FDF"/>
    <w:rsid w:val="003F3133"/>
    <w:rsid w:val="003F3D6B"/>
    <w:rsid w:val="003F4306"/>
    <w:rsid w:val="003F50FC"/>
    <w:rsid w:val="003F6944"/>
    <w:rsid w:val="003F6A89"/>
    <w:rsid w:val="003F6C5B"/>
    <w:rsid w:val="003F7510"/>
    <w:rsid w:val="003F7600"/>
    <w:rsid w:val="003F764A"/>
    <w:rsid w:val="003F79C5"/>
    <w:rsid w:val="003F7F1B"/>
    <w:rsid w:val="004028E0"/>
    <w:rsid w:val="00403024"/>
    <w:rsid w:val="00406C01"/>
    <w:rsid w:val="00407483"/>
    <w:rsid w:val="0040787F"/>
    <w:rsid w:val="0041058F"/>
    <w:rsid w:val="0041070C"/>
    <w:rsid w:val="0041188A"/>
    <w:rsid w:val="00412704"/>
    <w:rsid w:val="00412F00"/>
    <w:rsid w:val="0041398D"/>
    <w:rsid w:val="00413C17"/>
    <w:rsid w:val="00414E3D"/>
    <w:rsid w:val="00415189"/>
    <w:rsid w:val="0041524D"/>
    <w:rsid w:val="00415957"/>
    <w:rsid w:val="00416BE2"/>
    <w:rsid w:val="00417ED4"/>
    <w:rsid w:val="00420E9B"/>
    <w:rsid w:val="00420F3A"/>
    <w:rsid w:val="0042145F"/>
    <w:rsid w:val="0042278D"/>
    <w:rsid w:val="004239FB"/>
    <w:rsid w:val="00423C1E"/>
    <w:rsid w:val="004248ED"/>
    <w:rsid w:val="00424F58"/>
    <w:rsid w:val="0042564D"/>
    <w:rsid w:val="00425CB8"/>
    <w:rsid w:val="0042622A"/>
    <w:rsid w:val="00426536"/>
    <w:rsid w:val="00427636"/>
    <w:rsid w:val="00427669"/>
    <w:rsid w:val="00427E8A"/>
    <w:rsid w:val="00427F4F"/>
    <w:rsid w:val="00430D31"/>
    <w:rsid w:val="0043143A"/>
    <w:rsid w:val="00431F15"/>
    <w:rsid w:val="004323A6"/>
    <w:rsid w:val="004339E5"/>
    <w:rsid w:val="004341F7"/>
    <w:rsid w:val="00435142"/>
    <w:rsid w:val="00435B9F"/>
    <w:rsid w:val="004364F1"/>
    <w:rsid w:val="00436A31"/>
    <w:rsid w:val="004375C6"/>
    <w:rsid w:val="00437FDB"/>
    <w:rsid w:val="00440340"/>
    <w:rsid w:val="00440689"/>
    <w:rsid w:val="004410E9"/>
    <w:rsid w:val="00441703"/>
    <w:rsid w:val="00441DDA"/>
    <w:rsid w:val="00441FBA"/>
    <w:rsid w:val="00442E01"/>
    <w:rsid w:val="00445448"/>
    <w:rsid w:val="00446870"/>
    <w:rsid w:val="00446923"/>
    <w:rsid w:val="00446C56"/>
    <w:rsid w:val="00450C96"/>
    <w:rsid w:val="00451850"/>
    <w:rsid w:val="00451BB1"/>
    <w:rsid w:val="00451EFC"/>
    <w:rsid w:val="00452121"/>
    <w:rsid w:val="004526A4"/>
    <w:rsid w:val="00452E92"/>
    <w:rsid w:val="0045336C"/>
    <w:rsid w:val="0045385F"/>
    <w:rsid w:val="00453AB9"/>
    <w:rsid w:val="00457097"/>
    <w:rsid w:val="00457244"/>
    <w:rsid w:val="0046045F"/>
    <w:rsid w:val="00460679"/>
    <w:rsid w:val="00461101"/>
    <w:rsid w:val="00461DD2"/>
    <w:rsid w:val="004622CB"/>
    <w:rsid w:val="00462420"/>
    <w:rsid w:val="00464178"/>
    <w:rsid w:val="004644D4"/>
    <w:rsid w:val="00464DC3"/>
    <w:rsid w:val="00467873"/>
    <w:rsid w:val="004703B6"/>
    <w:rsid w:val="00470570"/>
    <w:rsid w:val="00470C7E"/>
    <w:rsid w:val="00470CD8"/>
    <w:rsid w:val="004713E2"/>
    <w:rsid w:val="0047183E"/>
    <w:rsid w:val="00471B5B"/>
    <w:rsid w:val="00472C23"/>
    <w:rsid w:val="00472DBD"/>
    <w:rsid w:val="00472E0F"/>
    <w:rsid w:val="00473755"/>
    <w:rsid w:val="00473A1E"/>
    <w:rsid w:val="00473AB1"/>
    <w:rsid w:val="00473CC3"/>
    <w:rsid w:val="00475BB1"/>
    <w:rsid w:val="00476259"/>
    <w:rsid w:val="00477FFB"/>
    <w:rsid w:val="00481186"/>
    <w:rsid w:val="00481546"/>
    <w:rsid w:val="00482425"/>
    <w:rsid w:val="00483016"/>
    <w:rsid w:val="004836A3"/>
    <w:rsid w:val="00484E4A"/>
    <w:rsid w:val="00485283"/>
    <w:rsid w:val="004874D1"/>
    <w:rsid w:val="004879D6"/>
    <w:rsid w:val="00490F5A"/>
    <w:rsid w:val="004916A6"/>
    <w:rsid w:val="004917C1"/>
    <w:rsid w:val="00491DA3"/>
    <w:rsid w:val="00492C5A"/>
    <w:rsid w:val="00493C1D"/>
    <w:rsid w:val="00494293"/>
    <w:rsid w:val="00494355"/>
    <w:rsid w:val="00494C10"/>
    <w:rsid w:val="00495268"/>
    <w:rsid w:val="004966B6"/>
    <w:rsid w:val="004A06AD"/>
    <w:rsid w:val="004A2126"/>
    <w:rsid w:val="004A2FF5"/>
    <w:rsid w:val="004A35EE"/>
    <w:rsid w:val="004A3856"/>
    <w:rsid w:val="004A509D"/>
    <w:rsid w:val="004A51E1"/>
    <w:rsid w:val="004A5AF5"/>
    <w:rsid w:val="004A5D2C"/>
    <w:rsid w:val="004A68C6"/>
    <w:rsid w:val="004A7C61"/>
    <w:rsid w:val="004B03C1"/>
    <w:rsid w:val="004B13D7"/>
    <w:rsid w:val="004B3B24"/>
    <w:rsid w:val="004B3D1A"/>
    <w:rsid w:val="004B56DC"/>
    <w:rsid w:val="004B61EC"/>
    <w:rsid w:val="004B73C7"/>
    <w:rsid w:val="004B7928"/>
    <w:rsid w:val="004C0059"/>
    <w:rsid w:val="004C12FB"/>
    <w:rsid w:val="004C1B89"/>
    <w:rsid w:val="004C2BE9"/>
    <w:rsid w:val="004C3C7E"/>
    <w:rsid w:val="004C3FAC"/>
    <w:rsid w:val="004C427B"/>
    <w:rsid w:val="004C47DC"/>
    <w:rsid w:val="004C4840"/>
    <w:rsid w:val="004C59CB"/>
    <w:rsid w:val="004C6348"/>
    <w:rsid w:val="004C6878"/>
    <w:rsid w:val="004C6A78"/>
    <w:rsid w:val="004C7A29"/>
    <w:rsid w:val="004C7C7A"/>
    <w:rsid w:val="004D0179"/>
    <w:rsid w:val="004D0EF2"/>
    <w:rsid w:val="004D0FD2"/>
    <w:rsid w:val="004D3210"/>
    <w:rsid w:val="004D3217"/>
    <w:rsid w:val="004D3248"/>
    <w:rsid w:val="004D362D"/>
    <w:rsid w:val="004D4CFE"/>
    <w:rsid w:val="004D5876"/>
    <w:rsid w:val="004D5EEF"/>
    <w:rsid w:val="004D637F"/>
    <w:rsid w:val="004D65E8"/>
    <w:rsid w:val="004D67B3"/>
    <w:rsid w:val="004D755F"/>
    <w:rsid w:val="004E01A1"/>
    <w:rsid w:val="004E0A92"/>
    <w:rsid w:val="004E0C8E"/>
    <w:rsid w:val="004E1227"/>
    <w:rsid w:val="004E1BEB"/>
    <w:rsid w:val="004E2DE0"/>
    <w:rsid w:val="004E45DF"/>
    <w:rsid w:val="004E467B"/>
    <w:rsid w:val="004E4EE5"/>
    <w:rsid w:val="004E66A2"/>
    <w:rsid w:val="004E6CFE"/>
    <w:rsid w:val="004E6D19"/>
    <w:rsid w:val="004E75A9"/>
    <w:rsid w:val="004E7D78"/>
    <w:rsid w:val="004F0BA4"/>
    <w:rsid w:val="004F0F45"/>
    <w:rsid w:val="004F1A80"/>
    <w:rsid w:val="004F1A98"/>
    <w:rsid w:val="004F2565"/>
    <w:rsid w:val="004F35DD"/>
    <w:rsid w:val="004F40DF"/>
    <w:rsid w:val="004F4162"/>
    <w:rsid w:val="004F4C0A"/>
    <w:rsid w:val="004F5EE7"/>
    <w:rsid w:val="004F5F21"/>
    <w:rsid w:val="004F607A"/>
    <w:rsid w:val="004F61BB"/>
    <w:rsid w:val="004F64AE"/>
    <w:rsid w:val="004F6C06"/>
    <w:rsid w:val="004F7612"/>
    <w:rsid w:val="004F7871"/>
    <w:rsid w:val="005001AF"/>
    <w:rsid w:val="005009E2"/>
    <w:rsid w:val="00500A26"/>
    <w:rsid w:val="00500B26"/>
    <w:rsid w:val="00500E29"/>
    <w:rsid w:val="00501195"/>
    <w:rsid w:val="00502379"/>
    <w:rsid w:val="005023CC"/>
    <w:rsid w:val="00502584"/>
    <w:rsid w:val="005027CE"/>
    <w:rsid w:val="00505225"/>
    <w:rsid w:val="00505FA4"/>
    <w:rsid w:val="005068CD"/>
    <w:rsid w:val="00507499"/>
    <w:rsid w:val="0051108B"/>
    <w:rsid w:val="00511A26"/>
    <w:rsid w:val="005131E8"/>
    <w:rsid w:val="00514223"/>
    <w:rsid w:val="00515B04"/>
    <w:rsid w:val="00515CDD"/>
    <w:rsid w:val="005172FF"/>
    <w:rsid w:val="00517EAD"/>
    <w:rsid w:val="00517FF6"/>
    <w:rsid w:val="005217C7"/>
    <w:rsid w:val="00521A64"/>
    <w:rsid w:val="00521F1C"/>
    <w:rsid w:val="00522F1F"/>
    <w:rsid w:val="0052418F"/>
    <w:rsid w:val="00524515"/>
    <w:rsid w:val="00524BE9"/>
    <w:rsid w:val="00525023"/>
    <w:rsid w:val="00525CED"/>
    <w:rsid w:val="0052699B"/>
    <w:rsid w:val="005272DA"/>
    <w:rsid w:val="0052745D"/>
    <w:rsid w:val="00527F8E"/>
    <w:rsid w:val="00530680"/>
    <w:rsid w:val="00530800"/>
    <w:rsid w:val="005310D8"/>
    <w:rsid w:val="00531D6D"/>
    <w:rsid w:val="00531D8A"/>
    <w:rsid w:val="00533BA2"/>
    <w:rsid w:val="00533D09"/>
    <w:rsid w:val="00533E41"/>
    <w:rsid w:val="005340A2"/>
    <w:rsid w:val="0053485C"/>
    <w:rsid w:val="00534D6D"/>
    <w:rsid w:val="00537014"/>
    <w:rsid w:val="00537229"/>
    <w:rsid w:val="00537DC6"/>
    <w:rsid w:val="00540B79"/>
    <w:rsid w:val="00540C21"/>
    <w:rsid w:val="00541F2F"/>
    <w:rsid w:val="00541FD1"/>
    <w:rsid w:val="00542D58"/>
    <w:rsid w:val="00543788"/>
    <w:rsid w:val="00543DDF"/>
    <w:rsid w:val="0054496B"/>
    <w:rsid w:val="00544E80"/>
    <w:rsid w:val="0054505B"/>
    <w:rsid w:val="0054569D"/>
    <w:rsid w:val="00546434"/>
    <w:rsid w:val="00546B85"/>
    <w:rsid w:val="00546FE3"/>
    <w:rsid w:val="00547036"/>
    <w:rsid w:val="005473FE"/>
    <w:rsid w:val="005474AE"/>
    <w:rsid w:val="00547DA6"/>
    <w:rsid w:val="00547FD6"/>
    <w:rsid w:val="005507D1"/>
    <w:rsid w:val="00551357"/>
    <w:rsid w:val="0055223F"/>
    <w:rsid w:val="00552AA8"/>
    <w:rsid w:val="0055324F"/>
    <w:rsid w:val="00553737"/>
    <w:rsid w:val="0055392D"/>
    <w:rsid w:val="00553C61"/>
    <w:rsid w:val="00553D1A"/>
    <w:rsid w:val="00553ECC"/>
    <w:rsid w:val="005541A1"/>
    <w:rsid w:val="00554ABB"/>
    <w:rsid w:val="00554F88"/>
    <w:rsid w:val="00556401"/>
    <w:rsid w:val="0056056A"/>
    <w:rsid w:val="00560B7C"/>
    <w:rsid w:val="00561255"/>
    <w:rsid w:val="00562B12"/>
    <w:rsid w:val="00562CEC"/>
    <w:rsid w:val="00563A9C"/>
    <w:rsid w:val="00563F9F"/>
    <w:rsid w:val="0056467F"/>
    <w:rsid w:val="005649A9"/>
    <w:rsid w:val="00564E8F"/>
    <w:rsid w:val="0056501F"/>
    <w:rsid w:val="00565536"/>
    <w:rsid w:val="005660BA"/>
    <w:rsid w:val="00566AFE"/>
    <w:rsid w:val="0056702E"/>
    <w:rsid w:val="005672FE"/>
    <w:rsid w:val="00567D95"/>
    <w:rsid w:val="00571E51"/>
    <w:rsid w:val="00571F04"/>
    <w:rsid w:val="00572B4E"/>
    <w:rsid w:val="005732CA"/>
    <w:rsid w:val="00573E77"/>
    <w:rsid w:val="00574BC7"/>
    <w:rsid w:val="00577025"/>
    <w:rsid w:val="005772F8"/>
    <w:rsid w:val="0058066E"/>
    <w:rsid w:val="00580676"/>
    <w:rsid w:val="00580FE1"/>
    <w:rsid w:val="00581693"/>
    <w:rsid w:val="00581806"/>
    <w:rsid w:val="00582D0B"/>
    <w:rsid w:val="00583263"/>
    <w:rsid w:val="00583416"/>
    <w:rsid w:val="00583938"/>
    <w:rsid w:val="00584620"/>
    <w:rsid w:val="005847B0"/>
    <w:rsid w:val="005849D1"/>
    <w:rsid w:val="00584ABA"/>
    <w:rsid w:val="00585F08"/>
    <w:rsid w:val="00586232"/>
    <w:rsid w:val="005863B7"/>
    <w:rsid w:val="0058703E"/>
    <w:rsid w:val="00587169"/>
    <w:rsid w:val="005871EE"/>
    <w:rsid w:val="00590B28"/>
    <w:rsid w:val="00593A1A"/>
    <w:rsid w:val="00593A49"/>
    <w:rsid w:val="00593B77"/>
    <w:rsid w:val="00593CD4"/>
    <w:rsid w:val="00594459"/>
    <w:rsid w:val="005944E8"/>
    <w:rsid w:val="005944EE"/>
    <w:rsid w:val="00595320"/>
    <w:rsid w:val="00595D4B"/>
    <w:rsid w:val="00595ECE"/>
    <w:rsid w:val="0059630A"/>
    <w:rsid w:val="005966BA"/>
    <w:rsid w:val="005968EC"/>
    <w:rsid w:val="00596E8C"/>
    <w:rsid w:val="005979FA"/>
    <w:rsid w:val="00597AE7"/>
    <w:rsid w:val="00597B5B"/>
    <w:rsid w:val="00597D4B"/>
    <w:rsid w:val="005A0004"/>
    <w:rsid w:val="005A0186"/>
    <w:rsid w:val="005A1291"/>
    <w:rsid w:val="005A2304"/>
    <w:rsid w:val="005A2919"/>
    <w:rsid w:val="005A2F39"/>
    <w:rsid w:val="005A335A"/>
    <w:rsid w:val="005A394C"/>
    <w:rsid w:val="005A39A4"/>
    <w:rsid w:val="005A3BD8"/>
    <w:rsid w:val="005A3E1C"/>
    <w:rsid w:val="005A4495"/>
    <w:rsid w:val="005A46CA"/>
    <w:rsid w:val="005A5416"/>
    <w:rsid w:val="005A63AC"/>
    <w:rsid w:val="005A6432"/>
    <w:rsid w:val="005A6765"/>
    <w:rsid w:val="005A78A1"/>
    <w:rsid w:val="005B0E4F"/>
    <w:rsid w:val="005B10A6"/>
    <w:rsid w:val="005B121B"/>
    <w:rsid w:val="005B2850"/>
    <w:rsid w:val="005B28C3"/>
    <w:rsid w:val="005B35B4"/>
    <w:rsid w:val="005B36A9"/>
    <w:rsid w:val="005B37CC"/>
    <w:rsid w:val="005B3B51"/>
    <w:rsid w:val="005B40C2"/>
    <w:rsid w:val="005B4539"/>
    <w:rsid w:val="005B4EDC"/>
    <w:rsid w:val="005B56B6"/>
    <w:rsid w:val="005B5FBF"/>
    <w:rsid w:val="005B657B"/>
    <w:rsid w:val="005C1416"/>
    <w:rsid w:val="005C14BB"/>
    <w:rsid w:val="005C18E6"/>
    <w:rsid w:val="005C20F6"/>
    <w:rsid w:val="005C2424"/>
    <w:rsid w:val="005C29C4"/>
    <w:rsid w:val="005C2B36"/>
    <w:rsid w:val="005C4DAE"/>
    <w:rsid w:val="005C5DD2"/>
    <w:rsid w:val="005C5E64"/>
    <w:rsid w:val="005C5F9B"/>
    <w:rsid w:val="005C6A0B"/>
    <w:rsid w:val="005C77AE"/>
    <w:rsid w:val="005C7F37"/>
    <w:rsid w:val="005D03A3"/>
    <w:rsid w:val="005D15DA"/>
    <w:rsid w:val="005D1A91"/>
    <w:rsid w:val="005D1AA4"/>
    <w:rsid w:val="005D1AE8"/>
    <w:rsid w:val="005D1CED"/>
    <w:rsid w:val="005D47A8"/>
    <w:rsid w:val="005D579D"/>
    <w:rsid w:val="005D5C81"/>
    <w:rsid w:val="005D6408"/>
    <w:rsid w:val="005D7750"/>
    <w:rsid w:val="005D7A32"/>
    <w:rsid w:val="005E0B69"/>
    <w:rsid w:val="005E1214"/>
    <w:rsid w:val="005E19AD"/>
    <w:rsid w:val="005E2397"/>
    <w:rsid w:val="005E2CC6"/>
    <w:rsid w:val="005E336B"/>
    <w:rsid w:val="005E3538"/>
    <w:rsid w:val="005E3906"/>
    <w:rsid w:val="005E3B01"/>
    <w:rsid w:val="005E3D61"/>
    <w:rsid w:val="005E42B4"/>
    <w:rsid w:val="005E4745"/>
    <w:rsid w:val="005E4E92"/>
    <w:rsid w:val="005E6434"/>
    <w:rsid w:val="005E6E4B"/>
    <w:rsid w:val="005E7604"/>
    <w:rsid w:val="005E7AFC"/>
    <w:rsid w:val="005F0341"/>
    <w:rsid w:val="005F1614"/>
    <w:rsid w:val="005F1729"/>
    <w:rsid w:val="005F1D3C"/>
    <w:rsid w:val="005F27F0"/>
    <w:rsid w:val="005F3E79"/>
    <w:rsid w:val="005F4897"/>
    <w:rsid w:val="005F5253"/>
    <w:rsid w:val="005F662D"/>
    <w:rsid w:val="005F6C32"/>
    <w:rsid w:val="005F75D0"/>
    <w:rsid w:val="005F7C9A"/>
    <w:rsid w:val="00600A45"/>
    <w:rsid w:val="00600E96"/>
    <w:rsid w:val="00600F2D"/>
    <w:rsid w:val="00601DB3"/>
    <w:rsid w:val="00601E13"/>
    <w:rsid w:val="00601E67"/>
    <w:rsid w:val="00602549"/>
    <w:rsid w:val="00602DD9"/>
    <w:rsid w:val="006037F8"/>
    <w:rsid w:val="006038CB"/>
    <w:rsid w:val="00604092"/>
    <w:rsid w:val="00604F7A"/>
    <w:rsid w:val="00605749"/>
    <w:rsid w:val="006060A9"/>
    <w:rsid w:val="006063BF"/>
    <w:rsid w:val="00606FD0"/>
    <w:rsid w:val="00607642"/>
    <w:rsid w:val="006105B6"/>
    <w:rsid w:val="006108A1"/>
    <w:rsid w:val="00610B93"/>
    <w:rsid w:val="00610C19"/>
    <w:rsid w:val="00611D7A"/>
    <w:rsid w:val="006125AA"/>
    <w:rsid w:val="006130DB"/>
    <w:rsid w:val="0061392A"/>
    <w:rsid w:val="00613F01"/>
    <w:rsid w:val="00614232"/>
    <w:rsid w:val="0061654E"/>
    <w:rsid w:val="00616F7F"/>
    <w:rsid w:val="00617581"/>
    <w:rsid w:val="0062122B"/>
    <w:rsid w:val="00621767"/>
    <w:rsid w:val="00622FD3"/>
    <w:rsid w:val="00623A1B"/>
    <w:rsid w:val="00626815"/>
    <w:rsid w:val="00626E3D"/>
    <w:rsid w:val="00627C66"/>
    <w:rsid w:val="00630500"/>
    <w:rsid w:val="006309D3"/>
    <w:rsid w:val="0063190B"/>
    <w:rsid w:val="0063287B"/>
    <w:rsid w:val="00632BD2"/>
    <w:rsid w:val="006334E3"/>
    <w:rsid w:val="0063362B"/>
    <w:rsid w:val="00634148"/>
    <w:rsid w:val="00634E9E"/>
    <w:rsid w:val="00636535"/>
    <w:rsid w:val="00637788"/>
    <w:rsid w:val="00640052"/>
    <w:rsid w:val="00640068"/>
    <w:rsid w:val="00640994"/>
    <w:rsid w:val="00641624"/>
    <w:rsid w:val="00641B3A"/>
    <w:rsid w:val="00642920"/>
    <w:rsid w:val="00643EF0"/>
    <w:rsid w:val="006440EE"/>
    <w:rsid w:val="006455B4"/>
    <w:rsid w:val="00645758"/>
    <w:rsid w:val="00645DDE"/>
    <w:rsid w:val="00647B4C"/>
    <w:rsid w:val="00647BA9"/>
    <w:rsid w:val="00647DC0"/>
    <w:rsid w:val="006501DF"/>
    <w:rsid w:val="00650206"/>
    <w:rsid w:val="00650490"/>
    <w:rsid w:val="00650C16"/>
    <w:rsid w:val="006513B5"/>
    <w:rsid w:val="00651463"/>
    <w:rsid w:val="0065146D"/>
    <w:rsid w:val="006514BC"/>
    <w:rsid w:val="00651595"/>
    <w:rsid w:val="00652C88"/>
    <w:rsid w:val="00653C4A"/>
    <w:rsid w:val="00653DDC"/>
    <w:rsid w:val="00654D85"/>
    <w:rsid w:val="00656D8A"/>
    <w:rsid w:val="00657324"/>
    <w:rsid w:val="00657D80"/>
    <w:rsid w:val="0066046F"/>
    <w:rsid w:val="006604DB"/>
    <w:rsid w:val="0066117E"/>
    <w:rsid w:val="006613F6"/>
    <w:rsid w:val="006620BB"/>
    <w:rsid w:val="00662470"/>
    <w:rsid w:val="00663289"/>
    <w:rsid w:val="0066354B"/>
    <w:rsid w:val="00663D54"/>
    <w:rsid w:val="00666630"/>
    <w:rsid w:val="00666806"/>
    <w:rsid w:val="00666F7A"/>
    <w:rsid w:val="006678BA"/>
    <w:rsid w:val="00667C02"/>
    <w:rsid w:val="00670113"/>
    <w:rsid w:val="00670124"/>
    <w:rsid w:val="0067314B"/>
    <w:rsid w:val="00673D49"/>
    <w:rsid w:val="006740E1"/>
    <w:rsid w:val="006743E0"/>
    <w:rsid w:val="00674689"/>
    <w:rsid w:val="00674C12"/>
    <w:rsid w:val="006757CE"/>
    <w:rsid w:val="00676A92"/>
    <w:rsid w:val="0067702D"/>
    <w:rsid w:val="0067710C"/>
    <w:rsid w:val="00677F71"/>
    <w:rsid w:val="00680569"/>
    <w:rsid w:val="00680A8F"/>
    <w:rsid w:val="00680AAE"/>
    <w:rsid w:val="00680F9E"/>
    <w:rsid w:val="00680FAC"/>
    <w:rsid w:val="0068217A"/>
    <w:rsid w:val="0068246A"/>
    <w:rsid w:val="00684B8C"/>
    <w:rsid w:val="006864DE"/>
    <w:rsid w:val="00687121"/>
    <w:rsid w:val="00690A97"/>
    <w:rsid w:val="00691B5E"/>
    <w:rsid w:val="00691DED"/>
    <w:rsid w:val="00691FC7"/>
    <w:rsid w:val="00692386"/>
    <w:rsid w:val="00692FA7"/>
    <w:rsid w:val="006934B8"/>
    <w:rsid w:val="006936D4"/>
    <w:rsid w:val="00693CCD"/>
    <w:rsid w:val="00694B73"/>
    <w:rsid w:val="0069514E"/>
    <w:rsid w:val="00695F1C"/>
    <w:rsid w:val="006966EC"/>
    <w:rsid w:val="006970E6"/>
    <w:rsid w:val="00697AC4"/>
    <w:rsid w:val="006A0671"/>
    <w:rsid w:val="006A1366"/>
    <w:rsid w:val="006A1808"/>
    <w:rsid w:val="006A187B"/>
    <w:rsid w:val="006A1939"/>
    <w:rsid w:val="006A1DD0"/>
    <w:rsid w:val="006A36DE"/>
    <w:rsid w:val="006A3FD6"/>
    <w:rsid w:val="006A4FD8"/>
    <w:rsid w:val="006A5B07"/>
    <w:rsid w:val="006A5DBD"/>
    <w:rsid w:val="006A5DC0"/>
    <w:rsid w:val="006A69CF"/>
    <w:rsid w:val="006A6BE6"/>
    <w:rsid w:val="006A6D4D"/>
    <w:rsid w:val="006A72D8"/>
    <w:rsid w:val="006A766B"/>
    <w:rsid w:val="006B032A"/>
    <w:rsid w:val="006B0AE0"/>
    <w:rsid w:val="006B198E"/>
    <w:rsid w:val="006B1A95"/>
    <w:rsid w:val="006B2315"/>
    <w:rsid w:val="006B269D"/>
    <w:rsid w:val="006B2CFF"/>
    <w:rsid w:val="006B2D05"/>
    <w:rsid w:val="006B2E58"/>
    <w:rsid w:val="006B3112"/>
    <w:rsid w:val="006B31ED"/>
    <w:rsid w:val="006B3261"/>
    <w:rsid w:val="006B3600"/>
    <w:rsid w:val="006B3B0B"/>
    <w:rsid w:val="006B3D9C"/>
    <w:rsid w:val="006B3DAC"/>
    <w:rsid w:val="006B45E9"/>
    <w:rsid w:val="006B4924"/>
    <w:rsid w:val="006B4AD5"/>
    <w:rsid w:val="006B5AD1"/>
    <w:rsid w:val="006B682C"/>
    <w:rsid w:val="006B7133"/>
    <w:rsid w:val="006B738C"/>
    <w:rsid w:val="006C0614"/>
    <w:rsid w:val="006C080F"/>
    <w:rsid w:val="006C0B2E"/>
    <w:rsid w:val="006C1812"/>
    <w:rsid w:val="006C25D1"/>
    <w:rsid w:val="006C270A"/>
    <w:rsid w:val="006C2A7A"/>
    <w:rsid w:val="006C2BA3"/>
    <w:rsid w:val="006C3528"/>
    <w:rsid w:val="006C3826"/>
    <w:rsid w:val="006C5400"/>
    <w:rsid w:val="006C69E1"/>
    <w:rsid w:val="006C7061"/>
    <w:rsid w:val="006C737B"/>
    <w:rsid w:val="006D0B78"/>
    <w:rsid w:val="006D0E11"/>
    <w:rsid w:val="006D1930"/>
    <w:rsid w:val="006D19B6"/>
    <w:rsid w:val="006D2261"/>
    <w:rsid w:val="006D2E3E"/>
    <w:rsid w:val="006D4107"/>
    <w:rsid w:val="006D68C1"/>
    <w:rsid w:val="006D7986"/>
    <w:rsid w:val="006D7AC6"/>
    <w:rsid w:val="006D7FF5"/>
    <w:rsid w:val="006E0E47"/>
    <w:rsid w:val="006E1054"/>
    <w:rsid w:val="006E1460"/>
    <w:rsid w:val="006E158F"/>
    <w:rsid w:val="006E31E2"/>
    <w:rsid w:val="006E4BC0"/>
    <w:rsid w:val="006E5C42"/>
    <w:rsid w:val="006E6354"/>
    <w:rsid w:val="006E64AE"/>
    <w:rsid w:val="006E6D9F"/>
    <w:rsid w:val="006E7432"/>
    <w:rsid w:val="006E7629"/>
    <w:rsid w:val="006E767E"/>
    <w:rsid w:val="006E7C7F"/>
    <w:rsid w:val="006F11E3"/>
    <w:rsid w:val="006F1279"/>
    <w:rsid w:val="006F1A31"/>
    <w:rsid w:val="006F2D48"/>
    <w:rsid w:val="006F310E"/>
    <w:rsid w:val="006F36E2"/>
    <w:rsid w:val="006F3BA5"/>
    <w:rsid w:val="006F4711"/>
    <w:rsid w:val="006F4B11"/>
    <w:rsid w:val="006F4E58"/>
    <w:rsid w:val="006F5713"/>
    <w:rsid w:val="006F6B67"/>
    <w:rsid w:val="006F7EA9"/>
    <w:rsid w:val="00701C06"/>
    <w:rsid w:val="00702B71"/>
    <w:rsid w:val="00703084"/>
    <w:rsid w:val="0070347F"/>
    <w:rsid w:val="007035CE"/>
    <w:rsid w:val="00705561"/>
    <w:rsid w:val="007055A2"/>
    <w:rsid w:val="00706457"/>
    <w:rsid w:val="00706554"/>
    <w:rsid w:val="00706D20"/>
    <w:rsid w:val="00710B0E"/>
    <w:rsid w:val="00710B6E"/>
    <w:rsid w:val="00711005"/>
    <w:rsid w:val="007114DB"/>
    <w:rsid w:val="00712C3C"/>
    <w:rsid w:val="00712CBE"/>
    <w:rsid w:val="00713EA2"/>
    <w:rsid w:val="007140F9"/>
    <w:rsid w:val="007141F6"/>
    <w:rsid w:val="007142DE"/>
    <w:rsid w:val="00714794"/>
    <w:rsid w:val="007159E8"/>
    <w:rsid w:val="007163B4"/>
    <w:rsid w:val="0071675A"/>
    <w:rsid w:val="00716AB7"/>
    <w:rsid w:val="00717F6C"/>
    <w:rsid w:val="00720013"/>
    <w:rsid w:val="007212CC"/>
    <w:rsid w:val="0072135A"/>
    <w:rsid w:val="00721F96"/>
    <w:rsid w:val="007224A1"/>
    <w:rsid w:val="00722C0C"/>
    <w:rsid w:val="00723528"/>
    <w:rsid w:val="00723566"/>
    <w:rsid w:val="00724372"/>
    <w:rsid w:val="007303F0"/>
    <w:rsid w:val="00731667"/>
    <w:rsid w:val="007316BE"/>
    <w:rsid w:val="00733949"/>
    <w:rsid w:val="00734CC7"/>
    <w:rsid w:val="007357E1"/>
    <w:rsid w:val="007359AE"/>
    <w:rsid w:val="007359E9"/>
    <w:rsid w:val="00736605"/>
    <w:rsid w:val="00737738"/>
    <w:rsid w:val="00737A68"/>
    <w:rsid w:val="00740DDE"/>
    <w:rsid w:val="007427F5"/>
    <w:rsid w:val="007428AC"/>
    <w:rsid w:val="00742FFB"/>
    <w:rsid w:val="00743A4C"/>
    <w:rsid w:val="00744211"/>
    <w:rsid w:val="00744607"/>
    <w:rsid w:val="007459EE"/>
    <w:rsid w:val="00746CBC"/>
    <w:rsid w:val="00746DAF"/>
    <w:rsid w:val="0074764D"/>
    <w:rsid w:val="00747791"/>
    <w:rsid w:val="00750118"/>
    <w:rsid w:val="007504E1"/>
    <w:rsid w:val="007507C4"/>
    <w:rsid w:val="00751571"/>
    <w:rsid w:val="00751B1C"/>
    <w:rsid w:val="00753534"/>
    <w:rsid w:val="00753639"/>
    <w:rsid w:val="00755A87"/>
    <w:rsid w:val="00756284"/>
    <w:rsid w:val="00756A2A"/>
    <w:rsid w:val="00756F3A"/>
    <w:rsid w:val="00757270"/>
    <w:rsid w:val="007575F7"/>
    <w:rsid w:val="007579D2"/>
    <w:rsid w:val="00760437"/>
    <w:rsid w:val="00760ADF"/>
    <w:rsid w:val="00760F4E"/>
    <w:rsid w:val="007619D5"/>
    <w:rsid w:val="00761AC8"/>
    <w:rsid w:val="00764784"/>
    <w:rsid w:val="007673E1"/>
    <w:rsid w:val="00770726"/>
    <w:rsid w:val="00770DC0"/>
    <w:rsid w:val="0077188A"/>
    <w:rsid w:val="00772039"/>
    <w:rsid w:val="007727A7"/>
    <w:rsid w:val="00775E38"/>
    <w:rsid w:val="007760F9"/>
    <w:rsid w:val="007768B8"/>
    <w:rsid w:val="00777F0D"/>
    <w:rsid w:val="0078004B"/>
    <w:rsid w:val="0078064D"/>
    <w:rsid w:val="007819B0"/>
    <w:rsid w:val="00781BDA"/>
    <w:rsid w:val="00782855"/>
    <w:rsid w:val="007837ED"/>
    <w:rsid w:val="00784079"/>
    <w:rsid w:val="00785A23"/>
    <w:rsid w:val="0078657C"/>
    <w:rsid w:val="00786B2C"/>
    <w:rsid w:val="007872A6"/>
    <w:rsid w:val="00787367"/>
    <w:rsid w:val="00787487"/>
    <w:rsid w:val="00790052"/>
    <w:rsid w:val="00790A05"/>
    <w:rsid w:val="00791498"/>
    <w:rsid w:val="00794A98"/>
    <w:rsid w:val="00795175"/>
    <w:rsid w:val="007953EE"/>
    <w:rsid w:val="00795C2F"/>
    <w:rsid w:val="00796586"/>
    <w:rsid w:val="007978FF"/>
    <w:rsid w:val="00797FC1"/>
    <w:rsid w:val="007A22D1"/>
    <w:rsid w:val="007A251B"/>
    <w:rsid w:val="007A2ABE"/>
    <w:rsid w:val="007A2BC3"/>
    <w:rsid w:val="007A2C9E"/>
    <w:rsid w:val="007A322F"/>
    <w:rsid w:val="007A3BEB"/>
    <w:rsid w:val="007A4437"/>
    <w:rsid w:val="007A4641"/>
    <w:rsid w:val="007A5B21"/>
    <w:rsid w:val="007A5EBB"/>
    <w:rsid w:val="007A603B"/>
    <w:rsid w:val="007A6CE5"/>
    <w:rsid w:val="007A6F8B"/>
    <w:rsid w:val="007A6FDB"/>
    <w:rsid w:val="007A714D"/>
    <w:rsid w:val="007A77A8"/>
    <w:rsid w:val="007B055B"/>
    <w:rsid w:val="007B14EE"/>
    <w:rsid w:val="007B32DB"/>
    <w:rsid w:val="007B548B"/>
    <w:rsid w:val="007B629A"/>
    <w:rsid w:val="007B711D"/>
    <w:rsid w:val="007B7471"/>
    <w:rsid w:val="007B7897"/>
    <w:rsid w:val="007B7903"/>
    <w:rsid w:val="007B7D60"/>
    <w:rsid w:val="007C0A4E"/>
    <w:rsid w:val="007C1025"/>
    <w:rsid w:val="007C1536"/>
    <w:rsid w:val="007C193F"/>
    <w:rsid w:val="007C1A74"/>
    <w:rsid w:val="007C268C"/>
    <w:rsid w:val="007C2CA7"/>
    <w:rsid w:val="007C2E96"/>
    <w:rsid w:val="007C3719"/>
    <w:rsid w:val="007C374A"/>
    <w:rsid w:val="007C3884"/>
    <w:rsid w:val="007C5CFB"/>
    <w:rsid w:val="007C77E1"/>
    <w:rsid w:val="007C7BD0"/>
    <w:rsid w:val="007C7C36"/>
    <w:rsid w:val="007C7DCB"/>
    <w:rsid w:val="007D0679"/>
    <w:rsid w:val="007D0E7B"/>
    <w:rsid w:val="007D1BF2"/>
    <w:rsid w:val="007D1C02"/>
    <w:rsid w:val="007D1D31"/>
    <w:rsid w:val="007D2AD3"/>
    <w:rsid w:val="007D3845"/>
    <w:rsid w:val="007D3AD2"/>
    <w:rsid w:val="007D437A"/>
    <w:rsid w:val="007D5311"/>
    <w:rsid w:val="007D5A0C"/>
    <w:rsid w:val="007D5A1E"/>
    <w:rsid w:val="007D5ADD"/>
    <w:rsid w:val="007D67BA"/>
    <w:rsid w:val="007D71E3"/>
    <w:rsid w:val="007E067E"/>
    <w:rsid w:val="007E12DD"/>
    <w:rsid w:val="007E1EE6"/>
    <w:rsid w:val="007E1F85"/>
    <w:rsid w:val="007E1FFB"/>
    <w:rsid w:val="007E2285"/>
    <w:rsid w:val="007E2518"/>
    <w:rsid w:val="007E2735"/>
    <w:rsid w:val="007E2903"/>
    <w:rsid w:val="007E293B"/>
    <w:rsid w:val="007E389D"/>
    <w:rsid w:val="007E3B4D"/>
    <w:rsid w:val="007E3BA2"/>
    <w:rsid w:val="007E43AF"/>
    <w:rsid w:val="007E5D42"/>
    <w:rsid w:val="007E5DAF"/>
    <w:rsid w:val="007E637A"/>
    <w:rsid w:val="007F216A"/>
    <w:rsid w:val="007F2DF2"/>
    <w:rsid w:val="007F3DD9"/>
    <w:rsid w:val="007F44DF"/>
    <w:rsid w:val="007F571F"/>
    <w:rsid w:val="007F6DDE"/>
    <w:rsid w:val="007F71A1"/>
    <w:rsid w:val="007F7770"/>
    <w:rsid w:val="007F7BA5"/>
    <w:rsid w:val="0080015F"/>
    <w:rsid w:val="008002B3"/>
    <w:rsid w:val="0080162A"/>
    <w:rsid w:val="008017DE"/>
    <w:rsid w:val="00801ADE"/>
    <w:rsid w:val="00801CF4"/>
    <w:rsid w:val="0080292D"/>
    <w:rsid w:val="00805517"/>
    <w:rsid w:val="00805603"/>
    <w:rsid w:val="00805A76"/>
    <w:rsid w:val="008078BB"/>
    <w:rsid w:val="00807BC1"/>
    <w:rsid w:val="00807C5A"/>
    <w:rsid w:val="008114AA"/>
    <w:rsid w:val="008122FD"/>
    <w:rsid w:val="00814B71"/>
    <w:rsid w:val="00814F1E"/>
    <w:rsid w:val="0081566C"/>
    <w:rsid w:val="00815764"/>
    <w:rsid w:val="00817233"/>
    <w:rsid w:val="008173DD"/>
    <w:rsid w:val="00817A9B"/>
    <w:rsid w:val="00821789"/>
    <w:rsid w:val="008219F9"/>
    <w:rsid w:val="00821EED"/>
    <w:rsid w:val="00822327"/>
    <w:rsid w:val="00822398"/>
    <w:rsid w:val="008227A6"/>
    <w:rsid w:val="00822A3E"/>
    <w:rsid w:val="00822B95"/>
    <w:rsid w:val="00824069"/>
    <w:rsid w:val="00824794"/>
    <w:rsid w:val="00824900"/>
    <w:rsid w:val="00824DB5"/>
    <w:rsid w:val="00824FC2"/>
    <w:rsid w:val="00825CF0"/>
    <w:rsid w:val="00825DD2"/>
    <w:rsid w:val="00827E95"/>
    <w:rsid w:val="0083068C"/>
    <w:rsid w:val="00831067"/>
    <w:rsid w:val="00831183"/>
    <w:rsid w:val="00831647"/>
    <w:rsid w:val="00831817"/>
    <w:rsid w:val="008319B5"/>
    <w:rsid w:val="008319ED"/>
    <w:rsid w:val="00831F82"/>
    <w:rsid w:val="00832090"/>
    <w:rsid w:val="00832304"/>
    <w:rsid w:val="008324BE"/>
    <w:rsid w:val="00834261"/>
    <w:rsid w:val="008342CE"/>
    <w:rsid w:val="0083431C"/>
    <w:rsid w:val="00834CCF"/>
    <w:rsid w:val="0083532A"/>
    <w:rsid w:val="0083549D"/>
    <w:rsid w:val="00835575"/>
    <w:rsid w:val="00835F04"/>
    <w:rsid w:val="0083622F"/>
    <w:rsid w:val="00836B62"/>
    <w:rsid w:val="0083732F"/>
    <w:rsid w:val="00837A21"/>
    <w:rsid w:val="008412F8"/>
    <w:rsid w:val="008418F4"/>
    <w:rsid w:val="0084242F"/>
    <w:rsid w:val="00842467"/>
    <w:rsid w:val="008435BB"/>
    <w:rsid w:val="0084510B"/>
    <w:rsid w:val="00845E89"/>
    <w:rsid w:val="00846712"/>
    <w:rsid w:val="00846731"/>
    <w:rsid w:val="008468A4"/>
    <w:rsid w:val="008468CD"/>
    <w:rsid w:val="008469C3"/>
    <w:rsid w:val="00846B20"/>
    <w:rsid w:val="008477D7"/>
    <w:rsid w:val="00847CA3"/>
    <w:rsid w:val="00847EEB"/>
    <w:rsid w:val="008501EF"/>
    <w:rsid w:val="0085060F"/>
    <w:rsid w:val="0085102B"/>
    <w:rsid w:val="0085112B"/>
    <w:rsid w:val="0085168A"/>
    <w:rsid w:val="00851C40"/>
    <w:rsid w:val="00852677"/>
    <w:rsid w:val="00852DC8"/>
    <w:rsid w:val="0085357A"/>
    <w:rsid w:val="008537AA"/>
    <w:rsid w:val="00854BB7"/>
    <w:rsid w:val="00854C8D"/>
    <w:rsid w:val="00855429"/>
    <w:rsid w:val="0085682F"/>
    <w:rsid w:val="008570C8"/>
    <w:rsid w:val="00857957"/>
    <w:rsid w:val="00860CBB"/>
    <w:rsid w:val="00860E63"/>
    <w:rsid w:val="00860E6D"/>
    <w:rsid w:val="00860F35"/>
    <w:rsid w:val="0086286D"/>
    <w:rsid w:val="00863562"/>
    <w:rsid w:val="008646FD"/>
    <w:rsid w:val="00864F1E"/>
    <w:rsid w:val="00865870"/>
    <w:rsid w:val="008669D0"/>
    <w:rsid w:val="00866C1B"/>
    <w:rsid w:val="00867143"/>
    <w:rsid w:val="0086742B"/>
    <w:rsid w:val="00870528"/>
    <w:rsid w:val="008708E1"/>
    <w:rsid w:val="008710DC"/>
    <w:rsid w:val="00871F97"/>
    <w:rsid w:val="008735D6"/>
    <w:rsid w:val="0087371F"/>
    <w:rsid w:val="00873A7D"/>
    <w:rsid w:val="00873DCA"/>
    <w:rsid w:val="00875EA8"/>
    <w:rsid w:val="0087780A"/>
    <w:rsid w:val="00880F8A"/>
    <w:rsid w:val="00881AA1"/>
    <w:rsid w:val="00881CDA"/>
    <w:rsid w:val="00881F4A"/>
    <w:rsid w:val="00883375"/>
    <w:rsid w:val="00883525"/>
    <w:rsid w:val="00884644"/>
    <w:rsid w:val="00884C8C"/>
    <w:rsid w:val="00885115"/>
    <w:rsid w:val="00885189"/>
    <w:rsid w:val="00885803"/>
    <w:rsid w:val="008861AF"/>
    <w:rsid w:val="008862E0"/>
    <w:rsid w:val="00887821"/>
    <w:rsid w:val="00887A9A"/>
    <w:rsid w:val="00887B9C"/>
    <w:rsid w:val="00887D35"/>
    <w:rsid w:val="00891975"/>
    <w:rsid w:val="00891E1D"/>
    <w:rsid w:val="00891E62"/>
    <w:rsid w:val="00891F7F"/>
    <w:rsid w:val="008927E8"/>
    <w:rsid w:val="00892D02"/>
    <w:rsid w:val="00892E04"/>
    <w:rsid w:val="0089324D"/>
    <w:rsid w:val="00893892"/>
    <w:rsid w:val="00893D31"/>
    <w:rsid w:val="00894C87"/>
    <w:rsid w:val="00894DE8"/>
    <w:rsid w:val="00895D7E"/>
    <w:rsid w:val="0089683D"/>
    <w:rsid w:val="008968CF"/>
    <w:rsid w:val="00896E8D"/>
    <w:rsid w:val="00897289"/>
    <w:rsid w:val="00897BF1"/>
    <w:rsid w:val="00897DD4"/>
    <w:rsid w:val="008A137C"/>
    <w:rsid w:val="008A26B3"/>
    <w:rsid w:val="008A2B1A"/>
    <w:rsid w:val="008A2DA3"/>
    <w:rsid w:val="008A3023"/>
    <w:rsid w:val="008A33B1"/>
    <w:rsid w:val="008A36CF"/>
    <w:rsid w:val="008A5C31"/>
    <w:rsid w:val="008A63D7"/>
    <w:rsid w:val="008A6DA8"/>
    <w:rsid w:val="008B0F3C"/>
    <w:rsid w:val="008B178D"/>
    <w:rsid w:val="008B1800"/>
    <w:rsid w:val="008B1AD7"/>
    <w:rsid w:val="008B1F3A"/>
    <w:rsid w:val="008B205D"/>
    <w:rsid w:val="008B2534"/>
    <w:rsid w:val="008B2575"/>
    <w:rsid w:val="008B25CF"/>
    <w:rsid w:val="008B2BC7"/>
    <w:rsid w:val="008B2D61"/>
    <w:rsid w:val="008B3735"/>
    <w:rsid w:val="008B3FE6"/>
    <w:rsid w:val="008B5586"/>
    <w:rsid w:val="008B5686"/>
    <w:rsid w:val="008B5D27"/>
    <w:rsid w:val="008B68E7"/>
    <w:rsid w:val="008B6C87"/>
    <w:rsid w:val="008B6D46"/>
    <w:rsid w:val="008B702E"/>
    <w:rsid w:val="008B73C3"/>
    <w:rsid w:val="008B7A1E"/>
    <w:rsid w:val="008C01F9"/>
    <w:rsid w:val="008C0EBA"/>
    <w:rsid w:val="008C0F6E"/>
    <w:rsid w:val="008C117F"/>
    <w:rsid w:val="008C11D0"/>
    <w:rsid w:val="008C1FDA"/>
    <w:rsid w:val="008C2C2C"/>
    <w:rsid w:val="008C381D"/>
    <w:rsid w:val="008C4081"/>
    <w:rsid w:val="008C533F"/>
    <w:rsid w:val="008C63EF"/>
    <w:rsid w:val="008C64A6"/>
    <w:rsid w:val="008C6781"/>
    <w:rsid w:val="008C6E01"/>
    <w:rsid w:val="008C76D0"/>
    <w:rsid w:val="008C7E5F"/>
    <w:rsid w:val="008D0806"/>
    <w:rsid w:val="008D1552"/>
    <w:rsid w:val="008D1EB3"/>
    <w:rsid w:val="008D2A79"/>
    <w:rsid w:val="008D2E02"/>
    <w:rsid w:val="008D3C32"/>
    <w:rsid w:val="008D4594"/>
    <w:rsid w:val="008D54E3"/>
    <w:rsid w:val="008D5A4A"/>
    <w:rsid w:val="008D61EE"/>
    <w:rsid w:val="008D72F1"/>
    <w:rsid w:val="008E0342"/>
    <w:rsid w:val="008E1667"/>
    <w:rsid w:val="008E1991"/>
    <w:rsid w:val="008E1A52"/>
    <w:rsid w:val="008E2A5D"/>
    <w:rsid w:val="008E2AFA"/>
    <w:rsid w:val="008E3574"/>
    <w:rsid w:val="008E3589"/>
    <w:rsid w:val="008E380B"/>
    <w:rsid w:val="008E383C"/>
    <w:rsid w:val="008E5134"/>
    <w:rsid w:val="008E67CA"/>
    <w:rsid w:val="008E7940"/>
    <w:rsid w:val="008E7F9D"/>
    <w:rsid w:val="008F0293"/>
    <w:rsid w:val="008F256B"/>
    <w:rsid w:val="008F2684"/>
    <w:rsid w:val="008F3BB2"/>
    <w:rsid w:val="008F441E"/>
    <w:rsid w:val="008F4866"/>
    <w:rsid w:val="008F4912"/>
    <w:rsid w:val="008F4A2A"/>
    <w:rsid w:val="008F538B"/>
    <w:rsid w:val="008F597E"/>
    <w:rsid w:val="008F5BEC"/>
    <w:rsid w:val="008F6211"/>
    <w:rsid w:val="008F709B"/>
    <w:rsid w:val="008F7E22"/>
    <w:rsid w:val="009008B7"/>
    <w:rsid w:val="009009C1"/>
    <w:rsid w:val="00902FB2"/>
    <w:rsid w:val="00903E08"/>
    <w:rsid w:val="0090487B"/>
    <w:rsid w:val="00904BB5"/>
    <w:rsid w:val="00905548"/>
    <w:rsid w:val="00905D04"/>
    <w:rsid w:val="0090674A"/>
    <w:rsid w:val="009072BC"/>
    <w:rsid w:val="00907D16"/>
    <w:rsid w:val="00910BBC"/>
    <w:rsid w:val="00910EAC"/>
    <w:rsid w:val="00912219"/>
    <w:rsid w:val="00912864"/>
    <w:rsid w:val="00913134"/>
    <w:rsid w:val="009133EB"/>
    <w:rsid w:val="0091371E"/>
    <w:rsid w:val="00914847"/>
    <w:rsid w:val="0091499B"/>
    <w:rsid w:val="00914D80"/>
    <w:rsid w:val="00915149"/>
    <w:rsid w:val="0091517B"/>
    <w:rsid w:val="009169F8"/>
    <w:rsid w:val="00917957"/>
    <w:rsid w:val="0092083E"/>
    <w:rsid w:val="009209C9"/>
    <w:rsid w:val="00920B36"/>
    <w:rsid w:val="00921F2B"/>
    <w:rsid w:val="00922058"/>
    <w:rsid w:val="0092283F"/>
    <w:rsid w:val="00923638"/>
    <w:rsid w:val="009244EE"/>
    <w:rsid w:val="00924DF4"/>
    <w:rsid w:val="00924F84"/>
    <w:rsid w:val="00925095"/>
    <w:rsid w:val="009252BA"/>
    <w:rsid w:val="009261D9"/>
    <w:rsid w:val="00926677"/>
    <w:rsid w:val="00926A42"/>
    <w:rsid w:val="0092728E"/>
    <w:rsid w:val="009278CE"/>
    <w:rsid w:val="00931776"/>
    <w:rsid w:val="00932FB6"/>
    <w:rsid w:val="0093374B"/>
    <w:rsid w:val="00934DB6"/>
    <w:rsid w:val="00935041"/>
    <w:rsid w:val="00935928"/>
    <w:rsid w:val="00936631"/>
    <w:rsid w:val="00936BB4"/>
    <w:rsid w:val="00936C0A"/>
    <w:rsid w:val="00936CB6"/>
    <w:rsid w:val="00936CBC"/>
    <w:rsid w:val="009371B3"/>
    <w:rsid w:val="00937735"/>
    <w:rsid w:val="00937D44"/>
    <w:rsid w:val="009409A1"/>
    <w:rsid w:val="00941234"/>
    <w:rsid w:val="00942B10"/>
    <w:rsid w:val="00943A78"/>
    <w:rsid w:val="00943E32"/>
    <w:rsid w:val="00944306"/>
    <w:rsid w:val="00944AB3"/>
    <w:rsid w:val="0094523F"/>
    <w:rsid w:val="00947409"/>
    <w:rsid w:val="00950609"/>
    <w:rsid w:val="00950839"/>
    <w:rsid w:val="0095177C"/>
    <w:rsid w:val="0095209D"/>
    <w:rsid w:val="0095279F"/>
    <w:rsid w:val="009535E3"/>
    <w:rsid w:val="00953602"/>
    <w:rsid w:val="00953D19"/>
    <w:rsid w:val="009545A3"/>
    <w:rsid w:val="009551F2"/>
    <w:rsid w:val="00955245"/>
    <w:rsid w:val="00955846"/>
    <w:rsid w:val="00957370"/>
    <w:rsid w:val="009573CA"/>
    <w:rsid w:val="00957F15"/>
    <w:rsid w:val="00957F30"/>
    <w:rsid w:val="00960C07"/>
    <w:rsid w:val="00960C10"/>
    <w:rsid w:val="00960DD2"/>
    <w:rsid w:val="0096141F"/>
    <w:rsid w:val="0096270A"/>
    <w:rsid w:val="00963072"/>
    <w:rsid w:val="0096341C"/>
    <w:rsid w:val="00963D08"/>
    <w:rsid w:val="00964554"/>
    <w:rsid w:val="00964ADF"/>
    <w:rsid w:val="009659EC"/>
    <w:rsid w:val="009661BD"/>
    <w:rsid w:val="00966AD6"/>
    <w:rsid w:val="00967234"/>
    <w:rsid w:val="00967279"/>
    <w:rsid w:val="00967580"/>
    <w:rsid w:val="0096766C"/>
    <w:rsid w:val="00970BAB"/>
    <w:rsid w:val="0097131F"/>
    <w:rsid w:val="00972EA4"/>
    <w:rsid w:val="00972EB8"/>
    <w:rsid w:val="00973172"/>
    <w:rsid w:val="00973FA3"/>
    <w:rsid w:val="00974361"/>
    <w:rsid w:val="009743F4"/>
    <w:rsid w:val="00975653"/>
    <w:rsid w:val="0097618F"/>
    <w:rsid w:val="00976475"/>
    <w:rsid w:val="0097722D"/>
    <w:rsid w:val="009816B2"/>
    <w:rsid w:val="0098170D"/>
    <w:rsid w:val="009826DC"/>
    <w:rsid w:val="00982FAC"/>
    <w:rsid w:val="00983247"/>
    <w:rsid w:val="009834A0"/>
    <w:rsid w:val="0098365F"/>
    <w:rsid w:val="00983E39"/>
    <w:rsid w:val="009845C6"/>
    <w:rsid w:val="009858CF"/>
    <w:rsid w:val="00985D19"/>
    <w:rsid w:val="00986FC9"/>
    <w:rsid w:val="0099020D"/>
    <w:rsid w:val="0099073D"/>
    <w:rsid w:val="009918D3"/>
    <w:rsid w:val="00992DBB"/>
    <w:rsid w:val="00994ACD"/>
    <w:rsid w:val="00996B94"/>
    <w:rsid w:val="009A01F5"/>
    <w:rsid w:val="009A035D"/>
    <w:rsid w:val="009A06E4"/>
    <w:rsid w:val="009A0B64"/>
    <w:rsid w:val="009A0DE5"/>
    <w:rsid w:val="009A0F46"/>
    <w:rsid w:val="009A1B5D"/>
    <w:rsid w:val="009A21DA"/>
    <w:rsid w:val="009A2740"/>
    <w:rsid w:val="009A2840"/>
    <w:rsid w:val="009A289D"/>
    <w:rsid w:val="009A3A3A"/>
    <w:rsid w:val="009A3CD9"/>
    <w:rsid w:val="009A4249"/>
    <w:rsid w:val="009A4649"/>
    <w:rsid w:val="009A47DB"/>
    <w:rsid w:val="009A511B"/>
    <w:rsid w:val="009A6307"/>
    <w:rsid w:val="009A63F9"/>
    <w:rsid w:val="009A6AA5"/>
    <w:rsid w:val="009A7892"/>
    <w:rsid w:val="009B1C49"/>
    <w:rsid w:val="009B48CA"/>
    <w:rsid w:val="009B48E8"/>
    <w:rsid w:val="009B49D6"/>
    <w:rsid w:val="009B5626"/>
    <w:rsid w:val="009C0968"/>
    <w:rsid w:val="009C0CFC"/>
    <w:rsid w:val="009C0D4F"/>
    <w:rsid w:val="009C11B4"/>
    <w:rsid w:val="009C15E8"/>
    <w:rsid w:val="009C1697"/>
    <w:rsid w:val="009C1E8C"/>
    <w:rsid w:val="009C2D54"/>
    <w:rsid w:val="009C36B6"/>
    <w:rsid w:val="009C3E5F"/>
    <w:rsid w:val="009C3EAB"/>
    <w:rsid w:val="009C4E42"/>
    <w:rsid w:val="009C4FA9"/>
    <w:rsid w:val="009C52E2"/>
    <w:rsid w:val="009C5487"/>
    <w:rsid w:val="009C54D9"/>
    <w:rsid w:val="009C6400"/>
    <w:rsid w:val="009C6662"/>
    <w:rsid w:val="009C6E84"/>
    <w:rsid w:val="009D0490"/>
    <w:rsid w:val="009D0A06"/>
    <w:rsid w:val="009D0B1E"/>
    <w:rsid w:val="009D153F"/>
    <w:rsid w:val="009D337F"/>
    <w:rsid w:val="009D3484"/>
    <w:rsid w:val="009D3685"/>
    <w:rsid w:val="009D3735"/>
    <w:rsid w:val="009D4BA6"/>
    <w:rsid w:val="009D4DF1"/>
    <w:rsid w:val="009D6199"/>
    <w:rsid w:val="009D738D"/>
    <w:rsid w:val="009D73C4"/>
    <w:rsid w:val="009D7594"/>
    <w:rsid w:val="009D7C10"/>
    <w:rsid w:val="009E10CA"/>
    <w:rsid w:val="009E392C"/>
    <w:rsid w:val="009E4CF7"/>
    <w:rsid w:val="009E5195"/>
    <w:rsid w:val="009E5DBB"/>
    <w:rsid w:val="009E6BEA"/>
    <w:rsid w:val="009E6CB3"/>
    <w:rsid w:val="009E7509"/>
    <w:rsid w:val="009E7955"/>
    <w:rsid w:val="009E7DEA"/>
    <w:rsid w:val="009F0646"/>
    <w:rsid w:val="009F1492"/>
    <w:rsid w:val="009F2548"/>
    <w:rsid w:val="009F27D9"/>
    <w:rsid w:val="009F325C"/>
    <w:rsid w:val="009F3529"/>
    <w:rsid w:val="009F3A7D"/>
    <w:rsid w:val="009F4AF9"/>
    <w:rsid w:val="009F4D04"/>
    <w:rsid w:val="009F56F4"/>
    <w:rsid w:val="009F5E18"/>
    <w:rsid w:val="009F62C5"/>
    <w:rsid w:val="009F63A0"/>
    <w:rsid w:val="009F649C"/>
    <w:rsid w:val="009F68C7"/>
    <w:rsid w:val="009F6ADC"/>
    <w:rsid w:val="009F709D"/>
    <w:rsid w:val="009F754B"/>
    <w:rsid w:val="00A006D8"/>
    <w:rsid w:val="00A00E28"/>
    <w:rsid w:val="00A00E8E"/>
    <w:rsid w:val="00A016DA"/>
    <w:rsid w:val="00A018DB"/>
    <w:rsid w:val="00A02130"/>
    <w:rsid w:val="00A025A0"/>
    <w:rsid w:val="00A02DBB"/>
    <w:rsid w:val="00A03175"/>
    <w:rsid w:val="00A0470C"/>
    <w:rsid w:val="00A0493F"/>
    <w:rsid w:val="00A051A8"/>
    <w:rsid w:val="00A05868"/>
    <w:rsid w:val="00A0681D"/>
    <w:rsid w:val="00A068C9"/>
    <w:rsid w:val="00A069B5"/>
    <w:rsid w:val="00A075BF"/>
    <w:rsid w:val="00A10033"/>
    <w:rsid w:val="00A10C65"/>
    <w:rsid w:val="00A11475"/>
    <w:rsid w:val="00A11B6F"/>
    <w:rsid w:val="00A11FDC"/>
    <w:rsid w:val="00A12735"/>
    <w:rsid w:val="00A14342"/>
    <w:rsid w:val="00A149BB"/>
    <w:rsid w:val="00A152AD"/>
    <w:rsid w:val="00A16121"/>
    <w:rsid w:val="00A16CB8"/>
    <w:rsid w:val="00A1721E"/>
    <w:rsid w:val="00A17868"/>
    <w:rsid w:val="00A17A96"/>
    <w:rsid w:val="00A17C12"/>
    <w:rsid w:val="00A203AE"/>
    <w:rsid w:val="00A20E47"/>
    <w:rsid w:val="00A21658"/>
    <w:rsid w:val="00A21DDC"/>
    <w:rsid w:val="00A221B0"/>
    <w:rsid w:val="00A225A5"/>
    <w:rsid w:val="00A22616"/>
    <w:rsid w:val="00A23979"/>
    <w:rsid w:val="00A23B7E"/>
    <w:rsid w:val="00A2422B"/>
    <w:rsid w:val="00A24622"/>
    <w:rsid w:val="00A247B9"/>
    <w:rsid w:val="00A247F6"/>
    <w:rsid w:val="00A24BD8"/>
    <w:rsid w:val="00A24DA0"/>
    <w:rsid w:val="00A2511D"/>
    <w:rsid w:val="00A27303"/>
    <w:rsid w:val="00A27629"/>
    <w:rsid w:val="00A300A6"/>
    <w:rsid w:val="00A30524"/>
    <w:rsid w:val="00A319DE"/>
    <w:rsid w:val="00A31B3C"/>
    <w:rsid w:val="00A3432E"/>
    <w:rsid w:val="00A3510D"/>
    <w:rsid w:val="00A35C15"/>
    <w:rsid w:val="00A36E32"/>
    <w:rsid w:val="00A37E36"/>
    <w:rsid w:val="00A40023"/>
    <w:rsid w:val="00A40877"/>
    <w:rsid w:val="00A41403"/>
    <w:rsid w:val="00A42D20"/>
    <w:rsid w:val="00A44207"/>
    <w:rsid w:val="00A444E7"/>
    <w:rsid w:val="00A44AB0"/>
    <w:rsid w:val="00A45429"/>
    <w:rsid w:val="00A4581E"/>
    <w:rsid w:val="00A460CD"/>
    <w:rsid w:val="00A46C1C"/>
    <w:rsid w:val="00A47C7E"/>
    <w:rsid w:val="00A503EA"/>
    <w:rsid w:val="00A509A7"/>
    <w:rsid w:val="00A50BCF"/>
    <w:rsid w:val="00A50D1E"/>
    <w:rsid w:val="00A50E95"/>
    <w:rsid w:val="00A5133A"/>
    <w:rsid w:val="00A51898"/>
    <w:rsid w:val="00A526C6"/>
    <w:rsid w:val="00A5434E"/>
    <w:rsid w:val="00A5475B"/>
    <w:rsid w:val="00A54A27"/>
    <w:rsid w:val="00A54A39"/>
    <w:rsid w:val="00A54A3F"/>
    <w:rsid w:val="00A550D5"/>
    <w:rsid w:val="00A55169"/>
    <w:rsid w:val="00A551DD"/>
    <w:rsid w:val="00A553D2"/>
    <w:rsid w:val="00A5594B"/>
    <w:rsid w:val="00A55ACC"/>
    <w:rsid w:val="00A56399"/>
    <w:rsid w:val="00A5672F"/>
    <w:rsid w:val="00A567D4"/>
    <w:rsid w:val="00A56AB9"/>
    <w:rsid w:val="00A57246"/>
    <w:rsid w:val="00A57DFA"/>
    <w:rsid w:val="00A60F0B"/>
    <w:rsid w:val="00A61BB0"/>
    <w:rsid w:val="00A627BD"/>
    <w:rsid w:val="00A62CAB"/>
    <w:rsid w:val="00A631C3"/>
    <w:rsid w:val="00A6371C"/>
    <w:rsid w:val="00A63EED"/>
    <w:rsid w:val="00A642B4"/>
    <w:rsid w:val="00A64FBC"/>
    <w:rsid w:val="00A66F40"/>
    <w:rsid w:val="00A66FF4"/>
    <w:rsid w:val="00A67789"/>
    <w:rsid w:val="00A6791D"/>
    <w:rsid w:val="00A7027F"/>
    <w:rsid w:val="00A7249D"/>
    <w:rsid w:val="00A72AB3"/>
    <w:rsid w:val="00A734C0"/>
    <w:rsid w:val="00A74A1B"/>
    <w:rsid w:val="00A76276"/>
    <w:rsid w:val="00A806F1"/>
    <w:rsid w:val="00A80BB5"/>
    <w:rsid w:val="00A818A9"/>
    <w:rsid w:val="00A81D07"/>
    <w:rsid w:val="00A82CBC"/>
    <w:rsid w:val="00A83204"/>
    <w:rsid w:val="00A836BE"/>
    <w:rsid w:val="00A83CD9"/>
    <w:rsid w:val="00A83FB5"/>
    <w:rsid w:val="00A8443F"/>
    <w:rsid w:val="00A847E6"/>
    <w:rsid w:val="00A8496C"/>
    <w:rsid w:val="00A87CC2"/>
    <w:rsid w:val="00A9060A"/>
    <w:rsid w:val="00A90A0A"/>
    <w:rsid w:val="00A91447"/>
    <w:rsid w:val="00A91456"/>
    <w:rsid w:val="00A92265"/>
    <w:rsid w:val="00A92624"/>
    <w:rsid w:val="00A92A2B"/>
    <w:rsid w:val="00A92B1A"/>
    <w:rsid w:val="00A946B4"/>
    <w:rsid w:val="00A95799"/>
    <w:rsid w:val="00A95B04"/>
    <w:rsid w:val="00A96117"/>
    <w:rsid w:val="00A96296"/>
    <w:rsid w:val="00A963FA"/>
    <w:rsid w:val="00A964D5"/>
    <w:rsid w:val="00A96540"/>
    <w:rsid w:val="00AA041B"/>
    <w:rsid w:val="00AA08E1"/>
    <w:rsid w:val="00AA1D75"/>
    <w:rsid w:val="00AA2097"/>
    <w:rsid w:val="00AA24AF"/>
    <w:rsid w:val="00AA3CEF"/>
    <w:rsid w:val="00AA436D"/>
    <w:rsid w:val="00AA6111"/>
    <w:rsid w:val="00AA73CD"/>
    <w:rsid w:val="00AA79E3"/>
    <w:rsid w:val="00AB0938"/>
    <w:rsid w:val="00AB1AC2"/>
    <w:rsid w:val="00AB1DEF"/>
    <w:rsid w:val="00AB2333"/>
    <w:rsid w:val="00AB28F6"/>
    <w:rsid w:val="00AB2F0D"/>
    <w:rsid w:val="00AB31D2"/>
    <w:rsid w:val="00AB4076"/>
    <w:rsid w:val="00AB465D"/>
    <w:rsid w:val="00AB4822"/>
    <w:rsid w:val="00AB4BDC"/>
    <w:rsid w:val="00AB5520"/>
    <w:rsid w:val="00AB58AE"/>
    <w:rsid w:val="00AB5931"/>
    <w:rsid w:val="00AB6D47"/>
    <w:rsid w:val="00AB74B3"/>
    <w:rsid w:val="00AC06DC"/>
    <w:rsid w:val="00AC1A3C"/>
    <w:rsid w:val="00AC37FA"/>
    <w:rsid w:val="00AC4026"/>
    <w:rsid w:val="00AC4072"/>
    <w:rsid w:val="00AC4288"/>
    <w:rsid w:val="00AC48E4"/>
    <w:rsid w:val="00AC64B2"/>
    <w:rsid w:val="00AC7193"/>
    <w:rsid w:val="00AC7A65"/>
    <w:rsid w:val="00AC7F97"/>
    <w:rsid w:val="00AD0EC4"/>
    <w:rsid w:val="00AD172B"/>
    <w:rsid w:val="00AD2572"/>
    <w:rsid w:val="00AD2733"/>
    <w:rsid w:val="00AD2776"/>
    <w:rsid w:val="00AD2858"/>
    <w:rsid w:val="00AD2A4A"/>
    <w:rsid w:val="00AD39CE"/>
    <w:rsid w:val="00AD3A72"/>
    <w:rsid w:val="00AD4185"/>
    <w:rsid w:val="00AD433F"/>
    <w:rsid w:val="00AD4F47"/>
    <w:rsid w:val="00AD6508"/>
    <w:rsid w:val="00AD68EF"/>
    <w:rsid w:val="00AD69F5"/>
    <w:rsid w:val="00AE0214"/>
    <w:rsid w:val="00AE0389"/>
    <w:rsid w:val="00AE0BB2"/>
    <w:rsid w:val="00AE10F5"/>
    <w:rsid w:val="00AE11DC"/>
    <w:rsid w:val="00AE14B2"/>
    <w:rsid w:val="00AE268E"/>
    <w:rsid w:val="00AE4988"/>
    <w:rsid w:val="00AE4C00"/>
    <w:rsid w:val="00AE5883"/>
    <w:rsid w:val="00AE5B8E"/>
    <w:rsid w:val="00AE69EE"/>
    <w:rsid w:val="00AE6D5F"/>
    <w:rsid w:val="00AE6E7D"/>
    <w:rsid w:val="00AE778D"/>
    <w:rsid w:val="00AE7C3D"/>
    <w:rsid w:val="00AE7C8F"/>
    <w:rsid w:val="00AE7FF1"/>
    <w:rsid w:val="00AF03C1"/>
    <w:rsid w:val="00AF0674"/>
    <w:rsid w:val="00AF0818"/>
    <w:rsid w:val="00AF0B79"/>
    <w:rsid w:val="00AF111A"/>
    <w:rsid w:val="00AF14FB"/>
    <w:rsid w:val="00AF1D77"/>
    <w:rsid w:val="00AF2467"/>
    <w:rsid w:val="00AF4074"/>
    <w:rsid w:val="00AF56EE"/>
    <w:rsid w:val="00AF5981"/>
    <w:rsid w:val="00AF6545"/>
    <w:rsid w:val="00AF769E"/>
    <w:rsid w:val="00B0006C"/>
    <w:rsid w:val="00B000EB"/>
    <w:rsid w:val="00B00105"/>
    <w:rsid w:val="00B00279"/>
    <w:rsid w:val="00B00707"/>
    <w:rsid w:val="00B00805"/>
    <w:rsid w:val="00B012A6"/>
    <w:rsid w:val="00B01965"/>
    <w:rsid w:val="00B01FA7"/>
    <w:rsid w:val="00B030E7"/>
    <w:rsid w:val="00B03765"/>
    <w:rsid w:val="00B037E1"/>
    <w:rsid w:val="00B0399B"/>
    <w:rsid w:val="00B039EC"/>
    <w:rsid w:val="00B048D3"/>
    <w:rsid w:val="00B04DDE"/>
    <w:rsid w:val="00B04F96"/>
    <w:rsid w:val="00B055AD"/>
    <w:rsid w:val="00B0607B"/>
    <w:rsid w:val="00B10DF2"/>
    <w:rsid w:val="00B110F5"/>
    <w:rsid w:val="00B12355"/>
    <w:rsid w:val="00B12B95"/>
    <w:rsid w:val="00B133B6"/>
    <w:rsid w:val="00B1348D"/>
    <w:rsid w:val="00B13E03"/>
    <w:rsid w:val="00B13E92"/>
    <w:rsid w:val="00B146D5"/>
    <w:rsid w:val="00B1504F"/>
    <w:rsid w:val="00B15653"/>
    <w:rsid w:val="00B1588A"/>
    <w:rsid w:val="00B15980"/>
    <w:rsid w:val="00B1623C"/>
    <w:rsid w:val="00B1737E"/>
    <w:rsid w:val="00B201C0"/>
    <w:rsid w:val="00B23419"/>
    <w:rsid w:val="00B236E8"/>
    <w:rsid w:val="00B239A9"/>
    <w:rsid w:val="00B23F62"/>
    <w:rsid w:val="00B24055"/>
    <w:rsid w:val="00B24A45"/>
    <w:rsid w:val="00B24AD1"/>
    <w:rsid w:val="00B24B34"/>
    <w:rsid w:val="00B253A6"/>
    <w:rsid w:val="00B256A7"/>
    <w:rsid w:val="00B263D3"/>
    <w:rsid w:val="00B27668"/>
    <w:rsid w:val="00B278A8"/>
    <w:rsid w:val="00B27FED"/>
    <w:rsid w:val="00B3005F"/>
    <w:rsid w:val="00B302B9"/>
    <w:rsid w:val="00B319AA"/>
    <w:rsid w:val="00B3275A"/>
    <w:rsid w:val="00B33693"/>
    <w:rsid w:val="00B33D0B"/>
    <w:rsid w:val="00B340EF"/>
    <w:rsid w:val="00B34998"/>
    <w:rsid w:val="00B34F1B"/>
    <w:rsid w:val="00B36563"/>
    <w:rsid w:val="00B37695"/>
    <w:rsid w:val="00B3776B"/>
    <w:rsid w:val="00B37A99"/>
    <w:rsid w:val="00B404DD"/>
    <w:rsid w:val="00B4119E"/>
    <w:rsid w:val="00B427BD"/>
    <w:rsid w:val="00B42D82"/>
    <w:rsid w:val="00B433CD"/>
    <w:rsid w:val="00B434F7"/>
    <w:rsid w:val="00B43D3F"/>
    <w:rsid w:val="00B44D07"/>
    <w:rsid w:val="00B455BE"/>
    <w:rsid w:val="00B46571"/>
    <w:rsid w:val="00B46CD3"/>
    <w:rsid w:val="00B4727B"/>
    <w:rsid w:val="00B474FC"/>
    <w:rsid w:val="00B476A4"/>
    <w:rsid w:val="00B50A08"/>
    <w:rsid w:val="00B50AFD"/>
    <w:rsid w:val="00B5196E"/>
    <w:rsid w:val="00B529DE"/>
    <w:rsid w:val="00B535B9"/>
    <w:rsid w:val="00B53D68"/>
    <w:rsid w:val="00B54A08"/>
    <w:rsid w:val="00B54C29"/>
    <w:rsid w:val="00B54EA2"/>
    <w:rsid w:val="00B569AA"/>
    <w:rsid w:val="00B57120"/>
    <w:rsid w:val="00B579E9"/>
    <w:rsid w:val="00B57B4C"/>
    <w:rsid w:val="00B57E30"/>
    <w:rsid w:val="00B6076F"/>
    <w:rsid w:val="00B613F2"/>
    <w:rsid w:val="00B6176C"/>
    <w:rsid w:val="00B626EA"/>
    <w:rsid w:val="00B62720"/>
    <w:rsid w:val="00B62875"/>
    <w:rsid w:val="00B62E51"/>
    <w:rsid w:val="00B62F42"/>
    <w:rsid w:val="00B62FB9"/>
    <w:rsid w:val="00B63128"/>
    <w:rsid w:val="00B646A5"/>
    <w:rsid w:val="00B64E05"/>
    <w:rsid w:val="00B64F92"/>
    <w:rsid w:val="00B665B8"/>
    <w:rsid w:val="00B667A7"/>
    <w:rsid w:val="00B702B1"/>
    <w:rsid w:val="00B70C16"/>
    <w:rsid w:val="00B71FFF"/>
    <w:rsid w:val="00B72D45"/>
    <w:rsid w:val="00B73273"/>
    <w:rsid w:val="00B7541E"/>
    <w:rsid w:val="00B7615C"/>
    <w:rsid w:val="00B767F5"/>
    <w:rsid w:val="00B7680F"/>
    <w:rsid w:val="00B8047F"/>
    <w:rsid w:val="00B80D65"/>
    <w:rsid w:val="00B812CC"/>
    <w:rsid w:val="00B816F4"/>
    <w:rsid w:val="00B819B9"/>
    <w:rsid w:val="00B82860"/>
    <w:rsid w:val="00B82A64"/>
    <w:rsid w:val="00B82E71"/>
    <w:rsid w:val="00B83E21"/>
    <w:rsid w:val="00B8411E"/>
    <w:rsid w:val="00B84427"/>
    <w:rsid w:val="00B85BE3"/>
    <w:rsid w:val="00B86086"/>
    <w:rsid w:val="00B86626"/>
    <w:rsid w:val="00B86B2F"/>
    <w:rsid w:val="00B90A1F"/>
    <w:rsid w:val="00B90EA1"/>
    <w:rsid w:val="00B91436"/>
    <w:rsid w:val="00B921E7"/>
    <w:rsid w:val="00B92943"/>
    <w:rsid w:val="00B92E2F"/>
    <w:rsid w:val="00B9354F"/>
    <w:rsid w:val="00B94979"/>
    <w:rsid w:val="00B96A6E"/>
    <w:rsid w:val="00B9755C"/>
    <w:rsid w:val="00BA01EE"/>
    <w:rsid w:val="00BA147B"/>
    <w:rsid w:val="00BA3A5C"/>
    <w:rsid w:val="00BA4BEA"/>
    <w:rsid w:val="00BA4E0A"/>
    <w:rsid w:val="00BA6950"/>
    <w:rsid w:val="00BA6D7C"/>
    <w:rsid w:val="00BA762E"/>
    <w:rsid w:val="00BA7D7B"/>
    <w:rsid w:val="00BB090D"/>
    <w:rsid w:val="00BB0EEF"/>
    <w:rsid w:val="00BB0FAE"/>
    <w:rsid w:val="00BB1914"/>
    <w:rsid w:val="00BB2294"/>
    <w:rsid w:val="00BB29A9"/>
    <w:rsid w:val="00BB3C2D"/>
    <w:rsid w:val="00BB714A"/>
    <w:rsid w:val="00BC1037"/>
    <w:rsid w:val="00BC2587"/>
    <w:rsid w:val="00BC26EC"/>
    <w:rsid w:val="00BC2CD0"/>
    <w:rsid w:val="00BC365C"/>
    <w:rsid w:val="00BC3E53"/>
    <w:rsid w:val="00BC4C4D"/>
    <w:rsid w:val="00BC4DAF"/>
    <w:rsid w:val="00BC5005"/>
    <w:rsid w:val="00BC6022"/>
    <w:rsid w:val="00BC67D3"/>
    <w:rsid w:val="00BD0F15"/>
    <w:rsid w:val="00BD2047"/>
    <w:rsid w:val="00BD216D"/>
    <w:rsid w:val="00BD2506"/>
    <w:rsid w:val="00BD477B"/>
    <w:rsid w:val="00BD488C"/>
    <w:rsid w:val="00BD4CB9"/>
    <w:rsid w:val="00BD4E3B"/>
    <w:rsid w:val="00BD73E6"/>
    <w:rsid w:val="00BD7FAE"/>
    <w:rsid w:val="00BE006C"/>
    <w:rsid w:val="00BE09C8"/>
    <w:rsid w:val="00BE0A92"/>
    <w:rsid w:val="00BE103F"/>
    <w:rsid w:val="00BE1850"/>
    <w:rsid w:val="00BE1B6C"/>
    <w:rsid w:val="00BE2C25"/>
    <w:rsid w:val="00BE2CAA"/>
    <w:rsid w:val="00BE2D02"/>
    <w:rsid w:val="00BE2E37"/>
    <w:rsid w:val="00BE3060"/>
    <w:rsid w:val="00BE336E"/>
    <w:rsid w:val="00BE342F"/>
    <w:rsid w:val="00BE3984"/>
    <w:rsid w:val="00BE3B57"/>
    <w:rsid w:val="00BE51D8"/>
    <w:rsid w:val="00BE5F8D"/>
    <w:rsid w:val="00BE6FB7"/>
    <w:rsid w:val="00BF1043"/>
    <w:rsid w:val="00BF10B3"/>
    <w:rsid w:val="00BF1635"/>
    <w:rsid w:val="00BF253B"/>
    <w:rsid w:val="00BF2B9A"/>
    <w:rsid w:val="00BF2C07"/>
    <w:rsid w:val="00BF2C4C"/>
    <w:rsid w:val="00BF39D4"/>
    <w:rsid w:val="00BF3E1B"/>
    <w:rsid w:val="00BF4F6E"/>
    <w:rsid w:val="00BF52D6"/>
    <w:rsid w:val="00BF597A"/>
    <w:rsid w:val="00BF6210"/>
    <w:rsid w:val="00BF7044"/>
    <w:rsid w:val="00BF7202"/>
    <w:rsid w:val="00C00DD2"/>
    <w:rsid w:val="00C014A5"/>
    <w:rsid w:val="00C02164"/>
    <w:rsid w:val="00C02B6B"/>
    <w:rsid w:val="00C034FE"/>
    <w:rsid w:val="00C045DE"/>
    <w:rsid w:val="00C04D6C"/>
    <w:rsid w:val="00C04F94"/>
    <w:rsid w:val="00C069B4"/>
    <w:rsid w:val="00C07435"/>
    <w:rsid w:val="00C076D1"/>
    <w:rsid w:val="00C11103"/>
    <w:rsid w:val="00C116F0"/>
    <w:rsid w:val="00C117C5"/>
    <w:rsid w:val="00C11EE2"/>
    <w:rsid w:val="00C13F6C"/>
    <w:rsid w:val="00C161B7"/>
    <w:rsid w:val="00C17880"/>
    <w:rsid w:val="00C17BB0"/>
    <w:rsid w:val="00C17D29"/>
    <w:rsid w:val="00C2011C"/>
    <w:rsid w:val="00C205D4"/>
    <w:rsid w:val="00C22E28"/>
    <w:rsid w:val="00C2366F"/>
    <w:rsid w:val="00C244DE"/>
    <w:rsid w:val="00C2587B"/>
    <w:rsid w:val="00C25DF8"/>
    <w:rsid w:val="00C26A67"/>
    <w:rsid w:val="00C27C89"/>
    <w:rsid w:val="00C27CBC"/>
    <w:rsid w:val="00C27E35"/>
    <w:rsid w:val="00C30119"/>
    <w:rsid w:val="00C3052F"/>
    <w:rsid w:val="00C31E6E"/>
    <w:rsid w:val="00C332B3"/>
    <w:rsid w:val="00C33C90"/>
    <w:rsid w:val="00C34804"/>
    <w:rsid w:val="00C357E6"/>
    <w:rsid w:val="00C36090"/>
    <w:rsid w:val="00C368E7"/>
    <w:rsid w:val="00C36AAB"/>
    <w:rsid w:val="00C36D89"/>
    <w:rsid w:val="00C37103"/>
    <w:rsid w:val="00C37D3E"/>
    <w:rsid w:val="00C407E5"/>
    <w:rsid w:val="00C40BC7"/>
    <w:rsid w:val="00C40FBE"/>
    <w:rsid w:val="00C41A04"/>
    <w:rsid w:val="00C433EE"/>
    <w:rsid w:val="00C43CCF"/>
    <w:rsid w:val="00C43F7E"/>
    <w:rsid w:val="00C44CAE"/>
    <w:rsid w:val="00C44D29"/>
    <w:rsid w:val="00C46508"/>
    <w:rsid w:val="00C47162"/>
    <w:rsid w:val="00C47C92"/>
    <w:rsid w:val="00C47DB5"/>
    <w:rsid w:val="00C507CD"/>
    <w:rsid w:val="00C50C71"/>
    <w:rsid w:val="00C51AA7"/>
    <w:rsid w:val="00C51EDD"/>
    <w:rsid w:val="00C526E0"/>
    <w:rsid w:val="00C53925"/>
    <w:rsid w:val="00C551C4"/>
    <w:rsid w:val="00C554BC"/>
    <w:rsid w:val="00C55E57"/>
    <w:rsid w:val="00C5637D"/>
    <w:rsid w:val="00C5660C"/>
    <w:rsid w:val="00C56CED"/>
    <w:rsid w:val="00C56D00"/>
    <w:rsid w:val="00C57896"/>
    <w:rsid w:val="00C60240"/>
    <w:rsid w:val="00C6066E"/>
    <w:rsid w:val="00C6142B"/>
    <w:rsid w:val="00C62193"/>
    <w:rsid w:val="00C62A10"/>
    <w:rsid w:val="00C62FBD"/>
    <w:rsid w:val="00C6464A"/>
    <w:rsid w:val="00C65432"/>
    <w:rsid w:val="00C6632D"/>
    <w:rsid w:val="00C667B5"/>
    <w:rsid w:val="00C66AC2"/>
    <w:rsid w:val="00C67667"/>
    <w:rsid w:val="00C67EFA"/>
    <w:rsid w:val="00C703F6"/>
    <w:rsid w:val="00C71CBD"/>
    <w:rsid w:val="00C71DCC"/>
    <w:rsid w:val="00C7225D"/>
    <w:rsid w:val="00C7236A"/>
    <w:rsid w:val="00C73E70"/>
    <w:rsid w:val="00C73E90"/>
    <w:rsid w:val="00C7464B"/>
    <w:rsid w:val="00C746BF"/>
    <w:rsid w:val="00C74C8E"/>
    <w:rsid w:val="00C750C4"/>
    <w:rsid w:val="00C751FB"/>
    <w:rsid w:val="00C75272"/>
    <w:rsid w:val="00C759CF"/>
    <w:rsid w:val="00C75D46"/>
    <w:rsid w:val="00C77136"/>
    <w:rsid w:val="00C778AE"/>
    <w:rsid w:val="00C811ED"/>
    <w:rsid w:val="00C81A64"/>
    <w:rsid w:val="00C82073"/>
    <w:rsid w:val="00C82540"/>
    <w:rsid w:val="00C82C9C"/>
    <w:rsid w:val="00C83210"/>
    <w:rsid w:val="00C833C8"/>
    <w:rsid w:val="00C83D6A"/>
    <w:rsid w:val="00C84EE8"/>
    <w:rsid w:val="00C856E2"/>
    <w:rsid w:val="00C85957"/>
    <w:rsid w:val="00C85ED7"/>
    <w:rsid w:val="00C86F06"/>
    <w:rsid w:val="00C87B96"/>
    <w:rsid w:val="00C87CE5"/>
    <w:rsid w:val="00C9022C"/>
    <w:rsid w:val="00C903A8"/>
    <w:rsid w:val="00C91702"/>
    <w:rsid w:val="00C9183A"/>
    <w:rsid w:val="00C91E57"/>
    <w:rsid w:val="00C921AA"/>
    <w:rsid w:val="00C92215"/>
    <w:rsid w:val="00C92A0F"/>
    <w:rsid w:val="00C92CF0"/>
    <w:rsid w:val="00C9323E"/>
    <w:rsid w:val="00C936F8"/>
    <w:rsid w:val="00C9436F"/>
    <w:rsid w:val="00C94CE5"/>
    <w:rsid w:val="00C953AB"/>
    <w:rsid w:val="00C95AE9"/>
    <w:rsid w:val="00C97488"/>
    <w:rsid w:val="00C97AB4"/>
    <w:rsid w:val="00CA0173"/>
    <w:rsid w:val="00CA0325"/>
    <w:rsid w:val="00CA0B22"/>
    <w:rsid w:val="00CA0CA1"/>
    <w:rsid w:val="00CA105A"/>
    <w:rsid w:val="00CA1B7D"/>
    <w:rsid w:val="00CA21F4"/>
    <w:rsid w:val="00CA3732"/>
    <w:rsid w:val="00CA37B4"/>
    <w:rsid w:val="00CA37C4"/>
    <w:rsid w:val="00CA44B3"/>
    <w:rsid w:val="00CA4E1D"/>
    <w:rsid w:val="00CA5032"/>
    <w:rsid w:val="00CA5371"/>
    <w:rsid w:val="00CA53A4"/>
    <w:rsid w:val="00CA54E5"/>
    <w:rsid w:val="00CA6908"/>
    <w:rsid w:val="00CA7921"/>
    <w:rsid w:val="00CB0016"/>
    <w:rsid w:val="00CB06BD"/>
    <w:rsid w:val="00CB07E7"/>
    <w:rsid w:val="00CB0BD6"/>
    <w:rsid w:val="00CB1285"/>
    <w:rsid w:val="00CB1ACA"/>
    <w:rsid w:val="00CB26EA"/>
    <w:rsid w:val="00CB3B59"/>
    <w:rsid w:val="00CB44C3"/>
    <w:rsid w:val="00CB4672"/>
    <w:rsid w:val="00CB4CD5"/>
    <w:rsid w:val="00CB56B8"/>
    <w:rsid w:val="00CB61CC"/>
    <w:rsid w:val="00CB691B"/>
    <w:rsid w:val="00CB6C30"/>
    <w:rsid w:val="00CB7A25"/>
    <w:rsid w:val="00CC03D9"/>
    <w:rsid w:val="00CC07EB"/>
    <w:rsid w:val="00CC161C"/>
    <w:rsid w:val="00CC28BF"/>
    <w:rsid w:val="00CC28C3"/>
    <w:rsid w:val="00CC2B2F"/>
    <w:rsid w:val="00CC2BD8"/>
    <w:rsid w:val="00CC307C"/>
    <w:rsid w:val="00CC32F6"/>
    <w:rsid w:val="00CC5C4C"/>
    <w:rsid w:val="00CC723C"/>
    <w:rsid w:val="00CD15D6"/>
    <w:rsid w:val="00CD1660"/>
    <w:rsid w:val="00CD16F8"/>
    <w:rsid w:val="00CD174C"/>
    <w:rsid w:val="00CD1BD8"/>
    <w:rsid w:val="00CD1C6E"/>
    <w:rsid w:val="00CD2198"/>
    <w:rsid w:val="00CD2FBC"/>
    <w:rsid w:val="00CD30FF"/>
    <w:rsid w:val="00CD32A6"/>
    <w:rsid w:val="00CD3479"/>
    <w:rsid w:val="00CD3EF3"/>
    <w:rsid w:val="00CD3F01"/>
    <w:rsid w:val="00CD5159"/>
    <w:rsid w:val="00CD67C4"/>
    <w:rsid w:val="00CD6C10"/>
    <w:rsid w:val="00CE091E"/>
    <w:rsid w:val="00CE0DE1"/>
    <w:rsid w:val="00CE1D5E"/>
    <w:rsid w:val="00CE1E16"/>
    <w:rsid w:val="00CE3F47"/>
    <w:rsid w:val="00CE6AE0"/>
    <w:rsid w:val="00CE72FD"/>
    <w:rsid w:val="00CE7678"/>
    <w:rsid w:val="00CE792A"/>
    <w:rsid w:val="00CE7C23"/>
    <w:rsid w:val="00CF06E5"/>
    <w:rsid w:val="00CF06FD"/>
    <w:rsid w:val="00CF07F5"/>
    <w:rsid w:val="00CF0D08"/>
    <w:rsid w:val="00CF1553"/>
    <w:rsid w:val="00CF1EC7"/>
    <w:rsid w:val="00CF2721"/>
    <w:rsid w:val="00CF3779"/>
    <w:rsid w:val="00CF3C14"/>
    <w:rsid w:val="00CF586B"/>
    <w:rsid w:val="00CF5ACA"/>
    <w:rsid w:val="00CF621E"/>
    <w:rsid w:val="00CF7163"/>
    <w:rsid w:val="00CF75B9"/>
    <w:rsid w:val="00CF76BB"/>
    <w:rsid w:val="00CF7800"/>
    <w:rsid w:val="00D00776"/>
    <w:rsid w:val="00D02389"/>
    <w:rsid w:val="00D0247C"/>
    <w:rsid w:val="00D03918"/>
    <w:rsid w:val="00D047C9"/>
    <w:rsid w:val="00D069B9"/>
    <w:rsid w:val="00D070FE"/>
    <w:rsid w:val="00D07480"/>
    <w:rsid w:val="00D07D9A"/>
    <w:rsid w:val="00D104E8"/>
    <w:rsid w:val="00D1056B"/>
    <w:rsid w:val="00D10919"/>
    <w:rsid w:val="00D119E2"/>
    <w:rsid w:val="00D12C34"/>
    <w:rsid w:val="00D155A0"/>
    <w:rsid w:val="00D16374"/>
    <w:rsid w:val="00D16581"/>
    <w:rsid w:val="00D1661E"/>
    <w:rsid w:val="00D16F0E"/>
    <w:rsid w:val="00D1738F"/>
    <w:rsid w:val="00D2003D"/>
    <w:rsid w:val="00D21046"/>
    <w:rsid w:val="00D2142C"/>
    <w:rsid w:val="00D21527"/>
    <w:rsid w:val="00D21FAF"/>
    <w:rsid w:val="00D22123"/>
    <w:rsid w:val="00D22F9E"/>
    <w:rsid w:val="00D234FF"/>
    <w:rsid w:val="00D23E5C"/>
    <w:rsid w:val="00D2477B"/>
    <w:rsid w:val="00D25077"/>
    <w:rsid w:val="00D25B9A"/>
    <w:rsid w:val="00D264D7"/>
    <w:rsid w:val="00D268A6"/>
    <w:rsid w:val="00D26E9E"/>
    <w:rsid w:val="00D27604"/>
    <w:rsid w:val="00D27990"/>
    <w:rsid w:val="00D30D3B"/>
    <w:rsid w:val="00D31AC7"/>
    <w:rsid w:val="00D31DA5"/>
    <w:rsid w:val="00D31F94"/>
    <w:rsid w:val="00D3206E"/>
    <w:rsid w:val="00D32234"/>
    <w:rsid w:val="00D32E89"/>
    <w:rsid w:val="00D343BE"/>
    <w:rsid w:val="00D34D8E"/>
    <w:rsid w:val="00D35497"/>
    <w:rsid w:val="00D35795"/>
    <w:rsid w:val="00D36141"/>
    <w:rsid w:val="00D3639F"/>
    <w:rsid w:val="00D3663A"/>
    <w:rsid w:val="00D369A6"/>
    <w:rsid w:val="00D37703"/>
    <w:rsid w:val="00D40A33"/>
    <w:rsid w:val="00D40AED"/>
    <w:rsid w:val="00D4262E"/>
    <w:rsid w:val="00D438D6"/>
    <w:rsid w:val="00D446AB"/>
    <w:rsid w:val="00D448A5"/>
    <w:rsid w:val="00D44B89"/>
    <w:rsid w:val="00D44DA6"/>
    <w:rsid w:val="00D45D31"/>
    <w:rsid w:val="00D46F90"/>
    <w:rsid w:val="00D47DF7"/>
    <w:rsid w:val="00D5009B"/>
    <w:rsid w:val="00D504A5"/>
    <w:rsid w:val="00D50F41"/>
    <w:rsid w:val="00D51153"/>
    <w:rsid w:val="00D514AF"/>
    <w:rsid w:val="00D5156D"/>
    <w:rsid w:val="00D52A67"/>
    <w:rsid w:val="00D5324A"/>
    <w:rsid w:val="00D5377A"/>
    <w:rsid w:val="00D53E68"/>
    <w:rsid w:val="00D53E6B"/>
    <w:rsid w:val="00D5420E"/>
    <w:rsid w:val="00D55224"/>
    <w:rsid w:val="00D552CE"/>
    <w:rsid w:val="00D5596C"/>
    <w:rsid w:val="00D56A27"/>
    <w:rsid w:val="00D61CF9"/>
    <w:rsid w:val="00D62B3D"/>
    <w:rsid w:val="00D630DD"/>
    <w:rsid w:val="00D6313F"/>
    <w:rsid w:val="00D64005"/>
    <w:rsid w:val="00D654D0"/>
    <w:rsid w:val="00D665CB"/>
    <w:rsid w:val="00D66A5C"/>
    <w:rsid w:val="00D66B84"/>
    <w:rsid w:val="00D7066C"/>
    <w:rsid w:val="00D713CC"/>
    <w:rsid w:val="00D7197D"/>
    <w:rsid w:val="00D719E6"/>
    <w:rsid w:val="00D71EC2"/>
    <w:rsid w:val="00D72381"/>
    <w:rsid w:val="00D72984"/>
    <w:rsid w:val="00D7357C"/>
    <w:rsid w:val="00D74B64"/>
    <w:rsid w:val="00D753A2"/>
    <w:rsid w:val="00D7567F"/>
    <w:rsid w:val="00D75FB8"/>
    <w:rsid w:val="00D76043"/>
    <w:rsid w:val="00D76732"/>
    <w:rsid w:val="00D76C89"/>
    <w:rsid w:val="00D76EC5"/>
    <w:rsid w:val="00D770D9"/>
    <w:rsid w:val="00D774E0"/>
    <w:rsid w:val="00D813C3"/>
    <w:rsid w:val="00D81657"/>
    <w:rsid w:val="00D81C4F"/>
    <w:rsid w:val="00D8257B"/>
    <w:rsid w:val="00D84F7E"/>
    <w:rsid w:val="00D851EE"/>
    <w:rsid w:val="00D85A35"/>
    <w:rsid w:val="00D85DAF"/>
    <w:rsid w:val="00D87C0A"/>
    <w:rsid w:val="00D9028F"/>
    <w:rsid w:val="00D91101"/>
    <w:rsid w:val="00D922FE"/>
    <w:rsid w:val="00D9454F"/>
    <w:rsid w:val="00D95C91"/>
    <w:rsid w:val="00D95EC6"/>
    <w:rsid w:val="00D95F84"/>
    <w:rsid w:val="00D979E2"/>
    <w:rsid w:val="00DA043D"/>
    <w:rsid w:val="00DA108C"/>
    <w:rsid w:val="00DA2939"/>
    <w:rsid w:val="00DA2CA1"/>
    <w:rsid w:val="00DA2CCF"/>
    <w:rsid w:val="00DA2E20"/>
    <w:rsid w:val="00DA3581"/>
    <w:rsid w:val="00DA3E7E"/>
    <w:rsid w:val="00DA4D73"/>
    <w:rsid w:val="00DA5A1E"/>
    <w:rsid w:val="00DA5AA6"/>
    <w:rsid w:val="00DA6110"/>
    <w:rsid w:val="00DA6141"/>
    <w:rsid w:val="00DA6491"/>
    <w:rsid w:val="00DA6798"/>
    <w:rsid w:val="00DA6B8E"/>
    <w:rsid w:val="00DA70CD"/>
    <w:rsid w:val="00DA76F0"/>
    <w:rsid w:val="00DA7A24"/>
    <w:rsid w:val="00DB0067"/>
    <w:rsid w:val="00DB0362"/>
    <w:rsid w:val="00DB0ABB"/>
    <w:rsid w:val="00DB0F71"/>
    <w:rsid w:val="00DB11A3"/>
    <w:rsid w:val="00DB1C5C"/>
    <w:rsid w:val="00DB1F53"/>
    <w:rsid w:val="00DB30DD"/>
    <w:rsid w:val="00DB368A"/>
    <w:rsid w:val="00DB408C"/>
    <w:rsid w:val="00DB432F"/>
    <w:rsid w:val="00DB447A"/>
    <w:rsid w:val="00DB4BBE"/>
    <w:rsid w:val="00DB5644"/>
    <w:rsid w:val="00DB5911"/>
    <w:rsid w:val="00DB594F"/>
    <w:rsid w:val="00DB5D7B"/>
    <w:rsid w:val="00DB6659"/>
    <w:rsid w:val="00DB6B36"/>
    <w:rsid w:val="00DC088D"/>
    <w:rsid w:val="00DC230B"/>
    <w:rsid w:val="00DC2873"/>
    <w:rsid w:val="00DC2B8A"/>
    <w:rsid w:val="00DC2F67"/>
    <w:rsid w:val="00DC35A7"/>
    <w:rsid w:val="00DC37C2"/>
    <w:rsid w:val="00DC3D2E"/>
    <w:rsid w:val="00DC3E43"/>
    <w:rsid w:val="00DC4C0B"/>
    <w:rsid w:val="00DD01A5"/>
    <w:rsid w:val="00DD110A"/>
    <w:rsid w:val="00DD1A4C"/>
    <w:rsid w:val="00DD22D3"/>
    <w:rsid w:val="00DD2BDE"/>
    <w:rsid w:val="00DD313A"/>
    <w:rsid w:val="00DD3311"/>
    <w:rsid w:val="00DD35C9"/>
    <w:rsid w:val="00DD3718"/>
    <w:rsid w:val="00DD3E7C"/>
    <w:rsid w:val="00DD460A"/>
    <w:rsid w:val="00DD4808"/>
    <w:rsid w:val="00DD4AE0"/>
    <w:rsid w:val="00DD5562"/>
    <w:rsid w:val="00DD56F6"/>
    <w:rsid w:val="00DD60B7"/>
    <w:rsid w:val="00DD7058"/>
    <w:rsid w:val="00DD73AA"/>
    <w:rsid w:val="00DD7494"/>
    <w:rsid w:val="00DD76C2"/>
    <w:rsid w:val="00DD79EE"/>
    <w:rsid w:val="00DD7A43"/>
    <w:rsid w:val="00DE0919"/>
    <w:rsid w:val="00DE11DC"/>
    <w:rsid w:val="00DE1B1B"/>
    <w:rsid w:val="00DE1BD7"/>
    <w:rsid w:val="00DE2460"/>
    <w:rsid w:val="00DE54BE"/>
    <w:rsid w:val="00DE5B1F"/>
    <w:rsid w:val="00DE695E"/>
    <w:rsid w:val="00DE7DAC"/>
    <w:rsid w:val="00DF00D6"/>
    <w:rsid w:val="00DF0577"/>
    <w:rsid w:val="00DF0709"/>
    <w:rsid w:val="00DF0761"/>
    <w:rsid w:val="00DF0A6C"/>
    <w:rsid w:val="00DF0C06"/>
    <w:rsid w:val="00DF14B0"/>
    <w:rsid w:val="00DF1D64"/>
    <w:rsid w:val="00DF2104"/>
    <w:rsid w:val="00DF31CF"/>
    <w:rsid w:val="00DF344B"/>
    <w:rsid w:val="00DF3B54"/>
    <w:rsid w:val="00DF40F6"/>
    <w:rsid w:val="00DF4277"/>
    <w:rsid w:val="00DF46AB"/>
    <w:rsid w:val="00DF4E7F"/>
    <w:rsid w:val="00DF5C0D"/>
    <w:rsid w:val="00DF5F23"/>
    <w:rsid w:val="00DF5F90"/>
    <w:rsid w:val="00DF65B6"/>
    <w:rsid w:val="00DF7350"/>
    <w:rsid w:val="00DF7DDB"/>
    <w:rsid w:val="00E00FC2"/>
    <w:rsid w:val="00E0102C"/>
    <w:rsid w:val="00E02C7D"/>
    <w:rsid w:val="00E03036"/>
    <w:rsid w:val="00E036D4"/>
    <w:rsid w:val="00E03C57"/>
    <w:rsid w:val="00E03E74"/>
    <w:rsid w:val="00E042B1"/>
    <w:rsid w:val="00E049CC"/>
    <w:rsid w:val="00E04AD1"/>
    <w:rsid w:val="00E054EF"/>
    <w:rsid w:val="00E0597B"/>
    <w:rsid w:val="00E06551"/>
    <w:rsid w:val="00E069F7"/>
    <w:rsid w:val="00E06F8C"/>
    <w:rsid w:val="00E07C1B"/>
    <w:rsid w:val="00E10760"/>
    <w:rsid w:val="00E11476"/>
    <w:rsid w:val="00E11552"/>
    <w:rsid w:val="00E11E8F"/>
    <w:rsid w:val="00E12845"/>
    <w:rsid w:val="00E12847"/>
    <w:rsid w:val="00E12A43"/>
    <w:rsid w:val="00E13A3B"/>
    <w:rsid w:val="00E1423A"/>
    <w:rsid w:val="00E14C73"/>
    <w:rsid w:val="00E15366"/>
    <w:rsid w:val="00E1539E"/>
    <w:rsid w:val="00E15E54"/>
    <w:rsid w:val="00E167C8"/>
    <w:rsid w:val="00E16CC5"/>
    <w:rsid w:val="00E20157"/>
    <w:rsid w:val="00E205B1"/>
    <w:rsid w:val="00E211F9"/>
    <w:rsid w:val="00E215AE"/>
    <w:rsid w:val="00E21939"/>
    <w:rsid w:val="00E222F5"/>
    <w:rsid w:val="00E2268B"/>
    <w:rsid w:val="00E251E2"/>
    <w:rsid w:val="00E256EB"/>
    <w:rsid w:val="00E26B44"/>
    <w:rsid w:val="00E27731"/>
    <w:rsid w:val="00E27AA5"/>
    <w:rsid w:val="00E27ACD"/>
    <w:rsid w:val="00E303B2"/>
    <w:rsid w:val="00E30D22"/>
    <w:rsid w:val="00E315A9"/>
    <w:rsid w:val="00E325EC"/>
    <w:rsid w:val="00E32A83"/>
    <w:rsid w:val="00E33417"/>
    <w:rsid w:val="00E340C8"/>
    <w:rsid w:val="00E34B7D"/>
    <w:rsid w:val="00E37096"/>
    <w:rsid w:val="00E375D4"/>
    <w:rsid w:val="00E403DC"/>
    <w:rsid w:val="00E40AD6"/>
    <w:rsid w:val="00E40DF4"/>
    <w:rsid w:val="00E40E58"/>
    <w:rsid w:val="00E40F43"/>
    <w:rsid w:val="00E413A1"/>
    <w:rsid w:val="00E41637"/>
    <w:rsid w:val="00E43594"/>
    <w:rsid w:val="00E435DC"/>
    <w:rsid w:val="00E43BC2"/>
    <w:rsid w:val="00E44F52"/>
    <w:rsid w:val="00E4537E"/>
    <w:rsid w:val="00E4566B"/>
    <w:rsid w:val="00E4621D"/>
    <w:rsid w:val="00E46CE6"/>
    <w:rsid w:val="00E46FE7"/>
    <w:rsid w:val="00E471C4"/>
    <w:rsid w:val="00E478F3"/>
    <w:rsid w:val="00E53AC7"/>
    <w:rsid w:val="00E53F28"/>
    <w:rsid w:val="00E5603B"/>
    <w:rsid w:val="00E560A5"/>
    <w:rsid w:val="00E5757D"/>
    <w:rsid w:val="00E577DC"/>
    <w:rsid w:val="00E57CB4"/>
    <w:rsid w:val="00E6082D"/>
    <w:rsid w:val="00E61391"/>
    <w:rsid w:val="00E61689"/>
    <w:rsid w:val="00E61DBE"/>
    <w:rsid w:val="00E6278D"/>
    <w:rsid w:val="00E63034"/>
    <w:rsid w:val="00E63B5A"/>
    <w:rsid w:val="00E646D1"/>
    <w:rsid w:val="00E66714"/>
    <w:rsid w:val="00E66CC8"/>
    <w:rsid w:val="00E675BC"/>
    <w:rsid w:val="00E704DC"/>
    <w:rsid w:val="00E70CE9"/>
    <w:rsid w:val="00E7112D"/>
    <w:rsid w:val="00E72987"/>
    <w:rsid w:val="00E734DB"/>
    <w:rsid w:val="00E735A8"/>
    <w:rsid w:val="00E73681"/>
    <w:rsid w:val="00E73C6B"/>
    <w:rsid w:val="00E7544B"/>
    <w:rsid w:val="00E76A2A"/>
    <w:rsid w:val="00E77332"/>
    <w:rsid w:val="00E77A27"/>
    <w:rsid w:val="00E80BEB"/>
    <w:rsid w:val="00E8201A"/>
    <w:rsid w:val="00E822CA"/>
    <w:rsid w:val="00E82AC7"/>
    <w:rsid w:val="00E82B99"/>
    <w:rsid w:val="00E82C8A"/>
    <w:rsid w:val="00E83CF7"/>
    <w:rsid w:val="00E84E31"/>
    <w:rsid w:val="00E859DF"/>
    <w:rsid w:val="00E86FA2"/>
    <w:rsid w:val="00E87465"/>
    <w:rsid w:val="00E8791B"/>
    <w:rsid w:val="00E87B3C"/>
    <w:rsid w:val="00E90E92"/>
    <w:rsid w:val="00E91697"/>
    <w:rsid w:val="00E9225C"/>
    <w:rsid w:val="00E92730"/>
    <w:rsid w:val="00E92D33"/>
    <w:rsid w:val="00E93F63"/>
    <w:rsid w:val="00E9422F"/>
    <w:rsid w:val="00E94255"/>
    <w:rsid w:val="00E94CD4"/>
    <w:rsid w:val="00E94EAE"/>
    <w:rsid w:val="00E9774D"/>
    <w:rsid w:val="00EA08B9"/>
    <w:rsid w:val="00EA0C88"/>
    <w:rsid w:val="00EA14BA"/>
    <w:rsid w:val="00EA1E06"/>
    <w:rsid w:val="00EA2537"/>
    <w:rsid w:val="00EA2E76"/>
    <w:rsid w:val="00EA3DB0"/>
    <w:rsid w:val="00EA413C"/>
    <w:rsid w:val="00EA4463"/>
    <w:rsid w:val="00EA4526"/>
    <w:rsid w:val="00EA46F2"/>
    <w:rsid w:val="00EA4FFC"/>
    <w:rsid w:val="00EA5688"/>
    <w:rsid w:val="00EA5D4F"/>
    <w:rsid w:val="00EA6158"/>
    <w:rsid w:val="00EA7BD2"/>
    <w:rsid w:val="00EA7CA5"/>
    <w:rsid w:val="00EB210B"/>
    <w:rsid w:val="00EB2280"/>
    <w:rsid w:val="00EB24B9"/>
    <w:rsid w:val="00EB29AD"/>
    <w:rsid w:val="00EB2BC2"/>
    <w:rsid w:val="00EB2E9D"/>
    <w:rsid w:val="00EB398A"/>
    <w:rsid w:val="00EB3A1A"/>
    <w:rsid w:val="00EB3E63"/>
    <w:rsid w:val="00EB45B2"/>
    <w:rsid w:val="00EB4C13"/>
    <w:rsid w:val="00EB5062"/>
    <w:rsid w:val="00EB525F"/>
    <w:rsid w:val="00EB5A6E"/>
    <w:rsid w:val="00EB61F9"/>
    <w:rsid w:val="00EB63B2"/>
    <w:rsid w:val="00EB6630"/>
    <w:rsid w:val="00EB6ADD"/>
    <w:rsid w:val="00EB709C"/>
    <w:rsid w:val="00EC124D"/>
    <w:rsid w:val="00EC134F"/>
    <w:rsid w:val="00EC13B2"/>
    <w:rsid w:val="00EC13BA"/>
    <w:rsid w:val="00EC2084"/>
    <w:rsid w:val="00EC2732"/>
    <w:rsid w:val="00EC3910"/>
    <w:rsid w:val="00EC39B9"/>
    <w:rsid w:val="00EC3A3B"/>
    <w:rsid w:val="00EC3DA1"/>
    <w:rsid w:val="00EC47C3"/>
    <w:rsid w:val="00EC498E"/>
    <w:rsid w:val="00EC4C9C"/>
    <w:rsid w:val="00EC51A7"/>
    <w:rsid w:val="00EC558E"/>
    <w:rsid w:val="00EC5CEE"/>
    <w:rsid w:val="00EC61F5"/>
    <w:rsid w:val="00ED033D"/>
    <w:rsid w:val="00ED0D3D"/>
    <w:rsid w:val="00ED0FEF"/>
    <w:rsid w:val="00ED139A"/>
    <w:rsid w:val="00ED1C5C"/>
    <w:rsid w:val="00ED212C"/>
    <w:rsid w:val="00ED290A"/>
    <w:rsid w:val="00ED2D83"/>
    <w:rsid w:val="00ED2DE4"/>
    <w:rsid w:val="00ED2F50"/>
    <w:rsid w:val="00ED3776"/>
    <w:rsid w:val="00ED3909"/>
    <w:rsid w:val="00ED41B6"/>
    <w:rsid w:val="00ED4A24"/>
    <w:rsid w:val="00ED4F49"/>
    <w:rsid w:val="00ED501D"/>
    <w:rsid w:val="00ED501F"/>
    <w:rsid w:val="00ED58E8"/>
    <w:rsid w:val="00ED5C30"/>
    <w:rsid w:val="00ED5E09"/>
    <w:rsid w:val="00ED6485"/>
    <w:rsid w:val="00ED66AA"/>
    <w:rsid w:val="00ED6BEC"/>
    <w:rsid w:val="00ED6CDA"/>
    <w:rsid w:val="00ED6CFC"/>
    <w:rsid w:val="00ED71B4"/>
    <w:rsid w:val="00ED7887"/>
    <w:rsid w:val="00ED797B"/>
    <w:rsid w:val="00ED7D81"/>
    <w:rsid w:val="00ED7DBB"/>
    <w:rsid w:val="00ED7E95"/>
    <w:rsid w:val="00EE18C7"/>
    <w:rsid w:val="00EE21B5"/>
    <w:rsid w:val="00EE2D0F"/>
    <w:rsid w:val="00EE3557"/>
    <w:rsid w:val="00EE370E"/>
    <w:rsid w:val="00EE3C21"/>
    <w:rsid w:val="00EE4F8D"/>
    <w:rsid w:val="00EE523A"/>
    <w:rsid w:val="00EE5848"/>
    <w:rsid w:val="00EE59B1"/>
    <w:rsid w:val="00EE618F"/>
    <w:rsid w:val="00EE6857"/>
    <w:rsid w:val="00EE7308"/>
    <w:rsid w:val="00EE7C77"/>
    <w:rsid w:val="00EF01D6"/>
    <w:rsid w:val="00EF042C"/>
    <w:rsid w:val="00EF0B99"/>
    <w:rsid w:val="00EF11F7"/>
    <w:rsid w:val="00EF1484"/>
    <w:rsid w:val="00EF317F"/>
    <w:rsid w:val="00EF3775"/>
    <w:rsid w:val="00EF3CD1"/>
    <w:rsid w:val="00EF405B"/>
    <w:rsid w:val="00EF5BCB"/>
    <w:rsid w:val="00EF5CD4"/>
    <w:rsid w:val="00EF7B69"/>
    <w:rsid w:val="00F0038C"/>
    <w:rsid w:val="00F00881"/>
    <w:rsid w:val="00F00B37"/>
    <w:rsid w:val="00F0122C"/>
    <w:rsid w:val="00F01D89"/>
    <w:rsid w:val="00F01FAE"/>
    <w:rsid w:val="00F0202B"/>
    <w:rsid w:val="00F021F3"/>
    <w:rsid w:val="00F02BCB"/>
    <w:rsid w:val="00F03AA9"/>
    <w:rsid w:val="00F03C02"/>
    <w:rsid w:val="00F043BC"/>
    <w:rsid w:val="00F04A1D"/>
    <w:rsid w:val="00F057D5"/>
    <w:rsid w:val="00F05F5E"/>
    <w:rsid w:val="00F066FD"/>
    <w:rsid w:val="00F06AA6"/>
    <w:rsid w:val="00F06DB4"/>
    <w:rsid w:val="00F0716D"/>
    <w:rsid w:val="00F073A9"/>
    <w:rsid w:val="00F10691"/>
    <w:rsid w:val="00F110A0"/>
    <w:rsid w:val="00F110DF"/>
    <w:rsid w:val="00F12010"/>
    <w:rsid w:val="00F1454D"/>
    <w:rsid w:val="00F145BB"/>
    <w:rsid w:val="00F1475C"/>
    <w:rsid w:val="00F147AF"/>
    <w:rsid w:val="00F14893"/>
    <w:rsid w:val="00F15D5E"/>
    <w:rsid w:val="00F166C2"/>
    <w:rsid w:val="00F1732B"/>
    <w:rsid w:val="00F173CE"/>
    <w:rsid w:val="00F21214"/>
    <w:rsid w:val="00F21D94"/>
    <w:rsid w:val="00F21DAF"/>
    <w:rsid w:val="00F22599"/>
    <w:rsid w:val="00F22727"/>
    <w:rsid w:val="00F22837"/>
    <w:rsid w:val="00F238BB"/>
    <w:rsid w:val="00F239B9"/>
    <w:rsid w:val="00F23F47"/>
    <w:rsid w:val="00F2443F"/>
    <w:rsid w:val="00F248CE"/>
    <w:rsid w:val="00F24EB7"/>
    <w:rsid w:val="00F250AF"/>
    <w:rsid w:val="00F25324"/>
    <w:rsid w:val="00F27ABA"/>
    <w:rsid w:val="00F32088"/>
    <w:rsid w:val="00F32AFA"/>
    <w:rsid w:val="00F334B9"/>
    <w:rsid w:val="00F33B4D"/>
    <w:rsid w:val="00F33FEB"/>
    <w:rsid w:val="00F34810"/>
    <w:rsid w:val="00F34AB8"/>
    <w:rsid w:val="00F34E0E"/>
    <w:rsid w:val="00F379EB"/>
    <w:rsid w:val="00F40B11"/>
    <w:rsid w:val="00F41A9B"/>
    <w:rsid w:val="00F41F44"/>
    <w:rsid w:val="00F42792"/>
    <w:rsid w:val="00F43303"/>
    <w:rsid w:val="00F434E0"/>
    <w:rsid w:val="00F43C65"/>
    <w:rsid w:val="00F441E2"/>
    <w:rsid w:val="00F45394"/>
    <w:rsid w:val="00F453B8"/>
    <w:rsid w:val="00F45737"/>
    <w:rsid w:val="00F45EE1"/>
    <w:rsid w:val="00F4659B"/>
    <w:rsid w:val="00F4706D"/>
    <w:rsid w:val="00F51AC0"/>
    <w:rsid w:val="00F51F41"/>
    <w:rsid w:val="00F52022"/>
    <w:rsid w:val="00F53D5F"/>
    <w:rsid w:val="00F54A0B"/>
    <w:rsid w:val="00F5515F"/>
    <w:rsid w:val="00F562CC"/>
    <w:rsid w:val="00F5665A"/>
    <w:rsid w:val="00F5743B"/>
    <w:rsid w:val="00F57A44"/>
    <w:rsid w:val="00F60C13"/>
    <w:rsid w:val="00F60CE4"/>
    <w:rsid w:val="00F6111E"/>
    <w:rsid w:val="00F61301"/>
    <w:rsid w:val="00F61424"/>
    <w:rsid w:val="00F61BA3"/>
    <w:rsid w:val="00F62036"/>
    <w:rsid w:val="00F6204D"/>
    <w:rsid w:val="00F62287"/>
    <w:rsid w:val="00F6238B"/>
    <w:rsid w:val="00F62C2F"/>
    <w:rsid w:val="00F63086"/>
    <w:rsid w:val="00F63741"/>
    <w:rsid w:val="00F653B5"/>
    <w:rsid w:val="00F65BF0"/>
    <w:rsid w:val="00F66B9E"/>
    <w:rsid w:val="00F67EBA"/>
    <w:rsid w:val="00F7022F"/>
    <w:rsid w:val="00F7049D"/>
    <w:rsid w:val="00F70D6F"/>
    <w:rsid w:val="00F721FF"/>
    <w:rsid w:val="00F72B3D"/>
    <w:rsid w:val="00F72DAE"/>
    <w:rsid w:val="00F733BF"/>
    <w:rsid w:val="00F73997"/>
    <w:rsid w:val="00F73BD5"/>
    <w:rsid w:val="00F73D21"/>
    <w:rsid w:val="00F752B1"/>
    <w:rsid w:val="00F75B17"/>
    <w:rsid w:val="00F75B35"/>
    <w:rsid w:val="00F75F93"/>
    <w:rsid w:val="00F76496"/>
    <w:rsid w:val="00F7656E"/>
    <w:rsid w:val="00F7766B"/>
    <w:rsid w:val="00F77BA6"/>
    <w:rsid w:val="00F81309"/>
    <w:rsid w:val="00F81B08"/>
    <w:rsid w:val="00F8266E"/>
    <w:rsid w:val="00F82D07"/>
    <w:rsid w:val="00F835E7"/>
    <w:rsid w:val="00F84D12"/>
    <w:rsid w:val="00F866B0"/>
    <w:rsid w:val="00F876E7"/>
    <w:rsid w:val="00F87AFA"/>
    <w:rsid w:val="00F91A57"/>
    <w:rsid w:val="00F933DF"/>
    <w:rsid w:val="00F93698"/>
    <w:rsid w:val="00F93E1D"/>
    <w:rsid w:val="00F94191"/>
    <w:rsid w:val="00F9431E"/>
    <w:rsid w:val="00F95997"/>
    <w:rsid w:val="00F96320"/>
    <w:rsid w:val="00F97D51"/>
    <w:rsid w:val="00FA070C"/>
    <w:rsid w:val="00FA147A"/>
    <w:rsid w:val="00FA184F"/>
    <w:rsid w:val="00FA25D4"/>
    <w:rsid w:val="00FA2D45"/>
    <w:rsid w:val="00FA3757"/>
    <w:rsid w:val="00FA3E6D"/>
    <w:rsid w:val="00FA4880"/>
    <w:rsid w:val="00FA4BF0"/>
    <w:rsid w:val="00FA5295"/>
    <w:rsid w:val="00FA64DB"/>
    <w:rsid w:val="00FA65D1"/>
    <w:rsid w:val="00FA7F68"/>
    <w:rsid w:val="00FB03DA"/>
    <w:rsid w:val="00FB0B3B"/>
    <w:rsid w:val="00FB1051"/>
    <w:rsid w:val="00FB16DB"/>
    <w:rsid w:val="00FB356D"/>
    <w:rsid w:val="00FB4CD4"/>
    <w:rsid w:val="00FB63F8"/>
    <w:rsid w:val="00FB6637"/>
    <w:rsid w:val="00FB74AC"/>
    <w:rsid w:val="00FC0401"/>
    <w:rsid w:val="00FC2129"/>
    <w:rsid w:val="00FC24A9"/>
    <w:rsid w:val="00FC2F4B"/>
    <w:rsid w:val="00FC3AB8"/>
    <w:rsid w:val="00FC3B03"/>
    <w:rsid w:val="00FC3C05"/>
    <w:rsid w:val="00FC3D35"/>
    <w:rsid w:val="00FC40F4"/>
    <w:rsid w:val="00FC45D3"/>
    <w:rsid w:val="00FC7280"/>
    <w:rsid w:val="00FD01DE"/>
    <w:rsid w:val="00FD0687"/>
    <w:rsid w:val="00FD1216"/>
    <w:rsid w:val="00FD1A01"/>
    <w:rsid w:val="00FD3AF2"/>
    <w:rsid w:val="00FD4012"/>
    <w:rsid w:val="00FD42C7"/>
    <w:rsid w:val="00FD455B"/>
    <w:rsid w:val="00FD4650"/>
    <w:rsid w:val="00FD4F86"/>
    <w:rsid w:val="00FD5AE9"/>
    <w:rsid w:val="00FD6511"/>
    <w:rsid w:val="00FD6B40"/>
    <w:rsid w:val="00FD6B69"/>
    <w:rsid w:val="00FD708B"/>
    <w:rsid w:val="00FD7271"/>
    <w:rsid w:val="00FD7B05"/>
    <w:rsid w:val="00FE14E6"/>
    <w:rsid w:val="00FE2419"/>
    <w:rsid w:val="00FE2E16"/>
    <w:rsid w:val="00FE4039"/>
    <w:rsid w:val="00FE5D98"/>
    <w:rsid w:val="00FE5FDB"/>
    <w:rsid w:val="00FE66AC"/>
    <w:rsid w:val="00FE78E5"/>
    <w:rsid w:val="00FF02DB"/>
    <w:rsid w:val="00FF0FAB"/>
    <w:rsid w:val="00FF111B"/>
    <w:rsid w:val="00FF1421"/>
    <w:rsid w:val="00FF16FD"/>
    <w:rsid w:val="00FF2B8A"/>
    <w:rsid w:val="00FF2B8E"/>
    <w:rsid w:val="00FF2D8B"/>
    <w:rsid w:val="00FF2E79"/>
    <w:rsid w:val="00FF40F5"/>
    <w:rsid w:val="00FF4202"/>
    <w:rsid w:val="00FF472C"/>
    <w:rsid w:val="00FF4A0A"/>
    <w:rsid w:val="00FF4A3E"/>
    <w:rsid w:val="00FF4B29"/>
    <w:rsid w:val="00FF5DF3"/>
    <w:rsid w:val="00FF6780"/>
    <w:rsid w:val="00FF67DE"/>
    <w:rsid w:val="00FF7F95"/>
    <w:rsid w:val="018E74D7"/>
    <w:rsid w:val="01EF5295"/>
    <w:rsid w:val="01F41286"/>
    <w:rsid w:val="0209330B"/>
    <w:rsid w:val="02366906"/>
    <w:rsid w:val="02834AD4"/>
    <w:rsid w:val="02AB295A"/>
    <w:rsid w:val="02B35D48"/>
    <w:rsid w:val="02D0381A"/>
    <w:rsid w:val="02E157ED"/>
    <w:rsid w:val="02E50C2F"/>
    <w:rsid w:val="02FF7A7B"/>
    <w:rsid w:val="033861D1"/>
    <w:rsid w:val="034C024D"/>
    <w:rsid w:val="038D27D3"/>
    <w:rsid w:val="03970EF3"/>
    <w:rsid w:val="03EC1F79"/>
    <w:rsid w:val="042C2531"/>
    <w:rsid w:val="044309E1"/>
    <w:rsid w:val="04506958"/>
    <w:rsid w:val="04664A43"/>
    <w:rsid w:val="04823DD8"/>
    <w:rsid w:val="048C44D0"/>
    <w:rsid w:val="04BD1B14"/>
    <w:rsid w:val="04E45291"/>
    <w:rsid w:val="04FF3EFD"/>
    <w:rsid w:val="05105120"/>
    <w:rsid w:val="055D00F4"/>
    <w:rsid w:val="056D1B0A"/>
    <w:rsid w:val="05E742EE"/>
    <w:rsid w:val="065906F6"/>
    <w:rsid w:val="06654A60"/>
    <w:rsid w:val="066A4E12"/>
    <w:rsid w:val="06E41AF9"/>
    <w:rsid w:val="0733046D"/>
    <w:rsid w:val="07674A7D"/>
    <w:rsid w:val="07AD2F74"/>
    <w:rsid w:val="07AE0EB7"/>
    <w:rsid w:val="07E70758"/>
    <w:rsid w:val="087C4F4B"/>
    <w:rsid w:val="08A5590A"/>
    <w:rsid w:val="08C7632B"/>
    <w:rsid w:val="08EF7436"/>
    <w:rsid w:val="0914152B"/>
    <w:rsid w:val="092F3068"/>
    <w:rsid w:val="09D013B7"/>
    <w:rsid w:val="0A5D23C2"/>
    <w:rsid w:val="0B0E7430"/>
    <w:rsid w:val="0BA70C31"/>
    <w:rsid w:val="0C19710E"/>
    <w:rsid w:val="0C8E5CCC"/>
    <w:rsid w:val="0CC37CFA"/>
    <w:rsid w:val="0CFC0623"/>
    <w:rsid w:val="0D5364A5"/>
    <w:rsid w:val="0D835B7E"/>
    <w:rsid w:val="0DF012B2"/>
    <w:rsid w:val="0DFC0C73"/>
    <w:rsid w:val="0E493DF1"/>
    <w:rsid w:val="0E691A30"/>
    <w:rsid w:val="0E794195"/>
    <w:rsid w:val="0E996B65"/>
    <w:rsid w:val="0ECB2F66"/>
    <w:rsid w:val="0ED15F2C"/>
    <w:rsid w:val="0F510A30"/>
    <w:rsid w:val="0F663403"/>
    <w:rsid w:val="0F855BE7"/>
    <w:rsid w:val="0F980C7B"/>
    <w:rsid w:val="0FAF7EE0"/>
    <w:rsid w:val="1024466C"/>
    <w:rsid w:val="105E3E15"/>
    <w:rsid w:val="109A7611"/>
    <w:rsid w:val="10EC2AC2"/>
    <w:rsid w:val="114B0997"/>
    <w:rsid w:val="11BA27CD"/>
    <w:rsid w:val="11C86E50"/>
    <w:rsid w:val="11D454B5"/>
    <w:rsid w:val="12160F3D"/>
    <w:rsid w:val="12383670"/>
    <w:rsid w:val="12737362"/>
    <w:rsid w:val="12BD3DDD"/>
    <w:rsid w:val="12D07D2E"/>
    <w:rsid w:val="12E54A8E"/>
    <w:rsid w:val="13772D39"/>
    <w:rsid w:val="14044A65"/>
    <w:rsid w:val="143119FB"/>
    <w:rsid w:val="14314A47"/>
    <w:rsid w:val="146124BC"/>
    <w:rsid w:val="14744662"/>
    <w:rsid w:val="14A57740"/>
    <w:rsid w:val="15633BC1"/>
    <w:rsid w:val="156B7D52"/>
    <w:rsid w:val="1595204E"/>
    <w:rsid w:val="159D203F"/>
    <w:rsid w:val="1652716C"/>
    <w:rsid w:val="166F51E0"/>
    <w:rsid w:val="16736B47"/>
    <w:rsid w:val="16AE0171"/>
    <w:rsid w:val="175947A3"/>
    <w:rsid w:val="17893D8A"/>
    <w:rsid w:val="17CA0709"/>
    <w:rsid w:val="17DC4231"/>
    <w:rsid w:val="17F74769"/>
    <w:rsid w:val="180A0571"/>
    <w:rsid w:val="181E4800"/>
    <w:rsid w:val="18CB2E67"/>
    <w:rsid w:val="197A4670"/>
    <w:rsid w:val="19A04C96"/>
    <w:rsid w:val="1A1A69B3"/>
    <w:rsid w:val="1A3A4F71"/>
    <w:rsid w:val="1A92257F"/>
    <w:rsid w:val="1AE7531F"/>
    <w:rsid w:val="1B334C68"/>
    <w:rsid w:val="1B5753C5"/>
    <w:rsid w:val="1B6028EE"/>
    <w:rsid w:val="1BD03658"/>
    <w:rsid w:val="1BE80BC8"/>
    <w:rsid w:val="1C171C54"/>
    <w:rsid w:val="1C6528D1"/>
    <w:rsid w:val="1CFD009B"/>
    <w:rsid w:val="1D131CD1"/>
    <w:rsid w:val="1D647C3D"/>
    <w:rsid w:val="1D7F23F9"/>
    <w:rsid w:val="1DAB2F77"/>
    <w:rsid w:val="1DBF0856"/>
    <w:rsid w:val="1E017B93"/>
    <w:rsid w:val="1E1E344E"/>
    <w:rsid w:val="1E4C3C27"/>
    <w:rsid w:val="1EC40006"/>
    <w:rsid w:val="1EC913F4"/>
    <w:rsid w:val="1F1C0096"/>
    <w:rsid w:val="1FBE4EC5"/>
    <w:rsid w:val="20090412"/>
    <w:rsid w:val="20166414"/>
    <w:rsid w:val="2040567B"/>
    <w:rsid w:val="204D2F02"/>
    <w:rsid w:val="207F4BDE"/>
    <w:rsid w:val="20895CE0"/>
    <w:rsid w:val="20914128"/>
    <w:rsid w:val="20CF008E"/>
    <w:rsid w:val="20E35932"/>
    <w:rsid w:val="20EA0B82"/>
    <w:rsid w:val="2119108D"/>
    <w:rsid w:val="21213C0C"/>
    <w:rsid w:val="213C6EC8"/>
    <w:rsid w:val="214F03B6"/>
    <w:rsid w:val="21800088"/>
    <w:rsid w:val="21C82EB5"/>
    <w:rsid w:val="222123B7"/>
    <w:rsid w:val="2279461F"/>
    <w:rsid w:val="22D63D52"/>
    <w:rsid w:val="22EC3468"/>
    <w:rsid w:val="230B5842"/>
    <w:rsid w:val="23111B23"/>
    <w:rsid w:val="234264D3"/>
    <w:rsid w:val="236A4A10"/>
    <w:rsid w:val="238201DC"/>
    <w:rsid w:val="23AF568E"/>
    <w:rsid w:val="23C010FB"/>
    <w:rsid w:val="240C3C72"/>
    <w:rsid w:val="244202E8"/>
    <w:rsid w:val="24764DC1"/>
    <w:rsid w:val="24967662"/>
    <w:rsid w:val="24A22503"/>
    <w:rsid w:val="24C8152A"/>
    <w:rsid w:val="24F52727"/>
    <w:rsid w:val="25175BF6"/>
    <w:rsid w:val="25206135"/>
    <w:rsid w:val="2581355B"/>
    <w:rsid w:val="25965D98"/>
    <w:rsid w:val="25AA584B"/>
    <w:rsid w:val="25B5385F"/>
    <w:rsid w:val="25F12005"/>
    <w:rsid w:val="262827A7"/>
    <w:rsid w:val="263536FB"/>
    <w:rsid w:val="26F0490D"/>
    <w:rsid w:val="27171BEE"/>
    <w:rsid w:val="273E5DC8"/>
    <w:rsid w:val="276E5A9A"/>
    <w:rsid w:val="27E66808"/>
    <w:rsid w:val="28104D40"/>
    <w:rsid w:val="28354429"/>
    <w:rsid w:val="284678BC"/>
    <w:rsid w:val="285F1E1A"/>
    <w:rsid w:val="28670A78"/>
    <w:rsid w:val="28737276"/>
    <w:rsid w:val="287B0AE2"/>
    <w:rsid w:val="28A80E21"/>
    <w:rsid w:val="28C22931"/>
    <w:rsid w:val="292F387B"/>
    <w:rsid w:val="29353928"/>
    <w:rsid w:val="2A4370E4"/>
    <w:rsid w:val="2A543418"/>
    <w:rsid w:val="2A74496A"/>
    <w:rsid w:val="2A881100"/>
    <w:rsid w:val="2A920384"/>
    <w:rsid w:val="2AAF50C4"/>
    <w:rsid w:val="2ACF254B"/>
    <w:rsid w:val="2AE927ED"/>
    <w:rsid w:val="2AEE6B01"/>
    <w:rsid w:val="2B183430"/>
    <w:rsid w:val="2B366201"/>
    <w:rsid w:val="2B4C3B06"/>
    <w:rsid w:val="2B59568D"/>
    <w:rsid w:val="2B875CF3"/>
    <w:rsid w:val="2B886F75"/>
    <w:rsid w:val="2B9D32F3"/>
    <w:rsid w:val="2BAC0025"/>
    <w:rsid w:val="2BC43236"/>
    <w:rsid w:val="2BF81E12"/>
    <w:rsid w:val="2C07664E"/>
    <w:rsid w:val="2C1106C8"/>
    <w:rsid w:val="2C36068C"/>
    <w:rsid w:val="2C404347"/>
    <w:rsid w:val="2C773583"/>
    <w:rsid w:val="2C80501C"/>
    <w:rsid w:val="2C852FD1"/>
    <w:rsid w:val="2CC714B4"/>
    <w:rsid w:val="2CD15648"/>
    <w:rsid w:val="2CF34431"/>
    <w:rsid w:val="2D452523"/>
    <w:rsid w:val="2D570703"/>
    <w:rsid w:val="2D9E4B7C"/>
    <w:rsid w:val="2DA33FD6"/>
    <w:rsid w:val="2DAF2FE1"/>
    <w:rsid w:val="2DB2355B"/>
    <w:rsid w:val="2E1632AB"/>
    <w:rsid w:val="2E47579B"/>
    <w:rsid w:val="2E5D03BB"/>
    <w:rsid w:val="2E7447DA"/>
    <w:rsid w:val="2E7F7FE3"/>
    <w:rsid w:val="2E81541B"/>
    <w:rsid w:val="2EA80AA8"/>
    <w:rsid w:val="2EBF7E7A"/>
    <w:rsid w:val="2EC94A38"/>
    <w:rsid w:val="2F0D2540"/>
    <w:rsid w:val="2F145D5B"/>
    <w:rsid w:val="2F165A4A"/>
    <w:rsid w:val="2FC550C6"/>
    <w:rsid w:val="2FFD5233"/>
    <w:rsid w:val="30155C99"/>
    <w:rsid w:val="30182835"/>
    <w:rsid w:val="30491724"/>
    <w:rsid w:val="305902FE"/>
    <w:rsid w:val="30863BAF"/>
    <w:rsid w:val="30A74EDF"/>
    <w:rsid w:val="313708CB"/>
    <w:rsid w:val="315B380F"/>
    <w:rsid w:val="315E6C95"/>
    <w:rsid w:val="31783AC4"/>
    <w:rsid w:val="31B72774"/>
    <w:rsid w:val="32180091"/>
    <w:rsid w:val="32273E1A"/>
    <w:rsid w:val="322E2CC1"/>
    <w:rsid w:val="32744B8F"/>
    <w:rsid w:val="329A3370"/>
    <w:rsid w:val="329D5730"/>
    <w:rsid w:val="32A12633"/>
    <w:rsid w:val="32BB3C6E"/>
    <w:rsid w:val="32F800A4"/>
    <w:rsid w:val="332B5C1B"/>
    <w:rsid w:val="33377D20"/>
    <w:rsid w:val="335F25A6"/>
    <w:rsid w:val="33C767A4"/>
    <w:rsid w:val="33FB069A"/>
    <w:rsid w:val="3424001A"/>
    <w:rsid w:val="34347A4F"/>
    <w:rsid w:val="346672C7"/>
    <w:rsid w:val="34C05C01"/>
    <w:rsid w:val="356928AF"/>
    <w:rsid w:val="35995F31"/>
    <w:rsid w:val="35C577F0"/>
    <w:rsid w:val="35FC1619"/>
    <w:rsid w:val="35FF488B"/>
    <w:rsid w:val="36597C9C"/>
    <w:rsid w:val="368E176D"/>
    <w:rsid w:val="36A24C49"/>
    <w:rsid w:val="36F53B9F"/>
    <w:rsid w:val="36F9504B"/>
    <w:rsid w:val="36FB77C2"/>
    <w:rsid w:val="37386E9E"/>
    <w:rsid w:val="373A1EFF"/>
    <w:rsid w:val="37467A89"/>
    <w:rsid w:val="37D320B4"/>
    <w:rsid w:val="37E66028"/>
    <w:rsid w:val="3823305A"/>
    <w:rsid w:val="387A77E0"/>
    <w:rsid w:val="38847E22"/>
    <w:rsid w:val="388C1D33"/>
    <w:rsid w:val="38975732"/>
    <w:rsid w:val="38A3074E"/>
    <w:rsid w:val="38D75836"/>
    <w:rsid w:val="38F66E16"/>
    <w:rsid w:val="39255B4E"/>
    <w:rsid w:val="39BE7B8B"/>
    <w:rsid w:val="39FA1EDA"/>
    <w:rsid w:val="3A9C2D71"/>
    <w:rsid w:val="3ABF0A6D"/>
    <w:rsid w:val="3ADB1B86"/>
    <w:rsid w:val="3B275097"/>
    <w:rsid w:val="3BAB17C0"/>
    <w:rsid w:val="3C072DE6"/>
    <w:rsid w:val="3C146F9D"/>
    <w:rsid w:val="3C5F11A3"/>
    <w:rsid w:val="3C65796A"/>
    <w:rsid w:val="3C7C2505"/>
    <w:rsid w:val="3CB0790D"/>
    <w:rsid w:val="3CB8263D"/>
    <w:rsid w:val="3CEC61F3"/>
    <w:rsid w:val="3D50466B"/>
    <w:rsid w:val="3D7A2ADA"/>
    <w:rsid w:val="3DA474A7"/>
    <w:rsid w:val="3E1F15C2"/>
    <w:rsid w:val="3E4D38B4"/>
    <w:rsid w:val="3ED26EF7"/>
    <w:rsid w:val="3ED810C8"/>
    <w:rsid w:val="3F431F24"/>
    <w:rsid w:val="3F83690D"/>
    <w:rsid w:val="3FA63174"/>
    <w:rsid w:val="3FED2FEE"/>
    <w:rsid w:val="40254D5C"/>
    <w:rsid w:val="405638F2"/>
    <w:rsid w:val="40D01062"/>
    <w:rsid w:val="41786CC9"/>
    <w:rsid w:val="41BF0895"/>
    <w:rsid w:val="42542524"/>
    <w:rsid w:val="4265677C"/>
    <w:rsid w:val="427E65EA"/>
    <w:rsid w:val="42B20141"/>
    <w:rsid w:val="42DE2F39"/>
    <w:rsid w:val="42ED5254"/>
    <w:rsid w:val="42FE4651"/>
    <w:rsid w:val="438458A9"/>
    <w:rsid w:val="4398674F"/>
    <w:rsid w:val="43B562A2"/>
    <w:rsid w:val="44017717"/>
    <w:rsid w:val="446B246D"/>
    <w:rsid w:val="447569F3"/>
    <w:rsid w:val="45365B70"/>
    <w:rsid w:val="45876536"/>
    <w:rsid w:val="45C81F49"/>
    <w:rsid w:val="45CA5089"/>
    <w:rsid w:val="45FC0CDF"/>
    <w:rsid w:val="46033C1A"/>
    <w:rsid w:val="460D1AD1"/>
    <w:rsid w:val="467557CF"/>
    <w:rsid w:val="46F22B79"/>
    <w:rsid w:val="47117FD1"/>
    <w:rsid w:val="47701C07"/>
    <w:rsid w:val="483F4663"/>
    <w:rsid w:val="488355B6"/>
    <w:rsid w:val="48981CF4"/>
    <w:rsid w:val="492E33A9"/>
    <w:rsid w:val="49353926"/>
    <w:rsid w:val="49593384"/>
    <w:rsid w:val="498C18CA"/>
    <w:rsid w:val="49956188"/>
    <w:rsid w:val="49A3785C"/>
    <w:rsid w:val="49C83D8B"/>
    <w:rsid w:val="49E34016"/>
    <w:rsid w:val="4A124295"/>
    <w:rsid w:val="4A216B47"/>
    <w:rsid w:val="4A481D20"/>
    <w:rsid w:val="4A495A51"/>
    <w:rsid w:val="4A8153EE"/>
    <w:rsid w:val="4AE868AB"/>
    <w:rsid w:val="4AEA7F27"/>
    <w:rsid w:val="4AF43D99"/>
    <w:rsid w:val="4B003430"/>
    <w:rsid w:val="4B4B5BA4"/>
    <w:rsid w:val="4B602D7A"/>
    <w:rsid w:val="4B6D7CA0"/>
    <w:rsid w:val="4B876221"/>
    <w:rsid w:val="4BF71C3E"/>
    <w:rsid w:val="4C2048B3"/>
    <w:rsid w:val="4C6960AC"/>
    <w:rsid w:val="4CB849CD"/>
    <w:rsid w:val="4D155AE9"/>
    <w:rsid w:val="4D216D63"/>
    <w:rsid w:val="4D872E10"/>
    <w:rsid w:val="4D9D294B"/>
    <w:rsid w:val="4E296D07"/>
    <w:rsid w:val="4E30496A"/>
    <w:rsid w:val="4E533BD4"/>
    <w:rsid w:val="4E6867C7"/>
    <w:rsid w:val="4EC24A00"/>
    <w:rsid w:val="4ECD19C9"/>
    <w:rsid w:val="4F0D5F99"/>
    <w:rsid w:val="4F3B1580"/>
    <w:rsid w:val="4F45079D"/>
    <w:rsid w:val="4F596E09"/>
    <w:rsid w:val="4FB72EC4"/>
    <w:rsid w:val="4FFF5657"/>
    <w:rsid w:val="50303E71"/>
    <w:rsid w:val="50464A35"/>
    <w:rsid w:val="50567CE2"/>
    <w:rsid w:val="508D1BD9"/>
    <w:rsid w:val="51587843"/>
    <w:rsid w:val="515A047F"/>
    <w:rsid w:val="51AC651C"/>
    <w:rsid w:val="51BD639D"/>
    <w:rsid w:val="51BE21EF"/>
    <w:rsid w:val="52715451"/>
    <w:rsid w:val="529342F4"/>
    <w:rsid w:val="52C57C7B"/>
    <w:rsid w:val="52F57E4A"/>
    <w:rsid w:val="52FF6532"/>
    <w:rsid w:val="530865C0"/>
    <w:rsid w:val="530D26ED"/>
    <w:rsid w:val="531801C4"/>
    <w:rsid w:val="53847714"/>
    <w:rsid w:val="53CF4424"/>
    <w:rsid w:val="540C7DB2"/>
    <w:rsid w:val="54207D48"/>
    <w:rsid w:val="550D180D"/>
    <w:rsid w:val="551212BD"/>
    <w:rsid w:val="5531595A"/>
    <w:rsid w:val="55323DE5"/>
    <w:rsid w:val="559840EB"/>
    <w:rsid w:val="55AE2BFE"/>
    <w:rsid w:val="55F54981"/>
    <w:rsid w:val="55FC6467"/>
    <w:rsid w:val="5604752C"/>
    <w:rsid w:val="56107BDA"/>
    <w:rsid w:val="56483EBC"/>
    <w:rsid w:val="5678513B"/>
    <w:rsid w:val="568F06DB"/>
    <w:rsid w:val="56C44824"/>
    <w:rsid w:val="570854BD"/>
    <w:rsid w:val="57F9132F"/>
    <w:rsid w:val="57FD4E0B"/>
    <w:rsid w:val="5827489A"/>
    <w:rsid w:val="584D1551"/>
    <w:rsid w:val="58805926"/>
    <w:rsid w:val="589B6092"/>
    <w:rsid w:val="5911444A"/>
    <w:rsid w:val="59584E20"/>
    <w:rsid w:val="595D785A"/>
    <w:rsid w:val="596A7D11"/>
    <w:rsid w:val="59A47E1B"/>
    <w:rsid w:val="59BB63C2"/>
    <w:rsid w:val="5A245C08"/>
    <w:rsid w:val="5A9056E2"/>
    <w:rsid w:val="5A941740"/>
    <w:rsid w:val="5A9602CD"/>
    <w:rsid w:val="5AAC6819"/>
    <w:rsid w:val="5ABD0C80"/>
    <w:rsid w:val="5B2F416F"/>
    <w:rsid w:val="5B5B6114"/>
    <w:rsid w:val="5B5F51E1"/>
    <w:rsid w:val="5B991B29"/>
    <w:rsid w:val="5BA10461"/>
    <w:rsid w:val="5BAA15A6"/>
    <w:rsid w:val="5BEA3E40"/>
    <w:rsid w:val="5C14286F"/>
    <w:rsid w:val="5C496465"/>
    <w:rsid w:val="5C58084B"/>
    <w:rsid w:val="5C60789B"/>
    <w:rsid w:val="5C926B4F"/>
    <w:rsid w:val="5CA87F36"/>
    <w:rsid w:val="5CAA70E4"/>
    <w:rsid w:val="5CCA6F24"/>
    <w:rsid w:val="5D7E29BE"/>
    <w:rsid w:val="5DE428BB"/>
    <w:rsid w:val="5DED2A30"/>
    <w:rsid w:val="5E420FEF"/>
    <w:rsid w:val="5E564705"/>
    <w:rsid w:val="5E735C99"/>
    <w:rsid w:val="5F0A220D"/>
    <w:rsid w:val="5F272E87"/>
    <w:rsid w:val="5F5C6C2C"/>
    <w:rsid w:val="5F6A36A5"/>
    <w:rsid w:val="5F760169"/>
    <w:rsid w:val="5F801715"/>
    <w:rsid w:val="5FA117D3"/>
    <w:rsid w:val="5FC324AB"/>
    <w:rsid w:val="5FC96C97"/>
    <w:rsid w:val="5FD5288F"/>
    <w:rsid w:val="5FE96431"/>
    <w:rsid w:val="5FF067F2"/>
    <w:rsid w:val="60D1764E"/>
    <w:rsid w:val="60D90710"/>
    <w:rsid w:val="60E62632"/>
    <w:rsid w:val="60FA6AB1"/>
    <w:rsid w:val="60FE69AF"/>
    <w:rsid w:val="61983CFA"/>
    <w:rsid w:val="61AF31B0"/>
    <w:rsid w:val="61C979DA"/>
    <w:rsid w:val="61DC4B03"/>
    <w:rsid w:val="61E73E20"/>
    <w:rsid w:val="62165216"/>
    <w:rsid w:val="622B0C82"/>
    <w:rsid w:val="624F0268"/>
    <w:rsid w:val="626B386A"/>
    <w:rsid w:val="629404F6"/>
    <w:rsid w:val="629B76DE"/>
    <w:rsid w:val="62D01A62"/>
    <w:rsid w:val="63196012"/>
    <w:rsid w:val="63C162C7"/>
    <w:rsid w:val="64200858"/>
    <w:rsid w:val="64567117"/>
    <w:rsid w:val="647E1DB3"/>
    <w:rsid w:val="64A1499C"/>
    <w:rsid w:val="64AA1F09"/>
    <w:rsid w:val="64B1694B"/>
    <w:rsid w:val="65382D11"/>
    <w:rsid w:val="657131AE"/>
    <w:rsid w:val="65F061AB"/>
    <w:rsid w:val="66006D06"/>
    <w:rsid w:val="662D7A22"/>
    <w:rsid w:val="664034E9"/>
    <w:rsid w:val="66714A01"/>
    <w:rsid w:val="667707C3"/>
    <w:rsid w:val="66B5632B"/>
    <w:rsid w:val="67154A40"/>
    <w:rsid w:val="673960D0"/>
    <w:rsid w:val="67B76D3A"/>
    <w:rsid w:val="67C8313D"/>
    <w:rsid w:val="67E802BB"/>
    <w:rsid w:val="681A728D"/>
    <w:rsid w:val="681B3F3B"/>
    <w:rsid w:val="681C0FA8"/>
    <w:rsid w:val="68231787"/>
    <w:rsid w:val="686A5375"/>
    <w:rsid w:val="68CB58E2"/>
    <w:rsid w:val="69093274"/>
    <w:rsid w:val="69382A2C"/>
    <w:rsid w:val="69434640"/>
    <w:rsid w:val="695E59BB"/>
    <w:rsid w:val="69BE761B"/>
    <w:rsid w:val="69F44B05"/>
    <w:rsid w:val="6A3B5CCC"/>
    <w:rsid w:val="6A4E5A82"/>
    <w:rsid w:val="6A750CAB"/>
    <w:rsid w:val="6A7860F6"/>
    <w:rsid w:val="6ACC5DFD"/>
    <w:rsid w:val="6AF57E4F"/>
    <w:rsid w:val="6AFC2405"/>
    <w:rsid w:val="6B531F31"/>
    <w:rsid w:val="6BA039A7"/>
    <w:rsid w:val="6BC3237E"/>
    <w:rsid w:val="6C175138"/>
    <w:rsid w:val="6C1C5327"/>
    <w:rsid w:val="6C2000E4"/>
    <w:rsid w:val="6C5543F6"/>
    <w:rsid w:val="6C6E0A2D"/>
    <w:rsid w:val="6CC610F6"/>
    <w:rsid w:val="6CD97AAE"/>
    <w:rsid w:val="6CE326B4"/>
    <w:rsid w:val="6CFA0B34"/>
    <w:rsid w:val="6D567859"/>
    <w:rsid w:val="6D6431E7"/>
    <w:rsid w:val="6DEF7AF4"/>
    <w:rsid w:val="6DF87AF7"/>
    <w:rsid w:val="6E076DA5"/>
    <w:rsid w:val="6E0A5AC7"/>
    <w:rsid w:val="6EA346C1"/>
    <w:rsid w:val="6ECE52E3"/>
    <w:rsid w:val="6ED060D6"/>
    <w:rsid w:val="6F073579"/>
    <w:rsid w:val="6F104677"/>
    <w:rsid w:val="6F3C7D55"/>
    <w:rsid w:val="6FDB5281"/>
    <w:rsid w:val="70366E3A"/>
    <w:rsid w:val="70770658"/>
    <w:rsid w:val="707E341F"/>
    <w:rsid w:val="7092189C"/>
    <w:rsid w:val="70EF6FC3"/>
    <w:rsid w:val="71452A5C"/>
    <w:rsid w:val="715C5EA4"/>
    <w:rsid w:val="71B7559E"/>
    <w:rsid w:val="71D10E38"/>
    <w:rsid w:val="71FA788D"/>
    <w:rsid w:val="724353DC"/>
    <w:rsid w:val="7281544F"/>
    <w:rsid w:val="73187FD2"/>
    <w:rsid w:val="733A3A51"/>
    <w:rsid w:val="7375187B"/>
    <w:rsid w:val="73FA382B"/>
    <w:rsid w:val="743E5FCE"/>
    <w:rsid w:val="74456497"/>
    <w:rsid w:val="749A33CB"/>
    <w:rsid w:val="74D93AE8"/>
    <w:rsid w:val="75047483"/>
    <w:rsid w:val="75AF0E73"/>
    <w:rsid w:val="75F17119"/>
    <w:rsid w:val="76012F4A"/>
    <w:rsid w:val="763A3D27"/>
    <w:rsid w:val="763D1425"/>
    <w:rsid w:val="766522DD"/>
    <w:rsid w:val="766E211A"/>
    <w:rsid w:val="76870A83"/>
    <w:rsid w:val="771409EA"/>
    <w:rsid w:val="77241A92"/>
    <w:rsid w:val="7727446A"/>
    <w:rsid w:val="7728605E"/>
    <w:rsid w:val="774C2C85"/>
    <w:rsid w:val="777F6D57"/>
    <w:rsid w:val="77CA6518"/>
    <w:rsid w:val="77E36DBE"/>
    <w:rsid w:val="78191B58"/>
    <w:rsid w:val="781A3F51"/>
    <w:rsid w:val="782D1E34"/>
    <w:rsid w:val="786D0E17"/>
    <w:rsid w:val="78B91C5E"/>
    <w:rsid w:val="78E06897"/>
    <w:rsid w:val="79411154"/>
    <w:rsid w:val="795850C6"/>
    <w:rsid w:val="79636BD8"/>
    <w:rsid w:val="797C0647"/>
    <w:rsid w:val="797E2695"/>
    <w:rsid w:val="79B73810"/>
    <w:rsid w:val="7A073A10"/>
    <w:rsid w:val="7A18547F"/>
    <w:rsid w:val="7A665991"/>
    <w:rsid w:val="7ABD68D3"/>
    <w:rsid w:val="7AD0650C"/>
    <w:rsid w:val="7AE37597"/>
    <w:rsid w:val="7B023D27"/>
    <w:rsid w:val="7B28499C"/>
    <w:rsid w:val="7B2F1082"/>
    <w:rsid w:val="7B3A497C"/>
    <w:rsid w:val="7B466115"/>
    <w:rsid w:val="7B675965"/>
    <w:rsid w:val="7B7F2425"/>
    <w:rsid w:val="7B8B7F63"/>
    <w:rsid w:val="7BA0360C"/>
    <w:rsid w:val="7BF02C26"/>
    <w:rsid w:val="7C232079"/>
    <w:rsid w:val="7C4C347A"/>
    <w:rsid w:val="7C5A65DC"/>
    <w:rsid w:val="7D300BEB"/>
    <w:rsid w:val="7D31489A"/>
    <w:rsid w:val="7D423053"/>
    <w:rsid w:val="7D7D15ED"/>
    <w:rsid w:val="7DA22D3C"/>
    <w:rsid w:val="7DC75B86"/>
    <w:rsid w:val="7E2D2934"/>
    <w:rsid w:val="7E3F3472"/>
    <w:rsid w:val="7E465FAF"/>
    <w:rsid w:val="7E8018F3"/>
    <w:rsid w:val="7ECB6813"/>
    <w:rsid w:val="7EF3324B"/>
    <w:rsid w:val="7F1933E9"/>
    <w:rsid w:val="7F2F6A35"/>
    <w:rsid w:val="7F3C61CA"/>
    <w:rsid w:val="7F401510"/>
    <w:rsid w:val="7F49430F"/>
    <w:rsid w:val="7F9B76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qFormat="1" w:unhideWhenUsed="0" w:uiPriority="0" w:semiHidden="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99" w:semiHidden="0" w:name="List Number 3"/>
    <w:lsdException w:uiPriority="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99" w:semiHidden="0" w:name="HTML Preformatted"/>
    <w:lsdException w:qFormat="1" w:unhideWhenUsed="0" w:uiPriority="0" w:semiHidden="0" w:name="HTML Sample"/>
    <w:lsdException w:qFormat="1" w:unhideWhenUsed="0" w:uiPriority="99" w:semiHidden="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64"/>
    <w:qFormat/>
    <w:uiPriority w:val="9"/>
    <w:pPr>
      <w:keepNext/>
      <w:spacing w:line="380" w:lineRule="exact"/>
      <w:jc w:val="center"/>
      <w:outlineLvl w:val="0"/>
    </w:pPr>
    <w:rPr>
      <w:rFonts w:ascii="宋体" w:hAnsi="宋体"/>
      <w:b/>
      <w:kern w:val="44"/>
      <w:sz w:val="44"/>
      <w:szCs w:val="44"/>
    </w:rPr>
  </w:style>
  <w:style w:type="paragraph" w:styleId="5">
    <w:name w:val="heading 2"/>
    <w:basedOn w:val="1"/>
    <w:next w:val="1"/>
    <w:link w:val="65"/>
    <w:qFormat/>
    <w:uiPriority w:val="9"/>
    <w:pPr>
      <w:keepNext/>
      <w:keepLines/>
      <w:tabs>
        <w:tab w:val="left" w:pos="578"/>
      </w:tabs>
      <w:spacing w:beforeLines="50" w:afterLines="50" w:line="360" w:lineRule="auto"/>
      <w:ind w:left="578" w:hanging="578"/>
      <w:outlineLvl w:val="1"/>
    </w:pPr>
    <w:rPr>
      <w:rFonts w:ascii="Cambria" w:hAnsi="Cambria"/>
      <w:szCs w:val="21"/>
    </w:rPr>
  </w:style>
  <w:style w:type="paragraph" w:styleId="6">
    <w:name w:val="heading 3"/>
    <w:basedOn w:val="1"/>
    <w:next w:val="1"/>
    <w:link w:val="66"/>
    <w:qFormat/>
    <w:uiPriority w:val="9"/>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7">
    <w:name w:val="heading 4"/>
    <w:basedOn w:val="1"/>
    <w:next w:val="1"/>
    <w:link w:val="67"/>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styleId="8">
    <w:name w:val="heading 5"/>
    <w:basedOn w:val="1"/>
    <w:next w:val="1"/>
    <w:link w:val="68"/>
    <w:qFormat/>
    <w:uiPriority w:val="9"/>
    <w:pPr>
      <w:keepNext/>
      <w:keepLines/>
      <w:tabs>
        <w:tab w:val="left" w:pos="1548"/>
      </w:tabs>
      <w:spacing w:before="280" w:after="290" w:line="376" w:lineRule="auto"/>
      <w:ind w:left="1548" w:hanging="1548"/>
      <w:outlineLvl w:val="4"/>
    </w:pPr>
    <w:rPr>
      <w:b/>
      <w:sz w:val="28"/>
    </w:rPr>
  </w:style>
  <w:style w:type="paragraph" w:styleId="9">
    <w:name w:val="heading 6"/>
    <w:basedOn w:val="1"/>
    <w:next w:val="1"/>
    <w:link w:val="69"/>
    <w:qFormat/>
    <w:uiPriority w:val="9"/>
    <w:pPr>
      <w:keepNext/>
      <w:keepLines/>
      <w:spacing w:before="240" w:after="64" w:line="320" w:lineRule="auto"/>
      <w:outlineLvl w:val="5"/>
    </w:pPr>
    <w:rPr>
      <w:rFonts w:ascii="Cambria" w:hAnsi="Cambria"/>
      <w:b/>
      <w:sz w:val="24"/>
    </w:rPr>
  </w:style>
  <w:style w:type="paragraph" w:styleId="10">
    <w:name w:val="heading 7"/>
    <w:basedOn w:val="1"/>
    <w:next w:val="1"/>
    <w:link w:val="70"/>
    <w:qFormat/>
    <w:uiPriority w:val="9"/>
    <w:pPr>
      <w:keepNext/>
      <w:keepLines/>
      <w:tabs>
        <w:tab w:val="left" w:pos="1296"/>
      </w:tabs>
      <w:spacing w:before="240" w:after="64" w:line="317" w:lineRule="auto"/>
      <w:ind w:left="2940" w:hanging="420"/>
      <w:outlineLvl w:val="6"/>
    </w:pPr>
    <w:rPr>
      <w:b/>
      <w:sz w:val="24"/>
    </w:rPr>
  </w:style>
  <w:style w:type="paragraph" w:styleId="11">
    <w:name w:val="heading 8"/>
    <w:basedOn w:val="1"/>
    <w:next w:val="1"/>
    <w:link w:val="71"/>
    <w:qFormat/>
    <w:uiPriority w:val="9"/>
    <w:pPr>
      <w:keepNext/>
      <w:keepLines/>
      <w:tabs>
        <w:tab w:val="left" w:pos="1440"/>
      </w:tabs>
      <w:spacing w:before="240" w:after="64" w:line="317" w:lineRule="auto"/>
      <w:ind w:left="3360" w:hanging="420"/>
      <w:outlineLvl w:val="7"/>
    </w:pPr>
    <w:rPr>
      <w:rFonts w:ascii="Arial" w:hAnsi="Arial" w:eastAsia="黑体"/>
      <w:sz w:val="24"/>
    </w:rPr>
  </w:style>
  <w:style w:type="paragraph" w:styleId="12">
    <w:name w:val="heading 9"/>
    <w:basedOn w:val="1"/>
    <w:next w:val="1"/>
    <w:link w:val="72"/>
    <w:qFormat/>
    <w:uiPriority w:val="9"/>
    <w:pPr>
      <w:keepNext/>
      <w:keepLines/>
      <w:tabs>
        <w:tab w:val="left" w:pos="1584"/>
      </w:tabs>
      <w:spacing w:before="240" w:after="64" w:line="317" w:lineRule="auto"/>
      <w:ind w:left="3780" w:hanging="420"/>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89"/>
    <w:qFormat/>
    <w:uiPriority w:val="99"/>
    <w:pPr>
      <w:spacing w:after="120"/>
      <w:ind w:firstLine="420" w:firstLineChars="100"/>
    </w:pPr>
    <w:rPr>
      <w:i/>
      <w:kern w:val="2"/>
      <w:sz w:val="24"/>
    </w:rPr>
  </w:style>
  <w:style w:type="paragraph" w:styleId="3">
    <w:name w:val="Body Text"/>
    <w:basedOn w:val="1"/>
    <w:next w:val="2"/>
    <w:link w:val="63"/>
    <w:qFormat/>
    <w:uiPriority w:val="99"/>
    <w:rPr>
      <w:rFonts w:ascii="宋体" w:hAnsi="宋体"/>
      <w:kern w:val="0"/>
      <w:sz w:val="20"/>
    </w:rPr>
  </w:style>
  <w:style w:type="paragraph" w:styleId="13">
    <w:name w:val="toc 7"/>
    <w:basedOn w:val="1"/>
    <w:next w:val="1"/>
    <w:qFormat/>
    <w:uiPriority w:val="39"/>
    <w:pPr>
      <w:ind w:left="1260"/>
      <w:jc w:val="left"/>
    </w:pPr>
    <w:rPr>
      <w:sz w:val="18"/>
      <w:szCs w:val="18"/>
    </w:rPr>
  </w:style>
  <w:style w:type="paragraph" w:styleId="14">
    <w:name w:val="Normal Indent"/>
    <w:basedOn w:val="1"/>
    <w:next w:val="1"/>
    <w:link w:val="73"/>
    <w:qFormat/>
    <w:uiPriority w:val="0"/>
    <w:pPr>
      <w:ind w:firstLine="420" w:firstLineChars="200"/>
    </w:pPr>
    <w:rPr>
      <w:rFonts w:ascii="宋体" w:hAnsi="宋体"/>
      <w:spacing w:val="14"/>
      <w:kern w:val="24"/>
      <w:sz w:val="24"/>
      <w:szCs w:val="24"/>
    </w:rPr>
  </w:style>
  <w:style w:type="paragraph" w:styleId="15">
    <w:name w:val="caption"/>
    <w:basedOn w:val="1"/>
    <w:next w:val="1"/>
    <w:qFormat/>
    <w:uiPriority w:val="0"/>
    <w:pPr>
      <w:spacing w:before="152" w:after="160"/>
    </w:pPr>
    <w:rPr>
      <w:rFonts w:ascii="Arial" w:hAnsi="Arial" w:eastAsia="黑体" w:cs="Arial"/>
      <w:sz w:val="20"/>
    </w:rPr>
  </w:style>
  <w:style w:type="paragraph" w:styleId="16">
    <w:name w:val="Document Map"/>
    <w:basedOn w:val="1"/>
    <w:link w:val="74"/>
    <w:qFormat/>
    <w:uiPriority w:val="0"/>
    <w:pPr>
      <w:shd w:val="clear" w:color="auto" w:fill="000080"/>
    </w:pPr>
  </w:style>
  <w:style w:type="paragraph" w:styleId="17">
    <w:name w:val="toa heading"/>
    <w:basedOn w:val="1"/>
    <w:next w:val="1"/>
    <w:semiHidden/>
    <w:qFormat/>
    <w:uiPriority w:val="0"/>
    <w:pPr>
      <w:spacing w:before="120"/>
    </w:pPr>
    <w:rPr>
      <w:rFonts w:ascii="Arial" w:hAnsi="Arial"/>
      <w:b/>
      <w:bCs/>
      <w:szCs w:val="24"/>
    </w:rPr>
  </w:style>
  <w:style w:type="paragraph" w:styleId="18">
    <w:name w:val="annotation text"/>
    <w:basedOn w:val="1"/>
    <w:link w:val="75"/>
    <w:qFormat/>
    <w:uiPriority w:val="0"/>
    <w:pPr>
      <w:jc w:val="left"/>
    </w:pPr>
    <w:rPr>
      <w:rFonts w:ascii="宋体" w:hAnsi="宋体"/>
      <w:szCs w:val="21"/>
    </w:rPr>
  </w:style>
  <w:style w:type="paragraph" w:styleId="19">
    <w:name w:val="Body Text 3"/>
    <w:basedOn w:val="1"/>
    <w:link w:val="76"/>
    <w:qFormat/>
    <w:uiPriority w:val="0"/>
    <w:pPr>
      <w:spacing w:after="120" w:line="360" w:lineRule="auto"/>
    </w:pPr>
    <w:rPr>
      <w:kern w:val="0"/>
      <w:sz w:val="16"/>
    </w:rPr>
  </w:style>
  <w:style w:type="paragraph" w:styleId="20">
    <w:name w:val="Body Text Indent"/>
    <w:basedOn w:val="1"/>
    <w:next w:val="21"/>
    <w:link w:val="77"/>
    <w:qFormat/>
    <w:uiPriority w:val="0"/>
    <w:pPr>
      <w:spacing w:line="380" w:lineRule="exact"/>
      <w:ind w:firstLine="480"/>
    </w:pPr>
    <w:rPr>
      <w:rFonts w:eastAsia="方正书宋简体"/>
      <w:sz w:val="24"/>
    </w:rPr>
  </w:style>
  <w:style w:type="paragraph" w:styleId="21">
    <w:name w:val="envelope return"/>
    <w:basedOn w:val="1"/>
    <w:qFormat/>
    <w:uiPriority w:val="0"/>
    <w:pPr>
      <w:snapToGrid w:val="0"/>
    </w:pPr>
    <w:rPr>
      <w:rFonts w:ascii="Arial" w:hAnsi="Arial"/>
    </w:rPr>
  </w:style>
  <w:style w:type="paragraph" w:styleId="22">
    <w:name w:val="List Number 3"/>
    <w:basedOn w:val="1"/>
    <w:qFormat/>
    <w:uiPriority w:val="99"/>
    <w:pPr>
      <w:widowControl/>
      <w:tabs>
        <w:tab w:val="left" w:pos="482"/>
      </w:tabs>
      <w:spacing w:afterLines="50"/>
      <w:ind w:left="482" w:hanging="340"/>
      <w:jc w:val="left"/>
    </w:pPr>
    <w:rPr>
      <w:kern w:val="0"/>
      <w:sz w:val="24"/>
    </w:rPr>
  </w:style>
  <w:style w:type="paragraph" w:styleId="23">
    <w:name w:val="List 2"/>
    <w:basedOn w:val="1"/>
    <w:qFormat/>
    <w:uiPriority w:val="0"/>
    <w:pPr>
      <w:ind w:left="100" w:leftChars="200" w:hanging="200" w:hangingChars="200"/>
    </w:pPr>
    <w:rPr>
      <w:sz w:val="28"/>
      <w:szCs w:val="24"/>
    </w:rPr>
  </w:style>
  <w:style w:type="paragraph" w:styleId="24">
    <w:name w:val="Block Text"/>
    <w:basedOn w:val="1"/>
    <w:next w:val="1"/>
    <w:unhideWhenUsed/>
    <w:qFormat/>
    <w:uiPriority w:val="99"/>
    <w:pPr>
      <w:spacing w:after="120"/>
      <w:ind w:left="1440" w:leftChars="700" w:right="1440" w:rightChars="700"/>
    </w:pPr>
  </w:style>
  <w:style w:type="paragraph" w:styleId="25">
    <w:name w:val="toc 5"/>
    <w:basedOn w:val="1"/>
    <w:next w:val="1"/>
    <w:qFormat/>
    <w:uiPriority w:val="39"/>
    <w:pPr>
      <w:ind w:left="840"/>
      <w:jc w:val="left"/>
    </w:pPr>
    <w:rPr>
      <w:sz w:val="18"/>
      <w:szCs w:val="18"/>
    </w:rPr>
  </w:style>
  <w:style w:type="paragraph" w:styleId="26">
    <w:name w:val="toc 3"/>
    <w:basedOn w:val="1"/>
    <w:next w:val="1"/>
    <w:qFormat/>
    <w:uiPriority w:val="39"/>
    <w:pPr>
      <w:ind w:left="420"/>
      <w:jc w:val="left"/>
    </w:pPr>
    <w:rPr>
      <w:i/>
      <w:iCs/>
      <w:sz w:val="20"/>
    </w:rPr>
  </w:style>
  <w:style w:type="paragraph" w:styleId="27">
    <w:name w:val="Plain Text"/>
    <w:basedOn w:val="1"/>
    <w:next w:val="1"/>
    <w:link w:val="78"/>
    <w:qFormat/>
    <w:uiPriority w:val="0"/>
    <w:pPr>
      <w:widowControl/>
      <w:spacing w:before="100" w:beforeAutospacing="1" w:after="100" w:afterAutospacing="1"/>
      <w:jc w:val="left"/>
    </w:pPr>
    <w:rPr>
      <w:rFonts w:ascii="宋体" w:hAnsi="Courier New"/>
      <w:kern w:val="0"/>
      <w:sz w:val="20"/>
    </w:rPr>
  </w:style>
  <w:style w:type="paragraph" w:styleId="28">
    <w:name w:val="toc 8"/>
    <w:basedOn w:val="1"/>
    <w:next w:val="1"/>
    <w:qFormat/>
    <w:uiPriority w:val="39"/>
    <w:pPr>
      <w:ind w:left="1470"/>
      <w:jc w:val="left"/>
    </w:pPr>
    <w:rPr>
      <w:sz w:val="18"/>
      <w:szCs w:val="18"/>
    </w:rPr>
  </w:style>
  <w:style w:type="paragraph" w:styleId="29">
    <w:name w:val="Date"/>
    <w:basedOn w:val="1"/>
    <w:next w:val="1"/>
    <w:link w:val="79"/>
    <w:qFormat/>
    <w:uiPriority w:val="0"/>
    <w:pPr>
      <w:adjustRightInd w:val="0"/>
      <w:spacing w:line="312" w:lineRule="atLeast"/>
      <w:jc w:val="right"/>
      <w:textAlignment w:val="baseline"/>
    </w:pPr>
    <w:rPr>
      <w:rFonts w:ascii="宋体"/>
      <w:kern w:val="0"/>
      <w:sz w:val="24"/>
    </w:rPr>
  </w:style>
  <w:style w:type="paragraph" w:styleId="30">
    <w:name w:val="Body Text Indent 2"/>
    <w:basedOn w:val="1"/>
    <w:link w:val="80"/>
    <w:qFormat/>
    <w:uiPriority w:val="0"/>
    <w:pPr>
      <w:spacing w:line="380" w:lineRule="exact"/>
      <w:ind w:left="840" w:hanging="45"/>
    </w:pPr>
    <w:rPr>
      <w:rFonts w:ascii="宋体"/>
      <w:sz w:val="24"/>
    </w:rPr>
  </w:style>
  <w:style w:type="paragraph" w:styleId="31">
    <w:name w:val="Balloon Text"/>
    <w:basedOn w:val="1"/>
    <w:link w:val="81"/>
    <w:qFormat/>
    <w:uiPriority w:val="99"/>
    <w:rPr>
      <w:rFonts w:ascii="宋体" w:hAnsi="宋体"/>
      <w:sz w:val="18"/>
      <w:szCs w:val="18"/>
    </w:rPr>
  </w:style>
  <w:style w:type="paragraph" w:styleId="32">
    <w:name w:val="footer"/>
    <w:basedOn w:val="1"/>
    <w:link w:val="82"/>
    <w:qFormat/>
    <w:uiPriority w:val="99"/>
    <w:pPr>
      <w:tabs>
        <w:tab w:val="center" w:pos="4153"/>
        <w:tab w:val="right" w:pos="8306"/>
      </w:tabs>
      <w:snapToGrid w:val="0"/>
      <w:jc w:val="left"/>
    </w:pPr>
    <w:rPr>
      <w:rFonts w:ascii="宋体" w:hAnsi="宋体"/>
      <w:sz w:val="18"/>
      <w:szCs w:val="18"/>
    </w:rPr>
  </w:style>
  <w:style w:type="paragraph" w:styleId="33">
    <w:name w:val="header"/>
    <w:basedOn w:val="1"/>
    <w:link w:val="83"/>
    <w:qFormat/>
    <w:uiPriority w:val="99"/>
    <w:pPr>
      <w:pBdr>
        <w:bottom w:val="single" w:color="auto" w:sz="6" w:space="1"/>
      </w:pBdr>
      <w:tabs>
        <w:tab w:val="center" w:pos="4153"/>
        <w:tab w:val="right" w:pos="8306"/>
      </w:tabs>
      <w:snapToGrid w:val="0"/>
      <w:jc w:val="center"/>
    </w:pPr>
    <w:rPr>
      <w:rFonts w:ascii="宋体" w:hAnsi="宋体"/>
      <w:sz w:val="18"/>
      <w:szCs w:val="18"/>
    </w:rPr>
  </w:style>
  <w:style w:type="paragraph" w:styleId="34">
    <w:name w:val="toc 1"/>
    <w:basedOn w:val="1"/>
    <w:next w:val="1"/>
    <w:qFormat/>
    <w:uiPriority w:val="39"/>
    <w:pPr>
      <w:tabs>
        <w:tab w:val="right" w:leader="dot" w:pos="8721"/>
      </w:tabs>
      <w:spacing w:line="480" w:lineRule="auto"/>
    </w:pPr>
    <w:rPr>
      <w:rFonts w:ascii="宋体" w:hAnsi="宋体"/>
      <w:color w:val="000000"/>
      <w:sz w:val="32"/>
      <w:szCs w:val="32"/>
    </w:rPr>
  </w:style>
  <w:style w:type="paragraph" w:styleId="35">
    <w:name w:val="toc 4"/>
    <w:basedOn w:val="1"/>
    <w:next w:val="1"/>
    <w:qFormat/>
    <w:uiPriority w:val="39"/>
    <w:pPr>
      <w:ind w:left="630"/>
      <w:jc w:val="left"/>
    </w:pPr>
    <w:rPr>
      <w:sz w:val="18"/>
      <w:szCs w:val="18"/>
    </w:rPr>
  </w:style>
  <w:style w:type="paragraph" w:styleId="36">
    <w:name w:val="List Number 5"/>
    <w:basedOn w:val="1"/>
    <w:qFormat/>
    <w:uiPriority w:val="99"/>
    <w:pPr>
      <w:tabs>
        <w:tab w:val="left" w:pos="2608"/>
      </w:tabs>
      <w:spacing w:line="360" w:lineRule="auto"/>
      <w:ind w:left="840" w:hanging="360"/>
    </w:pPr>
    <w:rPr>
      <w:sz w:val="24"/>
      <w:szCs w:val="24"/>
    </w:rPr>
  </w:style>
  <w:style w:type="paragraph" w:styleId="37">
    <w:name w:val="List"/>
    <w:basedOn w:val="1"/>
    <w:qFormat/>
    <w:uiPriority w:val="0"/>
    <w:pPr>
      <w:ind w:left="200" w:hanging="200" w:hangingChars="200"/>
    </w:pPr>
    <w:rPr>
      <w:szCs w:val="22"/>
    </w:rPr>
  </w:style>
  <w:style w:type="paragraph" w:styleId="38">
    <w:name w:val="toc 6"/>
    <w:basedOn w:val="1"/>
    <w:next w:val="1"/>
    <w:qFormat/>
    <w:uiPriority w:val="39"/>
    <w:pPr>
      <w:ind w:left="1050"/>
      <w:jc w:val="left"/>
    </w:pPr>
    <w:rPr>
      <w:sz w:val="18"/>
      <w:szCs w:val="18"/>
    </w:rPr>
  </w:style>
  <w:style w:type="paragraph" w:styleId="39">
    <w:name w:val="Body Text Indent 3"/>
    <w:basedOn w:val="1"/>
    <w:link w:val="84"/>
    <w:qFormat/>
    <w:uiPriority w:val="0"/>
    <w:pPr>
      <w:spacing w:line="380" w:lineRule="exact"/>
      <w:ind w:left="525"/>
    </w:pPr>
    <w:rPr>
      <w:rFonts w:ascii="宋体" w:hAnsi="宋体"/>
      <w:b/>
      <w:sz w:val="24"/>
      <w:szCs w:val="24"/>
    </w:rPr>
  </w:style>
  <w:style w:type="paragraph" w:styleId="40">
    <w:name w:val="table of figures"/>
    <w:basedOn w:val="1"/>
    <w:next w:val="1"/>
    <w:qFormat/>
    <w:uiPriority w:val="99"/>
    <w:pPr>
      <w:ind w:left="420" w:hanging="420"/>
      <w:jc w:val="left"/>
    </w:pPr>
    <w:rPr>
      <w:smallCaps/>
      <w:sz w:val="20"/>
    </w:rPr>
  </w:style>
  <w:style w:type="paragraph" w:styleId="41">
    <w:name w:val="toc 2"/>
    <w:basedOn w:val="1"/>
    <w:next w:val="1"/>
    <w:qFormat/>
    <w:uiPriority w:val="39"/>
    <w:pPr>
      <w:ind w:left="210"/>
      <w:jc w:val="left"/>
    </w:pPr>
    <w:rPr>
      <w:smallCaps/>
      <w:sz w:val="20"/>
    </w:rPr>
  </w:style>
  <w:style w:type="paragraph" w:styleId="42">
    <w:name w:val="toc 9"/>
    <w:basedOn w:val="1"/>
    <w:next w:val="1"/>
    <w:qFormat/>
    <w:uiPriority w:val="39"/>
    <w:pPr>
      <w:ind w:left="1680"/>
      <w:jc w:val="left"/>
    </w:pPr>
    <w:rPr>
      <w:sz w:val="18"/>
      <w:szCs w:val="18"/>
    </w:rPr>
  </w:style>
  <w:style w:type="paragraph" w:styleId="43">
    <w:name w:val="Body Text 2"/>
    <w:basedOn w:val="1"/>
    <w:link w:val="85"/>
    <w:qFormat/>
    <w:uiPriority w:val="0"/>
    <w:pPr>
      <w:spacing w:after="120" w:line="480" w:lineRule="auto"/>
    </w:pPr>
    <w:rPr>
      <w:kern w:val="0"/>
      <w:sz w:val="24"/>
    </w:rPr>
  </w:style>
  <w:style w:type="paragraph" w:styleId="44">
    <w:name w:val="HTML Preformatted"/>
    <w:basedOn w:val="1"/>
    <w:link w:val="86"/>
    <w:qFormat/>
    <w:uiPriority w:val="99"/>
    <w:rPr>
      <w:rFonts w:ascii="Courier New" w:hAnsi="Courier New"/>
      <w:sz w:val="20"/>
    </w:rPr>
  </w:style>
  <w:style w:type="paragraph" w:styleId="45">
    <w:name w:val="Normal (Web)"/>
    <w:basedOn w:val="1"/>
    <w:qFormat/>
    <w:uiPriority w:val="99"/>
    <w:pPr>
      <w:widowControl/>
      <w:spacing w:before="100" w:beforeAutospacing="1" w:after="100" w:afterAutospacing="1" w:line="300" w:lineRule="atLeast"/>
      <w:jc w:val="left"/>
    </w:pPr>
    <w:rPr>
      <w:rFonts w:ascii="宋体" w:hAnsi="宋体" w:cs="宋体"/>
      <w:kern w:val="0"/>
      <w:sz w:val="24"/>
      <w:szCs w:val="24"/>
    </w:rPr>
  </w:style>
  <w:style w:type="paragraph" w:styleId="46">
    <w:name w:val="index 1"/>
    <w:basedOn w:val="1"/>
    <w:next w:val="1"/>
    <w:semiHidden/>
    <w:qFormat/>
    <w:uiPriority w:val="99"/>
  </w:style>
  <w:style w:type="paragraph" w:styleId="47">
    <w:name w:val="Title"/>
    <w:basedOn w:val="1"/>
    <w:link w:val="87"/>
    <w:qFormat/>
    <w:uiPriority w:val="0"/>
    <w:pPr>
      <w:spacing w:before="240" w:after="60"/>
      <w:jc w:val="center"/>
      <w:outlineLvl w:val="0"/>
    </w:pPr>
    <w:rPr>
      <w:rFonts w:ascii="Cambria" w:hAnsi="Cambria"/>
      <w:b/>
      <w:bCs/>
      <w:kern w:val="0"/>
      <w:sz w:val="32"/>
      <w:szCs w:val="32"/>
    </w:rPr>
  </w:style>
  <w:style w:type="paragraph" w:styleId="48">
    <w:name w:val="annotation subject"/>
    <w:basedOn w:val="18"/>
    <w:next w:val="18"/>
    <w:link w:val="88"/>
    <w:semiHidden/>
    <w:qFormat/>
    <w:uiPriority w:val="99"/>
    <w:rPr>
      <w:b/>
    </w:rPr>
  </w:style>
  <w:style w:type="paragraph" w:styleId="49">
    <w:name w:val="Body Text First Indent 2"/>
    <w:basedOn w:val="20"/>
    <w:next w:val="3"/>
    <w:qFormat/>
    <w:uiPriority w:val="0"/>
    <w:pPr>
      <w:spacing w:line="360" w:lineRule="auto"/>
      <w:ind w:firstLine="0"/>
    </w:pPr>
    <w:rPr>
      <w:lang w:val="zh-CN"/>
    </w:rPr>
  </w:style>
  <w:style w:type="table" w:styleId="51">
    <w:name w:val="Table Grid"/>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basedOn w:val="52"/>
    <w:qFormat/>
    <w:uiPriority w:val="22"/>
    <w:rPr>
      <w:b/>
    </w:rPr>
  </w:style>
  <w:style w:type="character" w:styleId="54">
    <w:name w:val="page number"/>
    <w:qFormat/>
    <w:uiPriority w:val="0"/>
    <w:rPr>
      <w:rFonts w:cs="Times New Roman"/>
    </w:rPr>
  </w:style>
  <w:style w:type="character" w:styleId="55">
    <w:name w:val="FollowedHyperlink"/>
    <w:qFormat/>
    <w:uiPriority w:val="0"/>
    <w:rPr>
      <w:color w:val="800080"/>
      <w:u w:val="single"/>
    </w:rPr>
  </w:style>
  <w:style w:type="character" w:styleId="56">
    <w:name w:val="Emphasis"/>
    <w:qFormat/>
    <w:uiPriority w:val="0"/>
    <w:rPr>
      <w:i/>
    </w:rPr>
  </w:style>
  <w:style w:type="character" w:styleId="57">
    <w:name w:val="HTML Typewriter"/>
    <w:qFormat/>
    <w:uiPriority w:val="99"/>
    <w:rPr>
      <w:rFonts w:ascii="Courier New" w:hAnsi="Courier New"/>
      <w:sz w:val="20"/>
    </w:rPr>
  </w:style>
  <w:style w:type="character" w:styleId="58">
    <w:name w:val="Hyperlink"/>
    <w:qFormat/>
    <w:uiPriority w:val="99"/>
    <w:rPr>
      <w:color w:val="0000FF"/>
      <w:u w:val="single"/>
    </w:rPr>
  </w:style>
  <w:style w:type="character" w:styleId="59">
    <w:name w:val="annotation reference"/>
    <w:qFormat/>
    <w:uiPriority w:val="99"/>
    <w:rPr>
      <w:sz w:val="21"/>
    </w:rPr>
  </w:style>
  <w:style w:type="character" w:styleId="60">
    <w:name w:val="HTML Cite"/>
    <w:qFormat/>
    <w:uiPriority w:val="0"/>
    <w:rPr>
      <w:rFonts w:ascii="仿宋_GB2312" w:eastAsia="仿宋_GB2312"/>
      <w:b/>
      <w:color w:val="008000"/>
      <w:sz w:val="32"/>
      <w:szCs w:val="32"/>
    </w:rPr>
  </w:style>
  <w:style w:type="character" w:styleId="61">
    <w:name w:val="HTML Sample"/>
    <w:basedOn w:val="52"/>
    <w:qFormat/>
    <w:uiPriority w:val="0"/>
    <w:rPr>
      <w:rFonts w:ascii="Courier New" w:hAnsi="Courier New"/>
    </w:rPr>
  </w:style>
  <w:style w:type="paragraph" w:customStyle="1" w:styleId="62">
    <w:name w:val="样式3"/>
    <w:basedOn w:val="27"/>
    <w:next w:val="1"/>
    <w:qFormat/>
    <w:uiPriority w:val="0"/>
    <w:pPr>
      <w:tabs>
        <w:tab w:val="left" w:pos="709"/>
      </w:tabs>
      <w:spacing w:before="0" w:after="0"/>
      <w:ind w:left="709" w:hanging="709"/>
    </w:pPr>
    <w:rPr>
      <w:rFonts w:ascii="Tahoma" w:hAnsi="Tahoma"/>
      <w:sz w:val="28"/>
    </w:rPr>
  </w:style>
  <w:style w:type="character" w:customStyle="1" w:styleId="63">
    <w:name w:val="正文文本 Char2"/>
    <w:link w:val="3"/>
    <w:qFormat/>
    <w:locked/>
    <w:uiPriority w:val="99"/>
    <w:rPr>
      <w:rFonts w:ascii="宋体" w:hAnsi="宋体" w:eastAsia="宋体" w:cs="宋体"/>
      <w:lang w:val="en-US" w:eastAsia="zh-CN"/>
    </w:rPr>
  </w:style>
  <w:style w:type="character" w:customStyle="1" w:styleId="64">
    <w:name w:val="标题 1 Char1"/>
    <w:link w:val="4"/>
    <w:qFormat/>
    <w:locked/>
    <w:uiPriority w:val="9"/>
    <w:rPr>
      <w:rFonts w:ascii="宋体" w:hAnsi="宋体" w:eastAsia="宋体" w:cs="宋体"/>
      <w:b/>
      <w:kern w:val="44"/>
      <w:sz w:val="44"/>
      <w:szCs w:val="44"/>
      <w:lang w:val="en-US" w:eastAsia="zh-CN"/>
    </w:rPr>
  </w:style>
  <w:style w:type="character" w:customStyle="1" w:styleId="65">
    <w:name w:val="标题 2 Char1"/>
    <w:link w:val="5"/>
    <w:qFormat/>
    <w:locked/>
    <w:uiPriority w:val="9"/>
    <w:rPr>
      <w:rFonts w:ascii="Cambria" w:hAnsi="Cambria" w:eastAsia="宋体" w:cs="Cambria"/>
      <w:kern w:val="2"/>
      <w:sz w:val="21"/>
      <w:szCs w:val="21"/>
      <w:lang w:val="en-US" w:eastAsia="zh-CN"/>
    </w:rPr>
  </w:style>
  <w:style w:type="character" w:customStyle="1" w:styleId="66">
    <w:name w:val="标题 3 Char1"/>
    <w:link w:val="6"/>
    <w:qFormat/>
    <w:locked/>
    <w:uiPriority w:val="9"/>
    <w:rPr>
      <w:rFonts w:ascii="宋体" w:hAnsi="宋体" w:eastAsia="宋体" w:cs="宋体"/>
      <w:b/>
      <w:kern w:val="2"/>
      <w:sz w:val="32"/>
      <w:szCs w:val="32"/>
      <w:lang w:val="en-US" w:eastAsia="zh-CN"/>
    </w:rPr>
  </w:style>
  <w:style w:type="character" w:customStyle="1" w:styleId="67">
    <w:name w:val="标题 4 Char"/>
    <w:link w:val="7"/>
    <w:qFormat/>
    <w:locked/>
    <w:uiPriority w:val="0"/>
    <w:rPr>
      <w:rFonts w:ascii="Arial" w:hAnsi="Arial" w:eastAsia="黑体"/>
      <w:b/>
      <w:kern w:val="2"/>
      <w:sz w:val="28"/>
      <w:lang w:val="en-US" w:eastAsia="zh-CN"/>
    </w:rPr>
  </w:style>
  <w:style w:type="character" w:customStyle="1" w:styleId="68">
    <w:name w:val="标题 5 Char"/>
    <w:link w:val="8"/>
    <w:qFormat/>
    <w:locked/>
    <w:uiPriority w:val="9"/>
    <w:rPr>
      <w:rFonts w:eastAsia="宋体"/>
      <w:b/>
      <w:kern w:val="2"/>
      <w:sz w:val="28"/>
      <w:lang w:val="en-US" w:eastAsia="zh-CN"/>
    </w:rPr>
  </w:style>
  <w:style w:type="character" w:customStyle="1" w:styleId="69">
    <w:name w:val="标题 6 Char"/>
    <w:link w:val="9"/>
    <w:qFormat/>
    <w:locked/>
    <w:uiPriority w:val="9"/>
    <w:rPr>
      <w:rFonts w:ascii="Cambria" w:hAnsi="Cambria" w:eastAsia="宋体"/>
      <w:b/>
      <w:kern w:val="2"/>
      <w:sz w:val="24"/>
      <w:lang w:val="en-US" w:eastAsia="zh-CN"/>
    </w:rPr>
  </w:style>
  <w:style w:type="character" w:customStyle="1" w:styleId="70">
    <w:name w:val="标题 7 Char"/>
    <w:link w:val="10"/>
    <w:qFormat/>
    <w:locked/>
    <w:uiPriority w:val="9"/>
    <w:rPr>
      <w:b/>
      <w:kern w:val="2"/>
      <w:sz w:val="24"/>
    </w:rPr>
  </w:style>
  <w:style w:type="character" w:customStyle="1" w:styleId="71">
    <w:name w:val="标题 8 Char"/>
    <w:link w:val="11"/>
    <w:qFormat/>
    <w:locked/>
    <w:uiPriority w:val="9"/>
    <w:rPr>
      <w:rFonts w:ascii="Arial" w:hAnsi="Arial" w:eastAsia="黑体"/>
      <w:kern w:val="2"/>
      <w:sz w:val="24"/>
    </w:rPr>
  </w:style>
  <w:style w:type="character" w:customStyle="1" w:styleId="72">
    <w:name w:val="标题 9 Char"/>
    <w:link w:val="12"/>
    <w:qFormat/>
    <w:locked/>
    <w:uiPriority w:val="9"/>
    <w:rPr>
      <w:rFonts w:ascii="Arial" w:hAnsi="Arial" w:eastAsia="黑体"/>
      <w:kern w:val="2"/>
      <w:sz w:val="21"/>
    </w:rPr>
  </w:style>
  <w:style w:type="character" w:customStyle="1" w:styleId="73">
    <w:name w:val="正文缩进 Char1"/>
    <w:link w:val="14"/>
    <w:qFormat/>
    <w:locked/>
    <w:uiPriority w:val="0"/>
    <w:rPr>
      <w:rFonts w:ascii="宋体" w:hAnsi="宋体" w:eastAsia="宋体" w:cs="宋体"/>
      <w:spacing w:val="14"/>
      <w:kern w:val="24"/>
      <w:sz w:val="24"/>
      <w:szCs w:val="24"/>
      <w:lang w:val="en-US" w:eastAsia="zh-CN"/>
    </w:rPr>
  </w:style>
  <w:style w:type="character" w:customStyle="1" w:styleId="74">
    <w:name w:val="文档结构图 Char"/>
    <w:link w:val="16"/>
    <w:qFormat/>
    <w:locked/>
    <w:uiPriority w:val="0"/>
    <w:rPr>
      <w:rFonts w:eastAsia="宋体"/>
      <w:kern w:val="2"/>
      <w:sz w:val="21"/>
      <w:lang w:val="en-US" w:eastAsia="zh-CN"/>
    </w:rPr>
  </w:style>
  <w:style w:type="character" w:customStyle="1" w:styleId="75">
    <w:name w:val="批注文字 Char1"/>
    <w:link w:val="18"/>
    <w:qFormat/>
    <w:locked/>
    <w:uiPriority w:val="0"/>
    <w:rPr>
      <w:rFonts w:ascii="宋体" w:hAnsi="宋体" w:eastAsia="宋体" w:cs="宋体"/>
      <w:kern w:val="2"/>
      <w:sz w:val="21"/>
      <w:szCs w:val="21"/>
      <w:lang w:val="en-US" w:eastAsia="zh-CN"/>
    </w:rPr>
  </w:style>
  <w:style w:type="character" w:customStyle="1" w:styleId="76">
    <w:name w:val="正文文本 3 Char"/>
    <w:link w:val="19"/>
    <w:qFormat/>
    <w:locked/>
    <w:uiPriority w:val="0"/>
    <w:rPr>
      <w:rFonts w:eastAsia="宋体"/>
      <w:sz w:val="16"/>
    </w:rPr>
  </w:style>
  <w:style w:type="character" w:customStyle="1" w:styleId="77">
    <w:name w:val="正文文本缩进 Char"/>
    <w:link w:val="20"/>
    <w:qFormat/>
    <w:locked/>
    <w:uiPriority w:val="0"/>
    <w:rPr>
      <w:rFonts w:eastAsia="方正书宋简体"/>
      <w:kern w:val="2"/>
      <w:sz w:val="24"/>
      <w:lang w:val="en-US" w:eastAsia="zh-CN"/>
    </w:rPr>
  </w:style>
  <w:style w:type="character" w:customStyle="1" w:styleId="78">
    <w:name w:val="纯文本 Char1"/>
    <w:link w:val="27"/>
    <w:qFormat/>
    <w:locked/>
    <w:uiPriority w:val="0"/>
    <w:rPr>
      <w:rFonts w:ascii="宋体" w:hAnsi="Courier New" w:eastAsia="宋体" w:cs="宋体"/>
      <w:lang w:val="en-US" w:eastAsia="zh-CN"/>
    </w:rPr>
  </w:style>
  <w:style w:type="character" w:customStyle="1" w:styleId="79">
    <w:name w:val="日期 Char"/>
    <w:link w:val="29"/>
    <w:qFormat/>
    <w:locked/>
    <w:uiPriority w:val="0"/>
    <w:rPr>
      <w:rFonts w:ascii="宋体" w:cs="Times New Roman"/>
      <w:sz w:val="24"/>
    </w:rPr>
  </w:style>
  <w:style w:type="character" w:customStyle="1" w:styleId="80">
    <w:name w:val="正文文本缩进 2 Char"/>
    <w:link w:val="30"/>
    <w:qFormat/>
    <w:locked/>
    <w:uiPriority w:val="0"/>
    <w:rPr>
      <w:rFonts w:ascii="宋体" w:eastAsia="宋体"/>
      <w:kern w:val="2"/>
      <w:sz w:val="24"/>
      <w:lang w:val="en-US" w:eastAsia="zh-CN"/>
    </w:rPr>
  </w:style>
  <w:style w:type="character" w:customStyle="1" w:styleId="81">
    <w:name w:val="批注框文本 Char1"/>
    <w:link w:val="31"/>
    <w:qFormat/>
    <w:locked/>
    <w:uiPriority w:val="99"/>
    <w:rPr>
      <w:rFonts w:ascii="宋体" w:hAnsi="宋体" w:eastAsia="宋体" w:cs="宋体"/>
      <w:kern w:val="2"/>
      <w:sz w:val="18"/>
      <w:szCs w:val="18"/>
      <w:lang w:val="en-US" w:eastAsia="zh-CN"/>
    </w:rPr>
  </w:style>
  <w:style w:type="character" w:customStyle="1" w:styleId="82">
    <w:name w:val="页脚 Char1"/>
    <w:link w:val="32"/>
    <w:qFormat/>
    <w:locked/>
    <w:uiPriority w:val="99"/>
    <w:rPr>
      <w:rFonts w:ascii="宋体" w:hAnsi="宋体" w:eastAsia="宋体" w:cs="宋体"/>
      <w:kern w:val="2"/>
      <w:sz w:val="18"/>
      <w:szCs w:val="18"/>
      <w:lang w:val="en-US" w:eastAsia="zh-CN"/>
    </w:rPr>
  </w:style>
  <w:style w:type="character" w:customStyle="1" w:styleId="83">
    <w:name w:val="页眉 Char1"/>
    <w:link w:val="33"/>
    <w:qFormat/>
    <w:locked/>
    <w:uiPriority w:val="99"/>
    <w:rPr>
      <w:rFonts w:ascii="宋体" w:hAnsi="宋体" w:eastAsia="宋体" w:cs="宋体"/>
      <w:kern w:val="2"/>
      <w:sz w:val="18"/>
      <w:szCs w:val="18"/>
      <w:lang w:val="en-US" w:eastAsia="zh-CN"/>
    </w:rPr>
  </w:style>
  <w:style w:type="character" w:customStyle="1" w:styleId="84">
    <w:name w:val="正文文本缩进 3 Char1"/>
    <w:link w:val="39"/>
    <w:qFormat/>
    <w:locked/>
    <w:uiPriority w:val="0"/>
    <w:rPr>
      <w:rFonts w:ascii="宋体" w:hAnsi="宋体" w:eastAsia="宋体" w:cs="宋体"/>
      <w:b/>
      <w:kern w:val="2"/>
      <w:sz w:val="24"/>
      <w:szCs w:val="24"/>
      <w:lang w:val="en-US" w:eastAsia="zh-CN"/>
    </w:rPr>
  </w:style>
  <w:style w:type="character" w:customStyle="1" w:styleId="85">
    <w:name w:val="正文文本 2 Char"/>
    <w:link w:val="43"/>
    <w:qFormat/>
    <w:locked/>
    <w:uiPriority w:val="0"/>
    <w:rPr>
      <w:rFonts w:eastAsia="宋体"/>
      <w:sz w:val="24"/>
    </w:rPr>
  </w:style>
  <w:style w:type="character" w:customStyle="1" w:styleId="86">
    <w:name w:val="HTML 预设格式 Char"/>
    <w:link w:val="44"/>
    <w:qFormat/>
    <w:locked/>
    <w:uiPriority w:val="99"/>
    <w:rPr>
      <w:rFonts w:ascii="Courier New" w:hAnsi="Courier New"/>
      <w:kern w:val="2"/>
    </w:rPr>
  </w:style>
  <w:style w:type="character" w:customStyle="1" w:styleId="87">
    <w:name w:val="标题 Char"/>
    <w:link w:val="47"/>
    <w:qFormat/>
    <w:uiPriority w:val="0"/>
    <w:rPr>
      <w:rFonts w:ascii="Cambria" w:hAnsi="Cambria"/>
      <w:b/>
      <w:bCs/>
      <w:sz w:val="32"/>
      <w:szCs w:val="32"/>
    </w:rPr>
  </w:style>
  <w:style w:type="character" w:customStyle="1" w:styleId="88">
    <w:name w:val="批注主题 Char1"/>
    <w:link w:val="48"/>
    <w:qFormat/>
    <w:locked/>
    <w:uiPriority w:val="99"/>
    <w:rPr>
      <w:rFonts w:ascii="宋体" w:hAnsi="宋体" w:eastAsia="宋体" w:cs="宋体"/>
      <w:b/>
      <w:kern w:val="2"/>
      <w:sz w:val="21"/>
      <w:szCs w:val="21"/>
      <w:lang w:val="en-US" w:eastAsia="zh-CN"/>
    </w:rPr>
  </w:style>
  <w:style w:type="character" w:customStyle="1" w:styleId="89">
    <w:name w:val="正文首行缩进 Char"/>
    <w:link w:val="2"/>
    <w:qFormat/>
    <w:locked/>
    <w:uiPriority w:val="99"/>
    <w:rPr>
      <w:rFonts w:ascii="宋体" w:hAnsi="宋体" w:eastAsia="宋体" w:cs="宋体"/>
      <w:i/>
      <w:kern w:val="2"/>
      <w:sz w:val="24"/>
      <w:lang w:val="en-US" w:eastAsia="zh-CN"/>
    </w:rPr>
  </w:style>
  <w:style w:type="character" w:customStyle="1" w:styleId="90">
    <w:name w:val="纯文本 字符2"/>
    <w:qFormat/>
    <w:locked/>
    <w:uiPriority w:val="99"/>
    <w:rPr>
      <w:rFonts w:ascii="宋体" w:hAnsi="Courier New" w:eastAsia="宋体" w:cs="宋体"/>
      <w:lang w:val="en-US" w:eastAsia="zh-CN"/>
    </w:rPr>
  </w:style>
  <w:style w:type="character" w:customStyle="1" w:styleId="91">
    <w:name w:val="正文文本缩进 字符3"/>
    <w:qFormat/>
    <w:locked/>
    <w:uiPriority w:val="99"/>
    <w:rPr>
      <w:rFonts w:eastAsia="方正书宋简体"/>
      <w:kern w:val="2"/>
      <w:sz w:val="24"/>
      <w:lang w:val="en-US" w:eastAsia="zh-CN"/>
    </w:rPr>
  </w:style>
  <w:style w:type="character" w:customStyle="1" w:styleId="92">
    <w:name w:val="页眉 Char"/>
    <w:qFormat/>
    <w:uiPriority w:val="0"/>
    <w:rPr>
      <w:rFonts w:eastAsia="宋体"/>
      <w:kern w:val="2"/>
      <w:sz w:val="18"/>
      <w:lang w:val="en-US" w:eastAsia="zh-CN"/>
    </w:rPr>
  </w:style>
  <w:style w:type="character" w:customStyle="1" w:styleId="93">
    <w:name w:val="正文文本首行缩进 字符"/>
    <w:semiHidden/>
    <w:qFormat/>
    <w:uiPriority w:val="99"/>
  </w:style>
  <w:style w:type="character" w:customStyle="1" w:styleId="94">
    <w:name w:val="标题 4 字符"/>
    <w:qFormat/>
    <w:locked/>
    <w:uiPriority w:val="9"/>
    <w:rPr>
      <w:rFonts w:ascii="Arial" w:hAnsi="Arial" w:eastAsia="黑体"/>
      <w:b/>
      <w:kern w:val="2"/>
      <w:sz w:val="28"/>
      <w:lang w:val="en-US" w:eastAsia="zh-CN"/>
    </w:rPr>
  </w:style>
  <w:style w:type="character" w:customStyle="1" w:styleId="95">
    <w:name w:val="标题2正文 Char Char"/>
    <w:link w:val="96"/>
    <w:qFormat/>
    <w:locked/>
    <w:uiPriority w:val="0"/>
    <w:rPr>
      <w:rFonts w:eastAsia="宋体"/>
      <w:sz w:val="24"/>
    </w:rPr>
  </w:style>
  <w:style w:type="paragraph" w:customStyle="1" w:styleId="96">
    <w:name w:val="标题2正文 Char"/>
    <w:basedOn w:val="1"/>
    <w:link w:val="95"/>
    <w:qFormat/>
    <w:uiPriority w:val="0"/>
    <w:pPr>
      <w:spacing w:beforeLines="50" w:afterLines="50"/>
      <w:ind w:right="38" w:rightChars="18" w:firstLine="420"/>
    </w:pPr>
    <w:rPr>
      <w:kern w:val="0"/>
      <w:sz w:val="24"/>
    </w:rPr>
  </w:style>
  <w:style w:type="character" w:customStyle="1" w:styleId="97">
    <w:name w:val="文档结构图 字符1"/>
    <w:semiHidden/>
    <w:qFormat/>
    <w:uiPriority w:val="99"/>
    <w:rPr>
      <w:rFonts w:ascii="Microsoft YaHei UI" w:eastAsia="Microsoft YaHei UI"/>
      <w:kern w:val="2"/>
      <w:sz w:val="18"/>
      <w:szCs w:val="18"/>
    </w:rPr>
  </w:style>
  <w:style w:type="character" w:customStyle="1" w:styleId="98">
    <w:name w:val="纯文本 Char2"/>
    <w:qFormat/>
    <w:uiPriority w:val="0"/>
    <w:rPr>
      <w:rFonts w:ascii="宋体" w:hAnsi="宋体" w:eastAsia="宋体"/>
      <w:color w:val="000000"/>
      <w:sz w:val="24"/>
      <w:lang w:val="en-US" w:eastAsia="zh-CN"/>
    </w:rPr>
  </w:style>
  <w:style w:type="character" w:customStyle="1" w:styleId="99">
    <w:name w:val="批注主题 字符"/>
    <w:qFormat/>
    <w:locked/>
    <w:uiPriority w:val="99"/>
    <w:rPr>
      <w:rFonts w:ascii="宋体" w:hAnsi="宋体" w:eastAsia="宋体" w:cs="宋体"/>
      <w:b/>
      <w:kern w:val="2"/>
      <w:sz w:val="21"/>
      <w:szCs w:val="21"/>
      <w:lang w:val="en-US" w:eastAsia="zh-CN"/>
    </w:rPr>
  </w:style>
  <w:style w:type="character" w:customStyle="1" w:styleId="100">
    <w:name w:val="bookmark-item"/>
    <w:basedOn w:val="52"/>
    <w:qFormat/>
    <w:uiPriority w:val="0"/>
  </w:style>
  <w:style w:type="character" w:customStyle="1" w:styleId="101">
    <w:name w:val="正文文本缩进 字符1"/>
    <w:qFormat/>
    <w:locked/>
    <w:uiPriority w:val="99"/>
    <w:rPr>
      <w:rFonts w:eastAsia="方正书宋简体"/>
      <w:kern w:val="2"/>
      <w:sz w:val="24"/>
      <w:lang w:val="en-US" w:eastAsia="zh-CN"/>
    </w:rPr>
  </w:style>
  <w:style w:type="character" w:customStyle="1" w:styleId="102">
    <w:name w:val="正文文本缩进 3 Char"/>
    <w:qFormat/>
    <w:uiPriority w:val="0"/>
    <w:rPr>
      <w:rFonts w:ascii="宋体" w:eastAsia="宋体"/>
      <w:kern w:val="2"/>
      <w:sz w:val="24"/>
      <w:lang w:val="en-US" w:eastAsia="zh-CN"/>
    </w:rPr>
  </w:style>
  <w:style w:type="character" w:customStyle="1" w:styleId="103">
    <w:name w:val="批注文字 Char"/>
    <w:qFormat/>
    <w:locked/>
    <w:uiPriority w:val="0"/>
    <w:rPr>
      <w:rFonts w:cs="Times New Roman"/>
      <w:kern w:val="2"/>
      <w:sz w:val="21"/>
    </w:rPr>
  </w:style>
  <w:style w:type="character" w:customStyle="1" w:styleId="104">
    <w:name w:val="h6 Char"/>
    <w:qFormat/>
    <w:uiPriority w:val="0"/>
    <w:rPr>
      <w:rFonts w:ascii="Arial" w:hAnsi="Arial" w:eastAsia="宋体"/>
      <w:b/>
      <w:kern w:val="2"/>
      <w:sz w:val="24"/>
      <w:lang w:val="en-US" w:eastAsia="zh-CN"/>
    </w:rPr>
  </w:style>
  <w:style w:type="character" w:customStyle="1" w:styleId="105">
    <w:name w:val="标题 8 字符"/>
    <w:qFormat/>
    <w:locked/>
    <w:uiPriority w:val="9"/>
    <w:rPr>
      <w:rFonts w:ascii="Arial" w:hAnsi="Arial" w:eastAsia="黑体"/>
      <w:kern w:val="2"/>
      <w:sz w:val="24"/>
    </w:rPr>
  </w:style>
  <w:style w:type="character" w:customStyle="1" w:styleId="106">
    <w:name w:val="日期 字符1"/>
    <w:semiHidden/>
    <w:qFormat/>
    <w:uiPriority w:val="99"/>
    <w:rPr>
      <w:kern w:val="2"/>
      <w:sz w:val="21"/>
    </w:rPr>
  </w:style>
  <w:style w:type="character" w:customStyle="1" w:styleId="107">
    <w:name w:val="样式2 Char"/>
    <w:link w:val="108"/>
    <w:qFormat/>
    <w:locked/>
    <w:uiPriority w:val="0"/>
    <w:rPr>
      <w:rFonts w:ascii="黑体" w:hAnsi="黑体" w:eastAsia="黑体"/>
      <w:color w:val="FF0000"/>
      <w:kern w:val="2"/>
      <w:sz w:val="32"/>
      <w:lang w:val="en-US" w:eastAsia="zh-CN"/>
    </w:rPr>
  </w:style>
  <w:style w:type="paragraph" w:customStyle="1" w:styleId="108">
    <w:name w:val="样式2"/>
    <w:basedOn w:val="6"/>
    <w:link w:val="107"/>
    <w:qFormat/>
    <w:uiPriority w:val="0"/>
    <w:pPr>
      <w:adjustRightInd w:val="0"/>
      <w:spacing w:beforeLines="0" w:afterLines="0"/>
      <w:ind w:left="0" w:firstLine="0"/>
      <w:textAlignment w:val="baseline"/>
    </w:pPr>
    <w:rPr>
      <w:rFonts w:ascii="黑体" w:hAnsi="黑体" w:eastAsia="黑体"/>
      <w:b w:val="0"/>
      <w:color w:val="FF0000"/>
      <w:szCs w:val="20"/>
    </w:rPr>
  </w:style>
  <w:style w:type="character" w:customStyle="1" w:styleId="109">
    <w:name w:val="font101"/>
    <w:qFormat/>
    <w:uiPriority w:val="0"/>
    <w:rPr>
      <w:rFonts w:hint="default" w:ascii="Times New Roman" w:hAnsi="Times New Roman" w:cs="Times New Roman"/>
      <w:b/>
      <w:color w:val="000000"/>
      <w:sz w:val="22"/>
      <w:szCs w:val="22"/>
      <w:u w:val="none"/>
    </w:rPr>
  </w:style>
  <w:style w:type="character" w:customStyle="1" w:styleId="110">
    <w:name w:val="正文文本 Char"/>
    <w:qFormat/>
    <w:uiPriority w:val="0"/>
    <w:rPr>
      <w:rFonts w:eastAsia="宋体"/>
      <w:i/>
      <w:kern w:val="2"/>
      <w:sz w:val="18"/>
      <w:lang w:val="en-US" w:eastAsia="zh-CN"/>
    </w:rPr>
  </w:style>
  <w:style w:type="character" w:customStyle="1" w:styleId="111">
    <w:name w:val="hui3"/>
    <w:qFormat/>
    <w:uiPriority w:val="0"/>
    <w:rPr>
      <w:color w:val="333333"/>
    </w:rPr>
  </w:style>
  <w:style w:type="character" w:customStyle="1" w:styleId="112">
    <w:name w:val="标题 9 字符"/>
    <w:qFormat/>
    <w:locked/>
    <w:uiPriority w:val="9"/>
    <w:rPr>
      <w:rFonts w:ascii="Arial" w:hAnsi="Arial" w:eastAsia="黑体"/>
      <w:kern w:val="2"/>
      <w:sz w:val="21"/>
    </w:rPr>
  </w:style>
  <w:style w:type="character" w:customStyle="1" w:styleId="113">
    <w:name w:val="批注文字 字符1"/>
    <w:semiHidden/>
    <w:qFormat/>
    <w:uiPriority w:val="99"/>
    <w:rPr>
      <w:kern w:val="2"/>
      <w:sz w:val="21"/>
    </w:rPr>
  </w:style>
  <w:style w:type="character" w:customStyle="1" w:styleId="114">
    <w:name w:val="无间距字符"/>
    <w:link w:val="115"/>
    <w:qFormat/>
    <w:locked/>
    <w:uiPriority w:val="0"/>
    <w:rPr>
      <w:sz w:val="22"/>
      <w:lang w:val="en-US" w:eastAsia="zh-CN" w:bidi="ar-SA"/>
    </w:rPr>
  </w:style>
  <w:style w:type="paragraph" w:customStyle="1" w:styleId="115">
    <w:name w:val="无间距"/>
    <w:link w:val="114"/>
    <w:qFormat/>
    <w:uiPriority w:val="0"/>
    <w:rPr>
      <w:rFonts w:ascii="Times New Roman" w:hAnsi="Times New Roman" w:eastAsia="宋体" w:cs="Times New Roman"/>
      <w:sz w:val="22"/>
      <w:lang w:val="en-US" w:eastAsia="zh-CN" w:bidi="ar-SA"/>
    </w:rPr>
  </w:style>
  <w:style w:type="character" w:customStyle="1" w:styleId="116">
    <w:name w:val="标题 2 字符"/>
    <w:qFormat/>
    <w:locked/>
    <w:uiPriority w:val="9"/>
    <w:rPr>
      <w:rFonts w:ascii="Cambria" w:hAnsi="Cambria" w:eastAsia="宋体" w:cs="Cambria"/>
      <w:kern w:val="2"/>
      <w:sz w:val="21"/>
      <w:szCs w:val="21"/>
      <w:lang w:val="en-US" w:eastAsia="zh-CN"/>
    </w:rPr>
  </w:style>
  <w:style w:type="character" w:customStyle="1" w:styleId="117">
    <w:name w:val="批注框文本 字符"/>
    <w:qFormat/>
    <w:locked/>
    <w:uiPriority w:val="99"/>
    <w:rPr>
      <w:rFonts w:ascii="宋体" w:hAnsi="宋体" w:eastAsia="宋体" w:cs="宋体"/>
      <w:kern w:val="2"/>
      <w:sz w:val="18"/>
      <w:szCs w:val="18"/>
      <w:lang w:val="en-US" w:eastAsia="zh-CN"/>
    </w:rPr>
  </w:style>
  <w:style w:type="character" w:customStyle="1" w:styleId="118">
    <w:name w:val="正文缩进 Char"/>
    <w:qFormat/>
    <w:uiPriority w:val="0"/>
    <w:rPr>
      <w:rFonts w:eastAsia="宋体"/>
      <w:kern w:val="2"/>
      <w:sz w:val="24"/>
      <w:lang w:val="en-US" w:eastAsia="zh-CN"/>
    </w:rPr>
  </w:style>
  <w:style w:type="character" w:customStyle="1" w:styleId="119">
    <w:name w:val="正文文本 2 字符1"/>
    <w:semiHidden/>
    <w:qFormat/>
    <w:uiPriority w:val="99"/>
    <w:rPr>
      <w:kern w:val="2"/>
      <w:sz w:val="21"/>
    </w:rPr>
  </w:style>
  <w:style w:type="character" w:customStyle="1" w:styleId="120">
    <w:name w:val="正文首行缩进 字符"/>
    <w:qFormat/>
    <w:locked/>
    <w:uiPriority w:val="99"/>
    <w:rPr>
      <w:rFonts w:ascii="宋体" w:hAnsi="宋体" w:eastAsia="宋体" w:cs="宋体"/>
      <w:i/>
      <w:kern w:val="2"/>
      <w:sz w:val="24"/>
      <w:lang w:val="en-US" w:eastAsia="zh-CN"/>
    </w:rPr>
  </w:style>
  <w:style w:type="character" w:customStyle="1" w:styleId="121">
    <w:name w:val="正文文本 字符1"/>
    <w:semiHidden/>
    <w:qFormat/>
    <w:uiPriority w:val="99"/>
    <w:rPr>
      <w:kern w:val="2"/>
      <w:sz w:val="21"/>
    </w:rPr>
  </w:style>
  <w:style w:type="character" w:customStyle="1" w:styleId="122">
    <w:name w:val="中等深浅网格 1 - 强调文字颜色 2 Char"/>
    <w:link w:val="123"/>
    <w:qFormat/>
    <w:locked/>
    <w:uiPriority w:val="34"/>
    <w:rPr>
      <w:rFonts w:ascii="Calibri" w:hAnsi="Calibri"/>
      <w:kern w:val="2"/>
      <w:sz w:val="22"/>
    </w:rPr>
  </w:style>
  <w:style w:type="paragraph" w:customStyle="1" w:styleId="123">
    <w:name w:val="中等深浅网格 1 - 强调文字颜色 21"/>
    <w:basedOn w:val="1"/>
    <w:link w:val="122"/>
    <w:qFormat/>
    <w:uiPriority w:val="34"/>
    <w:pPr>
      <w:ind w:firstLine="420" w:firstLineChars="200"/>
    </w:pPr>
    <w:rPr>
      <w:rFonts w:ascii="Calibri" w:hAnsi="Calibri"/>
      <w:sz w:val="22"/>
    </w:rPr>
  </w:style>
  <w:style w:type="character" w:customStyle="1" w:styleId="124">
    <w:name w:val="页脚 字符1"/>
    <w:semiHidden/>
    <w:qFormat/>
    <w:uiPriority w:val="99"/>
    <w:rPr>
      <w:kern w:val="2"/>
      <w:sz w:val="18"/>
      <w:szCs w:val="18"/>
    </w:rPr>
  </w:style>
  <w:style w:type="character" w:customStyle="1" w:styleId="125">
    <w:name w:val="标题 7 字符"/>
    <w:qFormat/>
    <w:locked/>
    <w:uiPriority w:val="9"/>
    <w:rPr>
      <w:b/>
      <w:kern w:val="2"/>
      <w:sz w:val="24"/>
    </w:rPr>
  </w:style>
  <w:style w:type="character" w:customStyle="1" w:styleId="126">
    <w:name w:val="方案－正文 Char"/>
    <w:link w:val="127"/>
    <w:qFormat/>
    <w:locked/>
    <w:uiPriority w:val="0"/>
    <w:rPr>
      <w:rFonts w:ascii="仿宋_GB2312" w:hAnsi="宋体"/>
      <w:sz w:val="24"/>
    </w:rPr>
  </w:style>
  <w:style w:type="paragraph" w:customStyle="1" w:styleId="127">
    <w:name w:val="方案－正文"/>
    <w:basedOn w:val="1"/>
    <w:link w:val="126"/>
    <w:qFormat/>
    <w:uiPriority w:val="0"/>
    <w:pPr>
      <w:spacing w:line="360" w:lineRule="auto"/>
      <w:ind w:firstLine="480" w:firstLineChars="200"/>
    </w:pPr>
    <w:rPr>
      <w:rFonts w:ascii="仿宋_GB2312" w:hAnsi="宋体"/>
      <w:kern w:val="0"/>
      <w:sz w:val="24"/>
    </w:rPr>
  </w:style>
  <w:style w:type="character" w:customStyle="1" w:styleId="128">
    <w:name w:val="页脚 Char"/>
    <w:qFormat/>
    <w:uiPriority w:val="99"/>
    <w:rPr>
      <w:rFonts w:eastAsia="宋体"/>
      <w:kern w:val="2"/>
      <w:sz w:val="18"/>
      <w:lang w:val="en-US" w:eastAsia="zh-CN"/>
    </w:rPr>
  </w:style>
  <w:style w:type="character" w:customStyle="1" w:styleId="129">
    <w:name w:val="正文文本缩进 3 字符1"/>
    <w:semiHidden/>
    <w:qFormat/>
    <w:uiPriority w:val="99"/>
    <w:rPr>
      <w:kern w:val="2"/>
      <w:sz w:val="16"/>
      <w:szCs w:val="16"/>
    </w:rPr>
  </w:style>
  <w:style w:type="character" w:customStyle="1" w:styleId="130">
    <w:name w:val="纯文本 Char"/>
    <w:qFormat/>
    <w:uiPriority w:val="0"/>
    <w:rPr>
      <w:rFonts w:ascii="宋体" w:hAnsi="宋体" w:eastAsia="宋体"/>
      <w:color w:val="000000"/>
      <w:sz w:val="24"/>
      <w:lang w:val="en-US" w:eastAsia="zh-CN"/>
    </w:rPr>
  </w:style>
  <w:style w:type="character" w:customStyle="1" w:styleId="131">
    <w:name w:val="样式5 Char"/>
    <w:link w:val="132"/>
    <w:qFormat/>
    <w:locked/>
    <w:uiPriority w:val="0"/>
    <w:rPr>
      <w:rFonts w:eastAsia="宋体"/>
      <w:b/>
      <w:kern w:val="2"/>
      <w:sz w:val="28"/>
      <w:lang w:val="en-US" w:eastAsia="zh-CN"/>
    </w:rPr>
  </w:style>
  <w:style w:type="paragraph" w:customStyle="1" w:styleId="132">
    <w:name w:val="样式5"/>
    <w:basedOn w:val="1"/>
    <w:link w:val="131"/>
    <w:qFormat/>
    <w:uiPriority w:val="0"/>
    <w:pPr>
      <w:keepNext/>
      <w:keepLines/>
      <w:spacing w:before="280" w:after="290" w:line="376" w:lineRule="auto"/>
      <w:ind w:left="210" w:leftChars="100" w:right="210" w:rightChars="100"/>
      <w:outlineLvl w:val="4"/>
    </w:pPr>
    <w:rPr>
      <w:b/>
      <w:sz w:val="28"/>
    </w:rPr>
  </w:style>
  <w:style w:type="character" w:customStyle="1" w:styleId="133">
    <w:name w:val="纯文本 字符"/>
    <w:qFormat/>
    <w:locked/>
    <w:uiPriority w:val="0"/>
    <w:rPr>
      <w:rFonts w:ascii="宋体" w:hAnsi="Courier New" w:eastAsia="宋体" w:cs="宋体"/>
      <w:lang w:val="en-US" w:eastAsia="zh-CN"/>
    </w:rPr>
  </w:style>
  <w:style w:type="character" w:customStyle="1" w:styleId="134">
    <w:name w:val="正文缩进 字符"/>
    <w:qFormat/>
    <w:locked/>
    <w:uiPriority w:val="0"/>
    <w:rPr>
      <w:rFonts w:ascii="宋体" w:hAnsi="宋体" w:eastAsia="宋体" w:cs="宋体"/>
      <w:spacing w:val="14"/>
      <w:kern w:val="24"/>
      <w:sz w:val="24"/>
      <w:szCs w:val="24"/>
      <w:lang w:val="en-US" w:eastAsia="zh-CN"/>
    </w:rPr>
  </w:style>
  <w:style w:type="character" w:customStyle="1" w:styleId="135">
    <w:name w:val="批注主题 字符1"/>
    <w:semiHidden/>
    <w:qFormat/>
    <w:uiPriority w:val="99"/>
    <w:rPr>
      <w:b/>
      <w:bCs/>
      <w:kern w:val="2"/>
      <w:sz w:val="21"/>
    </w:rPr>
  </w:style>
  <w:style w:type="character" w:customStyle="1" w:styleId="136">
    <w:name w:val="正文文本 3 字符1"/>
    <w:semiHidden/>
    <w:qFormat/>
    <w:uiPriority w:val="99"/>
    <w:rPr>
      <w:kern w:val="2"/>
      <w:sz w:val="16"/>
      <w:szCs w:val="16"/>
    </w:rPr>
  </w:style>
  <w:style w:type="character" w:customStyle="1" w:styleId="137">
    <w:name w:val="标题 3 字符"/>
    <w:qFormat/>
    <w:locked/>
    <w:uiPriority w:val="9"/>
    <w:rPr>
      <w:rFonts w:ascii="宋体" w:hAnsi="宋体" w:eastAsia="宋体" w:cs="宋体"/>
      <w:b/>
      <w:kern w:val="2"/>
      <w:sz w:val="32"/>
      <w:szCs w:val="32"/>
      <w:lang w:val="en-US" w:eastAsia="zh-CN"/>
    </w:rPr>
  </w:style>
  <w:style w:type="character" w:customStyle="1" w:styleId="138">
    <w:name w:val="标题 1 Char Char"/>
    <w:basedOn w:val="52"/>
    <w:qFormat/>
    <w:uiPriority w:val="0"/>
    <w:rPr>
      <w:rFonts w:eastAsia="宋体"/>
      <w:b/>
      <w:spacing w:val="-2"/>
      <w:sz w:val="24"/>
      <w:lang w:val="en-US" w:eastAsia="zh-CN"/>
    </w:rPr>
  </w:style>
  <w:style w:type="character" w:customStyle="1" w:styleId="139">
    <w:name w:val="标题 3 Char"/>
    <w:qFormat/>
    <w:uiPriority w:val="9"/>
    <w:rPr>
      <w:rFonts w:ascii="Arial" w:hAnsi="Arial" w:eastAsia="黑体"/>
      <w:b/>
      <w:kern w:val="2"/>
      <w:sz w:val="32"/>
      <w:lang w:val="en-US" w:eastAsia="zh-CN"/>
    </w:rPr>
  </w:style>
  <w:style w:type="character" w:customStyle="1" w:styleId="140">
    <w:name w:val="日期 字符2"/>
    <w:qFormat/>
    <w:locked/>
    <w:uiPriority w:val="99"/>
    <w:rPr>
      <w:rFonts w:ascii="宋体" w:cs="Times New Roman"/>
      <w:sz w:val="24"/>
    </w:rPr>
  </w:style>
  <w:style w:type="character" w:customStyle="1" w:styleId="141">
    <w:name w:val="apple-style-span"/>
    <w:qFormat/>
    <w:uiPriority w:val="0"/>
    <w:rPr>
      <w:rFonts w:cs="Times New Roman"/>
    </w:rPr>
  </w:style>
  <w:style w:type="character" w:customStyle="1" w:styleId="142">
    <w:name w:val="批注文字 字符"/>
    <w:qFormat/>
    <w:locked/>
    <w:uiPriority w:val="0"/>
    <w:rPr>
      <w:rFonts w:ascii="宋体" w:hAnsi="宋体" w:eastAsia="宋体" w:cs="宋体"/>
      <w:kern w:val="2"/>
      <w:sz w:val="21"/>
      <w:szCs w:val="21"/>
      <w:lang w:val="en-US" w:eastAsia="zh-CN"/>
    </w:rPr>
  </w:style>
  <w:style w:type="character" w:customStyle="1" w:styleId="143">
    <w:name w:val="apple-converted-space"/>
    <w:qFormat/>
    <w:uiPriority w:val="0"/>
    <w:rPr>
      <w:rFonts w:cs="Times New Roman"/>
    </w:rPr>
  </w:style>
  <w:style w:type="character" w:customStyle="1" w:styleId="144">
    <w:name w:val="页眉 字符"/>
    <w:qFormat/>
    <w:locked/>
    <w:uiPriority w:val="99"/>
    <w:rPr>
      <w:rFonts w:ascii="宋体" w:hAnsi="宋体" w:eastAsia="宋体" w:cs="宋体"/>
      <w:kern w:val="2"/>
      <w:sz w:val="18"/>
      <w:szCs w:val="18"/>
      <w:lang w:val="en-US" w:eastAsia="zh-CN"/>
    </w:rPr>
  </w:style>
  <w:style w:type="character" w:customStyle="1" w:styleId="145">
    <w:name w:val="标题 6 字符"/>
    <w:qFormat/>
    <w:locked/>
    <w:uiPriority w:val="9"/>
    <w:rPr>
      <w:rFonts w:ascii="Cambria" w:hAnsi="Cambria" w:eastAsia="宋体"/>
      <w:b/>
      <w:kern w:val="2"/>
      <w:sz w:val="24"/>
      <w:lang w:val="en-US" w:eastAsia="zh-CN"/>
    </w:rPr>
  </w:style>
  <w:style w:type="character" w:customStyle="1" w:styleId="146">
    <w:name w:val="金保标题3 Char"/>
    <w:link w:val="147"/>
    <w:qFormat/>
    <w:locked/>
    <w:uiPriority w:val="0"/>
    <w:rPr>
      <w:rFonts w:ascii="楷体" w:hAnsi="楷体" w:eastAsia="楷体"/>
      <w:b/>
      <w:sz w:val="28"/>
    </w:rPr>
  </w:style>
  <w:style w:type="paragraph" w:customStyle="1" w:styleId="147">
    <w:name w:val="金保标题3"/>
    <w:basedOn w:val="6"/>
    <w:next w:val="1"/>
    <w:link w:val="146"/>
    <w:qFormat/>
    <w:uiPriority w:val="0"/>
    <w:pPr>
      <w:tabs>
        <w:tab w:val="left" w:pos="0"/>
        <w:tab w:val="clear" w:pos="1620"/>
      </w:tabs>
      <w:spacing w:beforeLines="0" w:afterLines="0" w:line="240" w:lineRule="auto"/>
      <w:ind w:left="0" w:firstLine="0"/>
      <w:jc w:val="left"/>
    </w:pPr>
    <w:rPr>
      <w:rFonts w:ascii="楷体" w:hAnsi="楷体" w:eastAsia="楷体"/>
      <w:kern w:val="0"/>
      <w:sz w:val="28"/>
      <w:szCs w:val="20"/>
    </w:rPr>
  </w:style>
  <w:style w:type="character" w:customStyle="1" w:styleId="148">
    <w:name w:val="哈哈正文 Char"/>
    <w:link w:val="149"/>
    <w:qFormat/>
    <w:locked/>
    <w:uiPriority w:val="0"/>
    <w:rPr>
      <w:rFonts w:ascii="宋体" w:hAnsi="宋体" w:eastAsia="宋体"/>
      <w:kern w:val="2"/>
      <w:sz w:val="24"/>
      <w:lang w:val="en-US" w:eastAsia="zh-CN"/>
    </w:rPr>
  </w:style>
  <w:style w:type="paragraph" w:customStyle="1" w:styleId="149">
    <w:name w:val="哈哈正文"/>
    <w:basedOn w:val="1"/>
    <w:link w:val="148"/>
    <w:qFormat/>
    <w:uiPriority w:val="0"/>
    <w:pPr>
      <w:spacing w:line="360" w:lineRule="auto"/>
      <w:ind w:firstLine="200" w:firstLineChars="200"/>
    </w:pPr>
    <w:rPr>
      <w:rFonts w:ascii="宋体" w:hAnsi="宋体"/>
      <w:sz w:val="24"/>
    </w:rPr>
  </w:style>
  <w:style w:type="character" w:customStyle="1" w:styleId="150">
    <w:name w:val="正文文本缩进 Char1"/>
    <w:qFormat/>
    <w:uiPriority w:val="0"/>
    <w:rPr>
      <w:rFonts w:eastAsia="方正书宋简体"/>
      <w:kern w:val="2"/>
      <w:sz w:val="24"/>
      <w:lang w:val="en-US" w:eastAsia="zh-CN"/>
    </w:rPr>
  </w:style>
  <w:style w:type="character" w:customStyle="1" w:styleId="151">
    <w:name w:val="样式4 Char"/>
    <w:link w:val="152"/>
    <w:qFormat/>
    <w:locked/>
    <w:uiPriority w:val="0"/>
    <w:rPr>
      <w:rFonts w:ascii="黑体" w:hAnsi="黑体" w:eastAsia="黑体"/>
      <w:kern w:val="44"/>
      <w:sz w:val="44"/>
      <w:lang w:val="en-US" w:eastAsia="zh-CN"/>
    </w:rPr>
  </w:style>
  <w:style w:type="paragraph" w:customStyle="1" w:styleId="152">
    <w:name w:val="样式4"/>
    <w:basedOn w:val="4"/>
    <w:link w:val="151"/>
    <w:qFormat/>
    <w:uiPriority w:val="0"/>
    <w:pPr>
      <w:keepLines/>
      <w:spacing w:line="360" w:lineRule="auto"/>
    </w:pPr>
    <w:rPr>
      <w:rFonts w:ascii="黑体" w:hAnsi="黑体" w:eastAsia="黑体"/>
      <w:b w:val="0"/>
      <w:szCs w:val="20"/>
    </w:rPr>
  </w:style>
  <w:style w:type="character" w:customStyle="1" w:styleId="153">
    <w:name w:val="纯文本 Char Char"/>
    <w:link w:val="154"/>
    <w:qFormat/>
    <w:uiPriority w:val="0"/>
    <w:rPr>
      <w:rFonts w:ascii="宋体" w:hAnsi="Courier New"/>
      <w:kern w:val="2"/>
      <w:sz w:val="21"/>
    </w:rPr>
  </w:style>
  <w:style w:type="paragraph" w:customStyle="1" w:styleId="154">
    <w:name w:val="纯文本1"/>
    <w:basedOn w:val="1"/>
    <w:link w:val="153"/>
    <w:qFormat/>
    <w:uiPriority w:val="0"/>
    <w:rPr>
      <w:rFonts w:ascii="宋体" w:hAnsi="Courier New"/>
    </w:rPr>
  </w:style>
  <w:style w:type="character" w:customStyle="1" w:styleId="155">
    <w:name w:val="批注框文本 Char"/>
    <w:semiHidden/>
    <w:qFormat/>
    <w:locked/>
    <w:uiPriority w:val="99"/>
    <w:rPr>
      <w:rFonts w:cs="Times New Roman"/>
      <w:kern w:val="2"/>
      <w:sz w:val="18"/>
      <w:szCs w:val="18"/>
    </w:rPr>
  </w:style>
  <w:style w:type="character" w:customStyle="1" w:styleId="156">
    <w:name w:val="正文文本缩进 2 字符"/>
    <w:qFormat/>
    <w:locked/>
    <w:uiPriority w:val="99"/>
    <w:rPr>
      <w:rFonts w:ascii="宋体" w:eastAsia="宋体"/>
      <w:kern w:val="2"/>
      <w:sz w:val="24"/>
      <w:lang w:val="en-US" w:eastAsia="zh-CN"/>
    </w:rPr>
  </w:style>
  <w:style w:type="character" w:customStyle="1" w:styleId="157">
    <w:name w:val="批注主题 Char"/>
    <w:semiHidden/>
    <w:qFormat/>
    <w:locked/>
    <w:uiPriority w:val="0"/>
    <w:rPr>
      <w:rFonts w:cs="Times New Roman"/>
      <w:b/>
      <w:bCs/>
      <w:kern w:val="2"/>
      <w:sz w:val="21"/>
    </w:rPr>
  </w:style>
  <w:style w:type="character" w:customStyle="1" w:styleId="158">
    <w:name w:val="标题 2 Char"/>
    <w:qFormat/>
    <w:uiPriority w:val="0"/>
    <w:rPr>
      <w:rFonts w:ascii="Arial" w:hAnsi="Arial" w:eastAsia="黑体"/>
      <w:b/>
      <w:kern w:val="2"/>
      <w:sz w:val="32"/>
      <w:lang w:val="en-US" w:eastAsia="zh-CN"/>
    </w:rPr>
  </w:style>
  <w:style w:type="character" w:customStyle="1" w:styleId="159">
    <w:name w:val="样式1 Char"/>
    <w:link w:val="160"/>
    <w:qFormat/>
    <w:locked/>
    <w:uiPriority w:val="0"/>
    <w:rPr>
      <w:rFonts w:ascii="黑体" w:hAnsi="黑体" w:eastAsia="黑体"/>
      <w:b/>
      <w:kern w:val="2"/>
      <w:sz w:val="32"/>
    </w:rPr>
  </w:style>
  <w:style w:type="paragraph" w:customStyle="1" w:styleId="160">
    <w:name w:val="样式1"/>
    <w:basedOn w:val="5"/>
    <w:link w:val="159"/>
    <w:qFormat/>
    <w:uiPriority w:val="0"/>
    <w:pPr>
      <w:tabs>
        <w:tab w:val="clear" w:pos="578"/>
      </w:tabs>
      <w:spacing w:beforeLines="0" w:afterLines="0"/>
      <w:ind w:left="0" w:firstLine="0"/>
    </w:pPr>
    <w:rPr>
      <w:rFonts w:ascii="黑体" w:hAnsi="黑体" w:eastAsia="黑体"/>
      <w:b/>
      <w:sz w:val="32"/>
      <w:szCs w:val="20"/>
    </w:rPr>
  </w:style>
  <w:style w:type="character" w:customStyle="1" w:styleId="161">
    <w:name w:val="标题 1 字符"/>
    <w:qFormat/>
    <w:locked/>
    <w:uiPriority w:val="9"/>
    <w:rPr>
      <w:rFonts w:ascii="宋体" w:hAnsi="宋体" w:eastAsia="宋体" w:cs="宋体"/>
      <w:b/>
      <w:kern w:val="44"/>
      <w:sz w:val="44"/>
      <w:szCs w:val="44"/>
      <w:lang w:val="en-US" w:eastAsia="zh-CN"/>
    </w:rPr>
  </w:style>
  <w:style w:type="character" w:customStyle="1" w:styleId="162">
    <w:name w:val="font11"/>
    <w:qFormat/>
    <w:uiPriority w:val="0"/>
    <w:rPr>
      <w:rFonts w:ascii="Times New Roman" w:hAnsi="Times New Roman"/>
      <w:color w:val="000000"/>
      <w:sz w:val="24"/>
      <w:u w:val="none"/>
    </w:rPr>
  </w:style>
  <w:style w:type="character" w:customStyle="1" w:styleId="163">
    <w:name w:val="列出段落 字符"/>
    <w:qFormat/>
    <w:locked/>
    <w:uiPriority w:val="34"/>
    <w:rPr>
      <w:rFonts w:eastAsia="宋体"/>
      <w:kern w:val="2"/>
      <w:sz w:val="24"/>
      <w:lang w:val="en-US" w:eastAsia="zh-CN"/>
    </w:rPr>
  </w:style>
  <w:style w:type="character" w:customStyle="1" w:styleId="164">
    <w:name w:val="font61"/>
    <w:qFormat/>
    <w:uiPriority w:val="0"/>
    <w:rPr>
      <w:rFonts w:ascii="Times New Roman" w:hAnsi="Times New Roman"/>
      <w:color w:val="000000"/>
      <w:sz w:val="20"/>
      <w:u w:val="none"/>
    </w:rPr>
  </w:style>
  <w:style w:type="character" w:customStyle="1" w:styleId="165">
    <w:name w:val="列出段落 Char"/>
    <w:link w:val="166"/>
    <w:qFormat/>
    <w:locked/>
    <w:uiPriority w:val="34"/>
    <w:rPr>
      <w:rFonts w:eastAsia="宋体"/>
      <w:kern w:val="2"/>
      <w:sz w:val="24"/>
      <w:lang w:val="en-US" w:eastAsia="zh-CN"/>
    </w:rPr>
  </w:style>
  <w:style w:type="paragraph" w:styleId="166">
    <w:name w:val="List Paragraph"/>
    <w:basedOn w:val="1"/>
    <w:link w:val="165"/>
    <w:qFormat/>
    <w:uiPriority w:val="34"/>
    <w:pPr>
      <w:spacing w:line="360" w:lineRule="auto"/>
      <w:ind w:firstLine="420" w:firstLineChars="200"/>
    </w:pPr>
    <w:rPr>
      <w:sz w:val="24"/>
    </w:rPr>
  </w:style>
  <w:style w:type="character" w:customStyle="1" w:styleId="167">
    <w:name w:val="正文文本缩进 字符2"/>
    <w:semiHidden/>
    <w:qFormat/>
    <w:uiPriority w:val="99"/>
    <w:rPr>
      <w:kern w:val="2"/>
      <w:sz w:val="21"/>
    </w:rPr>
  </w:style>
  <w:style w:type="character" w:customStyle="1" w:styleId="168">
    <w:name w:val="font01"/>
    <w:qFormat/>
    <w:uiPriority w:val="0"/>
    <w:rPr>
      <w:rFonts w:ascii="宋体" w:hAnsi="宋体" w:eastAsia="宋体"/>
      <w:color w:val="000000"/>
      <w:sz w:val="24"/>
      <w:u w:val="none"/>
    </w:rPr>
  </w:style>
  <w:style w:type="character" w:customStyle="1" w:styleId="169">
    <w:name w:val="标题 1 Char"/>
    <w:qFormat/>
    <w:uiPriority w:val="9"/>
    <w:rPr>
      <w:rFonts w:ascii="宋体" w:eastAsia="宋体"/>
      <w:b/>
      <w:kern w:val="2"/>
      <w:sz w:val="28"/>
      <w:lang w:val="en-US" w:eastAsia="zh-CN"/>
    </w:rPr>
  </w:style>
  <w:style w:type="character" w:customStyle="1" w:styleId="170">
    <w:name w:val="标题 5 字符"/>
    <w:qFormat/>
    <w:locked/>
    <w:uiPriority w:val="9"/>
    <w:rPr>
      <w:rFonts w:eastAsia="宋体"/>
      <w:b/>
      <w:kern w:val="2"/>
      <w:sz w:val="28"/>
      <w:lang w:val="en-US" w:eastAsia="zh-CN"/>
    </w:rPr>
  </w:style>
  <w:style w:type="character" w:customStyle="1" w:styleId="171">
    <w:name w:val="表格 字符"/>
    <w:link w:val="172"/>
    <w:qFormat/>
    <w:uiPriority w:val="0"/>
    <w:rPr>
      <w:rFonts w:ascii="宋体" w:hAnsi="宋体" w:cs="Times New Roman"/>
      <w:kern w:val="2"/>
      <w:sz w:val="21"/>
      <w:szCs w:val="22"/>
    </w:rPr>
  </w:style>
  <w:style w:type="paragraph" w:customStyle="1" w:styleId="172">
    <w:name w:val="表格"/>
    <w:basedOn w:val="1"/>
    <w:link w:val="171"/>
    <w:qFormat/>
    <w:uiPriority w:val="0"/>
    <w:pPr>
      <w:spacing w:line="276" w:lineRule="auto"/>
      <w:jc w:val="center"/>
    </w:pPr>
    <w:rPr>
      <w:rFonts w:ascii="宋体" w:hAnsi="宋体"/>
      <w:szCs w:val="22"/>
    </w:rPr>
  </w:style>
  <w:style w:type="character" w:customStyle="1" w:styleId="173">
    <w:name w:val="List Paragraph Char"/>
    <w:link w:val="174"/>
    <w:qFormat/>
    <w:locked/>
    <w:uiPriority w:val="0"/>
    <w:rPr>
      <w:rFonts w:ascii="Calibri" w:hAnsi="Calibri" w:eastAsia="宋体"/>
      <w:kern w:val="2"/>
      <w:sz w:val="22"/>
      <w:lang w:val="en-US" w:eastAsia="zh-CN"/>
    </w:rPr>
  </w:style>
  <w:style w:type="paragraph" w:customStyle="1" w:styleId="174">
    <w:name w:val="列出段落1"/>
    <w:basedOn w:val="1"/>
    <w:link w:val="173"/>
    <w:qFormat/>
    <w:uiPriority w:val="0"/>
    <w:pPr>
      <w:ind w:firstLine="420" w:firstLineChars="200"/>
    </w:pPr>
    <w:rPr>
      <w:rFonts w:ascii="Calibri" w:hAnsi="Calibri"/>
      <w:sz w:val="22"/>
    </w:rPr>
  </w:style>
  <w:style w:type="character" w:customStyle="1" w:styleId="175">
    <w:name w:val="HTML 预设格式 字符1"/>
    <w:semiHidden/>
    <w:qFormat/>
    <w:uiPriority w:val="99"/>
    <w:rPr>
      <w:rFonts w:ascii="Courier New" w:hAnsi="Courier New" w:cs="Courier New"/>
      <w:kern w:val="2"/>
    </w:rPr>
  </w:style>
  <w:style w:type="character" w:customStyle="1" w:styleId="176">
    <w:name w:val="正文文本 3 字符"/>
    <w:qFormat/>
    <w:locked/>
    <w:uiPriority w:val="99"/>
    <w:rPr>
      <w:rFonts w:eastAsia="宋体"/>
      <w:sz w:val="16"/>
    </w:rPr>
  </w:style>
  <w:style w:type="character" w:customStyle="1" w:styleId="177">
    <w:name w:val="日期 字符"/>
    <w:qFormat/>
    <w:locked/>
    <w:uiPriority w:val="99"/>
    <w:rPr>
      <w:rFonts w:ascii="宋体" w:cs="Times New Roman"/>
      <w:sz w:val="24"/>
    </w:rPr>
  </w:style>
  <w:style w:type="character" w:customStyle="1" w:styleId="178">
    <w:name w:val="HTML 预设格式 字符"/>
    <w:qFormat/>
    <w:locked/>
    <w:uiPriority w:val="99"/>
    <w:rPr>
      <w:rFonts w:ascii="Courier New" w:hAnsi="Courier New"/>
      <w:kern w:val="2"/>
    </w:rPr>
  </w:style>
  <w:style w:type="character" w:customStyle="1" w:styleId="179">
    <w:name w:val="页脚 字符"/>
    <w:qFormat/>
    <w:locked/>
    <w:uiPriority w:val="99"/>
    <w:rPr>
      <w:rFonts w:ascii="宋体" w:hAnsi="宋体" w:eastAsia="宋体" w:cs="宋体"/>
      <w:kern w:val="2"/>
      <w:sz w:val="18"/>
      <w:szCs w:val="18"/>
      <w:lang w:val="en-US" w:eastAsia="zh-CN"/>
    </w:rPr>
  </w:style>
  <w:style w:type="character" w:customStyle="1" w:styleId="180">
    <w:name w:val="正文文本 Char1"/>
    <w:qFormat/>
    <w:uiPriority w:val="0"/>
    <w:rPr>
      <w:rFonts w:ascii="Times New Roman" w:hAnsi="Times New Roman" w:eastAsia="宋体" w:cs="Times New Roman"/>
      <w:sz w:val="24"/>
      <w:szCs w:val="24"/>
    </w:rPr>
  </w:style>
  <w:style w:type="character" w:customStyle="1" w:styleId="181">
    <w:name w:val="正文文本缩进 3 字符"/>
    <w:qFormat/>
    <w:locked/>
    <w:uiPriority w:val="99"/>
    <w:rPr>
      <w:rFonts w:ascii="宋体" w:hAnsi="宋体" w:eastAsia="宋体" w:cs="宋体"/>
      <w:b/>
      <w:kern w:val="2"/>
      <w:sz w:val="24"/>
      <w:szCs w:val="24"/>
      <w:lang w:val="en-US" w:eastAsia="zh-CN"/>
    </w:rPr>
  </w:style>
  <w:style w:type="character" w:customStyle="1" w:styleId="182">
    <w:name w:val="正文文本 2 字符"/>
    <w:qFormat/>
    <w:locked/>
    <w:uiPriority w:val="99"/>
    <w:rPr>
      <w:rFonts w:eastAsia="宋体"/>
      <w:sz w:val="24"/>
    </w:rPr>
  </w:style>
  <w:style w:type="character" w:customStyle="1" w:styleId="183">
    <w:name w:val="正文文本缩进 2 字符1"/>
    <w:semiHidden/>
    <w:qFormat/>
    <w:uiPriority w:val="99"/>
    <w:rPr>
      <w:kern w:val="2"/>
      <w:sz w:val="21"/>
    </w:rPr>
  </w:style>
  <w:style w:type="character" w:customStyle="1" w:styleId="184">
    <w:name w:val="纯文本 字符1"/>
    <w:semiHidden/>
    <w:qFormat/>
    <w:uiPriority w:val="99"/>
    <w:rPr>
      <w:rFonts w:ascii="等线" w:hAnsi="Courier New" w:eastAsia="等线" w:cs="Courier New"/>
      <w:kern w:val="2"/>
      <w:sz w:val="21"/>
    </w:rPr>
  </w:style>
  <w:style w:type="character" w:customStyle="1" w:styleId="185">
    <w:name w:val="正文文本缩进 字符"/>
    <w:qFormat/>
    <w:uiPriority w:val="0"/>
    <w:rPr>
      <w:rFonts w:ascii="Calibri" w:hAnsi="Calibri" w:cs="Calibri"/>
    </w:rPr>
  </w:style>
  <w:style w:type="character" w:customStyle="1" w:styleId="186">
    <w:name w:val="正文文本 字符"/>
    <w:qFormat/>
    <w:locked/>
    <w:uiPriority w:val="99"/>
    <w:rPr>
      <w:rFonts w:ascii="宋体" w:hAnsi="宋体" w:eastAsia="宋体" w:cs="宋体"/>
      <w:lang w:val="en-US" w:eastAsia="zh-CN"/>
    </w:rPr>
  </w:style>
  <w:style w:type="character" w:customStyle="1" w:styleId="187">
    <w:name w:val="页眉 字符1"/>
    <w:semiHidden/>
    <w:qFormat/>
    <w:uiPriority w:val="99"/>
    <w:rPr>
      <w:kern w:val="2"/>
      <w:sz w:val="18"/>
      <w:szCs w:val="18"/>
    </w:rPr>
  </w:style>
  <w:style w:type="character" w:customStyle="1" w:styleId="188">
    <w:name w:val="批注框文本 字符1"/>
    <w:semiHidden/>
    <w:qFormat/>
    <w:uiPriority w:val="99"/>
    <w:rPr>
      <w:kern w:val="2"/>
      <w:sz w:val="18"/>
      <w:szCs w:val="18"/>
    </w:rPr>
  </w:style>
  <w:style w:type="character" w:customStyle="1" w:styleId="189">
    <w:name w:val="文档结构图 字符"/>
    <w:qFormat/>
    <w:locked/>
    <w:uiPriority w:val="99"/>
    <w:rPr>
      <w:rFonts w:eastAsia="宋体"/>
      <w:kern w:val="2"/>
      <w:sz w:val="21"/>
      <w:lang w:val="en-US" w:eastAsia="zh-CN"/>
    </w:rPr>
  </w:style>
  <w:style w:type="paragraph" w:customStyle="1" w:styleId="190">
    <w:name w:val="正文无缩进"/>
    <w:basedOn w:val="1"/>
    <w:qFormat/>
    <w:uiPriority w:val="0"/>
    <w:pPr>
      <w:widowControl/>
      <w:autoSpaceDE w:val="0"/>
      <w:autoSpaceDN w:val="0"/>
      <w:spacing w:line="300" w:lineRule="auto"/>
      <w:textAlignment w:val="bottom"/>
    </w:pPr>
    <w:rPr>
      <w:rFonts w:eastAsia="楷体_GB2312"/>
    </w:r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3">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4">
    <w:name w:val="Char1"/>
    <w:basedOn w:val="1"/>
    <w:qFormat/>
    <w:uiPriority w:val="0"/>
    <w:rPr>
      <w:rFonts w:ascii="仿宋_GB2312" w:eastAsia="仿宋_GB2312"/>
      <w:b/>
      <w:sz w:val="32"/>
      <w:szCs w:val="32"/>
    </w:rPr>
  </w:style>
  <w:style w:type="paragraph" w:customStyle="1" w:styleId="195">
    <w:name w:val="正文1"/>
    <w:next w:val="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6">
    <w:name w:val="Table Paragraph"/>
    <w:basedOn w:val="1"/>
    <w:unhideWhenUsed/>
    <w:qFormat/>
    <w:uiPriority w:val="1"/>
    <w:pPr>
      <w:spacing w:before="100" w:beforeAutospacing="1" w:after="100" w:afterAutospacing="1" w:line="360" w:lineRule="auto"/>
    </w:pPr>
    <w:rPr>
      <w:sz w:val="24"/>
      <w:szCs w:val="24"/>
    </w:rPr>
  </w:style>
  <w:style w:type="paragraph" w:customStyle="1" w:styleId="197">
    <w:name w:val="Normal 2"/>
    <w:basedOn w:val="1"/>
    <w:qFormat/>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198">
    <w:name w:val="p0"/>
    <w:basedOn w:val="1"/>
    <w:qFormat/>
    <w:uiPriority w:val="0"/>
    <w:pPr>
      <w:widowControl/>
    </w:pPr>
    <w:rPr>
      <w:kern w:val="0"/>
      <w:szCs w:val="21"/>
    </w:rPr>
  </w:style>
  <w:style w:type="paragraph" w:customStyle="1" w:styleId="199">
    <w:name w:val="Proposals body"/>
    <w:basedOn w:val="1"/>
    <w:next w:val="1"/>
    <w:qFormat/>
    <w:uiPriority w:val="0"/>
    <w:pPr>
      <w:widowControl/>
      <w:spacing w:line="360" w:lineRule="auto"/>
      <w:jc w:val="left"/>
    </w:pPr>
    <w:rPr>
      <w:rFonts w:ascii="宋体"/>
      <w:color w:val="000000"/>
      <w:kern w:val="0"/>
      <w:sz w:val="24"/>
    </w:rPr>
  </w:style>
  <w:style w:type="paragraph" w:customStyle="1" w:styleId="200">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1">
    <w:name w:val="Default"/>
    <w:qFormat/>
    <w:uiPriority w:val="0"/>
    <w:pPr>
      <w:widowControl w:val="0"/>
      <w:autoSpaceDE w:val="0"/>
      <w:autoSpaceDN w:val="0"/>
      <w:adjustRightInd w:val="0"/>
      <w:ind w:left="425"/>
    </w:pPr>
    <w:rPr>
      <w:rFonts w:ascii="黑体" w:hAnsi="Times New Roman" w:eastAsia="黑体" w:cs="黑体"/>
      <w:color w:val="000000"/>
      <w:sz w:val="24"/>
      <w:szCs w:val="24"/>
      <w:lang w:val="en-US" w:eastAsia="zh-CN" w:bidi="ar-SA"/>
    </w:rPr>
  </w:style>
  <w:style w:type="paragraph" w:customStyle="1" w:styleId="202">
    <w:name w:val="xl28"/>
    <w:basedOn w:val="1"/>
    <w:qFormat/>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203">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4">
    <w:name w:val="[正文行首缩进]"/>
    <w:qFormat/>
    <w:uiPriority w:val="0"/>
    <w:pPr>
      <w:widowControl w:val="0"/>
      <w:spacing w:line="360" w:lineRule="auto"/>
      <w:ind w:firstLine="200" w:firstLineChars="200"/>
      <w:jc w:val="both"/>
    </w:pPr>
    <w:rPr>
      <w:rFonts w:ascii="Times New Roman" w:hAnsi="Times New Roman" w:eastAsia="宋体" w:cs="Times New Roman"/>
      <w:color w:val="000000"/>
      <w:sz w:val="24"/>
      <w:szCs w:val="24"/>
      <w:lang w:val="en-US" w:eastAsia="zh-CN" w:bidi="ar-SA"/>
    </w:rPr>
  </w:style>
  <w:style w:type="paragraph" w:styleId="205">
    <w:name w:val="No Spacing"/>
    <w:link w:val="206"/>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206">
    <w:name w:val="无间隔 Char"/>
    <w:link w:val="205"/>
    <w:qFormat/>
    <w:uiPriority w:val="1"/>
    <w:rPr>
      <w:kern w:val="2"/>
      <w:sz w:val="21"/>
      <w:lang w:bidi="ar-SA"/>
    </w:rPr>
  </w:style>
  <w:style w:type="paragraph" w:customStyle="1" w:styleId="207">
    <w:name w:val="Item List in Table"/>
    <w:basedOn w:val="1"/>
    <w:qFormat/>
    <w:uiPriority w:val="0"/>
    <w:pPr>
      <w:widowControl/>
      <w:numPr>
        <w:ilvl w:val="0"/>
        <w:numId w:val="1"/>
      </w:numPr>
      <w:tabs>
        <w:tab w:val="left" w:pos="284"/>
      </w:tabs>
      <w:topLinePunct/>
      <w:adjustRightInd w:val="0"/>
      <w:snapToGrid w:val="0"/>
      <w:spacing w:before="80" w:after="80" w:line="240" w:lineRule="atLeast"/>
      <w:jc w:val="left"/>
    </w:pPr>
    <w:rPr>
      <w:rFonts w:cs="Arial"/>
      <w:kern w:val="0"/>
      <w:szCs w:val="21"/>
    </w:rPr>
  </w:style>
  <w:style w:type="paragraph" w:customStyle="1" w:styleId="208">
    <w:name w:val="xl25"/>
    <w:basedOn w:val="1"/>
    <w:qFormat/>
    <w:uiPriority w:val="0"/>
    <w:pPr>
      <w:widowControl/>
      <w:spacing w:before="100" w:beforeAutospacing="1" w:after="100" w:afterAutospacing="1"/>
      <w:jc w:val="center"/>
      <w:textAlignment w:val="center"/>
    </w:pPr>
    <w:rPr>
      <w:rFonts w:ascii="宋体" w:hAnsi="宋体"/>
      <w:kern w:val="0"/>
      <w:sz w:val="20"/>
    </w:rPr>
  </w:style>
  <w:style w:type="paragraph" w:customStyle="1" w:styleId="209">
    <w:name w:val="列出段落11"/>
    <w:basedOn w:val="1"/>
    <w:qFormat/>
    <w:uiPriority w:val="34"/>
    <w:pPr>
      <w:ind w:firstLine="420" w:firstLineChars="200"/>
    </w:pPr>
    <w:rPr>
      <w:szCs w:val="24"/>
    </w:rPr>
  </w:style>
  <w:style w:type="paragraph" w:customStyle="1" w:styleId="210">
    <w:name w:val="标题3"/>
    <w:basedOn w:val="6"/>
    <w:qFormat/>
    <w:uiPriority w:val="0"/>
    <w:pPr>
      <w:tabs>
        <w:tab w:val="left" w:pos="113"/>
        <w:tab w:val="left" w:pos="840"/>
        <w:tab w:val="clear" w:pos="1620"/>
      </w:tabs>
      <w:spacing w:beforeLines="0" w:beforeAutospacing="1" w:afterLines="0" w:line="300" w:lineRule="auto"/>
      <w:ind w:left="1180" w:hanging="340"/>
    </w:pPr>
    <w:rPr>
      <w:rFonts w:ascii="Times New Roman" w:hAnsi="Times New Roman"/>
      <w:b w:val="0"/>
      <w:bCs/>
      <w:spacing w:val="6"/>
      <w:kern w:val="44"/>
      <w:sz w:val="28"/>
      <w:szCs w:val="20"/>
      <w:lang w:val="ru-RU"/>
    </w:rPr>
  </w:style>
  <w:style w:type="paragraph" w:customStyle="1" w:styleId="211">
    <w:name w:val="_Style 5"/>
    <w:basedOn w:val="1"/>
    <w:qFormat/>
    <w:uiPriority w:val="0"/>
    <w:pPr>
      <w:widowControl/>
      <w:spacing w:after="160" w:line="360" w:lineRule="auto"/>
      <w:ind w:firstLine="200" w:firstLineChars="200"/>
      <w:jc w:val="left"/>
    </w:pPr>
    <w:rPr>
      <w:rFonts w:ascii="宋体" w:hAnsi="宋体"/>
      <w:sz w:val="24"/>
    </w:rPr>
  </w:style>
  <w:style w:type="paragraph" w:customStyle="1" w:styleId="212">
    <w:name w:val="Char"/>
    <w:basedOn w:val="1"/>
    <w:qFormat/>
    <w:uiPriority w:val="0"/>
    <w:pPr>
      <w:widowControl/>
      <w:spacing w:after="160" w:line="240" w:lineRule="exact"/>
      <w:ind w:left="-62" w:right="36" w:rightChars="15"/>
      <w:jc w:val="left"/>
    </w:pPr>
    <w:rPr>
      <w:rFonts w:ascii="Arial" w:hAnsi="Arial"/>
      <w:kern w:val="0"/>
      <w:sz w:val="20"/>
      <w:lang w:eastAsia="en-US"/>
    </w:rPr>
  </w:style>
  <w:style w:type="paragraph" w:customStyle="1" w:styleId="213">
    <w:name w:val="大标题"/>
    <w:basedOn w:val="1"/>
    <w:qFormat/>
    <w:uiPriority w:val="0"/>
    <w:pPr>
      <w:autoSpaceDE w:val="0"/>
      <w:autoSpaceDN w:val="0"/>
      <w:adjustRightInd w:val="0"/>
      <w:spacing w:after="560"/>
      <w:jc w:val="center"/>
    </w:pPr>
    <w:rPr>
      <w:rFonts w:ascii="Arial Black" w:hAnsi="Arial Black"/>
      <w:b/>
      <w:kern w:val="0"/>
      <w:sz w:val="56"/>
    </w:rPr>
  </w:style>
  <w:style w:type="paragraph" w:customStyle="1" w:styleId="214">
    <w:name w:val="Char Char Char"/>
    <w:basedOn w:val="1"/>
    <w:qFormat/>
    <w:uiPriority w:val="0"/>
    <w:pPr>
      <w:spacing w:before="120" w:after="120" w:line="360" w:lineRule="auto"/>
      <w:ind w:firstLine="200" w:firstLineChars="200"/>
    </w:pPr>
    <w:rPr>
      <w:rFonts w:ascii="Tahoma" w:hAnsi="Tahoma"/>
      <w:sz w:val="24"/>
    </w:rPr>
  </w:style>
  <w:style w:type="paragraph" w:customStyle="1" w:styleId="215">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216">
    <w:name w:val="Char Char Char1 Char"/>
    <w:basedOn w:val="1"/>
    <w:qFormat/>
    <w:uiPriority w:val="0"/>
    <w:pPr>
      <w:spacing w:line="360" w:lineRule="auto"/>
      <w:ind w:firstLine="200" w:firstLineChars="200"/>
    </w:pPr>
  </w:style>
  <w:style w:type="paragraph" w:customStyle="1" w:styleId="217">
    <w:name w:val="正文 居中"/>
    <w:basedOn w:val="1"/>
    <w:qFormat/>
    <w:uiPriority w:val="0"/>
    <w:pPr>
      <w:spacing w:line="360" w:lineRule="auto"/>
      <w:jc w:val="center"/>
    </w:pPr>
    <w:rPr>
      <w:rFonts w:cs="宋体"/>
      <w:sz w:val="24"/>
    </w:rPr>
  </w:style>
  <w:style w:type="paragraph" w:customStyle="1" w:styleId="218">
    <w:name w:val="默认段落字体 Para Char Char Char Char Char Char Char Char Char1 Char Char Char Char"/>
    <w:basedOn w:val="1"/>
    <w:qFormat/>
    <w:uiPriority w:val="0"/>
    <w:rPr>
      <w:rFonts w:ascii="Tahoma" w:hAnsi="Tahoma"/>
      <w:sz w:val="24"/>
    </w:rPr>
  </w:style>
  <w:style w:type="paragraph" w:customStyle="1" w:styleId="219">
    <w:name w:val="正文2"/>
    <w:basedOn w:val="1"/>
    <w:link w:val="220"/>
    <w:qFormat/>
    <w:uiPriority w:val="0"/>
    <w:pPr>
      <w:spacing w:beforeLines="50" w:afterLines="50" w:line="360" w:lineRule="auto"/>
      <w:ind w:firstLine="480" w:firstLineChars="200"/>
    </w:pPr>
    <w:rPr>
      <w:rFonts w:ascii="宋体" w:hAnsi="宋体"/>
      <w:sz w:val="24"/>
      <w:szCs w:val="24"/>
    </w:rPr>
  </w:style>
  <w:style w:type="character" w:customStyle="1" w:styleId="220">
    <w:name w:val="正文2 Char"/>
    <w:link w:val="219"/>
    <w:qFormat/>
    <w:uiPriority w:val="0"/>
    <w:rPr>
      <w:rFonts w:ascii="宋体" w:hAnsi="宋体"/>
      <w:kern w:val="2"/>
      <w:sz w:val="24"/>
      <w:szCs w:val="24"/>
    </w:rPr>
  </w:style>
  <w:style w:type="paragraph" w:customStyle="1" w:styleId="221">
    <w:name w:val="符号 2"/>
    <w:basedOn w:val="222"/>
    <w:qFormat/>
    <w:uiPriority w:val="0"/>
    <w:pPr>
      <w:tabs>
        <w:tab w:val="left" w:pos="900"/>
        <w:tab w:val="left" w:pos="1320"/>
      </w:tabs>
      <w:ind w:left="1320" w:hanging="420"/>
    </w:pPr>
  </w:style>
  <w:style w:type="paragraph" w:customStyle="1" w:styleId="222">
    <w:name w:val="符号 1"/>
    <w:basedOn w:val="20"/>
    <w:qFormat/>
    <w:uiPriority w:val="0"/>
    <w:pPr>
      <w:tabs>
        <w:tab w:val="left" w:pos="900"/>
      </w:tabs>
      <w:spacing w:line="360" w:lineRule="auto"/>
      <w:ind w:left="1200" w:hanging="720"/>
    </w:pPr>
    <w:rPr>
      <w:rFonts w:eastAsia="宋体"/>
      <w:kern w:val="28"/>
      <w:szCs w:val="24"/>
    </w:rPr>
  </w:style>
  <w:style w:type="paragraph" w:customStyle="1" w:styleId="223">
    <w:name w:val="0正文"/>
    <w:basedOn w:val="1"/>
    <w:qFormat/>
    <w:uiPriority w:val="0"/>
    <w:pPr>
      <w:adjustRightInd w:val="0"/>
      <w:spacing w:line="360" w:lineRule="auto"/>
      <w:ind w:left="50" w:leftChars="50" w:right="50" w:rightChars="50" w:firstLine="200" w:firstLineChars="200"/>
      <w:textAlignment w:val="baseline"/>
    </w:pPr>
    <w:rPr>
      <w:rFonts w:ascii="Verdana" w:hAnsi="Verdana" w:cs="Verdana"/>
      <w:color w:val="000080"/>
      <w:szCs w:val="21"/>
    </w:rPr>
  </w:style>
  <w:style w:type="paragraph" w:customStyle="1" w:styleId="224">
    <w:name w:val="Char2"/>
    <w:basedOn w:val="1"/>
    <w:qFormat/>
    <w:uiPriority w:val="0"/>
    <w:pPr>
      <w:tabs>
        <w:tab w:val="left" w:pos="1200"/>
      </w:tabs>
      <w:ind w:left="1200" w:hanging="720"/>
    </w:pPr>
    <w:rPr>
      <w:sz w:val="24"/>
      <w:szCs w:val="24"/>
    </w:rPr>
  </w:style>
  <w:style w:type="paragraph" w:customStyle="1" w:styleId="225">
    <w:name w:val="标题1"/>
    <w:basedOn w:val="4"/>
    <w:qFormat/>
    <w:uiPriority w:val="0"/>
    <w:pPr>
      <w:keepLines/>
      <w:tabs>
        <w:tab w:val="left" w:pos="397"/>
      </w:tabs>
      <w:spacing w:before="120" w:after="120" w:line="300" w:lineRule="auto"/>
      <w:ind w:firstLine="340"/>
    </w:pPr>
    <w:rPr>
      <w:rFonts w:ascii="黑体" w:eastAsia="黑体"/>
      <w:b w:val="0"/>
      <w:bCs/>
      <w:spacing w:val="6"/>
      <w:sz w:val="36"/>
    </w:rPr>
  </w:style>
  <w:style w:type="paragraph" w:customStyle="1" w:styleId="226">
    <w:name w:val="Char11"/>
    <w:basedOn w:val="1"/>
    <w:qFormat/>
    <w:uiPriority w:val="0"/>
    <w:rPr>
      <w:szCs w:val="24"/>
    </w:rPr>
  </w:style>
  <w:style w:type="paragraph" w:customStyle="1" w:styleId="227">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228">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229">
    <w:name w:val="List Paragraph1"/>
    <w:basedOn w:val="1"/>
    <w:qFormat/>
    <w:uiPriority w:val="0"/>
    <w:pPr>
      <w:widowControl/>
      <w:spacing w:before="15" w:after="15" w:line="460" w:lineRule="exact"/>
      <w:ind w:firstLine="420" w:firstLineChars="200"/>
      <w:jc w:val="left"/>
    </w:pPr>
    <w:rPr>
      <w:rFonts w:ascii="Calibri" w:hAnsi="Calibri"/>
      <w:sz w:val="24"/>
      <w:szCs w:val="22"/>
    </w:rPr>
  </w:style>
  <w:style w:type="paragraph" w:customStyle="1" w:styleId="230">
    <w:name w:val="Table Text"/>
    <w:basedOn w:val="1"/>
    <w:qFormat/>
    <w:uiPriority w:val="0"/>
    <w:pPr>
      <w:widowControl/>
      <w:jc w:val="left"/>
    </w:pPr>
    <w:rPr>
      <w:rFonts w:ascii="Arial" w:hAnsi="Arial"/>
      <w:kern w:val="0"/>
      <w:szCs w:val="21"/>
    </w:rPr>
  </w:style>
  <w:style w:type="paragraph" w:customStyle="1" w:styleId="231">
    <w:name w:val="正文编码"/>
    <w:basedOn w:val="2"/>
    <w:qFormat/>
    <w:uiPriority w:val="0"/>
    <w:pPr>
      <w:tabs>
        <w:tab w:val="center" w:pos="2185"/>
      </w:tabs>
      <w:spacing w:after="0" w:line="360" w:lineRule="auto"/>
      <w:ind w:left="1200" w:hanging="720" w:firstLineChars="0"/>
    </w:pPr>
    <w:rPr>
      <w:rFonts w:ascii="仿宋_GB2312" w:eastAsia="仿宋_GB2312"/>
      <w:kern w:val="0"/>
    </w:rPr>
  </w:style>
  <w:style w:type="paragraph" w:customStyle="1" w:styleId="232">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33">
    <w:name w:val="Char Char Char Char"/>
    <w:basedOn w:val="1"/>
    <w:qFormat/>
    <w:uiPriority w:val="0"/>
    <w:pPr>
      <w:widowControl/>
      <w:spacing w:line="400" w:lineRule="exact"/>
      <w:jc w:val="center"/>
    </w:pPr>
    <w:rPr>
      <w:rFonts w:ascii="Verdana" w:hAnsi="Verdana"/>
      <w:kern w:val="0"/>
      <w:lang w:eastAsia="en-US"/>
    </w:rPr>
  </w:style>
  <w:style w:type="paragraph" w:customStyle="1" w:styleId="234">
    <w:name w:val="正文段"/>
    <w:basedOn w:val="1"/>
    <w:qFormat/>
    <w:uiPriority w:val="0"/>
    <w:pPr>
      <w:widowControl/>
      <w:snapToGrid w:val="0"/>
      <w:spacing w:afterLines="50"/>
      <w:ind w:firstLine="200" w:firstLineChars="200"/>
    </w:pPr>
    <w:rPr>
      <w:kern w:val="0"/>
      <w:sz w:val="24"/>
    </w:rPr>
  </w:style>
  <w:style w:type="paragraph" w:customStyle="1" w:styleId="235">
    <w:name w:val="正文文本缩进 + 四号"/>
    <w:basedOn w:val="20"/>
    <w:qFormat/>
    <w:uiPriority w:val="0"/>
    <w:pPr>
      <w:spacing w:line="360" w:lineRule="auto"/>
      <w:ind w:firstLine="560" w:firstLineChars="200"/>
    </w:pPr>
    <w:rPr>
      <w:rFonts w:ascii="仿宋_GB2312" w:eastAsia="仿宋_GB2312"/>
      <w:color w:val="000000"/>
      <w:sz w:val="28"/>
      <w:szCs w:val="28"/>
    </w:rPr>
  </w:style>
  <w:style w:type="paragraph" w:customStyle="1" w:styleId="236">
    <w:name w:val="标准正文"/>
    <w:basedOn w:val="1"/>
    <w:qFormat/>
    <w:uiPriority w:val="0"/>
    <w:pPr>
      <w:adjustRightInd w:val="0"/>
      <w:spacing w:line="360" w:lineRule="auto"/>
      <w:ind w:firstLine="480" w:firstLineChars="200"/>
    </w:pPr>
    <w:rPr>
      <w:kern w:val="0"/>
      <w:sz w:val="24"/>
    </w:rPr>
  </w:style>
  <w:style w:type="paragraph" w:customStyle="1" w:styleId="237">
    <w:name w:val="Char Char Char Char Char Char Char"/>
    <w:basedOn w:val="1"/>
    <w:qFormat/>
    <w:uiPriority w:val="0"/>
    <w:pPr>
      <w:tabs>
        <w:tab w:val="left" w:pos="432"/>
      </w:tabs>
      <w:ind w:left="432" w:hanging="432"/>
    </w:pPr>
    <w:rPr>
      <w:rFonts w:ascii="Tahoma" w:hAnsi="Tahoma"/>
      <w:sz w:val="24"/>
    </w:rPr>
  </w:style>
  <w:style w:type="paragraph" w:customStyle="1" w:styleId="238">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9">
    <w:name w:val="默认段落字体 Para Char Char Char Char Char Char Char Char Char Char"/>
    <w:basedOn w:val="1"/>
    <w:qFormat/>
    <w:uiPriority w:val="0"/>
    <w:rPr>
      <w:rFonts w:ascii="Tahoma" w:hAnsi="Tahoma"/>
      <w:sz w:val="24"/>
    </w:rPr>
  </w:style>
  <w:style w:type="paragraph" w:customStyle="1" w:styleId="240">
    <w:name w:val="表格正文"/>
    <w:basedOn w:val="1"/>
    <w:qFormat/>
    <w:uiPriority w:val="0"/>
    <w:rPr>
      <w:rFonts w:eastAsia="黑体"/>
    </w:rPr>
  </w:style>
  <w:style w:type="paragraph" w:customStyle="1" w:styleId="241">
    <w:name w:val="Char Char1 Char Char Char Char"/>
    <w:basedOn w:val="1"/>
    <w:qFormat/>
    <w:uiPriority w:val="0"/>
    <w:rPr>
      <w:rFonts w:ascii="Tahoma" w:hAnsi="Tahoma"/>
      <w:sz w:val="24"/>
    </w:rPr>
  </w:style>
  <w:style w:type="paragraph" w:customStyle="1" w:styleId="242">
    <w:name w:val="彩色列表 - 强调文字颜色 11"/>
    <w:basedOn w:val="1"/>
    <w:qFormat/>
    <w:uiPriority w:val="0"/>
    <w:pPr>
      <w:ind w:firstLine="420" w:firstLineChars="200"/>
    </w:pPr>
    <w:rPr>
      <w:rFonts w:ascii="Calibri" w:hAnsi="Calibri"/>
      <w:szCs w:val="22"/>
    </w:rPr>
  </w:style>
  <w:style w:type="character" w:customStyle="1" w:styleId="243">
    <w:name w:val="zbggmain style9"/>
    <w:basedOn w:val="52"/>
    <w:qFormat/>
    <w:uiPriority w:val="0"/>
  </w:style>
  <w:style w:type="character" w:customStyle="1" w:styleId="244">
    <w:name w:val="pubtime"/>
    <w:qFormat/>
    <w:uiPriority w:val="0"/>
    <w:rPr>
      <w:rFonts w:ascii="仿宋_GB2312" w:eastAsia="仿宋_GB2312"/>
      <w:color w:val="000000"/>
      <w:sz w:val="14"/>
      <w:szCs w:val="14"/>
    </w:rPr>
  </w:style>
  <w:style w:type="character" w:customStyle="1" w:styleId="245">
    <w:name w:val="font41"/>
    <w:qFormat/>
    <w:uiPriority w:val="0"/>
    <w:rPr>
      <w:rFonts w:ascii="font-weight : 400" w:hAnsi="font-weight : 400" w:eastAsia="font-weight : 400" w:cs="font-weight : 400"/>
      <w:b/>
      <w:color w:val="000000"/>
      <w:sz w:val="22"/>
      <w:szCs w:val="22"/>
      <w:u w:val="none"/>
    </w:rPr>
  </w:style>
  <w:style w:type="character" w:customStyle="1" w:styleId="246">
    <w:name w:val="c-icon16"/>
    <w:basedOn w:val="52"/>
    <w:qFormat/>
    <w:uiPriority w:val="0"/>
  </w:style>
  <w:style w:type="character" w:customStyle="1" w:styleId="247">
    <w:name w:val="p12"/>
    <w:basedOn w:val="52"/>
    <w:qFormat/>
    <w:uiPriority w:val="0"/>
  </w:style>
  <w:style w:type="character" w:customStyle="1" w:styleId="248">
    <w:name w:val="font131"/>
    <w:qFormat/>
    <w:uiPriority w:val="0"/>
    <w:rPr>
      <w:rFonts w:hint="eastAsia" w:ascii="宋体" w:hAnsi="宋体" w:eastAsia="宋体"/>
      <w:color w:val="000000"/>
      <w:sz w:val="24"/>
      <w:szCs w:val="24"/>
      <w:u w:val="none"/>
    </w:rPr>
  </w:style>
  <w:style w:type="character" w:customStyle="1" w:styleId="249">
    <w:name w:val="正文文本 3 Char1"/>
    <w:semiHidden/>
    <w:qFormat/>
    <w:uiPriority w:val="99"/>
    <w:rPr>
      <w:rFonts w:ascii="Times New Roman" w:hAnsi="Times New Roman" w:eastAsia="宋体" w:cs="Times New Roman"/>
      <w:sz w:val="16"/>
      <w:szCs w:val="16"/>
    </w:rPr>
  </w:style>
  <w:style w:type="character" w:customStyle="1" w:styleId="250">
    <w:name w:val="h Char Char"/>
    <w:qFormat/>
    <w:uiPriority w:val="0"/>
    <w:rPr>
      <w:rFonts w:ascii="仿宋_GB2312" w:eastAsia="仿宋_GB2312"/>
      <w:b/>
      <w:kern w:val="2"/>
      <w:sz w:val="18"/>
      <w:szCs w:val="18"/>
    </w:rPr>
  </w:style>
  <w:style w:type="character" w:customStyle="1" w:styleId="251">
    <w:name w:val="style171"/>
    <w:qFormat/>
    <w:uiPriority w:val="0"/>
    <w:rPr>
      <w:rFonts w:ascii="仿宋_GB2312" w:eastAsia="仿宋_GB2312"/>
      <w:b/>
      <w:bCs/>
      <w:color w:val="000000"/>
      <w:sz w:val="32"/>
      <w:szCs w:val="32"/>
    </w:rPr>
  </w:style>
  <w:style w:type="character" w:customStyle="1" w:styleId="252">
    <w:name w:val="font21"/>
    <w:qFormat/>
    <w:uiPriority w:val="0"/>
    <w:rPr>
      <w:rFonts w:hint="eastAsia" w:ascii="宋体" w:hAnsi="宋体" w:eastAsia="宋体" w:cs="宋体"/>
      <w:b/>
      <w:color w:val="000000"/>
      <w:sz w:val="22"/>
      <w:szCs w:val="22"/>
      <w:u w:val="none"/>
    </w:rPr>
  </w:style>
  <w:style w:type="character" w:customStyle="1" w:styleId="253">
    <w:name w:val="正文文本缩进 Char2"/>
    <w:semiHidden/>
    <w:qFormat/>
    <w:uiPriority w:val="99"/>
    <w:rPr>
      <w:rFonts w:ascii="Times New Roman" w:hAnsi="Times New Roman" w:eastAsia="宋体" w:cs="Times New Roman"/>
      <w:szCs w:val="24"/>
    </w:rPr>
  </w:style>
  <w:style w:type="character" w:customStyle="1" w:styleId="254">
    <w:name w:val="样式 样式 首行缩进:  2.25 字符 + 首行缩进:  2.25 字符 Char"/>
    <w:link w:val="255"/>
    <w:qFormat/>
    <w:uiPriority w:val="0"/>
    <w:rPr>
      <w:rFonts w:ascii="宋体" w:hAnsi="宋体" w:cs="宋体"/>
      <w:b/>
      <w:szCs w:val="21"/>
    </w:rPr>
  </w:style>
  <w:style w:type="paragraph" w:customStyle="1" w:styleId="255">
    <w:name w:val="样式 样式 首行缩进:  2.25 字符 + 首行缩进:  2.25 字符"/>
    <w:basedOn w:val="1"/>
    <w:link w:val="254"/>
    <w:qFormat/>
    <w:uiPriority w:val="0"/>
    <w:pPr>
      <w:spacing w:line="360" w:lineRule="auto"/>
      <w:ind w:firstLine="420" w:firstLineChars="200"/>
    </w:pPr>
    <w:rPr>
      <w:rFonts w:ascii="宋体" w:hAnsi="宋体"/>
      <w:b/>
      <w:kern w:val="0"/>
      <w:sz w:val="20"/>
      <w:szCs w:val="21"/>
    </w:rPr>
  </w:style>
  <w:style w:type="character" w:customStyle="1" w:styleId="256">
    <w:name w:val="op_dict3_lineone_result_tip"/>
    <w:qFormat/>
    <w:uiPriority w:val="0"/>
    <w:rPr>
      <w:color w:val="999999"/>
    </w:rPr>
  </w:style>
  <w:style w:type="character" w:customStyle="1" w:styleId="257">
    <w:name w:val="HTML 预设格式 Char1"/>
    <w:semiHidden/>
    <w:qFormat/>
    <w:uiPriority w:val="99"/>
    <w:rPr>
      <w:rFonts w:ascii="Courier New" w:hAnsi="Courier New" w:eastAsia="宋体" w:cs="Courier New"/>
      <w:sz w:val="20"/>
      <w:szCs w:val="20"/>
    </w:rPr>
  </w:style>
  <w:style w:type="character" w:customStyle="1" w:styleId="258">
    <w:name w:val="文档结构图 Char1"/>
    <w:qFormat/>
    <w:uiPriority w:val="0"/>
    <w:rPr>
      <w:rFonts w:ascii="宋体" w:eastAsia="仿宋_GB2312"/>
      <w:b/>
      <w:kern w:val="2"/>
      <w:sz w:val="18"/>
      <w:szCs w:val="18"/>
    </w:rPr>
  </w:style>
  <w:style w:type="character" w:customStyle="1" w:styleId="259">
    <w:name w:val="无"/>
    <w:qFormat/>
    <w:uiPriority w:val="99"/>
  </w:style>
  <w:style w:type="character" w:customStyle="1" w:styleId="260">
    <w:name w:val="工可正文 Char"/>
    <w:link w:val="261"/>
    <w:qFormat/>
    <w:uiPriority w:val="0"/>
    <w:rPr>
      <w:rFonts w:ascii="宋体" w:hAnsi="Courier New"/>
      <w:sz w:val="28"/>
    </w:rPr>
  </w:style>
  <w:style w:type="paragraph" w:customStyle="1" w:styleId="261">
    <w:name w:val="工可正文"/>
    <w:basedOn w:val="1"/>
    <w:link w:val="260"/>
    <w:qFormat/>
    <w:uiPriority w:val="0"/>
    <w:pPr>
      <w:spacing w:line="360" w:lineRule="auto"/>
      <w:ind w:firstLine="560" w:firstLineChars="200"/>
    </w:pPr>
    <w:rPr>
      <w:rFonts w:ascii="宋体" w:hAnsi="Courier New"/>
      <w:kern w:val="0"/>
      <w:sz w:val="28"/>
    </w:rPr>
  </w:style>
  <w:style w:type="character" w:customStyle="1" w:styleId="262">
    <w:name w:val="标题 Char2"/>
    <w:qFormat/>
    <w:uiPriority w:val="10"/>
    <w:rPr>
      <w:rFonts w:ascii="Cambria" w:hAnsi="Cambria" w:eastAsia="宋体" w:cs="Times New Roman"/>
      <w:b/>
      <w:bCs/>
      <w:sz w:val="32"/>
      <w:szCs w:val="32"/>
    </w:rPr>
  </w:style>
  <w:style w:type="character" w:customStyle="1" w:styleId="263">
    <w:name w:val="font111"/>
    <w:qFormat/>
    <w:uiPriority w:val="0"/>
    <w:rPr>
      <w:rFonts w:hint="default" w:ascii="Times New Roman" w:hAnsi="Times New Roman" w:cs="Times New Roman"/>
      <w:color w:val="000000"/>
      <w:sz w:val="24"/>
      <w:szCs w:val="24"/>
      <w:u w:val="none"/>
    </w:rPr>
  </w:style>
  <w:style w:type="character" w:customStyle="1" w:styleId="264">
    <w:name w:val="f11"/>
    <w:qFormat/>
    <w:uiPriority w:val="0"/>
    <w:rPr>
      <w:rFonts w:ascii="仿宋_GB2312" w:eastAsia="仿宋_GB2312"/>
      <w:b/>
      <w:sz w:val="24"/>
      <w:szCs w:val="24"/>
    </w:rPr>
  </w:style>
  <w:style w:type="character" w:customStyle="1" w:styleId="265">
    <w:name w:val="文档结构图 Char2"/>
    <w:semiHidden/>
    <w:qFormat/>
    <w:uiPriority w:val="99"/>
    <w:rPr>
      <w:rFonts w:ascii="宋体" w:hAnsi="Times New Roman" w:eastAsia="宋体" w:cs="Times New Roman"/>
      <w:sz w:val="18"/>
      <w:szCs w:val="18"/>
    </w:rPr>
  </w:style>
  <w:style w:type="character" w:customStyle="1" w:styleId="266">
    <w:name w:val="font31"/>
    <w:qFormat/>
    <w:uiPriority w:val="0"/>
    <w:rPr>
      <w:rFonts w:hint="eastAsia" w:ascii="宋体" w:hAnsi="宋体" w:eastAsia="宋体"/>
      <w:color w:val="000000"/>
      <w:sz w:val="24"/>
      <w:szCs w:val="24"/>
      <w:u w:val="none"/>
    </w:rPr>
  </w:style>
  <w:style w:type="character" w:customStyle="1" w:styleId="267">
    <w:name w:val="z-窗体底端 Char"/>
    <w:link w:val="268"/>
    <w:qFormat/>
    <w:uiPriority w:val="0"/>
    <w:rPr>
      <w:rFonts w:ascii="Arial"/>
      <w:vanish/>
      <w:sz w:val="16"/>
      <w:szCs w:val="24"/>
    </w:rPr>
  </w:style>
  <w:style w:type="paragraph" w:customStyle="1" w:styleId="268">
    <w:name w:val="_Style 265"/>
    <w:basedOn w:val="1"/>
    <w:next w:val="1"/>
    <w:link w:val="267"/>
    <w:qFormat/>
    <w:uiPriority w:val="0"/>
    <w:pPr>
      <w:pBdr>
        <w:top w:val="single" w:color="auto" w:sz="6" w:space="1"/>
      </w:pBdr>
      <w:jc w:val="center"/>
    </w:pPr>
    <w:rPr>
      <w:rFonts w:ascii="Arial"/>
      <w:vanish/>
      <w:kern w:val="0"/>
      <w:sz w:val="16"/>
      <w:szCs w:val="24"/>
    </w:rPr>
  </w:style>
  <w:style w:type="character" w:customStyle="1" w:styleId="269">
    <w:name w:val="正文文本缩进 3 Char2"/>
    <w:semiHidden/>
    <w:qFormat/>
    <w:uiPriority w:val="99"/>
    <w:rPr>
      <w:rFonts w:ascii="Times New Roman" w:hAnsi="Times New Roman" w:eastAsia="宋体" w:cs="Times New Roman"/>
      <w:sz w:val="16"/>
      <w:szCs w:val="16"/>
    </w:rPr>
  </w:style>
  <w:style w:type="character" w:customStyle="1" w:styleId="270">
    <w:name w:val="标题 Char1"/>
    <w:qFormat/>
    <w:uiPriority w:val="0"/>
    <w:rPr>
      <w:rFonts w:ascii="Cambria" w:hAnsi="Cambria" w:eastAsia="仿宋_GB2312" w:cs="Times New Roman"/>
      <w:b/>
      <w:bCs/>
      <w:kern w:val="2"/>
      <w:sz w:val="32"/>
      <w:szCs w:val="32"/>
    </w:rPr>
  </w:style>
  <w:style w:type="character" w:customStyle="1" w:styleId="271">
    <w:name w:val="op-map-singlepoint-info-right"/>
    <w:qFormat/>
    <w:uiPriority w:val="99"/>
    <w:rPr>
      <w:rFonts w:ascii="仿宋_GB2312" w:eastAsia="仿宋_GB2312"/>
      <w:b/>
      <w:sz w:val="32"/>
      <w:szCs w:val="32"/>
    </w:rPr>
  </w:style>
  <w:style w:type="character" w:customStyle="1" w:styleId="272">
    <w:name w:val="z-窗体顶端 Char"/>
    <w:link w:val="273"/>
    <w:qFormat/>
    <w:uiPriority w:val="0"/>
    <w:rPr>
      <w:rFonts w:ascii="Arial"/>
      <w:vanish/>
      <w:sz w:val="16"/>
      <w:szCs w:val="24"/>
    </w:rPr>
  </w:style>
  <w:style w:type="paragraph" w:customStyle="1" w:styleId="273">
    <w:name w:val="_Style 270"/>
    <w:basedOn w:val="1"/>
    <w:next w:val="1"/>
    <w:link w:val="272"/>
    <w:qFormat/>
    <w:uiPriority w:val="0"/>
    <w:pPr>
      <w:pBdr>
        <w:bottom w:val="single" w:color="auto" w:sz="6" w:space="1"/>
      </w:pBdr>
      <w:jc w:val="center"/>
    </w:pPr>
    <w:rPr>
      <w:rFonts w:ascii="Arial"/>
      <w:vanish/>
      <w:kern w:val="0"/>
      <w:sz w:val="16"/>
      <w:szCs w:val="24"/>
    </w:rPr>
  </w:style>
  <w:style w:type="character" w:customStyle="1" w:styleId="274">
    <w:name w:val="font71"/>
    <w:qFormat/>
    <w:uiPriority w:val="0"/>
    <w:rPr>
      <w:rFonts w:hint="eastAsia" w:ascii="宋体" w:hAnsi="宋体" w:eastAsia="宋体" w:cs="宋体"/>
      <w:b/>
      <w:color w:val="0000FF"/>
      <w:sz w:val="22"/>
      <w:szCs w:val="22"/>
      <w:u w:val="none"/>
    </w:rPr>
  </w:style>
  <w:style w:type="character" w:customStyle="1" w:styleId="275">
    <w:name w:val="font51"/>
    <w:qFormat/>
    <w:uiPriority w:val="0"/>
    <w:rPr>
      <w:rFonts w:hint="eastAsia" w:ascii="宋体" w:hAnsi="宋体" w:eastAsia="宋体"/>
      <w:color w:val="000000"/>
      <w:sz w:val="24"/>
      <w:szCs w:val="24"/>
      <w:u w:val="none"/>
    </w:rPr>
  </w:style>
  <w:style w:type="character" w:customStyle="1" w:styleId="276">
    <w:name w:val="style2 bin1"/>
    <w:qFormat/>
    <w:uiPriority w:val="0"/>
    <w:rPr>
      <w:rFonts w:ascii="仿宋_GB2312" w:eastAsia="仿宋_GB2312"/>
      <w:b/>
      <w:sz w:val="32"/>
      <w:szCs w:val="32"/>
    </w:rPr>
  </w:style>
  <w:style w:type="character" w:customStyle="1" w:styleId="277">
    <w:name w:val="font12gray1"/>
    <w:qFormat/>
    <w:uiPriority w:val="0"/>
    <w:rPr>
      <w:rFonts w:ascii="仿宋_GB2312" w:eastAsia="仿宋_GB2312"/>
      <w:b/>
      <w:sz w:val="18"/>
      <w:szCs w:val="18"/>
    </w:rPr>
  </w:style>
  <w:style w:type="character" w:customStyle="1" w:styleId="278">
    <w:name w:val="font91"/>
    <w:qFormat/>
    <w:uiPriority w:val="0"/>
    <w:rPr>
      <w:rFonts w:hint="eastAsia" w:ascii="华文细黑" w:hAnsi="华文细黑" w:eastAsia="华文细黑"/>
      <w:color w:val="FF0000"/>
      <w:sz w:val="18"/>
      <w:szCs w:val="18"/>
      <w:u w:val="none"/>
    </w:rPr>
  </w:style>
  <w:style w:type="character" w:customStyle="1" w:styleId="279">
    <w:name w:val="style191"/>
    <w:qFormat/>
    <w:uiPriority w:val="0"/>
    <w:rPr>
      <w:rFonts w:ascii="仿宋_GB2312" w:eastAsia="仿宋_GB2312"/>
      <w:b/>
      <w:bCs/>
      <w:sz w:val="21"/>
      <w:szCs w:val="21"/>
    </w:rPr>
  </w:style>
  <w:style w:type="paragraph" w:customStyle="1" w:styleId="280">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81">
    <w:name w:val="et21"/>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character" w:customStyle="1" w:styleId="282">
    <w:name w:val="标题 Char3"/>
    <w:qFormat/>
    <w:uiPriority w:val="0"/>
    <w:rPr>
      <w:rFonts w:ascii="Cambria" w:hAnsi="Cambria" w:cs="Times New Roman"/>
      <w:b/>
      <w:bCs/>
      <w:kern w:val="2"/>
      <w:sz w:val="32"/>
      <w:szCs w:val="32"/>
    </w:rPr>
  </w:style>
  <w:style w:type="paragraph" w:customStyle="1" w:styleId="283">
    <w:name w:val="et20"/>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284">
    <w:name w:val="et46"/>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85">
    <w:name w:val="et2"/>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86">
    <w:name w:val="et26"/>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8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88">
    <w:name w:val="xl1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289">
    <w:name w:val="xl10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character" w:customStyle="1" w:styleId="290">
    <w:name w:val="z-窗体底端 Char1"/>
    <w:semiHidden/>
    <w:qFormat/>
    <w:uiPriority w:val="99"/>
    <w:rPr>
      <w:rFonts w:ascii="Arial" w:hAnsi="Arial" w:cs="Arial"/>
      <w:vanish/>
      <w:kern w:val="2"/>
      <w:sz w:val="16"/>
      <w:szCs w:val="16"/>
    </w:rPr>
  </w:style>
  <w:style w:type="paragraph" w:customStyle="1" w:styleId="291">
    <w:name w:val="xl1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292">
    <w:name w:val="et50"/>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93">
    <w:name w:val="et59"/>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94">
    <w:name w:val="et48"/>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95">
    <w:name w:val="2"/>
    <w:basedOn w:val="1"/>
    <w:next w:val="1"/>
    <w:qFormat/>
    <w:uiPriority w:val="0"/>
    <w:rPr>
      <w:rFonts w:ascii="Calibri" w:hAnsi="Calibri" w:eastAsia="仿宋_GB2312"/>
      <w:sz w:val="18"/>
    </w:rPr>
  </w:style>
  <w:style w:type="paragraph" w:customStyle="1" w:styleId="296">
    <w:name w:val="xl1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97">
    <w:name w:val="标题6"/>
    <w:basedOn w:val="1"/>
    <w:next w:val="4"/>
    <w:qFormat/>
    <w:uiPriority w:val="0"/>
    <w:pPr>
      <w:widowControl/>
      <w:snapToGrid w:val="0"/>
      <w:spacing w:beforeLines="50" w:afterLines="50" w:line="520" w:lineRule="atLeast"/>
      <w:ind w:firstLine="200" w:firstLineChars="200"/>
    </w:pPr>
    <w:rPr>
      <w:rFonts w:ascii="Calibri" w:hAnsi="Calibri" w:cs="Arial"/>
      <w:b/>
      <w:sz w:val="24"/>
      <w:szCs w:val="24"/>
    </w:rPr>
  </w:style>
  <w:style w:type="paragraph" w:customStyle="1" w:styleId="298">
    <w:name w:val="et25"/>
    <w:basedOn w:val="1"/>
    <w:qFormat/>
    <w:uiPriority w:val="0"/>
    <w:pPr>
      <w:widowControl/>
      <w:spacing w:before="100" w:beforeAutospacing="1" w:after="100" w:afterAutospacing="1"/>
      <w:jc w:val="left"/>
      <w:textAlignment w:val="bottom"/>
    </w:pPr>
    <w:rPr>
      <w:color w:val="000000"/>
      <w:kern w:val="0"/>
      <w:sz w:val="22"/>
      <w:szCs w:val="22"/>
    </w:rPr>
  </w:style>
  <w:style w:type="paragraph" w:customStyle="1" w:styleId="299">
    <w:name w:val="et5"/>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00">
    <w:name w:val="_Style 297"/>
    <w:basedOn w:val="4"/>
    <w:next w:val="1"/>
    <w:qFormat/>
    <w:uiPriority w:val="39"/>
    <w:pPr>
      <w:keepLines/>
      <w:widowControl/>
      <w:spacing w:before="480" w:line="276" w:lineRule="auto"/>
      <w:jc w:val="left"/>
      <w:outlineLvl w:val="9"/>
    </w:pPr>
    <w:rPr>
      <w:rFonts w:ascii="Cambria" w:hAnsi="Cambria"/>
      <w:bCs/>
      <w:color w:val="365F91"/>
      <w:kern w:val="0"/>
      <w:sz w:val="28"/>
      <w:szCs w:val="28"/>
    </w:rPr>
  </w:style>
  <w:style w:type="paragraph" w:customStyle="1" w:styleId="301">
    <w:name w:val="et12"/>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02">
    <w:name w:val="xl1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rPr>
  </w:style>
  <w:style w:type="paragraph" w:customStyle="1" w:styleId="303">
    <w:name w:val="et4"/>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04">
    <w:name w:val="xl1103"/>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b/>
      <w:bCs/>
      <w:kern w:val="0"/>
      <w:sz w:val="20"/>
    </w:rPr>
  </w:style>
  <w:style w:type="paragraph" w:customStyle="1" w:styleId="305">
    <w:name w:val="Char12"/>
    <w:basedOn w:val="1"/>
    <w:qFormat/>
    <w:uiPriority w:val="0"/>
    <w:rPr>
      <w:szCs w:val="22"/>
    </w:rPr>
  </w:style>
  <w:style w:type="paragraph" w:customStyle="1" w:styleId="306">
    <w:name w:val="et29"/>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07">
    <w:name w:val="et13"/>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08">
    <w:name w:val="xl1088"/>
    <w:basedOn w:val="1"/>
    <w:qFormat/>
    <w:uiPriority w:val="0"/>
    <w:pPr>
      <w:widowControl/>
      <w:spacing w:before="100" w:beforeAutospacing="1" w:after="100" w:afterAutospacing="1"/>
      <w:jc w:val="left"/>
    </w:pPr>
    <w:rPr>
      <w:rFonts w:ascii="宋体" w:hAnsi="宋体" w:cs="宋体"/>
      <w:kern w:val="0"/>
      <w:sz w:val="20"/>
    </w:rPr>
  </w:style>
  <w:style w:type="paragraph" w:customStyle="1" w:styleId="309">
    <w:name w:val="Char Char2 Char Char"/>
    <w:basedOn w:val="1"/>
    <w:qFormat/>
    <w:uiPriority w:val="0"/>
    <w:rPr>
      <w:rFonts w:ascii="Tahoma" w:hAnsi="Tahoma"/>
      <w:sz w:val="24"/>
    </w:rPr>
  </w:style>
  <w:style w:type="paragraph" w:customStyle="1" w:styleId="310">
    <w:name w:val="et22"/>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11">
    <w:name w:val="Char Char Char Char2"/>
    <w:basedOn w:val="1"/>
    <w:qFormat/>
    <w:uiPriority w:val="0"/>
    <w:rPr>
      <w:rFonts w:ascii="Tahoma" w:hAnsi="Tahoma"/>
      <w:sz w:val="24"/>
    </w:rPr>
  </w:style>
  <w:style w:type="paragraph" w:customStyle="1" w:styleId="312">
    <w:name w:val="Char23"/>
    <w:basedOn w:val="1"/>
    <w:qFormat/>
    <w:uiPriority w:val="0"/>
    <w:rPr>
      <w:rFonts w:ascii="仿宋_GB2312" w:eastAsia="仿宋_GB2312"/>
      <w:b/>
      <w:sz w:val="32"/>
      <w:szCs w:val="32"/>
    </w:rPr>
  </w:style>
  <w:style w:type="paragraph" w:customStyle="1" w:styleId="313">
    <w:name w:val="et14"/>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14">
    <w:name w:val="et38"/>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15">
    <w:name w:val="Char13"/>
    <w:basedOn w:val="1"/>
    <w:qFormat/>
    <w:uiPriority w:val="0"/>
    <w:rPr>
      <w:szCs w:val="22"/>
    </w:rPr>
  </w:style>
  <w:style w:type="paragraph" w:customStyle="1" w:styleId="316">
    <w:name w:val="xl109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b/>
      <w:bCs/>
      <w:kern w:val="0"/>
      <w:sz w:val="20"/>
    </w:rPr>
  </w:style>
  <w:style w:type="paragraph" w:customStyle="1" w:styleId="317">
    <w:name w:val="et18"/>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18">
    <w:name w:val="font9"/>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319">
    <w:name w:val="et35"/>
    <w:basedOn w:val="1"/>
    <w:qFormat/>
    <w:uiPriority w:val="0"/>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320">
    <w:name w:val="xl10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21">
    <w:name w:val="xl1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22">
    <w:name w:val="et39"/>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23">
    <w:name w:val="xl1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rPr>
  </w:style>
  <w:style w:type="paragraph" w:customStyle="1" w:styleId="324">
    <w:name w:val="xl1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325">
    <w:name w:val="et34"/>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26">
    <w:name w:val="Char Char Char Char Char Char2 Char Char Char Char1"/>
    <w:basedOn w:val="1"/>
    <w:qFormat/>
    <w:uiPriority w:val="0"/>
    <w:rPr>
      <w:szCs w:val="24"/>
    </w:rPr>
  </w:style>
  <w:style w:type="paragraph" w:customStyle="1" w:styleId="327">
    <w:name w:val="Char21"/>
    <w:basedOn w:val="1"/>
    <w:qFormat/>
    <w:uiPriority w:val="0"/>
    <w:rPr>
      <w:rFonts w:ascii="仿宋_GB2312" w:eastAsia="仿宋_GB2312"/>
      <w:b/>
      <w:sz w:val="32"/>
      <w:szCs w:val="32"/>
    </w:rPr>
  </w:style>
  <w:style w:type="paragraph" w:customStyle="1" w:styleId="328">
    <w:name w:val="Char22"/>
    <w:basedOn w:val="1"/>
    <w:qFormat/>
    <w:uiPriority w:val="0"/>
    <w:rPr>
      <w:rFonts w:ascii="仿宋_GB2312" w:eastAsia="仿宋_GB2312"/>
      <w:b/>
      <w:sz w:val="32"/>
      <w:szCs w:val="32"/>
    </w:rPr>
  </w:style>
  <w:style w:type="paragraph" w:customStyle="1" w:styleId="329">
    <w:name w:val="font8"/>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330">
    <w:name w:val="xl1125"/>
    <w:basedOn w:val="1"/>
    <w:qFormat/>
    <w:uiPriority w:val="0"/>
    <w:pPr>
      <w:widowControl/>
      <w:pBdr>
        <w:top w:val="single" w:color="auto" w:sz="4" w:space="0"/>
        <w:bottom w:val="single" w:color="auto" w:sz="4" w:space="0"/>
      </w:pBdr>
      <w:shd w:val="clear" w:color="000000" w:fill="DCE6F1"/>
      <w:spacing w:before="100" w:beforeAutospacing="1" w:after="100" w:afterAutospacing="1"/>
      <w:jc w:val="left"/>
    </w:pPr>
    <w:rPr>
      <w:rFonts w:ascii="宋体" w:hAnsi="宋体" w:cs="宋体"/>
      <w:b/>
      <w:bCs/>
      <w:kern w:val="0"/>
      <w:sz w:val="24"/>
      <w:szCs w:val="24"/>
    </w:rPr>
  </w:style>
  <w:style w:type="paragraph" w:customStyle="1" w:styleId="331">
    <w:name w:val="et30"/>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32">
    <w:name w:val="et52"/>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33">
    <w:name w:val="Char Char Char Char Char Char Char11"/>
    <w:basedOn w:val="1"/>
    <w:qFormat/>
    <w:uiPriority w:val="0"/>
    <w:pPr>
      <w:widowControl/>
      <w:spacing w:after="160" w:line="240" w:lineRule="exact"/>
      <w:jc w:val="left"/>
    </w:pPr>
    <w:rPr>
      <w:rFonts w:ascii="Verdana" w:hAnsi="Verdana"/>
      <w:kern w:val="0"/>
      <w:szCs w:val="24"/>
      <w:lang w:eastAsia="en-US"/>
    </w:rPr>
  </w:style>
  <w:style w:type="paragraph" w:customStyle="1" w:styleId="334">
    <w:name w:val="xl1102"/>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 w:val="20"/>
    </w:rPr>
  </w:style>
  <w:style w:type="paragraph" w:customStyle="1" w:styleId="335">
    <w:name w:val="et37"/>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36">
    <w:name w:val="xl112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7">
    <w:name w:val="et51"/>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38">
    <w:name w:val="font7"/>
    <w:basedOn w:val="1"/>
    <w:qFormat/>
    <w:uiPriority w:val="0"/>
    <w:pPr>
      <w:widowControl/>
      <w:spacing w:before="100" w:beforeAutospacing="1" w:after="100" w:afterAutospacing="1"/>
      <w:jc w:val="left"/>
    </w:pPr>
    <w:rPr>
      <w:kern w:val="0"/>
      <w:sz w:val="20"/>
    </w:rPr>
  </w:style>
  <w:style w:type="paragraph" w:customStyle="1" w:styleId="339">
    <w:name w:val="Char3"/>
    <w:basedOn w:val="1"/>
    <w:qFormat/>
    <w:uiPriority w:val="0"/>
    <w:rPr>
      <w:rFonts w:ascii="Tahoma" w:hAnsi="Tahoma"/>
      <w:sz w:val="24"/>
    </w:rPr>
  </w:style>
  <w:style w:type="paragraph" w:customStyle="1" w:styleId="340">
    <w:name w:val="et42"/>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41">
    <w:name w:val="et58"/>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42">
    <w:name w:val="xl1089"/>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 w:val="20"/>
    </w:rPr>
  </w:style>
  <w:style w:type="paragraph" w:customStyle="1" w:styleId="343">
    <w:name w:val="et15"/>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44">
    <w:name w:val="xl10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45">
    <w:name w:val="2册标题2"/>
    <w:basedOn w:val="1"/>
    <w:next w:val="1"/>
    <w:qFormat/>
    <w:uiPriority w:val="0"/>
    <w:pPr>
      <w:spacing w:beforeLines="50" w:afterLines="50" w:line="300" w:lineRule="auto"/>
      <w:outlineLvl w:val="1"/>
    </w:pPr>
    <w:rPr>
      <w:rFonts w:ascii="Arial" w:hAnsi="Arial" w:eastAsia="黑体"/>
      <w:sz w:val="30"/>
      <w:szCs w:val="30"/>
    </w:rPr>
  </w:style>
  <w:style w:type="paragraph" w:customStyle="1" w:styleId="346">
    <w:name w:val="xl1108"/>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b/>
      <w:bCs/>
      <w:kern w:val="0"/>
      <w:sz w:val="20"/>
    </w:rPr>
  </w:style>
  <w:style w:type="paragraph" w:customStyle="1" w:styleId="347">
    <w:name w:val="et53"/>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48">
    <w:name w:val="et3"/>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49">
    <w:name w:val="et40"/>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50">
    <w:name w:val="et57"/>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51">
    <w:name w:val="et24"/>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52">
    <w:name w:val="et32"/>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53">
    <w:name w:val="xl1129"/>
    <w:basedOn w:val="1"/>
    <w:qFormat/>
    <w:uiPriority w:val="0"/>
    <w:pPr>
      <w:widowControl/>
      <w:pBdr>
        <w:top w:val="single" w:color="auto" w:sz="4" w:space="0"/>
        <w:bottom w:val="single" w:color="auto" w:sz="4" w:space="0"/>
        <w:right w:val="single" w:color="auto" w:sz="4" w:space="0"/>
      </w:pBdr>
      <w:shd w:val="clear" w:color="000000" w:fill="DCE6F1"/>
      <w:spacing w:before="100" w:beforeAutospacing="1" w:after="100" w:afterAutospacing="1"/>
      <w:jc w:val="left"/>
    </w:pPr>
    <w:rPr>
      <w:rFonts w:ascii="宋体" w:hAnsi="宋体" w:cs="宋体"/>
      <w:b/>
      <w:bCs/>
      <w:kern w:val="0"/>
      <w:szCs w:val="21"/>
    </w:rPr>
  </w:style>
  <w:style w:type="paragraph" w:customStyle="1" w:styleId="354">
    <w:name w:val="xl10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55">
    <w:name w:val="xl1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56">
    <w:name w:val="xl1097"/>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pPr>
    <w:rPr>
      <w:rFonts w:ascii="宋体" w:hAnsi="宋体" w:cs="宋体"/>
      <w:b/>
      <w:bCs/>
      <w:kern w:val="0"/>
      <w:sz w:val="20"/>
    </w:rPr>
  </w:style>
  <w:style w:type="paragraph" w:customStyle="1" w:styleId="357">
    <w:name w:val="xl111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b/>
      <w:bCs/>
      <w:kern w:val="0"/>
      <w:sz w:val="24"/>
      <w:szCs w:val="24"/>
    </w:rPr>
  </w:style>
  <w:style w:type="paragraph" w:customStyle="1" w:styleId="358">
    <w:name w:val="font1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59">
    <w:name w:val="et27"/>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60">
    <w:name w:val="Char Char Char Char Char Char Char1"/>
    <w:basedOn w:val="1"/>
    <w:qFormat/>
    <w:uiPriority w:val="0"/>
    <w:rPr>
      <w:rFonts w:ascii="仿宋_GB2312" w:eastAsia="仿宋_GB2312"/>
      <w:b/>
      <w:sz w:val="32"/>
      <w:szCs w:val="32"/>
    </w:rPr>
  </w:style>
  <w:style w:type="paragraph" w:customStyle="1" w:styleId="361">
    <w:name w:val="样式 标题 2 + Times New Roman 四号 非加粗 段前: 5 磅 段后: 0 磅 行距: 固定值 20..."/>
    <w:basedOn w:val="5"/>
    <w:qFormat/>
    <w:uiPriority w:val="0"/>
    <w:pPr>
      <w:tabs>
        <w:tab w:val="clear" w:pos="578"/>
      </w:tabs>
      <w:spacing w:beforeLines="0" w:afterLines="0" w:line="400" w:lineRule="exact"/>
      <w:ind w:left="0" w:firstLine="0"/>
    </w:pPr>
    <w:rPr>
      <w:rFonts w:ascii="Times New Roman" w:hAnsi="Times New Roman" w:eastAsia="黑体" w:cs="宋体"/>
      <w:sz w:val="28"/>
      <w:szCs w:val="20"/>
    </w:rPr>
  </w:style>
  <w:style w:type="paragraph" w:customStyle="1" w:styleId="362">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3">
    <w:name w:val="xl10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64">
    <w:name w:val="xl1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365">
    <w:name w:val="et8"/>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66">
    <w:name w:val="et43"/>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67">
    <w:name w:val="et16"/>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68">
    <w:name w:val="xl1113"/>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369">
    <w:name w:val="et23"/>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70">
    <w:name w:val="xl1107"/>
    <w:basedOn w:val="1"/>
    <w:qFormat/>
    <w:uiPriority w:val="0"/>
    <w:pPr>
      <w:widowControl/>
      <w:spacing w:before="100" w:beforeAutospacing="1" w:after="100" w:afterAutospacing="1"/>
      <w:jc w:val="center"/>
    </w:pPr>
    <w:rPr>
      <w:rFonts w:ascii="宋体" w:hAnsi="宋体" w:cs="宋体"/>
      <w:kern w:val="0"/>
      <w:sz w:val="20"/>
    </w:rPr>
  </w:style>
  <w:style w:type="paragraph" w:customStyle="1" w:styleId="371">
    <w:name w:val="xl1128"/>
    <w:basedOn w:val="1"/>
    <w:qFormat/>
    <w:uiPriority w:val="0"/>
    <w:pPr>
      <w:widowControl/>
      <w:pBdr>
        <w:top w:val="single" w:color="auto" w:sz="4" w:space="0"/>
        <w:left w:val="single" w:color="auto" w:sz="4" w:space="0"/>
        <w:bottom w:val="single" w:color="auto" w:sz="4" w:space="0"/>
      </w:pBdr>
      <w:shd w:val="clear" w:color="000000" w:fill="DCE6F1"/>
      <w:spacing w:before="100" w:beforeAutospacing="1" w:after="100" w:afterAutospacing="1"/>
      <w:jc w:val="left"/>
    </w:pPr>
    <w:rPr>
      <w:rFonts w:ascii="宋体" w:hAnsi="宋体" w:cs="宋体"/>
      <w:b/>
      <w:bCs/>
      <w:kern w:val="0"/>
      <w:szCs w:val="21"/>
    </w:rPr>
  </w:style>
  <w:style w:type="paragraph" w:customStyle="1" w:styleId="372">
    <w:name w:val="xl111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73">
    <w:name w:val="1册标题1"/>
    <w:basedOn w:val="1"/>
    <w:next w:val="1"/>
    <w:qFormat/>
    <w:uiPriority w:val="0"/>
    <w:pPr>
      <w:spacing w:beforeLines="50" w:afterLines="50" w:line="300" w:lineRule="auto"/>
      <w:jc w:val="center"/>
      <w:outlineLvl w:val="0"/>
    </w:pPr>
    <w:rPr>
      <w:rFonts w:ascii="Arial" w:hAnsi="Arial" w:eastAsia="黑体"/>
      <w:b/>
      <w:bCs/>
      <w:sz w:val="48"/>
    </w:rPr>
  </w:style>
  <w:style w:type="paragraph" w:customStyle="1" w:styleId="374">
    <w:name w:val="xl1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75">
    <w:name w:val="et7"/>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76">
    <w:name w:val="xl111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character" w:customStyle="1" w:styleId="377">
    <w:name w:val="z-窗体顶端 Char1"/>
    <w:semiHidden/>
    <w:qFormat/>
    <w:uiPriority w:val="99"/>
    <w:rPr>
      <w:rFonts w:ascii="Arial" w:hAnsi="Arial" w:cs="Arial"/>
      <w:vanish/>
      <w:kern w:val="2"/>
      <w:sz w:val="16"/>
      <w:szCs w:val="16"/>
    </w:rPr>
  </w:style>
  <w:style w:type="paragraph" w:customStyle="1" w:styleId="378">
    <w:name w:val="et44"/>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79">
    <w:name w:val="et33"/>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80">
    <w:name w:val="无格式"/>
    <w:next w:val="1"/>
    <w:qFormat/>
    <w:uiPriority w:val="0"/>
    <w:pPr>
      <w:jc w:val="both"/>
    </w:pPr>
    <w:rPr>
      <w:rFonts w:ascii="Times New Roman" w:hAnsi="Times New Roman" w:eastAsia="宋体" w:cs="Times New Roman"/>
      <w:bCs/>
      <w:kern w:val="2"/>
      <w:sz w:val="24"/>
      <w:szCs w:val="24"/>
      <w:lang w:val="en-US" w:eastAsia="zh-CN" w:bidi="ar-SA"/>
    </w:rPr>
  </w:style>
  <w:style w:type="paragraph" w:customStyle="1" w:styleId="381">
    <w:name w:val="et19"/>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82">
    <w:name w:val="xl1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rPr>
  </w:style>
  <w:style w:type="paragraph" w:customStyle="1" w:styleId="383">
    <w:name w:val="et11"/>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84">
    <w:name w:val="font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385">
    <w:name w:val="et36"/>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86">
    <w:name w:val="Char Char"/>
    <w:basedOn w:val="1"/>
    <w:qFormat/>
    <w:uiPriority w:val="0"/>
    <w:pPr>
      <w:spacing w:line="360" w:lineRule="auto"/>
    </w:pPr>
    <w:rPr>
      <w:rFonts w:ascii="Tahoma" w:hAnsi="Tahoma"/>
      <w:sz w:val="24"/>
    </w:rPr>
  </w:style>
  <w:style w:type="paragraph" w:customStyle="1" w:styleId="387">
    <w:name w:val="Char Char Char Char Char Char2 Char Char Char Char"/>
    <w:basedOn w:val="1"/>
    <w:qFormat/>
    <w:uiPriority w:val="0"/>
    <w:rPr>
      <w:szCs w:val="24"/>
    </w:rPr>
  </w:style>
  <w:style w:type="paragraph" w:customStyle="1" w:styleId="388">
    <w:name w:val="et31"/>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89">
    <w:name w:val="部分1"/>
    <w:basedOn w:val="1"/>
    <w:qFormat/>
    <w:uiPriority w:val="0"/>
    <w:pPr>
      <w:keepNext/>
      <w:pageBreakBefore/>
      <w:tabs>
        <w:tab w:val="left" w:pos="720"/>
      </w:tabs>
      <w:spacing w:line="360" w:lineRule="auto"/>
      <w:jc w:val="center"/>
      <w:outlineLvl w:val="0"/>
    </w:pPr>
    <w:rPr>
      <w:rFonts w:eastAsia="黑体"/>
      <w:b/>
      <w:kern w:val="44"/>
      <w:sz w:val="36"/>
    </w:rPr>
  </w:style>
  <w:style w:type="paragraph" w:customStyle="1" w:styleId="390">
    <w:name w:val="TOC 标题1"/>
    <w:basedOn w:val="4"/>
    <w:next w:val="1"/>
    <w:qFormat/>
    <w:uiPriority w:val="0"/>
    <w:pPr>
      <w:keepLines/>
      <w:widowControl/>
      <w:spacing w:line="276" w:lineRule="auto"/>
      <w:jc w:val="left"/>
      <w:outlineLvl w:val="9"/>
    </w:pPr>
    <w:rPr>
      <w:rFonts w:ascii="Cambria" w:hAnsi="Cambria"/>
      <w:bCs/>
      <w:color w:val="365F91"/>
      <w:kern w:val="0"/>
      <w:sz w:val="28"/>
      <w:szCs w:val="28"/>
    </w:rPr>
  </w:style>
  <w:style w:type="paragraph" w:customStyle="1" w:styleId="391">
    <w:name w:val="xl109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cs="宋体"/>
      <w:b/>
      <w:bCs/>
      <w:kern w:val="0"/>
      <w:sz w:val="20"/>
    </w:rPr>
  </w:style>
  <w:style w:type="paragraph" w:customStyle="1" w:styleId="392">
    <w:name w:val="xl112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b/>
      <w:bCs/>
      <w:kern w:val="0"/>
      <w:sz w:val="24"/>
      <w:szCs w:val="24"/>
    </w:rPr>
  </w:style>
  <w:style w:type="paragraph" w:customStyle="1" w:styleId="393">
    <w:name w:val="Char Char Char Char Char Char2 Char Char Char Char2"/>
    <w:basedOn w:val="1"/>
    <w:qFormat/>
    <w:uiPriority w:val="0"/>
    <w:rPr>
      <w:szCs w:val="24"/>
    </w:rPr>
  </w:style>
  <w:style w:type="paragraph" w:customStyle="1" w:styleId="394">
    <w:name w:val="xl1090"/>
    <w:basedOn w:val="1"/>
    <w:qFormat/>
    <w:uiPriority w:val="0"/>
    <w:pPr>
      <w:widowControl/>
      <w:spacing w:before="100" w:beforeAutospacing="1" w:after="100" w:afterAutospacing="1"/>
      <w:jc w:val="center"/>
    </w:pPr>
    <w:rPr>
      <w:rFonts w:ascii="宋体" w:hAnsi="宋体" w:cs="宋体"/>
      <w:kern w:val="0"/>
      <w:sz w:val="20"/>
    </w:rPr>
  </w:style>
  <w:style w:type="paragraph" w:customStyle="1" w:styleId="395">
    <w:name w:val="Char Char Char Char Char Char Char2"/>
    <w:basedOn w:val="1"/>
    <w:qFormat/>
    <w:uiPriority w:val="0"/>
    <w:rPr>
      <w:rFonts w:ascii="仿宋_GB2312" w:eastAsia="仿宋_GB2312"/>
      <w:b/>
      <w:sz w:val="32"/>
      <w:szCs w:val="32"/>
    </w:rPr>
  </w:style>
  <w:style w:type="paragraph" w:customStyle="1" w:styleId="396">
    <w:name w:val="文档正文"/>
    <w:basedOn w:val="1"/>
    <w:qFormat/>
    <w:uiPriority w:val="0"/>
    <w:pPr>
      <w:adjustRightInd w:val="0"/>
      <w:spacing w:line="480" w:lineRule="atLeast"/>
      <w:ind w:firstLine="567" w:firstLineChars="200"/>
      <w:textAlignment w:val="baseline"/>
    </w:pPr>
    <w:rPr>
      <w:rFonts w:ascii="长城仿宋" w:eastAsia="长城仿宋"/>
      <w:kern w:val="0"/>
      <w:sz w:val="28"/>
    </w:rPr>
  </w:style>
  <w:style w:type="paragraph" w:customStyle="1" w:styleId="397">
    <w:name w:val="et56"/>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9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99">
    <w:name w:val="et45"/>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400">
    <w:name w:val="font3"/>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01">
    <w:name w:val="xl1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40"/>
      <w:szCs w:val="40"/>
    </w:rPr>
  </w:style>
  <w:style w:type="paragraph" w:customStyle="1" w:styleId="402">
    <w:name w:val="xl1117"/>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kern w:val="0"/>
      <w:sz w:val="24"/>
      <w:szCs w:val="24"/>
    </w:rPr>
  </w:style>
  <w:style w:type="paragraph" w:customStyle="1" w:styleId="403">
    <w:name w:val="正文（缩进）"/>
    <w:basedOn w:val="1"/>
    <w:qFormat/>
    <w:uiPriority w:val="0"/>
    <w:pPr>
      <w:widowControl/>
      <w:spacing w:before="156" w:after="156"/>
      <w:ind w:firstLine="480" w:firstLineChars="200"/>
      <w:jc w:val="left"/>
    </w:pPr>
    <w:rPr>
      <w:rFonts w:ascii="Arial" w:eastAsia="Arial"/>
      <w:kern w:val="0"/>
      <w:sz w:val="24"/>
      <w:szCs w:val="24"/>
    </w:rPr>
  </w:style>
  <w:style w:type="paragraph" w:customStyle="1" w:styleId="404">
    <w:name w:val="xl1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rPr>
  </w:style>
  <w:style w:type="paragraph" w:customStyle="1" w:styleId="405">
    <w:name w:val="et55"/>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406">
    <w:name w:val="et28"/>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407">
    <w:name w:val="et10"/>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408">
    <w:name w:val="et41"/>
    <w:basedOn w:val="1"/>
    <w:qFormat/>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409">
    <w:name w:val="xl1110"/>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right"/>
    </w:pPr>
    <w:rPr>
      <w:rFonts w:ascii="宋体" w:hAnsi="宋体" w:cs="宋体"/>
      <w:b/>
      <w:bCs/>
      <w:kern w:val="0"/>
      <w:sz w:val="20"/>
    </w:rPr>
  </w:style>
  <w:style w:type="paragraph" w:customStyle="1" w:styleId="410">
    <w:name w:val="style17"/>
    <w:basedOn w:val="1"/>
    <w:qFormat/>
    <w:uiPriority w:val="0"/>
    <w:pPr>
      <w:widowControl/>
      <w:spacing w:before="100" w:beforeAutospacing="1" w:after="100" w:afterAutospacing="1"/>
      <w:jc w:val="left"/>
    </w:pPr>
    <w:rPr>
      <w:rFonts w:ascii="宋体" w:hAnsi="宋体" w:cs="宋体"/>
      <w:b/>
      <w:bCs/>
      <w:color w:val="000000"/>
      <w:kern w:val="0"/>
      <w:sz w:val="24"/>
      <w:szCs w:val="22"/>
    </w:rPr>
  </w:style>
  <w:style w:type="paragraph" w:customStyle="1" w:styleId="411">
    <w:name w:val="xl1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40"/>
      <w:szCs w:val="40"/>
    </w:rPr>
  </w:style>
  <w:style w:type="paragraph" w:customStyle="1" w:styleId="412">
    <w:name w:val="正文缩进1"/>
    <w:basedOn w:val="1"/>
    <w:next w:val="20"/>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413">
    <w:name w:val="xl10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414">
    <w:name w:val="Char4"/>
    <w:basedOn w:val="1"/>
    <w:qFormat/>
    <w:uiPriority w:val="0"/>
    <w:rPr>
      <w:rFonts w:ascii="Tahoma" w:hAnsi="Tahoma"/>
      <w:sz w:val="24"/>
    </w:rPr>
  </w:style>
  <w:style w:type="paragraph" w:customStyle="1" w:styleId="415">
    <w:name w:val="xl1109"/>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宋体"/>
      <w:b/>
      <w:bCs/>
      <w:kern w:val="0"/>
      <w:sz w:val="20"/>
    </w:rPr>
  </w:style>
  <w:style w:type="paragraph" w:customStyle="1" w:styleId="416">
    <w:name w:val="et6"/>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417">
    <w:name w:val="样式 标题 3 + (中文) 黑体 小四 非加粗 段前: 7.8 磅 段后: 0 磅 行距: 固定值 20 磅"/>
    <w:basedOn w:val="6"/>
    <w:qFormat/>
    <w:uiPriority w:val="0"/>
    <w:pPr>
      <w:keepNext w:val="0"/>
      <w:keepLines w:val="0"/>
      <w:tabs>
        <w:tab w:val="clear" w:pos="1620"/>
      </w:tabs>
      <w:autoSpaceDE w:val="0"/>
      <w:autoSpaceDN w:val="0"/>
      <w:adjustRightInd w:val="0"/>
      <w:spacing w:beforeLines="0" w:afterLines="0" w:line="400" w:lineRule="exact"/>
      <w:ind w:left="0" w:firstLine="0"/>
      <w:jc w:val="left"/>
    </w:pPr>
    <w:rPr>
      <w:rFonts w:hAnsi="Times New Roman" w:eastAsia="黑体" w:cs="宋体"/>
      <w:b w:val="0"/>
      <w:bCs/>
      <w:kern w:val="0"/>
      <w:sz w:val="24"/>
      <w:szCs w:val="20"/>
    </w:rPr>
  </w:style>
  <w:style w:type="paragraph" w:customStyle="1" w:styleId="418">
    <w:name w:val="font0"/>
    <w:basedOn w:val="1"/>
    <w:qFormat/>
    <w:uiPriority w:val="0"/>
    <w:pPr>
      <w:widowControl/>
      <w:spacing w:before="100" w:beforeAutospacing="1" w:after="100" w:afterAutospacing="1"/>
      <w:jc w:val="left"/>
    </w:pPr>
    <w:rPr>
      <w:rFonts w:ascii="华文细黑" w:hAnsi="华文细黑" w:eastAsia="华文细黑" w:cs="宋体"/>
      <w:color w:val="000000"/>
      <w:kern w:val="0"/>
      <w:sz w:val="18"/>
      <w:szCs w:val="18"/>
      <w:vertAlign w:val="superscript"/>
    </w:rPr>
  </w:style>
  <w:style w:type="paragraph" w:customStyle="1" w:styleId="419">
    <w:name w:val="Char5"/>
    <w:basedOn w:val="1"/>
    <w:qFormat/>
    <w:uiPriority w:val="0"/>
    <w:rPr>
      <w:rFonts w:ascii="Tahoma" w:hAnsi="Tahoma"/>
      <w:sz w:val="24"/>
    </w:rPr>
  </w:style>
  <w:style w:type="paragraph" w:customStyle="1" w:styleId="420">
    <w:name w:val="et17"/>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421">
    <w:name w:val="xl10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422">
    <w:name w:val="Char1 Char Char Char"/>
    <w:basedOn w:val="1"/>
    <w:qFormat/>
    <w:uiPriority w:val="0"/>
    <w:rPr>
      <w:rFonts w:ascii="Tahoma" w:hAnsi="Tahoma"/>
      <w:sz w:val="24"/>
    </w:rPr>
  </w:style>
  <w:style w:type="paragraph" w:customStyle="1" w:styleId="423">
    <w:name w:val="et47"/>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424">
    <w:name w:val="et49"/>
    <w:basedOn w:val="1"/>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425">
    <w:name w:val="Char Char Char Char1"/>
    <w:basedOn w:val="1"/>
    <w:qFormat/>
    <w:uiPriority w:val="0"/>
    <w:rPr>
      <w:rFonts w:ascii="Tahoma" w:hAnsi="Tahoma"/>
      <w:sz w:val="24"/>
    </w:rPr>
  </w:style>
  <w:style w:type="paragraph" w:customStyle="1" w:styleId="426">
    <w:name w:val="style11"/>
    <w:basedOn w:val="1"/>
    <w:qFormat/>
    <w:uiPriority w:val="0"/>
    <w:pPr>
      <w:widowControl/>
      <w:spacing w:before="100" w:beforeAutospacing="1" w:after="100" w:afterAutospacing="1"/>
      <w:jc w:val="left"/>
    </w:pPr>
    <w:rPr>
      <w:rFonts w:ascii="宋体" w:hAnsi="宋体" w:cs="宋体"/>
      <w:kern w:val="0"/>
      <w:sz w:val="24"/>
      <w:szCs w:val="22"/>
    </w:rPr>
  </w:style>
  <w:style w:type="paragraph" w:customStyle="1" w:styleId="427">
    <w:name w:val="et9"/>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table" w:customStyle="1" w:styleId="428">
    <w:name w:val="网格型1"/>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9">
    <w:name w:val="网格型2"/>
    <w:basedOn w:val="5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430">
    <w:name w:val="font122"/>
    <w:basedOn w:val="52"/>
    <w:qFormat/>
    <w:uiPriority w:val="0"/>
    <w:rPr>
      <w:rFonts w:hint="eastAsia" w:ascii="宋体" w:hAnsi="宋体" w:eastAsia="宋体" w:cs="宋体"/>
      <w:b/>
      <w:bCs/>
      <w:color w:val="000000"/>
      <w:sz w:val="21"/>
      <w:szCs w:val="21"/>
      <w:u w:val="none"/>
    </w:rPr>
  </w:style>
  <w:style w:type="character" w:customStyle="1" w:styleId="431">
    <w:name w:val="font141"/>
    <w:basedOn w:val="52"/>
    <w:qFormat/>
    <w:uiPriority w:val="0"/>
    <w:rPr>
      <w:rFonts w:hint="default" w:ascii="Times New Roman" w:hAnsi="Times New Roman" w:cs="Times New Roman"/>
      <w:b/>
      <w:bCs/>
      <w:color w:val="000000"/>
      <w:sz w:val="22"/>
      <w:szCs w:val="22"/>
      <w:u w:val="none"/>
    </w:rPr>
  </w:style>
  <w:style w:type="character" w:customStyle="1" w:styleId="432">
    <w:name w:val="font151"/>
    <w:basedOn w:val="52"/>
    <w:qFormat/>
    <w:uiPriority w:val="0"/>
    <w:rPr>
      <w:rFonts w:hint="eastAsia" w:ascii="宋体" w:hAnsi="宋体" w:eastAsia="宋体" w:cs="宋体"/>
      <w:color w:val="000000"/>
      <w:sz w:val="21"/>
      <w:szCs w:val="21"/>
      <w:u w:val="none"/>
    </w:rPr>
  </w:style>
  <w:style w:type="character" w:customStyle="1" w:styleId="433">
    <w:name w:val="font161"/>
    <w:basedOn w:val="52"/>
    <w:qFormat/>
    <w:uiPriority w:val="0"/>
    <w:rPr>
      <w:rFonts w:hint="eastAsia" w:ascii="宋体" w:hAnsi="宋体" w:eastAsia="宋体" w:cs="宋体"/>
      <w:color w:val="000000"/>
      <w:sz w:val="22"/>
      <w:szCs w:val="22"/>
      <w:u w:val="none"/>
    </w:rPr>
  </w:style>
  <w:style w:type="character" w:customStyle="1" w:styleId="434">
    <w:name w:val="font81"/>
    <w:basedOn w:val="52"/>
    <w:qFormat/>
    <w:uiPriority w:val="0"/>
    <w:rPr>
      <w:rFonts w:hint="eastAsia" w:ascii="宋体" w:hAnsi="宋体" w:eastAsia="宋体" w:cs="宋体"/>
      <w:color w:val="000000"/>
      <w:sz w:val="22"/>
      <w:szCs w:val="22"/>
      <w:u w:val="none"/>
    </w:rPr>
  </w:style>
  <w:style w:type="character" w:customStyle="1" w:styleId="435">
    <w:name w:val="font112"/>
    <w:basedOn w:val="52"/>
    <w:qFormat/>
    <w:uiPriority w:val="0"/>
    <w:rPr>
      <w:rFonts w:hint="eastAsia" w:ascii="宋体" w:hAnsi="宋体" w:eastAsia="宋体" w:cs="宋体"/>
      <w:color w:val="000000"/>
      <w:sz w:val="22"/>
      <w:szCs w:val="22"/>
      <w:u w:val="none"/>
    </w:rPr>
  </w:style>
  <w:style w:type="paragraph" w:customStyle="1" w:styleId="436">
    <w:name w:val="首行缩进"/>
    <w:basedOn w:val="1"/>
    <w:qFormat/>
    <w:uiPriority w:val="0"/>
    <w:pPr>
      <w:spacing w:line="360" w:lineRule="auto"/>
      <w:ind w:firstLine="480" w:firstLineChars="200"/>
      <w:jc w:val="left"/>
    </w:pPr>
    <w:rPr>
      <w:rFonts w:ascii="宋体" w:hAnsi="宋体"/>
      <w:sz w:val="24"/>
    </w:rPr>
  </w:style>
  <w:style w:type="paragraph" w:customStyle="1" w:styleId="437">
    <w:name w:val="_Style 2"/>
    <w:basedOn w:val="1"/>
    <w:qFormat/>
    <w:uiPriority w:val="0"/>
    <w:pPr>
      <w:ind w:firstLine="420" w:firstLineChars="200"/>
    </w:pPr>
    <w:rPr>
      <w:rFonts w:ascii="Calibri" w:hAnsi="Calibri"/>
      <w:szCs w:val="22"/>
    </w:rPr>
  </w:style>
  <w:style w:type="paragraph" w:customStyle="1" w:styleId="438">
    <w:name w:val="正文文本 (3)"/>
    <w:basedOn w:val="1"/>
    <w:qFormat/>
    <w:uiPriority w:val="0"/>
    <w:pPr>
      <w:shd w:val="clear" w:color="auto" w:fill="FFFFFF"/>
      <w:spacing w:before="660" w:line="950" w:lineRule="exact"/>
      <w:jc w:val="distribute"/>
    </w:pPr>
    <w:rPr>
      <w:rFonts w:ascii="宋体" w:hAnsi="宋体" w:eastAsia="Times New Roman"/>
      <w:kern w:val="0"/>
      <w:sz w:val="46"/>
      <w:szCs w:val="46"/>
      <w:shd w:val="clear" w:color="auto" w:fill="FFFFFF"/>
    </w:rPr>
  </w:style>
  <w:style w:type="paragraph" w:customStyle="1" w:styleId="439">
    <w:name w:val="样式 正文2 + 仿宋_GB2312 黑色 段前: 0 磅 行距: 固定值 23 磅"/>
    <w:basedOn w:val="219"/>
    <w:qFormat/>
    <w:uiPriority w:val="99"/>
    <w:pPr>
      <w:spacing w:line="360" w:lineRule="exact"/>
      <w:ind w:left="-51" w:leftChars="-51" w:firstLine="0" w:firstLineChars="0"/>
    </w:pPr>
    <w:rPr>
      <w:rFonts w:ascii="仿宋_GB2312" w:hAnsi="仿宋_GB2312" w:eastAsia="仿宋_GB2312" w:cs="宋体"/>
      <w:color w:val="000000"/>
    </w:rPr>
  </w:style>
  <w:style w:type="paragraph" w:customStyle="1" w:styleId="440">
    <w:name w:val="索引 11"/>
    <w:basedOn w:val="1"/>
    <w:next w:val="1"/>
    <w:qFormat/>
    <w:uiPriority w:val="99"/>
    <w:pPr>
      <w:spacing w:line="360" w:lineRule="auto"/>
    </w:pPr>
    <w:rPr>
      <w:rFonts w:ascii="仿宋_GB2312" w:eastAsia="仿宋_GB2312"/>
      <w:sz w:val="24"/>
    </w:rPr>
  </w:style>
  <w:style w:type="paragraph" w:customStyle="1" w:styleId="441">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442">
    <w:name w:val="_Style 3"/>
    <w:basedOn w:val="1"/>
    <w:qFormat/>
    <w:uiPriority w:val="0"/>
    <w:pPr>
      <w:ind w:firstLine="420" w:firstLineChars="200"/>
    </w:pPr>
    <w:rPr>
      <w:rFonts w:eastAsia="仿宋_GB2312"/>
      <w:sz w:val="28"/>
    </w:rPr>
  </w:style>
  <w:style w:type="table" w:customStyle="1" w:styleId="44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5.xml" Type="http://schemas.openxmlformats.org/officeDocument/2006/relationships/footer"/><Relationship Id="rId12" Target="theme/theme1.xml" Type="http://schemas.openxmlformats.org/officeDocument/2006/relationships/theme"/><Relationship Id="rId13" Target="../customXml/item1.xml" Type="http://schemas.openxmlformats.org/officeDocument/2006/relationships/customXml"/><Relationship Id="rId14" Target="numbering.xml" Type="http://schemas.openxmlformats.org/officeDocument/2006/relationships/numbering"/><Relationship Id="rId15"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Unknown Organization</Company>
  <Pages>77</Pages>
  <Words>42532</Words>
  <Characters>45068</Characters>
  <Lines>323</Lines>
  <Paragraphs>91</Paragraphs>
  <TotalTime>4</TotalTime>
  <ScaleCrop>false</ScaleCrop>
  <LinksUpToDate>false</LinksUpToDate>
  <CharactersWithSpaces>46038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2022-09-13T14:45:00Z</dcterms:created>
  <dc:creator>dyp</dc:creator>
  <cp:lastModifiedBy>John</cp:lastModifiedBy>
  <cp:lastPrinted>2023-03-27T05:37:00Z</cp:lastPrinted>
  <dcterms:modified xsi:type="dcterms:W3CDTF">2023-09-18T03:34:40Z</dcterms:modified>
  <cp:revision>23</cp:revision>
  <dc:title>第一部分  投标方须知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695AB9A7DD734B21B6C871615FC64CAC_13</vt:lpwstr>
  </property>
  <property fmtid="{D5CDD505-2E9C-101B-9397-08002B2CF9AE}" pid="4" name="commondata">
    <vt:lpwstr>eyJoZGlkIjoiZDc2ZjdkMTc3ZGRjYmFiNTk1OWVjZGNlYTcwYjUxYTcifQ==</vt:lpwstr>
  </property>
</Properties>
</file>